
<file path=[Content_Types].xml><?xml version="1.0" encoding="utf-8"?>
<Types xmlns="http://schemas.openxmlformats.org/package/2006/content-types">
  <Default Extension="bin" ContentType="application/vnd.ms-office.activeX"/>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5.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6.xml" ContentType="application/vnd.openxmlformats-officedocument.wordprocessingml.footer+xml"/>
  <Override PartName="/word/header42.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header43.xml" ContentType="application/vnd.openxmlformats-officedocument.wordprocessingml.header+xml"/>
  <Override PartName="/word/header44.xml" ContentType="application/vnd.openxmlformats-officedocument.wordprocessingml.header+xml"/>
  <Override PartName="/word/footer7.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8.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9.xml" ContentType="application/vnd.openxmlformats-officedocument.wordprocessingml.footer+xml"/>
  <Override PartName="/word/header5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6A9A9" w14:textId="77777777" w:rsidR="00EE04DC" w:rsidRPr="00565B30" w:rsidRDefault="00EE04DC" w:rsidP="00D3615D">
      <w:pPr>
        <w:spacing w:before="840" w:after="2400"/>
        <w:ind w:left="284"/>
      </w:pPr>
      <w:bookmarkStart w:id="0" w:name="_Hlk69736300"/>
      <w:bookmarkStart w:id="1" w:name="_Hlk69723335"/>
      <w:bookmarkEnd w:id="0"/>
      <w:r w:rsidRPr="00565B30">
        <w:rPr>
          <w:noProof/>
        </w:rPr>
        <w:drawing>
          <wp:inline distT="0" distB="0" distL="0" distR="0" wp14:anchorId="36678559" wp14:editId="3C736FB7">
            <wp:extent cx="3950081" cy="842684"/>
            <wp:effectExtent l="0" t="0" r="0" b="0"/>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onwealth Coat of Arms and ASIC logo"/>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950081" cy="842684"/>
                    </a:xfrm>
                    <a:prstGeom prst="rect">
                      <a:avLst/>
                    </a:prstGeom>
                    <a:noFill/>
                    <a:ln>
                      <a:noFill/>
                    </a:ln>
                  </pic:spPr>
                </pic:pic>
              </a:graphicData>
            </a:graphic>
          </wp:inline>
        </w:drawing>
      </w:r>
    </w:p>
    <w:p w14:paraId="489770FC" w14:textId="2710440C" w:rsidR="00CA095A" w:rsidRDefault="004B4655" w:rsidP="00CA095A">
      <w:pPr>
        <w:ind w:left="2268"/>
        <w:rPr>
          <w:rFonts w:ascii="Arial" w:hAnsi="Arial" w:cs="Arial"/>
          <w:b/>
          <w:sz w:val="48"/>
          <w:szCs w:val="48"/>
        </w:rPr>
      </w:pPr>
      <w:r w:rsidRPr="00202855">
        <w:rPr>
          <w:rFonts w:ascii="Arial" w:hAnsi="Arial" w:cs="Arial"/>
          <w:b/>
          <w:sz w:val="48"/>
          <w:szCs w:val="48"/>
        </w:rPr>
        <w:t>ASIC Market Integrity Rules (</w:t>
      </w:r>
      <w:r>
        <w:rPr>
          <w:rFonts w:ascii="Arial" w:hAnsi="Arial" w:cs="Arial"/>
          <w:b/>
          <w:sz w:val="48"/>
          <w:szCs w:val="48"/>
        </w:rPr>
        <w:t>Capital</w:t>
      </w:r>
      <w:r w:rsidRPr="00202855">
        <w:rPr>
          <w:rFonts w:ascii="Arial" w:hAnsi="Arial" w:cs="Arial"/>
          <w:b/>
          <w:sz w:val="48"/>
          <w:szCs w:val="48"/>
        </w:rPr>
        <w:t xml:space="preserve">) </w:t>
      </w:r>
      <w:r w:rsidR="002D695E" w:rsidRPr="00FB4E7C">
        <w:rPr>
          <w:rFonts w:ascii="Arial" w:hAnsi="Arial" w:cs="Arial"/>
          <w:b/>
          <w:sz w:val="48"/>
          <w:szCs w:val="48"/>
        </w:rPr>
        <w:t>202</w:t>
      </w:r>
      <w:r w:rsidR="002D695E">
        <w:rPr>
          <w:rFonts w:ascii="Arial" w:hAnsi="Arial" w:cs="Arial"/>
          <w:b/>
          <w:sz w:val="48"/>
          <w:szCs w:val="48"/>
        </w:rPr>
        <w:t>1</w:t>
      </w:r>
    </w:p>
    <w:p w14:paraId="391EBF33" w14:textId="77777777" w:rsidR="00BB4918" w:rsidRDefault="00BB4918" w:rsidP="00BB4918">
      <w:pPr>
        <w:ind w:left="2268"/>
        <w:rPr>
          <w:b/>
          <w:sz w:val="24"/>
          <w:szCs w:val="24"/>
        </w:rPr>
      </w:pPr>
    </w:p>
    <w:p w14:paraId="6B99EC4E" w14:textId="0BD66F5F" w:rsidR="00BB4918" w:rsidRDefault="00BB4918" w:rsidP="00BB4918">
      <w:pPr>
        <w:ind w:left="2268"/>
        <w:rPr>
          <w:sz w:val="24"/>
          <w:szCs w:val="24"/>
        </w:rPr>
      </w:pPr>
      <w:r>
        <w:rPr>
          <w:sz w:val="24"/>
          <w:szCs w:val="24"/>
        </w:rPr>
        <w:t xml:space="preserve">I, Calissa Aldridge, acting with the written consent of the Minister, make the following market integrity rules under subsection 798G(1) of the </w:t>
      </w:r>
      <w:r>
        <w:rPr>
          <w:i/>
          <w:sz w:val="24"/>
          <w:szCs w:val="24"/>
        </w:rPr>
        <w:t>Corporations Act 2001</w:t>
      </w:r>
      <w:r>
        <w:rPr>
          <w:sz w:val="24"/>
          <w:szCs w:val="24"/>
        </w:rPr>
        <w:t>.</w:t>
      </w:r>
    </w:p>
    <w:p w14:paraId="4C5349B7" w14:textId="785BF388" w:rsidR="00BB4918" w:rsidRDefault="00BB4918" w:rsidP="00D02B98">
      <w:pPr>
        <w:ind w:left="2268"/>
        <w:rPr>
          <w:sz w:val="24"/>
          <w:szCs w:val="24"/>
        </w:rPr>
      </w:pPr>
      <w:r w:rsidRPr="002D68F1">
        <w:rPr>
          <w:sz w:val="24"/>
          <w:szCs w:val="24"/>
        </w:rPr>
        <w:t xml:space="preserve">Date </w:t>
      </w:r>
      <w:r w:rsidRPr="002D68F1">
        <w:rPr>
          <w:sz w:val="24"/>
          <w:szCs w:val="24"/>
        </w:rPr>
        <w:tab/>
      </w:r>
      <w:r w:rsidR="002D68F1" w:rsidRPr="002D68F1">
        <w:rPr>
          <w:sz w:val="24"/>
          <w:szCs w:val="24"/>
        </w:rPr>
        <w:t>1</w:t>
      </w:r>
      <w:r w:rsidR="00442D77">
        <w:rPr>
          <w:sz w:val="24"/>
          <w:szCs w:val="24"/>
        </w:rPr>
        <w:t>6</w:t>
      </w:r>
      <w:r w:rsidR="002D68F1" w:rsidRPr="002D68F1">
        <w:rPr>
          <w:sz w:val="24"/>
          <w:szCs w:val="24"/>
        </w:rPr>
        <w:t xml:space="preserve"> </w:t>
      </w:r>
      <w:r w:rsidRPr="002D68F1">
        <w:rPr>
          <w:sz w:val="24"/>
          <w:szCs w:val="24"/>
        </w:rPr>
        <w:t>June 2021</w:t>
      </w:r>
    </w:p>
    <w:p w14:paraId="47EB6D39" w14:textId="77777777" w:rsidR="00D02B98" w:rsidRDefault="00D02B98" w:rsidP="00BB4918">
      <w:pPr>
        <w:ind w:left="2268"/>
        <w:rPr>
          <w:sz w:val="24"/>
          <w:szCs w:val="24"/>
        </w:rPr>
      </w:pPr>
    </w:p>
    <w:p w14:paraId="387B3C42" w14:textId="77777777" w:rsidR="00D02B98" w:rsidRDefault="00D02B98" w:rsidP="00BB4918">
      <w:pPr>
        <w:ind w:left="2268"/>
        <w:rPr>
          <w:sz w:val="24"/>
          <w:szCs w:val="24"/>
        </w:rPr>
      </w:pPr>
    </w:p>
    <w:p w14:paraId="551CF250" w14:textId="2DC9F9A7" w:rsidR="00BB4918" w:rsidRDefault="00BB4918" w:rsidP="00BB4918">
      <w:pPr>
        <w:ind w:left="2268"/>
        <w:rPr>
          <w:sz w:val="24"/>
          <w:szCs w:val="24"/>
        </w:rPr>
      </w:pPr>
      <w:r>
        <w:rPr>
          <w:sz w:val="24"/>
          <w:szCs w:val="24"/>
        </w:rPr>
        <w:t>Signed by Calissa Aldridge</w:t>
      </w:r>
      <w:r>
        <w:rPr>
          <w:sz w:val="24"/>
          <w:szCs w:val="24"/>
        </w:rPr>
        <w:br/>
        <w:t>as delegate of the Australian Securities and Investments Commission</w:t>
      </w:r>
    </w:p>
    <w:p w14:paraId="74D64ECE" w14:textId="77777777" w:rsidR="00CA095A" w:rsidRDefault="00CA095A" w:rsidP="00CA095A">
      <w:pPr>
        <w:ind w:left="2268"/>
        <w:rPr>
          <w:b/>
          <w:sz w:val="24"/>
          <w:szCs w:val="24"/>
        </w:rPr>
      </w:pPr>
    </w:p>
    <w:p w14:paraId="02405441" w14:textId="77777777" w:rsidR="004C5E51" w:rsidRDefault="004C5E51" w:rsidP="00203B23">
      <w:pPr>
        <w:pStyle w:val="Fronttext"/>
        <w:spacing w:before="0" w:line="20" w:lineRule="exact"/>
      </w:pPr>
    </w:p>
    <w:p w14:paraId="5D508920" w14:textId="77777777" w:rsidR="004C5E51" w:rsidRDefault="004C5E51" w:rsidP="004C5E51">
      <w:pPr>
        <w:pStyle w:val="Fronttext"/>
        <w:sectPr w:rsidR="004C5E51" w:rsidSect="000A4286">
          <w:headerReference w:type="even" r:id="rId14"/>
          <w:headerReference w:type="default" r:id="rId15"/>
          <w:footerReference w:type="even" r:id="rId16"/>
          <w:footerReference w:type="default" r:id="rId17"/>
          <w:headerReference w:type="first" r:id="rId18"/>
          <w:footerReference w:type="first" r:id="rId19"/>
          <w:pgSz w:w="11906" w:h="16838" w:code="9"/>
          <w:pgMar w:top="1644" w:right="1418" w:bottom="1418" w:left="1418" w:header="567" w:footer="567" w:gutter="0"/>
          <w:pgNumType w:start="1"/>
          <w:cols w:space="720"/>
          <w:titlePg/>
        </w:sectPr>
      </w:pPr>
    </w:p>
    <w:p w14:paraId="12D4977B" w14:textId="77777777" w:rsidR="00B54E2D" w:rsidRPr="00681694" w:rsidRDefault="00B54E2D" w:rsidP="00203B23">
      <w:pPr>
        <w:pStyle w:val="Fronttext"/>
        <w:spacing w:before="0" w:line="20" w:lineRule="exact"/>
      </w:pPr>
    </w:p>
    <w:p w14:paraId="6EB9AD0D" w14:textId="6B634F73" w:rsidR="00E81ACF" w:rsidRPr="0033698E" w:rsidRDefault="00E81ACF" w:rsidP="002E4FF5">
      <w:pPr>
        <w:pStyle w:val="Heading1nonumber"/>
      </w:pPr>
      <w:bookmarkStart w:id="2" w:name="_Toc468976601"/>
      <w:bookmarkStart w:id="3" w:name="_Toc470181725"/>
      <w:bookmarkStart w:id="4" w:name="_Toc517606057"/>
      <w:bookmarkStart w:id="5" w:name="_Toc27492555"/>
      <w:r w:rsidRPr="0033698E">
        <w:lastRenderedPageBreak/>
        <w:t>Contents</w:t>
      </w:r>
      <w:bookmarkEnd w:id="2"/>
      <w:bookmarkEnd w:id="3"/>
      <w:bookmarkEnd w:id="4"/>
      <w:bookmarkEnd w:id="5"/>
    </w:p>
    <w:p w14:paraId="3C69032B" w14:textId="33B1B8BE" w:rsidR="00693F82" w:rsidRDefault="00FB03B7">
      <w:pPr>
        <w:pStyle w:val="TOC1"/>
        <w:rPr>
          <w:rFonts w:asciiTheme="minorHAnsi" w:eastAsiaTheme="minorEastAsia" w:hAnsiTheme="minorHAnsi" w:cstheme="minorBidi"/>
          <w:b w:val="0"/>
          <w:sz w:val="22"/>
          <w:szCs w:val="22"/>
        </w:rPr>
      </w:pPr>
      <w:r w:rsidRPr="00A65900">
        <w:fldChar w:fldCharType="begin"/>
      </w:r>
      <w:r w:rsidR="005B1BF1" w:rsidRPr="00CB0BD7">
        <w:instrText xml:space="preserve"> TOC \o "1-2" \h \z \t "Heading 1,1,Heading 6,1" </w:instrText>
      </w:r>
      <w:r w:rsidRPr="00A65900">
        <w:fldChar w:fldCharType="separate"/>
      </w:r>
      <w:hyperlink w:anchor="_Toc27492556" w:history="1">
        <w:r w:rsidR="00693F82" w:rsidRPr="00807AC3">
          <w:rPr>
            <w:rStyle w:val="Hyperlink"/>
          </w:rPr>
          <w:t>Chapter 1: Introduction</w:t>
        </w:r>
        <w:r w:rsidR="00693F82">
          <w:rPr>
            <w:webHidden/>
          </w:rPr>
          <w:tab/>
        </w:r>
        <w:r w:rsidR="00693F82">
          <w:rPr>
            <w:webHidden/>
          </w:rPr>
          <w:fldChar w:fldCharType="begin"/>
        </w:r>
        <w:r w:rsidR="00693F82">
          <w:rPr>
            <w:webHidden/>
          </w:rPr>
          <w:instrText xml:space="preserve"> PAGEREF _Toc27492556 \h </w:instrText>
        </w:r>
        <w:r w:rsidR="00693F82">
          <w:rPr>
            <w:webHidden/>
          </w:rPr>
        </w:r>
        <w:r w:rsidR="00693F82">
          <w:rPr>
            <w:webHidden/>
          </w:rPr>
          <w:fldChar w:fldCharType="separate"/>
        </w:r>
        <w:r w:rsidR="004473CC">
          <w:rPr>
            <w:webHidden/>
          </w:rPr>
          <w:t>4</w:t>
        </w:r>
        <w:r w:rsidR="00693F82">
          <w:rPr>
            <w:webHidden/>
          </w:rPr>
          <w:fldChar w:fldCharType="end"/>
        </w:r>
      </w:hyperlink>
    </w:p>
    <w:p w14:paraId="23AB5460" w14:textId="2E485743" w:rsidR="00693F82" w:rsidRDefault="00E27A80" w:rsidP="00BB486B">
      <w:pPr>
        <w:pStyle w:val="TOC2"/>
        <w:rPr>
          <w:rFonts w:asciiTheme="minorHAnsi" w:eastAsiaTheme="minorEastAsia" w:hAnsiTheme="minorHAnsi" w:cstheme="minorBidi"/>
          <w:sz w:val="22"/>
          <w:szCs w:val="22"/>
        </w:rPr>
      </w:pPr>
      <w:hyperlink w:anchor="_Toc27492557" w:history="1">
        <w:r w:rsidR="00693F82" w:rsidRPr="00807AC3">
          <w:rPr>
            <w:rStyle w:val="Hyperlink"/>
          </w:rPr>
          <w:t>Part 1.1</w:t>
        </w:r>
        <w:r w:rsidR="00693F82">
          <w:rPr>
            <w:rFonts w:asciiTheme="minorHAnsi" w:eastAsiaTheme="minorEastAsia" w:hAnsiTheme="minorHAnsi" w:cstheme="minorBidi"/>
            <w:sz w:val="22"/>
            <w:szCs w:val="22"/>
          </w:rPr>
          <w:tab/>
        </w:r>
        <w:r w:rsidR="00693F82" w:rsidRPr="00807AC3">
          <w:rPr>
            <w:rStyle w:val="Hyperlink"/>
          </w:rPr>
          <w:t>Preliminary</w:t>
        </w:r>
        <w:r w:rsidR="00693F82">
          <w:rPr>
            <w:webHidden/>
          </w:rPr>
          <w:tab/>
        </w:r>
        <w:r w:rsidR="00693F82">
          <w:rPr>
            <w:webHidden/>
          </w:rPr>
          <w:fldChar w:fldCharType="begin"/>
        </w:r>
        <w:r w:rsidR="00693F82">
          <w:rPr>
            <w:webHidden/>
          </w:rPr>
          <w:instrText xml:space="preserve"> PAGEREF _Toc27492557 \h </w:instrText>
        </w:r>
        <w:r w:rsidR="00693F82">
          <w:rPr>
            <w:webHidden/>
          </w:rPr>
        </w:r>
        <w:r w:rsidR="00693F82">
          <w:rPr>
            <w:webHidden/>
          </w:rPr>
          <w:fldChar w:fldCharType="separate"/>
        </w:r>
        <w:r w:rsidR="004473CC">
          <w:rPr>
            <w:webHidden/>
          </w:rPr>
          <w:t>4</w:t>
        </w:r>
        <w:r w:rsidR="00693F82">
          <w:rPr>
            <w:webHidden/>
          </w:rPr>
          <w:fldChar w:fldCharType="end"/>
        </w:r>
      </w:hyperlink>
    </w:p>
    <w:p w14:paraId="7ED0B2D9" w14:textId="7CC5E19A" w:rsidR="00693F82" w:rsidRDefault="00E27A80" w:rsidP="00BB486B">
      <w:pPr>
        <w:pStyle w:val="TOC2"/>
        <w:rPr>
          <w:rFonts w:asciiTheme="minorHAnsi" w:eastAsiaTheme="minorEastAsia" w:hAnsiTheme="minorHAnsi" w:cstheme="minorBidi"/>
          <w:sz w:val="22"/>
          <w:szCs w:val="22"/>
        </w:rPr>
      </w:pPr>
      <w:hyperlink w:anchor="_Toc27492558" w:history="1">
        <w:r w:rsidR="00693F82" w:rsidRPr="00807AC3">
          <w:rPr>
            <w:rStyle w:val="Hyperlink"/>
          </w:rPr>
          <w:t>Part 1.2</w:t>
        </w:r>
        <w:r w:rsidR="00693F82">
          <w:rPr>
            <w:rFonts w:asciiTheme="minorHAnsi" w:eastAsiaTheme="minorEastAsia" w:hAnsiTheme="minorHAnsi" w:cstheme="minorBidi"/>
            <w:sz w:val="22"/>
            <w:szCs w:val="22"/>
          </w:rPr>
          <w:tab/>
        </w:r>
        <w:r w:rsidR="00693F82" w:rsidRPr="00807AC3">
          <w:rPr>
            <w:rStyle w:val="Hyperlink"/>
          </w:rPr>
          <w:t>Waiver</w:t>
        </w:r>
        <w:r w:rsidR="00693F82">
          <w:rPr>
            <w:webHidden/>
          </w:rPr>
          <w:tab/>
        </w:r>
        <w:r w:rsidR="00693F82">
          <w:rPr>
            <w:webHidden/>
          </w:rPr>
          <w:fldChar w:fldCharType="begin"/>
        </w:r>
        <w:r w:rsidR="00693F82">
          <w:rPr>
            <w:webHidden/>
          </w:rPr>
          <w:instrText xml:space="preserve"> PAGEREF _Toc27492558 \h </w:instrText>
        </w:r>
        <w:r w:rsidR="00693F82">
          <w:rPr>
            <w:webHidden/>
          </w:rPr>
        </w:r>
        <w:r w:rsidR="00693F82">
          <w:rPr>
            <w:webHidden/>
          </w:rPr>
          <w:fldChar w:fldCharType="separate"/>
        </w:r>
        <w:r w:rsidR="004473CC">
          <w:rPr>
            <w:webHidden/>
          </w:rPr>
          <w:t>6</w:t>
        </w:r>
        <w:r w:rsidR="00693F82">
          <w:rPr>
            <w:webHidden/>
          </w:rPr>
          <w:fldChar w:fldCharType="end"/>
        </w:r>
      </w:hyperlink>
    </w:p>
    <w:p w14:paraId="276A3614" w14:textId="3C283897" w:rsidR="00693F82" w:rsidRDefault="00E27A80" w:rsidP="00BB486B">
      <w:pPr>
        <w:pStyle w:val="TOC2"/>
        <w:rPr>
          <w:rFonts w:asciiTheme="minorHAnsi" w:eastAsiaTheme="minorEastAsia" w:hAnsiTheme="minorHAnsi" w:cstheme="minorBidi"/>
          <w:sz w:val="22"/>
          <w:szCs w:val="22"/>
        </w:rPr>
      </w:pPr>
      <w:hyperlink w:anchor="_Toc27492559" w:history="1">
        <w:r w:rsidR="00693F82" w:rsidRPr="00807AC3">
          <w:rPr>
            <w:rStyle w:val="Hyperlink"/>
          </w:rPr>
          <w:t>Part 1.3</w:t>
        </w:r>
        <w:r w:rsidR="00693F82">
          <w:rPr>
            <w:rFonts w:asciiTheme="minorHAnsi" w:eastAsiaTheme="minorEastAsia" w:hAnsiTheme="minorHAnsi" w:cstheme="minorBidi"/>
            <w:sz w:val="22"/>
            <w:szCs w:val="22"/>
          </w:rPr>
          <w:tab/>
        </w:r>
        <w:r w:rsidR="00693F82" w:rsidRPr="00807AC3">
          <w:rPr>
            <w:rStyle w:val="Hyperlink"/>
          </w:rPr>
          <w:t>Notice, notification and service of documents</w:t>
        </w:r>
        <w:r w:rsidR="00693F82">
          <w:rPr>
            <w:webHidden/>
          </w:rPr>
          <w:tab/>
        </w:r>
        <w:r w:rsidR="00693F82">
          <w:rPr>
            <w:webHidden/>
          </w:rPr>
          <w:fldChar w:fldCharType="begin"/>
        </w:r>
        <w:r w:rsidR="00693F82">
          <w:rPr>
            <w:webHidden/>
          </w:rPr>
          <w:instrText xml:space="preserve"> PAGEREF _Toc27492559 \h </w:instrText>
        </w:r>
        <w:r w:rsidR="00693F82">
          <w:rPr>
            <w:webHidden/>
          </w:rPr>
        </w:r>
        <w:r w:rsidR="00693F82">
          <w:rPr>
            <w:webHidden/>
          </w:rPr>
          <w:fldChar w:fldCharType="separate"/>
        </w:r>
        <w:r w:rsidR="004473CC">
          <w:rPr>
            <w:webHidden/>
          </w:rPr>
          <w:t>7</w:t>
        </w:r>
        <w:r w:rsidR="00693F82">
          <w:rPr>
            <w:webHidden/>
          </w:rPr>
          <w:fldChar w:fldCharType="end"/>
        </w:r>
      </w:hyperlink>
    </w:p>
    <w:p w14:paraId="30A971DC" w14:textId="6D750677" w:rsidR="00693F82" w:rsidRDefault="00E27A80" w:rsidP="00BB486B">
      <w:pPr>
        <w:pStyle w:val="TOC2"/>
        <w:rPr>
          <w:rFonts w:asciiTheme="minorHAnsi" w:eastAsiaTheme="minorEastAsia" w:hAnsiTheme="minorHAnsi" w:cstheme="minorBidi"/>
          <w:sz w:val="22"/>
          <w:szCs w:val="22"/>
        </w:rPr>
      </w:pPr>
      <w:hyperlink w:anchor="_Toc27492560" w:history="1">
        <w:r w:rsidR="00693F82" w:rsidRPr="00807AC3">
          <w:rPr>
            <w:rStyle w:val="Hyperlink"/>
          </w:rPr>
          <w:t>Part 1.4</w:t>
        </w:r>
        <w:r w:rsidR="00693F82">
          <w:rPr>
            <w:rFonts w:asciiTheme="minorHAnsi" w:eastAsiaTheme="minorEastAsia" w:hAnsiTheme="minorHAnsi" w:cstheme="minorBidi"/>
            <w:sz w:val="22"/>
            <w:szCs w:val="22"/>
          </w:rPr>
          <w:tab/>
        </w:r>
        <w:r w:rsidR="00693F82" w:rsidRPr="00807AC3">
          <w:rPr>
            <w:rStyle w:val="Hyperlink"/>
          </w:rPr>
          <w:t>Interpretation</w:t>
        </w:r>
        <w:r w:rsidR="00693F82">
          <w:rPr>
            <w:webHidden/>
          </w:rPr>
          <w:tab/>
        </w:r>
        <w:r w:rsidR="00693F82">
          <w:rPr>
            <w:webHidden/>
          </w:rPr>
          <w:fldChar w:fldCharType="begin"/>
        </w:r>
        <w:r w:rsidR="00693F82">
          <w:rPr>
            <w:webHidden/>
          </w:rPr>
          <w:instrText xml:space="preserve"> PAGEREF _Toc27492560 \h </w:instrText>
        </w:r>
        <w:r w:rsidR="00693F82">
          <w:rPr>
            <w:webHidden/>
          </w:rPr>
        </w:r>
        <w:r w:rsidR="00693F82">
          <w:rPr>
            <w:webHidden/>
          </w:rPr>
          <w:fldChar w:fldCharType="separate"/>
        </w:r>
        <w:r w:rsidR="004473CC">
          <w:rPr>
            <w:webHidden/>
          </w:rPr>
          <w:t>7</w:t>
        </w:r>
        <w:r w:rsidR="00693F82">
          <w:rPr>
            <w:webHidden/>
          </w:rPr>
          <w:fldChar w:fldCharType="end"/>
        </w:r>
      </w:hyperlink>
    </w:p>
    <w:p w14:paraId="6F81E188" w14:textId="595B49C7" w:rsidR="00693F82" w:rsidRDefault="00E27A80" w:rsidP="00BB486B">
      <w:pPr>
        <w:pStyle w:val="TOC2"/>
        <w:rPr>
          <w:rFonts w:asciiTheme="minorHAnsi" w:eastAsiaTheme="minorEastAsia" w:hAnsiTheme="minorHAnsi" w:cstheme="minorBidi"/>
          <w:sz w:val="22"/>
          <w:szCs w:val="22"/>
        </w:rPr>
      </w:pPr>
      <w:hyperlink w:anchor="_Toc27492561" w:history="1">
        <w:r w:rsidR="00693F82" w:rsidRPr="00807AC3">
          <w:rPr>
            <w:rStyle w:val="Hyperlink"/>
          </w:rPr>
          <w:t>Part 1.5</w:t>
        </w:r>
        <w:r w:rsidR="00693F82">
          <w:rPr>
            <w:rFonts w:asciiTheme="minorHAnsi" w:eastAsiaTheme="minorEastAsia" w:hAnsiTheme="minorHAnsi" w:cstheme="minorBidi"/>
            <w:sz w:val="22"/>
            <w:szCs w:val="22"/>
          </w:rPr>
          <w:tab/>
        </w:r>
        <w:r w:rsidR="00693F82" w:rsidRPr="00807AC3">
          <w:rPr>
            <w:rStyle w:val="Hyperlink"/>
          </w:rPr>
          <w:t>Participants of multiple Markets</w:t>
        </w:r>
        <w:r w:rsidR="00693F82">
          <w:rPr>
            <w:webHidden/>
          </w:rPr>
          <w:tab/>
        </w:r>
        <w:r w:rsidR="00693F82">
          <w:rPr>
            <w:webHidden/>
          </w:rPr>
          <w:fldChar w:fldCharType="begin"/>
        </w:r>
        <w:r w:rsidR="00693F82">
          <w:rPr>
            <w:webHidden/>
          </w:rPr>
          <w:instrText xml:space="preserve"> PAGEREF _Toc27492561 \h </w:instrText>
        </w:r>
        <w:r w:rsidR="00693F82">
          <w:rPr>
            <w:webHidden/>
          </w:rPr>
        </w:r>
        <w:r w:rsidR="00693F82">
          <w:rPr>
            <w:webHidden/>
          </w:rPr>
          <w:fldChar w:fldCharType="separate"/>
        </w:r>
        <w:r w:rsidR="004473CC">
          <w:rPr>
            <w:webHidden/>
          </w:rPr>
          <w:t>27</w:t>
        </w:r>
        <w:r w:rsidR="00693F82">
          <w:rPr>
            <w:webHidden/>
          </w:rPr>
          <w:fldChar w:fldCharType="end"/>
        </w:r>
      </w:hyperlink>
    </w:p>
    <w:p w14:paraId="64B60BBA" w14:textId="543890AF" w:rsidR="00693F82" w:rsidRDefault="00E27A80" w:rsidP="00BB486B">
      <w:pPr>
        <w:pStyle w:val="TOC2"/>
        <w:rPr>
          <w:rFonts w:asciiTheme="minorHAnsi" w:eastAsiaTheme="minorEastAsia" w:hAnsiTheme="minorHAnsi" w:cstheme="minorBidi"/>
          <w:sz w:val="22"/>
          <w:szCs w:val="22"/>
        </w:rPr>
      </w:pPr>
      <w:hyperlink w:anchor="_Toc27492562" w:history="1">
        <w:r w:rsidR="00693F82" w:rsidRPr="00807AC3">
          <w:rPr>
            <w:rStyle w:val="Hyperlink"/>
          </w:rPr>
          <w:t>Part 1.6</w:t>
        </w:r>
        <w:r w:rsidR="00693F82">
          <w:rPr>
            <w:rFonts w:asciiTheme="minorHAnsi" w:eastAsiaTheme="minorEastAsia" w:hAnsiTheme="minorHAnsi" w:cstheme="minorBidi"/>
            <w:sz w:val="22"/>
            <w:szCs w:val="22"/>
          </w:rPr>
          <w:tab/>
        </w:r>
        <w:r w:rsidR="00693F82" w:rsidRPr="00807AC3">
          <w:rPr>
            <w:rStyle w:val="Hyperlink"/>
          </w:rPr>
          <w:t>Transitional</w:t>
        </w:r>
        <w:r w:rsidR="00693F82">
          <w:rPr>
            <w:webHidden/>
          </w:rPr>
          <w:tab/>
        </w:r>
        <w:r w:rsidR="00693F82">
          <w:rPr>
            <w:webHidden/>
          </w:rPr>
          <w:fldChar w:fldCharType="begin"/>
        </w:r>
        <w:r w:rsidR="00693F82">
          <w:rPr>
            <w:webHidden/>
          </w:rPr>
          <w:instrText xml:space="preserve"> PAGEREF _Toc27492562 \h </w:instrText>
        </w:r>
        <w:r w:rsidR="00693F82">
          <w:rPr>
            <w:webHidden/>
          </w:rPr>
        </w:r>
        <w:r w:rsidR="00693F82">
          <w:rPr>
            <w:webHidden/>
          </w:rPr>
          <w:fldChar w:fldCharType="separate"/>
        </w:r>
        <w:r w:rsidR="004473CC">
          <w:rPr>
            <w:webHidden/>
          </w:rPr>
          <w:t>27</w:t>
        </w:r>
        <w:r w:rsidR="00693F82">
          <w:rPr>
            <w:webHidden/>
          </w:rPr>
          <w:fldChar w:fldCharType="end"/>
        </w:r>
      </w:hyperlink>
    </w:p>
    <w:p w14:paraId="36ECB902" w14:textId="1C041B34" w:rsidR="00693F82" w:rsidRDefault="00E27A80">
      <w:pPr>
        <w:pStyle w:val="TOC1"/>
        <w:rPr>
          <w:rFonts w:asciiTheme="minorHAnsi" w:eastAsiaTheme="minorEastAsia" w:hAnsiTheme="minorHAnsi" w:cstheme="minorBidi"/>
          <w:b w:val="0"/>
          <w:sz w:val="22"/>
          <w:szCs w:val="22"/>
        </w:rPr>
      </w:pPr>
      <w:hyperlink w:anchor="_Toc27492563" w:history="1">
        <w:r w:rsidR="00693F82" w:rsidRPr="00807AC3">
          <w:rPr>
            <w:rStyle w:val="Hyperlink"/>
          </w:rPr>
          <w:t>Chapter 8: Capital requirements</w:t>
        </w:r>
        <w:r w:rsidR="00693F82">
          <w:rPr>
            <w:webHidden/>
          </w:rPr>
          <w:tab/>
        </w:r>
        <w:r w:rsidR="00693F82">
          <w:rPr>
            <w:webHidden/>
          </w:rPr>
          <w:fldChar w:fldCharType="begin"/>
        </w:r>
        <w:r w:rsidR="00693F82">
          <w:rPr>
            <w:webHidden/>
          </w:rPr>
          <w:instrText xml:space="preserve"> PAGEREF _Toc27492563 \h </w:instrText>
        </w:r>
        <w:r w:rsidR="00693F82">
          <w:rPr>
            <w:webHidden/>
          </w:rPr>
        </w:r>
        <w:r w:rsidR="00693F82">
          <w:rPr>
            <w:webHidden/>
          </w:rPr>
          <w:fldChar w:fldCharType="separate"/>
        </w:r>
        <w:r w:rsidR="004473CC">
          <w:rPr>
            <w:webHidden/>
          </w:rPr>
          <w:t>30</w:t>
        </w:r>
        <w:r w:rsidR="00693F82">
          <w:rPr>
            <w:webHidden/>
          </w:rPr>
          <w:fldChar w:fldCharType="end"/>
        </w:r>
      </w:hyperlink>
    </w:p>
    <w:p w14:paraId="328264C8" w14:textId="292F37E6" w:rsidR="00693F82" w:rsidRDefault="00E27A80" w:rsidP="00BB486B">
      <w:pPr>
        <w:pStyle w:val="TOC2"/>
        <w:rPr>
          <w:rFonts w:asciiTheme="minorHAnsi" w:eastAsiaTheme="minorEastAsia" w:hAnsiTheme="minorHAnsi" w:cstheme="minorBidi"/>
          <w:sz w:val="22"/>
          <w:szCs w:val="22"/>
        </w:rPr>
      </w:pPr>
      <w:hyperlink w:anchor="_Toc27492564" w:history="1">
        <w:r w:rsidR="00693F82" w:rsidRPr="00807AC3">
          <w:rPr>
            <w:rStyle w:val="Hyperlink"/>
          </w:rPr>
          <w:t>Part 8.2</w:t>
        </w:r>
        <w:r w:rsidR="00693F82">
          <w:rPr>
            <w:rFonts w:asciiTheme="minorHAnsi" w:eastAsiaTheme="minorEastAsia" w:hAnsiTheme="minorHAnsi" w:cstheme="minorBidi"/>
            <w:sz w:val="22"/>
            <w:szCs w:val="22"/>
          </w:rPr>
          <w:tab/>
        </w:r>
        <w:r w:rsidR="00693F82" w:rsidRPr="00807AC3">
          <w:rPr>
            <w:rStyle w:val="Hyperlink"/>
          </w:rPr>
          <w:t>Application</w:t>
        </w:r>
        <w:r w:rsidR="00693F82">
          <w:rPr>
            <w:webHidden/>
          </w:rPr>
          <w:tab/>
        </w:r>
        <w:r w:rsidR="00693F82">
          <w:rPr>
            <w:webHidden/>
          </w:rPr>
          <w:fldChar w:fldCharType="begin"/>
        </w:r>
        <w:r w:rsidR="00693F82">
          <w:rPr>
            <w:webHidden/>
          </w:rPr>
          <w:instrText xml:space="preserve"> PAGEREF _Toc27492564 \h </w:instrText>
        </w:r>
        <w:r w:rsidR="00693F82">
          <w:rPr>
            <w:webHidden/>
          </w:rPr>
        </w:r>
        <w:r w:rsidR="00693F82">
          <w:rPr>
            <w:webHidden/>
          </w:rPr>
          <w:fldChar w:fldCharType="separate"/>
        </w:r>
        <w:r w:rsidR="004473CC">
          <w:rPr>
            <w:webHidden/>
          </w:rPr>
          <w:t>30</w:t>
        </w:r>
        <w:r w:rsidR="00693F82">
          <w:rPr>
            <w:webHidden/>
          </w:rPr>
          <w:fldChar w:fldCharType="end"/>
        </w:r>
      </w:hyperlink>
    </w:p>
    <w:p w14:paraId="4F612B71" w14:textId="398FCC6D" w:rsidR="00693F82" w:rsidRDefault="00E27A80">
      <w:pPr>
        <w:pStyle w:val="TOC1"/>
        <w:rPr>
          <w:rFonts w:asciiTheme="minorHAnsi" w:eastAsiaTheme="minorEastAsia" w:hAnsiTheme="minorHAnsi" w:cstheme="minorBidi"/>
          <w:b w:val="0"/>
          <w:sz w:val="22"/>
          <w:szCs w:val="22"/>
        </w:rPr>
      </w:pPr>
      <w:hyperlink w:anchor="_Toc27492565" w:history="1">
        <w:r w:rsidR="00693F82" w:rsidRPr="00807AC3">
          <w:rPr>
            <w:rStyle w:val="Hyperlink"/>
          </w:rPr>
          <w:t>Chapter 9: Accounts and audit</w:t>
        </w:r>
        <w:r w:rsidR="00693F82">
          <w:rPr>
            <w:webHidden/>
          </w:rPr>
          <w:tab/>
        </w:r>
        <w:r w:rsidR="00693F82">
          <w:rPr>
            <w:webHidden/>
          </w:rPr>
          <w:fldChar w:fldCharType="begin"/>
        </w:r>
        <w:r w:rsidR="00693F82">
          <w:rPr>
            <w:webHidden/>
          </w:rPr>
          <w:instrText xml:space="preserve"> PAGEREF _Toc27492565 \h </w:instrText>
        </w:r>
        <w:r w:rsidR="00693F82">
          <w:rPr>
            <w:webHidden/>
          </w:rPr>
        </w:r>
        <w:r w:rsidR="00693F82">
          <w:rPr>
            <w:webHidden/>
          </w:rPr>
          <w:fldChar w:fldCharType="separate"/>
        </w:r>
        <w:r w:rsidR="004473CC">
          <w:rPr>
            <w:webHidden/>
          </w:rPr>
          <w:t>32</w:t>
        </w:r>
        <w:r w:rsidR="00693F82">
          <w:rPr>
            <w:webHidden/>
          </w:rPr>
          <w:fldChar w:fldCharType="end"/>
        </w:r>
      </w:hyperlink>
    </w:p>
    <w:p w14:paraId="5DCC5F46" w14:textId="5AECA592" w:rsidR="00693F82" w:rsidRDefault="00E27A80" w:rsidP="00BB486B">
      <w:pPr>
        <w:pStyle w:val="TOC2"/>
        <w:rPr>
          <w:rFonts w:asciiTheme="minorHAnsi" w:eastAsiaTheme="minorEastAsia" w:hAnsiTheme="minorHAnsi" w:cstheme="minorBidi"/>
          <w:sz w:val="22"/>
          <w:szCs w:val="22"/>
        </w:rPr>
      </w:pPr>
      <w:hyperlink w:anchor="_Toc27492566" w:history="1">
        <w:r w:rsidR="00693F82" w:rsidRPr="00807AC3">
          <w:rPr>
            <w:rStyle w:val="Hyperlink"/>
          </w:rPr>
          <w:t>Part 9.1</w:t>
        </w:r>
        <w:r w:rsidR="00693F82">
          <w:rPr>
            <w:rFonts w:asciiTheme="minorHAnsi" w:eastAsiaTheme="minorEastAsia" w:hAnsiTheme="minorHAnsi" w:cstheme="minorBidi"/>
            <w:sz w:val="22"/>
            <w:szCs w:val="22"/>
          </w:rPr>
          <w:tab/>
        </w:r>
        <w:r w:rsidR="00693F82" w:rsidRPr="00807AC3">
          <w:rPr>
            <w:rStyle w:val="Hyperlink"/>
          </w:rPr>
          <w:t>Application of Rules</w:t>
        </w:r>
        <w:r w:rsidR="00693F82">
          <w:rPr>
            <w:webHidden/>
          </w:rPr>
          <w:tab/>
        </w:r>
        <w:r w:rsidR="00693F82">
          <w:rPr>
            <w:webHidden/>
          </w:rPr>
          <w:fldChar w:fldCharType="begin"/>
        </w:r>
        <w:r w:rsidR="00693F82">
          <w:rPr>
            <w:webHidden/>
          </w:rPr>
          <w:instrText xml:space="preserve"> PAGEREF _Toc27492566 \h </w:instrText>
        </w:r>
        <w:r w:rsidR="00693F82">
          <w:rPr>
            <w:webHidden/>
          </w:rPr>
        </w:r>
        <w:r w:rsidR="00693F82">
          <w:rPr>
            <w:webHidden/>
          </w:rPr>
          <w:fldChar w:fldCharType="separate"/>
        </w:r>
        <w:r w:rsidR="004473CC">
          <w:rPr>
            <w:webHidden/>
          </w:rPr>
          <w:t>32</w:t>
        </w:r>
        <w:r w:rsidR="00693F82">
          <w:rPr>
            <w:webHidden/>
          </w:rPr>
          <w:fldChar w:fldCharType="end"/>
        </w:r>
      </w:hyperlink>
    </w:p>
    <w:p w14:paraId="046FD660" w14:textId="563423CF" w:rsidR="00693F82" w:rsidRDefault="00E27A80" w:rsidP="00BB486B">
      <w:pPr>
        <w:pStyle w:val="TOC2"/>
        <w:rPr>
          <w:rFonts w:asciiTheme="minorHAnsi" w:eastAsiaTheme="minorEastAsia" w:hAnsiTheme="minorHAnsi" w:cstheme="minorBidi"/>
          <w:sz w:val="22"/>
          <w:szCs w:val="22"/>
        </w:rPr>
      </w:pPr>
      <w:hyperlink w:anchor="_Toc27492567" w:history="1">
        <w:r w:rsidR="00693F82" w:rsidRPr="00807AC3">
          <w:rPr>
            <w:rStyle w:val="Hyperlink"/>
          </w:rPr>
          <w:t>Part 9.2</w:t>
        </w:r>
        <w:r w:rsidR="00693F82">
          <w:rPr>
            <w:rFonts w:asciiTheme="minorHAnsi" w:eastAsiaTheme="minorEastAsia" w:hAnsiTheme="minorHAnsi" w:cstheme="minorBidi"/>
            <w:sz w:val="22"/>
            <w:szCs w:val="22"/>
          </w:rPr>
          <w:tab/>
        </w:r>
        <w:r w:rsidR="00693F82" w:rsidRPr="00807AC3">
          <w:rPr>
            <w:rStyle w:val="Hyperlink"/>
          </w:rPr>
          <w:t>Risk-Based Capital Requirements—Reporting</w:t>
        </w:r>
        <w:r w:rsidR="00693F82">
          <w:rPr>
            <w:webHidden/>
          </w:rPr>
          <w:tab/>
        </w:r>
        <w:r w:rsidR="00693F82">
          <w:rPr>
            <w:webHidden/>
          </w:rPr>
          <w:fldChar w:fldCharType="begin"/>
        </w:r>
        <w:r w:rsidR="00693F82">
          <w:rPr>
            <w:webHidden/>
          </w:rPr>
          <w:instrText xml:space="preserve"> PAGEREF _Toc27492567 \h </w:instrText>
        </w:r>
        <w:r w:rsidR="00693F82">
          <w:rPr>
            <w:webHidden/>
          </w:rPr>
        </w:r>
        <w:r w:rsidR="00693F82">
          <w:rPr>
            <w:webHidden/>
          </w:rPr>
          <w:fldChar w:fldCharType="separate"/>
        </w:r>
        <w:r w:rsidR="004473CC">
          <w:rPr>
            <w:webHidden/>
          </w:rPr>
          <w:t>32</w:t>
        </w:r>
        <w:r w:rsidR="00693F82">
          <w:rPr>
            <w:webHidden/>
          </w:rPr>
          <w:fldChar w:fldCharType="end"/>
        </w:r>
      </w:hyperlink>
    </w:p>
    <w:p w14:paraId="517FE176" w14:textId="4A400861" w:rsidR="00693F82" w:rsidRDefault="00E27A80" w:rsidP="00BB486B">
      <w:pPr>
        <w:pStyle w:val="TOC2"/>
        <w:rPr>
          <w:rFonts w:asciiTheme="minorHAnsi" w:eastAsiaTheme="minorEastAsia" w:hAnsiTheme="minorHAnsi" w:cstheme="minorBidi"/>
          <w:sz w:val="22"/>
          <w:szCs w:val="22"/>
        </w:rPr>
      </w:pPr>
      <w:hyperlink w:anchor="_Toc27492568" w:history="1">
        <w:r w:rsidR="00693F82" w:rsidRPr="00807AC3">
          <w:rPr>
            <w:rStyle w:val="Hyperlink"/>
          </w:rPr>
          <w:t>Part 9.4</w:t>
        </w:r>
        <w:r w:rsidR="00693F82">
          <w:rPr>
            <w:rFonts w:asciiTheme="minorHAnsi" w:eastAsiaTheme="minorEastAsia" w:hAnsiTheme="minorHAnsi" w:cstheme="minorBidi"/>
            <w:sz w:val="22"/>
            <w:szCs w:val="22"/>
          </w:rPr>
          <w:tab/>
        </w:r>
        <w:r w:rsidR="00693F82" w:rsidRPr="00807AC3">
          <w:rPr>
            <w:rStyle w:val="Hyperlink"/>
          </w:rPr>
          <w:t>General</w:t>
        </w:r>
        <w:r w:rsidR="00693F82">
          <w:rPr>
            <w:webHidden/>
          </w:rPr>
          <w:tab/>
        </w:r>
        <w:r w:rsidR="00693F82">
          <w:rPr>
            <w:webHidden/>
          </w:rPr>
          <w:fldChar w:fldCharType="begin"/>
        </w:r>
        <w:r w:rsidR="00693F82">
          <w:rPr>
            <w:webHidden/>
          </w:rPr>
          <w:instrText xml:space="preserve"> PAGEREF _Toc27492568 \h </w:instrText>
        </w:r>
        <w:r w:rsidR="00693F82">
          <w:rPr>
            <w:webHidden/>
          </w:rPr>
        </w:r>
        <w:r w:rsidR="00693F82">
          <w:rPr>
            <w:webHidden/>
          </w:rPr>
          <w:fldChar w:fldCharType="separate"/>
        </w:r>
        <w:r w:rsidR="004473CC">
          <w:rPr>
            <w:webHidden/>
          </w:rPr>
          <w:t>34</w:t>
        </w:r>
        <w:r w:rsidR="00693F82">
          <w:rPr>
            <w:webHidden/>
          </w:rPr>
          <w:fldChar w:fldCharType="end"/>
        </w:r>
      </w:hyperlink>
    </w:p>
    <w:p w14:paraId="31F95BBC" w14:textId="0CE646D5" w:rsidR="00693F82" w:rsidRDefault="00E27A80" w:rsidP="00BB486B">
      <w:pPr>
        <w:pStyle w:val="TOC2"/>
        <w:rPr>
          <w:rFonts w:asciiTheme="minorHAnsi" w:eastAsiaTheme="minorEastAsia" w:hAnsiTheme="minorHAnsi" w:cstheme="minorBidi"/>
          <w:sz w:val="22"/>
          <w:szCs w:val="22"/>
        </w:rPr>
      </w:pPr>
      <w:hyperlink w:anchor="_Toc27492569" w:history="1">
        <w:r w:rsidR="00693F82" w:rsidRPr="00807AC3">
          <w:rPr>
            <w:rStyle w:val="Hyperlink"/>
          </w:rPr>
          <w:t>Part 9.5</w:t>
        </w:r>
        <w:r w:rsidR="00693F82">
          <w:rPr>
            <w:rFonts w:asciiTheme="minorHAnsi" w:eastAsiaTheme="minorEastAsia" w:hAnsiTheme="minorHAnsi" w:cstheme="minorBidi"/>
            <w:sz w:val="22"/>
            <w:szCs w:val="22"/>
          </w:rPr>
          <w:tab/>
        </w:r>
        <w:r w:rsidR="00693F82" w:rsidRPr="00807AC3">
          <w:rPr>
            <w:rStyle w:val="Hyperlink"/>
          </w:rPr>
          <w:t>Scope of audits</w:t>
        </w:r>
        <w:r w:rsidR="00693F82">
          <w:rPr>
            <w:webHidden/>
          </w:rPr>
          <w:tab/>
        </w:r>
        <w:r w:rsidR="00693F82">
          <w:rPr>
            <w:webHidden/>
          </w:rPr>
          <w:fldChar w:fldCharType="begin"/>
        </w:r>
        <w:r w:rsidR="00693F82">
          <w:rPr>
            <w:webHidden/>
          </w:rPr>
          <w:instrText xml:space="preserve"> PAGEREF _Toc27492569 \h </w:instrText>
        </w:r>
        <w:r w:rsidR="00693F82">
          <w:rPr>
            <w:webHidden/>
          </w:rPr>
        </w:r>
        <w:r w:rsidR="00693F82">
          <w:rPr>
            <w:webHidden/>
          </w:rPr>
          <w:fldChar w:fldCharType="separate"/>
        </w:r>
        <w:r w:rsidR="004473CC">
          <w:rPr>
            <w:webHidden/>
          </w:rPr>
          <w:t>34</w:t>
        </w:r>
        <w:r w:rsidR="00693F82">
          <w:rPr>
            <w:webHidden/>
          </w:rPr>
          <w:fldChar w:fldCharType="end"/>
        </w:r>
      </w:hyperlink>
    </w:p>
    <w:p w14:paraId="46411C67" w14:textId="7654DF19" w:rsidR="00693F82" w:rsidRDefault="00E27A80">
      <w:pPr>
        <w:pStyle w:val="TOC1"/>
        <w:rPr>
          <w:rFonts w:asciiTheme="minorHAnsi" w:eastAsiaTheme="minorEastAsia" w:hAnsiTheme="minorHAnsi" w:cstheme="minorBidi"/>
          <w:b w:val="0"/>
          <w:sz w:val="22"/>
          <w:szCs w:val="22"/>
        </w:rPr>
      </w:pPr>
      <w:hyperlink w:anchor="_Toc27492570" w:history="1">
        <w:r w:rsidR="00693F82" w:rsidRPr="00807AC3">
          <w:rPr>
            <w:rStyle w:val="Hyperlink"/>
          </w:rPr>
          <w:t>Schedule 1A: Capital liquidity requirements</w:t>
        </w:r>
        <w:r w:rsidR="00693F82">
          <w:rPr>
            <w:webHidden/>
          </w:rPr>
          <w:tab/>
        </w:r>
        <w:r w:rsidR="00693F82">
          <w:rPr>
            <w:webHidden/>
          </w:rPr>
          <w:fldChar w:fldCharType="begin"/>
        </w:r>
        <w:r w:rsidR="00693F82">
          <w:rPr>
            <w:webHidden/>
          </w:rPr>
          <w:instrText xml:space="preserve"> PAGEREF _Toc27492570 \h </w:instrText>
        </w:r>
        <w:r w:rsidR="00693F82">
          <w:rPr>
            <w:webHidden/>
          </w:rPr>
        </w:r>
        <w:r w:rsidR="00693F82">
          <w:rPr>
            <w:webHidden/>
          </w:rPr>
          <w:fldChar w:fldCharType="separate"/>
        </w:r>
        <w:r w:rsidR="004473CC">
          <w:rPr>
            <w:webHidden/>
          </w:rPr>
          <w:t>36</w:t>
        </w:r>
        <w:r w:rsidR="00693F82">
          <w:rPr>
            <w:webHidden/>
          </w:rPr>
          <w:fldChar w:fldCharType="end"/>
        </w:r>
      </w:hyperlink>
    </w:p>
    <w:p w14:paraId="4AEB84D7" w14:textId="5E20C406" w:rsidR="00693F82" w:rsidRDefault="00E27A80" w:rsidP="00BB486B">
      <w:pPr>
        <w:pStyle w:val="TOC2"/>
        <w:rPr>
          <w:rFonts w:asciiTheme="minorHAnsi" w:eastAsiaTheme="minorEastAsia" w:hAnsiTheme="minorHAnsi" w:cstheme="minorBidi"/>
          <w:sz w:val="22"/>
          <w:szCs w:val="22"/>
        </w:rPr>
      </w:pPr>
      <w:hyperlink w:anchor="_Toc27492571" w:history="1">
        <w:r w:rsidR="00693F82" w:rsidRPr="00807AC3">
          <w:rPr>
            <w:rStyle w:val="Hyperlink"/>
          </w:rPr>
          <w:t>Part S1A.1</w:t>
        </w:r>
        <w:r w:rsidR="00693F82">
          <w:rPr>
            <w:rFonts w:asciiTheme="minorHAnsi" w:eastAsiaTheme="minorEastAsia" w:hAnsiTheme="minorHAnsi" w:cstheme="minorBidi"/>
            <w:sz w:val="22"/>
            <w:szCs w:val="22"/>
          </w:rPr>
          <w:tab/>
        </w:r>
        <w:r w:rsidR="00693F82" w:rsidRPr="00807AC3">
          <w:rPr>
            <w:rStyle w:val="Hyperlink"/>
          </w:rPr>
          <w:t>Interpretation</w:t>
        </w:r>
        <w:r w:rsidR="00693F82">
          <w:rPr>
            <w:webHidden/>
          </w:rPr>
          <w:tab/>
        </w:r>
        <w:r w:rsidR="00693F82">
          <w:rPr>
            <w:webHidden/>
          </w:rPr>
          <w:fldChar w:fldCharType="begin"/>
        </w:r>
        <w:r w:rsidR="00693F82">
          <w:rPr>
            <w:webHidden/>
          </w:rPr>
          <w:instrText xml:space="preserve"> PAGEREF _Toc27492571 \h </w:instrText>
        </w:r>
        <w:r w:rsidR="00693F82">
          <w:rPr>
            <w:webHidden/>
          </w:rPr>
        </w:r>
        <w:r w:rsidR="00693F82">
          <w:rPr>
            <w:webHidden/>
          </w:rPr>
          <w:fldChar w:fldCharType="separate"/>
        </w:r>
        <w:r w:rsidR="004473CC">
          <w:rPr>
            <w:webHidden/>
          </w:rPr>
          <w:t>36</w:t>
        </w:r>
        <w:r w:rsidR="00693F82">
          <w:rPr>
            <w:webHidden/>
          </w:rPr>
          <w:fldChar w:fldCharType="end"/>
        </w:r>
      </w:hyperlink>
    </w:p>
    <w:p w14:paraId="48541BC0" w14:textId="5183ACC0" w:rsidR="00693F82" w:rsidRDefault="00E27A80" w:rsidP="00BB486B">
      <w:pPr>
        <w:pStyle w:val="TOC2"/>
        <w:rPr>
          <w:rFonts w:asciiTheme="minorHAnsi" w:eastAsiaTheme="minorEastAsia" w:hAnsiTheme="minorHAnsi" w:cstheme="minorBidi"/>
          <w:sz w:val="22"/>
          <w:szCs w:val="22"/>
        </w:rPr>
      </w:pPr>
      <w:hyperlink w:anchor="_Toc27492572" w:history="1">
        <w:r w:rsidR="00693F82" w:rsidRPr="00807AC3">
          <w:rPr>
            <w:rStyle w:val="Hyperlink"/>
          </w:rPr>
          <w:t>Part S1A.2</w:t>
        </w:r>
        <w:r w:rsidR="00693F82">
          <w:rPr>
            <w:rFonts w:asciiTheme="minorHAnsi" w:eastAsiaTheme="minorEastAsia" w:hAnsiTheme="minorHAnsi" w:cstheme="minorBidi"/>
            <w:sz w:val="22"/>
            <w:szCs w:val="22"/>
          </w:rPr>
          <w:tab/>
        </w:r>
        <w:r w:rsidR="00693F82" w:rsidRPr="00807AC3">
          <w:rPr>
            <w:rStyle w:val="Hyperlink"/>
          </w:rPr>
          <w:t>Obligations of Market Participants</w:t>
        </w:r>
        <w:r w:rsidR="00693F82">
          <w:rPr>
            <w:webHidden/>
          </w:rPr>
          <w:tab/>
        </w:r>
        <w:r w:rsidR="00693F82">
          <w:rPr>
            <w:webHidden/>
          </w:rPr>
          <w:fldChar w:fldCharType="begin"/>
        </w:r>
        <w:r w:rsidR="00693F82">
          <w:rPr>
            <w:webHidden/>
          </w:rPr>
          <w:instrText xml:space="preserve"> PAGEREF _Toc27492572 \h </w:instrText>
        </w:r>
        <w:r w:rsidR="00693F82">
          <w:rPr>
            <w:webHidden/>
          </w:rPr>
        </w:r>
        <w:r w:rsidR="00693F82">
          <w:rPr>
            <w:webHidden/>
          </w:rPr>
          <w:fldChar w:fldCharType="separate"/>
        </w:r>
        <w:r w:rsidR="004473CC">
          <w:rPr>
            <w:webHidden/>
          </w:rPr>
          <w:t>36</w:t>
        </w:r>
        <w:r w:rsidR="00693F82">
          <w:rPr>
            <w:webHidden/>
          </w:rPr>
          <w:fldChar w:fldCharType="end"/>
        </w:r>
      </w:hyperlink>
    </w:p>
    <w:p w14:paraId="5DB960F3" w14:textId="32179792" w:rsidR="00693F82" w:rsidRDefault="00E27A80">
      <w:pPr>
        <w:pStyle w:val="TOC1"/>
        <w:rPr>
          <w:rFonts w:asciiTheme="minorHAnsi" w:eastAsiaTheme="minorEastAsia" w:hAnsiTheme="minorHAnsi" w:cstheme="minorBidi"/>
          <w:b w:val="0"/>
          <w:sz w:val="22"/>
          <w:szCs w:val="22"/>
        </w:rPr>
      </w:pPr>
      <w:hyperlink w:anchor="_Toc27492573" w:history="1">
        <w:r w:rsidR="00693F82" w:rsidRPr="00807AC3">
          <w:rPr>
            <w:rStyle w:val="Hyperlink"/>
          </w:rPr>
          <w:t>Annexure 1 to Schedule 1A: Counterparty Risk Requirement</w:t>
        </w:r>
        <w:r w:rsidR="00693F82">
          <w:rPr>
            <w:webHidden/>
          </w:rPr>
          <w:tab/>
        </w:r>
        <w:r w:rsidR="00693F82">
          <w:rPr>
            <w:webHidden/>
          </w:rPr>
          <w:fldChar w:fldCharType="begin"/>
        </w:r>
        <w:r w:rsidR="00693F82">
          <w:rPr>
            <w:webHidden/>
          </w:rPr>
          <w:instrText xml:space="preserve"> PAGEREF _Toc27492573 \h </w:instrText>
        </w:r>
        <w:r w:rsidR="00693F82">
          <w:rPr>
            <w:webHidden/>
          </w:rPr>
        </w:r>
        <w:r w:rsidR="00693F82">
          <w:rPr>
            <w:webHidden/>
          </w:rPr>
          <w:fldChar w:fldCharType="separate"/>
        </w:r>
        <w:r w:rsidR="004473CC">
          <w:rPr>
            <w:webHidden/>
          </w:rPr>
          <w:t>47</w:t>
        </w:r>
        <w:r w:rsidR="00693F82">
          <w:rPr>
            <w:webHidden/>
          </w:rPr>
          <w:fldChar w:fldCharType="end"/>
        </w:r>
      </w:hyperlink>
    </w:p>
    <w:p w14:paraId="2BC94011" w14:textId="04C7DD2B" w:rsidR="00693F82" w:rsidRDefault="00E27A80" w:rsidP="00BB486B">
      <w:pPr>
        <w:pStyle w:val="TOC2"/>
        <w:rPr>
          <w:rFonts w:asciiTheme="minorHAnsi" w:eastAsiaTheme="minorEastAsia" w:hAnsiTheme="minorHAnsi" w:cstheme="minorBidi"/>
          <w:sz w:val="22"/>
          <w:szCs w:val="22"/>
        </w:rPr>
      </w:pPr>
      <w:hyperlink w:anchor="_Toc27492574" w:history="1">
        <w:r w:rsidR="00693F82" w:rsidRPr="00807AC3">
          <w:rPr>
            <w:rStyle w:val="Hyperlink"/>
          </w:rPr>
          <w:t>Part A1.1</w:t>
        </w:r>
        <w:r w:rsidR="00693F82">
          <w:rPr>
            <w:rFonts w:asciiTheme="minorHAnsi" w:eastAsiaTheme="minorEastAsia" w:hAnsiTheme="minorHAnsi" w:cstheme="minorBidi"/>
            <w:sz w:val="22"/>
            <w:szCs w:val="22"/>
          </w:rPr>
          <w:tab/>
        </w:r>
        <w:r w:rsidR="00693F82" w:rsidRPr="00807AC3">
          <w:rPr>
            <w:rStyle w:val="Hyperlink"/>
          </w:rPr>
          <w:t>Counterparty Risk Requirement</w:t>
        </w:r>
        <w:r w:rsidR="00693F82">
          <w:rPr>
            <w:webHidden/>
          </w:rPr>
          <w:tab/>
        </w:r>
        <w:r w:rsidR="00693F82">
          <w:rPr>
            <w:webHidden/>
          </w:rPr>
          <w:fldChar w:fldCharType="begin"/>
        </w:r>
        <w:r w:rsidR="00693F82">
          <w:rPr>
            <w:webHidden/>
          </w:rPr>
          <w:instrText xml:space="preserve"> PAGEREF _Toc27492574 \h </w:instrText>
        </w:r>
        <w:r w:rsidR="00693F82">
          <w:rPr>
            <w:webHidden/>
          </w:rPr>
        </w:r>
        <w:r w:rsidR="00693F82">
          <w:rPr>
            <w:webHidden/>
          </w:rPr>
          <w:fldChar w:fldCharType="separate"/>
        </w:r>
        <w:r w:rsidR="004473CC">
          <w:rPr>
            <w:webHidden/>
          </w:rPr>
          <w:t>47</w:t>
        </w:r>
        <w:r w:rsidR="00693F82">
          <w:rPr>
            <w:webHidden/>
          </w:rPr>
          <w:fldChar w:fldCharType="end"/>
        </w:r>
      </w:hyperlink>
    </w:p>
    <w:p w14:paraId="62AB9454" w14:textId="78178397" w:rsidR="00693F82" w:rsidRDefault="00E27A80" w:rsidP="00BB486B">
      <w:pPr>
        <w:pStyle w:val="TOC2"/>
        <w:rPr>
          <w:rFonts w:asciiTheme="minorHAnsi" w:eastAsiaTheme="minorEastAsia" w:hAnsiTheme="minorHAnsi" w:cstheme="minorBidi"/>
          <w:sz w:val="22"/>
          <w:szCs w:val="22"/>
        </w:rPr>
      </w:pPr>
      <w:hyperlink w:anchor="_Toc27492575" w:history="1">
        <w:r w:rsidR="00693F82" w:rsidRPr="00807AC3">
          <w:rPr>
            <w:rStyle w:val="Hyperlink"/>
          </w:rPr>
          <w:t>Part A1.2</w:t>
        </w:r>
        <w:r w:rsidR="00693F82">
          <w:rPr>
            <w:rFonts w:asciiTheme="minorHAnsi" w:eastAsiaTheme="minorEastAsia" w:hAnsiTheme="minorHAnsi" w:cstheme="minorBidi"/>
            <w:sz w:val="22"/>
            <w:szCs w:val="22"/>
          </w:rPr>
          <w:tab/>
        </w:r>
        <w:r w:rsidR="00693F82" w:rsidRPr="00807AC3">
          <w:rPr>
            <w:rStyle w:val="Hyperlink"/>
          </w:rPr>
          <w:t>Methods</w:t>
        </w:r>
        <w:r w:rsidR="00693F82">
          <w:rPr>
            <w:webHidden/>
          </w:rPr>
          <w:tab/>
        </w:r>
        <w:r w:rsidR="00693F82">
          <w:rPr>
            <w:webHidden/>
          </w:rPr>
          <w:fldChar w:fldCharType="begin"/>
        </w:r>
        <w:r w:rsidR="00693F82">
          <w:rPr>
            <w:webHidden/>
          </w:rPr>
          <w:instrText xml:space="preserve"> PAGEREF _Toc27492575 \h </w:instrText>
        </w:r>
        <w:r w:rsidR="00693F82">
          <w:rPr>
            <w:webHidden/>
          </w:rPr>
        </w:r>
        <w:r w:rsidR="00693F82">
          <w:rPr>
            <w:webHidden/>
          </w:rPr>
          <w:fldChar w:fldCharType="separate"/>
        </w:r>
        <w:r w:rsidR="004473CC">
          <w:rPr>
            <w:webHidden/>
          </w:rPr>
          <w:t>48</w:t>
        </w:r>
        <w:r w:rsidR="00693F82">
          <w:rPr>
            <w:webHidden/>
          </w:rPr>
          <w:fldChar w:fldCharType="end"/>
        </w:r>
      </w:hyperlink>
    </w:p>
    <w:p w14:paraId="6B6657A5" w14:textId="23C023F4" w:rsidR="00693F82" w:rsidRDefault="00E27A80">
      <w:pPr>
        <w:pStyle w:val="TOC1"/>
        <w:rPr>
          <w:rFonts w:asciiTheme="minorHAnsi" w:eastAsiaTheme="minorEastAsia" w:hAnsiTheme="minorHAnsi" w:cstheme="minorBidi"/>
          <w:b w:val="0"/>
          <w:sz w:val="22"/>
          <w:szCs w:val="22"/>
        </w:rPr>
      </w:pPr>
      <w:hyperlink w:anchor="_Toc27492576" w:history="1">
        <w:r w:rsidR="00693F82" w:rsidRPr="00807AC3">
          <w:rPr>
            <w:rStyle w:val="Hyperlink"/>
          </w:rPr>
          <w:t>Annexure 2 to Schedule 1A: Large Exposure Risk Requirement</w:t>
        </w:r>
        <w:r w:rsidR="00693F82">
          <w:rPr>
            <w:webHidden/>
          </w:rPr>
          <w:tab/>
        </w:r>
        <w:r w:rsidR="00693F82">
          <w:rPr>
            <w:webHidden/>
          </w:rPr>
          <w:fldChar w:fldCharType="begin"/>
        </w:r>
        <w:r w:rsidR="00693F82">
          <w:rPr>
            <w:webHidden/>
          </w:rPr>
          <w:instrText xml:space="preserve"> PAGEREF _Toc27492576 \h </w:instrText>
        </w:r>
        <w:r w:rsidR="00693F82">
          <w:rPr>
            <w:webHidden/>
          </w:rPr>
        </w:r>
        <w:r w:rsidR="00693F82">
          <w:rPr>
            <w:webHidden/>
          </w:rPr>
          <w:fldChar w:fldCharType="separate"/>
        </w:r>
        <w:r w:rsidR="004473CC">
          <w:rPr>
            <w:webHidden/>
          </w:rPr>
          <w:t>62</w:t>
        </w:r>
        <w:r w:rsidR="00693F82">
          <w:rPr>
            <w:webHidden/>
          </w:rPr>
          <w:fldChar w:fldCharType="end"/>
        </w:r>
      </w:hyperlink>
    </w:p>
    <w:p w14:paraId="503D3BD1" w14:textId="55095C56" w:rsidR="00693F82" w:rsidRDefault="00E27A80" w:rsidP="00BB486B">
      <w:pPr>
        <w:pStyle w:val="TOC2"/>
        <w:rPr>
          <w:rFonts w:asciiTheme="minorHAnsi" w:eastAsiaTheme="minorEastAsia" w:hAnsiTheme="minorHAnsi" w:cstheme="minorBidi"/>
          <w:sz w:val="22"/>
          <w:szCs w:val="22"/>
        </w:rPr>
      </w:pPr>
      <w:hyperlink w:anchor="_Toc27492577" w:history="1">
        <w:r w:rsidR="00693F82" w:rsidRPr="00807AC3">
          <w:rPr>
            <w:rStyle w:val="Hyperlink"/>
          </w:rPr>
          <w:t>Part A2.1</w:t>
        </w:r>
        <w:r w:rsidR="00693F82">
          <w:rPr>
            <w:rFonts w:asciiTheme="minorHAnsi" w:eastAsiaTheme="minorEastAsia" w:hAnsiTheme="minorHAnsi" w:cstheme="minorBidi"/>
            <w:sz w:val="22"/>
            <w:szCs w:val="22"/>
          </w:rPr>
          <w:tab/>
        </w:r>
        <w:r w:rsidR="00693F82" w:rsidRPr="00807AC3">
          <w:rPr>
            <w:rStyle w:val="Hyperlink"/>
          </w:rPr>
          <w:t>Counterparty large exposure risk requirement</w:t>
        </w:r>
        <w:r w:rsidR="00693F82">
          <w:rPr>
            <w:webHidden/>
          </w:rPr>
          <w:tab/>
        </w:r>
        <w:r w:rsidR="00693F82">
          <w:rPr>
            <w:webHidden/>
          </w:rPr>
          <w:fldChar w:fldCharType="begin"/>
        </w:r>
        <w:r w:rsidR="00693F82">
          <w:rPr>
            <w:webHidden/>
          </w:rPr>
          <w:instrText xml:space="preserve"> PAGEREF _Toc27492577 \h </w:instrText>
        </w:r>
        <w:r w:rsidR="00693F82">
          <w:rPr>
            <w:webHidden/>
          </w:rPr>
        </w:r>
        <w:r w:rsidR="00693F82">
          <w:rPr>
            <w:webHidden/>
          </w:rPr>
          <w:fldChar w:fldCharType="separate"/>
        </w:r>
        <w:r w:rsidR="004473CC">
          <w:rPr>
            <w:webHidden/>
          </w:rPr>
          <w:t>62</w:t>
        </w:r>
        <w:r w:rsidR="00693F82">
          <w:rPr>
            <w:webHidden/>
          </w:rPr>
          <w:fldChar w:fldCharType="end"/>
        </w:r>
      </w:hyperlink>
    </w:p>
    <w:p w14:paraId="582CA9E6" w14:textId="187A6842" w:rsidR="00693F82" w:rsidRDefault="00E27A80" w:rsidP="00BB486B">
      <w:pPr>
        <w:pStyle w:val="TOC2"/>
        <w:rPr>
          <w:rFonts w:asciiTheme="minorHAnsi" w:eastAsiaTheme="minorEastAsia" w:hAnsiTheme="minorHAnsi" w:cstheme="minorBidi"/>
          <w:sz w:val="22"/>
          <w:szCs w:val="22"/>
        </w:rPr>
      </w:pPr>
      <w:hyperlink w:anchor="_Toc27492578" w:history="1">
        <w:r w:rsidR="00693F82" w:rsidRPr="00807AC3">
          <w:rPr>
            <w:rStyle w:val="Hyperlink"/>
          </w:rPr>
          <w:t>Part A2.2</w:t>
        </w:r>
        <w:r w:rsidR="00693F82">
          <w:rPr>
            <w:rFonts w:asciiTheme="minorHAnsi" w:eastAsiaTheme="minorEastAsia" w:hAnsiTheme="minorHAnsi" w:cstheme="minorBidi"/>
            <w:sz w:val="22"/>
            <w:szCs w:val="22"/>
          </w:rPr>
          <w:tab/>
        </w:r>
        <w:r w:rsidR="00693F82" w:rsidRPr="00807AC3">
          <w:rPr>
            <w:rStyle w:val="Hyperlink"/>
          </w:rPr>
          <w:t>Issuer large exposure risk requirement</w:t>
        </w:r>
        <w:r w:rsidR="00693F82">
          <w:rPr>
            <w:webHidden/>
          </w:rPr>
          <w:tab/>
        </w:r>
        <w:r w:rsidR="00693F82">
          <w:rPr>
            <w:webHidden/>
          </w:rPr>
          <w:fldChar w:fldCharType="begin"/>
        </w:r>
        <w:r w:rsidR="00693F82">
          <w:rPr>
            <w:webHidden/>
          </w:rPr>
          <w:instrText xml:space="preserve"> PAGEREF _Toc27492578 \h </w:instrText>
        </w:r>
        <w:r w:rsidR="00693F82">
          <w:rPr>
            <w:webHidden/>
          </w:rPr>
        </w:r>
        <w:r w:rsidR="00693F82">
          <w:rPr>
            <w:webHidden/>
          </w:rPr>
          <w:fldChar w:fldCharType="separate"/>
        </w:r>
        <w:r w:rsidR="004473CC">
          <w:rPr>
            <w:webHidden/>
          </w:rPr>
          <w:t>63</w:t>
        </w:r>
        <w:r w:rsidR="00693F82">
          <w:rPr>
            <w:webHidden/>
          </w:rPr>
          <w:fldChar w:fldCharType="end"/>
        </w:r>
      </w:hyperlink>
    </w:p>
    <w:p w14:paraId="447EC8C0" w14:textId="7D920070" w:rsidR="00693F82" w:rsidRDefault="00E27A80" w:rsidP="00BB486B">
      <w:pPr>
        <w:pStyle w:val="TOC2"/>
        <w:rPr>
          <w:rFonts w:asciiTheme="minorHAnsi" w:eastAsiaTheme="minorEastAsia" w:hAnsiTheme="minorHAnsi" w:cstheme="minorBidi"/>
          <w:sz w:val="22"/>
          <w:szCs w:val="22"/>
        </w:rPr>
      </w:pPr>
      <w:hyperlink w:anchor="_Toc27492579" w:history="1">
        <w:r w:rsidR="00693F82" w:rsidRPr="00807AC3">
          <w:rPr>
            <w:rStyle w:val="Hyperlink"/>
          </w:rPr>
          <w:t>Part A2.3</w:t>
        </w:r>
        <w:r w:rsidR="00693F82">
          <w:rPr>
            <w:rFonts w:asciiTheme="minorHAnsi" w:eastAsiaTheme="minorEastAsia" w:hAnsiTheme="minorHAnsi" w:cstheme="minorBidi"/>
            <w:sz w:val="22"/>
            <w:szCs w:val="22"/>
          </w:rPr>
          <w:tab/>
        </w:r>
        <w:r w:rsidR="00693F82" w:rsidRPr="00807AC3">
          <w:rPr>
            <w:rStyle w:val="Hyperlink"/>
          </w:rPr>
          <w:t>Methods</w:t>
        </w:r>
        <w:r w:rsidR="00693F82">
          <w:rPr>
            <w:webHidden/>
          </w:rPr>
          <w:tab/>
        </w:r>
        <w:r w:rsidR="00693F82">
          <w:rPr>
            <w:webHidden/>
          </w:rPr>
          <w:fldChar w:fldCharType="begin"/>
        </w:r>
        <w:r w:rsidR="00693F82">
          <w:rPr>
            <w:webHidden/>
          </w:rPr>
          <w:instrText xml:space="preserve"> PAGEREF _Toc27492579 \h </w:instrText>
        </w:r>
        <w:r w:rsidR="00693F82">
          <w:rPr>
            <w:webHidden/>
          </w:rPr>
        </w:r>
        <w:r w:rsidR="00693F82">
          <w:rPr>
            <w:webHidden/>
          </w:rPr>
          <w:fldChar w:fldCharType="separate"/>
        </w:r>
        <w:r w:rsidR="004473CC">
          <w:rPr>
            <w:webHidden/>
          </w:rPr>
          <w:t>66</w:t>
        </w:r>
        <w:r w:rsidR="00693F82">
          <w:rPr>
            <w:webHidden/>
          </w:rPr>
          <w:fldChar w:fldCharType="end"/>
        </w:r>
      </w:hyperlink>
    </w:p>
    <w:p w14:paraId="4EE852AE" w14:textId="3EE5EC18" w:rsidR="00693F82" w:rsidRDefault="00E27A80">
      <w:pPr>
        <w:pStyle w:val="TOC1"/>
        <w:rPr>
          <w:rFonts w:asciiTheme="minorHAnsi" w:eastAsiaTheme="minorEastAsia" w:hAnsiTheme="minorHAnsi" w:cstheme="minorBidi"/>
          <w:b w:val="0"/>
          <w:sz w:val="22"/>
          <w:szCs w:val="22"/>
        </w:rPr>
      </w:pPr>
      <w:hyperlink w:anchor="_Toc27492580" w:history="1">
        <w:r w:rsidR="00693F82" w:rsidRPr="00807AC3">
          <w:rPr>
            <w:rStyle w:val="Hyperlink"/>
          </w:rPr>
          <w:t>Annexure 3 to Schedule 1A: Position Risk Requirement</w:t>
        </w:r>
        <w:r w:rsidR="00693F82">
          <w:rPr>
            <w:webHidden/>
          </w:rPr>
          <w:tab/>
        </w:r>
        <w:r w:rsidR="00693F82">
          <w:rPr>
            <w:webHidden/>
          </w:rPr>
          <w:fldChar w:fldCharType="begin"/>
        </w:r>
        <w:r w:rsidR="00693F82">
          <w:rPr>
            <w:webHidden/>
          </w:rPr>
          <w:instrText xml:space="preserve"> PAGEREF _Toc27492580 \h </w:instrText>
        </w:r>
        <w:r w:rsidR="00693F82">
          <w:rPr>
            <w:webHidden/>
          </w:rPr>
        </w:r>
        <w:r w:rsidR="00693F82">
          <w:rPr>
            <w:webHidden/>
          </w:rPr>
          <w:fldChar w:fldCharType="separate"/>
        </w:r>
        <w:r w:rsidR="004473CC">
          <w:rPr>
            <w:webHidden/>
          </w:rPr>
          <w:t>70</w:t>
        </w:r>
        <w:r w:rsidR="00693F82">
          <w:rPr>
            <w:webHidden/>
          </w:rPr>
          <w:fldChar w:fldCharType="end"/>
        </w:r>
      </w:hyperlink>
    </w:p>
    <w:p w14:paraId="41B8AA63" w14:textId="17738DFE" w:rsidR="00693F82" w:rsidRDefault="00E27A80" w:rsidP="00BB486B">
      <w:pPr>
        <w:pStyle w:val="TOC2"/>
        <w:rPr>
          <w:rFonts w:asciiTheme="minorHAnsi" w:eastAsiaTheme="minorEastAsia" w:hAnsiTheme="minorHAnsi" w:cstheme="minorBidi"/>
          <w:sz w:val="22"/>
          <w:szCs w:val="22"/>
        </w:rPr>
      </w:pPr>
      <w:hyperlink w:anchor="_Toc27492581" w:history="1">
        <w:r w:rsidR="00693F82" w:rsidRPr="00807AC3">
          <w:rPr>
            <w:rStyle w:val="Hyperlink"/>
          </w:rPr>
          <w:t>Part A3.1</w:t>
        </w:r>
        <w:r w:rsidR="00693F82">
          <w:rPr>
            <w:rFonts w:asciiTheme="minorHAnsi" w:eastAsiaTheme="minorEastAsia" w:hAnsiTheme="minorHAnsi" w:cstheme="minorBidi"/>
            <w:sz w:val="22"/>
            <w:szCs w:val="22"/>
          </w:rPr>
          <w:tab/>
        </w:r>
        <w:r w:rsidR="00693F82" w:rsidRPr="00807AC3">
          <w:rPr>
            <w:rStyle w:val="Hyperlink"/>
          </w:rPr>
          <w:t>Equity position risk amount</w:t>
        </w:r>
        <w:r w:rsidR="00693F82">
          <w:rPr>
            <w:webHidden/>
          </w:rPr>
          <w:tab/>
        </w:r>
        <w:r w:rsidR="00693F82">
          <w:rPr>
            <w:webHidden/>
          </w:rPr>
          <w:fldChar w:fldCharType="begin"/>
        </w:r>
        <w:r w:rsidR="00693F82">
          <w:rPr>
            <w:webHidden/>
          </w:rPr>
          <w:instrText xml:space="preserve"> PAGEREF _Toc27492581 \h </w:instrText>
        </w:r>
        <w:r w:rsidR="00693F82">
          <w:rPr>
            <w:webHidden/>
          </w:rPr>
        </w:r>
        <w:r w:rsidR="00693F82">
          <w:rPr>
            <w:webHidden/>
          </w:rPr>
          <w:fldChar w:fldCharType="separate"/>
        </w:r>
        <w:r w:rsidR="004473CC">
          <w:rPr>
            <w:webHidden/>
          </w:rPr>
          <w:t>70</w:t>
        </w:r>
        <w:r w:rsidR="00693F82">
          <w:rPr>
            <w:webHidden/>
          </w:rPr>
          <w:fldChar w:fldCharType="end"/>
        </w:r>
      </w:hyperlink>
    </w:p>
    <w:p w14:paraId="646D7540" w14:textId="751C585A" w:rsidR="00693F82" w:rsidRDefault="00E27A80" w:rsidP="00BB486B">
      <w:pPr>
        <w:pStyle w:val="TOC2"/>
        <w:rPr>
          <w:rFonts w:asciiTheme="minorHAnsi" w:eastAsiaTheme="minorEastAsia" w:hAnsiTheme="minorHAnsi" w:cstheme="minorBidi"/>
          <w:sz w:val="22"/>
          <w:szCs w:val="22"/>
        </w:rPr>
      </w:pPr>
      <w:hyperlink w:anchor="_Toc27492582" w:history="1">
        <w:r w:rsidR="00693F82" w:rsidRPr="00807AC3">
          <w:rPr>
            <w:rStyle w:val="Hyperlink"/>
          </w:rPr>
          <w:t>Part A3.2</w:t>
        </w:r>
        <w:r w:rsidR="00693F82">
          <w:rPr>
            <w:rFonts w:asciiTheme="minorHAnsi" w:eastAsiaTheme="minorEastAsia" w:hAnsiTheme="minorHAnsi" w:cstheme="minorBidi"/>
            <w:sz w:val="22"/>
            <w:szCs w:val="22"/>
          </w:rPr>
          <w:tab/>
        </w:r>
        <w:r w:rsidR="00693F82" w:rsidRPr="00807AC3">
          <w:rPr>
            <w:rStyle w:val="Hyperlink"/>
          </w:rPr>
          <w:t>Standard method—Equity position risk</w:t>
        </w:r>
        <w:r w:rsidR="00693F82">
          <w:rPr>
            <w:webHidden/>
          </w:rPr>
          <w:tab/>
        </w:r>
        <w:r w:rsidR="00693F82">
          <w:rPr>
            <w:webHidden/>
          </w:rPr>
          <w:fldChar w:fldCharType="begin"/>
        </w:r>
        <w:r w:rsidR="00693F82">
          <w:rPr>
            <w:webHidden/>
          </w:rPr>
          <w:instrText xml:space="preserve"> PAGEREF _Toc27492582 \h </w:instrText>
        </w:r>
        <w:r w:rsidR="00693F82">
          <w:rPr>
            <w:webHidden/>
          </w:rPr>
        </w:r>
        <w:r w:rsidR="00693F82">
          <w:rPr>
            <w:webHidden/>
          </w:rPr>
          <w:fldChar w:fldCharType="separate"/>
        </w:r>
        <w:r w:rsidR="004473CC">
          <w:rPr>
            <w:webHidden/>
          </w:rPr>
          <w:t>73</w:t>
        </w:r>
        <w:r w:rsidR="00693F82">
          <w:rPr>
            <w:webHidden/>
          </w:rPr>
          <w:fldChar w:fldCharType="end"/>
        </w:r>
      </w:hyperlink>
    </w:p>
    <w:p w14:paraId="5637F78F" w14:textId="6BAE7F05" w:rsidR="00693F82" w:rsidRDefault="00E27A80" w:rsidP="00BB486B">
      <w:pPr>
        <w:pStyle w:val="TOC2"/>
        <w:rPr>
          <w:rFonts w:asciiTheme="minorHAnsi" w:eastAsiaTheme="minorEastAsia" w:hAnsiTheme="minorHAnsi" w:cstheme="minorBidi"/>
          <w:sz w:val="22"/>
          <w:szCs w:val="22"/>
        </w:rPr>
      </w:pPr>
      <w:hyperlink w:anchor="_Toc27492583" w:history="1">
        <w:r w:rsidR="00693F82" w:rsidRPr="00807AC3">
          <w:rPr>
            <w:rStyle w:val="Hyperlink"/>
          </w:rPr>
          <w:t>Part A3.5</w:t>
        </w:r>
        <w:r w:rsidR="00693F82">
          <w:rPr>
            <w:rFonts w:asciiTheme="minorHAnsi" w:eastAsiaTheme="minorEastAsia" w:hAnsiTheme="minorHAnsi" w:cstheme="minorBidi"/>
            <w:sz w:val="22"/>
            <w:szCs w:val="22"/>
          </w:rPr>
          <w:tab/>
        </w:r>
        <w:r w:rsidR="00693F82" w:rsidRPr="00807AC3">
          <w:rPr>
            <w:rStyle w:val="Hyperlink"/>
          </w:rPr>
          <w:t>Margin method—Equity position risk</w:t>
        </w:r>
        <w:r w:rsidR="00693F82">
          <w:rPr>
            <w:webHidden/>
          </w:rPr>
          <w:tab/>
        </w:r>
        <w:r w:rsidR="00693F82">
          <w:rPr>
            <w:webHidden/>
          </w:rPr>
          <w:fldChar w:fldCharType="begin"/>
        </w:r>
        <w:r w:rsidR="00693F82">
          <w:rPr>
            <w:webHidden/>
          </w:rPr>
          <w:instrText xml:space="preserve"> PAGEREF _Toc27492583 \h </w:instrText>
        </w:r>
        <w:r w:rsidR="00693F82">
          <w:rPr>
            <w:webHidden/>
          </w:rPr>
        </w:r>
        <w:r w:rsidR="00693F82">
          <w:rPr>
            <w:webHidden/>
          </w:rPr>
          <w:fldChar w:fldCharType="separate"/>
        </w:r>
        <w:r w:rsidR="004473CC">
          <w:rPr>
            <w:webHidden/>
          </w:rPr>
          <w:t>74</w:t>
        </w:r>
        <w:r w:rsidR="00693F82">
          <w:rPr>
            <w:webHidden/>
          </w:rPr>
          <w:fldChar w:fldCharType="end"/>
        </w:r>
      </w:hyperlink>
    </w:p>
    <w:p w14:paraId="3C210496" w14:textId="1706CE89" w:rsidR="00693F82" w:rsidRDefault="00E27A80" w:rsidP="00BB486B">
      <w:pPr>
        <w:pStyle w:val="TOC2"/>
        <w:rPr>
          <w:rFonts w:asciiTheme="minorHAnsi" w:eastAsiaTheme="minorEastAsia" w:hAnsiTheme="minorHAnsi" w:cstheme="minorBidi"/>
          <w:sz w:val="22"/>
          <w:szCs w:val="22"/>
        </w:rPr>
      </w:pPr>
      <w:hyperlink w:anchor="_Toc27492584" w:history="1">
        <w:r w:rsidR="00693F82" w:rsidRPr="00807AC3">
          <w:rPr>
            <w:rStyle w:val="Hyperlink"/>
          </w:rPr>
          <w:t>Part A3.6</w:t>
        </w:r>
        <w:r w:rsidR="00693F82">
          <w:rPr>
            <w:rFonts w:asciiTheme="minorHAnsi" w:eastAsiaTheme="minorEastAsia" w:hAnsiTheme="minorHAnsi" w:cstheme="minorBidi"/>
            <w:sz w:val="22"/>
            <w:szCs w:val="22"/>
          </w:rPr>
          <w:tab/>
        </w:r>
        <w:r w:rsidR="00693F82" w:rsidRPr="00807AC3">
          <w:rPr>
            <w:rStyle w:val="Hyperlink"/>
          </w:rPr>
          <w:t>Basic method—Equity position risk</w:t>
        </w:r>
        <w:r w:rsidR="00693F82">
          <w:rPr>
            <w:webHidden/>
          </w:rPr>
          <w:tab/>
        </w:r>
        <w:r w:rsidR="00693F82">
          <w:rPr>
            <w:webHidden/>
          </w:rPr>
          <w:fldChar w:fldCharType="begin"/>
        </w:r>
        <w:r w:rsidR="00693F82">
          <w:rPr>
            <w:webHidden/>
          </w:rPr>
          <w:instrText xml:space="preserve"> PAGEREF _Toc27492584 \h </w:instrText>
        </w:r>
        <w:r w:rsidR="00693F82">
          <w:rPr>
            <w:webHidden/>
          </w:rPr>
        </w:r>
        <w:r w:rsidR="00693F82">
          <w:rPr>
            <w:webHidden/>
          </w:rPr>
          <w:fldChar w:fldCharType="separate"/>
        </w:r>
        <w:r w:rsidR="004473CC">
          <w:rPr>
            <w:webHidden/>
          </w:rPr>
          <w:t>74</w:t>
        </w:r>
        <w:r w:rsidR="00693F82">
          <w:rPr>
            <w:webHidden/>
          </w:rPr>
          <w:fldChar w:fldCharType="end"/>
        </w:r>
      </w:hyperlink>
    </w:p>
    <w:p w14:paraId="59B9CDF3" w14:textId="30589B12" w:rsidR="00693F82" w:rsidRPr="00AC24A7" w:rsidRDefault="00E27A80" w:rsidP="00BB486B">
      <w:pPr>
        <w:pStyle w:val="TOC2"/>
        <w:rPr>
          <w:rFonts w:asciiTheme="minorHAnsi" w:eastAsiaTheme="minorEastAsia" w:hAnsiTheme="minorHAnsi" w:cstheme="minorBidi"/>
          <w:sz w:val="22"/>
          <w:szCs w:val="22"/>
        </w:rPr>
      </w:pPr>
      <w:hyperlink w:anchor="_Toc27492585" w:history="1">
        <w:r w:rsidR="00693F82" w:rsidRPr="00D3615D">
          <w:rPr>
            <w:rStyle w:val="Hyperlink"/>
            <w:spacing w:val="0"/>
          </w:rPr>
          <w:t>Part A3.8</w:t>
        </w:r>
        <w:r w:rsidR="00693F82" w:rsidRPr="00AC24A7">
          <w:rPr>
            <w:rFonts w:asciiTheme="minorHAnsi" w:eastAsiaTheme="minorEastAsia" w:hAnsiTheme="minorHAnsi" w:cstheme="minorBidi"/>
            <w:sz w:val="22"/>
            <w:szCs w:val="22"/>
          </w:rPr>
          <w:tab/>
        </w:r>
        <w:r w:rsidR="00693F82" w:rsidRPr="00D3615D">
          <w:rPr>
            <w:rStyle w:val="Hyperlink"/>
            <w:spacing w:val="0"/>
          </w:rPr>
          <w:t>Calculation of Equity Equivalent positions—Equity position</w:t>
        </w:r>
        <w:r w:rsidR="00AC24A7" w:rsidRPr="00D3615D">
          <w:rPr>
            <w:rStyle w:val="Hyperlink"/>
            <w:spacing w:val="0"/>
          </w:rPr>
          <w:t> </w:t>
        </w:r>
        <w:r w:rsidR="00693F82" w:rsidRPr="00D3615D">
          <w:rPr>
            <w:rStyle w:val="Hyperlink"/>
            <w:spacing w:val="0"/>
          </w:rPr>
          <w:t>risk</w:t>
        </w:r>
        <w:r w:rsidR="00AC24A7" w:rsidRPr="00D3615D">
          <w:rPr>
            <w:rStyle w:val="Hyperlink"/>
            <w:spacing w:val="0"/>
          </w:rPr>
          <w:tab/>
        </w:r>
        <w:r w:rsidR="00693F82" w:rsidRPr="00AC24A7">
          <w:rPr>
            <w:webHidden/>
          </w:rPr>
          <w:fldChar w:fldCharType="begin"/>
        </w:r>
        <w:r w:rsidR="00693F82" w:rsidRPr="00AC24A7">
          <w:rPr>
            <w:webHidden/>
          </w:rPr>
          <w:instrText xml:space="preserve"> PAGEREF _Toc27492585 \h </w:instrText>
        </w:r>
        <w:r w:rsidR="00693F82" w:rsidRPr="00AC24A7">
          <w:rPr>
            <w:webHidden/>
          </w:rPr>
        </w:r>
        <w:r w:rsidR="00693F82" w:rsidRPr="00AC24A7">
          <w:rPr>
            <w:webHidden/>
          </w:rPr>
          <w:fldChar w:fldCharType="separate"/>
        </w:r>
        <w:r w:rsidR="004473CC">
          <w:rPr>
            <w:webHidden/>
          </w:rPr>
          <w:t>75</w:t>
        </w:r>
        <w:r w:rsidR="00693F82" w:rsidRPr="00AC24A7">
          <w:rPr>
            <w:webHidden/>
          </w:rPr>
          <w:fldChar w:fldCharType="end"/>
        </w:r>
      </w:hyperlink>
    </w:p>
    <w:p w14:paraId="481ECCDA" w14:textId="40F4C7A8" w:rsidR="00693F82" w:rsidRPr="00AC24A7" w:rsidRDefault="00E27A80" w:rsidP="00BB486B">
      <w:pPr>
        <w:pStyle w:val="TOC2"/>
        <w:rPr>
          <w:rFonts w:asciiTheme="minorHAnsi" w:eastAsiaTheme="minorEastAsia" w:hAnsiTheme="minorHAnsi" w:cstheme="minorBidi"/>
          <w:sz w:val="22"/>
          <w:szCs w:val="22"/>
        </w:rPr>
      </w:pPr>
      <w:hyperlink w:anchor="_Toc27492586" w:history="1">
        <w:r w:rsidR="00693F82" w:rsidRPr="00AC24A7">
          <w:rPr>
            <w:rStyle w:val="Hyperlink"/>
          </w:rPr>
          <w:t>Part A3.9</w:t>
        </w:r>
        <w:r w:rsidR="00693F82" w:rsidRPr="00AC24A7">
          <w:rPr>
            <w:rFonts w:asciiTheme="minorHAnsi" w:eastAsiaTheme="minorEastAsia" w:hAnsiTheme="minorHAnsi" w:cstheme="minorBidi"/>
            <w:sz w:val="22"/>
            <w:szCs w:val="22"/>
          </w:rPr>
          <w:tab/>
        </w:r>
        <w:r w:rsidR="00693F82" w:rsidRPr="00AC24A7">
          <w:rPr>
            <w:rStyle w:val="Hyperlink"/>
          </w:rPr>
          <w:t>Calculation of Equity Net Positions—Equity position</w:t>
        </w:r>
        <w:r w:rsidR="00AC24A7" w:rsidRPr="00AC24A7">
          <w:rPr>
            <w:rStyle w:val="Hyperlink"/>
          </w:rPr>
          <w:t xml:space="preserve"> </w:t>
        </w:r>
        <w:r w:rsidR="00693F82" w:rsidRPr="00AC24A7">
          <w:rPr>
            <w:rStyle w:val="Hyperlink"/>
          </w:rPr>
          <w:t>risk</w:t>
        </w:r>
        <w:r w:rsidR="00AC24A7" w:rsidRPr="00AC24A7">
          <w:rPr>
            <w:rStyle w:val="Hyperlink"/>
          </w:rPr>
          <w:tab/>
        </w:r>
        <w:r w:rsidR="00693F82" w:rsidRPr="00AC24A7">
          <w:rPr>
            <w:webHidden/>
          </w:rPr>
          <w:fldChar w:fldCharType="begin"/>
        </w:r>
        <w:r w:rsidR="00693F82" w:rsidRPr="00AC24A7">
          <w:rPr>
            <w:webHidden/>
          </w:rPr>
          <w:instrText xml:space="preserve"> PAGEREF _Toc27492586 \h </w:instrText>
        </w:r>
        <w:r w:rsidR="00693F82" w:rsidRPr="00AC24A7">
          <w:rPr>
            <w:webHidden/>
          </w:rPr>
        </w:r>
        <w:r w:rsidR="00693F82" w:rsidRPr="00AC24A7">
          <w:rPr>
            <w:webHidden/>
          </w:rPr>
          <w:fldChar w:fldCharType="separate"/>
        </w:r>
        <w:r w:rsidR="004473CC">
          <w:rPr>
            <w:webHidden/>
          </w:rPr>
          <w:t>76</w:t>
        </w:r>
        <w:r w:rsidR="00693F82" w:rsidRPr="00AC24A7">
          <w:rPr>
            <w:webHidden/>
          </w:rPr>
          <w:fldChar w:fldCharType="end"/>
        </w:r>
      </w:hyperlink>
    </w:p>
    <w:p w14:paraId="60A59E69" w14:textId="4B3D3DDC" w:rsidR="00693F82" w:rsidRDefault="00E27A80" w:rsidP="00BB486B">
      <w:pPr>
        <w:pStyle w:val="TOC2"/>
        <w:rPr>
          <w:rFonts w:asciiTheme="minorHAnsi" w:eastAsiaTheme="minorEastAsia" w:hAnsiTheme="minorHAnsi" w:cstheme="minorBidi"/>
          <w:sz w:val="22"/>
          <w:szCs w:val="22"/>
        </w:rPr>
      </w:pPr>
      <w:hyperlink w:anchor="_Toc27492587" w:history="1">
        <w:r w:rsidR="00693F82" w:rsidRPr="00807AC3">
          <w:rPr>
            <w:rStyle w:val="Hyperlink"/>
          </w:rPr>
          <w:t>Part A3.10</w:t>
        </w:r>
        <w:r w:rsidR="00693F82">
          <w:rPr>
            <w:rFonts w:asciiTheme="minorHAnsi" w:eastAsiaTheme="minorEastAsia" w:hAnsiTheme="minorHAnsi" w:cstheme="minorBidi"/>
            <w:sz w:val="22"/>
            <w:szCs w:val="22"/>
          </w:rPr>
          <w:tab/>
        </w:r>
        <w:r w:rsidR="00693F82" w:rsidRPr="00807AC3">
          <w:rPr>
            <w:rStyle w:val="Hyperlink"/>
          </w:rPr>
          <w:t>Debt position risk amount</w:t>
        </w:r>
        <w:r w:rsidR="00693F82">
          <w:rPr>
            <w:webHidden/>
          </w:rPr>
          <w:tab/>
        </w:r>
        <w:r w:rsidR="00693F82">
          <w:rPr>
            <w:webHidden/>
          </w:rPr>
          <w:fldChar w:fldCharType="begin"/>
        </w:r>
        <w:r w:rsidR="00693F82">
          <w:rPr>
            <w:webHidden/>
          </w:rPr>
          <w:instrText xml:space="preserve"> PAGEREF _Toc27492587 \h </w:instrText>
        </w:r>
        <w:r w:rsidR="00693F82">
          <w:rPr>
            <w:webHidden/>
          </w:rPr>
        </w:r>
        <w:r w:rsidR="00693F82">
          <w:rPr>
            <w:webHidden/>
          </w:rPr>
          <w:fldChar w:fldCharType="separate"/>
        </w:r>
        <w:r w:rsidR="004473CC">
          <w:rPr>
            <w:webHidden/>
          </w:rPr>
          <w:t>77</w:t>
        </w:r>
        <w:r w:rsidR="00693F82">
          <w:rPr>
            <w:webHidden/>
          </w:rPr>
          <w:fldChar w:fldCharType="end"/>
        </w:r>
      </w:hyperlink>
    </w:p>
    <w:p w14:paraId="4CBB0C78" w14:textId="127D2D54" w:rsidR="00693F82" w:rsidRDefault="00E27A80" w:rsidP="00BB486B">
      <w:pPr>
        <w:pStyle w:val="TOC2"/>
        <w:rPr>
          <w:rFonts w:asciiTheme="minorHAnsi" w:eastAsiaTheme="minorEastAsia" w:hAnsiTheme="minorHAnsi" w:cstheme="minorBidi"/>
          <w:sz w:val="22"/>
          <w:szCs w:val="22"/>
        </w:rPr>
      </w:pPr>
      <w:hyperlink w:anchor="_Toc27492588" w:history="1">
        <w:r w:rsidR="00693F82" w:rsidRPr="00807AC3">
          <w:rPr>
            <w:rStyle w:val="Hyperlink"/>
          </w:rPr>
          <w:t>Part A3.11</w:t>
        </w:r>
        <w:r w:rsidR="00693F82">
          <w:rPr>
            <w:rFonts w:asciiTheme="minorHAnsi" w:eastAsiaTheme="minorEastAsia" w:hAnsiTheme="minorHAnsi" w:cstheme="minorBidi"/>
            <w:sz w:val="22"/>
            <w:szCs w:val="22"/>
          </w:rPr>
          <w:tab/>
        </w:r>
        <w:r w:rsidR="00693F82" w:rsidRPr="00807AC3">
          <w:rPr>
            <w:rStyle w:val="Hyperlink"/>
          </w:rPr>
          <w:t>Standard method—Debt position risk</w:t>
        </w:r>
        <w:r w:rsidR="00693F82">
          <w:rPr>
            <w:webHidden/>
          </w:rPr>
          <w:tab/>
        </w:r>
        <w:r w:rsidR="00693F82">
          <w:rPr>
            <w:webHidden/>
          </w:rPr>
          <w:fldChar w:fldCharType="begin"/>
        </w:r>
        <w:r w:rsidR="00693F82">
          <w:rPr>
            <w:webHidden/>
          </w:rPr>
          <w:instrText xml:space="preserve"> PAGEREF _Toc27492588 \h </w:instrText>
        </w:r>
        <w:r w:rsidR="00693F82">
          <w:rPr>
            <w:webHidden/>
          </w:rPr>
        </w:r>
        <w:r w:rsidR="00693F82">
          <w:rPr>
            <w:webHidden/>
          </w:rPr>
          <w:fldChar w:fldCharType="separate"/>
        </w:r>
        <w:r w:rsidR="004473CC">
          <w:rPr>
            <w:webHidden/>
          </w:rPr>
          <w:t>79</w:t>
        </w:r>
        <w:r w:rsidR="00693F82">
          <w:rPr>
            <w:webHidden/>
          </w:rPr>
          <w:fldChar w:fldCharType="end"/>
        </w:r>
      </w:hyperlink>
    </w:p>
    <w:p w14:paraId="3EDA27C4" w14:textId="3574BF0D" w:rsidR="00693F82" w:rsidRDefault="00E27A80" w:rsidP="00BB486B">
      <w:pPr>
        <w:pStyle w:val="TOC2"/>
        <w:rPr>
          <w:rFonts w:asciiTheme="minorHAnsi" w:eastAsiaTheme="minorEastAsia" w:hAnsiTheme="minorHAnsi" w:cstheme="minorBidi"/>
          <w:sz w:val="22"/>
          <w:szCs w:val="22"/>
        </w:rPr>
      </w:pPr>
      <w:hyperlink w:anchor="_Toc27492589" w:history="1">
        <w:r w:rsidR="00693F82" w:rsidRPr="00807AC3">
          <w:rPr>
            <w:rStyle w:val="Hyperlink"/>
          </w:rPr>
          <w:t>Part A3.14</w:t>
        </w:r>
        <w:r w:rsidR="00693F82">
          <w:rPr>
            <w:rFonts w:asciiTheme="minorHAnsi" w:eastAsiaTheme="minorEastAsia" w:hAnsiTheme="minorHAnsi" w:cstheme="minorBidi"/>
            <w:sz w:val="22"/>
            <w:szCs w:val="22"/>
          </w:rPr>
          <w:tab/>
        </w:r>
        <w:r w:rsidR="00693F82" w:rsidRPr="00807AC3">
          <w:rPr>
            <w:rStyle w:val="Hyperlink"/>
          </w:rPr>
          <w:t>Margin method—Debt position risk</w:t>
        </w:r>
        <w:r w:rsidR="00693F82">
          <w:rPr>
            <w:webHidden/>
          </w:rPr>
          <w:tab/>
        </w:r>
        <w:r w:rsidR="00693F82">
          <w:rPr>
            <w:webHidden/>
          </w:rPr>
          <w:fldChar w:fldCharType="begin"/>
        </w:r>
        <w:r w:rsidR="00693F82">
          <w:rPr>
            <w:webHidden/>
          </w:rPr>
          <w:instrText xml:space="preserve"> PAGEREF _Toc27492589 \h </w:instrText>
        </w:r>
        <w:r w:rsidR="00693F82">
          <w:rPr>
            <w:webHidden/>
          </w:rPr>
        </w:r>
        <w:r w:rsidR="00693F82">
          <w:rPr>
            <w:webHidden/>
          </w:rPr>
          <w:fldChar w:fldCharType="separate"/>
        </w:r>
        <w:r w:rsidR="004473CC">
          <w:rPr>
            <w:webHidden/>
          </w:rPr>
          <w:t>80</w:t>
        </w:r>
        <w:r w:rsidR="00693F82">
          <w:rPr>
            <w:webHidden/>
          </w:rPr>
          <w:fldChar w:fldCharType="end"/>
        </w:r>
      </w:hyperlink>
    </w:p>
    <w:p w14:paraId="523471AE" w14:textId="49F955B2" w:rsidR="00693F82" w:rsidRDefault="00E27A80" w:rsidP="00BB486B">
      <w:pPr>
        <w:pStyle w:val="TOC2"/>
        <w:rPr>
          <w:rFonts w:asciiTheme="minorHAnsi" w:eastAsiaTheme="minorEastAsia" w:hAnsiTheme="minorHAnsi" w:cstheme="minorBidi"/>
          <w:sz w:val="22"/>
          <w:szCs w:val="22"/>
        </w:rPr>
      </w:pPr>
      <w:hyperlink w:anchor="_Toc27492590" w:history="1">
        <w:r w:rsidR="00693F82" w:rsidRPr="00807AC3">
          <w:rPr>
            <w:rStyle w:val="Hyperlink"/>
          </w:rPr>
          <w:t>Part A3.15</w:t>
        </w:r>
        <w:r w:rsidR="00693F82">
          <w:rPr>
            <w:rFonts w:asciiTheme="minorHAnsi" w:eastAsiaTheme="minorEastAsia" w:hAnsiTheme="minorHAnsi" w:cstheme="minorBidi"/>
            <w:sz w:val="22"/>
            <w:szCs w:val="22"/>
          </w:rPr>
          <w:tab/>
        </w:r>
        <w:r w:rsidR="00693F82" w:rsidRPr="00807AC3">
          <w:rPr>
            <w:rStyle w:val="Hyperlink"/>
          </w:rPr>
          <w:t>Basic method—Debt position risk</w:t>
        </w:r>
        <w:r w:rsidR="00693F82">
          <w:rPr>
            <w:webHidden/>
          </w:rPr>
          <w:tab/>
        </w:r>
        <w:r w:rsidR="00693F82">
          <w:rPr>
            <w:webHidden/>
          </w:rPr>
          <w:fldChar w:fldCharType="begin"/>
        </w:r>
        <w:r w:rsidR="00693F82">
          <w:rPr>
            <w:webHidden/>
          </w:rPr>
          <w:instrText xml:space="preserve"> PAGEREF _Toc27492590 \h </w:instrText>
        </w:r>
        <w:r w:rsidR="00693F82">
          <w:rPr>
            <w:webHidden/>
          </w:rPr>
        </w:r>
        <w:r w:rsidR="00693F82">
          <w:rPr>
            <w:webHidden/>
          </w:rPr>
          <w:fldChar w:fldCharType="separate"/>
        </w:r>
        <w:r w:rsidR="004473CC">
          <w:rPr>
            <w:webHidden/>
          </w:rPr>
          <w:t>80</w:t>
        </w:r>
        <w:r w:rsidR="00693F82">
          <w:rPr>
            <w:webHidden/>
          </w:rPr>
          <w:fldChar w:fldCharType="end"/>
        </w:r>
      </w:hyperlink>
    </w:p>
    <w:p w14:paraId="40F9F422" w14:textId="68F31C65" w:rsidR="00693F82" w:rsidRPr="00AC24A7" w:rsidRDefault="00E27A80" w:rsidP="00BB486B">
      <w:pPr>
        <w:pStyle w:val="TOC2"/>
        <w:rPr>
          <w:rFonts w:asciiTheme="minorHAnsi" w:eastAsiaTheme="minorEastAsia" w:hAnsiTheme="minorHAnsi" w:cstheme="minorBidi"/>
          <w:sz w:val="22"/>
          <w:szCs w:val="22"/>
        </w:rPr>
      </w:pPr>
      <w:hyperlink w:anchor="_Toc27492591" w:history="1">
        <w:r w:rsidR="00693F82" w:rsidRPr="00D3615D">
          <w:rPr>
            <w:rStyle w:val="Hyperlink"/>
            <w:spacing w:val="4"/>
          </w:rPr>
          <w:t>Part A3.16</w:t>
        </w:r>
        <w:r w:rsidR="00693F82" w:rsidRPr="00AC24A7">
          <w:rPr>
            <w:rFonts w:asciiTheme="minorHAnsi" w:eastAsiaTheme="minorEastAsia" w:hAnsiTheme="minorHAnsi" w:cstheme="minorBidi"/>
            <w:sz w:val="22"/>
            <w:szCs w:val="22"/>
          </w:rPr>
          <w:tab/>
        </w:r>
        <w:r w:rsidR="00693F82" w:rsidRPr="00D3615D">
          <w:rPr>
            <w:rStyle w:val="Hyperlink"/>
            <w:spacing w:val="4"/>
          </w:rPr>
          <w:t>Calculation of Debt Equivalent positions—Debt position risk</w:t>
        </w:r>
        <w:r w:rsidR="003556A2" w:rsidRPr="00D3615D">
          <w:rPr>
            <w:rStyle w:val="Hyperlink"/>
            <w:spacing w:val="4"/>
          </w:rPr>
          <w:tab/>
        </w:r>
        <w:r w:rsidR="00693F82" w:rsidRPr="00AC24A7">
          <w:rPr>
            <w:webHidden/>
          </w:rPr>
          <w:fldChar w:fldCharType="begin"/>
        </w:r>
        <w:r w:rsidR="00693F82" w:rsidRPr="00AC24A7">
          <w:rPr>
            <w:webHidden/>
          </w:rPr>
          <w:instrText xml:space="preserve"> PAGEREF _Toc27492591 \h </w:instrText>
        </w:r>
        <w:r w:rsidR="00693F82" w:rsidRPr="00AC24A7">
          <w:rPr>
            <w:webHidden/>
          </w:rPr>
        </w:r>
        <w:r w:rsidR="00693F82" w:rsidRPr="00AC24A7">
          <w:rPr>
            <w:webHidden/>
          </w:rPr>
          <w:fldChar w:fldCharType="separate"/>
        </w:r>
        <w:r w:rsidR="004473CC">
          <w:rPr>
            <w:webHidden/>
          </w:rPr>
          <w:t>81</w:t>
        </w:r>
        <w:r w:rsidR="00693F82" w:rsidRPr="00AC24A7">
          <w:rPr>
            <w:webHidden/>
          </w:rPr>
          <w:fldChar w:fldCharType="end"/>
        </w:r>
      </w:hyperlink>
    </w:p>
    <w:p w14:paraId="5017809C" w14:textId="681777D4" w:rsidR="00693F82" w:rsidRDefault="00E27A80" w:rsidP="00BB486B">
      <w:pPr>
        <w:pStyle w:val="TOC2"/>
        <w:rPr>
          <w:rFonts w:asciiTheme="minorHAnsi" w:eastAsiaTheme="minorEastAsia" w:hAnsiTheme="minorHAnsi" w:cstheme="minorBidi"/>
          <w:sz w:val="22"/>
          <w:szCs w:val="22"/>
        </w:rPr>
      </w:pPr>
      <w:hyperlink w:anchor="_Toc27492592" w:history="1">
        <w:r w:rsidR="00693F82" w:rsidRPr="00807AC3">
          <w:rPr>
            <w:rStyle w:val="Hyperlink"/>
          </w:rPr>
          <w:t>Part A3.17</w:t>
        </w:r>
        <w:r w:rsidR="00693F82">
          <w:rPr>
            <w:rFonts w:asciiTheme="minorHAnsi" w:eastAsiaTheme="minorEastAsia" w:hAnsiTheme="minorHAnsi" w:cstheme="minorBidi"/>
            <w:sz w:val="22"/>
            <w:szCs w:val="22"/>
          </w:rPr>
          <w:tab/>
        </w:r>
        <w:r w:rsidR="00693F82" w:rsidRPr="00807AC3">
          <w:rPr>
            <w:rStyle w:val="Hyperlink"/>
          </w:rPr>
          <w:t>Calculation of Debt Net Positions—Debt position risk</w:t>
        </w:r>
        <w:r w:rsidR="00693F82">
          <w:rPr>
            <w:webHidden/>
          </w:rPr>
          <w:tab/>
        </w:r>
        <w:r w:rsidR="00693F82">
          <w:rPr>
            <w:webHidden/>
          </w:rPr>
          <w:fldChar w:fldCharType="begin"/>
        </w:r>
        <w:r w:rsidR="00693F82">
          <w:rPr>
            <w:webHidden/>
          </w:rPr>
          <w:instrText xml:space="preserve"> PAGEREF _Toc27492592 \h </w:instrText>
        </w:r>
        <w:r w:rsidR="00693F82">
          <w:rPr>
            <w:webHidden/>
          </w:rPr>
        </w:r>
        <w:r w:rsidR="00693F82">
          <w:rPr>
            <w:webHidden/>
          </w:rPr>
          <w:fldChar w:fldCharType="separate"/>
        </w:r>
        <w:r w:rsidR="004473CC">
          <w:rPr>
            <w:webHidden/>
          </w:rPr>
          <w:t>84</w:t>
        </w:r>
        <w:r w:rsidR="00693F82">
          <w:rPr>
            <w:webHidden/>
          </w:rPr>
          <w:fldChar w:fldCharType="end"/>
        </w:r>
      </w:hyperlink>
    </w:p>
    <w:p w14:paraId="30ADCCB8" w14:textId="70DC2FB1" w:rsidR="00693F82" w:rsidRDefault="00E27A80" w:rsidP="00BB486B">
      <w:pPr>
        <w:pStyle w:val="TOC2"/>
        <w:rPr>
          <w:rFonts w:asciiTheme="minorHAnsi" w:eastAsiaTheme="minorEastAsia" w:hAnsiTheme="minorHAnsi" w:cstheme="minorBidi"/>
          <w:sz w:val="22"/>
          <w:szCs w:val="22"/>
        </w:rPr>
      </w:pPr>
      <w:hyperlink w:anchor="_Toc27492593" w:history="1">
        <w:r w:rsidR="00693F82" w:rsidRPr="00807AC3">
          <w:rPr>
            <w:rStyle w:val="Hyperlink"/>
          </w:rPr>
          <w:t>Part A3.18</w:t>
        </w:r>
        <w:r w:rsidR="00693F82">
          <w:rPr>
            <w:rFonts w:asciiTheme="minorHAnsi" w:eastAsiaTheme="minorEastAsia" w:hAnsiTheme="minorHAnsi" w:cstheme="minorBidi"/>
            <w:sz w:val="22"/>
            <w:szCs w:val="22"/>
          </w:rPr>
          <w:tab/>
        </w:r>
        <w:r w:rsidR="00693F82" w:rsidRPr="00807AC3">
          <w:rPr>
            <w:rStyle w:val="Hyperlink"/>
          </w:rPr>
          <w:t>Foreign Exchange position risk amount</w:t>
        </w:r>
        <w:r w:rsidR="00693F82">
          <w:rPr>
            <w:webHidden/>
          </w:rPr>
          <w:tab/>
        </w:r>
        <w:r w:rsidR="00693F82">
          <w:rPr>
            <w:webHidden/>
          </w:rPr>
          <w:fldChar w:fldCharType="begin"/>
        </w:r>
        <w:r w:rsidR="00693F82">
          <w:rPr>
            <w:webHidden/>
          </w:rPr>
          <w:instrText xml:space="preserve"> PAGEREF _Toc27492593 \h </w:instrText>
        </w:r>
        <w:r w:rsidR="00693F82">
          <w:rPr>
            <w:webHidden/>
          </w:rPr>
        </w:r>
        <w:r w:rsidR="00693F82">
          <w:rPr>
            <w:webHidden/>
          </w:rPr>
          <w:fldChar w:fldCharType="separate"/>
        </w:r>
        <w:r w:rsidR="004473CC">
          <w:rPr>
            <w:webHidden/>
          </w:rPr>
          <w:t>85</w:t>
        </w:r>
        <w:r w:rsidR="00693F82">
          <w:rPr>
            <w:webHidden/>
          </w:rPr>
          <w:fldChar w:fldCharType="end"/>
        </w:r>
      </w:hyperlink>
    </w:p>
    <w:p w14:paraId="169385D7" w14:textId="125E4257" w:rsidR="00693F82" w:rsidRDefault="00E27A80" w:rsidP="00BB486B">
      <w:pPr>
        <w:pStyle w:val="TOC2"/>
        <w:rPr>
          <w:rFonts w:asciiTheme="minorHAnsi" w:eastAsiaTheme="minorEastAsia" w:hAnsiTheme="minorHAnsi" w:cstheme="minorBidi"/>
          <w:sz w:val="22"/>
          <w:szCs w:val="22"/>
        </w:rPr>
      </w:pPr>
      <w:hyperlink w:anchor="_Toc27492594" w:history="1">
        <w:r w:rsidR="00693F82" w:rsidRPr="00807AC3">
          <w:rPr>
            <w:rStyle w:val="Hyperlink"/>
          </w:rPr>
          <w:t>Part A3.19</w:t>
        </w:r>
        <w:r w:rsidR="00693F82">
          <w:rPr>
            <w:rFonts w:asciiTheme="minorHAnsi" w:eastAsiaTheme="minorEastAsia" w:hAnsiTheme="minorHAnsi" w:cstheme="minorBidi"/>
            <w:sz w:val="22"/>
            <w:szCs w:val="22"/>
          </w:rPr>
          <w:tab/>
        </w:r>
        <w:r w:rsidR="00693F82" w:rsidRPr="00807AC3">
          <w:rPr>
            <w:rStyle w:val="Hyperlink"/>
          </w:rPr>
          <w:t>Standard method—Foreign Exchange position risk</w:t>
        </w:r>
        <w:r w:rsidR="00693F82">
          <w:rPr>
            <w:webHidden/>
          </w:rPr>
          <w:tab/>
        </w:r>
        <w:r w:rsidR="00693F82">
          <w:rPr>
            <w:webHidden/>
          </w:rPr>
          <w:fldChar w:fldCharType="begin"/>
        </w:r>
        <w:r w:rsidR="00693F82">
          <w:rPr>
            <w:webHidden/>
          </w:rPr>
          <w:instrText xml:space="preserve"> PAGEREF _Toc27492594 \h </w:instrText>
        </w:r>
        <w:r w:rsidR="00693F82">
          <w:rPr>
            <w:webHidden/>
          </w:rPr>
        </w:r>
        <w:r w:rsidR="00693F82">
          <w:rPr>
            <w:webHidden/>
          </w:rPr>
          <w:fldChar w:fldCharType="separate"/>
        </w:r>
        <w:r w:rsidR="004473CC">
          <w:rPr>
            <w:webHidden/>
          </w:rPr>
          <w:t>86</w:t>
        </w:r>
        <w:r w:rsidR="00693F82">
          <w:rPr>
            <w:webHidden/>
          </w:rPr>
          <w:fldChar w:fldCharType="end"/>
        </w:r>
      </w:hyperlink>
    </w:p>
    <w:p w14:paraId="34823829" w14:textId="04CC2278" w:rsidR="00693F82" w:rsidRDefault="00E27A80" w:rsidP="00BB486B">
      <w:pPr>
        <w:pStyle w:val="TOC2"/>
        <w:rPr>
          <w:rFonts w:asciiTheme="minorHAnsi" w:eastAsiaTheme="minorEastAsia" w:hAnsiTheme="minorHAnsi" w:cstheme="minorBidi"/>
          <w:sz w:val="22"/>
          <w:szCs w:val="22"/>
        </w:rPr>
      </w:pPr>
      <w:hyperlink w:anchor="_Toc27492595" w:history="1">
        <w:r w:rsidR="00693F82" w:rsidRPr="00807AC3">
          <w:rPr>
            <w:rStyle w:val="Hyperlink"/>
          </w:rPr>
          <w:t>Part A3.20</w:t>
        </w:r>
        <w:r w:rsidR="00693F82">
          <w:rPr>
            <w:rFonts w:asciiTheme="minorHAnsi" w:eastAsiaTheme="minorEastAsia" w:hAnsiTheme="minorHAnsi" w:cstheme="minorBidi"/>
            <w:sz w:val="22"/>
            <w:szCs w:val="22"/>
          </w:rPr>
          <w:tab/>
        </w:r>
        <w:r w:rsidR="00693F82" w:rsidRPr="00807AC3">
          <w:rPr>
            <w:rStyle w:val="Hyperlink"/>
          </w:rPr>
          <w:t>Basic method—Foreign Exchange position risk</w:t>
        </w:r>
        <w:r w:rsidR="00693F82">
          <w:rPr>
            <w:webHidden/>
          </w:rPr>
          <w:tab/>
        </w:r>
        <w:r w:rsidR="00693F82">
          <w:rPr>
            <w:webHidden/>
          </w:rPr>
          <w:fldChar w:fldCharType="begin"/>
        </w:r>
        <w:r w:rsidR="00693F82">
          <w:rPr>
            <w:webHidden/>
          </w:rPr>
          <w:instrText xml:space="preserve"> PAGEREF _Toc27492595 \h </w:instrText>
        </w:r>
        <w:r w:rsidR="00693F82">
          <w:rPr>
            <w:webHidden/>
          </w:rPr>
        </w:r>
        <w:r w:rsidR="00693F82">
          <w:rPr>
            <w:webHidden/>
          </w:rPr>
          <w:fldChar w:fldCharType="separate"/>
        </w:r>
        <w:r w:rsidR="004473CC">
          <w:rPr>
            <w:webHidden/>
          </w:rPr>
          <w:t>87</w:t>
        </w:r>
        <w:r w:rsidR="00693F82">
          <w:rPr>
            <w:webHidden/>
          </w:rPr>
          <w:fldChar w:fldCharType="end"/>
        </w:r>
      </w:hyperlink>
    </w:p>
    <w:p w14:paraId="02B1596F" w14:textId="5CF40DAA" w:rsidR="00693F82" w:rsidRDefault="00E27A80" w:rsidP="00BB486B">
      <w:pPr>
        <w:pStyle w:val="TOC2"/>
        <w:rPr>
          <w:rFonts w:asciiTheme="minorHAnsi" w:eastAsiaTheme="minorEastAsia" w:hAnsiTheme="minorHAnsi" w:cstheme="minorBidi"/>
          <w:sz w:val="22"/>
          <w:szCs w:val="22"/>
        </w:rPr>
      </w:pPr>
      <w:hyperlink w:anchor="_Toc27492596" w:history="1">
        <w:r w:rsidR="00693F82" w:rsidRPr="00807AC3">
          <w:rPr>
            <w:rStyle w:val="Hyperlink"/>
          </w:rPr>
          <w:t>Part A3.21</w:t>
        </w:r>
        <w:r w:rsidR="00693F82">
          <w:rPr>
            <w:rFonts w:asciiTheme="minorHAnsi" w:eastAsiaTheme="minorEastAsia" w:hAnsiTheme="minorHAnsi" w:cstheme="minorBidi"/>
            <w:sz w:val="22"/>
            <w:szCs w:val="22"/>
          </w:rPr>
          <w:tab/>
        </w:r>
        <w:r w:rsidR="00693F82" w:rsidRPr="00807AC3">
          <w:rPr>
            <w:rStyle w:val="Hyperlink"/>
          </w:rPr>
          <w:t>Calculation of Foreign Exchange Equivalent positions—Foreign Exchange position risk</w:t>
        </w:r>
        <w:r w:rsidR="00693F82">
          <w:rPr>
            <w:webHidden/>
          </w:rPr>
          <w:tab/>
        </w:r>
        <w:r w:rsidR="00693F82">
          <w:rPr>
            <w:webHidden/>
          </w:rPr>
          <w:fldChar w:fldCharType="begin"/>
        </w:r>
        <w:r w:rsidR="00693F82">
          <w:rPr>
            <w:webHidden/>
          </w:rPr>
          <w:instrText xml:space="preserve"> PAGEREF _Toc27492596 \h </w:instrText>
        </w:r>
        <w:r w:rsidR="00693F82">
          <w:rPr>
            <w:webHidden/>
          </w:rPr>
        </w:r>
        <w:r w:rsidR="00693F82">
          <w:rPr>
            <w:webHidden/>
          </w:rPr>
          <w:fldChar w:fldCharType="separate"/>
        </w:r>
        <w:r w:rsidR="004473CC">
          <w:rPr>
            <w:webHidden/>
          </w:rPr>
          <w:t>88</w:t>
        </w:r>
        <w:r w:rsidR="00693F82">
          <w:rPr>
            <w:webHidden/>
          </w:rPr>
          <w:fldChar w:fldCharType="end"/>
        </w:r>
      </w:hyperlink>
    </w:p>
    <w:p w14:paraId="68C0B750" w14:textId="05373425" w:rsidR="00693F82" w:rsidRDefault="00E27A80" w:rsidP="00BB486B">
      <w:pPr>
        <w:pStyle w:val="TOC2"/>
        <w:rPr>
          <w:rFonts w:asciiTheme="minorHAnsi" w:eastAsiaTheme="minorEastAsia" w:hAnsiTheme="minorHAnsi" w:cstheme="minorBidi"/>
          <w:sz w:val="22"/>
          <w:szCs w:val="22"/>
        </w:rPr>
      </w:pPr>
      <w:hyperlink w:anchor="_Toc27492597" w:history="1">
        <w:r w:rsidR="00693F82" w:rsidRPr="00807AC3">
          <w:rPr>
            <w:rStyle w:val="Hyperlink"/>
          </w:rPr>
          <w:t>Part A3.22</w:t>
        </w:r>
        <w:r w:rsidR="00693F82">
          <w:rPr>
            <w:rFonts w:asciiTheme="minorHAnsi" w:eastAsiaTheme="minorEastAsia" w:hAnsiTheme="minorHAnsi" w:cstheme="minorBidi"/>
            <w:sz w:val="22"/>
            <w:szCs w:val="22"/>
          </w:rPr>
          <w:tab/>
        </w:r>
        <w:r w:rsidR="00693F82" w:rsidRPr="00807AC3">
          <w:rPr>
            <w:rStyle w:val="Hyperlink"/>
          </w:rPr>
          <w:t>Calculation of Foreign Exchange net open positions—Foreign Exchange position risk</w:t>
        </w:r>
        <w:r w:rsidR="00693F82">
          <w:rPr>
            <w:webHidden/>
          </w:rPr>
          <w:tab/>
        </w:r>
        <w:r w:rsidR="00693F82">
          <w:rPr>
            <w:webHidden/>
          </w:rPr>
          <w:fldChar w:fldCharType="begin"/>
        </w:r>
        <w:r w:rsidR="00693F82">
          <w:rPr>
            <w:webHidden/>
          </w:rPr>
          <w:instrText xml:space="preserve"> PAGEREF _Toc27492597 \h </w:instrText>
        </w:r>
        <w:r w:rsidR="00693F82">
          <w:rPr>
            <w:webHidden/>
          </w:rPr>
        </w:r>
        <w:r w:rsidR="00693F82">
          <w:rPr>
            <w:webHidden/>
          </w:rPr>
          <w:fldChar w:fldCharType="separate"/>
        </w:r>
        <w:r w:rsidR="004473CC">
          <w:rPr>
            <w:webHidden/>
          </w:rPr>
          <w:t>88</w:t>
        </w:r>
        <w:r w:rsidR="00693F82">
          <w:rPr>
            <w:webHidden/>
          </w:rPr>
          <w:fldChar w:fldCharType="end"/>
        </w:r>
      </w:hyperlink>
    </w:p>
    <w:p w14:paraId="4445568D" w14:textId="4C363DBD" w:rsidR="00693F82" w:rsidRDefault="00E27A80" w:rsidP="00BB486B">
      <w:pPr>
        <w:pStyle w:val="TOC2"/>
        <w:rPr>
          <w:rFonts w:asciiTheme="minorHAnsi" w:eastAsiaTheme="minorEastAsia" w:hAnsiTheme="minorHAnsi" w:cstheme="minorBidi"/>
          <w:sz w:val="22"/>
          <w:szCs w:val="22"/>
        </w:rPr>
      </w:pPr>
      <w:hyperlink w:anchor="_Toc27492598" w:history="1">
        <w:r w:rsidR="00693F82" w:rsidRPr="00807AC3">
          <w:rPr>
            <w:rStyle w:val="Hyperlink"/>
          </w:rPr>
          <w:t>Part A3.23</w:t>
        </w:r>
        <w:r w:rsidR="00693F82">
          <w:rPr>
            <w:rFonts w:asciiTheme="minorHAnsi" w:eastAsiaTheme="minorEastAsia" w:hAnsiTheme="minorHAnsi" w:cstheme="minorBidi"/>
            <w:sz w:val="22"/>
            <w:szCs w:val="22"/>
          </w:rPr>
          <w:tab/>
        </w:r>
        <w:r w:rsidR="00693F82" w:rsidRPr="00807AC3">
          <w:rPr>
            <w:rStyle w:val="Hyperlink"/>
          </w:rPr>
          <w:t>Commodity position risk amount</w:t>
        </w:r>
        <w:r w:rsidR="00693F82">
          <w:rPr>
            <w:webHidden/>
          </w:rPr>
          <w:tab/>
        </w:r>
        <w:r w:rsidR="00693F82">
          <w:rPr>
            <w:webHidden/>
          </w:rPr>
          <w:fldChar w:fldCharType="begin"/>
        </w:r>
        <w:r w:rsidR="00693F82">
          <w:rPr>
            <w:webHidden/>
          </w:rPr>
          <w:instrText xml:space="preserve"> PAGEREF _Toc27492598 \h </w:instrText>
        </w:r>
        <w:r w:rsidR="00693F82">
          <w:rPr>
            <w:webHidden/>
          </w:rPr>
        </w:r>
        <w:r w:rsidR="00693F82">
          <w:rPr>
            <w:webHidden/>
          </w:rPr>
          <w:fldChar w:fldCharType="separate"/>
        </w:r>
        <w:r w:rsidR="004473CC">
          <w:rPr>
            <w:webHidden/>
          </w:rPr>
          <w:t>89</w:t>
        </w:r>
        <w:r w:rsidR="00693F82">
          <w:rPr>
            <w:webHidden/>
          </w:rPr>
          <w:fldChar w:fldCharType="end"/>
        </w:r>
      </w:hyperlink>
    </w:p>
    <w:p w14:paraId="33162B93" w14:textId="7D975A80" w:rsidR="00693F82" w:rsidRDefault="00E27A80" w:rsidP="00BB486B">
      <w:pPr>
        <w:pStyle w:val="TOC2"/>
        <w:rPr>
          <w:rFonts w:asciiTheme="minorHAnsi" w:eastAsiaTheme="minorEastAsia" w:hAnsiTheme="minorHAnsi" w:cstheme="minorBidi"/>
          <w:sz w:val="22"/>
          <w:szCs w:val="22"/>
        </w:rPr>
      </w:pPr>
      <w:hyperlink w:anchor="_Toc27492599" w:history="1">
        <w:r w:rsidR="00693F82" w:rsidRPr="00807AC3">
          <w:rPr>
            <w:rStyle w:val="Hyperlink"/>
          </w:rPr>
          <w:t>Part A3.24</w:t>
        </w:r>
        <w:r w:rsidR="00693F82">
          <w:rPr>
            <w:rFonts w:asciiTheme="minorHAnsi" w:eastAsiaTheme="minorEastAsia" w:hAnsiTheme="minorHAnsi" w:cstheme="minorBidi"/>
            <w:sz w:val="22"/>
            <w:szCs w:val="22"/>
          </w:rPr>
          <w:tab/>
        </w:r>
        <w:r w:rsidR="00693F82" w:rsidRPr="00807AC3">
          <w:rPr>
            <w:rStyle w:val="Hyperlink"/>
          </w:rPr>
          <w:t>Standard method—Commodity position risk</w:t>
        </w:r>
        <w:r w:rsidR="00693F82">
          <w:rPr>
            <w:webHidden/>
          </w:rPr>
          <w:tab/>
        </w:r>
        <w:r w:rsidR="00693F82">
          <w:rPr>
            <w:webHidden/>
          </w:rPr>
          <w:fldChar w:fldCharType="begin"/>
        </w:r>
        <w:r w:rsidR="00693F82">
          <w:rPr>
            <w:webHidden/>
          </w:rPr>
          <w:instrText xml:space="preserve"> PAGEREF _Toc27492599 \h </w:instrText>
        </w:r>
        <w:r w:rsidR="00693F82">
          <w:rPr>
            <w:webHidden/>
          </w:rPr>
        </w:r>
        <w:r w:rsidR="00693F82">
          <w:rPr>
            <w:webHidden/>
          </w:rPr>
          <w:fldChar w:fldCharType="separate"/>
        </w:r>
        <w:r w:rsidR="004473CC">
          <w:rPr>
            <w:webHidden/>
          </w:rPr>
          <w:t>90</w:t>
        </w:r>
        <w:r w:rsidR="00693F82">
          <w:rPr>
            <w:webHidden/>
          </w:rPr>
          <w:fldChar w:fldCharType="end"/>
        </w:r>
      </w:hyperlink>
    </w:p>
    <w:p w14:paraId="749283C3" w14:textId="3B3393BA" w:rsidR="00693F82" w:rsidRDefault="00E27A80" w:rsidP="00BB486B">
      <w:pPr>
        <w:pStyle w:val="TOC2"/>
        <w:rPr>
          <w:rFonts w:asciiTheme="minorHAnsi" w:eastAsiaTheme="minorEastAsia" w:hAnsiTheme="minorHAnsi" w:cstheme="minorBidi"/>
          <w:sz w:val="22"/>
          <w:szCs w:val="22"/>
        </w:rPr>
      </w:pPr>
      <w:hyperlink w:anchor="_Toc27492600" w:history="1">
        <w:r w:rsidR="00693F82" w:rsidRPr="00807AC3">
          <w:rPr>
            <w:rStyle w:val="Hyperlink"/>
          </w:rPr>
          <w:t>Part A3.25</w:t>
        </w:r>
        <w:r w:rsidR="00693F82">
          <w:rPr>
            <w:rFonts w:asciiTheme="minorHAnsi" w:eastAsiaTheme="minorEastAsia" w:hAnsiTheme="minorHAnsi" w:cstheme="minorBidi"/>
            <w:sz w:val="22"/>
            <w:szCs w:val="22"/>
          </w:rPr>
          <w:tab/>
        </w:r>
        <w:r w:rsidR="00693F82" w:rsidRPr="00807AC3">
          <w:rPr>
            <w:rStyle w:val="Hyperlink"/>
          </w:rPr>
          <w:t>Margin method—Commodity position risk</w:t>
        </w:r>
        <w:r w:rsidR="00693F82">
          <w:rPr>
            <w:webHidden/>
          </w:rPr>
          <w:tab/>
        </w:r>
        <w:r w:rsidR="00693F82">
          <w:rPr>
            <w:webHidden/>
          </w:rPr>
          <w:fldChar w:fldCharType="begin"/>
        </w:r>
        <w:r w:rsidR="00693F82">
          <w:rPr>
            <w:webHidden/>
          </w:rPr>
          <w:instrText xml:space="preserve"> PAGEREF _Toc27492600 \h </w:instrText>
        </w:r>
        <w:r w:rsidR="00693F82">
          <w:rPr>
            <w:webHidden/>
          </w:rPr>
        </w:r>
        <w:r w:rsidR="00693F82">
          <w:rPr>
            <w:webHidden/>
          </w:rPr>
          <w:fldChar w:fldCharType="separate"/>
        </w:r>
        <w:r w:rsidR="004473CC">
          <w:rPr>
            <w:webHidden/>
          </w:rPr>
          <w:t>91</w:t>
        </w:r>
        <w:r w:rsidR="00693F82">
          <w:rPr>
            <w:webHidden/>
          </w:rPr>
          <w:fldChar w:fldCharType="end"/>
        </w:r>
      </w:hyperlink>
    </w:p>
    <w:p w14:paraId="33D5B61E" w14:textId="41744188" w:rsidR="00693F82" w:rsidRDefault="00E27A80" w:rsidP="00BB486B">
      <w:pPr>
        <w:pStyle w:val="TOC2"/>
        <w:rPr>
          <w:rFonts w:asciiTheme="minorHAnsi" w:eastAsiaTheme="minorEastAsia" w:hAnsiTheme="minorHAnsi" w:cstheme="minorBidi"/>
          <w:sz w:val="22"/>
          <w:szCs w:val="22"/>
        </w:rPr>
      </w:pPr>
      <w:hyperlink w:anchor="_Toc27492601" w:history="1">
        <w:r w:rsidR="00693F82" w:rsidRPr="00807AC3">
          <w:rPr>
            <w:rStyle w:val="Hyperlink"/>
          </w:rPr>
          <w:t>Part A3.26</w:t>
        </w:r>
        <w:r w:rsidR="00693F82">
          <w:rPr>
            <w:rFonts w:asciiTheme="minorHAnsi" w:eastAsiaTheme="minorEastAsia" w:hAnsiTheme="minorHAnsi" w:cstheme="minorBidi"/>
            <w:sz w:val="22"/>
            <w:szCs w:val="22"/>
          </w:rPr>
          <w:tab/>
        </w:r>
        <w:r w:rsidR="00693F82" w:rsidRPr="00807AC3">
          <w:rPr>
            <w:rStyle w:val="Hyperlink"/>
          </w:rPr>
          <w:t>Basic method—Commodity position risk</w:t>
        </w:r>
        <w:r w:rsidR="00693F82">
          <w:rPr>
            <w:webHidden/>
          </w:rPr>
          <w:tab/>
        </w:r>
        <w:r w:rsidR="00693F82">
          <w:rPr>
            <w:webHidden/>
          </w:rPr>
          <w:fldChar w:fldCharType="begin"/>
        </w:r>
        <w:r w:rsidR="00693F82">
          <w:rPr>
            <w:webHidden/>
          </w:rPr>
          <w:instrText xml:space="preserve"> PAGEREF _Toc27492601 \h </w:instrText>
        </w:r>
        <w:r w:rsidR="00693F82">
          <w:rPr>
            <w:webHidden/>
          </w:rPr>
        </w:r>
        <w:r w:rsidR="00693F82">
          <w:rPr>
            <w:webHidden/>
          </w:rPr>
          <w:fldChar w:fldCharType="separate"/>
        </w:r>
        <w:r w:rsidR="004473CC">
          <w:rPr>
            <w:webHidden/>
          </w:rPr>
          <w:t>91</w:t>
        </w:r>
        <w:r w:rsidR="00693F82">
          <w:rPr>
            <w:webHidden/>
          </w:rPr>
          <w:fldChar w:fldCharType="end"/>
        </w:r>
      </w:hyperlink>
    </w:p>
    <w:p w14:paraId="28B8747E" w14:textId="1AEFA8EB" w:rsidR="00693F82" w:rsidRDefault="00E27A80" w:rsidP="00BB486B">
      <w:pPr>
        <w:pStyle w:val="TOC2"/>
        <w:rPr>
          <w:rFonts w:asciiTheme="minorHAnsi" w:eastAsiaTheme="minorEastAsia" w:hAnsiTheme="minorHAnsi" w:cstheme="minorBidi"/>
          <w:sz w:val="22"/>
          <w:szCs w:val="22"/>
        </w:rPr>
      </w:pPr>
      <w:hyperlink w:anchor="_Toc27492602" w:history="1">
        <w:r w:rsidR="00693F82" w:rsidRPr="00807AC3">
          <w:rPr>
            <w:rStyle w:val="Hyperlink"/>
          </w:rPr>
          <w:t>Part A3.27</w:t>
        </w:r>
        <w:r w:rsidR="00693F82">
          <w:rPr>
            <w:rFonts w:asciiTheme="minorHAnsi" w:eastAsiaTheme="minorEastAsia" w:hAnsiTheme="minorHAnsi" w:cstheme="minorBidi"/>
            <w:sz w:val="22"/>
            <w:szCs w:val="22"/>
          </w:rPr>
          <w:tab/>
        </w:r>
        <w:r w:rsidR="00693F82" w:rsidRPr="00807AC3">
          <w:rPr>
            <w:rStyle w:val="Hyperlink"/>
          </w:rPr>
          <w:t>Calculation of Commodity Equivalent positions—Commodity position risk</w:t>
        </w:r>
        <w:r w:rsidR="00693F82">
          <w:rPr>
            <w:webHidden/>
          </w:rPr>
          <w:tab/>
        </w:r>
        <w:r w:rsidR="00693F82">
          <w:rPr>
            <w:webHidden/>
          </w:rPr>
          <w:fldChar w:fldCharType="begin"/>
        </w:r>
        <w:r w:rsidR="00693F82">
          <w:rPr>
            <w:webHidden/>
          </w:rPr>
          <w:instrText xml:space="preserve"> PAGEREF _Toc27492602 \h </w:instrText>
        </w:r>
        <w:r w:rsidR="00693F82">
          <w:rPr>
            <w:webHidden/>
          </w:rPr>
        </w:r>
        <w:r w:rsidR="00693F82">
          <w:rPr>
            <w:webHidden/>
          </w:rPr>
          <w:fldChar w:fldCharType="separate"/>
        </w:r>
        <w:r w:rsidR="004473CC">
          <w:rPr>
            <w:webHidden/>
          </w:rPr>
          <w:t>92</w:t>
        </w:r>
        <w:r w:rsidR="00693F82">
          <w:rPr>
            <w:webHidden/>
          </w:rPr>
          <w:fldChar w:fldCharType="end"/>
        </w:r>
      </w:hyperlink>
    </w:p>
    <w:p w14:paraId="4759C636" w14:textId="0502E654" w:rsidR="00693F82" w:rsidRDefault="00E27A80" w:rsidP="00BB486B">
      <w:pPr>
        <w:pStyle w:val="TOC2"/>
        <w:rPr>
          <w:rFonts w:asciiTheme="minorHAnsi" w:eastAsiaTheme="minorEastAsia" w:hAnsiTheme="minorHAnsi" w:cstheme="minorBidi"/>
          <w:sz w:val="22"/>
          <w:szCs w:val="22"/>
        </w:rPr>
      </w:pPr>
      <w:hyperlink w:anchor="_Toc27492603" w:history="1">
        <w:r w:rsidR="00693F82" w:rsidRPr="00807AC3">
          <w:rPr>
            <w:rStyle w:val="Hyperlink"/>
          </w:rPr>
          <w:t>Part A3.28</w:t>
        </w:r>
        <w:r w:rsidR="00693F82">
          <w:rPr>
            <w:rFonts w:asciiTheme="minorHAnsi" w:eastAsiaTheme="minorEastAsia" w:hAnsiTheme="minorHAnsi" w:cstheme="minorBidi"/>
            <w:sz w:val="22"/>
            <w:szCs w:val="22"/>
          </w:rPr>
          <w:tab/>
        </w:r>
        <w:r w:rsidR="00693F82" w:rsidRPr="00807AC3">
          <w:rPr>
            <w:rStyle w:val="Hyperlink"/>
          </w:rPr>
          <w:t>Calculation of Commodity net open positions</w:t>
        </w:r>
        <w:r w:rsidR="00AC24A7" w:rsidRPr="00D3615D">
          <w:rPr>
            <w:rStyle w:val="Hyperlink"/>
          </w:rPr>
          <w:t>—</w:t>
        </w:r>
        <w:r w:rsidR="00693F82" w:rsidRPr="00807AC3">
          <w:rPr>
            <w:rStyle w:val="Hyperlink"/>
          </w:rPr>
          <w:t>Commodity</w:t>
        </w:r>
        <w:r w:rsidR="00AC24A7">
          <w:rPr>
            <w:rStyle w:val="Hyperlink"/>
          </w:rPr>
          <w:t> </w:t>
        </w:r>
        <w:r w:rsidR="00693F82" w:rsidRPr="00807AC3">
          <w:rPr>
            <w:rStyle w:val="Hyperlink"/>
          </w:rPr>
          <w:t>position risk</w:t>
        </w:r>
        <w:r w:rsidR="00693F82">
          <w:rPr>
            <w:webHidden/>
          </w:rPr>
          <w:tab/>
        </w:r>
        <w:r w:rsidR="00693F82">
          <w:rPr>
            <w:webHidden/>
          </w:rPr>
          <w:fldChar w:fldCharType="begin"/>
        </w:r>
        <w:r w:rsidR="00693F82">
          <w:rPr>
            <w:webHidden/>
          </w:rPr>
          <w:instrText xml:space="preserve"> PAGEREF _Toc27492603 \h </w:instrText>
        </w:r>
        <w:r w:rsidR="00693F82">
          <w:rPr>
            <w:webHidden/>
          </w:rPr>
        </w:r>
        <w:r w:rsidR="00693F82">
          <w:rPr>
            <w:webHidden/>
          </w:rPr>
          <w:fldChar w:fldCharType="separate"/>
        </w:r>
        <w:r w:rsidR="004473CC">
          <w:rPr>
            <w:webHidden/>
          </w:rPr>
          <w:t>93</w:t>
        </w:r>
        <w:r w:rsidR="00693F82">
          <w:rPr>
            <w:webHidden/>
          </w:rPr>
          <w:fldChar w:fldCharType="end"/>
        </w:r>
      </w:hyperlink>
    </w:p>
    <w:p w14:paraId="5A15E78C" w14:textId="604A4895" w:rsidR="00693F82" w:rsidRDefault="00E27A80">
      <w:pPr>
        <w:pStyle w:val="TOC1"/>
        <w:rPr>
          <w:rFonts w:asciiTheme="minorHAnsi" w:eastAsiaTheme="minorEastAsia" w:hAnsiTheme="minorHAnsi" w:cstheme="minorBidi"/>
          <w:b w:val="0"/>
          <w:sz w:val="22"/>
          <w:szCs w:val="22"/>
        </w:rPr>
      </w:pPr>
      <w:hyperlink w:anchor="_Toc27492604" w:history="1">
        <w:r w:rsidR="00693F82" w:rsidRPr="00807AC3">
          <w:rPr>
            <w:rStyle w:val="Hyperlink"/>
          </w:rPr>
          <w:t>Annexure 4 to Schedule 1A: Underwriting and Sub Underwriting Risk Requirement</w:t>
        </w:r>
        <w:r w:rsidR="00693F82">
          <w:rPr>
            <w:webHidden/>
          </w:rPr>
          <w:tab/>
        </w:r>
        <w:r w:rsidR="00693F82">
          <w:rPr>
            <w:webHidden/>
          </w:rPr>
          <w:fldChar w:fldCharType="begin"/>
        </w:r>
        <w:r w:rsidR="00693F82">
          <w:rPr>
            <w:webHidden/>
          </w:rPr>
          <w:instrText xml:space="preserve"> PAGEREF _Toc27492604 \h </w:instrText>
        </w:r>
        <w:r w:rsidR="00693F82">
          <w:rPr>
            <w:webHidden/>
          </w:rPr>
        </w:r>
        <w:r w:rsidR="00693F82">
          <w:rPr>
            <w:webHidden/>
          </w:rPr>
          <w:fldChar w:fldCharType="separate"/>
        </w:r>
        <w:r w:rsidR="004473CC">
          <w:rPr>
            <w:webHidden/>
          </w:rPr>
          <w:t>94</w:t>
        </w:r>
        <w:r w:rsidR="00693F82">
          <w:rPr>
            <w:webHidden/>
          </w:rPr>
          <w:fldChar w:fldCharType="end"/>
        </w:r>
      </w:hyperlink>
    </w:p>
    <w:p w14:paraId="1560CF36" w14:textId="5CE7B150" w:rsidR="00693F82" w:rsidRDefault="00E27A80">
      <w:pPr>
        <w:pStyle w:val="TOC1"/>
        <w:rPr>
          <w:rFonts w:asciiTheme="minorHAnsi" w:eastAsiaTheme="minorEastAsia" w:hAnsiTheme="minorHAnsi" w:cstheme="minorBidi"/>
          <w:b w:val="0"/>
          <w:sz w:val="22"/>
          <w:szCs w:val="22"/>
        </w:rPr>
      </w:pPr>
      <w:hyperlink w:anchor="_Toc27492605" w:history="1">
        <w:r w:rsidR="00693F82" w:rsidRPr="00807AC3">
          <w:rPr>
            <w:rStyle w:val="Hyperlink"/>
          </w:rPr>
          <w:t>Annexure 5 to Schedule 1A: Tables</w:t>
        </w:r>
        <w:r w:rsidR="00693F82">
          <w:rPr>
            <w:webHidden/>
          </w:rPr>
          <w:tab/>
        </w:r>
        <w:r w:rsidR="00693F82">
          <w:rPr>
            <w:webHidden/>
          </w:rPr>
          <w:fldChar w:fldCharType="begin"/>
        </w:r>
        <w:r w:rsidR="00693F82">
          <w:rPr>
            <w:webHidden/>
          </w:rPr>
          <w:instrText xml:space="preserve"> PAGEREF _Toc27492605 \h </w:instrText>
        </w:r>
        <w:r w:rsidR="00693F82">
          <w:rPr>
            <w:webHidden/>
          </w:rPr>
        </w:r>
        <w:r w:rsidR="00693F82">
          <w:rPr>
            <w:webHidden/>
          </w:rPr>
          <w:fldChar w:fldCharType="separate"/>
        </w:r>
        <w:r w:rsidR="004473CC">
          <w:rPr>
            <w:webHidden/>
          </w:rPr>
          <w:t>96</w:t>
        </w:r>
        <w:r w:rsidR="00693F82">
          <w:rPr>
            <w:webHidden/>
          </w:rPr>
          <w:fldChar w:fldCharType="end"/>
        </w:r>
      </w:hyperlink>
    </w:p>
    <w:p w14:paraId="3DFA0CEE" w14:textId="30F4ED93" w:rsidR="00693F82" w:rsidRDefault="00E27A80" w:rsidP="00BB486B">
      <w:pPr>
        <w:pStyle w:val="TOC2"/>
        <w:rPr>
          <w:rFonts w:asciiTheme="minorHAnsi" w:eastAsiaTheme="minorEastAsia" w:hAnsiTheme="minorHAnsi" w:cstheme="minorBidi"/>
          <w:sz w:val="22"/>
          <w:szCs w:val="22"/>
        </w:rPr>
      </w:pPr>
      <w:hyperlink w:anchor="_Toc27492606" w:history="1">
        <w:r w:rsidR="00693F82" w:rsidRPr="00807AC3">
          <w:rPr>
            <w:rStyle w:val="Hyperlink"/>
          </w:rPr>
          <w:t>Part A5.1</w:t>
        </w:r>
        <w:r w:rsidR="00693F82">
          <w:rPr>
            <w:rFonts w:asciiTheme="minorHAnsi" w:eastAsiaTheme="minorEastAsia" w:hAnsiTheme="minorHAnsi" w:cstheme="minorBidi"/>
            <w:sz w:val="22"/>
            <w:szCs w:val="22"/>
          </w:rPr>
          <w:tab/>
        </w:r>
        <w:r w:rsidR="00693F82" w:rsidRPr="00807AC3">
          <w:rPr>
            <w:rStyle w:val="Hyperlink"/>
          </w:rPr>
          <w:t>Position Risk</w:t>
        </w:r>
        <w:r w:rsidR="00693F82">
          <w:rPr>
            <w:webHidden/>
          </w:rPr>
          <w:tab/>
        </w:r>
        <w:r w:rsidR="00693F82">
          <w:rPr>
            <w:webHidden/>
          </w:rPr>
          <w:fldChar w:fldCharType="begin"/>
        </w:r>
        <w:r w:rsidR="00693F82">
          <w:rPr>
            <w:webHidden/>
          </w:rPr>
          <w:instrText xml:space="preserve"> PAGEREF _Toc27492606 \h </w:instrText>
        </w:r>
        <w:r w:rsidR="00693F82">
          <w:rPr>
            <w:webHidden/>
          </w:rPr>
        </w:r>
        <w:r w:rsidR="00693F82">
          <w:rPr>
            <w:webHidden/>
          </w:rPr>
          <w:fldChar w:fldCharType="separate"/>
        </w:r>
        <w:r w:rsidR="004473CC">
          <w:rPr>
            <w:webHidden/>
          </w:rPr>
          <w:t>96</w:t>
        </w:r>
        <w:r w:rsidR="00693F82">
          <w:rPr>
            <w:webHidden/>
          </w:rPr>
          <w:fldChar w:fldCharType="end"/>
        </w:r>
      </w:hyperlink>
    </w:p>
    <w:p w14:paraId="3CCED6C9" w14:textId="39387C2A" w:rsidR="00693F82" w:rsidRDefault="00E27A80" w:rsidP="00BB486B">
      <w:pPr>
        <w:pStyle w:val="TOC2"/>
        <w:rPr>
          <w:rFonts w:asciiTheme="minorHAnsi" w:eastAsiaTheme="minorEastAsia" w:hAnsiTheme="minorHAnsi" w:cstheme="minorBidi"/>
          <w:sz w:val="22"/>
          <w:szCs w:val="22"/>
        </w:rPr>
      </w:pPr>
      <w:hyperlink w:anchor="_Toc27492607" w:history="1">
        <w:r w:rsidR="00693F82" w:rsidRPr="00807AC3">
          <w:rPr>
            <w:rStyle w:val="Hyperlink"/>
          </w:rPr>
          <w:t>Part A5.2</w:t>
        </w:r>
        <w:r w:rsidR="00693F82">
          <w:rPr>
            <w:rFonts w:asciiTheme="minorHAnsi" w:eastAsiaTheme="minorEastAsia" w:hAnsiTheme="minorHAnsi" w:cstheme="minorBidi"/>
            <w:sz w:val="22"/>
            <w:szCs w:val="22"/>
          </w:rPr>
          <w:tab/>
        </w:r>
        <w:r w:rsidR="00693F82" w:rsidRPr="00807AC3">
          <w:rPr>
            <w:rStyle w:val="Hyperlink"/>
          </w:rPr>
          <w:t>Counterparty Risk</w:t>
        </w:r>
        <w:r w:rsidR="00693F82">
          <w:rPr>
            <w:webHidden/>
          </w:rPr>
          <w:tab/>
        </w:r>
        <w:r w:rsidR="00693F82">
          <w:rPr>
            <w:webHidden/>
          </w:rPr>
          <w:fldChar w:fldCharType="begin"/>
        </w:r>
        <w:r w:rsidR="00693F82">
          <w:rPr>
            <w:webHidden/>
          </w:rPr>
          <w:instrText xml:space="preserve"> PAGEREF _Toc27492607 \h </w:instrText>
        </w:r>
        <w:r w:rsidR="00693F82">
          <w:rPr>
            <w:webHidden/>
          </w:rPr>
        </w:r>
        <w:r w:rsidR="00693F82">
          <w:rPr>
            <w:webHidden/>
          </w:rPr>
          <w:fldChar w:fldCharType="separate"/>
        </w:r>
        <w:r w:rsidR="004473CC">
          <w:rPr>
            <w:webHidden/>
          </w:rPr>
          <w:t>99</w:t>
        </w:r>
        <w:r w:rsidR="00693F82">
          <w:rPr>
            <w:webHidden/>
          </w:rPr>
          <w:fldChar w:fldCharType="end"/>
        </w:r>
      </w:hyperlink>
    </w:p>
    <w:p w14:paraId="6612AC11" w14:textId="6B0CB8E9" w:rsidR="00693F82" w:rsidRDefault="00E27A80" w:rsidP="00BB486B">
      <w:pPr>
        <w:pStyle w:val="TOC2"/>
        <w:rPr>
          <w:rFonts w:asciiTheme="minorHAnsi" w:eastAsiaTheme="minorEastAsia" w:hAnsiTheme="minorHAnsi" w:cstheme="minorBidi"/>
          <w:sz w:val="22"/>
          <w:szCs w:val="22"/>
        </w:rPr>
      </w:pPr>
      <w:hyperlink w:anchor="_Toc27492608" w:history="1">
        <w:r w:rsidR="00693F82" w:rsidRPr="00807AC3">
          <w:rPr>
            <w:rStyle w:val="Hyperlink"/>
          </w:rPr>
          <w:t>Part A5.3</w:t>
        </w:r>
        <w:r w:rsidR="00693F82">
          <w:rPr>
            <w:rFonts w:asciiTheme="minorHAnsi" w:eastAsiaTheme="minorEastAsia" w:hAnsiTheme="minorHAnsi" w:cstheme="minorBidi"/>
            <w:sz w:val="22"/>
            <w:szCs w:val="22"/>
          </w:rPr>
          <w:tab/>
        </w:r>
        <w:r w:rsidR="00693F82" w:rsidRPr="00807AC3">
          <w:rPr>
            <w:rStyle w:val="Hyperlink"/>
          </w:rPr>
          <w:t>Other</w:t>
        </w:r>
        <w:r w:rsidR="00693F82">
          <w:rPr>
            <w:webHidden/>
          </w:rPr>
          <w:tab/>
        </w:r>
        <w:r w:rsidR="00693F82">
          <w:rPr>
            <w:webHidden/>
          </w:rPr>
          <w:fldChar w:fldCharType="begin"/>
        </w:r>
        <w:r w:rsidR="00693F82">
          <w:rPr>
            <w:webHidden/>
          </w:rPr>
          <w:instrText xml:space="preserve"> PAGEREF _Toc27492608 \h </w:instrText>
        </w:r>
        <w:r w:rsidR="00693F82">
          <w:rPr>
            <w:webHidden/>
          </w:rPr>
        </w:r>
        <w:r w:rsidR="00693F82">
          <w:rPr>
            <w:webHidden/>
          </w:rPr>
          <w:fldChar w:fldCharType="separate"/>
        </w:r>
        <w:r w:rsidR="004473CC">
          <w:rPr>
            <w:webHidden/>
          </w:rPr>
          <w:t>100</w:t>
        </w:r>
        <w:r w:rsidR="00693F82">
          <w:rPr>
            <w:webHidden/>
          </w:rPr>
          <w:fldChar w:fldCharType="end"/>
        </w:r>
      </w:hyperlink>
    </w:p>
    <w:p w14:paraId="755FFA37" w14:textId="4E8AEE95" w:rsidR="00693F82" w:rsidRDefault="00E27A80" w:rsidP="00BB486B">
      <w:pPr>
        <w:pStyle w:val="TOC2"/>
        <w:rPr>
          <w:rFonts w:asciiTheme="minorHAnsi" w:eastAsiaTheme="minorEastAsia" w:hAnsiTheme="minorHAnsi" w:cstheme="minorBidi"/>
          <w:sz w:val="22"/>
          <w:szCs w:val="22"/>
        </w:rPr>
      </w:pPr>
      <w:hyperlink w:anchor="_Toc27492609" w:history="1">
        <w:r w:rsidR="00693F82" w:rsidRPr="00807AC3">
          <w:rPr>
            <w:rStyle w:val="Hyperlink"/>
          </w:rPr>
          <w:t xml:space="preserve">Part A5.4 </w:t>
        </w:r>
        <w:r w:rsidR="00693F82">
          <w:rPr>
            <w:rFonts w:asciiTheme="minorHAnsi" w:eastAsiaTheme="minorEastAsia" w:hAnsiTheme="minorHAnsi" w:cstheme="minorBidi"/>
            <w:sz w:val="22"/>
            <w:szCs w:val="22"/>
          </w:rPr>
          <w:tab/>
        </w:r>
        <w:r w:rsidR="00693F82" w:rsidRPr="00807AC3">
          <w:rPr>
            <w:rStyle w:val="Hyperlink"/>
          </w:rPr>
          <w:t>Underwriting Risk</w:t>
        </w:r>
        <w:r w:rsidR="00693F82">
          <w:rPr>
            <w:webHidden/>
          </w:rPr>
          <w:tab/>
        </w:r>
        <w:r w:rsidR="00693F82">
          <w:rPr>
            <w:webHidden/>
          </w:rPr>
          <w:fldChar w:fldCharType="begin"/>
        </w:r>
        <w:r w:rsidR="00693F82">
          <w:rPr>
            <w:webHidden/>
          </w:rPr>
          <w:instrText xml:space="preserve"> PAGEREF _Toc27492609 \h </w:instrText>
        </w:r>
        <w:r w:rsidR="00693F82">
          <w:rPr>
            <w:webHidden/>
          </w:rPr>
        </w:r>
        <w:r w:rsidR="00693F82">
          <w:rPr>
            <w:webHidden/>
          </w:rPr>
          <w:fldChar w:fldCharType="separate"/>
        </w:r>
        <w:r w:rsidR="004473CC">
          <w:rPr>
            <w:webHidden/>
          </w:rPr>
          <w:t>101</w:t>
        </w:r>
        <w:r w:rsidR="00693F82">
          <w:rPr>
            <w:webHidden/>
          </w:rPr>
          <w:fldChar w:fldCharType="end"/>
        </w:r>
      </w:hyperlink>
    </w:p>
    <w:p w14:paraId="7E0EFB59" w14:textId="7EF94CAF" w:rsidR="00693F82" w:rsidRDefault="00E27A80">
      <w:pPr>
        <w:pStyle w:val="TOC1"/>
        <w:rPr>
          <w:rFonts w:asciiTheme="minorHAnsi" w:eastAsiaTheme="minorEastAsia" w:hAnsiTheme="minorHAnsi" w:cstheme="minorBidi"/>
          <w:b w:val="0"/>
          <w:sz w:val="22"/>
          <w:szCs w:val="22"/>
        </w:rPr>
      </w:pPr>
      <w:hyperlink w:anchor="_Toc27492610" w:history="1">
        <w:r w:rsidR="00693F82" w:rsidRPr="00807AC3">
          <w:rPr>
            <w:rStyle w:val="Hyperlink"/>
            <w:rFonts w:eastAsia="Arial"/>
          </w:rPr>
          <w:t>Schedule</w:t>
        </w:r>
        <w:r w:rsidR="00693F82" w:rsidRPr="00807AC3">
          <w:rPr>
            <w:rStyle w:val="Hyperlink"/>
            <w:rFonts w:eastAsia="Arial"/>
            <w:spacing w:val="53"/>
          </w:rPr>
          <w:t xml:space="preserve"> </w:t>
        </w:r>
        <w:r w:rsidR="00693F82" w:rsidRPr="00807AC3">
          <w:rPr>
            <w:rStyle w:val="Hyperlink"/>
            <w:rFonts w:eastAsia="Arial"/>
          </w:rPr>
          <w:t>1C:</w:t>
        </w:r>
        <w:r w:rsidR="00693F82" w:rsidRPr="00807AC3">
          <w:rPr>
            <w:rStyle w:val="Hyperlink"/>
            <w:rFonts w:eastAsia="Arial"/>
            <w:spacing w:val="16"/>
          </w:rPr>
          <w:t xml:space="preserve"> </w:t>
        </w:r>
        <w:r w:rsidR="00693F82" w:rsidRPr="00807AC3">
          <w:rPr>
            <w:rStyle w:val="Hyperlink"/>
            <w:rFonts w:eastAsia="Arial"/>
            <w:w w:val="102"/>
          </w:rPr>
          <w:t>Forms</w:t>
        </w:r>
        <w:r w:rsidR="00693F82">
          <w:rPr>
            <w:webHidden/>
          </w:rPr>
          <w:tab/>
        </w:r>
        <w:r w:rsidR="00693F82">
          <w:rPr>
            <w:webHidden/>
          </w:rPr>
          <w:fldChar w:fldCharType="begin"/>
        </w:r>
        <w:r w:rsidR="00693F82">
          <w:rPr>
            <w:webHidden/>
          </w:rPr>
          <w:instrText xml:space="preserve"> PAGEREF _Toc27492610 \h </w:instrText>
        </w:r>
        <w:r w:rsidR="00693F82">
          <w:rPr>
            <w:webHidden/>
          </w:rPr>
        </w:r>
        <w:r w:rsidR="00693F82">
          <w:rPr>
            <w:webHidden/>
          </w:rPr>
          <w:fldChar w:fldCharType="separate"/>
        </w:r>
        <w:r w:rsidR="004473CC">
          <w:rPr>
            <w:webHidden/>
          </w:rPr>
          <w:t>102</w:t>
        </w:r>
        <w:r w:rsidR="00693F82">
          <w:rPr>
            <w:webHidden/>
          </w:rPr>
          <w:fldChar w:fldCharType="end"/>
        </w:r>
      </w:hyperlink>
    </w:p>
    <w:p w14:paraId="1FCD90C7" w14:textId="3D5FE8F9" w:rsidR="00693F82" w:rsidRDefault="00E27A80" w:rsidP="00BB486B">
      <w:pPr>
        <w:pStyle w:val="TOC2"/>
        <w:rPr>
          <w:rFonts w:asciiTheme="minorHAnsi" w:eastAsiaTheme="minorEastAsia" w:hAnsiTheme="minorHAnsi" w:cstheme="minorBidi"/>
          <w:sz w:val="22"/>
          <w:szCs w:val="22"/>
        </w:rPr>
      </w:pPr>
      <w:hyperlink w:anchor="_Toc27492611" w:history="1">
        <w:r w:rsidR="00693F82" w:rsidRPr="00807AC3">
          <w:rPr>
            <w:rStyle w:val="Hyperlink"/>
            <w:rFonts w:eastAsia="Arial"/>
          </w:rPr>
          <w:t>Schedule 1C Form 1</w:t>
        </w:r>
        <w:r w:rsidR="00AC24A7">
          <w:rPr>
            <w:rStyle w:val="Hyperlink"/>
            <w:rFonts w:eastAsia="Arial"/>
          </w:rPr>
          <w:t xml:space="preserve"> </w:t>
        </w:r>
        <w:r w:rsidR="00693F82" w:rsidRPr="00807AC3">
          <w:rPr>
            <w:rStyle w:val="Hyperlink"/>
            <w:rFonts w:eastAsia="Arial"/>
          </w:rPr>
          <w:t>Ad Hoc Risk-Based Return</w:t>
        </w:r>
        <w:r w:rsidR="00693F82">
          <w:rPr>
            <w:webHidden/>
          </w:rPr>
          <w:tab/>
        </w:r>
        <w:r w:rsidR="00693F82">
          <w:rPr>
            <w:webHidden/>
          </w:rPr>
          <w:fldChar w:fldCharType="begin"/>
        </w:r>
        <w:r w:rsidR="00693F82">
          <w:rPr>
            <w:webHidden/>
          </w:rPr>
          <w:instrText xml:space="preserve"> PAGEREF _Toc27492611 \h </w:instrText>
        </w:r>
        <w:r w:rsidR="00693F82">
          <w:rPr>
            <w:webHidden/>
          </w:rPr>
        </w:r>
        <w:r w:rsidR="00693F82">
          <w:rPr>
            <w:webHidden/>
          </w:rPr>
          <w:fldChar w:fldCharType="separate"/>
        </w:r>
        <w:r w:rsidR="004473CC">
          <w:rPr>
            <w:webHidden/>
          </w:rPr>
          <w:t>102</w:t>
        </w:r>
        <w:r w:rsidR="00693F82">
          <w:rPr>
            <w:webHidden/>
          </w:rPr>
          <w:fldChar w:fldCharType="end"/>
        </w:r>
      </w:hyperlink>
    </w:p>
    <w:p w14:paraId="2C37D71E" w14:textId="06F72A34" w:rsidR="00693F82" w:rsidRDefault="00E27A80" w:rsidP="00BB486B">
      <w:pPr>
        <w:pStyle w:val="TOC2"/>
        <w:rPr>
          <w:rFonts w:asciiTheme="minorHAnsi" w:eastAsiaTheme="minorEastAsia" w:hAnsiTheme="minorHAnsi" w:cstheme="minorBidi"/>
          <w:sz w:val="22"/>
          <w:szCs w:val="22"/>
        </w:rPr>
      </w:pPr>
      <w:hyperlink w:anchor="_Toc27492612" w:history="1">
        <w:r w:rsidR="00693F82" w:rsidRPr="00807AC3">
          <w:rPr>
            <w:rStyle w:val="Hyperlink"/>
            <w:rFonts w:eastAsia="Arial"/>
          </w:rPr>
          <w:t>Schedu</w:t>
        </w:r>
        <w:r w:rsidR="00693F82" w:rsidRPr="00807AC3">
          <w:rPr>
            <w:rStyle w:val="Hyperlink"/>
            <w:rFonts w:eastAsia="Arial"/>
            <w:spacing w:val="2"/>
          </w:rPr>
          <w:t>l</w:t>
        </w:r>
        <w:r w:rsidR="00693F82" w:rsidRPr="00807AC3">
          <w:rPr>
            <w:rStyle w:val="Hyperlink"/>
            <w:rFonts w:eastAsia="Arial"/>
          </w:rPr>
          <w:t>e</w:t>
        </w:r>
        <w:r w:rsidR="00693F82" w:rsidRPr="00807AC3">
          <w:rPr>
            <w:rStyle w:val="Hyperlink"/>
            <w:rFonts w:eastAsia="Arial"/>
            <w:spacing w:val="-12"/>
          </w:rPr>
          <w:t xml:space="preserve"> </w:t>
        </w:r>
        <w:r w:rsidR="00693F82" w:rsidRPr="00807AC3">
          <w:rPr>
            <w:rStyle w:val="Hyperlink"/>
            <w:rFonts w:eastAsia="Arial"/>
          </w:rPr>
          <w:t>1C</w:t>
        </w:r>
        <w:r w:rsidR="00693F82" w:rsidRPr="00807AC3">
          <w:rPr>
            <w:rStyle w:val="Hyperlink"/>
            <w:rFonts w:eastAsia="Arial"/>
            <w:spacing w:val="-1"/>
          </w:rPr>
          <w:t xml:space="preserve"> </w:t>
        </w:r>
        <w:r w:rsidR="00693F82" w:rsidRPr="00807AC3">
          <w:rPr>
            <w:rStyle w:val="Hyperlink"/>
            <w:rFonts w:eastAsia="Arial"/>
          </w:rPr>
          <w:t>Form 2</w:t>
        </w:r>
        <w:r w:rsidR="00693F82" w:rsidRPr="00807AC3">
          <w:rPr>
            <w:rStyle w:val="Hyperlink"/>
            <w:rFonts w:eastAsia="Arial"/>
            <w:spacing w:val="-1"/>
          </w:rPr>
          <w:t xml:space="preserve"> </w:t>
        </w:r>
        <w:r w:rsidR="00693F82" w:rsidRPr="00807AC3">
          <w:rPr>
            <w:rStyle w:val="Hyperlink"/>
            <w:rFonts w:eastAsia="Arial"/>
            <w:w w:val="99"/>
          </w:rPr>
          <w:t>Risk-Based Return</w:t>
        </w:r>
        <w:r w:rsidR="00693F82" w:rsidRPr="00807AC3">
          <w:rPr>
            <w:rStyle w:val="Hyperlink"/>
            <w:rFonts w:eastAsia="Arial"/>
            <w:spacing w:val="-12"/>
          </w:rPr>
          <w:t xml:space="preserve"> </w:t>
        </w:r>
        <w:r w:rsidR="00693F82" w:rsidRPr="00807AC3">
          <w:rPr>
            <w:rStyle w:val="Hyperlink"/>
            <w:rFonts w:eastAsia="Arial"/>
          </w:rPr>
          <w:t>Dec</w:t>
        </w:r>
        <w:r w:rsidR="00693F82" w:rsidRPr="00807AC3">
          <w:rPr>
            <w:rStyle w:val="Hyperlink"/>
            <w:rFonts w:eastAsia="Arial"/>
            <w:spacing w:val="2"/>
          </w:rPr>
          <w:t>l</w:t>
        </w:r>
        <w:r w:rsidR="00693F82" w:rsidRPr="00807AC3">
          <w:rPr>
            <w:rStyle w:val="Hyperlink"/>
            <w:rFonts w:eastAsia="Arial"/>
          </w:rPr>
          <w:t>arat</w:t>
        </w:r>
        <w:r w:rsidR="00693F82" w:rsidRPr="00807AC3">
          <w:rPr>
            <w:rStyle w:val="Hyperlink"/>
            <w:rFonts w:eastAsia="Arial"/>
            <w:spacing w:val="2"/>
          </w:rPr>
          <w:t>i</w:t>
        </w:r>
        <w:r w:rsidR="00693F82" w:rsidRPr="00807AC3">
          <w:rPr>
            <w:rStyle w:val="Hyperlink"/>
            <w:rFonts w:eastAsia="Arial"/>
          </w:rPr>
          <w:t>on</w:t>
        </w:r>
        <w:r w:rsidR="00693F82">
          <w:rPr>
            <w:webHidden/>
          </w:rPr>
          <w:tab/>
        </w:r>
        <w:r w:rsidR="00693F82">
          <w:rPr>
            <w:webHidden/>
          </w:rPr>
          <w:fldChar w:fldCharType="begin"/>
        </w:r>
        <w:r w:rsidR="00693F82">
          <w:rPr>
            <w:webHidden/>
          </w:rPr>
          <w:instrText xml:space="preserve"> PAGEREF _Toc27492612 \h </w:instrText>
        </w:r>
        <w:r w:rsidR="00693F82">
          <w:rPr>
            <w:webHidden/>
          </w:rPr>
        </w:r>
        <w:r w:rsidR="00693F82">
          <w:rPr>
            <w:webHidden/>
          </w:rPr>
          <w:fldChar w:fldCharType="separate"/>
        </w:r>
        <w:r w:rsidR="004473CC">
          <w:rPr>
            <w:webHidden/>
          </w:rPr>
          <w:t>105</w:t>
        </w:r>
        <w:r w:rsidR="00693F82">
          <w:rPr>
            <w:webHidden/>
          </w:rPr>
          <w:fldChar w:fldCharType="end"/>
        </w:r>
      </w:hyperlink>
    </w:p>
    <w:p w14:paraId="754475E8" w14:textId="4712E823" w:rsidR="00693F82" w:rsidRPr="00AC24A7" w:rsidRDefault="00E27A80" w:rsidP="00BB486B">
      <w:pPr>
        <w:pStyle w:val="TOC2"/>
        <w:rPr>
          <w:rFonts w:asciiTheme="minorHAnsi" w:eastAsiaTheme="minorEastAsia" w:hAnsiTheme="minorHAnsi" w:cstheme="minorBidi"/>
          <w:sz w:val="22"/>
          <w:szCs w:val="22"/>
        </w:rPr>
      </w:pPr>
      <w:hyperlink w:anchor="_Toc27492613" w:history="1">
        <w:r w:rsidR="00693F82" w:rsidRPr="00D3615D">
          <w:rPr>
            <w:rStyle w:val="Hyperlink"/>
            <w:rFonts w:eastAsia="Arial"/>
            <w:spacing w:val="0"/>
          </w:rPr>
          <w:t>Schedule 1C Form 3</w:t>
        </w:r>
        <w:r w:rsidR="00AC24A7" w:rsidRPr="00AC24A7">
          <w:rPr>
            <w:rFonts w:asciiTheme="minorHAnsi" w:eastAsiaTheme="minorEastAsia" w:hAnsiTheme="minorHAnsi" w:cstheme="minorBidi"/>
            <w:sz w:val="22"/>
            <w:szCs w:val="22"/>
          </w:rPr>
          <w:t xml:space="preserve"> </w:t>
        </w:r>
        <w:r w:rsidR="00693F82" w:rsidRPr="00D3615D">
          <w:rPr>
            <w:rStyle w:val="Hyperlink"/>
            <w:rFonts w:eastAsia="Arial"/>
            <w:spacing w:val="0"/>
          </w:rPr>
          <w:t>Risk-Based Return (Summary, Monthly and</w:t>
        </w:r>
        <w:r w:rsidR="00AC24A7">
          <w:rPr>
            <w:rStyle w:val="Hyperlink"/>
            <w:rFonts w:eastAsia="Arial"/>
            <w:spacing w:val="0"/>
          </w:rPr>
          <w:t> </w:t>
        </w:r>
        <w:r w:rsidR="00693F82" w:rsidRPr="00D3615D">
          <w:rPr>
            <w:rStyle w:val="Hyperlink"/>
            <w:rFonts w:eastAsia="Arial"/>
            <w:spacing w:val="0"/>
          </w:rPr>
          <w:t>Annual*)</w:t>
        </w:r>
        <w:r w:rsidR="00AC24A7" w:rsidRPr="00AC24A7">
          <w:rPr>
            <w:webHidden/>
          </w:rPr>
          <w:tab/>
        </w:r>
        <w:r w:rsidR="00693F82" w:rsidRPr="00AC24A7">
          <w:rPr>
            <w:webHidden/>
          </w:rPr>
          <w:fldChar w:fldCharType="begin"/>
        </w:r>
        <w:r w:rsidR="00693F82" w:rsidRPr="00AC24A7">
          <w:rPr>
            <w:webHidden/>
          </w:rPr>
          <w:instrText xml:space="preserve"> PAGEREF _Toc27492613 \h </w:instrText>
        </w:r>
        <w:r w:rsidR="00693F82" w:rsidRPr="00AC24A7">
          <w:rPr>
            <w:webHidden/>
          </w:rPr>
        </w:r>
        <w:r w:rsidR="00693F82" w:rsidRPr="00AC24A7">
          <w:rPr>
            <w:webHidden/>
          </w:rPr>
          <w:fldChar w:fldCharType="separate"/>
        </w:r>
        <w:r w:rsidR="004473CC">
          <w:rPr>
            <w:webHidden/>
          </w:rPr>
          <w:t>107</w:t>
        </w:r>
        <w:r w:rsidR="00693F82" w:rsidRPr="00AC24A7">
          <w:rPr>
            <w:webHidden/>
          </w:rPr>
          <w:fldChar w:fldCharType="end"/>
        </w:r>
      </w:hyperlink>
    </w:p>
    <w:p w14:paraId="5E6C4794" w14:textId="797F2F1C" w:rsidR="00693F82" w:rsidRDefault="00E27A80" w:rsidP="00BB486B">
      <w:pPr>
        <w:pStyle w:val="TOC2"/>
        <w:rPr>
          <w:rFonts w:asciiTheme="minorHAnsi" w:eastAsiaTheme="minorEastAsia" w:hAnsiTheme="minorHAnsi" w:cstheme="minorBidi"/>
          <w:sz w:val="22"/>
          <w:szCs w:val="22"/>
        </w:rPr>
      </w:pPr>
      <w:hyperlink w:anchor="_Toc27492614" w:history="1">
        <w:r w:rsidR="00693F82" w:rsidRPr="00807AC3">
          <w:rPr>
            <w:rStyle w:val="Hyperlink"/>
            <w:rFonts w:eastAsia="Arial"/>
          </w:rPr>
          <w:t>Schedule 1C Form 5: Risk-Based Capital Requirements</w:t>
        </w:r>
        <w:r w:rsidR="00AC24A7" w:rsidRPr="00D3615D">
          <w:rPr>
            <w:rStyle w:val="Hyperlink"/>
            <w:rFonts w:eastAsia="Arial"/>
          </w:rPr>
          <w:t>—</w:t>
        </w:r>
        <w:r w:rsidR="00693F82" w:rsidRPr="00807AC3">
          <w:rPr>
            <w:rStyle w:val="Hyperlink"/>
            <w:rFonts w:eastAsia="Arial"/>
          </w:rPr>
          <w:t>Auditor’s</w:t>
        </w:r>
        <w:r w:rsidR="00AC24A7">
          <w:rPr>
            <w:rStyle w:val="Hyperlink"/>
            <w:rFonts w:eastAsia="Arial"/>
          </w:rPr>
          <w:t> </w:t>
        </w:r>
        <w:r w:rsidR="00693F82" w:rsidRPr="00807AC3">
          <w:rPr>
            <w:rStyle w:val="Hyperlink"/>
            <w:rFonts w:eastAsia="Arial"/>
          </w:rPr>
          <w:t>Report</w:t>
        </w:r>
        <w:r w:rsidR="00693F82">
          <w:rPr>
            <w:webHidden/>
          </w:rPr>
          <w:tab/>
        </w:r>
        <w:r w:rsidR="00693F82">
          <w:rPr>
            <w:webHidden/>
          </w:rPr>
          <w:fldChar w:fldCharType="begin"/>
        </w:r>
        <w:r w:rsidR="00693F82">
          <w:rPr>
            <w:webHidden/>
          </w:rPr>
          <w:instrText xml:space="preserve"> PAGEREF _Toc27492614 \h </w:instrText>
        </w:r>
        <w:r w:rsidR="00693F82">
          <w:rPr>
            <w:webHidden/>
          </w:rPr>
        </w:r>
        <w:r w:rsidR="00693F82">
          <w:rPr>
            <w:webHidden/>
          </w:rPr>
          <w:fldChar w:fldCharType="separate"/>
        </w:r>
        <w:r w:rsidR="004473CC">
          <w:rPr>
            <w:webHidden/>
          </w:rPr>
          <w:t>150</w:t>
        </w:r>
        <w:r w:rsidR="00693F82">
          <w:rPr>
            <w:webHidden/>
          </w:rPr>
          <w:fldChar w:fldCharType="end"/>
        </w:r>
      </w:hyperlink>
    </w:p>
    <w:p w14:paraId="7B02F42B" w14:textId="5A271C1B" w:rsidR="00693F82" w:rsidRDefault="00E27A80" w:rsidP="00BB486B">
      <w:pPr>
        <w:pStyle w:val="TOC2"/>
        <w:rPr>
          <w:rFonts w:asciiTheme="minorHAnsi" w:eastAsiaTheme="minorEastAsia" w:hAnsiTheme="minorHAnsi" w:cstheme="minorBidi"/>
          <w:sz w:val="22"/>
          <w:szCs w:val="22"/>
        </w:rPr>
      </w:pPr>
      <w:hyperlink w:anchor="_Toc27492615" w:history="1">
        <w:r w:rsidR="00693F82" w:rsidRPr="00807AC3">
          <w:rPr>
            <w:rStyle w:val="Hyperlink"/>
            <w:rFonts w:eastAsia="Arial"/>
          </w:rPr>
          <w:t>Schedu</w:t>
        </w:r>
        <w:r w:rsidR="00693F82" w:rsidRPr="00807AC3">
          <w:rPr>
            <w:rStyle w:val="Hyperlink"/>
            <w:rFonts w:eastAsia="Arial"/>
            <w:spacing w:val="2"/>
          </w:rPr>
          <w:t>l</w:t>
        </w:r>
        <w:r w:rsidR="00693F82" w:rsidRPr="00807AC3">
          <w:rPr>
            <w:rStyle w:val="Hyperlink"/>
            <w:rFonts w:eastAsia="Arial"/>
          </w:rPr>
          <w:t>e</w:t>
        </w:r>
        <w:r w:rsidR="00693F82" w:rsidRPr="00807AC3">
          <w:rPr>
            <w:rStyle w:val="Hyperlink"/>
            <w:rFonts w:eastAsia="Arial"/>
            <w:spacing w:val="-12"/>
          </w:rPr>
          <w:t xml:space="preserve"> </w:t>
        </w:r>
        <w:r w:rsidR="00693F82" w:rsidRPr="00807AC3">
          <w:rPr>
            <w:rStyle w:val="Hyperlink"/>
            <w:rFonts w:eastAsia="Arial"/>
          </w:rPr>
          <w:t>1C</w:t>
        </w:r>
        <w:r w:rsidR="00693F82" w:rsidRPr="00807AC3">
          <w:rPr>
            <w:rStyle w:val="Hyperlink"/>
            <w:rFonts w:eastAsia="Arial"/>
            <w:spacing w:val="-1"/>
          </w:rPr>
          <w:t xml:space="preserve"> </w:t>
        </w:r>
        <w:r w:rsidR="00693F82" w:rsidRPr="00807AC3">
          <w:rPr>
            <w:rStyle w:val="Hyperlink"/>
            <w:rFonts w:eastAsia="Arial"/>
          </w:rPr>
          <w:t>Form 6: Risk-Bas</w:t>
        </w:r>
        <w:r w:rsidR="00693F82" w:rsidRPr="00807AC3">
          <w:rPr>
            <w:rStyle w:val="Hyperlink"/>
            <w:rFonts w:eastAsia="Arial"/>
            <w:spacing w:val="2"/>
          </w:rPr>
          <w:t>e</w:t>
        </w:r>
        <w:r w:rsidR="00693F82" w:rsidRPr="00807AC3">
          <w:rPr>
            <w:rStyle w:val="Hyperlink"/>
            <w:rFonts w:eastAsia="Arial"/>
          </w:rPr>
          <w:t>d</w:t>
        </w:r>
        <w:r w:rsidR="00693F82" w:rsidRPr="00807AC3">
          <w:rPr>
            <w:rStyle w:val="Hyperlink"/>
            <w:rFonts w:eastAsia="Arial"/>
            <w:spacing w:val="-8"/>
          </w:rPr>
          <w:t xml:space="preserve"> </w:t>
        </w:r>
        <w:r w:rsidR="00693F82" w:rsidRPr="00807AC3">
          <w:rPr>
            <w:rStyle w:val="Hyperlink"/>
            <w:rFonts w:eastAsia="Arial"/>
          </w:rPr>
          <w:t>Cap</w:t>
        </w:r>
        <w:r w:rsidR="00693F82" w:rsidRPr="00807AC3">
          <w:rPr>
            <w:rStyle w:val="Hyperlink"/>
            <w:rFonts w:eastAsia="Arial"/>
            <w:spacing w:val="2"/>
          </w:rPr>
          <w:t>i</w:t>
        </w:r>
        <w:r w:rsidR="00693F82" w:rsidRPr="00807AC3">
          <w:rPr>
            <w:rStyle w:val="Hyperlink"/>
            <w:rFonts w:eastAsia="Arial"/>
            <w:spacing w:val="3"/>
          </w:rPr>
          <w:t>t</w:t>
        </w:r>
        <w:r w:rsidR="00693F82" w:rsidRPr="00807AC3">
          <w:rPr>
            <w:rStyle w:val="Hyperlink"/>
            <w:rFonts w:eastAsia="Arial"/>
          </w:rPr>
          <w:t>al</w:t>
        </w:r>
        <w:r w:rsidR="00693F82" w:rsidRPr="00807AC3">
          <w:rPr>
            <w:rStyle w:val="Hyperlink"/>
            <w:rFonts w:eastAsia="Arial"/>
            <w:spacing w:val="-9"/>
          </w:rPr>
          <w:t xml:space="preserve"> </w:t>
        </w:r>
        <w:r w:rsidR="00693F82" w:rsidRPr="00807AC3">
          <w:rPr>
            <w:rStyle w:val="Hyperlink"/>
            <w:rFonts w:eastAsia="Arial"/>
          </w:rPr>
          <w:t>Requ</w:t>
        </w:r>
        <w:r w:rsidR="00693F82" w:rsidRPr="00807AC3">
          <w:rPr>
            <w:rStyle w:val="Hyperlink"/>
            <w:rFonts w:eastAsia="Arial"/>
            <w:spacing w:val="2"/>
          </w:rPr>
          <w:t>i</w:t>
        </w:r>
        <w:r w:rsidR="00693F82" w:rsidRPr="00807AC3">
          <w:rPr>
            <w:rStyle w:val="Hyperlink"/>
            <w:rFonts w:eastAsia="Arial"/>
          </w:rPr>
          <w:t>rem</w:t>
        </w:r>
        <w:r w:rsidR="00693F82" w:rsidRPr="00807AC3">
          <w:rPr>
            <w:rStyle w:val="Hyperlink"/>
            <w:rFonts w:eastAsia="Arial"/>
            <w:spacing w:val="2"/>
          </w:rPr>
          <w:t>e</w:t>
        </w:r>
        <w:r w:rsidR="00693F82" w:rsidRPr="00807AC3">
          <w:rPr>
            <w:rStyle w:val="Hyperlink"/>
            <w:rFonts w:eastAsia="Arial"/>
          </w:rPr>
          <w:t>nts</w:t>
        </w:r>
        <w:r w:rsidR="00BB486B" w:rsidRPr="00BB486B">
          <w:rPr>
            <w:rStyle w:val="Hyperlink"/>
            <w:rFonts w:eastAsia="Arial"/>
          </w:rPr>
          <w:t>—</w:t>
        </w:r>
        <w:r w:rsidR="00693F82" w:rsidRPr="00807AC3">
          <w:rPr>
            <w:rStyle w:val="Hyperlink"/>
            <w:rFonts w:eastAsia="Arial"/>
          </w:rPr>
          <w:t xml:space="preserve">Key </w:t>
        </w:r>
        <w:r w:rsidR="00693F82" w:rsidRPr="00807AC3">
          <w:rPr>
            <w:rStyle w:val="Hyperlink"/>
            <w:rFonts w:eastAsia="Arial"/>
            <w:bCs/>
          </w:rPr>
          <w:t>Risks</w:t>
        </w:r>
        <w:r w:rsidR="00693F82" w:rsidRPr="00807AC3">
          <w:rPr>
            <w:rStyle w:val="Hyperlink"/>
            <w:rFonts w:eastAsia="Arial"/>
            <w:bCs/>
            <w:spacing w:val="-7"/>
          </w:rPr>
          <w:t xml:space="preserve"> </w:t>
        </w:r>
        <w:r w:rsidR="00693F82" w:rsidRPr="00807AC3">
          <w:rPr>
            <w:rStyle w:val="Hyperlink"/>
            <w:rFonts w:eastAsia="Arial"/>
            <w:bCs/>
            <w:spacing w:val="2"/>
          </w:rPr>
          <w:t>a</w:t>
        </w:r>
        <w:r w:rsidR="00693F82" w:rsidRPr="00807AC3">
          <w:rPr>
            <w:rStyle w:val="Hyperlink"/>
            <w:rFonts w:eastAsia="Arial"/>
            <w:bCs/>
          </w:rPr>
          <w:t>nd</w:t>
        </w:r>
        <w:r w:rsidR="00693F82" w:rsidRPr="00807AC3">
          <w:rPr>
            <w:rStyle w:val="Hyperlink"/>
            <w:rFonts w:eastAsia="Arial"/>
            <w:bCs/>
            <w:spacing w:val="-5"/>
          </w:rPr>
          <w:t xml:space="preserve"> </w:t>
        </w:r>
        <w:r w:rsidR="00693F82" w:rsidRPr="00807AC3">
          <w:rPr>
            <w:rStyle w:val="Hyperlink"/>
            <w:rFonts w:eastAsia="Arial"/>
            <w:bCs/>
          </w:rPr>
          <w:t>In</w:t>
        </w:r>
        <w:r w:rsidR="00693F82" w:rsidRPr="00807AC3">
          <w:rPr>
            <w:rStyle w:val="Hyperlink"/>
            <w:rFonts w:eastAsia="Arial"/>
            <w:bCs/>
            <w:spacing w:val="3"/>
          </w:rPr>
          <w:t>t</w:t>
        </w:r>
        <w:r w:rsidR="00693F82" w:rsidRPr="00807AC3">
          <w:rPr>
            <w:rStyle w:val="Hyperlink"/>
            <w:rFonts w:eastAsia="Arial"/>
            <w:bCs/>
          </w:rPr>
          <w:t>ernal</w:t>
        </w:r>
        <w:r w:rsidR="00693F82" w:rsidRPr="00807AC3">
          <w:rPr>
            <w:rStyle w:val="Hyperlink"/>
            <w:rFonts w:eastAsia="Arial"/>
            <w:bCs/>
            <w:spacing w:val="-7"/>
          </w:rPr>
          <w:t xml:space="preserve"> </w:t>
        </w:r>
        <w:r w:rsidR="00693F82" w:rsidRPr="00807AC3">
          <w:rPr>
            <w:rStyle w:val="Hyperlink"/>
            <w:rFonts w:eastAsia="Arial"/>
            <w:bCs/>
            <w:spacing w:val="5"/>
          </w:rPr>
          <w:t>S</w:t>
        </w:r>
        <w:r w:rsidR="00693F82" w:rsidRPr="00807AC3">
          <w:rPr>
            <w:rStyle w:val="Hyperlink"/>
            <w:rFonts w:eastAsia="Arial"/>
            <w:bCs/>
            <w:spacing w:val="-5"/>
          </w:rPr>
          <w:t>y</w:t>
        </w:r>
        <w:r w:rsidR="00693F82" w:rsidRPr="00807AC3">
          <w:rPr>
            <w:rStyle w:val="Hyperlink"/>
            <w:rFonts w:eastAsia="Arial"/>
            <w:bCs/>
          </w:rPr>
          <w:t>ste</w:t>
        </w:r>
        <w:r w:rsidR="00693F82" w:rsidRPr="00807AC3">
          <w:rPr>
            <w:rStyle w:val="Hyperlink"/>
            <w:rFonts w:eastAsia="Arial"/>
            <w:bCs/>
            <w:spacing w:val="2"/>
          </w:rPr>
          <w:t>m</w:t>
        </w:r>
        <w:r w:rsidR="00693F82" w:rsidRPr="00807AC3">
          <w:rPr>
            <w:rStyle w:val="Hyperlink"/>
            <w:rFonts w:eastAsia="Arial"/>
            <w:bCs/>
          </w:rPr>
          <w:t>s Statement</w:t>
        </w:r>
        <w:r w:rsidR="00693F82">
          <w:rPr>
            <w:webHidden/>
          </w:rPr>
          <w:tab/>
        </w:r>
        <w:r w:rsidR="00693F82">
          <w:rPr>
            <w:webHidden/>
          </w:rPr>
          <w:fldChar w:fldCharType="begin"/>
        </w:r>
        <w:r w:rsidR="00693F82">
          <w:rPr>
            <w:webHidden/>
          </w:rPr>
          <w:instrText xml:space="preserve"> PAGEREF _Toc27492615 \h </w:instrText>
        </w:r>
        <w:r w:rsidR="00693F82">
          <w:rPr>
            <w:webHidden/>
          </w:rPr>
        </w:r>
        <w:r w:rsidR="00693F82">
          <w:rPr>
            <w:webHidden/>
          </w:rPr>
          <w:fldChar w:fldCharType="separate"/>
        </w:r>
        <w:r w:rsidR="004473CC">
          <w:rPr>
            <w:webHidden/>
          </w:rPr>
          <w:t>152</w:t>
        </w:r>
        <w:r w:rsidR="00693F82">
          <w:rPr>
            <w:webHidden/>
          </w:rPr>
          <w:fldChar w:fldCharType="end"/>
        </w:r>
      </w:hyperlink>
    </w:p>
    <w:p w14:paraId="6276FF3B" w14:textId="0501D136" w:rsidR="00310562" w:rsidRPr="003A1060" w:rsidRDefault="00FB03B7" w:rsidP="00BB486B">
      <w:pPr>
        <w:pStyle w:val="TOC2"/>
        <w:rPr>
          <w:rFonts w:asciiTheme="minorHAnsi" w:eastAsiaTheme="minorEastAsia" w:hAnsiTheme="minorHAnsi" w:cstheme="minorBidi"/>
          <w:sz w:val="22"/>
          <w:szCs w:val="22"/>
        </w:rPr>
      </w:pPr>
      <w:r w:rsidRPr="00A65900">
        <w:fldChar w:fldCharType="end"/>
      </w:r>
    </w:p>
    <w:p w14:paraId="1C1678B9" w14:textId="77777777" w:rsidR="00E81ACF" w:rsidRPr="0033698E" w:rsidRDefault="00E81ACF" w:rsidP="00E81ACF">
      <w:pPr>
        <w:pStyle w:val="Bodytextplain"/>
        <w:rPr>
          <w:noProof/>
        </w:rPr>
        <w:sectPr w:rsidR="00E81ACF" w:rsidRPr="0033698E" w:rsidSect="004C5E51">
          <w:type w:val="continuous"/>
          <w:pgSz w:w="11906" w:h="16838" w:code="9"/>
          <w:pgMar w:top="1644" w:right="1418" w:bottom="1418" w:left="1418" w:header="567" w:footer="567" w:gutter="0"/>
          <w:pgNumType w:start="1"/>
          <w:cols w:space="720"/>
          <w:titlePg/>
        </w:sectPr>
      </w:pPr>
    </w:p>
    <w:p w14:paraId="252208F5" w14:textId="263CF4F1" w:rsidR="00DF40A6" w:rsidRPr="00F831C0" w:rsidRDefault="00A55551" w:rsidP="00F5243E">
      <w:pPr>
        <w:pStyle w:val="MIRHeading1Chapter"/>
      </w:pPr>
      <w:bookmarkStart w:id="6" w:name="_Toc267648175"/>
      <w:bookmarkStart w:id="7" w:name="_Toc471197223"/>
      <w:bookmarkStart w:id="8" w:name="_Toc27492556"/>
      <w:r w:rsidRPr="00F831C0">
        <w:lastRenderedPageBreak/>
        <w:t>Chapter 1: Introduction</w:t>
      </w:r>
      <w:bookmarkEnd w:id="6"/>
      <w:bookmarkEnd w:id="7"/>
      <w:bookmarkEnd w:id="8"/>
    </w:p>
    <w:p w14:paraId="25BE57E0" w14:textId="05C07136" w:rsidR="007115E8" w:rsidRPr="00F831C0" w:rsidRDefault="00DE36D1" w:rsidP="00F5243E">
      <w:pPr>
        <w:pStyle w:val="MIRHeading2Part"/>
      </w:pPr>
      <w:bookmarkStart w:id="9" w:name="_Toc267648176"/>
      <w:bookmarkStart w:id="10" w:name="_Toc27492557"/>
      <w:r w:rsidRPr="00F831C0">
        <w:t xml:space="preserve">Part </w:t>
      </w:r>
      <w:r w:rsidR="00285E8F" w:rsidRPr="00F831C0">
        <w:t>1.1</w:t>
      </w:r>
      <w:r w:rsidR="00B90D72" w:rsidRPr="00F831C0">
        <w:tab/>
      </w:r>
      <w:r w:rsidR="007115E8" w:rsidRPr="00F831C0">
        <w:t>Preliminary</w:t>
      </w:r>
      <w:bookmarkEnd w:id="9"/>
      <w:bookmarkEnd w:id="10"/>
    </w:p>
    <w:p w14:paraId="123E010C" w14:textId="77777777" w:rsidR="00A55551" w:rsidRPr="00F831C0" w:rsidRDefault="00285E8F" w:rsidP="00F5243E">
      <w:pPr>
        <w:pStyle w:val="MIRHeading3Rule"/>
      </w:pPr>
      <w:r w:rsidRPr="00F831C0">
        <w:t>1.1.1</w:t>
      </w:r>
      <w:r w:rsidRPr="00F831C0">
        <w:tab/>
      </w:r>
      <w:r w:rsidR="007115E8" w:rsidRPr="00F831C0">
        <w:t>Enabling legislation</w:t>
      </w:r>
    </w:p>
    <w:p w14:paraId="6FBAE693" w14:textId="0F27BCF8" w:rsidR="00A55551" w:rsidRPr="00F831C0" w:rsidRDefault="007115E8" w:rsidP="002C28E2">
      <w:pPr>
        <w:pStyle w:val="MIRBodyText"/>
      </w:pPr>
      <w:r w:rsidRPr="00F831C0">
        <w:t>ASIC makes this instrument under subsection 798G(1) of the Corporations Act</w:t>
      </w:r>
      <w:r w:rsidR="00A55551" w:rsidRPr="00F831C0">
        <w:t>.</w:t>
      </w:r>
    </w:p>
    <w:p w14:paraId="702C7E99" w14:textId="77777777" w:rsidR="00A55551" w:rsidRPr="00F831C0" w:rsidRDefault="00285E8F" w:rsidP="00F5243E">
      <w:pPr>
        <w:pStyle w:val="MIRHeading3Rule"/>
      </w:pPr>
      <w:r w:rsidRPr="00F831C0">
        <w:t>1.1.2</w:t>
      </w:r>
      <w:r w:rsidRPr="00F831C0">
        <w:tab/>
      </w:r>
      <w:r w:rsidR="007115E8" w:rsidRPr="00F831C0">
        <w:t>Title</w:t>
      </w:r>
    </w:p>
    <w:p w14:paraId="7601B4AE" w14:textId="0992DF10" w:rsidR="00A55551" w:rsidRPr="00F831C0" w:rsidRDefault="007115E8" w:rsidP="00BE0D37">
      <w:pPr>
        <w:pStyle w:val="MIRBodyText"/>
      </w:pPr>
      <w:r w:rsidRPr="00F831C0">
        <w:t xml:space="preserve">This instrument is </w:t>
      </w:r>
      <w:r w:rsidRPr="00F831C0">
        <w:rPr>
          <w:i/>
        </w:rPr>
        <w:t>ASIC Market Integrity Rules (</w:t>
      </w:r>
      <w:r w:rsidR="00CA27A7" w:rsidRPr="00F831C0">
        <w:rPr>
          <w:i/>
        </w:rPr>
        <w:t>Capital</w:t>
      </w:r>
      <w:r w:rsidRPr="00F831C0">
        <w:rPr>
          <w:i/>
        </w:rPr>
        <w:t xml:space="preserve">) </w:t>
      </w:r>
      <w:r w:rsidR="00C51A7F" w:rsidRPr="00F831C0">
        <w:rPr>
          <w:i/>
        </w:rPr>
        <w:t>20</w:t>
      </w:r>
      <w:r w:rsidR="00C51A7F">
        <w:rPr>
          <w:i/>
        </w:rPr>
        <w:t>21</w:t>
      </w:r>
      <w:r w:rsidRPr="00F831C0">
        <w:t>.</w:t>
      </w:r>
    </w:p>
    <w:p w14:paraId="3A7D7637" w14:textId="77777777" w:rsidR="007115E8" w:rsidRPr="00F831C0" w:rsidRDefault="007115E8" w:rsidP="00F5243E">
      <w:pPr>
        <w:pStyle w:val="MIRHeading3Rule"/>
      </w:pPr>
      <w:r w:rsidRPr="00F831C0">
        <w:t>1.1.3</w:t>
      </w:r>
      <w:r w:rsidRPr="00F831C0">
        <w:tab/>
        <w:t>Com</w:t>
      </w:r>
      <w:r w:rsidR="00B13091" w:rsidRPr="00F831C0">
        <w:t>mencement</w:t>
      </w:r>
    </w:p>
    <w:p w14:paraId="52C029FC" w14:textId="06A08471" w:rsidR="009C5D96" w:rsidRPr="00F831C0" w:rsidRDefault="00EA63BE" w:rsidP="006E456E">
      <w:pPr>
        <w:pStyle w:val="MIRBodyText"/>
      </w:pPr>
      <w:r>
        <w:t>This</w:t>
      </w:r>
      <w:r w:rsidR="00A3167C" w:rsidRPr="00F831C0">
        <w:t xml:space="preserve"> instrument commences on </w:t>
      </w:r>
      <w:r w:rsidRPr="00F831C0">
        <w:t>the day after this instrument is registered on the Federal Register of Legislation</w:t>
      </w:r>
      <w:r>
        <w:t>.</w:t>
      </w:r>
      <w:r w:rsidR="006E456E" w:rsidRPr="00F831C0">
        <w:t xml:space="preserve"> </w:t>
      </w:r>
    </w:p>
    <w:p w14:paraId="2932D2B9" w14:textId="152D78F9" w:rsidR="00B13091" w:rsidRPr="00EE04DC" w:rsidRDefault="00B13091" w:rsidP="00BE0D37">
      <w:pPr>
        <w:pStyle w:val="MIRNote"/>
      </w:pPr>
      <w:r w:rsidRPr="00F831C0">
        <w:t xml:space="preserve">Note: </w:t>
      </w:r>
      <w:r w:rsidR="00822694" w:rsidRPr="00F831C0">
        <w:t>The register</w:t>
      </w:r>
      <w:r w:rsidRPr="00F831C0">
        <w:t xml:space="preserve"> may be accessed at </w:t>
      </w:r>
      <w:hyperlink r:id="rId20" w:history="1">
        <w:r w:rsidR="00EE04DC" w:rsidRPr="00EE04DC">
          <w:rPr>
            <w:rStyle w:val="Hyperlink"/>
          </w:rPr>
          <w:t>www.legislation.gov.au</w:t>
        </w:r>
      </w:hyperlink>
      <w:r w:rsidR="00EE04DC" w:rsidRPr="00EE04DC">
        <w:rPr>
          <w:rStyle w:val="Hyperlink"/>
          <w:color w:val="auto"/>
          <w:u w:val="none"/>
        </w:rPr>
        <w:t>.</w:t>
      </w:r>
    </w:p>
    <w:p w14:paraId="1DCAC752" w14:textId="77777777" w:rsidR="00822694" w:rsidRPr="00F831C0" w:rsidRDefault="00822694" w:rsidP="00BE0D37">
      <w:pPr>
        <w:pStyle w:val="MIRHeading3"/>
      </w:pPr>
      <w:r w:rsidRPr="00F831C0">
        <w:t>1.1.3A</w:t>
      </w:r>
      <w:r w:rsidRPr="00F831C0">
        <w:tab/>
        <w:t>Revocation</w:t>
      </w:r>
    </w:p>
    <w:p w14:paraId="074D4C8A" w14:textId="065430B8" w:rsidR="00822694" w:rsidRPr="00F831C0" w:rsidRDefault="0060189D" w:rsidP="00822694">
      <w:pPr>
        <w:pStyle w:val="MIRBodyText"/>
      </w:pPr>
      <w:r>
        <w:t>On the day that is 12 months after the day on which the prov</w:t>
      </w:r>
      <w:r w:rsidR="005252B2">
        <w:t>i</w:t>
      </w:r>
      <w:r>
        <w:t>sions of this instrument commence in accordance with Rule 1.1.3, t</w:t>
      </w:r>
      <w:r w:rsidR="00822694" w:rsidRPr="00F831C0">
        <w:t>he following instruments are repealed:</w:t>
      </w:r>
    </w:p>
    <w:p w14:paraId="3B7E0301" w14:textId="7B41C904" w:rsidR="00822694" w:rsidRPr="00F831C0" w:rsidRDefault="00822694" w:rsidP="00E54F01">
      <w:pPr>
        <w:pStyle w:val="MIRSubpara"/>
      </w:pPr>
      <w:r w:rsidRPr="00F831C0">
        <w:rPr>
          <w:i/>
        </w:rPr>
        <w:t>ASIC Market Integrity Rules (</w:t>
      </w:r>
      <w:r w:rsidR="00741CBF">
        <w:rPr>
          <w:i/>
        </w:rPr>
        <w:t>Securities</w:t>
      </w:r>
      <w:r w:rsidR="00741CBF" w:rsidRPr="00F831C0">
        <w:rPr>
          <w:i/>
        </w:rPr>
        <w:t xml:space="preserve"> </w:t>
      </w:r>
      <w:r w:rsidRPr="00F831C0">
        <w:rPr>
          <w:i/>
        </w:rPr>
        <w:t>Market</w:t>
      </w:r>
      <w:r w:rsidR="00741CBF">
        <w:rPr>
          <w:i/>
        </w:rPr>
        <w:t>s</w:t>
      </w:r>
      <w:r w:rsidR="00B95741">
        <w:rPr>
          <w:i/>
        </w:rPr>
        <w:t xml:space="preserve"> – </w:t>
      </w:r>
      <w:r w:rsidRPr="00F831C0">
        <w:rPr>
          <w:i/>
        </w:rPr>
        <w:t xml:space="preserve">Capital) </w:t>
      </w:r>
      <w:r w:rsidR="00741CBF" w:rsidRPr="00F831C0">
        <w:rPr>
          <w:i/>
        </w:rPr>
        <w:t>201</w:t>
      </w:r>
      <w:r w:rsidR="00741CBF">
        <w:rPr>
          <w:i/>
        </w:rPr>
        <w:t>7</w:t>
      </w:r>
      <w:r w:rsidRPr="00F831C0">
        <w:t>;</w:t>
      </w:r>
      <w:r w:rsidR="00B95741">
        <w:t xml:space="preserve"> and</w:t>
      </w:r>
    </w:p>
    <w:p w14:paraId="6C461208" w14:textId="25C9A0AE" w:rsidR="00822694" w:rsidRPr="00F831C0" w:rsidRDefault="00822694" w:rsidP="00BB75CF">
      <w:pPr>
        <w:pStyle w:val="MIRSubpara"/>
      </w:pPr>
      <w:r w:rsidRPr="00F831C0">
        <w:rPr>
          <w:i/>
        </w:rPr>
        <w:t>ASIC Market Integrity Rules (</w:t>
      </w:r>
      <w:r w:rsidR="00741CBF">
        <w:rPr>
          <w:i/>
        </w:rPr>
        <w:t>Futures</w:t>
      </w:r>
      <w:r w:rsidR="00741CBF" w:rsidRPr="00F831C0">
        <w:rPr>
          <w:i/>
        </w:rPr>
        <w:t xml:space="preserve"> </w:t>
      </w:r>
      <w:r w:rsidRPr="00F831C0">
        <w:rPr>
          <w:i/>
        </w:rPr>
        <w:t>Market</w:t>
      </w:r>
      <w:r w:rsidR="00741CBF">
        <w:rPr>
          <w:i/>
        </w:rPr>
        <w:t>s</w:t>
      </w:r>
      <w:r w:rsidR="00B95741">
        <w:rPr>
          <w:i/>
        </w:rPr>
        <w:t xml:space="preserve"> – </w:t>
      </w:r>
      <w:r w:rsidRPr="00F831C0">
        <w:rPr>
          <w:i/>
        </w:rPr>
        <w:t xml:space="preserve">Capital) </w:t>
      </w:r>
      <w:r w:rsidR="00741CBF" w:rsidRPr="00F831C0">
        <w:rPr>
          <w:i/>
        </w:rPr>
        <w:t>201</w:t>
      </w:r>
      <w:r w:rsidR="00741CBF">
        <w:rPr>
          <w:i/>
        </w:rPr>
        <w:t>7.</w:t>
      </w:r>
    </w:p>
    <w:p w14:paraId="61F9917E" w14:textId="77777777" w:rsidR="006D1A0F" w:rsidRPr="00F831C0" w:rsidRDefault="006D1A0F" w:rsidP="00F5243E">
      <w:pPr>
        <w:pStyle w:val="MIRHeading3Rule"/>
      </w:pPr>
      <w:r w:rsidRPr="00F831C0">
        <w:t>1.1.4</w:t>
      </w:r>
      <w:r w:rsidRPr="00F831C0">
        <w:tab/>
        <w:t>Scope of these Rules</w:t>
      </w:r>
    </w:p>
    <w:p w14:paraId="3E4F8995" w14:textId="46FD3B7D" w:rsidR="006D1A0F" w:rsidRPr="00F831C0" w:rsidRDefault="006D1A0F" w:rsidP="00BE0D37">
      <w:pPr>
        <w:pStyle w:val="MIRBodyText"/>
      </w:pPr>
      <w:r w:rsidRPr="00F831C0">
        <w:t>These Rules apply to:</w:t>
      </w:r>
    </w:p>
    <w:p w14:paraId="0C5DE7CF" w14:textId="77777777" w:rsidR="006D1A0F" w:rsidRPr="00F831C0" w:rsidRDefault="006D1A0F" w:rsidP="00BB75CF">
      <w:pPr>
        <w:pStyle w:val="MIRSubpara"/>
      </w:pPr>
      <w:r w:rsidRPr="00F831C0">
        <w:t xml:space="preserve">the activities or conduct of the </w:t>
      </w:r>
      <w:r w:rsidR="00822694" w:rsidRPr="00F831C0">
        <w:t>Markets;</w:t>
      </w:r>
    </w:p>
    <w:p w14:paraId="0992990A" w14:textId="5BE72C68" w:rsidR="006D1A0F" w:rsidRPr="00F831C0" w:rsidRDefault="006D1A0F" w:rsidP="00BB75CF">
      <w:pPr>
        <w:pStyle w:val="MIRSubpara"/>
      </w:pPr>
      <w:r w:rsidRPr="00F831C0">
        <w:t>the activities or conduct of persons in relation to the Market</w:t>
      </w:r>
      <w:r w:rsidR="00822694" w:rsidRPr="00F831C0">
        <w:t>s</w:t>
      </w:r>
      <w:r w:rsidRPr="00F831C0">
        <w:t>;</w:t>
      </w:r>
      <w:r w:rsidR="00867C5A" w:rsidRPr="00F831C0">
        <w:t xml:space="preserve"> and</w:t>
      </w:r>
    </w:p>
    <w:p w14:paraId="1F5C5EB4" w14:textId="77777777" w:rsidR="00867C5A" w:rsidRPr="00F831C0" w:rsidRDefault="006D1A0F" w:rsidP="00BB75CF">
      <w:pPr>
        <w:pStyle w:val="MIRSubpara"/>
      </w:pPr>
      <w:r w:rsidRPr="00F831C0">
        <w:t>the activities or con</w:t>
      </w:r>
      <w:r w:rsidR="00822694" w:rsidRPr="00F831C0">
        <w:t>duct of persons in relation to financial p</w:t>
      </w:r>
      <w:r w:rsidRPr="00F831C0">
        <w:t>roducts traded on the Market</w:t>
      </w:r>
      <w:r w:rsidR="00822694" w:rsidRPr="00F831C0">
        <w:t>s</w:t>
      </w:r>
      <w:r w:rsidR="00867C5A" w:rsidRPr="00F831C0">
        <w:t>,</w:t>
      </w:r>
    </w:p>
    <w:p w14:paraId="5805C7E2" w14:textId="5ECCA897" w:rsidR="006D1A0F" w:rsidRPr="00F831C0" w:rsidRDefault="00867C5A" w:rsidP="00867C5A">
      <w:pPr>
        <w:pStyle w:val="MIRBodyText"/>
      </w:pPr>
      <w:r w:rsidRPr="00F831C0">
        <w:t>as specified in each Chapter, Part or Rule</w:t>
      </w:r>
      <w:r w:rsidR="006D1A0F" w:rsidRPr="00F831C0">
        <w:t>.</w:t>
      </w:r>
    </w:p>
    <w:p w14:paraId="452C1930" w14:textId="30075919" w:rsidR="003734CB" w:rsidRPr="00F831C0" w:rsidRDefault="006D1A0F" w:rsidP="003F2203">
      <w:pPr>
        <w:pStyle w:val="MIRHeading3Rule"/>
      </w:pPr>
      <w:r w:rsidRPr="00F831C0">
        <w:t>1.1.5</w:t>
      </w:r>
      <w:r w:rsidRPr="00F831C0">
        <w:tab/>
      </w:r>
      <w:r w:rsidR="003734CB" w:rsidRPr="00F831C0">
        <w:t>Entities that must comply with these Rules</w:t>
      </w:r>
    </w:p>
    <w:p w14:paraId="47CF138A" w14:textId="42B6F188" w:rsidR="006D1A0F" w:rsidRPr="00F831C0" w:rsidRDefault="000A13E1" w:rsidP="00BE0D37">
      <w:pPr>
        <w:pStyle w:val="MIRBodyText"/>
      </w:pPr>
      <w:r>
        <w:t>Subject to Rule 1.1.5A, t</w:t>
      </w:r>
      <w:r w:rsidR="006D1A0F" w:rsidRPr="00F831C0">
        <w:t xml:space="preserve">he following </w:t>
      </w:r>
      <w:r w:rsidR="00915642">
        <w:t>persons</w:t>
      </w:r>
      <w:r w:rsidR="00915642" w:rsidRPr="00F831C0">
        <w:t xml:space="preserve"> </w:t>
      </w:r>
      <w:r w:rsidR="006D1A0F" w:rsidRPr="00F831C0">
        <w:t>must comply with these Rules:</w:t>
      </w:r>
    </w:p>
    <w:p w14:paraId="6E2D6B73" w14:textId="77777777" w:rsidR="006D1A0F" w:rsidRPr="00F831C0" w:rsidRDefault="00822694" w:rsidP="00BB75CF">
      <w:pPr>
        <w:pStyle w:val="MIRSubpara"/>
      </w:pPr>
      <w:r w:rsidRPr="00F831C0">
        <w:t>Market o</w:t>
      </w:r>
      <w:r w:rsidR="006D1A0F" w:rsidRPr="00F831C0">
        <w:t>perator</w:t>
      </w:r>
      <w:r w:rsidRPr="00F831C0">
        <w:t>s</w:t>
      </w:r>
      <w:r w:rsidR="006D1A0F" w:rsidRPr="00F831C0">
        <w:t>;</w:t>
      </w:r>
    </w:p>
    <w:p w14:paraId="5F7FFE35" w14:textId="77777777" w:rsidR="006D1A0F" w:rsidRPr="00F831C0" w:rsidRDefault="006D1A0F" w:rsidP="00BB75CF">
      <w:pPr>
        <w:pStyle w:val="MIRSubpara"/>
      </w:pPr>
      <w:r w:rsidRPr="00F831C0">
        <w:t>Market Participants; and</w:t>
      </w:r>
    </w:p>
    <w:p w14:paraId="4C481297" w14:textId="03887A2D" w:rsidR="006D1A0F" w:rsidRPr="00F831C0" w:rsidRDefault="006D1A0F" w:rsidP="00742665">
      <w:pPr>
        <w:pStyle w:val="MIRSubpara"/>
        <w:keepNext/>
      </w:pPr>
      <w:r w:rsidRPr="00F831C0">
        <w:t>Other Regulated Entities</w:t>
      </w:r>
      <w:r w:rsidR="00D56DCB">
        <w:t>,</w:t>
      </w:r>
      <w:r w:rsidRPr="00F831C0">
        <w:t xml:space="preserve"> </w:t>
      </w:r>
    </w:p>
    <w:p w14:paraId="03FE14CF" w14:textId="77777777" w:rsidR="006D1A0F" w:rsidRPr="00F831C0" w:rsidRDefault="006D1A0F" w:rsidP="00BE0D37">
      <w:pPr>
        <w:pStyle w:val="MIRBodyText"/>
      </w:pPr>
      <w:r w:rsidRPr="00F831C0">
        <w:t>as specified in each Rule.</w:t>
      </w:r>
    </w:p>
    <w:p w14:paraId="4CC5E99C" w14:textId="6C482449" w:rsidR="00152E35" w:rsidRPr="00F831C0" w:rsidRDefault="00152E35" w:rsidP="00152E35">
      <w:pPr>
        <w:pStyle w:val="MIRHeading3Rule"/>
      </w:pPr>
      <w:r w:rsidRPr="00F831C0">
        <w:lastRenderedPageBreak/>
        <w:t>1.1.5</w:t>
      </w:r>
      <w:r>
        <w:t>A</w:t>
      </w:r>
      <w:r w:rsidRPr="00F831C0">
        <w:tab/>
        <w:t>Entities that must comply with these Rules</w:t>
      </w:r>
      <w:r w:rsidR="001D2A2A">
        <w:rPr>
          <w:rFonts w:ascii="Calibri" w:hAnsi="Calibri"/>
        </w:rPr>
        <w:t>—</w:t>
      </w:r>
      <w:r w:rsidR="001D2A2A">
        <w:t>T</w:t>
      </w:r>
      <w:r w:rsidR="00B46489">
        <w:t>ransitional</w:t>
      </w:r>
    </w:p>
    <w:p w14:paraId="683CFBDA" w14:textId="7EB46C18" w:rsidR="004679B6" w:rsidRDefault="000F19AD" w:rsidP="00AB6A44">
      <w:pPr>
        <w:pStyle w:val="MIRBodyText"/>
      </w:pPr>
      <w:r>
        <w:t xml:space="preserve">(1) </w:t>
      </w:r>
      <w:r w:rsidR="004679B6">
        <w:t>A</w:t>
      </w:r>
      <w:r w:rsidR="00915642">
        <w:t xml:space="preserve"> person is not required to comply with these Rules</w:t>
      </w:r>
      <w:r w:rsidR="004679B6">
        <w:t xml:space="preserve"> </w:t>
      </w:r>
      <w:r>
        <w:t>before the earlier of the following days</w:t>
      </w:r>
      <w:r w:rsidR="004679B6">
        <w:t>:</w:t>
      </w:r>
    </w:p>
    <w:p w14:paraId="2E8C1FA7" w14:textId="42F06C58" w:rsidR="004679B6" w:rsidRDefault="004679B6" w:rsidP="004679B6">
      <w:pPr>
        <w:pStyle w:val="MIRSubpara"/>
      </w:pPr>
      <w:r>
        <w:t>the day that is 12 months after the day on which the provisions of this instrument commence in accordance with Rule 1.1.3;</w:t>
      </w:r>
      <w:r w:rsidR="00796CB0">
        <w:t xml:space="preserve"> and</w:t>
      </w:r>
    </w:p>
    <w:p w14:paraId="73CD87F2" w14:textId="25C3C6AC" w:rsidR="006950F0" w:rsidRDefault="00AB6A44" w:rsidP="004679B6">
      <w:pPr>
        <w:pStyle w:val="MIRSubpara"/>
      </w:pPr>
      <w:r>
        <w:t xml:space="preserve">the </w:t>
      </w:r>
      <w:r w:rsidR="000F19AD">
        <w:t>day</w:t>
      </w:r>
      <w:r w:rsidR="00796CB0">
        <w:t xml:space="preserve"> (</w:t>
      </w:r>
      <w:r w:rsidR="00796CB0" w:rsidRPr="00D3615D">
        <w:rPr>
          <w:b/>
          <w:i/>
        </w:rPr>
        <w:t>Opt-In Day</w:t>
      </w:r>
      <w:r w:rsidR="00796CB0">
        <w:t>)</w:t>
      </w:r>
      <w:r w:rsidR="000F19AD">
        <w:t xml:space="preserve"> </w:t>
      </w:r>
      <w:r>
        <w:t xml:space="preserve">specified in a </w:t>
      </w:r>
      <w:r w:rsidR="004679B6">
        <w:t xml:space="preserve">written </w:t>
      </w:r>
      <w:r>
        <w:t xml:space="preserve">notice </w:t>
      </w:r>
      <w:r w:rsidR="006950F0">
        <w:t>(</w:t>
      </w:r>
      <w:r w:rsidR="006950F0" w:rsidRPr="00D3615D">
        <w:rPr>
          <w:b/>
          <w:i/>
        </w:rPr>
        <w:t>Opt-</w:t>
      </w:r>
      <w:r w:rsidR="00796CB0" w:rsidRPr="00D3615D">
        <w:rPr>
          <w:b/>
          <w:i/>
        </w:rPr>
        <w:t>I</w:t>
      </w:r>
      <w:r w:rsidR="006950F0" w:rsidRPr="00D3615D">
        <w:rPr>
          <w:b/>
          <w:i/>
        </w:rPr>
        <w:t>n Notice</w:t>
      </w:r>
      <w:r w:rsidR="006950F0">
        <w:t xml:space="preserve">) </w:t>
      </w:r>
      <w:r w:rsidR="004679B6" w:rsidRPr="006950F0">
        <w:t>given</w:t>
      </w:r>
      <w:r w:rsidR="004679B6">
        <w:t xml:space="preserve"> to</w:t>
      </w:r>
      <w:r>
        <w:t xml:space="preserve"> ASIC by the </w:t>
      </w:r>
      <w:r w:rsidR="004679B6">
        <w:t xml:space="preserve">person </w:t>
      </w:r>
      <w:r>
        <w:t>that</w:t>
      </w:r>
      <w:r w:rsidR="006950F0">
        <w:t xml:space="preserve"> states that the person wants these Rules to apply to the person from </w:t>
      </w:r>
      <w:r w:rsidR="00796CB0">
        <w:t>that</w:t>
      </w:r>
      <w:r w:rsidR="006950F0">
        <w:t xml:space="preserve"> day</w:t>
      </w:r>
      <w:r w:rsidR="00A40822">
        <w:t>, provided th</w:t>
      </w:r>
      <w:r w:rsidR="009C3BD7">
        <w:t xml:space="preserve">e </w:t>
      </w:r>
      <w:r w:rsidR="00796CB0">
        <w:t>Opt-In Day</w:t>
      </w:r>
      <w:r w:rsidR="009C3BD7">
        <w:t xml:space="preserve"> occurs after the day the Opt-</w:t>
      </w:r>
      <w:r w:rsidR="00C574E9">
        <w:t>I</w:t>
      </w:r>
      <w:r w:rsidR="009C3BD7">
        <w:t>n Notice is given to ASIC</w:t>
      </w:r>
      <w:r w:rsidR="006950F0">
        <w:t>.</w:t>
      </w:r>
    </w:p>
    <w:p w14:paraId="402FA42F" w14:textId="3A83EA98" w:rsidR="00796CB0" w:rsidRDefault="00796CB0" w:rsidP="000724EC">
      <w:pPr>
        <w:pStyle w:val="MIRBodyText"/>
      </w:pPr>
      <w:r>
        <w:t>(2) A person that gives an Opt-In Notice to ASIC in accordance with paragraph (1)(b) is not required to comply with</w:t>
      </w:r>
      <w:r w:rsidRPr="00796CB0">
        <w:t xml:space="preserve"> </w:t>
      </w:r>
      <w:r>
        <w:t xml:space="preserve">the </w:t>
      </w:r>
      <w:r w:rsidRPr="00796CB0">
        <w:rPr>
          <w:i/>
        </w:rPr>
        <w:t>ASIC Market Integrity Rules (Securities Markets – Capital) 2017</w:t>
      </w:r>
      <w:r>
        <w:rPr>
          <w:i/>
        </w:rPr>
        <w:t xml:space="preserve"> </w:t>
      </w:r>
      <w:r>
        <w:t xml:space="preserve">or the </w:t>
      </w:r>
      <w:r w:rsidRPr="001F1DC0">
        <w:rPr>
          <w:i/>
        </w:rPr>
        <w:t>ASIC Market Integrity Rules (Futures Markets – Capital) 2017</w:t>
      </w:r>
      <w:r>
        <w:t xml:space="preserve"> from the Opt-In Day.</w:t>
      </w:r>
    </w:p>
    <w:p w14:paraId="7AF964BB" w14:textId="700B27DB" w:rsidR="00796CB0" w:rsidRPr="00D3615D" w:rsidRDefault="001F1DC0" w:rsidP="00ED5BCF">
      <w:pPr>
        <w:pStyle w:val="MIRBodyText"/>
        <w:numPr>
          <w:ilvl w:val="0"/>
          <w:numId w:val="0"/>
        </w:numPr>
        <w:ind w:left="851"/>
        <w:rPr>
          <w:spacing w:val="-2"/>
        </w:rPr>
      </w:pPr>
      <w:r>
        <w:t xml:space="preserve">(3) </w:t>
      </w:r>
      <w:r w:rsidRPr="00D3615D">
        <w:rPr>
          <w:spacing w:val="-2"/>
        </w:rPr>
        <w:t xml:space="preserve">Subrule (2) has effect as a waiver from the </w:t>
      </w:r>
      <w:r w:rsidRPr="00D3615D">
        <w:rPr>
          <w:i/>
          <w:spacing w:val="-2"/>
        </w:rPr>
        <w:t xml:space="preserve">ASIC Market Integrity Rules (Securities Markets – Capital) 2017 </w:t>
      </w:r>
      <w:r w:rsidRPr="00D3615D">
        <w:rPr>
          <w:spacing w:val="-2"/>
        </w:rPr>
        <w:t xml:space="preserve">or the </w:t>
      </w:r>
      <w:r w:rsidRPr="00D3615D">
        <w:rPr>
          <w:i/>
          <w:spacing w:val="-2"/>
        </w:rPr>
        <w:t>ASIC Market Integrity Rules (Futures Markets – Capital) 2017</w:t>
      </w:r>
      <w:r w:rsidR="00ED5BCF" w:rsidRPr="00D3615D">
        <w:rPr>
          <w:spacing w:val="-2"/>
        </w:rPr>
        <w:t xml:space="preserve"> under Rule 1.2.1 of </w:t>
      </w:r>
      <w:r w:rsidR="005B44AA" w:rsidRPr="00D3615D">
        <w:rPr>
          <w:spacing w:val="-2"/>
        </w:rPr>
        <w:t>the applicable</w:t>
      </w:r>
      <w:r w:rsidR="00ED5BCF" w:rsidRPr="00D3615D">
        <w:rPr>
          <w:spacing w:val="-2"/>
        </w:rPr>
        <w:t xml:space="preserve"> Rules.</w:t>
      </w:r>
    </w:p>
    <w:p w14:paraId="10A69298" w14:textId="77777777" w:rsidR="00E052FE" w:rsidRDefault="00B92B69" w:rsidP="00B92B69">
      <w:pPr>
        <w:pStyle w:val="MIRHeading3Rule"/>
      </w:pPr>
      <w:r w:rsidRPr="00F831C0">
        <w:t>1.1.5</w:t>
      </w:r>
      <w:r>
        <w:t>B</w:t>
      </w:r>
      <w:r w:rsidRPr="00F831C0">
        <w:tab/>
      </w:r>
      <w:r>
        <w:t>Penalt</w:t>
      </w:r>
      <w:r w:rsidR="00E052FE">
        <w:t>ies for a contravention of these Rules</w:t>
      </w:r>
    </w:p>
    <w:p w14:paraId="29AA7C1E" w14:textId="12FF9B07" w:rsidR="00B92B69" w:rsidRDefault="00E052FE" w:rsidP="00E052FE">
      <w:pPr>
        <w:pStyle w:val="MIRBodyText"/>
      </w:pPr>
      <w:r w:rsidRPr="00FE1675">
        <w:t>The maximum pecuniary penalty payable for a contravention of a provision of these Rules is an amount determined by the Court under section 1317G</w:t>
      </w:r>
      <w:r w:rsidR="003A6CD6">
        <w:t xml:space="preserve"> of the Corporations Act</w:t>
      </w:r>
      <w:r w:rsidRPr="00FE1675">
        <w:t>.</w:t>
      </w:r>
    </w:p>
    <w:p w14:paraId="19AE9520" w14:textId="0C6850BC" w:rsidR="00891D64" w:rsidRPr="00F831C0" w:rsidRDefault="00891D64" w:rsidP="00F5243E">
      <w:pPr>
        <w:pStyle w:val="MIRHeading3Rule"/>
      </w:pPr>
      <w:r w:rsidRPr="00F831C0">
        <w:t>1.1.6</w:t>
      </w:r>
      <w:r w:rsidRPr="00F831C0">
        <w:tab/>
        <w:t xml:space="preserve">Conduct by officers, </w:t>
      </w:r>
      <w:r w:rsidR="005B5F7A" w:rsidRPr="00F831C0">
        <w:t>E</w:t>
      </w:r>
      <w:r w:rsidRPr="00F831C0">
        <w:t>mployees or agents</w:t>
      </w:r>
    </w:p>
    <w:p w14:paraId="599BBEAC" w14:textId="77777777" w:rsidR="00891D64" w:rsidRPr="00F831C0" w:rsidRDefault="00891D64" w:rsidP="00BE0D37">
      <w:pPr>
        <w:pStyle w:val="MIRBodyText"/>
      </w:pPr>
      <w:r w:rsidRPr="00F831C0">
        <w:t>In these Rules, conduct engaged in on behalf of a person:</w:t>
      </w:r>
    </w:p>
    <w:p w14:paraId="46EEA25A" w14:textId="77777777" w:rsidR="00891D64" w:rsidRPr="00F831C0" w:rsidRDefault="00891D64" w:rsidP="00BB75CF">
      <w:pPr>
        <w:pStyle w:val="MIRSubpara"/>
      </w:pPr>
      <w:r w:rsidRPr="00F831C0">
        <w:t>by an officer, Employee, or other agent of the person, and whether or not within the scope of the actual or apparent authority of the officer, Employee, or other agent; or</w:t>
      </w:r>
    </w:p>
    <w:p w14:paraId="4BD736AE" w14:textId="77777777" w:rsidR="00891D64" w:rsidRPr="00F831C0" w:rsidRDefault="00891D64" w:rsidP="00BB75CF">
      <w:pPr>
        <w:pStyle w:val="MIRSubpara"/>
      </w:pPr>
      <w:r w:rsidRPr="00F831C0">
        <w:t>by any other person at the direction or with the consent or agreement (whether express or implied) of an officer, Employee, or other agent of the person, and whether or not the giving of the direction, consent or agreement is within the scope of the actual or apparent authority of the officer, Employee, or other agent,</w:t>
      </w:r>
    </w:p>
    <w:p w14:paraId="7663B879" w14:textId="32C40F2E" w:rsidR="00891D64" w:rsidRPr="00F831C0" w:rsidRDefault="00891D64" w:rsidP="001A4322">
      <w:pPr>
        <w:pStyle w:val="MIRBodyText"/>
      </w:pPr>
      <w:r w:rsidRPr="00F831C0">
        <w:t>is deemed to have been engaged in by the person.</w:t>
      </w:r>
    </w:p>
    <w:p w14:paraId="6AA8E6E7" w14:textId="77777777" w:rsidR="00891D64" w:rsidRPr="00F831C0" w:rsidRDefault="00891D64" w:rsidP="00F5243E">
      <w:pPr>
        <w:pStyle w:val="MIRHeading3Rule"/>
      </w:pPr>
      <w:r w:rsidRPr="00F831C0">
        <w:t>1.1.7</w:t>
      </w:r>
      <w:r w:rsidRPr="00F831C0">
        <w:tab/>
        <w:t>State of mind of a person</w:t>
      </w:r>
    </w:p>
    <w:p w14:paraId="6CAF09CD" w14:textId="77777777" w:rsidR="00891D64" w:rsidRPr="00F831C0" w:rsidRDefault="00891D64" w:rsidP="00BE0D37">
      <w:pPr>
        <w:pStyle w:val="MIRBodyText"/>
      </w:pPr>
      <w:r w:rsidRPr="00F831C0">
        <w:t>(1) If for the purposes of these Rules in respect of conduct engaged in by a person, it is necessary to establish the state of mind of the person, it is sufficient to show that an officer, Employee, or other agent of the person, being an officer, Employee, or other agent by whom the conduct was engaged in and whether or not the conduct was within the scope of the actual or apparent authority of that officer, Employee, or other agent, had that state of mind.</w:t>
      </w:r>
    </w:p>
    <w:p w14:paraId="1217EE2B" w14:textId="77777777" w:rsidR="00891D64" w:rsidRPr="00F831C0" w:rsidRDefault="00891D64" w:rsidP="00BE0D37">
      <w:pPr>
        <w:pStyle w:val="MIRBodyText"/>
      </w:pPr>
      <w:r w:rsidRPr="00F831C0">
        <w:lastRenderedPageBreak/>
        <w:t>(2) In subrule (1), a reference to the state of mind of a person includes a reference to the knowledge, intention, opinion, belief or purpose of the person and the person</w:t>
      </w:r>
      <w:r w:rsidR="00F837EF" w:rsidRPr="00F831C0">
        <w:t>’</w:t>
      </w:r>
      <w:r w:rsidRPr="00F831C0">
        <w:t>s reasons for the person</w:t>
      </w:r>
      <w:r w:rsidR="00F837EF" w:rsidRPr="00F831C0">
        <w:t>’</w:t>
      </w:r>
      <w:r w:rsidRPr="00F831C0">
        <w:t>s intention, opinion, belief or purpose.</w:t>
      </w:r>
    </w:p>
    <w:p w14:paraId="3B16D357" w14:textId="0A27738B" w:rsidR="00A55551" w:rsidRPr="00F831C0" w:rsidRDefault="00701B79" w:rsidP="00F5243E">
      <w:pPr>
        <w:pStyle w:val="MIRHeading2Part"/>
      </w:pPr>
      <w:bookmarkStart w:id="11" w:name="_Toc267648177"/>
      <w:bookmarkStart w:id="12" w:name="_Toc27492558"/>
      <w:r w:rsidRPr="00F831C0">
        <w:t xml:space="preserve">Part </w:t>
      </w:r>
      <w:r w:rsidR="00A55551" w:rsidRPr="00F831C0">
        <w:t>1.2</w:t>
      </w:r>
      <w:r w:rsidR="00285E8F" w:rsidRPr="00F831C0">
        <w:tab/>
      </w:r>
      <w:r w:rsidR="00987AC2" w:rsidRPr="00F831C0">
        <w:t>Waiver</w:t>
      </w:r>
      <w:bookmarkEnd w:id="11"/>
      <w:bookmarkEnd w:id="12"/>
    </w:p>
    <w:p w14:paraId="75B67E01" w14:textId="77777777" w:rsidR="00A55551" w:rsidRPr="00F831C0" w:rsidRDefault="00A55551" w:rsidP="00F5243E">
      <w:pPr>
        <w:pStyle w:val="MIRHeading3Rule"/>
      </w:pPr>
      <w:r w:rsidRPr="00F831C0">
        <w:t>1.2</w:t>
      </w:r>
      <w:r w:rsidR="00285E8F" w:rsidRPr="00F831C0">
        <w:t>.1</w:t>
      </w:r>
      <w:r w:rsidR="00285E8F" w:rsidRPr="00F831C0">
        <w:tab/>
      </w:r>
      <w:r w:rsidRPr="00F831C0">
        <w:t xml:space="preserve">Waiver of </w:t>
      </w:r>
      <w:r w:rsidR="00761CF2" w:rsidRPr="00F831C0">
        <w:t>R</w:t>
      </w:r>
      <w:r w:rsidRPr="00F831C0">
        <w:t>ules</w:t>
      </w:r>
    </w:p>
    <w:p w14:paraId="750CDE8D" w14:textId="77777777" w:rsidR="00891D64" w:rsidRPr="00F831C0" w:rsidRDefault="00891D64" w:rsidP="00BE0D37">
      <w:pPr>
        <w:pStyle w:val="MIRBodyText"/>
      </w:pPr>
      <w:r w:rsidRPr="00F831C0">
        <w:t>(1) Subject to Rule 1.2.3, ASIC may relieve any person or class of persons from the obligation to comply with a provision of these Rules, either generally or in a particular case or category, and either unconditionally or subject to such conditions as ASIC thinks fit.</w:t>
      </w:r>
      <w:r w:rsidR="00F837EF" w:rsidRPr="00F831C0">
        <w:t xml:space="preserve"> </w:t>
      </w:r>
    </w:p>
    <w:p w14:paraId="09C2C089" w14:textId="77777777" w:rsidR="00891D64" w:rsidRPr="00F831C0" w:rsidRDefault="00891D64" w:rsidP="00BE0D37">
      <w:pPr>
        <w:pStyle w:val="MIRBodyText"/>
      </w:pPr>
      <w:r w:rsidRPr="00F831C0">
        <w:t>(2) If any conditions on a waiver given under subrule (1) are imposed, all of the conditions must be complied with for the waiver to be effective.</w:t>
      </w:r>
      <w:r w:rsidR="00F837EF" w:rsidRPr="00F831C0">
        <w:t xml:space="preserve"> </w:t>
      </w:r>
    </w:p>
    <w:p w14:paraId="0F60FE3F" w14:textId="77777777" w:rsidR="00891D64" w:rsidRPr="00F831C0" w:rsidRDefault="00891D64" w:rsidP="00BE0D37">
      <w:pPr>
        <w:pStyle w:val="MIRBodyText"/>
      </w:pPr>
      <w:r w:rsidRPr="00F831C0">
        <w:t>(3) ASIC may withdraw, in writing, a waiver given under subrule (1) at any time.</w:t>
      </w:r>
      <w:r w:rsidR="00F837EF" w:rsidRPr="00F831C0">
        <w:t xml:space="preserve"> </w:t>
      </w:r>
    </w:p>
    <w:p w14:paraId="17066C63" w14:textId="77777777" w:rsidR="00891D64" w:rsidRPr="00F831C0" w:rsidRDefault="00891D64" w:rsidP="00BE0D37">
      <w:pPr>
        <w:pStyle w:val="MIRBodyText"/>
      </w:pPr>
      <w:r w:rsidRPr="00F831C0">
        <w:t>(4) Any request by a person for a waiver under subrule (1) must be in writing.</w:t>
      </w:r>
    </w:p>
    <w:p w14:paraId="6C78DFF6" w14:textId="77777777" w:rsidR="00891D64" w:rsidRPr="00F831C0" w:rsidRDefault="00891D64" w:rsidP="00BE0D37">
      <w:pPr>
        <w:pStyle w:val="MIRBodyText"/>
      </w:pPr>
      <w:r w:rsidRPr="00F831C0">
        <w:t xml:space="preserve">(5) Any waiver given under subrule (1), and any conditions imposed on that waiver, must be in writing. </w:t>
      </w:r>
    </w:p>
    <w:p w14:paraId="7434E3F0" w14:textId="77777777" w:rsidR="00A55551" w:rsidRPr="00F831C0" w:rsidRDefault="00891D64" w:rsidP="00BE0D37">
      <w:pPr>
        <w:pStyle w:val="MIRBodyText"/>
      </w:pPr>
      <w:r w:rsidRPr="00F831C0">
        <w:t>(6) ASIC may publish notice of a waiver given under subrule (1).</w:t>
      </w:r>
    </w:p>
    <w:p w14:paraId="667346A9" w14:textId="77777777" w:rsidR="00A55551" w:rsidRPr="00F831C0" w:rsidRDefault="00A55551" w:rsidP="00527790">
      <w:pPr>
        <w:pStyle w:val="MIRHeading3Rule"/>
      </w:pPr>
      <w:r w:rsidRPr="00F831C0">
        <w:t>1.2</w:t>
      </w:r>
      <w:r w:rsidR="00212498" w:rsidRPr="00F831C0">
        <w:t>.2</w:t>
      </w:r>
      <w:r w:rsidR="00212498" w:rsidRPr="00F831C0">
        <w:tab/>
      </w:r>
      <w:r w:rsidRPr="00F831C0">
        <w:t>Compliance with conditions</w:t>
      </w:r>
    </w:p>
    <w:p w14:paraId="6F6AA772" w14:textId="77777777" w:rsidR="00A55551" w:rsidRPr="00F831C0" w:rsidRDefault="00891D64" w:rsidP="00BE0D37">
      <w:pPr>
        <w:pStyle w:val="MIRBodyText"/>
      </w:pPr>
      <w:r w:rsidRPr="00F831C0">
        <w:t>Failure to comply with a condition imposed under Rule 1.2.1 is a contravention of this Rule.</w:t>
      </w:r>
    </w:p>
    <w:p w14:paraId="39BD273D" w14:textId="77777777" w:rsidR="00A55551" w:rsidRPr="00F831C0" w:rsidRDefault="00A55551" w:rsidP="00527790">
      <w:pPr>
        <w:pStyle w:val="MIRHeading3Rule"/>
      </w:pPr>
      <w:r w:rsidRPr="00F831C0">
        <w:t>1.2.3</w:t>
      </w:r>
      <w:r w:rsidR="00A02137" w:rsidRPr="00F831C0">
        <w:tab/>
      </w:r>
      <w:r w:rsidRPr="00F831C0">
        <w:t>Period during which relief applies</w:t>
      </w:r>
    </w:p>
    <w:p w14:paraId="289714B2" w14:textId="77777777" w:rsidR="00A55551" w:rsidRPr="00F831C0" w:rsidRDefault="00DA6158" w:rsidP="00BE0D37">
      <w:pPr>
        <w:pStyle w:val="MIRBodyText"/>
      </w:pPr>
      <w:r w:rsidRPr="00F831C0">
        <w:t>ASIC may specify the period or specific event during which any relief from an obligation to comply with a provision of these Rules may apply.</w:t>
      </w:r>
    </w:p>
    <w:p w14:paraId="283EA582" w14:textId="77777777" w:rsidR="00A55551" w:rsidRPr="00F831C0" w:rsidRDefault="00A55551" w:rsidP="00527790">
      <w:pPr>
        <w:pStyle w:val="MIRHeading3Rule"/>
      </w:pPr>
      <w:r w:rsidRPr="00F831C0">
        <w:t>1.2.4</w:t>
      </w:r>
      <w:r w:rsidR="00A02137" w:rsidRPr="00F831C0">
        <w:tab/>
      </w:r>
      <w:r w:rsidR="00DA6158" w:rsidRPr="00F831C0">
        <w:t>Register</w:t>
      </w:r>
    </w:p>
    <w:p w14:paraId="066021A7" w14:textId="77777777" w:rsidR="00DA6158" w:rsidRPr="00F831C0" w:rsidRDefault="00DA6158" w:rsidP="00BE0D37">
      <w:pPr>
        <w:pStyle w:val="MIRBodyText"/>
      </w:pPr>
      <w:r w:rsidRPr="00F831C0">
        <w:t>(1) ASIC may establish and maintain a register for recording details of relief granted under Rule 1.2.1 and may enter the following details in</w:t>
      </w:r>
      <w:r w:rsidR="00F837EF" w:rsidRPr="00F831C0">
        <w:t xml:space="preserve"> </w:t>
      </w:r>
      <w:r w:rsidRPr="00F831C0">
        <w:t>the register:</w:t>
      </w:r>
    </w:p>
    <w:p w14:paraId="30F7CAB4" w14:textId="77777777" w:rsidR="00DA6158" w:rsidRPr="00F831C0" w:rsidRDefault="00DA6158" w:rsidP="00BB75CF">
      <w:pPr>
        <w:pStyle w:val="MIRSubpara"/>
      </w:pPr>
      <w:r w:rsidRPr="00F831C0">
        <w:t>the date that the relief takes effect;</w:t>
      </w:r>
    </w:p>
    <w:p w14:paraId="2D28165C" w14:textId="77777777" w:rsidR="00DA6158" w:rsidRPr="00F831C0" w:rsidRDefault="00DA6158" w:rsidP="00BB75CF">
      <w:pPr>
        <w:pStyle w:val="MIRSubpara"/>
      </w:pPr>
      <w:r w:rsidRPr="00F831C0">
        <w:t>the person or class of persons relieved from the obligation;</w:t>
      </w:r>
    </w:p>
    <w:p w14:paraId="75EE9F62" w14:textId="77777777" w:rsidR="00DA6158" w:rsidRPr="00F831C0" w:rsidRDefault="00DA6158" w:rsidP="00BB75CF">
      <w:pPr>
        <w:pStyle w:val="MIRSubpara"/>
      </w:pPr>
      <w:r w:rsidRPr="00F831C0">
        <w:t>the provision to which the relief applies;</w:t>
      </w:r>
    </w:p>
    <w:p w14:paraId="5E657C3E" w14:textId="77777777" w:rsidR="00DA6158" w:rsidRPr="00F831C0" w:rsidRDefault="00DA6158" w:rsidP="00BB75CF">
      <w:pPr>
        <w:pStyle w:val="MIRSubpara"/>
      </w:pPr>
      <w:r w:rsidRPr="00F831C0">
        <w:t>brief reasons for the relief; and</w:t>
      </w:r>
    </w:p>
    <w:p w14:paraId="765C4A49" w14:textId="77777777" w:rsidR="00DA6158" w:rsidRPr="00F831C0" w:rsidRDefault="00DA6158" w:rsidP="00BB75CF">
      <w:pPr>
        <w:pStyle w:val="MIRSubpara"/>
      </w:pPr>
      <w:r w:rsidRPr="00F831C0">
        <w:t>any conditions that apply to the relief.</w:t>
      </w:r>
    </w:p>
    <w:p w14:paraId="4D9AC4B6" w14:textId="77777777" w:rsidR="00A55551" w:rsidRPr="00F831C0" w:rsidRDefault="00DA6158" w:rsidP="00BE0D37">
      <w:pPr>
        <w:pStyle w:val="MIRBodyText"/>
      </w:pPr>
      <w:r w:rsidRPr="00F831C0">
        <w:t>(2) ASIC may publish the register referred to in subrule (1).</w:t>
      </w:r>
    </w:p>
    <w:p w14:paraId="598E3B93" w14:textId="5CE536CE" w:rsidR="00A55551" w:rsidRPr="00F831C0" w:rsidRDefault="00701B79" w:rsidP="00527790">
      <w:pPr>
        <w:pStyle w:val="MIRHeading2Part"/>
      </w:pPr>
      <w:bookmarkStart w:id="13" w:name="_Toc267648178"/>
      <w:bookmarkStart w:id="14" w:name="_Toc27492559"/>
      <w:r w:rsidRPr="00F831C0">
        <w:lastRenderedPageBreak/>
        <w:t xml:space="preserve">Part </w:t>
      </w:r>
      <w:r w:rsidR="00A55551" w:rsidRPr="00F831C0">
        <w:t>1.3</w:t>
      </w:r>
      <w:r w:rsidR="00022C7B" w:rsidRPr="00F831C0">
        <w:tab/>
      </w:r>
      <w:r w:rsidR="00987AC2" w:rsidRPr="00F831C0">
        <w:t>Notice, notification and service of documents</w:t>
      </w:r>
      <w:bookmarkEnd w:id="13"/>
      <w:bookmarkEnd w:id="14"/>
    </w:p>
    <w:p w14:paraId="40904B4C" w14:textId="4FB432DC" w:rsidR="00DA6158" w:rsidRPr="00F831C0" w:rsidRDefault="00DA6158" w:rsidP="00527790">
      <w:pPr>
        <w:pStyle w:val="MIRHeading3Rule"/>
      </w:pPr>
      <w:r w:rsidRPr="00F831C0">
        <w:t>1.3.1</w:t>
      </w:r>
      <w:r w:rsidRPr="00F831C0">
        <w:tab/>
        <w:t>Market Participant to have email</w:t>
      </w:r>
      <w:r w:rsidR="00173E18" w:rsidRPr="00F831C0">
        <w:t xml:space="preserve"> system</w:t>
      </w:r>
    </w:p>
    <w:p w14:paraId="7AA574BA" w14:textId="77777777" w:rsidR="00DA6158" w:rsidRPr="00F831C0" w:rsidRDefault="00DA6158" w:rsidP="00BE0D37">
      <w:pPr>
        <w:pStyle w:val="MIRBodyText"/>
      </w:pPr>
      <w:r w:rsidRPr="00F831C0">
        <w:t>A Market Participant must acquire and maintain an operating email system for the purposes of receiving notices under these Rules.</w:t>
      </w:r>
    </w:p>
    <w:p w14:paraId="091C8F82" w14:textId="77777777" w:rsidR="00DA6158" w:rsidRPr="00F831C0" w:rsidRDefault="00DA6158" w:rsidP="002D0D1A">
      <w:pPr>
        <w:pStyle w:val="MIRHeading3Rule"/>
        <w:keepNext/>
      </w:pPr>
      <w:r w:rsidRPr="00F831C0">
        <w:t>1.3.2</w:t>
      </w:r>
      <w:r w:rsidRPr="00F831C0">
        <w:tab/>
        <w:t>Methods of giving notice in writing</w:t>
      </w:r>
    </w:p>
    <w:p w14:paraId="27BA1CD5" w14:textId="77777777" w:rsidR="00DA6158" w:rsidRPr="00F831C0" w:rsidRDefault="00DA6158" w:rsidP="00BE0D37">
      <w:pPr>
        <w:pStyle w:val="MIRBodyText"/>
      </w:pPr>
      <w:r w:rsidRPr="00F831C0">
        <w:t>Unless otherwise specified in a Rule, ASIC may give a notice under these Rules by any of the following methods:</w:t>
      </w:r>
    </w:p>
    <w:p w14:paraId="29F0F078" w14:textId="77777777" w:rsidR="00DA6158" w:rsidRPr="00F831C0" w:rsidRDefault="00DA6158" w:rsidP="00BB75CF">
      <w:pPr>
        <w:pStyle w:val="MIRSubpara"/>
      </w:pPr>
      <w:r w:rsidRPr="00F831C0">
        <w:t>delivering it to the recipient personally;</w:t>
      </w:r>
    </w:p>
    <w:p w14:paraId="1B460450" w14:textId="77777777" w:rsidR="00DA6158" w:rsidRPr="00F831C0" w:rsidRDefault="00DA6158" w:rsidP="00BB75CF">
      <w:pPr>
        <w:pStyle w:val="MIRSubpara"/>
      </w:pPr>
      <w:r w:rsidRPr="00F831C0">
        <w:t>leaving it at or by sending it by courier or post to the address of the recipient last notified to ASIC;</w:t>
      </w:r>
    </w:p>
    <w:p w14:paraId="682026EF" w14:textId="77777777" w:rsidR="00DA6158" w:rsidRPr="00F831C0" w:rsidRDefault="00DA6158" w:rsidP="00BB75CF">
      <w:pPr>
        <w:pStyle w:val="MIRSubpara"/>
      </w:pPr>
      <w:r w:rsidRPr="00F831C0">
        <w:t>sending it by facsimile to the recipient</w:t>
      </w:r>
      <w:r w:rsidR="00F837EF" w:rsidRPr="00F831C0">
        <w:t>’</w:t>
      </w:r>
      <w:r w:rsidRPr="00F831C0">
        <w:t>s facsimile number last notified to ASIC;</w:t>
      </w:r>
    </w:p>
    <w:p w14:paraId="34828FAB" w14:textId="77777777" w:rsidR="00DA6158" w:rsidRPr="00F831C0" w:rsidRDefault="00DA6158" w:rsidP="00BB75CF">
      <w:pPr>
        <w:pStyle w:val="MIRSubpara"/>
      </w:pPr>
      <w:r w:rsidRPr="00F831C0">
        <w:t>a circular or bulletin addressed to a class of persons and delivered or communicated by any means permitted under this Rule;</w:t>
      </w:r>
    </w:p>
    <w:p w14:paraId="0FCE5BBB" w14:textId="77777777" w:rsidR="00DA6158" w:rsidRPr="00F831C0" w:rsidRDefault="00DA6158" w:rsidP="00BB75CF">
      <w:pPr>
        <w:pStyle w:val="MIRSubpara"/>
      </w:pPr>
      <w:r w:rsidRPr="00F831C0">
        <w:t>specific email by any method which identifies a person or person</w:t>
      </w:r>
      <w:r w:rsidR="00F837EF" w:rsidRPr="00F831C0">
        <w:t>’</w:t>
      </w:r>
      <w:r w:rsidRPr="00F831C0">
        <w:t>s title as addressee and no notice of non-delivery has been received;</w:t>
      </w:r>
    </w:p>
    <w:p w14:paraId="7AA1C8C8" w14:textId="77777777" w:rsidR="00DA6158" w:rsidRPr="00F831C0" w:rsidRDefault="00DA6158" w:rsidP="00BB75CF">
      <w:pPr>
        <w:pStyle w:val="MIRSubpara"/>
      </w:pPr>
      <w:r w:rsidRPr="00F831C0">
        <w:t>broadcast email by any method which identifies the addressee and which, having regard to all the relevant circumstances at the time, was as reliable as appropriate for the purposes for which the information was communicated.</w:t>
      </w:r>
    </w:p>
    <w:p w14:paraId="4A877DD8" w14:textId="4995360F" w:rsidR="00A55551" w:rsidRPr="00F831C0" w:rsidRDefault="00701B79" w:rsidP="00527790">
      <w:pPr>
        <w:pStyle w:val="MIRHeading2Part"/>
      </w:pPr>
      <w:bookmarkStart w:id="15" w:name="_Toc267648179"/>
      <w:bookmarkStart w:id="16" w:name="_Toc27492560"/>
      <w:r w:rsidRPr="00F831C0">
        <w:t xml:space="preserve">Part </w:t>
      </w:r>
      <w:r w:rsidR="00A55551" w:rsidRPr="00F831C0">
        <w:t>1.4</w:t>
      </w:r>
      <w:r w:rsidR="00987AC2" w:rsidRPr="00F831C0">
        <w:tab/>
      </w:r>
      <w:r w:rsidR="00DA6158" w:rsidRPr="00F831C0">
        <w:t>I</w:t>
      </w:r>
      <w:r w:rsidR="00987AC2" w:rsidRPr="00F831C0">
        <w:t>nterpretation</w:t>
      </w:r>
      <w:bookmarkEnd w:id="15"/>
      <w:bookmarkEnd w:id="16"/>
    </w:p>
    <w:p w14:paraId="4AF39E89" w14:textId="77777777" w:rsidR="00DA6158" w:rsidRPr="00F831C0" w:rsidRDefault="00DA6158" w:rsidP="00527790">
      <w:pPr>
        <w:pStyle w:val="MIRHeading3Rule"/>
      </w:pPr>
      <w:r w:rsidRPr="00F831C0">
        <w:t>1.4.1</w:t>
      </w:r>
      <w:r w:rsidRPr="00F831C0">
        <w:tab/>
        <w:t>References to time</w:t>
      </w:r>
    </w:p>
    <w:p w14:paraId="7F15CA27" w14:textId="77777777" w:rsidR="00DA6158" w:rsidRPr="00F831C0" w:rsidRDefault="00DA6158" w:rsidP="00BE0D37">
      <w:pPr>
        <w:pStyle w:val="MIRBodyText"/>
      </w:pPr>
      <w:r w:rsidRPr="00F831C0">
        <w:t>In these Rules a reference to time is to the time in Sydney, Australia.</w:t>
      </w:r>
    </w:p>
    <w:p w14:paraId="510A82A4" w14:textId="77777777" w:rsidR="00DA6158" w:rsidRPr="00F831C0" w:rsidRDefault="00DA6158" w:rsidP="00527790">
      <w:pPr>
        <w:pStyle w:val="MIRHeading3Rule"/>
      </w:pPr>
      <w:r w:rsidRPr="00F831C0">
        <w:t>1.4.2</w:t>
      </w:r>
      <w:r w:rsidRPr="00F831C0">
        <w:tab/>
        <w:t>Words and expressions defined in the Corporations Act</w:t>
      </w:r>
    </w:p>
    <w:p w14:paraId="1B42A88C" w14:textId="10DADE59" w:rsidR="00DA6158" w:rsidRPr="00F831C0" w:rsidRDefault="00DA6158" w:rsidP="00BE0D37">
      <w:pPr>
        <w:pStyle w:val="MIRBodyText"/>
      </w:pPr>
      <w:r w:rsidRPr="00F831C0">
        <w:t>Words and expressions defined in the Corporations Act will</w:t>
      </w:r>
      <w:r w:rsidR="00C574E9">
        <w:t>,</w:t>
      </w:r>
      <w:r w:rsidRPr="00F831C0">
        <w:t xml:space="preserve"> unless otherwise defined or specified in these Rules or the contrary intention appears, have the same meaning in these Rules.</w:t>
      </w:r>
    </w:p>
    <w:p w14:paraId="6C2BAB8A" w14:textId="77777777" w:rsidR="00DA6158" w:rsidRPr="00F831C0" w:rsidRDefault="00DA6158" w:rsidP="00E10BF8">
      <w:pPr>
        <w:pStyle w:val="MIRHeading3Rule"/>
        <w:keepNext/>
      </w:pPr>
      <w:r w:rsidRPr="00F831C0">
        <w:t>1.4.3</w:t>
      </w:r>
      <w:r w:rsidRPr="00F831C0">
        <w:tab/>
        <w:t xml:space="preserve">Definitions </w:t>
      </w:r>
    </w:p>
    <w:p w14:paraId="6E416DC5" w14:textId="3DC544D9" w:rsidR="00741CBF" w:rsidRPr="00741CBF" w:rsidRDefault="00741CBF" w:rsidP="00D20CBA">
      <w:pPr>
        <w:pStyle w:val="MIRBodyText"/>
      </w:pPr>
      <w:r>
        <w:t>In these Rules:</w:t>
      </w:r>
    </w:p>
    <w:p w14:paraId="438B4BDF" w14:textId="615A92B5" w:rsidR="00741CBF" w:rsidRPr="00F831C0" w:rsidRDefault="00741CBF" w:rsidP="00741CBF">
      <w:pPr>
        <w:pStyle w:val="MIRBodyText"/>
        <w:spacing w:before="160"/>
      </w:pPr>
      <w:bookmarkStart w:id="17" w:name="_Hlk3296643"/>
      <w:r w:rsidRPr="00F831C0">
        <w:rPr>
          <w:b/>
          <w:i/>
        </w:rPr>
        <w:t>Ad Hoc Risk-Based Return</w:t>
      </w:r>
      <w:r w:rsidRPr="00F831C0">
        <w:t xml:space="preserve"> </w:t>
      </w:r>
      <w:bookmarkEnd w:id="17"/>
      <w:r w:rsidRPr="00F831C0">
        <w:t>means a return containing the information in Form 1 in Schedule 1C to these Rules.</w:t>
      </w:r>
    </w:p>
    <w:p w14:paraId="7EFD530D" w14:textId="16B89093" w:rsidR="00741CBF" w:rsidRDefault="00741CBF" w:rsidP="00741CBF">
      <w:pPr>
        <w:pStyle w:val="MIRBodyText"/>
      </w:pPr>
      <w:bookmarkStart w:id="18" w:name="_Hlk3296699"/>
      <w:r w:rsidRPr="00F831C0">
        <w:rPr>
          <w:b/>
          <w:i/>
        </w:rPr>
        <w:t>Annual Audited Risk-Based Return</w:t>
      </w:r>
      <w:r w:rsidRPr="00F831C0">
        <w:t xml:space="preserve"> </w:t>
      </w:r>
      <w:bookmarkEnd w:id="18"/>
      <w:r w:rsidRPr="00F831C0">
        <w:t>means a return containing the information in Form 3 in Schedule 1C to these Rules, except for the section Credit Facilities &amp; Overdraft</w:t>
      </w:r>
      <w:r w:rsidR="005E517E">
        <w:t>.</w:t>
      </w:r>
      <w:r w:rsidRPr="00F831C0">
        <w:t xml:space="preserve"> </w:t>
      </w:r>
    </w:p>
    <w:p w14:paraId="4A20893E" w14:textId="52BADFCC" w:rsidR="0001178C" w:rsidRPr="007F2320" w:rsidRDefault="0001178C" w:rsidP="004C1E44">
      <w:pPr>
        <w:pStyle w:val="MIRBodyText"/>
        <w:spacing w:before="190" w:line="290" w:lineRule="atLeast"/>
      </w:pPr>
      <w:r>
        <w:rPr>
          <w:b/>
          <w:i/>
        </w:rPr>
        <w:lastRenderedPageBreak/>
        <w:t xml:space="preserve">Application Monies </w:t>
      </w:r>
      <w:r>
        <w:t>means, in relation to Financial Instruments, monies that have been received by the person offering the Financial Instruments from a person applying for the Financial Instruments.</w:t>
      </w:r>
    </w:p>
    <w:p w14:paraId="6523074D" w14:textId="4E90EFBB" w:rsidR="00741CBF" w:rsidRPr="007F2320" w:rsidRDefault="00741CBF" w:rsidP="004C1E44">
      <w:pPr>
        <w:pStyle w:val="MIRBodyText"/>
        <w:spacing w:before="190" w:line="290" w:lineRule="atLeast"/>
      </w:pPr>
      <w:r w:rsidRPr="00F831C0">
        <w:rPr>
          <w:b/>
          <w:bCs/>
          <w:i/>
        </w:rPr>
        <w:t>Approved Clearing Facility</w:t>
      </w:r>
      <w:r w:rsidRPr="00F831C0">
        <w:t xml:space="preserve"> means ASX Clear Pty Limited (ACN 001 314 503)</w:t>
      </w:r>
      <w:r w:rsidR="00EA1CF5">
        <w:t xml:space="preserve"> and </w:t>
      </w:r>
      <w:r w:rsidR="00FE5098">
        <w:t>ASX Clear (Futures) Pty Limited (ACN 050 615 864)</w:t>
      </w:r>
      <w:r w:rsidRPr="00F831C0">
        <w:t>.</w:t>
      </w:r>
    </w:p>
    <w:p w14:paraId="07DDE338" w14:textId="77777777" w:rsidR="00741CBF" w:rsidRPr="00F831C0" w:rsidRDefault="00741CBF" w:rsidP="004C1E44">
      <w:pPr>
        <w:pStyle w:val="MIRBodyText"/>
        <w:spacing w:before="190" w:line="290" w:lineRule="atLeast"/>
      </w:pPr>
      <w:r w:rsidRPr="00F831C0">
        <w:rPr>
          <w:b/>
          <w:bCs/>
          <w:i/>
        </w:rPr>
        <w:t>Approved Deposit Taking Institution</w:t>
      </w:r>
      <w:r w:rsidRPr="00F831C0">
        <w:t xml:space="preserve"> means: </w:t>
      </w:r>
    </w:p>
    <w:p w14:paraId="66629E54" w14:textId="77777777" w:rsidR="00741CBF" w:rsidRPr="00F831C0" w:rsidRDefault="00741CBF" w:rsidP="004C1E44">
      <w:pPr>
        <w:pStyle w:val="MIRSubpara"/>
        <w:spacing w:before="90" w:line="290" w:lineRule="atLeast"/>
      </w:pPr>
      <w:r w:rsidRPr="00F831C0">
        <w:t xml:space="preserve">an authorised deposit taking institution under section 5 of the </w:t>
      </w:r>
      <w:r w:rsidRPr="00F831C0">
        <w:rPr>
          <w:i/>
          <w:iCs/>
        </w:rPr>
        <w:t xml:space="preserve">Banking Act 1959 </w:t>
      </w:r>
      <w:r w:rsidRPr="00F831C0">
        <w:t xml:space="preserve">(Cth); </w:t>
      </w:r>
    </w:p>
    <w:p w14:paraId="7060E530" w14:textId="77777777" w:rsidR="00741CBF" w:rsidRPr="00F831C0" w:rsidRDefault="00741CBF" w:rsidP="004C1E44">
      <w:pPr>
        <w:pStyle w:val="MIRSubpara"/>
        <w:spacing w:before="90" w:line="290" w:lineRule="atLeast"/>
      </w:pPr>
      <w:r w:rsidRPr="00F831C0">
        <w:t xml:space="preserve">a banking institution which has its activities formally regulated in accordance with the standards of the Basel Committee on Banking Supervision; or </w:t>
      </w:r>
    </w:p>
    <w:p w14:paraId="5145E074" w14:textId="50455920" w:rsidR="00741CBF" w:rsidRPr="007F2320" w:rsidRDefault="00741CBF" w:rsidP="004C1E44">
      <w:pPr>
        <w:pStyle w:val="MIRSubpara"/>
        <w:spacing w:before="90" w:line="290" w:lineRule="atLeast"/>
      </w:pPr>
      <w:r w:rsidRPr="00F831C0">
        <w:t>an institution which has been given a risk weighting by the Australian Prudential Regulation Authority equivalent to an authorised deposit taking institution referred to in paragraph (a).</w:t>
      </w:r>
    </w:p>
    <w:p w14:paraId="63232D1A" w14:textId="77777777" w:rsidR="00741CBF" w:rsidRPr="00F831C0" w:rsidRDefault="00741CBF" w:rsidP="004C1E44">
      <w:pPr>
        <w:pStyle w:val="MIRBodyText"/>
        <w:spacing w:before="190" w:line="290" w:lineRule="atLeast"/>
      </w:pPr>
      <w:r w:rsidRPr="00F831C0">
        <w:rPr>
          <w:b/>
          <w:i/>
        </w:rPr>
        <w:t>Approved Institution</w:t>
      </w:r>
      <w:r w:rsidRPr="00F831C0">
        <w:t xml:space="preserve"> means: </w:t>
      </w:r>
    </w:p>
    <w:p w14:paraId="578630A3" w14:textId="77777777" w:rsidR="00741CBF" w:rsidRPr="00F831C0" w:rsidRDefault="00741CBF" w:rsidP="004C1E44">
      <w:pPr>
        <w:pStyle w:val="MIRSubpara"/>
        <w:spacing w:before="90" w:line="290" w:lineRule="atLeast"/>
      </w:pPr>
      <w:r w:rsidRPr="00F831C0">
        <w:t xml:space="preserve">any of the following institutions whose net assets are greater than $30 million at the date of its last published audited balance sheet: </w:t>
      </w:r>
    </w:p>
    <w:p w14:paraId="5204B029" w14:textId="77777777" w:rsidR="00741CBF" w:rsidRPr="00F831C0" w:rsidRDefault="00741CBF" w:rsidP="004C1E44">
      <w:pPr>
        <w:pStyle w:val="MIRSubsubpara"/>
        <w:spacing w:before="90" w:line="290" w:lineRule="atLeast"/>
      </w:pPr>
      <w:r w:rsidRPr="00F831C0">
        <w:t xml:space="preserve">a life insurance company or general insurance company; or </w:t>
      </w:r>
    </w:p>
    <w:p w14:paraId="18E6F1A9" w14:textId="77777777" w:rsidR="00741CBF" w:rsidRPr="00F831C0" w:rsidRDefault="00741CBF" w:rsidP="004C1E44">
      <w:pPr>
        <w:pStyle w:val="MIRSubsubpara"/>
        <w:spacing w:before="90" w:line="290" w:lineRule="atLeast"/>
      </w:pPr>
      <w:r w:rsidRPr="00F831C0">
        <w:t xml:space="preserve">an investment company, trust or other similar institution whose ordinary business is to buy and sell Financial Instruments; </w:t>
      </w:r>
    </w:p>
    <w:p w14:paraId="6ED18EEC" w14:textId="75574B22" w:rsidR="00741CBF" w:rsidRPr="00D3615D" w:rsidRDefault="00741CBF" w:rsidP="004C1E44">
      <w:pPr>
        <w:pStyle w:val="MIRSubpara"/>
        <w:spacing w:before="90" w:line="290" w:lineRule="atLeast"/>
        <w:rPr>
          <w:spacing w:val="-2"/>
        </w:rPr>
      </w:pPr>
      <w:r w:rsidRPr="00D3615D">
        <w:rPr>
          <w:spacing w:val="-2"/>
        </w:rPr>
        <w:t>any body corporate or partnership whose ordinary business is to buy and sell Financial Instruments and which is regulated by a</w:t>
      </w:r>
      <w:r w:rsidR="0001178C" w:rsidRPr="00D3615D">
        <w:rPr>
          <w:spacing w:val="-2"/>
        </w:rPr>
        <w:t xml:space="preserve"> Recognised Regulator specified in Table A5.3.1;</w:t>
      </w:r>
      <w:r w:rsidRPr="00D3615D">
        <w:rPr>
          <w:spacing w:val="-2"/>
        </w:rPr>
        <w:t xml:space="preserve"> </w:t>
      </w:r>
    </w:p>
    <w:p w14:paraId="36EBA9A6" w14:textId="77777777" w:rsidR="00741CBF" w:rsidRPr="00F831C0" w:rsidRDefault="00741CBF" w:rsidP="004C1E44">
      <w:pPr>
        <w:pStyle w:val="MIRSubpara"/>
        <w:spacing w:before="90" w:line="290" w:lineRule="atLeast"/>
      </w:pPr>
      <w:r w:rsidRPr="00F831C0">
        <w:t xml:space="preserve">a Fund Manager and an underlying client that has placed money with, or has securities under the control of, the Fund Manager, where: </w:t>
      </w:r>
    </w:p>
    <w:p w14:paraId="09D81A47" w14:textId="77777777" w:rsidR="00741CBF" w:rsidRPr="00F831C0" w:rsidRDefault="00741CBF" w:rsidP="004C1E44">
      <w:pPr>
        <w:pStyle w:val="MIRSubsubpara"/>
        <w:spacing w:before="90" w:line="290" w:lineRule="atLeast"/>
      </w:pPr>
      <w:r w:rsidRPr="00F831C0">
        <w:t xml:space="preserve">the Market Participant has a dealing relationship with the Fund Manager but not the underlying client; and </w:t>
      </w:r>
    </w:p>
    <w:p w14:paraId="4274C885" w14:textId="77777777" w:rsidR="00741CBF" w:rsidRPr="00F831C0" w:rsidRDefault="00741CBF" w:rsidP="004C1E44">
      <w:pPr>
        <w:pStyle w:val="MIRSubsubpara"/>
        <w:spacing w:before="90" w:line="290" w:lineRule="atLeast"/>
      </w:pPr>
      <w:r w:rsidRPr="00F831C0">
        <w:t xml:space="preserve">the Fund Manager is placing orders on behalf of the underlying client and not as principal, </w:t>
      </w:r>
    </w:p>
    <w:p w14:paraId="0E32C56E" w14:textId="153D6F09" w:rsidR="00741CBF" w:rsidRPr="007F2320" w:rsidRDefault="00741CBF" w:rsidP="004C1E44">
      <w:pPr>
        <w:pStyle w:val="MIRBodyText"/>
        <w:spacing w:before="190" w:line="290" w:lineRule="atLeast"/>
      </w:pPr>
      <w:r w:rsidRPr="00F831C0">
        <w:t>provided that the Market Participant maintains adequate documentation in support of paragraphs (a), (b) or (c).</w:t>
      </w:r>
    </w:p>
    <w:p w14:paraId="63CBFABE" w14:textId="77777777" w:rsidR="00741CBF" w:rsidRPr="00F831C0" w:rsidRDefault="00741CBF" w:rsidP="004C1E44">
      <w:pPr>
        <w:pStyle w:val="MIRBodyText"/>
        <w:spacing w:before="190" w:line="290" w:lineRule="atLeast"/>
      </w:pPr>
      <w:r w:rsidRPr="00F831C0">
        <w:rPr>
          <w:b/>
          <w:bCs/>
          <w:i/>
        </w:rPr>
        <w:t>Approved Subordinated Debt</w:t>
      </w:r>
      <w:r w:rsidRPr="00F831C0">
        <w:t xml:space="preserve"> means an amount owing by a Market Participant under a subordination arrangement which is approved by ASIC under Rule S1A.2.4. </w:t>
      </w:r>
    </w:p>
    <w:p w14:paraId="235F41DD" w14:textId="77777777" w:rsidR="00741CBF" w:rsidRPr="00F831C0" w:rsidRDefault="00741CBF" w:rsidP="004C1E44">
      <w:pPr>
        <w:pStyle w:val="MIRBodyText"/>
        <w:spacing w:before="190" w:line="290" w:lineRule="atLeast"/>
      </w:pPr>
      <w:r w:rsidRPr="00F831C0">
        <w:rPr>
          <w:b/>
          <w:bCs/>
          <w:i/>
        </w:rPr>
        <w:t>Approved Subordinated Loan Deed</w:t>
      </w:r>
      <w:r w:rsidRPr="00F831C0">
        <w:t xml:space="preserve"> means, in respect of a subordination arrangement, a deed which: </w:t>
      </w:r>
    </w:p>
    <w:p w14:paraId="186E71E9" w14:textId="77777777" w:rsidR="00741CBF" w:rsidRPr="00F831C0" w:rsidRDefault="00741CBF" w:rsidP="004C1E44">
      <w:pPr>
        <w:pStyle w:val="MIRSubpara"/>
        <w:spacing w:before="90" w:line="290" w:lineRule="atLeast"/>
      </w:pPr>
      <w:r w:rsidRPr="00F831C0">
        <w:t xml:space="preserve">is executed: </w:t>
      </w:r>
    </w:p>
    <w:p w14:paraId="6014BB14" w14:textId="77777777" w:rsidR="00741CBF" w:rsidRPr="00F831C0" w:rsidRDefault="00741CBF" w:rsidP="004C1E44">
      <w:pPr>
        <w:pStyle w:val="MIRSubsubpara"/>
        <w:spacing w:before="90" w:line="290" w:lineRule="atLeast"/>
      </w:pPr>
      <w:r w:rsidRPr="00F831C0">
        <w:t xml:space="preserve">by the lender and ASIC under seal or by such equivalent method expressly recognised under the Corporations Act; </w:t>
      </w:r>
    </w:p>
    <w:p w14:paraId="1659DA64" w14:textId="77777777" w:rsidR="00741CBF" w:rsidRPr="00F831C0" w:rsidRDefault="00741CBF" w:rsidP="004C1E44">
      <w:pPr>
        <w:pStyle w:val="MIRSubsubpara"/>
        <w:spacing w:before="90" w:line="290" w:lineRule="atLeast"/>
      </w:pPr>
      <w:r w:rsidRPr="00F831C0">
        <w:t xml:space="preserve">in the case of a Market Participant which is a company, by the Market Participant under seal or by such equivalent method expressly recognised under the Corporations Act; and </w:t>
      </w:r>
    </w:p>
    <w:p w14:paraId="101BE5EE" w14:textId="77777777" w:rsidR="00741CBF" w:rsidRPr="00F831C0" w:rsidRDefault="00741CBF" w:rsidP="004C1E44">
      <w:pPr>
        <w:pStyle w:val="MIRSubsubpara"/>
        <w:spacing w:before="90" w:line="290" w:lineRule="atLeast"/>
      </w:pPr>
      <w:r w:rsidRPr="00F831C0">
        <w:t xml:space="preserve">in the case of a Market Participant which is a partnership, by each of its partners; </w:t>
      </w:r>
    </w:p>
    <w:p w14:paraId="19508666" w14:textId="77777777" w:rsidR="00741CBF" w:rsidRPr="00F831C0" w:rsidRDefault="00741CBF" w:rsidP="00741CBF">
      <w:pPr>
        <w:pStyle w:val="MIRSubpara"/>
      </w:pPr>
      <w:r w:rsidRPr="00F831C0">
        <w:lastRenderedPageBreak/>
        <w:t xml:space="preserve">sets out details of the terms governing any subordinated debt regulated by the subordination arrangement or identifies the document which does so; </w:t>
      </w:r>
    </w:p>
    <w:p w14:paraId="4140AD9A" w14:textId="3790B9A0" w:rsidR="00741CBF" w:rsidRPr="00F831C0" w:rsidRDefault="00741CBF" w:rsidP="00741CBF">
      <w:pPr>
        <w:pStyle w:val="MIRSubpara"/>
      </w:pPr>
      <w:r w:rsidRPr="00F831C0">
        <w:t>contains those provisions required by ASIC including</w:t>
      </w:r>
      <w:r w:rsidR="00C574E9">
        <w:t>,</w:t>
      </w:r>
      <w:r w:rsidRPr="00F831C0">
        <w:t xml:space="preserve"> without limitation, provisions to the effect that: </w:t>
      </w:r>
    </w:p>
    <w:p w14:paraId="6950CFC6" w14:textId="77777777" w:rsidR="00741CBF" w:rsidRPr="00F831C0" w:rsidRDefault="00741CBF" w:rsidP="00741CBF">
      <w:pPr>
        <w:pStyle w:val="MIRSubsubpara"/>
      </w:pPr>
      <w:r w:rsidRPr="00F831C0">
        <w:t xml:space="preserve">alterations to the subordinated loan deed or the terms or details of any subordinated debt regulated by the subordination arrangement cannot be made unless the agreement of all parties is obtained and the variation is executed in the manner required under paragraph (a); </w:t>
      </w:r>
    </w:p>
    <w:p w14:paraId="5C3FCF2C" w14:textId="77777777" w:rsidR="00741CBF" w:rsidRPr="00F831C0" w:rsidRDefault="00741CBF" w:rsidP="00741CBF">
      <w:pPr>
        <w:pStyle w:val="MIRSubsubpara"/>
      </w:pPr>
      <w:r w:rsidRPr="00F831C0">
        <w:t xml:space="preserve">ASIC must be satisfied that the Market Participant has made adequate arrangements to ensure that Schedule 1A will be complied with and will continue to be complied with upon the maturity date of any loan for a fixed term; </w:t>
      </w:r>
    </w:p>
    <w:p w14:paraId="16FBA893" w14:textId="77777777" w:rsidR="00741CBF" w:rsidRPr="00F831C0" w:rsidRDefault="00741CBF" w:rsidP="00741CBF">
      <w:pPr>
        <w:pStyle w:val="MIRSubsubpara"/>
      </w:pPr>
      <w:r w:rsidRPr="00F831C0">
        <w:t xml:space="preserve">ASIC must be given full particulars of any debt to be regulated by the subordination arrangement under the subordinated loan deed prior to such debt being created; and </w:t>
      </w:r>
    </w:p>
    <w:p w14:paraId="4F7EBDDB" w14:textId="77777777" w:rsidR="00741CBF" w:rsidRPr="00F831C0" w:rsidRDefault="00741CBF" w:rsidP="00741CBF">
      <w:pPr>
        <w:pStyle w:val="MIRSubsubpara"/>
      </w:pPr>
      <w:r w:rsidRPr="00F831C0">
        <w:t xml:space="preserve">prior to the Bankruptcy of the Market Participant, repayment of any subordinated debt regulated by the subordination arrangement can only occur in accordance with subrules S1A.2.4(6) and (7); and </w:t>
      </w:r>
    </w:p>
    <w:p w14:paraId="4C466C13" w14:textId="77777777" w:rsidR="00741CBF" w:rsidRPr="00F831C0" w:rsidRDefault="00741CBF" w:rsidP="00741CBF">
      <w:pPr>
        <w:pStyle w:val="MIRSubpara"/>
      </w:pPr>
      <w:r w:rsidRPr="00F831C0">
        <w:t xml:space="preserve">contains specific acknowledgment by the lender of the matters set out in paragraphs S1A.2.4(2)(a) and (b). </w:t>
      </w:r>
    </w:p>
    <w:p w14:paraId="6AA92D13" w14:textId="50666EBA" w:rsidR="00DA6158" w:rsidRPr="00F831C0" w:rsidRDefault="00DA6158" w:rsidP="00D20CBA">
      <w:pPr>
        <w:pStyle w:val="MIRBodyText"/>
      </w:pPr>
      <w:r w:rsidRPr="00F831C0">
        <w:rPr>
          <w:b/>
          <w:i/>
        </w:rPr>
        <w:t>AQUA Product</w:t>
      </w:r>
      <w:r w:rsidRPr="00F831C0">
        <w:t xml:space="preserve"> means a </w:t>
      </w:r>
      <w:r w:rsidR="007C1780" w:rsidRPr="00F831C0">
        <w:t>financial p</w:t>
      </w:r>
      <w:r w:rsidRPr="00F831C0">
        <w:t>roduct which is:</w:t>
      </w:r>
    </w:p>
    <w:p w14:paraId="77332AFC" w14:textId="77777777" w:rsidR="00DA6158" w:rsidRPr="00F831C0" w:rsidRDefault="00DA6158" w:rsidP="00BB75CF">
      <w:pPr>
        <w:pStyle w:val="MIRSubpara"/>
        <w:numPr>
          <w:ilvl w:val="1"/>
          <w:numId w:val="13"/>
        </w:numPr>
      </w:pPr>
      <w:r w:rsidRPr="00F831C0">
        <w:t xml:space="preserve">a </w:t>
      </w:r>
      <w:r w:rsidR="007C1780" w:rsidRPr="00F831C0">
        <w:t>financial product issued by or provided pursuant to a Managed Fund</w:t>
      </w:r>
      <w:r w:rsidRPr="00F831C0">
        <w:t>;</w:t>
      </w:r>
    </w:p>
    <w:p w14:paraId="01050228" w14:textId="77777777" w:rsidR="00DA6158" w:rsidRPr="00F831C0" w:rsidRDefault="00DA6158" w:rsidP="00BB75CF">
      <w:pPr>
        <w:pStyle w:val="MIRSubpara"/>
        <w:numPr>
          <w:ilvl w:val="1"/>
          <w:numId w:val="13"/>
        </w:numPr>
      </w:pPr>
      <w:r w:rsidRPr="00F831C0">
        <w:t>an ETF Security; or</w:t>
      </w:r>
    </w:p>
    <w:p w14:paraId="38306EB5" w14:textId="47C0DAA0" w:rsidR="00DA6158" w:rsidRPr="00F831C0" w:rsidRDefault="00DA6158" w:rsidP="00BB75CF">
      <w:pPr>
        <w:pStyle w:val="MIRSubpara"/>
        <w:numPr>
          <w:ilvl w:val="1"/>
          <w:numId w:val="13"/>
        </w:numPr>
      </w:pPr>
      <w:r w:rsidRPr="00F831C0">
        <w:t>a Structured Product</w:t>
      </w:r>
      <w:r w:rsidR="00314710" w:rsidRPr="00F831C0">
        <w:t>,</w:t>
      </w:r>
    </w:p>
    <w:p w14:paraId="3513D5BF" w14:textId="77777777" w:rsidR="00DA6158" w:rsidRPr="00F831C0" w:rsidRDefault="00DA6158" w:rsidP="00BE0D37">
      <w:pPr>
        <w:pStyle w:val="MIRBodyText"/>
      </w:pPr>
      <w:r w:rsidRPr="00F831C0">
        <w:t>which is admitted</w:t>
      </w:r>
      <w:r w:rsidR="00F837EF" w:rsidRPr="00F831C0">
        <w:t xml:space="preserve"> </w:t>
      </w:r>
      <w:r w:rsidRPr="00F831C0">
        <w:t>to Trading Status as an AQUA Product or to the AQUA Quote Display Board.</w:t>
      </w:r>
    </w:p>
    <w:p w14:paraId="54FBC3F9" w14:textId="77777777" w:rsidR="00DA6158" w:rsidRPr="00F831C0" w:rsidRDefault="00DA6158" w:rsidP="009926F2">
      <w:pPr>
        <w:pStyle w:val="MIRBodyText"/>
        <w:spacing w:before="160"/>
      </w:pPr>
      <w:r w:rsidRPr="00F831C0">
        <w:rPr>
          <w:b/>
          <w:i/>
        </w:rPr>
        <w:t>AQUA Product Issuer</w:t>
      </w:r>
      <w:r w:rsidRPr="00F831C0">
        <w:t xml:space="preserve"> means an entity which issues, distributes or makes available AQUA Products and which has been admitted as an AQUA Product Issuer. </w:t>
      </w:r>
    </w:p>
    <w:p w14:paraId="5999FB27" w14:textId="320AD9BE" w:rsidR="00DA6158" w:rsidRPr="00F831C0" w:rsidRDefault="00DA6158" w:rsidP="009926F2">
      <w:pPr>
        <w:pStyle w:val="MIRBodyText"/>
        <w:spacing w:before="160"/>
      </w:pPr>
      <w:r w:rsidRPr="00F831C0">
        <w:rPr>
          <w:b/>
          <w:i/>
        </w:rPr>
        <w:t>AQUA Quote Display Board</w:t>
      </w:r>
      <w:r w:rsidRPr="00F831C0">
        <w:t xml:space="preserve"> means the facility provided by </w:t>
      </w:r>
      <w:r w:rsidR="00480311" w:rsidRPr="00F831C0">
        <w:t xml:space="preserve">a </w:t>
      </w:r>
      <w:r w:rsidRPr="00F831C0">
        <w:t xml:space="preserve">Market </w:t>
      </w:r>
      <w:r w:rsidR="003832A8" w:rsidRPr="00F831C0">
        <w:t>o</w:t>
      </w:r>
      <w:r w:rsidRPr="00F831C0">
        <w:t>perator for AQUA Product Issuers and Trading Participants to advertise their interest in acquiring or disposing of AQUA Products.</w:t>
      </w:r>
    </w:p>
    <w:p w14:paraId="0344DCE4" w14:textId="77777777" w:rsidR="00DA6158" w:rsidRPr="00F831C0" w:rsidRDefault="00DA6158" w:rsidP="009926F2">
      <w:pPr>
        <w:pStyle w:val="MIRBodyText"/>
        <w:spacing w:before="160"/>
      </w:pPr>
      <w:r w:rsidRPr="00F831C0">
        <w:rPr>
          <w:b/>
          <w:i/>
        </w:rPr>
        <w:t>ASIC</w:t>
      </w:r>
      <w:r w:rsidRPr="00F831C0">
        <w:t xml:space="preserve"> means the Australian Securities and Investments Commission.</w:t>
      </w:r>
    </w:p>
    <w:p w14:paraId="03DAC284" w14:textId="77777777" w:rsidR="00DA6158" w:rsidRPr="00F831C0" w:rsidRDefault="00DA6158" w:rsidP="009926F2">
      <w:pPr>
        <w:pStyle w:val="MIRBodyText"/>
        <w:spacing w:before="160"/>
      </w:pPr>
      <w:r w:rsidRPr="00F831C0">
        <w:rPr>
          <w:b/>
          <w:i/>
        </w:rPr>
        <w:t>ASX</w:t>
      </w:r>
      <w:r w:rsidRPr="00F831C0">
        <w:t xml:space="preserve"> means ASX Limited (ACN 008 624 691).</w:t>
      </w:r>
    </w:p>
    <w:p w14:paraId="6337C5EC" w14:textId="77777777" w:rsidR="004A1D24" w:rsidRPr="00F831C0" w:rsidRDefault="004A1D24" w:rsidP="004A1D24">
      <w:pPr>
        <w:pStyle w:val="MIRBodyText"/>
      </w:pPr>
      <w:r w:rsidRPr="00F831C0">
        <w:rPr>
          <w:b/>
          <w:bCs/>
          <w:i/>
        </w:rPr>
        <w:t>ASX Clear</w:t>
      </w:r>
      <w:r w:rsidRPr="00F831C0">
        <w:t xml:space="preserve"> means ASX Clear Pty Limited (ACN 001 314 503). </w:t>
      </w:r>
    </w:p>
    <w:p w14:paraId="7A64F175" w14:textId="56456263" w:rsidR="00B5059D" w:rsidRPr="00F831C0" w:rsidRDefault="00B5059D" w:rsidP="009926F2">
      <w:pPr>
        <w:pStyle w:val="MIRBodyText"/>
        <w:spacing w:before="160"/>
      </w:pPr>
      <w:r w:rsidRPr="00F831C0">
        <w:rPr>
          <w:b/>
          <w:i/>
        </w:rPr>
        <w:t>ASX Market</w:t>
      </w:r>
      <w:r w:rsidRPr="00F831C0">
        <w:t xml:space="preserve"> means the </w:t>
      </w:r>
      <w:r w:rsidR="00435E5D" w:rsidRPr="00F831C0">
        <w:t xml:space="preserve">financial </w:t>
      </w:r>
      <w:r w:rsidRPr="00F831C0">
        <w:t>market operated by ASX</w:t>
      </w:r>
      <w:r w:rsidR="00435E5D" w:rsidRPr="00F831C0">
        <w:t xml:space="preserve"> under </w:t>
      </w:r>
      <w:r w:rsidR="00435E5D" w:rsidRPr="00F831C0">
        <w:rPr>
          <w:i/>
        </w:rPr>
        <w:t>Australian Market Licence (ASX Limited) 2002</w:t>
      </w:r>
      <w:r w:rsidRPr="00F831C0">
        <w:t>.</w:t>
      </w:r>
    </w:p>
    <w:p w14:paraId="6EC1041D" w14:textId="77777777" w:rsidR="004A1D24" w:rsidRPr="00F831C0" w:rsidRDefault="004A1D24" w:rsidP="004A1D24">
      <w:pPr>
        <w:pStyle w:val="MIRBodyText"/>
      </w:pPr>
      <w:r w:rsidRPr="00F831C0">
        <w:rPr>
          <w:b/>
          <w:bCs/>
          <w:i/>
        </w:rPr>
        <w:t>ASX Settlement</w:t>
      </w:r>
      <w:r w:rsidRPr="00F831C0">
        <w:t xml:space="preserve"> means ASX Settlement Pty Limited (ACN 008 504 532). </w:t>
      </w:r>
    </w:p>
    <w:p w14:paraId="5954F83B" w14:textId="77777777" w:rsidR="004A1D24" w:rsidRPr="00F831C0" w:rsidRDefault="004A1D24" w:rsidP="004A1D24">
      <w:pPr>
        <w:pStyle w:val="MIRBodyText"/>
      </w:pPr>
      <w:r w:rsidRPr="00F831C0">
        <w:rPr>
          <w:b/>
          <w:bCs/>
          <w:i/>
        </w:rPr>
        <w:lastRenderedPageBreak/>
        <w:t>ASX Settlement Operating Rules</w:t>
      </w:r>
      <w:r w:rsidRPr="00F831C0">
        <w:t xml:space="preserve"> means the operating rules of ASX Settlement. </w:t>
      </w:r>
    </w:p>
    <w:p w14:paraId="548560B2" w14:textId="0D9C4D79" w:rsidR="004A1D24" w:rsidRDefault="004A1D24" w:rsidP="00C53492">
      <w:pPr>
        <w:pStyle w:val="MIRBodyText"/>
      </w:pPr>
      <w:r>
        <w:rPr>
          <w:b/>
          <w:i/>
        </w:rPr>
        <w:t xml:space="preserve">ASX 24 </w:t>
      </w:r>
      <w:r>
        <w:t>means Australian Securities Exchange Limited (ACN 000 943 377).</w:t>
      </w:r>
    </w:p>
    <w:p w14:paraId="4054E1FD" w14:textId="48A82880" w:rsidR="004A1D24" w:rsidRDefault="004A1D24" w:rsidP="00C53492">
      <w:pPr>
        <w:pStyle w:val="MIRBodyText"/>
      </w:pPr>
      <w:r>
        <w:rPr>
          <w:b/>
          <w:i/>
        </w:rPr>
        <w:t xml:space="preserve">ASX 24 Market </w:t>
      </w:r>
      <w:r>
        <w:t xml:space="preserve">means the financial market operated by ASX 24 under </w:t>
      </w:r>
      <w:r>
        <w:rPr>
          <w:i/>
        </w:rPr>
        <w:t>Australian Market Licence (Australian Securities Exchange Limited) 2002</w:t>
      </w:r>
      <w:r>
        <w:t>.</w:t>
      </w:r>
    </w:p>
    <w:p w14:paraId="76269090" w14:textId="73F37F61" w:rsidR="004A1D24" w:rsidRDefault="004A1D24" w:rsidP="00C53492">
      <w:pPr>
        <w:pStyle w:val="MIRBodyText"/>
      </w:pPr>
      <w:r>
        <w:rPr>
          <w:b/>
          <w:i/>
        </w:rPr>
        <w:t xml:space="preserve">Authorised Deposit Taking Institution </w:t>
      </w:r>
      <w:r>
        <w:t xml:space="preserve">means an authorised deposit taking institution within the meaning of the </w:t>
      </w:r>
      <w:r>
        <w:rPr>
          <w:i/>
        </w:rPr>
        <w:t xml:space="preserve">Banking Act 1959 </w:t>
      </w:r>
      <w:r>
        <w:t>(Cth).</w:t>
      </w:r>
    </w:p>
    <w:p w14:paraId="73E11D09" w14:textId="77777777" w:rsidR="00727628" w:rsidRPr="00F831C0" w:rsidRDefault="00727628" w:rsidP="00727628">
      <w:pPr>
        <w:pStyle w:val="MIRBodyText"/>
      </w:pPr>
      <w:r w:rsidRPr="00F831C0">
        <w:rPr>
          <w:b/>
          <w:bCs/>
          <w:i/>
        </w:rPr>
        <w:t>Bankruptcy</w:t>
      </w:r>
      <w:r w:rsidRPr="00F831C0">
        <w:t xml:space="preserve"> means in respect of an entity: </w:t>
      </w:r>
    </w:p>
    <w:p w14:paraId="1E23CEB1" w14:textId="77777777" w:rsidR="00727628" w:rsidRPr="00F831C0" w:rsidRDefault="00727628" w:rsidP="00727628">
      <w:pPr>
        <w:pStyle w:val="MIRSubpara"/>
      </w:pPr>
      <w:r w:rsidRPr="00F831C0">
        <w:t xml:space="preserve">the entity becomes an externally administered body corporate within the meaning of the Corporations Act; </w:t>
      </w:r>
    </w:p>
    <w:p w14:paraId="5EBD2FD8" w14:textId="77777777" w:rsidR="00727628" w:rsidRPr="00F831C0" w:rsidRDefault="00727628" w:rsidP="00727628">
      <w:pPr>
        <w:pStyle w:val="MIRSubpara"/>
      </w:pPr>
      <w:r w:rsidRPr="00F831C0">
        <w:t xml:space="preserve">the entity becomes an individual who is an insolvent under administration within the meaning of the Corporations Act; </w:t>
      </w:r>
    </w:p>
    <w:p w14:paraId="1AE15F9E" w14:textId="77777777" w:rsidR="00727628" w:rsidRPr="00F831C0" w:rsidRDefault="00727628" w:rsidP="00727628">
      <w:pPr>
        <w:pStyle w:val="MIRSubpara"/>
      </w:pPr>
      <w:r w:rsidRPr="00F831C0">
        <w:t xml:space="preserve">if the entity is a partnership, the entity is wound up or dissolved or a liquidator is appointed to it; </w:t>
      </w:r>
    </w:p>
    <w:p w14:paraId="531DE453" w14:textId="77777777" w:rsidR="00727628" w:rsidRPr="00F831C0" w:rsidRDefault="00727628" w:rsidP="00727628">
      <w:pPr>
        <w:pStyle w:val="MIRSubpara"/>
      </w:pPr>
      <w:r w:rsidRPr="00F831C0">
        <w:t xml:space="preserve">a person takes control of the entity’s property for the benefit of the entity’s creditors because the entity is, or is likely to become, insolvent; </w:t>
      </w:r>
    </w:p>
    <w:p w14:paraId="3CCD1945" w14:textId="77777777" w:rsidR="00727628" w:rsidRPr="00F831C0" w:rsidRDefault="00727628" w:rsidP="00727628">
      <w:pPr>
        <w:pStyle w:val="MIRSubpara"/>
      </w:pPr>
      <w:r w:rsidRPr="00F831C0">
        <w:t xml:space="preserve">the entity enters into an arrangement, composition or compromise with, or assignment for the benefit of, all of its creditors or any class of them; or </w:t>
      </w:r>
    </w:p>
    <w:p w14:paraId="234F5318" w14:textId="77777777" w:rsidR="00727628" w:rsidRPr="00F831C0" w:rsidRDefault="00727628" w:rsidP="00727628">
      <w:pPr>
        <w:pStyle w:val="MIRSubpara"/>
      </w:pPr>
      <w:r w:rsidRPr="00F831C0">
        <w:t xml:space="preserve">anything analogous to, or having a substantially similar effect to the events specified in paragraphs (a) to (e) happens to the entity under the laws of any applicable jurisdiction. </w:t>
      </w:r>
    </w:p>
    <w:p w14:paraId="78958E53" w14:textId="21865B54" w:rsidR="00DA6158" w:rsidRPr="00F831C0" w:rsidRDefault="00DA6158" w:rsidP="009926F2">
      <w:pPr>
        <w:pStyle w:val="MIRBodyText"/>
        <w:numPr>
          <w:ilvl w:val="0"/>
          <w:numId w:val="0"/>
        </w:numPr>
        <w:spacing w:before="160"/>
        <w:ind w:left="851"/>
      </w:pPr>
      <w:r w:rsidRPr="00F831C0">
        <w:rPr>
          <w:b/>
          <w:i/>
        </w:rPr>
        <w:t>Business Day</w:t>
      </w:r>
      <w:r w:rsidRPr="00F831C0">
        <w:t xml:space="preserve"> means a day other than a Saturday, Sunday, New Year</w:t>
      </w:r>
      <w:r w:rsidR="00F837EF" w:rsidRPr="00F831C0">
        <w:t>’</w:t>
      </w:r>
      <w:r w:rsidRPr="00F831C0">
        <w:t>s Day, Good Friday, Easter Monday, Christmas Day or Boxing Day.</w:t>
      </w:r>
    </w:p>
    <w:p w14:paraId="1C820396" w14:textId="1C1EDEAA" w:rsidR="00DA6158" w:rsidRPr="00F831C0" w:rsidRDefault="00DA6158" w:rsidP="009926F2">
      <w:pPr>
        <w:pStyle w:val="MIRBodyText"/>
        <w:numPr>
          <w:ilvl w:val="0"/>
          <w:numId w:val="0"/>
        </w:numPr>
        <w:spacing w:before="160"/>
        <w:ind w:left="851"/>
      </w:pPr>
      <w:r w:rsidRPr="00F831C0">
        <w:rPr>
          <w:b/>
          <w:i/>
        </w:rPr>
        <w:t>Cash Market Product</w:t>
      </w:r>
      <w:r w:rsidRPr="00F831C0">
        <w:t xml:space="preserve"> means </w:t>
      </w:r>
      <w:r w:rsidR="00FE5789" w:rsidRPr="00F831C0">
        <w:t>an Equity Market Product</w:t>
      </w:r>
      <w:r w:rsidR="00B42E1B" w:rsidRPr="00F831C0">
        <w:t xml:space="preserve">, a </w:t>
      </w:r>
      <w:r w:rsidRPr="00F831C0">
        <w:t>Quoted Product, a Warrant admitted to Trading Status, an AQUA Product admitted to Trading Status or to the AQUA Quote Display Board</w:t>
      </w:r>
      <w:r w:rsidR="00542E16" w:rsidRPr="00F831C0">
        <w:rPr>
          <w:i/>
        </w:rPr>
        <w:t xml:space="preserve">, </w:t>
      </w:r>
      <w:r w:rsidR="00542E16" w:rsidRPr="00F831C0">
        <w:t xml:space="preserve">a CGS Depository Interest admitted to Trading Status </w:t>
      </w:r>
      <w:r w:rsidRPr="00F831C0">
        <w:t xml:space="preserve">and any other product that </w:t>
      </w:r>
      <w:r w:rsidR="001B7940" w:rsidRPr="00F831C0">
        <w:t xml:space="preserve">a </w:t>
      </w:r>
      <w:r w:rsidRPr="00F831C0">
        <w:t xml:space="preserve">Market </w:t>
      </w:r>
      <w:r w:rsidR="001B7940" w:rsidRPr="00F831C0">
        <w:t>o</w:t>
      </w:r>
      <w:r w:rsidRPr="00F831C0">
        <w:t xml:space="preserve">perator authorises for trading on </w:t>
      </w:r>
      <w:r w:rsidR="00FE5789" w:rsidRPr="00F831C0">
        <w:t>its</w:t>
      </w:r>
      <w:r w:rsidRPr="00F831C0">
        <w:t xml:space="preserve"> Trading Platform as a Cash Market Product.</w:t>
      </w:r>
    </w:p>
    <w:p w14:paraId="106FF7C1" w14:textId="77777777" w:rsidR="00727628" w:rsidRPr="00F831C0" w:rsidRDefault="00727628" w:rsidP="00727628">
      <w:pPr>
        <w:pStyle w:val="MIRBodyText"/>
        <w:numPr>
          <w:ilvl w:val="0"/>
          <w:numId w:val="33"/>
        </w:numPr>
      </w:pPr>
      <w:r w:rsidRPr="00F831C0">
        <w:rPr>
          <w:b/>
          <w:bCs/>
          <w:i/>
        </w:rPr>
        <w:t>CFD</w:t>
      </w:r>
      <w:r w:rsidRPr="00F831C0">
        <w:t xml:space="preserve"> means contract for difference. </w:t>
      </w:r>
    </w:p>
    <w:p w14:paraId="4B546B5E" w14:textId="0B6B563A" w:rsidR="009570A7" w:rsidRPr="00F831C0" w:rsidRDefault="009570A7" w:rsidP="009926F2">
      <w:pPr>
        <w:pStyle w:val="MIRBodyText"/>
        <w:numPr>
          <w:ilvl w:val="0"/>
          <w:numId w:val="33"/>
        </w:numPr>
        <w:tabs>
          <w:tab w:val="clear" w:pos="2205"/>
          <w:tab w:val="left" w:pos="851"/>
        </w:tabs>
        <w:spacing w:before="160"/>
      </w:pPr>
      <w:r w:rsidRPr="00F831C0">
        <w:rPr>
          <w:b/>
          <w:i/>
        </w:rPr>
        <w:t>CGS Market</w:t>
      </w:r>
      <w:r w:rsidRPr="00F831C0">
        <w:t xml:space="preserve"> means a financial market:</w:t>
      </w:r>
    </w:p>
    <w:p w14:paraId="00A7DBE1" w14:textId="77777777" w:rsidR="009570A7" w:rsidRPr="00F831C0" w:rsidRDefault="009570A7" w:rsidP="009926F2">
      <w:pPr>
        <w:pStyle w:val="MIRSubpara"/>
        <w:numPr>
          <w:ilvl w:val="1"/>
          <w:numId w:val="34"/>
        </w:numPr>
        <w:spacing w:before="80"/>
      </w:pPr>
      <w:r w:rsidRPr="00F831C0">
        <w:t>on or through which offers to acquire or dispose of CGS Depository Interests are made or accepted;</w:t>
      </w:r>
    </w:p>
    <w:p w14:paraId="42AAFB57" w14:textId="77777777" w:rsidR="009570A7" w:rsidRPr="00F831C0" w:rsidRDefault="009570A7" w:rsidP="00FB4E7C">
      <w:pPr>
        <w:pStyle w:val="MIRSubpara"/>
        <w:numPr>
          <w:ilvl w:val="1"/>
          <w:numId w:val="106"/>
        </w:numPr>
        <w:spacing w:before="80"/>
      </w:pPr>
      <w:r w:rsidRPr="00F831C0">
        <w:t>the operator of which is licensed under subsection 795B(1) of the Corporations Act; and</w:t>
      </w:r>
    </w:p>
    <w:p w14:paraId="3478FFB7" w14:textId="77777777" w:rsidR="009570A7" w:rsidRPr="00F831C0" w:rsidRDefault="009570A7" w:rsidP="009926F2">
      <w:pPr>
        <w:pStyle w:val="MIRSubpara"/>
        <w:spacing w:before="80"/>
      </w:pPr>
      <w:r w:rsidRPr="00F831C0">
        <w:t>the operator of which has entered into contractual arrangements with the Australian Office of Financial Management to offer trading services in CGS Depository Interests.</w:t>
      </w:r>
    </w:p>
    <w:p w14:paraId="20F6DCE2" w14:textId="4A02982F" w:rsidR="00B87262" w:rsidRPr="00F831C0" w:rsidRDefault="00B87262" w:rsidP="009926F2">
      <w:pPr>
        <w:pStyle w:val="MIRBodyText"/>
        <w:spacing w:before="160"/>
      </w:pPr>
      <w:r w:rsidRPr="00F831C0">
        <w:rPr>
          <w:b/>
          <w:i/>
        </w:rPr>
        <w:t>CHESS Deposit</w:t>
      </w:r>
      <w:r w:rsidR="00DE18B7" w:rsidRPr="00F831C0">
        <w:rPr>
          <w:b/>
          <w:i/>
        </w:rPr>
        <w:t>a</w:t>
      </w:r>
      <w:r w:rsidRPr="00F831C0">
        <w:rPr>
          <w:b/>
          <w:i/>
        </w:rPr>
        <w:t>ry Interest</w:t>
      </w:r>
      <w:r w:rsidRPr="00F831C0">
        <w:t xml:space="preserve"> has the meaning given to the term “CDI” by rule 2.13.1 of the operating rules of ASX Settlement Pty Limited (ACN 008 504 532).</w:t>
      </w:r>
    </w:p>
    <w:p w14:paraId="398495EE" w14:textId="77777777" w:rsidR="00B87262" w:rsidRPr="00F831C0" w:rsidRDefault="00B87262" w:rsidP="009926F2">
      <w:pPr>
        <w:pStyle w:val="MIRBodyText"/>
        <w:spacing w:before="160"/>
      </w:pPr>
      <w:r w:rsidRPr="00F831C0">
        <w:rPr>
          <w:b/>
          <w:i/>
        </w:rPr>
        <w:t>Chi-X Australia</w:t>
      </w:r>
      <w:r w:rsidRPr="00F831C0">
        <w:t xml:space="preserve"> means Chi-X Australia Pty Ltd (ACN 129 584 667).</w:t>
      </w:r>
    </w:p>
    <w:p w14:paraId="18BD2164" w14:textId="78D57C92" w:rsidR="00B87262" w:rsidRPr="00F831C0" w:rsidRDefault="00B87262" w:rsidP="009926F2">
      <w:pPr>
        <w:pStyle w:val="MIRBodyText"/>
        <w:spacing w:before="160"/>
      </w:pPr>
      <w:r w:rsidRPr="00F831C0">
        <w:rPr>
          <w:b/>
          <w:i/>
        </w:rPr>
        <w:lastRenderedPageBreak/>
        <w:t>Chi-X Market</w:t>
      </w:r>
      <w:r w:rsidRPr="00F831C0">
        <w:t xml:space="preserve"> means the market operated by Chi-X Australia under </w:t>
      </w:r>
      <w:r w:rsidRPr="00F831C0">
        <w:rPr>
          <w:i/>
        </w:rPr>
        <w:t>Australian Market Licence (Chi-X Australia Pty Ltd) 2011</w:t>
      </w:r>
      <w:r w:rsidRPr="00F831C0">
        <w:t>.</w:t>
      </w:r>
    </w:p>
    <w:p w14:paraId="56EC008B" w14:textId="77777777" w:rsidR="00727628" w:rsidRPr="00F831C0" w:rsidRDefault="00727628" w:rsidP="00727628">
      <w:pPr>
        <w:pStyle w:val="MIRBodyText"/>
      </w:pPr>
      <w:r w:rsidRPr="00F831C0">
        <w:rPr>
          <w:b/>
          <w:bCs/>
          <w:i/>
        </w:rPr>
        <w:t>Classical ETF</w:t>
      </w:r>
      <w:r w:rsidRPr="00F831C0">
        <w:t xml:space="preserve"> means a managed fund that meets all of the following criteria: </w:t>
      </w:r>
    </w:p>
    <w:p w14:paraId="36DDB468" w14:textId="77777777" w:rsidR="00727628" w:rsidRPr="00F831C0" w:rsidRDefault="00727628" w:rsidP="00727628">
      <w:pPr>
        <w:pStyle w:val="MIRSubpara"/>
      </w:pPr>
      <w:r w:rsidRPr="00F831C0">
        <w:t xml:space="preserve">that is listed and quoted on a stock exchange (and in Australia is registered as a managed investment scheme under the Corporations Act); </w:t>
      </w:r>
    </w:p>
    <w:p w14:paraId="725EC070" w14:textId="77777777" w:rsidR="00727628" w:rsidRPr="00F831C0" w:rsidRDefault="00727628" w:rsidP="00727628">
      <w:pPr>
        <w:pStyle w:val="MIRSubpara"/>
      </w:pPr>
      <w:r w:rsidRPr="00F831C0">
        <w:t xml:space="preserve">where, under an open prospectus, the units in the fund can only be subscribed for and redeemed in kind, on demand and via the exchange of a defined basket of Equity securities; </w:t>
      </w:r>
    </w:p>
    <w:p w14:paraId="38096D8B" w14:textId="77777777" w:rsidR="00727628" w:rsidRPr="00F831C0" w:rsidRDefault="00727628" w:rsidP="00727628">
      <w:pPr>
        <w:pStyle w:val="MIRSubpara"/>
      </w:pPr>
      <w:r w:rsidRPr="00F831C0">
        <w:t xml:space="preserve">that has a “passive” investment strategy designed to replicate a stock index at all times and this is evidenced by the holding of physical securities in weightings that predominantly match the stock index the fund has been issued over, and accordingly, any cash or Derivative components must be immaterial and must not be used to gear the fund; </w:t>
      </w:r>
    </w:p>
    <w:p w14:paraId="5CBC33DA" w14:textId="77777777" w:rsidR="00727628" w:rsidRPr="00F831C0" w:rsidRDefault="00727628" w:rsidP="00727628">
      <w:pPr>
        <w:pStyle w:val="MIRSubpara"/>
      </w:pPr>
      <w:r w:rsidRPr="00F831C0">
        <w:t xml:space="preserve">where the underlying assets are known on a daily basis; and </w:t>
      </w:r>
    </w:p>
    <w:p w14:paraId="3B1E218A" w14:textId="77777777" w:rsidR="00727628" w:rsidRPr="00F831C0" w:rsidRDefault="00727628" w:rsidP="00727628">
      <w:pPr>
        <w:pStyle w:val="MIRSubpara"/>
      </w:pPr>
      <w:r w:rsidRPr="00F831C0">
        <w:t xml:space="preserve">that is subscribed for and redeemed in a “primary” market via either a Market Participant or the fund issuer, and existing units are traded in a “secondary” market provided through a stock exchange. </w:t>
      </w:r>
    </w:p>
    <w:p w14:paraId="2AB6CB73" w14:textId="75A06179" w:rsidR="00DA6158" w:rsidRPr="00F831C0" w:rsidRDefault="00DA6158" w:rsidP="009926F2">
      <w:pPr>
        <w:pStyle w:val="MIRBodyText"/>
        <w:spacing w:before="160"/>
      </w:pPr>
      <w:r w:rsidRPr="00F831C0">
        <w:rPr>
          <w:b/>
          <w:i/>
        </w:rPr>
        <w:t>Clearing Facility</w:t>
      </w:r>
      <w:r w:rsidRPr="00F831C0">
        <w:t xml:space="preserve"> means, in relation to a </w:t>
      </w:r>
      <w:r w:rsidR="00F87C9C" w:rsidRPr="00F831C0">
        <w:t>t</w:t>
      </w:r>
      <w:r w:rsidRPr="00F831C0">
        <w:t xml:space="preserve">ransaction, the clearing and settlement facility, </w:t>
      </w:r>
      <w:r w:rsidR="005D3ED0" w:rsidRPr="00F831C0">
        <w:t xml:space="preserve">if any, </w:t>
      </w:r>
      <w:r w:rsidRPr="00F831C0">
        <w:t xml:space="preserve">within the meaning of section 761A of the Corporations Act, through which the </w:t>
      </w:r>
      <w:r w:rsidR="00C93D3B" w:rsidRPr="00F831C0">
        <w:t>t</w:t>
      </w:r>
      <w:r w:rsidRPr="00F831C0">
        <w:t>ransaction has been or will be cleared.</w:t>
      </w:r>
    </w:p>
    <w:p w14:paraId="41A7D79D" w14:textId="6C52CF42" w:rsidR="00DA6158" w:rsidRPr="00F831C0" w:rsidRDefault="00DA6158" w:rsidP="009926F2">
      <w:pPr>
        <w:pStyle w:val="MIRBodyText"/>
        <w:spacing w:before="160"/>
      </w:pPr>
      <w:r w:rsidRPr="00F831C0">
        <w:rPr>
          <w:b/>
          <w:i/>
        </w:rPr>
        <w:t>Clearing Participant</w:t>
      </w:r>
      <w:r w:rsidRPr="00F831C0">
        <w:t xml:space="preserve"> means a person admitted as a participant under the Clearing Rules.</w:t>
      </w:r>
    </w:p>
    <w:p w14:paraId="5F077DE5" w14:textId="77777777" w:rsidR="00DA6158" w:rsidRPr="00F831C0" w:rsidRDefault="00DA6158" w:rsidP="009926F2">
      <w:pPr>
        <w:pStyle w:val="MIRBodyText"/>
        <w:spacing w:before="160"/>
      </w:pPr>
      <w:r w:rsidRPr="00F831C0">
        <w:rPr>
          <w:b/>
          <w:i/>
        </w:rPr>
        <w:t>Clearing Rules</w:t>
      </w:r>
      <w:r w:rsidRPr="00F831C0">
        <w:t xml:space="preserve"> means:</w:t>
      </w:r>
    </w:p>
    <w:p w14:paraId="3D75AE8E" w14:textId="77777777" w:rsidR="00DA6158" w:rsidRPr="00F831C0" w:rsidRDefault="00DA6158" w:rsidP="009926F2">
      <w:pPr>
        <w:pStyle w:val="MIRSubpara"/>
        <w:spacing w:before="80"/>
      </w:pPr>
      <w:r w:rsidRPr="00F831C0">
        <w:t xml:space="preserve">in relation to a particular Clearing Facility, the operating rules, procedures, practices, directions, decisions and requirements of that Clearing Facility; </w:t>
      </w:r>
    </w:p>
    <w:p w14:paraId="66B65ACB" w14:textId="77777777" w:rsidR="00DA6158" w:rsidRPr="00F831C0" w:rsidRDefault="00DA6158" w:rsidP="009926F2">
      <w:pPr>
        <w:pStyle w:val="MIRSubpara"/>
        <w:spacing w:before="80"/>
      </w:pPr>
      <w:r w:rsidRPr="00F831C0">
        <w:t>in relation to a particular Clearing Participant,</w:t>
      </w:r>
      <w:r w:rsidR="00F837EF" w:rsidRPr="00F831C0">
        <w:t xml:space="preserve"> </w:t>
      </w:r>
      <w:r w:rsidRPr="00F831C0">
        <w:t>the rules of the Clearing Facility to which that Clearing Participant is subject.</w:t>
      </w:r>
    </w:p>
    <w:p w14:paraId="60342C02" w14:textId="77777777" w:rsidR="00AB6BCC" w:rsidRPr="00F831C0" w:rsidRDefault="00AB6BCC" w:rsidP="00AB6BCC">
      <w:pPr>
        <w:pStyle w:val="MIRBodyText"/>
      </w:pPr>
      <w:r w:rsidRPr="00F831C0">
        <w:rPr>
          <w:b/>
          <w:bCs/>
          <w:i/>
        </w:rPr>
        <w:t>Client Balance</w:t>
      </w:r>
      <w:r w:rsidRPr="00F831C0">
        <w:t xml:space="preserve"> means an individual Counterparty’s net debit or credit balance with a Market Participant arising from non-margined Financial Instruments. </w:t>
      </w:r>
    </w:p>
    <w:p w14:paraId="628DE79D" w14:textId="1A66AFE4" w:rsidR="00265645" w:rsidRDefault="00265645" w:rsidP="00265645">
      <w:pPr>
        <w:pStyle w:val="MIRBodyText"/>
      </w:pPr>
      <w:r>
        <w:rPr>
          <w:b/>
          <w:i/>
        </w:rPr>
        <w:t>CME</w:t>
      </w:r>
      <w:r>
        <w:t xml:space="preserve"> means Chicago Mercantile Exchange Inc (ARBN 103 432 391).</w:t>
      </w:r>
    </w:p>
    <w:p w14:paraId="6F0C7FF6" w14:textId="5EEDAFB0" w:rsidR="00E063A1" w:rsidRPr="001A4322" w:rsidRDefault="00E063A1" w:rsidP="00E063A1">
      <w:pPr>
        <w:pStyle w:val="MIRBodyText"/>
      </w:pPr>
      <w:r w:rsidRPr="001A4322">
        <w:rPr>
          <w:b/>
          <w:i/>
        </w:rPr>
        <w:t xml:space="preserve">Commodity </w:t>
      </w:r>
      <w:r w:rsidR="004B488B" w:rsidRPr="001A4322">
        <w:t xml:space="preserve"> means a tradeable physical or energy product, such as agricultural products, minerals (including oil), electricity and precious and base metals (excluding gold).</w:t>
      </w:r>
    </w:p>
    <w:p w14:paraId="14B65623" w14:textId="77777777" w:rsidR="00E063A1" w:rsidRDefault="00E063A1" w:rsidP="00E063A1">
      <w:pPr>
        <w:pStyle w:val="MIRBodyText"/>
        <w:numPr>
          <w:ilvl w:val="0"/>
          <w:numId w:val="52"/>
        </w:numPr>
      </w:pPr>
      <w:r>
        <w:rPr>
          <w:b/>
          <w:i/>
        </w:rPr>
        <w:t xml:space="preserve">Commodity Derivative </w:t>
      </w:r>
      <w:r>
        <w:t>includes:</w:t>
      </w:r>
    </w:p>
    <w:p w14:paraId="3712DDE1" w14:textId="6CE34385" w:rsidR="00B91BB0" w:rsidRDefault="005E7B7C" w:rsidP="00E063A1">
      <w:pPr>
        <w:pStyle w:val="subparaa"/>
        <w:numPr>
          <w:ilvl w:val="1"/>
          <w:numId w:val="53"/>
        </w:numPr>
        <w:tabs>
          <w:tab w:val="clear" w:pos="2693"/>
        </w:tabs>
        <w:ind w:left="1276"/>
      </w:pPr>
      <w:r>
        <w:t>a Commodity Swap;</w:t>
      </w:r>
    </w:p>
    <w:p w14:paraId="38BF0207" w14:textId="77777777" w:rsidR="00331877" w:rsidRDefault="00331877" w:rsidP="00331877">
      <w:pPr>
        <w:pStyle w:val="subparaa"/>
        <w:numPr>
          <w:ilvl w:val="1"/>
          <w:numId w:val="53"/>
        </w:numPr>
        <w:tabs>
          <w:tab w:val="clear" w:pos="2693"/>
        </w:tabs>
        <w:ind w:left="1276"/>
      </w:pPr>
      <w:r>
        <w:t>a forward contract over a Commodity;</w:t>
      </w:r>
    </w:p>
    <w:p w14:paraId="321345FF" w14:textId="62A98268" w:rsidR="00E063A1" w:rsidRDefault="00E063A1" w:rsidP="00E063A1">
      <w:pPr>
        <w:pStyle w:val="subparaa"/>
        <w:numPr>
          <w:ilvl w:val="1"/>
          <w:numId w:val="53"/>
        </w:numPr>
        <w:tabs>
          <w:tab w:val="clear" w:pos="2693"/>
        </w:tabs>
        <w:ind w:left="1276"/>
      </w:pPr>
      <w:r>
        <w:t>a Future over a Commodity</w:t>
      </w:r>
      <w:r w:rsidR="00331877">
        <w:t xml:space="preserve"> or a Future over an index or baske</w:t>
      </w:r>
      <w:r w:rsidR="00C574E9">
        <w:t>t</w:t>
      </w:r>
      <w:r w:rsidR="00331877">
        <w:t xml:space="preserve"> product based on Commodities</w:t>
      </w:r>
      <w:r>
        <w:t>;</w:t>
      </w:r>
    </w:p>
    <w:p w14:paraId="76208E8B" w14:textId="228C765F" w:rsidR="00331877" w:rsidRDefault="005141EB" w:rsidP="00E063A1">
      <w:pPr>
        <w:pStyle w:val="subparaa"/>
        <w:numPr>
          <w:ilvl w:val="1"/>
          <w:numId w:val="53"/>
        </w:numPr>
        <w:tabs>
          <w:tab w:val="clear" w:pos="2693"/>
        </w:tabs>
        <w:ind w:left="1276"/>
      </w:pPr>
      <w:r w:rsidRPr="005141EB">
        <w:t>a</w:t>
      </w:r>
      <w:r w:rsidR="007E0FB1">
        <w:t xml:space="preserve"> bas</w:t>
      </w:r>
      <w:r w:rsidRPr="005141EB">
        <w:t>ket</w:t>
      </w:r>
      <w:r w:rsidR="007E0FB1">
        <w:t xml:space="preserve"> or index</w:t>
      </w:r>
      <w:r w:rsidRPr="005141EB">
        <w:t xml:space="preserve"> product based on</w:t>
      </w:r>
      <w:r>
        <w:t xml:space="preserve"> </w:t>
      </w:r>
      <w:r w:rsidR="007E0FB1">
        <w:t>a Commodity;</w:t>
      </w:r>
    </w:p>
    <w:p w14:paraId="1512EE88" w14:textId="5F6C978F" w:rsidR="00E063A1" w:rsidRDefault="00E063A1" w:rsidP="00E063A1">
      <w:pPr>
        <w:pStyle w:val="subparaa"/>
        <w:numPr>
          <w:ilvl w:val="1"/>
          <w:numId w:val="53"/>
        </w:numPr>
        <w:tabs>
          <w:tab w:val="clear" w:pos="2693"/>
        </w:tabs>
        <w:ind w:left="1276"/>
      </w:pPr>
      <w:r>
        <w:lastRenderedPageBreak/>
        <w:t>a CFD over a Commodity; and</w:t>
      </w:r>
    </w:p>
    <w:p w14:paraId="5151271D" w14:textId="77777777" w:rsidR="00885162" w:rsidRDefault="00E063A1" w:rsidP="00E063A1">
      <w:pPr>
        <w:pStyle w:val="subparaa"/>
        <w:numPr>
          <w:ilvl w:val="1"/>
          <w:numId w:val="53"/>
        </w:numPr>
        <w:tabs>
          <w:tab w:val="clear" w:pos="2693"/>
        </w:tabs>
        <w:ind w:left="1276"/>
      </w:pPr>
      <w:r>
        <w:t>an Option over a Commodity and an Option over a product referred to in paragraph</w:t>
      </w:r>
      <w:r w:rsidR="00A049A2">
        <w:t>s</w:t>
      </w:r>
      <w:r>
        <w:t xml:space="preserve"> (a)</w:t>
      </w:r>
      <w:r w:rsidR="00A049A2">
        <w:t xml:space="preserve"> to (e)</w:t>
      </w:r>
      <w:r w:rsidR="00885162">
        <w:t>,</w:t>
      </w:r>
    </w:p>
    <w:p w14:paraId="12559F91" w14:textId="2DF73AAB" w:rsidR="00E063A1" w:rsidRPr="008A0D81" w:rsidRDefault="00885162" w:rsidP="00885162">
      <w:pPr>
        <w:pStyle w:val="subparaa"/>
        <w:numPr>
          <w:ilvl w:val="0"/>
          <w:numId w:val="0"/>
        </w:numPr>
        <w:ind w:left="851"/>
      </w:pPr>
      <w:r w:rsidRPr="00885162">
        <w:t>but does not include an instrument that falls within the definition of Equity Derivative, Debt Derivative or Foreign Exchange Derivative</w:t>
      </w:r>
      <w:r w:rsidR="00E063A1">
        <w:t>.</w:t>
      </w:r>
    </w:p>
    <w:p w14:paraId="79D72E14" w14:textId="63FF2303" w:rsidR="00E063A1" w:rsidRPr="008A0D81" w:rsidRDefault="00E063A1" w:rsidP="00E063A1">
      <w:pPr>
        <w:pStyle w:val="MIRBodyText"/>
        <w:numPr>
          <w:ilvl w:val="0"/>
          <w:numId w:val="52"/>
        </w:numPr>
      </w:pPr>
      <w:r>
        <w:rPr>
          <w:b/>
          <w:i/>
        </w:rPr>
        <w:t xml:space="preserve">Commodity Equivalent </w:t>
      </w:r>
      <w:r>
        <w:t xml:space="preserve">means the value of a position in a Commodity Derivative that is equivalent to the value had it been a physical position in the underlying </w:t>
      </w:r>
      <w:r w:rsidRPr="00E063A1">
        <w:t>C</w:t>
      </w:r>
      <w:r>
        <w:t>ommodity calculated in accordance with Part A3.</w:t>
      </w:r>
      <w:r w:rsidR="00364E8E">
        <w:t>27</w:t>
      </w:r>
      <w:r>
        <w:t xml:space="preserve"> of Annexure 3 to Schedule 1A.</w:t>
      </w:r>
    </w:p>
    <w:p w14:paraId="36EFADB2" w14:textId="77777777" w:rsidR="00E063A1" w:rsidRPr="00F831C0" w:rsidRDefault="00E063A1" w:rsidP="00E063A1">
      <w:pPr>
        <w:pStyle w:val="MIRBodyText"/>
      </w:pPr>
      <w:r w:rsidRPr="00F831C0">
        <w:rPr>
          <w:b/>
          <w:i/>
        </w:rPr>
        <w:t>Core Capital</w:t>
      </w:r>
      <w:r w:rsidRPr="00F831C0">
        <w:t xml:space="preserve"> means: </w:t>
      </w:r>
    </w:p>
    <w:p w14:paraId="23E74D86" w14:textId="77777777" w:rsidR="00E063A1" w:rsidRPr="00F831C0" w:rsidRDefault="00E063A1" w:rsidP="00E063A1">
      <w:pPr>
        <w:pStyle w:val="MIRSubpara"/>
      </w:pPr>
      <w:r w:rsidRPr="00F831C0">
        <w:t xml:space="preserve">in the case of a Market Participant which is a company, the sum of: </w:t>
      </w:r>
    </w:p>
    <w:p w14:paraId="7B95C892" w14:textId="1BFCCC64" w:rsidR="00E063A1" w:rsidRPr="00F831C0" w:rsidRDefault="00E063A1" w:rsidP="00E063A1">
      <w:pPr>
        <w:pStyle w:val="MIRSubsubpara"/>
      </w:pPr>
      <w:r w:rsidRPr="00F831C0">
        <w:t>all ordinary issued shares to the extent that those shares are paid</w:t>
      </w:r>
      <w:r w:rsidR="00C574E9">
        <w:t xml:space="preserve"> </w:t>
      </w:r>
      <w:r w:rsidRPr="00F831C0">
        <w:t xml:space="preserve">up; </w:t>
      </w:r>
    </w:p>
    <w:p w14:paraId="3C3C8067" w14:textId="77777777" w:rsidR="00E063A1" w:rsidRPr="00F831C0" w:rsidRDefault="00E063A1" w:rsidP="00E063A1">
      <w:pPr>
        <w:pStyle w:val="MIRSubsubpara"/>
      </w:pPr>
      <w:r w:rsidRPr="00F831C0">
        <w:t xml:space="preserve">all non cumulative Preference Shares; </w:t>
      </w:r>
    </w:p>
    <w:p w14:paraId="7816B087" w14:textId="2CD93B47" w:rsidR="00E063A1" w:rsidRPr="00F831C0" w:rsidRDefault="00E063A1" w:rsidP="00E063A1">
      <w:pPr>
        <w:pStyle w:val="MIRSubsubpara"/>
      </w:pPr>
      <w:r w:rsidRPr="00F831C0">
        <w:t xml:space="preserve">all reserves, excluding revaluation reserves other than Financial Asset </w:t>
      </w:r>
      <w:r w:rsidR="00D35D33">
        <w:t xml:space="preserve">and Liability </w:t>
      </w:r>
      <w:r w:rsidRPr="00F831C0">
        <w:t xml:space="preserve">Revaluation Reserves; and </w:t>
      </w:r>
    </w:p>
    <w:p w14:paraId="197F2554" w14:textId="77777777" w:rsidR="00E063A1" w:rsidRPr="00F831C0" w:rsidRDefault="00E063A1" w:rsidP="00E063A1">
      <w:pPr>
        <w:pStyle w:val="MIRSubsubpara"/>
      </w:pPr>
      <w:r w:rsidRPr="00F831C0">
        <w:t xml:space="preserve">opening retained profits/losses adjusted for all current year movements; and </w:t>
      </w:r>
    </w:p>
    <w:p w14:paraId="3DC7CBC7" w14:textId="77777777" w:rsidR="00E063A1" w:rsidRPr="00F831C0" w:rsidRDefault="00E063A1" w:rsidP="00E063A1">
      <w:pPr>
        <w:pStyle w:val="MIRSubpara"/>
      </w:pPr>
      <w:r w:rsidRPr="00F831C0">
        <w:t xml:space="preserve">in the case of a Market Participant which is a partnership, the sum of the partners’ current and capital accounts. </w:t>
      </w:r>
    </w:p>
    <w:p w14:paraId="7CC61C72" w14:textId="5EB20464" w:rsidR="00DA6158" w:rsidRPr="00F831C0" w:rsidRDefault="00DA6158" w:rsidP="00BE0D37">
      <w:pPr>
        <w:pStyle w:val="MIRBodyText"/>
      </w:pPr>
      <w:r w:rsidRPr="00F831C0">
        <w:rPr>
          <w:b/>
          <w:i/>
        </w:rPr>
        <w:t>Corporations Act</w:t>
      </w:r>
      <w:r w:rsidRPr="00F831C0">
        <w:t xml:space="preserve"> means the</w:t>
      </w:r>
      <w:r w:rsidRPr="00F831C0">
        <w:rPr>
          <w:i/>
        </w:rPr>
        <w:t xml:space="preserve"> Corporations Act 2001</w:t>
      </w:r>
      <w:r w:rsidRPr="00F831C0">
        <w:t xml:space="preserve"> (Cth).</w:t>
      </w:r>
    </w:p>
    <w:p w14:paraId="1C2C7BCF" w14:textId="77777777" w:rsidR="00E063A1" w:rsidRPr="00F831C0" w:rsidRDefault="00E063A1" w:rsidP="00E063A1">
      <w:pPr>
        <w:pStyle w:val="MIRBodyText"/>
      </w:pPr>
      <w:r w:rsidRPr="00F831C0">
        <w:rPr>
          <w:b/>
          <w:bCs/>
          <w:i/>
        </w:rPr>
        <w:t>Counterparty</w:t>
      </w:r>
      <w:r w:rsidRPr="00F831C0">
        <w:t xml:space="preserve"> means in respect of a transaction to which a Market Participant is a party, another party to that transaction whether that person is a counterparty or a client. </w:t>
      </w:r>
    </w:p>
    <w:p w14:paraId="71968711" w14:textId="534651E2" w:rsidR="00E063A1" w:rsidRPr="00F831C0" w:rsidRDefault="00E063A1" w:rsidP="00E063A1">
      <w:pPr>
        <w:pStyle w:val="MIRBodyText"/>
      </w:pPr>
      <w:r w:rsidRPr="00F831C0">
        <w:rPr>
          <w:b/>
          <w:bCs/>
          <w:i/>
        </w:rPr>
        <w:t>Counterparty Risk Requirement</w:t>
      </w:r>
      <w:r w:rsidRPr="00F831C0">
        <w:t xml:space="preserve"> means the greater of: </w:t>
      </w:r>
    </w:p>
    <w:p w14:paraId="36C89355" w14:textId="6448C6E5" w:rsidR="00E063A1" w:rsidRPr="00F831C0" w:rsidRDefault="00E063A1" w:rsidP="00C24654">
      <w:pPr>
        <w:pStyle w:val="MIRSubpara"/>
      </w:pPr>
      <w:r w:rsidRPr="00F831C0">
        <w:t xml:space="preserve">zero; and </w:t>
      </w:r>
    </w:p>
    <w:p w14:paraId="47C8FCF8" w14:textId="7F09B79C" w:rsidR="00E063A1" w:rsidRPr="00F831C0" w:rsidRDefault="00E063A1" w:rsidP="00C24654">
      <w:pPr>
        <w:pStyle w:val="MIRSubpara"/>
      </w:pPr>
      <w:r w:rsidRPr="00F831C0">
        <w:t xml:space="preserve">the absolute sum of the counterparty risk amounts calculated in accordance with Annexure 1 to Schedule 1A less any provision raised for doubtful debts. </w:t>
      </w:r>
    </w:p>
    <w:p w14:paraId="2B037185" w14:textId="778D81C6" w:rsidR="00E063A1" w:rsidRPr="008F137B" w:rsidRDefault="00E063A1" w:rsidP="00077E7F">
      <w:pPr>
        <w:pStyle w:val="MIRNote"/>
      </w:pPr>
      <w:r w:rsidRPr="00F831C0">
        <w:t xml:space="preserve">Note: The provision for doubtful debts must relate to a specific Counterparty receivable for which a counterparty risk amount has been calculated in accordance with Annexure 1 or to cover the possibility of a Counterparty or Client Balance becoming doubtful. A Market Participant must not deduct a provision amount from an individual counterparty risk amount. </w:t>
      </w:r>
    </w:p>
    <w:p w14:paraId="2CAF1A1D" w14:textId="7D657142" w:rsidR="001366EF" w:rsidRPr="008F137B" w:rsidRDefault="001366EF" w:rsidP="00B90D72">
      <w:pPr>
        <w:pStyle w:val="MIRBodyText"/>
        <w:spacing w:before="160"/>
      </w:pPr>
      <w:r>
        <w:rPr>
          <w:b/>
          <w:i/>
        </w:rPr>
        <w:t xml:space="preserve">Credit Rating Agency </w:t>
      </w:r>
      <w:r>
        <w:t>means an agency licensed by ASIC to carry on a business of providing credit ratings in Australia.</w:t>
      </w:r>
    </w:p>
    <w:p w14:paraId="652196A1" w14:textId="77777777" w:rsidR="001366EF" w:rsidRPr="00F831C0" w:rsidRDefault="001366EF" w:rsidP="001366EF">
      <w:pPr>
        <w:pStyle w:val="MIRBodyText"/>
      </w:pPr>
      <w:r w:rsidRPr="00F831C0">
        <w:rPr>
          <w:b/>
          <w:bCs/>
          <w:i/>
        </w:rPr>
        <w:t>Debt Derivative</w:t>
      </w:r>
      <w:r w:rsidRPr="00F831C0">
        <w:t xml:space="preserve"> includes: </w:t>
      </w:r>
    </w:p>
    <w:p w14:paraId="549C8E6E" w14:textId="630EBF51" w:rsidR="001366EF" w:rsidRPr="00F831C0" w:rsidRDefault="001366EF" w:rsidP="001366EF">
      <w:pPr>
        <w:pStyle w:val="MIRSubpara"/>
      </w:pPr>
      <w:r w:rsidRPr="00F831C0">
        <w:t xml:space="preserve">a convertible note (except to the extent that Annexure 3 to Schedule 1A provides for the treatment of a convertible note as an equity position); </w:t>
      </w:r>
    </w:p>
    <w:p w14:paraId="1510FA0A" w14:textId="77777777" w:rsidR="001366EF" w:rsidRPr="00F831C0" w:rsidRDefault="001366EF" w:rsidP="001366EF">
      <w:pPr>
        <w:pStyle w:val="MIRSubpara"/>
      </w:pPr>
      <w:r w:rsidRPr="00F831C0">
        <w:t xml:space="preserve">an interest rate Swap; </w:t>
      </w:r>
    </w:p>
    <w:p w14:paraId="47551093" w14:textId="77777777" w:rsidR="001366EF" w:rsidRPr="00F831C0" w:rsidRDefault="001366EF" w:rsidP="001366EF">
      <w:pPr>
        <w:pStyle w:val="MIRSubpara"/>
      </w:pPr>
      <w:r w:rsidRPr="00F831C0">
        <w:t xml:space="preserve">a Forward Rate Agreement; </w:t>
      </w:r>
    </w:p>
    <w:p w14:paraId="2569A10F" w14:textId="77777777" w:rsidR="001366EF" w:rsidRPr="00F831C0" w:rsidRDefault="001366EF" w:rsidP="001366EF">
      <w:pPr>
        <w:pStyle w:val="MIRSubpara"/>
      </w:pPr>
      <w:r w:rsidRPr="00F831C0">
        <w:t xml:space="preserve">a forward contract over a Debt Instrument; </w:t>
      </w:r>
    </w:p>
    <w:p w14:paraId="60548521" w14:textId="77777777" w:rsidR="001366EF" w:rsidRPr="00F831C0" w:rsidRDefault="001366EF" w:rsidP="001366EF">
      <w:pPr>
        <w:pStyle w:val="MIRSubpara"/>
      </w:pPr>
      <w:r w:rsidRPr="00F831C0">
        <w:lastRenderedPageBreak/>
        <w:t xml:space="preserve">a Future over a Debt Instrument and a Future over an index or basket product based on Debt Instruments; </w:t>
      </w:r>
    </w:p>
    <w:p w14:paraId="2584242C" w14:textId="47CE6D9A" w:rsidR="001366EF" w:rsidRDefault="001366EF" w:rsidP="001366EF">
      <w:pPr>
        <w:pStyle w:val="MIRSubpara"/>
      </w:pPr>
      <w:r w:rsidRPr="00F831C0">
        <w:t xml:space="preserve">an index or basket product based on Debt Instruments; </w:t>
      </w:r>
    </w:p>
    <w:p w14:paraId="79077B8A" w14:textId="15F1BE66" w:rsidR="001366EF" w:rsidRPr="00F831C0" w:rsidRDefault="001366EF" w:rsidP="001366EF">
      <w:pPr>
        <w:pStyle w:val="MIRSubpara"/>
      </w:pPr>
      <w:r>
        <w:t>a Future over an interest rate or interest rate Swap; and</w:t>
      </w:r>
    </w:p>
    <w:p w14:paraId="596C7603" w14:textId="554F8B5B" w:rsidR="001366EF" w:rsidRPr="00F831C0" w:rsidRDefault="001366EF" w:rsidP="001366EF">
      <w:pPr>
        <w:pStyle w:val="MIRSubpara"/>
      </w:pPr>
      <w:r w:rsidRPr="00F831C0">
        <w:t>an Option over a Debt Instrument</w:t>
      </w:r>
      <w:r>
        <w:t>, an Option over an interest rate</w:t>
      </w:r>
      <w:r w:rsidRPr="00F831C0">
        <w:t xml:space="preserve"> and an Option over any of the products referred to in paragraphs (a) to (</w:t>
      </w:r>
      <w:r>
        <w:t>g</w:t>
      </w:r>
      <w:r w:rsidRPr="00F831C0">
        <w:t xml:space="preserve">), </w:t>
      </w:r>
    </w:p>
    <w:p w14:paraId="30F83C9D" w14:textId="4DEF10AB" w:rsidR="001366EF" w:rsidRPr="00F831C0" w:rsidRDefault="001366EF" w:rsidP="001366EF">
      <w:pPr>
        <w:pStyle w:val="MIRBodyText"/>
      </w:pPr>
      <w:r w:rsidRPr="00F831C0">
        <w:t>but does not include an instrument that falls within the definition of Equity Derivative</w:t>
      </w:r>
      <w:r w:rsidR="00B11911">
        <w:t xml:space="preserve">, </w:t>
      </w:r>
      <w:r w:rsidRPr="00F831C0">
        <w:t>Foreign Exchange Derivative</w:t>
      </w:r>
      <w:r w:rsidR="00B11911">
        <w:t xml:space="preserve"> or Commodity Derivative</w:t>
      </w:r>
      <w:r w:rsidRPr="00F831C0">
        <w:t xml:space="preserve">. </w:t>
      </w:r>
    </w:p>
    <w:p w14:paraId="15EE78B9" w14:textId="24794B60" w:rsidR="007F2320" w:rsidRPr="00F831C0" w:rsidRDefault="007F2320" w:rsidP="007F2320">
      <w:pPr>
        <w:pStyle w:val="MIRBodyText"/>
      </w:pPr>
      <w:r w:rsidRPr="00F831C0">
        <w:rPr>
          <w:b/>
          <w:bCs/>
          <w:i/>
        </w:rPr>
        <w:t>Debt Equivalent</w:t>
      </w:r>
      <w:r w:rsidRPr="00F831C0">
        <w:t xml:space="preserve"> means the value of a position in a Debt Derivative that is equivalent to the value had it been a physical position in the underlying Debt Instrument calculated in accordance with Part A3.16 of Annexure 3 to Schedule 1A. </w:t>
      </w:r>
    </w:p>
    <w:p w14:paraId="44333815" w14:textId="77777777" w:rsidR="007F2320" w:rsidRPr="00F831C0" w:rsidRDefault="007F2320" w:rsidP="007F2320">
      <w:pPr>
        <w:pStyle w:val="MIRBodyText"/>
        <w:keepNext/>
      </w:pPr>
      <w:r w:rsidRPr="00F831C0">
        <w:rPr>
          <w:b/>
          <w:i/>
        </w:rPr>
        <w:t>Debt Instrument</w:t>
      </w:r>
      <w:r w:rsidRPr="00F831C0">
        <w:t xml:space="preserve"> includes:</w:t>
      </w:r>
    </w:p>
    <w:p w14:paraId="7BFB55E4" w14:textId="77777777" w:rsidR="007F2320" w:rsidRPr="00F831C0" w:rsidRDefault="007F2320" w:rsidP="007F2320">
      <w:pPr>
        <w:pStyle w:val="MIRSubpara"/>
        <w:keepNext/>
        <w:spacing w:before="120"/>
      </w:pPr>
      <w:r w:rsidRPr="00F831C0">
        <w:t xml:space="preserve">a debt security without call or put provisions; </w:t>
      </w:r>
    </w:p>
    <w:p w14:paraId="741B0AFB" w14:textId="77777777" w:rsidR="007F2320" w:rsidRPr="00F831C0" w:rsidRDefault="007F2320" w:rsidP="007F2320">
      <w:pPr>
        <w:pStyle w:val="MIRSubpara"/>
        <w:keepNext/>
        <w:spacing w:before="120"/>
      </w:pPr>
      <w:r w:rsidRPr="00F831C0">
        <w:t xml:space="preserve">a discount security without call or put provisions; </w:t>
      </w:r>
    </w:p>
    <w:p w14:paraId="4C812277" w14:textId="77777777" w:rsidR="007F2320" w:rsidRPr="00F831C0" w:rsidRDefault="007F2320" w:rsidP="007F2320">
      <w:pPr>
        <w:pStyle w:val="MIRSubpara"/>
        <w:spacing w:before="120"/>
      </w:pPr>
      <w:r w:rsidRPr="00F831C0">
        <w:t xml:space="preserve">a non-convertible preference share; </w:t>
      </w:r>
    </w:p>
    <w:p w14:paraId="1113FCA2" w14:textId="77777777" w:rsidR="007F2320" w:rsidRPr="00F831C0" w:rsidRDefault="007F2320" w:rsidP="007F2320">
      <w:pPr>
        <w:pStyle w:val="MIRSubpara"/>
        <w:spacing w:before="120"/>
      </w:pPr>
      <w:r w:rsidRPr="00F831C0">
        <w:t xml:space="preserve">a redeemable preference share with a fixed and certain date for redemption; and </w:t>
      </w:r>
    </w:p>
    <w:p w14:paraId="46CF9EAE" w14:textId="77777777" w:rsidR="007F2320" w:rsidRPr="00F831C0" w:rsidRDefault="007F2320" w:rsidP="007F2320">
      <w:pPr>
        <w:pStyle w:val="MIRSubpara"/>
        <w:spacing w:before="120"/>
      </w:pPr>
      <w:r w:rsidRPr="00F831C0">
        <w:t xml:space="preserve">an interest in a managed investment scheme investing only in Debt Instruments, mortgages or cash, including an interest in a Hybrid ETF or Other Managed Fund that is issued over physical Debt Instruments only (ignoring any immaterial percentage of cash or Derivatives also included in the Hybrid ETF or Other Managed Fund and used only for hedging purposes), </w:t>
      </w:r>
    </w:p>
    <w:p w14:paraId="26074C29" w14:textId="4BF941F8" w:rsidR="007F2320" w:rsidRPr="00F831C0" w:rsidRDefault="007F2320" w:rsidP="007F2320">
      <w:pPr>
        <w:pStyle w:val="MIRBodyText"/>
        <w:spacing w:before="220"/>
      </w:pPr>
      <w:r w:rsidRPr="00F831C0">
        <w:t>but does not include an instrument that falls within the definition of Equity</w:t>
      </w:r>
      <w:r w:rsidR="00025F82">
        <w:t>,</w:t>
      </w:r>
      <w:r w:rsidR="00D2625F">
        <w:t xml:space="preserve"> Foreign Exchange or Commodity</w:t>
      </w:r>
      <w:r w:rsidRPr="00F831C0">
        <w:t xml:space="preserve">. </w:t>
      </w:r>
    </w:p>
    <w:p w14:paraId="3904807C" w14:textId="5A46D930" w:rsidR="007F2320" w:rsidRPr="00F831C0" w:rsidRDefault="007F2320" w:rsidP="007F2320">
      <w:pPr>
        <w:pStyle w:val="MIRBodyText"/>
        <w:spacing w:before="180"/>
      </w:pPr>
      <w:r w:rsidRPr="00F831C0">
        <w:rPr>
          <w:b/>
          <w:bCs/>
          <w:i/>
        </w:rPr>
        <w:t>Debt Net Position</w:t>
      </w:r>
      <w:r w:rsidRPr="00F831C0">
        <w:t xml:space="preserve"> means an amount calculated in accordance with Part A3.17 of Annexure 3 to Schedule 1A. </w:t>
      </w:r>
    </w:p>
    <w:p w14:paraId="7CC1F6E6" w14:textId="77777777" w:rsidR="007F2320" w:rsidRPr="00F831C0" w:rsidRDefault="007F2320" w:rsidP="007F2320">
      <w:pPr>
        <w:pStyle w:val="MIRBodyText"/>
        <w:spacing w:before="180"/>
      </w:pPr>
      <w:r w:rsidRPr="00F831C0">
        <w:rPr>
          <w:b/>
          <w:bCs/>
          <w:i/>
        </w:rPr>
        <w:t>Derivative</w:t>
      </w:r>
      <w:r w:rsidRPr="00F831C0">
        <w:t xml:space="preserve"> includes: </w:t>
      </w:r>
    </w:p>
    <w:p w14:paraId="3829DE4D" w14:textId="77777777" w:rsidR="007F2320" w:rsidRPr="00F831C0" w:rsidRDefault="007F2320" w:rsidP="007F2320">
      <w:pPr>
        <w:pStyle w:val="MIRSubpara"/>
        <w:spacing w:before="80" w:line="280" w:lineRule="atLeast"/>
      </w:pPr>
      <w:r w:rsidRPr="00F831C0">
        <w:t xml:space="preserve">an Equity Derivative; </w:t>
      </w:r>
    </w:p>
    <w:p w14:paraId="3941F67B" w14:textId="6B06DD80" w:rsidR="007F2320" w:rsidRPr="00F831C0" w:rsidRDefault="007F2320" w:rsidP="007F2320">
      <w:pPr>
        <w:pStyle w:val="MIRSubpara"/>
        <w:spacing w:before="80" w:line="280" w:lineRule="atLeast"/>
      </w:pPr>
      <w:r w:rsidRPr="00F831C0">
        <w:t xml:space="preserve">a Debt Derivative;  </w:t>
      </w:r>
    </w:p>
    <w:p w14:paraId="3E09458E" w14:textId="77777777" w:rsidR="007F2320" w:rsidRDefault="007F2320" w:rsidP="007F2320">
      <w:pPr>
        <w:pStyle w:val="MIRSubpara"/>
        <w:spacing w:before="80" w:line="280" w:lineRule="atLeast"/>
      </w:pPr>
      <w:r w:rsidRPr="00F831C0">
        <w:t>a Foreign Exchange Derivative</w:t>
      </w:r>
      <w:r>
        <w:t>;</w:t>
      </w:r>
    </w:p>
    <w:p w14:paraId="75208FFE" w14:textId="77777777" w:rsidR="007F2320" w:rsidRDefault="007F2320" w:rsidP="007F2320">
      <w:pPr>
        <w:pStyle w:val="MIRSubpara"/>
        <w:spacing w:before="80" w:line="280" w:lineRule="atLeast"/>
      </w:pPr>
      <w:r>
        <w:t>a Commodity Derivative;</w:t>
      </w:r>
    </w:p>
    <w:p w14:paraId="6AB471B0" w14:textId="675F3D25" w:rsidR="007F2320" w:rsidRDefault="007F2320" w:rsidP="007F2320">
      <w:pPr>
        <w:pStyle w:val="MIRSubpara"/>
        <w:spacing w:before="80" w:line="280" w:lineRule="atLeast"/>
      </w:pPr>
      <w:r>
        <w:t xml:space="preserve">a Warrant; </w:t>
      </w:r>
    </w:p>
    <w:p w14:paraId="13233096" w14:textId="4BB9AA27" w:rsidR="006E48F2" w:rsidRDefault="007F2320" w:rsidP="007F2320">
      <w:pPr>
        <w:pStyle w:val="MIRSubpara"/>
        <w:spacing w:before="80" w:line="280" w:lineRule="atLeast"/>
      </w:pPr>
      <w:r>
        <w:t>a CFD</w:t>
      </w:r>
      <w:r w:rsidR="001A2E0E">
        <w:t>;</w:t>
      </w:r>
      <w:r w:rsidR="005252B2">
        <w:t xml:space="preserve"> and</w:t>
      </w:r>
    </w:p>
    <w:p w14:paraId="3299A39A" w14:textId="2D4A2825" w:rsidR="007F2320" w:rsidRPr="00F831C0" w:rsidRDefault="006E48F2" w:rsidP="007F2320">
      <w:pPr>
        <w:pStyle w:val="MIRSubpara"/>
        <w:spacing w:before="80" w:line="280" w:lineRule="atLeast"/>
      </w:pPr>
      <w:r>
        <w:t>a cross-currency Swap,</w:t>
      </w:r>
      <w:r w:rsidR="007F2320" w:rsidRPr="00F831C0">
        <w:t xml:space="preserve"> </w:t>
      </w:r>
    </w:p>
    <w:p w14:paraId="4B261965" w14:textId="2CC181B8" w:rsidR="007F2320" w:rsidRPr="00F831C0" w:rsidRDefault="007F2320" w:rsidP="007F2320">
      <w:pPr>
        <w:pStyle w:val="MIRBodyText"/>
        <w:spacing w:before="180"/>
      </w:pPr>
      <w:r w:rsidRPr="00F831C0">
        <w:t>but does not include an instrument that falls within the definition of Equity</w:t>
      </w:r>
      <w:r w:rsidR="00F37F3B">
        <w:t>,</w:t>
      </w:r>
      <w:r w:rsidRPr="00F831C0">
        <w:t xml:space="preserve"> Debt Instrument</w:t>
      </w:r>
      <w:r w:rsidR="00F37F3B">
        <w:t>, Foreign Exchange or Commodity</w:t>
      </w:r>
      <w:r w:rsidRPr="00F831C0">
        <w:t xml:space="preserve">. </w:t>
      </w:r>
    </w:p>
    <w:p w14:paraId="0B4B31DB" w14:textId="73C90895" w:rsidR="00DA6158" w:rsidRPr="00F831C0" w:rsidRDefault="00DA6158" w:rsidP="00FB4E7C">
      <w:pPr>
        <w:pStyle w:val="MIRBodyText"/>
        <w:spacing w:before="160" w:line="290" w:lineRule="atLeast"/>
      </w:pPr>
      <w:r w:rsidRPr="00F831C0">
        <w:rPr>
          <w:b/>
          <w:i/>
        </w:rPr>
        <w:lastRenderedPageBreak/>
        <w:t>Derivatives Market Contract</w:t>
      </w:r>
      <w:r w:rsidRPr="00F831C0">
        <w:t xml:space="preserve"> means a Futures Market Contract, an Options Market Contract and any other contract that </w:t>
      </w:r>
      <w:r w:rsidR="00C93D3B" w:rsidRPr="00F831C0">
        <w:t>a</w:t>
      </w:r>
      <w:r w:rsidRPr="00F831C0">
        <w:t xml:space="preserve"> Market </w:t>
      </w:r>
      <w:r w:rsidR="00C93D3B" w:rsidRPr="00F831C0">
        <w:t>o</w:t>
      </w:r>
      <w:r w:rsidRPr="00F831C0">
        <w:t xml:space="preserve">perator authorises for trading on </w:t>
      </w:r>
      <w:r w:rsidR="00C93D3B" w:rsidRPr="00F831C0">
        <w:t>its</w:t>
      </w:r>
      <w:r w:rsidRPr="00F831C0">
        <w:t xml:space="preserve"> Trading Platform as a Derivatives Market Contract.</w:t>
      </w:r>
    </w:p>
    <w:p w14:paraId="5EC4654A" w14:textId="77777777" w:rsidR="00DA6158" w:rsidRPr="00F831C0" w:rsidRDefault="00DA6158" w:rsidP="00FB4E7C">
      <w:pPr>
        <w:pStyle w:val="MIRBodyText"/>
        <w:spacing w:line="290" w:lineRule="atLeast"/>
      </w:pPr>
      <w:r w:rsidRPr="00F831C0">
        <w:rPr>
          <w:b/>
          <w:i/>
        </w:rPr>
        <w:t>Derivatives Market Transaction</w:t>
      </w:r>
      <w:r w:rsidRPr="00F831C0">
        <w:t xml:space="preserve"> means a transaction between Trading Participants for one or more Derivatives Market Contracts.</w:t>
      </w:r>
    </w:p>
    <w:p w14:paraId="2F6EB3B5" w14:textId="77777777" w:rsidR="00DA6158" w:rsidRPr="00F831C0" w:rsidRDefault="00DA6158" w:rsidP="00FB4E7C">
      <w:pPr>
        <w:pStyle w:val="MIRBodyText"/>
        <w:spacing w:line="290" w:lineRule="atLeast"/>
      </w:pPr>
      <w:r w:rsidRPr="00F831C0">
        <w:rPr>
          <w:b/>
          <w:i/>
        </w:rPr>
        <w:t>Employee</w:t>
      </w:r>
      <w:r w:rsidRPr="00F831C0">
        <w:t xml:space="preserve"> in relation to a Market Participant includes a director, employee, officer, agent, representative, consultant or adviser of that Market Participant, or an independent contractor who acts for or by arrangement with a Market Participant.</w:t>
      </w:r>
    </w:p>
    <w:p w14:paraId="4A03CD12" w14:textId="77777777" w:rsidR="008F137B" w:rsidRPr="00F831C0" w:rsidRDefault="008F137B" w:rsidP="00FB4E7C">
      <w:pPr>
        <w:pStyle w:val="MIRBodyText"/>
        <w:spacing w:before="220" w:line="290" w:lineRule="atLeast"/>
      </w:pPr>
      <w:r w:rsidRPr="00F831C0">
        <w:rPr>
          <w:b/>
          <w:bCs/>
          <w:i/>
        </w:rPr>
        <w:t>Equity</w:t>
      </w:r>
      <w:r w:rsidRPr="00F831C0">
        <w:t xml:space="preserve"> includes: </w:t>
      </w:r>
    </w:p>
    <w:p w14:paraId="0EDEFCB1" w14:textId="77777777" w:rsidR="008F137B" w:rsidRPr="00F831C0" w:rsidRDefault="008F137B" w:rsidP="00FB4E7C">
      <w:pPr>
        <w:pStyle w:val="MIRSubpara"/>
        <w:spacing w:before="120" w:line="290" w:lineRule="atLeast"/>
      </w:pPr>
      <w:r w:rsidRPr="00F831C0">
        <w:t xml:space="preserve">a share other than a share referred to in paragraphs (c) and (d) of the definition of Debt Instrument; </w:t>
      </w:r>
    </w:p>
    <w:p w14:paraId="1B90BAEA" w14:textId="77777777" w:rsidR="008F137B" w:rsidRPr="00F831C0" w:rsidRDefault="008F137B" w:rsidP="00FB4E7C">
      <w:pPr>
        <w:pStyle w:val="MIRSubpara"/>
        <w:spacing w:before="120" w:line="290" w:lineRule="atLeast"/>
      </w:pPr>
      <w:r w:rsidRPr="00F831C0">
        <w:t xml:space="preserve">a depository receipt; </w:t>
      </w:r>
    </w:p>
    <w:p w14:paraId="1A5F67B8" w14:textId="77777777" w:rsidR="008F137B" w:rsidRPr="00F831C0" w:rsidRDefault="008F137B" w:rsidP="00FB4E7C">
      <w:pPr>
        <w:pStyle w:val="MIRSubpara"/>
        <w:spacing w:before="120" w:line="290" w:lineRule="atLeast"/>
      </w:pPr>
      <w:r w:rsidRPr="00F831C0">
        <w:t xml:space="preserve">an instalment receipt; </w:t>
      </w:r>
    </w:p>
    <w:p w14:paraId="591AC6F9" w14:textId="77777777" w:rsidR="008F137B" w:rsidRPr="00F831C0" w:rsidRDefault="008F137B" w:rsidP="00FB4E7C">
      <w:pPr>
        <w:pStyle w:val="MIRSubpara"/>
        <w:spacing w:before="120" w:line="290" w:lineRule="atLeast"/>
      </w:pPr>
      <w:r w:rsidRPr="00F831C0">
        <w:t xml:space="preserve">an interest in a managed investment scheme, including an interest in a Hybrid ETF or an Other Managed Fund that is issued over: </w:t>
      </w:r>
    </w:p>
    <w:p w14:paraId="73502315" w14:textId="77777777" w:rsidR="008F137B" w:rsidRPr="00F831C0" w:rsidRDefault="008F137B" w:rsidP="00FB4E7C">
      <w:pPr>
        <w:pStyle w:val="MIRSubsubpara"/>
        <w:spacing w:before="120" w:line="290" w:lineRule="atLeast"/>
      </w:pPr>
      <w:r w:rsidRPr="00F831C0">
        <w:t xml:space="preserve">physical Equities only; </w:t>
      </w:r>
    </w:p>
    <w:p w14:paraId="645EDAA8" w14:textId="77777777" w:rsidR="008F137B" w:rsidRPr="00F831C0" w:rsidRDefault="008F137B" w:rsidP="00FB4E7C">
      <w:pPr>
        <w:pStyle w:val="MIRSubsubpara"/>
        <w:spacing w:before="120" w:line="290" w:lineRule="atLeast"/>
      </w:pPr>
      <w:r w:rsidRPr="00F831C0">
        <w:t xml:space="preserve">physical Debt Instruments and property; </w:t>
      </w:r>
    </w:p>
    <w:p w14:paraId="25F74CF4" w14:textId="77777777" w:rsidR="008F137B" w:rsidRPr="00F831C0" w:rsidRDefault="008F137B" w:rsidP="00FB4E7C">
      <w:pPr>
        <w:pStyle w:val="MIRSubsubpara"/>
        <w:spacing w:before="120" w:line="290" w:lineRule="atLeast"/>
      </w:pPr>
      <w:r w:rsidRPr="00F831C0">
        <w:t xml:space="preserve">physical Equities, physical Debt Instruments and property; </w:t>
      </w:r>
    </w:p>
    <w:p w14:paraId="1B4FF207" w14:textId="77777777" w:rsidR="008F137B" w:rsidRPr="00F831C0" w:rsidRDefault="008F137B" w:rsidP="00FB4E7C">
      <w:pPr>
        <w:pStyle w:val="MIRSubsubpara"/>
        <w:spacing w:before="120" w:line="290" w:lineRule="atLeast"/>
      </w:pPr>
      <w:r w:rsidRPr="00F831C0">
        <w:t xml:space="preserve">physical Equities and property; or </w:t>
      </w:r>
    </w:p>
    <w:p w14:paraId="6504B1A9" w14:textId="77777777" w:rsidR="008F137B" w:rsidRPr="00F831C0" w:rsidRDefault="008F137B" w:rsidP="00FB4E7C">
      <w:pPr>
        <w:pStyle w:val="MIRSubsubpara"/>
        <w:spacing w:before="120" w:line="290" w:lineRule="atLeast"/>
      </w:pPr>
      <w:r w:rsidRPr="00F831C0">
        <w:t xml:space="preserve">physical property only, </w:t>
      </w:r>
    </w:p>
    <w:p w14:paraId="0020864D" w14:textId="77777777" w:rsidR="008F137B" w:rsidRPr="00F831C0" w:rsidRDefault="008F137B" w:rsidP="00FB4E7C">
      <w:pPr>
        <w:pStyle w:val="MIRSubpara"/>
        <w:numPr>
          <w:ilvl w:val="0"/>
          <w:numId w:val="0"/>
        </w:numPr>
        <w:spacing w:before="120" w:line="290" w:lineRule="atLeast"/>
        <w:ind w:left="1276"/>
      </w:pPr>
      <w:r w:rsidRPr="00F831C0">
        <w:t xml:space="preserve">(ignoring any immaterial percentage of cash or Derivatives also included in the Hybrid ETF or Other Managed Fund and used only for hedging purposes), other than an interest referred to in paragraph (e) of the definition of Debt Instrument, </w:t>
      </w:r>
    </w:p>
    <w:p w14:paraId="7ACCECA5" w14:textId="21E3C31E" w:rsidR="008F137B" w:rsidRPr="00F831C0" w:rsidRDefault="008F137B" w:rsidP="00FB4E7C">
      <w:pPr>
        <w:pStyle w:val="MIRBodyText"/>
        <w:spacing w:before="220" w:line="290" w:lineRule="atLeast"/>
      </w:pPr>
      <w:r w:rsidRPr="00F831C0">
        <w:t>but does not include an instrument that falls within the definition of Debt Instrument</w:t>
      </w:r>
      <w:r w:rsidR="0026448E">
        <w:t>, Foreign Exchange or Commodity</w:t>
      </w:r>
      <w:r w:rsidRPr="00F831C0">
        <w:t xml:space="preserve">. </w:t>
      </w:r>
    </w:p>
    <w:p w14:paraId="229F6A62" w14:textId="77777777" w:rsidR="008F137B" w:rsidRPr="00F831C0" w:rsidRDefault="008F137B" w:rsidP="00FB4E7C">
      <w:pPr>
        <w:pStyle w:val="MIRBodyText"/>
        <w:keepNext/>
        <w:spacing w:line="290" w:lineRule="atLeast"/>
      </w:pPr>
      <w:r w:rsidRPr="00F831C0">
        <w:rPr>
          <w:b/>
          <w:i/>
        </w:rPr>
        <w:t>Equity Derivative</w:t>
      </w:r>
      <w:r w:rsidRPr="00F831C0">
        <w:t xml:space="preserve"> includes: </w:t>
      </w:r>
    </w:p>
    <w:p w14:paraId="58C0FDCD" w14:textId="77777777" w:rsidR="008F137B" w:rsidRPr="00F831C0" w:rsidRDefault="008F137B" w:rsidP="00FB4E7C">
      <w:pPr>
        <w:pStyle w:val="MIRSubpara"/>
        <w:keepNext/>
        <w:spacing w:line="290" w:lineRule="atLeast"/>
      </w:pPr>
      <w:r w:rsidRPr="00F831C0">
        <w:t xml:space="preserve">an equity Swap; </w:t>
      </w:r>
    </w:p>
    <w:p w14:paraId="7ED59742" w14:textId="77777777" w:rsidR="008F137B" w:rsidRPr="00F831C0" w:rsidRDefault="008F137B" w:rsidP="00FB4E7C">
      <w:pPr>
        <w:pStyle w:val="MIRSubpara"/>
        <w:spacing w:line="290" w:lineRule="atLeast"/>
      </w:pPr>
      <w:r w:rsidRPr="00F831C0">
        <w:t xml:space="preserve">a forward contract over an Equity; </w:t>
      </w:r>
    </w:p>
    <w:p w14:paraId="6318AD7E" w14:textId="77777777" w:rsidR="008F137B" w:rsidRPr="00F831C0" w:rsidRDefault="008F137B" w:rsidP="00FB4E7C">
      <w:pPr>
        <w:pStyle w:val="MIRSubpara"/>
        <w:spacing w:line="290" w:lineRule="atLeast"/>
      </w:pPr>
      <w:r w:rsidRPr="00F831C0">
        <w:t xml:space="preserve">a Future over an Equity and a Future over a basket or index product based on Equities; </w:t>
      </w:r>
    </w:p>
    <w:p w14:paraId="44C4B7FB" w14:textId="77777777" w:rsidR="008F137B" w:rsidRPr="00F831C0" w:rsidRDefault="008F137B" w:rsidP="00FB4E7C">
      <w:pPr>
        <w:pStyle w:val="MIRSubpara"/>
        <w:spacing w:line="290" w:lineRule="atLeast"/>
      </w:pPr>
      <w:r w:rsidRPr="00F831C0">
        <w:t xml:space="preserve">an index or basket product based on Equities (including a Classical ETF); </w:t>
      </w:r>
    </w:p>
    <w:p w14:paraId="49D2DFAA" w14:textId="77777777" w:rsidR="008F137B" w:rsidRPr="00F831C0" w:rsidRDefault="008F137B" w:rsidP="00FB4E7C">
      <w:pPr>
        <w:pStyle w:val="MIRSubpara"/>
        <w:spacing w:line="290" w:lineRule="atLeast"/>
      </w:pPr>
      <w:r w:rsidRPr="00F831C0">
        <w:t xml:space="preserve">a renounceable or non-renounceable right to subscribe for an equity; </w:t>
      </w:r>
    </w:p>
    <w:p w14:paraId="39DB6189" w14:textId="77777777" w:rsidR="008F137B" w:rsidRPr="00F831C0" w:rsidRDefault="008F137B" w:rsidP="00FB4E7C">
      <w:pPr>
        <w:pStyle w:val="MIRSubpara"/>
        <w:spacing w:line="290" w:lineRule="atLeast"/>
      </w:pPr>
      <w:r w:rsidRPr="00F831C0">
        <w:t xml:space="preserve">an Option over an Equity (whether issued or unissued) and an Option over any of the products referred to in paragraphs (a) to (d); and </w:t>
      </w:r>
    </w:p>
    <w:p w14:paraId="3039AA60" w14:textId="77777777" w:rsidR="008F137B" w:rsidRPr="00F831C0" w:rsidRDefault="008F137B" w:rsidP="00FB4E7C">
      <w:pPr>
        <w:pStyle w:val="MIRSubpara"/>
        <w:spacing w:line="290" w:lineRule="atLeast"/>
      </w:pPr>
      <w:r w:rsidRPr="00F831C0">
        <w:t xml:space="preserve">an exchange traded CFD over: </w:t>
      </w:r>
    </w:p>
    <w:p w14:paraId="2F49E40A" w14:textId="77777777" w:rsidR="008F137B" w:rsidRPr="00F831C0" w:rsidRDefault="008F137B" w:rsidP="00FB4E7C">
      <w:pPr>
        <w:pStyle w:val="MIRSubsubpara"/>
        <w:spacing w:line="290" w:lineRule="atLeast"/>
      </w:pPr>
      <w:r w:rsidRPr="00F831C0">
        <w:t xml:space="preserve">an Equity; or </w:t>
      </w:r>
    </w:p>
    <w:p w14:paraId="40BE3231" w14:textId="77777777" w:rsidR="008F137B" w:rsidRPr="00F831C0" w:rsidRDefault="008F137B" w:rsidP="00FB4E7C">
      <w:pPr>
        <w:pStyle w:val="MIRSubsubpara"/>
        <w:spacing w:line="290" w:lineRule="atLeast"/>
      </w:pPr>
      <w:r w:rsidRPr="00F831C0">
        <w:t xml:space="preserve">a basket or index product based on Equities, </w:t>
      </w:r>
    </w:p>
    <w:p w14:paraId="5B98647B" w14:textId="169A4ABC" w:rsidR="008F137B" w:rsidRPr="00F831C0" w:rsidRDefault="008F137B" w:rsidP="008F137B">
      <w:pPr>
        <w:pStyle w:val="MIRBodyText"/>
      </w:pPr>
      <w:r w:rsidRPr="00F831C0">
        <w:lastRenderedPageBreak/>
        <w:t>but does not include an instrument that falls within the definition of Debt Derivative</w:t>
      </w:r>
      <w:r w:rsidR="00DD3B46">
        <w:t>,</w:t>
      </w:r>
      <w:r w:rsidRPr="00F831C0">
        <w:t xml:space="preserve"> Foreign Exchange Derivative</w:t>
      </w:r>
      <w:r w:rsidR="00DD3B46">
        <w:t xml:space="preserve"> or Commodity Derivative</w:t>
      </w:r>
      <w:r w:rsidRPr="00F831C0">
        <w:t xml:space="preserve">. </w:t>
      </w:r>
    </w:p>
    <w:p w14:paraId="0F6BC4AF" w14:textId="3F5B4B0F" w:rsidR="008F137B" w:rsidRPr="00F831C0" w:rsidRDefault="008F137B" w:rsidP="008F137B">
      <w:pPr>
        <w:pStyle w:val="MIRBodyText"/>
      </w:pPr>
      <w:r w:rsidRPr="00F831C0">
        <w:rPr>
          <w:b/>
          <w:bCs/>
          <w:i/>
        </w:rPr>
        <w:t>Equity Equivalent</w:t>
      </w:r>
      <w:r w:rsidRPr="00F831C0">
        <w:t xml:space="preserve"> means the value of a position calculated in accordance with Part A3.8 of Annexure 3 to Schedule 1A. </w:t>
      </w:r>
    </w:p>
    <w:p w14:paraId="44F0E8D7" w14:textId="118F770E" w:rsidR="00B87262" w:rsidRPr="00F831C0" w:rsidRDefault="00B87262" w:rsidP="00B87262">
      <w:pPr>
        <w:pStyle w:val="MIRBodyText"/>
        <w:numPr>
          <w:ilvl w:val="0"/>
          <w:numId w:val="26"/>
        </w:numPr>
      </w:pPr>
      <w:r w:rsidRPr="00F831C0">
        <w:rPr>
          <w:b/>
          <w:i/>
        </w:rPr>
        <w:t>Equity Market Product</w:t>
      </w:r>
      <w:r w:rsidRPr="00F831C0">
        <w:t xml:space="preserve"> means:</w:t>
      </w:r>
    </w:p>
    <w:p w14:paraId="692161E2" w14:textId="77777777" w:rsidR="00B87262" w:rsidRPr="00F831C0" w:rsidRDefault="00B87262" w:rsidP="00BB75CF">
      <w:pPr>
        <w:pStyle w:val="MIRSubpara"/>
        <w:numPr>
          <w:ilvl w:val="1"/>
          <w:numId w:val="26"/>
        </w:numPr>
      </w:pPr>
      <w:r w:rsidRPr="00F831C0">
        <w:t>a share in a body;</w:t>
      </w:r>
    </w:p>
    <w:p w14:paraId="40B51CE1" w14:textId="331E40D2" w:rsidR="00B87262" w:rsidRPr="00F831C0" w:rsidRDefault="00B87262" w:rsidP="00BB75CF">
      <w:pPr>
        <w:pStyle w:val="MIRSubpara"/>
        <w:numPr>
          <w:ilvl w:val="1"/>
          <w:numId w:val="26"/>
        </w:numPr>
      </w:pPr>
      <w:r w:rsidRPr="00F831C0">
        <w:t>a financial product referred to in subparagraph 764A(1)(b)(i) or subparagraph</w:t>
      </w:r>
      <w:r w:rsidR="008962DD" w:rsidRPr="00F831C0">
        <w:t> </w:t>
      </w:r>
      <w:r w:rsidRPr="00F831C0">
        <w:t xml:space="preserve">764A(1)(ba)(i) of the </w:t>
      </w:r>
      <w:r w:rsidR="008F137B">
        <w:t xml:space="preserve">Corporations </w:t>
      </w:r>
      <w:r w:rsidRPr="00F831C0">
        <w:t>Act; or</w:t>
      </w:r>
    </w:p>
    <w:p w14:paraId="7F21AE4A" w14:textId="77777777" w:rsidR="00B87262" w:rsidRPr="00F831C0" w:rsidRDefault="00B87262" w:rsidP="00BB75CF">
      <w:pPr>
        <w:pStyle w:val="MIRSubpara"/>
        <w:numPr>
          <w:ilvl w:val="1"/>
          <w:numId w:val="26"/>
        </w:numPr>
      </w:pPr>
      <w:r w:rsidRPr="00F831C0">
        <w:t>a right (whether existing or future and whether contingent or not) to acquire, by way of issue, the following under a rights issue:</w:t>
      </w:r>
    </w:p>
    <w:p w14:paraId="4A2842D2" w14:textId="77777777" w:rsidR="00B87262" w:rsidRPr="00F831C0" w:rsidRDefault="00B87262" w:rsidP="00B87262">
      <w:pPr>
        <w:pStyle w:val="MIRSubsubpara"/>
        <w:numPr>
          <w:ilvl w:val="2"/>
          <w:numId w:val="26"/>
        </w:numPr>
      </w:pPr>
      <w:r w:rsidRPr="00F831C0">
        <w:t>a share covered by paragraph (a); or</w:t>
      </w:r>
    </w:p>
    <w:p w14:paraId="05984863" w14:textId="683995C2" w:rsidR="00B87262" w:rsidRPr="00F831C0" w:rsidRDefault="00B87262" w:rsidP="00B87262">
      <w:pPr>
        <w:pStyle w:val="MIRSubsubpara"/>
        <w:numPr>
          <w:ilvl w:val="2"/>
          <w:numId w:val="26"/>
        </w:numPr>
      </w:pPr>
      <w:r w:rsidRPr="00F831C0">
        <w:t>a financial product covered by paragraph (b); or</w:t>
      </w:r>
    </w:p>
    <w:p w14:paraId="3E1DA620" w14:textId="16AC0267" w:rsidR="00B87262" w:rsidRPr="00A65900" w:rsidRDefault="00B87262" w:rsidP="00BB75CF">
      <w:pPr>
        <w:pStyle w:val="MIRSubpara"/>
        <w:numPr>
          <w:ilvl w:val="1"/>
          <w:numId w:val="26"/>
        </w:numPr>
      </w:pPr>
      <w:r w:rsidRPr="00A65900">
        <w:t xml:space="preserve">a CHESS </w:t>
      </w:r>
      <w:r w:rsidR="00E85102" w:rsidRPr="00A65900">
        <w:t xml:space="preserve">Depositary </w:t>
      </w:r>
      <w:r w:rsidRPr="00A65900">
        <w:t>Interest,</w:t>
      </w:r>
    </w:p>
    <w:p w14:paraId="2960A93E" w14:textId="2BA507FF" w:rsidR="001364AD" w:rsidRPr="00F831C0" w:rsidRDefault="00D56CD8" w:rsidP="00D02FBB">
      <w:pPr>
        <w:pStyle w:val="MIRBodyText"/>
        <w:numPr>
          <w:ilvl w:val="0"/>
          <w:numId w:val="26"/>
        </w:numPr>
      </w:pPr>
      <w:r w:rsidRPr="00F831C0">
        <w:t>admitted to quotation under a Market’s operating rules</w:t>
      </w:r>
      <w:r w:rsidR="00D02FBB" w:rsidRPr="00F831C0">
        <w:t>, but does not include a CGS Depository Interest.</w:t>
      </w:r>
    </w:p>
    <w:p w14:paraId="67D98D73" w14:textId="3FEF4253" w:rsidR="008F137B" w:rsidRPr="00F831C0" w:rsidRDefault="008F137B" w:rsidP="008F137B">
      <w:pPr>
        <w:pStyle w:val="MIRBodyText"/>
        <w:numPr>
          <w:ilvl w:val="0"/>
          <w:numId w:val="26"/>
        </w:numPr>
      </w:pPr>
      <w:r w:rsidRPr="00F831C0">
        <w:rPr>
          <w:b/>
          <w:bCs/>
          <w:i/>
        </w:rPr>
        <w:t>Equity Net Position</w:t>
      </w:r>
      <w:r w:rsidRPr="00F831C0">
        <w:t xml:space="preserve"> means an amount calculated in accordance with Part A3.9 of Annexure 3 to Schedule 1A. </w:t>
      </w:r>
    </w:p>
    <w:p w14:paraId="13EBD61C" w14:textId="51033574" w:rsidR="00DA6158" w:rsidRPr="00F831C0" w:rsidRDefault="00DA6158" w:rsidP="00AD7FD5">
      <w:pPr>
        <w:pStyle w:val="MIRBodyText"/>
        <w:keepNext/>
        <w:numPr>
          <w:ilvl w:val="0"/>
          <w:numId w:val="26"/>
        </w:numPr>
      </w:pPr>
      <w:r w:rsidRPr="00F831C0">
        <w:rPr>
          <w:b/>
          <w:i/>
        </w:rPr>
        <w:t>Equity Securities</w:t>
      </w:r>
      <w:r w:rsidRPr="00F831C0">
        <w:t xml:space="preserve"> means:</w:t>
      </w:r>
    </w:p>
    <w:p w14:paraId="5981AC30" w14:textId="45E25310" w:rsidR="00DA6158" w:rsidRPr="00F831C0" w:rsidRDefault="00DA6158" w:rsidP="00BB75CF">
      <w:pPr>
        <w:pStyle w:val="MIRSubpara"/>
      </w:pPr>
      <w:r w:rsidRPr="00F831C0">
        <w:t>shares in a body corporate or an unincorporated body other than redeemable preference shares which are Loan Securities in accordance with paragraph (c) of the definition of Loan Securities; or</w:t>
      </w:r>
    </w:p>
    <w:p w14:paraId="5EB79A3B" w14:textId="77777777" w:rsidR="00DA6158" w:rsidRPr="00F831C0" w:rsidRDefault="00DA6158" w:rsidP="00BB75CF">
      <w:pPr>
        <w:pStyle w:val="MIRSubpara"/>
      </w:pPr>
      <w:r w:rsidRPr="00F831C0">
        <w:t>interests in a managed investment scheme, except those referred to in paragraph (d) of the definition of Loan Securities; or</w:t>
      </w:r>
    </w:p>
    <w:p w14:paraId="44A4BFBF" w14:textId="77777777" w:rsidR="00DA6158" w:rsidRPr="00F831C0" w:rsidRDefault="00DA6158" w:rsidP="00BB75CF">
      <w:pPr>
        <w:pStyle w:val="MIRSubpara"/>
      </w:pPr>
      <w:r w:rsidRPr="00F831C0">
        <w:t>renounceable and non-renounceable rights to subscribe for Securities other than Loan Securities; or</w:t>
      </w:r>
    </w:p>
    <w:p w14:paraId="7F5CD4F4" w14:textId="77777777" w:rsidR="00DA6158" w:rsidRPr="00F831C0" w:rsidRDefault="00DA6158" w:rsidP="00BB75CF">
      <w:pPr>
        <w:pStyle w:val="MIRSubpara"/>
      </w:pPr>
      <w:r w:rsidRPr="00F831C0">
        <w:t>options over unissued Securities other than Loan Securities; or</w:t>
      </w:r>
    </w:p>
    <w:p w14:paraId="27629B4A" w14:textId="77777777" w:rsidR="00DA6158" w:rsidRPr="00F831C0" w:rsidRDefault="003734CB" w:rsidP="00BB75CF">
      <w:pPr>
        <w:pStyle w:val="MIRSubpara"/>
      </w:pPr>
      <w:r w:rsidRPr="00F831C0">
        <w:t>c</w:t>
      </w:r>
      <w:r w:rsidR="00DA6158" w:rsidRPr="00F831C0">
        <w:t>onvertible notes; or</w:t>
      </w:r>
    </w:p>
    <w:p w14:paraId="0CEC2919" w14:textId="4C39CE6D" w:rsidR="009D7ED3" w:rsidRPr="00F831C0" w:rsidRDefault="008F137B" w:rsidP="009D7ED3">
      <w:pPr>
        <w:pStyle w:val="MIRSubpara"/>
      </w:pPr>
      <w:r>
        <w:t xml:space="preserve">in relation to a Market, </w:t>
      </w:r>
      <w:r w:rsidR="00DA6158" w:rsidRPr="00F831C0">
        <w:t xml:space="preserve">any Securities which are determined </w:t>
      </w:r>
      <w:r w:rsidR="00AA44CE" w:rsidRPr="00F831C0">
        <w:t xml:space="preserve">to be Equity Securities </w:t>
      </w:r>
      <w:r w:rsidR="00DA6158" w:rsidRPr="00F831C0">
        <w:t xml:space="preserve">by </w:t>
      </w:r>
      <w:r w:rsidR="00AA44CE" w:rsidRPr="00F831C0">
        <w:t xml:space="preserve">the operator of </w:t>
      </w:r>
      <w:r>
        <w:t>the</w:t>
      </w:r>
      <w:r w:rsidRPr="00F831C0">
        <w:t xml:space="preserve"> </w:t>
      </w:r>
      <w:r w:rsidR="00DA6158" w:rsidRPr="00F831C0">
        <w:t xml:space="preserve">Market </w:t>
      </w:r>
      <w:r w:rsidR="00AA44CE" w:rsidRPr="00F831C0">
        <w:t>on which</w:t>
      </w:r>
      <w:r w:rsidR="00D02FBB" w:rsidRPr="00F831C0">
        <w:t xml:space="preserve"> those Securities </w:t>
      </w:r>
      <w:r w:rsidR="00AA44CE" w:rsidRPr="00F831C0">
        <w:t>are able to be traded in accordance with the operating rules of the Market</w:t>
      </w:r>
      <w:r w:rsidR="00C574E9">
        <w:t>,</w:t>
      </w:r>
    </w:p>
    <w:p w14:paraId="5AF154EF" w14:textId="0A06FC4F" w:rsidR="00DA6158" w:rsidRPr="00F831C0" w:rsidRDefault="00DA6158" w:rsidP="00FB4E7C">
      <w:pPr>
        <w:pStyle w:val="MIRBodyText"/>
      </w:pPr>
      <w:r w:rsidRPr="00F831C0">
        <w:t xml:space="preserve">but does not include Options Market Contracts, or </w:t>
      </w:r>
      <w:r w:rsidR="008F137B">
        <w:t xml:space="preserve">in relation to a Market, </w:t>
      </w:r>
      <w:r w:rsidRPr="00F831C0">
        <w:t xml:space="preserve">Securities determined to be Loan Securities by </w:t>
      </w:r>
      <w:r w:rsidR="00C80286" w:rsidRPr="00F831C0">
        <w:t>the</w:t>
      </w:r>
      <w:r w:rsidRPr="00F831C0">
        <w:t xml:space="preserve"> </w:t>
      </w:r>
      <w:r w:rsidR="00D02FBB" w:rsidRPr="00F831C0">
        <w:t>o</w:t>
      </w:r>
      <w:r w:rsidRPr="00F831C0">
        <w:t>perator</w:t>
      </w:r>
      <w:r w:rsidR="00D02FBB" w:rsidRPr="00F831C0">
        <w:t xml:space="preserve"> of </w:t>
      </w:r>
      <w:r w:rsidR="008F137B">
        <w:t>the</w:t>
      </w:r>
      <w:r w:rsidR="008F137B" w:rsidRPr="00F831C0">
        <w:t xml:space="preserve"> </w:t>
      </w:r>
      <w:r w:rsidR="00D02FBB" w:rsidRPr="00F831C0">
        <w:t xml:space="preserve">Market where those financial products </w:t>
      </w:r>
      <w:r w:rsidR="00C80286" w:rsidRPr="00F831C0">
        <w:t>are able to be traded in accordance with the operating rules of the Market</w:t>
      </w:r>
      <w:r w:rsidR="00D02FBB" w:rsidRPr="00F831C0">
        <w:t>.</w:t>
      </w:r>
    </w:p>
    <w:p w14:paraId="77543F25" w14:textId="3572752C" w:rsidR="00D56CD8" w:rsidRPr="00F831C0" w:rsidRDefault="00D56CD8" w:rsidP="00C308C3">
      <w:pPr>
        <w:pStyle w:val="MIRBodyText"/>
      </w:pPr>
      <w:r w:rsidRPr="00F831C0">
        <w:rPr>
          <w:b/>
          <w:i/>
        </w:rPr>
        <w:t>ETF</w:t>
      </w:r>
      <w:r w:rsidRPr="00F831C0">
        <w:t xml:space="preserve"> means a Managed Fund:</w:t>
      </w:r>
    </w:p>
    <w:p w14:paraId="41D5E7A0" w14:textId="4A0E10BA" w:rsidR="00C308C3" w:rsidRPr="00F831C0" w:rsidRDefault="000C2B94" w:rsidP="00D56CD8">
      <w:pPr>
        <w:pStyle w:val="MIRSubpara"/>
      </w:pPr>
      <w:r w:rsidRPr="00F831C0">
        <w:t>t</w:t>
      </w:r>
      <w:r w:rsidR="00C308C3" w:rsidRPr="00F831C0">
        <w:t>he Equity Securities of which are:</w:t>
      </w:r>
    </w:p>
    <w:p w14:paraId="4BF441A5" w14:textId="18A4963A" w:rsidR="00C308C3" w:rsidRPr="00F831C0" w:rsidRDefault="00D56CD8" w:rsidP="000C2B94">
      <w:pPr>
        <w:pStyle w:val="MIRSubsubpara"/>
      </w:pPr>
      <w:r w:rsidRPr="00F831C0">
        <w:t>listed on a Market</w:t>
      </w:r>
      <w:r w:rsidR="00C308C3" w:rsidRPr="00F831C0">
        <w:t>;</w:t>
      </w:r>
    </w:p>
    <w:p w14:paraId="009283E7" w14:textId="341344F9" w:rsidR="00C308C3" w:rsidRPr="00F831C0" w:rsidRDefault="00D56CD8" w:rsidP="000C2B94">
      <w:pPr>
        <w:pStyle w:val="MIRSubsubpara"/>
      </w:pPr>
      <w:r w:rsidRPr="00F831C0">
        <w:lastRenderedPageBreak/>
        <w:t>able to be traded on a Market</w:t>
      </w:r>
      <w:r w:rsidR="00CB0BD7">
        <w:t>;</w:t>
      </w:r>
      <w:r w:rsidRPr="00F831C0">
        <w:t xml:space="preserve"> or </w:t>
      </w:r>
    </w:p>
    <w:p w14:paraId="760764FA" w14:textId="0FDAE600" w:rsidR="00D56CD8" w:rsidRPr="00F831C0" w:rsidRDefault="00D56CD8" w:rsidP="000C2B94">
      <w:pPr>
        <w:pStyle w:val="MIRSubsubpara"/>
      </w:pPr>
      <w:r w:rsidRPr="00F831C0">
        <w:t>admitted to Trading Status as an AQUA Product or to the AQUA Quote Display Board;</w:t>
      </w:r>
    </w:p>
    <w:p w14:paraId="14B9B24D" w14:textId="6CB679C4" w:rsidR="00D56CD8" w:rsidRPr="00F831C0" w:rsidRDefault="00D56CD8" w:rsidP="00D56CD8">
      <w:pPr>
        <w:pStyle w:val="MIRSubpara"/>
      </w:pPr>
      <w:r w:rsidRPr="00F831C0">
        <w:t>with power and approval to continuously issue and have quoted on the relevant Market, Equity Securities in the Managed Fund;</w:t>
      </w:r>
    </w:p>
    <w:p w14:paraId="32F9E19B" w14:textId="77777777" w:rsidR="00D56CD8" w:rsidRPr="00F831C0" w:rsidRDefault="00D56CD8" w:rsidP="00D56CD8">
      <w:pPr>
        <w:pStyle w:val="MIRSubpara"/>
      </w:pPr>
      <w:r w:rsidRPr="00F831C0">
        <w:t>which provides for the issue of new Equity Securities in return for the subscriber transferring to the Managed Fund a portfolio of Securities, cash or a combination of Securities and cash; and</w:t>
      </w:r>
    </w:p>
    <w:p w14:paraId="3750C28A" w14:textId="2F6A5634" w:rsidR="00D56CD8" w:rsidRPr="00F831C0" w:rsidRDefault="00D56CD8" w:rsidP="00D56CD8">
      <w:pPr>
        <w:pStyle w:val="MIRSubpara"/>
      </w:pPr>
      <w:r w:rsidRPr="00F831C0">
        <w:t>for which the price of the Underlying Instrument is continuously disclosed or can be immediately ascertained.</w:t>
      </w:r>
    </w:p>
    <w:p w14:paraId="3043E9B2" w14:textId="68D667C6" w:rsidR="00D56CD8" w:rsidRPr="00F831C0" w:rsidRDefault="00D56CD8" w:rsidP="00D56CD8">
      <w:pPr>
        <w:pStyle w:val="MIRBodyText"/>
      </w:pPr>
      <w:r w:rsidRPr="00F831C0">
        <w:rPr>
          <w:b/>
          <w:i/>
        </w:rPr>
        <w:t>ETF Security</w:t>
      </w:r>
      <w:r w:rsidRPr="00F831C0">
        <w:t xml:space="preserve"> means a financial product issued by or provided pursuant to an ETF.</w:t>
      </w:r>
    </w:p>
    <w:p w14:paraId="725EEBAF" w14:textId="77777777" w:rsidR="00D35D33" w:rsidRPr="00F831C0" w:rsidRDefault="00D35D33" w:rsidP="00D35D33">
      <w:pPr>
        <w:pStyle w:val="MIRBodyText"/>
      </w:pPr>
      <w:r w:rsidRPr="00F831C0">
        <w:rPr>
          <w:b/>
          <w:i/>
        </w:rPr>
        <w:t>Excluded Asset</w:t>
      </w:r>
      <w:r w:rsidRPr="00F831C0">
        <w:t xml:space="preserve"> means: </w:t>
      </w:r>
    </w:p>
    <w:p w14:paraId="3E848645" w14:textId="77777777" w:rsidR="00D35D33" w:rsidRPr="00F831C0" w:rsidRDefault="00D35D33" w:rsidP="00D35D33">
      <w:pPr>
        <w:pStyle w:val="MIRSubpara"/>
      </w:pPr>
      <w:r w:rsidRPr="00F831C0">
        <w:t xml:space="preserve">a fixed asset; </w:t>
      </w:r>
    </w:p>
    <w:p w14:paraId="7D1FE772" w14:textId="77777777" w:rsidR="00D35D33" w:rsidRPr="00F831C0" w:rsidRDefault="00D35D33" w:rsidP="00D35D33">
      <w:pPr>
        <w:pStyle w:val="MIRSubpara"/>
      </w:pPr>
      <w:r w:rsidRPr="00F831C0">
        <w:t xml:space="preserve">an intangible asset; </w:t>
      </w:r>
    </w:p>
    <w:p w14:paraId="4BFEED36" w14:textId="49D751CA" w:rsidR="00D35D33" w:rsidRPr="00F831C0" w:rsidRDefault="00D35D33" w:rsidP="00D35D33">
      <w:pPr>
        <w:pStyle w:val="MIRSubpara"/>
      </w:pPr>
      <w:r w:rsidRPr="00F831C0">
        <w:t xml:space="preserve">a </w:t>
      </w:r>
      <w:r>
        <w:t>deferred tax asset</w:t>
      </w:r>
      <w:r w:rsidRPr="00F831C0">
        <w:t xml:space="preserve">; </w:t>
      </w:r>
    </w:p>
    <w:p w14:paraId="0DDF0092" w14:textId="77777777" w:rsidR="00D35D33" w:rsidRPr="00F831C0" w:rsidRDefault="00D35D33" w:rsidP="00D35D33">
      <w:pPr>
        <w:pStyle w:val="MIRSubpara"/>
      </w:pPr>
      <w:r w:rsidRPr="00F831C0">
        <w:t xml:space="preserve">a non current asset; </w:t>
      </w:r>
    </w:p>
    <w:p w14:paraId="3F258D3F" w14:textId="77777777" w:rsidR="00D35D33" w:rsidRPr="00F831C0" w:rsidRDefault="00D35D33" w:rsidP="00D35D33">
      <w:pPr>
        <w:pStyle w:val="MIRSubpara"/>
      </w:pPr>
      <w:r w:rsidRPr="00F831C0">
        <w:t xml:space="preserve">a deposit with or loan to a person other than: </w:t>
      </w:r>
    </w:p>
    <w:p w14:paraId="1EA88A2C" w14:textId="77777777" w:rsidR="00D35D33" w:rsidRPr="00F831C0" w:rsidRDefault="00D35D33" w:rsidP="00D35D33">
      <w:pPr>
        <w:pStyle w:val="MIRSubsubpara"/>
      </w:pPr>
      <w:r w:rsidRPr="00F831C0">
        <w:t xml:space="preserve">a deposit or loan with an Approved Deposit Taking Institution; </w:t>
      </w:r>
    </w:p>
    <w:p w14:paraId="42C97D1F" w14:textId="77777777" w:rsidR="00D35D33" w:rsidRPr="00F831C0" w:rsidRDefault="00D35D33" w:rsidP="00D35D33">
      <w:pPr>
        <w:pStyle w:val="MIRSubsubpara"/>
      </w:pPr>
      <w:r w:rsidRPr="00F831C0">
        <w:t xml:space="preserve">a deposit or loan to the extent the balance is secured by collateral which is Liquid, evidenced in writing and valued at the mark-to-market value; or </w:t>
      </w:r>
    </w:p>
    <w:p w14:paraId="46D1DE83" w14:textId="77777777" w:rsidR="00D35D33" w:rsidRPr="00F831C0" w:rsidRDefault="00D35D33" w:rsidP="00D35D33">
      <w:pPr>
        <w:pStyle w:val="MIRSubsubpara"/>
      </w:pPr>
      <w:r w:rsidRPr="00F831C0">
        <w:t xml:space="preserve">a deposit of funds as a margin or deposit with a person licensed to trade or clear Futures or Options to the extent that those funds relate to an open position; </w:t>
      </w:r>
    </w:p>
    <w:p w14:paraId="7C520FAB" w14:textId="77777777" w:rsidR="00D35D33" w:rsidRPr="00F831C0" w:rsidRDefault="00D35D33" w:rsidP="00D35D33">
      <w:pPr>
        <w:pStyle w:val="MIRSubpara"/>
      </w:pPr>
      <w:r w:rsidRPr="00F831C0">
        <w:t xml:space="preserve">a deposit with a third party clearing organisation; </w:t>
      </w:r>
    </w:p>
    <w:p w14:paraId="73300948" w14:textId="77777777" w:rsidR="00D35D33" w:rsidRPr="00F831C0" w:rsidRDefault="00D35D33" w:rsidP="00D35D33">
      <w:pPr>
        <w:pStyle w:val="MIRSubpara"/>
      </w:pPr>
      <w:r w:rsidRPr="00F831C0">
        <w:t xml:space="preserve">a Related/Associated Person Balance to the extent the balance is not secured by collateral which is: </w:t>
      </w:r>
    </w:p>
    <w:p w14:paraId="14E0FA3B" w14:textId="77777777" w:rsidR="00D35D33" w:rsidRPr="00F831C0" w:rsidRDefault="00D35D33" w:rsidP="00D35D33">
      <w:pPr>
        <w:pStyle w:val="MIRSubsubpara"/>
      </w:pPr>
      <w:r w:rsidRPr="00F831C0">
        <w:t xml:space="preserve">Liquid; </w:t>
      </w:r>
    </w:p>
    <w:p w14:paraId="15EC72A4" w14:textId="77777777" w:rsidR="00D35D33" w:rsidRPr="00F831C0" w:rsidRDefault="00D35D33" w:rsidP="00D35D33">
      <w:pPr>
        <w:pStyle w:val="MIRSubsubpara"/>
      </w:pPr>
      <w:r w:rsidRPr="00F831C0">
        <w:t xml:space="preserve">under the control of the Market Participant, able to be accessed by the Market Participant without the approval of a third party and not otherwise encumbered; </w:t>
      </w:r>
    </w:p>
    <w:p w14:paraId="2AF6C2D0" w14:textId="77777777" w:rsidR="00D35D33" w:rsidRPr="00F831C0" w:rsidRDefault="00D35D33" w:rsidP="00D35D33">
      <w:pPr>
        <w:pStyle w:val="MIRSubsubpara"/>
      </w:pPr>
      <w:r w:rsidRPr="00F831C0">
        <w:t xml:space="preserve">evidenced in writing by a legally binding agreement between the Market Participant and the Related/Associated Person in circumstances where the Market Participant has established that the Related/Associated Person and the persons signing the agreement have the legal capacity to enter into the agreement and provide the nominated collateral; and </w:t>
      </w:r>
    </w:p>
    <w:p w14:paraId="579C791B" w14:textId="77777777" w:rsidR="00D35D33" w:rsidRPr="00F831C0" w:rsidRDefault="00D35D33" w:rsidP="00D35D33">
      <w:pPr>
        <w:pStyle w:val="MIRSubsubpara"/>
      </w:pPr>
      <w:r w:rsidRPr="00F831C0">
        <w:t xml:space="preserve">valued at the mark-to-market value; </w:t>
      </w:r>
    </w:p>
    <w:p w14:paraId="28DEEEF4" w14:textId="178BB62E" w:rsidR="00D35D33" w:rsidRPr="00F831C0" w:rsidRDefault="00D35D33" w:rsidP="00D35D33">
      <w:pPr>
        <w:pStyle w:val="MIRSubpara"/>
        <w:spacing w:before="120"/>
      </w:pPr>
      <w:r w:rsidRPr="00F831C0">
        <w:t xml:space="preserve">a debt which was reported or created more than </w:t>
      </w:r>
      <w:r>
        <w:t>31</w:t>
      </w:r>
      <w:r w:rsidRPr="00F831C0">
        <w:t xml:space="preserve"> days previously, other than a debt: </w:t>
      </w:r>
    </w:p>
    <w:p w14:paraId="0B81E0EF" w14:textId="5729275A" w:rsidR="00D35D33" w:rsidRPr="00F831C0" w:rsidRDefault="00D35D33" w:rsidP="00D35D33">
      <w:pPr>
        <w:pStyle w:val="MIRSubsubpara"/>
        <w:spacing w:before="120"/>
      </w:pPr>
      <w:r w:rsidRPr="00F831C0">
        <w:t xml:space="preserve">from another Market Participant that is not a Related/Associated Person; or </w:t>
      </w:r>
    </w:p>
    <w:p w14:paraId="109EDF95" w14:textId="77777777" w:rsidR="00D35D33" w:rsidRPr="00F831C0" w:rsidRDefault="00D35D33" w:rsidP="00D35D33">
      <w:pPr>
        <w:pStyle w:val="MIRSubsubpara"/>
        <w:spacing w:before="120"/>
      </w:pPr>
      <w:r w:rsidRPr="00F831C0">
        <w:lastRenderedPageBreak/>
        <w:t xml:space="preserve">which is secured by collateral which is Liquid, evidenced in writing and valued at the mark-to-market value; </w:t>
      </w:r>
    </w:p>
    <w:p w14:paraId="39F417CB" w14:textId="77777777" w:rsidR="00D35D33" w:rsidRPr="00F831C0" w:rsidRDefault="00D35D33" w:rsidP="00D35D33">
      <w:pPr>
        <w:pStyle w:val="MIRSubpara"/>
        <w:spacing w:before="120"/>
      </w:pPr>
      <w:r w:rsidRPr="00F831C0">
        <w:t xml:space="preserve">a prepayment (being an expense which has been paid during one accounting period for a term which extends beyond the end of that period) which is not Liquid or which is Liquid but has been made in respect of an item of expenditure that is specifically required to be made by the Market Participant for the Market Participant to comply with the requirements of these Rules or the operating rules of a Market; </w:t>
      </w:r>
    </w:p>
    <w:p w14:paraId="64419738" w14:textId="77777777" w:rsidR="00D35D33" w:rsidRPr="00F831C0" w:rsidRDefault="00D35D33" w:rsidP="00D35D33">
      <w:pPr>
        <w:pStyle w:val="MIRSubpara"/>
        <w:spacing w:before="120"/>
      </w:pPr>
      <w:r w:rsidRPr="00F831C0">
        <w:t xml:space="preserve">an asset which is not Liquid; or </w:t>
      </w:r>
    </w:p>
    <w:p w14:paraId="43531C54" w14:textId="77777777" w:rsidR="00D35D33" w:rsidRPr="00F831C0" w:rsidRDefault="00D35D33" w:rsidP="00D35D33">
      <w:pPr>
        <w:pStyle w:val="MIRSubpara"/>
        <w:spacing w:before="120"/>
      </w:pPr>
      <w:r w:rsidRPr="00F831C0">
        <w:t xml:space="preserve">an asset which is Liquid but which has a charge against it (in whole or in part) where the purpose of the charge is to raise funds for use outside the ordinary course of the Market Participant’s securities or derivatives business. </w:t>
      </w:r>
    </w:p>
    <w:p w14:paraId="6672AC50" w14:textId="77777777" w:rsidR="00D35D33" w:rsidRPr="00F831C0" w:rsidRDefault="00D35D33" w:rsidP="00D35D33">
      <w:pPr>
        <w:pStyle w:val="MIRBodyText"/>
        <w:spacing w:before="220"/>
      </w:pPr>
      <w:r w:rsidRPr="00F831C0">
        <w:rPr>
          <w:b/>
          <w:bCs/>
          <w:i/>
        </w:rPr>
        <w:t>Excluded Liability</w:t>
      </w:r>
      <w:r w:rsidRPr="00F831C0">
        <w:t xml:space="preserve"> means the maximum liability specified in a guarantee or indemnity under paragraph S1A.2.6(1)(c). </w:t>
      </w:r>
    </w:p>
    <w:p w14:paraId="38692908" w14:textId="0AE1772E" w:rsidR="00DA6158" w:rsidRPr="00F831C0" w:rsidRDefault="00DA6158" w:rsidP="00BE0D37">
      <w:pPr>
        <w:pStyle w:val="MIRBodyText"/>
      </w:pPr>
      <w:r w:rsidRPr="00F831C0">
        <w:rPr>
          <w:b/>
          <w:i/>
        </w:rPr>
        <w:t>Family Trust</w:t>
      </w:r>
      <w:r w:rsidRPr="00F831C0">
        <w:t xml:space="preserve"> means a trust in which:</w:t>
      </w:r>
    </w:p>
    <w:p w14:paraId="3557E9CE" w14:textId="77777777" w:rsidR="00DA6158" w:rsidRPr="00F831C0" w:rsidRDefault="00DA6158" w:rsidP="00BB75CF">
      <w:pPr>
        <w:pStyle w:val="MIRSubpara"/>
      </w:pPr>
      <w:r w:rsidRPr="00F831C0">
        <w:t>the person or the Immediate Family of the person is the sole or majority beneficiary; or</w:t>
      </w:r>
    </w:p>
    <w:p w14:paraId="08B14BC5" w14:textId="77777777" w:rsidR="00DA6158" w:rsidRPr="00F831C0" w:rsidRDefault="00DA6158" w:rsidP="00BB75CF">
      <w:pPr>
        <w:pStyle w:val="MIRSubpara"/>
      </w:pPr>
      <w:r w:rsidRPr="00F831C0">
        <w:t>the person has the ability to remove the trustee of the trust and replace that trustee with his or her own nominee.</w:t>
      </w:r>
    </w:p>
    <w:p w14:paraId="50510935" w14:textId="36711135" w:rsidR="00D35D33" w:rsidRDefault="00D35D33" w:rsidP="00BE0D37">
      <w:pPr>
        <w:pStyle w:val="MIRBodyText"/>
      </w:pPr>
      <w:r>
        <w:rPr>
          <w:b/>
          <w:i/>
        </w:rPr>
        <w:t xml:space="preserve">FEX </w:t>
      </w:r>
      <w:r>
        <w:t>means FEX Global Pty Ltd (ACN 124 127 224).</w:t>
      </w:r>
    </w:p>
    <w:p w14:paraId="2AADDCF8" w14:textId="7BDF8C0F" w:rsidR="00D35D33" w:rsidRPr="00D35D33" w:rsidRDefault="00D35D33" w:rsidP="00BE0D37">
      <w:pPr>
        <w:pStyle w:val="MIRBodyText"/>
      </w:pPr>
      <w:r>
        <w:rPr>
          <w:b/>
          <w:i/>
        </w:rPr>
        <w:t xml:space="preserve">FEX Market </w:t>
      </w:r>
      <w:r>
        <w:t xml:space="preserve">means the financial market operated by FEX under </w:t>
      </w:r>
      <w:r>
        <w:rPr>
          <w:i/>
        </w:rPr>
        <w:t>Australian Market Licence (FEX Global Pty Ltd) 2013</w:t>
      </w:r>
      <w:r>
        <w:t>.</w:t>
      </w:r>
    </w:p>
    <w:p w14:paraId="66887F5A" w14:textId="3749E0D7" w:rsidR="00D35D33" w:rsidRPr="00F831C0" w:rsidRDefault="00D35D33" w:rsidP="00D35D33">
      <w:pPr>
        <w:pStyle w:val="MIRBodyText"/>
        <w:spacing w:before="220"/>
      </w:pPr>
      <w:r w:rsidRPr="00F831C0">
        <w:rPr>
          <w:b/>
          <w:bCs/>
          <w:i/>
        </w:rPr>
        <w:t xml:space="preserve">Financial Asset </w:t>
      </w:r>
      <w:r>
        <w:rPr>
          <w:b/>
          <w:bCs/>
          <w:i/>
        </w:rPr>
        <w:t xml:space="preserve">and Liability </w:t>
      </w:r>
      <w:r w:rsidRPr="00F831C0">
        <w:rPr>
          <w:b/>
          <w:bCs/>
          <w:i/>
        </w:rPr>
        <w:t>Revaluation Reserves</w:t>
      </w:r>
      <w:r w:rsidRPr="00F831C0">
        <w:t xml:space="preserve"> means revaluation reserves relating to financial assets </w:t>
      </w:r>
      <w:r>
        <w:t xml:space="preserve">and financial liabilities revalued at fair value through other comprehensive income </w:t>
      </w:r>
      <w:r w:rsidRPr="00F831C0">
        <w:t>as defined in accordance with accounting standards which are generally accepted in Australia or other accounting standards approved by ASIC under subrule S1A.2.7(3).</w:t>
      </w:r>
    </w:p>
    <w:p w14:paraId="1D8A7C75" w14:textId="77777777" w:rsidR="00D35D33" w:rsidRPr="00F831C0" w:rsidRDefault="00D35D33" w:rsidP="00D35D33">
      <w:pPr>
        <w:pStyle w:val="MIRBodyText"/>
        <w:spacing w:before="220"/>
      </w:pPr>
      <w:r w:rsidRPr="00F831C0">
        <w:rPr>
          <w:b/>
          <w:bCs/>
          <w:i/>
        </w:rPr>
        <w:t>Financial Instrument</w:t>
      </w:r>
      <w:r w:rsidRPr="00F831C0">
        <w:t xml:space="preserve"> means: </w:t>
      </w:r>
    </w:p>
    <w:p w14:paraId="64D56965" w14:textId="77777777" w:rsidR="00D35D33" w:rsidRPr="00F831C0" w:rsidRDefault="00D35D33" w:rsidP="00D35D33">
      <w:pPr>
        <w:pStyle w:val="MIRSubpara"/>
        <w:spacing w:before="120"/>
      </w:pPr>
      <w:r w:rsidRPr="00F831C0">
        <w:t xml:space="preserve">an Equity; </w:t>
      </w:r>
    </w:p>
    <w:p w14:paraId="6A39402D" w14:textId="77777777" w:rsidR="00D35D33" w:rsidRPr="00F831C0" w:rsidRDefault="00D35D33" w:rsidP="00D35D33">
      <w:pPr>
        <w:pStyle w:val="MIRSubpara"/>
        <w:spacing w:before="120"/>
      </w:pPr>
      <w:r w:rsidRPr="00F831C0">
        <w:t xml:space="preserve">a Debt Instrument; and </w:t>
      </w:r>
    </w:p>
    <w:p w14:paraId="315FDB2F" w14:textId="77777777" w:rsidR="00D35D33" w:rsidRPr="00F831C0" w:rsidRDefault="00D35D33" w:rsidP="00D35D33">
      <w:pPr>
        <w:pStyle w:val="MIRSubpara"/>
        <w:spacing w:before="120"/>
      </w:pPr>
      <w:r w:rsidRPr="00F831C0">
        <w:t xml:space="preserve">a Derivative. </w:t>
      </w:r>
    </w:p>
    <w:p w14:paraId="4644EEFE" w14:textId="775F806A" w:rsidR="00876A00" w:rsidRPr="00A92BF1" w:rsidRDefault="00876A00" w:rsidP="00D35D33">
      <w:pPr>
        <w:pStyle w:val="MIRBodyText"/>
        <w:spacing w:before="220"/>
      </w:pPr>
      <w:r>
        <w:rPr>
          <w:b/>
          <w:i/>
        </w:rPr>
        <w:t xml:space="preserve">Foreign </w:t>
      </w:r>
      <w:r w:rsidR="004A3F4B">
        <w:rPr>
          <w:b/>
          <w:i/>
        </w:rPr>
        <w:t xml:space="preserve">Exchange </w:t>
      </w:r>
      <w:r w:rsidR="00944EDE" w:rsidRPr="00944EDE">
        <w:t>includes foreign currency and gold but does not include an instrument prescribed as an Equity, Debt Instrument or Commodity</w:t>
      </w:r>
      <w:r w:rsidR="00944EDE">
        <w:t>.</w:t>
      </w:r>
    </w:p>
    <w:p w14:paraId="456875F0" w14:textId="5BE39E83" w:rsidR="00D35D33" w:rsidRPr="00F831C0" w:rsidRDefault="00D35D33" w:rsidP="00D35D33">
      <w:pPr>
        <w:pStyle w:val="MIRBodyText"/>
        <w:spacing w:before="220"/>
      </w:pPr>
      <w:r w:rsidRPr="00F831C0">
        <w:rPr>
          <w:b/>
          <w:bCs/>
          <w:i/>
        </w:rPr>
        <w:t>Foreign Exchange Derivative</w:t>
      </w:r>
      <w:r w:rsidRPr="00F831C0">
        <w:t xml:space="preserve"> includes: </w:t>
      </w:r>
    </w:p>
    <w:p w14:paraId="53814630" w14:textId="3831CE70" w:rsidR="00D35D33" w:rsidRPr="00F831C0" w:rsidRDefault="00D35D33" w:rsidP="00D35D33">
      <w:pPr>
        <w:pStyle w:val="MIRSubpara"/>
        <w:spacing w:before="120"/>
      </w:pPr>
      <w:r w:rsidRPr="00F831C0">
        <w:t xml:space="preserve">a forward contract over </w:t>
      </w:r>
      <w:r w:rsidR="001911D3">
        <w:t>Foreign Exchange</w:t>
      </w:r>
      <w:r w:rsidRPr="00F831C0">
        <w:t xml:space="preserve">; </w:t>
      </w:r>
    </w:p>
    <w:p w14:paraId="216E7CA7" w14:textId="69C964BE" w:rsidR="00D35D33" w:rsidRPr="00F831C0" w:rsidRDefault="00D35D33" w:rsidP="00D35D33">
      <w:pPr>
        <w:pStyle w:val="MIRSubpara"/>
        <w:spacing w:before="120"/>
      </w:pPr>
      <w:r w:rsidRPr="00F831C0">
        <w:t xml:space="preserve">a Future over </w:t>
      </w:r>
      <w:r w:rsidR="001911D3">
        <w:t>Foreign Exchange</w:t>
      </w:r>
      <w:r w:rsidRPr="00F831C0">
        <w:t xml:space="preserve">; </w:t>
      </w:r>
    </w:p>
    <w:p w14:paraId="26B0C4A6" w14:textId="6E2AC6DB" w:rsidR="00D35D33" w:rsidRPr="00F831C0" w:rsidRDefault="00D35D33" w:rsidP="00D35D33">
      <w:pPr>
        <w:pStyle w:val="MIRSubpara"/>
        <w:spacing w:before="120"/>
      </w:pPr>
      <w:r w:rsidRPr="00F831C0">
        <w:t xml:space="preserve">an Option over </w:t>
      </w:r>
      <w:r w:rsidR="001911D3">
        <w:t>Foreign Exchange</w:t>
      </w:r>
      <w:r w:rsidRPr="00F831C0">
        <w:t xml:space="preserve">; and </w:t>
      </w:r>
    </w:p>
    <w:p w14:paraId="6674CDB3" w14:textId="11D858C9" w:rsidR="00D35D33" w:rsidRPr="00F831C0" w:rsidRDefault="00D35D33" w:rsidP="00D35D33">
      <w:pPr>
        <w:pStyle w:val="MIRSubpara"/>
        <w:spacing w:before="120"/>
      </w:pPr>
      <w:r w:rsidRPr="00F831C0">
        <w:t xml:space="preserve">an exchange traded CFD over </w:t>
      </w:r>
      <w:r w:rsidR="001911D3">
        <w:t>Foreign Exchange</w:t>
      </w:r>
      <w:r w:rsidRPr="00F831C0">
        <w:t xml:space="preserve">, </w:t>
      </w:r>
    </w:p>
    <w:p w14:paraId="2A042B1D" w14:textId="33D2CC72" w:rsidR="00D35D33" w:rsidRPr="00F831C0" w:rsidRDefault="00D35D33" w:rsidP="00FB4E7C">
      <w:pPr>
        <w:pStyle w:val="MIRBodyText"/>
        <w:spacing w:before="220" w:line="288" w:lineRule="atLeast"/>
      </w:pPr>
      <w:r w:rsidRPr="00F831C0">
        <w:lastRenderedPageBreak/>
        <w:t>but does not include an instrument that meets the definition of Equity Derivative</w:t>
      </w:r>
      <w:r w:rsidR="008C6A99">
        <w:t>,</w:t>
      </w:r>
      <w:r w:rsidRPr="00F831C0">
        <w:t xml:space="preserve"> Debt Derivative</w:t>
      </w:r>
      <w:r w:rsidR="008C6A99">
        <w:t xml:space="preserve"> or Commodity Derivative</w:t>
      </w:r>
      <w:r w:rsidRPr="00F831C0">
        <w:t xml:space="preserve">. </w:t>
      </w:r>
    </w:p>
    <w:p w14:paraId="6878919B" w14:textId="28436EA6" w:rsidR="002D37B5" w:rsidRPr="00F831C0" w:rsidRDefault="002D37B5" w:rsidP="00FB4E7C">
      <w:pPr>
        <w:pStyle w:val="MIRBodyText"/>
        <w:spacing w:line="288" w:lineRule="atLeast"/>
      </w:pPr>
      <w:r w:rsidRPr="00F831C0">
        <w:rPr>
          <w:b/>
          <w:bCs/>
          <w:i/>
        </w:rPr>
        <w:t>Foreign Exchange Equivalent</w:t>
      </w:r>
      <w:r w:rsidRPr="00F831C0">
        <w:t xml:space="preserve"> means the value of a position calculated in accordance with Part A3.21 of Annexure 3 to Schedule 1A. </w:t>
      </w:r>
    </w:p>
    <w:p w14:paraId="7476E5C9" w14:textId="77777777" w:rsidR="002D37B5" w:rsidRPr="00F831C0" w:rsidRDefault="002D37B5" w:rsidP="00FB4E7C">
      <w:pPr>
        <w:pStyle w:val="MIRBodyText"/>
        <w:keepNext/>
        <w:spacing w:line="288" w:lineRule="atLeast"/>
      </w:pPr>
      <w:r w:rsidRPr="00F831C0">
        <w:rPr>
          <w:b/>
          <w:bCs/>
          <w:i/>
        </w:rPr>
        <w:t>Forward Rate Agreement</w:t>
      </w:r>
      <w:r w:rsidRPr="00F831C0">
        <w:t xml:space="preserve"> means an agreement in which two parties agree that: </w:t>
      </w:r>
    </w:p>
    <w:p w14:paraId="105A413D" w14:textId="77777777" w:rsidR="002D37B5" w:rsidRPr="00F831C0" w:rsidRDefault="002D37B5" w:rsidP="00FB4E7C">
      <w:pPr>
        <w:pStyle w:val="MIRSubpara"/>
        <w:keepNext/>
        <w:spacing w:line="288" w:lineRule="atLeast"/>
      </w:pPr>
      <w:r w:rsidRPr="00F831C0">
        <w:t xml:space="preserve">one party will make payments to the other of an amount of interest based on an agreed interest rate for a specified period from a specified date applied to an agreed principal amount; </w:t>
      </w:r>
    </w:p>
    <w:p w14:paraId="71858651" w14:textId="77777777" w:rsidR="002D37B5" w:rsidRPr="00F831C0" w:rsidRDefault="002D37B5" w:rsidP="00FB4E7C">
      <w:pPr>
        <w:pStyle w:val="MIRSubpara"/>
        <w:spacing w:line="288" w:lineRule="atLeast"/>
      </w:pPr>
      <w:r w:rsidRPr="00F831C0">
        <w:t xml:space="preserve">no commitment is made by either party to lend or borrow the principal amount; and </w:t>
      </w:r>
    </w:p>
    <w:p w14:paraId="2A7EC45E" w14:textId="77777777" w:rsidR="002D37B5" w:rsidRPr="00F831C0" w:rsidRDefault="002D37B5" w:rsidP="00FB4E7C">
      <w:pPr>
        <w:pStyle w:val="MIRSubpara"/>
        <w:spacing w:line="288" w:lineRule="atLeast"/>
      </w:pPr>
      <w:r w:rsidRPr="00F831C0">
        <w:t xml:space="preserve">the exposure is limited to the interest difference between the agreed and actual market rates at settlement. </w:t>
      </w:r>
    </w:p>
    <w:p w14:paraId="5C401633" w14:textId="77777777" w:rsidR="002D37B5" w:rsidRPr="00F831C0" w:rsidRDefault="002D37B5" w:rsidP="00FB4E7C">
      <w:pPr>
        <w:pStyle w:val="MIRBodyText"/>
        <w:spacing w:line="288" w:lineRule="atLeast"/>
      </w:pPr>
      <w:r w:rsidRPr="00F831C0">
        <w:rPr>
          <w:b/>
          <w:bCs/>
          <w:i/>
        </w:rPr>
        <w:t>Free Delivery</w:t>
      </w:r>
      <w:r w:rsidRPr="00F831C0">
        <w:t xml:space="preserve"> means a trade where delivery of the Financial Instrument is made to a client or Counterparty without receiving payment or where a payment is made without receiving a Financial Instrument, regardless of whether the client or Counterparty is issuer sponsored or participant sponsored. </w:t>
      </w:r>
    </w:p>
    <w:p w14:paraId="21A08A61" w14:textId="77777777" w:rsidR="002D37B5" w:rsidRPr="00F831C0" w:rsidRDefault="002D37B5" w:rsidP="00FB4E7C">
      <w:pPr>
        <w:pStyle w:val="MIRBodyText"/>
        <w:spacing w:line="288" w:lineRule="atLeast"/>
      </w:pPr>
      <w:r w:rsidRPr="00F831C0">
        <w:rPr>
          <w:b/>
          <w:bCs/>
          <w:i/>
        </w:rPr>
        <w:t>Fund Manager</w:t>
      </w:r>
      <w:r w:rsidRPr="00F831C0">
        <w:t xml:space="preserve"> means any licensed responsible entity, agent of a responsible entity, trustee or manager whose ordinary business it is to buy or sell Financial Instruments and make investment decisions on behalf of an independent third party. </w:t>
      </w:r>
    </w:p>
    <w:p w14:paraId="26E97BA3" w14:textId="77777777" w:rsidR="002D37B5" w:rsidRPr="00F831C0" w:rsidRDefault="002D37B5" w:rsidP="00FB4E7C">
      <w:pPr>
        <w:pStyle w:val="MIRBodyText"/>
        <w:spacing w:line="288" w:lineRule="atLeast"/>
      </w:pPr>
      <w:r w:rsidRPr="00F831C0">
        <w:rPr>
          <w:b/>
          <w:bCs/>
          <w:i/>
        </w:rPr>
        <w:t>Future</w:t>
      </w:r>
      <w:r w:rsidRPr="00F831C0">
        <w:t xml:space="preserve"> means a contract which is traded on an exchange, subject to a Primary Margin Requirement and which is: </w:t>
      </w:r>
    </w:p>
    <w:p w14:paraId="6638F23B" w14:textId="68BD0EBE" w:rsidR="002D37B5" w:rsidRPr="00F831C0" w:rsidRDefault="002D37B5" w:rsidP="00FB4E7C">
      <w:pPr>
        <w:pStyle w:val="MIRSubpara"/>
        <w:spacing w:line="288" w:lineRule="atLeast"/>
      </w:pPr>
      <w:r w:rsidRPr="00F831C0">
        <w:t xml:space="preserve">a contract to make an adjustment between the parties on an agreed future date as to the value on that date of an interest rate, </w:t>
      </w:r>
      <w:r w:rsidR="00585A5D">
        <w:t xml:space="preserve">a Foreign </w:t>
      </w:r>
      <w:r w:rsidR="0090665E">
        <w:t>Exchange</w:t>
      </w:r>
      <w:r w:rsidRPr="00F831C0">
        <w:t xml:space="preserve">, an Equity, basket or index, </w:t>
      </w:r>
      <w:r>
        <w:t xml:space="preserve">Commodity, </w:t>
      </w:r>
      <w:r w:rsidRPr="00F831C0">
        <w:t xml:space="preserve">or some other agreed factor; or </w:t>
      </w:r>
    </w:p>
    <w:p w14:paraId="31B1AF5B" w14:textId="418F0CAD" w:rsidR="002D37B5" w:rsidRPr="00F831C0" w:rsidRDefault="002D37B5" w:rsidP="00FB4E7C">
      <w:pPr>
        <w:pStyle w:val="MIRSubpara"/>
        <w:spacing w:line="288" w:lineRule="atLeast"/>
      </w:pPr>
      <w:r w:rsidRPr="00F831C0">
        <w:t>a deliverable bond futures contract</w:t>
      </w:r>
      <w:r w:rsidR="00B47F75">
        <w:t>,</w:t>
      </w:r>
      <w:r w:rsidRPr="00F831C0">
        <w:t xml:space="preserve"> deliverable share futures contract</w:t>
      </w:r>
      <w:r w:rsidR="00B47F75">
        <w:t xml:space="preserve"> or deliverable </w:t>
      </w:r>
      <w:r w:rsidR="007C49FC">
        <w:t>C</w:t>
      </w:r>
      <w:r w:rsidR="00B47F75">
        <w:t>ommodity futures contract</w:t>
      </w:r>
      <w:r w:rsidRPr="00F831C0">
        <w:t xml:space="preserve">. </w:t>
      </w:r>
    </w:p>
    <w:p w14:paraId="055ABEE6" w14:textId="77777777" w:rsidR="002D37B5" w:rsidRDefault="002D37B5" w:rsidP="00FB4E7C">
      <w:pPr>
        <w:pStyle w:val="MIRBodyText"/>
        <w:numPr>
          <w:ilvl w:val="0"/>
          <w:numId w:val="52"/>
        </w:numPr>
        <w:spacing w:line="288" w:lineRule="atLeast"/>
      </w:pPr>
      <w:r>
        <w:rPr>
          <w:b/>
          <w:i/>
        </w:rPr>
        <w:t xml:space="preserve">Futures Market </w:t>
      </w:r>
      <w:r>
        <w:t>means any of the following Markets:</w:t>
      </w:r>
    </w:p>
    <w:p w14:paraId="055A2B0A" w14:textId="77777777" w:rsidR="002D37B5" w:rsidRDefault="002D37B5" w:rsidP="00FB4E7C">
      <w:pPr>
        <w:pStyle w:val="subparaa"/>
        <w:numPr>
          <w:ilvl w:val="1"/>
          <w:numId w:val="54"/>
        </w:numPr>
        <w:tabs>
          <w:tab w:val="clear" w:pos="2693"/>
          <w:tab w:val="num" w:pos="2420"/>
        </w:tabs>
        <w:spacing w:line="288" w:lineRule="atLeast"/>
        <w:ind w:left="1320" w:hanging="440"/>
      </w:pPr>
      <w:r>
        <w:t>ASX 24 Market; and</w:t>
      </w:r>
    </w:p>
    <w:p w14:paraId="6F31DBEC" w14:textId="77777777" w:rsidR="002D37B5" w:rsidRPr="00F77C2A" w:rsidRDefault="002D37B5" w:rsidP="00FB4E7C">
      <w:pPr>
        <w:pStyle w:val="subparaa"/>
        <w:numPr>
          <w:ilvl w:val="1"/>
          <w:numId w:val="54"/>
        </w:numPr>
        <w:tabs>
          <w:tab w:val="clear" w:pos="2693"/>
          <w:tab w:val="num" w:pos="2420"/>
        </w:tabs>
        <w:spacing w:line="288" w:lineRule="atLeast"/>
        <w:ind w:left="1320" w:hanging="440"/>
      </w:pPr>
      <w:r>
        <w:t>FEX Market.</w:t>
      </w:r>
    </w:p>
    <w:p w14:paraId="6C95F6D6" w14:textId="5C4E9AD1" w:rsidR="00DA6158" w:rsidRPr="00F831C0" w:rsidRDefault="00DA6158" w:rsidP="00FB4E7C">
      <w:pPr>
        <w:pStyle w:val="MIRBodyText"/>
        <w:spacing w:line="288" w:lineRule="atLeast"/>
      </w:pPr>
      <w:r w:rsidRPr="00F831C0">
        <w:rPr>
          <w:b/>
          <w:i/>
        </w:rPr>
        <w:t>Futures Market Contract</w:t>
      </w:r>
      <w:r w:rsidRPr="00F831C0">
        <w:t xml:space="preserve"> means a contract on the terms of a Futures Series.</w:t>
      </w:r>
    </w:p>
    <w:p w14:paraId="29C952D3" w14:textId="7DF64478" w:rsidR="00DA6158" w:rsidRPr="00F831C0" w:rsidRDefault="00DA6158" w:rsidP="00FB4E7C">
      <w:pPr>
        <w:pStyle w:val="MIRBodyText"/>
        <w:spacing w:line="288" w:lineRule="atLeast"/>
      </w:pPr>
      <w:r w:rsidRPr="00F831C0">
        <w:rPr>
          <w:b/>
          <w:i/>
        </w:rPr>
        <w:t>Futures Series</w:t>
      </w:r>
      <w:r w:rsidRPr="00F831C0">
        <w:t xml:space="preserve"> means a set of contractual terms on which futures contracts are authorised for trading by </w:t>
      </w:r>
      <w:r w:rsidR="00CE7504" w:rsidRPr="00F831C0">
        <w:t xml:space="preserve">a </w:t>
      </w:r>
      <w:r w:rsidRPr="00F831C0">
        <w:t xml:space="preserve">Market </w:t>
      </w:r>
      <w:r w:rsidR="00397C6A" w:rsidRPr="00F831C0">
        <w:t>o</w:t>
      </w:r>
      <w:r w:rsidRPr="00F831C0">
        <w:t>perator</w:t>
      </w:r>
      <w:r w:rsidR="00397C6A" w:rsidRPr="00F831C0">
        <w:t>.</w:t>
      </w:r>
      <w:r w:rsidR="002D67B0" w:rsidRPr="00F831C0">
        <w:t xml:space="preserve"> </w:t>
      </w:r>
    </w:p>
    <w:p w14:paraId="4CB071A0" w14:textId="77777777" w:rsidR="002D37B5" w:rsidRPr="00F831C0" w:rsidRDefault="002D37B5" w:rsidP="00FB4E7C">
      <w:pPr>
        <w:pStyle w:val="MIRBodyText"/>
        <w:spacing w:line="288" w:lineRule="atLeast"/>
      </w:pPr>
      <w:r w:rsidRPr="00F831C0">
        <w:rPr>
          <w:b/>
          <w:bCs/>
          <w:i/>
        </w:rPr>
        <w:t>Government Debt Instrument</w:t>
      </w:r>
      <w:r w:rsidRPr="00F831C0">
        <w:t xml:space="preserve"> means any form of government financial instrument including a bond, treasury note or other short term instrument, and a Debt Derivative of any of those instruments where: </w:t>
      </w:r>
    </w:p>
    <w:p w14:paraId="2803F14D" w14:textId="77777777" w:rsidR="002D37B5" w:rsidRPr="00F831C0" w:rsidRDefault="002D37B5" w:rsidP="00FB4E7C">
      <w:pPr>
        <w:pStyle w:val="MIRSubpara"/>
        <w:spacing w:line="288" w:lineRule="atLeast"/>
      </w:pPr>
      <w:r w:rsidRPr="00F831C0">
        <w:t xml:space="preserve">it is issued by, fully guaranteed by, or fully collateralised by a Debt Instrument issued by: </w:t>
      </w:r>
    </w:p>
    <w:p w14:paraId="3A4CD936" w14:textId="6B23346B" w:rsidR="002D37B5" w:rsidRPr="00F831C0" w:rsidRDefault="002D37B5" w:rsidP="00FB4E7C">
      <w:pPr>
        <w:pStyle w:val="MIRSubsubpara"/>
        <w:spacing w:line="288" w:lineRule="atLeast"/>
      </w:pPr>
      <w:r w:rsidRPr="00F831C0">
        <w:t xml:space="preserve">the Australian Commonwealth, </w:t>
      </w:r>
      <w:r w:rsidR="00A85DD5">
        <w:t>S</w:t>
      </w:r>
      <w:r w:rsidR="00E95C15" w:rsidRPr="00F831C0">
        <w:t xml:space="preserve">tate </w:t>
      </w:r>
      <w:r w:rsidRPr="00F831C0">
        <w:t xml:space="preserve">(including </w:t>
      </w:r>
      <w:r w:rsidR="00A85DD5">
        <w:t>T</w:t>
      </w:r>
      <w:r w:rsidR="00E95C15" w:rsidRPr="00F831C0">
        <w:t>erritory</w:t>
      </w:r>
      <w:r w:rsidRPr="00F831C0">
        <w:t xml:space="preserve">) governments; or </w:t>
      </w:r>
    </w:p>
    <w:p w14:paraId="3135B5F9" w14:textId="77777777" w:rsidR="002D37B5" w:rsidRPr="00F831C0" w:rsidRDefault="002D37B5" w:rsidP="00FB4E7C">
      <w:pPr>
        <w:pStyle w:val="MIRSubsubpara"/>
        <w:spacing w:line="288" w:lineRule="atLeast"/>
      </w:pPr>
      <w:r w:rsidRPr="00F831C0">
        <w:t xml:space="preserve">a central government or central bank within the OECD; </w:t>
      </w:r>
    </w:p>
    <w:p w14:paraId="7492E4A0" w14:textId="77777777" w:rsidR="002D37B5" w:rsidRPr="00F831C0" w:rsidRDefault="002D37B5" w:rsidP="00FB4E7C">
      <w:pPr>
        <w:pStyle w:val="MIRSubpara"/>
      </w:pPr>
      <w:r w:rsidRPr="00F831C0">
        <w:lastRenderedPageBreak/>
        <w:t xml:space="preserve">it is issued by, or fully guaranteed by, a non-OECD country central government or central bank, has a residual maturity of one year or less and is denominated in local currency and funded by liabilities in the same currency. </w:t>
      </w:r>
    </w:p>
    <w:p w14:paraId="4259BFCB" w14:textId="77777777" w:rsidR="002D37B5" w:rsidRPr="00F831C0" w:rsidRDefault="002D37B5" w:rsidP="00FB4E7C">
      <w:pPr>
        <w:pStyle w:val="MIRBodyText"/>
        <w:keepNext/>
      </w:pPr>
      <w:r w:rsidRPr="00F831C0">
        <w:rPr>
          <w:b/>
          <w:bCs/>
          <w:i/>
        </w:rPr>
        <w:t>Group of Connected Persons</w:t>
      </w:r>
      <w:r w:rsidRPr="00F831C0">
        <w:t xml:space="preserve"> means two or more persons or entities where:</w:t>
      </w:r>
    </w:p>
    <w:p w14:paraId="081F975B" w14:textId="77777777" w:rsidR="002D37B5" w:rsidRPr="00F831C0" w:rsidRDefault="002D37B5" w:rsidP="00FB4E7C">
      <w:pPr>
        <w:pStyle w:val="MIRSubpara"/>
      </w:pPr>
      <w:r w:rsidRPr="00F831C0">
        <w:t xml:space="preserve">each person or entity is a Related/Associated Person of each other person or entity; or </w:t>
      </w:r>
    </w:p>
    <w:p w14:paraId="3EFE31E9" w14:textId="77777777" w:rsidR="002D37B5" w:rsidRPr="00F831C0" w:rsidRDefault="002D37B5" w:rsidP="00FB4E7C">
      <w:pPr>
        <w:pStyle w:val="MIRSubpara"/>
      </w:pPr>
      <w:r w:rsidRPr="00F831C0">
        <w:t xml:space="preserve">the persons who have control of the management of each entity or have been appointed as directors of each entity are substantially the same. </w:t>
      </w:r>
    </w:p>
    <w:p w14:paraId="38CD85CC" w14:textId="77777777" w:rsidR="002D37B5" w:rsidRPr="00F831C0" w:rsidRDefault="002D37B5" w:rsidP="00FB4E7C">
      <w:pPr>
        <w:pStyle w:val="MIRBodyText"/>
      </w:pPr>
      <w:r w:rsidRPr="00F831C0">
        <w:rPr>
          <w:b/>
          <w:bCs/>
          <w:i/>
        </w:rPr>
        <w:t>Hybrid ETF</w:t>
      </w:r>
      <w:r w:rsidRPr="00F831C0">
        <w:t xml:space="preserve"> means a managed fund: </w:t>
      </w:r>
    </w:p>
    <w:p w14:paraId="3F92A7E5" w14:textId="77777777" w:rsidR="002D37B5" w:rsidRPr="00F831C0" w:rsidRDefault="002D37B5" w:rsidP="00FB4E7C">
      <w:pPr>
        <w:pStyle w:val="MIRSubpara"/>
      </w:pPr>
      <w:r w:rsidRPr="00F831C0">
        <w:t xml:space="preserve">that is listed and quoted on a stock exchange (and in Australia is registered as a managed investment scheme under the Corporations Act); and </w:t>
      </w:r>
    </w:p>
    <w:p w14:paraId="783FCC49" w14:textId="77777777" w:rsidR="002D37B5" w:rsidRPr="00F831C0" w:rsidRDefault="002D37B5" w:rsidP="00FB4E7C">
      <w:pPr>
        <w:pStyle w:val="MIRSubpara"/>
      </w:pPr>
      <w:r w:rsidRPr="00F831C0">
        <w:t xml:space="preserve">where, under an open prospectus, the units can only be subscribed for and redeemed in cash or in kind; and </w:t>
      </w:r>
    </w:p>
    <w:p w14:paraId="428D1364" w14:textId="77777777" w:rsidR="002D37B5" w:rsidRPr="00F831C0" w:rsidRDefault="002D37B5" w:rsidP="00FB4E7C">
      <w:pPr>
        <w:pStyle w:val="MIRSubpara"/>
      </w:pPr>
      <w:r w:rsidRPr="00F831C0">
        <w:t xml:space="preserve">that is subscribed for and redeemed in a “primary” market and existing units are traded in a “secondary” market; or </w:t>
      </w:r>
    </w:p>
    <w:p w14:paraId="392DBB5F" w14:textId="77777777" w:rsidR="002D37B5" w:rsidRPr="00F831C0" w:rsidRDefault="002D37B5" w:rsidP="00FB4E7C">
      <w:pPr>
        <w:pStyle w:val="MIRSubpara"/>
      </w:pPr>
      <w:r w:rsidRPr="00F831C0">
        <w:t xml:space="preserve">that does not satisfy all of the requirements of a Classical ETF but satisfies the three criteria referred to in paragraphs (a), (b) and (c). </w:t>
      </w:r>
    </w:p>
    <w:p w14:paraId="2B7B2366" w14:textId="23949684" w:rsidR="00DA6158" w:rsidRPr="00F831C0" w:rsidRDefault="00DA6158" w:rsidP="00B310F3">
      <w:pPr>
        <w:pStyle w:val="MIRBodyText"/>
      </w:pPr>
      <w:r w:rsidRPr="00F831C0">
        <w:rPr>
          <w:b/>
          <w:i/>
        </w:rPr>
        <w:t>Immediate Family</w:t>
      </w:r>
      <w:r w:rsidRPr="00F831C0">
        <w:t xml:space="preserve"> in relation to a person, means that person</w:t>
      </w:r>
      <w:r w:rsidR="00F837EF" w:rsidRPr="00F831C0">
        <w:t>’</w:t>
      </w:r>
      <w:r w:rsidRPr="00F831C0">
        <w:t>s spouse and any non-adult children.</w:t>
      </w:r>
    </w:p>
    <w:p w14:paraId="6E6585A8" w14:textId="77777777" w:rsidR="002D37B5" w:rsidRPr="00F831C0" w:rsidRDefault="002D37B5" w:rsidP="00FB4E7C">
      <w:pPr>
        <w:pStyle w:val="MIRBodyText"/>
        <w:keepNext/>
      </w:pPr>
      <w:r w:rsidRPr="00F831C0">
        <w:rPr>
          <w:b/>
          <w:bCs/>
          <w:i/>
        </w:rPr>
        <w:t>In the Money</w:t>
      </w:r>
      <w:r w:rsidRPr="00F831C0">
        <w:t xml:space="preserve"> means: </w:t>
      </w:r>
    </w:p>
    <w:p w14:paraId="47C56AAD" w14:textId="77777777" w:rsidR="002D37B5" w:rsidRPr="00F831C0" w:rsidRDefault="002D37B5" w:rsidP="00FB4E7C">
      <w:pPr>
        <w:pStyle w:val="MIRSubpara"/>
      </w:pPr>
      <w:r w:rsidRPr="00F831C0">
        <w:t xml:space="preserve">in relation to call Options, that the current market price of the underlying instrument is greater than the exercise price; and </w:t>
      </w:r>
    </w:p>
    <w:p w14:paraId="7B9A575F" w14:textId="77777777" w:rsidR="002D37B5" w:rsidRPr="00F831C0" w:rsidRDefault="002D37B5" w:rsidP="00B310F3">
      <w:pPr>
        <w:pStyle w:val="MIRSubpara"/>
      </w:pPr>
      <w:r w:rsidRPr="00F831C0">
        <w:t xml:space="preserve">in relation to put Options, that the current market price of the underlying instrument is less than the exercise price. </w:t>
      </w:r>
    </w:p>
    <w:p w14:paraId="2E09C31E" w14:textId="1889FB3E" w:rsidR="00DA6158" w:rsidRPr="00F831C0" w:rsidRDefault="00DA6158" w:rsidP="00B310F3">
      <w:pPr>
        <w:pStyle w:val="MIRBodyText"/>
      </w:pPr>
      <w:r w:rsidRPr="00F831C0">
        <w:rPr>
          <w:b/>
          <w:i/>
        </w:rPr>
        <w:t>Issuer</w:t>
      </w:r>
      <w:r w:rsidRPr="00F831C0">
        <w:t xml:space="preserve"> means, in relation to a Cash Market Product</w:t>
      </w:r>
      <w:r w:rsidR="00397C6A" w:rsidRPr="00F831C0">
        <w:t>,</w:t>
      </w:r>
      <w:r w:rsidR="002D67B0" w:rsidRPr="00F831C0">
        <w:t xml:space="preserve"> </w:t>
      </w:r>
      <w:r w:rsidR="003F3E5D" w:rsidRPr="00F831C0">
        <w:t>an Equity Market Product</w:t>
      </w:r>
      <w:r w:rsidR="00397C6A" w:rsidRPr="00F831C0">
        <w:t xml:space="preserve"> or other financial product able to be traded on a Market</w:t>
      </w:r>
      <w:r w:rsidRPr="00F831C0">
        <w:t xml:space="preserve">, the legal entity which issues the </w:t>
      </w:r>
      <w:r w:rsidR="0006424C" w:rsidRPr="00F831C0">
        <w:t>relevant product</w:t>
      </w:r>
      <w:r w:rsidRPr="00F831C0">
        <w:t>.</w:t>
      </w:r>
    </w:p>
    <w:p w14:paraId="40F97E23" w14:textId="77777777" w:rsidR="002D37B5" w:rsidRPr="00F831C0" w:rsidRDefault="002D37B5" w:rsidP="00B310F3">
      <w:pPr>
        <w:pStyle w:val="MIRBodyText"/>
      </w:pPr>
      <w:r w:rsidRPr="00F831C0">
        <w:rPr>
          <w:b/>
          <w:bCs/>
          <w:i/>
        </w:rPr>
        <w:t>Large Exposure Risk Requirement</w:t>
      </w:r>
      <w:r w:rsidRPr="00F831C0">
        <w:t xml:space="preserve"> is the absolute sum of a Market Participant’s: </w:t>
      </w:r>
    </w:p>
    <w:p w14:paraId="3E68CB5F" w14:textId="1C4C371E" w:rsidR="002D37B5" w:rsidRPr="00F831C0" w:rsidRDefault="002D37B5" w:rsidP="00B310F3">
      <w:pPr>
        <w:pStyle w:val="MIRSubpara"/>
      </w:pPr>
      <w:r w:rsidRPr="00F831C0">
        <w:t xml:space="preserve">counterparty large exposure risk amount calculated in accordance with Annexure 2 to Schedule 1A; and </w:t>
      </w:r>
    </w:p>
    <w:p w14:paraId="554EE05D" w14:textId="32EB4AE6" w:rsidR="002D37B5" w:rsidRPr="00F831C0" w:rsidRDefault="002D37B5" w:rsidP="00B310F3">
      <w:pPr>
        <w:pStyle w:val="MIRSubpara"/>
      </w:pPr>
      <w:r w:rsidRPr="00F831C0">
        <w:t xml:space="preserve">issuer large exposure risk amount calculated in accordance with Annexure 2 to Schedule 1A. </w:t>
      </w:r>
    </w:p>
    <w:p w14:paraId="4E023C5B" w14:textId="07A51A99" w:rsidR="002D37B5" w:rsidRPr="00F831C0" w:rsidRDefault="002D37B5" w:rsidP="00B310F3">
      <w:pPr>
        <w:pStyle w:val="MIRBodyText"/>
      </w:pPr>
      <w:r w:rsidRPr="00F831C0">
        <w:rPr>
          <w:b/>
          <w:bCs/>
          <w:i/>
        </w:rPr>
        <w:t>Liquid</w:t>
      </w:r>
      <w:r w:rsidRPr="00F831C0">
        <w:t xml:space="preserve"> means realisable or otherwise convertible to cash within </w:t>
      </w:r>
      <w:r w:rsidR="002E02DF">
        <w:t>31</w:t>
      </w:r>
      <w:r w:rsidRPr="00F831C0">
        <w:t xml:space="preserve"> days and in the case of a Financial Instrument, means the Financial Instrument meets the following criteria: </w:t>
      </w:r>
    </w:p>
    <w:p w14:paraId="46D25077" w14:textId="77777777" w:rsidR="002D37B5" w:rsidRPr="00F831C0" w:rsidRDefault="002D37B5" w:rsidP="00B310F3">
      <w:pPr>
        <w:pStyle w:val="MIRSubpara"/>
      </w:pPr>
      <w:r w:rsidRPr="00F831C0">
        <w:t xml:space="preserve">there are genuine independent offers from third parties to the Market Participant; </w:t>
      </w:r>
    </w:p>
    <w:p w14:paraId="0D65C42B" w14:textId="77777777" w:rsidR="002D37B5" w:rsidRPr="00F831C0" w:rsidRDefault="002D37B5" w:rsidP="00B310F3">
      <w:pPr>
        <w:pStyle w:val="MIRSubpara"/>
      </w:pPr>
      <w:r w:rsidRPr="00F831C0">
        <w:t xml:space="preserve">prices or rates exist that closely approximate the last sale price or rate in the Financial Instrument (whether exchange traded or over-the-counter); </w:t>
      </w:r>
    </w:p>
    <w:p w14:paraId="14235E6B" w14:textId="77777777" w:rsidR="002D37B5" w:rsidRPr="00F831C0" w:rsidRDefault="002D37B5" w:rsidP="00B310F3">
      <w:pPr>
        <w:pStyle w:val="MIRSubpara"/>
      </w:pPr>
      <w:r w:rsidRPr="00F831C0">
        <w:lastRenderedPageBreak/>
        <w:t xml:space="preserve">payment/settlement can be effected within the settlement conventions applicable to the Financial Instrument; and </w:t>
      </w:r>
    </w:p>
    <w:p w14:paraId="2BE9FC93" w14:textId="77777777" w:rsidR="002D37B5" w:rsidRPr="00F831C0" w:rsidRDefault="002D37B5" w:rsidP="002D37B5">
      <w:pPr>
        <w:pStyle w:val="MIRSubpara"/>
      </w:pPr>
      <w:r w:rsidRPr="00F831C0">
        <w:t xml:space="preserve">there is sufficient liquidity in the market to ensure a ready sale of the position held. </w:t>
      </w:r>
    </w:p>
    <w:p w14:paraId="4A8B54BD" w14:textId="77777777" w:rsidR="002D37B5" w:rsidRPr="00F831C0" w:rsidRDefault="002D37B5" w:rsidP="003E5048">
      <w:pPr>
        <w:pStyle w:val="MIRBodyText"/>
        <w:keepNext/>
      </w:pPr>
      <w:r w:rsidRPr="00F831C0">
        <w:rPr>
          <w:b/>
          <w:bCs/>
          <w:i/>
        </w:rPr>
        <w:t>Liquid Capital</w:t>
      </w:r>
      <w:r w:rsidRPr="00F831C0">
        <w:t xml:space="preserve"> means the sum of: </w:t>
      </w:r>
    </w:p>
    <w:p w14:paraId="5E3EBF7C" w14:textId="77777777" w:rsidR="002D37B5" w:rsidRPr="00F831C0" w:rsidRDefault="002D37B5" w:rsidP="003E5048">
      <w:pPr>
        <w:pStyle w:val="MIRSubpara"/>
        <w:keepNext/>
      </w:pPr>
      <w:r w:rsidRPr="00F831C0">
        <w:t xml:space="preserve">Core Capital; </w:t>
      </w:r>
    </w:p>
    <w:p w14:paraId="2844D64F" w14:textId="77777777" w:rsidR="002D37B5" w:rsidRPr="00F831C0" w:rsidRDefault="002D37B5" w:rsidP="003E5048">
      <w:pPr>
        <w:pStyle w:val="MIRSubpara"/>
        <w:keepNext/>
      </w:pPr>
      <w:r w:rsidRPr="00F831C0">
        <w:t xml:space="preserve">cumulative Preference Shares; </w:t>
      </w:r>
    </w:p>
    <w:p w14:paraId="73DE5B81" w14:textId="77777777" w:rsidR="002D37B5" w:rsidRPr="00F831C0" w:rsidRDefault="002D37B5" w:rsidP="002D37B5">
      <w:pPr>
        <w:pStyle w:val="MIRSubpara"/>
      </w:pPr>
      <w:r w:rsidRPr="00F831C0">
        <w:t xml:space="preserve">Approved Subordinated Debt; and </w:t>
      </w:r>
    </w:p>
    <w:p w14:paraId="346956A8" w14:textId="6FED74AA" w:rsidR="002D37B5" w:rsidRPr="00F831C0" w:rsidRDefault="002D37B5" w:rsidP="002D37B5">
      <w:pPr>
        <w:pStyle w:val="MIRSubpara"/>
      </w:pPr>
      <w:r w:rsidRPr="00F831C0">
        <w:t xml:space="preserve">revaluation reserves other than Financial Asset </w:t>
      </w:r>
      <w:r w:rsidR="002E02DF">
        <w:t xml:space="preserve">and Liability </w:t>
      </w:r>
      <w:r w:rsidRPr="00F831C0">
        <w:t xml:space="preserve">Revaluation Reserves; </w:t>
      </w:r>
    </w:p>
    <w:p w14:paraId="482E28FF" w14:textId="77777777" w:rsidR="002D37B5" w:rsidRPr="00F831C0" w:rsidRDefault="002D37B5" w:rsidP="002D37B5">
      <w:pPr>
        <w:pStyle w:val="MIRBodyText"/>
      </w:pPr>
      <w:r w:rsidRPr="00F831C0">
        <w:t xml:space="preserve">less the sum of: </w:t>
      </w:r>
    </w:p>
    <w:p w14:paraId="2DE7A0CB" w14:textId="77777777" w:rsidR="002D37B5" w:rsidRPr="00F831C0" w:rsidRDefault="002D37B5" w:rsidP="002D37B5">
      <w:pPr>
        <w:pStyle w:val="MIRSubpara"/>
        <w:numPr>
          <w:ilvl w:val="1"/>
          <w:numId w:val="20"/>
        </w:numPr>
      </w:pPr>
      <w:r w:rsidRPr="00F831C0">
        <w:t xml:space="preserve">Excluded Assets; and </w:t>
      </w:r>
    </w:p>
    <w:p w14:paraId="2A1063A3" w14:textId="77777777" w:rsidR="002D37B5" w:rsidRPr="00F831C0" w:rsidRDefault="002D37B5" w:rsidP="00FB4E7C">
      <w:pPr>
        <w:pStyle w:val="MIRSubpara"/>
        <w:numPr>
          <w:ilvl w:val="1"/>
          <w:numId w:val="107"/>
        </w:numPr>
      </w:pPr>
      <w:r w:rsidRPr="00F831C0">
        <w:t xml:space="preserve">Excluded Liabilities. </w:t>
      </w:r>
    </w:p>
    <w:p w14:paraId="51CB4087" w14:textId="77777777" w:rsidR="002D37B5" w:rsidRPr="00F831C0" w:rsidRDefault="002D37B5" w:rsidP="002D37B5">
      <w:pPr>
        <w:pStyle w:val="MIRBodyText"/>
      </w:pPr>
      <w:r w:rsidRPr="00F831C0">
        <w:rPr>
          <w:b/>
          <w:bCs/>
          <w:i/>
        </w:rPr>
        <w:t>Liquid Margin</w:t>
      </w:r>
      <w:r w:rsidRPr="00F831C0">
        <w:t xml:space="preserve"> means the amount calculated by deducting the Total Risk Requirement amount from the amount of Liquid Capital. </w:t>
      </w:r>
    </w:p>
    <w:p w14:paraId="58ABF3E9" w14:textId="77777777" w:rsidR="00DA6158" w:rsidRPr="00F831C0" w:rsidRDefault="00DA6158" w:rsidP="00F2646B">
      <w:pPr>
        <w:pStyle w:val="MIRBodyText"/>
        <w:keepNext/>
        <w:numPr>
          <w:ilvl w:val="0"/>
          <w:numId w:val="0"/>
        </w:numPr>
        <w:ind w:left="851"/>
      </w:pPr>
      <w:r w:rsidRPr="00F831C0">
        <w:rPr>
          <w:b/>
          <w:i/>
        </w:rPr>
        <w:t>Loan Securities</w:t>
      </w:r>
      <w:r w:rsidRPr="00F831C0">
        <w:t xml:space="preserve"> means:</w:t>
      </w:r>
    </w:p>
    <w:p w14:paraId="57B9276E" w14:textId="77777777" w:rsidR="00DA6158" w:rsidRPr="00F831C0" w:rsidRDefault="00DA6158" w:rsidP="00BB75CF">
      <w:pPr>
        <w:pStyle w:val="MIRSubpara"/>
      </w:pPr>
      <w:r w:rsidRPr="00F831C0">
        <w:t>debentures, stocks or bonds issued or proposed to be issued by a government; or</w:t>
      </w:r>
    </w:p>
    <w:p w14:paraId="752A957A" w14:textId="77777777" w:rsidR="00DA6158" w:rsidRPr="00F831C0" w:rsidRDefault="00DA6158" w:rsidP="00BB75CF">
      <w:pPr>
        <w:pStyle w:val="MIRSubpara"/>
      </w:pPr>
      <w:r w:rsidRPr="00F831C0">
        <w:t>debentures of a body corporate or an unincorporated body; or</w:t>
      </w:r>
    </w:p>
    <w:p w14:paraId="7DB56672" w14:textId="77777777" w:rsidR="00DA6158" w:rsidRPr="00F831C0" w:rsidRDefault="00DA6158" w:rsidP="00BB75CF">
      <w:pPr>
        <w:pStyle w:val="MIRSubpara"/>
      </w:pPr>
      <w:r w:rsidRPr="00F831C0">
        <w:t>redeemable preference shares which have a fixed and certain date for redemption, other than shares having a participating entitlement to rights or options referred to in paragraphs (c) and (d) of the definition of Equity Securities; or</w:t>
      </w:r>
    </w:p>
    <w:p w14:paraId="332830A8" w14:textId="77777777" w:rsidR="00DA6158" w:rsidRPr="00F831C0" w:rsidRDefault="00DA6158" w:rsidP="00BB75CF">
      <w:pPr>
        <w:pStyle w:val="MIRSubpara"/>
      </w:pPr>
      <w:r w:rsidRPr="00F831C0">
        <w:t>interests in a managed investment scheme, relating to a financial or business undertaking or scheme, common enterprise or investment contract, the trustee or representative or responsible entity of which only invests in or acquires one or more of Loan Securities, mortgages and cash; or</w:t>
      </w:r>
    </w:p>
    <w:p w14:paraId="27DF5FA5" w14:textId="44C01478" w:rsidR="00C80286" w:rsidRPr="00F831C0" w:rsidRDefault="000C2B94" w:rsidP="00C80286">
      <w:pPr>
        <w:pStyle w:val="MIRSubpara"/>
      </w:pPr>
      <w:r w:rsidRPr="00F831C0">
        <w:t xml:space="preserve">in relation to a Market, </w:t>
      </w:r>
      <w:r w:rsidR="00DA6158" w:rsidRPr="00F831C0">
        <w:t xml:space="preserve">any Securities which are determined </w:t>
      </w:r>
      <w:r w:rsidR="00B72944" w:rsidRPr="00F831C0">
        <w:t xml:space="preserve">to be Loan Securities </w:t>
      </w:r>
      <w:r w:rsidR="00DA6158" w:rsidRPr="00F831C0">
        <w:t xml:space="preserve">by the </w:t>
      </w:r>
      <w:r w:rsidR="0006424C" w:rsidRPr="00F831C0">
        <w:t>o</w:t>
      </w:r>
      <w:r w:rsidR="00DA6158" w:rsidRPr="00F831C0">
        <w:t xml:space="preserve">perator </w:t>
      </w:r>
      <w:r w:rsidR="0006424C" w:rsidRPr="00F831C0">
        <w:t xml:space="preserve">of the Market </w:t>
      </w:r>
      <w:r w:rsidR="00B72944" w:rsidRPr="00F831C0">
        <w:t>on which those Securities are able to be traded in accordance with the operating rules of the Market</w:t>
      </w:r>
      <w:r w:rsidR="00DA6158" w:rsidRPr="00F831C0">
        <w:t>,</w:t>
      </w:r>
    </w:p>
    <w:p w14:paraId="3F6502C6" w14:textId="6F668F5B" w:rsidR="00DA6158" w:rsidRPr="00F831C0" w:rsidRDefault="00DA6158" w:rsidP="00444367">
      <w:pPr>
        <w:pStyle w:val="MIRBodyText"/>
      </w:pPr>
      <w:r w:rsidRPr="00F831C0">
        <w:t>but does not include Options Market Contracts or</w:t>
      </w:r>
      <w:r w:rsidR="00786D0C" w:rsidRPr="00F831C0">
        <w:t>, in relation to a Market,</w:t>
      </w:r>
      <w:r w:rsidRPr="00F831C0">
        <w:t xml:space="preserve"> Securities determined to be Equity Securities by the </w:t>
      </w:r>
      <w:r w:rsidR="0006424C" w:rsidRPr="00F831C0">
        <w:t>o</w:t>
      </w:r>
      <w:r w:rsidRPr="00F831C0">
        <w:t>perator</w:t>
      </w:r>
      <w:r w:rsidR="002D67B0" w:rsidRPr="00F831C0">
        <w:t xml:space="preserve"> </w:t>
      </w:r>
      <w:r w:rsidR="0006424C" w:rsidRPr="00F831C0">
        <w:t xml:space="preserve">of </w:t>
      </w:r>
      <w:r w:rsidR="00786D0C" w:rsidRPr="00F831C0">
        <w:t>the</w:t>
      </w:r>
      <w:r w:rsidR="00C80286" w:rsidRPr="00F831C0">
        <w:t xml:space="preserve"> </w:t>
      </w:r>
      <w:r w:rsidR="0006424C" w:rsidRPr="00F831C0">
        <w:t xml:space="preserve">Market where those </w:t>
      </w:r>
      <w:r w:rsidR="00C80286" w:rsidRPr="00F831C0">
        <w:t xml:space="preserve">financial </w:t>
      </w:r>
      <w:r w:rsidR="0006424C" w:rsidRPr="00F831C0">
        <w:t xml:space="preserve">products </w:t>
      </w:r>
      <w:r w:rsidR="00B72944" w:rsidRPr="00F831C0">
        <w:t>are able to be traded in accordance with the operating rules of the Market</w:t>
      </w:r>
      <w:r w:rsidR="0006424C" w:rsidRPr="00F831C0">
        <w:t xml:space="preserve">. </w:t>
      </w:r>
    </w:p>
    <w:p w14:paraId="21284ADC" w14:textId="77777777" w:rsidR="00F2646B" w:rsidRPr="00F831C0" w:rsidRDefault="00DA6158" w:rsidP="00AD676E">
      <w:pPr>
        <w:pStyle w:val="MIRBodyText"/>
        <w:spacing w:before="160"/>
      </w:pPr>
      <w:r w:rsidRPr="00F831C0">
        <w:rPr>
          <w:b/>
          <w:i/>
        </w:rPr>
        <w:t>Managed Fund</w:t>
      </w:r>
      <w:r w:rsidRPr="00F831C0">
        <w:t xml:space="preserve"> means</w:t>
      </w:r>
      <w:r w:rsidR="00F2646B" w:rsidRPr="00F831C0">
        <w:t>:</w:t>
      </w:r>
    </w:p>
    <w:p w14:paraId="21CCA71A" w14:textId="6132EF62" w:rsidR="00435E5D" w:rsidRPr="00F831C0" w:rsidRDefault="00DA6158" w:rsidP="009120A8">
      <w:pPr>
        <w:pStyle w:val="MIRSubpara"/>
      </w:pPr>
      <w:r w:rsidRPr="00F831C0">
        <w:t>a managed investment scheme which is a registered managed investment scheme pursuant to section 601EB of the Corporations Act or a managed investment scheme which ASIC has exempted from those registration requirements</w:t>
      </w:r>
      <w:r w:rsidR="0024343A" w:rsidRPr="00F831C0">
        <w:t xml:space="preserve">; </w:t>
      </w:r>
      <w:r w:rsidR="00B23783" w:rsidRPr="00F831C0">
        <w:t>or</w:t>
      </w:r>
    </w:p>
    <w:p w14:paraId="4333475E" w14:textId="77777777" w:rsidR="0024343A" w:rsidRPr="00F831C0" w:rsidRDefault="0024343A" w:rsidP="009120A8">
      <w:pPr>
        <w:pStyle w:val="MIRSubpara"/>
      </w:pPr>
      <w:r w:rsidRPr="00F831C0">
        <w:t>a foreign company which has the economic features of a managed investment scheme, namely</w:t>
      </w:r>
      <w:r w:rsidR="00435E5D" w:rsidRPr="00F831C0">
        <w:t>:</w:t>
      </w:r>
    </w:p>
    <w:p w14:paraId="2145C076" w14:textId="77777777" w:rsidR="00D60E2A" w:rsidRPr="00F831C0" w:rsidRDefault="00D60E2A" w:rsidP="00D60E2A">
      <w:pPr>
        <w:pStyle w:val="MIRSubsubpara"/>
      </w:pPr>
      <w:r w:rsidRPr="00F831C0">
        <w:t>investors contribute money or money’s worth to acquire rights to benefits produced by the collective investment;</w:t>
      </w:r>
    </w:p>
    <w:p w14:paraId="0BF52425" w14:textId="77777777" w:rsidR="00D60E2A" w:rsidRPr="00F831C0" w:rsidRDefault="00D60E2A" w:rsidP="00D60E2A">
      <w:pPr>
        <w:pStyle w:val="MIRSubsubpara"/>
      </w:pPr>
      <w:r w:rsidRPr="00F831C0">
        <w:lastRenderedPageBreak/>
        <w:t>contributions of investors are to be pooled, or used in a common enterprise, to produce financial benefits, or benefits consisting of rights or interests in property, for investors holding financial products in the collective investment; and</w:t>
      </w:r>
    </w:p>
    <w:p w14:paraId="56785889" w14:textId="77777777" w:rsidR="00D60E2A" w:rsidRPr="00F831C0" w:rsidRDefault="00D60E2A" w:rsidP="00D60E2A">
      <w:pPr>
        <w:pStyle w:val="MIRSubsubpara"/>
      </w:pPr>
      <w:r w:rsidRPr="00F831C0">
        <w:t>investors holding financial products issued in the collective investment do not have day to day control over the operation of the collective investment.</w:t>
      </w:r>
    </w:p>
    <w:p w14:paraId="0454E68D" w14:textId="77777777" w:rsidR="00435E5D" w:rsidRPr="00F831C0" w:rsidRDefault="00DA6158" w:rsidP="00CD75FC">
      <w:pPr>
        <w:pStyle w:val="MIRBodyText"/>
        <w:keepNext/>
        <w:spacing w:before="160" w:line="290" w:lineRule="atLeast"/>
      </w:pPr>
      <w:r w:rsidRPr="00F831C0">
        <w:rPr>
          <w:b/>
          <w:i/>
        </w:rPr>
        <w:t>Market</w:t>
      </w:r>
      <w:r w:rsidRPr="00F831C0">
        <w:t xml:space="preserve"> means </w:t>
      </w:r>
      <w:r w:rsidR="00435E5D" w:rsidRPr="00F831C0">
        <w:t>any of the following:</w:t>
      </w:r>
    </w:p>
    <w:p w14:paraId="481D5CDB" w14:textId="74DC2B2B" w:rsidR="00435E5D" w:rsidRDefault="00435E5D" w:rsidP="00CD75FC">
      <w:pPr>
        <w:pStyle w:val="MIRSubpara"/>
        <w:spacing w:line="290" w:lineRule="atLeast"/>
      </w:pPr>
      <w:r w:rsidRPr="00F831C0">
        <w:t>the ASX Market</w:t>
      </w:r>
      <w:r w:rsidR="00993EFA" w:rsidRPr="00F831C0">
        <w:t>;</w:t>
      </w:r>
    </w:p>
    <w:p w14:paraId="3D70F9BF" w14:textId="3F15AD9D" w:rsidR="00A31C6C" w:rsidRPr="00F831C0" w:rsidRDefault="00A31C6C" w:rsidP="00CD75FC">
      <w:pPr>
        <w:pStyle w:val="MIRSubpara"/>
        <w:spacing w:line="290" w:lineRule="atLeast"/>
      </w:pPr>
      <w:r>
        <w:t>the ASX 24 Market;</w:t>
      </w:r>
    </w:p>
    <w:p w14:paraId="298008CA" w14:textId="34B17BD8" w:rsidR="00435E5D" w:rsidRDefault="00435E5D" w:rsidP="00CD75FC">
      <w:pPr>
        <w:pStyle w:val="MIRSubpara"/>
        <w:spacing w:line="290" w:lineRule="atLeast"/>
      </w:pPr>
      <w:r w:rsidRPr="00F831C0">
        <w:t>the Chi-X Market;</w:t>
      </w:r>
    </w:p>
    <w:p w14:paraId="17E8E00B" w14:textId="3F95337C" w:rsidR="00A31C6C" w:rsidRPr="00F831C0" w:rsidRDefault="00A31C6C" w:rsidP="00CD75FC">
      <w:pPr>
        <w:pStyle w:val="MIRSubpara"/>
        <w:spacing w:line="290" w:lineRule="atLeast"/>
      </w:pPr>
      <w:r>
        <w:t>the FEX Market;</w:t>
      </w:r>
    </w:p>
    <w:p w14:paraId="2FDDEEF2" w14:textId="77777777" w:rsidR="00BE75C8" w:rsidRPr="00F831C0" w:rsidRDefault="00BE75C8" w:rsidP="00CD75FC">
      <w:pPr>
        <w:pStyle w:val="MIRSubpara"/>
        <w:spacing w:line="290" w:lineRule="atLeast"/>
      </w:pPr>
      <w:r w:rsidRPr="00F831C0">
        <w:t>the NSXA Market;</w:t>
      </w:r>
    </w:p>
    <w:p w14:paraId="70249147" w14:textId="0E7B5B84" w:rsidR="00DA6158" w:rsidRPr="00F831C0" w:rsidRDefault="00435E5D" w:rsidP="00CD75FC">
      <w:pPr>
        <w:pStyle w:val="MIRSubpara"/>
        <w:spacing w:line="290" w:lineRule="atLeast"/>
      </w:pPr>
      <w:r w:rsidRPr="00F831C0">
        <w:t>the SSX Market</w:t>
      </w:r>
      <w:r w:rsidR="00BE75C8" w:rsidRPr="00F831C0">
        <w:t>.</w:t>
      </w:r>
    </w:p>
    <w:p w14:paraId="00A1E627" w14:textId="77777777" w:rsidR="00A31C6C" w:rsidRPr="00F831C0" w:rsidRDefault="00A31C6C" w:rsidP="00A31C6C">
      <w:pPr>
        <w:pStyle w:val="MIRBodyText"/>
        <w:spacing w:line="280" w:lineRule="atLeast"/>
      </w:pPr>
      <w:r w:rsidRPr="00F831C0">
        <w:rPr>
          <w:b/>
          <w:bCs/>
          <w:i/>
        </w:rPr>
        <w:t>Market Spot Exchange Rate</w:t>
      </w:r>
      <w:r w:rsidRPr="00F831C0">
        <w:t xml:space="preserve"> means the closing rate of exchange for foreign currencies against Australian dollars on each Business Day, having a settlement period of two days. </w:t>
      </w:r>
    </w:p>
    <w:p w14:paraId="39E78796" w14:textId="680682A9" w:rsidR="00A31C6C" w:rsidRPr="00F831C0" w:rsidRDefault="00A31C6C" w:rsidP="00A31C6C">
      <w:pPr>
        <w:pStyle w:val="MIRBodyText"/>
      </w:pPr>
      <w:bookmarkStart w:id="19" w:name="_Hlk3296727"/>
      <w:r w:rsidRPr="00F831C0">
        <w:rPr>
          <w:b/>
          <w:i/>
        </w:rPr>
        <w:t>Monthly Risk-Based Return</w:t>
      </w:r>
      <w:r w:rsidRPr="00F831C0">
        <w:t xml:space="preserve"> </w:t>
      </w:r>
      <w:bookmarkEnd w:id="19"/>
      <w:r w:rsidRPr="00F831C0">
        <w:t xml:space="preserve">means a return containing the information in Form 3 in Schedule 1C to these Rules. </w:t>
      </w:r>
    </w:p>
    <w:p w14:paraId="67AE38CE" w14:textId="77777777" w:rsidR="00A31C6C" w:rsidRPr="00F831C0" w:rsidRDefault="00A31C6C" w:rsidP="00A31C6C">
      <w:pPr>
        <w:pStyle w:val="MIRBodyText"/>
      </w:pPr>
      <w:r w:rsidRPr="00F831C0">
        <w:rPr>
          <w:b/>
          <w:bCs/>
          <w:i/>
        </w:rPr>
        <w:t>Non-Standard Risk Requirement</w:t>
      </w:r>
      <w:r w:rsidRPr="00F831C0">
        <w:t xml:space="preserve"> means the amount calculated in accordance with Rule S1A.2.9 to cover unusual or non-standard exposures. </w:t>
      </w:r>
    </w:p>
    <w:p w14:paraId="28062AF9" w14:textId="3118D3FE" w:rsidR="00184DC1" w:rsidRPr="00F831C0" w:rsidRDefault="00184DC1" w:rsidP="00CD75FC">
      <w:pPr>
        <w:pStyle w:val="MIRBodyText"/>
        <w:spacing w:line="290" w:lineRule="atLeast"/>
      </w:pPr>
      <w:r w:rsidRPr="00F831C0">
        <w:rPr>
          <w:b/>
          <w:i/>
        </w:rPr>
        <w:t>NSXA</w:t>
      </w:r>
      <w:r w:rsidRPr="00F831C0">
        <w:t xml:space="preserve"> means </w:t>
      </w:r>
      <w:r w:rsidRPr="00F831C0">
        <w:rPr>
          <w:spacing w:val="-2"/>
        </w:rPr>
        <w:t xml:space="preserve">National Stock Exchange of Australia Limited </w:t>
      </w:r>
      <w:r w:rsidRPr="00F831C0">
        <w:t>(ACN 000 902 063).</w:t>
      </w:r>
    </w:p>
    <w:p w14:paraId="0FAB63D5" w14:textId="77777777" w:rsidR="00184DC1" w:rsidRPr="00F831C0" w:rsidRDefault="00184DC1" w:rsidP="00CD75FC">
      <w:pPr>
        <w:pStyle w:val="MIRBodyText"/>
        <w:spacing w:line="290" w:lineRule="atLeast"/>
      </w:pPr>
      <w:r w:rsidRPr="00F831C0">
        <w:rPr>
          <w:b/>
          <w:i/>
        </w:rPr>
        <w:t>NSXA Market</w:t>
      </w:r>
      <w:r w:rsidRPr="00F831C0">
        <w:t xml:space="preserve"> means the market operated by </w:t>
      </w:r>
      <w:r w:rsidRPr="00F831C0">
        <w:rPr>
          <w:spacing w:val="-2"/>
        </w:rPr>
        <w:t>NSXA</w:t>
      </w:r>
      <w:r w:rsidRPr="00F831C0">
        <w:t xml:space="preserve"> under </w:t>
      </w:r>
      <w:r w:rsidRPr="00F831C0">
        <w:rPr>
          <w:i/>
        </w:rPr>
        <w:t>Australian Market Licence (</w:t>
      </w:r>
      <w:r w:rsidRPr="00F831C0">
        <w:rPr>
          <w:i/>
          <w:spacing w:val="-2"/>
        </w:rPr>
        <w:t>National Stock Exchange of Australia Limited</w:t>
      </w:r>
      <w:r w:rsidRPr="00F831C0">
        <w:rPr>
          <w:i/>
        </w:rPr>
        <w:t>) 2002</w:t>
      </w:r>
      <w:r w:rsidRPr="00F831C0">
        <w:t>.</w:t>
      </w:r>
    </w:p>
    <w:p w14:paraId="67D078D1" w14:textId="77777777" w:rsidR="00A31C6C" w:rsidRPr="00F831C0" w:rsidRDefault="00A31C6C" w:rsidP="00A31C6C">
      <w:pPr>
        <w:pStyle w:val="MIRBodyText"/>
        <w:spacing w:line="280" w:lineRule="atLeast"/>
      </w:pPr>
      <w:r w:rsidRPr="00F831C0">
        <w:rPr>
          <w:b/>
          <w:bCs/>
          <w:i/>
        </w:rPr>
        <w:t>OECD</w:t>
      </w:r>
      <w:r w:rsidRPr="00F831C0">
        <w:t xml:space="preserve"> means the Organisation for Economic Co-operation and Development. </w:t>
      </w:r>
    </w:p>
    <w:p w14:paraId="3D219FE5" w14:textId="153F4097" w:rsidR="00DA6158" w:rsidRPr="00F831C0" w:rsidRDefault="00DA6158" w:rsidP="00CD75FC">
      <w:pPr>
        <w:pStyle w:val="MIRBodyText"/>
        <w:spacing w:line="290" w:lineRule="atLeast"/>
      </w:pPr>
      <w:r w:rsidRPr="00F831C0">
        <w:rPr>
          <w:b/>
          <w:i/>
        </w:rPr>
        <w:t>Official Quotation</w:t>
      </w:r>
      <w:r w:rsidR="00EA18E3" w:rsidRPr="00F831C0">
        <w:t>, in relation to financial p</w:t>
      </w:r>
      <w:r w:rsidRPr="00F831C0">
        <w:t xml:space="preserve">roducts, means </w:t>
      </w:r>
      <w:r w:rsidR="00FE2721" w:rsidRPr="00F831C0">
        <w:t xml:space="preserve">admission </w:t>
      </w:r>
      <w:r w:rsidRPr="00F831C0">
        <w:t xml:space="preserve">to quotation by </w:t>
      </w:r>
      <w:r w:rsidR="00FE2721" w:rsidRPr="00F831C0">
        <w:t xml:space="preserve">a Market </w:t>
      </w:r>
      <w:r w:rsidR="00EA18E3" w:rsidRPr="00F831C0">
        <w:t>o</w:t>
      </w:r>
      <w:r w:rsidRPr="00F831C0">
        <w:t xml:space="preserve">perator </w:t>
      </w:r>
      <w:r w:rsidR="00EA18E3" w:rsidRPr="00F831C0">
        <w:t xml:space="preserve">under the listing rules of that Market. </w:t>
      </w:r>
    </w:p>
    <w:p w14:paraId="447E2864" w14:textId="77777777" w:rsidR="00285521" w:rsidRPr="00F831C0" w:rsidRDefault="00285521" w:rsidP="00285521">
      <w:pPr>
        <w:pStyle w:val="MIRBodyText"/>
      </w:pPr>
      <w:r w:rsidRPr="00F831C0">
        <w:rPr>
          <w:b/>
          <w:bCs/>
          <w:i/>
        </w:rPr>
        <w:t>Operational Risk Requirement</w:t>
      </w:r>
      <w:r w:rsidRPr="00F831C0">
        <w:t xml:space="preserve"> means the amount calculated in accordance with subrule S1A.2.3(1) which is required to cover exposures associated with commencing and remaining in business arising separately from exposures covered by other risk requirements. </w:t>
      </w:r>
    </w:p>
    <w:p w14:paraId="36E06F2D" w14:textId="1F3D7D4A" w:rsidR="00285521" w:rsidRPr="00F831C0" w:rsidRDefault="00285521" w:rsidP="00285521">
      <w:pPr>
        <w:pStyle w:val="MIRBodyText"/>
      </w:pPr>
      <w:r w:rsidRPr="00F831C0">
        <w:rPr>
          <w:b/>
          <w:bCs/>
          <w:i/>
        </w:rPr>
        <w:t>Option</w:t>
      </w:r>
      <w:r w:rsidRPr="00F831C0">
        <w:t xml:space="preserve"> means a contract which gives the holder</w:t>
      </w:r>
      <w:r>
        <w:t xml:space="preserve"> of</w:t>
      </w:r>
      <w:r w:rsidRPr="00F831C0">
        <w:t xml:space="preserve"> the option </w:t>
      </w:r>
      <w:r>
        <w:t>a</w:t>
      </w:r>
      <w:r w:rsidRPr="00F831C0">
        <w:t xml:space="preserve"> right, exercisable at or before a specified time to: </w:t>
      </w:r>
    </w:p>
    <w:p w14:paraId="5B15EBEF" w14:textId="5CCF8AD3" w:rsidR="00285521" w:rsidRPr="00F831C0" w:rsidRDefault="00285521" w:rsidP="00285521">
      <w:pPr>
        <w:pStyle w:val="MIRSubpara"/>
      </w:pPr>
      <w:r w:rsidRPr="00F831C0">
        <w:t>buy (whether by way of issue or transfer) or sell a quantity of a Financial Instrument or a</w:t>
      </w:r>
      <w:r w:rsidR="00665126">
        <w:t xml:space="preserve"> Foreign Exchange</w:t>
      </w:r>
      <w:r>
        <w:t>, or Commodity</w:t>
      </w:r>
      <w:r w:rsidRPr="00F831C0">
        <w:t xml:space="preserve">; or </w:t>
      </w:r>
    </w:p>
    <w:p w14:paraId="730920D0" w14:textId="224E610D" w:rsidR="00285521" w:rsidRPr="00F831C0" w:rsidRDefault="00285521" w:rsidP="00285521">
      <w:pPr>
        <w:pStyle w:val="MIRSubpara"/>
      </w:pPr>
      <w:r w:rsidRPr="00F831C0">
        <w:t xml:space="preserve">be paid an amount of money calculated by reference to the value of a Financial Instrument, </w:t>
      </w:r>
      <w:r w:rsidR="00665126">
        <w:t xml:space="preserve">Foreign </w:t>
      </w:r>
      <w:r w:rsidR="0090665E">
        <w:t>Exchange</w:t>
      </w:r>
      <w:r>
        <w:t>, Commodity, interest rate</w:t>
      </w:r>
      <w:r w:rsidRPr="00F831C0">
        <w:t xml:space="preserve"> or index as specified in the contract. </w:t>
      </w:r>
    </w:p>
    <w:p w14:paraId="6F16522B" w14:textId="763F2DDA" w:rsidR="00DA6158" w:rsidRPr="00F831C0" w:rsidRDefault="00DA6158" w:rsidP="00CD75FC">
      <w:pPr>
        <w:pStyle w:val="MIRBodyText"/>
        <w:spacing w:line="290" w:lineRule="atLeast"/>
      </w:pPr>
      <w:r w:rsidRPr="00F831C0">
        <w:rPr>
          <w:b/>
          <w:i/>
        </w:rPr>
        <w:t>Option Series</w:t>
      </w:r>
      <w:r w:rsidRPr="00F831C0">
        <w:t xml:space="preserve"> means a set of contractual terms on which options are authorised </w:t>
      </w:r>
      <w:r w:rsidR="00476094" w:rsidRPr="00F831C0">
        <w:t xml:space="preserve">by </w:t>
      </w:r>
      <w:r w:rsidR="0012555F" w:rsidRPr="00F831C0">
        <w:t>a</w:t>
      </w:r>
      <w:r w:rsidR="00476094" w:rsidRPr="00F831C0">
        <w:t xml:space="preserve"> Market operator </w:t>
      </w:r>
      <w:r w:rsidRPr="00F831C0">
        <w:t>for trading</w:t>
      </w:r>
      <w:r w:rsidR="00476094" w:rsidRPr="00F831C0">
        <w:t xml:space="preserve"> on its Market</w:t>
      </w:r>
      <w:r w:rsidRPr="00F831C0">
        <w:t>.</w:t>
      </w:r>
    </w:p>
    <w:p w14:paraId="465B3C0C" w14:textId="77777777" w:rsidR="00DD74F6" w:rsidRPr="00F831C0" w:rsidRDefault="00DD74F6" w:rsidP="00FB4E7C">
      <w:pPr>
        <w:pStyle w:val="MIRBodyText"/>
        <w:spacing w:before="180" w:line="286" w:lineRule="atLeast"/>
      </w:pPr>
      <w:r w:rsidRPr="00F831C0">
        <w:rPr>
          <w:b/>
          <w:i/>
        </w:rPr>
        <w:lastRenderedPageBreak/>
        <w:t>Options Market Contract</w:t>
      </w:r>
      <w:r w:rsidRPr="00F831C0">
        <w:t xml:space="preserve"> means a contract on the terms of an Option Series.</w:t>
      </w:r>
    </w:p>
    <w:p w14:paraId="351B7EF0" w14:textId="77777777" w:rsidR="00DA6158" w:rsidRPr="00F831C0" w:rsidRDefault="00DA6158" w:rsidP="00FB4E7C">
      <w:pPr>
        <w:pStyle w:val="MIRBodyText"/>
        <w:keepNext/>
        <w:spacing w:before="180" w:line="286" w:lineRule="atLeast"/>
      </w:pPr>
      <w:r w:rsidRPr="00F831C0">
        <w:rPr>
          <w:b/>
          <w:i/>
        </w:rPr>
        <w:t>Order</w:t>
      </w:r>
      <w:r w:rsidRPr="00F831C0">
        <w:t xml:space="preserve"> means</w:t>
      </w:r>
      <w:r w:rsidR="00AD0A4E" w:rsidRPr="00F831C0">
        <w:t>, unless the contrary intention appears</w:t>
      </w:r>
      <w:r w:rsidRPr="00F831C0">
        <w:t>:</w:t>
      </w:r>
    </w:p>
    <w:p w14:paraId="7AE18A36" w14:textId="4AA4A4E7" w:rsidR="00DA6158" w:rsidRPr="00F831C0" w:rsidRDefault="00DA6158" w:rsidP="00FB4E7C">
      <w:pPr>
        <w:pStyle w:val="MIRSubpara"/>
        <w:spacing w:before="80" w:line="286" w:lineRule="atLeast"/>
      </w:pPr>
      <w:r w:rsidRPr="00F831C0">
        <w:t xml:space="preserve">in relation to Cash Market Products, an instruction to purchase or sell Cash Market Products, or an instruction to amend or cancel a prior instruction to purchase or sell Cash Market Products; </w:t>
      </w:r>
    </w:p>
    <w:p w14:paraId="39802F55" w14:textId="5A385D44" w:rsidR="00DA6158" w:rsidRPr="00F831C0" w:rsidRDefault="00DA6158" w:rsidP="00FB4E7C">
      <w:pPr>
        <w:pStyle w:val="MIRSubpara"/>
        <w:spacing w:before="80" w:line="286" w:lineRule="atLeast"/>
      </w:pPr>
      <w:r w:rsidRPr="00F831C0">
        <w:t>in relation to Derivatives Market Contracts, an instruction to enter into a Derivatives Market Transaction, or an instruction to amend or cancel a prior instruction to enter into a Derivatives Market Transaction</w:t>
      </w:r>
      <w:r w:rsidR="00993EFA" w:rsidRPr="00F831C0">
        <w:t>;</w:t>
      </w:r>
      <w:r w:rsidR="003832A8" w:rsidRPr="00F831C0">
        <w:t xml:space="preserve"> and</w:t>
      </w:r>
    </w:p>
    <w:p w14:paraId="05A49125" w14:textId="329218EC" w:rsidR="00476094" w:rsidRPr="00F831C0" w:rsidRDefault="00AD0A4E" w:rsidP="00FB4E7C">
      <w:pPr>
        <w:pStyle w:val="MIRSubpara"/>
        <w:spacing w:before="80" w:line="286" w:lineRule="atLeast"/>
      </w:pPr>
      <w:r w:rsidRPr="00F831C0">
        <w:t>i</w:t>
      </w:r>
      <w:r w:rsidR="00476094" w:rsidRPr="00F831C0">
        <w:t xml:space="preserve">n relation to other financial products, </w:t>
      </w:r>
      <w:r w:rsidRPr="00F831C0">
        <w:t xml:space="preserve">an instruction to purchase or sell financial products, or </w:t>
      </w:r>
      <w:r w:rsidR="00476094" w:rsidRPr="00F831C0">
        <w:t>an instruction to amend or cancel a prior instruction to purchase or sell financial products.</w:t>
      </w:r>
    </w:p>
    <w:p w14:paraId="41E553D6" w14:textId="77777777" w:rsidR="00285521" w:rsidRPr="00F831C0" w:rsidRDefault="00285521" w:rsidP="00FB4E7C">
      <w:pPr>
        <w:pStyle w:val="MIRBodyText"/>
        <w:spacing w:before="180" w:line="286" w:lineRule="atLeast"/>
      </w:pPr>
      <w:r w:rsidRPr="00F831C0">
        <w:rPr>
          <w:b/>
          <w:bCs/>
          <w:i/>
        </w:rPr>
        <w:t>OTC Derivative</w:t>
      </w:r>
      <w:r w:rsidRPr="00F831C0">
        <w:t xml:space="preserve"> means a Derivative which is not traded on an exchange. </w:t>
      </w:r>
    </w:p>
    <w:p w14:paraId="15CE070C" w14:textId="77777777" w:rsidR="00285521" w:rsidRPr="00F831C0" w:rsidRDefault="00285521" w:rsidP="00FB4E7C">
      <w:pPr>
        <w:pStyle w:val="MIRBodyText"/>
        <w:keepNext/>
        <w:spacing w:before="180" w:line="286" w:lineRule="atLeast"/>
      </w:pPr>
      <w:r w:rsidRPr="00F831C0">
        <w:rPr>
          <w:b/>
          <w:bCs/>
          <w:i/>
        </w:rPr>
        <w:t>Other Managed Fund</w:t>
      </w:r>
      <w:r w:rsidRPr="00F831C0">
        <w:t xml:space="preserve"> means a managed fund: </w:t>
      </w:r>
    </w:p>
    <w:p w14:paraId="1BF103B8" w14:textId="77777777" w:rsidR="00285521" w:rsidRPr="00F831C0" w:rsidRDefault="00285521" w:rsidP="00FB4E7C">
      <w:pPr>
        <w:pStyle w:val="MIRSubpara"/>
        <w:spacing w:before="80" w:line="286" w:lineRule="atLeast"/>
      </w:pPr>
      <w:r w:rsidRPr="00F831C0">
        <w:t xml:space="preserve">that is not listed and quoted on a stock exchange (and in Australia is registered as a managed investment scheme under the Corporations Act); or </w:t>
      </w:r>
    </w:p>
    <w:p w14:paraId="082871B4" w14:textId="77777777" w:rsidR="00285521" w:rsidRPr="00F831C0" w:rsidRDefault="00285521" w:rsidP="00FB4E7C">
      <w:pPr>
        <w:pStyle w:val="MIRSubpara"/>
        <w:spacing w:before="80" w:line="286" w:lineRule="atLeast"/>
      </w:pPr>
      <w:r w:rsidRPr="00F831C0">
        <w:t xml:space="preserve">that is listed and quoted on a stock exchange but does not satisfy all of the requirements of a Classical ETF or Hybrid ETF. </w:t>
      </w:r>
    </w:p>
    <w:p w14:paraId="1560F3F0" w14:textId="77777777" w:rsidR="00DA6158" w:rsidRPr="00F831C0" w:rsidRDefault="00DA6158" w:rsidP="00FB4E7C">
      <w:pPr>
        <w:pStyle w:val="MIRBodyText"/>
        <w:spacing w:before="180" w:line="286" w:lineRule="atLeast"/>
      </w:pPr>
      <w:r w:rsidRPr="00F831C0">
        <w:rPr>
          <w:b/>
          <w:i/>
        </w:rPr>
        <w:t>Other Regulated Entities</w:t>
      </w:r>
      <w:r w:rsidRPr="00F831C0">
        <w:t xml:space="preserve"> means entities prescribed by regulations made for the purposes of paragraph 798H(1)(c) of the Corporations Act, that must comply with these Rules.</w:t>
      </w:r>
    </w:p>
    <w:p w14:paraId="437AFA35" w14:textId="0D12446E" w:rsidR="00A32E15" w:rsidRPr="00F831C0" w:rsidRDefault="00A32E15" w:rsidP="00FB4E7C">
      <w:pPr>
        <w:pStyle w:val="MIRBodyText"/>
        <w:spacing w:before="180" w:line="286" w:lineRule="atLeast"/>
      </w:pPr>
      <w:r w:rsidRPr="00F831C0">
        <w:rPr>
          <w:b/>
          <w:i/>
        </w:rPr>
        <w:t>Participant</w:t>
      </w:r>
      <w:r w:rsidRPr="00F831C0">
        <w:t xml:space="preserve">, in relation to a Market, means a person who is allowed to directly participate in the Market </w:t>
      </w:r>
      <w:r w:rsidR="00732EDD" w:rsidRPr="00F831C0">
        <w:t xml:space="preserve">under the operating rules of the Market </w:t>
      </w:r>
      <w:r w:rsidRPr="00F831C0">
        <w:t xml:space="preserve">other than as a recognised affiliate. </w:t>
      </w:r>
    </w:p>
    <w:p w14:paraId="1C8927AF" w14:textId="46EADBC8" w:rsidR="00285521" w:rsidRPr="00F831C0" w:rsidRDefault="00285521" w:rsidP="00FB4E7C">
      <w:pPr>
        <w:pStyle w:val="MIRBodyText"/>
        <w:spacing w:before="180" w:line="286" w:lineRule="atLeast"/>
      </w:pPr>
      <w:r w:rsidRPr="00F831C0">
        <w:rPr>
          <w:b/>
          <w:bCs/>
          <w:i/>
        </w:rPr>
        <w:t>Position Risk Factors</w:t>
      </w:r>
      <w:r w:rsidRPr="00F831C0">
        <w:t xml:space="preserve"> are the percentages applied to principal positions as specified in Tables A5.1.1, A5.1.2, A5.1.7 </w:t>
      </w:r>
      <w:r>
        <w:t xml:space="preserve">and A5.1.8 </w:t>
      </w:r>
      <w:r w:rsidRPr="00F831C0">
        <w:t xml:space="preserve">of Annexure 5 to Schedule 1A. </w:t>
      </w:r>
    </w:p>
    <w:p w14:paraId="54C41AD2" w14:textId="77777777" w:rsidR="00285521" w:rsidRPr="00F831C0" w:rsidRDefault="00285521" w:rsidP="00FB4E7C">
      <w:pPr>
        <w:pStyle w:val="MIRBodyText"/>
        <w:spacing w:before="180" w:line="286" w:lineRule="atLeast"/>
      </w:pPr>
      <w:r w:rsidRPr="00F831C0">
        <w:rPr>
          <w:b/>
          <w:bCs/>
          <w:i/>
        </w:rPr>
        <w:t>Position Risk Requirement</w:t>
      </w:r>
      <w:r w:rsidRPr="00F831C0">
        <w:t xml:space="preserve"> is the</w:t>
      </w:r>
      <w:r w:rsidRPr="00F831C0">
        <w:rPr>
          <w:rFonts w:eastAsiaTheme="minorEastAsia"/>
        </w:rPr>
        <w:t xml:space="preserve"> </w:t>
      </w:r>
      <w:r w:rsidRPr="00F831C0">
        <w:t xml:space="preserve">absolute sum of the position risk amounts for a Market Participant’s: </w:t>
      </w:r>
    </w:p>
    <w:p w14:paraId="0245D79D" w14:textId="7EF2B8C8" w:rsidR="00285521" w:rsidRPr="00F831C0" w:rsidRDefault="00285521" w:rsidP="00FB4E7C">
      <w:pPr>
        <w:pStyle w:val="MIRSubpara"/>
        <w:spacing w:before="80" w:line="286" w:lineRule="atLeast"/>
      </w:pPr>
      <w:r w:rsidRPr="00F831C0">
        <w:t xml:space="preserve">Equity and Equity Derivative positions calculated in accordance with Parts A3.1 to A3.9 of Annexure 3 to Schedule 1A; </w:t>
      </w:r>
    </w:p>
    <w:p w14:paraId="4C6D5609" w14:textId="38892D88" w:rsidR="00285521" w:rsidRPr="00F831C0" w:rsidRDefault="00285521" w:rsidP="00FB4E7C">
      <w:pPr>
        <w:pStyle w:val="MIRSubpara"/>
        <w:spacing w:before="80" w:line="286" w:lineRule="atLeast"/>
      </w:pPr>
      <w:r w:rsidRPr="00F831C0">
        <w:t xml:space="preserve">Debt Instrument and Debt Derivative positions calculated in accordance with Parts A3.10 to A3.17 of Annexure 3 to Schedule 1A; </w:t>
      </w:r>
    </w:p>
    <w:p w14:paraId="146AFF64" w14:textId="33EDF016" w:rsidR="00285521" w:rsidRDefault="0033147C" w:rsidP="00FB4E7C">
      <w:pPr>
        <w:pStyle w:val="MIRSubpara"/>
        <w:spacing w:before="80" w:line="286" w:lineRule="atLeast"/>
      </w:pPr>
      <w:r>
        <w:t>Foreign Exchange</w:t>
      </w:r>
      <w:r w:rsidR="00285521" w:rsidRPr="00F831C0">
        <w:t xml:space="preserve"> and Foreign Exchange Derivative positions calculated in accordance with Parts A3.18 to A3.22 of Annexure 3 to Schedule 1A</w:t>
      </w:r>
      <w:r w:rsidR="00285521">
        <w:t>; and</w:t>
      </w:r>
    </w:p>
    <w:p w14:paraId="198A735D" w14:textId="27E6284F" w:rsidR="00285521" w:rsidRPr="00F831C0" w:rsidRDefault="0090665E" w:rsidP="00FB4E7C">
      <w:pPr>
        <w:pStyle w:val="MIRSubpara"/>
        <w:spacing w:before="80" w:line="286" w:lineRule="atLeast"/>
      </w:pPr>
      <w:r>
        <w:t>C</w:t>
      </w:r>
      <w:r w:rsidR="00285521">
        <w:t>ommodity and Commodity Derivative positions calculated in accordance with Parts</w:t>
      </w:r>
      <w:r w:rsidR="003E5048">
        <w:t> </w:t>
      </w:r>
      <w:r w:rsidR="00285521">
        <w:t>A3.23 to A3.2</w:t>
      </w:r>
      <w:r w:rsidR="005A681A">
        <w:t>8</w:t>
      </w:r>
      <w:r w:rsidR="00285521">
        <w:t xml:space="preserve"> of Annexure 3 to Schedule 1A</w:t>
      </w:r>
      <w:r w:rsidR="00285521" w:rsidRPr="00F831C0">
        <w:t xml:space="preserve">. </w:t>
      </w:r>
    </w:p>
    <w:p w14:paraId="6F7863F7" w14:textId="77777777" w:rsidR="00285521" w:rsidRPr="00F831C0" w:rsidRDefault="00285521" w:rsidP="00FB4E7C">
      <w:pPr>
        <w:pStyle w:val="MIRBodyText"/>
        <w:spacing w:before="180" w:line="286" w:lineRule="atLeast"/>
      </w:pPr>
      <w:r w:rsidRPr="00F831C0">
        <w:rPr>
          <w:b/>
          <w:bCs/>
          <w:i/>
        </w:rPr>
        <w:t>Positive Credit Exposure</w:t>
      </w:r>
      <w:r w:rsidRPr="00F831C0">
        <w:t xml:space="preserve"> means an exposure to a Counterparty such that if the Counterparty were to default on its obligations under: </w:t>
      </w:r>
    </w:p>
    <w:p w14:paraId="789FE8DF" w14:textId="77777777" w:rsidR="00285521" w:rsidRPr="00F831C0" w:rsidRDefault="00285521" w:rsidP="00FB4E7C">
      <w:pPr>
        <w:pStyle w:val="MIRSubpara"/>
        <w:spacing w:line="286" w:lineRule="atLeast"/>
      </w:pPr>
      <w:r w:rsidRPr="00F831C0">
        <w:t xml:space="preserve">an individual transaction; or </w:t>
      </w:r>
    </w:p>
    <w:p w14:paraId="29B5B3D1" w14:textId="77777777" w:rsidR="00285521" w:rsidRPr="00F831C0" w:rsidRDefault="00285521" w:rsidP="00FB4E7C">
      <w:pPr>
        <w:pStyle w:val="MIRSubpara"/>
        <w:spacing w:line="286" w:lineRule="atLeast"/>
      </w:pPr>
      <w:r w:rsidRPr="00F831C0">
        <w:t xml:space="preserve">to the extent allowed by Schedule 1A, a group of transactions, contracts, arrangements or agreements, </w:t>
      </w:r>
    </w:p>
    <w:p w14:paraId="3AC015B1" w14:textId="77777777" w:rsidR="00285521" w:rsidRPr="00F831C0" w:rsidRDefault="00285521" w:rsidP="00FB4E7C">
      <w:pPr>
        <w:pStyle w:val="MIRBodyText"/>
        <w:spacing w:before="180" w:line="286" w:lineRule="atLeast"/>
      </w:pPr>
      <w:r w:rsidRPr="00F831C0">
        <w:t xml:space="preserve">the Market Participant may incur a financial loss. </w:t>
      </w:r>
    </w:p>
    <w:p w14:paraId="760D0D0D" w14:textId="77777777" w:rsidR="00285521" w:rsidRPr="00F831C0" w:rsidRDefault="00285521" w:rsidP="00285521">
      <w:pPr>
        <w:pStyle w:val="MIRBodyText"/>
      </w:pPr>
      <w:r w:rsidRPr="00F831C0">
        <w:rPr>
          <w:b/>
          <w:bCs/>
          <w:i/>
        </w:rPr>
        <w:lastRenderedPageBreak/>
        <w:t>Preference Share</w:t>
      </w:r>
      <w:r w:rsidRPr="00F831C0">
        <w:t xml:space="preserve"> means a preference share that is redeemable solely at the request of the Market Participant. </w:t>
      </w:r>
    </w:p>
    <w:p w14:paraId="5FDD89AF" w14:textId="31E3D95B" w:rsidR="00476094" w:rsidRPr="00F831C0" w:rsidRDefault="00476094" w:rsidP="00CD75FC">
      <w:pPr>
        <w:pStyle w:val="MIRBodyText"/>
        <w:numPr>
          <w:ilvl w:val="0"/>
          <w:numId w:val="33"/>
        </w:numPr>
        <w:tabs>
          <w:tab w:val="clear" w:pos="2205"/>
          <w:tab w:val="left" w:pos="851"/>
        </w:tabs>
        <w:spacing w:line="290" w:lineRule="atLeast"/>
      </w:pPr>
      <w:r w:rsidRPr="00F831C0">
        <w:rPr>
          <w:b/>
          <w:i/>
        </w:rPr>
        <w:t>Pre-Commencement Market Integrity Rules</w:t>
      </w:r>
      <w:r w:rsidRPr="00F831C0">
        <w:t xml:space="preserve"> means</w:t>
      </w:r>
      <w:r w:rsidR="00BD00C3">
        <w:t xml:space="preserve"> any of the following</w:t>
      </w:r>
      <w:r w:rsidRPr="00F831C0">
        <w:t>:</w:t>
      </w:r>
    </w:p>
    <w:p w14:paraId="50F7F4E3" w14:textId="77777777" w:rsidR="00476094" w:rsidRPr="00F831C0" w:rsidRDefault="00476094" w:rsidP="00FB4E7C">
      <w:pPr>
        <w:pStyle w:val="MIRSubpara"/>
        <w:numPr>
          <w:ilvl w:val="1"/>
          <w:numId w:val="116"/>
        </w:numPr>
        <w:spacing w:line="290" w:lineRule="atLeast"/>
      </w:pPr>
      <w:r w:rsidRPr="00F831C0">
        <w:t xml:space="preserve">the </w:t>
      </w:r>
      <w:r w:rsidRPr="00F831C0">
        <w:rPr>
          <w:i/>
        </w:rPr>
        <w:t>ASIC Market Integrity Rules (APX Marke</w:t>
      </w:r>
      <w:r w:rsidR="00CF110E" w:rsidRPr="00F831C0">
        <w:rPr>
          <w:i/>
        </w:rPr>
        <w:t>t-Capital) 2014</w:t>
      </w:r>
      <w:r w:rsidRPr="00F831C0">
        <w:t>;</w:t>
      </w:r>
    </w:p>
    <w:p w14:paraId="537A7B09" w14:textId="54D91C6F" w:rsidR="00476094" w:rsidRPr="00E40F16" w:rsidRDefault="00476094" w:rsidP="00FB4E7C">
      <w:pPr>
        <w:pStyle w:val="MIRSubpara"/>
        <w:numPr>
          <w:ilvl w:val="1"/>
          <w:numId w:val="117"/>
        </w:numPr>
        <w:spacing w:line="290" w:lineRule="atLeast"/>
        <w:rPr>
          <w:iCs/>
        </w:rPr>
      </w:pPr>
      <w:r w:rsidRPr="00F831C0">
        <w:t xml:space="preserve">the </w:t>
      </w:r>
      <w:r w:rsidRPr="00FB4E7C">
        <w:rPr>
          <w:i/>
        </w:rPr>
        <w:t>ASIC Market Integrity Rules (ASX Market</w:t>
      </w:r>
      <w:r w:rsidR="00CF110E" w:rsidRPr="00FB4E7C">
        <w:rPr>
          <w:i/>
        </w:rPr>
        <w:t>-Capital) 2014</w:t>
      </w:r>
      <w:r w:rsidRPr="004C1E44">
        <w:rPr>
          <w:iCs/>
        </w:rPr>
        <w:t>;</w:t>
      </w:r>
    </w:p>
    <w:p w14:paraId="53E79D9E" w14:textId="77777777" w:rsidR="00BD00C3" w:rsidRPr="00BD00C3" w:rsidRDefault="00476094" w:rsidP="00E10BF8">
      <w:pPr>
        <w:pStyle w:val="MIRSubpara"/>
        <w:spacing w:line="280" w:lineRule="atLeast"/>
      </w:pPr>
      <w:r w:rsidRPr="00F831C0">
        <w:t xml:space="preserve">the </w:t>
      </w:r>
      <w:r w:rsidRPr="00F831C0">
        <w:rPr>
          <w:i/>
        </w:rPr>
        <w:t>ASIC Market Integrity Rul</w:t>
      </w:r>
      <w:r w:rsidR="00CF110E" w:rsidRPr="00F831C0">
        <w:rPr>
          <w:i/>
        </w:rPr>
        <w:t>es (Chi-X Australia Market-Capital) 2014</w:t>
      </w:r>
      <w:r w:rsidR="00BD00C3" w:rsidRPr="004C1E44">
        <w:rPr>
          <w:iCs/>
        </w:rPr>
        <w:t>; and</w:t>
      </w:r>
    </w:p>
    <w:p w14:paraId="1CCEE88E" w14:textId="52FB7312" w:rsidR="00476094" w:rsidRPr="00F831C0" w:rsidRDefault="00BD00C3" w:rsidP="00E10BF8">
      <w:pPr>
        <w:pStyle w:val="MIRSubpara"/>
        <w:spacing w:line="280" w:lineRule="atLeast"/>
      </w:pPr>
      <w:r>
        <w:t xml:space="preserve">the </w:t>
      </w:r>
      <w:r>
        <w:rPr>
          <w:i/>
        </w:rPr>
        <w:t>ASIC Market Integrity Rules (Securities Markets-Capital) 2017</w:t>
      </w:r>
      <w:r w:rsidR="00AD0A4E" w:rsidRPr="00F831C0">
        <w:t>.</w:t>
      </w:r>
    </w:p>
    <w:p w14:paraId="6424F946" w14:textId="77777777" w:rsidR="00BD00C3" w:rsidRPr="00F831C0" w:rsidRDefault="00BD00C3" w:rsidP="00BD00C3">
      <w:pPr>
        <w:pStyle w:val="MIRBodyText"/>
      </w:pPr>
      <w:r w:rsidRPr="00F831C0">
        <w:rPr>
          <w:b/>
          <w:bCs/>
          <w:i/>
        </w:rPr>
        <w:t>Primary Margin Requirement</w:t>
      </w:r>
      <w:r w:rsidRPr="00F831C0">
        <w:t xml:space="preserve"> means the amount which a Market Participant lodges or is notionally required to lodge as a deposit to cover potential daily worse case price movements in the relevant market, lodged in accordance with the rules of an exchange or clearing house against open positions registered in the name of the Market Participant on the exchange or clearing house. </w:t>
      </w:r>
    </w:p>
    <w:p w14:paraId="48BC52B9" w14:textId="77777777" w:rsidR="00DA6158" w:rsidRPr="00F831C0" w:rsidRDefault="00DA6158" w:rsidP="00BE0D37">
      <w:pPr>
        <w:pStyle w:val="MIRBodyText"/>
      </w:pPr>
      <w:r w:rsidRPr="00F831C0">
        <w:rPr>
          <w:b/>
          <w:i/>
        </w:rPr>
        <w:t>Principal Trader</w:t>
      </w:r>
      <w:r w:rsidRPr="00F831C0">
        <w:t xml:space="preserve"> means a Market Participant with Trading Permission for one or more Products which limits it to trading on its own behalf. </w:t>
      </w:r>
    </w:p>
    <w:p w14:paraId="7BBE5374" w14:textId="0AEF17BD" w:rsidR="00DA6158" w:rsidRPr="00F831C0" w:rsidRDefault="00DA6158" w:rsidP="00BE0D37">
      <w:pPr>
        <w:pStyle w:val="MIRBodyText"/>
      </w:pPr>
      <w:r w:rsidRPr="00F831C0">
        <w:rPr>
          <w:b/>
          <w:i/>
        </w:rPr>
        <w:t>Product</w:t>
      </w:r>
      <w:r w:rsidRPr="00F831C0">
        <w:t xml:space="preserve"> means a Cash Market Product</w:t>
      </w:r>
      <w:r w:rsidR="00BD00C3">
        <w:t>,</w:t>
      </w:r>
      <w:r w:rsidRPr="00F831C0">
        <w:t xml:space="preserve"> Derivatives Market Contract</w:t>
      </w:r>
      <w:r w:rsidR="00BD00C3">
        <w:t xml:space="preserve"> or an OTC Derivative</w:t>
      </w:r>
      <w:r w:rsidRPr="00F831C0">
        <w:t>, as applicable.</w:t>
      </w:r>
    </w:p>
    <w:p w14:paraId="3D5A2F52" w14:textId="77777777" w:rsidR="00BD00C3" w:rsidRPr="00F831C0" w:rsidRDefault="00BD00C3" w:rsidP="00BD00C3">
      <w:pPr>
        <w:pStyle w:val="MIRBodyText"/>
      </w:pPr>
      <w:r w:rsidRPr="00F831C0">
        <w:rPr>
          <w:b/>
          <w:bCs/>
          <w:i/>
        </w:rPr>
        <w:t>Qualifying Debt Instruments</w:t>
      </w:r>
      <w:r w:rsidRPr="00F831C0">
        <w:t xml:space="preserve"> means Debt Instruments that are: </w:t>
      </w:r>
    </w:p>
    <w:p w14:paraId="47D6264B" w14:textId="67917BE0" w:rsidR="00BD00C3" w:rsidRPr="00F831C0" w:rsidRDefault="00BD00C3" w:rsidP="00BD00C3">
      <w:pPr>
        <w:pStyle w:val="MIRSubpara"/>
      </w:pPr>
      <w:r w:rsidRPr="00F831C0">
        <w:t xml:space="preserve">rated investment grade by at least two </w:t>
      </w:r>
      <w:r>
        <w:t>C</w:t>
      </w:r>
      <w:r w:rsidRPr="00F831C0">
        <w:t xml:space="preserve">redit </w:t>
      </w:r>
      <w:r>
        <w:t>R</w:t>
      </w:r>
      <w:r w:rsidRPr="00F831C0">
        <w:t xml:space="preserve">ating </w:t>
      </w:r>
      <w:r>
        <w:t>A</w:t>
      </w:r>
      <w:r w:rsidRPr="00F831C0">
        <w:t xml:space="preserve">gencies; </w:t>
      </w:r>
    </w:p>
    <w:p w14:paraId="7D87EC5A" w14:textId="7EF3E4EC" w:rsidR="00BD00C3" w:rsidRPr="00F831C0" w:rsidRDefault="00BD00C3" w:rsidP="00BD00C3">
      <w:pPr>
        <w:pStyle w:val="MIRSubpara"/>
      </w:pPr>
      <w:r w:rsidRPr="00F831C0">
        <w:t xml:space="preserve">rated investment grade by one </w:t>
      </w:r>
      <w:r>
        <w:t>C</w:t>
      </w:r>
      <w:r w:rsidRPr="00F831C0">
        <w:t xml:space="preserve">redit </w:t>
      </w:r>
      <w:r>
        <w:t>R</w:t>
      </w:r>
      <w:r w:rsidRPr="00F831C0">
        <w:t xml:space="preserve">ating </w:t>
      </w:r>
      <w:r>
        <w:t>A</w:t>
      </w:r>
      <w:r w:rsidRPr="00F831C0">
        <w:t xml:space="preserve">gency and the issuer has its ordinary shares included in a Recognised Market Index; </w:t>
      </w:r>
    </w:p>
    <w:p w14:paraId="6283221E" w14:textId="77777777" w:rsidR="00BD00C3" w:rsidRPr="00F831C0" w:rsidRDefault="00BD00C3" w:rsidP="00BD00C3">
      <w:pPr>
        <w:pStyle w:val="MIRSubpara"/>
      </w:pPr>
      <w:r w:rsidRPr="00F831C0">
        <w:t xml:space="preserve">unrated but the issuer of the Debt Instrument has its ordinary shares included in a Recognised Market Index and the Debt Instruments are reasonably deemed by the Market Participant to be of comparable investment quality to one or more of the categories of Qualifying Debt Instrument as described in this definition; </w:t>
      </w:r>
    </w:p>
    <w:p w14:paraId="5BC0C89D" w14:textId="77777777" w:rsidR="00BD00C3" w:rsidRPr="00F831C0" w:rsidRDefault="00BD00C3" w:rsidP="00BD00C3">
      <w:pPr>
        <w:pStyle w:val="MIRSubpara"/>
      </w:pPr>
      <w:r w:rsidRPr="00F831C0">
        <w:t xml:space="preserve">issued by, or guaranteed by, Australian local governments and Australian public sector entities other than those which have corporate status or operate on a commercial basis; </w:t>
      </w:r>
    </w:p>
    <w:p w14:paraId="0DDD2892" w14:textId="77777777" w:rsidR="00BD00C3" w:rsidRPr="00F831C0" w:rsidRDefault="00BD00C3" w:rsidP="00BD00C3">
      <w:pPr>
        <w:pStyle w:val="MIRSubpara"/>
      </w:pPr>
      <w:r w:rsidRPr="00F831C0">
        <w:t>issued by, or fully guaranteed by, a non-OECD country’s central government and central bank and which have a residual maturity of over one year and are denominated in local currency and funded by liabilities in the same currency;</w:t>
      </w:r>
    </w:p>
    <w:p w14:paraId="786A3457" w14:textId="3C5FCD1F" w:rsidR="00BD00C3" w:rsidRPr="00F831C0" w:rsidRDefault="00BD00C3" w:rsidP="00BD00C3">
      <w:pPr>
        <w:pStyle w:val="MIRSubpara"/>
      </w:pPr>
      <w:r w:rsidRPr="00F831C0">
        <w:t>issued by</w:t>
      </w:r>
      <w:r w:rsidR="00B165BA">
        <w:t>,</w:t>
      </w:r>
      <w:r w:rsidRPr="00F831C0">
        <w:t xml:space="preserve"> or collateralised by claims on, an international agency or regional development bank including the International Monetary Fund, the International Bank for Reconstruction and Development, the Bank for International Settlements and the Asian Development Bank; </w:t>
      </w:r>
    </w:p>
    <w:p w14:paraId="1D66DC80" w14:textId="77777777" w:rsidR="00BD00C3" w:rsidRPr="00F831C0" w:rsidRDefault="00BD00C3" w:rsidP="00BD00C3">
      <w:pPr>
        <w:pStyle w:val="MIRSubpara"/>
      </w:pPr>
      <w:r w:rsidRPr="00F831C0">
        <w:t xml:space="preserve">issued, guaranteed, first endorsed or accepted by an Australian ADI or a bank incorporated within the OECD or a non-OECD bank accorded the same credit risk weight as an OECD bank by the Australian Prudential Regulation Authority provided that such instruments do not qualify as capital of the issuing institution; </w:t>
      </w:r>
    </w:p>
    <w:p w14:paraId="0E25EDC0" w14:textId="77777777" w:rsidR="00BD00C3" w:rsidRPr="00F831C0" w:rsidRDefault="00BD00C3" w:rsidP="00BD00C3">
      <w:pPr>
        <w:pStyle w:val="MIRSubpara"/>
      </w:pPr>
      <w:r w:rsidRPr="00F831C0">
        <w:lastRenderedPageBreak/>
        <w:t xml:space="preserve">issued, guaranteed, endorsed or accepted by a non-OECD bank and which have a residual maturity of one year or less provided that such instruments do not qualify as capital of the issuing institution; or </w:t>
      </w:r>
    </w:p>
    <w:p w14:paraId="601E8AA8" w14:textId="756A68C7" w:rsidR="00BD00C3" w:rsidRPr="00F831C0" w:rsidRDefault="00BD00C3" w:rsidP="00BD00C3">
      <w:pPr>
        <w:pStyle w:val="MIRSubpara"/>
      </w:pPr>
      <w:r w:rsidRPr="00F831C0">
        <w:t xml:space="preserve">issued by or guaranteed by OECD country, </w:t>
      </w:r>
      <w:r w:rsidR="00B62BAF">
        <w:t>s</w:t>
      </w:r>
      <w:r w:rsidRPr="00F831C0">
        <w:t xml:space="preserve">tate and regional governments and OECD public sector entities. </w:t>
      </w:r>
    </w:p>
    <w:p w14:paraId="4F947796" w14:textId="1F32B331" w:rsidR="00DA6158" w:rsidRPr="00F831C0" w:rsidRDefault="00DA6158" w:rsidP="00BE0D37">
      <w:pPr>
        <w:pStyle w:val="MIRBodyText"/>
      </w:pPr>
      <w:r w:rsidRPr="00F831C0">
        <w:rPr>
          <w:b/>
          <w:i/>
        </w:rPr>
        <w:t>Quoted Product</w:t>
      </w:r>
      <w:r w:rsidRPr="00F831C0">
        <w:t xml:space="preserve"> means a </w:t>
      </w:r>
      <w:r w:rsidR="00CF110E" w:rsidRPr="00F831C0">
        <w:t>f</w:t>
      </w:r>
      <w:r w:rsidRPr="00F831C0">
        <w:t xml:space="preserve">inancial </w:t>
      </w:r>
      <w:r w:rsidR="00CF110E" w:rsidRPr="00F831C0">
        <w:t>p</w:t>
      </w:r>
      <w:r w:rsidRPr="00F831C0">
        <w:t>roduct that has been granted Official Quotation.</w:t>
      </w:r>
    </w:p>
    <w:p w14:paraId="28447B3D" w14:textId="6DA21CE1" w:rsidR="009C4285" w:rsidRPr="00F831C0" w:rsidRDefault="009C4285" w:rsidP="009C4285">
      <w:pPr>
        <w:pStyle w:val="MIRBodyText"/>
      </w:pPr>
      <w:r w:rsidRPr="00F831C0">
        <w:rPr>
          <w:b/>
          <w:bCs/>
          <w:i/>
        </w:rPr>
        <w:t>Recognised Market Index</w:t>
      </w:r>
      <w:r w:rsidRPr="00F831C0">
        <w:t xml:space="preserve"> means an index specified in Table A5.1.6 in Annexure 5 to Schedule 1A. </w:t>
      </w:r>
    </w:p>
    <w:p w14:paraId="66389B9D" w14:textId="77777777" w:rsidR="009C4285" w:rsidRPr="00F831C0" w:rsidRDefault="009C4285" w:rsidP="009C4285">
      <w:pPr>
        <w:pStyle w:val="MIRBodyText"/>
      </w:pPr>
      <w:r w:rsidRPr="00F831C0">
        <w:rPr>
          <w:b/>
          <w:bCs/>
          <w:i/>
        </w:rPr>
        <w:t>Related/Associated Person</w:t>
      </w:r>
      <w:r w:rsidRPr="00F831C0">
        <w:t xml:space="preserve"> means: </w:t>
      </w:r>
    </w:p>
    <w:p w14:paraId="24B6C8AD" w14:textId="77777777" w:rsidR="009C4285" w:rsidRPr="00F831C0" w:rsidRDefault="009C4285" w:rsidP="009C4285">
      <w:pPr>
        <w:pStyle w:val="MIRSubpara"/>
      </w:pPr>
      <w:r w:rsidRPr="00F831C0">
        <w:t xml:space="preserve">a partner, director, employee, officer or consultant of a Market Participant or of a company which is a partner of a Market Participant; </w:t>
      </w:r>
    </w:p>
    <w:p w14:paraId="133D6B3E" w14:textId="77777777" w:rsidR="009C4285" w:rsidRPr="00F831C0" w:rsidRDefault="009C4285" w:rsidP="009C4285">
      <w:pPr>
        <w:pStyle w:val="MIRSubpara"/>
      </w:pPr>
      <w:r w:rsidRPr="00F831C0">
        <w:t xml:space="preserve">a person who is a member of the Immediate Family of a person referred to in paragraph (a); </w:t>
      </w:r>
    </w:p>
    <w:p w14:paraId="3647ED8F" w14:textId="77777777" w:rsidR="009C4285" w:rsidRPr="00F831C0" w:rsidRDefault="009C4285" w:rsidP="009C4285">
      <w:pPr>
        <w:pStyle w:val="MIRSubpara"/>
      </w:pPr>
      <w:r w:rsidRPr="00F831C0">
        <w:t xml:space="preserve">the trustee of a Family Trust of a person referred to in paragraph (a); </w:t>
      </w:r>
    </w:p>
    <w:p w14:paraId="00715E18" w14:textId="77777777" w:rsidR="009C4285" w:rsidRPr="00F831C0" w:rsidRDefault="009C4285" w:rsidP="009C4285">
      <w:pPr>
        <w:pStyle w:val="MIRSubpara"/>
      </w:pPr>
      <w:r w:rsidRPr="00F831C0">
        <w:t xml:space="preserve">an entity which is: </w:t>
      </w:r>
    </w:p>
    <w:p w14:paraId="18337BB7" w14:textId="77777777" w:rsidR="009C4285" w:rsidRPr="00F831C0" w:rsidRDefault="009C4285" w:rsidP="009C4285">
      <w:pPr>
        <w:pStyle w:val="MIRSubsubpara"/>
      </w:pPr>
      <w:r w:rsidRPr="00F831C0">
        <w:t xml:space="preserve">controlled by a person referred to in paragraphs (a), (b) or (c) or any of those persons acting together; or </w:t>
      </w:r>
    </w:p>
    <w:p w14:paraId="0A1DC96B" w14:textId="77777777" w:rsidR="009C4285" w:rsidRPr="00F831C0" w:rsidRDefault="009C4285" w:rsidP="009C4285">
      <w:pPr>
        <w:pStyle w:val="MIRSubsubpara"/>
      </w:pPr>
      <w:r w:rsidRPr="00F831C0">
        <w:t xml:space="preserve">a corporation in which a person referred to in paragraphs (a) or (b) is beneficially entitled to more than 50% of the issued capital; </w:t>
      </w:r>
    </w:p>
    <w:p w14:paraId="33C4B3C0" w14:textId="77777777" w:rsidR="009C4285" w:rsidRPr="00F831C0" w:rsidRDefault="009C4285" w:rsidP="009C4285">
      <w:pPr>
        <w:pStyle w:val="MIRSubpara"/>
      </w:pPr>
      <w:r w:rsidRPr="00F831C0">
        <w:t xml:space="preserve">an entity which is the holding company, or which is controlled by the holding company, of a Market Participant or of a company which is a partner of a Market Participant; </w:t>
      </w:r>
    </w:p>
    <w:p w14:paraId="1C308C7B" w14:textId="77777777" w:rsidR="009C4285" w:rsidRPr="00F831C0" w:rsidRDefault="009C4285" w:rsidP="009C4285">
      <w:pPr>
        <w:pStyle w:val="MIRSubpara"/>
      </w:pPr>
      <w:r w:rsidRPr="00F831C0">
        <w:t xml:space="preserve">a person who is a Substantial holder of a Market Participant or of a company which is a partner of a Market Participant; </w:t>
      </w:r>
    </w:p>
    <w:p w14:paraId="0D89FD9A" w14:textId="77777777" w:rsidR="009C4285" w:rsidRPr="00F831C0" w:rsidRDefault="009C4285" w:rsidP="009C4285">
      <w:pPr>
        <w:pStyle w:val="MIRSubpara"/>
      </w:pPr>
      <w:r w:rsidRPr="00F831C0">
        <w:t xml:space="preserve">an associate of a Market Participant (as defined in each section of Part 1.2, Division 2 of the Corporations Act) or of a company which is a partner of a Market Participant; and </w:t>
      </w:r>
    </w:p>
    <w:p w14:paraId="01D2AD8A" w14:textId="77777777" w:rsidR="009C4285" w:rsidRPr="00F831C0" w:rsidRDefault="009C4285" w:rsidP="009C4285">
      <w:pPr>
        <w:pStyle w:val="MIRSubpara"/>
      </w:pPr>
      <w:r w:rsidRPr="00F831C0">
        <w:t xml:space="preserve">a lender who is a party to an Approved Subordinated Loan Deed or a related entity or associate of that lender. </w:t>
      </w:r>
    </w:p>
    <w:p w14:paraId="0A5845E4" w14:textId="77777777" w:rsidR="009C4285" w:rsidRPr="00F831C0" w:rsidRDefault="009C4285" w:rsidP="009C4285">
      <w:pPr>
        <w:pStyle w:val="MIRBodyText"/>
      </w:pPr>
      <w:r w:rsidRPr="00F831C0">
        <w:rPr>
          <w:b/>
          <w:bCs/>
          <w:i/>
        </w:rPr>
        <w:t>Related/Associated Person Balance</w:t>
      </w:r>
      <w:r w:rsidRPr="00F831C0">
        <w:t xml:space="preserve"> is an amount owing to the Market Participant by a person who is a Related/Associated Person of the Market Participant and excludes an amount owing as a result of: </w:t>
      </w:r>
    </w:p>
    <w:p w14:paraId="777DE0E1" w14:textId="77777777" w:rsidR="009C4285" w:rsidRPr="00F831C0" w:rsidRDefault="009C4285" w:rsidP="009C4285">
      <w:pPr>
        <w:pStyle w:val="MIRSubpara"/>
      </w:pPr>
      <w:r w:rsidRPr="00F831C0">
        <w:t xml:space="preserve">the deposit with, loans to or other amounts owing from an Approved Deposit Taking Institution; </w:t>
      </w:r>
    </w:p>
    <w:p w14:paraId="332914E6" w14:textId="77777777" w:rsidR="009C4285" w:rsidRPr="00F831C0" w:rsidRDefault="009C4285" w:rsidP="009C4285">
      <w:pPr>
        <w:pStyle w:val="MIRSubpara"/>
      </w:pPr>
      <w:r w:rsidRPr="00F831C0">
        <w:t xml:space="preserve">the deposit of funds as a margin or deposit with a person licensed to trade or clear Futures or Options to the extent that those funds relate to an open position; or </w:t>
      </w:r>
    </w:p>
    <w:p w14:paraId="4A13838F" w14:textId="090F114A" w:rsidR="009C4285" w:rsidRPr="00F831C0" w:rsidRDefault="009C4285" w:rsidP="009C4285">
      <w:pPr>
        <w:pStyle w:val="MIRSubpara"/>
      </w:pPr>
      <w:r w:rsidRPr="00F831C0">
        <w:t xml:space="preserve">a transaction in a Financial Instrument under Annexure 1 to Schedule 1A which is made on terms no more favourable to the Related/Associated Person than those on which it would be reasonable to expect the Market Participant to make if it had entered into the </w:t>
      </w:r>
      <w:r w:rsidRPr="00F831C0">
        <w:lastRenderedPageBreak/>
        <w:t xml:space="preserve">transaction on an arm’s length basis, but not including sundry fees, interest or similar amounts owing on such transactions; or </w:t>
      </w:r>
    </w:p>
    <w:p w14:paraId="69AAF424" w14:textId="77777777" w:rsidR="009C4285" w:rsidRPr="00F831C0" w:rsidRDefault="009C4285" w:rsidP="009C4285">
      <w:pPr>
        <w:pStyle w:val="MIRSubpara"/>
      </w:pPr>
      <w:r w:rsidRPr="00F831C0">
        <w:t xml:space="preserve">brokerage or similar amounts owing that were reported or created less than 30 days previously and which arose as a result of a third party clearing arrangement entered in to with a Clearing Participant that is a Related/Associated Person of the Market Participant. </w:t>
      </w:r>
    </w:p>
    <w:p w14:paraId="6173BBF7" w14:textId="77777777" w:rsidR="002B0DB7" w:rsidRPr="00F831C0" w:rsidRDefault="002B0DB7" w:rsidP="002B0DB7">
      <w:pPr>
        <w:pStyle w:val="MIRBodyText"/>
        <w:spacing w:before="160"/>
      </w:pPr>
      <w:r w:rsidRPr="00F831C0">
        <w:rPr>
          <w:b/>
          <w:bCs/>
          <w:i/>
        </w:rPr>
        <w:t>Risk-Based Capital Requirements</w:t>
      </w:r>
      <w:r w:rsidRPr="00F831C0">
        <w:t xml:space="preserve"> means the requirements set out in Schedule 1A. </w:t>
      </w:r>
    </w:p>
    <w:p w14:paraId="54FE5D19" w14:textId="11A1667A" w:rsidR="002B0DB7" w:rsidRPr="00F831C0" w:rsidRDefault="002B0DB7" w:rsidP="002B0DB7">
      <w:pPr>
        <w:pStyle w:val="MIRBodyText"/>
      </w:pPr>
      <w:bookmarkStart w:id="20" w:name="_Hlk3296744"/>
      <w:r w:rsidRPr="00F831C0">
        <w:rPr>
          <w:b/>
          <w:i/>
        </w:rPr>
        <w:t>Risk-Based Return Declaration</w:t>
      </w:r>
      <w:r w:rsidRPr="00F831C0">
        <w:t xml:space="preserve"> </w:t>
      </w:r>
      <w:bookmarkEnd w:id="20"/>
      <w:r w:rsidRPr="00F831C0">
        <w:t>means a declaration containing the information in Form 2 in Schedule 1C to these Rules.</w:t>
      </w:r>
    </w:p>
    <w:p w14:paraId="4FF37517" w14:textId="2A3F78B7" w:rsidR="00DA6158" w:rsidRPr="00F831C0" w:rsidRDefault="00DA6158" w:rsidP="00BE0D37">
      <w:pPr>
        <w:pStyle w:val="MIRBodyText"/>
      </w:pPr>
      <w:r w:rsidRPr="00F831C0">
        <w:rPr>
          <w:b/>
          <w:i/>
        </w:rPr>
        <w:t>Rules</w:t>
      </w:r>
      <w:r w:rsidRPr="00F831C0">
        <w:t xml:space="preserve"> means these market integrity rules.</w:t>
      </w:r>
    </w:p>
    <w:p w14:paraId="49DFCAA6" w14:textId="4950556A" w:rsidR="00DA6158" w:rsidRPr="00F831C0" w:rsidRDefault="00DA6158" w:rsidP="00333606">
      <w:pPr>
        <w:pStyle w:val="MIRBodyText"/>
      </w:pPr>
      <w:r w:rsidRPr="00F831C0">
        <w:rPr>
          <w:b/>
          <w:i/>
        </w:rPr>
        <w:t>Security</w:t>
      </w:r>
      <w:r w:rsidRPr="00F831C0">
        <w:t xml:space="preserve"> or </w:t>
      </w:r>
      <w:r w:rsidRPr="00F831C0">
        <w:rPr>
          <w:b/>
          <w:i/>
        </w:rPr>
        <w:t>security</w:t>
      </w:r>
      <w:r w:rsidRPr="00F831C0">
        <w:t xml:space="preserve"> means:</w:t>
      </w:r>
    </w:p>
    <w:p w14:paraId="296E0D3C" w14:textId="04FDD1B6" w:rsidR="00DA6158" w:rsidRPr="00066C2C" w:rsidRDefault="00DA6158" w:rsidP="00066C2C">
      <w:pPr>
        <w:pStyle w:val="MIRSubpara"/>
      </w:pPr>
      <w:r w:rsidRPr="00066C2C">
        <w:t>a security within the meaning of section 761A of the Corporations Act; or</w:t>
      </w:r>
    </w:p>
    <w:p w14:paraId="7DFE82D8" w14:textId="77777777" w:rsidR="00DA6158" w:rsidRPr="00066C2C" w:rsidRDefault="00DA6158" w:rsidP="00066C2C">
      <w:pPr>
        <w:pStyle w:val="MIRSubpara"/>
      </w:pPr>
      <w:r w:rsidRPr="00066C2C">
        <w:t>a managed investment product.</w:t>
      </w:r>
    </w:p>
    <w:p w14:paraId="47C8F67A" w14:textId="77777777" w:rsidR="002B0DB7" w:rsidRPr="00F831C0" w:rsidRDefault="002B0DB7" w:rsidP="002B0DB7">
      <w:pPr>
        <w:pStyle w:val="MIRBodyText"/>
      </w:pPr>
      <w:r w:rsidRPr="00F831C0">
        <w:rPr>
          <w:b/>
          <w:bCs/>
          <w:i/>
        </w:rPr>
        <w:t>Securities Lending and Borrowing</w:t>
      </w:r>
      <w:r w:rsidRPr="00F831C0">
        <w:t xml:space="preserve"> means any transaction undertaken by a Market Participant under an Equity or Debt Instrument lending or borrowing agreement, a repurchase or reverse repurchase agreement or an agreement for the sale and buyback of Equity or Debt Instruments. </w:t>
      </w:r>
    </w:p>
    <w:p w14:paraId="22305EA9" w14:textId="53435CCA" w:rsidR="00066C2C" w:rsidRDefault="002B0DB7" w:rsidP="00066C2C">
      <w:pPr>
        <w:pStyle w:val="MIRBodyText"/>
        <w:numPr>
          <w:ilvl w:val="0"/>
          <w:numId w:val="52"/>
        </w:numPr>
      </w:pPr>
      <w:r>
        <w:rPr>
          <w:b/>
          <w:i/>
        </w:rPr>
        <w:t xml:space="preserve">Securities Market </w:t>
      </w:r>
      <w:r>
        <w:t>means any of the following Markets</w:t>
      </w:r>
      <w:r w:rsidR="00066C2C">
        <w:t>:</w:t>
      </w:r>
    </w:p>
    <w:p w14:paraId="32BDC5CF" w14:textId="14624601" w:rsidR="00066C2C" w:rsidRDefault="002B0DB7" w:rsidP="00066C2C">
      <w:pPr>
        <w:pStyle w:val="MIRSubpara"/>
      </w:pPr>
      <w:r>
        <w:t>ASX Market;</w:t>
      </w:r>
    </w:p>
    <w:p w14:paraId="0C2D382A" w14:textId="42954A7A" w:rsidR="00066C2C" w:rsidRDefault="002B0DB7" w:rsidP="00066C2C">
      <w:pPr>
        <w:pStyle w:val="MIRSubpara"/>
      </w:pPr>
      <w:r>
        <w:t>Chi-X Market;</w:t>
      </w:r>
    </w:p>
    <w:p w14:paraId="65ABB1C4" w14:textId="77777777" w:rsidR="00066C2C" w:rsidRDefault="002B0DB7" w:rsidP="00066C2C">
      <w:pPr>
        <w:pStyle w:val="MIRSubpara"/>
      </w:pPr>
      <w:r>
        <w:t>NSXA Market; an</w:t>
      </w:r>
      <w:r w:rsidR="00066C2C">
        <w:t>d</w:t>
      </w:r>
    </w:p>
    <w:p w14:paraId="52660685" w14:textId="77777777" w:rsidR="002B0DB7" w:rsidRPr="008A0D81" w:rsidRDefault="002B0DB7" w:rsidP="00066C2C">
      <w:pPr>
        <w:pStyle w:val="MIRSubpara"/>
      </w:pPr>
      <w:r>
        <w:t>SSX Market.</w:t>
      </w:r>
    </w:p>
    <w:p w14:paraId="27EEA6AF" w14:textId="270BE64A" w:rsidR="00AB5562" w:rsidRPr="00F831C0" w:rsidRDefault="00AB5562" w:rsidP="00AB5562">
      <w:pPr>
        <w:pStyle w:val="MIRBodyText"/>
        <w:keepNext/>
      </w:pPr>
      <w:r w:rsidRPr="00F831C0">
        <w:rPr>
          <w:b/>
          <w:i/>
        </w:rPr>
        <w:t>SSX</w:t>
      </w:r>
      <w:r w:rsidRPr="00F831C0">
        <w:t xml:space="preserve"> means Sydney Stock Exchange Limited (ACN 080 399 220). </w:t>
      </w:r>
    </w:p>
    <w:p w14:paraId="097D57FA" w14:textId="1862E64C" w:rsidR="00AB5562" w:rsidRPr="00F831C0" w:rsidRDefault="00AB5562" w:rsidP="00AB5562">
      <w:pPr>
        <w:pStyle w:val="MIRBodyText"/>
        <w:keepNext/>
      </w:pPr>
      <w:r w:rsidRPr="00F831C0">
        <w:rPr>
          <w:b/>
          <w:i/>
        </w:rPr>
        <w:t>SSX Market</w:t>
      </w:r>
      <w:r w:rsidRPr="00F831C0">
        <w:t xml:space="preserve"> means the market operated by SSX under </w:t>
      </w:r>
      <w:r w:rsidRPr="00F831C0">
        <w:rPr>
          <w:i/>
        </w:rPr>
        <w:t>Australian Market Licence (Sydney Stock Exchange Limited) 2004</w:t>
      </w:r>
      <w:r w:rsidRPr="00F831C0">
        <w:t>.</w:t>
      </w:r>
    </w:p>
    <w:p w14:paraId="28A4C17A" w14:textId="2529A769" w:rsidR="00DA6158" w:rsidRPr="00F831C0" w:rsidRDefault="00DA6158" w:rsidP="00BE0D37">
      <w:pPr>
        <w:pStyle w:val="MIRBodyText"/>
      </w:pPr>
      <w:r w:rsidRPr="00F831C0">
        <w:rPr>
          <w:b/>
          <w:i/>
        </w:rPr>
        <w:t>Structured Product</w:t>
      </w:r>
      <w:r w:rsidRPr="00F831C0">
        <w:t xml:space="preserve"> means a Security or </w:t>
      </w:r>
      <w:r w:rsidR="00010004" w:rsidRPr="00F831C0">
        <w:t>d</w:t>
      </w:r>
      <w:r w:rsidRPr="00F831C0">
        <w:t>erivative:</w:t>
      </w:r>
    </w:p>
    <w:p w14:paraId="539F2CE0" w14:textId="77777777" w:rsidR="00DA6158" w:rsidRPr="00F831C0" w:rsidRDefault="00DA6158" w:rsidP="00BB75CF">
      <w:pPr>
        <w:pStyle w:val="MIRSubpara"/>
      </w:pPr>
      <w:r w:rsidRPr="00F831C0">
        <w:t>which gives the holder financial exposure to the performance of one or more Underlying Instruments;</w:t>
      </w:r>
    </w:p>
    <w:p w14:paraId="1C897920" w14:textId="77777777" w:rsidR="00DA6158" w:rsidRPr="00F831C0" w:rsidRDefault="00DA6158" w:rsidP="00BB75CF">
      <w:pPr>
        <w:pStyle w:val="MIRSubpara"/>
      </w:pPr>
      <w:r w:rsidRPr="00F831C0">
        <w:t>the value of which is linked to the performance of those Underlying Instruments; and</w:t>
      </w:r>
    </w:p>
    <w:p w14:paraId="60F87BBE" w14:textId="4A082AA8" w:rsidR="00DA6158" w:rsidRPr="00F831C0" w:rsidRDefault="00DA6158" w:rsidP="00BB75CF">
      <w:pPr>
        <w:pStyle w:val="MIRSubpara"/>
      </w:pPr>
      <w:r w:rsidRPr="00F831C0">
        <w:t xml:space="preserve">whereby investors do not have day to day control over the operation of the entity which issues or provides the Security or </w:t>
      </w:r>
      <w:r w:rsidR="00010004" w:rsidRPr="00F831C0">
        <w:t>d</w:t>
      </w:r>
      <w:r w:rsidRPr="00F831C0">
        <w:t>erivative.</w:t>
      </w:r>
    </w:p>
    <w:p w14:paraId="712A4A5F" w14:textId="77777777" w:rsidR="002B0DB7" w:rsidRPr="00B570E2" w:rsidRDefault="002B0DB7" w:rsidP="002B0DB7">
      <w:pPr>
        <w:pStyle w:val="MIRBodyText"/>
        <w:rPr>
          <w:bCs/>
        </w:rPr>
      </w:pPr>
      <w:r w:rsidRPr="00F831C0">
        <w:rPr>
          <w:b/>
          <w:bCs/>
          <w:i/>
        </w:rPr>
        <w:t>Substantial holder</w:t>
      </w:r>
      <w:r w:rsidRPr="00F831C0">
        <w:t xml:space="preserve"> means a person who has or would have a substantial holding if Part 6C of the Corporations Act applied to that corporation.</w:t>
      </w:r>
      <w:r w:rsidRPr="00F831C0">
        <w:rPr>
          <w:b/>
          <w:bCs/>
        </w:rPr>
        <w:t xml:space="preserve"> </w:t>
      </w:r>
    </w:p>
    <w:p w14:paraId="61882397" w14:textId="77777777" w:rsidR="002B0DB7" w:rsidRPr="00B570E2" w:rsidRDefault="002B0DB7" w:rsidP="002B0DB7">
      <w:pPr>
        <w:pStyle w:val="MIRBodyText"/>
        <w:numPr>
          <w:ilvl w:val="0"/>
          <w:numId w:val="52"/>
        </w:numPr>
        <w:rPr>
          <w:bCs/>
        </w:rPr>
      </w:pPr>
      <w:r>
        <w:rPr>
          <w:b/>
          <w:bCs/>
          <w:i/>
        </w:rPr>
        <w:lastRenderedPageBreak/>
        <w:t xml:space="preserve">Sub </w:t>
      </w:r>
      <w:r w:rsidRPr="002B0DB7">
        <w:rPr>
          <w:b/>
          <w:bCs/>
          <w:i/>
        </w:rPr>
        <w:t>Underwriting Commitment</w:t>
      </w:r>
      <w:r>
        <w:rPr>
          <w:b/>
          <w:bCs/>
          <w:i/>
        </w:rPr>
        <w:t xml:space="preserve"> </w:t>
      </w:r>
      <w:r>
        <w:rPr>
          <w:bCs/>
        </w:rPr>
        <w:t>means a commitment to take up Financial Instruments where others do not acquire or retain them under a sub underwriting agreement or other similar agreement calculated using:</w:t>
      </w:r>
    </w:p>
    <w:p w14:paraId="3ECA5044" w14:textId="77777777" w:rsidR="002B0DB7" w:rsidRPr="00B570E2" w:rsidRDefault="002B0DB7" w:rsidP="008621DB">
      <w:pPr>
        <w:pStyle w:val="MIRSubpara"/>
      </w:pPr>
      <w:r>
        <w:t>the price stated in the sub underwriting or similar agreement; or</w:t>
      </w:r>
    </w:p>
    <w:p w14:paraId="72761691" w14:textId="77777777" w:rsidR="002B0DB7" w:rsidRPr="00B570E2" w:rsidRDefault="002B0DB7" w:rsidP="008621DB">
      <w:pPr>
        <w:pStyle w:val="MIRSubpara"/>
      </w:pPr>
      <w:r>
        <w:t xml:space="preserve">in the case of a new float where the price is not known, the indicative price, until the price is known. </w:t>
      </w:r>
    </w:p>
    <w:p w14:paraId="374CBF06" w14:textId="77777777" w:rsidR="002B0DB7" w:rsidRPr="002B0DB7" w:rsidRDefault="002B0DB7" w:rsidP="002B0DB7">
      <w:pPr>
        <w:pStyle w:val="MIRBodyText"/>
        <w:numPr>
          <w:ilvl w:val="0"/>
          <w:numId w:val="52"/>
        </w:numPr>
      </w:pPr>
      <w:r w:rsidRPr="002B0DB7">
        <w:rPr>
          <w:b/>
          <w:i/>
        </w:rPr>
        <w:t>Sub Underwriter</w:t>
      </w:r>
      <w:r w:rsidRPr="002B0DB7">
        <w:t xml:space="preserve"> means a person who has made a Sub Underwriting Commitment.</w:t>
      </w:r>
    </w:p>
    <w:p w14:paraId="78C34982" w14:textId="27CFB321" w:rsidR="00807FB7" w:rsidRPr="00F831C0" w:rsidRDefault="00807FB7" w:rsidP="00807FB7">
      <w:pPr>
        <w:pStyle w:val="MIRBodyText"/>
      </w:pPr>
      <w:bookmarkStart w:id="21" w:name="_Hlk3296765"/>
      <w:r w:rsidRPr="00F831C0">
        <w:rPr>
          <w:b/>
          <w:i/>
        </w:rPr>
        <w:t>Summary Risk-Based Return</w:t>
      </w:r>
      <w:r w:rsidRPr="00F831C0">
        <w:t xml:space="preserve"> </w:t>
      </w:r>
      <w:bookmarkEnd w:id="21"/>
      <w:r w:rsidRPr="00F831C0">
        <w:t>means a return containing the information in Form 3 in Schedule 1C to these Rules</w:t>
      </w:r>
      <w:r>
        <w:t>.</w:t>
      </w:r>
    </w:p>
    <w:p w14:paraId="3319C73C" w14:textId="77777777" w:rsidR="00807FB7" w:rsidRPr="00F831C0" w:rsidRDefault="00807FB7" w:rsidP="00807FB7">
      <w:pPr>
        <w:pStyle w:val="MIRBodyText"/>
      </w:pPr>
      <w:r w:rsidRPr="00F831C0">
        <w:rPr>
          <w:b/>
          <w:bCs/>
          <w:i/>
        </w:rPr>
        <w:t>Swap</w:t>
      </w:r>
      <w:r w:rsidRPr="00F831C0">
        <w:t xml:space="preserve"> means a transaction in which two counterparties agree to exchange streams of payments over time on a predetermined basis. </w:t>
      </w:r>
    </w:p>
    <w:p w14:paraId="37B00DED" w14:textId="7DEE1DF7" w:rsidR="00DA6158" w:rsidRPr="00F831C0" w:rsidRDefault="00DA6158" w:rsidP="00BE0D37">
      <w:pPr>
        <w:pStyle w:val="MIRBodyText"/>
      </w:pPr>
      <w:r w:rsidRPr="00F831C0">
        <w:rPr>
          <w:b/>
          <w:i/>
        </w:rPr>
        <w:t>Terms of Issue</w:t>
      </w:r>
      <w:r w:rsidRPr="00F831C0">
        <w:t xml:space="preserve"> means, in relation to Warrants, rights, conditions and obligations of the Warrant-Issuer and the holder of the Warrant. </w:t>
      </w:r>
    </w:p>
    <w:p w14:paraId="05BC1C16" w14:textId="77777777" w:rsidR="00807FB7" w:rsidRPr="00F831C0" w:rsidRDefault="00807FB7" w:rsidP="00807FB7">
      <w:pPr>
        <w:pStyle w:val="MIRBodyText"/>
        <w:spacing w:before="160"/>
      </w:pPr>
      <w:r w:rsidRPr="00F831C0">
        <w:rPr>
          <w:b/>
          <w:bCs/>
          <w:i/>
        </w:rPr>
        <w:t>Total Risk Requirement</w:t>
      </w:r>
      <w:r w:rsidRPr="00F831C0">
        <w:t xml:space="preserve"> means the sum of: </w:t>
      </w:r>
    </w:p>
    <w:p w14:paraId="1C8E233A" w14:textId="77777777" w:rsidR="00807FB7" w:rsidRPr="00F831C0" w:rsidRDefault="00807FB7" w:rsidP="00807FB7">
      <w:pPr>
        <w:pStyle w:val="MIRSubpara"/>
        <w:spacing w:before="80"/>
      </w:pPr>
      <w:r w:rsidRPr="00F831C0">
        <w:t xml:space="preserve">Operational Risk Requirement; </w:t>
      </w:r>
    </w:p>
    <w:p w14:paraId="13EA3A7F" w14:textId="77777777" w:rsidR="00807FB7" w:rsidRPr="00F831C0" w:rsidRDefault="00807FB7" w:rsidP="00807FB7">
      <w:pPr>
        <w:pStyle w:val="MIRSubpara"/>
        <w:spacing w:before="80"/>
      </w:pPr>
      <w:r w:rsidRPr="00F831C0">
        <w:t xml:space="preserve">Counterparty Risk Requirement; </w:t>
      </w:r>
    </w:p>
    <w:p w14:paraId="1BD2C61F" w14:textId="77777777" w:rsidR="00807FB7" w:rsidRPr="00F831C0" w:rsidRDefault="00807FB7" w:rsidP="00807FB7">
      <w:pPr>
        <w:pStyle w:val="MIRSubpara"/>
        <w:spacing w:before="80"/>
      </w:pPr>
      <w:r w:rsidRPr="00F831C0">
        <w:t xml:space="preserve">Large Exposure Risk Requirement; </w:t>
      </w:r>
    </w:p>
    <w:p w14:paraId="00075EA5" w14:textId="77777777" w:rsidR="00807FB7" w:rsidRPr="00F831C0" w:rsidRDefault="00807FB7" w:rsidP="00807FB7">
      <w:pPr>
        <w:pStyle w:val="MIRSubpara"/>
        <w:spacing w:before="80"/>
      </w:pPr>
      <w:r w:rsidRPr="00F831C0">
        <w:t xml:space="preserve">Position Risk Requirement; </w:t>
      </w:r>
    </w:p>
    <w:p w14:paraId="35C68914" w14:textId="7D49058A" w:rsidR="00807FB7" w:rsidRPr="00F831C0" w:rsidRDefault="00807FB7" w:rsidP="00807FB7">
      <w:pPr>
        <w:pStyle w:val="MIRSubpara"/>
        <w:spacing w:before="80"/>
      </w:pPr>
      <w:r w:rsidRPr="00F831C0">
        <w:t xml:space="preserve">Underwriting </w:t>
      </w:r>
      <w:r>
        <w:t xml:space="preserve">and Sub Underwriting </w:t>
      </w:r>
      <w:r w:rsidRPr="00F831C0">
        <w:t xml:space="preserve">Risk Requirement; and </w:t>
      </w:r>
    </w:p>
    <w:p w14:paraId="1C859365" w14:textId="77777777" w:rsidR="00807FB7" w:rsidRPr="00F831C0" w:rsidRDefault="00807FB7" w:rsidP="00807FB7">
      <w:pPr>
        <w:pStyle w:val="MIRSubpara"/>
        <w:spacing w:before="80"/>
      </w:pPr>
      <w:r w:rsidRPr="00F831C0">
        <w:t xml:space="preserve">Non-Standard Risk Requirement, </w:t>
      </w:r>
    </w:p>
    <w:p w14:paraId="4B74439C" w14:textId="77777777" w:rsidR="00807FB7" w:rsidRPr="00F831C0" w:rsidRDefault="00807FB7" w:rsidP="00807FB7">
      <w:pPr>
        <w:pStyle w:val="MIRBodyText"/>
        <w:numPr>
          <w:ilvl w:val="0"/>
          <w:numId w:val="0"/>
        </w:numPr>
        <w:spacing w:before="160"/>
        <w:ind w:left="851"/>
      </w:pPr>
      <w:r w:rsidRPr="00F831C0">
        <w:t xml:space="preserve">however where an asset or liability is an Excluded Asset or Excluded Liability a risk requirement otherwise applicable under paragraphs (a) to (e) is not included. </w:t>
      </w:r>
    </w:p>
    <w:p w14:paraId="061726BA" w14:textId="77777777" w:rsidR="002063D7" w:rsidRPr="00F831C0" w:rsidRDefault="002063D7" w:rsidP="002063D7">
      <w:pPr>
        <w:pStyle w:val="MIRBodyText"/>
      </w:pPr>
      <w:r w:rsidRPr="00F831C0">
        <w:rPr>
          <w:b/>
          <w:bCs/>
          <w:i/>
        </w:rPr>
        <w:t>Trading Day</w:t>
      </w:r>
      <w:r w:rsidRPr="00F831C0">
        <w:t xml:space="preserve"> means a day on which a relevant exchange traded or over-the-counter market has been open for trading. </w:t>
      </w:r>
    </w:p>
    <w:p w14:paraId="78131822" w14:textId="43FA0419" w:rsidR="00DA6158" w:rsidRPr="00F831C0" w:rsidRDefault="00DA6158" w:rsidP="00B32ABB">
      <w:pPr>
        <w:pStyle w:val="MIRBodyText"/>
      </w:pPr>
      <w:r w:rsidRPr="00F831C0">
        <w:rPr>
          <w:b/>
          <w:i/>
        </w:rPr>
        <w:t>Trading Messages</w:t>
      </w:r>
      <w:r w:rsidRPr="00F831C0">
        <w:t xml:space="preserve"> means those messages submitted into a Trading Platform relating to trading functions, such as </w:t>
      </w:r>
      <w:r w:rsidR="00010004" w:rsidRPr="00F831C0">
        <w:t>o</w:t>
      </w:r>
      <w:r w:rsidRPr="00F831C0">
        <w:t xml:space="preserve">rders, amendment or cancellation of </w:t>
      </w:r>
      <w:r w:rsidR="00010004" w:rsidRPr="00F831C0">
        <w:t>o</w:t>
      </w:r>
      <w:r w:rsidRPr="00F831C0">
        <w:t xml:space="preserve">rders and the reporting or cancellation of Market </w:t>
      </w:r>
      <w:r w:rsidR="00010004" w:rsidRPr="00F831C0">
        <w:t>t</w:t>
      </w:r>
      <w:r w:rsidRPr="00F831C0">
        <w:t>ransactions on the Trading Platform.</w:t>
      </w:r>
    </w:p>
    <w:p w14:paraId="0F91C4CB" w14:textId="697C0C78" w:rsidR="00DA6158" w:rsidRPr="00F831C0" w:rsidRDefault="00DA6158" w:rsidP="00BE0D37">
      <w:pPr>
        <w:pStyle w:val="MIRBodyText"/>
      </w:pPr>
      <w:r w:rsidRPr="00F831C0">
        <w:rPr>
          <w:b/>
          <w:i/>
        </w:rPr>
        <w:t>Trading Participant</w:t>
      </w:r>
      <w:r w:rsidRPr="00F831C0">
        <w:t xml:space="preserve"> means a Market Participant which has Trading Permission in respect of one or more </w:t>
      </w:r>
      <w:r w:rsidR="005E64ED" w:rsidRPr="00F831C0">
        <w:t>financial p</w:t>
      </w:r>
      <w:r w:rsidRPr="00F831C0">
        <w:t>roducts.</w:t>
      </w:r>
    </w:p>
    <w:p w14:paraId="66375D8F" w14:textId="77777777" w:rsidR="00DA6158" w:rsidRPr="00F831C0" w:rsidRDefault="00DA6158" w:rsidP="00BE0D37">
      <w:pPr>
        <w:pStyle w:val="MIRBodyText"/>
      </w:pPr>
      <w:r w:rsidRPr="00F831C0">
        <w:rPr>
          <w:b/>
          <w:i/>
        </w:rPr>
        <w:t>Trading Permission</w:t>
      </w:r>
      <w:r w:rsidRPr="00F831C0">
        <w:t xml:space="preserve"> means the right to submit Trading Messages in a Trading Platform.</w:t>
      </w:r>
    </w:p>
    <w:p w14:paraId="750D3187" w14:textId="726BFAFD" w:rsidR="00DA6158" w:rsidRPr="00F831C0" w:rsidRDefault="00DA6158" w:rsidP="00BE0D37">
      <w:pPr>
        <w:pStyle w:val="MIRBodyText"/>
      </w:pPr>
      <w:r w:rsidRPr="00F831C0">
        <w:rPr>
          <w:b/>
          <w:i/>
        </w:rPr>
        <w:t>Trading Platform</w:t>
      </w:r>
      <w:r w:rsidRPr="00F831C0">
        <w:t xml:space="preserve"> means a facility made available by </w:t>
      </w:r>
      <w:r w:rsidR="00262C4C" w:rsidRPr="00F831C0">
        <w:t xml:space="preserve">a </w:t>
      </w:r>
      <w:r w:rsidRPr="00F831C0">
        <w:t xml:space="preserve">Market </w:t>
      </w:r>
      <w:r w:rsidR="00262C4C" w:rsidRPr="00F831C0">
        <w:t>o</w:t>
      </w:r>
      <w:r w:rsidRPr="00F831C0">
        <w:t xml:space="preserve">perator to </w:t>
      </w:r>
      <w:r w:rsidR="00DD74F6" w:rsidRPr="00F831C0">
        <w:t xml:space="preserve">Market Participants </w:t>
      </w:r>
      <w:r w:rsidR="005E64ED" w:rsidRPr="00F831C0">
        <w:t xml:space="preserve">of the relevant Market </w:t>
      </w:r>
      <w:r w:rsidRPr="00F831C0">
        <w:t>for the entry of Trading Messages, the matching of Orders, the advertisement of invitations to trade and the reporting of transactions.</w:t>
      </w:r>
    </w:p>
    <w:p w14:paraId="16320E8B" w14:textId="7BC0D2CD" w:rsidR="00DA6158" w:rsidRPr="00F831C0" w:rsidRDefault="00DA6158" w:rsidP="00BE0D37">
      <w:pPr>
        <w:pStyle w:val="MIRBodyText"/>
      </w:pPr>
      <w:r w:rsidRPr="00F831C0">
        <w:rPr>
          <w:b/>
          <w:i/>
        </w:rPr>
        <w:t>Trading Status</w:t>
      </w:r>
      <w:r w:rsidRPr="00F831C0">
        <w:t xml:space="preserve"> means authorisation by </w:t>
      </w:r>
      <w:r w:rsidR="00D439F5" w:rsidRPr="00F831C0">
        <w:t xml:space="preserve">a </w:t>
      </w:r>
      <w:r w:rsidRPr="00F831C0">
        <w:t xml:space="preserve">Market </w:t>
      </w:r>
      <w:r w:rsidR="00D439F5" w:rsidRPr="00F831C0">
        <w:t>o</w:t>
      </w:r>
      <w:r w:rsidRPr="00F831C0">
        <w:t xml:space="preserve">perator </w:t>
      </w:r>
      <w:r w:rsidR="00BF4DCF" w:rsidRPr="00F831C0">
        <w:t xml:space="preserve">or a CGS Market </w:t>
      </w:r>
      <w:r w:rsidR="0079434D" w:rsidRPr="00F831C0">
        <w:t>o</w:t>
      </w:r>
      <w:r w:rsidR="00BF4DCF" w:rsidRPr="00F831C0">
        <w:t xml:space="preserve">perator </w:t>
      </w:r>
      <w:r w:rsidRPr="00F831C0">
        <w:t xml:space="preserve">for </w:t>
      </w:r>
      <w:r w:rsidR="00243222" w:rsidRPr="00F831C0">
        <w:t xml:space="preserve">a </w:t>
      </w:r>
      <w:r w:rsidR="00441C1A" w:rsidRPr="00F831C0">
        <w:t xml:space="preserve">financial product </w:t>
      </w:r>
      <w:r w:rsidRPr="00F831C0">
        <w:t xml:space="preserve">to be traded on the </w:t>
      </w:r>
      <w:r w:rsidR="00DA348F" w:rsidRPr="00F831C0">
        <w:t xml:space="preserve">relevant </w:t>
      </w:r>
      <w:r w:rsidRPr="00F831C0">
        <w:t>Market</w:t>
      </w:r>
      <w:r w:rsidR="009570A7" w:rsidRPr="00F831C0">
        <w:t xml:space="preserve"> or CGS Market</w:t>
      </w:r>
      <w:r w:rsidRPr="00F831C0">
        <w:t>.</w:t>
      </w:r>
    </w:p>
    <w:p w14:paraId="19649FC6" w14:textId="77777777" w:rsidR="00DA6158" w:rsidRPr="00F831C0" w:rsidRDefault="00DA6158" w:rsidP="004C1E44">
      <w:pPr>
        <w:pStyle w:val="MIRBodyText"/>
        <w:spacing w:before="190"/>
      </w:pPr>
      <w:r w:rsidRPr="00F831C0">
        <w:rPr>
          <w:b/>
          <w:i/>
        </w:rPr>
        <w:lastRenderedPageBreak/>
        <w:t>Underlying Instrument</w:t>
      </w:r>
      <w:r w:rsidRPr="00F831C0">
        <w:t xml:space="preserve"> means:</w:t>
      </w:r>
    </w:p>
    <w:p w14:paraId="44522806" w14:textId="77777777" w:rsidR="00DA6158" w:rsidRPr="00F831C0" w:rsidRDefault="00DA6158" w:rsidP="004C1E44">
      <w:pPr>
        <w:pStyle w:val="MIRSubpara"/>
        <w:spacing w:before="90"/>
      </w:pPr>
      <w:r w:rsidRPr="00F831C0">
        <w:t>in relation to Option Series and Futures Series, the instrument which underlies that Option Series or Futures Series;</w:t>
      </w:r>
    </w:p>
    <w:p w14:paraId="1ED657C2" w14:textId="43A521E9" w:rsidR="00DA6158" w:rsidRPr="00F831C0" w:rsidRDefault="00DA6158" w:rsidP="004C1E44">
      <w:pPr>
        <w:pStyle w:val="MIRSubpara"/>
        <w:spacing w:before="90"/>
      </w:pPr>
      <w:r w:rsidRPr="00F831C0">
        <w:t xml:space="preserve">in relation to Warrants means the </w:t>
      </w:r>
      <w:r w:rsidR="00D17427" w:rsidRPr="00F831C0">
        <w:t>f</w:t>
      </w:r>
      <w:r w:rsidRPr="00F831C0">
        <w:t xml:space="preserve">inancial </w:t>
      </w:r>
      <w:r w:rsidR="00D17427" w:rsidRPr="00F831C0">
        <w:t>p</w:t>
      </w:r>
      <w:r w:rsidRPr="00F831C0">
        <w:t xml:space="preserve">roduct, index, foreign or Australian currency or </w:t>
      </w:r>
      <w:r w:rsidR="00773026">
        <w:t>C</w:t>
      </w:r>
      <w:r w:rsidRPr="00F831C0">
        <w:t xml:space="preserve">ommodity which underlies that Warrant; and </w:t>
      </w:r>
    </w:p>
    <w:p w14:paraId="1FF15E55" w14:textId="3112BEDD" w:rsidR="00C93D3B" w:rsidRPr="00F831C0" w:rsidRDefault="00DA6158" w:rsidP="004C1E44">
      <w:pPr>
        <w:pStyle w:val="MIRSubpara"/>
        <w:spacing w:before="90"/>
      </w:pPr>
      <w:r w:rsidRPr="00F831C0">
        <w:t xml:space="preserve">in relation to AQUA Products </w:t>
      </w:r>
      <w:r w:rsidR="00C93D3B" w:rsidRPr="00F831C0">
        <w:t xml:space="preserve">and other financial products, </w:t>
      </w:r>
      <w:r w:rsidRPr="00F831C0">
        <w:t xml:space="preserve">means the </w:t>
      </w:r>
      <w:r w:rsidR="00C93D3B" w:rsidRPr="00F831C0">
        <w:t>f</w:t>
      </w:r>
      <w:r w:rsidRPr="00F831C0">
        <w:t xml:space="preserve">inancial </w:t>
      </w:r>
      <w:r w:rsidR="00C93D3B" w:rsidRPr="00F831C0">
        <w:t>p</w:t>
      </w:r>
      <w:r w:rsidRPr="00F831C0">
        <w:t xml:space="preserve">roduct, index, foreign or Australian currency, </w:t>
      </w:r>
      <w:r w:rsidR="00773026">
        <w:t>C</w:t>
      </w:r>
      <w:r w:rsidRPr="00F831C0">
        <w:t>ommodity or other point of reference for determining the value of the</w:t>
      </w:r>
      <w:r w:rsidR="00C93D3B" w:rsidRPr="00F831C0">
        <w:t xml:space="preserve"> relevant product</w:t>
      </w:r>
      <w:r w:rsidR="00BF4DCF" w:rsidRPr="00F831C0">
        <w:t>.</w:t>
      </w:r>
    </w:p>
    <w:p w14:paraId="3D9F7707" w14:textId="29C32E26" w:rsidR="002063D7" w:rsidRPr="00F831C0" w:rsidRDefault="002063D7" w:rsidP="004C1E44">
      <w:pPr>
        <w:pStyle w:val="MIRBodyText"/>
        <w:spacing w:before="190"/>
      </w:pPr>
      <w:r w:rsidRPr="00F831C0">
        <w:rPr>
          <w:b/>
          <w:bCs/>
          <w:i/>
        </w:rPr>
        <w:t>Underwriting</w:t>
      </w:r>
      <w:r>
        <w:rPr>
          <w:b/>
          <w:bCs/>
          <w:i/>
        </w:rPr>
        <w:t xml:space="preserve"> Commitment</w:t>
      </w:r>
      <w:r w:rsidRPr="00F831C0">
        <w:t xml:space="preserve"> means a commitment to take up </w:t>
      </w:r>
      <w:r>
        <w:t>Financial Instruments</w:t>
      </w:r>
      <w:r w:rsidRPr="00F831C0">
        <w:t xml:space="preserve"> where others do not acquire or retain them under an underwriting agreement or other similar agreement calculated using: </w:t>
      </w:r>
    </w:p>
    <w:p w14:paraId="29A61745" w14:textId="2052A727" w:rsidR="002063D7" w:rsidRPr="00F831C0" w:rsidRDefault="002063D7" w:rsidP="004C1E44">
      <w:pPr>
        <w:pStyle w:val="MIRSubpara"/>
        <w:spacing w:before="90"/>
      </w:pPr>
      <w:r w:rsidRPr="00F831C0">
        <w:t xml:space="preserve">the price stated in the underwriting </w:t>
      </w:r>
      <w:r>
        <w:t xml:space="preserve">or similar </w:t>
      </w:r>
      <w:r w:rsidRPr="00F831C0">
        <w:t xml:space="preserve">agreement; or </w:t>
      </w:r>
    </w:p>
    <w:p w14:paraId="63D76FBB" w14:textId="77777777" w:rsidR="002063D7" w:rsidRPr="00F831C0" w:rsidRDefault="002063D7" w:rsidP="004C1E44">
      <w:pPr>
        <w:pStyle w:val="MIRSubpara"/>
        <w:spacing w:before="90"/>
      </w:pPr>
      <w:r w:rsidRPr="00F831C0">
        <w:t xml:space="preserve">in the case of a new float where the price is not known, the indicative price, until the price is known. </w:t>
      </w:r>
    </w:p>
    <w:p w14:paraId="5AE64594" w14:textId="3FCE3EDF" w:rsidR="002063D7" w:rsidRPr="00F831C0" w:rsidRDefault="002063D7" w:rsidP="004C1E44">
      <w:pPr>
        <w:pStyle w:val="MIRBodyText"/>
        <w:spacing w:before="190"/>
      </w:pPr>
      <w:r w:rsidRPr="00F831C0">
        <w:rPr>
          <w:b/>
          <w:bCs/>
          <w:i/>
        </w:rPr>
        <w:t xml:space="preserve">Underwriting </w:t>
      </w:r>
      <w:r>
        <w:rPr>
          <w:b/>
          <w:bCs/>
          <w:i/>
        </w:rPr>
        <w:t xml:space="preserve">and Sub Underwriting </w:t>
      </w:r>
      <w:r w:rsidRPr="00F831C0">
        <w:rPr>
          <w:b/>
          <w:bCs/>
          <w:i/>
        </w:rPr>
        <w:t>Risk Requirement</w:t>
      </w:r>
      <w:r w:rsidRPr="00F831C0">
        <w:t xml:space="preserve"> is the absolute sum of the risk amounts calculated in accordance with Annexure 4 to Schedule 1A. </w:t>
      </w:r>
    </w:p>
    <w:p w14:paraId="09BCA6D8" w14:textId="4C77731C" w:rsidR="00DA6158" w:rsidRPr="00F831C0" w:rsidRDefault="00DA6158" w:rsidP="004C1E44">
      <w:pPr>
        <w:pStyle w:val="MIRBodyText"/>
        <w:spacing w:before="190"/>
      </w:pPr>
      <w:r w:rsidRPr="00F831C0">
        <w:rPr>
          <w:b/>
          <w:i/>
        </w:rPr>
        <w:t>Warrant</w:t>
      </w:r>
      <w:r w:rsidRPr="00F831C0">
        <w:t xml:space="preserve"> </w:t>
      </w:r>
      <w:r w:rsidR="00290238" w:rsidRPr="00F831C0">
        <w:t xml:space="preserve">has the meaning given by </w:t>
      </w:r>
      <w:r w:rsidR="00264949" w:rsidRPr="00F831C0">
        <w:t xml:space="preserve">regulation </w:t>
      </w:r>
      <w:r w:rsidR="00290238" w:rsidRPr="00F831C0">
        <w:t>1.0.02</w:t>
      </w:r>
      <w:r w:rsidR="00264949" w:rsidRPr="00F831C0">
        <w:t xml:space="preserve"> of the </w:t>
      </w:r>
      <w:r w:rsidR="00264949" w:rsidRPr="00F831C0">
        <w:rPr>
          <w:i/>
        </w:rPr>
        <w:t>Corporations Regulation</w:t>
      </w:r>
      <w:r w:rsidR="000B58D3" w:rsidRPr="00F831C0">
        <w:rPr>
          <w:i/>
        </w:rPr>
        <w:t>s 2001</w:t>
      </w:r>
      <w:r w:rsidR="00264949" w:rsidRPr="00F831C0">
        <w:t>.</w:t>
      </w:r>
    </w:p>
    <w:p w14:paraId="66FA972D" w14:textId="28A1CD28" w:rsidR="00DA6158" w:rsidRPr="00F831C0" w:rsidRDefault="00DA6158" w:rsidP="004C1E44">
      <w:pPr>
        <w:pStyle w:val="MIRBodyText"/>
        <w:spacing w:before="190"/>
      </w:pPr>
      <w:r w:rsidRPr="00F831C0">
        <w:rPr>
          <w:b/>
          <w:i/>
        </w:rPr>
        <w:t>Warrant-Issuer</w:t>
      </w:r>
      <w:r w:rsidRPr="00F831C0">
        <w:t xml:space="preserve"> means an entity approved by </w:t>
      </w:r>
      <w:r w:rsidR="00290238" w:rsidRPr="00F831C0">
        <w:t xml:space="preserve">a </w:t>
      </w:r>
      <w:r w:rsidRPr="00F831C0">
        <w:t xml:space="preserve">Market </w:t>
      </w:r>
      <w:r w:rsidR="00C55DFA" w:rsidRPr="00F831C0">
        <w:t>o</w:t>
      </w:r>
      <w:r w:rsidRPr="00F831C0">
        <w:t xml:space="preserve">perator to issue Warrants. </w:t>
      </w:r>
    </w:p>
    <w:p w14:paraId="23CCC1FC" w14:textId="1C8F9C45" w:rsidR="00527790" w:rsidRPr="00F831C0" w:rsidRDefault="00271972" w:rsidP="00527790">
      <w:pPr>
        <w:pStyle w:val="MIRHeading2Part"/>
      </w:pPr>
      <w:bookmarkStart w:id="22" w:name="_Toc27492561"/>
      <w:r w:rsidRPr="00F831C0">
        <w:t>Part 1.5</w:t>
      </w:r>
      <w:r w:rsidRPr="00F831C0">
        <w:tab/>
      </w:r>
      <w:r w:rsidR="001A1997" w:rsidRPr="00F831C0">
        <w:t xml:space="preserve">Participants of multiple </w:t>
      </w:r>
      <w:r w:rsidR="0079434D" w:rsidRPr="00F831C0">
        <w:t>M</w:t>
      </w:r>
      <w:r w:rsidR="001A1997" w:rsidRPr="00F831C0">
        <w:t>arkets</w:t>
      </w:r>
      <w:bookmarkEnd w:id="22"/>
    </w:p>
    <w:p w14:paraId="392E814E" w14:textId="752E92E1" w:rsidR="00271972" w:rsidRPr="00F831C0" w:rsidRDefault="00271972" w:rsidP="00527790">
      <w:pPr>
        <w:pStyle w:val="MIRHeading3Rule"/>
      </w:pPr>
      <w:r w:rsidRPr="00F831C0">
        <w:t>1.5.1</w:t>
      </w:r>
      <w:r w:rsidRPr="00F831C0">
        <w:tab/>
      </w:r>
      <w:r w:rsidR="001A1997" w:rsidRPr="00F831C0">
        <w:t>Participants may rely on notifications</w:t>
      </w:r>
    </w:p>
    <w:p w14:paraId="48234D66" w14:textId="77777777" w:rsidR="001A1997" w:rsidRPr="00F831C0" w:rsidRDefault="001A1997" w:rsidP="004C1E44">
      <w:pPr>
        <w:pStyle w:val="MIRBodyText"/>
        <w:spacing w:before="190"/>
      </w:pPr>
      <w:r w:rsidRPr="00F831C0">
        <w:t>Where these Rules require a Market Participant to give to ASIC any document (however described) in relation to the Market Participant for a Market, the Market Participant may give to ASIC the same document in relation to more than one Market, provided that:</w:t>
      </w:r>
    </w:p>
    <w:p w14:paraId="0D5D2783" w14:textId="624E5B59" w:rsidR="001A1997" w:rsidRPr="00F831C0" w:rsidRDefault="001A1997" w:rsidP="004C1E44">
      <w:pPr>
        <w:pStyle w:val="MIRSubpara"/>
        <w:spacing w:before="90"/>
      </w:pPr>
      <w:r w:rsidRPr="00F831C0">
        <w:t>the Market Participant has notified ASIC in writing that it intends to comply with these Rules by relying on that document, or on documents of that kind, in relation to each Market to which the document applies; and</w:t>
      </w:r>
    </w:p>
    <w:p w14:paraId="49C17DD1" w14:textId="77777777" w:rsidR="001A1997" w:rsidRPr="00F831C0" w:rsidRDefault="001A1997" w:rsidP="004C1E44">
      <w:pPr>
        <w:pStyle w:val="MIRSubpara"/>
        <w:spacing w:before="90"/>
      </w:pPr>
      <w:r w:rsidRPr="00F831C0">
        <w:t>the document contains all of the information that would be required to be in the document if it were given separately in relation to each Market.</w:t>
      </w:r>
    </w:p>
    <w:p w14:paraId="0FBD3E81" w14:textId="1F5C3FD1" w:rsidR="001A1997" w:rsidRPr="00F831C0" w:rsidRDefault="001A1997" w:rsidP="00290BA2">
      <w:pPr>
        <w:pStyle w:val="MIRHeading2Part"/>
      </w:pPr>
      <w:bookmarkStart w:id="23" w:name="_Toc27492562"/>
      <w:r w:rsidRPr="00F831C0">
        <w:t>Part 1.6</w:t>
      </w:r>
      <w:r w:rsidRPr="00F831C0">
        <w:tab/>
        <w:t>Transitional</w:t>
      </w:r>
      <w:bookmarkEnd w:id="23"/>
    </w:p>
    <w:p w14:paraId="55F239CA" w14:textId="077ED737" w:rsidR="001A1997" w:rsidRPr="00F831C0" w:rsidRDefault="001A1997" w:rsidP="007F5307">
      <w:pPr>
        <w:pStyle w:val="MIRHeading3Rule"/>
        <w:keepNext/>
      </w:pPr>
      <w:r w:rsidRPr="00F831C0">
        <w:t>1.6.1</w:t>
      </w:r>
      <w:r w:rsidRPr="00F831C0">
        <w:tab/>
        <w:t xml:space="preserve">Status of notifications </w:t>
      </w:r>
      <w:r w:rsidR="002471A1" w:rsidRPr="00F831C0">
        <w:t>and certifications</w:t>
      </w:r>
      <w:r w:rsidRPr="00F831C0">
        <w:t xml:space="preserve"> given by a Market Participant under the Pre-Commencement Market Integrity Rules</w:t>
      </w:r>
    </w:p>
    <w:p w14:paraId="489FEB99" w14:textId="7046D8F5" w:rsidR="001A1997" w:rsidRPr="00F831C0" w:rsidRDefault="001A1997" w:rsidP="004C1E44">
      <w:pPr>
        <w:pStyle w:val="MIRBodyText"/>
        <w:spacing w:before="190"/>
      </w:pPr>
      <w:r w:rsidRPr="00F831C0">
        <w:t>(1) This Rule applies if:</w:t>
      </w:r>
    </w:p>
    <w:p w14:paraId="3A1E3808" w14:textId="37E20D05" w:rsidR="001A1997" w:rsidRPr="00F831C0" w:rsidRDefault="001A1997" w:rsidP="004C1E44">
      <w:pPr>
        <w:pStyle w:val="MIRSubpara"/>
        <w:spacing w:before="90"/>
      </w:pPr>
      <w:r w:rsidRPr="00F831C0">
        <w:rPr>
          <w:spacing w:val="6"/>
        </w:rPr>
        <w:t>a Market Participant gave</w:t>
      </w:r>
      <w:r w:rsidR="00C52E74">
        <w:rPr>
          <w:spacing w:val="6"/>
        </w:rPr>
        <w:t>, or was taken to have given,</w:t>
      </w:r>
      <w:r w:rsidRPr="00F831C0">
        <w:rPr>
          <w:spacing w:val="6"/>
        </w:rPr>
        <w:t xml:space="preserve"> ASIC a written notification or certification under the Pre-</w:t>
      </w:r>
      <w:r w:rsidRPr="00F831C0">
        <w:t>Commencement Market Integrity Rules; and</w:t>
      </w:r>
    </w:p>
    <w:p w14:paraId="34585084" w14:textId="723A8B6F" w:rsidR="001A1997" w:rsidRPr="00F831C0" w:rsidRDefault="001A1997" w:rsidP="001A1997">
      <w:pPr>
        <w:pStyle w:val="MIRSubpara"/>
      </w:pPr>
      <w:r w:rsidRPr="00F831C0">
        <w:lastRenderedPageBreak/>
        <w:t>the notification or certification has not been withdrawn or otherwise ceased to have effect</w:t>
      </w:r>
      <w:r w:rsidR="00C52E74">
        <w:t xml:space="preserve">, other than by reason </w:t>
      </w:r>
      <w:r w:rsidR="00C43C0B">
        <w:t>of the repeal of the Pre-Commencement Market Integrity Rules</w:t>
      </w:r>
      <w:r w:rsidRPr="00F831C0">
        <w:t>; and</w:t>
      </w:r>
    </w:p>
    <w:p w14:paraId="3B15A7FA" w14:textId="30C05D04" w:rsidR="001A1997" w:rsidRPr="00F831C0" w:rsidRDefault="001A1997" w:rsidP="001A1997">
      <w:pPr>
        <w:pStyle w:val="MIRSubpara"/>
      </w:pPr>
      <w:r w:rsidRPr="00F831C0">
        <w:t xml:space="preserve">the power or obligation in the Pre-Commencement Market Integrity Rules to give the notification or certification is incorporated </w:t>
      </w:r>
      <w:r w:rsidR="001C76D1" w:rsidRPr="00F831C0">
        <w:t xml:space="preserve">under </w:t>
      </w:r>
      <w:r w:rsidR="00075087" w:rsidRPr="00F831C0">
        <w:t>a corresponding provision in</w:t>
      </w:r>
      <w:r w:rsidRPr="00F831C0">
        <w:t xml:space="preserve"> these Rules.</w:t>
      </w:r>
    </w:p>
    <w:p w14:paraId="48D9FB5C" w14:textId="06F8C608" w:rsidR="001A1997" w:rsidRPr="00F831C0" w:rsidRDefault="001A1997" w:rsidP="00075087">
      <w:pPr>
        <w:pStyle w:val="MIRBodyText"/>
      </w:pPr>
      <w:r w:rsidRPr="00F831C0">
        <w:t>(2) The notification or certification:</w:t>
      </w:r>
    </w:p>
    <w:p w14:paraId="6D8CD495" w14:textId="16D69146" w:rsidR="001A1997" w:rsidRPr="00F831C0" w:rsidRDefault="001A1997" w:rsidP="001A1997">
      <w:pPr>
        <w:pStyle w:val="MIRSubpara"/>
      </w:pPr>
      <w:r w:rsidRPr="00F831C0">
        <w:t>is taken to have been given to ASIC by the Market Participant under</w:t>
      </w:r>
      <w:r w:rsidR="00075087" w:rsidRPr="00F831C0">
        <w:t xml:space="preserve"> the corresponding provision in</w:t>
      </w:r>
      <w:r w:rsidRPr="00F831C0">
        <w:t xml:space="preserve"> these Rules; and</w:t>
      </w:r>
    </w:p>
    <w:p w14:paraId="4EC44201" w14:textId="5F51BC01" w:rsidR="001A1997" w:rsidRPr="00F831C0" w:rsidRDefault="001A1997" w:rsidP="001A1997">
      <w:pPr>
        <w:pStyle w:val="MIRSubpara"/>
      </w:pPr>
      <w:r w:rsidRPr="00F831C0">
        <w:t>will continue in its existing form, and continue to have the same effect</w:t>
      </w:r>
      <w:r w:rsidR="000B58D3" w:rsidRPr="00F831C0">
        <w:t xml:space="preserve"> under these Rules</w:t>
      </w:r>
      <w:r w:rsidRPr="00F831C0">
        <w:t xml:space="preserve">, as </w:t>
      </w:r>
      <w:r w:rsidR="00075087" w:rsidRPr="00F831C0">
        <w:t xml:space="preserve">when </w:t>
      </w:r>
      <w:r w:rsidRPr="00F831C0">
        <w:t xml:space="preserve">given </w:t>
      </w:r>
      <w:r w:rsidR="00C43C0B">
        <w:t xml:space="preserve">or taken to have been given </w:t>
      </w:r>
      <w:r w:rsidRPr="00F831C0">
        <w:t>under the Pre-Commencement Market Integrity Rules.</w:t>
      </w:r>
    </w:p>
    <w:p w14:paraId="6DAE159D" w14:textId="10C01DB9" w:rsidR="00C43C0B" w:rsidRPr="00C43C0B" w:rsidRDefault="00C43C0B" w:rsidP="00C43C0B">
      <w:pPr>
        <w:pStyle w:val="MIRHeading3Rule"/>
      </w:pPr>
      <w:r w:rsidRPr="00C43C0B">
        <w:t>1.6.1A</w:t>
      </w:r>
      <w:r w:rsidRPr="00C43C0B">
        <w:tab/>
        <w:t>Status of approvals</w:t>
      </w:r>
      <w:r w:rsidR="00935266">
        <w:t>,</w:t>
      </w:r>
      <w:r w:rsidRPr="00C43C0B">
        <w:t xml:space="preserve"> authorisations, determinations and directions</w:t>
      </w:r>
    </w:p>
    <w:p w14:paraId="4A802CE2" w14:textId="77777777" w:rsidR="00C43C0B" w:rsidRPr="00C43C0B" w:rsidRDefault="00C43C0B" w:rsidP="00C43C0B">
      <w:pPr>
        <w:pStyle w:val="MIRBodyText"/>
        <w:numPr>
          <w:ilvl w:val="0"/>
          <w:numId w:val="52"/>
        </w:numPr>
      </w:pPr>
      <w:r w:rsidRPr="00C43C0B">
        <w:t>(1) This Rule applies if:</w:t>
      </w:r>
    </w:p>
    <w:p w14:paraId="3246B5E4" w14:textId="77777777" w:rsidR="00C43C0B" w:rsidRPr="00C43C0B" w:rsidRDefault="00C43C0B" w:rsidP="00FB4E7C">
      <w:pPr>
        <w:pStyle w:val="MIRSubpara"/>
        <w:numPr>
          <w:ilvl w:val="1"/>
          <w:numId w:val="108"/>
        </w:numPr>
        <w:tabs>
          <w:tab w:val="num" w:pos="3543"/>
        </w:tabs>
      </w:pPr>
      <w:r w:rsidRPr="00C43C0B">
        <w:t>ASIC gave, or was taken to have given, a written approval, authorisation, determination or direction to a Market Participant under the Pre-Commencement Market Integrity Rules; and</w:t>
      </w:r>
    </w:p>
    <w:p w14:paraId="5DBCB2DC" w14:textId="77777777" w:rsidR="00C43C0B" w:rsidRPr="00C43C0B" w:rsidRDefault="00C43C0B" w:rsidP="00C43C0B">
      <w:pPr>
        <w:pStyle w:val="MIRSubpara"/>
        <w:tabs>
          <w:tab w:val="num" w:pos="3543"/>
        </w:tabs>
      </w:pPr>
      <w:r w:rsidRPr="00C43C0B">
        <w:t>the approval, authorisation, determination or direction has not been revoked or otherwise ceased to have effect, other than by reason of the repeal of the Pre-Commencement Market Integrity Rules; and</w:t>
      </w:r>
    </w:p>
    <w:p w14:paraId="2B268341" w14:textId="77777777" w:rsidR="00C43C0B" w:rsidRPr="00C43C0B" w:rsidRDefault="00C43C0B" w:rsidP="00C43C0B">
      <w:pPr>
        <w:pStyle w:val="MIRSubpara"/>
        <w:tabs>
          <w:tab w:val="num" w:pos="3543"/>
        </w:tabs>
      </w:pPr>
      <w:r w:rsidRPr="00C43C0B">
        <w:t xml:space="preserve">the power or obligation in the Pre-Commencement Market Integrity Rules to give the approval, authorisation, determination or direction is incorporated under a corresponding provision of these Rules. </w:t>
      </w:r>
    </w:p>
    <w:p w14:paraId="7F862C93" w14:textId="094197D6" w:rsidR="00C43C0B" w:rsidRPr="00C43C0B" w:rsidRDefault="00C43C0B" w:rsidP="00C43C0B">
      <w:pPr>
        <w:pStyle w:val="MIRBodyText"/>
        <w:numPr>
          <w:ilvl w:val="0"/>
          <w:numId w:val="52"/>
        </w:numPr>
      </w:pPr>
      <w:r w:rsidRPr="00C43C0B">
        <w:t>(2) The approval, authorisation, determination or direction as in effect immediately before the commencement of these Rules:</w:t>
      </w:r>
    </w:p>
    <w:p w14:paraId="59690D0B" w14:textId="5C4135F3" w:rsidR="00C43C0B" w:rsidRDefault="00C43C0B" w:rsidP="00FB4E7C">
      <w:pPr>
        <w:pStyle w:val="MIRSubpara"/>
        <w:numPr>
          <w:ilvl w:val="1"/>
          <w:numId w:val="109"/>
        </w:numPr>
        <w:tabs>
          <w:tab w:val="num" w:pos="3543"/>
        </w:tabs>
      </w:pPr>
      <w:r w:rsidRPr="00C43C0B">
        <w:t>is taken to have been given by ASIC to the Market Participant under the corresponding provision in these Rules; and</w:t>
      </w:r>
    </w:p>
    <w:p w14:paraId="4CBF9467" w14:textId="0E4D789B" w:rsidR="00CF244A" w:rsidRDefault="00CF244A" w:rsidP="00C43C0B">
      <w:pPr>
        <w:pStyle w:val="MIRSubpara"/>
        <w:tabs>
          <w:tab w:val="num" w:pos="3543"/>
        </w:tabs>
      </w:pPr>
      <w:r>
        <w:t>will continue in its existing form, and continue to have the same effect under these Rules, as when given or taken to have been given under the Pre-Commencement Market Integrity Rules.</w:t>
      </w:r>
    </w:p>
    <w:p w14:paraId="2CCF7412" w14:textId="77777777" w:rsidR="00CF244A" w:rsidRPr="00CF244A" w:rsidRDefault="00CF244A" w:rsidP="00CF244A">
      <w:pPr>
        <w:pStyle w:val="MIRSubpara"/>
        <w:numPr>
          <w:ilvl w:val="0"/>
          <w:numId w:val="0"/>
        </w:numPr>
        <w:ind w:left="851"/>
      </w:pPr>
      <w:r w:rsidRPr="00CF244A">
        <w:t>(3) For the avoidance of doubt, paragraph (2)(b) does not prevent ASIC amending or revoking the approval, authorisation, determination or direction in accordance with these Rules or any other law.</w:t>
      </w:r>
    </w:p>
    <w:p w14:paraId="1D52417D" w14:textId="3730E83F" w:rsidR="00CF244A" w:rsidRPr="00CF244A" w:rsidRDefault="00CF244A" w:rsidP="00D3615D">
      <w:pPr>
        <w:pStyle w:val="MIRHeading3Rule"/>
        <w:keepNext/>
      </w:pPr>
      <w:bookmarkStart w:id="24" w:name="en-au"/>
      <w:bookmarkEnd w:id="24"/>
      <w:r w:rsidRPr="00CF244A">
        <w:t>1.6.1B</w:t>
      </w:r>
      <w:r w:rsidRPr="00CF244A">
        <w:tab/>
        <w:t>Interpretation for transitional rules</w:t>
      </w:r>
    </w:p>
    <w:p w14:paraId="68B46AC7" w14:textId="29B87E1B" w:rsidR="00F65FEB" w:rsidRPr="00F831C0" w:rsidRDefault="00F65FEB" w:rsidP="00F65FEB">
      <w:pPr>
        <w:pStyle w:val="MIRBodyText"/>
      </w:pPr>
      <w:r w:rsidRPr="00F831C0">
        <w:t>(1) For the purposes of Rule</w:t>
      </w:r>
      <w:r>
        <w:t>s 1.</w:t>
      </w:r>
      <w:r w:rsidR="00DE5F48">
        <w:t>6</w:t>
      </w:r>
      <w:r>
        <w:t>.</w:t>
      </w:r>
      <w:r w:rsidR="00DE5F48">
        <w:t xml:space="preserve">1 </w:t>
      </w:r>
      <w:r>
        <w:t>and 1.</w:t>
      </w:r>
      <w:r w:rsidR="00DE5F48">
        <w:t>6</w:t>
      </w:r>
      <w:r>
        <w:t>.</w:t>
      </w:r>
      <w:r w:rsidR="00DE5F48">
        <w:t>1A</w:t>
      </w:r>
      <w:r w:rsidRPr="00F831C0">
        <w:t>, a provision (</w:t>
      </w:r>
      <w:r w:rsidRPr="00F831C0">
        <w:rPr>
          <w:b/>
          <w:i/>
        </w:rPr>
        <w:t>old provision</w:t>
      </w:r>
      <w:r w:rsidRPr="00F831C0">
        <w:t>) of the Pre-Commencement Market Integrity Rules corresponds to a provision (</w:t>
      </w:r>
      <w:r w:rsidRPr="00F831C0">
        <w:rPr>
          <w:b/>
          <w:i/>
        </w:rPr>
        <w:t>new provision</w:t>
      </w:r>
      <w:r w:rsidRPr="00F831C0">
        <w:t>) of these Rules (and vice versa) if the old provision and the new provision are substantially the same.</w:t>
      </w:r>
    </w:p>
    <w:p w14:paraId="6C71401D" w14:textId="4C3E238B" w:rsidR="00F65FEB" w:rsidRPr="00F831C0" w:rsidRDefault="00F65FEB" w:rsidP="00F65FEB">
      <w:pPr>
        <w:pStyle w:val="MIRBodyText"/>
      </w:pPr>
      <w:r w:rsidRPr="00F831C0">
        <w:lastRenderedPageBreak/>
        <w:t>(</w:t>
      </w:r>
      <w:r>
        <w:t>2</w:t>
      </w:r>
      <w:r w:rsidRPr="00F831C0">
        <w:t xml:space="preserve">) For the purposes of subrule (1), differences of all or any of the following kinds are not sufficient to mean that two provisions are not substantially the same: </w:t>
      </w:r>
    </w:p>
    <w:p w14:paraId="4FB580FC" w14:textId="2E2DEECA" w:rsidR="00F65FEB" w:rsidRPr="00F831C0" w:rsidRDefault="00F65FEB" w:rsidP="00F65FEB">
      <w:pPr>
        <w:pStyle w:val="MIRSubpara"/>
      </w:pPr>
      <w:r w:rsidRPr="00F831C0">
        <w:t xml:space="preserve">differences in the numbering </w:t>
      </w:r>
      <w:r>
        <w:t xml:space="preserve">or location </w:t>
      </w:r>
      <w:r w:rsidRPr="00F831C0">
        <w:t xml:space="preserve">of the provisions; </w:t>
      </w:r>
    </w:p>
    <w:p w14:paraId="0122257B" w14:textId="77777777" w:rsidR="00F65FEB" w:rsidRPr="00F831C0" w:rsidRDefault="00F65FEB" w:rsidP="00F65FEB">
      <w:pPr>
        <w:pStyle w:val="MIRSubpara"/>
      </w:pPr>
      <w:r w:rsidRPr="00F831C0">
        <w:t>differences of a minor technical nature (for example, differences in punctuation, or differences that are attributable to the correction of incorrect cross-references);</w:t>
      </w:r>
    </w:p>
    <w:p w14:paraId="1604A2AC" w14:textId="77777777" w:rsidR="00F65FEB" w:rsidRPr="00F831C0" w:rsidRDefault="00F65FEB" w:rsidP="00F65FEB">
      <w:pPr>
        <w:pStyle w:val="MIRSubpara"/>
      </w:pPr>
      <w:r w:rsidRPr="00F831C0">
        <w:t>the fact that one of the provisions refers to a corresponding previous law and the other does not;</w:t>
      </w:r>
    </w:p>
    <w:p w14:paraId="4D188EED" w14:textId="18C5EDF9" w:rsidR="00CF244A" w:rsidRPr="00C43C0B" w:rsidRDefault="00F65FEB" w:rsidP="00D3615D">
      <w:pPr>
        <w:pStyle w:val="MIRSubpara"/>
      </w:pPr>
      <w:r w:rsidRPr="00F831C0">
        <w:t xml:space="preserve">other differences that are attributable to the fact that these Rules apply to </w:t>
      </w:r>
      <w:r>
        <w:t>different</w:t>
      </w:r>
      <w:r w:rsidRPr="00F831C0">
        <w:t xml:space="preserve"> Market</w:t>
      </w:r>
      <w:r>
        <w:t>s</w:t>
      </w:r>
      <w:r w:rsidRPr="00F831C0">
        <w:t>.</w:t>
      </w:r>
    </w:p>
    <w:p w14:paraId="675C3B55" w14:textId="77777777" w:rsidR="00D809B9" w:rsidRPr="00F831C0" w:rsidRDefault="00D809B9" w:rsidP="008621DB">
      <w:pPr>
        <w:pStyle w:val="MIRNote"/>
      </w:pPr>
    </w:p>
    <w:p w14:paraId="585D1CF2" w14:textId="77777777" w:rsidR="00FB0634" w:rsidRPr="00F831C0" w:rsidRDefault="00FB0634" w:rsidP="005B1BF1">
      <w:pPr>
        <w:pStyle w:val="Heading6"/>
        <w:sectPr w:rsidR="00FB0634" w:rsidRPr="00F831C0" w:rsidSect="00A8075D">
          <w:headerReference w:type="even" r:id="rId21"/>
          <w:headerReference w:type="default" r:id="rId22"/>
          <w:headerReference w:type="first" r:id="rId23"/>
          <w:type w:val="continuous"/>
          <w:pgSz w:w="11906" w:h="16838" w:code="9"/>
          <w:pgMar w:top="1644" w:right="1418" w:bottom="1418" w:left="1418" w:header="567" w:footer="567" w:gutter="0"/>
          <w:cols w:space="720"/>
          <w:docGrid w:linePitch="299"/>
        </w:sectPr>
      </w:pPr>
    </w:p>
    <w:p w14:paraId="072C4D6E" w14:textId="5C7D1B73" w:rsidR="0090596A" w:rsidRDefault="00B51CF3" w:rsidP="00527790">
      <w:pPr>
        <w:pStyle w:val="MIRHeading1Chapter"/>
      </w:pPr>
      <w:bookmarkStart w:id="25" w:name="_Toc27492563"/>
      <w:r w:rsidRPr="00F831C0">
        <w:lastRenderedPageBreak/>
        <w:t>Chapter 8: Capital requirements</w:t>
      </w:r>
      <w:bookmarkEnd w:id="25"/>
      <w:r w:rsidRPr="00F831C0">
        <w:t xml:space="preserve"> </w:t>
      </w:r>
    </w:p>
    <w:p w14:paraId="4692F806" w14:textId="2FD41C20" w:rsidR="00156388" w:rsidRPr="00156388" w:rsidRDefault="00156388" w:rsidP="00D3615D">
      <w:pPr>
        <w:pStyle w:val="MIRNote"/>
        <w:ind w:left="0"/>
      </w:pPr>
      <w:r>
        <w:t>Note: There is no Part 8.1 in this Chapter</w:t>
      </w:r>
      <w:r w:rsidR="00DA2640">
        <w:t>.</w:t>
      </w:r>
      <w:r>
        <w:t xml:space="preserve"> </w:t>
      </w:r>
    </w:p>
    <w:p w14:paraId="4CA61335" w14:textId="3DDF90EE" w:rsidR="0090596A" w:rsidRPr="00F831C0" w:rsidRDefault="00B51CF3" w:rsidP="00527790">
      <w:pPr>
        <w:pStyle w:val="MIRHeading2Part"/>
      </w:pPr>
      <w:bookmarkStart w:id="26" w:name="_Toc27492564"/>
      <w:r w:rsidRPr="00F831C0">
        <w:t>Part 8.2</w:t>
      </w:r>
      <w:r w:rsidR="00C23669" w:rsidRPr="00F831C0">
        <w:tab/>
      </w:r>
      <w:r w:rsidRPr="00F831C0">
        <w:t>Application</w:t>
      </w:r>
      <w:bookmarkEnd w:id="26"/>
      <w:r w:rsidRPr="00F831C0">
        <w:t xml:space="preserve"> </w:t>
      </w:r>
    </w:p>
    <w:p w14:paraId="1A3BC760" w14:textId="2CCF6159" w:rsidR="0090596A" w:rsidRPr="00F831C0" w:rsidRDefault="00B51CF3" w:rsidP="00742665">
      <w:pPr>
        <w:pStyle w:val="MIRHeading3Rule"/>
        <w:spacing w:before="360"/>
      </w:pPr>
      <w:r w:rsidRPr="00F831C0">
        <w:t>8.2.1</w:t>
      </w:r>
      <w:r w:rsidR="00040014" w:rsidRPr="00F831C0">
        <w:tab/>
      </w:r>
      <w:r w:rsidRPr="00F831C0">
        <w:t>Market Participant to comply with Risk</w:t>
      </w:r>
      <w:r w:rsidR="00D973E2" w:rsidRPr="00F831C0">
        <w:t>-</w:t>
      </w:r>
      <w:r w:rsidRPr="00F831C0">
        <w:t xml:space="preserve">Based Capital Requirements </w:t>
      </w:r>
    </w:p>
    <w:p w14:paraId="025C6FAB" w14:textId="7CDFBE83" w:rsidR="00B51CF3" w:rsidRDefault="00F74BA6" w:rsidP="007F5307">
      <w:pPr>
        <w:pStyle w:val="MIRBodyText"/>
        <w:spacing w:before="160" w:line="320" w:lineRule="atLeast"/>
      </w:pPr>
      <w:r>
        <w:rPr>
          <w:rStyle w:val="MIRBodyTextChar"/>
          <w:rFonts w:eastAsiaTheme="minorEastAsia"/>
        </w:rPr>
        <w:t>(1) Subject to subrule (2), a</w:t>
      </w:r>
      <w:r w:rsidR="00B51CF3" w:rsidRPr="00F831C0">
        <w:rPr>
          <w:rStyle w:val="MIRBodyTextChar"/>
          <w:rFonts w:eastAsiaTheme="minorEastAsia"/>
        </w:rPr>
        <w:t xml:space="preserve"> Market Participant must at all times comply with the Risk</w:t>
      </w:r>
      <w:r w:rsidR="00D973E2" w:rsidRPr="00F831C0">
        <w:rPr>
          <w:rStyle w:val="MIRBodyTextChar"/>
          <w:rFonts w:eastAsiaTheme="minorEastAsia"/>
        </w:rPr>
        <w:t>-</w:t>
      </w:r>
      <w:r w:rsidR="00B51CF3" w:rsidRPr="00F831C0">
        <w:rPr>
          <w:rStyle w:val="MIRBodyTextChar"/>
          <w:rFonts w:eastAsiaTheme="minorEastAsia"/>
        </w:rPr>
        <w:t>Based Capital Requirements</w:t>
      </w:r>
      <w:r>
        <w:t>.</w:t>
      </w:r>
      <w:r w:rsidR="00B51CF3" w:rsidRPr="00F831C0">
        <w:t xml:space="preserve"> </w:t>
      </w:r>
    </w:p>
    <w:p w14:paraId="2EE32E55" w14:textId="4D32D0FC" w:rsidR="00F74BA6" w:rsidRPr="00F831C0" w:rsidRDefault="00F74BA6" w:rsidP="007F5307">
      <w:pPr>
        <w:pStyle w:val="MIRBodyText"/>
        <w:spacing w:before="160" w:line="320" w:lineRule="atLeast"/>
      </w:pPr>
      <w:r>
        <w:rPr>
          <w:rStyle w:val="MIRBodyTextChar"/>
          <w:rFonts w:eastAsiaTheme="minorEastAsia"/>
        </w:rPr>
        <w:t>(2) A Market Participant is not required to comply with the Risk</w:t>
      </w:r>
      <w:r w:rsidRPr="00E26929">
        <w:t>-</w:t>
      </w:r>
      <w:r>
        <w:t>Based Capital Requirements if the Market Participant:</w:t>
      </w:r>
    </w:p>
    <w:p w14:paraId="55A6DBFB" w14:textId="77777777" w:rsidR="00F74BA6" w:rsidRDefault="00F74BA6" w:rsidP="007F5307">
      <w:pPr>
        <w:pStyle w:val="MIRSubpara"/>
        <w:spacing w:before="80" w:line="320" w:lineRule="atLeast"/>
      </w:pPr>
      <w:r>
        <w:t>is:</w:t>
      </w:r>
    </w:p>
    <w:p w14:paraId="2F3492AB" w14:textId="2E9CAD7D" w:rsidR="0090596A" w:rsidRPr="00F831C0" w:rsidRDefault="00B51CF3" w:rsidP="007F5307">
      <w:pPr>
        <w:pStyle w:val="MIRSubsubpara"/>
        <w:spacing w:line="320" w:lineRule="atLeast"/>
      </w:pPr>
      <w:r w:rsidRPr="00F831C0">
        <w:t xml:space="preserve">only a Principal Trader; </w:t>
      </w:r>
      <w:r w:rsidR="004D63EE" w:rsidRPr="00F831C0">
        <w:t>or</w:t>
      </w:r>
    </w:p>
    <w:p w14:paraId="14E825B1" w14:textId="7B1479D1" w:rsidR="00F74BA6" w:rsidRDefault="00B51CF3" w:rsidP="007F5307">
      <w:pPr>
        <w:pStyle w:val="MIRSubsubpara"/>
        <w:spacing w:line="320" w:lineRule="atLeast"/>
      </w:pPr>
      <w:r w:rsidRPr="00F831C0">
        <w:t xml:space="preserve">a Clearing Participant of an Approved Clearing Facility and </w:t>
      </w:r>
      <w:r w:rsidR="00F74BA6">
        <w:t>subject to</w:t>
      </w:r>
      <w:r w:rsidRPr="00F831C0">
        <w:t xml:space="preserve"> the capital requirements under the Clearing Rules</w:t>
      </w:r>
      <w:r w:rsidR="00F74BA6">
        <w:t>; or</w:t>
      </w:r>
    </w:p>
    <w:p w14:paraId="17029404" w14:textId="77777777" w:rsidR="00F74BA6" w:rsidRDefault="00F74BA6" w:rsidP="007F5307">
      <w:pPr>
        <w:pStyle w:val="MIRSubsubpara"/>
        <w:spacing w:line="320" w:lineRule="atLeast"/>
      </w:pPr>
      <w:r>
        <w:t>an Authorised Deposit Taking Institution; and</w:t>
      </w:r>
    </w:p>
    <w:p w14:paraId="179126D6" w14:textId="5B9253DD" w:rsidR="00707212" w:rsidRPr="00F831C0" w:rsidRDefault="00F74BA6" w:rsidP="007F5307">
      <w:pPr>
        <w:pStyle w:val="MIRSubpara"/>
        <w:spacing w:line="320" w:lineRule="atLeast"/>
      </w:pPr>
      <w:r>
        <w:t>is not excluded under subrule (3) from relying on the applicable exception in paragraph</w:t>
      </w:r>
      <w:r w:rsidR="00D4700A">
        <w:t> </w:t>
      </w:r>
      <w:r>
        <w:t>(a)</w:t>
      </w:r>
      <w:r w:rsidR="00B51CF3" w:rsidRPr="00F831C0">
        <w:t xml:space="preserve">. </w:t>
      </w:r>
    </w:p>
    <w:p w14:paraId="0A80E50A" w14:textId="0407EBE5" w:rsidR="00360991" w:rsidRDefault="00360991" w:rsidP="007F5307">
      <w:pPr>
        <w:pStyle w:val="MIRPenalty"/>
        <w:spacing w:before="320" w:line="320" w:lineRule="atLeast"/>
      </w:pPr>
      <w:r>
        <w:t>(3) A Market Participant is excluded from relying on an applicable exception in paragraph</w:t>
      </w:r>
      <w:r w:rsidR="00A2768D">
        <w:t> </w:t>
      </w:r>
      <w:r>
        <w:t>(2)(a) if at a particular time ASIC:</w:t>
      </w:r>
    </w:p>
    <w:p w14:paraId="2FC8C721" w14:textId="7CCDE8F3" w:rsidR="00360991" w:rsidRDefault="00360991" w:rsidP="007F5307">
      <w:pPr>
        <w:pStyle w:val="subparaa"/>
        <w:numPr>
          <w:ilvl w:val="1"/>
          <w:numId w:val="56"/>
        </w:numPr>
        <w:tabs>
          <w:tab w:val="clear" w:pos="2693"/>
          <w:tab w:val="num" w:pos="2552"/>
        </w:tabs>
        <w:spacing w:line="320" w:lineRule="atLeast"/>
        <w:ind w:left="1276"/>
      </w:pPr>
      <w:r>
        <w:t>has given the Market Participant written notice (</w:t>
      </w:r>
      <w:r w:rsidRPr="008621DB">
        <w:rPr>
          <w:b/>
          <w:i/>
        </w:rPr>
        <w:t>Exclusion Notice</w:t>
      </w:r>
      <w:r>
        <w:t>) that the Market Participant is excluded from relying on that exception; and</w:t>
      </w:r>
    </w:p>
    <w:p w14:paraId="026E9AA8" w14:textId="598990E9" w:rsidR="00360991" w:rsidRDefault="00360991" w:rsidP="007F5307">
      <w:pPr>
        <w:pStyle w:val="subparaa"/>
        <w:numPr>
          <w:ilvl w:val="1"/>
          <w:numId w:val="56"/>
        </w:numPr>
        <w:tabs>
          <w:tab w:val="clear" w:pos="2693"/>
          <w:tab w:val="num" w:pos="2552"/>
        </w:tabs>
        <w:spacing w:line="320" w:lineRule="atLeast"/>
        <w:ind w:left="1276"/>
      </w:pPr>
      <w:r>
        <w:t>has not given the Market Participant a written notice withdrawing the Exclusion Notice.</w:t>
      </w:r>
    </w:p>
    <w:p w14:paraId="2C4914F7" w14:textId="53941F6D" w:rsidR="00B51CF3" w:rsidRDefault="00B51CF3" w:rsidP="007F5307">
      <w:pPr>
        <w:pStyle w:val="MIRNote"/>
        <w:spacing w:before="160" w:line="260" w:lineRule="atLeast"/>
      </w:pPr>
      <w:r w:rsidRPr="00F831C0">
        <w:t>Note: The Risk</w:t>
      </w:r>
      <w:r w:rsidR="00D973E2" w:rsidRPr="00F831C0">
        <w:t>-</w:t>
      </w:r>
      <w:r w:rsidRPr="00F831C0">
        <w:t xml:space="preserve">Based Capital Requirements are </w:t>
      </w:r>
      <w:r w:rsidR="003A54F6" w:rsidRPr="00F831C0">
        <w:t xml:space="preserve">set out </w:t>
      </w:r>
      <w:r w:rsidRPr="00F831C0">
        <w:t>in Schedule 1A</w:t>
      </w:r>
      <w:r w:rsidR="00276CE4" w:rsidRPr="00F831C0">
        <w:t>.</w:t>
      </w:r>
      <w:r w:rsidRPr="00F831C0">
        <w:t xml:space="preserve"> </w:t>
      </w:r>
    </w:p>
    <w:p w14:paraId="3F401468" w14:textId="77777777" w:rsidR="00F101E2" w:rsidRPr="00E26929" w:rsidRDefault="00F101E2" w:rsidP="00F101E2">
      <w:pPr>
        <w:pStyle w:val="MIRHeading3Rule"/>
        <w:spacing w:before="360"/>
      </w:pPr>
      <w:r w:rsidRPr="00E26929">
        <w:t>8.2.2</w:t>
      </w:r>
      <w:r w:rsidRPr="00E26929">
        <w:tab/>
        <w:t xml:space="preserve">Obligation to notify ASIC in relation to other capital requirements </w:t>
      </w:r>
    </w:p>
    <w:p w14:paraId="185BAA1B" w14:textId="38C08D71" w:rsidR="00F101E2" w:rsidRPr="00E26929" w:rsidRDefault="00F101E2" w:rsidP="007F5307">
      <w:pPr>
        <w:pStyle w:val="MIRBodyText"/>
        <w:numPr>
          <w:ilvl w:val="0"/>
          <w:numId w:val="52"/>
        </w:numPr>
        <w:spacing w:line="320" w:lineRule="atLeast"/>
        <w:rPr>
          <w:rStyle w:val="MIRBodyTextChar"/>
          <w:rFonts w:eastAsiaTheme="minorEastAsia"/>
        </w:rPr>
      </w:pPr>
      <w:r w:rsidRPr="00E26929">
        <w:rPr>
          <w:rStyle w:val="MIRBodyTextChar"/>
          <w:rFonts w:eastAsiaTheme="minorEastAsia"/>
        </w:rPr>
        <w:t xml:space="preserve">(1) A Market Participant that does not comply with the Risk-Based Capital Requirements in reliance on Rule 8.2.1 must give written notice to ASIC, as soon as practicable and in any event no later than </w:t>
      </w:r>
      <w:r w:rsidR="00D0424D">
        <w:rPr>
          <w:rStyle w:val="MIRBodyTextChar"/>
          <w:rFonts w:eastAsiaTheme="minorEastAsia"/>
        </w:rPr>
        <w:t>one</w:t>
      </w:r>
      <w:r w:rsidR="00D0424D" w:rsidRPr="00E26929">
        <w:rPr>
          <w:rStyle w:val="MIRBodyTextChar"/>
          <w:rFonts w:eastAsiaTheme="minorEastAsia"/>
        </w:rPr>
        <w:t xml:space="preserve"> </w:t>
      </w:r>
      <w:r w:rsidRPr="00E26929">
        <w:rPr>
          <w:rStyle w:val="MIRBodyTextChar"/>
          <w:rFonts w:eastAsiaTheme="minorEastAsia"/>
        </w:rPr>
        <w:t>Business Day after it becomes aware of any of the following matters:</w:t>
      </w:r>
    </w:p>
    <w:p w14:paraId="0F999CDC" w14:textId="77777777" w:rsidR="00F101E2" w:rsidRPr="00E26929" w:rsidRDefault="00F101E2" w:rsidP="00FB4E7C">
      <w:pPr>
        <w:pStyle w:val="MIRSubpara"/>
        <w:numPr>
          <w:ilvl w:val="1"/>
          <w:numId w:val="110"/>
        </w:numPr>
        <w:tabs>
          <w:tab w:val="num" w:pos="3543"/>
        </w:tabs>
        <w:spacing w:line="320" w:lineRule="atLeast"/>
      </w:pPr>
      <w:r w:rsidRPr="00E26929">
        <w:t>that the Market Participant will cease to be, or has ceased to be:</w:t>
      </w:r>
    </w:p>
    <w:p w14:paraId="13236F9A" w14:textId="77777777" w:rsidR="00F101E2" w:rsidRPr="00E26929" w:rsidRDefault="00F101E2" w:rsidP="007F5307">
      <w:pPr>
        <w:pStyle w:val="MIRSubsubpara"/>
        <w:numPr>
          <w:ilvl w:val="2"/>
          <w:numId w:val="52"/>
        </w:numPr>
        <w:spacing w:line="320" w:lineRule="atLeast"/>
      </w:pPr>
      <w:r w:rsidRPr="00E26929">
        <w:t>only a Principal Trader;</w:t>
      </w:r>
    </w:p>
    <w:p w14:paraId="517D2BF4" w14:textId="77777777" w:rsidR="00F101E2" w:rsidRPr="00E26929" w:rsidRDefault="00F101E2" w:rsidP="007F5307">
      <w:pPr>
        <w:pStyle w:val="MIRSubsubpara"/>
        <w:numPr>
          <w:ilvl w:val="2"/>
          <w:numId w:val="52"/>
        </w:numPr>
        <w:spacing w:line="320" w:lineRule="atLeast"/>
      </w:pPr>
      <w:r w:rsidRPr="00E26929">
        <w:t>subject to the capital requirements of the Approved Clearing Facility; or</w:t>
      </w:r>
    </w:p>
    <w:p w14:paraId="4A0C14A5" w14:textId="77777777" w:rsidR="00F101E2" w:rsidRPr="00E26929" w:rsidRDefault="00F101E2" w:rsidP="007F5307">
      <w:pPr>
        <w:pStyle w:val="MIRSubsubpara"/>
        <w:numPr>
          <w:ilvl w:val="2"/>
          <w:numId w:val="52"/>
        </w:numPr>
        <w:spacing w:line="320" w:lineRule="atLeast"/>
      </w:pPr>
      <w:r w:rsidRPr="00E26929">
        <w:t>an Authorised Deposit Taking Institution,</w:t>
      </w:r>
    </w:p>
    <w:p w14:paraId="4C80D216" w14:textId="77777777" w:rsidR="00F101E2" w:rsidRPr="00E26929" w:rsidRDefault="00F101E2" w:rsidP="007F5307">
      <w:pPr>
        <w:pStyle w:val="MIRSubsubpara"/>
        <w:numPr>
          <w:ilvl w:val="0"/>
          <w:numId w:val="0"/>
        </w:numPr>
        <w:spacing w:line="320" w:lineRule="atLeast"/>
        <w:ind w:left="1276"/>
      </w:pPr>
      <w:r w:rsidRPr="00E26929">
        <w:t>as applicable;</w:t>
      </w:r>
    </w:p>
    <w:p w14:paraId="05086F29" w14:textId="2EFE0D11" w:rsidR="00F101E2" w:rsidRPr="003B2419" w:rsidRDefault="00F101E2" w:rsidP="00F101E2">
      <w:pPr>
        <w:pStyle w:val="MIRSubpara"/>
        <w:tabs>
          <w:tab w:val="num" w:pos="3543"/>
        </w:tabs>
        <w:rPr>
          <w:spacing w:val="-2"/>
        </w:rPr>
      </w:pPr>
      <w:r w:rsidRPr="003B2419">
        <w:rPr>
          <w:spacing w:val="-2"/>
        </w:rPr>
        <w:lastRenderedPageBreak/>
        <w:t xml:space="preserve">in the case of a Market Participant that relies on an exception in </w:t>
      </w:r>
      <w:r w:rsidR="009C1600">
        <w:rPr>
          <w:spacing w:val="-2"/>
        </w:rPr>
        <w:t>sub</w:t>
      </w:r>
      <w:r w:rsidRPr="003B2419">
        <w:rPr>
          <w:spacing w:val="-2"/>
        </w:rPr>
        <w:t>paragraph</w:t>
      </w:r>
      <w:r w:rsidR="001328D4" w:rsidRPr="003B2419">
        <w:rPr>
          <w:spacing w:val="-2"/>
        </w:rPr>
        <w:t> </w:t>
      </w:r>
      <w:r w:rsidRPr="003B2419">
        <w:rPr>
          <w:spacing w:val="-2"/>
        </w:rPr>
        <w:t>8.2.1</w:t>
      </w:r>
      <w:r w:rsidR="001328D4" w:rsidRPr="003B2419">
        <w:rPr>
          <w:spacing w:val="-2"/>
        </w:rPr>
        <w:t>(2)</w:t>
      </w:r>
      <w:r w:rsidRPr="003B2419">
        <w:rPr>
          <w:spacing w:val="-2"/>
        </w:rPr>
        <w:t>(</w:t>
      </w:r>
      <w:r w:rsidR="001328D4" w:rsidRPr="003B2419">
        <w:rPr>
          <w:spacing w:val="-2"/>
        </w:rPr>
        <w:t>a</w:t>
      </w:r>
      <w:r w:rsidRPr="003B2419">
        <w:rPr>
          <w:spacing w:val="-2"/>
        </w:rPr>
        <w:t>)</w:t>
      </w:r>
      <w:r w:rsidR="001328D4" w:rsidRPr="003B2419">
        <w:rPr>
          <w:spacing w:val="-2"/>
        </w:rPr>
        <w:t>(ii)</w:t>
      </w:r>
      <w:r w:rsidRPr="003B2419">
        <w:rPr>
          <w:spacing w:val="-2"/>
        </w:rPr>
        <w:t xml:space="preserve"> or</w:t>
      </w:r>
      <w:r w:rsidR="002013D5" w:rsidRPr="003B2419">
        <w:rPr>
          <w:spacing w:val="-2"/>
        </w:rPr>
        <w:t> </w:t>
      </w:r>
      <w:r w:rsidRPr="003B2419">
        <w:rPr>
          <w:spacing w:val="-2"/>
        </w:rPr>
        <w:t>(</w:t>
      </w:r>
      <w:r w:rsidR="001328D4" w:rsidRPr="003B2419">
        <w:rPr>
          <w:spacing w:val="-2"/>
        </w:rPr>
        <w:t>iii</w:t>
      </w:r>
      <w:r w:rsidRPr="003B2419">
        <w:rPr>
          <w:spacing w:val="-2"/>
        </w:rPr>
        <w:t>), that the Market Participant has materially breached, or is no longer about to comply with:</w:t>
      </w:r>
    </w:p>
    <w:p w14:paraId="2F9D3137" w14:textId="77777777" w:rsidR="00F101E2" w:rsidRPr="00E26929" w:rsidRDefault="00F101E2" w:rsidP="00FB4E7C">
      <w:pPr>
        <w:pStyle w:val="MIRSubsubpara"/>
        <w:numPr>
          <w:ilvl w:val="2"/>
          <w:numId w:val="111"/>
        </w:numPr>
      </w:pPr>
      <w:r w:rsidRPr="00E26929">
        <w:t>the capital requirements of the Approved Clearing Facility; or</w:t>
      </w:r>
    </w:p>
    <w:p w14:paraId="3C75E319" w14:textId="6AE88154" w:rsidR="00F101E2" w:rsidRPr="00E26929" w:rsidRDefault="00F101E2" w:rsidP="00FB4E7C">
      <w:pPr>
        <w:pStyle w:val="MIRSubsubpara"/>
        <w:numPr>
          <w:ilvl w:val="2"/>
          <w:numId w:val="111"/>
        </w:numPr>
      </w:pPr>
      <w:r w:rsidRPr="00E26929">
        <w:t xml:space="preserve">the capital requirements of </w:t>
      </w:r>
      <w:r w:rsidR="00A85DD5">
        <w:t>APRA</w:t>
      </w:r>
      <w:r w:rsidRPr="00E26929">
        <w:t>,</w:t>
      </w:r>
    </w:p>
    <w:p w14:paraId="119600F0" w14:textId="77777777" w:rsidR="00F101E2" w:rsidRPr="00E26929" w:rsidRDefault="00F101E2" w:rsidP="00F101E2">
      <w:pPr>
        <w:pStyle w:val="MIRSubsubpara"/>
        <w:numPr>
          <w:ilvl w:val="0"/>
          <w:numId w:val="0"/>
        </w:numPr>
        <w:ind w:left="1276"/>
      </w:pPr>
      <w:r w:rsidRPr="00E26929">
        <w:t>as applicable.</w:t>
      </w:r>
    </w:p>
    <w:p w14:paraId="42AEBC46" w14:textId="77777777" w:rsidR="00F101E2" w:rsidRPr="00E26929" w:rsidRDefault="00F101E2" w:rsidP="00FB4E7C">
      <w:pPr>
        <w:pStyle w:val="MIRBodyText"/>
        <w:numPr>
          <w:ilvl w:val="0"/>
          <w:numId w:val="111"/>
        </w:numPr>
        <w:rPr>
          <w:rStyle w:val="MIRBodyTextChar"/>
          <w:rFonts w:eastAsiaTheme="minorEastAsia"/>
        </w:rPr>
      </w:pPr>
      <w:r w:rsidRPr="00E26929">
        <w:rPr>
          <w:rStyle w:val="MIRBodyTextChar"/>
          <w:rFonts w:eastAsiaTheme="minorEastAsia"/>
        </w:rPr>
        <w:t>(2) A written notice under paragraph (1)(b) must include details of the actions (if any) that the Market Participant has taken, or will take, to deal with the matter referred to in that paragraph.</w:t>
      </w:r>
    </w:p>
    <w:p w14:paraId="1C45919A" w14:textId="77777777" w:rsidR="00BA1BD7" w:rsidRPr="00F831C0" w:rsidRDefault="00BA1BD7" w:rsidP="00203B23">
      <w:pPr>
        <w:pStyle w:val="MIRPenalty"/>
        <w:spacing w:before="0" w:line="20" w:lineRule="exact"/>
      </w:pPr>
    </w:p>
    <w:p w14:paraId="3E253182" w14:textId="77777777" w:rsidR="00BA1BD7" w:rsidRPr="00F831C0" w:rsidRDefault="00BA1BD7" w:rsidP="00203B23">
      <w:pPr>
        <w:pStyle w:val="MIRPenalty"/>
        <w:ind w:left="0"/>
        <w:sectPr w:rsidR="00BA1BD7" w:rsidRPr="00F831C0" w:rsidSect="00660C51">
          <w:headerReference w:type="even" r:id="rId24"/>
          <w:headerReference w:type="default" r:id="rId25"/>
          <w:footerReference w:type="default" r:id="rId26"/>
          <w:headerReference w:type="first" r:id="rId27"/>
          <w:pgSz w:w="11906" w:h="16838" w:code="9"/>
          <w:pgMar w:top="1644" w:right="1418" w:bottom="1418" w:left="1418" w:header="567" w:footer="567" w:gutter="0"/>
          <w:cols w:space="720"/>
          <w:docGrid w:linePitch="299"/>
        </w:sectPr>
      </w:pPr>
    </w:p>
    <w:p w14:paraId="12BAFBC6" w14:textId="19201431" w:rsidR="0090596A" w:rsidRDefault="00B51CF3" w:rsidP="00527790">
      <w:pPr>
        <w:pStyle w:val="MIRHeading1Chapter"/>
      </w:pPr>
      <w:bookmarkStart w:id="27" w:name="_Toc27492565"/>
      <w:r w:rsidRPr="00F831C0">
        <w:lastRenderedPageBreak/>
        <w:t>Chapter 9: Accounts and audit</w:t>
      </w:r>
      <w:bookmarkEnd w:id="27"/>
      <w:r w:rsidRPr="00F831C0">
        <w:t xml:space="preserve"> </w:t>
      </w:r>
    </w:p>
    <w:p w14:paraId="69812032" w14:textId="02DFCD46" w:rsidR="0090596A" w:rsidRPr="00F831C0" w:rsidRDefault="00B51CF3" w:rsidP="00527790">
      <w:pPr>
        <w:pStyle w:val="MIRHeading2Part"/>
      </w:pPr>
      <w:bookmarkStart w:id="28" w:name="_Toc27492566"/>
      <w:r w:rsidRPr="00F831C0">
        <w:t>Part 9.1</w:t>
      </w:r>
      <w:r w:rsidR="00C23669" w:rsidRPr="00F831C0">
        <w:tab/>
      </w:r>
      <w:r w:rsidRPr="00F831C0">
        <w:t>Application of Rules</w:t>
      </w:r>
      <w:bookmarkEnd w:id="28"/>
      <w:r w:rsidRPr="00F831C0">
        <w:t xml:space="preserve"> </w:t>
      </w:r>
    </w:p>
    <w:p w14:paraId="19BD1454" w14:textId="4E48AD98" w:rsidR="0090596A" w:rsidRPr="00F831C0" w:rsidRDefault="00B51CF3" w:rsidP="00742665">
      <w:pPr>
        <w:pStyle w:val="MIRHeading3Rule"/>
        <w:spacing w:before="320"/>
      </w:pPr>
      <w:r w:rsidRPr="00F831C0">
        <w:t>9.1.1</w:t>
      </w:r>
      <w:r w:rsidRPr="00F831C0">
        <w:tab/>
      </w:r>
      <w:r w:rsidRPr="00F831C0">
        <w:rPr>
          <w:szCs w:val="23"/>
        </w:rPr>
        <w:t>Principal</w:t>
      </w:r>
      <w:r w:rsidRPr="00F831C0">
        <w:t xml:space="preserve"> Traders</w:t>
      </w:r>
      <w:r w:rsidR="003504CD">
        <w:t>,</w:t>
      </w:r>
      <w:r w:rsidRPr="00F831C0">
        <w:t xml:space="preserve"> Clearing Participants</w:t>
      </w:r>
      <w:r w:rsidR="003A5BA3">
        <w:t xml:space="preserve"> of Approved Clearing Facilities</w:t>
      </w:r>
      <w:r w:rsidR="003504CD">
        <w:t>, and Authorised Deposit Taking Institutions</w:t>
      </w:r>
      <w:r w:rsidRPr="00F831C0">
        <w:t xml:space="preserve"> </w:t>
      </w:r>
    </w:p>
    <w:p w14:paraId="05C19F27" w14:textId="7D67813A" w:rsidR="00B51CF3" w:rsidRPr="00F831C0" w:rsidRDefault="00B51CF3" w:rsidP="00742665">
      <w:pPr>
        <w:pStyle w:val="MIRBodyText"/>
        <w:spacing w:before="160"/>
      </w:pPr>
      <w:r w:rsidRPr="00F831C0">
        <w:t>This Chapter does not apply to</w:t>
      </w:r>
      <w:r w:rsidR="003504CD">
        <w:t xml:space="preserve"> a Market Participant that is not required to comply with the Risk-Based Capital Requirements because of Rule 8.2.1.</w:t>
      </w:r>
      <w:r w:rsidRPr="00F831C0">
        <w:t xml:space="preserve"> </w:t>
      </w:r>
    </w:p>
    <w:p w14:paraId="301B1491" w14:textId="197BBA37" w:rsidR="0090596A" w:rsidRPr="00F831C0" w:rsidRDefault="00B51CF3" w:rsidP="00527790">
      <w:pPr>
        <w:pStyle w:val="MIRHeading2Part"/>
      </w:pPr>
      <w:bookmarkStart w:id="29" w:name="_Toc27492567"/>
      <w:r w:rsidRPr="00F831C0">
        <w:t>Part 9.2</w:t>
      </w:r>
      <w:r w:rsidR="00C23669" w:rsidRPr="00F831C0">
        <w:tab/>
      </w:r>
      <w:r w:rsidRPr="00F831C0">
        <w:t>Risk</w:t>
      </w:r>
      <w:r w:rsidR="00D973E2" w:rsidRPr="00F831C0">
        <w:t>-</w:t>
      </w:r>
      <w:r w:rsidRPr="00F831C0">
        <w:t>Based Capital Requirements—Reporting</w:t>
      </w:r>
      <w:bookmarkEnd w:id="29"/>
      <w:r w:rsidRPr="00F831C0">
        <w:t xml:space="preserve"> </w:t>
      </w:r>
    </w:p>
    <w:p w14:paraId="765B380C" w14:textId="7F3E8545" w:rsidR="0090596A" w:rsidRPr="00F831C0" w:rsidRDefault="00B51CF3" w:rsidP="00527790">
      <w:pPr>
        <w:pStyle w:val="MIRHeading3Rule"/>
        <w:rPr>
          <w:sz w:val="23"/>
          <w:szCs w:val="23"/>
        </w:rPr>
      </w:pPr>
      <w:r w:rsidRPr="00F831C0">
        <w:t>9.2.1</w:t>
      </w:r>
      <w:r w:rsidRPr="00F831C0">
        <w:tab/>
        <w:t>Risk</w:t>
      </w:r>
      <w:r w:rsidR="00D973E2" w:rsidRPr="00F831C0">
        <w:t>-</w:t>
      </w:r>
      <w:r w:rsidRPr="00F831C0">
        <w:t>Based Capital Requirements</w:t>
      </w:r>
      <w:r w:rsidR="009B28E3" w:rsidRPr="00F831C0">
        <w:t>—</w:t>
      </w:r>
      <w:r w:rsidRPr="00F831C0">
        <w:t xml:space="preserve">Ad hoc or </w:t>
      </w:r>
      <w:r w:rsidR="0016370D" w:rsidRPr="00F831C0">
        <w:t>s</w:t>
      </w:r>
      <w:r w:rsidRPr="00F831C0">
        <w:t xml:space="preserve">ummary </w:t>
      </w:r>
      <w:r w:rsidR="0016370D" w:rsidRPr="00F831C0">
        <w:t>r</w:t>
      </w:r>
      <w:r w:rsidRPr="00F831C0">
        <w:t xml:space="preserve">eturn on </w:t>
      </w:r>
      <w:r w:rsidR="003863FF" w:rsidRPr="00F831C0">
        <w:t xml:space="preserve">request </w:t>
      </w:r>
      <w:r w:rsidRPr="00F831C0">
        <w:t xml:space="preserve">by ASIC </w:t>
      </w:r>
    </w:p>
    <w:p w14:paraId="24822ADC" w14:textId="78BC4F93" w:rsidR="0030327B" w:rsidRPr="00F831C0" w:rsidRDefault="00B51CF3" w:rsidP="00B51CF3">
      <w:pPr>
        <w:pStyle w:val="MIRBodyText"/>
      </w:pPr>
      <w:r w:rsidRPr="00F831C0">
        <w:t>A Market Participant must, if requested to do so by ASIC, provide ASIC with</w:t>
      </w:r>
      <w:r w:rsidR="0030327B" w:rsidRPr="00F831C0">
        <w:t>:</w:t>
      </w:r>
    </w:p>
    <w:p w14:paraId="30B2EF32" w14:textId="77777777" w:rsidR="0030327B" w:rsidRPr="00F831C0" w:rsidRDefault="00B51CF3" w:rsidP="00BB75CF">
      <w:pPr>
        <w:pStyle w:val="MIRSubpara"/>
      </w:pPr>
      <w:r w:rsidRPr="00F831C0">
        <w:t>a</w:t>
      </w:r>
      <w:r w:rsidR="0030327B" w:rsidRPr="00F831C0">
        <w:t>n Ad Hoc Risk-Based Return;</w:t>
      </w:r>
      <w:r w:rsidRPr="00F831C0">
        <w:t xml:space="preserve"> or </w:t>
      </w:r>
    </w:p>
    <w:p w14:paraId="5B8F309F" w14:textId="77777777" w:rsidR="0030327B" w:rsidRPr="00F831C0" w:rsidRDefault="0030327B" w:rsidP="00BB75CF">
      <w:pPr>
        <w:pStyle w:val="MIRSubpara"/>
      </w:pPr>
      <w:r w:rsidRPr="00F831C0">
        <w:t>a Summary Risk-Based Return and Risk-Based Return Declaration</w:t>
      </w:r>
      <w:r w:rsidR="00B51CF3" w:rsidRPr="00F831C0">
        <w:t xml:space="preserve">, </w:t>
      </w:r>
    </w:p>
    <w:p w14:paraId="1F492D57" w14:textId="77777777" w:rsidR="00B51CF3" w:rsidRPr="00F831C0" w:rsidRDefault="00B51CF3" w:rsidP="00B3150F">
      <w:pPr>
        <w:pStyle w:val="MIRBodyText"/>
      </w:pPr>
      <w:r w:rsidRPr="00F831C0">
        <w:t xml:space="preserve">authorised by one director or partner of the Market Participant, within the time specified by ASIC in the request. </w:t>
      </w:r>
    </w:p>
    <w:p w14:paraId="6EC059D3" w14:textId="65488D64" w:rsidR="0090596A" w:rsidRPr="00F831C0" w:rsidRDefault="00B51CF3" w:rsidP="00527790">
      <w:pPr>
        <w:pStyle w:val="MIRHeading3Rule"/>
      </w:pPr>
      <w:r w:rsidRPr="00F831C0">
        <w:t>9.2.2</w:t>
      </w:r>
      <w:r w:rsidRPr="00F831C0">
        <w:tab/>
        <w:t>Core Capital</w:t>
      </w:r>
      <w:r w:rsidR="00CB5784">
        <w:t>,</w:t>
      </w:r>
      <w:r w:rsidRPr="00F831C0">
        <w:t xml:space="preserve"> Liquid Capital</w:t>
      </w:r>
      <w:r w:rsidR="00CB5784">
        <w:t xml:space="preserve"> or net assets</w:t>
      </w:r>
      <w:r w:rsidRPr="00F831C0">
        <w:t xml:space="preserve"> below minimum </w:t>
      </w:r>
    </w:p>
    <w:p w14:paraId="6442EA30" w14:textId="2DBE4AB3" w:rsidR="00B51CF3" w:rsidRPr="00F831C0" w:rsidRDefault="00B51CF3" w:rsidP="00B51CF3">
      <w:pPr>
        <w:pStyle w:val="MIRBodyText"/>
      </w:pPr>
      <w:r w:rsidRPr="00F831C0">
        <w:t xml:space="preserve">(1) A Market Participant must notify ASIC immediately if its: </w:t>
      </w:r>
    </w:p>
    <w:p w14:paraId="761F1AE9" w14:textId="5BB5F5B7" w:rsidR="0090596A" w:rsidRPr="00F831C0" w:rsidRDefault="00B51CF3" w:rsidP="00BB75CF">
      <w:pPr>
        <w:pStyle w:val="MIRSubpara"/>
      </w:pPr>
      <w:r w:rsidRPr="00F831C0">
        <w:t>Core Capital is at any time less than the minimum amount required by paragraph</w:t>
      </w:r>
      <w:r w:rsidR="008962DD" w:rsidRPr="00F831C0">
        <w:t> </w:t>
      </w:r>
      <w:r w:rsidRPr="00F831C0">
        <w:t xml:space="preserve">S1A.2.1(b); or </w:t>
      </w:r>
    </w:p>
    <w:p w14:paraId="3FCB7B70" w14:textId="77777777" w:rsidR="0040459A" w:rsidRDefault="00B51CF3" w:rsidP="00BB75CF">
      <w:pPr>
        <w:pStyle w:val="MIRSubpara"/>
      </w:pPr>
      <w:r w:rsidRPr="00F831C0">
        <w:t>Liquid Capital divided by its Total Risk Requirement is equal to or falls below 1.2</w:t>
      </w:r>
      <w:r w:rsidR="0040459A">
        <w:t>; or</w:t>
      </w:r>
    </w:p>
    <w:p w14:paraId="225856EE" w14:textId="61606B6D" w:rsidR="00B51CF3" w:rsidRPr="00F831C0" w:rsidRDefault="0040459A" w:rsidP="00BB75CF">
      <w:pPr>
        <w:pStyle w:val="MIRSubpara"/>
      </w:pPr>
      <w:r>
        <w:t>net assets are at any time equal to or fall below zero</w:t>
      </w:r>
      <w:r w:rsidR="00B51CF3" w:rsidRPr="00F831C0">
        <w:t xml:space="preserve">. </w:t>
      </w:r>
    </w:p>
    <w:p w14:paraId="320BACB9" w14:textId="34958CEF" w:rsidR="00B51CF3" w:rsidRPr="00F831C0" w:rsidRDefault="00B51CF3" w:rsidP="00B51CF3">
      <w:pPr>
        <w:pStyle w:val="MIRBodyText"/>
      </w:pPr>
      <w:r w:rsidRPr="00F831C0">
        <w:t>(2) A Market Part</w:t>
      </w:r>
      <w:r w:rsidR="001364AD" w:rsidRPr="00F831C0">
        <w:t>icipant must provide ASIC with</w:t>
      </w:r>
      <w:r w:rsidR="009C1600">
        <w:t>,</w:t>
      </w:r>
      <w:r w:rsidR="001364AD" w:rsidRPr="00F831C0">
        <w:t xml:space="preserve"> </w:t>
      </w:r>
      <w:r w:rsidRPr="00F831C0">
        <w:t xml:space="preserve">at the option of ASIC, </w:t>
      </w:r>
      <w:r w:rsidR="00C001B4" w:rsidRPr="00F831C0">
        <w:t>an Ad Hoc Risk-Based Return</w:t>
      </w:r>
      <w:r w:rsidRPr="00F831C0">
        <w:t xml:space="preserve">, or </w:t>
      </w:r>
      <w:r w:rsidR="00972C2D" w:rsidRPr="00F831C0">
        <w:t>a Summary Risk-Based Return and Risk-Based Return Declaration</w:t>
      </w:r>
      <w:r w:rsidRPr="00F831C0">
        <w:t xml:space="preserve">, disclosing the amount of its Liquid Margin: </w:t>
      </w:r>
    </w:p>
    <w:p w14:paraId="04EDFAE5" w14:textId="77777777" w:rsidR="0090596A" w:rsidRPr="00F831C0" w:rsidRDefault="00B51CF3" w:rsidP="00BB75CF">
      <w:pPr>
        <w:pStyle w:val="MIRSubpara"/>
      </w:pPr>
      <w:r w:rsidRPr="00F831C0">
        <w:t xml:space="preserve">no later than one Business Day after notifying ASIC under subrule (1); and </w:t>
      </w:r>
    </w:p>
    <w:p w14:paraId="38BED3D2" w14:textId="77777777" w:rsidR="00B51CF3" w:rsidRPr="00F831C0" w:rsidRDefault="00B51CF3" w:rsidP="009926F2">
      <w:pPr>
        <w:pStyle w:val="MIRSubpara"/>
        <w:keepNext/>
      </w:pPr>
      <w:r w:rsidRPr="00F831C0">
        <w:t xml:space="preserve">from then on, either: </w:t>
      </w:r>
    </w:p>
    <w:p w14:paraId="0BD0F4B6" w14:textId="13719DDA" w:rsidR="00B51CF3" w:rsidRPr="00F831C0" w:rsidRDefault="00B51CF3" w:rsidP="00B51CF3">
      <w:pPr>
        <w:pStyle w:val="MIRSubsubpara"/>
      </w:pPr>
      <w:r w:rsidRPr="00F831C0">
        <w:t>by 10</w:t>
      </w:r>
      <w:r w:rsidR="00D72C3E" w:rsidRPr="00F831C0">
        <w:t xml:space="preserve"> </w:t>
      </w:r>
      <w:r w:rsidRPr="00F831C0">
        <w:t xml:space="preserve">am on the first Business Day of each week, showing the financial position of the Market Participant on the last Business Day of the prior week, for so long as the amount referred to in paragraph (1)(b) is equal to or less than 1.2 but greater than 1.1; and </w:t>
      </w:r>
    </w:p>
    <w:p w14:paraId="27ADBA81" w14:textId="77777777" w:rsidR="0040459A" w:rsidRDefault="00B51CF3" w:rsidP="00B51CF3">
      <w:pPr>
        <w:pStyle w:val="MIRSubsubpara"/>
      </w:pPr>
      <w:r w:rsidRPr="00F831C0">
        <w:t>by 10</w:t>
      </w:r>
      <w:r w:rsidR="00D72C3E" w:rsidRPr="00F831C0">
        <w:t xml:space="preserve"> </w:t>
      </w:r>
      <w:r w:rsidRPr="00F831C0">
        <w:t>am on each Business Day, showing the financial position of the Market Participant on the prior Business Day, for so long as the amount referred to in paragraph (1)(b) is 1.1 or less</w:t>
      </w:r>
      <w:r w:rsidR="0040459A">
        <w:t>; and</w:t>
      </w:r>
    </w:p>
    <w:p w14:paraId="6A48A04A" w14:textId="4CB80A2F" w:rsidR="00B51CF3" w:rsidRPr="00F831C0" w:rsidRDefault="0040459A" w:rsidP="00B51CF3">
      <w:pPr>
        <w:pStyle w:val="MIRSubsubpara"/>
      </w:pPr>
      <w:r>
        <w:lastRenderedPageBreak/>
        <w:t>by 10 am on each Business Day, showing the financial position of the Market Participant on the prior Business Day, for so long as the amount referred to in paragraph (1)(c) is zero or less</w:t>
      </w:r>
      <w:r w:rsidR="00B51CF3" w:rsidRPr="00F831C0">
        <w:t xml:space="preserve">. </w:t>
      </w:r>
    </w:p>
    <w:p w14:paraId="7F3A1D3B" w14:textId="77777777" w:rsidR="00B51CF3" w:rsidRPr="00F831C0" w:rsidRDefault="00B51CF3" w:rsidP="00B51CF3">
      <w:pPr>
        <w:pStyle w:val="MIRBodyText"/>
      </w:pPr>
      <w:r w:rsidRPr="00F831C0">
        <w:t xml:space="preserve">(3) The return referred to in subrule (2) must be authorised by one director or partner of the Market Participant. </w:t>
      </w:r>
    </w:p>
    <w:p w14:paraId="1FBA56F2" w14:textId="62BC4138" w:rsidR="0090596A" w:rsidRPr="00F831C0" w:rsidRDefault="00B51CF3" w:rsidP="00527790">
      <w:pPr>
        <w:pStyle w:val="MIRHeading3Rule"/>
      </w:pPr>
      <w:r w:rsidRPr="00F831C0">
        <w:t>9.2.3</w:t>
      </w:r>
      <w:r w:rsidR="00AD1C01" w:rsidRPr="00F831C0">
        <w:tab/>
      </w:r>
      <w:r w:rsidRPr="00F831C0">
        <w:t xml:space="preserve">Monthly </w:t>
      </w:r>
      <w:r w:rsidR="0016370D" w:rsidRPr="00F831C0">
        <w:t xml:space="preserve">Risk-Based </w:t>
      </w:r>
      <w:r w:rsidRPr="00F831C0">
        <w:t xml:space="preserve">Return </w:t>
      </w:r>
    </w:p>
    <w:p w14:paraId="4AA64905" w14:textId="46C9A871" w:rsidR="00B51CF3" w:rsidRPr="00F831C0" w:rsidRDefault="00B51CF3" w:rsidP="00B51CF3">
      <w:pPr>
        <w:pStyle w:val="MIRBodyText"/>
      </w:pPr>
      <w:r w:rsidRPr="00F831C0">
        <w:t xml:space="preserve">A Market Participant must prepare and deliver to ASIC within 10 Business Days of the end of each calendar month, the following documents and information: </w:t>
      </w:r>
    </w:p>
    <w:p w14:paraId="684C2D1D" w14:textId="18481DA8" w:rsidR="0090596A" w:rsidRPr="00F831C0" w:rsidRDefault="00B51CF3" w:rsidP="00BB75CF">
      <w:pPr>
        <w:pStyle w:val="MIRSubpara"/>
      </w:pPr>
      <w:r w:rsidRPr="00F831C0">
        <w:t xml:space="preserve">a </w:t>
      </w:r>
      <w:r w:rsidR="009B5267" w:rsidRPr="00F831C0">
        <w:t>Monthly Risk-Based Return</w:t>
      </w:r>
      <w:r w:rsidRPr="00F831C0">
        <w:t>, which accurately reflects the Market Participant’s accounts and financial position on the last Business Day of the previous calendar month;</w:t>
      </w:r>
      <w:r w:rsidR="0040459A">
        <w:t xml:space="preserve"> and</w:t>
      </w:r>
      <w:r w:rsidRPr="00F831C0">
        <w:t xml:space="preserve"> </w:t>
      </w:r>
    </w:p>
    <w:p w14:paraId="4D6BABBE" w14:textId="78A3073F" w:rsidR="00B51CF3" w:rsidRPr="00F831C0" w:rsidRDefault="00B51CF3" w:rsidP="00BB75CF">
      <w:pPr>
        <w:pStyle w:val="MIRSubpara"/>
      </w:pPr>
      <w:r w:rsidRPr="00F831C0">
        <w:t xml:space="preserve">a </w:t>
      </w:r>
      <w:r w:rsidR="00826231" w:rsidRPr="00F831C0">
        <w:t xml:space="preserve">Risk-Based Return Declaration </w:t>
      </w:r>
      <w:r w:rsidRPr="00F831C0">
        <w:t>relating to the Monthly</w:t>
      </w:r>
      <w:r w:rsidR="005B0E49" w:rsidRPr="00F831C0">
        <w:t xml:space="preserve"> Risk-Based</w:t>
      </w:r>
      <w:r w:rsidRPr="00F831C0">
        <w:t xml:space="preserve"> Return, authorised by one director</w:t>
      </w:r>
      <w:r w:rsidR="00643DD2">
        <w:t xml:space="preserve"> or partner</w:t>
      </w:r>
      <w:r w:rsidRPr="00F831C0">
        <w:t xml:space="preserve"> of the Market Participant</w:t>
      </w:r>
      <w:r w:rsidR="0040459A">
        <w:t>.</w:t>
      </w:r>
      <w:r w:rsidRPr="00F831C0">
        <w:t xml:space="preserve"> </w:t>
      </w:r>
    </w:p>
    <w:p w14:paraId="65A0277A" w14:textId="1430768B" w:rsidR="0090596A" w:rsidRPr="00F831C0" w:rsidRDefault="00B51CF3" w:rsidP="00527790">
      <w:pPr>
        <w:pStyle w:val="MIRHeading3Rule"/>
      </w:pPr>
      <w:r w:rsidRPr="00F831C0">
        <w:t>9.2.4</w:t>
      </w:r>
      <w:r w:rsidR="00AD1C01" w:rsidRPr="00F831C0">
        <w:tab/>
      </w:r>
      <w:bookmarkStart w:id="30" w:name="_Hlk3296942"/>
      <w:r w:rsidR="0016370D" w:rsidRPr="00F831C0">
        <w:t xml:space="preserve">Annual </w:t>
      </w:r>
      <w:r w:rsidRPr="00F831C0">
        <w:t xml:space="preserve">Audited </w:t>
      </w:r>
      <w:r w:rsidR="0016370D" w:rsidRPr="00F831C0">
        <w:t>Risk-Based</w:t>
      </w:r>
      <w:r w:rsidRPr="00F831C0">
        <w:t xml:space="preserve"> Return </w:t>
      </w:r>
      <w:bookmarkEnd w:id="30"/>
    </w:p>
    <w:p w14:paraId="4C176476" w14:textId="60406957" w:rsidR="00B51CF3" w:rsidRPr="00F831C0" w:rsidRDefault="00F83A02" w:rsidP="00B51CF3">
      <w:pPr>
        <w:pStyle w:val="MIRBodyText"/>
      </w:pPr>
      <w:r>
        <w:t xml:space="preserve">(1) A Market Participant </w:t>
      </w:r>
      <w:r w:rsidR="00B51CF3" w:rsidRPr="00F831C0">
        <w:t>must prepare and deliver to ASIC</w:t>
      </w:r>
      <w:r w:rsidR="000D3B76">
        <w:t xml:space="preserve"> within three months following the end of the Market Participant’s financial year </w:t>
      </w:r>
      <w:r w:rsidR="000D3B76" w:rsidRPr="00F831C0">
        <w:t>the following documents and information:</w:t>
      </w:r>
      <w:r w:rsidR="00B51CF3" w:rsidRPr="00F831C0">
        <w:t xml:space="preserve"> </w:t>
      </w:r>
    </w:p>
    <w:p w14:paraId="3E6B6FEE" w14:textId="711DB5E3" w:rsidR="0090596A" w:rsidRPr="00F831C0" w:rsidRDefault="00B51CF3" w:rsidP="00CA152B">
      <w:pPr>
        <w:pStyle w:val="subparaa"/>
        <w:numPr>
          <w:ilvl w:val="1"/>
          <w:numId w:val="57"/>
        </w:numPr>
        <w:tabs>
          <w:tab w:val="clear" w:pos="2693"/>
          <w:tab w:val="num" w:pos="2977"/>
        </w:tabs>
        <w:ind w:left="1276"/>
      </w:pPr>
      <w:r w:rsidRPr="00F831C0">
        <w:t>the Market Participant’s statutory accounts, including directors’</w:t>
      </w:r>
      <w:r w:rsidR="00A17201">
        <w:t>/partners’</w:t>
      </w:r>
      <w:r w:rsidRPr="00F831C0">
        <w:t xml:space="preserve"> declaration and audit rep</w:t>
      </w:r>
      <w:r w:rsidR="00AB0F42" w:rsidRPr="00F831C0">
        <w:t xml:space="preserve">ort as required under the laws of the Market Participant’s home jurisdiction, which give a true and fair view of the financial position and performance of the Market Participant’s business as at the end of the financial year and which are prepared in accordance with accounting standards and principles which are generally accepted in Australia, unless ASIC determines otherwise; </w:t>
      </w:r>
    </w:p>
    <w:p w14:paraId="3AB1C7DE" w14:textId="0564B7B0" w:rsidR="00B51CF3" w:rsidRPr="00F831C0" w:rsidRDefault="00AB0F42" w:rsidP="00497841">
      <w:pPr>
        <w:pStyle w:val="subparaa"/>
        <w:tabs>
          <w:tab w:val="clear" w:pos="2693"/>
        </w:tabs>
        <w:ind w:left="1276"/>
      </w:pPr>
      <w:r w:rsidRPr="00F831C0">
        <w:t>a</w:t>
      </w:r>
      <w:r w:rsidR="00CF16BB" w:rsidRPr="00F831C0">
        <w:t>n Annual Audited Risk-Based Return</w:t>
      </w:r>
      <w:r w:rsidR="00B51CF3" w:rsidRPr="00F831C0">
        <w:t xml:space="preserve">, which accurately reflects the Market Participant’s accounts and its financial position as at the end of the Market Participant’s financial year; </w:t>
      </w:r>
    </w:p>
    <w:p w14:paraId="514D5149" w14:textId="04D818D3" w:rsidR="009517A4" w:rsidRPr="00F831C0" w:rsidRDefault="00AB0F42" w:rsidP="00497841">
      <w:pPr>
        <w:pStyle w:val="subparaa"/>
        <w:tabs>
          <w:tab w:val="clear" w:pos="2693"/>
        </w:tabs>
        <w:ind w:left="1276"/>
      </w:pPr>
      <w:r w:rsidRPr="00F831C0">
        <w:t xml:space="preserve">a </w:t>
      </w:r>
      <w:r w:rsidR="00CC2592" w:rsidRPr="00F831C0">
        <w:t xml:space="preserve">Risk-Based Return Declaration </w:t>
      </w:r>
      <w:r w:rsidRPr="00F831C0">
        <w:t xml:space="preserve">relating to the Annual Audited </w:t>
      </w:r>
      <w:r w:rsidR="005B0E49" w:rsidRPr="00F831C0">
        <w:t xml:space="preserve">Risk-Based </w:t>
      </w:r>
      <w:r w:rsidRPr="00F831C0">
        <w:t xml:space="preserve">Return, authorised by </w:t>
      </w:r>
      <w:r w:rsidR="00036369">
        <w:t>one</w:t>
      </w:r>
      <w:r w:rsidR="00036369" w:rsidRPr="00F831C0">
        <w:t xml:space="preserve"> </w:t>
      </w:r>
      <w:r w:rsidRPr="00F831C0">
        <w:t>director of the Market Participant</w:t>
      </w:r>
      <w:r w:rsidR="00497841">
        <w:t xml:space="preserve">, or, if the Market Participant is a partnership, by </w:t>
      </w:r>
      <w:r w:rsidR="00036369">
        <w:t xml:space="preserve">one </w:t>
      </w:r>
      <w:r w:rsidR="00497841">
        <w:t>partner of the Market Participant</w:t>
      </w:r>
      <w:r w:rsidRPr="00F831C0">
        <w:t xml:space="preserve">; </w:t>
      </w:r>
    </w:p>
    <w:p w14:paraId="0BD7C18D" w14:textId="62034689" w:rsidR="009517A4" w:rsidRPr="00F831C0" w:rsidRDefault="00AB0F42" w:rsidP="00497841">
      <w:pPr>
        <w:pStyle w:val="subparaa"/>
        <w:tabs>
          <w:tab w:val="clear" w:pos="2693"/>
        </w:tabs>
        <w:ind w:left="1276"/>
      </w:pPr>
      <w:r w:rsidRPr="00F831C0">
        <w:t>an auditor’s report on the Annual Audited</w:t>
      </w:r>
      <w:r w:rsidR="00EA3F80" w:rsidRPr="00F831C0">
        <w:t xml:space="preserve"> Risk-Based</w:t>
      </w:r>
      <w:r w:rsidRPr="00F831C0">
        <w:t xml:space="preserve"> Return in the form set out in Form 5 in Schedule</w:t>
      </w:r>
      <w:r w:rsidR="008962DD" w:rsidRPr="00F831C0">
        <w:t> </w:t>
      </w:r>
      <w:r w:rsidRPr="00F831C0">
        <w:t xml:space="preserve">1C to these Rules, dated and signed by the audit firm; </w:t>
      </w:r>
    </w:p>
    <w:p w14:paraId="6F28FC8F" w14:textId="16C2DC1E" w:rsidR="009517A4" w:rsidRPr="00F831C0" w:rsidRDefault="00AB0F42" w:rsidP="00497841">
      <w:pPr>
        <w:pStyle w:val="subparaa"/>
        <w:tabs>
          <w:tab w:val="clear" w:pos="2693"/>
        </w:tabs>
        <w:ind w:left="1276"/>
      </w:pPr>
      <w:r w:rsidRPr="00F831C0">
        <w:t xml:space="preserve">a statement (the </w:t>
      </w:r>
      <w:r w:rsidRPr="00F831C0">
        <w:rPr>
          <w:b/>
          <w:i/>
        </w:rPr>
        <w:t xml:space="preserve">Key Risks and Internal Systems </w:t>
      </w:r>
      <w:r w:rsidR="00F8019C" w:rsidRPr="00F831C0">
        <w:rPr>
          <w:b/>
          <w:i/>
        </w:rPr>
        <w:t>S</w:t>
      </w:r>
      <w:r w:rsidRPr="00F831C0">
        <w:rPr>
          <w:b/>
          <w:i/>
        </w:rPr>
        <w:t>tatement</w:t>
      </w:r>
      <w:r w:rsidR="00B51CF3" w:rsidRPr="00F831C0">
        <w:t>) in the form set out in Form</w:t>
      </w:r>
      <w:r w:rsidR="008962DD" w:rsidRPr="00F831C0">
        <w:t> </w:t>
      </w:r>
      <w:r w:rsidR="00B51CF3" w:rsidRPr="00F831C0">
        <w:t>6 in Schedule 1C to these Rules, dated and signed</w:t>
      </w:r>
      <w:r w:rsidRPr="00F831C0">
        <w:t xml:space="preserve"> by two directors of the Market Participant or by one director in accordance with a resolution of the board of directors of the Market Participant (the date of the resolution must be specified), or, if the Market Participant is a partnership, by two partners of the Market Participant; and </w:t>
      </w:r>
    </w:p>
    <w:p w14:paraId="126DFEF3" w14:textId="77777777" w:rsidR="009517A4" w:rsidRPr="00F831C0" w:rsidRDefault="00AB0F42" w:rsidP="00497841">
      <w:pPr>
        <w:pStyle w:val="subparaa"/>
        <w:tabs>
          <w:tab w:val="clear" w:pos="2693"/>
        </w:tabs>
        <w:ind w:left="1276"/>
      </w:pPr>
      <w:r w:rsidRPr="00F831C0">
        <w:t xml:space="preserve">the Market Participant’s group structure chart showing the Market Participant’s corporate ownership structure starting at the ultimate parent, dropping down to the immediate parent, the Market Participant, any subsidiaries (including nominee </w:t>
      </w:r>
      <w:r w:rsidRPr="00F831C0">
        <w:lastRenderedPageBreak/>
        <w:t xml:space="preserve">companies of the Market Participant) and any related/associated companies of the Market Participant. </w:t>
      </w:r>
    </w:p>
    <w:p w14:paraId="20DA73A4" w14:textId="4D749BB6" w:rsidR="00B51CF3" w:rsidRPr="00F831C0" w:rsidRDefault="00B51CF3" w:rsidP="00CD75FC">
      <w:pPr>
        <w:pStyle w:val="MIRBodyText"/>
        <w:spacing w:line="290" w:lineRule="atLeast"/>
      </w:pPr>
      <w:r w:rsidRPr="00F831C0">
        <w:t xml:space="preserve">(2) If the financial year end of the Market Participant is other than 30 June, the Market Participant must notify ASIC of its financial year end. </w:t>
      </w:r>
    </w:p>
    <w:p w14:paraId="7793195D" w14:textId="066CA97E" w:rsidR="00B51CF3" w:rsidRPr="00F831C0" w:rsidRDefault="00765DB9" w:rsidP="007861FE">
      <w:pPr>
        <w:pStyle w:val="MIRNote"/>
      </w:pPr>
      <w:r>
        <w:t xml:space="preserve">Note: There is no Part 9.3 in this Chapter </w:t>
      </w:r>
    </w:p>
    <w:p w14:paraId="74763B60" w14:textId="5747568B" w:rsidR="0090596A" w:rsidRPr="00F831C0" w:rsidRDefault="00B51CF3" w:rsidP="00527790">
      <w:pPr>
        <w:pStyle w:val="MIRHeading2Part"/>
      </w:pPr>
      <w:bookmarkStart w:id="31" w:name="_Toc27492568"/>
      <w:r w:rsidRPr="00F831C0">
        <w:t>Part 9.4</w:t>
      </w:r>
      <w:r w:rsidR="00C23669" w:rsidRPr="00F831C0">
        <w:tab/>
      </w:r>
      <w:r w:rsidRPr="00F831C0">
        <w:t>General</w:t>
      </w:r>
      <w:bookmarkEnd w:id="31"/>
      <w:r w:rsidRPr="00F831C0">
        <w:t xml:space="preserve"> </w:t>
      </w:r>
    </w:p>
    <w:p w14:paraId="76D0D2AC" w14:textId="657A5CB8" w:rsidR="0090596A" w:rsidRPr="00F831C0" w:rsidRDefault="00B51CF3" w:rsidP="00527790">
      <w:pPr>
        <w:pStyle w:val="MIRHeading3Rule"/>
      </w:pPr>
      <w:r w:rsidRPr="00F831C0">
        <w:t>9.4.1</w:t>
      </w:r>
      <w:r w:rsidR="00F360D7" w:rsidRPr="00F831C0">
        <w:tab/>
      </w:r>
      <w:r w:rsidRPr="00F831C0">
        <w:t xml:space="preserve">Alternate </w:t>
      </w:r>
      <w:r w:rsidR="0016370D" w:rsidRPr="00F831C0">
        <w:t>d</w:t>
      </w:r>
      <w:r w:rsidRPr="00F831C0">
        <w:t xml:space="preserve">irector </w:t>
      </w:r>
    </w:p>
    <w:p w14:paraId="442F19FA" w14:textId="773FEB51" w:rsidR="00B51CF3" w:rsidRPr="00F831C0" w:rsidRDefault="00B51CF3" w:rsidP="00694E88">
      <w:pPr>
        <w:pStyle w:val="MIRBodyText"/>
        <w:spacing w:before="160" w:line="320" w:lineRule="atLeast"/>
      </w:pPr>
      <w:r w:rsidRPr="00F831C0">
        <w:t>Where a Market Participant has appointed an alternate director in accordance with section</w:t>
      </w:r>
      <w:r w:rsidR="00E736EC" w:rsidRPr="00F831C0">
        <w:t> </w:t>
      </w:r>
      <w:r w:rsidRPr="00F831C0">
        <w:t xml:space="preserve">201K of the Corporations Act and the constitution of the Market Participant, the alternate director may authorise or sign the </w:t>
      </w:r>
      <w:r w:rsidR="0016370D" w:rsidRPr="00F831C0">
        <w:t>f</w:t>
      </w:r>
      <w:r w:rsidRPr="00F831C0">
        <w:t xml:space="preserve">orms referred to in Part 9.2 only if the Market Participant has provided ASIC with: </w:t>
      </w:r>
    </w:p>
    <w:p w14:paraId="5E0471A5" w14:textId="77777777" w:rsidR="0090596A" w:rsidRPr="00F831C0" w:rsidRDefault="00B51CF3" w:rsidP="00694E88">
      <w:pPr>
        <w:pStyle w:val="MIRSubpara"/>
        <w:spacing w:before="80" w:line="320" w:lineRule="atLeast"/>
      </w:pPr>
      <w:r w:rsidRPr="00F831C0">
        <w:t xml:space="preserve">the details of the appointment of the alternate director; and </w:t>
      </w:r>
    </w:p>
    <w:p w14:paraId="6B88C15F" w14:textId="77777777" w:rsidR="00B51CF3" w:rsidRPr="00F831C0" w:rsidRDefault="00B51CF3" w:rsidP="00694E88">
      <w:pPr>
        <w:pStyle w:val="MIRSubpara"/>
        <w:spacing w:before="80" w:line="320" w:lineRule="atLeast"/>
      </w:pPr>
      <w:r w:rsidRPr="00F831C0">
        <w:t xml:space="preserve">a statement that the Market Participant’s constitution permits the appointment of the alternate director. </w:t>
      </w:r>
    </w:p>
    <w:p w14:paraId="61AC606B" w14:textId="51E018F8" w:rsidR="0090596A" w:rsidRPr="00F831C0" w:rsidRDefault="00B51CF3" w:rsidP="00527790">
      <w:pPr>
        <w:pStyle w:val="MIRHeading3Rule"/>
      </w:pPr>
      <w:r w:rsidRPr="00F831C0">
        <w:t>9.4.2</w:t>
      </w:r>
      <w:r w:rsidR="00F360D7" w:rsidRPr="00F831C0">
        <w:tab/>
      </w:r>
      <w:r w:rsidR="00366042">
        <w:t>Delivering a return or declaration to ASIC</w:t>
      </w:r>
      <w:r w:rsidRPr="00F831C0">
        <w:t xml:space="preserve"> </w:t>
      </w:r>
    </w:p>
    <w:p w14:paraId="2CFBC7A8" w14:textId="53C810ED" w:rsidR="00B51CF3" w:rsidRPr="00F831C0" w:rsidRDefault="00B51CF3" w:rsidP="00694E88">
      <w:pPr>
        <w:pStyle w:val="MIRBodyText"/>
        <w:spacing w:before="160" w:line="320" w:lineRule="atLeast"/>
      </w:pPr>
      <w:r w:rsidRPr="00F831C0">
        <w:t xml:space="preserve">Unless otherwise directed by ASIC, a Market Participant </w:t>
      </w:r>
      <w:r w:rsidR="00366042">
        <w:t>must</w:t>
      </w:r>
      <w:r w:rsidR="00366042" w:rsidRPr="00F831C0">
        <w:t xml:space="preserve"> </w:t>
      </w:r>
      <w:r w:rsidRPr="00F831C0">
        <w:t xml:space="preserve">comply with the following provisions: </w:t>
      </w:r>
    </w:p>
    <w:p w14:paraId="52274941" w14:textId="77777777" w:rsidR="0090596A" w:rsidRPr="00F831C0" w:rsidRDefault="00B51CF3" w:rsidP="00694E88">
      <w:pPr>
        <w:pStyle w:val="MIRSubpara"/>
        <w:spacing w:line="320" w:lineRule="atLeast"/>
      </w:pPr>
      <w:r w:rsidRPr="00F831C0">
        <w:t xml:space="preserve">Rule 9.2.1; </w:t>
      </w:r>
    </w:p>
    <w:p w14:paraId="4832188E" w14:textId="0F82AB9D" w:rsidR="00B51CF3" w:rsidRPr="00F831C0" w:rsidRDefault="00B51CF3" w:rsidP="00694E88">
      <w:pPr>
        <w:pStyle w:val="MIRSubpara"/>
        <w:spacing w:line="320" w:lineRule="atLeast"/>
      </w:pPr>
      <w:r w:rsidRPr="00F831C0">
        <w:t xml:space="preserve">subrule 9.2.2(2); </w:t>
      </w:r>
    </w:p>
    <w:p w14:paraId="44E4E68A" w14:textId="22FE5EFC" w:rsidR="00B51CF3" w:rsidRPr="00F831C0" w:rsidRDefault="00B51CF3" w:rsidP="00694E88">
      <w:pPr>
        <w:pStyle w:val="MIRSubpara"/>
        <w:spacing w:line="320" w:lineRule="atLeast"/>
      </w:pPr>
      <w:r w:rsidRPr="00F831C0">
        <w:t xml:space="preserve">Rule 9.2.3; </w:t>
      </w:r>
    </w:p>
    <w:p w14:paraId="1C6D05A4" w14:textId="5C2B94E3" w:rsidR="00B51CF3" w:rsidRPr="00F831C0" w:rsidRDefault="0035796B" w:rsidP="00694E88">
      <w:pPr>
        <w:pStyle w:val="MIRSubpara"/>
        <w:spacing w:line="320" w:lineRule="atLeast"/>
      </w:pPr>
      <w:r>
        <w:t>Rule</w:t>
      </w:r>
      <w:r w:rsidRPr="00F831C0">
        <w:t xml:space="preserve"> </w:t>
      </w:r>
      <w:r w:rsidR="00B51CF3" w:rsidRPr="00F831C0">
        <w:t>9.2.4</w:t>
      </w:r>
      <w:r w:rsidR="008C6712" w:rsidRPr="00F831C0">
        <w:t>,</w:t>
      </w:r>
      <w:r w:rsidR="00B51CF3" w:rsidRPr="00F831C0">
        <w:t xml:space="preserve"> </w:t>
      </w:r>
    </w:p>
    <w:p w14:paraId="4BA52EEB" w14:textId="2BF07175" w:rsidR="00B51CF3" w:rsidRPr="00F831C0" w:rsidRDefault="00B51CF3" w:rsidP="00694E88">
      <w:pPr>
        <w:pStyle w:val="MIRBodyText"/>
        <w:spacing w:line="320" w:lineRule="atLeast"/>
      </w:pPr>
      <w:r w:rsidRPr="00F831C0">
        <w:t>by submitting the information required to be delivered to ASIC</w:t>
      </w:r>
      <w:r w:rsidR="001364AD" w:rsidRPr="00F831C0">
        <w:t xml:space="preserve"> under those provisions to the </w:t>
      </w:r>
      <w:r w:rsidRPr="00F831C0">
        <w:t xml:space="preserve">electronic </w:t>
      </w:r>
      <w:r w:rsidR="00366042">
        <w:t>lodgement</w:t>
      </w:r>
      <w:r w:rsidRPr="00F831C0">
        <w:t xml:space="preserve"> system maintained by </w:t>
      </w:r>
      <w:r w:rsidR="00366042">
        <w:t>or on behalf of ASIC for this purpose</w:t>
      </w:r>
      <w:r w:rsidRPr="00F831C0">
        <w:t xml:space="preserve">. </w:t>
      </w:r>
    </w:p>
    <w:p w14:paraId="28B4C79F" w14:textId="0F2FC847" w:rsidR="0090596A" w:rsidRPr="00F831C0" w:rsidRDefault="00B51CF3" w:rsidP="00527790">
      <w:pPr>
        <w:pStyle w:val="MIRHeading2Part"/>
      </w:pPr>
      <w:bookmarkStart w:id="32" w:name="_Toc27492569"/>
      <w:r w:rsidRPr="00F831C0">
        <w:t>Part 9.5</w:t>
      </w:r>
      <w:r w:rsidR="00C23669" w:rsidRPr="00F831C0">
        <w:tab/>
      </w:r>
      <w:r w:rsidRPr="00F831C0">
        <w:t>Scope of audits</w:t>
      </w:r>
      <w:bookmarkEnd w:id="32"/>
      <w:r w:rsidRPr="00F831C0">
        <w:t xml:space="preserve"> </w:t>
      </w:r>
    </w:p>
    <w:p w14:paraId="3A5ADDA1" w14:textId="77777777" w:rsidR="0090596A" w:rsidRPr="00F831C0" w:rsidRDefault="00B51CF3" w:rsidP="00527790">
      <w:pPr>
        <w:pStyle w:val="MIRHeading3Rule"/>
      </w:pPr>
      <w:r w:rsidRPr="00F831C0">
        <w:t>9.5.1</w:t>
      </w:r>
      <w:r w:rsidR="00F360D7" w:rsidRPr="00F831C0">
        <w:tab/>
      </w:r>
      <w:r w:rsidRPr="00F831C0">
        <w:t xml:space="preserve">Market </w:t>
      </w:r>
      <w:r w:rsidRPr="00F831C0">
        <w:rPr>
          <w:szCs w:val="23"/>
        </w:rPr>
        <w:t>Participant</w:t>
      </w:r>
      <w:r w:rsidRPr="00F831C0">
        <w:t xml:space="preserve"> to assist auditor </w:t>
      </w:r>
    </w:p>
    <w:p w14:paraId="4AF52C2D" w14:textId="3723105A" w:rsidR="00B51CF3" w:rsidRPr="00F831C0" w:rsidRDefault="00B51CF3" w:rsidP="00B51CF3">
      <w:pPr>
        <w:pStyle w:val="MIRBodyText"/>
      </w:pPr>
      <w:r w:rsidRPr="00F831C0">
        <w:t xml:space="preserve">(1) A Market Participant must give its auditor access to its premises and Employees and all records, documents, explanations and other information required by the auditor in respect of any audit conducted under Part 9.2. </w:t>
      </w:r>
    </w:p>
    <w:p w14:paraId="3AAC8726" w14:textId="77777777" w:rsidR="00B51CF3" w:rsidRPr="00F831C0" w:rsidRDefault="00B51CF3" w:rsidP="00CD75FC">
      <w:pPr>
        <w:pStyle w:val="MIRBodyText"/>
        <w:keepNext/>
      </w:pPr>
      <w:r w:rsidRPr="00F831C0">
        <w:t xml:space="preserve">(2) A Market Participant must: </w:t>
      </w:r>
    </w:p>
    <w:p w14:paraId="07C99D9E" w14:textId="53208E2D" w:rsidR="0090596A" w:rsidRPr="00F831C0" w:rsidRDefault="00B51CF3" w:rsidP="00BB75CF">
      <w:pPr>
        <w:pStyle w:val="MIRSubpara"/>
      </w:pPr>
      <w:r w:rsidRPr="00F831C0">
        <w:t xml:space="preserve">not impose any limitation on the extent of any audit required under Part 9.2; and </w:t>
      </w:r>
    </w:p>
    <w:p w14:paraId="5CB05D96" w14:textId="77777777" w:rsidR="00B51CF3" w:rsidRPr="00F831C0" w:rsidRDefault="00B51CF3" w:rsidP="00BB75CF">
      <w:pPr>
        <w:pStyle w:val="MIRSubpara"/>
      </w:pPr>
      <w:r w:rsidRPr="00F831C0">
        <w:lastRenderedPageBreak/>
        <w:t xml:space="preserve">permit and direct the auditor to notify ASIC immediately if any limitation is imposed on the auditor, or if the auditor is hindered or delayed in the performance of the auditor’s duties. </w:t>
      </w:r>
    </w:p>
    <w:p w14:paraId="75031D41" w14:textId="77777777" w:rsidR="00B51CF3" w:rsidRPr="00F831C0" w:rsidRDefault="00B51CF3" w:rsidP="00B51CF3">
      <w:pPr>
        <w:pStyle w:val="MIRBodyText"/>
      </w:pPr>
      <w:r w:rsidRPr="00F831C0">
        <w:t xml:space="preserve">(3) The records of each of the Market Participant’s nominee companies must be included in the audit. </w:t>
      </w:r>
    </w:p>
    <w:p w14:paraId="53A65AEA" w14:textId="4A8FD726" w:rsidR="00AB1222" w:rsidRDefault="00AB1222" w:rsidP="00203B23">
      <w:pPr>
        <w:pStyle w:val="MIRPenalty"/>
        <w:spacing w:before="0" w:line="20" w:lineRule="exact"/>
      </w:pPr>
    </w:p>
    <w:p w14:paraId="2E252068" w14:textId="77777777" w:rsidR="00BA1BD7" w:rsidRDefault="00BA1BD7" w:rsidP="00203B23">
      <w:pPr>
        <w:pStyle w:val="MIRPenalty"/>
        <w:ind w:left="0"/>
        <w:sectPr w:rsidR="00BA1BD7" w:rsidSect="00BA1BD7">
          <w:headerReference w:type="even" r:id="rId28"/>
          <w:headerReference w:type="default" r:id="rId29"/>
          <w:headerReference w:type="first" r:id="rId30"/>
          <w:type w:val="continuous"/>
          <w:pgSz w:w="11906" w:h="16838" w:code="9"/>
          <w:pgMar w:top="1644" w:right="1418" w:bottom="1418" w:left="1418" w:header="567" w:footer="567" w:gutter="0"/>
          <w:cols w:space="720"/>
          <w:docGrid w:linePitch="299"/>
        </w:sectPr>
      </w:pPr>
    </w:p>
    <w:p w14:paraId="3A7495FE" w14:textId="77777777" w:rsidR="0090596A" w:rsidRPr="00F831C0" w:rsidRDefault="00CA562A">
      <w:pPr>
        <w:pStyle w:val="MIRHeading1Chapter"/>
      </w:pPr>
      <w:bookmarkStart w:id="33" w:name="_Toc27492570"/>
      <w:r w:rsidRPr="00F831C0">
        <w:lastRenderedPageBreak/>
        <w:t>Schedule 1A: Capital liquidity requirements</w:t>
      </w:r>
      <w:bookmarkEnd w:id="33"/>
      <w:r w:rsidRPr="00F831C0">
        <w:t xml:space="preserve"> </w:t>
      </w:r>
    </w:p>
    <w:p w14:paraId="25AB0CC3" w14:textId="64B2FD8C" w:rsidR="0090596A" w:rsidRPr="00F831C0" w:rsidRDefault="00CA562A" w:rsidP="00527790">
      <w:pPr>
        <w:pStyle w:val="MIRHeading2Part"/>
      </w:pPr>
      <w:bookmarkStart w:id="34" w:name="_Toc27492571"/>
      <w:r w:rsidRPr="00F831C0">
        <w:t>Part S1A.1</w:t>
      </w:r>
      <w:r w:rsidR="00F06A75" w:rsidRPr="00F831C0">
        <w:tab/>
      </w:r>
      <w:r w:rsidR="00837E07">
        <w:t>I</w:t>
      </w:r>
      <w:r w:rsidRPr="00F831C0">
        <w:t>nterpretation</w:t>
      </w:r>
      <w:bookmarkEnd w:id="34"/>
      <w:r w:rsidRPr="00F831C0">
        <w:t xml:space="preserve"> </w:t>
      </w:r>
    </w:p>
    <w:p w14:paraId="631E7CD9" w14:textId="33A9D716" w:rsidR="0090596A" w:rsidRPr="00F831C0" w:rsidRDefault="00CA562A" w:rsidP="00D72FAC">
      <w:pPr>
        <w:pStyle w:val="MIRHeading3Rule"/>
      </w:pPr>
      <w:r w:rsidRPr="00F831C0">
        <w:t>S1A.1.2</w:t>
      </w:r>
      <w:r w:rsidR="00F06A75" w:rsidRPr="00F831C0">
        <w:tab/>
      </w:r>
      <w:r w:rsidRPr="00F831C0">
        <w:t xml:space="preserve">Interpretation </w:t>
      </w:r>
    </w:p>
    <w:p w14:paraId="23A88067" w14:textId="7C2B4359" w:rsidR="00CA562A" w:rsidRPr="00F831C0" w:rsidRDefault="00CA562A" w:rsidP="00CA562A">
      <w:pPr>
        <w:pStyle w:val="MIRBodyText"/>
      </w:pPr>
      <w:r w:rsidRPr="00F831C0">
        <w:t>(1) Schedule 1A must be interpreted and applied consistently across positions in the same Financial Instruments throughout a period covered by a return required under Part</w:t>
      </w:r>
      <w:r w:rsidR="00212773" w:rsidRPr="00F831C0">
        <w:t> </w:t>
      </w:r>
      <w:r w:rsidRPr="00F831C0">
        <w:t xml:space="preserve">9.2. </w:t>
      </w:r>
    </w:p>
    <w:p w14:paraId="1252B4A8" w14:textId="77777777" w:rsidR="00CA562A" w:rsidRPr="00F831C0" w:rsidRDefault="00CA562A" w:rsidP="00CA562A">
      <w:pPr>
        <w:pStyle w:val="MIRBodyText"/>
      </w:pPr>
      <w:r w:rsidRPr="00F831C0">
        <w:t xml:space="preserve">(2) References to dollar amounts are references to Australian dollar amounts. </w:t>
      </w:r>
    </w:p>
    <w:p w14:paraId="09E93E37" w14:textId="22C3A4FF" w:rsidR="00CA562A" w:rsidRPr="00F831C0" w:rsidRDefault="00CA562A" w:rsidP="00CA562A">
      <w:pPr>
        <w:pStyle w:val="MIRBodyText"/>
      </w:pPr>
      <w:r w:rsidRPr="00F831C0">
        <w:t>(3) The Annexures to Schedule 1A form part of Schedule 1A and a reference to Schedule</w:t>
      </w:r>
      <w:r w:rsidR="00212773" w:rsidRPr="00F831C0">
        <w:t> </w:t>
      </w:r>
      <w:r w:rsidRPr="00F831C0">
        <w:t xml:space="preserve">1A in these Rules includes a reference to those Annexures. </w:t>
      </w:r>
    </w:p>
    <w:p w14:paraId="4D729221" w14:textId="15AD421C" w:rsidR="0090596A" w:rsidRPr="00F831C0" w:rsidRDefault="00CA562A" w:rsidP="00D72FAC">
      <w:pPr>
        <w:pStyle w:val="MIRHeading2Part"/>
      </w:pPr>
      <w:bookmarkStart w:id="35" w:name="_Toc27492572"/>
      <w:r w:rsidRPr="00F831C0">
        <w:t>Part S1A.2</w:t>
      </w:r>
      <w:r w:rsidR="00F06A75" w:rsidRPr="00F831C0">
        <w:tab/>
      </w:r>
      <w:r w:rsidRPr="00F831C0">
        <w:t>Obligations of Market Participants</w:t>
      </w:r>
      <w:bookmarkEnd w:id="35"/>
      <w:r w:rsidRPr="00F831C0">
        <w:t xml:space="preserve"> </w:t>
      </w:r>
    </w:p>
    <w:p w14:paraId="3F5CD11B" w14:textId="32CDDADA" w:rsidR="0090596A" w:rsidRPr="00F831C0" w:rsidRDefault="00CA562A" w:rsidP="00D72FAC">
      <w:pPr>
        <w:pStyle w:val="MIRHeading3Rule"/>
      </w:pPr>
      <w:r w:rsidRPr="00F831C0">
        <w:t>S1A.2.1</w:t>
      </w:r>
      <w:r w:rsidR="00F06A75" w:rsidRPr="00F831C0">
        <w:tab/>
      </w:r>
      <w:r w:rsidRPr="00F831C0">
        <w:t xml:space="preserve">Core Capital, Liquid Capital and Total Risk Requirement </w:t>
      </w:r>
    </w:p>
    <w:p w14:paraId="66CEDFD5" w14:textId="77777777" w:rsidR="00CA562A" w:rsidRPr="00F831C0" w:rsidRDefault="00CA562A" w:rsidP="00CA562A">
      <w:pPr>
        <w:pStyle w:val="MIRBodyText"/>
      </w:pPr>
      <w:r w:rsidRPr="00F831C0">
        <w:t xml:space="preserve">A Market Participant must ensure that its: </w:t>
      </w:r>
    </w:p>
    <w:p w14:paraId="296DE538" w14:textId="77777777" w:rsidR="0090596A" w:rsidRPr="00F831C0" w:rsidRDefault="00CA562A" w:rsidP="003D34F3">
      <w:pPr>
        <w:pStyle w:val="MIRSubpara"/>
        <w:spacing w:line="280" w:lineRule="atLeast"/>
      </w:pPr>
      <w:r w:rsidRPr="00F831C0">
        <w:t xml:space="preserve">Liquid Capital is at all times greater than its Total Risk Requirement; and </w:t>
      </w:r>
    </w:p>
    <w:p w14:paraId="3F238B21" w14:textId="77777777" w:rsidR="00094D04" w:rsidRDefault="00CA562A" w:rsidP="003D34F3">
      <w:pPr>
        <w:pStyle w:val="MIRSubpara"/>
        <w:spacing w:line="280" w:lineRule="atLeast"/>
      </w:pPr>
      <w:r w:rsidRPr="00F831C0">
        <w:t>Core Capital is at all times not less than</w:t>
      </w:r>
      <w:r w:rsidR="00094D04">
        <w:t>:</w:t>
      </w:r>
      <w:r w:rsidRPr="00F831C0">
        <w:t xml:space="preserve"> </w:t>
      </w:r>
    </w:p>
    <w:p w14:paraId="697A5864" w14:textId="0FCB168A" w:rsidR="00094D04" w:rsidRDefault="00094D04" w:rsidP="00E26929">
      <w:pPr>
        <w:pStyle w:val="MIRSubsubpara"/>
      </w:pPr>
      <w:r>
        <w:t>$500,000 if it is a Participant of a Securities Market; or</w:t>
      </w:r>
    </w:p>
    <w:p w14:paraId="77FF4BF7" w14:textId="7D2C64ED" w:rsidR="00CA562A" w:rsidRPr="00F831C0" w:rsidRDefault="00094D04" w:rsidP="00E26929">
      <w:pPr>
        <w:pStyle w:val="MIRSubsubpara"/>
      </w:pPr>
      <w:r>
        <w:t>$1,000,000 if it is a Participant of a Futures Market (regardless of whether it is also a Participant of a Securities Market).</w:t>
      </w:r>
      <w:r w:rsidR="00CA562A" w:rsidRPr="00F831C0">
        <w:t xml:space="preserve"> </w:t>
      </w:r>
    </w:p>
    <w:p w14:paraId="06A8E039" w14:textId="150A9F5E" w:rsidR="0090596A" w:rsidRPr="00F831C0" w:rsidRDefault="00CA562A" w:rsidP="00D72FAC">
      <w:pPr>
        <w:pStyle w:val="MIRHeading3Rule"/>
      </w:pPr>
      <w:r w:rsidRPr="00F831C0">
        <w:t>S1A.2.3</w:t>
      </w:r>
      <w:r w:rsidR="00F06A75" w:rsidRPr="00F831C0">
        <w:tab/>
      </w:r>
      <w:r w:rsidRPr="00F831C0">
        <w:t xml:space="preserve">Risk </w:t>
      </w:r>
      <w:r w:rsidR="004B57C5" w:rsidRPr="00F831C0">
        <w:t>r</w:t>
      </w:r>
      <w:r w:rsidRPr="00F831C0">
        <w:t xml:space="preserve">equirements and </w:t>
      </w:r>
      <w:r w:rsidR="004B57C5" w:rsidRPr="00F831C0">
        <w:t>r</w:t>
      </w:r>
      <w:r w:rsidRPr="00F831C0">
        <w:t xml:space="preserve">isk </w:t>
      </w:r>
      <w:r w:rsidR="004B57C5" w:rsidRPr="00F831C0">
        <w:t>a</w:t>
      </w:r>
      <w:r w:rsidRPr="00F831C0">
        <w:t xml:space="preserve">mounts </w:t>
      </w:r>
    </w:p>
    <w:p w14:paraId="17AE95A5" w14:textId="4D62A9D6" w:rsidR="00CA562A" w:rsidRPr="00F831C0" w:rsidRDefault="00CA562A" w:rsidP="009926F2">
      <w:pPr>
        <w:pStyle w:val="MIRBodyText"/>
        <w:spacing w:before="220"/>
      </w:pPr>
      <w:r w:rsidRPr="00F831C0">
        <w:t>(1) A Market Participant must calculate</w:t>
      </w:r>
      <w:r w:rsidR="00094D04" w:rsidRPr="00094D04">
        <w:t xml:space="preserve"> </w:t>
      </w:r>
      <w:r w:rsidR="00094D04" w:rsidRPr="00F831C0">
        <w:t>its Operational Risk Requirement</w:t>
      </w:r>
      <w:r w:rsidRPr="00F831C0">
        <w:t xml:space="preserve">: </w:t>
      </w:r>
    </w:p>
    <w:p w14:paraId="2D6D4B3E" w14:textId="75E7DDE4" w:rsidR="00CA562A" w:rsidRPr="00F831C0" w:rsidRDefault="00CA562A" w:rsidP="003D34F3">
      <w:pPr>
        <w:pStyle w:val="MIRSubpara"/>
        <w:spacing w:before="120" w:line="280" w:lineRule="atLeast"/>
      </w:pPr>
      <w:r w:rsidRPr="00F831C0">
        <w:t xml:space="preserve">as the sum of: </w:t>
      </w:r>
    </w:p>
    <w:p w14:paraId="54EC5367" w14:textId="77777777" w:rsidR="00CA562A" w:rsidRPr="00F831C0" w:rsidRDefault="00CA562A" w:rsidP="003D34F3">
      <w:pPr>
        <w:pStyle w:val="MIRSubsubpara"/>
        <w:spacing w:before="120" w:line="280" w:lineRule="atLeast"/>
      </w:pPr>
      <w:r w:rsidRPr="00F831C0">
        <w:t xml:space="preserve">the amount of $100,000; and </w:t>
      </w:r>
    </w:p>
    <w:p w14:paraId="09487402" w14:textId="77777777" w:rsidR="00CA562A" w:rsidRPr="00F831C0" w:rsidRDefault="00CA562A" w:rsidP="003D34F3">
      <w:pPr>
        <w:pStyle w:val="MIRSubsubpara"/>
        <w:spacing w:before="120" w:line="320" w:lineRule="atLeast"/>
      </w:pPr>
      <w:r w:rsidRPr="00F831C0">
        <w:t xml:space="preserve">8% of the sum of the Market Participant’s: </w:t>
      </w:r>
    </w:p>
    <w:p w14:paraId="3B971F2F" w14:textId="77777777" w:rsidR="0090596A" w:rsidRPr="00F831C0" w:rsidRDefault="00CA562A" w:rsidP="003D34F3">
      <w:pPr>
        <w:pStyle w:val="MIRsubsubsubpara"/>
        <w:spacing w:before="120" w:line="320" w:lineRule="atLeast"/>
      </w:pPr>
      <w:r w:rsidRPr="00F831C0">
        <w:t xml:space="preserve">Counterparty Risk Requirement; </w:t>
      </w:r>
    </w:p>
    <w:p w14:paraId="2F94193B" w14:textId="77777777" w:rsidR="00CA562A" w:rsidRPr="00F831C0" w:rsidRDefault="00CA562A" w:rsidP="003D34F3">
      <w:pPr>
        <w:pStyle w:val="MIRsubsubsubpara"/>
        <w:spacing w:before="120" w:line="320" w:lineRule="atLeast"/>
      </w:pPr>
      <w:r w:rsidRPr="00F831C0">
        <w:t xml:space="preserve">Position Risk Requirement; and </w:t>
      </w:r>
    </w:p>
    <w:p w14:paraId="5F98A707" w14:textId="3A5F1268" w:rsidR="00CA562A" w:rsidRPr="00F831C0" w:rsidRDefault="00CA562A" w:rsidP="003D34F3">
      <w:pPr>
        <w:pStyle w:val="MIRsubsubsubpara"/>
        <w:spacing w:before="120" w:line="320" w:lineRule="atLeast"/>
      </w:pPr>
      <w:r w:rsidRPr="00F831C0">
        <w:t xml:space="preserve">Underwriting </w:t>
      </w:r>
      <w:r w:rsidR="00094D04">
        <w:t xml:space="preserve">and Sub Underwriting </w:t>
      </w:r>
      <w:r w:rsidRPr="00F831C0">
        <w:t xml:space="preserve">Risk Requirement. </w:t>
      </w:r>
    </w:p>
    <w:p w14:paraId="7E4C9307" w14:textId="469D8142" w:rsidR="00CA562A" w:rsidRPr="00F831C0" w:rsidRDefault="00CA562A" w:rsidP="003D34F3">
      <w:pPr>
        <w:pStyle w:val="MIRBodyText"/>
        <w:spacing w:before="220" w:line="320" w:lineRule="atLeast"/>
      </w:pPr>
      <w:r w:rsidRPr="00F831C0">
        <w:t>(2) A Market Participant must calculate in accordance with Annexure 1 to this Schedule</w:t>
      </w:r>
      <w:r w:rsidR="00212773" w:rsidRPr="00F831C0">
        <w:t> </w:t>
      </w:r>
      <w:r w:rsidRPr="00F831C0">
        <w:t xml:space="preserve">1A: </w:t>
      </w:r>
    </w:p>
    <w:p w14:paraId="5AB16B6D" w14:textId="77777777" w:rsidR="0090596A" w:rsidRPr="00F831C0" w:rsidRDefault="00CA562A" w:rsidP="003D34F3">
      <w:pPr>
        <w:pStyle w:val="MIRSubpara"/>
        <w:spacing w:before="120" w:line="320" w:lineRule="atLeast"/>
      </w:pPr>
      <w:r w:rsidRPr="00F831C0">
        <w:t xml:space="preserve">its Counterparty Risk Requirement; and </w:t>
      </w:r>
    </w:p>
    <w:p w14:paraId="63732669" w14:textId="5024FE7B" w:rsidR="00CA562A" w:rsidRPr="00F831C0" w:rsidRDefault="00CA562A" w:rsidP="003D34F3">
      <w:pPr>
        <w:pStyle w:val="MIRSubpara"/>
        <w:spacing w:before="120" w:line="320" w:lineRule="atLeast"/>
      </w:pPr>
      <w:r w:rsidRPr="00F831C0">
        <w:t xml:space="preserve">a counterparty risk amount for each of its Positive Credit Exposures to a Counterparty for transactions in Financial Instruments referred </w:t>
      </w:r>
      <w:r w:rsidR="007F1031" w:rsidRPr="00F831C0">
        <w:t xml:space="preserve">to </w:t>
      </w:r>
      <w:r w:rsidRPr="00F831C0">
        <w:t>in Annexure 1 to this Schedule</w:t>
      </w:r>
      <w:r w:rsidR="00212773" w:rsidRPr="00F831C0">
        <w:t> </w:t>
      </w:r>
      <w:r w:rsidRPr="00F831C0">
        <w:t xml:space="preserve">1A, except those transactions which relate to Excluded Assets. </w:t>
      </w:r>
    </w:p>
    <w:p w14:paraId="539586F9" w14:textId="4DC85A0D" w:rsidR="00CA562A" w:rsidRPr="00F831C0" w:rsidRDefault="00CA562A" w:rsidP="003D34F3">
      <w:pPr>
        <w:pStyle w:val="MIRBodyText"/>
        <w:spacing w:before="220" w:line="320" w:lineRule="atLeast"/>
      </w:pPr>
      <w:r w:rsidRPr="00F831C0">
        <w:lastRenderedPageBreak/>
        <w:t>(3) A Market Participant must calculate in accordance with Annexure 2 to this Schedule</w:t>
      </w:r>
      <w:r w:rsidR="00212773" w:rsidRPr="00F831C0">
        <w:t> </w:t>
      </w:r>
      <w:r w:rsidRPr="00F831C0">
        <w:t xml:space="preserve">1A: </w:t>
      </w:r>
    </w:p>
    <w:p w14:paraId="2A67EFD3" w14:textId="77777777" w:rsidR="0090596A" w:rsidRPr="00F831C0" w:rsidRDefault="00CA562A" w:rsidP="003D34F3">
      <w:pPr>
        <w:pStyle w:val="MIRSubpara"/>
        <w:spacing w:before="120" w:line="320" w:lineRule="atLeast"/>
      </w:pPr>
      <w:r w:rsidRPr="00F831C0">
        <w:t xml:space="preserve">its Large Exposure Risk Requirement; and </w:t>
      </w:r>
    </w:p>
    <w:p w14:paraId="706844AC" w14:textId="77777777" w:rsidR="00CA562A" w:rsidRPr="00F831C0" w:rsidRDefault="00CA562A" w:rsidP="003D34F3">
      <w:pPr>
        <w:pStyle w:val="MIRSubpara"/>
        <w:spacing w:before="120" w:line="320" w:lineRule="atLeast"/>
      </w:pPr>
      <w:r w:rsidRPr="00F831C0">
        <w:t xml:space="preserve">its large exposure risk amount for each: </w:t>
      </w:r>
    </w:p>
    <w:p w14:paraId="6B1F5E36" w14:textId="77777777" w:rsidR="00CA562A" w:rsidRPr="00F831C0" w:rsidRDefault="00CA562A" w:rsidP="003D34F3">
      <w:pPr>
        <w:pStyle w:val="MIRSubsubpara"/>
        <w:spacing w:before="120" w:line="320" w:lineRule="atLeast"/>
      </w:pPr>
      <w:r w:rsidRPr="00F831C0">
        <w:t xml:space="preserve">Counterparty; and </w:t>
      </w:r>
    </w:p>
    <w:p w14:paraId="2D6E34D4" w14:textId="77777777" w:rsidR="00CA562A" w:rsidRPr="00F831C0" w:rsidRDefault="00CA562A" w:rsidP="003D34F3">
      <w:pPr>
        <w:pStyle w:val="MIRSubsubpara"/>
        <w:spacing w:before="120" w:line="320" w:lineRule="atLeast"/>
      </w:pPr>
      <w:r w:rsidRPr="00F831C0">
        <w:t xml:space="preserve">Equity Net Position and Debt Net Position relative to: </w:t>
      </w:r>
    </w:p>
    <w:p w14:paraId="77ED828D" w14:textId="77777777" w:rsidR="0090596A" w:rsidRPr="00F831C0" w:rsidRDefault="00CA562A" w:rsidP="003D34F3">
      <w:pPr>
        <w:pStyle w:val="MIRsubsubsubpara"/>
        <w:spacing w:before="120" w:line="320" w:lineRule="atLeast"/>
      </w:pPr>
      <w:r w:rsidRPr="00F831C0">
        <w:t xml:space="preserve">Liquid Capital; and </w:t>
      </w:r>
    </w:p>
    <w:p w14:paraId="6DB65DBF" w14:textId="77777777" w:rsidR="00CA562A" w:rsidRPr="00F831C0" w:rsidRDefault="00CA562A" w:rsidP="003D34F3">
      <w:pPr>
        <w:pStyle w:val="MIRsubsubsubpara"/>
        <w:spacing w:before="120" w:line="320" w:lineRule="atLeast"/>
      </w:pPr>
      <w:r w:rsidRPr="00F831C0">
        <w:t xml:space="preserve">an issue or issuer. </w:t>
      </w:r>
    </w:p>
    <w:p w14:paraId="08375244" w14:textId="1A3382AF" w:rsidR="00CA562A" w:rsidRPr="00F831C0" w:rsidRDefault="00CA562A" w:rsidP="003D34F3">
      <w:pPr>
        <w:pStyle w:val="MIRBodyText"/>
        <w:spacing w:before="220" w:line="320" w:lineRule="atLeast"/>
      </w:pPr>
      <w:r w:rsidRPr="00F831C0">
        <w:t>(4) A Market Participant must calculate in accordance with Annexure 3 to this Schedule</w:t>
      </w:r>
      <w:r w:rsidR="00212773" w:rsidRPr="00F831C0">
        <w:t> </w:t>
      </w:r>
      <w:r w:rsidRPr="00F831C0">
        <w:t xml:space="preserve">1A: </w:t>
      </w:r>
    </w:p>
    <w:p w14:paraId="4D5BA124" w14:textId="77777777" w:rsidR="0090596A" w:rsidRPr="00F831C0" w:rsidRDefault="00CA562A" w:rsidP="003D34F3">
      <w:pPr>
        <w:pStyle w:val="MIRSubpara"/>
        <w:spacing w:before="120" w:line="320" w:lineRule="atLeast"/>
      </w:pPr>
      <w:r w:rsidRPr="00F831C0">
        <w:t xml:space="preserve">its Position Risk Requirement; </w:t>
      </w:r>
    </w:p>
    <w:p w14:paraId="4F41C2E3" w14:textId="10AC20DE" w:rsidR="00CA562A" w:rsidRPr="00F831C0" w:rsidRDefault="00CA562A" w:rsidP="003D34F3">
      <w:pPr>
        <w:pStyle w:val="MIRSubpara"/>
        <w:spacing w:before="120" w:line="320" w:lineRule="atLeast"/>
      </w:pPr>
      <w:r w:rsidRPr="00F831C0">
        <w:t xml:space="preserve">a position risk amount for all positions in Financial Instruments, </w:t>
      </w:r>
      <w:r w:rsidR="00F03632">
        <w:t xml:space="preserve">Foreign Exchange and Commodities </w:t>
      </w:r>
      <w:r w:rsidRPr="00F831C0">
        <w:t xml:space="preserve">except those positions which are Excluded Assets; and </w:t>
      </w:r>
    </w:p>
    <w:p w14:paraId="28DE4C04" w14:textId="77777777" w:rsidR="00CA562A" w:rsidRPr="00F831C0" w:rsidRDefault="00CA562A" w:rsidP="003D34F3">
      <w:pPr>
        <w:pStyle w:val="MIRSubpara"/>
        <w:spacing w:before="120" w:line="320" w:lineRule="atLeast"/>
      </w:pPr>
      <w:r w:rsidRPr="00F831C0">
        <w:t xml:space="preserve">a position risk amount for other assets and liabilities which are denominated in a currency other than Australian dollars except for those assets which are Excluded Assets. </w:t>
      </w:r>
    </w:p>
    <w:p w14:paraId="73170F37" w14:textId="452944DF" w:rsidR="00CA562A" w:rsidRPr="00F831C0" w:rsidRDefault="00CA562A" w:rsidP="003D34F3">
      <w:pPr>
        <w:pStyle w:val="MIRBodyText"/>
        <w:keepNext/>
        <w:spacing w:line="320" w:lineRule="atLeast"/>
      </w:pPr>
      <w:r w:rsidRPr="00F831C0">
        <w:t>(5) A Market Participant must calculate in accordance with Annexure 4 to this Schedule</w:t>
      </w:r>
      <w:r w:rsidR="00212773" w:rsidRPr="00F831C0">
        <w:t> </w:t>
      </w:r>
      <w:r w:rsidRPr="00F831C0">
        <w:t xml:space="preserve">1A: </w:t>
      </w:r>
    </w:p>
    <w:p w14:paraId="56AFA20C" w14:textId="458C3674" w:rsidR="0090596A" w:rsidRPr="00F831C0" w:rsidRDefault="00CA562A" w:rsidP="003D34F3">
      <w:pPr>
        <w:pStyle w:val="MIRSubpara"/>
        <w:keepNext/>
        <w:spacing w:line="320" w:lineRule="atLeast"/>
      </w:pPr>
      <w:r w:rsidRPr="00F831C0">
        <w:t xml:space="preserve">its Underwriting </w:t>
      </w:r>
      <w:r w:rsidR="00094D04">
        <w:t xml:space="preserve">and Sub Underwriting </w:t>
      </w:r>
      <w:r w:rsidRPr="00F831C0">
        <w:t xml:space="preserve">Risk Requirement; and </w:t>
      </w:r>
    </w:p>
    <w:p w14:paraId="2AE883F2" w14:textId="41CAA53C" w:rsidR="00CA562A" w:rsidRPr="00F831C0" w:rsidRDefault="00CA562A" w:rsidP="003D34F3">
      <w:pPr>
        <w:pStyle w:val="MIRSubpara"/>
        <w:spacing w:line="320" w:lineRule="atLeast"/>
      </w:pPr>
      <w:r w:rsidRPr="00F831C0">
        <w:t>an underwriting risk amount for each Underwriting</w:t>
      </w:r>
      <w:r w:rsidR="00094D04">
        <w:t xml:space="preserve"> Commitment and Sub Underwriting Commitment</w:t>
      </w:r>
      <w:r w:rsidRPr="00F831C0">
        <w:t xml:space="preserve">. </w:t>
      </w:r>
    </w:p>
    <w:p w14:paraId="351AAFBC" w14:textId="77777777" w:rsidR="00CA562A" w:rsidRPr="00F831C0" w:rsidRDefault="00CA562A" w:rsidP="003D34F3">
      <w:pPr>
        <w:pStyle w:val="MIRBodyText"/>
        <w:spacing w:line="320" w:lineRule="atLeast"/>
      </w:pPr>
      <w:r w:rsidRPr="00F831C0">
        <w:t xml:space="preserve">(6) A Market Participant must calculate a Non-Standard Risk Requirement in accordance with Rule S1A.2.9. </w:t>
      </w:r>
    </w:p>
    <w:p w14:paraId="03D03EBD" w14:textId="40D63B35" w:rsidR="0090596A" w:rsidRPr="00F831C0" w:rsidRDefault="00CA562A" w:rsidP="003D34F3">
      <w:pPr>
        <w:pStyle w:val="MIRHeading3Rule"/>
        <w:keepNext/>
      </w:pPr>
      <w:r w:rsidRPr="00F831C0">
        <w:t>S1A.2.3A</w:t>
      </w:r>
      <w:r w:rsidR="00F06A75" w:rsidRPr="00F831C0">
        <w:tab/>
      </w:r>
      <w:r w:rsidRPr="00F831C0">
        <w:t xml:space="preserve">Authorisation </w:t>
      </w:r>
    </w:p>
    <w:p w14:paraId="67038DC8" w14:textId="77777777" w:rsidR="00CA562A" w:rsidRPr="00F831C0" w:rsidRDefault="00CA562A" w:rsidP="00CA562A">
      <w:pPr>
        <w:pStyle w:val="MIRBodyText"/>
      </w:pPr>
      <w:r w:rsidRPr="00F831C0">
        <w:t xml:space="preserve">(1) A Market Participant must be authorised by ASIC in writing for each of the risk calculation methods it uses for the purposes of Rule S1A.2.3. </w:t>
      </w:r>
    </w:p>
    <w:p w14:paraId="0E63298B" w14:textId="77777777" w:rsidR="00CA562A" w:rsidRPr="00F831C0" w:rsidRDefault="00CA562A" w:rsidP="00CA562A">
      <w:pPr>
        <w:pStyle w:val="MIRBodyText"/>
      </w:pPr>
      <w:r w:rsidRPr="00F831C0">
        <w:t xml:space="preserve">(2) An authorisation given by ASIC under subrule (1) will specify which risk calculation methods the Market Participant is authorised to use. </w:t>
      </w:r>
    </w:p>
    <w:p w14:paraId="0D3D84F4" w14:textId="77777777" w:rsidR="00CA562A" w:rsidRPr="00F831C0" w:rsidRDefault="00CA562A" w:rsidP="00CA562A">
      <w:pPr>
        <w:pStyle w:val="MIRBodyText"/>
      </w:pPr>
      <w:r w:rsidRPr="00F831C0">
        <w:t xml:space="preserve">(3) A Market Participant must obtain an authorisation from ASIC under subrule (1) prior to the use of a particular risk calculation method. </w:t>
      </w:r>
    </w:p>
    <w:p w14:paraId="0C2234C0" w14:textId="77777777" w:rsidR="00CA562A" w:rsidRPr="00F831C0" w:rsidRDefault="00CA562A" w:rsidP="00CA562A">
      <w:pPr>
        <w:pStyle w:val="MIRBodyText"/>
      </w:pPr>
      <w:r w:rsidRPr="00F831C0">
        <w:t xml:space="preserve">(4) A Market Participant will only be authorised to use a particular risk calculation method under subrule (1) after having satisfactorily demonstrated its ability to calculate risk amounts under that method. </w:t>
      </w:r>
    </w:p>
    <w:p w14:paraId="3222255A" w14:textId="75AA3CDD" w:rsidR="0090596A" w:rsidRPr="00F831C0" w:rsidRDefault="00CA562A" w:rsidP="00D3615D">
      <w:pPr>
        <w:pStyle w:val="MIRHeading3Rule"/>
        <w:keepNext/>
      </w:pPr>
      <w:r w:rsidRPr="00F831C0">
        <w:lastRenderedPageBreak/>
        <w:t>S1A.2.4</w:t>
      </w:r>
      <w:r w:rsidR="00F06A75" w:rsidRPr="00F831C0">
        <w:tab/>
      </w:r>
      <w:r w:rsidRPr="00F831C0">
        <w:t xml:space="preserve">Approved Subordinated Debt </w:t>
      </w:r>
    </w:p>
    <w:p w14:paraId="62FFAB0F" w14:textId="77777777" w:rsidR="00CA562A" w:rsidRPr="00F831C0" w:rsidRDefault="00CA562A" w:rsidP="00CA562A">
      <w:pPr>
        <w:pStyle w:val="MIRBodyText"/>
      </w:pPr>
      <w:r w:rsidRPr="00F831C0">
        <w:t xml:space="preserve">(1) A Market Participant entering into a subordination arrangement may only include an amount owing under such an arrangement in its Liquid Capital if: </w:t>
      </w:r>
    </w:p>
    <w:p w14:paraId="05525597" w14:textId="5A246F90" w:rsidR="0090596A" w:rsidRPr="00F831C0" w:rsidRDefault="00CA562A" w:rsidP="00BB75CF">
      <w:pPr>
        <w:pStyle w:val="MIRSubpara"/>
      </w:pPr>
      <w:r w:rsidRPr="00F831C0">
        <w:t>the subordination arrangement has the prior approval of ASIC under subrules</w:t>
      </w:r>
      <w:r w:rsidR="00212773" w:rsidRPr="00F831C0">
        <w:t> </w:t>
      </w:r>
      <w:r w:rsidRPr="00F831C0">
        <w:t>(2) and</w:t>
      </w:r>
      <w:r w:rsidR="00A80723" w:rsidRPr="00F831C0">
        <w:t> </w:t>
      </w:r>
      <w:r w:rsidRPr="00F831C0">
        <w:t xml:space="preserve">(3); and </w:t>
      </w:r>
    </w:p>
    <w:p w14:paraId="42AA2DFD" w14:textId="77777777" w:rsidR="00CA562A" w:rsidRPr="00F831C0" w:rsidRDefault="00CA562A" w:rsidP="00BB75CF">
      <w:pPr>
        <w:pStyle w:val="MIRSubpara"/>
      </w:pPr>
      <w:r w:rsidRPr="00F831C0">
        <w:t xml:space="preserve">the amount is notified to and approved by ASIC prior to being drawn down under the subordination arrangement and complies with subrule (4) where relevant. </w:t>
      </w:r>
    </w:p>
    <w:p w14:paraId="15B31C3A" w14:textId="77777777" w:rsidR="00CA562A" w:rsidRPr="00F831C0" w:rsidRDefault="00CA562A" w:rsidP="00CA562A">
      <w:pPr>
        <w:pStyle w:val="MIRBodyText"/>
      </w:pPr>
      <w:r w:rsidRPr="00F831C0">
        <w:t xml:space="preserve">(2) ASIC will not approve a subordination arrangement unless in the opinion of ASIC: </w:t>
      </w:r>
    </w:p>
    <w:p w14:paraId="134EA455" w14:textId="77777777" w:rsidR="0090596A" w:rsidRPr="00F831C0" w:rsidRDefault="00CA562A" w:rsidP="00BB75CF">
      <w:pPr>
        <w:pStyle w:val="MIRSubpara"/>
      </w:pPr>
      <w:r w:rsidRPr="00F831C0">
        <w:t xml:space="preserve">subject to subrule (6), the amount owing to the lender under the subordination arrangement will not be repaid until all other debts which the Market Participant owes to any other persons are repaid in full; and </w:t>
      </w:r>
    </w:p>
    <w:p w14:paraId="4B02FA64" w14:textId="77777777" w:rsidR="00CA562A" w:rsidRPr="00F831C0" w:rsidRDefault="00CA562A" w:rsidP="00BB75CF">
      <w:pPr>
        <w:pStyle w:val="MIRSubpara"/>
      </w:pPr>
      <w:r w:rsidRPr="00F831C0">
        <w:t xml:space="preserve">the obligation to pay any amount owing under the subordination arrangement is suspended if Rule S1A.2.1 is no longer complied with. </w:t>
      </w:r>
    </w:p>
    <w:p w14:paraId="4C4C99EE" w14:textId="77777777" w:rsidR="00CA562A" w:rsidRPr="00F831C0" w:rsidRDefault="00CA562A" w:rsidP="00CA562A">
      <w:pPr>
        <w:pStyle w:val="MIRBodyText"/>
      </w:pPr>
      <w:r w:rsidRPr="00F831C0">
        <w:t xml:space="preserve">(3) ASIC will not approve a subordination arrangement unless the Market Participant has executed an Approved Subordinated Loan Deed in respect of the subordination arrangement. </w:t>
      </w:r>
    </w:p>
    <w:p w14:paraId="31BA23DE" w14:textId="77777777" w:rsidR="00CA562A" w:rsidRPr="00F831C0" w:rsidRDefault="00CA562A" w:rsidP="00CA562A">
      <w:pPr>
        <w:pStyle w:val="MIRBodyText"/>
      </w:pPr>
      <w:r w:rsidRPr="00F831C0">
        <w:t xml:space="preserve">(4) If a Market Participant is a partnership which has entered into an approved subordination arrangement under subrules (2) and (3) and there is a change in the composition of the Market Participant, then an amount owing under the previously approved subordination arrangement must not be included in its Liquid Capital unless ASIC is of the opinion that this arrangement has been renewed or amended so as to ensure that all partners after the change in composition are bound by it. </w:t>
      </w:r>
    </w:p>
    <w:p w14:paraId="4CFEBE69" w14:textId="77777777" w:rsidR="00CA562A" w:rsidRPr="00F831C0" w:rsidRDefault="00CA562A" w:rsidP="00CA562A">
      <w:pPr>
        <w:pStyle w:val="MIRBodyText"/>
      </w:pPr>
      <w:r w:rsidRPr="00F831C0">
        <w:t xml:space="preserve">(5) A Market Participant must comply with the terms of the Approved Subordinated Loan Deed and any associated agreement to which it, ASIC, and the lender are parties and must ensure the lender’s compliance with these documents. </w:t>
      </w:r>
    </w:p>
    <w:p w14:paraId="63DB95EA" w14:textId="77777777" w:rsidR="00CA562A" w:rsidRPr="00F831C0" w:rsidRDefault="00CA562A" w:rsidP="00CA562A">
      <w:pPr>
        <w:pStyle w:val="MIRBodyText"/>
      </w:pPr>
      <w:r w:rsidRPr="00F831C0">
        <w:t xml:space="preserve">(6) Prior to its Bankruptcy, a Market Participant may repay an amount owing under an approved subordination arrangement only with the prior approval of ASIC. </w:t>
      </w:r>
    </w:p>
    <w:p w14:paraId="7A130EB1" w14:textId="77777777" w:rsidR="00CA562A" w:rsidRPr="00F831C0" w:rsidRDefault="00CA562A" w:rsidP="00CA562A">
      <w:pPr>
        <w:pStyle w:val="MIRBodyText"/>
      </w:pPr>
      <w:r w:rsidRPr="00F831C0">
        <w:t xml:space="preserve">(7) ASIC will not withhold its approval under subrule (6) if in the opinion of ASIC: </w:t>
      </w:r>
    </w:p>
    <w:p w14:paraId="48279097" w14:textId="77777777" w:rsidR="0090596A" w:rsidRPr="00F831C0" w:rsidRDefault="00CA562A" w:rsidP="00BB75CF">
      <w:pPr>
        <w:pStyle w:val="MIRSubpara"/>
      </w:pPr>
      <w:r w:rsidRPr="00F831C0">
        <w:t xml:space="preserve">the Market Participant’s Liquid Capital divided by its Total Risk Requirement is capable of continuing to be greater than 1.2 on repayment; and </w:t>
      </w:r>
    </w:p>
    <w:p w14:paraId="30E2C719" w14:textId="1EE23300" w:rsidR="00CA562A" w:rsidRPr="00F831C0" w:rsidRDefault="00CA562A" w:rsidP="00BB75CF">
      <w:pPr>
        <w:pStyle w:val="MIRSubpara"/>
      </w:pPr>
      <w:r w:rsidRPr="00F831C0">
        <w:t>the Market Participant’s Core Capital is capable of continuing to be equal to or greater than the amount required under Rule S1A.2.1</w:t>
      </w:r>
      <w:r w:rsidR="00C74333">
        <w:t>(b).</w:t>
      </w:r>
    </w:p>
    <w:p w14:paraId="2F2541E2" w14:textId="56455B31" w:rsidR="00CA562A" w:rsidRPr="00F831C0" w:rsidRDefault="00CA562A" w:rsidP="00CA562A">
      <w:pPr>
        <w:pStyle w:val="MIRBodyText"/>
      </w:pPr>
      <w:r w:rsidRPr="00F831C0">
        <w:t>(</w:t>
      </w:r>
      <w:r w:rsidR="00C74333">
        <w:t>8</w:t>
      </w:r>
      <w:r w:rsidRPr="00F831C0">
        <w:t xml:space="preserve">) In forming an opinion as to whether a Market Participant is capable of continuing to meet the requirements in paragraphs (7)(a) and (b), ASIC may consider matters such as: </w:t>
      </w:r>
    </w:p>
    <w:p w14:paraId="435D3758" w14:textId="1E9F7598" w:rsidR="0090596A" w:rsidRPr="00F831C0" w:rsidRDefault="00CA562A" w:rsidP="00BB75CF">
      <w:pPr>
        <w:pStyle w:val="MIRSubpara"/>
      </w:pPr>
      <w:r w:rsidRPr="00F831C0">
        <w:t xml:space="preserve">the state of the overall market and the trend of the individual Market Participant’s share of that market; </w:t>
      </w:r>
    </w:p>
    <w:p w14:paraId="6A21064E" w14:textId="4BC4DFFE" w:rsidR="00CA562A" w:rsidRPr="00F831C0" w:rsidRDefault="00CA562A" w:rsidP="00BB75CF">
      <w:pPr>
        <w:pStyle w:val="MIRSubpara"/>
      </w:pPr>
      <w:r w:rsidRPr="00F831C0">
        <w:t xml:space="preserve">the ability of the Market Participant to continue as a going concern for a period that may exceed </w:t>
      </w:r>
      <w:r w:rsidR="00C74333">
        <w:t>31</w:t>
      </w:r>
      <w:r w:rsidR="00C74333" w:rsidRPr="00F831C0">
        <w:t xml:space="preserve"> </w:t>
      </w:r>
      <w:r w:rsidRPr="00F831C0">
        <w:t xml:space="preserve">days; </w:t>
      </w:r>
    </w:p>
    <w:p w14:paraId="0FFBC84A" w14:textId="77777777" w:rsidR="00CA562A" w:rsidRPr="00F831C0" w:rsidRDefault="00CA562A" w:rsidP="00BB75CF">
      <w:pPr>
        <w:pStyle w:val="MIRSubpara"/>
      </w:pPr>
      <w:r w:rsidRPr="00F831C0">
        <w:lastRenderedPageBreak/>
        <w:t xml:space="preserve">any waivers that exist at the time of the request; and </w:t>
      </w:r>
    </w:p>
    <w:p w14:paraId="493F6C37" w14:textId="77777777" w:rsidR="00CA562A" w:rsidRPr="00F831C0" w:rsidRDefault="00CA562A" w:rsidP="00BB75CF">
      <w:pPr>
        <w:pStyle w:val="MIRSubpara"/>
      </w:pPr>
      <w:r w:rsidRPr="00F831C0">
        <w:t xml:space="preserve">the existence of any outstanding litigation. </w:t>
      </w:r>
    </w:p>
    <w:p w14:paraId="7C295812" w14:textId="1EEDD79C" w:rsidR="0090596A" w:rsidRPr="00F831C0" w:rsidRDefault="00CA562A" w:rsidP="00D72FAC">
      <w:pPr>
        <w:pStyle w:val="MIRHeading3Rule"/>
      </w:pPr>
      <w:bookmarkStart w:id="36" w:name="_Hlk25158860"/>
      <w:bookmarkStart w:id="37" w:name="_Hlk23943656"/>
      <w:bookmarkStart w:id="38" w:name="_Hlk25180456"/>
      <w:r w:rsidRPr="00F831C0">
        <w:t>S1A.2.4A</w:t>
      </w:r>
      <w:r w:rsidR="00F06A75" w:rsidRPr="00F831C0">
        <w:tab/>
      </w:r>
      <w:r w:rsidRPr="00F831C0">
        <w:t xml:space="preserve">Excluded Assets </w:t>
      </w:r>
    </w:p>
    <w:p w14:paraId="5924A6C5" w14:textId="2406E6E0" w:rsidR="00CA562A" w:rsidRPr="00F831C0" w:rsidRDefault="00CA562A" w:rsidP="00CA562A">
      <w:pPr>
        <w:pStyle w:val="MIRBodyText"/>
      </w:pPr>
      <w:r w:rsidRPr="00F831C0">
        <w:t xml:space="preserve">(1) Subject to subrule (2), where a Market Participant has an asset due from one entity (which would ordinarily be treated as an Excluded Asset) which is linked to an offsetting liability </w:t>
      </w:r>
      <w:r w:rsidRPr="003F0032">
        <w:t>payable to another entity,</w:t>
      </w:r>
      <w:r w:rsidRPr="00F831C0">
        <w:t xml:space="preserve"> the Market Participant may net the asset and liability so that only the net amount (if positive) is reported as an Excluded Asset</w:t>
      </w:r>
      <w:r w:rsidRPr="00F831C0">
        <w:rPr>
          <w:i/>
          <w:iCs/>
        </w:rPr>
        <w:t xml:space="preserve">. </w:t>
      </w:r>
    </w:p>
    <w:p w14:paraId="6BE65998" w14:textId="5350D1A6" w:rsidR="006A7722" w:rsidRDefault="00CA562A" w:rsidP="00CA562A">
      <w:pPr>
        <w:pStyle w:val="MIRBodyText"/>
      </w:pPr>
      <w:bookmarkStart w:id="39" w:name="_Hlk22572454"/>
      <w:bookmarkStart w:id="40" w:name="_Hlk25158916"/>
      <w:bookmarkEnd w:id="36"/>
      <w:r w:rsidRPr="00F831C0">
        <w:t xml:space="preserve">(2) The Market Participant may only net an asset with a liability and report the net amount as an Excluded Asset under subrule (1) if </w:t>
      </w:r>
      <w:r w:rsidR="006A7722">
        <w:t xml:space="preserve">either subrule (2A) or (2B) </w:t>
      </w:r>
      <w:r w:rsidR="00CE127A">
        <w:t xml:space="preserve">applies. </w:t>
      </w:r>
    </w:p>
    <w:p w14:paraId="24533F3F" w14:textId="4DAE7A38" w:rsidR="00CE127A" w:rsidRDefault="00CE127A" w:rsidP="00CA562A">
      <w:pPr>
        <w:pStyle w:val="MIRBodyText"/>
      </w:pPr>
      <w:r>
        <w:t>(2A) This subrule applies where:</w:t>
      </w:r>
    </w:p>
    <w:p w14:paraId="130C8789" w14:textId="5E87A738" w:rsidR="001D59B4" w:rsidRDefault="004C097F" w:rsidP="00CE127A">
      <w:pPr>
        <w:pStyle w:val="MIRSubpara"/>
      </w:pPr>
      <w:r>
        <w:t>t</w:t>
      </w:r>
      <w:r w:rsidR="001D59B4">
        <w:t>he asset is a right-of-use asset and the liability is a lease liability</w:t>
      </w:r>
      <w:r w:rsidR="00C51FE2">
        <w:t xml:space="preserve"> t</w:t>
      </w:r>
      <w:r w:rsidR="005F5762">
        <w:t>hat corresponds with the</w:t>
      </w:r>
      <w:r w:rsidR="00C51FE2">
        <w:t xml:space="preserve"> right-of-use asset</w:t>
      </w:r>
      <w:r w:rsidR="00AE6554">
        <w:t xml:space="preserve"> for the same lease</w:t>
      </w:r>
      <w:r w:rsidR="00CE127A" w:rsidRPr="00F831C0">
        <w:t>;</w:t>
      </w:r>
      <w:r w:rsidR="003F73ED">
        <w:t xml:space="preserve"> and</w:t>
      </w:r>
    </w:p>
    <w:p w14:paraId="14D2E810" w14:textId="109E83D2" w:rsidR="005F5762" w:rsidRDefault="004C097F" w:rsidP="00CE127A">
      <w:pPr>
        <w:pStyle w:val="MIRSubpara"/>
      </w:pPr>
      <w:r>
        <w:t>t</w:t>
      </w:r>
      <w:r w:rsidR="00C51FE2">
        <w:t xml:space="preserve">he </w:t>
      </w:r>
      <w:r w:rsidR="005F5762">
        <w:t xml:space="preserve">right-of use </w:t>
      </w:r>
      <w:r w:rsidR="00C51FE2">
        <w:t>asset</w:t>
      </w:r>
      <w:r w:rsidR="005F5762">
        <w:t xml:space="preserve"> is netted only with the corresponding lease liability</w:t>
      </w:r>
      <w:r>
        <w:t>;</w:t>
      </w:r>
    </w:p>
    <w:p w14:paraId="0EDA6AC3" w14:textId="18B8FFAB" w:rsidR="00C51FE2" w:rsidRDefault="005F5762" w:rsidP="005F5762">
      <w:pPr>
        <w:pStyle w:val="MIRNote"/>
      </w:pPr>
      <w:r>
        <w:t>Note:</w:t>
      </w:r>
      <w:r w:rsidR="00C51FE2">
        <w:t xml:space="preserve"> </w:t>
      </w:r>
      <w:r>
        <w:t xml:space="preserve">The effect of paragraph (b) is that </w:t>
      </w:r>
      <w:r w:rsidRPr="005F5762">
        <w:t>right-of-use assets of multiple leases cannot be aggregated and then offset with the aggregate of lease liabilities</w:t>
      </w:r>
      <w:r>
        <w:t>.</w:t>
      </w:r>
      <w:r w:rsidR="00E976C6">
        <w:t xml:space="preserve"> </w:t>
      </w:r>
      <w:r w:rsidR="00E976C6" w:rsidRPr="007861FE">
        <w:t xml:space="preserve">The </w:t>
      </w:r>
      <w:r w:rsidR="00AA0B60" w:rsidRPr="007861FE">
        <w:t>netting</w:t>
      </w:r>
      <w:r w:rsidR="00E976C6" w:rsidRPr="007861FE">
        <w:t xml:space="preserve"> must be done on individual leases basis</w:t>
      </w:r>
      <w:r w:rsidR="00E976C6" w:rsidRPr="00A32781">
        <w:t>.</w:t>
      </w:r>
    </w:p>
    <w:p w14:paraId="15AAA13A" w14:textId="5E787FCB" w:rsidR="0021716B" w:rsidRDefault="004C097F" w:rsidP="0021716B">
      <w:pPr>
        <w:pStyle w:val="MIRSubpara"/>
      </w:pPr>
      <w:r>
        <w:t>t</w:t>
      </w:r>
      <w:r w:rsidR="008C7315">
        <w:t>he Market Participant report</w:t>
      </w:r>
      <w:r>
        <w:t>s</w:t>
      </w:r>
      <w:r w:rsidR="008C7315">
        <w:t xml:space="preserve"> </w:t>
      </w:r>
      <w:r w:rsidR="0021716B" w:rsidRPr="00F831C0">
        <w:t xml:space="preserve">the </w:t>
      </w:r>
      <w:r w:rsidR="00CA25BD">
        <w:t xml:space="preserve">right-of-use </w:t>
      </w:r>
      <w:r w:rsidR="0021716B" w:rsidRPr="00F831C0">
        <w:t xml:space="preserve">asset and </w:t>
      </w:r>
      <w:r w:rsidR="00CA25BD">
        <w:t xml:space="preserve">lease </w:t>
      </w:r>
      <w:r w:rsidR="0021716B" w:rsidRPr="00F831C0">
        <w:t xml:space="preserve">liability on a gross basis in the balance sheet </w:t>
      </w:r>
      <w:r w:rsidR="001F4D68">
        <w:t xml:space="preserve">section of the </w:t>
      </w:r>
      <w:r w:rsidR="0021716B" w:rsidRPr="00F831C0">
        <w:t xml:space="preserve">Monthly Risk-Based Return required by Rule 9.2.3; </w:t>
      </w:r>
    </w:p>
    <w:p w14:paraId="76615A88" w14:textId="6C2E2B03" w:rsidR="001F4D68" w:rsidRDefault="004C097F" w:rsidP="001F4D68">
      <w:pPr>
        <w:pStyle w:val="MIRSubpara"/>
      </w:pPr>
      <w:r>
        <w:t>t</w:t>
      </w:r>
      <w:r w:rsidR="001F4D68">
        <w:t>he Market Parti</w:t>
      </w:r>
      <w:r w:rsidR="00643832">
        <w:t>ci</w:t>
      </w:r>
      <w:r w:rsidR="001F4D68">
        <w:t>pant report</w:t>
      </w:r>
      <w:r>
        <w:t>s</w:t>
      </w:r>
      <w:r w:rsidR="001F4D68">
        <w:t xml:space="preserve"> each r</w:t>
      </w:r>
      <w:r w:rsidR="00643832">
        <w:t>i</w:t>
      </w:r>
      <w:r w:rsidR="001F4D68">
        <w:t xml:space="preserve">ght-of-use asset and </w:t>
      </w:r>
      <w:r w:rsidR="008110B7">
        <w:t xml:space="preserve">the corresponding </w:t>
      </w:r>
      <w:r w:rsidR="001F4D68">
        <w:t>lease liabilit</w:t>
      </w:r>
      <w:r w:rsidR="008110B7">
        <w:t>y</w:t>
      </w:r>
      <w:r w:rsidR="001F4D68">
        <w:t xml:space="preserve"> in the “Leases” section </w:t>
      </w:r>
      <w:r w:rsidR="008110B7">
        <w:t xml:space="preserve">in the balance sheet details section </w:t>
      </w:r>
      <w:r w:rsidR="001F4D68">
        <w:t xml:space="preserve">of the </w:t>
      </w:r>
      <w:r w:rsidR="001F4D68" w:rsidRPr="00F831C0">
        <w:t xml:space="preserve">Monthly Risk-Based Return required by Rule 9.2.3; </w:t>
      </w:r>
    </w:p>
    <w:p w14:paraId="4DF7F999" w14:textId="23E2A06A" w:rsidR="0021716B" w:rsidRPr="00F831C0" w:rsidRDefault="004C097F" w:rsidP="00A6443D">
      <w:pPr>
        <w:pStyle w:val="MIRSubpara"/>
      </w:pPr>
      <w:r>
        <w:t>t</w:t>
      </w:r>
      <w:r w:rsidR="001F4D68">
        <w:t>he Market Partic</w:t>
      </w:r>
      <w:r w:rsidR="00643832">
        <w:t>i</w:t>
      </w:r>
      <w:r w:rsidR="001F4D68">
        <w:t>pant report</w:t>
      </w:r>
      <w:r>
        <w:t>s</w:t>
      </w:r>
      <w:r w:rsidR="001F4D68">
        <w:t xml:space="preserve"> the sum of the net amounts of</w:t>
      </w:r>
      <w:r w:rsidR="008110B7">
        <w:t xml:space="preserve"> each</w:t>
      </w:r>
      <w:r w:rsidR="001F4D68">
        <w:t xml:space="preserve"> right-of-use asset and the</w:t>
      </w:r>
      <w:r w:rsidR="008110B7">
        <w:t xml:space="preserve"> </w:t>
      </w:r>
      <w:r w:rsidR="001F4D68">
        <w:t>corresponding lease liabilit</w:t>
      </w:r>
      <w:r w:rsidR="008110B7">
        <w:t>y</w:t>
      </w:r>
      <w:r w:rsidR="001F4D68">
        <w:t xml:space="preserve"> as an</w:t>
      </w:r>
      <w:r w:rsidR="00A6443D">
        <w:t xml:space="preserve"> </w:t>
      </w:r>
      <w:r w:rsidR="00F87800">
        <w:t xml:space="preserve">Excluded Asset </w:t>
      </w:r>
      <w:r w:rsidR="00A6443D">
        <w:t>“</w:t>
      </w:r>
      <w:r w:rsidR="00F87800">
        <w:t>o</w:t>
      </w:r>
      <w:r w:rsidR="00A6443D">
        <w:t xml:space="preserve">ther </w:t>
      </w:r>
      <w:r w:rsidR="00F87800">
        <w:t>p</w:t>
      </w:r>
      <w:r w:rsidR="00A6443D">
        <w:t xml:space="preserve">rescribed </w:t>
      </w:r>
      <w:r w:rsidR="00F87800">
        <w:t>a</w:t>
      </w:r>
      <w:r w:rsidR="00A6443D">
        <w:t>sset”</w:t>
      </w:r>
      <w:r w:rsidR="001F4D68">
        <w:t xml:space="preserve"> </w:t>
      </w:r>
      <w:r w:rsidR="00A6443D">
        <w:t>i</w:t>
      </w:r>
      <w:r w:rsidR="00A6443D" w:rsidRPr="00F831C0">
        <w:t>n the “Core Capital, Liquid Capital, Liquid Margin and Ratio” section of the Monthly Risk-Based Return required by Rule 9.2.3;</w:t>
      </w:r>
      <w:r w:rsidR="0021716B" w:rsidRPr="00F831C0">
        <w:t xml:space="preserve"> and </w:t>
      </w:r>
    </w:p>
    <w:p w14:paraId="6973D817" w14:textId="6561B5EB" w:rsidR="00A764B0" w:rsidRDefault="004C097F" w:rsidP="00A764B0">
      <w:pPr>
        <w:pStyle w:val="MIRSubpara"/>
        <w:spacing w:line="320" w:lineRule="atLeast"/>
      </w:pPr>
      <w:r>
        <w:t xml:space="preserve">the Market </w:t>
      </w:r>
      <w:r w:rsidR="00181F69">
        <w:t xml:space="preserve">Participant </w:t>
      </w:r>
      <w:r w:rsidR="0021716B" w:rsidRPr="00F831C0">
        <w:t>includes the following details in the “Additional Comments” section of the Monthly Risk-Based Return required by Rule 9.2.3:</w:t>
      </w:r>
    </w:p>
    <w:p w14:paraId="58B7C6B3" w14:textId="5EC10A9B" w:rsidR="0021716B" w:rsidRPr="00F831C0" w:rsidRDefault="0021716B" w:rsidP="00A764B0">
      <w:pPr>
        <w:pStyle w:val="MIRSubpara"/>
        <w:numPr>
          <w:ilvl w:val="0"/>
          <w:numId w:val="0"/>
        </w:numPr>
        <w:spacing w:line="320" w:lineRule="atLeast"/>
        <w:ind w:left="1276"/>
      </w:pPr>
      <w:r w:rsidRPr="00F831C0">
        <w:t xml:space="preserve">The following assets and liabilities have been netted for the purpose of calculating the amount included in the Excluded Asset “other prescribed asset” line of the “Core Capital, Liquid Capital, Liquid Margin and Ratio” section of the capital liquidity return. </w:t>
      </w:r>
    </w:p>
    <w:p w14:paraId="1D4E946D" w14:textId="77777777" w:rsidR="0021716B" w:rsidRPr="00F831C0" w:rsidRDefault="0021716B" w:rsidP="0021716B">
      <w:pPr>
        <w:pStyle w:val="MIRBodyText"/>
        <w:ind w:left="1700"/>
      </w:pPr>
      <w:r w:rsidRPr="00F831C0">
        <w:t>Asset—</w:t>
      </w:r>
      <w:r w:rsidRPr="00F831C0">
        <w:rPr>
          <w:i/>
        </w:rPr>
        <w:t>describe the nature of the asset/s</w:t>
      </w:r>
      <w:r w:rsidRPr="00F831C0">
        <w:t xml:space="preserve"> $ </w:t>
      </w:r>
    </w:p>
    <w:p w14:paraId="6AA0D371" w14:textId="77777777" w:rsidR="0021716B" w:rsidRPr="00F831C0" w:rsidRDefault="0021716B" w:rsidP="0021716B">
      <w:pPr>
        <w:pStyle w:val="MIRBodyText"/>
        <w:ind w:left="1276"/>
      </w:pPr>
      <w:r w:rsidRPr="00F831C0">
        <w:rPr>
          <w:i/>
        </w:rPr>
        <w:t>less</w:t>
      </w:r>
      <w:r w:rsidRPr="00F831C0">
        <w:t xml:space="preserve"> Liability—</w:t>
      </w:r>
      <w:r w:rsidRPr="00F831C0">
        <w:rPr>
          <w:i/>
        </w:rPr>
        <w:t xml:space="preserve">describe the nature of the liability/s </w:t>
      </w:r>
      <w:r w:rsidRPr="00F831C0">
        <w:t xml:space="preserve">$( ) </w:t>
      </w:r>
    </w:p>
    <w:p w14:paraId="36DC7895" w14:textId="77777777" w:rsidR="0021716B" w:rsidRPr="00F831C0" w:rsidRDefault="0021716B" w:rsidP="0021716B">
      <w:pPr>
        <w:pStyle w:val="MIRBodyText"/>
        <w:ind w:left="1700"/>
      </w:pPr>
      <w:r w:rsidRPr="00F831C0">
        <w:t xml:space="preserve">Excluded Asset—other prescribed asset $ net amount </w:t>
      </w:r>
    </w:p>
    <w:p w14:paraId="6E1EB38C" w14:textId="3F795D18" w:rsidR="00CA562A" w:rsidRPr="00F831C0" w:rsidRDefault="00CE127A" w:rsidP="00CA562A">
      <w:pPr>
        <w:pStyle w:val="MIRBodyText"/>
      </w:pPr>
      <w:r>
        <w:t xml:space="preserve">(2B) This subrule applies where </w:t>
      </w:r>
      <w:r w:rsidR="00907733">
        <w:t xml:space="preserve">the </w:t>
      </w:r>
      <w:r w:rsidR="00CA562A" w:rsidRPr="00F831C0">
        <w:t xml:space="preserve">Market Participant: </w:t>
      </w:r>
    </w:p>
    <w:p w14:paraId="2ADAF5DA" w14:textId="77777777" w:rsidR="0090596A" w:rsidRPr="00F831C0" w:rsidRDefault="00CA562A" w:rsidP="00BB75CF">
      <w:pPr>
        <w:pStyle w:val="MIRSubpara"/>
      </w:pPr>
      <w:r w:rsidRPr="00F831C0">
        <w:t xml:space="preserve">has obtained written authorisation from ASIC for the purposes of this Rule; </w:t>
      </w:r>
    </w:p>
    <w:p w14:paraId="2D166691" w14:textId="77777777" w:rsidR="00CA562A" w:rsidRPr="00F831C0" w:rsidRDefault="00CA562A" w:rsidP="00FB4E7C">
      <w:pPr>
        <w:pStyle w:val="MIRSubpara"/>
        <w:spacing w:before="120" w:line="320" w:lineRule="atLeast"/>
      </w:pPr>
      <w:r w:rsidRPr="00F831C0">
        <w:lastRenderedPageBreak/>
        <w:t xml:space="preserve">has a documented, legally binding contract or agreement with the Counterparty to the liability that specifies that the liability cannot be enforced unless the asset is realised; </w:t>
      </w:r>
    </w:p>
    <w:p w14:paraId="4F698F42" w14:textId="5AD1F068" w:rsidR="00CA562A" w:rsidRPr="00F831C0" w:rsidRDefault="00CA562A" w:rsidP="00FB4E7C">
      <w:pPr>
        <w:pStyle w:val="MIRSubpara"/>
        <w:spacing w:before="120" w:line="320" w:lineRule="atLeast"/>
      </w:pPr>
      <w:r w:rsidRPr="00F831C0">
        <w:t xml:space="preserve">continues to report the asset and liability on a gross basis in the balance sheet section of the Monthly </w:t>
      </w:r>
      <w:r w:rsidR="001C74C3" w:rsidRPr="00F831C0">
        <w:t xml:space="preserve">Risk-Based </w:t>
      </w:r>
      <w:r w:rsidRPr="00F831C0">
        <w:t xml:space="preserve">Return required by Rule 9.2.3; </w:t>
      </w:r>
    </w:p>
    <w:p w14:paraId="1FA9B4DD" w14:textId="5C6E1D71" w:rsidR="00CA562A" w:rsidRPr="00F831C0" w:rsidRDefault="00CA562A" w:rsidP="00FB4E7C">
      <w:pPr>
        <w:pStyle w:val="MIRSubpara"/>
        <w:spacing w:before="120" w:line="320" w:lineRule="atLeast"/>
      </w:pPr>
      <w:r w:rsidRPr="00F831C0">
        <w:t xml:space="preserve">reports the net amount as an </w:t>
      </w:r>
      <w:r w:rsidR="00F87800">
        <w:t xml:space="preserve">Excluded Asset </w:t>
      </w:r>
      <w:r w:rsidRPr="00F831C0">
        <w:t>“</w:t>
      </w:r>
      <w:r w:rsidR="00F87800">
        <w:t>o</w:t>
      </w:r>
      <w:r w:rsidRPr="00F831C0">
        <w:t xml:space="preserve">ther </w:t>
      </w:r>
      <w:r w:rsidR="00F87800">
        <w:t>p</w:t>
      </w:r>
      <w:r w:rsidRPr="00F831C0">
        <w:t xml:space="preserve">rescribed </w:t>
      </w:r>
      <w:r w:rsidR="00F87800">
        <w:t>a</w:t>
      </w:r>
      <w:r w:rsidRPr="00F831C0">
        <w:t>sset” in the “Core Capital, Liquid Capital, Liquid Margin and Ratio” section of the Monthly</w:t>
      </w:r>
      <w:r w:rsidR="005E3C83" w:rsidRPr="00F831C0">
        <w:t xml:space="preserve"> Risk-Based</w:t>
      </w:r>
      <w:r w:rsidRPr="00F831C0">
        <w:t xml:space="preserve"> Return required by Rule 9.2.3; and </w:t>
      </w:r>
    </w:p>
    <w:p w14:paraId="4C8C4C9D" w14:textId="0E7354D6" w:rsidR="0090596A" w:rsidRPr="00F831C0" w:rsidRDefault="00CA562A" w:rsidP="00FB4E7C">
      <w:pPr>
        <w:pStyle w:val="MIRSubpara"/>
        <w:spacing w:before="120" w:line="320" w:lineRule="atLeast"/>
      </w:pPr>
      <w:r w:rsidRPr="00F831C0">
        <w:t xml:space="preserve">includes the following details in the “Additional Comments” section of the Monthly </w:t>
      </w:r>
      <w:r w:rsidR="006218CE" w:rsidRPr="00F831C0">
        <w:t xml:space="preserve">Risk-Based </w:t>
      </w:r>
      <w:r w:rsidRPr="00F831C0">
        <w:t>Return required by Rule 9.2.3:</w:t>
      </w:r>
    </w:p>
    <w:p w14:paraId="3D640411" w14:textId="72F3D7CE" w:rsidR="0090596A" w:rsidRPr="00F831C0" w:rsidRDefault="00CA562A" w:rsidP="00FB4E7C">
      <w:pPr>
        <w:pStyle w:val="MIRSubpara"/>
        <w:numPr>
          <w:ilvl w:val="0"/>
          <w:numId w:val="0"/>
        </w:numPr>
        <w:spacing w:before="120" w:line="320" w:lineRule="atLeast"/>
        <w:ind w:left="1276"/>
      </w:pPr>
      <w:r w:rsidRPr="00F831C0">
        <w:t xml:space="preserve">The following assets and liabilities have been netted for the purpose of calculating the amount included in the Excluded Asset “other prescribed asset” line of the “Core Capital, Liquid Capital, Liquid Margin and Ratio” section of the capital liquidity return. </w:t>
      </w:r>
    </w:p>
    <w:p w14:paraId="40FCE2A2" w14:textId="77777777" w:rsidR="0090596A" w:rsidRPr="00F831C0" w:rsidRDefault="00CA562A" w:rsidP="0090596A">
      <w:pPr>
        <w:pStyle w:val="MIRBodyText"/>
        <w:ind w:left="1700"/>
      </w:pPr>
      <w:r w:rsidRPr="00F831C0">
        <w:t>Asset—</w:t>
      </w:r>
      <w:r w:rsidR="0090596A" w:rsidRPr="00F831C0">
        <w:rPr>
          <w:i/>
        </w:rPr>
        <w:t>describe the nature of the asset/s</w:t>
      </w:r>
      <w:r w:rsidRPr="00F831C0">
        <w:t xml:space="preserve"> $ </w:t>
      </w:r>
    </w:p>
    <w:p w14:paraId="408F2E41" w14:textId="77777777" w:rsidR="0090596A" w:rsidRPr="00F831C0" w:rsidRDefault="0090596A" w:rsidP="0090596A">
      <w:pPr>
        <w:pStyle w:val="MIRBodyText"/>
        <w:ind w:left="1276"/>
      </w:pPr>
      <w:r w:rsidRPr="00F831C0">
        <w:rPr>
          <w:i/>
        </w:rPr>
        <w:t>less</w:t>
      </w:r>
      <w:r w:rsidR="00CA562A" w:rsidRPr="00F831C0">
        <w:t xml:space="preserve"> Liability—</w:t>
      </w:r>
      <w:r w:rsidRPr="00F831C0">
        <w:rPr>
          <w:i/>
        </w:rPr>
        <w:t>describe the nature of the liability/s</w:t>
      </w:r>
      <w:r w:rsidR="006B0441" w:rsidRPr="00F831C0">
        <w:rPr>
          <w:i/>
        </w:rPr>
        <w:t xml:space="preserve"> </w:t>
      </w:r>
      <w:r w:rsidR="00CA562A" w:rsidRPr="00F831C0">
        <w:t xml:space="preserve">$( ) </w:t>
      </w:r>
    </w:p>
    <w:p w14:paraId="4FEE3F71" w14:textId="77777777" w:rsidR="0090596A" w:rsidRPr="00F831C0" w:rsidRDefault="00CA562A" w:rsidP="0090596A">
      <w:pPr>
        <w:pStyle w:val="MIRBodyText"/>
        <w:ind w:left="1700"/>
      </w:pPr>
      <w:r w:rsidRPr="00F831C0">
        <w:t xml:space="preserve">Excluded Asset—other prescribed asset $ net amount </w:t>
      </w:r>
    </w:p>
    <w:bookmarkEnd w:id="37"/>
    <w:bookmarkEnd w:id="39"/>
    <w:p w14:paraId="0204A500" w14:textId="798A4E16" w:rsidR="00CA562A" w:rsidRPr="00F831C0" w:rsidRDefault="00CA562A" w:rsidP="0002006E">
      <w:pPr>
        <w:pStyle w:val="MIRBodyText"/>
        <w:spacing w:line="320" w:lineRule="atLeast"/>
      </w:pPr>
      <w:r w:rsidRPr="00F831C0">
        <w:t xml:space="preserve">(3) A Market Participant must treat the following amounts as Excluded Assets if they remain outstanding for greater than </w:t>
      </w:r>
      <w:r w:rsidR="000E3DA2">
        <w:t>31</w:t>
      </w:r>
      <w:r w:rsidR="000E3DA2" w:rsidRPr="00F831C0">
        <w:t xml:space="preserve"> </w:t>
      </w:r>
      <w:r w:rsidRPr="00F831C0">
        <w:t xml:space="preserve">calendar days: </w:t>
      </w:r>
    </w:p>
    <w:p w14:paraId="073AA767" w14:textId="076C57BD" w:rsidR="0090596A" w:rsidRPr="00F831C0" w:rsidRDefault="00376843" w:rsidP="00FB4E7C">
      <w:pPr>
        <w:pStyle w:val="MIRSubpara"/>
        <w:spacing w:before="120" w:line="320" w:lineRule="atLeast"/>
      </w:pPr>
      <w:r>
        <w:t>u</w:t>
      </w:r>
      <w:r w:rsidR="00CA562A" w:rsidRPr="00F831C0">
        <w:t xml:space="preserve">nderwriting fees; </w:t>
      </w:r>
    </w:p>
    <w:p w14:paraId="7034C8F3" w14:textId="77777777" w:rsidR="00CA562A" w:rsidRPr="00F831C0" w:rsidRDefault="00CA562A" w:rsidP="00FB4E7C">
      <w:pPr>
        <w:pStyle w:val="MIRSubpara"/>
        <w:spacing w:before="120" w:line="320" w:lineRule="atLeast"/>
      </w:pPr>
      <w:r w:rsidRPr="00F831C0">
        <w:t xml:space="preserve">fees due for managing a client portfolio; </w:t>
      </w:r>
    </w:p>
    <w:p w14:paraId="340DFB65" w14:textId="77777777" w:rsidR="00CA562A" w:rsidRPr="00F831C0" w:rsidRDefault="00CA562A" w:rsidP="00FB4E7C">
      <w:pPr>
        <w:pStyle w:val="MIRSubpara"/>
        <w:spacing w:before="120" w:line="320" w:lineRule="atLeast"/>
      </w:pPr>
      <w:r w:rsidRPr="00F831C0">
        <w:t xml:space="preserve">corporate advisory fees; and </w:t>
      </w:r>
    </w:p>
    <w:p w14:paraId="17721641" w14:textId="77777777" w:rsidR="00CA562A" w:rsidRPr="00F831C0" w:rsidRDefault="00CA562A" w:rsidP="00FB4E7C">
      <w:pPr>
        <w:pStyle w:val="MIRSubpara"/>
        <w:spacing w:before="120" w:line="320" w:lineRule="atLeast"/>
      </w:pPr>
      <w:r w:rsidRPr="00F831C0">
        <w:t xml:space="preserve">other sundry debtors. </w:t>
      </w:r>
    </w:p>
    <w:bookmarkEnd w:id="40"/>
    <w:bookmarkEnd w:id="38"/>
    <w:p w14:paraId="54F6A9B5" w14:textId="25752FC0" w:rsidR="0090596A" w:rsidRPr="00F831C0" w:rsidRDefault="00CA562A" w:rsidP="00D72FAC">
      <w:pPr>
        <w:pStyle w:val="MIRHeading3Rule"/>
      </w:pPr>
      <w:r w:rsidRPr="00F831C0">
        <w:t>S1A.2.5</w:t>
      </w:r>
      <w:r w:rsidR="00F06A75" w:rsidRPr="00F831C0">
        <w:tab/>
      </w:r>
      <w:r w:rsidRPr="00F831C0">
        <w:t xml:space="preserve">Redeemable Preference Shares </w:t>
      </w:r>
    </w:p>
    <w:p w14:paraId="15D95BAC" w14:textId="77777777" w:rsidR="00CA562A" w:rsidRPr="00F831C0" w:rsidRDefault="00CA562A" w:rsidP="003D34F3">
      <w:pPr>
        <w:pStyle w:val="MIRBodyText"/>
        <w:spacing w:line="320" w:lineRule="atLeast"/>
      </w:pPr>
      <w:r w:rsidRPr="00F831C0">
        <w:t xml:space="preserve">(1) A Market Participant must not redeem any redeemable Preference Shares issued by it in whole or in part without the prior written approval of ASIC. </w:t>
      </w:r>
    </w:p>
    <w:p w14:paraId="4E9EA3EF" w14:textId="77777777" w:rsidR="00CA562A" w:rsidRPr="00F831C0" w:rsidRDefault="00CA562A" w:rsidP="003D34F3">
      <w:pPr>
        <w:pStyle w:val="MIRBodyText"/>
        <w:spacing w:line="320" w:lineRule="atLeast"/>
      </w:pPr>
      <w:r w:rsidRPr="00F831C0">
        <w:t xml:space="preserve">(2) ASIC will not withhold its approval under subrule (1) if in the opinion of ASIC the Market Participant’s Liquid Capital divided by its Total Risk Requirement is capable of continuing to be greater than 1.2 on redemption. </w:t>
      </w:r>
    </w:p>
    <w:p w14:paraId="3703E87C" w14:textId="77777777" w:rsidR="00CA562A" w:rsidRPr="00F831C0" w:rsidRDefault="00CA562A" w:rsidP="003D34F3">
      <w:pPr>
        <w:pStyle w:val="MIRBodyText"/>
        <w:spacing w:line="320" w:lineRule="atLeast"/>
      </w:pPr>
      <w:r w:rsidRPr="00F831C0">
        <w:t xml:space="preserve">(3) In forming an opinion as to whether a Market Participant is capable of continuing to meet the requirement in subrule (2), ASIC may consider matters such as: </w:t>
      </w:r>
    </w:p>
    <w:p w14:paraId="2BFA9CAA" w14:textId="254516D9" w:rsidR="0090596A" w:rsidRPr="00F831C0" w:rsidRDefault="00CA562A" w:rsidP="003D34F3">
      <w:pPr>
        <w:pStyle w:val="MIRSubpara"/>
        <w:spacing w:line="320" w:lineRule="atLeast"/>
      </w:pPr>
      <w:r w:rsidRPr="00F831C0">
        <w:t xml:space="preserve">the state of the overall market and the trend of the individual Market Participant’s share of that market; </w:t>
      </w:r>
    </w:p>
    <w:p w14:paraId="4858E167" w14:textId="49E2929C" w:rsidR="00CA562A" w:rsidRPr="00F831C0" w:rsidRDefault="00CA562A" w:rsidP="003D34F3">
      <w:pPr>
        <w:pStyle w:val="MIRSubpara"/>
        <w:spacing w:line="320" w:lineRule="atLeast"/>
      </w:pPr>
      <w:r w:rsidRPr="00F831C0">
        <w:t xml:space="preserve">the ability of the Market Participant to continue as a going concern for a period that may exceed </w:t>
      </w:r>
      <w:r w:rsidR="000E3DA2">
        <w:t>31</w:t>
      </w:r>
      <w:r w:rsidR="000E3DA2" w:rsidRPr="00F831C0">
        <w:t xml:space="preserve"> </w:t>
      </w:r>
      <w:r w:rsidRPr="00F831C0">
        <w:t xml:space="preserve">days; </w:t>
      </w:r>
    </w:p>
    <w:p w14:paraId="14CBF660" w14:textId="77777777" w:rsidR="00CA562A" w:rsidRPr="00F831C0" w:rsidRDefault="00CA562A" w:rsidP="003D34F3">
      <w:pPr>
        <w:pStyle w:val="MIRSubpara"/>
        <w:spacing w:line="320" w:lineRule="atLeast"/>
      </w:pPr>
      <w:r w:rsidRPr="00F831C0">
        <w:lastRenderedPageBreak/>
        <w:t xml:space="preserve">any waivers that exist at the time of the request; and </w:t>
      </w:r>
    </w:p>
    <w:p w14:paraId="6D24C287" w14:textId="64E797C9" w:rsidR="00CB550C" w:rsidRDefault="00CA562A" w:rsidP="007861FE">
      <w:pPr>
        <w:pStyle w:val="MIRSubpara"/>
        <w:spacing w:line="320" w:lineRule="atLeast"/>
      </w:pPr>
      <w:r w:rsidRPr="00F831C0">
        <w:t xml:space="preserve">the existence of any outstanding litigation. </w:t>
      </w:r>
    </w:p>
    <w:p w14:paraId="28407FFB" w14:textId="7B3CF8E1" w:rsidR="0090596A" w:rsidRPr="00F831C0" w:rsidRDefault="00CA562A" w:rsidP="003D34F3">
      <w:pPr>
        <w:pStyle w:val="MIRHeading3Rule"/>
        <w:keepNext/>
      </w:pPr>
      <w:r w:rsidRPr="00F831C0">
        <w:t>S1A.2.6</w:t>
      </w:r>
      <w:r w:rsidR="00F06A75" w:rsidRPr="00F831C0">
        <w:tab/>
      </w:r>
      <w:r w:rsidRPr="00F831C0">
        <w:t xml:space="preserve">Guarantees and </w:t>
      </w:r>
      <w:r w:rsidR="00323F82" w:rsidRPr="00F831C0">
        <w:t>i</w:t>
      </w:r>
      <w:r w:rsidRPr="00F831C0">
        <w:t xml:space="preserve">ndemnities </w:t>
      </w:r>
    </w:p>
    <w:p w14:paraId="4D7A7E4C" w14:textId="77777777" w:rsidR="00CA562A" w:rsidRPr="00F831C0" w:rsidRDefault="00CA562A" w:rsidP="00CA562A">
      <w:pPr>
        <w:pStyle w:val="MIRBodyText"/>
      </w:pPr>
      <w:r w:rsidRPr="00F831C0">
        <w:t xml:space="preserve">(1) A Market Participant may only give a guarantee or indemnity: </w:t>
      </w:r>
    </w:p>
    <w:p w14:paraId="6F4C19B3" w14:textId="59EB85AF" w:rsidR="0090596A" w:rsidRPr="00F831C0" w:rsidRDefault="00CA562A" w:rsidP="00BB75CF">
      <w:pPr>
        <w:pStyle w:val="MIRSubpara"/>
      </w:pPr>
      <w:r w:rsidRPr="00F831C0">
        <w:t xml:space="preserve">for the purposes of these </w:t>
      </w:r>
      <w:r w:rsidR="00211819" w:rsidRPr="00F831C0">
        <w:t xml:space="preserve">Rules, </w:t>
      </w:r>
      <w:r w:rsidR="00F10E61" w:rsidRPr="00F831C0">
        <w:t xml:space="preserve">the </w:t>
      </w:r>
      <w:r w:rsidR="00F10E61" w:rsidRPr="00F831C0">
        <w:rPr>
          <w:i/>
        </w:rPr>
        <w:t>ASIC Market Integrity Rules (Securities</w:t>
      </w:r>
      <w:r w:rsidR="00AB1222" w:rsidRPr="00F831C0">
        <w:rPr>
          <w:i/>
        </w:rPr>
        <w:t xml:space="preserve"> </w:t>
      </w:r>
      <w:r w:rsidR="00F10E61" w:rsidRPr="00F831C0">
        <w:rPr>
          <w:i/>
        </w:rPr>
        <w:t>Markets)</w:t>
      </w:r>
      <w:r w:rsidR="00514B36">
        <w:rPr>
          <w:i/>
        </w:rPr>
        <w:t> </w:t>
      </w:r>
      <w:r w:rsidR="00F10E61" w:rsidRPr="00F831C0">
        <w:rPr>
          <w:i/>
        </w:rPr>
        <w:t>201</w:t>
      </w:r>
      <w:r w:rsidR="00BD062C" w:rsidRPr="00F831C0">
        <w:rPr>
          <w:i/>
        </w:rPr>
        <w:t>7</w:t>
      </w:r>
      <w:r w:rsidR="00F10E61" w:rsidRPr="00F831C0">
        <w:t xml:space="preserve">, </w:t>
      </w:r>
      <w:r w:rsidR="000E3DA2">
        <w:t xml:space="preserve">the </w:t>
      </w:r>
      <w:r w:rsidR="000E3DA2">
        <w:rPr>
          <w:i/>
        </w:rPr>
        <w:t>ASIC Market Integrity Rules (Futures Markets</w:t>
      </w:r>
      <w:r w:rsidR="000E3DA2" w:rsidRPr="000E3DA2">
        <w:rPr>
          <w:i/>
        </w:rPr>
        <w:t>) 2017</w:t>
      </w:r>
      <w:r w:rsidR="000E3DA2">
        <w:t xml:space="preserve">, </w:t>
      </w:r>
      <w:r w:rsidR="00F10E61" w:rsidRPr="000E3DA2">
        <w:t>the</w:t>
      </w:r>
      <w:r w:rsidR="00F10E61" w:rsidRPr="00F831C0">
        <w:t xml:space="preserve"> operating rules of a Market,</w:t>
      </w:r>
      <w:r w:rsidRPr="00F831C0">
        <w:t xml:space="preserve"> the ASX Clear Operating Rules or the ASX Settlement Operating Rules; </w:t>
      </w:r>
    </w:p>
    <w:p w14:paraId="5582DE0A" w14:textId="77777777" w:rsidR="00CA562A" w:rsidRPr="00F831C0" w:rsidRDefault="00CA562A" w:rsidP="00BB75CF">
      <w:pPr>
        <w:pStyle w:val="MIRSubpara"/>
      </w:pPr>
      <w:r w:rsidRPr="00F831C0">
        <w:t xml:space="preserve">in the ordinary course of the conduct of its securities or derivatives business; </w:t>
      </w:r>
    </w:p>
    <w:p w14:paraId="188D02C5" w14:textId="77777777" w:rsidR="00CA562A" w:rsidRPr="00F831C0" w:rsidRDefault="00CA562A" w:rsidP="00BB75CF">
      <w:pPr>
        <w:pStyle w:val="MIRSubpara"/>
      </w:pPr>
      <w:r w:rsidRPr="00F831C0">
        <w:t xml:space="preserve">outside the ordinary course of its securities or derivatives business if a maximum liability is specified in the guarantee or indemnity at the time it is entered into; or </w:t>
      </w:r>
    </w:p>
    <w:p w14:paraId="74B010F0" w14:textId="77777777" w:rsidR="007978C0" w:rsidRPr="00F831C0" w:rsidRDefault="00CA562A" w:rsidP="00BB75CF">
      <w:pPr>
        <w:pStyle w:val="MIRSubpara"/>
      </w:pPr>
      <w:r w:rsidRPr="00F831C0">
        <w:t xml:space="preserve">to settle legal proceedings that have been threatened or issued against it, </w:t>
      </w:r>
    </w:p>
    <w:p w14:paraId="2186AB12" w14:textId="77777777" w:rsidR="00CA562A" w:rsidRPr="00F831C0" w:rsidRDefault="00CA562A" w:rsidP="007978C0">
      <w:pPr>
        <w:pStyle w:val="MIRBodyText"/>
      </w:pPr>
      <w:r w:rsidRPr="00F831C0">
        <w:t xml:space="preserve">and must not give a cross-guarantee. </w:t>
      </w:r>
    </w:p>
    <w:p w14:paraId="465D89F6" w14:textId="77777777" w:rsidR="00CA562A" w:rsidRPr="00F831C0" w:rsidRDefault="00CA562A" w:rsidP="00CA562A">
      <w:pPr>
        <w:pStyle w:val="MIRBodyText"/>
      </w:pPr>
      <w:r w:rsidRPr="00F831C0">
        <w:t xml:space="preserve">(2) For the purposes of paragraphs (1)(b) and (c), the expression “ordinary course of the conduct of its securities or derivatives business” includes, but is not limited to, a guarantee or indemnity given by a Market Participant to: </w:t>
      </w:r>
    </w:p>
    <w:p w14:paraId="0D827398" w14:textId="77777777" w:rsidR="0090596A" w:rsidRPr="00F831C0" w:rsidRDefault="00CA562A" w:rsidP="00BB75CF">
      <w:pPr>
        <w:pStyle w:val="MIRSubpara"/>
      </w:pPr>
      <w:r w:rsidRPr="00F831C0">
        <w:t xml:space="preserve">a lessor for lease rental commitments on premises, computer equipment and other property, plant and equipment by the service company of the Market Participant where those premises and equipment are for use exclusively or predominantly by the Market Participant; </w:t>
      </w:r>
    </w:p>
    <w:p w14:paraId="60993DCC" w14:textId="73054AEC" w:rsidR="00CA562A" w:rsidRPr="00F831C0" w:rsidRDefault="00CA562A" w:rsidP="00BB75CF">
      <w:pPr>
        <w:pStyle w:val="MIRSubpara"/>
      </w:pPr>
      <w:r w:rsidRPr="00F831C0">
        <w:t>financial institutions for wit</w:t>
      </w:r>
      <w:r w:rsidR="001364AD" w:rsidRPr="00F831C0">
        <w:t xml:space="preserve">hdrawal of funds by the Market </w:t>
      </w:r>
      <w:r w:rsidRPr="00F831C0">
        <w:t xml:space="preserve">Participant against uncleared cheques; </w:t>
      </w:r>
    </w:p>
    <w:p w14:paraId="71E4A20F" w14:textId="77777777" w:rsidR="00CA562A" w:rsidRPr="00F831C0" w:rsidRDefault="00CA562A" w:rsidP="00BB75CF">
      <w:pPr>
        <w:pStyle w:val="MIRSubpara"/>
      </w:pPr>
      <w:r w:rsidRPr="00F831C0">
        <w:t xml:space="preserve">ASIC to support the issuance of an Australian financial services licence to the Market Participant; and </w:t>
      </w:r>
    </w:p>
    <w:p w14:paraId="6B2A0951" w14:textId="77777777" w:rsidR="00CA7EF6" w:rsidRPr="00F831C0" w:rsidRDefault="00CA562A" w:rsidP="00BB75CF">
      <w:pPr>
        <w:pStyle w:val="MIRSubpara"/>
      </w:pPr>
      <w:r w:rsidRPr="00F831C0">
        <w:t xml:space="preserve">a lessor for lease rental payments on a residence for a member of staff, normally based overseas, who is temporarily located in Australia to perform their duties, </w:t>
      </w:r>
    </w:p>
    <w:p w14:paraId="46B4499C" w14:textId="77777777" w:rsidR="0090596A" w:rsidRPr="00F831C0" w:rsidRDefault="00CA562A" w:rsidP="0090596A">
      <w:pPr>
        <w:pStyle w:val="MIRBodyText"/>
      </w:pPr>
      <w:r w:rsidRPr="00F831C0">
        <w:t xml:space="preserve">but would not normally include: </w:t>
      </w:r>
    </w:p>
    <w:p w14:paraId="0D78AFC8" w14:textId="0E9FA6BF" w:rsidR="00CA562A" w:rsidRPr="00F831C0" w:rsidRDefault="00CA562A" w:rsidP="00CC5149">
      <w:pPr>
        <w:pStyle w:val="MIRSubpara"/>
        <w:numPr>
          <w:ilvl w:val="1"/>
          <w:numId w:val="21"/>
        </w:numPr>
      </w:pPr>
      <w:r w:rsidRPr="00F831C0">
        <w:t xml:space="preserve">charges, guarantees or indemnities given over the financial performance of a subsidiary or Related/Associated Person of the Market Participant; and </w:t>
      </w:r>
    </w:p>
    <w:p w14:paraId="69FC316B" w14:textId="23B6D390" w:rsidR="00CA562A" w:rsidRPr="00F831C0" w:rsidRDefault="00CA562A" w:rsidP="00FB4E7C">
      <w:pPr>
        <w:pStyle w:val="MIRSubpara"/>
        <w:numPr>
          <w:ilvl w:val="1"/>
          <w:numId w:val="112"/>
        </w:numPr>
      </w:pPr>
      <w:r w:rsidRPr="00F831C0">
        <w:t xml:space="preserve">charges, guarantees or indemnities given to support </w:t>
      </w:r>
      <w:r w:rsidR="006A5D6E">
        <w:t>u</w:t>
      </w:r>
      <w:r w:rsidRPr="00F831C0">
        <w:t xml:space="preserve">nderwriting activities that are not booked in the Market Participant. </w:t>
      </w:r>
    </w:p>
    <w:p w14:paraId="0B00C4B2" w14:textId="17972CE9" w:rsidR="00CA562A" w:rsidRPr="00F831C0" w:rsidRDefault="00CA562A" w:rsidP="00CA562A">
      <w:pPr>
        <w:pStyle w:val="MIRBodyText"/>
      </w:pPr>
      <w:r w:rsidRPr="00F831C0">
        <w:t xml:space="preserve">(3) A Market Participant that is a member of a consolidated group within the meaning of section 703-5 of the </w:t>
      </w:r>
      <w:r w:rsidRPr="00F831C0">
        <w:rPr>
          <w:i/>
          <w:iCs/>
        </w:rPr>
        <w:t xml:space="preserve">Income Tax Assessment Act 1997 </w:t>
      </w:r>
      <w:r w:rsidRPr="00F831C0">
        <w:t xml:space="preserve">(Cth) must, when it first becomes a member of that group, report in the “Additional Comments” section of the next Monthly </w:t>
      </w:r>
      <w:r w:rsidR="006218CE" w:rsidRPr="00F831C0">
        <w:t xml:space="preserve">Risk-Based </w:t>
      </w:r>
      <w:r w:rsidRPr="00F831C0">
        <w:t xml:space="preserve">Return required by Rule 9.2.3: </w:t>
      </w:r>
    </w:p>
    <w:p w14:paraId="37868694" w14:textId="77777777" w:rsidR="0090596A" w:rsidRPr="00F831C0" w:rsidRDefault="00CA562A" w:rsidP="00BB75CF">
      <w:pPr>
        <w:pStyle w:val="MIRSubpara"/>
      </w:pPr>
      <w:r w:rsidRPr="00F831C0">
        <w:t xml:space="preserve">the date its group elected to become a consolidated group; </w:t>
      </w:r>
    </w:p>
    <w:p w14:paraId="3EE5B229" w14:textId="77777777" w:rsidR="00CA562A" w:rsidRPr="00F831C0" w:rsidRDefault="00CA562A" w:rsidP="00BB75CF">
      <w:pPr>
        <w:pStyle w:val="MIRSubpara"/>
      </w:pPr>
      <w:r w:rsidRPr="00F831C0">
        <w:lastRenderedPageBreak/>
        <w:t xml:space="preserve">the date it entered into a tax sharing agreement (if applicable); </w:t>
      </w:r>
    </w:p>
    <w:p w14:paraId="0CF092EF" w14:textId="7D2D2697" w:rsidR="00CA562A" w:rsidRPr="00F831C0" w:rsidRDefault="00CA562A" w:rsidP="00BB75CF">
      <w:pPr>
        <w:pStyle w:val="MIRSubpara"/>
      </w:pPr>
      <w:r w:rsidRPr="00F831C0">
        <w:t xml:space="preserve">the date it entered into a tax funding agreement (if applicable); and </w:t>
      </w:r>
    </w:p>
    <w:p w14:paraId="04418B9B" w14:textId="77777777" w:rsidR="00CA562A" w:rsidRPr="00F831C0" w:rsidRDefault="00CA562A" w:rsidP="00BB75CF">
      <w:pPr>
        <w:pStyle w:val="MIRSubpara"/>
      </w:pPr>
      <w:r w:rsidRPr="00F831C0">
        <w:t xml:space="preserve">any other information that may be relevant in assessing the Market Participant’s financial position as a result of it being part of a consolidated group, </w:t>
      </w:r>
    </w:p>
    <w:p w14:paraId="6195764C" w14:textId="77777777" w:rsidR="00CA562A" w:rsidRPr="00F831C0" w:rsidRDefault="00CA562A" w:rsidP="00CA562A">
      <w:pPr>
        <w:pStyle w:val="MIRBodyText"/>
      </w:pPr>
      <w:r w:rsidRPr="00F831C0">
        <w:t xml:space="preserve">and any changes to these details must be reported in the “Additional Comments” section of subsequent Monthly </w:t>
      </w:r>
      <w:r w:rsidR="006218CE" w:rsidRPr="00F831C0">
        <w:t xml:space="preserve">Risk-Based </w:t>
      </w:r>
      <w:r w:rsidRPr="00F831C0">
        <w:t xml:space="preserve">Returns required by Rule 9.2.3. </w:t>
      </w:r>
    </w:p>
    <w:p w14:paraId="115CE3CF" w14:textId="079B3996" w:rsidR="0090596A" w:rsidRPr="00F831C0" w:rsidRDefault="00CA562A" w:rsidP="00D72FAC">
      <w:pPr>
        <w:pStyle w:val="MIRHeading3Rule"/>
      </w:pPr>
      <w:r w:rsidRPr="00F831C0">
        <w:t>S1A.2.7</w:t>
      </w:r>
      <w:r w:rsidR="00F06A75" w:rsidRPr="00F831C0">
        <w:tab/>
      </w:r>
      <w:r w:rsidRPr="00F831C0">
        <w:t xml:space="preserve">Records and </w:t>
      </w:r>
      <w:r w:rsidR="00323F82" w:rsidRPr="00F831C0">
        <w:t>a</w:t>
      </w:r>
      <w:r w:rsidRPr="00F831C0">
        <w:t xml:space="preserve">ccounts </w:t>
      </w:r>
    </w:p>
    <w:p w14:paraId="339C2D47" w14:textId="06587DA0" w:rsidR="00CA562A" w:rsidRPr="00F831C0" w:rsidRDefault="00CA562A" w:rsidP="00CA562A">
      <w:pPr>
        <w:pStyle w:val="MIRBodyText"/>
      </w:pPr>
      <w:r w:rsidRPr="00F831C0">
        <w:t xml:space="preserve">(1) A Market Participant must maintain records and working papers in sufficient detail to show continuous compliance with Rule S1A.2.1 for </w:t>
      </w:r>
      <w:r w:rsidR="00856235" w:rsidRPr="00F831C0">
        <w:t xml:space="preserve">seven </w:t>
      </w:r>
      <w:r w:rsidRPr="00F831C0">
        <w:t xml:space="preserve">years. </w:t>
      </w:r>
    </w:p>
    <w:p w14:paraId="0981D5A9" w14:textId="77777777" w:rsidR="00CA562A" w:rsidRPr="00F831C0" w:rsidRDefault="00CA562A" w:rsidP="00CA562A">
      <w:pPr>
        <w:pStyle w:val="MIRBodyText"/>
      </w:pPr>
      <w:r w:rsidRPr="00F831C0">
        <w:t xml:space="preserve">(2) The records and working papers referred to in subrule (1) must, at a minimum: </w:t>
      </w:r>
    </w:p>
    <w:p w14:paraId="54EE7834" w14:textId="77777777" w:rsidR="0090596A" w:rsidRPr="00F831C0" w:rsidRDefault="00CA562A" w:rsidP="00BB75CF">
      <w:pPr>
        <w:pStyle w:val="MIRSubpara"/>
      </w:pPr>
      <w:r w:rsidRPr="00F831C0">
        <w:t xml:space="preserve">show the nature of the outstanding transactions and commitments for which the Market Participant was liable; </w:t>
      </w:r>
    </w:p>
    <w:p w14:paraId="5B864B7D" w14:textId="77777777" w:rsidR="00CA562A" w:rsidRPr="00F831C0" w:rsidRDefault="00CA562A" w:rsidP="00BB75CF">
      <w:pPr>
        <w:pStyle w:val="MIRSubpara"/>
      </w:pPr>
      <w:r w:rsidRPr="00F831C0">
        <w:t xml:space="preserve">disclose the financial position of the Market Participant at any point in time; </w:t>
      </w:r>
    </w:p>
    <w:p w14:paraId="4A0AEA21" w14:textId="56055D5E" w:rsidR="00CA562A" w:rsidRPr="00F831C0" w:rsidRDefault="00CA562A" w:rsidP="00BB75CF">
      <w:pPr>
        <w:pStyle w:val="MIRSubpara"/>
      </w:pPr>
      <w:r w:rsidRPr="00F831C0">
        <w:t>detail and support the calculations required to quantify the Total Risk Requirement and demonstrate that the Market Participant was complying with the Risk</w:t>
      </w:r>
      <w:r w:rsidR="00D973E2" w:rsidRPr="00F831C0">
        <w:t>-</w:t>
      </w:r>
      <w:r w:rsidRPr="00F831C0">
        <w:t xml:space="preserve">Based Capital Requirements; </w:t>
      </w:r>
    </w:p>
    <w:p w14:paraId="1FC4C729" w14:textId="77777777" w:rsidR="00CA562A" w:rsidRPr="00F831C0" w:rsidRDefault="00CA562A" w:rsidP="00BB75CF">
      <w:pPr>
        <w:pStyle w:val="MIRSubpara"/>
      </w:pPr>
      <w:r w:rsidRPr="00F831C0">
        <w:t xml:space="preserve">permit the Market Participant to prepare a return required by these Rules using those records if so requested; and </w:t>
      </w:r>
    </w:p>
    <w:p w14:paraId="5B193B32" w14:textId="77777777" w:rsidR="00CA562A" w:rsidRPr="00F831C0" w:rsidRDefault="00CA562A" w:rsidP="00BB75CF">
      <w:pPr>
        <w:pStyle w:val="MIRSubpara"/>
      </w:pPr>
      <w:r w:rsidRPr="00F831C0">
        <w:t xml:space="preserve">permit the Market Participant to reproduce a calculation of its Liquid Capital or Total Risk Requirement at the close of business on each day in the seven year period. </w:t>
      </w:r>
    </w:p>
    <w:p w14:paraId="7200DC0E" w14:textId="77777777" w:rsidR="00CA562A" w:rsidRPr="00F831C0" w:rsidRDefault="00CA562A" w:rsidP="00CA562A">
      <w:pPr>
        <w:pStyle w:val="MIRBodyText"/>
      </w:pPr>
      <w:r w:rsidRPr="00F831C0">
        <w:t xml:space="preserve">(3) A Market Participant must prepare its accounts and returns in accordance with accounting standards which are generally accepted in Australia, unless ASIC approves otherwise. </w:t>
      </w:r>
    </w:p>
    <w:p w14:paraId="2606FEB2" w14:textId="77777777" w:rsidR="00CA562A" w:rsidRPr="00F831C0" w:rsidRDefault="00CA562A" w:rsidP="00CA562A">
      <w:pPr>
        <w:pStyle w:val="MIRBodyText"/>
      </w:pPr>
      <w:r w:rsidRPr="00F831C0">
        <w:t xml:space="preserve">(4) A Market Participant must take any amounts arising from the marking-to-market of principal positions in Financial Instruments to the Market Participant’s profit and loss account immediately and include those amounts in the Market Participant’s overall accounting for taxation. </w:t>
      </w:r>
    </w:p>
    <w:p w14:paraId="7565C502" w14:textId="77777777" w:rsidR="00CA562A" w:rsidRPr="00F831C0" w:rsidRDefault="00CA562A" w:rsidP="00CA562A">
      <w:pPr>
        <w:pStyle w:val="MIRBodyText"/>
      </w:pPr>
      <w:r w:rsidRPr="00F831C0">
        <w:t xml:space="preserve">(5) A Market Participant must record a transaction in its accounts on the date on which it enters into an irrevocable commitment to carry out the transaction. </w:t>
      </w:r>
    </w:p>
    <w:p w14:paraId="307AFE18" w14:textId="58F05564" w:rsidR="0090596A" w:rsidRPr="00F831C0" w:rsidRDefault="00CA562A" w:rsidP="00D72FAC">
      <w:pPr>
        <w:pStyle w:val="MIRHeading3Rule"/>
      </w:pPr>
      <w:r w:rsidRPr="00F831C0">
        <w:t>S1A.2.8</w:t>
      </w:r>
      <w:r w:rsidR="00F06A75" w:rsidRPr="00F831C0">
        <w:tab/>
      </w:r>
      <w:r w:rsidRPr="00F831C0">
        <w:t xml:space="preserve">Valuations and </w:t>
      </w:r>
      <w:r w:rsidR="00323F82" w:rsidRPr="00F831C0">
        <w:t>f</w:t>
      </w:r>
      <w:r w:rsidRPr="00F831C0">
        <w:t xml:space="preserve">oreign </w:t>
      </w:r>
      <w:r w:rsidR="00323F82" w:rsidRPr="00F831C0">
        <w:t>c</w:t>
      </w:r>
      <w:r w:rsidRPr="00F831C0">
        <w:t xml:space="preserve">urrencies </w:t>
      </w:r>
    </w:p>
    <w:p w14:paraId="7972ADD7" w14:textId="77777777" w:rsidR="00CA562A" w:rsidRPr="00F831C0" w:rsidRDefault="00CA562A" w:rsidP="00CA562A">
      <w:pPr>
        <w:pStyle w:val="MIRBodyText"/>
      </w:pPr>
      <w:r w:rsidRPr="00F831C0">
        <w:t xml:space="preserve">(1) A Market Participant must mark to market each of its principal positions in Financial Instruments unless Schedule 1A provides otherwise: </w:t>
      </w:r>
    </w:p>
    <w:p w14:paraId="3F840A1D" w14:textId="77777777" w:rsidR="0090596A" w:rsidRPr="00F831C0" w:rsidRDefault="00CA562A" w:rsidP="00742665">
      <w:pPr>
        <w:pStyle w:val="MIRSubpara"/>
        <w:spacing w:before="80"/>
      </w:pPr>
      <w:r w:rsidRPr="00F831C0">
        <w:t xml:space="preserve">at least once every Business Day; and </w:t>
      </w:r>
    </w:p>
    <w:p w14:paraId="4784E1DC" w14:textId="77777777" w:rsidR="00CA562A" w:rsidRPr="00F831C0" w:rsidRDefault="00CA562A" w:rsidP="00CD75FC">
      <w:pPr>
        <w:pStyle w:val="MIRSubpara"/>
        <w:keepNext/>
        <w:spacing w:before="80"/>
      </w:pPr>
      <w:r w:rsidRPr="00F831C0">
        <w:lastRenderedPageBreak/>
        <w:t xml:space="preserve">in the following manner: </w:t>
      </w:r>
    </w:p>
    <w:p w14:paraId="4FD9A144" w14:textId="01E01622" w:rsidR="00CA562A" w:rsidRPr="00F831C0" w:rsidRDefault="00CA562A" w:rsidP="00742665">
      <w:pPr>
        <w:pStyle w:val="MIRSubsubpara"/>
        <w:spacing w:before="80"/>
      </w:pPr>
      <w:r w:rsidRPr="00F831C0">
        <w:t>subject to subparagraphs (ii) to (</w:t>
      </w:r>
      <w:r w:rsidR="00887C05">
        <w:t>i</w:t>
      </w:r>
      <w:r w:rsidRPr="00F831C0">
        <w:t xml:space="preserve">v), a position must be valued at its closing market price: </w:t>
      </w:r>
    </w:p>
    <w:p w14:paraId="6B0CA091" w14:textId="77777777" w:rsidR="0090596A" w:rsidRPr="00F831C0" w:rsidRDefault="00CA562A" w:rsidP="00742665">
      <w:pPr>
        <w:pStyle w:val="MIRsubsubsubpara"/>
        <w:spacing w:before="80"/>
      </w:pPr>
      <w:r w:rsidRPr="00F831C0">
        <w:t xml:space="preserve">which is the current bid price for a long position; and </w:t>
      </w:r>
    </w:p>
    <w:p w14:paraId="5E78C5F9" w14:textId="77777777" w:rsidR="0046779E" w:rsidRPr="00F831C0" w:rsidRDefault="00CA562A" w:rsidP="00742665">
      <w:pPr>
        <w:pStyle w:val="MIRsubsubsubpara"/>
        <w:spacing w:before="80"/>
      </w:pPr>
      <w:r w:rsidRPr="00F831C0">
        <w:t xml:space="preserve">which is the current offer price for a short position; </w:t>
      </w:r>
    </w:p>
    <w:p w14:paraId="5A4FBF7E" w14:textId="77777777" w:rsidR="00CA562A" w:rsidRPr="00F831C0" w:rsidRDefault="00CA562A" w:rsidP="00742665">
      <w:pPr>
        <w:pStyle w:val="MIRsubsubsubpara"/>
        <w:numPr>
          <w:ilvl w:val="0"/>
          <w:numId w:val="0"/>
        </w:numPr>
        <w:spacing w:before="80"/>
        <w:ind w:left="2126" w:hanging="425"/>
      </w:pPr>
      <w:r w:rsidRPr="00F831C0">
        <w:t xml:space="preserve">or at last price, closing price or mid price; </w:t>
      </w:r>
    </w:p>
    <w:p w14:paraId="74D0E16C" w14:textId="77777777" w:rsidR="00CA562A" w:rsidRPr="00F831C0" w:rsidRDefault="00CA562A" w:rsidP="00742665">
      <w:pPr>
        <w:pStyle w:val="MIRSubsubpara"/>
        <w:spacing w:before="80"/>
      </w:pPr>
      <w:r w:rsidRPr="00F831C0">
        <w:t xml:space="preserve">an exchange traded Option position may be valued using the “fair value” published by a reputable independent information source, where the “fair value” source is used consistently across all exchange traded Option positions of the Market Participant at all times; </w:t>
      </w:r>
    </w:p>
    <w:p w14:paraId="0C64CF71" w14:textId="72ED29A7" w:rsidR="00CA562A" w:rsidRPr="00F831C0" w:rsidRDefault="00CA562A" w:rsidP="00742665">
      <w:pPr>
        <w:pStyle w:val="MIRSubsubpara"/>
        <w:spacing w:before="80"/>
      </w:pPr>
      <w:r w:rsidRPr="00F831C0">
        <w:t xml:space="preserve">an Option or rights position which does not have a published market price under subparagraph (i) or which cannot be valued using the “fair value” under subparagraph (ii) must be valued as follows: </w:t>
      </w:r>
    </w:p>
    <w:p w14:paraId="1276E869" w14:textId="77777777" w:rsidR="0090596A" w:rsidRPr="00F831C0" w:rsidRDefault="00CA562A" w:rsidP="00742665">
      <w:pPr>
        <w:pStyle w:val="MIRsubsubsubpara"/>
        <w:spacing w:before="80"/>
      </w:pPr>
      <w:r w:rsidRPr="00F831C0">
        <w:t xml:space="preserve">for a purchased Option or right, the In the Money amount multiplied by the quantity underlying the Option; and </w:t>
      </w:r>
    </w:p>
    <w:p w14:paraId="76BECD1F" w14:textId="77777777" w:rsidR="00CA562A" w:rsidRPr="00F831C0" w:rsidRDefault="00CA562A" w:rsidP="00742665">
      <w:pPr>
        <w:pStyle w:val="MIRsubsubsubpara"/>
        <w:spacing w:before="80"/>
        <w:rPr>
          <w:spacing w:val="-2"/>
        </w:rPr>
      </w:pPr>
      <w:r w:rsidRPr="00F831C0">
        <w:rPr>
          <w:spacing w:val="-2"/>
        </w:rPr>
        <w:t xml:space="preserve">for a written Option, the sum of the In the Money amount multiplied by the quantity underlying the Option and the initial premium received for the Option; </w:t>
      </w:r>
    </w:p>
    <w:p w14:paraId="10D01B52" w14:textId="77777777" w:rsidR="00CA562A" w:rsidRPr="00F831C0" w:rsidRDefault="00CA562A" w:rsidP="00742665">
      <w:pPr>
        <w:pStyle w:val="MIRSubsubpara"/>
        <w:spacing w:before="80"/>
      </w:pPr>
      <w:r w:rsidRPr="00F831C0">
        <w:t xml:space="preserve">a Swap or a Forward Rate Agreement must be valued: </w:t>
      </w:r>
    </w:p>
    <w:p w14:paraId="1AB4D269" w14:textId="77777777" w:rsidR="0090596A" w:rsidRPr="00F831C0" w:rsidRDefault="00CA562A" w:rsidP="00742665">
      <w:pPr>
        <w:pStyle w:val="MIRsubsubsubpara"/>
        <w:spacing w:before="80"/>
        <w:rPr>
          <w:spacing w:val="-4"/>
        </w:rPr>
      </w:pPr>
      <w:r w:rsidRPr="00F831C0">
        <w:rPr>
          <w:spacing w:val="-4"/>
        </w:rPr>
        <w:t xml:space="preserve">having regard to the net present value of the future cash flows of the contract; and </w:t>
      </w:r>
    </w:p>
    <w:p w14:paraId="25F8D3C6" w14:textId="77777777" w:rsidR="00CA562A" w:rsidRPr="00F831C0" w:rsidRDefault="00CA562A" w:rsidP="00742665">
      <w:pPr>
        <w:pStyle w:val="MIRsubsubsubpara"/>
        <w:spacing w:before="80"/>
      </w:pPr>
      <w:r w:rsidRPr="00F831C0">
        <w:t xml:space="preserve">using current interest rates relevant to the periods in which the cash flows will arise. </w:t>
      </w:r>
    </w:p>
    <w:p w14:paraId="55E10D4C" w14:textId="0F63ECD9" w:rsidR="00CA562A" w:rsidRPr="00F831C0" w:rsidRDefault="00CA562A" w:rsidP="00742665">
      <w:pPr>
        <w:pStyle w:val="MIRBodyText"/>
        <w:spacing w:before="160"/>
      </w:pPr>
      <w:r w:rsidRPr="00F831C0">
        <w:t>(2) For the purposes of sub-subparagraph (1)(b)(i</w:t>
      </w:r>
      <w:r w:rsidR="00887C05">
        <w:t>ii</w:t>
      </w:r>
      <w:r w:rsidRPr="00F831C0">
        <w:t xml:space="preserve">)(B), if a written Option was In the Money at the time the contract was written, the In the Money amount for the purposes of this Rule may be taken to be the current In the Money amount less the In the Money amount at the time the contract was written. </w:t>
      </w:r>
    </w:p>
    <w:p w14:paraId="35C8098E" w14:textId="77777777" w:rsidR="00CA562A" w:rsidRPr="00F831C0" w:rsidRDefault="00CA562A" w:rsidP="00742665">
      <w:pPr>
        <w:pStyle w:val="MIRBodyText"/>
        <w:spacing w:before="160"/>
      </w:pPr>
      <w:r w:rsidRPr="00F831C0">
        <w:t xml:space="preserve">(3) If a Market Participant holds a Financial Instrument denominated in a foreign currency then it: </w:t>
      </w:r>
    </w:p>
    <w:p w14:paraId="56236A78" w14:textId="77777777" w:rsidR="0090596A" w:rsidRPr="00F831C0" w:rsidRDefault="00CA562A" w:rsidP="00BB75CF">
      <w:pPr>
        <w:pStyle w:val="MIRSubpara"/>
      </w:pPr>
      <w:r w:rsidRPr="00F831C0">
        <w:t xml:space="preserve">must calculate a risk amount for each risk type in that foreign currency; and </w:t>
      </w:r>
    </w:p>
    <w:p w14:paraId="27B86E4A" w14:textId="77777777" w:rsidR="00CA562A" w:rsidRPr="00F831C0" w:rsidRDefault="00CA562A" w:rsidP="00BB75CF">
      <w:pPr>
        <w:pStyle w:val="MIRSubpara"/>
      </w:pPr>
      <w:r w:rsidRPr="00F831C0">
        <w:t xml:space="preserve">convert the risk amount in paragraph (a) to Australian dollars at the Market Spot Exchange Rate, </w:t>
      </w:r>
    </w:p>
    <w:p w14:paraId="696BC78D" w14:textId="42D8D78E" w:rsidR="00CA562A" w:rsidRPr="00F831C0" w:rsidRDefault="00CA562A" w:rsidP="00742665">
      <w:pPr>
        <w:pStyle w:val="MIRBodyText"/>
        <w:spacing w:before="160"/>
      </w:pPr>
      <w:r w:rsidRPr="00F831C0">
        <w:t>in all cases other than where the Market Participant is calculating risk amounts for the purposes of Parts A3.18 to A3.22 of Annexure 3 to this Schedule 1A or where this Schedule</w:t>
      </w:r>
      <w:r w:rsidR="00E736EC" w:rsidRPr="00F831C0">
        <w:t> </w:t>
      </w:r>
      <w:r w:rsidRPr="00F831C0">
        <w:t xml:space="preserve">1A expressly provides otherwise. </w:t>
      </w:r>
    </w:p>
    <w:p w14:paraId="537E369C" w14:textId="68673B79" w:rsidR="0090596A" w:rsidRPr="00F831C0" w:rsidRDefault="00CA562A" w:rsidP="003D34F3">
      <w:pPr>
        <w:pStyle w:val="MIRHeading3Rule"/>
        <w:keepNext/>
        <w:spacing w:before="320"/>
      </w:pPr>
      <w:r w:rsidRPr="00F831C0">
        <w:t>S1A.2.9</w:t>
      </w:r>
      <w:r w:rsidR="00F06A75" w:rsidRPr="00F831C0">
        <w:tab/>
      </w:r>
      <w:r w:rsidRPr="00F831C0">
        <w:t xml:space="preserve">Unusual or </w:t>
      </w:r>
      <w:r w:rsidR="00323F82" w:rsidRPr="00F831C0">
        <w:t>n</w:t>
      </w:r>
      <w:r w:rsidRPr="00F831C0">
        <w:t>on-</w:t>
      </w:r>
      <w:r w:rsidR="00323F82" w:rsidRPr="00F831C0">
        <w:t>s</w:t>
      </w:r>
      <w:r w:rsidRPr="00F831C0">
        <w:t xml:space="preserve">tandard </w:t>
      </w:r>
      <w:r w:rsidR="00323F82" w:rsidRPr="00F831C0">
        <w:t>e</w:t>
      </w:r>
      <w:r w:rsidRPr="00F831C0">
        <w:t xml:space="preserve">xposures </w:t>
      </w:r>
    </w:p>
    <w:p w14:paraId="39B98E5A" w14:textId="77777777" w:rsidR="00272D6B" w:rsidRDefault="00272D6B" w:rsidP="003D34F3">
      <w:pPr>
        <w:pStyle w:val="MIRBodyText"/>
        <w:keepNext/>
        <w:spacing w:before="160"/>
      </w:pPr>
      <w:r>
        <w:t>The Non-Standard Risk Requirement:</w:t>
      </w:r>
    </w:p>
    <w:p w14:paraId="234D098B" w14:textId="77777777" w:rsidR="00272D6B" w:rsidRDefault="00272D6B" w:rsidP="00E26929">
      <w:pPr>
        <w:pStyle w:val="subparaa"/>
        <w:numPr>
          <w:ilvl w:val="1"/>
          <w:numId w:val="58"/>
        </w:numPr>
        <w:tabs>
          <w:tab w:val="clear" w:pos="2693"/>
          <w:tab w:val="num" w:pos="3544"/>
        </w:tabs>
        <w:ind w:left="1276"/>
      </w:pPr>
      <w:r>
        <w:t>in relation to each exposure arising from a transaction referred to in Rule S1A.2.9A, S1A.2.9B, S1A.2.9C or S1A.2.9D, is the amount calculated in accordance with the relevant Rule;</w:t>
      </w:r>
    </w:p>
    <w:p w14:paraId="2C01F0DD" w14:textId="0781FA02" w:rsidR="00CA562A" w:rsidRPr="00F831C0" w:rsidRDefault="00272D6B" w:rsidP="00E26929">
      <w:pPr>
        <w:pStyle w:val="subparaa"/>
        <w:numPr>
          <w:ilvl w:val="1"/>
          <w:numId w:val="58"/>
        </w:numPr>
        <w:tabs>
          <w:tab w:val="clear" w:pos="2693"/>
          <w:tab w:val="num" w:pos="3544"/>
        </w:tabs>
        <w:ind w:left="1276"/>
      </w:pPr>
      <w:r>
        <w:lastRenderedPageBreak/>
        <w:t>in relation to each</w:t>
      </w:r>
      <w:r w:rsidR="00CA562A" w:rsidRPr="00F831C0">
        <w:t xml:space="preserve"> exposure arising from a transaction which is not: </w:t>
      </w:r>
    </w:p>
    <w:p w14:paraId="6182213B" w14:textId="77777777" w:rsidR="0090596A" w:rsidRPr="00F831C0" w:rsidRDefault="00CA562A" w:rsidP="00E26929">
      <w:pPr>
        <w:pStyle w:val="MIRSubsubpara"/>
      </w:pPr>
      <w:r w:rsidRPr="00F831C0">
        <w:t xml:space="preserve">specifically described in this Schedule 1A; or </w:t>
      </w:r>
    </w:p>
    <w:p w14:paraId="5841B132" w14:textId="77777777" w:rsidR="00CA562A" w:rsidRPr="00F831C0" w:rsidRDefault="00CA562A" w:rsidP="00E26929">
      <w:pPr>
        <w:pStyle w:val="MIRSubsubpara"/>
      </w:pPr>
      <w:r w:rsidRPr="00F831C0">
        <w:t xml:space="preserve">is not in a form which readily fits within this Schedule 1A, </w:t>
      </w:r>
    </w:p>
    <w:p w14:paraId="6B37A00E" w14:textId="2060C28B" w:rsidR="00CA562A" w:rsidRPr="00F831C0" w:rsidRDefault="00CA562A" w:rsidP="00742665">
      <w:pPr>
        <w:pStyle w:val="MIRBodyText"/>
        <w:spacing w:before="160"/>
      </w:pPr>
      <w:r w:rsidRPr="00F831C0">
        <w:t xml:space="preserve">is the full market value of the transaction unless ASIC approves otherwise. </w:t>
      </w:r>
    </w:p>
    <w:p w14:paraId="4BEE8AE0" w14:textId="46D16BD5" w:rsidR="0090596A" w:rsidRPr="00F831C0" w:rsidRDefault="00CA562A" w:rsidP="00742665">
      <w:pPr>
        <w:pStyle w:val="MIRHeading3Rule"/>
        <w:spacing w:before="320"/>
      </w:pPr>
      <w:r w:rsidRPr="00F831C0">
        <w:t>S1A.2.9A</w:t>
      </w:r>
      <w:r w:rsidR="00F06A75" w:rsidRPr="00F831C0">
        <w:tab/>
      </w:r>
      <w:r w:rsidRPr="00F831C0">
        <w:t xml:space="preserve">Margin lending facilities </w:t>
      </w:r>
    </w:p>
    <w:p w14:paraId="19528F3D" w14:textId="77777777" w:rsidR="00CA562A" w:rsidRPr="00F831C0" w:rsidRDefault="00CA562A" w:rsidP="00742665">
      <w:pPr>
        <w:pStyle w:val="MIRBodyText"/>
        <w:spacing w:before="160"/>
      </w:pPr>
      <w:r w:rsidRPr="00F831C0">
        <w:t xml:space="preserve">Where a Market Participant offers margin lending facilities to clients: </w:t>
      </w:r>
    </w:p>
    <w:p w14:paraId="0F4DE52A" w14:textId="77777777" w:rsidR="0090596A" w:rsidRPr="00F831C0" w:rsidRDefault="00CA562A" w:rsidP="00742665">
      <w:pPr>
        <w:pStyle w:val="MIRSubpara"/>
        <w:spacing w:before="80"/>
      </w:pPr>
      <w:r w:rsidRPr="00F831C0">
        <w:t xml:space="preserve">the risk requirement for the exposure with respect to margin calls is: </w:t>
      </w:r>
    </w:p>
    <w:p w14:paraId="3A5D331B" w14:textId="77777777" w:rsidR="00CA562A" w:rsidRPr="00F831C0" w:rsidRDefault="00CA562A" w:rsidP="00742665">
      <w:pPr>
        <w:pStyle w:val="MIRSubsubpara"/>
        <w:spacing w:before="80"/>
      </w:pPr>
      <w:r w:rsidRPr="00F831C0">
        <w:t xml:space="preserve">equal to 100% of the margin call that the Market Participant makes on a client, where that margin call has either not been paid by the client, or sufficient of the underlying securities have not been sold by the Market Participant to cover the margin call; and </w:t>
      </w:r>
    </w:p>
    <w:p w14:paraId="247E6B27" w14:textId="1EC0F5C8" w:rsidR="00CA562A" w:rsidRDefault="00CA562A" w:rsidP="00742665">
      <w:pPr>
        <w:pStyle w:val="MIRSubsubpara"/>
        <w:spacing w:before="80"/>
      </w:pPr>
      <w:r w:rsidRPr="00F831C0">
        <w:t xml:space="preserve">applies from the time the margin payment was due; and </w:t>
      </w:r>
    </w:p>
    <w:p w14:paraId="6BA1BD9D" w14:textId="1D380CE0" w:rsidR="006E47E4" w:rsidRDefault="006E47E4" w:rsidP="00742665">
      <w:pPr>
        <w:pStyle w:val="MIRSubsubpara"/>
        <w:spacing w:before="80"/>
      </w:pPr>
      <w:r>
        <w:t>ceases from the earlier of:</w:t>
      </w:r>
    </w:p>
    <w:p w14:paraId="0A52B829" w14:textId="667B82EA" w:rsidR="006E47E4" w:rsidRDefault="006E47E4" w:rsidP="00E26929">
      <w:pPr>
        <w:pStyle w:val="MIRsubsubsubpara"/>
      </w:pPr>
      <w:r>
        <w:t>the time the margin call has been paid in full; or</w:t>
      </w:r>
    </w:p>
    <w:p w14:paraId="2B5A2E11" w14:textId="0F79F982" w:rsidR="006E47E4" w:rsidRDefault="006E47E4" w:rsidP="00E26929">
      <w:pPr>
        <w:pStyle w:val="MIRsubsubsubpara"/>
      </w:pPr>
      <w:r>
        <w:t>the time sufficient of the underlying securities have been sold by the Market Participant to cover the margin call; or</w:t>
      </w:r>
    </w:p>
    <w:p w14:paraId="55659D1C" w14:textId="3114391A" w:rsidR="006E47E4" w:rsidRPr="00F831C0" w:rsidRDefault="006E47E4" w:rsidP="00E26929">
      <w:pPr>
        <w:pStyle w:val="MIRsubsubsubpara"/>
      </w:pPr>
      <w:r>
        <w:t>the time the debt in respect of the margin payment has been written off; and</w:t>
      </w:r>
    </w:p>
    <w:p w14:paraId="20E17091" w14:textId="77777777" w:rsidR="00CA562A" w:rsidRPr="00F831C0" w:rsidRDefault="00CA562A" w:rsidP="00742665">
      <w:pPr>
        <w:pStyle w:val="MIRSubpara"/>
        <w:spacing w:before="80"/>
      </w:pPr>
      <w:r w:rsidRPr="00F831C0">
        <w:t xml:space="preserve">where the client’s actual gearing level exceeds the maximum permitted gearing level by more than 5%, the full amount needed to bring the loan balance back to the maximum permitted gearing level must be taken as the risk requirement for the exposure immediately, regardless of whether the Market Participant has made a margin call on the client. </w:t>
      </w:r>
    </w:p>
    <w:p w14:paraId="6462C6C9" w14:textId="5C2597C2" w:rsidR="0090596A" w:rsidRPr="00F831C0" w:rsidRDefault="00CA562A" w:rsidP="00742665">
      <w:pPr>
        <w:pStyle w:val="MIRHeading3Rule"/>
        <w:spacing w:before="320"/>
      </w:pPr>
      <w:r w:rsidRPr="00F831C0">
        <w:t>S1A.2.9B</w:t>
      </w:r>
      <w:r w:rsidR="00F06A75" w:rsidRPr="00F831C0">
        <w:tab/>
      </w:r>
      <w:r w:rsidRPr="00F831C0">
        <w:t xml:space="preserve">Hybrid ETFs </w:t>
      </w:r>
    </w:p>
    <w:p w14:paraId="3C70F8D8" w14:textId="77777777" w:rsidR="00CA562A" w:rsidRPr="00F831C0" w:rsidRDefault="00CA562A" w:rsidP="00742665">
      <w:pPr>
        <w:pStyle w:val="MIRBodyText"/>
        <w:spacing w:before="160"/>
      </w:pPr>
      <w:r w:rsidRPr="00F831C0">
        <w:t xml:space="preserve">Where a Market Participant holds a principal position in a Hybrid ETF that contains a material percentage of assets other than physical Equity securities, physical Debt Instruments or property, the Market Participant must treat the position as a non-standard exposure and the risk requirement must be the full market value of the Hybrid ETF, unless ASIC approves otherwise. </w:t>
      </w:r>
    </w:p>
    <w:p w14:paraId="1111815F" w14:textId="293BC43F" w:rsidR="0090596A" w:rsidRPr="00F831C0" w:rsidRDefault="00CA562A" w:rsidP="009926F2">
      <w:pPr>
        <w:pStyle w:val="MIRHeading3Rule"/>
        <w:keepNext/>
        <w:spacing w:before="320"/>
      </w:pPr>
      <w:r w:rsidRPr="00F831C0">
        <w:t>S1A.2.9C</w:t>
      </w:r>
      <w:r w:rsidR="00F06A75" w:rsidRPr="00F831C0">
        <w:tab/>
      </w:r>
      <w:r w:rsidRPr="00F831C0">
        <w:t xml:space="preserve">Other Managed Funds </w:t>
      </w:r>
    </w:p>
    <w:p w14:paraId="679CCE8F" w14:textId="77777777" w:rsidR="00CA562A" w:rsidRPr="00F831C0" w:rsidRDefault="00CA562A" w:rsidP="00742665">
      <w:pPr>
        <w:pStyle w:val="MIRBodyText"/>
        <w:spacing w:before="160"/>
      </w:pPr>
      <w:r w:rsidRPr="00F831C0">
        <w:t xml:space="preserve">Where a Market Participant has a principal position in an Other Managed Fund that contains a material percentage of assets other than physical Equity securities, physical Debt Instruments or property, the Market Participant must treat the principal position as a non-standard exposure and the risk requirement must be the full market value of the Other Managed Fund, unless ASIC approves otherwise. </w:t>
      </w:r>
    </w:p>
    <w:p w14:paraId="18E30C04" w14:textId="11102897" w:rsidR="00742DC9" w:rsidRDefault="00742DC9" w:rsidP="00FB4E7C">
      <w:pPr>
        <w:pStyle w:val="MIRHeading3Rule"/>
        <w:keepNext/>
      </w:pPr>
      <w:r>
        <w:lastRenderedPageBreak/>
        <w:t>S1A.2.9D</w:t>
      </w:r>
      <w:r w:rsidR="00EE2F73" w:rsidRPr="00F831C0">
        <w:tab/>
      </w:r>
      <w:r>
        <w:t>Credit Derivatives</w:t>
      </w:r>
    </w:p>
    <w:p w14:paraId="0C1A4287" w14:textId="77777777" w:rsidR="00EE2F73" w:rsidRPr="008C2F86" w:rsidRDefault="00742DC9" w:rsidP="00EE2F73">
      <w:pPr>
        <w:pStyle w:val="MIRSubpara"/>
        <w:numPr>
          <w:ilvl w:val="0"/>
          <w:numId w:val="0"/>
        </w:numPr>
        <w:ind w:left="851"/>
      </w:pPr>
      <w:r>
        <w:rPr>
          <w:lang w:eastAsia="en-US"/>
        </w:rPr>
        <w:t xml:space="preserve">(1) Where a Market Participant purchases a credit derivative (including but not limited to </w:t>
      </w:r>
      <w:r w:rsidRPr="00742DC9">
        <w:rPr>
          <w:lang w:eastAsia="en-US"/>
        </w:rPr>
        <w:t xml:space="preserve">credit default swaps and first to default baskets), the Market Participant must </w:t>
      </w:r>
      <w:r w:rsidRPr="00E26929">
        <w:t>treat the position as a non-standard exposure and the risk requirement must be</w:t>
      </w:r>
      <w:r w:rsidR="00EE2F73">
        <w:t xml:space="preserve"> </w:t>
      </w:r>
      <w:r w:rsidR="00EE2F73" w:rsidRPr="00184FC0">
        <w:rPr>
          <w:lang w:eastAsia="en-US"/>
        </w:rPr>
        <w:t>equal to 8% of the product of the notional amount and the counterparty risk weighting</w:t>
      </w:r>
      <w:r w:rsidR="00EE2F73" w:rsidRPr="00EB2B55">
        <w:rPr>
          <w:lang w:eastAsia="en-US"/>
        </w:rPr>
        <w:t xml:space="preserve"> </w:t>
      </w:r>
      <w:r w:rsidR="00EE2F73" w:rsidRPr="00CA4E71">
        <w:rPr>
          <w:lang w:eastAsia="en-US"/>
        </w:rPr>
        <w:t>applicable for that Counterparty specified in Table A5.2.1 in Annexure 5 to Schedule 1A.</w:t>
      </w:r>
      <w:r w:rsidR="00EE2F73" w:rsidRPr="008C2F86">
        <w:rPr>
          <w:lang w:eastAsia="en-US"/>
        </w:rPr>
        <w:t xml:space="preserve"> </w:t>
      </w:r>
    </w:p>
    <w:p w14:paraId="4FA6E8AB" w14:textId="77777777" w:rsidR="00EE2F73" w:rsidRPr="00742DC9" w:rsidRDefault="00742DC9" w:rsidP="008621DB">
      <w:pPr>
        <w:pStyle w:val="MIRBodyText"/>
        <w:spacing w:before="160"/>
      </w:pPr>
      <w:r w:rsidRPr="003261B7">
        <w:t xml:space="preserve">(2) Where a Market Participant issues a credit derivative (including but not limited to credit default swaps and first to default baskets), the Market Participant must </w:t>
      </w:r>
      <w:r w:rsidRPr="00E26929">
        <w:t>treat the position as a non-standard exposure and the risk requirement must be</w:t>
      </w:r>
      <w:r w:rsidR="00EE2F73">
        <w:t xml:space="preserve"> </w:t>
      </w:r>
      <w:r w:rsidR="00EE2F73" w:rsidRPr="00742DC9">
        <w:t>equal to 8% of the product of the maximum payout</w:t>
      </w:r>
      <w:r w:rsidR="00EE2F73" w:rsidRPr="00742DC9">
        <w:rPr>
          <w:lang w:eastAsia="en-US"/>
        </w:rPr>
        <w:t xml:space="preserve"> under the credit derivative and the counterparty risk weighting applicable for that Counterparty specified in Table A5.2.1 in Annexure 5 to Schedule 1A.</w:t>
      </w:r>
    </w:p>
    <w:p w14:paraId="60D1F838" w14:textId="4DDDB91B" w:rsidR="0090596A" w:rsidRPr="00F831C0" w:rsidRDefault="00CA562A" w:rsidP="00D72FAC">
      <w:pPr>
        <w:pStyle w:val="MIRHeading3Rule"/>
      </w:pPr>
      <w:r w:rsidRPr="00F831C0">
        <w:t>S1A.2.10</w:t>
      </w:r>
      <w:r w:rsidR="00F06A75" w:rsidRPr="00F831C0">
        <w:tab/>
      </w:r>
      <w:r w:rsidRPr="00F831C0">
        <w:t xml:space="preserve">Underwriting </w:t>
      </w:r>
      <w:r w:rsidR="00323F82" w:rsidRPr="00F831C0">
        <w:t>r</w:t>
      </w:r>
      <w:r w:rsidRPr="00F831C0">
        <w:t xml:space="preserve">egister </w:t>
      </w:r>
    </w:p>
    <w:p w14:paraId="722C78CC" w14:textId="2F15BCDD" w:rsidR="00CA562A" w:rsidRPr="00F831C0" w:rsidRDefault="00CA562A" w:rsidP="00CA562A">
      <w:pPr>
        <w:pStyle w:val="MIRBodyText"/>
      </w:pPr>
      <w:r w:rsidRPr="00F831C0">
        <w:t>A Market Participant must maintain a register of its Underwriting</w:t>
      </w:r>
      <w:r w:rsidR="00CB68BD">
        <w:t xml:space="preserve"> Commitments and Sub Underwriting Commitments</w:t>
      </w:r>
      <w:r w:rsidRPr="00F831C0">
        <w:t xml:space="preserve"> </w:t>
      </w:r>
      <w:r w:rsidR="00CF18F9">
        <w:t>(</w:t>
      </w:r>
      <w:r w:rsidR="007343AC">
        <w:t xml:space="preserve">each, a </w:t>
      </w:r>
      <w:r w:rsidR="00CF18F9" w:rsidRPr="004C1E44">
        <w:rPr>
          <w:b/>
          <w:i/>
          <w:iCs/>
        </w:rPr>
        <w:t>Relevant Commitment</w:t>
      </w:r>
      <w:r w:rsidR="00CF18F9">
        <w:t xml:space="preserve">) </w:t>
      </w:r>
      <w:r w:rsidRPr="00F831C0">
        <w:t xml:space="preserve">which records: </w:t>
      </w:r>
    </w:p>
    <w:p w14:paraId="2F231F00" w14:textId="344EC546" w:rsidR="0090596A" w:rsidRPr="00F831C0" w:rsidRDefault="00CA562A" w:rsidP="00BB75CF">
      <w:pPr>
        <w:pStyle w:val="MIRSubpara"/>
      </w:pPr>
      <w:r w:rsidRPr="00F831C0">
        <w:t xml:space="preserve">the date of commencement, crystallisation and termination of each </w:t>
      </w:r>
      <w:r w:rsidR="00CF18F9">
        <w:t xml:space="preserve">Relevant </w:t>
      </w:r>
      <w:r w:rsidR="004816ED">
        <w:t>Commitment</w:t>
      </w:r>
      <w:r w:rsidR="006D76B6">
        <w:t xml:space="preserve"> </w:t>
      </w:r>
      <w:r w:rsidRPr="00F831C0">
        <w:t>and the parties to each</w:t>
      </w:r>
      <w:r w:rsidR="007343AC" w:rsidRPr="007343AC">
        <w:t xml:space="preserve"> </w:t>
      </w:r>
      <w:r w:rsidR="007343AC">
        <w:t xml:space="preserve">Relevant </w:t>
      </w:r>
      <w:r w:rsidR="004816ED">
        <w:t>Commitment</w:t>
      </w:r>
      <w:r w:rsidRPr="00F831C0">
        <w:t xml:space="preserve">; </w:t>
      </w:r>
    </w:p>
    <w:p w14:paraId="71690443" w14:textId="313EA1F2" w:rsidR="00CA562A" w:rsidRPr="00F831C0" w:rsidRDefault="00CA562A" w:rsidP="00BB75CF">
      <w:pPr>
        <w:pStyle w:val="MIRSubpara"/>
      </w:pPr>
      <w:r w:rsidRPr="00F831C0">
        <w:t xml:space="preserve">the identity, number and price of the </w:t>
      </w:r>
      <w:r w:rsidR="00CB68BD">
        <w:t>Financial Instruments</w:t>
      </w:r>
      <w:r w:rsidRPr="00F831C0">
        <w:t xml:space="preserve"> the subject of each</w:t>
      </w:r>
      <w:r w:rsidR="007343AC" w:rsidRPr="007343AC">
        <w:t xml:space="preserve"> </w:t>
      </w:r>
      <w:r w:rsidR="007343AC">
        <w:t xml:space="preserve">Relevant </w:t>
      </w:r>
      <w:r w:rsidR="004816ED">
        <w:t>Commitment</w:t>
      </w:r>
      <w:r w:rsidRPr="00F831C0">
        <w:t xml:space="preserve">; </w:t>
      </w:r>
    </w:p>
    <w:p w14:paraId="64D56032" w14:textId="6A0F1FE7" w:rsidR="00CA562A" w:rsidRPr="00F831C0" w:rsidRDefault="00CA562A" w:rsidP="00BB75CF">
      <w:pPr>
        <w:pStyle w:val="MIRSubpara"/>
      </w:pPr>
      <w:r w:rsidRPr="00F831C0">
        <w:t xml:space="preserve">the amount underwritten by the Market Participant under </w:t>
      </w:r>
      <w:r w:rsidR="004816ED" w:rsidRPr="00F831C0">
        <w:t>each Relevant</w:t>
      </w:r>
      <w:r w:rsidR="007343AC">
        <w:t xml:space="preserve"> </w:t>
      </w:r>
      <w:r w:rsidR="004816ED">
        <w:t>Commitment</w:t>
      </w:r>
      <w:r w:rsidRPr="00F831C0">
        <w:t xml:space="preserve">; and </w:t>
      </w:r>
    </w:p>
    <w:p w14:paraId="68D8408B" w14:textId="00FB3BF9" w:rsidR="00CA562A" w:rsidRPr="00F831C0" w:rsidRDefault="00CA562A" w:rsidP="00BB75CF">
      <w:pPr>
        <w:pStyle w:val="MIRSubpara"/>
      </w:pPr>
      <w:r w:rsidRPr="00F831C0">
        <w:t xml:space="preserve">any reduction in the amount underwritten under each </w:t>
      </w:r>
      <w:r w:rsidR="007343AC">
        <w:t xml:space="preserve">Relevant </w:t>
      </w:r>
      <w:r w:rsidR="004816ED">
        <w:t>Commitment</w:t>
      </w:r>
      <w:r w:rsidRPr="00F831C0">
        <w:t xml:space="preserve"> to an amount being: </w:t>
      </w:r>
    </w:p>
    <w:p w14:paraId="4B31014B" w14:textId="189E70BD" w:rsidR="00CA562A" w:rsidRPr="00F831C0" w:rsidRDefault="00CA562A" w:rsidP="00CA562A">
      <w:pPr>
        <w:pStyle w:val="MIRSubsubpara"/>
      </w:pPr>
      <w:r w:rsidRPr="00F831C0">
        <w:t>sub</w:t>
      </w:r>
      <w:r w:rsidR="006D76B6">
        <w:t xml:space="preserve"> </w:t>
      </w:r>
      <w:r w:rsidRPr="00F831C0">
        <w:t>underwritten</w:t>
      </w:r>
      <w:r w:rsidR="003936F3">
        <w:t xml:space="preserve"> </w:t>
      </w:r>
      <w:r w:rsidR="003936F3" w:rsidRPr="00E26929">
        <w:rPr>
          <w:lang w:eastAsia="en-US"/>
        </w:rPr>
        <w:t>under a Sub Underwriting Commitment</w:t>
      </w:r>
      <w:r w:rsidRPr="00F831C0">
        <w:t xml:space="preserve">; or </w:t>
      </w:r>
    </w:p>
    <w:p w14:paraId="13DC267F" w14:textId="6825DACB" w:rsidR="007A5C91" w:rsidRDefault="00CA562A" w:rsidP="00CA562A">
      <w:pPr>
        <w:pStyle w:val="MIRSubsubpara"/>
      </w:pPr>
      <w:r w:rsidRPr="00F831C0">
        <w:t>received under a client placement</w:t>
      </w:r>
      <w:r w:rsidR="003936F3">
        <w:t xml:space="preserve"> </w:t>
      </w:r>
      <w:r w:rsidR="003936F3">
        <w:rPr>
          <w:lang w:eastAsia="en-US"/>
        </w:rPr>
        <w:t>in relation to the Financial Instruments the subject of the Relevant Commitment</w:t>
      </w:r>
      <w:r w:rsidR="007A5C91">
        <w:t>; or</w:t>
      </w:r>
    </w:p>
    <w:p w14:paraId="320B6A32" w14:textId="49363895" w:rsidR="00721EFB" w:rsidRPr="00F831C0" w:rsidRDefault="007A5C91" w:rsidP="00CA562A">
      <w:pPr>
        <w:pStyle w:val="MIRSubsubpara"/>
      </w:pPr>
      <w:r>
        <w:t>received as Application Monies for the Financial Instruments where the amount reduces the liability of the Market Participant under the Relevant Commitment</w:t>
      </w:r>
      <w:r w:rsidR="00CA562A" w:rsidRPr="00F831C0">
        <w:t xml:space="preserve">, </w:t>
      </w:r>
    </w:p>
    <w:p w14:paraId="7AF5D2BB" w14:textId="77777777" w:rsidR="00CA562A" w:rsidRPr="00F831C0" w:rsidRDefault="00CA562A" w:rsidP="00721EFB">
      <w:pPr>
        <w:pStyle w:val="MIRSubsubpara"/>
        <w:numPr>
          <w:ilvl w:val="0"/>
          <w:numId w:val="0"/>
        </w:numPr>
        <w:ind w:left="1701" w:hanging="425"/>
      </w:pPr>
      <w:r w:rsidRPr="00F831C0">
        <w:t xml:space="preserve">and the date that this reduction occurs. </w:t>
      </w:r>
    </w:p>
    <w:p w14:paraId="05DEFAD1" w14:textId="77777777" w:rsidR="00184FC0" w:rsidRPr="00F831C0" w:rsidRDefault="00184FC0" w:rsidP="00184FC0">
      <w:pPr>
        <w:pStyle w:val="MIRHeading3Rule"/>
      </w:pPr>
      <w:r>
        <w:t>S1A.2.11</w:t>
      </w:r>
      <w:r w:rsidRPr="00F831C0">
        <w:tab/>
      </w:r>
      <w:r>
        <w:t>Liquidity requirements</w:t>
      </w:r>
      <w:r w:rsidRPr="00F831C0">
        <w:t xml:space="preserve"> </w:t>
      </w:r>
    </w:p>
    <w:p w14:paraId="5648CEB5" w14:textId="77777777" w:rsidR="00184FC0" w:rsidRPr="00F831C0" w:rsidRDefault="00184FC0" w:rsidP="00FB4E7C">
      <w:pPr>
        <w:pStyle w:val="MIRBodyText"/>
        <w:numPr>
          <w:ilvl w:val="0"/>
          <w:numId w:val="111"/>
        </w:numPr>
      </w:pPr>
      <w:r w:rsidRPr="00F831C0">
        <w:t>A Market Partici</w:t>
      </w:r>
      <w:r>
        <w:t>pant must</w:t>
      </w:r>
      <w:r w:rsidRPr="00F831C0">
        <w:t xml:space="preserve">: </w:t>
      </w:r>
    </w:p>
    <w:p w14:paraId="0655C61C" w14:textId="09619118" w:rsidR="007F6F83" w:rsidRDefault="007F6F83" w:rsidP="00FB4E7C">
      <w:pPr>
        <w:pStyle w:val="MIRSubpara"/>
        <w:numPr>
          <w:ilvl w:val="1"/>
          <w:numId w:val="113"/>
        </w:numPr>
        <w:tabs>
          <w:tab w:val="num" w:pos="3543"/>
        </w:tabs>
      </w:pPr>
      <w:r>
        <w:t>maintain a liquidity plan that covers</w:t>
      </w:r>
      <w:r w:rsidR="00184FC0">
        <w:t xml:space="preserve"> at least the next 12 months under both normal and stressed scenarios</w:t>
      </w:r>
      <w:r>
        <w:t xml:space="preserve">, taking into account expected changes to the Market </w:t>
      </w:r>
      <w:r w:rsidR="004816ED">
        <w:t>Participant’s</w:t>
      </w:r>
      <w:r>
        <w:t xml:space="preserve"> strategy, business plans </w:t>
      </w:r>
      <w:r w:rsidR="00A95220">
        <w:t>or</w:t>
      </w:r>
      <w:r>
        <w:t xml:space="preserve"> financial circumstances</w:t>
      </w:r>
      <w:r w:rsidR="00184FC0" w:rsidRPr="00F831C0">
        <w:t>;</w:t>
      </w:r>
    </w:p>
    <w:p w14:paraId="51026F34" w14:textId="77777777" w:rsidR="007F6F83" w:rsidRDefault="007F6F83" w:rsidP="00184FC0">
      <w:pPr>
        <w:pStyle w:val="MIRSubpara"/>
        <w:tabs>
          <w:tab w:val="num" w:pos="3543"/>
        </w:tabs>
      </w:pPr>
      <w:r>
        <w:t>have the liquidity plan approved by the board of directors of the Market Participant, or, if the Market Participant is a partnership, by two partners of the Market Participant, at least annually;</w:t>
      </w:r>
    </w:p>
    <w:p w14:paraId="422EEB18" w14:textId="4A323C19" w:rsidR="00184FC0" w:rsidRPr="00F831C0" w:rsidRDefault="007F6F83" w:rsidP="00184FC0">
      <w:pPr>
        <w:pStyle w:val="MIRSubpara"/>
        <w:tabs>
          <w:tab w:val="num" w:pos="3543"/>
        </w:tabs>
      </w:pPr>
      <w:r>
        <w:lastRenderedPageBreak/>
        <w:t>prepare a projection of cash flows over at least the next three months based on the Market Participant’s reasonable estimate of what is likely to happen over this term;</w:t>
      </w:r>
      <w:r w:rsidR="00184FC0" w:rsidRPr="00F831C0">
        <w:t xml:space="preserve"> </w:t>
      </w:r>
    </w:p>
    <w:p w14:paraId="1CFDBC6E" w14:textId="7F080362" w:rsidR="00184FC0" w:rsidRDefault="00184FC0" w:rsidP="00184FC0">
      <w:pPr>
        <w:pStyle w:val="MIRSubpara"/>
        <w:tabs>
          <w:tab w:val="num" w:pos="3543"/>
        </w:tabs>
      </w:pPr>
      <w:r>
        <w:t xml:space="preserve">document the calculations and assumptions on which the </w:t>
      </w:r>
      <w:r w:rsidR="009E6D74">
        <w:t xml:space="preserve">liquidity plan and </w:t>
      </w:r>
      <w:r>
        <w:t>projection</w:t>
      </w:r>
      <w:r w:rsidR="009E6D74">
        <w:t xml:space="preserve"> of cash flows</w:t>
      </w:r>
      <w:r>
        <w:t xml:space="preserve"> </w:t>
      </w:r>
      <w:r w:rsidR="009E6D74">
        <w:t>are</w:t>
      </w:r>
      <w:r>
        <w:t xml:space="preserve"> based, and describe in writing why they are appropriate assumptions</w:t>
      </w:r>
      <w:r w:rsidRPr="00F831C0">
        <w:t xml:space="preserve">; </w:t>
      </w:r>
    </w:p>
    <w:p w14:paraId="55E04C0C" w14:textId="06851BB2" w:rsidR="00D70024" w:rsidRPr="00F831C0" w:rsidRDefault="00D70024" w:rsidP="00184FC0">
      <w:pPr>
        <w:pStyle w:val="MIRSubpara"/>
        <w:tabs>
          <w:tab w:val="num" w:pos="3543"/>
        </w:tabs>
      </w:pPr>
      <w:r>
        <w:t>update the liquidity plan when there is a material change</w:t>
      </w:r>
      <w:r w:rsidR="000724EC">
        <w:t xml:space="preserve"> to its</w:t>
      </w:r>
      <w:r w:rsidR="00303BC0">
        <w:t xml:space="preserve"> strategy, business plans or financial circumstances</w:t>
      </w:r>
      <w:r>
        <w:t>;</w:t>
      </w:r>
    </w:p>
    <w:p w14:paraId="4D329117" w14:textId="77777777" w:rsidR="00184FC0" w:rsidRDefault="00184FC0" w:rsidP="00184FC0">
      <w:pPr>
        <w:pStyle w:val="MIRSubpara"/>
        <w:tabs>
          <w:tab w:val="num" w:pos="3543"/>
        </w:tabs>
      </w:pPr>
      <w:r>
        <w:t>update the projection of cash flows when:</w:t>
      </w:r>
    </w:p>
    <w:p w14:paraId="27F503FC" w14:textId="7176B33F" w:rsidR="00184FC0" w:rsidRDefault="00184FC0" w:rsidP="00FB4E7C">
      <w:pPr>
        <w:pStyle w:val="MIRSubsubpara"/>
        <w:numPr>
          <w:ilvl w:val="2"/>
          <w:numId w:val="111"/>
        </w:numPr>
      </w:pPr>
      <w:r>
        <w:t xml:space="preserve">those cash flows cease to cover the next </w:t>
      </w:r>
      <w:r w:rsidR="00D70024">
        <w:t xml:space="preserve">three </w:t>
      </w:r>
      <w:r>
        <w:t>months;</w:t>
      </w:r>
    </w:p>
    <w:p w14:paraId="7DA6B236" w14:textId="5670A803" w:rsidR="00184FC0" w:rsidRDefault="00184FC0" w:rsidP="00FB4E7C">
      <w:pPr>
        <w:pStyle w:val="MIRSubsubpara"/>
        <w:numPr>
          <w:ilvl w:val="2"/>
          <w:numId w:val="111"/>
        </w:numPr>
      </w:pPr>
      <w:r>
        <w:t>there is a material change</w:t>
      </w:r>
      <w:r w:rsidR="00303BC0">
        <w:t xml:space="preserve"> to its strategy, business plans or financial circumstances</w:t>
      </w:r>
      <w:r>
        <w:t>; or</w:t>
      </w:r>
    </w:p>
    <w:p w14:paraId="7F0FAF62" w14:textId="1D8EEE53" w:rsidR="00184FC0" w:rsidRPr="00F831C0" w:rsidRDefault="00184FC0" w:rsidP="00FB4E7C">
      <w:pPr>
        <w:pStyle w:val="MIRSubsubpara"/>
        <w:numPr>
          <w:ilvl w:val="2"/>
          <w:numId w:val="111"/>
        </w:numPr>
      </w:pPr>
      <w:r>
        <w:t>there is reason to suspect that an updated projection would differ materially from the current projection;</w:t>
      </w:r>
      <w:r w:rsidRPr="00F831C0">
        <w:t xml:space="preserve"> </w:t>
      </w:r>
      <w:r w:rsidR="00D70024">
        <w:t>and</w:t>
      </w:r>
    </w:p>
    <w:p w14:paraId="7952E399" w14:textId="77777777" w:rsidR="00184FC0" w:rsidRPr="00F831C0" w:rsidRDefault="00184FC0" w:rsidP="00184FC0">
      <w:pPr>
        <w:pStyle w:val="MIRSubpara"/>
        <w:tabs>
          <w:tab w:val="num" w:pos="3543"/>
        </w:tabs>
      </w:pPr>
      <w:r>
        <w:t>document a contingency funding plan, procedures for managing liquidity risks, and procedures for the escalation of liquidity issues.</w:t>
      </w:r>
      <w:r w:rsidRPr="00F831C0">
        <w:t xml:space="preserve"> </w:t>
      </w:r>
    </w:p>
    <w:p w14:paraId="080AF3DA" w14:textId="77777777" w:rsidR="000A2540" w:rsidRPr="00F831C0" w:rsidRDefault="000A2540" w:rsidP="00203B23">
      <w:pPr>
        <w:pStyle w:val="MIRPenalty"/>
        <w:spacing w:before="0" w:line="20" w:lineRule="exact"/>
      </w:pPr>
    </w:p>
    <w:p w14:paraId="31A452D8" w14:textId="77777777" w:rsidR="000A2540" w:rsidRPr="00F831C0" w:rsidRDefault="000A2540" w:rsidP="002D0D1A">
      <w:pPr>
        <w:pStyle w:val="MIRPenalty"/>
        <w:sectPr w:rsidR="000A2540" w:rsidRPr="00F831C0" w:rsidSect="00BA1BD7">
          <w:headerReference w:type="even" r:id="rId31"/>
          <w:headerReference w:type="default" r:id="rId32"/>
          <w:headerReference w:type="first" r:id="rId33"/>
          <w:type w:val="continuous"/>
          <w:pgSz w:w="11906" w:h="16838" w:code="9"/>
          <w:pgMar w:top="1644" w:right="1418" w:bottom="1418" w:left="1418" w:header="567" w:footer="567" w:gutter="0"/>
          <w:cols w:space="720"/>
          <w:docGrid w:linePitch="299"/>
        </w:sectPr>
      </w:pPr>
    </w:p>
    <w:p w14:paraId="0992ACE2" w14:textId="77777777" w:rsidR="00CA2E4E" w:rsidRPr="00E85986" w:rsidRDefault="00CA2E4E" w:rsidP="00CA2E4E">
      <w:pPr>
        <w:pStyle w:val="MIRHeading1Chapter"/>
      </w:pPr>
      <w:bookmarkStart w:id="41" w:name="_Toc27492573"/>
      <w:r w:rsidRPr="00E85986">
        <w:lastRenderedPageBreak/>
        <w:t>Annexure 1 to Schedule 1A: Counterparty Risk Requirement</w:t>
      </w:r>
      <w:bookmarkEnd w:id="41"/>
      <w:r w:rsidRPr="00E85986">
        <w:t xml:space="preserve"> </w:t>
      </w:r>
    </w:p>
    <w:p w14:paraId="5AFF0CD4" w14:textId="77777777" w:rsidR="00CA2E4E" w:rsidRPr="00E85986" w:rsidRDefault="00CA2E4E" w:rsidP="00CA2E4E">
      <w:pPr>
        <w:pStyle w:val="MIRHeading2Part"/>
      </w:pPr>
      <w:bookmarkStart w:id="42" w:name="_Toc27492574"/>
      <w:r w:rsidRPr="00E85986">
        <w:t>Part A1.1</w:t>
      </w:r>
      <w:r w:rsidRPr="00E85986">
        <w:tab/>
        <w:t>Counterparty Risk Requirement</w:t>
      </w:r>
      <w:bookmarkEnd w:id="42"/>
      <w:r w:rsidRPr="00E85986">
        <w:t xml:space="preserve"> </w:t>
      </w:r>
    </w:p>
    <w:p w14:paraId="059BF9BC" w14:textId="4F05C3EB" w:rsidR="00CA2E4E" w:rsidRPr="00E85986" w:rsidRDefault="00CA2E4E" w:rsidP="00CA2E4E">
      <w:pPr>
        <w:pStyle w:val="MIRHeading3Rule"/>
      </w:pPr>
      <w:r w:rsidRPr="00E85986">
        <w:t>A1.1.1</w:t>
      </w:r>
      <w:r w:rsidR="003A1BC6">
        <w:tab/>
      </w:r>
      <w:r w:rsidRPr="00E85986">
        <w:t xml:space="preserve">Nature of counterparty risk amount </w:t>
      </w:r>
    </w:p>
    <w:p w14:paraId="4BC8572C" w14:textId="77777777" w:rsidR="00CA2E4E" w:rsidRPr="00E85986" w:rsidRDefault="00CA2E4E" w:rsidP="00CA2E4E">
      <w:pPr>
        <w:pStyle w:val="MIRBodyText"/>
        <w:spacing w:before="160"/>
      </w:pPr>
      <w:r w:rsidRPr="00E85986">
        <w:t xml:space="preserve">(1) For each type of counterparty risk that gives rise to a Positive Credit Exposure, a counterparty risk amount: </w:t>
      </w:r>
    </w:p>
    <w:p w14:paraId="5FC4FD76" w14:textId="77777777" w:rsidR="00CA2E4E" w:rsidRPr="00E85986" w:rsidRDefault="00CA2E4E" w:rsidP="00CA2E4E">
      <w:pPr>
        <w:pStyle w:val="MIRSubpara"/>
        <w:spacing w:before="80"/>
      </w:pPr>
      <w:r w:rsidRPr="00E85986">
        <w:t xml:space="preserve">must be calculated in accordance with the methods set out in this Annexure 1; and </w:t>
      </w:r>
    </w:p>
    <w:p w14:paraId="233C86D7" w14:textId="13FDAFA8" w:rsidR="00CA2E4E" w:rsidRPr="00E85986" w:rsidRDefault="00CA2E4E" w:rsidP="00CA2E4E">
      <w:pPr>
        <w:pStyle w:val="MIRSubpara"/>
        <w:spacing w:before="80"/>
      </w:pPr>
      <w:r w:rsidRPr="00E85986">
        <w:t xml:space="preserve">may be reduced by a counterparty risk weighting in accordance with </w:t>
      </w:r>
      <w:r w:rsidR="006D6785">
        <w:t>Rule</w:t>
      </w:r>
      <w:r w:rsidRPr="00E85986">
        <w:t xml:space="preserve"> A1</w:t>
      </w:r>
      <w:r w:rsidR="00F54773">
        <w:t>.2</w:t>
      </w:r>
      <w:r w:rsidRPr="00E85986">
        <w:t xml:space="preserve">.8. </w:t>
      </w:r>
    </w:p>
    <w:p w14:paraId="640D99F4" w14:textId="77777777" w:rsidR="00CA2E4E" w:rsidRPr="00E85986" w:rsidRDefault="00CA2E4E" w:rsidP="00CA2E4E">
      <w:pPr>
        <w:pStyle w:val="MIRBodyText"/>
        <w:spacing w:before="160"/>
      </w:pPr>
      <w:r w:rsidRPr="00E85986">
        <w:t xml:space="preserve">(2) For the purposes of subrule A1.2.2(1), a Positive Credit Exposure exists on a Client Balance regardless of whether the Client Balance is positive or negative. </w:t>
      </w:r>
    </w:p>
    <w:p w14:paraId="78D81A27" w14:textId="77777777" w:rsidR="00CA2E4E" w:rsidRPr="00E85986" w:rsidRDefault="00CA2E4E" w:rsidP="00CA2E4E">
      <w:pPr>
        <w:pStyle w:val="MIRHeading3Rule"/>
      </w:pPr>
      <w:r w:rsidRPr="00E85986">
        <w:t>A1.1.1A</w:t>
      </w:r>
      <w:r w:rsidRPr="00E85986">
        <w:tab/>
        <w:t xml:space="preserve">Treatment: Classical ETFs </w:t>
      </w:r>
    </w:p>
    <w:p w14:paraId="15703551" w14:textId="77777777" w:rsidR="00CA2E4E" w:rsidRPr="00E85986" w:rsidRDefault="00CA2E4E" w:rsidP="00CA2E4E">
      <w:pPr>
        <w:pStyle w:val="MIRBodyText"/>
        <w:spacing w:before="160"/>
      </w:pPr>
      <w:r w:rsidRPr="00E85986">
        <w:t xml:space="preserve">(1) Subject to subrule (2), a Market Participant is not required to calculate a counterparty risk amount under this Annexure in relation to a subscription for or redemption of a unit in a Classical ETF. </w:t>
      </w:r>
    </w:p>
    <w:p w14:paraId="0CBA3487" w14:textId="77777777" w:rsidR="00CA2E4E" w:rsidRPr="00E85986" w:rsidRDefault="00CA2E4E" w:rsidP="00CA2E4E">
      <w:pPr>
        <w:pStyle w:val="MIRBodyText"/>
        <w:spacing w:before="160"/>
      </w:pPr>
      <w:r w:rsidRPr="00E85986">
        <w:t xml:space="preserve">(2) In the event of default in the settlement of a primary market transaction in Classical ETFs: </w:t>
      </w:r>
    </w:p>
    <w:p w14:paraId="5E7DD930" w14:textId="77777777" w:rsidR="00CA2E4E" w:rsidRPr="00E85986" w:rsidRDefault="00CA2E4E" w:rsidP="00CA2E4E">
      <w:pPr>
        <w:pStyle w:val="MIRSubpara"/>
        <w:spacing w:before="80"/>
      </w:pPr>
      <w:r w:rsidRPr="00E85986">
        <w:t xml:space="preserve">in the case of a subscription for Classical ETF units, where the Market Participant transfers underlying securities and does not receive the corresponding Classical ETF units or some other cash consideration; or </w:t>
      </w:r>
    </w:p>
    <w:p w14:paraId="1D01DE7B" w14:textId="77777777" w:rsidR="00CA2E4E" w:rsidRPr="00E85986" w:rsidRDefault="00CA2E4E" w:rsidP="00CA2E4E">
      <w:pPr>
        <w:pStyle w:val="MIRSubpara"/>
        <w:spacing w:before="80"/>
      </w:pPr>
      <w:r w:rsidRPr="00E85986">
        <w:t xml:space="preserve">in the case of a redemption, where the Market Participant transfers Classical ETF units and does not receive the corresponding underlying securities, or some other cash consideration, </w:t>
      </w:r>
    </w:p>
    <w:p w14:paraId="6BC0D891" w14:textId="77777777" w:rsidR="00CA2E4E" w:rsidRPr="00E85986" w:rsidRDefault="00CA2E4E" w:rsidP="00CA2E4E">
      <w:pPr>
        <w:pStyle w:val="MIRBodyText"/>
        <w:spacing w:before="160"/>
      </w:pPr>
      <w:r w:rsidRPr="00E85986">
        <w:t xml:space="preserve">a counterparty risk amount must be calculated under the Free Delivery method from the time those assets or cash were due to be settled. </w:t>
      </w:r>
    </w:p>
    <w:p w14:paraId="6041223E" w14:textId="77777777" w:rsidR="00CA2E4E" w:rsidRPr="00E85986" w:rsidRDefault="00CA2E4E" w:rsidP="00CA2E4E">
      <w:pPr>
        <w:pStyle w:val="MIRBodyText"/>
        <w:spacing w:before="160"/>
      </w:pPr>
      <w:r w:rsidRPr="00E85986">
        <w:t xml:space="preserve">(3) A Market Participant is required to calculate a counterparty risk amount under this Annexure for all secondary market transactions in Classical ETF units. </w:t>
      </w:r>
    </w:p>
    <w:p w14:paraId="3DCB9032" w14:textId="77777777" w:rsidR="00CA2E4E" w:rsidRPr="00E85986" w:rsidRDefault="00CA2E4E" w:rsidP="00CA2E4E">
      <w:pPr>
        <w:pStyle w:val="MIRHeading3Rule"/>
      </w:pPr>
      <w:r w:rsidRPr="00E85986">
        <w:t>A1.1.1B</w:t>
      </w:r>
      <w:r w:rsidRPr="00E85986">
        <w:tab/>
        <w:t xml:space="preserve">Treatment: Hybrid ETFs </w:t>
      </w:r>
    </w:p>
    <w:p w14:paraId="4567A8AD" w14:textId="77777777" w:rsidR="00CA2E4E" w:rsidRPr="00E85986" w:rsidRDefault="00CA2E4E" w:rsidP="00CA2E4E">
      <w:pPr>
        <w:pStyle w:val="MIRBodyText"/>
        <w:spacing w:before="160"/>
      </w:pPr>
      <w:r w:rsidRPr="00E85986">
        <w:t xml:space="preserve">(1) Subject to subrule (2), a Market Participant is not required to calculate a counterparty risk amount under this Annexure in relation to a subscription for or redemption of a unit in a Hybrid ETF. </w:t>
      </w:r>
    </w:p>
    <w:p w14:paraId="34BEDEDF" w14:textId="77777777" w:rsidR="00CA2E4E" w:rsidRPr="00E85986" w:rsidRDefault="00CA2E4E" w:rsidP="00CA2E4E">
      <w:pPr>
        <w:pStyle w:val="MIRBodyText"/>
        <w:spacing w:before="160"/>
      </w:pPr>
      <w:r w:rsidRPr="00E85986">
        <w:t xml:space="preserve">(2) In the event of a default in the settlement of a primary market transaction in Hybrid ETFs: </w:t>
      </w:r>
    </w:p>
    <w:p w14:paraId="1978EBAD" w14:textId="77777777" w:rsidR="00CA2E4E" w:rsidRPr="00E85986" w:rsidRDefault="00CA2E4E" w:rsidP="00CA2E4E">
      <w:pPr>
        <w:pStyle w:val="MIRSubpara"/>
        <w:spacing w:before="80"/>
      </w:pPr>
      <w:r w:rsidRPr="00E85986">
        <w:t xml:space="preserve">in the case of a subscription for Hybrid ETF units, where the Market Participant transfers cash and does not receive the corresponding Hybrid ETF units; or </w:t>
      </w:r>
    </w:p>
    <w:p w14:paraId="4EF61D72" w14:textId="77777777" w:rsidR="00CA2E4E" w:rsidRPr="00E85986" w:rsidRDefault="00CA2E4E" w:rsidP="00CA2E4E">
      <w:pPr>
        <w:pStyle w:val="MIRSubpara"/>
      </w:pPr>
      <w:r w:rsidRPr="00E85986">
        <w:lastRenderedPageBreak/>
        <w:t xml:space="preserve">in the case of a redemption, where the Market Participant transfers Hybrid ETF units and does not receive the corresponding cash, </w:t>
      </w:r>
    </w:p>
    <w:p w14:paraId="52D470D6" w14:textId="64E4E0BA" w:rsidR="00CA2E4E" w:rsidRPr="00E85986" w:rsidRDefault="00CA2E4E" w:rsidP="00CA2E4E">
      <w:pPr>
        <w:pStyle w:val="MIRBodyText"/>
      </w:pPr>
      <w:r w:rsidRPr="00E85986">
        <w:t xml:space="preserve">a counterparty risk amount must be calculated under the Free Delivery </w:t>
      </w:r>
      <w:r w:rsidR="00323F82">
        <w:t>m</w:t>
      </w:r>
      <w:r w:rsidRPr="00E85986">
        <w:t xml:space="preserve">ethod from the time those assets or cash were due to be settled. </w:t>
      </w:r>
    </w:p>
    <w:p w14:paraId="3AF99417" w14:textId="77777777" w:rsidR="00CA2E4E" w:rsidRPr="00E85986" w:rsidRDefault="00CA2E4E" w:rsidP="00CA2E4E">
      <w:pPr>
        <w:pStyle w:val="MIRBodyText"/>
      </w:pPr>
      <w:r w:rsidRPr="00E85986">
        <w:t xml:space="preserve">(3) A Market Participant is required to calculate a counterparty risk amount under this Annexure for all secondary market transactions in Hybrid ETF units. </w:t>
      </w:r>
    </w:p>
    <w:p w14:paraId="13B301BD" w14:textId="77777777" w:rsidR="00CA2E4E" w:rsidRPr="00E85986" w:rsidRDefault="00CA2E4E" w:rsidP="00CA2E4E">
      <w:pPr>
        <w:pStyle w:val="MIRHeading3Rule"/>
      </w:pPr>
      <w:r w:rsidRPr="00E85986">
        <w:t>A1.1.1C</w:t>
      </w:r>
      <w:r w:rsidRPr="00E85986">
        <w:tab/>
        <w:t xml:space="preserve">Treatment: Other Managed Funds </w:t>
      </w:r>
    </w:p>
    <w:p w14:paraId="555658CB" w14:textId="77777777" w:rsidR="00CA2E4E" w:rsidRPr="00E85986" w:rsidRDefault="00CA2E4E" w:rsidP="00CA2E4E">
      <w:pPr>
        <w:pStyle w:val="MIRBodyText"/>
      </w:pPr>
      <w:r w:rsidRPr="00E85986">
        <w:t xml:space="preserve">A Market Participant is not required to calculate a counterparty risk amount under this Annexure in relation to a subscription for or redemption of a unit in an Other Managed Fund. </w:t>
      </w:r>
    </w:p>
    <w:p w14:paraId="6C99593B" w14:textId="77777777" w:rsidR="00CA2E4E" w:rsidRPr="00E85986" w:rsidRDefault="00CA2E4E" w:rsidP="00CA2E4E">
      <w:pPr>
        <w:pStyle w:val="MIRHeading2Part"/>
      </w:pPr>
      <w:bookmarkStart w:id="43" w:name="_Toc27492575"/>
      <w:r w:rsidRPr="00E85986">
        <w:t>Part A1.2</w:t>
      </w:r>
      <w:r w:rsidRPr="00E85986">
        <w:tab/>
        <w:t>Methods</w:t>
      </w:r>
      <w:bookmarkEnd w:id="43"/>
      <w:r w:rsidRPr="00E85986">
        <w:t xml:space="preserve"> </w:t>
      </w:r>
    </w:p>
    <w:p w14:paraId="52012571" w14:textId="77777777" w:rsidR="00CA2E4E" w:rsidRPr="00E85986" w:rsidRDefault="00CA2E4E" w:rsidP="00CA2E4E">
      <w:pPr>
        <w:pStyle w:val="MIRHeading3Rule"/>
      </w:pPr>
      <w:r w:rsidRPr="00E85986">
        <w:t>A1.2.1</w:t>
      </w:r>
      <w:r w:rsidRPr="00E85986">
        <w:tab/>
        <w:t xml:space="preserve">Overview </w:t>
      </w:r>
    </w:p>
    <w:p w14:paraId="11064761" w14:textId="77777777" w:rsidR="00CA2E4E" w:rsidRPr="00E85986" w:rsidRDefault="00CA2E4E" w:rsidP="00CA2E4E">
      <w:pPr>
        <w:pStyle w:val="MIRBodyText"/>
      </w:pPr>
      <w:r w:rsidRPr="00E85986">
        <w:t xml:space="preserve">There are separate methods for measuring counterparty risk amounts for each of the following transaction types: </w:t>
      </w:r>
    </w:p>
    <w:p w14:paraId="38ED1A39" w14:textId="77777777" w:rsidR="00CA2E4E" w:rsidRPr="00E85986" w:rsidRDefault="00CA2E4E" w:rsidP="00CA2E4E">
      <w:pPr>
        <w:pStyle w:val="tabletitlefullwidth"/>
        <w:rPr>
          <w:sz w:val="18"/>
          <w:szCs w:val="18"/>
        </w:rPr>
      </w:pPr>
      <w:r w:rsidRPr="00E85986">
        <w:rPr>
          <w:sz w:val="18"/>
          <w:szCs w:val="18"/>
        </w:rPr>
        <w:t>Table A1.1:</w:t>
      </w:r>
      <w:r w:rsidRPr="00E85986">
        <w:rPr>
          <w:sz w:val="18"/>
          <w:szCs w:val="18"/>
        </w:rPr>
        <w:tab/>
        <w:t>Method for measuring counterparty risk: Transaction type</w:t>
      </w:r>
    </w:p>
    <w:tbl>
      <w:tblPr>
        <w:tblW w:w="9390"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3118"/>
        <w:gridCol w:w="3118"/>
        <w:gridCol w:w="3154"/>
      </w:tblGrid>
      <w:tr w:rsidR="00CA2E4E" w:rsidRPr="00E85986" w14:paraId="411AE18D" w14:textId="77777777" w:rsidTr="00D3615D">
        <w:trPr>
          <w:cantSplit/>
          <w:tblHeader/>
        </w:trPr>
        <w:tc>
          <w:tcPr>
            <w:tcW w:w="9390" w:type="dxa"/>
            <w:gridSpan w:val="3"/>
            <w:shd w:val="clear" w:color="auto" w:fill="C2E3FA"/>
          </w:tcPr>
          <w:p w14:paraId="7B13C935" w14:textId="300EAB1E" w:rsidR="00CA2E4E" w:rsidRPr="00E85986" w:rsidRDefault="00CA2E4E" w:rsidP="00462588">
            <w:pPr>
              <w:pStyle w:val="tablehead"/>
              <w:tabs>
                <w:tab w:val="left" w:pos="3180"/>
              </w:tabs>
            </w:pPr>
            <w:r w:rsidRPr="00E85986">
              <w:t xml:space="preserve">Transaction </w:t>
            </w:r>
            <w:r w:rsidR="009564C1">
              <w:t>T</w:t>
            </w:r>
            <w:r w:rsidR="00462588" w:rsidRPr="00E85986">
              <w:t>ype</w:t>
            </w:r>
          </w:p>
        </w:tc>
      </w:tr>
      <w:tr w:rsidR="00412BE6" w:rsidRPr="00E85986" w14:paraId="4163206D" w14:textId="77777777" w:rsidTr="00D3615D">
        <w:trPr>
          <w:cantSplit/>
          <w:trHeight w:val="600"/>
        </w:trPr>
        <w:tc>
          <w:tcPr>
            <w:tcW w:w="3118" w:type="dxa"/>
            <w:shd w:val="clear" w:color="auto" w:fill="auto"/>
          </w:tcPr>
          <w:p w14:paraId="3F4BBC42" w14:textId="33FDA221" w:rsidR="00412BE6" w:rsidRPr="00E85986" w:rsidRDefault="00412BE6" w:rsidP="00323F82">
            <w:pPr>
              <w:pStyle w:val="tbltext"/>
            </w:pPr>
            <w:r w:rsidRPr="00E85986">
              <w:t>Non</w:t>
            </w:r>
            <w:r>
              <w:t>-m</w:t>
            </w:r>
            <w:r w:rsidRPr="00E85986">
              <w:t xml:space="preserve">argined Financial Instrument </w:t>
            </w:r>
            <w:r w:rsidR="00E174B4">
              <w:t>– Rule A1.2.2</w:t>
            </w:r>
          </w:p>
        </w:tc>
        <w:tc>
          <w:tcPr>
            <w:tcW w:w="3118" w:type="dxa"/>
          </w:tcPr>
          <w:p w14:paraId="5782083E" w14:textId="4A06271B" w:rsidR="00412BE6" w:rsidRPr="00E85986" w:rsidRDefault="00412BE6" w:rsidP="00AD186A">
            <w:pPr>
              <w:pStyle w:val="tbltext"/>
            </w:pPr>
            <w:r w:rsidRPr="00E85986">
              <w:t>Free Delivery</w:t>
            </w:r>
            <w:r w:rsidR="00003AB3">
              <w:t xml:space="preserve"> – Rule A1.2.3</w:t>
            </w:r>
          </w:p>
        </w:tc>
        <w:tc>
          <w:tcPr>
            <w:tcW w:w="3154" w:type="dxa"/>
          </w:tcPr>
          <w:p w14:paraId="32830B51" w14:textId="638A3F91" w:rsidR="00412BE6" w:rsidRPr="00E85986" w:rsidRDefault="00412BE6" w:rsidP="00AD186A">
            <w:pPr>
              <w:pStyle w:val="tbltext"/>
            </w:pPr>
            <w:r w:rsidRPr="00E85986">
              <w:t>Securities Lending and Borrowing</w:t>
            </w:r>
            <w:r w:rsidR="00003AB3">
              <w:t xml:space="preserve"> – Rule A1.2.4</w:t>
            </w:r>
          </w:p>
        </w:tc>
      </w:tr>
      <w:tr w:rsidR="00412BE6" w:rsidRPr="00E85986" w14:paraId="68256F2F" w14:textId="77777777" w:rsidTr="00D3615D">
        <w:trPr>
          <w:cantSplit/>
          <w:trHeight w:val="600"/>
        </w:trPr>
        <w:tc>
          <w:tcPr>
            <w:tcW w:w="3118" w:type="dxa"/>
            <w:shd w:val="clear" w:color="auto" w:fill="auto"/>
          </w:tcPr>
          <w:p w14:paraId="12DFBE95" w14:textId="67A54D52" w:rsidR="00412BE6" w:rsidRPr="00E85986" w:rsidRDefault="00412BE6" w:rsidP="00AD186A">
            <w:pPr>
              <w:pStyle w:val="tbltext"/>
            </w:pPr>
            <w:r w:rsidRPr="00E85986">
              <w:t>Margined Financial Instrument</w:t>
            </w:r>
            <w:r w:rsidR="00003AB3">
              <w:t xml:space="preserve"> – Rule A1.2.5</w:t>
            </w:r>
          </w:p>
        </w:tc>
        <w:tc>
          <w:tcPr>
            <w:tcW w:w="3118" w:type="dxa"/>
          </w:tcPr>
          <w:p w14:paraId="2C9F0A76" w14:textId="1456819F" w:rsidR="00412BE6" w:rsidRPr="00E85986" w:rsidRDefault="00412BE6" w:rsidP="00AD186A">
            <w:pPr>
              <w:pStyle w:val="tbltext"/>
            </w:pPr>
            <w:r w:rsidRPr="00E85986">
              <w:t xml:space="preserve">OTC Derivative or a Warrant held as principal </w:t>
            </w:r>
            <w:r w:rsidR="00003AB3">
              <w:t>– Rule A1.2.6</w:t>
            </w:r>
          </w:p>
        </w:tc>
        <w:tc>
          <w:tcPr>
            <w:tcW w:w="3154" w:type="dxa"/>
          </w:tcPr>
          <w:p w14:paraId="6C610A69" w14:textId="67DD0C03" w:rsidR="00412BE6" w:rsidRPr="00E85986" w:rsidRDefault="00412BE6" w:rsidP="00AD186A">
            <w:pPr>
              <w:pStyle w:val="tbltext"/>
            </w:pPr>
            <w:r w:rsidRPr="00E85986">
              <w:t>Sub Underwritten Position</w:t>
            </w:r>
            <w:r w:rsidR="00003AB3">
              <w:t xml:space="preserve"> – Rule A1.2.7</w:t>
            </w:r>
          </w:p>
        </w:tc>
      </w:tr>
    </w:tbl>
    <w:p w14:paraId="7F27519C" w14:textId="77777777" w:rsidR="00CA2E4E" w:rsidRPr="00E85986" w:rsidRDefault="00CA2E4E" w:rsidP="00CA2E4E">
      <w:pPr>
        <w:pStyle w:val="MIRHeading3Rule"/>
      </w:pPr>
      <w:r w:rsidRPr="00E85986">
        <w:t>A1.2.2</w:t>
      </w:r>
      <w:r w:rsidRPr="00E85986">
        <w:tab/>
        <w:t xml:space="preserve">Non-margined Financial Instruments method </w:t>
      </w:r>
    </w:p>
    <w:p w14:paraId="2272D153" w14:textId="32A31175" w:rsidR="00CA2E4E" w:rsidRPr="00E85986" w:rsidRDefault="00CA2E4E" w:rsidP="00CA2E4E">
      <w:pPr>
        <w:pStyle w:val="MIRBodyText"/>
      </w:pPr>
      <w:r w:rsidRPr="00E85986">
        <w:t xml:space="preserve">(1) For unsettled trades in Financial Instruments which are not margined and not covered by one of the other methods in this Annexure, </w:t>
      </w:r>
      <w:r w:rsidR="00184FC0">
        <w:t xml:space="preserve">and for unsettled trades in margined Equities, Debt Instruments and Warrants, </w:t>
      </w:r>
      <w:r w:rsidRPr="00E85986">
        <w:t xml:space="preserve">the counterparty risk amount is 3% of the Client Balance, where this balance does not include trades which remain unsettled with the Counterparty for greater than 10 Business Days following the transaction date and regardless of whether the Counterparty is issuer or participant sponsored. </w:t>
      </w:r>
    </w:p>
    <w:p w14:paraId="29D5162D" w14:textId="77777777" w:rsidR="00CA2E4E" w:rsidRPr="00E85986" w:rsidRDefault="00CA2E4E" w:rsidP="00CA2E4E">
      <w:pPr>
        <w:pStyle w:val="MIRBodyText"/>
      </w:pPr>
      <w:r w:rsidRPr="00E85986">
        <w:t xml:space="preserve">(2) A Market Participant may reduce the Client Balance by the amount of Financial Instruments held by the Market Participant on behalf of the Counterparty if they specifically relate to the sale trades pending settlement with the market or by the amount of collateral held by the Market Participant on behalf of the specific Counterparty if: </w:t>
      </w:r>
    </w:p>
    <w:p w14:paraId="6EC07896" w14:textId="77777777" w:rsidR="00CA2E4E" w:rsidRPr="00E85986" w:rsidRDefault="00CA2E4E" w:rsidP="00CA2E4E">
      <w:pPr>
        <w:pStyle w:val="MIRSubpara"/>
      </w:pPr>
      <w:r w:rsidRPr="00E85986">
        <w:t xml:space="preserve">the collateral is Liquid and only to the extent that it is Liquid; </w:t>
      </w:r>
    </w:p>
    <w:p w14:paraId="68DF1431" w14:textId="77777777" w:rsidR="00CA2E4E" w:rsidRPr="00E85986" w:rsidRDefault="00CA2E4E" w:rsidP="00CA2E4E">
      <w:pPr>
        <w:pStyle w:val="MIRSubpara"/>
      </w:pPr>
      <w:r w:rsidRPr="00E85986">
        <w:t xml:space="preserve">the collateral is unrelated to a particular or specific transaction and is not the securities underlying the Counterparty’s purchase; </w:t>
      </w:r>
    </w:p>
    <w:p w14:paraId="511685D3" w14:textId="77777777" w:rsidR="00CA2E4E" w:rsidRPr="00E85986" w:rsidRDefault="00CA2E4E" w:rsidP="00CA2E4E">
      <w:pPr>
        <w:pStyle w:val="MIRSubpara"/>
      </w:pPr>
      <w:r w:rsidRPr="00E85986">
        <w:lastRenderedPageBreak/>
        <w:t xml:space="preserve">the collateral is under the control of the Market Participant, able to be accessed by the Market Participant without the approval of a third party and not otherwise encumbered; </w:t>
      </w:r>
    </w:p>
    <w:p w14:paraId="6818CA50" w14:textId="4C50A79A" w:rsidR="00CA2E4E" w:rsidRPr="00E85986" w:rsidRDefault="00CA2E4E" w:rsidP="00CA2E4E">
      <w:pPr>
        <w:pStyle w:val="MIRSubpara"/>
      </w:pPr>
      <w:r w:rsidRPr="00E85986">
        <w:t>the collateral is valued at the mark</w:t>
      </w:r>
      <w:r w:rsidR="00A36FC3">
        <w:t>-</w:t>
      </w:r>
      <w:r w:rsidRPr="00E85986">
        <w:t>to</w:t>
      </w:r>
      <w:r w:rsidR="00A36FC3">
        <w:t>-</w:t>
      </w:r>
      <w:r w:rsidRPr="00E85986">
        <w:t>market value and offset on a transaction</w:t>
      </w:r>
      <w:r w:rsidR="00B310F3">
        <w:t xml:space="preserve"> </w:t>
      </w:r>
      <w:r w:rsidRPr="00E85986">
        <w:t>by</w:t>
      </w:r>
      <w:r w:rsidR="00B310F3">
        <w:t xml:space="preserve"> </w:t>
      </w:r>
      <w:r w:rsidRPr="00E85986">
        <w:t xml:space="preserve">transaction basis; and </w:t>
      </w:r>
    </w:p>
    <w:p w14:paraId="1A165706" w14:textId="77777777" w:rsidR="00CA2E4E" w:rsidRPr="00E85986" w:rsidRDefault="00CA2E4E" w:rsidP="00CA2E4E">
      <w:pPr>
        <w:pStyle w:val="MIRSubpara"/>
      </w:pPr>
      <w:r w:rsidRPr="00E85986">
        <w:t xml:space="preserve">the collateral arrangement is evidenced in writing by a legally binding agreement between the Market Participant and the Counterparty in circumstances where: </w:t>
      </w:r>
    </w:p>
    <w:p w14:paraId="66155399" w14:textId="77777777" w:rsidR="00CA2E4E" w:rsidRPr="00E85986" w:rsidRDefault="00CA2E4E" w:rsidP="00CA2E4E">
      <w:pPr>
        <w:pStyle w:val="MIRSubsubpara"/>
      </w:pPr>
      <w:r w:rsidRPr="00E85986">
        <w:t xml:space="preserve">the Market Participant has established that the Counterparty and the persons signing the agreement have the legal capacity to enter into the agreement and provide the nominated collateral; and </w:t>
      </w:r>
    </w:p>
    <w:p w14:paraId="5B350D4A" w14:textId="77777777" w:rsidR="00CA2E4E" w:rsidRPr="00E85986" w:rsidRDefault="00CA2E4E" w:rsidP="00CA2E4E">
      <w:pPr>
        <w:pStyle w:val="MIRSubsubpara"/>
      </w:pPr>
      <w:r w:rsidRPr="00E85986">
        <w:t xml:space="preserve">the agreement provides for the Market Participant to deal with that collateral in the event that the client or Counterparty defaults on its settlement of the relevant transactions to recover any amounts owed to the Market Participant, </w:t>
      </w:r>
    </w:p>
    <w:p w14:paraId="1D4BC1A0" w14:textId="77777777" w:rsidR="00CA2E4E" w:rsidRPr="00E85986" w:rsidRDefault="00CA2E4E" w:rsidP="00CA2E4E">
      <w:pPr>
        <w:pStyle w:val="MIRBodyText"/>
      </w:pPr>
      <w:r w:rsidRPr="00E85986">
        <w:t>and the Market Participant may only apply such collateral in accordance with the conditions specified in the collateral agreement.</w:t>
      </w:r>
    </w:p>
    <w:p w14:paraId="7E4FE69F" w14:textId="4BE40651" w:rsidR="00CA2E4E" w:rsidRPr="00E85986" w:rsidRDefault="00CA2E4E" w:rsidP="00CA2E4E">
      <w:pPr>
        <w:pStyle w:val="MIRBodyText"/>
      </w:pPr>
      <w:r w:rsidRPr="00E85986">
        <w:t xml:space="preserve">(3) For unsettled trades in Financial Instruments which are not margined and not covered by one of the other methods in this Annexure, </w:t>
      </w:r>
      <w:r w:rsidR="00184FC0">
        <w:t xml:space="preserve">and for unsettled trades in margined Equities, Debt Instruments and Warrants, </w:t>
      </w:r>
      <w:r w:rsidRPr="00E85986">
        <w:t xml:space="preserve">the counterparty risk amount for trades remaining unsettled for greater than 10 Business Days following the transaction date is at the choice of the Market Participant: </w:t>
      </w:r>
    </w:p>
    <w:p w14:paraId="5A4F573F" w14:textId="77777777" w:rsidR="00CA2E4E" w:rsidRPr="00E85986" w:rsidRDefault="00CA2E4E" w:rsidP="00CA2E4E">
      <w:pPr>
        <w:pStyle w:val="MIRSubpara"/>
      </w:pPr>
      <w:r w:rsidRPr="00E85986">
        <w:t xml:space="preserve">either: </w:t>
      </w:r>
    </w:p>
    <w:p w14:paraId="30D304E6" w14:textId="77777777" w:rsidR="00CA2E4E" w:rsidRPr="00E85986" w:rsidRDefault="00CA2E4E" w:rsidP="00CA2E4E">
      <w:pPr>
        <w:pStyle w:val="MIRSubsubpara"/>
      </w:pPr>
      <w:r w:rsidRPr="00E85986">
        <w:t xml:space="preserve">3% of the contract value; or </w:t>
      </w:r>
    </w:p>
    <w:p w14:paraId="2A6FAC72" w14:textId="77777777" w:rsidR="00CA2E4E" w:rsidRPr="00E85986" w:rsidRDefault="00CA2E4E" w:rsidP="00CA2E4E">
      <w:pPr>
        <w:pStyle w:val="MIRSubsubpara"/>
      </w:pPr>
      <w:r w:rsidRPr="00E85986">
        <w:t xml:space="preserve">the excess of: </w:t>
      </w:r>
    </w:p>
    <w:p w14:paraId="1937506E" w14:textId="77777777" w:rsidR="00CA2E4E" w:rsidRPr="00E85986" w:rsidRDefault="00CA2E4E" w:rsidP="00CA2E4E">
      <w:pPr>
        <w:pStyle w:val="MIRsubsubsubpara"/>
      </w:pPr>
      <w:r w:rsidRPr="00E85986">
        <w:t xml:space="preserve">the contract value over the market value of each Financial Instrument in the case of a client purchase; and </w:t>
      </w:r>
    </w:p>
    <w:p w14:paraId="7A155C95" w14:textId="77777777" w:rsidR="00CA2E4E" w:rsidRPr="00E85986" w:rsidRDefault="00CA2E4E" w:rsidP="00CA2E4E">
      <w:pPr>
        <w:pStyle w:val="MIRsubsubsubpara"/>
      </w:pPr>
      <w:r w:rsidRPr="00E85986">
        <w:t xml:space="preserve">the market value of each Financial Instrument over the contract value in the case of a client sale, </w:t>
      </w:r>
    </w:p>
    <w:p w14:paraId="208DAB0E" w14:textId="77777777" w:rsidR="00CA2E4E" w:rsidRPr="00E85986" w:rsidRDefault="00CA2E4E" w:rsidP="00CA2E4E">
      <w:pPr>
        <w:pStyle w:val="MIRSubpara"/>
        <w:numPr>
          <w:ilvl w:val="0"/>
          <w:numId w:val="0"/>
        </w:numPr>
        <w:ind w:left="1276"/>
      </w:pPr>
      <w:r w:rsidRPr="00E85986">
        <w:t xml:space="preserve">whichever is the greater; or </w:t>
      </w:r>
    </w:p>
    <w:p w14:paraId="75E7F35A" w14:textId="77777777" w:rsidR="00CA2E4E" w:rsidRPr="00E85986" w:rsidRDefault="00CA2E4E" w:rsidP="00CA2E4E">
      <w:pPr>
        <w:pStyle w:val="MIRSubpara"/>
      </w:pPr>
      <w:r w:rsidRPr="00E85986">
        <w:t xml:space="preserve">100% of the contract value for a client purchase or 100% of the market value for a client sale. </w:t>
      </w:r>
    </w:p>
    <w:p w14:paraId="5E6FB788" w14:textId="77777777" w:rsidR="00CA2E4E" w:rsidRPr="00E85986" w:rsidRDefault="00CA2E4E" w:rsidP="00CA2E4E">
      <w:pPr>
        <w:pStyle w:val="MIRBodyText"/>
      </w:pPr>
      <w:r w:rsidRPr="00E85986">
        <w:t xml:space="preserve">(4) A Market Participant may reduce the contract values and the excesses by the amount of collateral held by the Market Participant on behalf of the Counterparty if: </w:t>
      </w:r>
    </w:p>
    <w:p w14:paraId="7EE0D590" w14:textId="77777777" w:rsidR="00CA2E4E" w:rsidRPr="00E85986" w:rsidRDefault="00CA2E4E" w:rsidP="00CA2E4E">
      <w:pPr>
        <w:pStyle w:val="MIRSubpara"/>
      </w:pPr>
      <w:r w:rsidRPr="00E85986">
        <w:t xml:space="preserve">the collateral is Liquid and only to the extent that it is Liquid; </w:t>
      </w:r>
    </w:p>
    <w:p w14:paraId="126DEA81" w14:textId="77777777" w:rsidR="00CA2E4E" w:rsidRPr="00E85986" w:rsidRDefault="00CA2E4E" w:rsidP="00CA2E4E">
      <w:pPr>
        <w:pStyle w:val="MIRSubpara"/>
      </w:pPr>
      <w:r w:rsidRPr="00E85986">
        <w:t xml:space="preserve">the collateral is unrelated to a particular or specific transaction and is not the securities underlying the client purchase; </w:t>
      </w:r>
    </w:p>
    <w:p w14:paraId="1DCA0DA3" w14:textId="77777777" w:rsidR="00CA2E4E" w:rsidRPr="00E85986" w:rsidRDefault="00CA2E4E" w:rsidP="00CA2E4E">
      <w:pPr>
        <w:pStyle w:val="MIRSubpara"/>
      </w:pPr>
      <w:r w:rsidRPr="00E85986">
        <w:t xml:space="preserve">the collateral is under the control of the Market Participant, able to be accessed by the Market Participant without the approval of a third party and not otherwise encumbered; </w:t>
      </w:r>
    </w:p>
    <w:p w14:paraId="6B79F796" w14:textId="7F01BF1F" w:rsidR="00CA2E4E" w:rsidRPr="00E85986" w:rsidRDefault="00CA2E4E" w:rsidP="00CA2E4E">
      <w:pPr>
        <w:pStyle w:val="MIRSubpara"/>
      </w:pPr>
      <w:r w:rsidRPr="00E85986">
        <w:t>the collateral is valued at the mark</w:t>
      </w:r>
      <w:r w:rsidR="00A36FC3">
        <w:t>-</w:t>
      </w:r>
      <w:r w:rsidRPr="00E85986">
        <w:t>to</w:t>
      </w:r>
      <w:r w:rsidR="00A36FC3">
        <w:t>-</w:t>
      </w:r>
      <w:r w:rsidRPr="00E85986">
        <w:t>market value and offset on a transaction</w:t>
      </w:r>
      <w:r w:rsidR="009564C1">
        <w:t xml:space="preserve"> </w:t>
      </w:r>
      <w:r w:rsidRPr="00E85986">
        <w:t>by</w:t>
      </w:r>
      <w:r w:rsidR="009564C1">
        <w:t xml:space="preserve"> </w:t>
      </w:r>
      <w:r w:rsidRPr="00E85986">
        <w:t xml:space="preserve">transaction basis; and </w:t>
      </w:r>
    </w:p>
    <w:p w14:paraId="411C195F" w14:textId="77777777" w:rsidR="00CA2E4E" w:rsidRPr="00E85986" w:rsidRDefault="00CA2E4E" w:rsidP="00CA2E4E">
      <w:pPr>
        <w:pStyle w:val="MIRSubpara"/>
      </w:pPr>
      <w:r w:rsidRPr="00E85986">
        <w:lastRenderedPageBreak/>
        <w:t xml:space="preserve">the collateral arrangement is evidenced in writing by a legally binding agreement between the Market Participant and the Counterparty in circumstances where: </w:t>
      </w:r>
    </w:p>
    <w:p w14:paraId="6E06304B" w14:textId="77777777" w:rsidR="00CA2E4E" w:rsidRPr="00E85986" w:rsidRDefault="00CA2E4E" w:rsidP="00CA2E4E">
      <w:pPr>
        <w:pStyle w:val="MIRSubsubpara"/>
      </w:pPr>
      <w:r w:rsidRPr="00E85986">
        <w:t xml:space="preserve">the Market Participant has established that the Counterparty and the persons signing the agreement have the legal capacity to enter into the agreement and provide the nominated collateral; and </w:t>
      </w:r>
    </w:p>
    <w:p w14:paraId="7E77A4D4" w14:textId="77777777" w:rsidR="00CA2E4E" w:rsidRPr="00E85986" w:rsidRDefault="00CA2E4E" w:rsidP="00CA2E4E">
      <w:pPr>
        <w:pStyle w:val="MIRSubsubpara"/>
      </w:pPr>
      <w:r w:rsidRPr="00E85986">
        <w:t xml:space="preserve">the agreement provides for the Market Participant to deal with that collateral in the event that the client or Counterparty defaults on its settlement of the relevant transactions to recover any amounts owed to the Market Participant, </w:t>
      </w:r>
    </w:p>
    <w:p w14:paraId="4EFB5552" w14:textId="77777777" w:rsidR="00CA2E4E" w:rsidRPr="00E85986" w:rsidRDefault="00CA2E4E" w:rsidP="00CA2E4E">
      <w:pPr>
        <w:pStyle w:val="MIRBodyText"/>
      </w:pPr>
      <w:r w:rsidRPr="00E85986">
        <w:t>and the Market Participant may only apply such collateral in accordance with the conditions specified in the collateral agreement.</w:t>
      </w:r>
    </w:p>
    <w:p w14:paraId="1B0511D1" w14:textId="77777777" w:rsidR="00CA2E4E" w:rsidRPr="00E85986" w:rsidRDefault="00CA2E4E" w:rsidP="00CA2E4E">
      <w:pPr>
        <w:pStyle w:val="MIRBodyText"/>
      </w:pPr>
      <w:r w:rsidRPr="00E85986">
        <w:t xml:space="preserve">(5) For the purposes of subrule (2), the Market Participant may: </w:t>
      </w:r>
    </w:p>
    <w:p w14:paraId="2C894F66" w14:textId="77777777" w:rsidR="00CA2E4E" w:rsidRPr="00E85986" w:rsidRDefault="00CA2E4E" w:rsidP="00CA2E4E">
      <w:pPr>
        <w:pStyle w:val="MIRSubpara"/>
      </w:pPr>
      <w:r w:rsidRPr="00E85986">
        <w:t xml:space="preserve">adjust the Client Balance with respect to a specific buy transaction, by removing from the Client Balance that portion of the contract value that is covered by client funds held in a cash management account, where the Market Participant has sole and unconditional control over those funds, where a Market Participant that has the ability to sweep a client’s account to pay for purchases may only reduce the counterparty risk amount prior to the settlement date if: </w:t>
      </w:r>
    </w:p>
    <w:p w14:paraId="2AB7D90B" w14:textId="77777777" w:rsidR="00CA2E4E" w:rsidRPr="00E85986" w:rsidRDefault="00CA2E4E" w:rsidP="00CA2E4E">
      <w:pPr>
        <w:pStyle w:val="MIRSubsubpara"/>
      </w:pPr>
      <w:r w:rsidRPr="00E85986">
        <w:t xml:space="preserve">the ability to sweep the client’s account means that the funds are “locked” in favour of the Market Participant; or </w:t>
      </w:r>
    </w:p>
    <w:p w14:paraId="6A0E3E6E" w14:textId="77777777" w:rsidR="00CA2E4E" w:rsidRPr="00E85986" w:rsidRDefault="00CA2E4E" w:rsidP="00CA2E4E">
      <w:pPr>
        <w:pStyle w:val="MIRSubsubpara"/>
      </w:pPr>
      <w:r w:rsidRPr="00E85986">
        <w:t xml:space="preserve">the funds are actually removed from the cash management account; </w:t>
      </w:r>
    </w:p>
    <w:p w14:paraId="3F7DEE15" w14:textId="77777777" w:rsidR="00CA2E4E" w:rsidRPr="00E85986" w:rsidRDefault="00CA2E4E" w:rsidP="00CA2E4E">
      <w:pPr>
        <w:pStyle w:val="MIRSubpara"/>
      </w:pPr>
      <w:r w:rsidRPr="00E85986">
        <w:t xml:space="preserve">reduce the Client Balance by an amount held in the Market Participant’s trust account if that trust money is held in relation to the unsettled transaction or as otherwise agreed by the client; and </w:t>
      </w:r>
    </w:p>
    <w:p w14:paraId="5D237996" w14:textId="77777777" w:rsidR="00CA2E4E" w:rsidRPr="00E85986" w:rsidRDefault="00CA2E4E" w:rsidP="00CA2E4E">
      <w:pPr>
        <w:pStyle w:val="MIRSubpara"/>
      </w:pPr>
      <w:r w:rsidRPr="00E85986">
        <w:t xml:space="preserve">remove the value of scrip which is the subject of a sale transaction from the Client Balance where the selling client has the scrip in a participant sponsored account and the Market Participant has either “locked” that scrip from the client or has strong internal controls to prevent that client recalling the scrip prior to settlement. </w:t>
      </w:r>
    </w:p>
    <w:p w14:paraId="34FC6727" w14:textId="77777777" w:rsidR="00CA2E4E" w:rsidRPr="00E85986" w:rsidRDefault="00CA2E4E" w:rsidP="00CA2E4E">
      <w:pPr>
        <w:pStyle w:val="MIRBodyText"/>
      </w:pPr>
      <w:r w:rsidRPr="00E85986">
        <w:t xml:space="preserve">(6) For the purposes of subrule (3), where the security underlying the trade becomes subject to: </w:t>
      </w:r>
    </w:p>
    <w:p w14:paraId="520E2014" w14:textId="77777777" w:rsidR="00CA2E4E" w:rsidRPr="00E85986" w:rsidRDefault="00CA2E4E" w:rsidP="00CA2E4E">
      <w:pPr>
        <w:pStyle w:val="MIRSubpara"/>
      </w:pPr>
      <w:r w:rsidRPr="00E85986">
        <w:t xml:space="preserve">a trading halt, the last market value is acceptable in calculating the counterparty risk amount; or </w:t>
      </w:r>
    </w:p>
    <w:p w14:paraId="02F1821A" w14:textId="77777777" w:rsidR="00CA2E4E" w:rsidRPr="00E85986" w:rsidRDefault="00CA2E4E" w:rsidP="00CA2E4E">
      <w:pPr>
        <w:pStyle w:val="MIRSubpara"/>
      </w:pPr>
      <w:r w:rsidRPr="00E85986">
        <w:t xml:space="preserve">a suspension, the market value should be taken as nil on the basis that the security is not Liquid. </w:t>
      </w:r>
    </w:p>
    <w:p w14:paraId="0618C2F7" w14:textId="77777777" w:rsidR="00CA2E4E" w:rsidRPr="00E85986" w:rsidRDefault="00CA2E4E" w:rsidP="00CA2E4E">
      <w:pPr>
        <w:pStyle w:val="MIRBodyText"/>
      </w:pPr>
      <w:r w:rsidRPr="00E85986">
        <w:t xml:space="preserve">(7) A Market Participant need not include credit amounts included in a Client Balance where such amounts represent an amount of cash held in the Market Participant’s trust and/or segregated account. </w:t>
      </w:r>
    </w:p>
    <w:p w14:paraId="7EFC34F4" w14:textId="77777777" w:rsidR="00CA2E4E" w:rsidRPr="00E85986" w:rsidRDefault="00CA2E4E" w:rsidP="00CA2E4E">
      <w:pPr>
        <w:pStyle w:val="MIRBodyText"/>
      </w:pPr>
      <w:r w:rsidRPr="00E85986">
        <w:t xml:space="preserve">(8) A Market Participant that has calculated a counterparty risk amount for an unsettled trade under this method is not required to treat or disclose any amounts calculated as Excluded Assets. </w:t>
      </w:r>
    </w:p>
    <w:p w14:paraId="2C886076" w14:textId="13E841AC" w:rsidR="00CA2E4E" w:rsidRPr="00E85986" w:rsidRDefault="00CA2E4E" w:rsidP="00CA2E4E">
      <w:pPr>
        <w:pStyle w:val="MIRBodyText"/>
      </w:pPr>
      <w:r w:rsidRPr="00E85986">
        <w:lastRenderedPageBreak/>
        <w:t xml:space="preserve">(9) This method does not apply to OTC Derivatives but does apply to </w:t>
      </w:r>
      <w:r w:rsidR="00184FC0">
        <w:t>W</w:t>
      </w:r>
      <w:r w:rsidR="00184FC0" w:rsidRPr="00E85986">
        <w:t xml:space="preserve">arrants </w:t>
      </w:r>
      <w:r w:rsidRPr="00E85986">
        <w:t xml:space="preserve">which also may be covered by the method in Rule A1.2.6. </w:t>
      </w:r>
    </w:p>
    <w:p w14:paraId="06E94964" w14:textId="77777777" w:rsidR="00CA2E4E" w:rsidRPr="00E85986" w:rsidRDefault="00CA2E4E" w:rsidP="00CA2E4E">
      <w:pPr>
        <w:pStyle w:val="MIRBodyText"/>
      </w:pPr>
      <w:r w:rsidRPr="00E85986">
        <w:t xml:space="preserve">(10) Without limitation, a Market Participant must calculate a counterparty risk amount under this method in relation to a non-margined Financial Instrument in the following circumstances: </w:t>
      </w:r>
    </w:p>
    <w:p w14:paraId="4DDD39D4" w14:textId="2315E78E" w:rsidR="00E70397" w:rsidRDefault="00E70397" w:rsidP="00CA2E4E">
      <w:pPr>
        <w:pStyle w:val="MIRSubpara"/>
      </w:pPr>
      <w:r w:rsidRPr="00E70397">
        <w:t>where the Market Participant has entered into an on-market purchase or sale transaction as agent for a client (including where the client is another Market Participant or a Clearing Participant which is trading as principal) and the Market Participant is the clearer for that transaction, the Market Participant must calculate a counterparty risk amount on its exposure to that client from the time that the trade is executed;</w:t>
      </w:r>
    </w:p>
    <w:p w14:paraId="2E777DB1" w14:textId="2D41BC30" w:rsidR="00CA2E4E" w:rsidRPr="00E85986" w:rsidRDefault="00CA2E4E" w:rsidP="00CA2E4E">
      <w:pPr>
        <w:pStyle w:val="MIRSubpara"/>
      </w:pPr>
      <w:r w:rsidRPr="00E85986">
        <w:t xml:space="preserve">where the Market Participant has entered into an on-market purchase or sale transaction as agent for a client (including where the client is another Market Participant or a Clearing Participant which is trading as principal) and the Market Participant is not the clearer for that transaction, the Market Participant must calculate a counterparty risk amount on its exposure to that client from the time that the clearer seeks recourse from the Market Participant for a client failing to settle its obligations with the Clearing Participant; </w:t>
      </w:r>
    </w:p>
    <w:p w14:paraId="4BCF3188" w14:textId="5CB52B0F" w:rsidR="00E70397" w:rsidRDefault="00E70397" w:rsidP="00E70397">
      <w:pPr>
        <w:pStyle w:val="MIRSubpara"/>
      </w:pPr>
      <w:r w:rsidRPr="00E70397">
        <w:t xml:space="preserve">where the Market Participant has entered into an on-market or off-market purchase or sale transaction as agent for two clients (including where either of the clients is another Market Participant or a Clearing Participant which is trading as principal) and the Market Participant is the clearer for that transaction, the Market Participant must calculate a counterparty risk amount on its exposure to the two clients from the time that the trade is executed; </w:t>
      </w:r>
    </w:p>
    <w:p w14:paraId="4483F53A" w14:textId="0E1EB9EB" w:rsidR="00CA2E4E" w:rsidRPr="00E85986" w:rsidRDefault="00CA2E4E" w:rsidP="00CA2E4E">
      <w:pPr>
        <w:pStyle w:val="MIRSubpara"/>
      </w:pPr>
      <w:r w:rsidRPr="00E85986">
        <w:t xml:space="preserve">where the Market Participant has entered into an on-market or off-market purchase or sale transaction as agent for a client (including where the client is another Market Participant or a Clearing Participant which is trading as principal) and the Market Participant is acting as principal on one side of the transaction and the Market Participant is not the clearer for that transaction, the Market Participant must calculate: </w:t>
      </w:r>
    </w:p>
    <w:p w14:paraId="156391AF" w14:textId="77777777" w:rsidR="00CA2E4E" w:rsidRPr="00E85986" w:rsidRDefault="00CA2E4E" w:rsidP="00CA2E4E">
      <w:pPr>
        <w:pStyle w:val="MIRSubsubpara"/>
      </w:pPr>
      <w:r w:rsidRPr="00E85986">
        <w:t xml:space="preserve">a counterparty risk amount on its exposure to its Clearing Participant from the time that the trade is executed until the clearer has settled; and </w:t>
      </w:r>
    </w:p>
    <w:p w14:paraId="27D8915C" w14:textId="06487802" w:rsidR="00CA2E4E" w:rsidRPr="00E85986" w:rsidRDefault="00CA2E4E" w:rsidP="00CA2E4E">
      <w:pPr>
        <w:pStyle w:val="MIRSubsubpara"/>
      </w:pPr>
      <w:r w:rsidRPr="00E85986">
        <w:t>a counterparty risk amount on its exposure to the client from the time that the clearer seeks recourse from the Market Participant for a client failing to settle its obligations with the Clearing Participant</w:t>
      </w:r>
      <w:r w:rsidR="00181F69">
        <w:t>;</w:t>
      </w:r>
      <w:r w:rsidRPr="00E85986">
        <w:t xml:space="preserve"> </w:t>
      </w:r>
    </w:p>
    <w:p w14:paraId="3A4D4566" w14:textId="71DD4FD5" w:rsidR="00CA2E4E" w:rsidRPr="00E85986" w:rsidRDefault="00CA2E4E" w:rsidP="00CA2E4E">
      <w:pPr>
        <w:pStyle w:val="MIRSubpara"/>
      </w:pPr>
      <w:r w:rsidRPr="00E85986">
        <w:t xml:space="preserve">where the Market Participant has entered into: </w:t>
      </w:r>
    </w:p>
    <w:p w14:paraId="416C1EC4" w14:textId="101F5BAC" w:rsidR="00CA2E4E" w:rsidRPr="00E85986" w:rsidRDefault="00CA2E4E" w:rsidP="00CA2E4E">
      <w:pPr>
        <w:pStyle w:val="MIRSubsubpara"/>
      </w:pPr>
      <w:r w:rsidRPr="00E85986">
        <w:t xml:space="preserve">an on-market purchase or sale transaction as principal; </w:t>
      </w:r>
    </w:p>
    <w:p w14:paraId="6BE50E55" w14:textId="77777777" w:rsidR="00CA2E4E" w:rsidRPr="00E85986" w:rsidRDefault="00CA2E4E" w:rsidP="00CA2E4E">
      <w:pPr>
        <w:pStyle w:val="MIRSubsubpara"/>
      </w:pPr>
      <w:r w:rsidRPr="00E85986">
        <w:t xml:space="preserve">an off-market client facilitation; or </w:t>
      </w:r>
    </w:p>
    <w:p w14:paraId="4D63B782" w14:textId="77777777" w:rsidR="00CA2E4E" w:rsidRPr="00E85986" w:rsidRDefault="00CA2E4E" w:rsidP="00CA2E4E">
      <w:pPr>
        <w:pStyle w:val="MIRSubsubpara"/>
      </w:pPr>
      <w:r w:rsidRPr="00E85986">
        <w:t xml:space="preserve">an off-market underwritten placement of existing shares via a book build, </w:t>
      </w:r>
    </w:p>
    <w:p w14:paraId="0583CDF9" w14:textId="77777777" w:rsidR="00CA2E4E" w:rsidRPr="00E85986" w:rsidRDefault="00CA2E4E" w:rsidP="00CA2E4E">
      <w:pPr>
        <w:pStyle w:val="MIRSubpara"/>
        <w:numPr>
          <w:ilvl w:val="0"/>
          <w:numId w:val="0"/>
        </w:numPr>
        <w:ind w:left="1276"/>
      </w:pPr>
      <w:r w:rsidRPr="00E85986">
        <w:t xml:space="preserve">and does not clear its own trades, the Market Participant must calculate a counterparty risk amount on its exposure to its Clearing Participant from the time that the trade is executed until the clearer has settled; </w:t>
      </w:r>
    </w:p>
    <w:p w14:paraId="7CEAE248" w14:textId="77777777" w:rsidR="00CA2E4E" w:rsidRPr="00E85986" w:rsidRDefault="00CA2E4E" w:rsidP="00CA2E4E">
      <w:pPr>
        <w:pStyle w:val="MIRSubpara"/>
      </w:pPr>
      <w:r w:rsidRPr="00E85986">
        <w:lastRenderedPageBreak/>
        <w:t xml:space="preserve">where the Market Participant executes an agency transaction in unlisted securities or through a foreign broker, the Market Participant must calculate a counterparty risk amount on its exposure to both Counterparties; </w:t>
      </w:r>
    </w:p>
    <w:p w14:paraId="59F7CE41" w14:textId="77777777" w:rsidR="00CA2E4E" w:rsidRPr="00E85986" w:rsidRDefault="00CA2E4E" w:rsidP="00CA2E4E">
      <w:pPr>
        <w:pStyle w:val="MIRSubpara"/>
      </w:pPr>
      <w:r w:rsidRPr="00E85986">
        <w:t xml:space="preserve">where the Market Participant has trades sitting in a client suspense account, the Market Participant must treat each individual trade as a Client Balance and calculate a counterparty risk amount on each Client Balance, until the trade is actually booked to a client; </w:t>
      </w:r>
    </w:p>
    <w:p w14:paraId="12B0753F" w14:textId="4D3AA00D" w:rsidR="00CA2E4E" w:rsidRPr="00E85986" w:rsidRDefault="00CA2E4E" w:rsidP="00CA2E4E">
      <w:pPr>
        <w:pStyle w:val="MIRSubpara"/>
      </w:pPr>
      <w:r w:rsidRPr="00E85986">
        <w:t xml:space="preserve">where the Market Participant has amounts owing as a result of day trading losses, failed transaction fees or interest charged on failed trades, the Market Participant must include these amounts in the Client Balance and where the amount remains unsettled after 10 Business Days, the Market Participant must calculate a counterparty risk amount as 100% of the amount owing; </w:t>
      </w:r>
    </w:p>
    <w:p w14:paraId="168EBF5E" w14:textId="77777777" w:rsidR="00CA2E4E" w:rsidRPr="00E85986" w:rsidRDefault="00CA2E4E" w:rsidP="00CA2E4E">
      <w:pPr>
        <w:pStyle w:val="MIRSubpara"/>
      </w:pPr>
      <w:r w:rsidRPr="00E85986">
        <w:t xml:space="preserve">where the Market Participant executes a transaction on behalf of another Market Participant or Clearing Participant which is trading as principal, then the executing participant must establish the entity that is trading as principal as a client and calculate a Client Balance for that entity; </w:t>
      </w:r>
    </w:p>
    <w:p w14:paraId="7D502594" w14:textId="77777777" w:rsidR="00CA2E4E" w:rsidRPr="00E85986" w:rsidRDefault="00CA2E4E" w:rsidP="00CA2E4E">
      <w:pPr>
        <w:pStyle w:val="MIRSubpara"/>
      </w:pPr>
      <w:r w:rsidRPr="00E85986">
        <w:t>where the Market Participant executes a transaction on market with another Market Participant and the trade:</w:t>
      </w:r>
    </w:p>
    <w:p w14:paraId="06BE93F5" w14:textId="77777777" w:rsidR="00CA2E4E" w:rsidRPr="00E85986" w:rsidRDefault="00CA2E4E" w:rsidP="00CA2E4E">
      <w:pPr>
        <w:pStyle w:val="MIRSubsubpara"/>
      </w:pPr>
      <w:r w:rsidRPr="00E85986">
        <w:t>is not novated; or</w:t>
      </w:r>
    </w:p>
    <w:p w14:paraId="583ED4C6" w14:textId="77777777" w:rsidR="00CA2E4E" w:rsidRPr="00E85986" w:rsidRDefault="00CA2E4E" w:rsidP="00CA2E4E">
      <w:pPr>
        <w:pStyle w:val="MIRSubsubpara"/>
      </w:pPr>
      <w:r w:rsidRPr="00E85986">
        <w:t xml:space="preserve">is removed from novation by the Market Participant and its Counterparty so that the Market Participant and its Counterparty can settle the trade directly or in another clearing house, the Market Participant must calculate a counterparty risk amount for its exposure to the Counterparty or the other clearing house; </w:t>
      </w:r>
    </w:p>
    <w:p w14:paraId="7D75A7A9" w14:textId="77777777" w:rsidR="00CA2E4E" w:rsidRPr="00E85986" w:rsidRDefault="00CA2E4E" w:rsidP="00CA2E4E">
      <w:pPr>
        <w:pStyle w:val="MIRSubpara"/>
      </w:pPr>
      <w:r w:rsidRPr="00E85986">
        <w:t xml:space="preserve">where the Market Participant executes a transaction that is reported to, but not registered with, the Approved Clearing Facility (and therefore not novated to the Approved Clearing Facility) and the transaction gives rise to a counterparty exposure for the Market Participant, the Market Participant must calculate a counterparty risk amount on its exposure to the Counterparty or client; and </w:t>
      </w:r>
    </w:p>
    <w:p w14:paraId="25AE08A4" w14:textId="77777777" w:rsidR="00CA2E4E" w:rsidRPr="00E85986" w:rsidRDefault="00CA2E4E" w:rsidP="00CA2E4E">
      <w:pPr>
        <w:pStyle w:val="MIRSubpara"/>
      </w:pPr>
      <w:r w:rsidRPr="00E85986">
        <w:t xml:space="preserve">where a transaction: </w:t>
      </w:r>
    </w:p>
    <w:p w14:paraId="208E3400" w14:textId="77777777" w:rsidR="00CA2E4E" w:rsidRPr="00E85986" w:rsidRDefault="00CA2E4E" w:rsidP="00CA2E4E">
      <w:pPr>
        <w:pStyle w:val="MIRSubsubpara"/>
      </w:pPr>
      <w:r w:rsidRPr="00E85986">
        <w:t xml:space="preserve">is executed in a deferred settlement market (where the normal settlement period is extended by the operator of the market for a particular security and the extension applies to all transactions in that security and all participants in that market); or </w:t>
      </w:r>
    </w:p>
    <w:p w14:paraId="0A6DB53A" w14:textId="370FB1CE" w:rsidR="00CA2E4E" w:rsidRPr="00E85986" w:rsidRDefault="00CA2E4E" w:rsidP="00CA2E4E">
      <w:pPr>
        <w:pStyle w:val="MIRSubsubpara"/>
      </w:pPr>
      <w:r w:rsidRPr="00E85986">
        <w:t>is a forward transaction (where the two parties to a transaction have agreed to a time for settlement that is later than the normal settlement period for that type of transaction</w:t>
      </w:r>
      <w:r w:rsidR="006D76B6" w:rsidRPr="00E85986">
        <w:t>)</w:t>
      </w:r>
      <w:r w:rsidR="006D76B6">
        <w:t>;</w:t>
      </w:r>
    </w:p>
    <w:p w14:paraId="6084BBCA" w14:textId="77777777" w:rsidR="00AC769A" w:rsidRDefault="00CA2E4E" w:rsidP="008C0ED4">
      <w:pPr>
        <w:pStyle w:val="MIRSubpara"/>
        <w:numPr>
          <w:ilvl w:val="0"/>
          <w:numId w:val="0"/>
        </w:numPr>
        <w:ind w:left="1276"/>
      </w:pPr>
      <w:r w:rsidRPr="00E85986">
        <w:t>and the Market Participant</w:t>
      </w:r>
      <w:r w:rsidR="00AC769A">
        <w:t>:</w:t>
      </w:r>
    </w:p>
    <w:p w14:paraId="254D163D" w14:textId="25308C24" w:rsidR="0030146A" w:rsidRDefault="0030146A" w:rsidP="0030146A">
      <w:pPr>
        <w:pStyle w:val="MIRSubsubpara"/>
      </w:pPr>
      <w:r>
        <w:t xml:space="preserve">clears its own trades, </w:t>
      </w:r>
      <w:r w:rsidRPr="0030146A">
        <w:t>the Market Participant must calculate a counterparty risk amount from the time the transaction is executed until the time the transaction is settled, even if the time until settlement date is greater than 3</w:t>
      </w:r>
      <w:r w:rsidR="00B10625">
        <w:t>1</w:t>
      </w:r>
      <w:r w:rsidRPr="0030146A">
        <w:t xml:space="preserve"> days</w:t>
      </w:r>
      <w:r>
        <w:t>;</w:t>
      </w:r>
    </w:p>
    <w:p w14:paraId="578EE17B" w14:textId="527D0962" w:rsidR="00CA2E4E" w:rsidRDefault="00CA2E4E" w:rsidP="00CC3DEF">
      <w:pPr>
        <w:pStyle w:val="MIRSubsubpara"/>
      </w:pPr>
      <w:r w:rsidRPr="00E85986">
        <w:t xml:space="preserve">is not the clearer for that transaction, the Market Participant must calculate a counterparty risk amount on its exposure to the client from the time that the clearer </w:t>
      </w:r>
      <w:r w:rsidRPr="00E85986">
        <w:lastRenderedPageBreak/>
        <w:t xml:space="preserve">seeks recourse from the Market Participant for a client failing to settle its obligations with the Clearing Participant. </w:t>
      </w:r>
    </w:p>
    <w:p w14:paraId="43A62FA3" w14:textId="5446D2D3" w:rsidR="00EB2B55" w:rsidRPr="00EB2B55" w:rsidRDefault="00EB2B55" w:rsidP="00E26929">
      <w:pPr>
        <w:pStyle w:val="Note"/>
        <w:ind w:left="1701"/>
      </w:pPr>
      <w:r w:rsidRPr="00EB2B55">
        <w:t xml:space="preserve">Note: Under Rule A4.1.3, a Market Participant that acts as underwriter of an initial public offering or placement of new shares will </w:t>
      </w:r>
      <w:r w:rsidRPr="00CA4E71">
        <w:t xml:space="preserve">also be required to calculate a counterparty risk amount in </w:t>
      </w:r>
      <w:r w:rsidRPr="008C2F86">
        <w:t>respect of that activity in accordance with this Annexure 1</w:t>
      </w:r>
      <w:r w:rsidR="00B6711E">
        <w:t>.</w:t>
      </w:r>
    </w:p>
    <w:p w14:paraId="1F6D0CCB" w14:textId="77777777" w:rsidR="00CA2E4E" w:rsidRPr="00E85986" w:rsidRDefault="00CA2E4E" w:rsidP="00CA2E4E">
      <w:pPr>
        <w:pStyle w:val="MIRBodyText"/>
      </w:pPr>
      <w:r w:rsidRPr="00E85986">
        <w:t xml:space="preserve">(11) For the purposes of determining a Client Balance when dealing with a Fund Manager, the Market Participant’s Counterparty is determined as follows: </w:t>
      </w:r>
    </w:p>
    <w:p w14:paraId="35908ACF" w14:textId="77777777" w:rsidR="00CA2E4E" w:rsidRPr="00E85986" w:rsidRDefault="00CA2E4E" w:rsidP="00CA2E4E">
      <w:pPr>
        <w:pStyle w:val="MIRSubpara"/>
      </w:pPr>
      <w:r w:rsidRPr="00E85986">
        <w:t xml:space="preserve">if the Market Participant is immediately provided with the underlying client details by the Fund Manager, or if the Market Participant has a standing instruction for the underlying client details to be provided, the Market Participant must treat the underlying client as the Counterparty; </w:t>
      </w:r>
    </w:p>
    <w:p w14:paraId="0529F07C" w14:textId="77777777" w:rsidR="00CA2E4E" w:rsidRPr="00E85986" w:rsidRDefault="00CA2E4E" w:rsidP="00CA2E4E">
      <w:pPr>
        <w:pStyle w:val="MIRSubpara"/>
      </w:pPr>
      <w:r w:rsidRPr="00E85986">
        <w:t xml:space="preserve">if the Market Participant books trades directly to the Fund Manager or its nominee company and the Fund Manager does not provide details of the underlying client, the Market Participant is entitled to treat the Fund Manager as the Counterparty. </w:t>
      </w:r>
    </w:p>
    <w:p w14:paraId="34FB6AE3" w14:textId="77777777" w:rsidR="00CA2E4E" w:rsidRPr="00E85986" w:rsidRDefault="00CA2E4E" w:rsidP="009657D5">
      <w:pPr>
        <w:pStyle w:val="MIRHeading3Rule"/>
        <w:keepNext/>
      </w:pPr>
      <w:r w:rsidRPr="00E85986">
        <w:t>A1.2.3</w:t>
      </w:r>
      <w:r w:rsidRPr="00E85986">
        <w:tab/>
        <w:t xml:space="preserve">Free Delivery method </w:t>
      </w:r>
    </w:p>
    <w:p w14:paraId="2C4055E4" w14:textId="77777777" w:rsidR="00CA2E4E" w:rsidRPr="00E85986" w:rsidRDefault="00CA2E4E" w:rsidP="009657D5">
      <w:pPr>
        <w:pStyle w:val="MIRBodyText"/>
        <w:keepNext/>
      </w:pPr>
      <w:r w:rsidRPr="00E85986">
        <w:t xml:space="preserve">(1) For a Free Delivery in a Financial Instrument, the counterparty risk amount for the Counterparty is: </w:t>
      </w:r>
    </w:p>
    <w:p w14:paraId="3B2BD3FC" w14:textId="66B0D694" w:rsidR="00CA2E4E" w:rsidRPr="00E85986" w:rsidRDefault="00CA2E4E" w:rsidP="00CA2E4E">
      <w:pPr>
        <w:pStyle w:val="MIRSubpara"/>
      </w:pPr>
      <w:r w:rsidRPr="00E85986">
        <w:t xml:space="preserve">8% of that part of the contract value subject to a Free Delivery, where payment or delivery of the Financial Instrument which is the subject of a Free Delivery remains outstanding for less than </w:t>
      </w:r>
      <w:r w:rsidR="007C208E">
        <w:t xml:space="preserve">two </w:t>
      </w:r>
      <w:r w:rsidRPr="00E85986">
        <w:t xml:space="preserve">Business Days following the settlement date; and </w:t>
      </w:r>
    </w:p>
    <w:p w14:paraId="1B704151" w14:textId="2924DDCF" w:rsidR="00CA2E4E" w:rsidRPr="00E85986" w:rsidRDefault="00CA2E4E" w:rsidP="00CA2E4E">
      <w:pPr>
        <w:pStyle w:val="MIRSubpara"/>
      </w:pPr>
      <w:r w:rsidRPr="00E85986">
        <w:t xml:space="preserve">100% of that part of the contract value subject to a Free Delivery, where payment or delivery of the Financial Instrument remains outstanding for greater than </w:t>
      </w:r>
      <w:r w:rsidR="007C208E">
        <w:t>two</w:t>
      </w:r>
      <w:r w:rsidR="007C208E" w:rsidRPr="00E85986">
        <w:t xml:space="preserve"> </w:t>
      </w:r>
      <w:r w:rsidRPr="00E85986">
        <w:t xml:space="preserve">Business Days following the settlement date. </w:t>
      </w:r>
    </w:p>
    <w:p w14:paraId="3C8680F1" w14:textId="43B7076B" w:rsidR="00CA2E4E" w:rsidRPr="00E85986" w:rsidRDefault="00CA2E4E" w:rsidP="00CA2E4E">
      <w:pPr>
        <w:pStyle w:val="MIRBodyText"/>
      </w:pPr>
      <w:r w:rsidRPr="00E85986">
        <w:t xml:space="preserve">For the purposes </w:t>
      </w:r>
      <w:r w:rsidR="007C208E">
        <w:t xml:space="preserve">of </w:t>
      </w:r>
      <w:r w:rsidRPr="00E85986">
        <w:t xml:space="preserve">this subrule, </w:t>
      </w:r>
      <w:r w:rsidRPr="003D34F3">
        <w:rPr>
          <w:b/>
          <w:i/>
        </w:rPr>
        <w:t>settlement date</w:t>
      </w:r>
      <w:r w:rsidRPr="00E85986">
        <w:t xml:space="preserve"> means the date that the Market Participant makes the Free Delivery (that is, the day that the Market Participant settles with the client or Counterparty) and not the market settlement date. </w:t>
      </w:r>
    </w:p>
    <w:p w14:paraId="0F0D6017" w14:textId="77777777" w:rsidR="00CA2E4E" w:rsidRPr="00E85986" w:rsidRDefault="00CA2E4E" w:rsidP="00CA2E4E">
      <w:pPr>
        <w:pStyle w:val="MIRBodyText"/>
      </w:pPr>
      <w:r w:rsidRPr="00E85986">
        <w:t xml:space="preserve">(2) A Market Participant may reduce the contract value by the amount of collateral held by the Market Participant on behalf of the Counterparty if: </w:t>
      </w:r>
    </w:p>
    <w:p w14:paraId="0F2C1139" w14:textId="77777777" w:rsidR="00CA2E4E" w:rsidRPr="00E85986" w:rsidRDefault="00CA2E4E" w:rsidP="00CA2E4E">
      <w:pPr>
        <w:pStyle w:val="MIRSubpara"/>
      </w:pPr>
      <w:r w:rsidRPr="00E85986">
        <w:t xml:space="preserve">the collateral is Liquid and only to the extent that it is Liquid; </w:t>
      </w:r>
    </w:p>
    <w:p w14:paraId="289D7A65" w14:textId="77777777" w:rsidR="00CA2E4E" w:rsidRPr="00E85986" w:rsidRDefault="00CA2E4E" w:rsidP="00CA2E4E">
      <w:pPr>
        <w:pStyle w:val="MIRSubpara"/>
      </w:pPr>
      <w:r w:rsidRPr="00E85986">
        <w:t xml:space="preserve">the collateral is unrelated to a particular or specific transaction and is not the securities underlying the client purchase; </w:t>
      </w:r>
    </w:p>
    <w:p w14:paraId="3C6D417E" w14:textId="77777777" w:rsidR="00CA2E4E" w:rsidRPr="00E85986" w:rsidRDefault="00CA2E4E" w:rsidP="00CA2E4E">
      <w:pPr>
        <w:pStyle w:val="MIRSubpara"/>
      </w:pPr>
      <w:r w:rsidRPr="00E85986">
        <w:t xml:space="preserve">the collateral is under the control of the Market Participant, able to be accessed by the Market Participant without the approval of a third party and not otherwise encumbered; </w:t>
      </w:r>
    </w:p>
    <w:p w14:paraId="46765F95" w14:textId="05847F1C" w:rsidR="00CA2E4E" w:rsidRPr="00E85986" w:rsidRDefault="00CA2E4E" w:rsidP="00CA2E4E">
      <w:pPr>
        <w:pStyle w:val="MIRSubpara"/>
      </w:pPr>
      <w:r w:rsidRPr="00E85986">
        <w:t>the collateral is valued at the mark</w:t>
      </w:r>
      <w:r w:rsidR="00A36FC3">
        <w:t>-</w:t>
      </w:r>
      <w:r w:rsidRPr="00E85986">
        <w:t>to</w:t>
      </w:r>
      <w:r w:rsidR="00A36FC3">
        <w:t>-</w:t>
      </w:r>
      <w:r w:rsidRPr="00E85986">
        <w:t>market value and offset on a transaction</w:t>
      </w:r>
      <w:r w:rsidR="006D2563">
        <w:t xml:space="preserve"> </w:t>
      </w:r>
      <w:r w:rsidRPr="00E85986">
        <w:t>by</w:t>
      </w:r>
      <w:r w:rsidR="006D2563">
        <w:t xml:space="preserve"> </w:t>
      </w:r>
      <w:r w:rsidRPr="00E85986">
        <w:t xml:space="preserve">transaction basis; and </w:t>
      </w:r>
    </w:p>
    <w:p w14:paraId="463DA4AE" w14:textId="77777777" w:rsidR="00CA2E4E" w:rsidRPr="00E85986" w:rsidRDefault="00CA2E4E" w:rsidP="00CA2E4E">
      <w:pPr>
        <w:pStyle w:val="MIRSubpara"/>
      </w:pPr>
      <w:r w:rsidRPr="00E85986">
        <w:t xml:space="preserve">the collateral arrangement is evidenced in writing by a legally binding agreement between the Market Participant and the Counterparty in circumstances where: </w:t>
      </w:r>
    </w:p>
    <w:p w14:paraId="45E380FA" w14:textId="77777777" w:rsidR="00CA2E4E" w:rsidRPr="00E85986" w:rsidRDefault="00CA2E4E" w:rsidP="00CA2E4E">
      <w:pPr>
        <w:pStyle w:val="MIRSubsubpara"/>
      </w:pPr>
      <w:r w:rsidRPr="00E85986">
        <w:lastRenderedPageBreak/>
        <w:t xml:space="preserve">the Market Participant has established that the Counterparty and the persons signing the agreement have the legal capacity to enter into the agreement and provide the nominated collateral; and </w:t>
      </w:r>
    </w:p>
    <w:p w14:paraId="43D7C186" w14:textId="77777777" w:rsidR="00CA2E4E" w:rsidRPr="00E85986" w:rsidRDefault="00CA2E4E" w:rsidP="00CA2E4E">
      <w:pPr>
        <w:pStyle w:val="MIRSubsubpara"/>
      </w:pPr>
      <w:r w:rsidRPr="00E85986">
        <w:t xml:space="preserve">the agreement provides for the Market Participant to deal with that collateral in the event that the client or Counterparty defaults on its settlement of the relevant transactions to recover any amounts owed to the Market Participant, </w:t>
      </w:r>
    </w:p>
    <w:p w14:paraId="47280F31" w14:textId="77777777" w:rsidR="00CA2E4E" w:rsidRPr="00E85986" w:rsidRDefault="00CA2E4E" w:rsidP="00CA2E4E">
      <w:pPr>
        <w:pStyle w:val="MIRBodyText"/>
      </w:pPr>
      <w:r w:rsidRPr="00E85986">
        <w:t xml:space="preserve">and the Market Participant may only apply such collateral in accordance with the conditions specified in the collateral agreement. </w:t>
      </w:r>
    </w:p>
    <w:p w14:paraId="66DB98A6" w14:textId="77777777" w:rsidR="00CA2E4E" w:rsidRPr="00E85986" w:rsidRDefault="00CA2E4E" w:rsidP="00CA2E4E">
      <w:pPr>
        <w:pStyle w:val="MIRBodyText"/>
      </w:pPr>
      <w:r w:rsidRPr="00E85986">
        <w:t xml:space="preserve">(3) For the purposes of subrule (2), if the security lodged as collateral is subject to: </w:t>
      </w:r>
    </w:p>
    <w:p w14:paraId="117C0DF2" w14:textId="77777777" w:rsidR="00CA2E4E" w:rsidRPr="00E85986" w:rsidRDefault="00CA2E4E" w:rsidP="00CA2E4E">
      <w:pPr>
        <w:pStyle w:val="MIRSubpara"/>
      </w:pPr>
      <w:r w:rsidRPr="00E85986">
        <w:t xml:space="preserve">a trading halt, the last market value may be used; and </w:t>
      </w:r>
    </w:p>
    <w:p w14:paraId="5F2FB722" w14:textId="77777777" w:rsidR="00CA2E4E" w:rsidRPr="00E85986" w:rsidRDefault="00CA2E4E" w:rsidP="00CA2E4E">
      <w:pPr>
        <w:pStyle w:val="MIRSubpara"/>
      </w:pPr>
      <w:r w:rsidRPr="00E85986">
        <w:t xml:space="preserve">a suspension, the market value should be taken as nil on the basis that the security is not Liquid. </w:t>
      </w:r>
    </w:p>
    <w:p w14:paraId="4491725C" w14:textId="77777777" w:rsidR="00CA2E4E" w:rsidRPr="00E85986" w:rsidRDefault="00CA2E4E" w:rsidP="00CA2E4E">
      <w:pPr>
        <w:pStyle w:val="MIRBodyText"/>
      </w:pPr>
      <w:r w:rsidRPr="00E85986">
        <w:t xml:space="preserve">(4) Without limitation, the Market Participant must calculate a counterparty risk amount under this method where the Market Participant has applied for stock, allocation interest units or instalment receipts on behalf of clients and the stock, allocation interest units or instalment receipts are registered into the client’s issuer or participant sponsored account prior to the client paying, from the time the Market Participant pays the issuer or issuer’s agent until the time the client pays the Market Participant. </w:t>
      </w:r>
    </w:p>
    <w:p w14:paraId="1ADD198D" w14:textId="77777777" w:rsidR="00CA2E4E" w:rsidRPr="00E85986" w:rsidRDefault="00CA2E4E" w:rsidP="00CA2E4E">
      <w:pPr>
        <w:pStyle w:val="MIRBodyText"/>
      </w:pPr>
      <w:r w:rsidRPr="00E85986">
        <w:t xml:space="preserve">(5) Where a Market Participant makes a partial Free Delivery whereby: </w:t>
      </w:r>
    </w:p>
    <w:p w14:paraId="2F29FFCE" w14:textId="77777777" w:rsidR="00CA2E4E" w:rsidRPr="00E85986" w:rsidRDefault="00CA2E4E" w:rsidP="00CA2E4E">
      <w:pPr>
        <w:pStyle w:val="MIRSubpara"/>
      </w:pPr>
      <w:r w:rsidRPr="00E85986">
        <w:t xml:space="preserve">for a client purchase, the Market Participant delivers Financial Instruments to the client or Counterparty when the client or Counterparty has made a partial payment; or </w:t>
      </w:r>
    </w:p>
    <w:p w14:paraId="7947438B" w14:textId="77777777" w:rsidR="00CA2E4E" w:rsidRPr="00E85986" w:rsidRDefault="00CA2E4E" w:rsidP="00CA2E4E">
      <w:pPr>
        <w:pStyle w:val="MIRSubpara"/>
      </w:pPr>
      <w:r w:rsidRPr="00E85986">
        <w:t xml:space="preserve">for a client sale, the Market Participant makes either full or part payment to the client or Counterparty when the client or Counterparty has not provided any or all of the particular Financial Instruments, </w:t>
      </w:r>
    </w:p>
    <w:p w14:paraId="3DF7372A" w14:textId="77777777" w:rsidR="00CA2E4E" w:rsidRPr="00E85986" w:rsidRDefault="00CA2E4E" w:rsidP="00CA2E4E">
      <w:pPr>
        <w:pStyle w:val="MIRBodyText"/>
      </w:pPr>
      <w:r w:rsidRPr="00E85986">
        <w:t xml:space="preserve">only the part of the contract value that the Market Participant has settled with the client or Counterparty but which the client or Counterparty has not yet settled with the Market Participant is included in the calculation under this method while the part of the contract value that the Market Participant has not yet settled with the client or Counterparty continues to form part of the Client Balance and continues to be subject to a counterparty risk amount under Rule A1.2.2. </w:t>
      </w:r>
    </w:p>
    <w:p w14:paraId="500C0FE9" w14:textId="77777777" w:rsidR="00CA2E4E" w:rsidRPr="00E85986" w:rsidRDefault="00CA2E4E" w:rsidP="00CA2E4E">
      <w:pPr>
        <w:pStyle w:val="MIRHeading3Rule"/>
      </w:pPr>
      <w:r w:rsidRPr="00E85986">
        <w:t>A1.2.4</w:t>
      </w:r>
      <w:r w:rsidRPr="00E85986">
        <w:tab/>
        <w:t xml:space="preserve">Securities Lending and Borrowing method </w:t>
      </w:r>
    </w:p>
    <w:p w14:paraId="79CB4CAF" w14:textId="77777777" w:rsidR="00CA2E4E" w:rsidRPr="00E85986" w:rsidRDefault="00CA2E4E" w:rsidP="00CA2E4E">
      <w:pPr>
        <w:pStyle w:val="MIRBodyText"/>
      </w:pPr>
      <w:r w:rsidRPr="00E85986">
        <w:t xml:space="preserve">(1) For the purposes of this Rule, </w:t>
      </w:r>
      <w:r w:rsidRPr="00E85986">
        <w:rPr>
          <w:b/>
          <w:bCs/>
          <w:i/>
        </w:rPr>
        <w:t>counterparty exposure</w:t>
      </w:r>
      <w:r w:rsidRPr="00E85986">
        <w:t xml:space="preserve"> means the amount by which the market value of Equity or Debt Instruments or cash given by the Market Participant to the Counterparty exceeds the market value of Equity or Debt Instruments or cash received by the Market Participant from the Counterparty. </w:t>
      </w:r>
    </w:p>
    <w:p w14:paraId="0749DD20" w14:textId="77777777" w:rsidR="00CA2E4E" w:rsidRPr="00E85986" w:rsidRDefault="00CA2E4E" w:rsidP="00CA2E4E">
      <w:pPr>
        <w:pStyle w:val="MIRBodyText"/>
      </w:pPr>
      <w:r w:rsidRPr="00E85986">
        <w:t xml:space="preserve">(2) Counterparty exposure may be calculated on a net basis where the relevant transactions are subject to a written agreement that supports netting across different transactions. </w:t>
      </w:r>
    </w:p>
    <w:p w14:paraId="37B4B85E" w14:textId="77777777" w:rsidR="00CA2E4E" w:rsidRPr="00E85986" w:rsidRDefault="00CA2E4E" w:rsidP="00CA2E4E">
      <w:pPr>
        <w:pStyle w:val="MIRBodyText"/>
      </w:pPr>
      <w:r w:rsidRPr="00E85986">
        <w:lastRenderedPageBreak/>
        <w:t xml:space="preserve">(3) For a Securities Lending and Borrowing transaction, the counterparty risk amount for a Counterparty, from the transaction date is: </w:t>
      </w:r>
    </w:p>
    <w:p w14:paraId="2B11BA47" w14:textId="77777777" w:rsidR="00CA2E4E" w:rsidRPr="00E85986" w:rsidRDefault="00CA2E4E" w:rsidP="00CA2E4E">
      <w:pPr>
        <w:pStyle w:val="MIRSubpara"/>
      </w:pPr>
      <w:r w:rsidRPr="00E85986">
        <w:t xml:space="preserve">zero, if across all Counterparties to Securities Lending and Borrowing transactions, the sum of each positive counterparty exposure is less than or equal to $10,000; </w:t>
      </w:r>
    </w:p>
    <w:p w14:paraId="6223FE3F" w14:textId="77777777" w:rsidR="00CA2E4E" w:rsidRPr="00E85986" w:rsidRDefault="00CA2E4E" w:rsidP="00CA2E4E">
      <w:pPr>
        <w:pStyle w:val="MIRSubpara"/>
      </w:pPr>
      <w:r w:rsidRPr="00E85986">
        <w:t xml:space="preserve">either: </w:t>
      </w:r>
    </w:p>
    <w:p w14:paraId="19DDA988" w14:textId="77777777" w:rsidR="00CA2E4E" w:rsidRPr="00E85986" w:rsidRDefault="00CA2E4E" w:rsidP="00CA2E4E">
      <w:pPr>
        <w:pStyle w:val="MIRSubsubpara"/>
      </w:pPr>
      <w:r w:rsidRPr="00E85986">
        <w:t xml:space="preserve">8% of the counterparty exposure, where: </w:t>
      </w:r>
    </w:p>
    <w:p w14:paraId="67BD766F" w14:textId="77777777" w:rsidR="00CA2E4E" w:rsidRPr="00E85986" w:rsidRDefault="00CA2E4E" w:rsidP="00CA2E4E">
      <w:pPr>
        <w:pStyle w:val="MIRsubsubsubpara"/>
      </w:pPr>
      <w:r w:rsidRPr="00E85986">
        <w:t xml:space="preserve">the Securities Lending and Borrowing is subject to a written agreement that supports netting across different transactions; and </w:t>
      </w:r>
    </w:p>
    <w:p w14:paraId="6A756AB8" w14:textId="2E2741B1" w:rsidR="00CA2E4E" w:rsidRDefault="00CA2E4E" w:rsidP="00CA2E4E">
      <w:pPr>
        <w:pStyle w:val="MIRsubsubsubpara"/>
      </w:pPr>
      <w:r w:rsidRPr="00E85986">
        <w:t xml:space="preserve">the value of the counterparty exposure is less than or equal to 15% of the market value of Equity or Debt Instruments or cash received by the Market Participant from the Counterparty; or </w:t>
      </w:r>
    </w:p>
    <w:p w14:paraId="330FE8C3" w14:textId="6A9AE9F6" w:rsidR="00BA48BC" w:rsidRPr="00E85986" w:rsidRDefault="00BA48BC" w:rsidP="00E26929">
      <w:pPr>
        <w:pStyle w:val="MIRSubsubpara"/>
      </w:pPr>
      <w:r>
        <w:t>the sum of:</w:t>
      </w:r>
    </w:p>
    <w:p w14:paraId="1BE07891" w14:textId="77777777" w:rsidR="00BA48BC" w:rsidRDefault="00CA2E4E" w:rsidP="00E26929">
      <w:pPr>
        <w:pStyle w:val="MIRsubsubsubpara"/>
      </w:pPr>
      <w:r w:rsidRPr="00E85986">
        <w:t>8% of the amount equivalent to 15% of the market value of the Equity or Debt Instruments or cash received by the Market Participant from the Counterparty</w:t>
      </w:r>
      <w:r w:rsidR="00BA48BC">
        <w:t>;</w:t>
      </w:r>
    </w:p>
    <w:p w14:paraId="358C1259" w14:textId="64308DE5" w:rsidR="00CA2E4E" w:rsidRPr="00E85986" w:rsidRDefault="00CA2E4E" w:rsidP="00E26929">
      <w:pPr>
        <w:pStyle w:val="MIRsubsubsubpara"/>
      </w:pPr>
      <w:r w:rsidRPr="00E85986">
        <w:t xml:space="preserve">100% of the amount of the difference between the counterparty exposure and 15% of the market value of Equity or Debt Instruments or cash received by the Market Participant from the Counterparty, where: </w:t>
      </w:r>
    </w:p>
    <w:p w14:paraId="59A8C3B0" w14:textId="77777777" w:rsidR="00CA2E4E" w:rsidRPr="00E85986" w:rsidRDefault="00CA2E4E" w:rsidP="00546B83">
      <w:pPr>
        <w:pStyle w:val="MIRsubsubsubpara"/>
        <w:numPr>
          <w:ilvl w:val="5"/>
          <w:numId w:val="18"/>
        </w:numPr>
        <w:ind w:left="2551" w:hanging="425"/>
      </w:pPr>
      <w:r w:rsidRPr="00E85986">
        <w:t xml:space="preserve">the Securities Lending and Borrowing is subject to a written agreement that supports netting across different transactions; and </w:t>
      </w:r>
    </w:p>
    <w:p w14:paraId="3A680B3C" w14:textId="77777777" w:rsidR="00CA2E4E" w:rsidRPr="00E85986" w:rsidRDefault="00CA2E4E" w:rsidP="00546B83">
      <w:pPr>
        <w:pStyle w:val="MIRsubsubsubpara"/>
        <w:numPr>
          <w:ilvl w:val="5"/>
          <w:numId w:val="18"/>
        </w:numPr>
        <w:ind w:left="2551" w:hanging="425"/>
      </w:pPr>
      <w:r w:rsidRPr="00E85986">
        <w:t xml:space="preserve">the value of the counterparty exposure is greater than 15% of the market value of the Equity or Debt Instruments or cash received by the Market Participant from the Counterparty; or </w:t>
      </w:r>
    </w:p>
    <w:p w14:paraId="4483BD89" w14:textId="77777777" w:rsidR="00CA2E4E" w:rsidRPr="00E85986" w:rsidRDefault="00CA2E4E" w:rsidP="00CA2E4E">
      <w:pPr>
        <w:pStyle w:val="MIRSubpara"/>
      </w:pPr>
      <w:r w:rsidRPr="00E85986">
        <w:t xml:space="preserve">100% of the counterparty exposure, if: </w:t>
      </w:r>
    </w:p>
    <w:p w14:paraId="0D0B0837" w14:textId="77777777" w:rsidR="00CA2E4E" w:rsidRPr="00E85986" w:rsidRDefault="00CA2E4E" w:rsidP="00CA2E4E">
      <w:pPr>
        <w:pStyle w:val="MIRSubsubpara"/>
      </w:pPr>
      <w:r w:rsidRPr="00E85986">
        <w:t xml:space="preserve">paragraph (a) and paragraph (b) do not apply; or </w:t>
      </w:r>
    </w:p>
    <w:p w14:paraId="7B46D87B" w14:textId="77777777" w:rsidR="00CA2E4E" w:rsidRPr="00E85986" w:rsidRDefault="00CA2E4E" w:rsidP="00CA2E4E">
      <w:pPr>
        <w:pStyle w:val="MIRSubsubpara"/>
      </w:pPr>
      <w:r w:rsidRPr="00E85986">
        <w:t xml:space="preserve">if paragraph (b) does apply but the Market Participant elects to calculate the amount under this paragraph (c). </w:t>
      </w:r>
    </w:p>
    <w:p w14:paraId="67EBD0DB" w14:textId="77777777" w:rsidR="00CA2E4E" w:rsidRPr="00E85986" w:rsidRDefault="00CA2E4E" w:rsidP="00CA2E4E">
      <w:pPr>
        <w:pStyle w:val="MIRBodyText"/>
      </w:pPr>
      <w:r w:rsidRPr="00E85986">
        <w:t xml:space="preserve">(4) For the purposes of this Rule, in determining the market value of securities given or received by the Market Participant, if the securities are subject to: </w:t>
      </w:r>
    </w:p>
    <w:p w14:paraId="5CB84A3B" w14:textId="77777777" w:rsidR="00CA2E4E" w:rsidRPr="00E85986" w:rsidRDefault="00CA2E4E" w:rsidP="00CA2E4E">
      <w:pPr>
        <w:pStyle w:val="MIRSubpara"/>
      </w:pPr>
      <w:r w:rsidRPr="00E85986">
        <w:t xml:space="preserve">a trading halt, the last market value may be used; and </w:t>
      </w:r>
    </w:p>
    <w:p w14:paraId="2504B01F" w14:textId="77777777" w:rsidR="00CA2E4E" w:rsidRPr="00E85986" w:rsidRDefault="00CA2E4E" w:rsidP="00CA2E4E">
      <w:pPr>
        <w:pStyle w:val="MIRSubpara"/>
      </w:pPr>
      <w:r w:rsidRPr="00E85986">
        <w:t xml:space="preserve">a suspension, the market value should be taken as nil on the basis that the security is not Liquid. </w:t>
      </w:r>
    </w:p>
    <w:p w14:paraId="3FE56450" w14:textId="77777777" w:rsidR="00CA2E4E" w:rsidRPr="00E85986" w:rsidRDefault="00CA2E4E" w:rsidP="00CA2E4E">
      <w:pPr>
        <w:pStyle w:val="MIRHeading3Rule"/>
        <w:keepNext/>
      </w:pPr>
      <w:r w:rsidRPr="00E85986">
        <w:t>A1.2.5</w:t>
      </w:r>
      <w:r w:rsidRPr="00E85986">
        <w:tab/>
        <w:t xml:space="preserve">Margined Financial Instruments method </w:t>
      </w:r>
    </w:p>
    <w:p w14:paraId="5E461CBD" w14:textId="6E7124B2" w:rsidR="00CA2E4E" w:rsidRPr="00E85986" w:rsidRDefault="00CA2E4E" w:rsidP="00CA2E4E">
      <w:pPr>
        <w:pStyle w:val="MIRBodyText"/>
      </w:pPr>
      <w:r w:rsidRPr="00E85986">
        <w:t xml:space="preserve">(1) For trades in Financial Instruments which are margined, </w:t>
      </w:r>
      <w:r w:rsidR="00CA4E71">
        <w:t xml:space="preserve">other than unsettled trades in margined Equities, Debt Instruments and Warrants, </w:t>
      </w:r>
      <w:r w:rsidRPr="00E85986">
        <w:t xml:space="preserve">the counterparty risk amount for a Counterparty: </w:t>
      </w:r>
    </w:p>
    <w:p w14:paraId="42C96A08" w14:textId="77777777" w:rsidR="00CA2E4E" w:rsidRPr="00E85986" w:rsidRDefault="00CA2E4E" w:rsidP="00CA2E4E">
      <w:pPr>
        <w:pStyle w:val="MIRSubpara"/>
      </w:pPr>
      <w:r w:rsidRPr="00E85986">
        <w:t xml:space="preserve">is the full value of the outstanding settlement amount, premium, deposit or margin call that the Counterparty is required to pay to the Market Participant, regardless of whether </w:t>
      </w:r>
      <w:r w:rsidRPr="00E85986">
        <w:lastRenderedPageBreak/>
        <w:t xml:space="preserve">or not the Market Participant is required to pay that amount to an exchange, clearing house or other entity; </w:t>
      </w:r>
    </w:p>
    <w:p w14:paraId="43F599E9" w14:textId="77777777" w:rsidR="00CA2E4E" w:rsidRPr="00E85986" w:rsidRDefault="00CA2E4E" w:rsidP="00CA2E4E">
      <w:pPr>
        <w:pStyle w:val="MIRSubpara"/>
      </w:pPr>
      <w:r w:rsidRPr="00E85986">
        <w:t xml:space="preserve">is the full value of the outstanding settlement amount, premium, deposit or margin call that is due from an entity with respect to client or house trades cleared by that entity; and </w:t>
      </w:r>
    </w:p>
    <w:p w14:paraId="401E53CA" w14:textId="77777777" w:rsidR="00CA2E4E" w:rsidRPr="00E85986" w:rsidRDefault="00CA2E4E" w:rsidP="00CA2E4E">
      <w:pPr>
        <w:pStyle w:val="MIRSubpara"/>
      </w:pPr>
      <w:r w:rsidRPr="00E85986">
        <w:t xml:space="preserve">commences at the time that amounts are normally scheduled for payment to the relevant exchange or clearing house. </w:t>
      </w:r>
    </w:p>
    <w:p w14:paraId="6681458C" w14:textId="77777777" w:rsidR="00CA2E4E" w:rsidRPr="00E85986" w:rsidRDefault="00CA2E4E" w:rsidP="00CA2E4E">
      <w:pPr>
        <w:pStyle w:val="MIRBodyText"/>
      </w:pPr>
      <w:r w:rsidRPr="00E85986">
        <w:t xml:space="preserve">(2) A Market Participant may reduce the unpaid settlement amount, premium, deposit or margin call by the amount of cash paid by the Counterparty or collateral held by the Market Participant on behalf of the Counterparty if: </w:t>
      </w:r>
    </w:p>
    <w:p w14:paraId="0855EB8C" w14:textId="77777777" w:rsidR="00CA2E4E" w:rsidRPr="00E85986" w:rsidRDefault="00CA2E4E" w:rsidP="00CA2E4E">
      <w:pPr>
        <w:pStyle w:val="MIRSubpara"/>
      </w:pPr>
      <w:r w:rsidRPr="00E85986">
        <w:t xml:space="preserve">the collateral is Liquid and only to the extent that it is Liquid; </w:t>
      </w:r>
    </w:p>
    <w:p w14:paraId="633A0B9C" w14:textId="77777777" w:rsidR="00CA2E4E" w:rsidRPr="00E85986" w:rsidRDefault="00CA2E4E" w:rsidP="00CA2E4E">
      <w:pPr>
        <w:pStyle w:val="MIRSubpara"/>
      </w:pPr>
      <w:r w:rsidRPr="00E85986">
        <w:t xml:space="preserve">the collateral is unrelated to a particular or specific transaction and is different to any cash or collateral paid to the relevant exchange or clearing house in respect to specific transactions; </w:t>
      </w:r>
    </w:p>
    <w:p w14:paraId="44DC50E3" w14:textId="77777777" w:rsidR="00CA2E4E" w:rsidRPr="00E85986" w:rsidRDefault="00CA2E4E" w:rsidP="00CA2E4E">
      <w:pPr>
        <w:pStyle w:val="MIRSubpara"/>
      </w:pPr>
      <w:r w:rsidRPr="00E85986">
        <w:t xml:space="preserve">the collateral is under the control of the Market Participant, able to be accessed by the Market Participant without the approval of a third party and not otherwise encumbered; </w:t>
      </w:r>
    </w:p>
    <w:p w14:paraId="5317FFE9" w14:textId="264D3CDF" w:rsidR="00CA2E4E" w:rsidRPr="00E85986" w:rsidRDefault="00CA2E4E" w:rsidP="00CA2E4E">
      <w:pPr>
        <w:pStyle w:val="MIRSubpara"/>
      </w:pPr>
      <w:r w:rsidRPr="00E85986">
        <w:t>the collateral is valued at the mark</w:t>
      </w:r>
      <w:r w:rsidR="00A36FC3">
        <w:t>-</w:t>
      </w:r>
      <w:r w:rsidRPr="00E85986">
        <w:t>to</w:t>
      </w:r>
      <w:r w:rsidR="00A36FC3">
        <w:t>-</w:t>
      </w:r>
      <w:r w:rsidRPr="00E85986">
        <w:t xml:space="preserve">market value; and </w:t>
      </w:r>
    </w:p>
    <w:p w14:paraId="5AC1799D" w14:textId="77777777" w:rsidR="00CA2E4E" w:rsidRPr="00E85986" w:rsidRDefault="00CA2E4E" w:rsidP="00CA2E4E">
      <w:pPr>
        <w:pStyle w:val="MIRSubpara"/>
      </w:pPr>
      <w:r w:rsidRPr="00E85986">
        <w:t xml:space="preserve">the collateral arrangement is evidenced in writing by a legally binding agreement between the Market Participant and the client or Counterparty in circumstances where: </w:t>
      </w:r>
    </w:p>
    <w:p w14:paraId="4B63726C" w14:textId="77777777" w:rsidR="00CA2E4E" w:rsidRPr="00E85986" w:rsidRDefault="00CA2E4E" w:rsidP="00CA2E4E">
      <w:pPr>
        <w:pStyle w:val="MIRSubsubpara"/>
      </w:pPr>
      <w:r w:rsidRPr="00E85986">
        <w:t xml:space="preserve">the Market Participant has established that the client or Counterparty and the persons signing the agreement have the legal capacity to enter into the agreement and provide the nominated collateral; and </w:t>
      </w:r>
    </w:p>
    <w:p w14:paraId="412972C6" w14:textId="77777777" w:rsidR="00CA2E4E" w:rsidRPr="00E85986" w:rsidRDefault="00CA2E4E" w:rsidP="00CA2E4E">
      <w:pPr>
        <w:pStyle w:val="MIRSubsubpara"/>
      </w:pPr>
      <w:r w:rsidRPr="00E85986">
        <w:t xml:space="preserve">the agreement provides for the Market Participant to deal with that collateral in the event that the client or Counterparty defaults on its settlement of the relevant transactions to recover any amounts owed to the Market Participant, </w:t>
      </w:r>
    </w:p>
    <w:p w14:paraId="6E24F217" w14:textId="77777777" w:rsidR="00CA2E4E" w:rsidRPr="00E85986" w:rsidRDefault="00CA2E4E" w:rsidP="00CA2E4E">
      <w:pPr>
        <w:pStyle w:val="MIRBodyText"/>
      </w:pPr>
      <w:r w:rsidRPr="00E85986">
        <w:t xml:space="preserve">and the Market Participant may only apply such collateral in accordance with the conditions specified in the collateral agreement. </w:t>
      </w:r>
    </w:p>
    <w:p w14:paraId="1A68463B" w14:textId="77777777" w:rsidR="00CA2E4E" w:rsidRPr="00E85986" w:rsidRDefault="00CA2E4E" w:rsidP="00CA2E4E">
      <w:pPr>
        <w:pStyle w:val="MIRBodyText"/>
      </w:pPr>
      <w:r w:rsidRPr="00E85986">
        <w:t xml:space="preserve">(3) For the purposes of paragraph (1)(a): </w:t>
      </w:r>
    </w:p>
    <w:p w14:paraId="2D5B123D" w14:textId="77777777" w:rsidR="00CA2E4E" w:rsidRPr="00E85986" w:rsidRDefault="00CA2E4E" w:rsidP="00CA2E4E">
      <w:pPr>
        <w:pStyle w:val="MIRSubpara"/>
      </w:pPr>
      <w:r w:rsidRPr="00E85986">
        <w:t xml:space="preserve">the obligation to calculate a risk amount for amounts owing from “normal agency clients” excluding other participants in the relevant market will be deemed to be from the time that amounts are normally scheduled for payment to the relevant exchange or clearing house, regardless of whether the Market Participant actually has to make a payment to the exchange or clearing house; and </w:t>
      </w:r>
    </w:p>
    <w:p w14:paraId="19D7689B" w14:textId="219ABE39" w:rsidR="00CA2E4E" w:rsidRPr="00E85986" w:rsidRDefault="00CA2E4E" w:rsidP="00CA2E4E">
      <w:pPr>
        <w:pStyle w:val="MIRSubpara"/>
      </w:pPr>
      <w:r w:rsidRPr="00E85986">
        <w:t xml:space="preserve">the obligation to calculate a risk amount for amounts owing from other participants in the relevant market will be deemed to be from the close of business on the day the payment is due to be received. </w:t>
      </w:r>
    </w:p>
    <w:p w14:paraId="77D4CFDB" w14:textId="7396608E" w:rsidR="00CA2E4E" w:rsidRPr="00E85986" w:rsidRDefault="00CA2E4E" w:rsidP="003D34F3">
      <w:pPr>
        <w:pStyle w:val="MIRBodyText"/>
        <w:spacing w:line="280" w:lineRule="atLeast"/>
      </w:pPr>
      <w:r w:rsidRPr="00E85986">
        <w:t xml:space="preserve">(4) For the purposes of paragraph (1)(b), where a Market Participant undertakes a trade as principal in exchange traded Derivatives and does not clear its own trades, the Market Participant must calculate a counterparty risk amount on its exposure to its Clearing </w:t>
      </w:r>
      <w:r w:rsidRPr="00E85986">
        <w:lastRenderedPageBreak/>
        <w:t xml:space="preserve">Participant under this method that will equal the amount owed to the Market Participant by the clearer and will apply from close of business on the day the payment is due until the clearer has paid. </w:t>
      </w:r>
    </w:p>
    <w:p w14:paraId="3A3704B0" w14:textId="77777777" w:rsidR="00CA2E4E" w:rsidRPr="00E85986" w:rsidRDefault="00CA2E4E" w:rsidP="003D34F3">
      <w:pPr>
        <w:pStyle w:val="MIRBodyText"/>
        <w:spacing w:line="280" w:lineRule="atLeast"/>
      </w:pPr>
      <w:r w:rsidRPr="00E85986">
        <w:t xml:space="preserve">(5) For the purposes of subrule (2), if the security lodged as collateral is subject to: </w:t>
      </w:r>
    </w:p>
    <w:p w14:paraId="6BBB9EA3" w14:textId="77777777" w:rsidR="00CA2E4E" w:rsidRPr="00E85986" w:rsidRDefault="00CA2E4E" w:rsidP="003D34F3">
      <w:pPr>
        <w:pStyle w:val="MIRSubpara"/>
        <w:spacing w:line="280" w:lineRule="atLeast"/>
      </w:pPr>
      <w:r w:rsidRPr="00E85986">
        <w:t xml:space="preserve">a trading halt, the last market value may be used; or </w:t>
      </w:r>
    </w:p>
    <w:p w14:paraId="43AE7E06" w14:textId="6C442662" w:rsidR="00CA4E71" w:rsidRDefault="00CA2E4E" w:rsidP="00CA4E71">
      <w:pPr>
        <w:pStyle w:val="MIRSubpara"/>
        <w:spacing w:line="280" w:lineRule="atLeast"/>
      </w:pPr>
      <w:r w:rsidRPr="00E85986">
        <w:t xml:space="preserve">a suspension, the market value should be taken as nil on the basis that the security is not Liquid. </w:t>
      </w:r>
    </w:p>
    <w:p w14:paraId="5C5C4ED6" w14:textId="77777777" w:rsidR="00CA4E71" w:rsidRPr="00E85986" w:rsidRDefault="00CA4E71" w:rsidP="00CA4E71">
      <w:pPr>
        <w:pStyle w:val="MIRBodyText"/>
      </w:pPr>
      <w:r>
        <w:t>(6) For the purposes of subrule (1), if a Market Participant does not charge an initial margin or charges an amount that is lower than the applicable percentage in Table A5.2.2, its counterparty risk amount for a Counterparty is the applicable potential credit exposure factor specified in Table A5.2.2 in Annexure 5 to Schedule 1A.</w:t>
      </w:r>
    </w:p>
    <w:p w14:paraId="02655B36" w14:textId="77777777" w:rsidR="00CA2E4E" w:rsidRPr="00E85986" w:rsidRDefault="00CA2E4E" w:rsidP="00CF2158">
      <w:pPr>
        <w:pStyle w:val="MIRHeading3Rule"/>
        <w:keepNext/>
      </w:pPr>
      <w:r w:rsidRPr="00E85986">
        <w:t>A1.2.6</w:t>
      </w:r>
      <w:r w:rsidRPr="00E85986">
        <w:tab/>
        <w:t xml:space="preserve">OTC Derivatives and Warrants executed as principal method </w:t>
      </w:r>
    </w:p>
    <w:p w14:paraId="0568CF88" w14:textId="3B6CD989" w:rsidR="00CA2E4E" w:rsidRPr="00E85986" w:rsidRDefault="00CA2E4E" w:rsidP="003D34F3">
      <w:pPr>
        <w:pStyle w:val="MIRBodyText"/>
        <w:spacing w:line="280" w:lineRule="atLeast"/>
      </w:pPr>
      <w:r w:rsidRPr="00E85986">
        <w:t xml:space="preserve">(1) For an OTC Derivative or </w:t>
      </w:r>
      <w:r w:rsidR="00CA4E71">
        <w:t>W</w:t>
      </w:r>
      <w:r w:rsidR="00CA4E71" w:rsidRPr="00E85986">
        <w:t xml:space="preserve">arrant </w:t>
      </w:r>
      <w:r w:rsidRPr="00E85986">
        <w:t xml:space="preserve">held as principal, the counterparty risk amount for a Counterparty is: </w:t>
      </w:r>
    </w:p>
    <w:p w14:paraId="20EE4EA1" w14:textId="77777777" w:rsidR="00CA2E4E" w:rsidRPr="00E85986" w:rsidRDefault="00CA2E4E" w:rsidP="003D34F3">
      <w:pPr>
        <w:pStyle w:val="MIRSubpara"/>
        <w:spacing w:line="280" w:lineRule="atLeast"/>
      </w:pPr>
      <w:r w:rsidRPr="00E85986">
        <w:t xml:space="preserve">zero, for a written Option position where the premium due has been received in full; </w:t>
      </w:r>
    </w:p>
    <w:p w14:paraId="714B4621" w14:textId="77777777" w:rsidR="00CA2E4E" w:rsidRPr="00E85986" w:rsidRDefault="00CA2E4E" w:rsidP="003D34F3">
      <w:pPr>
        <w:pStyle w:val="MIRSubpara"/>
        <w:spacing w:line="280" w:lineRule="atLeast"/>
      </w:pPr>
      <w:r w:rsidRPr="00E85986">
        <w:t xml:space="preserve">100% of the premium for a written Option position where the premium due has not been received, from the time the Option is dealt until the premium is paid; and </w:t>
      </w:r>
    </w:p>
    <w:p w14:paraId="6FCE5BC4" w14:textId="77777777" w:rsidR="00CA2E4E" w:rsidRPr="00E85986" w:rsidRDefault="00CA2E4E" w:rsidP="003D34F3">
      <w:pPr>
        <w:pStyle w:val="MIRSubpara"/>
        <w:spacing w:line="280" w:lineRule="atLeast"/>
      </w:pPr>
      <w:r w:rsidRPr="00E85986">
        <w:t xml:space="preserve">otherwise, 8% of the aggregate of the credit equivalent amount which is calculated as the sum of: </w:t>
      </w:r>
    </w:p>
    <w:p w14:paraId="5AA3711A" w14:textId="00E027F8" w:rsidR="00CA2E4E" w:rsidRPr="00E85986" w:rsidRDefault="00CA2E4E" w:rsidP="003D34F3">
      <w:pPr>
        <w:pStyle w:val="MIRSubsubpara"/>
        <w:spacing w:line="280" w:lineRule="atLeast"/>
      </w:pPr>
      <w:r w:rsidRPr="00E85986">
        <w:t>a current credit exposure being the mark</w:t>
      </w:r>
      <w:r w:rsidR="00A36FC3">
        <w:t>-</w:t>
      </w:r>
      <w:r w:rsidRPr="00E85986">
        <w:t>to</w:t>
      </w:r>
      <w:r w:rsidR="00A36FC3">
        <w:t>-</w:t>
      </w:r>
      <w:r w:rsidRPr="00E85986">
        <w:t xml:space="preserve">market valuation of all contracts with a Positive Credit Exposure; and </w:t>
      </w:r>
    </w:p>
    <w:p w14:paraId="4B36D8DF" w14:textId="77777777" w:rsidR="00CA2E4E" w:rsidRPr="00E85986" w:rsidRDefault="00CA2E4E" w:rsidP="003D34F3">
      <w:pPr>
        <w:pStyle w:val="MIRSubsubpara"/>
        <w:spacing w:line="280" w:lineRule="atLeast"/>
      </w:pPr>
      <w:r w:rsidRPr="00E85986">
        <w:t xml:space="preserve">a potential credit exposure being the product of the absolute value of a contract’s nominal, notional or actual principal amount and the applicable potential credit exposure factor specified in Table A5.2.2 in Annexure 5 to Schedule 1A. </w:t>
      </w:r>
    </w:p>
    <w:p w14:paraId="122AC878" w14:textId="77777777" w:rsidR="00CA2E4E" w:rsidRPr="00E85986" w:rsidRDefault="00CA2E4E" w:rsidP="003D34F3">
      <w:pPr>
        <w:pStyle w:val="MIRBodyText"/>
        <w:spacing w:line="280" w:lineRule="atLeast"/>
      </w:pPr>
      <w:r w:rsidRPr="00E85986">
        <w:t xml:space="preserve">(2) A Market Participant may reduce the premium or credit equivalent amount by the amount of collateral held by the Market Participant on behalf of the Counterparty if: </w:t>
      </w:r>
    </w:p>
    <w:p w14:paraId="0E5954D3" w14:textId="77777777" w:rsidR="00CA2E4E" w:rsidRPr="00E85986" w:rsidRDefault="00CA2E4E" w:rsidP="003D34F3">
      <w:pPr>
        <w:pStyle w:val="MIRSubpara"/>
        <w:spacing w:line="280" w:lineRule="atLeast"/>
      </w:pPr>
      <w:r w:rsidRPr="00E85986">
        <w:t xml:space="preserve">the collateral is Liquid and only to the extent that it is Liquid; </w:t>
      </w:r>
    </w:p>
    <w:p w14:paraId="1417E318" w14:textId="77777777" w:rsidR="00CA2E4E" w:rsidRPr="00E85986" w:rsidRDefault="00CA2E4E" w:rsidP="003D34F3">
      <w:pPr>
        <w:pStyle w:val="MIRSubpara"/>
        <w:spacing w:line="280" w:lineRule="atLeast"/>
      </w:pPr>
      <w:r w:rsidRPr="00E85986">
        <w:t xml:space="preserve">the collateral is unrelated to a particular or specific transaction; </w:t>
      </w:r>
    </w:p>
    <w:p w14:paraId="736FCB49" w14:textId="77777777" w:rsidR="00CA2E4E" w:rsidRPr="00E85986" w:rsidRDefault="00CA2E4E" w:rsidP="003D34F3">
      <w:pPr>
        <w:pStyle w:val="MIRSubpara"/>
        <w:spacing w:line="280" w:lineRule="atLeast"/>
      </w:pPr>
      <w:r w:rsidRPr="00E85986">
        <w:t xml:space="preserve">the collateral is under the control of the Market Participant, able to be accessed by the Market Participant without the approval of a third party and not otherwise encumbered; </w:t>
      </w:r>
    </w:p>
    <w:p w14:paraId="22D698DF" w14:textId="182DAA88" w:rsidR="00CA2E4E" w:rsidRPr="00E85986" w:rsidRDefault="00CA2E4E" w:rsidP="003D34F3">
      <w:pPr>
        <w:pStyle w:val="MIRSubpara"/>
        <w:spacing w:line="280" w:lineRule="atLeast"/>
      </w:pPr>
      <w:r w:rsidRPr="00E85986">
        <w:t>the collateral is valued at the mark</w:t>
      </w:r>
      <w:r w:rsidR="00A36FC3">
        <w:t>-</w:t>
      </w:r>
      <w:r w:rsidRPr="00E85986">
        <w:t>to</w:t>
      </w:r>
      <w:r w:rsidR="00A36FC3">
        <w:t>-</w:t>
      </w:r>
      <w:r w:rsidRPr="00E85986">
        <w:t xml:space="preserve">market value and where paragraph (1)(c) applies is deducted from the credit equivalent amount before multiplying the amount by 8%; and </w:t>
      </w:r>
    </w:p>
    <w:p w14:paraId="1DB36553" w14:textId="77777777" w:rsidR="00CA2E4E" w:rsidRPr="00E85986" w:rsidRDefault="00CA2E4E" w:rsidP="003D34F3">
      <w:pPr>
        <w:pStyle w:val="MIRSubpara"/>
        <w:spacing w:line="280" w:lineRule="atLeast"/>
      </w:pPr>
      <w:r w:rsidRPr="00E85986">
        <w:t xml:space="preserve">the collateral arrangement is evidenced in writing by a legally binding agreement between the Market Participant and the Counterparty in circumstances where: </w:t>
      </w:r>
    </w:p>
    <w:p w14:paraId="0642F17B" w14:textId="77777777" w:rsidR="00CA2E4E" w:rsidRPr="00E85986" w:rsidRDefault="00CA2E4E" w:rsidP="003D34F3">
      <w:pPr>
        <w:pStyle w:val="MIRSubsubpara"/>
        <w:spacing w:line="280" w:lineRule="atLeast"/>
      </w:pPr>
      <w:r w:rsidRPr="00E85986">
        <w:t xml:space="preserve">the Market Participant has established that the Counterparty and the persons signing the agreement have the legal capacity to enter into the agreement and provide the nominated collateral; and </w:t>
      </w:r>
    </w:p>
    <w:p w14:paraId="5136A45E" w14:textId="77777777" w:rsidR="00CA2E4E" w:rsidRPr="00E85986" w:rsidRDefault="00CA2E4E" w:rsidP="003D34F3">
      <w:pPr>
        <w:pStyle w:val="MIRSubsubpara"/>
        <w:spacing w:line="280" w:lineRule="atLeast"/>
      </w:pPr>
      <w:r w:rsidRPr="00E85986">
        <w:lastRenderedPageBreak/>
        <w:t xml:space="preserve">the agreement provides for the Market Participant to deal with that collateral in the event that the Counterparty defaults on its settlement of the relevant transactions to recover any amounts owed to the Market Participant, </w:t>
      </w:r>
    </w:p>
    <w:p w14:paraId="384C9C31" w14:textId="77777777" w:rsidR="00CA2E4E" w:rsidRPr="00E85986" w:rsidRDefault="00CA2E4E" w:rsidP="003D34F3">
      <w:pPr>
        <w:pStyle w:val="MIRBodyText"/>
        <w:spacing w:line="280" w:lineRule="atLeast"/>
      </w:pPr>
      <w:r w:rsidRPr="00E85986">
        <w:t xml:space="preserve">and the Market Participant may only apply such collateral in accordance with the conditions specified in the collateral agreement. </w:t>
      </w:r>
    </w:p>
    <w:p w14:paraId="6E10C8CF" w14:textId="77777777" w:rsidR="00CA2E4E" w:rsidRPr="00E85986" w:rsidRDefault="00CA2E4E" w:rsidP="00CA2E4E">
      <w:pPr>
        <w:pStyle w:val="MIRBodyText"/>
      </w:pPr>
      <w:r w:rsidRPr="00E85986">
        <w:t xml:space="preserve">(3) For the purposes of subrule (2), if the security lodged as collateral is subject to: </w:t>
      </w:r>
    </w:p>
    <w:p w14:paraId="14F49235" w14:textId="77777777" w:rsidR="00CA2E4E" w:rsidRPr="00E85986" w:rsidRDefault="00CA2E4E" w:rsidP="00CA2E4E">
      <w:pPr>
        <w:pStyle w:val="MIRSubpara"/>
      </w:pPr>
      <w:r w:rsidRPr="00E85986">
        <w:t xml:space="preserve">a trading halt, the last market value may be used; or </w:t>
      </w:r>
    </w:p>
    <w:p w14:paraId="0599A90A" w14:textId="77777777" w:rsidR="00CA2E4E" w:rsidRPr="00E85986" w:rsidRDefault="00CA2E4E" w:rsidP="00CA2E4E">
      <w:pPr>
        <w:pStyle w:val="MIRSubpara"/>
      </w:pPr>
      <w:r w:rsidRPr="00E85986">
        <w:t xml:space="preserve">a suspension, the market value should be taken as nil on the basis that the security is not Liquid. </w:t>
      </w:r>
    </w:p>
    <w:p w14:paraId="72F6976E" w14:textId="77777777" w:rsidR="00CA2E4E" w:rsidRPr="00E85986" w:rsidRDefault="00CA2E4E" w:rsidP="00CA2E4E">
      <w:pPr>
        <w:pStyle w:val="MIRBodyText"/>
      </w:pPr>
      <w:r w:rsidRPr="00E85986">
        <w:t xml:space="preserve">(4) For the purposes of calculating a current credit exposure under subparagraph (1)(c)(i): </w:t>
      </w:r>
    </w:p>
    <w:p w14:paraId="791C5D01" w14:textId="2FE22938" w:rsidR="00CA2E4E" w:rsidRPr="00E85986" w:rsidRDefault="00CA2E4E" w:rsidP="00CA2E4E">
      <w:pPr>
        <w:pStyle w:val="MIRSubpara"/>
      </w:pPr>
      <w:r w:rsidRPr="00E85986">
        <w:t>subject to paragraph (b), a calculation of a current credit exposure must be done on a transaction</w:t>
      </w:r>
      <w:r w:rsidR="006D2563">
        <w:t xml:space="preserve"> </w:t>
      </w:r>
      <w:r w:rsidRPr="00E85986">
        <w:t>by</w:t>
      </w:r>
      <w:r w:rsidR="006D2563">
        <w:t xml:space="preserve"> </w:t>
      </w:r>
      <w:r w:rsidRPr="00E85986">
        <w:t xml:space="preserve">transaction and Counterparty by Counterparty basis; </w:t>
      </w:r>
    </w:p>
    <w:p w14:paraId="5028EDEB" w14:textId="77777777" w:rsidR="00CA2E4E" w:rsidRPr="00E85986" w:rsidRDefault="00CA2E4E" w:rsidP="009657D5">
      <w:pPr>
        <w:pStyle w:val="MIRSubpara"/>
        <w:spacing w:line="310" w:lineRule="atLeast"/>
      </w:pPr>
      <w:r w:rsidRPr="00E85986">
        <w:t xml:space="preserve">where the Market Participant has more than one transaction of the same type with the same Counterparty, the Market Participant may net the positive and negative current credit exposures on those transactions, provided that: </w:t>
      </w:r>
    </w:p>
    <w:p w14:paraId="4D3C2244" w14:textId="77777777" w:rsidR="00CA2E4E" w:rsidRPr="00E85986" w:rsidRDefault="00CA2E4E" w:rsidP="009657D5">
      <w:pPr>
        <w:pStyle w:val="MIRSubsubpara"/>
        <w:spacing w:line="310" w:lineRule="atLeast"/>
      </w:pPr>
      <w:r w:rsidRPr="00E85986">
        <w:t xml:space="preserve">the Market Participant has a legally binding and enforceable netting agreement with the Counterparty that covers the relevant transactions; and </w:t>
      </w:r>
    </w:p>
    <w:p w14:paraId="16FB7900" w14:textId="77777777" w:rsidR="00CA2E4E" w:rsidRPr="00E85986" w:rsidRDefault="00CA2E4E" w:rsidP="009657D5">
      <w:pPr>
        <w:pStyle w:val="MIRSubsubpara"/>
        <w:spacing w:line="310" w:lineRule="atLeast"/>
      </w:pPr>
      <w:r w:rsidRPr="00E85986">
        <w:t xml:space="preserve">if, after netting, the current credit exposure to the Counterparty is negative, the Market Participant must calculate the current credit exposure as zero for the purpose of calculating the counterparty risk amount; </w:t>
      </w:r>
    </w:p>
    <w:p w14:paraId="485DB6DD" w14:textId="77777777" w:rsidR="00CA2E4E" w:rsidRPr="00E85986" w:rsidRDefault="00CA2E4E" w:rsidP="009657D5">
      <w:pPr>
        <w:pStyle w:val="MIRSubpara"/>
        <w:spacing w:line="310" w:lineRule="atLeast"/>
      </w:pPr>
      <w:r w:rsidRPr="00E85986">
        <w:t xml:space="preserve">the Market Participant may only net the positive and negative current credit exposures arising from transactions denominated in different currencies, where the netting agreement referred to in subparagraph (b)(i) allows for multi-currency netting; </w:t>
      </w:r>
    </w:p>
    <w:p w14:paraId="4E3D0929" w14:textId="59E22320" w:rsidR="00CA2E4E" w:rsidRPr="00E85986" w:rsidRDefault="00CA2E4E" w:rsidP="009657D5">
      <w:pPr>
        <w:pStyle w:val="MIRSubpara"/>
        <w:spacing w:line="310" w:lineRule="atLeast"/>
      </w:pPr>
      <w:r w:rsidRPr="00E85986">
        <w:rPr>
          <w:b/>
          <w:bCs/>
          <w:i/>
        </w:rPr>
        <w:t>mark</w:t>
      </w:r>
      <w:r w:rsidR="00A36FC3">
        <w:rPr>
          <w:b/>
          <w:bCs/>
          <w:i/>
        </w:rPr>
        <w:t>-</w:t>
      </w:r>
      <w:r w:rsidRPr="00E85986">
        <w:rPr>
          <w:b/>
          <w:bCs/>
          <w:i/>
        </w:rPr>
        <w:t>to</w:t>
      </w:r>
      <w:r w:rsidR="00A36FC3">
        <w:rPr>
          <w:b/>
          <w:bCs/>
          <w:i/>
        </w:rPr>
        <w:t>-</w:t>
      </w:r>
      <w:r w:rsidRPr="00E85986">
        <w:rPr>
          <w:b/>
          <w:bCs/>
          <w:i/>
        </w:rPr>
        <w:t>market valuation</w:t>
      </w:r>
      <w:r w:rsidRPr="00E85986">
        <w:t xml:space="preserve"> means the market value for OTC Derivatives such as Options and </w:t>
      </w:r>
      <w:r w:rsidR="00CA4E71">
        <w:t>W</w:t>
      </w:r>
      <w:r w:rsidR="00CA4E71" w:rsidRPr="00E85986">
        <w:t xml:space="preserve">arrants </w:t>
      </w:r>
      <w:r w:rsidRPr="00E85986">
        <w:t>and the mark</w:t>
      </w:r>
      <w:r w:rsidR="00A36FC3">
        <w:t>-</w:t>
      </w:r>
      <w:r w:rsidRPr="00E85986">
        <w:t>to</w:t>
      </w:r>
      <w:r w:rsidR="00A36FC3">
        <w:t>-</w:t>
      </w:r>
      <w:r w:rsidRPr="00E85986">
        <w:t xml:space="preserve">market gain/loss for OTC Derivatives where payments to/from the parties are based on changes in the price of the underlying product (for example, Swaps, forward foreign exchange); and </w:t>
      </w:r>
    </w:p>
    <w:p w14:paraId="169551AC" w14:textId="536A71F8" w:rsidR="00CA2E4E" w:rsidRPr="00E85986" w:rsidRDefault="00CA2E4E" w:rsidP="009657D5">
      <w:pPr>
        <w:pStyle w:val="MIRSubpara"/>
        <w:spacing w:line="310" w:lineRule="atLeast"/>
      </w:pPr>
      <w:r w:rsidRPr="00E85986">
        <w:t xml:space="preserve">in the case of a </w:t>
      </w:r>
      <w:r w:rsidR="00CA4E71">
        <w:t>W</w:t>
      </w:r>
      <w:r w:rsidR="00CA4E71" w:rsidRPr="00E85986">
        <w:t xml:space="preserve">arrant </w:t>
      </w:r>
      <w:r w:rsidRPr="00E85986">
        <w:t xml:space="preserve">transaction: </w:t>
      </w:r>
    </w:p>
    <w:p w14:paraId="796AFCE9" w14:textId="35A30DC9" w:rsidR="00CA2E4E" w:rsidRPr="00E85986" w:rsidRDefault="00CA2E4E" w:rsidP="009657D5">
      <w:pPr>
        <w:pStyle w:val="MIRSubsubpara"/>
        <w:spacing w:line="310" w:lineRule="atLeast"/>
      </w:pPr>
      <w:r w:rsidRPr="00E85986">
        <w:t xml:space="preserve">if the </w:t>
      </w:r>
      <w:r w:rsidR="00CA4E71">
        <w:t>W</w:t>
      </w:r>
      <w:r w:rsidR="00CA4E71" w:rsidRPr="00E85986">
        <w:t xml:space="preserve">arrant </w:t>
      </w:r>
      <w:r w:rsidRPr="00E85986">
        <w:t xml:space="preserve">is subject to a trading halt (due to the underlying security being subject to a trading halt), the last market value may be used; </w:t>
      </w:r>
    </w:p>
    <w:p w14:paraId="18757726" w14:textId="0C20EC1F" w:rsidR="00CA2E4E" w:rsidRPr="00E85986" w:rsidRDefault="00CA2E4E" w:rsidP="009657D5">
      <w:pPr>
        <w:pStyle w:val="MIRSubsubpara"/>
        <w:spacing w:line="310" w:lineRule="atLeast"/>
      </w:pPr>
      <w:r w:rsidRPr="00E85986">
        <w:t xml:space="preserve">if the </w:t>
      </w:r>
      <w:r w:rsidR="00CA4E71">
        <w:t>W</w:t>
      </w:r>
      <w:r w:rsidR="00CA4E71" w:rsidRPr="00E85986">
        <w:t xml:space="preserve">arrant </w:t>
      </w:r>
      <w:r w:rsidRPr="00E85986">
        <w:t xml:space="preserve">is subject to suspension, the </w:t>
      </w:r>
      <w:r w:rsidR="00CA4E71">
        <w:t>W</w:t>
      </w:r>
      <w:r w:rsidR="00CA4E71" w:rsidRPr="00E85986">
        <w:t xml:space="preserve">arrant </w:t>
      </w:r>
      <w:r w:rsidRPr="00E85986">
        <w:t>should be treated as an Excluded Asset on the basis that it is not Liquid.</w:t>
      </w:r>
    </w:p>
    <w:p w14:paraId="6D68B40F" w14:textId="77777777" w:rsidR="00CA2E4E" w:rsidRPr="00E85986" w:rsidRDefault="00CA2E4E" w:rsidP="009657D5">
      <w:pPr>
        <w:pStyle w:val="MIRBodyText"/>
        <w:spacing w:line="310" w:lineRule="atLeast"/>
      </w:pPr>
      <w:r w:rsidRPr="00E85986">
        <w:t xml:space="preserve">(5) For the purposes of calculating a potential credit exposure under subparagraph (1)(c)(ii): </w:t>
      </w:r>
    </w:p>
    <w:p w14:paraId="64D099AF" w14:textId="77777777" w:rsidR="00CA2E4E" w:rsidRPr="00E85986" w:rsidRDefault="00CA2E4E" w:rsidP="009657D5">
      <w:pPr>
        <w:pStyle w:val="MIRSubpara"/>
        <w:spacing w:line="310" w:lineRule="atLeast"/>
      </w:pPr>
      <w:r w:rsidRPr="00E85986">
        <w:t xml:space="preserve">a potential credit exposure must be calculated on every transaction, including those transactions with a negative or zero current credit exposure; </w:t>
      </w:r>
    </w:p>
    <w:p w14:paraId="31A4C08B" w14:textId="77777777" w:rsidR="00CA2E4E" w:rsidRPr="00E85986" w:rsidRDefault="00CA2E4E" w:rsidP="009657D5">
      <w:pPr>
        <w:pStyle w:val="MIRSubpara"/>
        <w:spacing w:line="310" w:lineRule="atLeast"/>
      </w:pPr>
      <w:r w:rsidRPr="00E85986">
        <w:t xml:space="preserve">the potential credit exposures must not be netted; and </w:t>
      </w:r>
    </w:p>
    <w:p w14:paraId="187B528A" w14:textId="660F1FC0" w:rsidR="00CA2E4E" w:rsidRPr="00E85986" w:rsidRDefault="00CA2E4E" w:rsidP="009657D5">
      <w:pPr>
        <w:pStyle w:val="MIRSubpara"/>
        <w:spacing w:line="310" w:lineRule="atLeast"/>
      </w:pPr>
      <w:r w:rsidRPr="00E85986">
        <w:t xml:space="preserve">in the case of an equity Option or </w:t>
      </w:r>
      <w:r w:rsidR="00CA4E71">
        <w:t>W</w:t>
      </w:r>
      <w:r w:rsidR="00CA4E71" w:rsidRPr="00E85986">
        <w:t>arrant</w:t>
      </w:r>
      <w:r w:rsidRPr="00E85986">
        <w:t xml:space="preserve">, the notional face value is the underlying number of shares multiplied by the strike price. </w:t>
      </w:r>
    </w:p>
    <w:p w14:paraId="4E1A3AE5" w14:textId="63D9E325" w:rsidR="00CA2E4E" w:rsidRPr="00E85986" w:rsidRDefault="00CA2E4E" w:rsidP="009657D5">
      <w:pPr>
        <w:pStyle w:val="MIRBodyText"/>
        <w:spacing w:line="310" w:lineRule="atLeast"/>
      </w:pPr>
      <w:r w:rsidRPr="00E85986">
        <w:lastRenderedPageBreak/>
        <w:t xml:space="preserve">(6) For the purposes of subrule (1), </w:t>
      </w:r>
      <w:r w:rsidRPr="003D34F3">
        <w:rPr>
          <w:b/>
          <w:i/>
        </w:rPr>
        <w:t>as principal</w:t>
      </w:r>
      <w:r w:rsidRPr="00E85986">
        <w:t xml:space="preserve"> includes where the Market Participant enters into an off</w:t>
      </w:r>
      <w:r w:rsidR="00670C78">
        <w:t>-</w:t>
      </w:r>
      <w:r w:rsidRPr="00E85986">
        <w:t xml:space="preserve">market facilitation role whereby the Market Participant “purchases” the Derivatives contract from client A and “sells” it to client B and neither client A nor B are aware of the identity of the other. </w:t>
      </w:r>
    </w:p>
    <w:p w14:paraId="5F5236F6" w14:textId="6D41F552" w:rsidR="00CA2E4E" w:rsidRPr="00E85986" w:rsidRDefault="00CA2E4E" w:rsidP="009657D5">
      <w:pPr>
        <w:pStyle w:val="MIRBodyText"/>
        <w:spacing w:line="310" w:lineRule="atLeast"/>
      </w:pPr>
      <w:r w:rsidRPr="00E85986">
        <w:t xml:space="preserve">(7) A Market Participant must calculate a counterparty risk amount under this method for transactions in OTC Derivatives and </w:t>
      </w:r>
      <w:r w:rsidR="00CA4E71">
        <w:t>W</w:t>
      </w:r>
      <w:r w:rsidR="00CA4E71" w:rsidRPr="00E85986">
        <w:t xml:space="preserve">arrants </w:t>
      </w:r>
      <w:r w:rsidRPr="00E85986">
        <w:t xml:space="preserve">including, but not limited to, transactions in: </w:t>
      </w:r>
    </w:p>
    <w:p w14:paraId="7013580D" w14:textId="77777777" w:rsidR="00CA2E4E" w:rsidRPr="00E85986" w:rsidRDefault="00CA2E4E" w:rsidP="009657D5">
      <w:pPr>
        <w:pStyle w:val="MIRSubpara"/>
        <w:spacing w:line="310" w:lineRule="atLeast"/>
      </w:pPr>
      <w:r w:rsidRPr="00E85986">
        <w:t xml:space="preserve">interest rate Options; </w:t>
      </w:r>
    </w:p>
    <w:p w14:paraId="3125DF03" w14:textId="77777777" w:rsidR="00CA2E4E" w:rsidRPr="00E85986" w:rsidRDefault="00CA2E4E" w:rsidP="009657D5">
      <w:pPr>
        <w:pStyle w:val="MIRSubpara"/>
        <w:spacing w:line="310" w:lineRule="atLeast"/>
      </w:pPr>
      <w:r w:rsidRPr="00E85986">
        <w:t xml:space="preserve">foreign currency Options; </w:t>
      </w:r>
    </w:p>
    <w:p w14:paraId="14E94C56" w14:textId="77777777" w:rsidR="00CA2E4E" w:rsidRPr="00E85986" w:rsidRDefault="00CA2E4E" w:rsidP="009657D5">
      <w:pPr>
        <w:pStyle w:val="MIRSubpara"/>
        <w:spacing w:line="310" w:lineRule="atLeast"/>
      </w:pPr>
      <w:r w:rsidRPr="00E85986">
        <w:t xml:space="preserve">single-currency interest rate Swaps; </w:t>
      </w:r>
    </w:p>
    <w:p w14:paraId="55223557" w14:textId="77777777" w:rsidR="00CA2E4E" w:rsidRPr="00E85986" w:rsidRDefault="00CA2E4E" w:rsidP="009657D5">
      <w:pPr>
        <w:pStyle w:val="MIRSubpara"/>
        <w:spacing w:line="310" w:lineRule="atLeast"/>
      </w:pPr>
      <w:r w:rsidRPr="00E85986">
        <w:t xml:space="preserve">cross-currency interest rate Swaps; </w:t>
      </w:r>
    </w:p>
    <w:p w14:paraId="1C6529FE" w14:textId="77777777" w:rsidR="00CA2E4E" w:rsidRPr="00E85986" w:rsidRDefault="00CA2E4E" w:rsidP="009657D5">
      <w:pPr>
        <w:pStyle w:val="MIRSubpara"/>
        <w:spacing w:line="310" w:lineRule="atLeast"/>
      </w:pPr>
      <w:r w:rsidRPr="00E85986">
        <w:t xml:space="preserve">basis Swaps; </w:t>
      </w:r>
    </w:p>
    <w:p w14:paraId="7008B183" w14:textId="77777777" w:rsidR="00CA2E4E" w:rsidRPr="00E85986" w:rsidRDefault="00CA2E4E" w:rsidP="009657D5">
      <w:pPr>
        <w:pStyle w:val="MIRSubpara"/>
        <w:spacing w:line="310" w:lineRule="atLeast"/>
      </w:pPr>
      <w:r w:rsidRPr="00E85986">
        <w:t xml:space="preserve">Forward Rate Agreements; and </w:t>
      </w:r>
    </w:p>
    <w:p w14:paraId="188EF04B" w14:textId="77777777" w:rsidR="00CA2E4E" w:rsidRPr="00E85986" w:rsidRDefault="00CA2E4E" w:rsidP="00CA2E4E">
      <w:pPr>
        <w:pStyle w:val="MIRSubpara"/>
      </w:pPr>
      <w:r w:rsidRPr="00E85986">
        <w:t xml:space="preserve">forward foreign exchange contracts, </w:t>
      </w:r>
    </w:p>
    <w:p w14:paraId="3EA530E8" w14:textId="77777777" w:rsidR="00CA2E4E" w:rsidRPr="00E85986" w:rsidRDefault="00CA2E4E" w:rsidP="00CA2E4E">
      <w:pPr>
        <w:pStyle w:val="MIRBodyText"/>
      </w:pPr>
      <w:r w:rsidRPr="00E85986">
        <w:t xml:space="preserve">but is not required to calculate a counterparty risk amount under this method for transactions in foreign exchange contracts with an original maturity of 14 calendar days or less. </w:t>
      </w:r>
    </w:p>
    <w:p w14:paraId="62520EF1" w14:textId="77777777" w:rsidR="00CA2E4E" w:rsidRPr="00E85986" w:rsidRDefault="00CA2E4E" w:rsidP="00CA2E4E">
      <w:pPr>
        <w:pStyle w:val="MIRHeading3Rule"/>
      </w:pPr>
      <w:r w:rsidRPr="00E85986">
        <w:t>A1.2.7</w:t>
      </w:r>
      <w:r w:rsidRPr="00E85986">
        <w:tab/>
        <w:t xml:space="preserve">Sub Underwritten Positions method </w:t>
      </w:r>
    </w:p>
    <w:p w14:paraId="445E8955" w14:textId="166D2C33" w:rsidR="00CA4E71" w:rsidRPr="00CA4E71" w:rsidRDefault="00CA4E71" w:rsidP="00CA4E71">
      <w:pPr>
        <w:pStyle w:val="MIRSubpara"/>
        <w:numPr>
          <w:ilvl w:val="0"/>
          <w:numId w:val="0"/>
        </w:numPr>
        <w:ind w:left="851"/>
      </w:pPr>
      <w:r w:rsidRPr="00CA4E71">
        <w:t>For a Market Participant that has received a Sub Underwriting Commitment, the counterparty risk amount in respect of the Sub Underwriter:</w:t>
      </w:r>
    </w:p>
    <w:p w14:paraId="79C74948" w14:textId="77777777" w:rsidR="00CA4E71" w:rsidRPr="00CA4E71" w:rsidRDefault="00CA4E71" w:rsidP="00CA4E71">
      <w:pPr>
        <w:pStyle w:val="MIRSubpara"/>
        <w:numPr>
          <w:ilvl w:val="1"/>
          <w:numId w:val="60"/>
        </w:numPr>
      </w:pPr>
      <w:r w:rsidRPr="00CA4E71">
        <w:t>from the time the Sub Underwriting Commitment is entered into until the time the Sub Underwriting Commitment becomes unconditional, is the product of:</w:t>
      </w:r>
    </w:p>
    <w:p w14:paraId="6D535354" w14:textId="77777777" w:rsidR="00CA4E71" w:rsidRPr="00CA4E71" w:rsidRDefault="00CA4E71" w:rsidP="00CA4E71">
      <w:pPr>
        <w:pStyle w:val="MIRSubpara"/>
        <w:numPr>
          <w:ilvl w:val="2"/>
          <w:numId w:val="60"/>
        </w:numPr>
      </w:pPr>
      <w:r w:rsidRPr="00CA4E71">
        <w:t>the amount sub underwritten by the Sub Underwriter under the Sub Underwriting Commitment, less any part of that amount that has been:</w:t>
      </w:r>
    </w:p>
    <w:p w14:paraId="30B0A73E" w14:textId="77777777" w:rsidR="00CA4E71" w:rsidRPr="00CA4E71" w:rsidRDefault="00CA4E71" w:rsidP="00CA4E71">
      <w:pPr>
        <w:pStyle w:val="MIRSubpara"/>
        <w:numPr>
          <w:ilvl w:val="3"/>
          <w:numId w:val="60"/>
        </w:numPr>
      </w:pPr>
      <w:r w:rsidRPr="00CA4E71">
        <w:t>secured by collateral which is Liquid, evidenced in writing and valued at the mark-to-market value; or</w:t>
      </w:r>
    </w:p>
    <w:p w14:paraId="040CB464" w14:textId="77777777" w:rsidR="00CA4E71" w:rsidRPr="00CA4E71" w:rsidRDefault="00CA4E71" w:rsidP="00CA4E71">
      <w:pPr>
        <w:pStyle w:val="MIRSubpara"/>
        <w:numPr>
          <w:ilvl w:val="3"/>
          <w:numId w:val="60"/>
        </w:numPr>
      </w:pPr>
      <w:r w:rsidRPr="00CA4E71">
        <w:t>received from the Sub Underwriter; and</w:t>
      </w:r>
    </w:p>
    <w:p w14:paraId="76712303" w14:textId="4F823DE0" w:rsidR="00CA4E71" w:rsidRPr="00CA4E71" w:rsidRDefault="00CA4E71" w:rsidP="00CA4E71">
      <w:pPr>
        <w:pStyle w:val="MIRSubpara"/>
        <w:numPr>
          <w:ilvl w:val="2"/>
          <w:numId w:val="60"/>
        </w:numPr>
      </w:pPr>
      <w:r w:rsidRPr="00CA4E71">
        <w:t>the sub underwriting risk factor specified in Table A5.2.3, Annexure 5;</w:t>
      </w:r>
      <w:r w:rsidR="00CF2158">
        <w:t xml:space="preserve"> </w:t>
      </w:r>
    </w:p>
    <w:p w14:paraId="6D591D41" w14:textId="77777777" w:rsidR="00CA4E71" w:rsidRPr="00CA4E71" w:rsidRDefault="00CA4E71" w:rsidP="00CA4E71">
      <w:pPr>
        <w:pStyle w:val="MIRSubpara"/>
        <w:numPr>
          <w:ilvl w:val="1"/>
          <w:numId w:val="60"/>
        </w:numPr>
      </w:pPr>
      <w:r w:rsidRPr="00CA4E71">
        <w:t>from the time the Sub Underwriting Commitment becomes unconditional until 31 days after the Sub Underwriting Commitment becomes unconditional, is 100% of the amount sub underwritten by the Sub Underwriter under the Sub Underwriting Commitment that remains due from the Sub Underwriter.</w:t>
      </w:r>
    </w:p>
    <w:p w14:paraId="7DD61302" w14:textId="77777777" w:rsidR="00CA2E4E" w:rsidRPr="00E85986" w:rsidRDefault="00CA2E4E" w:rsidP="00CA2E4E">
      <w:pPr>
        <w:pStyle w:val="MIRHeading3Rule"/>
      </w:pPr>
      <w:r w:rsidRPr="00E85986">
        <w:t>A1.2.8</w:t>
      </w:r>
      <w:r w:rsidRPr="00E85986">
        <w:tab/>
        <w:t xml:space="preserve">Counterparty risk weighting </w:t>
      </w:r>
    </w:p>
    <w:p w14:paraId="18A42C71" w14:textId="77777777" w:rsidR="00CA2E4E" w:rsidRPr="00E85986" w:rsidRDefault="00CA2E4E" w:rsidP="00CA2E4E">
      <w:pPr>
        <w:pStyle w:val="MIRBodyText"/>
      </w:pPr>
      <w:r w:rsidRPr="00E85986">
        <w:t xml:space="preserve">(1) Subject to subrules (2) to (6), a Market Participant may choose to calculate its counterparty risk amount in relation to a Counterparty as the counterparty risk amount calculated in accordance with Rules A1.2.2 to A1.2.7 multiplied by the counterparty risk weighting applicable for that Counterparty specified in Table A5.2.1 in Annexure 5 to Schedule 1A. </w:t>
      </w:r>
    </w:p>
    <w:p w14:paraId="6D499B87" w14:textId="0678465C" w:rsidR="00CA2E4E" w:rsidRPr="00E85986" w:rsidRDefault="00CA2E4E" w:rsidP="00FB4E7C">
      <w:pPr>
        <w:pStyle w:val="MIRBodyText"/>
        <w:spacing w:before="220" w:line="310" w:lineRule="atLeast"/>
      </w:pPr>
      <w:r w:rsidRPr="00E85986">
        <w:lastRenderedPageBreak/>
        <w:t xml:space="preserve">(2) A Market Participant can only calculate its counterparty risk amount for a Counterparty in accordance with subrule (1) if it calculates the counterparty risk amount in this manner for that Counterparty consistently across all methods within this Annexure 1. </w:t>
      </w:r>
    </w:p>
    <w:p w14:paraId="3BE077E3" w14:textId="77777777" w:rsidR="00CA2E4E" w:rsidRPr="00E85986" w:rsidRDefault="00CA2E4E" w:rsidP="00FB4E7C">
      <w:pPr>
        <w:pStyle w:val="MIRBodyText"/>
        <w:spacing w:before="220" w:line="310" w:lineRule="atLeast"/>
      </w:pPr>
      <w:r w:rsidRPr="00E85986">
        <w:t xml:space="preserve">(3) For the purposes of calculating the counterparty risk amount in relation to a Counterparty that the Market Participant has classified as an Approved Institution under paragraph (a) of the definition of Approved Institution and that is a subsidiary or member of a group of companies or funds, the Market Participant may only apply the counterparty risk weighting for Approved Institutions specified in Table A5.2.1 in Annexure 5 to Schedule 1A to that counterparty risk amount where: </w:t>
      </w:r>
    </w:p>
    <w:p w14:paraId="2D64243F" w14:textId="77777777" w:rsidR="00CA2E4E" w:rsidRPr="00E85986" w:rsidRDefault="00CA2E4E" w:rsidP="00FB4E7C">
      <w:pPr>
        <w:pStyle w:val="MIRSubpara"/>
        <w:spacing w:before="120" w:line="310" w:lineRule="atLeast"/>
      </w:pPr>
      <w:r w:rsidRPr="00E85986">
        <w:t xml:space="preserve">the requirements of paragraph (a) of the definition of Approved Institution are met in relation to the individual subsidiary or member of the group (that is, the individual subsidiary or member must have net assets greater than $30 million); </w:t>
      </w:r>
    </w:p>
    <w:p w14:paraId="75CF4420" w14:textId="77777777" w:rsidR="00CA2E4E" w:rsidRPr="00E85986" w:rsidRDefault="00CA2E4E" w:rsidP="00FB4E7C">
      <w:pPr>
        <w:pStyle w:val="MIRSubpara"/>
        <w:spacing w:before="120" w:line="310" w:lineRule="atLeast"/>
      </w:pPr>
      <w:r w:rsidRPr="00E85986">
        <w:t xml:space="preserve">the Market Participant has a copy of the individual subsidiary or members’ balance sheet that demonstrates that the individual subsidiary or member meets the requirements of paragraph (a); and </w:t>
      </w:r>
    </w:p>
    <w:p w14:paraId="2B756528" w14:textId="77777777" w:rsidR="00CA2E4E" w:rsidRPr="00E85986" w:rsidRDefault="00CA2E4E" w:rsidP="00FB4E7C">
      <w:pPr>
        <w:pStyle w:val="MIRSubpara"/>
        <w:spacing w:before="120" w:line="310" w:lineRule="atLeast"/>
      </w:pPr>
      <w:r w:rsidRPr="00E85986">
        <w:t xml:space="preserve">after the documentation is first obtained by the Market Participant for the purposes of paragraph (b) the Market Participant reconfirms the classification of the Counterparty as an Approved Institution on an annual basis. </w:t>
      </w:r>
    </w:p>
    <w:p w14:paraId="51B667CD" w14:textId="77777777" w:rsidR="00CA2E4E" w:rsidRPr="00E85986" w:rsidRDefault="00CA2E4E" w:rsidP="00FB4E7C">
      <w:pPr>
        <w:pStyle w:val="MIRBodyText"/>
        <w:spacing w:before="220" w:line="310" w:lineRule="atLeast"/>
      </w:pPr>
      <w:r w:rsidRPr="00E85986">
        <w:t>(4) For the purposes of calculating the counterparty risk amount in relation to a Counterparty that the Market Participant has classified as an Approved Institution under paragraph (b) of the definition of Approved Institution, the Market Participant may only apply the counterparty risk weighting for Approved Institutions specified in Table A5.2.1 in Annexure</w:t>
      </w:r>
      <w:r>
        <w:t> </w:t>
      </w:r>
      <w:r w:rsidRPr="00E85986">
        <w:t xml:space="preserve">5 to Schedule 1A to that counterparty risk amount where: </w:t>
      </w:r>
    </w:p>
    <w:p w14:paraId="5DB90D1F" w14:textId="64334C74" w:rsidR="00CA2E4E" w:rsidRPr="00E85986" w:rsidRDefault="00CA2E4E" w:rsidP="00FB4E7C">
      <w:pPr>
        <w:pStyle w:val="MIRSubpara"/>
        <w:spacing w:before="120" w:line="310" w:lineRule="atLeast"/>
      </w:pPr>
      <w:r w:rsidRPr="00E85986">
        <w:t>the Market Participant has records demonstrating that the Counterparty is in fact regulated by a Recognised Regulator as specified in Table A5.3.1 in Annexure 5 to Schedule</w:t>
      </w:r>
      <w:r>
        <w:t> </w:t>
      </w:r>
      <w:r w:rsidRPr="00E85986">
        <w:t xml:space="preserve">1A and that the Counterparty’s ordinary business is the purchase and sale of Financial Instruments; and </w:t>
      </w:r>
    </w:p>
    <w:p w14:paraId="1F393C73" w14:textId="77777777" w:rsidR="00CA2E4E" w:rsidRPr="00E85986" w:rsidRDefault="00CA2E4E" w:rsidP="00FB4E7C">
      <w:pPr>
        <w:pStyle w:val="MIRSubpara"/>
        <w:spacing w:before="120" w:line="310" w:lineRule="atLeast"/>
      </w:pPr>
      <w:r w:rsidRPr="00E85986">
        <w:t xml:space="preserve">after the documentation is first obtained by the Market Participant for the purposes of paragraph (a) the Market Participant reconfirms the classification of the Counterparty as an Approved Institution on an annual basis. </w:t>
      </w:r>
    </w:p>
    <w:p w14:paraId="71D0C79D" w14:textId="77777777" w:rsidR="00CA2E4E" w:rsidRPr="00E85986" w:rsidRDefault="00CA2E4E" w:rsidP="00FB4E7C">
      <w:pPr>
        <w:pStyle w:val="MIRBodyText"/>
        <w:spacing w:before="220" w:line="310" w:lineRule="atLeast"/>
      </w:pPr>
      <w:r w:rsidRPr="00E85986">
        <w:t xml:space="preserve">(5) Where: </w:t>
      </w:r>
    </w:p>
    <w:p w14:paraId="7186C8F2" w14:textId="77777777" w:rsidR="00CA2E4E" w:rsidRPr="00E85986" w:rsidRDefault="00CA2E4E" w:rsidP="00FB4E7C">
      <w:pPr>
        <w:pStyle w:val="MIRSubpara"/>
        <w:spacing w:before="120" w:line="310" w:lineRule="atLeast"/>
      </w:pPr>
      <w:r w:rsidRPr="00E85986">
        <w:t xml:space="preserve">an exposure to a Counterparty has been guaranteed by an Approved Deposit Taking Institution; and </w:t>
      </w:r>
    </w:p>
    <w:p w14:paraId="5AD7CFF1" w14:textId="77777777" w:rsidR="00CA2E4E" w:rsidRPr="00E85986" w:rsidRDefault="00CA2E4E" w:rsidP="00FB4E7C">
      <w:pPr>
        <w:pStyle w:val="MIRSubpara"/>
        <w:spacing w:before="120" w:line="310" w:lineRule="atLeast"/>
      </w:pPr>
      <w:r w:rsidRPr="00E85986">
        <w:t xml:space="preserve">the guarantee referred to in paragraph (a) is provided to the Market Participant performing the counterparty risk calculation in writing and provides for direct, explicit, irrevocable and unequivocal recourse to the guarantor, </w:t>
      </w:r>
    </w:p>
    <w:p w14:paraId="24513D46" w14:textId="77777777" w:rsidR="00CA2E4E" w:rsidRPr="00E85986" w:rsidRDefault="00CA2E4E" w:rsidP="00FB4E7C">
      <w:pPr>
        <w:pStyle w:val="MIRBodyText"/>
        <w:spacing w:line="310" w:lineRule="atLeast"/>
      </w:pPr>
      <w:r w:rsidRPr="00E85986">
        <w:lastRenderedPageBreak/>
        <w:t xml:space="preserve">a counterparty risk weighting of 20% may be applied to the part of the exposure that is covered by the guarantee (the remainder, if any, must be weighted according to the risk weighting of the Counterparty). </w:t>
      </w:r>
    </w:p>
    <w:p w14:paraId="203F40AD" w14:textId="77777777" w:rsidR="000A2540" w:rsidRDefault="00CA2E4E" w:rsidP="00FB4E7C">
      <w:pPr>
        <w:pStyle w:val="MIRBodyText"/>
        <w:spacing w:line="310" w:lineRule="atLeast"/>
      </w:pPr>
      <w:r w:rsidRPr="00E85986">
        <w:t>(6) Subrule (5) does not apply to indirect guarantees (for example, a guarantee of a guarantee) and letters of comfort.</w:t>
      </w:r>
    </w:p>
    <w:p w14:paraId="795FEF96" w14:textId="77777777" w:rsidR="000A2540" w:rsidRDefault="000A2540" w:rsidP="00203B23">
      <w:pPr>
        <w:pStyle w:val="MIRBodyText"/>
        <w:spacing w:before="0" w:line="20" w:lineRule="exact"/>
      </w:pPr>
    </w:p>
    <w:p w14:paraId="35A0EAE4" w14:textId="77777777" w:rsidR="000A2540" w:rsidRDefault="000A2540" w:rsidP="00CA2E4E">
      <w:pPr>
        <w:pStyle w:val="MIRBodyText"/>
        <w:sectPr w:rsidR="000A2540" w:rsidSect="00BA1BD7">
          <w:headerReference w:type="even" r:id="rId34"/>
          <w:headerReference w:type="default" r:id="rId35"/>
          <w:headerReference w:type="first" r:id="rId36"/>
          <w:type w:val="continuous"/>
          <w:pgSz w:w="11906" w:h="16838" w:code="9"/>
          <w:pgMar w:top="1644" w:right="1418" w:bottom="1418" w:left="1418" w:header="567" w:footer="567" w:gutter="0"/>
          <w:cols w:space="720"/>
          <w:docGrid w:linePitch="299"/>
        </w:sectPr>
      </w:pPr>
    </w:p>
    <w:p w14:paraId="67C6E5D6" w14:textId="6F0AE08B" w:rsidR="00CA2E4E" w:rsidRPr="00E85986" w:rsidRDefault="00CA2E4E" w:rsidP="00CA2E4E">
      <w:pPr>
        <w:pStyle w:val="MIRHeading1Chapter"/>
      </w:pPr>
      <w:bookmarkStart w:id="44" w:name="_Toc27492576"/>
      <w:r w:rsidRPr="00E85986">
        <w:lastRenderedPageBreak/>
        <w:t xml:space="preserve">Annexure 2 to Schedule 1A: Large </w:t>
      </w:r>
      <w:r w:rsidR="00FD1CA5">
        <w:t>E</w:t>
      </w:r>
      <w:r w:rsidRPr="00E85986">
        <w:t xml:space="preserve">xposure </w:t>
      </w:r>
      <w:r w:rsidR="00FD1CA5">
        <w:t>R</w:t>
      </w:r>
      <w:r w:rsidRPr="00E85986">
        <w:t xml:space="preserve">isk </w:t>
      </w:r>
      <w:r w:rsidR="00FD1CA5">
        <w:t>R</w:t>
      </w:r>
      <w:r w:rsidRPr="00E85986">
        <w:t>equirement</w:t>
      </w:r>
      <w:bookmarkEnd w:id="44"/>
      <w:r w:rsidRPr="00E85986">
        <w:t xml:space="preserve"> </w:t>
      </w:r>
    </w:p>
    <w:p w14:paraId="546C22A6" w14:textId="77777777" w:rsidR="00CA2E4E" w:rsidRPr="00E85986" w:rsidRDefault="00CA2E4E" w:rsidP="00CA2E4E">
      <w:pPr>
        <w:pStyle w:val="MIRHeading2Part"/>
      </w:pPr>
      <w:bookmarkStart w:id="45" w:name="_Toc27492577"/>
      <w:r w:rsidRPr="00E85986">
        <w:t>Part A2.1</w:t>
      </w:r>
      <w:r w:rsidRPr="00E85986">
        <w:tab/>
        <w:t>Counterparty large exposure risk requirement</w:t>
      </w:r>
      <w:bookmarkEnd w:id="45"/>
      <w:r w:rsidRPr="00E85986">
        <w:t xml:space="preserve"> </w:t>
      </w:r>
    </w:p>
    <w:p w14:paraId="537A2753" w14:textId="77777777" w:rsidR="00CA2E4E" w:rsidRPr="00E85986" w:rsidRDefault="00CA2E4E" w:rsidP="00CA2E4E">
      <w:pPr>
        <w:pStyle w:val="MIRHeading3Rule"/>
      </w:pPr>
      <w:r w:rsidRPr="00E85986">
        <w:t>A2.1.1</w:t>
      </w:r>
      <w:r w:rsidRPr="00E85986">
        <w:tab/>
        <w:t xml:space="preserve">Nature of counterparty large exposure risk amount </w:t>
      </w:r>
    </w:p>
    <w:p w14:paraId="10438002" w14:textId="77777777" w:rsidR="00CA2E4E" w:rsidRPr="00E85986" w:rsidRDefault="00CA2E4E" w:rsidP="00CA2E4E">
      <w:pPr>
        <w:pStyle w:val="MIRBodyText"/>
      </w:pPr>
      <w:r w:rsidRPr="00E85986">
        <w:t xml:space="preserve">The counterparty large exposure risk amount is the absolute sum of the individual counterparty large exposure risk amounts calculated using the method of calculation set out in this Annexure 2. </w:t>
      </w:r>
    </w:p>
    <w:p w14:paraId="089292F0" w14:textId="77777777" w:rsidR="00CA2E4E" w:rsidRPr="00E85986" w:rsidRDefault="00CA2E4E" w:rsidP="00CA2E4E">
      <w:pPr>
        <w:pStyle w:val="MIRHeading3Rule"/>
      </w:pPr>
      <w:r w:rsidRPr="00E85986">
        <w:t>A2.1.2</w:t>
      </w:r>
      <w:r w:rsidRPr="00E85986">
        <w:tab/>
        <w:t xml:space="preserve">Method </w:t>
      </w:r>
    </w:p>
    <w:p w14:paraId="7A1BBC3A" w14:textId="77777777" w:rsidR="00CA2E4E" w:rsidRPr="00E85986" w:rsidRDefault="00CA2E4E" w:rsidP="00CA2E4E">
      <w:pPr>
        <w:pStyle w:val="MIRBodyText"/>
      </w:pPr>
      <w:r w:rsidRPr="00E85986">
        <w:t xml:space="preserve">(1) The counterparty large exposure amount is: </w:t>
      </w:r>
    </w:p>
    <w:p w14:paraId="1511025F" w14:textId="77777777" w:rsidR="00CA2E4E" w:rsidRPr="00E85986" w:rsidRDefault="00CA2E4E" w:rsidP="00CA2E4E">
      <w:pPr>
        <w:pStyle w:val="MIRSubpara"/>
      </w:pPr>
      <w:r w:rsidRPr="00E85986">
        <w:t xml:space="preserve">zero, if there are no exposures to a Counterparty in respect of transactions at the times specified in Table A2.1; </w:t>
      </w:r>
    </w:p>
    <w:p w14:paraId="4894AF62" w14:textId="77777777" w:rsidR="00CA2E4E" w:rsidRPr="00E85986" w:rsidRDefault="00CA2E4E" w:rsidP="00CA2E4E">
      <w:pPr>
        <w:pStyle w:val="MIRSubpara"/>
      </w:pPr>
      <w:r w:rsidRPr="00E85986">
        <w:t xml:space="preserve">zero, if there are aggregate exposures to a Counterparty in respect of transactions at the times specified in Table A2.1 and where these aggregate exposures are less than or equal to 10% of the Market Participant’s Liquid Capital; or </w:t>
      </w:r>
    </w:p>
    <w:p w14:paraId="0B191746" w14:textId="77777777" w:rsidR="00CA2E4E" w:rsidRPr="00E85986" w:rsidRDefault="00CA2E4E" w:rsidP="00CA2E4E">
      <w:pPr>
        <w:pStyle w:val="MIRSubpara"/>
      </w:pPr>
      <w:r w:rsidRPr="00E85986">
        <w:t xml:space="preserve">100% of the counterparty risk amount for the exposure calculated in accordance with Annexure 1 to Schedule 1A, if there are aggregate exposures to a Counterparty in respect of transactions referred to in column 1 of Table A2.1 at the times specified in column 3 of Table A2.1 and where these aggregate exposures are greater than 10% of the Market Participant’s Liquid Capital. </w:t>
      </w:r>
    </w:p>
    <w:p w14:paraId="5C9E95A5" w14:textId="4959BDBB" w:rsidR="00CA2E4E" w:rsidRPr="0033698E" w:rsidRDefault="00CA2E4E" w:rsidP="00CA2E4E">
      <w:pPr>
        <w:pStyle w:val="tabletitlefullwidth"/>
      </w:pPr>
      <w:r w:rsidRPr="0033698E">
        <w:t>Table A2.1:</w:t>
      </w:r>
      <w:r w:rsidRPr="0033698E">
        <w:tab/>
        <w:t>Aggregate exposure to Counterparty by transaction type</w:t>
      </w:r>
    </w:p>
    <w:tbl>
      <w:tblPr>
        <w:tblW w:w="9356"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843"/>
        <w:gridCol w:w="2268"/>
        <w:gridCol w:w="3544"/>
        <w:gridCol w:w="1701"/>
      </w:tblGrid>
      <w:tr w:rsidR="00CA2E4E" w:rsidRPr="0033698E" w14:paraId="4E7FD49F" w14:textId="77777777" w:rsidTr="00D3615D">
        <w:trPr>
          <w:cantSplit/>
          <w:tblHeader/>
        </w:trPr>
        <w:tc>
          <w:tcPr>
            <w:tcW w:w="1843" w:type="dxa"/>
            <w:shd w:val="clear" w:color="auto" w:fill="C2E3FA"/>
          </w:tcPr>
          <w:p w14:paraId="4ADFC424" w14:textId="77777777" w:rsidR="00CA2E4E" w:rsidRPr="0033698E" w:rsidRDefault="00CA2E4E" w:rsidP="00AD186A">
            <w:pPr>
              <w:pStyle w:val="tablehead"/>
            </w:pPr>
            <w:r w:rsidRPr="0033698E">
              <w:t>Transaction Type</w:t>
            </w:r>
          </w:p>
        </w:tc>
        <w:tc>
          <w:tcPr>
            <w:tcW w:w="2268" w:type="dxa"/>
            <w:shd w:val="clear" w:color="auto" w:fill="C2E3FA"/>
          </w:tcPr>
          <w:p w14:paraId="057473D2" w14:textId="77777777" w:rsidR="00CA2E4E" w:rsidRPr="0033698E" w:rsidRDefault="00CA2E4E" w:rsidP="00AD186A">
            <w:pPr>
              <w:pStyle w:val="tablehead"/>
            </w:pPr>
            <w:r w:rsidRPr="0033698E">
              <w:t>Subject to counterparty large exposure</w:t>
            </w:r>
          </w:p>
        </w:tc>
        <w:tc>
          <w:tcPr>
            <w:tcW w:w="3544" w:type="dxa"/>
            <w:shd w:val="clear" w:color="auto" w:fill="C2E3FA"/>
          </w:tcPr>
          <w:p w14:paraId="5F8BF17D" w14:textId="77777777" w:rsidR="00CA2E4E" w:rsidRPr="0033698E" w:rsidRDefault="00CA2E4E" w:rsidP="00AD186A">
            <w:pPr>
              <w:pStyle w:val="tablehead"/>
            </w:pPr>
            <w:r w:rsidRPr="0033698E">
              <w:t>Time of Exposure</w:t>
            </w:r>
          </w:p>
        </w:tc>
        <w:tc>
          <w:tcPr>
            <w:tcW w:w="1701" w:type="dxa"/>
            <w:shd w:val="clear" w:color="auto" w:fill="C2E3FA"/>
          </w:tcPr>
          <w:p w14:paraId="16BC3D14" w14:textId="77777777" w:rsidR="00CA2E4E" w:rsidRPr="0033698E" w:rsidRDefault="00CA2E4E" w:rsidP="00AD186A">
            <w:pPr>
              <w:pStyle w:val="tablehead"/>
            </w:pPr>
            <w:r w:rsidRPr="0033698E">
              <w:t>Reference in Annexure 1</w:t>
            </w:r>
          </w:p>
        </w:tc>
      </w:tr>
      <w:tr w:rsidR="00CA2E4E" w:rsidRPr="0033698E" w14:paraId="2A4B17CB" w14:textId="77777777" w:rsidTr="00D3615D">
        <w:trPr>
          <w:cantSplit/>
        </w:trPr>
        <w:tc>
          <w:tcPr>
            <w:tcW w:w="1843" w:type="dxa"/>
          </w:tcPr>
          <w:p w14:paraId="190CC5FC" w14:textId="76A6AC21" w:rsidR="00CA2E4E" w:rsidRPr="0033698E" w:rsidRDefault="00CA2E4E" w:rsidP="003B0132">
            <w:pPr>
              <w:pStyle w:val="tbltext"/>
              <w:rPr>
                <w:sz w:val="24"/>
                <w:szCs w:val="24"/>
              </w:rPr>
            </w:pPr>
            <w:r w:rsidRPr="0033698E">
              <w:t>Non-</w:t>
            </w:r>
            <w:r w:rsidR="003B0132">
              <w:t>m</w:t>
            </w:r>
            <w:r w:rsidRPr="0033698E">
              <w:t>argined Financial Instrument</w:t>
            </w:r>
          </w:p>
        </w:tc>
        <w:tc>
          <w:tcPr>
            <w:tcW w:w="2268" w:type="dxa"/>
          </w:tcPr>
          <w:p w14:paraId="1A140F71" w14:textId="77777777" w:rsidR="00CA2E4E" w:rsidRPr="0033698E" w:rsidRDefault="00CA2E4E" w:rsidP="00AD186A">
            <w:pPr>
              <w:pStyle w:val="tbltext"/>
              <w:rPr>
                <w:sz w:val="24"/>
                <w:szCs w:val="24"/>
              </w:rPr>
            </w:pPr>
            <w:r w:rsidRPr="0033698E">
              <w:t>Yes</w:t>
            </w:r>
          </w:p>
        </w:tc>
        <w:tc>
          <w:tcPr>
            <w:tcW w:w="3544" w:type="dxa"/>
          </w:tcPr>
          <w:p w14:paraId="0EA1330D" w14:textId="77777777" w:rsidR="00CA2E4E" w:rsidRPr="0033698E" w:rsidRDefault="00CA2E4E" w:rsidP="00AD186A">
            <w:pPr>
              <w:pStyle w:val="tbltext"/>
              <w:rPr>
                <w:sz w:val="24"/>
                <w:szCs w:val="24"/>
              </w:rPr>
            </w:pPr>
            <w:r w:rsidRPr="0033698E">
              <w:t>Greater than 10 Business Days after transaction date</w:t>
            </w:r>
          </w:p>
        </w:tc>
        <w:tc>
          <w:tcPr>
            <w:tcW w:w="1701" w:type="dxa"/>
          </w:tcPr>
          <w:p w14:paraId="59303AC2" w14:textId="77777777" w:rsidR="00CA2E4E" w:rsidRPr="0033698E" w:rsidRDefault="00CA2E4E" w:rsidP="00AD186A">
            <w:pPr>
              <w:pStyle w:val="tbltext"/>
              <w:rPr>
                <w:sz w:val="24"/>
                <w:szCs w:val="24"/>
              </w:rPr>
            </w:pPr>
            <w:r w:rsidRPr="0033698E">
              <w:t>Subrule A1.2.2(3)</w:t>
            </w:r>
          </w:p>
        </w:tc>
      </w:tr>
      <w:tr w:rsidR="00CA2E4E" w:rsidRPr="0033698E" w14:paraId="2B6BBE2F" w14:textId="77777777" w:rsidTr="00D3615D">
        <w:trPr>
          <w:cantSplit/>
        </w:trPr>
        <w:tc>
          <w:tcPr>
            <w:tcW w:w="1843" w:type="dxa"/>
          </w:tcPr>
          <w:p w14:paraId="1DDC8F21" w14:textId="77777777" w:rsidR="00CA2E4E" w:rsidRPr="0033698E" w:rsidRDefault="00CA2E4E" w:rsidP="00AD186A">
            <w:pPr>
              <w:pStyle w:val="tbltext"/>
              <w:rPr>
                <w:sz w:val="24"/>
                <w:szCs w:val="24"/>
              </w:rPr>
            </w:pPr>
            <w:r w:rsidRPr="0033698E">
              <w:t xml:space="preserve">Free Delivery </w:t>
            </w:r>
          </w:p>
        </w:tc>
        <w:tc>
          <w:tcPr>
            <w:tcW w:w="2268" w:type="dxa"/>
          </w:tcPr>
          <w:p w14:paraId="316BAA4C" w14:textId="77777777" w:rsidR="00CA2E4E" w:rsidRPr="0033698E" w:rsidRDefault="00CA2E4E" w:rsidP="00AD186A">
            <w:pPr>
              <w:pStyle w:val="tbltext"/>
              <w:rPr>
                <w:sz w:val="24"/>
                <w:szCs w:val="24"/>
              </w:rPr>
            </w:pPr>
            <w:r w:rsidRPr="0033698E">
              <w:t>No</w:t>
            </w:r>
          </w:p>
        </w:tc>
        <w:tc>
          <w:tcPr>
            <w:tcW w:w="3544" w:type="dxa"/>
          </w:tcPr>
          <w:p w14:paraId="0A710020" w14:textId="77777777" w:rsidR="00CA2E4E" w:rsidRPr="0033698E" w:rsidRDefault="00CA2E4E" w:rsidP="00AD186A">
            <w:pPr>
              <w:pStyle w:val="tbltext"/>
              <w:rPr>
                <w:sz w:val="24"/>
                <w:szCs w:val="24"/>
              </w:rPr>
            </w:pPr>
            <w:r w:rsidRPr="0033698E">
              <w:t>N/A</w:t>
            </w:r>
          </w:p>
        </w:tc>
        <w:tc>
          <w:tcPr>
            <w:tcW w:w="1701" w:type="dxa"/>
          </w:tcPr>
          <w:p w14:paraId="2C1E8F49" w14:textId="77777777" w:rsidR="00CA2E4E" w:rsidRPr="0033698E" w:rsidRDefault="00CA2E4E" w:rsidP="00AD186A">
            <w:pPr>
              <w:pStyle w:val="tbltext"/>
              <w:rPr>
                <w:sz w:val="24"/>
                <w:szCs w:val="24"/>
              </w:rPr>
            </w:pPr>
            <w:r w:rsidRPr="0033698E">
              <w:t>N/A</w:t>
            </w:r>
          </w:p>
        </w:tc>
      </w:tr>
      <w:tr w:rsidR="00CA2E4E" w:rsidRPr="0033698E" w14:paraId="5C16B325" w14:textId="77777777" w:rsidTr="00D3615D">
        <w:trPr>
          <w:cantSplit/>
        </w:trPr>
        <w:tc>
          <w:tcPr>
            <w:tcW w:w="1843" w:type="dxa"/>
          </w:tcPr>
          <w:p w14:paraId="5F6BE2AB" w14:textId="77777777" w:rsidR="00CA2E4E" w:rsidRPr="0033698E" w:rsidRDefault="00CA2E4E" w:rsidP="00AD186A">
            <w:pPr>
              <w:pStyle w:val="tbltext"/>
              <w:rPr>
                <w:sz w:val="24"/>
                <w:szCs w:val="24"/>
              </w:rPr>
            </w:pPr>
            <w:r w:rsidRPr="0033698E">
              <w:t>Securities Lending and Borrowing</w:t>
            </w:r>
          </w:p>
        </w:tc>
        <w:tc>
          <w:tcPr>
            <w:tcW w:w="2268" w:type="dxa"/>
          </w:tcPr>
          <w:p w14:paraId="48E3B2E8" w14:textId="77777777" w:rsidR="00CA2E4E" w:rsidRPr="0033698E" w:rsidRDefault="00CA2E4E" w:rsidP="00AD186A">
            <w:pPr>
              <w:pStyle w:val="tbltext"/>
              <w:rPr>
                <w:sz w:val="24"/>
                <w:szCs w:val="24"/>
              </w:rPr>
            </w:pPr>
            <w:r w:rsidRPr="0033698E">
              <w:t>Yes</w:t>
            </w:r>
          </w:p>
        </w:tc>
        <w:tc>
          <w:tcPr>
            <w:tcW w:w="3544" w:type="dxa"/>
          </w:tcPr>
          <w:p w14:paraId="625340A0" w14:textId="77777777" w:rsidR="00CA2E4E" w:rsidRPr="0033698E" w:rsidRDefault="00CA2E4E" w:rsidP="00AD186A">
            <w:pPr>
              <w:pStyle w:val="tbltext"/>
              <w:rPr>
                <w:sz w:val="24"/>
                <w:szCs w:val="24"/>
              </w:rPr>
            </w:pPr>
            <w:r w:rsidRPr="0033698E">
              <w:t>Date the transaction is due to be closed out (that is, the day the Counterparty is scheduled to return the Market Participant’s cash and/or securities and has failed to do so)</w:t>
            </w:r>
          </w:p>
        </w:tc>
        <w:tc>
          <w:tcPr>
            <w:tcW w:w="1701" w:type="dxa"/>
          </w:tcPr>
          <w:p w14:paraId="2EE32BDE" w14:textId="77777777" w:rsidR="00CA2E4E" w:rsidRPr="0033698E" w:rsidRDefault="00CA2E4E" w:rsidP="00AD186A">
            <w:pPr>
              <w:pStyle w:val="tbltext"/>
              <w:rPr>
                <w:sz w:val="24"/>
                <w:szCs w:val="24"/>
              </w:rPr>
            </w:pPr>
            <w:r w:rsidRPr="0033698E">
              <w:t>Rule A1.2.4</w:t>
            </w:r>
          </w:p>
        </w:tc>
      </w:tr>
      <w:tr w:rsidR="00CA2E4E" w:rsidRPr="0033698E" w14:paraId="40AD8688" w14:textId="77777777" w:rsidTr="00D3615D">
        <w:trPr>
          <w:cantSplit/>
        </w:trPr>
        <w:tc>
          <w:tcPr>
            <w:tcW w:w="1843" w:type="dxa"/>
          </w:tcPr>
          <w:p w14:paraId="6DE387ED" w14:textId="77777777" w:rsidR="00CA2E4E" w:rsidRPr="0033698E" w:rsidRDefault="00CA2E4E" w:rsidP="00AD186A">
            <w:pPr>
              <w:pStyle w:val="tbltext"/>
              <w:rPr>
                <w:sz w:val="24"/>
                <w:szCs w:val="24"/>
              </w:rPr>
            </w:pPr>
            <w:r w:rsidRPr="0033698E">
              <w:t>Margined Financial Instrument</w:t>
            </w:r>
          </w:p>
        </w:tc>
        <w:tc>
          <w:tcPr>
            <w:tcW w:w="2268" w:type="dxa"/>
          </w:tcPr>
          <w:p w14:paraId="4CE2881B" w14:textId="77777777" w:rsidR="00CA2E4E" w:rsidRPr="0033698E" w:rsidRDefault="00CA2E4E" w:rsidP="00AD186A">
            <w:pPr>
              <w:pStyle w:val="tbltext"/>
              <w:rPr>
                <w:sz w:val="24"/>
                <w:szCs w:val="24"/>
              </w:rPr>
            </w:pPr>
            <w:r w:rsidRPr="0033698E">
              <w:t>Yes</w:t>
            </w:r>
          </w:p>
        </w:tc>
        <w:tc>
          <w:tcPr>
            <w:tcW w:w="3544" w:type="dxa"/>
          </w:tcPr>
          <w:p w14:paraId="298C5B23" w14:textId="77777777" w:rsidR="00CA2E4E" w:rsidRPr="0033698E" w:rsidRDefault="00CA2E4E" w:rsidP="00AD186A">
            <w:pPr>
              <w:pStyle w:val="tbltext"/>
              <w:rPr>
                <w:sz w:val="24"/>
                <w:szCs w:val="24"/>
              </w:rPr>
            </w:pPr>
            <w:r w:rsidRPr="0033698E">
              <w:t>24 hours after the time that amounts are normally scheduled for payment to the relevant exchange or clearing house</w:t>
            </w:r>
          </w:p>
        </w:tc>
        <w:tc>
          <w:tcPr>
            <w:tcW w:w="1701" w:type="dxa"/>
          </w:tcPr>
          <w:p w14:paraId="089113B4" w14:textId="77777777" w:rsidR="00CA2E4E" w:rsidRPr="0033698E" w:rsidRDefault="00CA2E4E" w:rsidP="00AD186A">
            <w:pPr>
              <w:pStyle w:val="tbltext"/>
              <w:rPr>
                <w:sz w:val="24"/>
                <w:szCs w:val="24"/>
              </w:rPr>
            </w:pPr>
            <w:r w:rsidRPr="0033698E">
              <w:t>Rule A1.2.5</w:t>
            </w:r>
          </w:p>
        </w:tc>
      </w:tr>
      <w:tr w:rsidR="00CA2E4E" w:rsidRPr="0033698E" w14:paraId="3E6E5C2F" w14:textId="77777777" w:rsidTr="00D3615D">
        <w:trPr>
          <w:cantSplit/>
        </w:trPr>
        <w:tc>
          <w:tcPr>
            <w:tcW w:w="1843" w:type="dxa"/>
          </w:tcPr>
          <w:p w14:paraId="5C0ED457" w14:textId="77777777" w:rsidR="00CA2E4E" w:rsidRPr="0033698E" w:rsidRDefault="00CA2E4E" w:rsidP="00AD186A">
            <w:pPr>
              <w:pStyle w:val="tbltext"/>
              <w:rPr>
                <w:sz w:val="24"/>
                <w:szCs w:val="24"/>
              </w:rPr>
            </w:pPr>
            <w:r w:rsidRPr="0033698E">
              <w:lastRenderedPageBreak/>
              <w:t>OTC Derivative or Warrant held as principal</w:t>
            </w:r>
          </w:p>
        </w:tc>
        <w:tc>
          <w:tcPr>
            <w:tcW w:w="2268" w:type="dxa"/>
          </w:tcPr>
          <w:p w14:paraId="3FF4EBA4" w14:textId="77777777" w:rsidR="00CA2E4E" w:rsidRPr="0033698E" w:rsidRDefault="00CA2E4E" w:rsidP="00AD186A">
            <w:pPr>
              <w:pStyle w:val="tbltext"/>
              <w:rPr>
                <w:sz w:val="24"/>
                <w:szCs w:val="24"/>
              </w:rPr>
            </w:pPr>
            <w:r w:rsidRPr="0033698E">
              <w:t>Yes</w:t>
            </w:r>
          </w:p>
        </w:tc>
        <w:tc>
          <w:tcPr>
            <w:tcW w:w="3544" w:type="dxa"/>
          </w:tcPr>
          <w:p w14:paraId="3200CAD8" w14:textId="77777777" w:rsidR="00CA2E4E" w:rsidRPr="0033698E" w:rsidRDefault="00CA2E4E" w:rsidP="00AD186A">
            <w:pPr>
              <w:pStyle w:val="tbltext"/>
              <w:rPr>
                <w:sz w:val="24"/>
                <w:szCs w:val="24"/>
              </w:rPr>
            </w:pPr>
            <w:r w:rsidRPr="0033698E">
              <w:t xml:space="preserve">Date any payment or delivery is due under the transaction </w:t>
            </w:r>
          </w:p>
        </w:tc>
        <w:tc>
          <w:tcPr>
            <w:tcW w:w="1701" w:type="dxa"/>
          </w:tcPr>
          <w:p w14:paraId="63729942" w14:textId="77777777" w:rsidR="00CA2E4E" w:rsidRPr="0033698E" w:rsidRDefault="00CA2E4E" w:rsidP="00AD186A">
            <w:pPr>
              <w:pStyle w:val="tbltext"/>
              <w:rPr>
                <w:sz w:val="24"/>
                <w:szCs w:val="24"/>
              </w:rPr>
            </w:pPr>
            <w:r w:rsidRPr="0033698E">
              <w:t>Rule A1.2.6</w:t>
            </w:r>
          </w:p>
        </w:tc>
      </w:tr>
      <w:tr w:rsidR="00CA2E4E" w:rsidRPr="0033698E" w14:paraId="634CC7CC" w14:textId="77777777" w:rsidTr="00D3615D">
        <w:trPr>
          <w:cantSplit/>
        </w:trPr>
        <w:tc>
          <w:tcPr>
            <w:tcW w:w="1843" w:type="dxa"/>
          </w:tcPr>
          <w:p w14:paraId="2AD33D6F" w14:textId="77777777" w:rsidR="00CA2E4E" w:rsidRPr="0033698E" w:rsidRDefault="00CA2E4E" w:rsidP="00AD186A">
            <w:pPr>
              <w:pStyle w:val="tbltext"/>
            </w:pPr>
            <w:r w:rsidRPr="0033698E">
              <w:t>Sub Underwritten Positions</w:t>
            </w:r>
          </w:p>
        </w:tc>
        <w:tc>
          <w:tcPr>
            <w:tcW w:w="2268" w:type="dxa"/>
          </w:tcPr>
          <w:p w14:paraId="04E8944F" w14:textId="77777777" w:rsidR="00CA2E4E" w:rsidRPr="0033698E" w:rsidRDefault="00CA2E4E" w:rsidP="00AD186A">
            <w:pPr>
              <w:pStyle w:val="tbltext"/>
            </w:pPr>
            <w:r w:rsidRPr="0033698E">
              <w:t>No</w:t>
            </w:r>
          </w:p>
        </w:tc>
        <w:tc>
          <w:tcPr>
            <w:tcW w:w="3544" w:type="dxa"/>
          </w:tcPr>
          <w:p w14:paraId="698E4B07" w14:textId="77777777" w:rsidR="00CA2E4E" w:rsidRPr="0033698E" w:rsidRDefault="00CA2E4E" w:rsidP="00AD186A">
            <w:pPr>
              <w:pStyle w:val="tbltext"/>
            </w:pPr>
            <w:r w:rsidRPr="0033698E">
              <w:t>N/A</w:t>
            </w:r>
          </w:p>
        </w:tc>
        <w:tc>
          <w:tcPr>
            <w:tcW w:w="1701" w:type="dxa"/>
          </w:tcPr>
          <w:p w14:paraId="12E12B74" w14:textId="77777777" w:rsidR="00CA2E4E" w:rsidRPr="0033698E" w:rsidRDefault="00CA2E4E" w:rsidP="00AD186A">
            <w:pPr>
              <w:pStyle w:val="tbltext"/>
            </w:pPr>
            <w:r w:rsidRPr="0033698E">
              <w:t>N/A</w:t>
            </w:r>
          </w:p>
        </w:tc>
      </w:tr>
    </w:tbl>
    <w:p w14:paraId="1399C1F7" w14:textId="77777777" w:rsidR="00CA2E4E" w:rsidRPr="0033698E" w:rsidRDefault="00CA2E4E" w:rsidP="00CA2E4E">
      <w:pPr>
        <w:pStyle w:val="MIRBodyText"/>
      </w:pPr>
      <w:r w:rsidRPr="0033698E">
        <w:t xml:space="preserve">(2) The counterparty large exposure risk amount calculated in respect of a transaction cannot exceed the maximum loss for that transaction. </w:t>
      </w:r>
    </w:p>
    <w:p w14:paraId="0CB2E6F1" w14:textId="77777777" w:rsidR="00CA2E4E" w:rsidRPr="0033698E" w:rsidRDefault="00CA2E4E" w:rsidP="00CA2E4E">
      <w:pPr>
        <w:pStyle w:val="MIRBodyText"/>
      </w:pPr>
      <w:r w:rsidRPr="0033698E">
        <w:t xml:space="preserve">(3) For the purposes of subrule (2), the maximum loss for: </w:t>
      </w:r>
    </w:p>
    <w:p w14:paraId="46526698" w14:textId="77777777" w:rsidR="00CA2E4E" w:rsidRPr="00CD0D8D" w:rsidRDefault="00CA2E4E" w:rsidP="00CA2E4E">
      <w:pPr>
        <w:pStyle w:val="MIRSubpara"/>
      </w:pPr>
      <w:r w:rsidRPr="00CD0D8D">
        <w:t xml:space="preserve">an agency purchase transaction in non-margined Financial Instruments is the contract value; </w:t>
      </w:r>
    </w:p>
    <w:p w14:paraId="6236B427" w14:textId="77777777" w:rsidR="00CA2E4E" w:rsidRPr="00CD0D8D" w:rsidRDefault="00CA2E4E" w:rsidP="00CA2E4E">
      <w:pPr>
        <w:pStyle w:val="MIRSubpara"/>
      </w:pPr>
      <w:r w:rsidRPr="00CD0D8D">
        <w:t xml:space="preserve">an agency sale transaction in non-margined Financial Instruments is deemed to be the market value; </w:t>
      </w:r>
    </w:p>
    <w:p w14:paraId="67AA1B53" w14:textId="77777777" w:rsidR="00CA2E4E" w:rsidRPr="00CD0D8D" w:rsidRDefault="00CA2E4E" w:rsidP="00CA2E4E">
      <w:pPr>
        <w:pStyle w:val="MIRSubpara"/>
      </w:pPr>
      <w:r w:rsidRPr="00CD0D8D">
        <w:t xml:space="preserve">a Securities Lending and Borrowing transaction is deemed to be the counterparty exposure calculated as the difference between the market value of securities or cash given by the Market Participant to the Counterparty and the market value of securities or cash received by the Market Participant from the Counterparty; </w:t>
      </w:r>
    </w:p>
    <w:p w14:paraId="03E73338" w14:textId="110E6D83" w:rsidR="00CA2E4E" w:rsidRPr="00CD0D8D" w:rsidRDefault="00CA2E4E" w:rsidP="00CA2E4E">
      <w:pPr>
        <w:pStyle w:val="MIRSubpara"/>
      </w:pPr>
      <w:r w:rsidRPr="00CD0D8D">
        <w:t>transactions in margined Financial Instruments is deemed to be the outstanding settlement amount, premium, deposit or margin call that is owed to the Market Participant</w:t>
      </w:r>
      <w:r w:rsidR="00E40F16">
        <w:t>;</w:t>
      </w:r>
      <w:r w:rsidRPr="00CD0D8D">
        <w:t xml:space="preserve"> </w:t>
      </w:r>
    </w:p>
    <w:p w14:paraId="57A4ACAE" w14:textId="3ECDCC46" w:rsidR="00CA2E4E" w:rsidRPr="00CD0D8D" w:rsidRDefault="00CA2E4E" w:rsidP="00CA2E4E">
      <w:pPr>
        <w:pStyle w:val="MIRSubpara"/>
      </w:pPr>
      <w:r w:rsidRPr="00CD0D8D">
        <w:t>an OTC Derivative transaction in a written Option position is the full value of the premium owed to the Market Participant;</w:t>
      </w:r>
    </w:p>
    <w:p w14:paraId="63817809" w14:textId="3944A332" w:rsidR="00CA2E4E" w:rsidRPr="00CD0D8D" w:rsidRDefault="00CA2E4E" w:rsidP="00CA2E4E">
      <w:pPr>
        <w:pStyle w:val="MIRSubpara"/>
      </w:pPr>
      <w:r w:rsidRPr="00CD0D8D">
        <w:t xml:space="preserve">a transaction in a purchased Option or other OTC Derivative position is deemed to be the current credit exposure calculated under subparagraph A1.2.6(1)(c)(i), where the current credit exposure is recalculated on a daily basis while the transaction remains outstanding. </w:t>
      </w:r>
    </w:p>
    <w:p w14:paraId="78E6CF87" w14:textId="77777777" w:rsidR="00CA2E4E" w:rsidRPr="0033698E" w:rsidRDefault="00CA2E4E" w:rsidP="00CA2E4E">
      <w:pPr>
        <w:pStyle w:val="MIRBodyText"/>
      </w:pPr>
      <w:r w:rsidRPr="0033698E">
        <w:t xml:space="preserve">(4) To calculate aggregate exposures to a Counterparty, a Market Participant must: </w:t>
      </w:r>
    </w:p>
    <w:p w14:paraId="49B45B37" w14:textId="77777777" w:rsidR="00CA2E4E" w:rsidRPr="00CD0D8D" w:rsidRDefault="00CA2E4E" w:rsidP="00CA2E4E">
      <w:pPr>
        <w:pStyle w:val="MIRSubpara"/>
      </w:pPr>
      <w:r w:rsidRPr="00CD0D8D">
        <w:t xml:space="preserve">aggregate exposures to persons forming part of a Group of Connected Persons; and </w:t>
      </w:r>
    </w:p>
    <w:p w14:paraId="271C197C" w14:textId="77777777" w:rsidR="00CA2E4E" w:rsidRPr="00CD0D8D" w:rsidRDefault="00CA2E4E" w:rsidP="00CA2E4E">
      <w:pPr>
        <w:pStyle w:val="MIRSubpara"/>
      </w:pPr>
      <w:r w:rsidRPr="00CD0D8D">
        <w:t xml:space="preserve">not include exposures other than Positive Credit Exposures specified in Table A2.1. </w:t>
      </w:r>
    </w:p>
    <w:p w14:paraId="7C0A6EFA" w14:textId="77777777" w:rsidR="00CA2E4E" w:rsidRPr="0033698E" w:rsidRDefault="00CA2E4E" w:rsidP="00CA2E4E">
      <w:pPr>
        <w:pStyle w:val="MIRHeading2Part"/>
      </w:pPr>
      <w:bookmarkStart w:id="46" w:name="_Toc27492578"/>
      <w:r w:rsidRPr="0033698E">
        <w:t>Part A2.2</w:t>
      </w:r>
      <w:r w:rsidRPr="0033698E">
        <w:tab/>
        <w:t>Issuer large exposure risk requirement</w:t>
      </w:r>
      <w:bookmarkEnd w:id="46"/>
      <w:r w:rsidRPr="0033698E">
        <w:t xml:space="preserve"> </w:t>
      </w:r>
    </w:p>
    <w:p w14:paraId="37507138" w14:textId="77777777" w:rsidR="00CA2E4E" w:rsidRPr="0033698E" w:rsidRDefault="00CA2E4E" w:rsidP="00CA2E4E">
      <w:pPr>
        <w:pStyle w:val="MIRHeading3Rule"/>
      </w:pPr>
      <w:r w:rsidRPr="0033698E">
        <w:t>A2.2.1</w:t>
      </w:r>
      <w:r w:rsidRPr="0033698E">
        <w:tab/>
        <w:t xml:space="preserve">Nature of an issuer large exposure risk amount </w:t>
      </w:r>
    </w:p>
    <w:p w14:paraId="241449B0" w14:textId="77777777" w:rsidR="00CA2E4E" w:rsidRPr="0033698E" w:rsidRDefault="00CA2E4E" w:rsidP="00CA2E4E">
      <w:pPr>
        <w:pStyle w:val="MIRBodyText"/>
      </w:pPr>
      <w:r w:rsidRPr="0033698E">
        <w:t xml:space="preserve">The issuer large exposure risk amount is the absolute sum of the individual issuer large exposure risk amounts calculated from the transaction date using the method of calculation set out in this Annexure 2. </w:t>
      </w:r>
    </w:p>
    <w:p w14:paraId="395B9E55" w14:textId="77777777" w:rsidR="00CA2E4E" w:rsidRPr="0033698E" w:rsidRDefault="00CA2E4E" w:rsidP="00CA2E4E">
      <w:pPr>
        <w:pStyle w:val="MIRHeading3Rule"/>
      </w:pPr>
      <w:r w:rsidRPr="0033698E">
        <w:lastRenderedPageBreak/>
        <w:t>A2.2.2</w:t>
      </w:r>
      <w:r w:rsidRPr="0033698E">
        <w:tab/>
        <w:t xml:space="preserve">Overview </w:t>
      </w:r>
    </w:p>
    <w:p w14:paraId="0AD601F7" w14:textId="77777777" w:rsidR="00CA2E4E" w:rsidRPr="0033698E" w:rsidRDefault="00CA2E4E" w:rsidP="00CA2E4E">
      <w:pPr>
        <w:pStyle w:val="MIRBodyText"/>
        <w:spacing w:before="160"/>
      </w:pPr>
      <w:r w:rsidRPr="0033698E">
        <w:t xml:space="preserve">(1) The issuer large exposure risk amount for an issuer is subject to two tests, measuring the net position relative to Liquid Capital and relative to the issuer. </w:t>
      </w:r>
    </w:p>
    <w:p w14:paraId="4F162776" w14:textId="77777777" w:rsidR="00CA2E4E" w:rsidRPr="0033698E" w:rsidRDefault="00CA2E4E" w:rsidP="00CA2E4E">
      <w:pPr>
        <w:pStyle w:val="MIRBodyText"/>
        <w:spacing w:before="160"/>
      </w:pPr>
      <w:r w:rsidRPr="0033698E">
        <w:t xml:space="preserve">(2) In calculating the issuer large exposure amounts for exposures to: </w:t>
      </w:r>
    </w:p>
    <w:p w14:paraId="1FF4C5B1" w14:textId="77777777" w:rsidR="00CA2E4E" w:rsidRPr="00CD0D8D" w:rsidRDefault="00CA2E4E" w:rsidP="00CA2E4E">
      <w:pPr>
        <w:pStyle w:val="MIRSubpara"/>
        <w:spacing w:before="80"/>
      </w:pPr>
      <w:r w:rsidRPr="00CD0D8D">
        <w:t xml:space="preserve">equity positions, the method set out in Rule A2.3.1 applies; </w:t>
      </w:r>
    </w:p>
    <w:p w14:paraId="0C50D964" w14:textId="77777777" w:rsidR="00CA2E4E" w:rsidRPr="00CD0D8D" w:rsidRDefault="00CA2E4E" w:rsidP="00CA2E4E">
      <w:pPr>
        <w:pStyle w:val="MIRSubpara"/>
        <w:spacing w:before="80"/>
      </w:pPr>
      <w:r w:rsidRPr="00CD0D8D">
        <w:t xml:space="preserve">debt positions, the method set out in Rule A2.3.2 applies; and </w:t>
      </w:r>
    </w:p>
    <w:p w14:paraId="14B08CC0" w14:textId="77777777" w:rsidR="00CA2E4E" w:rsidRPr="00CD0D8D" w:rsidRDefault="00CA2E4E" w:rsidP="00CA2E4E">
      <w:pPr>
        <w:pStyle w:val="MIRSubpara"/>
        <w:spacing w:before="80"/>
      </w:pPr>
      <w:r w:rsidRPr="00CD0D8D">
        <w:t xml:space="preserve">both equity positions and debt positions where no risk amount arises under Rule A2.3.1 or Rule A2.3.2, the method set out in Rule A2.3.3 applies. </w:t>
      </w:r>
    </w:p>
    <w:p w14:paraId="541456CC" w14:textId="2C6CD87B" w:rsidR="00CA2E4E" w:rsidRPr="0033698E" w:rsidRDefault="00CA2E4E" w:rsidP="00CA2E4E">
      <w:pPr>
        <w:pStyle w:val="MIRBodyText"/>
        <w:spacing w:before="160"/>
      </w:pPr>
      <w:r w:rsidRPr="0033698E">
        <w:t>(3) The methods referred to in subrule (2) are summarised in Tables</w:t>
      </w:r>
      <w:r w:rsidR="003B0132">
        <w:t xml:space="preserve"> A2.2 to A2.4</w:t>
      </w:r>
      <w:r w:rsidRPr="0033698E">
        <w:t xml:space="preserve"> below: </w:t>
      </w:r>
    </w:p>
    <w:p w14:paraId="2B52C107" w14:textId="2514A099" w:rsidR="00CA2E4E" w:rsidRPr="0033698E" w:rsidRDefault="00CA2E4E" w:rsidP="00CA2E4E">
      <w:pPr>
        <w:pStyle w:val="tabletitlefullwidth"/>
        <w:spacing w:line="200" w:lineRule="atLeast"/>
      </w:pPr>
      <w:r w:rsidRPr="0033698E">
        <w:t>Table A2.</w:t>
      </w:r>
      <w:r w:rsidRPr="0033698E">
        <w:rPr>
          <w:noProof/>
        </w:rPr>
        <w:t>2</w:t>
      </w:r>
      <w:r w:rsidRPr="0033698E">
        <w:t>:</w:t>
      </w:r>
      <w:r w:rsidRPr="0033698E">
        <w:tab/>
        <w:t>Issuer Large Exposure—Equity Positions</w:t>
      </w:r>
    </w:p>
    <w:tbl>
      <w:tblPr>
        <w:tblW w:w="0" w:type="auto"/>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418"/>
        <w:gridCol w:w="1701"/>
        <w:gridCol w:w="1559"/>
        <w:gridCol w:w="1559"/>
        <w:gridCol w:w="1418"/>
        <w:gridCol w:w="1415"/>
      </w:tblGrid>
      <w:tr w:rsidR="00CA2E4E" w:rsidRPr="0033698E" w14:paraId="3A94F0BC" w14:textId="77777777" w:rsidTr="00AD186A">
        <w:trPr>
          <w:cantSplit/>
          <w:tblHeader/>
        </w:trPr>
        <w:tc>
          <w:tcPr>
            <w:tcW w:w="1418" w:type="dxa"/>
            <w:shd w:val="clear" w:color="auto" w:fill="C2E3FA"/>
          </w:tcPr>
          <w:p w14:paraId="20C3F91E" w14:textId="77777777" w:rsidR="00CA2E4E" w:rsidRPr="0033698E" w:rsidRDefault="00CA2E4E" w:rsidP="00AD186A">
            <w:pPr>
              <w:pStyle w:val="tablehead"/>
              <w:spacing w:line="200" w:lineRule="atLeast"/>
            </w:pPr>
          </w:p>
        </w:tc>
        <w:tc>
          <w:tcPr>
            <w:tcW w:w="6237" w:type="dxa"/>
            <w:gridSpan w:val="4"/>
            <w:shd w:val="clear" w:color="auto" w:fill="C2E3FA"/>
          </w:tcPr>
          <w:p w14:paraId="1938C9FE" w14:textId="77777777" w:rsidR="00CA2E4E" w:rsidRPr="0033698E" w:rsidRDefault="00CA2E4E" w:rsidP="00AD186A">
            <w:pPr>
              <w:pStyle w:val="tablehead"/>
              <w:spacing w:line="200" w:lineRule="atLeast"/>
            </w:pPr>
            <w:r w:rsidRPr="0033698E">
              <w:t>Equity Method</w:t>
            </w:r>
          </w:p>
        </w:tc>
        <w:tc>
          <w:tcPr>
            <w:tcW w:w="1415" w:type="dxa"/>
            <w:shd w:val="clear" w:color="auto" w:fill="C2E3FA"/>
          </w:tcPr>
          <w:p w14:paraId="32A9E3CD" w14:textId="77777777" w:rsidR="00CA2E4E" w:rsidRPr="0033698E" w:rsidRDefault="00CA2E4E" w:rsidP="00AD186A">
            <w:pPr>
              <w:pStyle w:val="tablehead"/>
              <w:spacing w:line="200" w:lineRule="atLeast"/>
              <w:rPr>
                <w:bCs/>
              </w:rPr>
            </w:pPr>
          </w:p>
        </w:tc>
      </w:tr>
      <w:tr w:rsidR="00CA2E4E" w:rsidRPr="0033698E" w14:paraId="5BCD04A5" w14:textId="77777777" w:rsidTr="00AD186A">
        <w:trPr>
          <w:cantSplit/>
          <w:tblHeader/>
        </w:trPr>
        <w:tc>
          <w:tcPr>
            <w:tcW w:w="1418" w:type="dxa"/>
            <w:shd w:val="clear" w:color="auto" w:fill="C2E3FA"/>
          </w:tcPr>
          <w:p w14:paraId="7EE43E26" w14:textId="77777777" w:rsidR="00CA2E4E" w:rsidRPr="0033698E" w:rsidRDefault="00CA2E4E" w:rsidP="00AD186A">
            <w:pPr>
              <w:pStyle w:val="tablehead"/>
              <w:spacing w:line="200" w:lineRule="atLeast"/>
            </w:pPr>
          </w:p>
        </w:tc>
        <w:tc>
          <w:tcPr>
            <w:tcW w:w="3260" w:type="dxa"/>
            <w:gridSpan w:val="2"/>
            <w:shd w:val="clear" w:color="auto" w:fill="C2E3FA"/>
          </w:tcPr>
          <w:p w14:paraId="1531408D" w14:textId="77777777" w:rsidR="00CA2E4E" w:rsidRPr="0033698E" w:rsidRDefault="00CA2E4E" w:rsidP="00AD186A">
            <w:pPr>
              <w:pStyle w:val="tablehead"/>
              <w:spacing w:line="200" w:lineRule="atLeast"/>
              <w:rPr>
                <w:sz w:val="24"/>
                <w:szCs w:val="24"/>
              </w:rPr>
            </w:pPr>
            <w:r w:rsidRPr="0033698E">
              <w:t xml:space="preserve">Compared to Liquid Capital </w:t>
            </w:r>
          </w:p>
        </w:tc>
        <w:tc>
          <w:tcPr>
            <w:tcW w:w="2977" w:type="dxa"/>
            <w:gridSpan w:val="2"/>
            <w:shd w:val="clear" w:color="auto" w:fill="C2E3FA"/>
          </w:tcPr>
          <w:p w14:paraId="1D8627BC" w14:textId="77777777" w:rsidR="00CA2E4E" w:rsidRPr="0033698E" w:rsidRDefault="00CA2E4E" w:rsidP="00AD186A">
            <w:pPr>
              <w:pStyle w:val="tablehead"/>
              <w:spacing w:line="200" w:lineRule="atLeast"/>
              <w:rPr>
                <w:sz w:val="24"/>
                <w:szCs w:val="24"/>
              </w:rPr>
            </w:pPr>
            <w:r w:rsidRPr="0033698E">
              <w:t>Compared to Issue</w:t>
            </w:r>
          </w:p>
        </w:tc>
        <w:tc>
          <w:tcPr>
            <w:tcW w:w="1415" w:type="dxa"/>
            <w:shd w:val="clear" w:color="auto" w:fill="C2E3FA"/>
          </w:tcPr>
          <w:p w14:paraId="3EAF07DA" w14:textId="77777777" w:rsidR="00CA2E4E" w:rsidRPr="0033698E" w:rsidRDefault="00CA2E4E" w:rsidP="00AD186A">
            <w:pPr>
              <w:pStyle w:val="tablehead"/>
              <w:spacing w:line="200" w:lineRule="atLeast"/>
            </w:pPr>
            <w:r w:rsidRPr="0033698E">
              <w:rPr>
                <w:bCs/>
              </w:rPr>
              <w:t>Risk amount</w:t>
            </w:r>
          </w:p>
        </w:tc>
      </w:tr>
      <w:tr w:rsidR="00CA2E4E" w:rsidRPr="0033698E" w14:paraId="6D202F67" w14:textId="77777777" w:rsidTr="00AD186A">
        <w:trPr>
          <w:cantSplit/>
        </w:trPr>
        <w:tc>
          <w:tcPr>
            <w:tcW w:w="1418" w:type="dxa"/>
          </w:tcPr>
          <w:p w14:paraId="63380E99" w14:textId="77777777" w:rsidR="00CA2E4E" w:rsidRPr="0033698E" w:rsidRDefault="00CA2E4E" w:rsidP="00AD186A">
            <w:pPr>
              <w:pStyle w:val="tbltext"/>
              <w:spacing w:line="200" w:lineRule="atLeast"/>
              <w:rPr>
                <w:b/>
                <w:sz w:val="24"/>
                <w:szCs w:val="24"/>
              </w:rPr>
            </w:pPr>
            <w:r w:rsidRPr="0033698E">
              <w:rPr>
                <w:b/>
              </w:rPr>
              <w:t>Equity Net Position from transaction date</w:t>
            </w:r>
          </w:p>
        </w:tc>
        <w:tc>
          <w:tcPr>
            <w:tcW w:w="1701" w:type="dxa"/>
          </w:tcPr>
          <w:p w14:paraId="7894E98E" w14:textId="193584AA" w:rsidR="00CA2E4E" w:rsidRPr="0033698E" w:rsidRDefault="00CA2E4E" w:rsidP="00AD186A">
            <w:pPr>
              <w:pStyle w:val="tbltext"/>
              <w:spacing w:line="200" w:lineRule="atLeast"/>
              <w:rPr>
                <w:rFonts w:ascii="Times New Roman" w:hAnsi="Times New Roman"/>
                <w:sz w:val="24"/>
                <w:szCs w:val="24"/>
              </w:rPr>
            </w:pPr>
            <w:r w:rsidRPr="0033698E">
              <w:t xml:space="preserve">If </w:t>
            </w:r>
            <w:r w:rsidR="00864188">
              <w:t>e</w:t>
            </w:r>
            <w:r w:rsidR="00864188" w:rsidRPr="0033698E">
              <w:t xml:space="preserve">quity </w:t>
            </w:r>
            <w:r w:rsidR="00864188">
              <w:t>n</w:t>
            </w:r>
            <w:r w:rsidR="00864188" w:rsidRPr="0033698E">
              <w:t xml:space="preserve">et </w:t>
            </w:r>
            <w:r w:rsidR="00864188">
              <w:t>p</w:t>
            </w:r>
            <w:r w:rsidR="00864188" w:rsidRPr="0033698E">
              <w:t>osition</w:t>
            </w:r>
            <w:r w:rsidR="00E51CE2" w:rsidRPr="0033698E">
              <w:t xml:space="preserve"> </w:t>
            </w:r>
            <w:r w:rsidRPr="0033698E">
              <w:t xml:space="preserve">is </w:t>
            </w:r>
            <w:r w:rsidRPr="0033698E">
              <w:rPr>
                <w:rFonts w:ascii="Symbol" w:hAnsi="Symbol"/>
              </w:rPr>
              <w:t></w:t>
            </w:r>
            <w:r w:rsidR="005F73D4">
              <w:t> </w:t>
            </w:r>
            <w:r w:rsidRPr="0033698E">
              <w:t>25%, is a risk amount required?</w:t>
            </w:r>
          </w:p>
          <w:p w14:paraId="03D0F4F6" w14:textId="77777777" w:rsidR="00CA2E4E" w:rsidRPr="0033698E" w:rsidRDefault="00CA2E4E" w:rsidP="00AD186A">
            <w:pPr>
              <w:pStyle w:val="tbltext"/>
              <w:spacing w:line="200" w:lineRule="atLeast"/>
              <w:rPr>
                <w:sz w:val="24"/>
                <w:szCs w:val="24"/>
              </w:rPr>
            </w:pPr>
            <w:r w:rsidRPr="0033698E">
              <w:t>No</w:t>
            </w:r>
          </w:p>
        </w:tc>
        <w:tc>
          <w:tcPr>
            <w:tcW w:w="1559" w:type="dxa"/>
          </w:tcPr>
          <w:p w14:paraId="025224F6" w14:textId="5CF41330" w:rsidR="00CA2E4E" w:rsidRPr="0033698E" w:rsidRDefault="00CA2E4E" w:rsidP="00AD186A">
            <w:pPr>
              <w:pStyle w:val="tbltext"/>
              <w:spacing w:line="200" w:lineRule="atLeast"/>
              <w:rPr>
                <w:rFonts w:ascii="Times New Roman" w:hAnsi="Times New Roman"/>
                <w:sz w:val="24"/>
                <w:szCs w:val="24"/>
              </w:rPr>
            </w:pPr>
            <w:r w:rsidRPr="0033698E">
              <w:t xml:space="preserve">If </w:t>
            </w:r>
            <w:r w:rsidR="00864188">
              <w:t>e</w:t>
            </w:r>
            <w:r w:rsidR="00864188" w:rsidRPr="0033698E">
              <w:t xml:space="preserve">quity </w:t>
            </w:r>
            <w:r w:rsidR="00864188">
              <w:t>n</w:t>
            </w:r>
            <w:r w:rsidR="00864188" w:rsidRPr="0033698E">
              <w:t xml:space="preserve">et </w:t>
            </w:r>
            <w:r w:rsidR="00864188">
              <w:t>p</w:t>
            </w:r>
            <w:r w:rsidR="00864188" w:rsidRPr="0033698E">
              <w:t xml:space="preserve">osition </w:t>
            </w:r>
            <w:r w:rsidRPr="0033698E">
              <w:t>is &gt;</w:t>
            </w:r>
            <w:r w:rsidR="00E51CE2">
              <w:t> </w:t>
            </w:r>
            <w:r w:rsidRPr="0033698E">
              <w:t>25%, is a risk amount required?</w:t>
            </w:r>
          </w:p>
          <w:p w14:paraId="2460AF8F" w14:textId="77777777" w:rsidR="00CA2E4E" w:rsidRPr="0033698E" w:rsidRDefault="00CA2E4E" w:rsidP="00AD186A">
            <w:pPr>
              <w:pStyle w:val="tbltext"/>
              <w:spacing w:line="200" w:lineRule="atLeast"/>
              <w:rPr>
                <w:sz w:val="24"/>
                <w:szCs w:val="24"/>
              </w:rPr>
            </w:pPr>
            <w:r w:rsidRPr="0033698E">
              <w:t>Yes (a)</w:t>
            </w:r>
          </w:p>
        </w:tc>
        <w:tc>
          <w:tcPr>
            <w:tcW w:w="1559" w:type="dxa"/>
          </w:tcPr>
          <w:p w14:paraId="2C3BD1A7" w14:textId="352F3CE2" w:rsidR="00CA2E4E" w:rsidRPr="0033698E" w:rsidRDefault="00CA2E4E" w:rsidP="00AD186A">
            <w:pPr>
              <w:pStyle w:val="tbltext"/>
              <w:spacing w:line="200" w:lineRule="atLeast"/>
              <w:rPr>
                <w:rFonts w:ascii="Times New Roman" w:hAnsi="Times New Roman"/>
                <w:sz w:val="24"/>
                <w:szCs w:val="24"/>
              </w:rPr>
            </w:pPr>
            <w:r w:rsidRPr="0033698E">
              <w:t xml:space="preserve">If </w:t>
            </w:r>
            <w:r w:rsidR="00864188">
              <w:t>e</w:t>
            </w:r>
            <w:r w:rsidR="00864188" w:rsidRPr="0033698E">
              <w:t xml:space="preserve">quity </w:t>
            </w:r>
            <w:r w:rsidR="00864188">
              <w:t>n</w:t>
            </w:r>
            <w:r w:rsidR="00864188" w:rsidRPr="0033698E">
              <w:t xml:space="preserve">et </w:t>
            </w:r>
            <w:r w:rsidR="00864188">
              <w:t>p</w:t>
            </w:r>
            <w:r w:rsidR="00864188" w:rsidRPr="0033698E">
              <w:t>osition</w:t>
            </w:r>
            <w:r w:rsidR="005F73D4" w:rsidRPr="0033698E">
              <w:t xml:space="preserve"> </w:t>
            </w:r>
            <w:r w:rsidRPr="0033698E">
              <w:t xml:space="preserve">is </w:t>
            </w:r>
            <w:r w:rsidRPr="0033698E">
              <w:rPr>
                <w:rFonts w:ascii="Symbol" w:hAnsi="Symbol"/>
              </w:rPr>
              <w:t></w:t>
            </w:r>
            <w:r w:rsidR="005F73D4">
              <w:t> </w:t>
            </w:r>
            <w:r w:rsidRPr="0033698E">
              <w:t>5%, is a risk amount required?</w:t>
            </w:r>
          </w:p>
          <w:p w14:paraId="0DE6AFD7" w14:textId="77777777" w:rsidR="00CA2E4E" w:rsidRPr="0033698E" w:rsidRDefault="00CA2E4E" w:rsidP="00AD186A">
            <w:pPr>
              <w:pStyle w:val="tbltext"/>
              <w:spacing w:line="200" w:lineRule="atLeast"/>
              <w:rPr>
                <w:sz w:val="24"/>
                <w:szCs w:val="24"/>
              </w:rPr>
            </w:pPr>
            <w:r w:rsidRPr="0033698E">
              <w:t>No</w:t>
            </w:r>
          </w:p>
        </w:tc>
        <w:tc>
          <w:tcPr>
            <w:tcW w:w="1418" w:type="dxa"/>
          </w:tcPr>
          <w:p w14:paraId="65F4791C" w14:textId="6F107271" w:rsidR="00CA2E4E" w:rsidRPr="0033698E" w:rsidRDefault="00CA2E4E" w:rsidP="00AD186A">
            <w:pPr>
              <w:pStyle w:val="tbltext"/>
              <w:spacing w:line="200" w:lineRule="atLeast"/>
              <w:rPr>
                <w:rFonts w:ascii="Times New Roman" w:hAnsi="Times New Roman"/>
                <w:sz w:val="24"/>
                <w:szCs w:val="24"/>
              </w:rPr>
            </w:pPr>
            <w:r w:rsidRPr="0033698E">
              <w:t xml:space="preserve">If </w:t>
            </w:r>
            <w:r w:rsidR="00864188">
              <w:t>e</w:t>
            </w:r>
            <w:r w:rsidR="00864188" w:rsidRPr="0033698E">
              <w:t xml:space="preserve">quity </w:t>
            </w:r>
            <w:r w:rsidR="00864188">
              <w:t>n</w:t>
            </w:r>
            <w:r w:rsidR="00864188" w:rsidRPr="0033698E">
              <w:t xml:space="preserve">et </w:t>
            </w:r>
            <w:r w:rsidR="00864188">
              <w:t>p</w:t>
            </w:r>
            <w:r w:rsidR="00864188" w:rsidRPr="0033698E">
              <w:t xml:space="preserve">osition </w:t>
            </w:r>
            <w:r w:rsidRPr="0033698E">
              <w:t>is &gt;</w:t>
            </w:r>
            <w:r w:rsidR="005F73D4">
              <w:t> </w:t>
            </w:r>
            <w:r w:rsidRPr="0033698E">
              <w:t>5%, is a risk amount required?</w:t>
            </w:r>
          </w:p>
          <w:p w14:paraId="6ED7153D" w14:textId="77777777" w:rsidR="00CA2E4E" w:rsidRPr="0033698E" w:rsidRDefault="00CA2E4E" w:rsidP="00AD186A">
            <w:pPr>
              <w:pStyle w:val="tbltext"/>
              <w:spacing w:line="200" w:lineRule="atLeast"/>
              <w:rPr>
                <w:sz w:val="24"/>
                <w:szCs w:val="24"/>
              </w:rPr>
            </w:pPr>
            <w:r w:rsidRPr="0033698E">
              <w:t>Yes (b)</w:t>
            </w:r>
          </w:p>
        </w:tc>
        <w:tc>
          <w:tcPr>
            <w:tcW w:w="1415" w:type="dxa"/>
          </w:tcPr>
          <w:p w14:paraId="4C56BED8" w14:textId="77777777" w:rsidR="00CA2E4E" w:rsidRPr="0033698E" w:rsidRDefault="00CA2E4E" w:rsidP="00AD186A">
            <w:pPr>
              <w:pStyle w:val="tbltext"/>
              <w:spacing w:line="200" w:lineRule="atLeast"/>
              <w:rPr>
                <w:rFonts w:ascii="Times New Roman" w:hAnsi="Times New Roman"/>
                <w:sz w:val="24"/>
                <w:szCs w:val="24"/>
              </w:rPr>
            </w:pPr>
            <w:r w:rsidRPr="0033698E">
              <w:t>Take the greater of (a) and (b)</w:t>
            </w:r>
          </w:p>
          <w:p w14:paraId="36E43DB6" w14:textId="77777777" w:rsidR="00CA2E4E" w:rsidRPr="0033698E" w:rsidRDefault="00CA2E4E" w:rsidP="00AD186A">
            <w:pPr>
              <w:pStyle w:val="tbltext"/>
              <w:spacing w:line="200" w:lineRule="atLeast"/>
              <w:rPr>
                <w:sz w:val="24"/>
                <w:szCs w:val="24"/>
              </w:rPr>
            </w:pPr>
          </w:p>
        </w:tc>
      </w:tr>
    </w:tbl>
    <w:p w14:paraId="06C77CC8" w14:textId="77777777" w:rsidR="00CA2E4E" w:rsidRPr="0033698E" w:rsidRDefault="00CA2E4E" w:rsidP="00CA2E4E">
      <w:pPr>
        <w:pStyle w:val="tabletitlefullwidth"/>
      </w:pPr>
      <w:r w:rsidRPr="0033698E">
        <w:t>Table A2.3:</w:t>
      </w:r>
      <w:r w:rsidRPr="0033698E">
        <w:tab/>
        <w:t>Issuer Large Exposure—Debt Positions</w:t>
      </w:r>
    </w:p>
    <w:tbl>
      <w:tblPr>
        <w:tblW w:w="0" w:type="auto"/>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418"/>
        <w:gridCol w:w="1701"/>
        <w:gridCol w:w="1559"/>
        <w:gridCol w:w="1559"/>
        <w:gridCol w:w="1418"/>
        <w:gridCol w:w="1415"/>
      </w:tblGrid>
      <w:tr w:rsidR="00CA2E4E" w:rsidRPr="0033698E" w14:paraId="786E9CED" w14:textId="77777777" w:rsidTr="00D3615D">
        <w:trPr>
          <w:cantSplit/>
          <w:tblHeader/>
        </w:trPr>
        <w:tc>
          <w:tcPr>
            <w:tcW w:w="1418" w:type="dxa"/>
            <w:shd w:val="clear" w:color="auto" w:fill="C2E3FA"/>
          </w:tcPr>
          <w:p w14:paraId="2E0AA999" w14:textId="77777777" w:rsidR="00CA2E4E" w:rsidRPr="0033698E" w:rsidRDefault="00CA2E4E" w:rsidP="00AD186A">
            <w:pPr>
              <w:pStyle w:val="tablehead"/>
              <w:spacing w:line="200" w:lineRule="atLeast"/>
            </w:pPr>
          </w:p>
        </w:tc>
        <w:tc>
          <w:tcPr>
            <w:tcW w:w="6237" w:type="dxa"/>
            <w:gridSpan w:val="4"/>
            <w:shd w:val="clear" w:color="auto" w:fill="C2E3FA"/>
          </w:tcPr>
          <w:p w14:paraId="6A191B1C" w14:textId="77777777" w:rsidR="00CA2E4E" w:rsidRPr="0033698E" w:rsidRDefault="00CA2E4E" w:rsidP="00AD186A">
            <w:pPr>
              <w:pStyle w:val="tablehead"/>
              <w:spacing w:line="200" w:lineRule="atLeast"/>
            </w:pPr>
            <w:r w:rsidRPr="0033698E">
              <w:t>Debt Method</w:t>
            </w:r>
          </w:p>
        </w:tc>
        <w:tc>
          <w:tcPr>
            <w:tcW w:w="1415" w:type="dxa"/>
            <w:shd w:val="clear" w:color="auto" w:fill="C2E3FA"/>
          </w:tcPr>
          <w:p w14:paraId="6031FAC7" w14:textId="77777777" w:rsidR="00CA2E4E" w:rsidRPr="0033698E" w:rsidRDefault="00CA2E4E" w:rsidP="00AD186A">
            <w:pPr>
              <w:pStyle w:val="tablehead"/>
              <w:spacing w:line="200" w:lineRule="atLeast"/>
              <w:rPr>
                <w:bCs/>
              </w:rPr>
            </w:pPr>
          </w:p>
        </w:tc>
      </w:tr>
      <w:tr w:rsidR="00CA2E4E" w:rsidRPr="0033698E" w14:paraId="1CDD6D3C" w14:textId="77777777" w:rsidTr="00D3615D">
        <w:trPr>
          <w:cantSplit/>
          <w:tblHeader/>
        </w:trPr>
        <w:tc>
          <w:tcPr>
            <w:tcW w:w="1418" w:type="dxa"/>
            <w:shd w:val="clear" w:color="auto" w:fill="C2E3FA"/>
          </w:tcPr>
          <w:p w14:paraId="46871ADF" w14:textId="77777777" w:rsidR="00CA2E4E" w:rsidRPr="0033698E" w:rsidRDefault="00CA2E4E" w:rsidP="00AD186A">
            <w:pPr>
              <w:pStyle w:val="tablehead"/>
              <w:spacing w:line="200" w:lineRule="atLeast"/>
            </w:pPr>
          </w:p>
        </w:tc>
        <w:tc>
          <w:tcPr>
            <w:tcW w:w="3260" w:type="dxa"/>
            <w:gridSpan w:val="2"/>
            <w:shd w:val="clear" w:color="auto" w:fill="C2E3FA"/>
          </w:tcPr>
          <w:p w14:paraId="481EB0B5" w14:textId="77777777" w:rsidR="00CA2E4E" w:rsidRPr="0033698E" w:rsidRDefault="00CA2E4E" w:rsidP="00AD186A">
            <w:pPr>
              <w:pStyle w:val="tablehead"/>
              <w:spacing w:line="200" w:lineRule="atLeast"/>
              <w:rPr>
                <w:sz w:val="24"/>
                <w:szCs w:val="24"/>
              </w:rPr>
            </w:pPr>
            <w:r w:rsidRPr="0033698E">
              <w:t xml:space="preserve">Compared to Liquid Capital </w:t>
            </w:r>
          </w:p>
        </w:tc>
        <w:tc>
          <w:tcPr>
            <w:tcW w:w="2977" w:type="dxa"/>
            <w:gridSpan w:val="2"/>
            <w:shd w:val="clear" w:color="auto" w:fill="C2E3FA"/>
          </w:tcPr>
          <w:p w14:paraId="5C6DE578" w14:textId="77777777" w:rsidR="00CA2E4E" w:rsidRPr="0033698E" w:rsidRDefault="00CA2E4E" w:rsidP="00AD186A">
            <w:pPr>
              <w:pStyle w:val="tablehead"/>
              <w:spacing w:line="200" w:lineRule="atLeast"/>
              <w:rPr>
                <w:sz w:val="24"/>
                <w:szCs w:val="24"/>
              </w:rPr>
            </w:pPr>
            <w:r w:rsidRPr="0033698E">
              <w:t>Compared to Issue</w:t>
            </w:r>
          </w:p>
        </w:tc>
        <w:tc>
          <w:tcPr>
            <w:tcW w:w="1415" w:type="dxa"/>
            <w:shd w:val="clear" w:color="auto" w:fill="C2E3FA"/>
          </w:tcPr>
          <w:p w14:paraId="7F092500" w14:textId="77777777" w:rsidR="00CA2E4E" w:rsidRPr="0033698E" w:rsidRDefault="00CA2E4E" w:rsidP="00AD186A">
            <w:pPr>
              <w:pStyle w:val="tablehead"/>
              <w:spacing w:line="200" w:lineRule="atLeast"/>
            </w:pPr>
            <w:r w:rsidRPr="0033698E">
              <w:rPr>
                <w:bCs/>
              </w:rPr>
              <w:t>Risk amount</w:t>
            </w:r>
          </w:p>
        </w:tc>
      </w:tr>
      <w:tr w:rsidR="00CA2E4E" w:rsidRPr="0033698E" w14:paraId="7818B60C" w14:textId="77777777" w:rsidTr="00D3615D">
        <w:trPr>
          <w:cantSplit/>
        </w:trPr>
        <w:tc>
          <w:tcPr>
            <w:tcW w:w="1418" w:type="dxa"/>
          </w:tcPr>
          <w:p w14:paraId="75B4506A" w14:textId="77777777" w:rsidR="00CA2E4E" w:rsidRPr="0033698E" w:rsidRDefault="00CA2E4E" w:rsidP="00AD186A">
            <w:pPr>
              <w:pStyle w:val="tbltext"/>
              <w:spacing w:line="200" w:lineRule="atLeast"/>
              <w:rPr>
                <w:b/>
                <w:sz w:val="24"/>
                <w:szCs w:val="24"/>
              </w:rPr>
            </w:pPr>
            <w:r w:rsidRPr="0033698E">
              <w:rPr>
                <w:b/>
              </w:rPr>
              <w:t>Debt Net Position from transaction date</w:t>
            </w:r>
          </w:p>
        </w:tc>
        <w:tc>
          <w:tcPr>
            <w:tcW w:w="1701" w:type="dxa"/>
          </w:tcPr>
          <w:p w14:paraId="217DE680" w14:textId="43DD02DD" w:rsidR="00CA2E4E" w:rsidRPr="0033698E" w:rsidRDefault="00CA2E4E" w:rsidP="00AD186A">
            <w:pPr>
              <w:pStyle w:val="tbltext"/>
              <w:spacing w:line="200" w:lineRule="atLeast"/>
              <w:rPr>
                <w:rFonts w:ascii="Times New Roman" w:hAnsi="Times New Roman"/>
                <w:sz w:val="24"/>
                <w:szCs w:val="24"/>
              </w:rPr>
            </w:pPr>
            <w:r w:rsidRPr="0033698E">
              <w:t xml:space="preserve">If </w:t>
            </w:r>
            <w:r w:rsidR="00864188">
              <w:t>d</w:t>
            </w:r>
            <w:r w:rsidR="00864188" w:rsidRPr="0033698E">
              <w:t xml:space="preserve">ebt </w:t>
            </w:r>
            <w:r w:rsidR="00864188">
              <w:t>n</w:t>
            </w:r>
            <w:r w:rsidR="00864188" w:rsidRPr="0033698E">
              <w:t xml:space="preserve">et </w:t>
            </w:r>
            <w:r w:rsidR="00864188">
              <w:t>p</w:t>
            </w:r>
            <w:r w:rsidR="00864188" w:rsidRPr="0033698E">
              <w:t xml:space="preserve">osition </w:t>
            </w:r>
            <w:r w:rsidRPr="0033698E">
              <w:t xml:space="preserve">is </w:t>
            </w:r>
            <w:r w:rsidRPr="0033698E">
              <w:rPr>
                <w:rFonts w:ascii="Symbol" w:hAnsi="Symbol"/>
              </w:rPr>
              <w:t></w:t>
            </w:r>
            <w:r w:rsidR="005F73D4">
              <w:t> </w:t>
            </w:r>
            <w:r w:rsidRPr="0033698E">
              <w:t>25%, is a risk amount required?</w:t>
            </w:r>
          </w:p>
          <w:p w14:paraId="760076DE" w14:textId="77777777" w:rsidR="00CA2E4E" w:rsidRPr="0033698E" w:rsidRDefault="00CA2E4E" w:rsidP="00AD186A">
            <w:pPr>
              <w:pStyle w:val="tbltext"/>
              <w:spacing w:line="200" w:lineRule="atLeast"/>
              <w:rPr>
                <w:sz w:val="24"/>
                <w:szCs w:val="24"/>
              </w:rPr>
            </w:pPr>
            <w:r w:rsidRPr="0033698E">
              <w:t>No</w:t>
            </w:r>
          </w:p>
        </w:tc>
        <w:tc>
          <w:tcPr>
            <w:tcW w:w="1559" w:type="dxa"/>
          </w:tcPr>
          <w:p w14:paraId="0ADD0F99" w14:textId="5CB82455" w:rsidR="00CA2E4E" w:rsidRPr="0033698E" w:rsidRDefault="00CA2E4E" w:rsidP="00AD186A">
            <w:pPr>
              <w:pStyle w:val="tbltext"/>
              <w:spacing w:line="200" w:lineRule="atLeast"/>
              <w:rPr>
                <w:rFonts w:ascii="Times New Roman" w:hAnsi="Times New Roman"/>
                <w:sz w:val="24"/>
                <w:szCs w:val="24"/>
              </w:rPr>
            </w:pPr>
            <w:r w:rsidRPr="0033698E">
              <w:t xml:space="preserve">If </w:t>
            </w:r>
            <w:r w:rsidR="00864188">
              <w:t>d</w:t>
            </w:r>
            <w:r w:rsidR="00864188" w:rsidRPr="0033698E">
              <w:t xml:space="preserve">ebt </w:t>
            </w:r>
            <w:r w:rsidR="00864188">
              <w:t>n</w:t>
            </w:r>
            <w:r w:rsidR="00864188" w:rsidRPr="0033698E">
              <w:t xml:space="preserve">et </w:t>
            </w:r>
            <w:r w:rsidR="00864188">
              <w:t>p</w:t>
            </w:r>
            <w:r w:rsidR="00864188" w:rsidRPr="0033698E">
              <w:t xml:space="preserve">osition </w:t>
            </w:r>
            <w:r w:rsidRPr="0033698E">
              <w:t>is &gt;</w:t>
            </w:r>
            <w:r w:rsidR="005F73D4">
              <w:t> </w:t>
            </w:r>
            <w:r w:rsidRPr="0033698E">
              <w:t>25%, is a risk amount required?</w:t>
            </w:r>
          </w:p>
          <w:p w14:paraId="5DAC181A" w14:textId="77777777" w:rsidR="00CA2E4E" w:rsidRPr="0033698E" w:rsidRDefault="00CA2E4E" w:rsidP="00AD186A">
            <w:pPr>
              <w:pStyle w:val="tbltext"/>
              <w:spacing w:line="200" w:lineRule="atLeast"/>
              <w:rPr>
                <w:sz w:val="24"/>
                <w:szCs w:val="24"/>
              </w:rPr>
            </w:pPr>
            <w:r w:rsidRPr="0033698E">
              <w:t>Yes (a)</w:t>
            </w:r>
          </w:p>
        </w:tc>
        <w:tc>
          <w:tcPr>
            <w:tcW w:w="1559" w:type="dxa"/>
          </w:tcPr>
          <w:p w14:paraId="2E258E24" w14:textId="7DBF8EB6" w:rsidR="00CA2E4E" w:rsidRPr="0033698E" w:rsidRDefault="00CA2E4E" w:rsidP="00AD186A">
            <w:pPr>
              <w:pStyle w:val="tbltext"/>
              <w:spacing w:line="200" w:lineRule="atLeast"/>
              <w:rPr>
                <w:rFonts w:ascii="Times New Roman" w:hAnsi="Times New Roman"/>
                <w:sz w:val="24"/>
                <w:szCs w:val="24"/>
              </w:rPr>
            </w:pPr>
            <w:r w:rsidRPr="0033698E">
              <w:t xml:space="preserve">If </w:t>
            </w:r>
            <w:r w:rsidR="00864188">
              <w:t>debt</w:t>
            </w:r>
            <w:r w:rsidR="00864188" w:rsidRPr="0033698E">
              <w:t xml:space="preserve"> </w:t>
            </w:r>
            <w:r w:rsidR="00864188">
              <w:t>net</w:t>
            </w:r>
            <w:r w:rsidR="00864188" w:rsidRPr="0033698E">
              <w:t xml:space="preserve"> </w:t>
            </w:r>
            <w:r w:rsidR="00864188">
              <w:t>position</w:t>
            </w:r>
            <w:r w:rsidR="00864188" w:rsidRPr="0033698E">
              <w:t xml:space="preserve"> </w:t>
            </w:r>
            <w:r w:rsidRPr="0033698E">
              <w:t xml:space="preserve">is </w:t>
            </w:r>
            <w:r w:rsidRPr="0033698E">
              <w:rPr>
                <w:rFonts w:ascii="Symbol" w:hAnsi="Symbol"/>
              </w:rPr>
              <w:t></w:t>
            </w:r>
            <w:r w:rsidR="005F73D4">
              <w:t> </w:t>
            </w:r>
            <w:r w:rsidRPr="0033698E">
              <w:t>10%, is a risk amount required?</w:t>
            </w:r>
          </w:p>
          <w:p w14:paraId="71CAB5BF" w14:textId="77777777" w:rsidR="00CA2E4E" w:rsidRPr="0033698E" w:rsidRDefault="00CA2E4E" w:rsidP="00AD186A">
            <w:pPr>
              <w:pStyle w:val="tbltext"/>
              <w:spacing w:line="200" w:lineRule="atLeast"/>
              <w:rPr>
                <w:sz w:val="24"/>
                <w:szCs w:val="24"/>
              </w:rPr>
            </w:pPr>
            <w:r w:rsidRPr="0033698E">
              <w:t>No</w:t>
            </w:r>
          </w:p>
        </w:tc>
        <w:tc>
          <w:tcPr>
            <w:tcW w:w="1418" w:type="dxa"/>
          </w:tcPr>
          <w:p w14:paraId="08AB42D9" w14:textId="055159D6" w:rsidR="00CA2E4E" w:rsidRPr="00203B23" w:rsidRDefault="00CA2E4E" w:rsidP="00AD186A">
            <w:pPr>
              <w:pStyle w:val="tbltext"/>
              <w:spacing w:line="200" w:lineRule="atLeast"/>
            </w:pPr>
            <w:r w:rsidRPr="0033698E">
              <w:t xml:space="preserve">If </w:t>
            </w:r>
            <w:r w:rsidR="00864188">
              <w:t>d</w:t>
            </w:r>
            <w:r w:rsidR="00864188" w:rsidRPr="0033698E">
              <w:t xml:space="preserve">ebt </w:t>
            </w:r>
            <w:r w:rsidR="00864188">
              <w:t>n</w:t>
            </w:r>
            <w:r w:rsidR="00864188" w:rsidRPr="0033698E">
              <w:t xml:space="preserve">et </w:t>
            </w:r>
            <w:r w:rsidR="00864188">
              <w:t>p</w:t>
            </w:r>
            <w:r w:rsidR="00864188" w:rsidRPr="0033698E">
              <w:t xml:space="preserve">osition </w:t>
            </w:r>
            <w:r w:rsidRPr="0033698E">
              <w:t>is &gt;</w:t>
            </w:r>
            <w:r w:rsidR="005F73D4">
              <w:t> </w:t>
            </w:r>
            <w:r w:rsidRPr="0033698E">
              <w:t>10%, is a risk amount required?</w:t>
            </w:r>
          </w:p>
          <w:p w14:paraId="2D3025DF" w14:textId="77777777" w:rsidR="00CA2E4E" w:rsidRPr="0033698E" w:rsidRDefault="00CA2E4E" w:rsidP="00AD186A">
            <w:pPr>
              <w:pStyle w:val="tbltext"/>
              <w:spacing w:line="200" w:lineRule="atLeast"/>
              <w:rPr>
                <w:sz w:val="24"/>
                <w:szCs w:val="24"/>
              </w:rPr>
            </w:pPr>
            <w:r w:rsidRPr="0033698E">
              <w:t>Yes (b)</w:t>
            </w:r>
          </w:p>
        </w:tc>
        <w:tc>
          <w:tcPr>
            <w:tcW w:w="1415" w:type="dxa"/>
          </w:tcPr>
          <w:p w14:paraId="2B29A7D7" w14:textId="77777777" w:rsidR="00CA2E4E" w:rsidRPr="0033698E" w:rsidRDefault="00CA2E4E" w:rsidP="00AD186A">
            <w:pPr>
              <w:pStyle w:val="tbltext"/>
              <w:spacing w:line="200" w:lineRule="atLeast"/>
              <w:rPr>
                <w:sz w:val="24"/>
                <w:szCs w:val="24"/>
              </w:rPr>
            </w:pPr>
            <w:r w:rsidRPr="0033698E">
              <w:t>Take the greater of (a) and (b)</w:t>
            </w:r>
          </w:p>
        </w:tc>
      </w:tr>
    </w:tbl>
    <w:p w14:paraId="670CED7B" w14:textId="77777777" w:rsidR="00CA2E4E" w:rsidRPr="0033698E" w:rsidRDefault="00CA2E4E" w:rsidP="00CA2E4E">
      <w:pPr>
        <w:pStyle w:val="tabletitlefullwidth"/>
      </w:pPr>
      <w:r w:rsidRPr="0033698E">
        <w:t xml:space="preserve">Table </w:t>
      </w:r>
      <w:r w:rsidRPr="0033698E">
        <w:rPr>
          <w:noProof/>
        </w:rPr>
        <w:t>A2.4</w:t>
      </w:r>
      <w:r w:rsidRPr="0033698E">
        <w:t>:</w:t>
      </w:r>
      <w:r w:rsidRPr="0033698E">
        <w:tab/>
        <w:t>Issuer Large Exposure—Equity and Debt Positions</w:t>
      </w:r>
    </w:p>
    <w:tbl>
      <w:tblPr>
        <w:tblW w:w="0" w:type="auto"/>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418"/>
        <w:gridCol w:w="3260"/>
        <w:gridCol w:w="2977"/>
        <w:gridCol w:w="1415"/>
      </w:tblGrid>
      <w:tr w:rsidR="00CA2E4E" w:rsidRPr="0033698E" w14:paraId="10C08DA8" w14:textId="77777777" w:rsidTr="00D3615D">
        <w:trPr>
          <w:tblHeader/>
        </w:trPr>
        <w:tc>
          <w:tcPr>
            <w:tcW w:w="1418" w:type="dxa"/>
            <w:shd w:val="clear" w:color="auto" w:fill="C2E3FA"/>
          </w:tcPr>
          <w:p w14:paraId="75FF82F0" w14:textId="77777777" w:rsidR="00CA2E4E" w:rsidRPr="0033698E" w:rsidRDefault="00CA2E4E" w:rsidP="00AD186A">
            <w:pPr>
              <w:pStyle w:val="tablehead"/>
              <w:spacing w:line="200" w:lineRule="atLeast"/>
            </w:pPr>
          </w:p>
        </w:tc>
        <w:tc>
          <w:tcPr>
            <w:tcW w:w="6237" w:type="dxa"/>
            <w:gridSpan w:val="2"/>
            <w:shd w:val="clear" w:color="auto" w:fill="C2E3FA"/>
          </w:tcPr>
          <w:p w14:paraId="664F29AC" w14:textId="77777777" w:rsidR="00CA2E4E" w:rsidRPr="0033698E" w:rsidRDefault="00CA2E4E" w:rsidP="00AD186A">
            <w:pPr>
              <w:pStyle w:val="tablehead"/>
              <w:spacing w:line="200" w:lineRule="atLeast"/>
            </w:pPr>
            <w:r w:rsidRPr="0033698E">
              <w:t>Equity and Debt Method</w:t>
            </w:r>
          </w:p>
        </w:tc>
        <w:tc>
          <w:tcPr>
            <w:tcW w:w="1415" w:type="dxa"/>
            <w:shd w:val="clear" w:color="auto" w:fill="C2E3FA"/>
          </w:tcPr>
          <w:p w14:paraId="05FE8853" w14:textId="77777777" w:rsidR="00CA2E4E" w:rsidRPr="0033698E" w:rsidRDefault="00CA2E4E" w:rsidP="00AD186A">
            <w:pPr>
              <w:pStyle w:val="tablehead"/>
              <w:spacing w:line="200" w:lineRule="atLeast"/>
              <w:rPr>
                <w:bCs/>
              </w:rPr>
            </w:pPr>
          </w:p>
        </w:tc>
      </w:tr>
      <w:tr w:rsidR="00CA2E4E" w:rsidRPr="0033698E" w14:paraId="554ACB1A" w14:textId="77777777" w:rsidTr="00D3615D">
        <w:trPr>
          <w:tblHeader/>
        </w:trPr>
        <w:tc>
          <w:tcPr>
            <w:tcW w:w="1418" w:type="dxa"/>
            <w:shd w:val="clear" w:color="auto" w:fill="C2E3FA"/>
          </w:tcPr>
          <w:p w14:paraId="46070DAB" w14:textId="77777777" w:rsidR="00CA2E4E" w:rsidRPr="0033698E" w:rsidRDefault="00CA2E4E" w:rsidP="00AD186A">
            <w:pPr>
              <w:pStyle w:val="tablehead"/>
              <w:spacing w:line="200" w:lineRule="atLeast"/>
            </w:pPr>
          </w:p>
        </w:tc>
        <w:tc>
          <w:tcPr>
            <w:tcW w:w="6237" w:type="dxa"/>
            <w:gridSpan w:val="2"/>
            <w:shd w:val="clear" w:color="auto" w:fill="C2E3FA"/>
          </w:tcPr>
          <w:p w14:paraId="17A43656" w14:textId="77777777" w:rsidR="00CA2E4E" w:rsidRPr="0033698E" w:rsidRDefault="00CA2E4E" w:rsidP="00AD186A">
            <w:pPr>
              <w:pStyle w:val="tablehead"/>
              <w:spacing w:line="200" w:lineRule="atLeast"/>
              <w:rPr>
                <w:sz w:val="24"/>
                <w:szCs w:val="24"/>
              </w:rPr>
            </w:pPr>
            <w:r w:rsidRPr="0033698E">
              <w:t>Compared to Liquid Capital only</w:t>
            </w:r>
          </w:p>
        </w:tc>
        <w:tc>
          <w:tcPr>
            <w:tcW w:w="1415" w:type="dxa"/>
            <w:shd w:val="clear" w:color="auto" w:fill="C2E3FA"/>
          </w:tcPr>
          <w:p w14:paraId="11C53339" w14:textId="77777777" w:rsidR="00CA2E4E" w:rsidRPr="0033698E" w:rsidRDefault="00CA2E4E" w:rsidP="00AD186A">
            <w:pPr>
              <w:pStyle w:val="tablehead"/>
              <w:spacing w:line="200" w:lineRule="atLeast"/>
            </w:pPr>
            <w:r w:rsidRPr="0033698E">
              <w:rPr>
                <w:bCs/>
              </w:rPr>
              <w:t>Risk amount</w:t>
            </w:r>
          </w:p>
        </w:tc>
      </w:tr>
      <w:tr w:rsidR="00CA2E4E" w:rsidRPr="0033698E" w14:paraId="34423830" w14:textId="77777777" w:rsidTr="00D3615D">
        <w:tc>
          <w:tcPr>
            <w:tcW w:w="1418" w:type="dxa"/>
          </w:tcPr>
          <w:p w14:paraId="315E8388" w14:textId="77777777" w:rsidR="00CA2E4E" w:rsidRPr="0033698E" w:rsidRDefault="00CA2E4E" w:rsidP="00AD186A">
            <w:pPr>
              <w:pStyle w:val="tbltext"/>
              <w:spacing w:line="200" w:lineRule="atLeast"/>
              <w:rPr>
                <w:b/>
                <w:sz w:val="24"/>
                <w:szCs w:val="24"/>
              </w:rPr>
            </w:pPr>
            <w:r w:rsidRPr="0033698E">
              <w:rPr>
                <w:b/>
              </w:rPr>
              <w:t>Equity Net Position and Debt Net Position from transaction date</w:t>
            </w:r>
          </w:p>
        </w:tc>
        <w:tc>
          <w:tcPr>
            <w:tcW w:w="3260" w:type="dxa"/>
          </w:tcPr>
          <w:p w14:paraId="11E8BF24" w14:textId="1F09E74E" w:rsidR="00CA2E4E" w:rsidRPr="0033698E" w:rsidRDefault="00CA2E4E" w:rsidP="00AD186A">
            <w:pPr>
              <w:pStyle w:val="tbltext"/>
              <w:spacing w:line="200" w:lineRule="atLeast"/>
              <w:rPr>
                <w:rFonts w:ascii="Times New Roman" w:hAnsi="Times New Roman"/>
                <w:sz w:val="24"/>
                <w:szCs w:val="24"/>
              </w:rPr>
            </w:pPr>
            <w:r w:rsidRPr="0033698E">
              <w:t xml:space="preserve">If </w:t>
            </w:r>
            <w:r w:rsidR="00864188">
              <w:t>e</w:t>
            </w:r>
            <w:r w:rsidR="00864188" w:rsidRPr="0033698E">
              <w:t xml:space="preserve">quity </w:t>
            </w:r>
            <w:r w:rsidR="00864188">
              <w:t>n</w:t>
            </w:r>
            <w:r w:rsidR="00864188" w:rsidRPr="0033698E">
              <w:t xml:space="preserve">et </w:t>
            </w:r>
            <w:r w:rsidR="00864188">
              <w:t>p</w:t>
            </w:r>
            <w:r w:rsidR="00864188" w:rsidRPr="0033698E">
              <w:t xml:space="preserve">osition </w:t>
            </w:r>
            <w:r w:rsidRPr="0033698E">
              <w:t xml:space="preserve">and </w:t>
            </w:r>
            <w:r w:rsidR="00864188">
              <w:t>d</w:t>
            </w:r>
            <w:r w:rsidR="00864188" w:rsidRPr="0033698E">
              <w:t xml:space="preserve">ebt </w:t>
            </w:r>
            <w:r w:rsidR="00864188">
              <w:t>n</w:t>
            </w:r>
            <w:r w:rsidR="00864188" w:rsidRPr="0033698E">
              <w:t xml:space="preserve">et </w:t>
            </w:r>
            <w:r w:rsidR="00864188">
              <w:t>p</w:t>
            </w:r>
            <w:r w:rsidR="00864188" w:rsidRPr="0033698E">
              <w:t xml:space="preserve">osition </w:t>
            </w:r>
            <w:r w:rsidRPr="0033698E">
              <w:t xml:space="preserve">is </w:t>
            </w:r>
            <w:r w:rsidRPr="0033698E">
              <w:rPr>
                <w:rFonts w:ascii="Symbol" w:hAnsi="Symbol"/>
              </w:rPr>
              <w:t></w:t>
            </w:r>
            <w:r w:rsidR="005F73D4">
              <w:t> </w:t>
            </w:r>
            <w:r w:rsidRPr="0033698E">
              <w:t>25%, is a risk amount required?</w:t>
            </w:r>
          </w:p>
          <w:p w14:paraId="28F98D8A" w14:textId="77777777" w:rsidR="00CA2E4E" w:rsidRPr="0033698E" w:rsidRDefault="00CA2E4E" w:rsidP="00AD186A">
            <w:pPr>
              <w:pStyle w:val="tbltext"/>
              <w:spacing w:line="200" w:lineRule="atLeast"/>
              <w:rPr>
                <w:sz w:val="24"/>
                <w:szCs w:val="24"/>
              </w:rPr>
            </w:pPr>
            <w:r w:rsidRPr="0033698E">
              <w:t>No</w:t>
            </w:r>
          </w:p>
        </w:tc>
        <w:tc>
          <w:tcPr>
            <w:tcW w:w="2977" w:type="dxa"/>
          </w:tcPr>
          <w:p w14:paraId="08B7A939" w14:textId="1F76A76F" w:rsidR="00CA2E4E" w:rsidRPr="0033698E" w:rsidRDefault="00CA2E4E" w:rsidP="00AD186A">
            <w:pPr>
              <w:pStyle w:val="tbltext"/>
              <w:spacing w:line="200" w:lineRule="atLeast"/>
              <w:rPr>
                <w:rFonts w:ascii="Times New Roman" w:hAnsi="Times New Roman"/>
                <w:sz w:val="24"/>
                <w:szCs w:val="24"/>
              </w:rPr>
            </w:pPr>
            <w:r w:rsidRPr="0033698E">
              <w:t xml:space="preserve">If </w:t>
            </w:r>
            <w:r w:rsidR="004F1374">
              <w:t>e</w:t>
            </w:r>
            <w:r w:rsidR="004F1374" w:rsidRPr="0033698E">
              <w:t xml:space="preserve">quity </w:t>
            </w:r>
            <w:r w:rsidR="004F1374">
              <w:t>n</w:t>
            </w:r>
            <w:r w:rsidR="004F1374" w:rsidRPr="0033698E">
              <w:t xml:space="preserve">et </w:t>
            </w:r>
            <w:r w:rsidR="004F1374">
              <w:t>p</w:t>
            </w:r>
            <w:r w:rsidR="004F1374" w:rsidRPr="0033698E">
              <w:t xml:space="preserve">osition </w:t>
            </w:r>
            <w:r w:rsidRPr="0033698E">
              <w:t xml:space="preserve">and </w:t>
            </w:r>
            <w:r w:rsidR="004F1374">
              <w:t>d</w:t>
            </w:r>
            <w:r w:rsidR="004F1374" w:rsidRPr="0033698E">
              <w:t xml:space="preserve">ebt </w:t>
            </w:r>
            <w:r w:rsidR="004F1374">
              <w:t>n</w:t>
            </w:r>
            <w:r w:rsidR="004F1374" w:rsidRPr="0033698E">
              <w:t xml:space="preserve">et </w:t>
            </w:r>
            <w:r w:rsidR="004F1374">
              <w:t>p</w:t>
            </w:r>
            <w:r w:rsidR="004F1374" w:rsidRPr="0033698E">
              <w:t xml:space="preserve">osition </w:t>
            </w:r>
            <w:r w:rsidRPr="0033698E">
              <w:t>is &gt;</w:t>
            </w:r>
            <w:r w:rsidR="005F73D4">
              <w:t> </w:t>
            </w:r>
            <w:r w:rsidRPr="0033698E">
              <w:t>25%, is a risk amount required?</w:t>
            </w:r>
          </w:p>
          <w:p w14:paraId="08E3AB21" w14:textId="77777777" w:rsidR="00CA2E4E" w:rsidRPr="0033698E" w:rsidRDefault="00CA2E4E" w:rsidP="00AD186A">
            <w:pPr>
              <w:pStyle w:val="tbltext"/>
              <w:spacing w:line="200" w:lineRule="atLeast"/>
              <w:rPr>
                <w:sz w:val="24"/>
                <w:szCs w:val="24"/>
              </w:rPr>
            </w:pPr>
            <w:r w:rsidRPr="0033698E">
              <w:t>Yes (c), but only if a zero amount has been calculated in Table A2.2 or Table A2.3</w:t>
            </w:r>
          </w:p>
        </w:tc>
        <w:tc>
          <w:tcPr>
            <w:tcW w:w="1415" w:type="dxa"/>
          </w:tcPr>
          <w:p w14:paraId="2128C60A" w14:textId="77777777" w:rsidR="00CA2E4E" w:rsidRPr="0033698E" w:rsidRDefault="00CA2E4E" w:rsidP="00AD186A">
            <w:pPr>
              <w:pStyle w:val="tbltext"/>
              <w:spacing w:line="200" w:lineRule="atLeast"/>
              <w:rPr>
                <w:sz w:val="24"/>
                <w:szCs w:val="24"/>
              </w:rPr>
            </w:pPr>
            <w:r w:rsidRPr="0033698E">
              <w:t>Take (c)</w:t>
            </w:r>
          </w:p>
        </w:tc>
      </w:tr>
    </w:tbl>
    <w:p w14:paraId="6B725902" w14:textId="77777777" w:rsidR="00CA2E4E" w:rsidRPr="0033698E" w:rsidRDefault="00CA2E4E" w:rsidP="00CA2E4E">
      <w:pPr>
        <w:pStyle w:val="MIRHeading3Rule"/>
      </w:pPr>
      <w:r w:rsidRPr="0033698E">
        <w:lastRenderedPageBreak/>
        <w:t>A2.2.3</w:t>
      </w:r>
      <w:r w:rsidRPr="0033698E">
        <w:tab/>
        <w:t xml:space="preserve">Application </w:t>
      </w:r>
    </w:p>
    <w:p w14:paraId="1CCD9E2F" w14:textId="77777777" w:rsidR="00CA2E4E" w:rsidRPr="0033698E" w:rsidRDefault="00CA2E4E" w:rsidP="00CA2E4E">
      <w:pPr>
        <w:pStyle w:val="MIRBodyText"/>
      </w:pPr>
      <w:r w:rsidRPr="0033698E">
        <w:t xml:space="preserve">(1) An issuer large exposure risk amount does not arise in relation to: </w:t>
      </w:r>
    </w:p>
    <w:p w14:paraId="173A3FAD" w14:textId="1FD51874" w:rsidR="00CA2E4E" w:rsidRPr="00CD0D8D" w:rsidRDefault="00CA2E4E" w:rsidP="00CA2E4E">
      <w:pPr>
        <w:pStyle w:val="MIRSubpara"/>
      </w:pPr>
      <w:r w:rsidRPr="00CD0D8D">
        <w:t>a Financial Instrument whose value is based on</w:t>
      </w:r>
      <w:r w:rsidR="003741CE">
        <w:t xml:space="preserve"> a</w:t>
      </w:r>
      <w:r w:rsidRPr="00CD0D8D">
        <w:t xml:space="preserve"> Government Debt Instrument or an interest rate; </w:t>
      </w:r>
    </w:p>
    <w:p w14:paraId="30A99814" w14:textId="77777777" w:rsidR="00CA2E4E" w:rsidRPr="00CD0D8D" w:rsidRDefault="00CA2E4E" w:rsidP="00CA2E4E">
      <w:pPr>
        <w:pStyle w:val="MIRSubpara"/>
      </w:pPr>
      <w:r w:rsidRPr="00CD0D8D">
        <w:t xml:space="preserve">a Forward Rate Agreement; </w:t>
      </w:r>
    </w:p>
    <w:p w14:paraId="753C14FF" w14:textId="77777777" w:rsidR="00CA2E4E" w:rsidRPr="00CD0D8D" w:rsidRDefault="00CA2E4E" w:rsidP="00CA2E4E">
      <w:pPr>
        <w:pStyle w:val="MIRSubpara"/>
      </w:pPr>
      <w:r w:rsidRPr="00CD0D8D">
        <w:t xml:space="preserve">an interest rate or currency Swap; </w:t>
      </w:r>
    </w:p>
    <w:p w14:paraId="1CFE83C2" w14:textId="77777777" w:rsidR="00CA2E4E" w:rsidRPr="00CD0D8D" w:rsidRDefault="00CA2E4E" w:rsidP="00CA2E4E">
      <w:pPr>
        <w:pStyle w:val="MIRSubpara"/>
      </w:pPr>
      <w:r w:rsidRPr="00CD0D8D">
        <w:t xml:space="preserve">an interest rate leg of an equity Swap; and </w:t>
      </w:r>
    </w:p>
    <w:p w14:paraId="6B116C63" w14:textId="77777777" w:rsidR="00CA2E4E" w:rsidRPr="00CD0D8D" w:rsidRDefault="00CA2E4E" w:rsidP="00CA2E4E">
      <w:pPr>
        <w:pStyle w:val="MIRSubpara"/>
      </w:pPr>
      <w:r w:rsidRPr="00CD0D8D">
        <w:t xml:space="preserve">a Future on an index, an equity Swap based on an index or any other index-linked Derivative where that Future, equity Swap or index-linked Derivative is not broken down into its constituent positions by a Market Participant for the purposes of calculating a position risk amount. </w:t>
      </w:r>
    </w:p>
    <w:p w14:paraId="1677F3AD" w14:textId="77777777" w:rsidR="00CA2E4E" w:rsidRPr="0033698E" w:rsidRDefault="00CA2E4E" w:rsidP="00CA2E4E">
      <w:pPr>
        <w:pStyle w:val="MIRBodyText"/>
      </w:pPr>
      <w:r w:rsidRPr="0033698E">
        <w:t xml:space="preserve">(2) An issuer large exposure risk amount must be calculated in the following manner: </w:t>
      </w:r>
    </w:p>
    <w:p w14:paraId="12CBE1EF" w14:textId="7FD9D705" w:rsidR="00CA2E4E" w:rsidRPr="00CD0D8D" w:rsidRDefault="00CA2E4E" w:rsidP="00CA2E4E">
      <w:pPr>
        <w:pStyle w:val="MIRSubpara"/>
      </w:pPr>
      <w:r w:rsidRPr="00CD0D8D">
        <w:t xml:space="preserve">the Equity leg of an equity Swap the value of which is based on the change in value of an individual Equity is treated as an exposure to the issuer of the Equity for the face value of the </w:t>
      </w:r>
      <w:r w:rsidR="003741CE">
        <w:t>E</w:t>
      </w:r>
      <w:r w:rsidRPr="00CD0D8D">
        <w:t xml:space="preserve">quity leg of the equity Swap; </w:t>
      </w:r>
    </w:p>
    <w:p w14:paraId="32A73623" w14:textId="77777777" w:rsidR="00CA2E4E" w:rsidRPr="00CD0D8D" w:rsidRDefault="00CA2E4E" w:rsidP="00CA2E4E">
      <w:pPr>
        <w:pStyle w:val="MIRSubpara"/>
      </w:pPr>
      <w:r w:rsidRPr="00CD0D8D">
        <w:t xml:space="preserve">a Future or forward contract over: </w:t>
      </w:r>
    </w:p>
    <w:p w14:paraId="53D4ABEA" w14:textId="77777777" w:rsidR="00CA2E4E" w:rsidRPr="0033698E" w:rsidRDefault="00CA2E4E" w:rsidP="00CA2E4E">
      <w:pPr>
        <w:pStyle w:val="MIRSubsubpara"/>
      </w:pPr>
      <w:r w:rsidRPr="0033698E">
        <w:t xml:space="preserve">a Debt Instrument other than a Government Debt Instrument; or </w:t>
      </w:r>
    </w:p>
    <w:p w14:paraId="20D409A0" w14:textId="77777777" w:rsidR="00CA2E4E" w:rsidRPr="0033698E" w:rsidRDefault="00CA2E4E" w:rsidP="00CA2E4E">
      <w:pPr>
        <w:pStyle w:val="MIRSubsubpara"/>
      </w:pPr>
      <w:r w:rsidRPr="0033698E">
        <w:t xml:space="preserve">an Equity, </w:t>
      </w:r>
    </w:p>
    <w:p w14:paraId="0181FBE5" w14:textId="77777777" w:rsidR="00CA2E4E" w:rsidRPr="00CD0D8D" w:rsidRDefault="00CA2E4E" w:rsidP="00CA2E4E">
      <w:pPr>
        <w:pStyle w:val="MIRSubpara"/>
        <w:numPr>
          <w:ilvl w:val="0"/>
          <w:numId w:val="0"/>
        </w:numPr>
        <w:ind w:left="1276"/>
      </w:pPr>
      <w:r w:rsidRPr="00CD0D8D">
        <w:t xml:space="preserve">is treated as an exposure to the underlying issuer for the face value of the Future or forward contract; </w:t>
      </w:r>
    </w:p>
    <w:p w14:paraId="72A93F94" w14:textId="4B4FA26F" w:rsidR="00CA2E4E" w:rsidRPr="00CD0D8D" w:rsidRDefault="00CA2E4E" w:rsidP="00CA2E4E">
      <w:pPr>
        <w:pStyle w:val="MIRSubpara"/>
      </w:pPr>
      <w:r w:rsidRPr="00CD0D8D">
        <w:t xml:space="preserve">a Future on an index, an equity Swap based on an index or any other index-linked Derivative (including a Classical ETF) where that Future, equity Swap or index-linked </w:t>
      </w:r>
      <w:r w:rsidR="00E769AD">
        <w:t>D</w:t>
      </w:r>
      <w:r w:rsidRPr="00CD0D8D">
        <w:t xml:space="preserve">erivative is broken down into its constituent positions by a Market Participant for the purposes of calculating a position risk amount, is treated as an exposure to each underlying constituent position; and </w:t>
      </w:r>
    </w:p>
    <w:p w14:paraId="61F9043B" w14:textId="57574DC7" w:rsidR="00CA2E4E" w:rsidRPr="00CD0D8D" w:rsidRDefault="00CA2E4E" w:rsidP="00CA2E4E">
      <w:pPr>
        <w:pStyle w:val="MIRSubpara"/>
      </w:pPr>
      <w:r w:rsidRPr="00CD0D8D">
        <w:t xml:space="preserve">an Option or right over a Financial Instrument (other than a Financial Instrument referred to in subrule (1)) is treated as an exposure at: </w:t>
      </w:r>
    </w:p>
    <w:p w14:paraId="29242D37" w14:textId="6979A694" w:rsidR="00CA2E4E" w:rsidRPr="0033698E" w:rsidRDefault="00CA2E4E" w:rsidP="00CA2E4E">
      <w:pPr>
        <w:pStyle w:val="MIRSubsubpara"/>
      </w:pPr>
      <w:r w:rsidRPr="0033698E">
        <w:t xml:space="preserve">the full value of the underlying position; </w:t>
      </w:r>
      <w:r w:rsidR="00462FF9">
        <w:t>or</w:t>
      </w:r>
    </w:p>
    <w:p w14:paraId="291C573F" w14:textId="77777777" w:rsidR="00CA2E4E" w:rsidRPr="0033698E" w:rsidRDefault="00CA2E4E" w:rsidP="00CA2E4E">
      <w:pPr>
        <w:pStyle w:val="MIRSubsubpara"/>
      </w:pPr>
      <w:r w:rsidRPr="0033698E">
        <w:t xml:space="preserve">the delta weighted value of the underlying instrument where a delta is published by a relevant exchange, clearing house or an independent market information source. </w:t>
      </w:r>
    </w:p>
    <w:p w14:paraId="3F4BDB89" w14:textId="77777777" w:rsidR="00CA2E4E" w:rsidRPr="0033698E" w:rsidRDefault="00CA2E4E" w:rsidP="00CA2E4E">
      <w:pPr>
        <w:pStyle w:val="MIRBodyText"/>
      </w:pPr>
      <w:r w:rsidRPr="0033698E">
        <w:t xml:space="preserve">(3) Where a Market Participant has positions in Hybrid ETFs or Other Managed Funds: </w:t>
      </w:r>
    </w:p>
    <w:p w14:paraId="5C31F3D4" w14:textId="703F7CBF" w:rsidR="00CA2E4E" w:rsidRPr="00CD0D8D" w:rsidRDefault="00CA2E4E" w:rsidP="00CA2E4E">
      <w:pPr>
        <w:pStyle w:val="MIRSubpara"/>
      </w:pPr>
      <w:r w:rsidRPr="00CD0D8D">
        <w:t xml:space="preserve">only the test against Liquid Capital (under subrule A2.3.1(2), A2.3.2(3) or A2.3.3(2)) needs to be applied to those positions; and </w:t>
      </w:r>
    </w:p>
    <w:p w14:paraId="0363FCC9" w14:textId="77777777" w:rsidR="00CA2E4E" w:rsidRPr="00CD0D8D" w:rsidRDefault="00CA2E4E" w:rsidP="00CA2E4E">
      <w:pPr>
        <w:pStyle w:val="MIRSubpara"/>
      </w:pPr>
      <w:r w:rsidRPr="00CD0D8D">
        <w:t xml:space="preserve">the test against Liquid Capital must be applied separately for each different Hybrid ETF or Other Managed Fund issued by the same issuer. </w:t>
      </w:r>
    </w:p>
    <w:p w14:paraId="2DE56CA8" w14:textId="77777777" w:rsidR="00CA2E4E" w:rsidRPr="0033698E" w:rsidRDefault="00CA2E4E" w:rsidP="00CA2E4E">
      <w:pPr>
        <w:pStyle w:val="MIRBodyText"/>
      </w:pPr>
      <w:r w:rsidRPr="0033698E">
        <w:t xml:space="preserve">(4) Where a Market Participant: </w:t>
      </w:r>
    </w:p>
    <w:p w14:paraId="5586475D" w14:textId="77777777" w:rsidR="00CA2E4E" w:rsidRPr="00CD0D8D" w:rsidRDefault="00CA2E4E" w:rsidP="00CA2E4E">
      <w:pPr>
        <w:pStyle w:val="MIRSubpara"/>
      </w:pPr>
      <w:r w:rsidRPr="00CD0D8D">
        <w:t xml:space="preserve">is not an active trader in bank bills; </w:t>
      </w:r>
    </w:p>
    <w:p w14:paraId="1B6CAEED" w14:textId="77777777" w:rsidR="00CA2E4E" w:rsidRPr="00CD0D8D" w:rsidRDefault="00CA2E4E" w:rsidP="00CA2E4E">
      <w:pPr>
        <w:pStyle w:val="MIRSubpara"/>
      </w:pPr>
      <w:r w:rsidRPr="00CD0D8D">
        <w:lastRenderedPageBreak/>
        <w:t xml:space="preserve">holds bank bills as a passive investment, with the intention that the bank bills be held to maturity; and </w:t>
      </w:r>
    </w:p>
    <w:p w14:paraId="337F8268" w14:textId="77777777" w:rsidR="00CA2E4E" w:rsidRPr="00CD0D8D" w:rsidRDefault="00CA2E4E" w:rsidP="00CA2E4E">
      <w:pPr>
        <w:pStyle w:val="MIRSubpara"/>
      </w:pPr>
      <w:r w:rsidRPr="00CD0D8D">
        <w:t xml:space="preserve">calculates the position risk amount under subrule A3.11.2(3) as the face value of the bills multiplied by the appropriate standard method Position Risk Factor, </w:t>
      </w:r>
    </w:p>
    <w:p w14:paraId="3DBA8E1F" w14:textId="77777777" w:rsidR="00CA2E4E" w:rsidRPr="0033698E" w:rsidRDefault="00CA2E4E" w:rsidP="00CA2E4E">
      <w:pPr>
        <w:pStyle w:val="MIRBodyText"/>
      </w:pPr>
      <w:r w:rsidRPr="0033698E">
        <w:t xml:space="preserve">the Market Participant may also calculate its issuer large exposure risk amount for its position in bank bills using the face value of the bills. </w:t>
      </w:r>
    </w:p>
    <w:p w14:paraId="38EB19E6" w14:textId="77777777" w:rsidR="00CA2E4E" w:rsidRPr="0033698E" w:rsidRDefault="00CA2E4E" w:rsidP="00CA2E4E">
      <w:pPr>
        <w:pStyle w:val="MIRBodyText"/>
      </w:pPr>
      <w:r w:rsidRPr="0033698E">
        <w:t xml:space="preserve">(5) A delta weighted value under paragraph (2)(d) may be offset against the corresponding underlying instrument in calculating an Equity Net Position or Debt Net Position under Rules A2.3.1, A2.3.2 and A2.3.3. </w:t>
      </w:r>
    </w:p>
    <w:p w14:paraId="2E4D4FD7" w14:textId="77777777" w:rsidR="00CA2E4E" w:rsidRPr="0033698E" w:rsidRDefault="00CA2E4E" w:rsidP="00CA2E4E">
      <w:pPr>
        <w:pStyle w:val="MIRHeading2Part"/>
      </w:pPr>
      <w:bookmarkStart w:id="47" w:name="_Toc27492579"/>
      <w:r w:rsidRPr="0033698E">
        <w:t>Part A2.3</w:t>
      </w:r>
      <w:r w:rsidRPr="0033698E">
        <w:tab/>
        <w:t>Methods</w:t>
      </w:r>
      <w:bookmarkEnd w:id="47"/>
      <w:r w:rsidRPr="0033698E">
        <w:t xml:space="preserve"> </w:t>
      </w:r>
    </w:p>
    <w:p w14:paraId="66FCC94A" w14:textId="77777777" w:rsidR="00CA2E4E" w:rsidRPr="0033698E" w:rsidRDefault="00CA2E4E" w:rsidP="00CA2E4E">
      <w:pPr>
        <w:pStyle w:val="MIRHeading3Rule"/>
      </w:pPr>
      <w:r w:rsidRPr="0033698E">
        <w:t>A2.3.1</w:t>
      </w:r>
      <w:r w:rsidRPr="0033698E">
        <w:tab/>
        <w:t xml:space="preserve">Equity method </w:t>
      </w:r>
    </w:p>
    <w:p w14:paraId="0AC30217" w14:textId="77777777" w:rsidR="00CA2E4E" w:rsidRPr="0033698E" w:rsidRDefault="00CA2E4E" w:rsidP="00CA2E4E">
      <w:pPr>
        <w:pStyle w:val="MIRBodyText"/>
      </w:pPr>
      <w:r w:rsidRPr="0033698E">
        <w:t xml:space="preserve">(1) A Market Participant’s issuer large exposure risk amount in relation to an issuer is the greater of the following amounts: </w:t>
      </w:r>
    </w:p>
    <w:p w14:paraId="7633D68A" w14:textId="77777777" w:rsidR="00CA2E4E" w:rsidRPr="00D5409F" w:rsidRDefault="00CA2E4E" w:rsidP="00CA2E4E">
      <w:pPr>
        <w:pStyle w:val="MIRSubpara"/>
      </w:pPr>
      <w:r w:rsidRPr="00D5409F">
        <w:t xml:space="preserve">the risk amount calculated by comparing the Equity Net Position to Liquid Capital under subrule (2); and </w:t>
      </w:r>
    </w:p>
    <w:p w14:paraId="3DBA5016" w14:textId="77777777" w:rsidR="00CA2E4E" w:rsidRPr="00D5409F" w:rsidRDefault="00CA2E4E" w:rsidP="00CA2E4E">
      <w:pPr>
        <w:pStyle w:val="MIRSubpara"/>
      </w:pPr>
      <w:r w:rsidRPr="00D5409F">
        <w:t xml:space="preserve">the risk amount/s calculated by comparing the Equity Net Position to the issue/s under subrule (3). </w:t>
      </w:r>
    </w:p>
    <w:p w14:paraId="2F9F41AC" w14:textId="77777777" w:rsidR="00CA2E4E" w:rsidRPr="0033698E" w:rsidRDefault="00CA2E4E" w:rsidP="00CA2E4E">
      <w:pPr>
        <w:pStyle w:val="MIRBodyText"/>
      </w:pPr>
      <w:r w:rsidRPr="0033698E">
        <w:t xml:space="preserve">(2) If the absolute value of an Equity Net Position to an Issuer is greater than 25% of the Market Participant’s Liquid Capital the risk amount is: </w:t>
      </w:r>
    </w:p>
    <w:p w14:paraId="0BA7299F" w14:textId="77777777" w:rsidR="00CA2E4E" w:rsidRPr="00D5409F" w:rsidRDefault="00CA2E4E" w:rsidP="00CA2E4E">
      <w:pPr>
        <w:pStyle w:val="MIRSubpara"/>
      </w:pPr>
      <w:r w:rsidRPr="00D5409F">
        <w:t xml:space="preserve">12% for each single Equity in a Recognised Market Index; and </w:t>
      </w:r>
    </w:p>
    <w:p w14:paraId="26F46CD7" w14:textId="77777777" w:rsidR="00CA2E4E" w:rsidRPr="00D5409F" w:rsidRDefault="00CA2E4E" w:rsidP="00CA2E4E">
      <w:pPr>
        <w:pStyle w:val="MIRSubpara"/>
      </w:pPr>
      <w:r w:rsidRPr="00D5409F">
        <w:t xml:space="preserve">16% for any other single Equity, of the amount in excess of 25% of Liquid Capital. </w:t>
      </w:r>
    </w:p>
    <w:p w14:paraId="0A0030CD" w14:textId="77777777" w:rsidR="00CA2E4E" w:rsidRPr="0033698E" w:rsidRDefault="00CA2E4E" w:rsidP="00CA2E4E">
      <w:pPr>
        <w:pStyle w:val="MIRBodyText"/>
      </w:pPr>
      <w:r w:rsidRPr="0033698E">
        <w:t xml:space="preserve">(3) If the absolute value of an Equity Net Position to an Individual Issue/s is greater than 5% of </w:t>
      </w:r>
      <w:r w:rsidRPr="0033698E">
        <w:rPr>
          <w:color w:val="000000"/>
        </w:rPr>
        <w:t xml:space="preserve">that issue, the risk amount/s is: </w:t>
      </w:r>
    </w:p>
    <w:p w14:paraId="445CE0E5" w14:textId="77777777" w:rsidR="00CA2E4E" w:rsidRPr="00D5409F" w:rsidRDefault="00CA2E4E" w:rsidP="00CA2E4E">
      <w:pPr>
        <w:pStyle w:val="MIRSubpara"/>
      </w:pPr>
      <w:r w:rsidRPr="00D5409F">
        <w:t xml:space="preserve">12% for each single Equity in a Recognised Market Index; and </w:t>
      </w:r>
    </w:p>
    <w:p w14:paraId="3A2C826A" w14:textId="77777777" w:rsidR="00CA2E4E" w:rsidRPr="00D5409F" w:rsidRDefault="00CA2E4E" w:rsidP="00CA2E4E">
      <w:pPr>
        <w:pStyle w:val="MIRSubpara"/>
      </w:pPr>
      <w:r w:rsidRPr="00D5409F">
        <w:t xml:space="preserve">16% for any other single Equity, of the amount in excess of 5% of the issue/s. </w:t>
      </w:r>
    </w:p>
    <w:p w14:paraId="5893F273" w14:textId="77777777" w:rsidR="00CA2E4E" w:rsidRPr="0033698E" w:rsidRDefault="00CA2E4E" w:rsidP="00CA2E4E">
      <w:pPr>
        <w:pStyle w:val="MIRBodyText"/>
      </w:pPr>
      <w:r w:rsidRPr="0033698E">
        <w:t xml:space="preserve">(4) For the purposes of subrule (2): </w:t>
      </w:r>
    </w:p>
    <w:p w14:paraId="3EC90CBB" w14:textId="77777777" w:rsidR="00CA2E4E" w:rsidRPr="00D5409F" w:rsidRDefault="00CA2E4E" w:rsidP="00CA2E4E">
      <w:pPr>
        <w:pStyle w:val="MIRSubpara"/>
      </w:pPr>
      <w:r w:rsidRPr="00670040">
        <w:rPr>
          <w:b/>
          <w:bCs/>
          <w:i/>
        </w:rPr>
        <w:t>Issuer</w:t>
      </w:r>
      <w:r w:rsidRPr="00D5409F">
        <w:t xml:space="preserve"> means: </w:t>
      </w:r>
    </w:p>
    <w:p w14:paraId="41FA2B70" w14:textId="77777777" w:rsidR="00CA2E4E" w:rsidRPr="00D5409F" w:rsidRDefault="00CA2E4E" w:rsidP="00CA2E4E">
      <w:pPr>
        <w:pStyle w:val="MIRSubsubpara"/>
      </w:pPr>
      <w:r w:rsidRPr="00D5409F">
        <w:t xml:space="preserve">in the case of principal positions in physical Equity securities, the entity that has issued those securities; and </w:t>
      </w:r>
    </w:p>
    <w:p w14:paraId="356148CC" w14:textId="77777777" w:rsidR="00CA2E4E" w:rsidRPr="00D5409F" w:rsidRDefault="00CA2E4E" w:rsidP="00CA2E4E">
      <w:pPr>
        <w:pStyle w:val="MIRSubsubpara"/>
      </w:pPr>
      <w:r w:rsidRPr="00D5409F">
        <w:t xml:space="preserve">in the case of Derivative positions, means the entity that has issued the securities underlying the Derivatives position and does not mean the Counterparty to the Derivative transaction; and </w:t>
      </w:r>
    </w:p>
    <w:p w14:paraId="70327D2B" w14:textId="77777777" w:rsidR="00CA2E4E" w:rsidRPr="00D5409F" w:rsidRDefault="00CA2E4E" w:rsidP="00CA2E4E">
      <w:pPr>
        <w:pStyle w:val="MIRSubpara"/>
      </w:pPr>
      <w:r w:rsidRPr="00D5409F">
        <w:t xml:space="preserve">the Equity Net Position to a particular Issuer is the aggregate of all Equity Net Positions for different issues of securities issued by that Issuer where: </w:t>
      </w:r>
    </w:p>
    <w:p w14:paraId="5BF8CA43" w14:textId="77777777" w:rsidR="00CA2E4E" w:rsidRPr="0033698E" w:rsidRDefault="00CA2E4E" w:rsidP="00CA2E4E">
      <w:pPr>
        <w:pStyle w:val="MIRSubsubpara"/>
      </w:pPr>
      <w:r w:rsidRPr="0033698E">
        <w:lastRenderedPageBreak/>
        <w:t xml:space="preserve">the Equity Net Positions relate to particular underlying instruments issued by a single Issuer (for example, ordinary shares, Preference Shares); and </w:t>
      </w:r>
    </w:p>
    <w:p w14:paraId="72745EE7" w14:textId="77777777" w:rsidR="00CA2E4E" w:rsidRPr="0033698E" w:rsidRDefault="00CA2E4E" w:rsidP="00CA2E4E">
      <w:pPr>
        <w:pStyle w:val="MIRSubsubpara"/>
      </w:pPr>
      <w:r w:rsidRPr="0033698E">
        <w:t xml:space="preserve">Equity Net Positions for different instruments issued by a single Issuer must not be offset when calculating the total Equity Net Position to that </w:t>
      </w:r>
      <w:r w:rsidRPr="00B444E1">
        <w:t>issuer</w:t>
      </w:r>
      <w:r w:rsidRPr="0033698E">
        <w:t xml:space="preserve">. </w:t>
      </w:r>
    </w:p>
    <w:p w14:paraId="7569B9B4" w14:textId="77777777" w:rsidR="00CA2E4E" w:rsidRPr="0033698E" w:rsidRDefault="00CA2E4E" w:rsidP="00CA2E4E">
      <w:pPr>
        <w:pStyle w:val="MIRBodyText"/>
      </w:pPr>
      <w:r w:rsidRPr="0033698E">
        <w:t xml:space="preserve">(5) For the purposes of subrule (3), the instruments in column 1 of Table A2.5 are considered to comprise the “Individual Issue” for a particular Equity product referred to in column 2: </w:t>
      </w:r>
    </w:p>
    <w:p w14:paraId="74061CE8" w14:textId="77777777" w:rsidR="00CA2E4E" w:rsidRPr="0033698E" w:rsidRDefault="00CA2E4E" w:rsidP="00CA2E4E">
      <w:pPr>
        <w:pStyle w:val="tabletitlefullwidth"/>
      </w:pPr>
      <w:r w:rsidRPr="0033698E">
        <w:t>Table A2.5:</w:t>
      </w:r>
      <w:r w:rsidRPr="0033698E">
        <w:tab/>
        <w:t>Individual Issues</w:t>
      </w:r>
    </w:p>
    <w:tbl>
      <w:tblPr>
        <w:tblW w:w="0" w:type="auto"/>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814"/>
        <w:gridCol w:w="2552"/>
        <w:gridCol w:w="4671"/>
      </w:tblGrid>
      <w:tr w:rsidR="00CA2E4E" w:rsidRPr="0033698E" w14:paraId="0A6BAFCE" w14:textId="77777777" w:rsidTr="00D3615D">
        <w:trPr>
          <w:cantSplit/>
          <w:tblHeader/>
        </w:trPr>
        <w:tc>
          <w:tcPr>
            <w:tcW w:w="1814" w:type="dxa"/>
            <w:tcBorders>
              <w:bottom w:val="single" w:sz="4" w:space="0" w:color="999999"/>
            </w:tcBorders>
            <w:shd w:val="clear" w:color="auto" w:fill="C2E3FA"/>
          </w:tcPr>
          <w:p w14:paraId="298FED7D" w14:textId="77777777" w:rsidR="00CA2E4E" w:rsidRPr="0033698E" w:rsidRDefault="00CA2E4E" w:rsidP="00AD186A">
            <w:pPr>
              <w:pStyle w:val="tablehead"/>
            </w:pPr>
            <w:r w:rsidRPr="0033698E">
              <w:t>“Individual Issue”</w:t>
            </w:r>
          </w:p>
        </w:tc>
        <w:tc>
          <w:tcPr>
            <w:tcW w:w="2552" w:type="dxa"/>
            <w:tcBorders>
              <w:bottom w:val="single" w:sz="4" w:space="0" w:color="999999"/>
            </w:tcBorders>
            <w:shd w:val="clear" w:color="auto" w:fill="C2E3FA"/>
          </w:tcPr>
          <w:p w14:paraId="11969BF8" w14:textId="77777777" w:rsidR="00CA2E4E" w:rsidRPr="0033698E" w:rsidRDefault="00CA2E4E" w:rsidP="00AD186A">
            <w:pPr>
              <w:pStyle w:val="tablehead"/>
            </w:pPr>
            <w:r w:rsidRPr="0033698E">
              <w:t>Equity Product</w:t>
            </w:r>
          </w:p>
        </w:tc>
        <w:tc>
          <w:tcPr>
            <w:tcW w:w="4671" w:type="dxa"/>
            <w:tcBorders>
              <w:bottom w:val="single" w:sz="4" w:space="0" w:color="999999"/>
            </w:tcBorders>
            <w:shd w:val="clear" w:color="auto" w:fill="C2E3FA"/>
          </w:tcPr>
          <w:p w14:paraId="59EA3E7A" w14:textId="77777777" w:rsidR="00CA2E4E" w:rsidRPr="0033698E" w:rsidRDefault="00CA2E4E" w:rsidP="00AD186A">
            <w:pPr>
              <w:pStyle w:val="tablehead"/>
            </w:pPr>
            <w:r w:rsidRPr="0033698E">
              <w:t>“Individual Issue” Detail</w:t>
            </w:r>
          </w:p>
        </w:tc>
      </w:tr>
      <w:tr w:rsidR="00CA2E4E" w:rsidRPr="0033698E" w14:paraId="0896E6D0" w14:textId="77777777" w:rsidTr="00D3615D">
        <w:trPr>
          <w:cantSplit/>
        </w:trPr>
        <w:tc>
          <w:tcPr>
            <w:tcW w:w="1814" w:type="dxa"/>
            <w:vMerge w:val="restart"/>
            <w:tcBorders>
              <w:bottom w:val="single" w:sz="4" w:space="0" w:color="999999"/>
            </w:tcBorders>
          </w:tcPr>
          <w:p w14:paraId="60443160" w14:textId="77777777" w:rsidR="00CA2E4E" w:rsidRPr="0033698E" w:rsidRDefault="00CA2E4E" w:rsidP="00AD186A">
            <w:pPr>
              <w:pStyle w:val="tbltext"/>
              <w:rPr>
                <w:b/>
              </w:rPr>
            </w:pPr>
            <w:r w:rsidRPr="0033698E">
              <w:rPr>
                <w:b/>
              </w:rPr>
              <w:t>Ordinary shares</w:t>
            </w:r>
          </w:p>
        </w:tc>
        <w:tc>
          <w:tcPr>
            <w:tcW w:w="2552" w:type="dxa"/>
            <w:tcBorders>
              <w:bottom w:val="single" w:sz="4" w:space="0" w:color="999999"/>
            </w:tcBorders>
          </w:tcPr>
          <w:p w14:paraId="33270AEA" w14:textId="77777777" w:rsidR="00CA2E4E" w:rsidRPr="0033698E" w:rsidRDefault="00CA2E4E" w:rsidP="00AD186A">
            <w:pPr>
              <w:pStyle w:val="tbltext"/>
              <w:rPr>
                <w:lang w:val="en-US"/>
              </w:rPr>
            </w:pPr>
            <w:r w:rsidRPr="0033698E">
              <w:rPr>
                <w:lang w:val="en-US"/>
              </w:rPr>
              <w:t>Ordinary shares</w:t>
            </w:r>
          </w:p>
        </w:tc>
        <w:tc>
          <w:tcPr>
            <w:tcW w:w="4671" w:type="dxa"/>
            <w:tcBorders>
              <w:bottom w:val="single" w:sz="4" w:space="0" w:color="999999"/>
            </w:tcBorders>
          </w:tcPr>
          <w:p w14:paraId="7BDA8114" w14:textId="77777777" w:rsidR="00CA2E4E" w:rsidRPr="0033698E" w:rsidRDefault="00CA2E4E" w:rsidP="00AD186A">
            <w:pPr>
              <w:pStyle w:val="tbltext"/>
              <w:rPr>
                <w:lang w:val="en-US"/>
              </w:rPr>
            </w:pPr>
            <w:r w:rsidRPr="0033698E">
              <w:rPr>
                <w:lang w:val="en-US"/>
              </w:rPr>
              <w:t>Ordinary shares on issue, as published by an information source.</w:t>
            </w:r>
          </w:p>
        </w:tc>
      </w:tr>
      <w:tr w:rsidR="00CA2E4E" w:rsidRPr="0033698E" w14:paraId="7732FDCA" w14:textId="77777777" w:rsidTr="00D3615D">
        <w:trPr>
          <w:cantSplit/>
        </w:trPr>
        <w:tc>
          <w:tcPr>
            <w:tcW w:w="1814" w:type="dxa"/>
            <w:vMerge/>
            <w:tcBorders>
              <w:top w:val="single" w:sz="4" w:space="0" w:color="999999"/>
              <w:bottom w:val="single" w:sz="4" w:space="0" w:color="999999"/>
            </w:tcBorders>
          </w:tcPr>
          <w:p w14:paraId="2021677F" w14:textId="77777777" w:rsidR="00CA2E4E" w:rsidRPr="0033698E" w:rsidRDefault="00CA2E4E" w:rsidP="00AD186A">
            <w:pPr>
              <w:pStyle w:val="tbltext"/>
            </w:pPr>
          </w:p>
        </w:tc>
        <w:tc>
          <w:tcPr>
            <w:tcW w:w="2552" w:type="dxa"/>
            <w:tcBorders>
              <w:top w:val="single" w:sz="4" w:space="0" w:color="999999"/>
              <w:bottom w:val="single" w:sz="4" w:space="0" w:color="999999"/>
            </w:tcBorders>
          </w:tcPr>
          <w:p w14:paraId="3C8C33E0" w14:textId="77777777" w:rsidR="00CA2E4E" w:rsidRPr="0033698E" w:rsidRDefault="00CA2E4E" w:rsidP="00AD186A">
            <w:pPr>
              <w:pStyle w:val="tbltext"/>
              <w:rPr>
                <w:lang w:val="en-US"/>
              </w:rPr>
            </w:pPr>
            <w:r w:rsidRPr="0033698E">
              <w:rPr>
                <w:lang w:val="en-US"/>
              </w:rPr>
              <w:t xml:space="preserve">Exchange traded </w:t>
            </w:r>
            <w:r w:rsidRPr="0033698E">
              <w:rPr>
                <w:iCs/>
                <w:lang w:val="en-US"/>
              </w:rPr>
              <w:t xml:space="preserve">Options </w:t>
            </w:r>
            <w:r w:rsidRPr="0033698E">
              <w:rPr>
                <w:lang w:val="en-US"/>
              </w:rPr>
              <w:t>(ETOs)</w:t>
            </w:r>
          </w:p>
        </w:tc>
        <w:tc>
          <w:tcPr>
            <w:tcW w:w="4671" w:type="dxa"/>
            <w:tcBorders>
              <w:top w:val="single" w:sz="4" w:space="0" w:color="999999"/>
              <w:bottom w:val="single" w:sz="4" w:space="0" w:color="999999"/>
            </w:tcBorders>
          </w:tcPr>
          <w:p w14:paraId="69AEEFD0" w14:textId="77777777" w:rsidR="00CA2E4E" w:rsidRPr="0033698E" w:rsidRDefault="00CA2E4E" w:rsidP="00AD186A">
            <w:pPr>
              <w:pStyle w:val="tbltext"/>
              <w:rPr>
                <w:lang w:val="en-US"/>
              </w:rPr>
            </w:pPr>
            <w:r w:rsidRPr="0033698E">
              <w:rPr>
                <w:lang w:val="en-US"/>
              </w:rPr>
              <w:t>The ordinary shares underlying the ETO, as published by an information source.</w:t>
            </w:r>
          </w:p>
        </w:tc>
      </w:tr>
      <w:tr w:rsidR="00CA2E4E" w:rsidRPr="0033698E" w14:paraId="281582AE" w14:textId="77777777" w:rsidTr="00D3615D">
        <w:trPr>
          <w:cantSplit/>
        </w:trPr>
        <w:tc>
          <w:tcPr>
            <w:tcW w:w="1814" w:type="dxa"/>
            <w:vMerge/>
            <w:tcBorders>
              <w:top w:val="single" w:sz="4" w:space="0" w:color="999999"/>
              <w:bottom w:val="single" w:sz="4" w:space="0" w:color="999999"/>
            </w:tcBorders>
          </w:tcPr>
          <w:p w14:paraId="7A3F188E" w14:textId="77777777" w:rsidR="00CA2E4E" w:rsidRPr="0033698E" w:rsidRDefault="00CA2E4E" w:rsidP="00AD186A">
            <w:pPr>
              <w:pStyle w:val="tbltext"/>
            </w:pPr>
          </w:p>
        </w:tc>
        <w:tc>
          <w:tcPr>
            <w:tcW w:w="2552" w:type="dxa"/>
            <w:tcBorders>
              <w:top w:val="single" w:sz="4" w:space="0" w:color="999999"/>
              <w:bottom w:val="single" w:sz="4" w:space="0" w:color="999999"/>
            </w:tcBorders>
          </w:tcPr>
          <w:p w14:paraId="619DE842" w14:textId="425F93AF" w:rsidR="00CA2E4E" w:rsidRPr="0033698E" w:rsidRDefault="00CA2E4E" w:rsidP="00AD186A">
            <w:pPr>
              <w:pStyle w:val="tbltext"/>
              <w:rPr>
                <w:lang w:val="en-US"/>
              </w:rPr>
            </w:pPr>
            <w:r w:rsidRPr="0033698E">
              <w:rPr>
                <w:lang w:val="en-US"/>
              </w:rPr>
              <w:t xml:space="preserve">Exchange traded </w:t>
            </w:r>
            <w:r w:rsidR="00462FF9">
              <w:rPr>
                <w:lang w:val="en-US"/>
              </w:rPr>
              <w:t>W</w:t>
            </w:r>
            <w:r w:rsidR="00462FF9" w:rsidRPr="0033698E">
              <w:rPr>
                <w:lang w:val="en-US"/>
              </w:rPr>
              <w:t>arrants</w:t>
            </w:r>
          </w:p>
        </w:tc>
        <w:tc>
          <w:tcPr>
            <w:tcW w:w="4671" w:type="dxa"/>
            <w:tcBorders>
              <w:top w:val="single" w:sz="4" w:space="0" w:color="999999"/>
              <w:bottom w:val="single" w:sz="4" w:space="0" w:color="999999"/>
            </w:tcBorders>
          </w:tcPr>
          <w:p w14:paraId="01E422BE" w14:textId="67B16AFA" w:rsidR="00CA2E4E" w:rsidRPr="0033698E" w:rsidRDefault="00CA2E4E" w:rsidP="00AD186A">
            <w:pPr>
              <w:pStyle w:val="tbltext"/>
              <w:rPr>
                <w:lang w:val="en-US"/>
              </w:rPr>
            </w:pPr>
            <w:r w:rsidRPr="0033698E">
              <w:rPr>
                <w:lang w:val="en-US"/>
              </w:rPr>
              <w:t xml:space="preserve">The ordinary shares underlying the exchange traded </w:t>
            </w:r>
            <w:r w:rsidR="00462FF9">
              <w:rPr>
                <w:lang w:val="en-US"/>
              </w:rPr>
              <w:t>W</w:t>
            </w:r>
            <w:r w:rsidR="00462FF9" w:rsidRPr="0033698E">
              <w:rPr>
                <w:lang w:val="en-US"/>
              </w:rPr>
              <w:t>arrant</w:t>
            </w:r>
            <w:r w:rsidRPr="0033698E">
              <w:rPr>
                <w:lang w:val="en-US"/>
              </w:rPr>
              <w:t>, as published by an information source.</w:t>
            </w:r>
          </w:p>
        </w:tc>
      </w:tr>
      <w:tr w:rsidR="00CA2E4E" w:rsidRPr="0033698E" w14:paraId="7F6AB1CF" w14:textId="77777777" w:rsidTr="00D3615D">
        <w:trPr>
          <w:cantSplit/>
        </w:trPr>
        <w:tc>
          <w:tcPr>
            <w:tcW w:w="1814" w:type="dxa"/>
            <w:vMerge/>
            <w:tcBorders>
              <w:top w:val="single" w:sz="4" w:space="0" w:color="999999"/>
              <w:bottom w:val="single" w:sz="4" w:space="0" w:color="999999"/>
            </w:tcBorders>
          </w:tcPr>
          <w:p w14:paraId="5C4314C5" w14:textId="77777777" w:rsidR="00CA2E4E" w:rsidRPr="0033698E" w:rsidRDefault="00CA2E4E" w:rsidP="00AD186A">
            <w:pPr>
              <w:pStyle w:val="tbltext"/>
            </w:pPr>
          </w:p>
        </w:tc>
        <w:tc>
          <w:tcPr>
            <w:tcW w:w="2552" w:type="dxa"/>
            <w:tcBorders>
              <w:top w:val="single" w:sz="4" w:space="0" w:color="999999"/>
              <w:bottom w:val="single" w:sz="4" w:space="0" w:color="999999"/>
            </w:tcBorders>
          </w:tcPr>
          <w:p w14:paraId="1480A5F5" w14:textId="77777777" w:rsidR="00CA2E4E" w:rsidRPr="0033698E" w:rsidRDefault="00CA2E4E" w:rsidP="00AD186A">
            <w:pPr>
              <w:pStyle w:val="tbltext"/>
              <w:rPr>
                <w:lang w:val="en-US"/>
              </w:rPr>
            </w:pPr>
            <w:r w:rsidRPr="0033698E">
              <w:rPr>
                <w:lang w:val="en-US"/>
              </w:rPr>
              <w:t xml:space="preserve">Exchange traded convertible notes that are treated as an </w:t>
            </w:r>
            <w:r w:rsidRPr="0033698E">
              <w:rPr>
                <w:iCs/>
                <w:lang w:val="en-US"/>
              </w:rPr>
              <w:t xml:space="preserve">Equity </w:t>
            </w:r>
            <w:r w:rsidRPr="0033698E">
              <w:rPr>
                <w:lang w:val="en-US"/>
              </w:rPr>
              <w:t>position for the purposes of the position risk calculation</w:t>
            </w:r>
          </w:p>
        </w:tc>
        <w:tc>
          <w:tcPr>
            <w:tcW w:w="4671" w:type="dxa"/>
            <w:tcBorders>
              <w:top w:val="single" w:sz="4" w:space="0" w:color="999999"/>
              <w:bottom w:val="single" w:sz="4" w:space="0" w:color="999999"/>
            </w:tcBorders>
          </w:tcPr>
          <w:p w14:paraId="266B5A0F" w14:textId="77777777" w:rsidR="00CA2E4E" w:rsidRPr="0033698E" w:rsidRDefault="00CA2E4E" w:rsidP="00AD186A">
            <w:pPr>
              <w:pStyle w:val="tbltext"/>
              <w:rPr>
                <w:lang w:val="en-US"/>
              </w:rPr>
            </w:pPr>
            <w:r w:rsidRPr="0033698E">
              <w:rPr>
                <w:lang w:val="en-US"/>
              </w:rPr>
              <w:t>Ordinary shares on issue, as published by an information source.</w:t>
            </w:r>
          </w:p>
        </w:tc>
      </w:tr>
      <w:tr w:rsidR="00CA2E4E" w:rsidRPr="0033698E" w14:paraId="4EF102A7" w14:textId="77777777" w:rsidTr="00D3615D">
        <w:trPr>
          <w:cantSplit/>
        </w:trPr>
        <w:tc>
          <w:tcPr>
            <w:tcW w:w="1814" w:type="dxa"/>
            <w:vMerge/>
            <w:tcBorders>
              <w:top w:val="single" w:sz="4" w:space="0" w:color="999999"/>
              <w:bottom w:val="single" w:sz="4" w:space="0" w:color="999999"/>
            </w:tcBorders>
          </w:tcPr>
          <w:p w14:paraId="3B345387" w14:textId="77777777" w:rsidR="00CA2E4E" w:rsidRPr="0033698E" w:rsidRDefault="00CA2E4E" w:rsidP="00AD186A">
            <w:pPr>
              <w:pStyle w:val="tbltext"/>
            </w:pPr>
          </w:p>
        </w:tc>
        <w:tc>
          <w:tcPr>
            <w:tcW w:w="2552" w:type="dxa"/>
            <w:tcBorders>
              <w:top w:val="single" w:sz="4" w:space="0" w:color="999999"/>
              <w:bottom w:val="single" w:sz="4" w:space="0" w:color="999999"/>
            </w:tcBorders>
          </w:tcPr>
          <w:p w14:paraId="61752926" w14:textId="77777777" w:rsidR="00CA2E4E" w:rsidRPr="0033698E" w:rsidRDefault="00CA2E4E" w:rsidP="00AD186A">
            <w:pPr>
              <w:pStyle w:val="tbltext"/>
              <w:rPr>
                <w:lang w:val="en-US"/>
              </w:rPr>
            </w:pPr>
            <w:r w:rsidRPr="0033698E">
              <w:rPr>
                <w:lang w:val="en-US"/>
              </w:rPr>
              <w:t>Classical ETF (which is broken down into its constituent positions)</w:t>
            </w:r>
          </w:p>
        </w:tc>
        <w:tc>
          <w:tcPr>
            <w:tcW w:w="4671" w:type="dxa"/>
            <w:tcBorders>
              <w:top w:val="single" w:sz="4" w:space="0" w:color="999999"/>
              <w:bottom w:val="single" w:sz="4" w:space="0" w:color="999999"/>
            </w:tcBorders>
          </w:tcPr>
          <w:p w14:paraId="66B87F1A" w14:textId="77777777" w:rsidR="00CA2E4E" w:rsidRPr="0033698E" w:rsidRDefault="00CA2E4E" w:rsidP="00AD186A">
            <w:pPr>
              <w:pStyle w:val="tbltext"/>
              <w:rPr>
                <w:lang w:val="en-US"/>
              </w:rPr>
            </w:pPr>
            <w:r w:rsidRPr="0033698E">
              <w:rPr>
                <w:lang w:val="en-US"/>
              </w:rPr>
              <w:t xml:space="preserve">Ordinary shares on issue for each company in the stock index on which the </w:t>
            </w:r>
            <w:r w:rsidRPr="00E85986">
              <w:rPr>
                <w:lang w:val="en-US"/>
              </w:rPr>
              <w:t>Classical</w:t>
            </w:r>
            <w:r w:rsidRPr="0033698E">
              <w:rPr>
                <w:lang w:val="en-US"/>
              </w:rPr>
              <w:t xml:space="preserve"> ETF is based, as published by an information source.</w:t>
            </w:r>
          </w:p>
        </w:tc>
      </w:tr>
      <w:tr w:rsidR="00CA2E4E" w:rsidRPr="0033698E" w14:paraId="7313DAB3" w14:textId="77777777" w:rsidTr="00D3615D">
        <w:trPr>
          <w:cantSplit/>
        </w:trPr>
        <w:tc>
          <w:tcPr>
            <w:tcW w:w="1814" w:type="dxa"/>
            <w:vMerge/>
            <w:tcBorders>
              <w:top w:val="single" w:sz="4" w:space="0" w:color="999999"/>
              <w:bottom w:val="single" w:sz="4" w:space="0" w:color="999999"/>
            </w:tcBorders>
          </w:tcPr>
          <w:p w14:paraId="0EFFA453" w14:textId="77777777" w:rsidR="00CA2E4E" w:rsidRPr="0033698E" w:rsidRDefault="00CA2E4E" w:rsidP="00AD186A">
            <w:pPr>
              <w:pStyle w:val="tbltext"/>
            </w:pPr>
          </w:p>
        </w:tc>
        <w:tc>
          <w:tcPr>
            <w:tcW w:w="2552" w:type="dxa"/>
            <w:tcBorders>
              <w:top w:val="single" w:sz="4" w:space="0" w:color="999999"/>
              <w:bottom w:val="single" w:sz="4" w:space="0" w:color="999999"/>
            </w:tcBorders>
          </w:tcPr>
          <w:p w14:paraId="004FCDF6" w14:textId="77777777" w:rsidR="00CA2E4E" w:rsidRPr="0033698E" w:rsidRDefault="00CA2E4E" w:rsidP="00AD186A">
            <w:pPr>
              <w:pStyle w:val="tbltext"/>
              <w:rPr>
                <w:lang w:val="en-US"/>
              </w:rPr>
            </w:pPr>
            <w:r w:rsidRPr="0033698E">
              <w:rPr>
                <w:iCs/>
                <w:lang w:val="en-US"/>
              </w:rPr>
              <w:t>Future</w:t>
            </w:r>
            <w:r w:rsidRPr="0033698E">
              <w:rPr>
                <w:lang w:val="en-US"/>
              </w:rPr>
              <w:t>s or forward contracts over ordinary shares</w:t>
            </w:r>
          </w:p>
        </w:tc>
        <w:tc>
          <w:tcPr>
            <w:tcW w:w="4671" w:type="dxa"/>
            <w:tcBorders>
              <w:top w:val="single" w:sz="4" w:space="0" w:color="999999"/>
              <w:bottom w:val="single" w:sz="4" w:space="0" w:color="999999"/>
            </w:tcBorders>
          </w:tcPr>
          <w:p w14:paraId="109D06A0" w14:textId="77777777" w:rsidR="00CA2E4E" w:rsidRPr="0033698E" w:rsidRDefault="00CA2E4E" w:rsidP="00AD186A">
            <w:pPr>
              <w:pStyle w:val="tbltext"/>
              <w:rPr>
                <w:lang w:val="en-US"/>
              </w:rPr>
            </w:pPr>
            <w:r w:rsidRPr="0033698E">
              <w:rPr>
                <w:lang w:val="en-US"/>
              </w:rPr>
              <w:t xml:space="preserve">The ordinary shares underlying the </w:t>
            </w:r>
            <w:r w:rsidRPr="0033698E">
              <w:rPr>
                <w:iCs/>
                <w:lang w:val="en-US"/>
              </w:rPr>
              <w:t>Future</w:t>
            </w:r>
            <w:r w:rsidRPr="0033698E">
              <w:rPr>
                <w:lang w:val="en-US"/>
              </w:rPr>
              <w:t>s or forward contracts, as published by an information source.</w:t>
            </w:r>
          </w:p>
        </w:tc>
      </w:tr>
      <w:tr w:rsidR="00CA2E4E" w:rsidRPr="0033698E" w14:paraId="774FB875" w14:textId="77777777" w:rsidTr="00D3615D">
        <w:trPr>
          <w:cantSplit/>
        </w:trPr>
        <w:tc>
          <w:tcPr>
            <w:tcW w:w="1814" w:type="dxa"/>
            <w:vMerge w:val="restart"/>
            <w:tcBorders>
              <w:top w:val="single" w:sz="4" w:space="0" w:color="999999"/>
            </w:tcBorders>
          </w:tcPr>
          <w:p w14:paraId="5BBA0489" w14:textId="4408BDF7" w:rsidR="00CA2E4E" w:rsidRPr="0033698E" w:rsidRDefault="00CA2E4E" w:rsidP="00E769AD">
            <w:pPr>
              <w:pStyle w:val="tbltext"/>
              <w:keepNext/>
              <w:keepLines/>
            </w:pPr>
            <w:r w:rsidRPr="0033698E">
              <w:rPr>
                <w:b/>
                <w:lang w:val="en-US"/>
              </w:rPr>
              <w:t xml:space="preserve">Ordinary shares or Preference </w:t>
            </w:r>
            <w:r w:rsidR="004F1374">
              <w:rPr>
                <w:b/>
                <w:lang w:val="en-US"/>
              </w:rPr>
              <w:t>s</w:t>
            </w:r>
            <w:r w:rsidR="004F1374" w:rsidRPr="0033698E">
              <w:rPr>
                <w:b/>
                <w:lang w:val="en-US"/>
              </w:rPr>
              <w:t xml:space="preserve">hares </w:t>
            </w:r>
            <w:r w:rsidRPr="0033698E">
              <w:rPr>
                <w:b/>
                <w:lang w:val="en-US"/>
              </w:rPr>
              <w:t>(depends on underlying)</w:t>
            </w:r>
          </w:p>
        </w:tc>
        <w:tc>
          <w:tcPr>
            <w:tcW w:w="2552" w:type="dxa"/>
            <w:tcBorders>
              <w:bottom w:val="single" w:sz="4" w:space="0" w:color="999999"/>
            </w:tcBorders>
          </w:tcPr>
          <w:p w14:paraId="0A4CE340" w14:textId="029C9A25" w:rsidR="00CA2E4E" w:rsidRPr="0033698E" w:rsidRDefault="00CA2E4E" w:rsidP="00AD186A">
            <w:pPr>
              <w:pStyle w:val="tbltext"/>
              <w:keepNext/>
              <w:rPr>
                <w:lang w:val="en-US"/>
              </w:rPr>
            </w:pPr>
            <w:r w:rsidRPr="0033698E">
              <w:rPr>
                <w:lang w:val="en-US"/>
              </w:rPr>
              <w:t>Over</w:t>
            </w:r>
            <w:r w:rsidR="004F1374">
              <w:rPr>
                <w:lang w:val="en-US"/>
              </w:rPr>
              <w:t xml:space="preserve"> </w:t>
            </w:r>
            <w:r w:rsidRPr="0033698E">
              <w:rPr>
                <w:lang w:val="en-US"/>
              </w:rPr>
              <w:t>the</w:t>
            </w:r>
            <w:r w:rsidR="004F1374">
              <w:rPr>
                <w:lang w:val="en-US"/>
              </w:rPr>
              <w:t xml:space="preserve"> </w:t>
            </w:r>
            <w:r w:rsidRPr="0033698E">
              <w:rPr>
                <w:lang w:val="en-US"/>
              </w:rPr>
              <w:t xml:space="preserve">counter (OTC) </w:t>
            </w:r>
            <w:r w:rsidRPr="0033698E">
              <w:rPr>
                <w:iCs/>
                <w:lang w:val="en-US"/>
              </w:rPr>
              <w:t xml:space="preserve">Options </w:t>
            </w:r>
            <w:r w:rsidRPr="0033698E">
              <w:rPr>
                <w:lang w:val="en-US"/>
              </w:rPr>
              <w:t>over physical shares</w:t>
            </w:r>
          </w:p>
        </w:tc>
        <w:tc>
          <w:tcPr>
            <w:tcW w:w="4671" w:type="dxa"/>
            <w:tcBorders>
              <w:bottom w:val="single" w:sz="4" w:space="0" w:color="999999"/>
            </w:tcBorders>
          </w:tcPr>
          <w:p w14:paraId="42B6BBCE" w14:textId="77777777" w:rsidR="00CA2E4E" w:rsidRPr="0033698E" w:rsidRDefault="00CA2E4E" w:rsidP="00AD186A">
            <w:pPr>
              <w:pStyle w:val="tbltext"/>
              <w:keepNext/>
              <w:rPr>
                <w:lang w:val="en-US"/>
              </w:rPr>
            </w:pPr>
            <w:r w:rsidRPr="0033698E">
              <w:rPr>
                <w:lang w:val="en-US"/>
              </w:rPr>
              <w:t xml:space="preserve">The ordinary shares or </w:t>
            </w:r>
            <w:r w:rsidRPr="0033698E">
              <w:rPr>
                <w:iCs/>
                <w:lang w:val="en-US"/>
              </w:rPr>
              <w:t xml:space="preserve">Preference Shares </w:t>
            </w:r>
            <w:r w:rsidRPr="0033698E">
              <w:rPr>
                <w:lang w:val="en-US"/>
              </w:rPr>
              <w:t xml:space="preserve">(as applicable) underlying the OTC </w:t>
            </w:r>
            <w:r w:rsidRPr="0033698E">
              <w:rPr>
                <w:iCs/>
                <w:lang w:val="en-US"/>
              </w:rPr>
              <w:t xml:space="preserve">Option, </w:t>
            </w:r>
            <w:r w:rsidRPr="0033698E">
              <w:rPr>
                <w:lang w:val="en-US"/>
              </w:rPr>
              <w:t>as published by an information source.</w:t>
            </w:r>
          </w:p>
        </w:tc>
      </w:tr>
      <w:tr w:rsidR="00CA2E4E" w:rsidRPr="0033698E" w14:paraId="65AF4097" w14:textId="77777777" w:rsidTr="00D3615D">
        <w:trPr>
          <w:cantSplit/>
        </w:trPr>
        <w:tc>
          <w:tcPr>
            <w:tcW w:w="1814" w:type="dxa"/>
            <w:vMerge/>
          </w:tcPr>
          <w:p w14:paraId="48644C8D" w14:textId="77777777" w:rsidR="00CA2E4E" w:rsidRPr="0033698E" w:rsidRDefault="00CA2E4E" w:rsidP="00AD186A">
            <w:pPr>
              <w:pStyle w:val="tbltext"/>
            </w:pPr>
          </w:p>
        </w:tc>
        <w:tc>
          <w:tcPr>
            <w:tcW w:w="2552" w:type="dxa"/>
            <w:tcBorders>
              <w:top w:val="single" w:sz="4" w:space="0" w:color="999999"/>
            </w:tcBorders>
          </w:tcPr>
          <w:p w14:paraId="4AD99437" w14:textId="77777777" w:rsidR="00CA2E4E" w:rsidRPr="0033698E" w:rsidRDefault="00CA2E4E" w:rsidP="00AD186A">
            <w:pPr>
              <w:pStyle w:val="tbltext"/>
              <w:keepNext/>
              <w:rPr>
                <w:iCs/>
                <w:lang w:val="en-US"/>
              </w:rPr>
            </w:pPr>
            <w:r w:rsidRPr="0033698E">
              <w:rPr>
                <w:lang w:val="en-US"/>
              </w:rPr>
              <w:t xml:space="preserve">Equity </w:t>
            </w:r>
            <w:r w:rsidRPr="0033698E">
              <w:rPr>
                <w:iCs/>
                <w:lang w:val="en-US"/>
              </w:rPr>
              <w:t>Swap</w:t>
            </w:r>
          </w:p>
        </w:tc>
        <w:tc>
          <w:tcPr>
            <w:tcW w:w="4671" w:type="dxa"/>
            <w:tcBorders>
              <w:top w:val="single" w:sz="4" w:space="0" w:color="999999"/>
            </w:tcBorders>
          </w:tcPr>
          <w:p w14:paraId="1817D767" w14:textId="0CFBDCB8" w:rsidR="00CA2E4E" w:rsidRPr="0033698E" w:rsidRDefault="00CA2E4E" w:rsidP="00E769AD">
            <w:pPr>
              <w:pStyle w:val="tbltext"/>
              <w:keepNext/>
              <w:rPr>
                <w:lang w:val="en-US"/>
              </w:rPr>
            </w:pPr>
            <w:r w:rsidRPr="0033698E">
              <w:rPr>
                <w:lang w:val="en-US"/>
              </w:rPr>
              <w:t xml:space="preserve">The ordinary shares or </w:t>
            </w:r>
            <w:r w:rsidRPr="0033698E">
              <w:rPr>
                <w:iCs/>
                <w:lang w:val="en-US"/>
              </w:rPr>
              <w:t xml:space="preserve">Preference Shares </w:t>
            </w:r>
            <w:r w:rsidRPr="0033698E">
              <w:rPr>
                <w:lang w:val="en-US"/>
              </w:rPr>
              <w:t xml:space="preserve">(as applicable) underlying the Equity </w:t>
            </w:r>
            <w:r w:rsidRPr="0033698E">
              <w:rPr>
                <w:iCs/>
                <w:lang w:val="en-US"/>
              </w:rPr>
              <w:t xml:space="preserve">Swap, </w:t>
            </w:r>
            <w:r w:rsidRPr="0033698E">
              <w:rPr>
                <w:lang w:val="en-US"/>
              </w:rPr>
              <w:t>as published by an information source.</w:t>
            </w:r>
          </w:p>
        </w:tc>
      </w:tr>
      <w:tr w:rsidR="00CA2E4E" w:rsidRPr="0033698E" w14:paraId="1713D6B8" w14:textId="77777777" w:rsidTr="00D3615D">
        <w:trPr>
          <w:cantSplit/>
        </w:trPr>
        <w:tc>
          <w:tcPr>
            <w:tcW w:w="1814" w:type="dxa"/>
          </w:tcPr>
          <w:p w14:paraId="0F4DC736" w14:textId="5084C301" w:rsidR="00CA2E4E" w:rsidRPr="0033698E" w:rsidRDefault="00CA2E4E" w:rsidP="00E769AD">
            <w:pPr>
              <w:pStyle w:val="tbltext"/>
              <w:rPr>
                <w:b/>
              </w:rPr>
            </w:pPr>
            <w:r w:rsidRPr="0033698E">
              <w:rPr>
                <w:b/>
              </w:rPr>
              <w:t xml:space="preserve">Preference </w:t>
            </w:r>
            <w:r w:rsidR="004F1374">
              <w:rPr>
                <w:b/>
              </w:rPr>
              <w:t>s</w:t>
            </w:r>
            <w:r w:rsidR="004F1374" w:rsidRPr="0033698E">
              <w:rPr>
                <w:b/>
              </w:rPr>
              <w:t>hares</w:t>
            </w:r>
          </w:p>
        </w:tc>
        <w:tc>
          <w:tcPr>
            <w:tcW w:w="2552" w:type="dxa"/>
          </w:tcPr>
          <w:p w14:paraId="35E01ABD" w14:textId="77777777" w:rsidR="00CA2E4E" w:rsidRPr="0033698E" w:rsidRDefault="00CA2E4E" w:rsidP="00AD186A">
            <w:pPr>
              <w:pStyle w:val="tbltext"/>
              <w:rPr>
                <w:lang w:val="en-US"/>
              </w:rPr>
            </w:pPr>
            <w:r w:rsidRPr="0033698E">
              <w:rPr>
                <w:lang w:val="en-US"/>
              </w:rPr>
              <w:t>Preference Shares</w:t>
            </w:r>
          </w:p>
        </w:tc>
        <w:tc>
          <w:tcPr>
            <w:tcW w:w="4671" w:type="dxa"/>
          </w:tcPr>
          <w:p w14:paraId="716EA05F" w14:textId="77777777" w:rsidR="00CA2E4E" w:rsidRPr="0033698E" w:rsidRDefault="00CA2E4E" w:rsidP="00AD186A">
            <w:pPr>
              <w:pStyle w:val="tbltext"/>
              <w:rPr>
                <w:lang w:val="en-US"/>
              </w:rPr>
            </w:pPr>
            <w:r w:rsidRPr="0033698E">
              <w:rPr>
                <w:lang w:val="en-US"/>
              </w:rPr>
              <w:t>Preference Shares on issue, as published by an information source.</w:t>
            </w:r>
          </w:p>
          <w:p w14:paraId="3C0B42F0" w14:textId="77777777" w:rsidR="00CA2E4E" w:rsidRPr="0033698E" w:rsidRDefault="00CA2E4E" w:rsidP="00AD186A">
            <w:pPr>
              <w:pStyle w:val="tbltext"/>
              <w:rPr>
                <w:lang w:val="en-US"/>
              </w:rPr>
            </w:pPr>
            <w:r w:rsidRPr="0033698E">
              <w:rPr>
                <w:lang w:val="en-US"/>
              </w:rPr>
              <w:t>Where a company has issued more than one series of Preference Shares, each series should be considered to be a separate “individual issue” (for example, ABC 7% Preference Shares and ABC 7.1% Preference Shares need to be considered separately).</w:t>
            </w:r>
          </w:p>
        </w:tc>
      </w:tr>
      <w:tr w:rsidR="00CA2E4E" w:rsidRPr="0033698E" w14:paraId="16213DC9" w14:textId="77777777" w:rsidTr="00D3615D">
        <w:trPr>
          <w:cantSplit/>
        </w:trPr>
        <w:tc>
          <w:tcPr>
            <w:tcW w:w="1814" w:type="dxa"/>
            <w:tcBorders>
              <w:bottom w:val="single" w:sz="4" w:space="0" w:color="999999"/>
            </w:tcBorders>
          </w:tcPr>
          <w:p w14:paraId="6F21090A" w14:textId="09066961" w:rsidR="00CA2E4E" w:rsidRPr="0033698E" w:rsidRDefault="00CA2E4E" w:rsidP="00E769AD">
            <w:pPr>
              <w:pStyle w:val="tbltext"/>
              <w:rPr>
                <w:b/>
              </w:rPr>
            </w:pPr>
            <w:r w:rsidRPr="0033698E">
              <w:rPr>
                <w:b/>
              </w:rPr>
              <w:lastRenderedPageBreak/>
              <w:t xml:space="preserve">Company issued </w:t>
            </w:r>
            <w:r w:rsidR="004F1374">
              <w:rPr>
                <w:b/>
              </w:rPr>
              <w:t>o</w:t>
            </w:r>
            <w:r w:rsidR="004F1374" w:rsidRPr="0033698E">
              <w:rPr>
                <w:b/>
              </w:rPr>
              <w:t xml:space="preserve">ption </w:t>
            </w:r>
            <w:r w:rsidRPr="0033698E">
              <w:rPr>
                <w:b/>
              </w:rPr>
              <w:t>series</w:t>
            </w:r>
          </w:p>
        </w:tc>
        <w:tc>
          <w:tcPr>
            <w:tcW w:w="2552" w:type="dxa"/>
            <w:tcBorders>
              <w:bottom w:val="single" w:sz="4" w:space="0" w:color="999999"/>
            </w:tcBorders>
          </w:tcPr>
          <w:p w14:paraId="6164A750" w14:textId="77777777" w:rsidR="00CA2E4E" w:rsidRPr="0033698E" w:rsidRDefault="00CA2E4E" w:rsidP="00AD186A">
            <w:pPr>
              <w:pStyle w:val="tbltext"/>
              <w:rPr>
                <w:lang w:val="en-US"/>
              </w:rPr>
            </w:pPr>
            <w:r w:rsidRPr="0033698E">
              <w:rPr>
                <w:lang w:val="en-US"/>
              </w:rPr>
              <w:t>Company issued Options</w:t>
            </w:r>
          </w:p>
        </w:tc>
        <w:tc>
          <w:tcPr>
            <w:tcW w:w="4671" w:type="dxa"/>
            <w:tcBorders>
              <w:bottom w:val="single" w:sz="4" w:space="0" w:color="999999"/>
            </w:tcBorders>
          </w:tcPr>
          <w:p w14:paraId="6D738A71" w14:textId="77777777" w:rsidR="00CA2E4E" w:rsidRPr="0033698E" w:rsidRDefault="00CA2E4E" w:rsidP="00AD186A">
            <w:pPr>
              <w:pStyle w:val="tbltext"/>
              <w:rPr>
                <w:lang w:val="en-US"/>
              </w:rPr>
            </w:pPr>
            <w:r w:rsidRPr="0033698E">
              <w:rPr>
                <w:lang w:val="en-US"/>
              </w:rPr>
              <w:t>Company issued Option “series”, as published by an information source.</w:t>
            </w:r>
          </w:p>
          <w:p w14:paraId="0492FDDA" w14:textId="77777777" w:rsidR="00CA2E4E" w:rsidRPr="0033698E" w:rsidRDefault="00CA2E4E" w:rsidP="00AD186A">
            <w:pPr>
              <w:pStyle w:val="tbltext"/>
              <w:rPr>
                <w:lang w:val="en-US"/>
              </w:rPr>
            </w:pPr>
            <w:r w:rsidRPr="0033698E">
              <w:rPr>
                <w:lang w:val="en-US"/>
              </w:rPr>
              <w:t>Each company Option “series” will have different terms and conditions (for example, if ABC has issued company Options expiring on 31/1/05 with a strike of $1 as well as company Options expiring on 31/3/05 with a strike of $1, these are two different “series” and need to be considered separately).</w:t>
            </w:r>
          </w:p>
        </w:tc>
      </w:tr>
    </w:tbl>
    <w:p w14:paraId="144BF43B" w14:textId="77777777" w:rsidR="00CA2E4E" w:rsidRPr="0033698E" w:rsidRDefault="00CA2E4E" w:rsidP="00CA2E4E">
      <w:pPr>
        <w:pStyle w:val="MIRHeading3Rule"/>
        <w:rPr>
          <w:color w:val="000000"/>
          <w:sz w:val="18"/>
          <w:szCs w:val="18"/>
        </w:rPr>
      </w:pPr>
      <w:r w:rsidRPr="0033698E">
        <w:t>A2.3.2</w:t>
      </w:r>
      <w:r w:rsidRPr="0033698E">
        <w:tab/>
        <w:t xml:space="preserve">Debt method </w:t>
      </w:r>
    </w:p>
    <w:p w14:paraId="40E5355A" w14:textId="77777777" w:rsidR="00CA2E4E" w:rsidRPr="0033698E" w:rsidRDefault="00CA2E4E" w:rsidP="00CA2E4E">
      <w:pPr>
        <w:pStyle w:val="MIRBodyText"/>
      </w:pPr>
      <w:r w:rsidRPr="0033698E">
        <w:t xml:space="preserve">(1) A Market Participant’s issuer large exposure risk amount in relation to an issuer is the greater of the following amounts: </w:t>
      </w:r>
    </w:p>
    <w:p w14:paraId="343CA732" w14:textId="77777777" w:rsidR="00CA2E4E" w:rsidRPr="00D5409F" w:rsidRDefault="00CA2E4E" w:rsidP="00CA2E4E">
      <w:pPr>
        <w:pStyle w:val="MIRSubpara"/>
      </w:pPr>
      <w:r w:rsidRPr="00D5409F">
        <w:t xml:space="preserve">the risk amount calculated by comparing the Debt Net Position to Liquid Capital under subrule (3); and </w:t>
      </w:r>
    </w:p>
    <w:p w14:paraId="15E6F96A" w14:textId="77777777" w:rsidR="00CA2E4E" w:rsidRPr="00D5409F" w:rsidRDefault="00CA2E4E" w:rsidP="00CA2E4E">
      <w:pPr>
        <w:pStyle w:val="MIRSubpara"/>
      </w:pPr>
      <w:r w:rsidRPr="00D5409F">
        <w:t xml:space="preserve">the risk amount/s calculated by comparing the Debt Net Position to the issue/s under subrule (4). </w:t>
      </w:r>
    </w:p>
    <w:p w14:paraId="58FB1F96" w14:textId="77777777" w:rsidR="00CA2E4E" w:rsidRPr="0033698E" w:rsidRDefault="00CA2E4E" w:rsidP="00CA2E4E">
      <w:pPr>
        <w:pStyle w:val="MIRBodyText"/>
      </w:pPr>
      <w:r w:rsidRPr="0033698E">
        <w:t xml:space="preserve">(2) In calculating the issuer large exposure risk amount under this method: </w:t>
      </w:r>
    </w:p>
    <w:p w14:paraId="34F7B3A8" w14:textId="77777777" w:rsidR="00CA2E4E" w:rsidRPr="00D5409F" w:rsidRDefault="00CA2E4E" w:rsidP="00CA2E4E">
      <w:pPr>
        <w:pStyle w:val="MIRSubpara"/>
      </w:pPr>
      <w:r w:rsidRPr="00D5409F">
        <w:t xml:space="preserve">an individual issue refers to an individual series or tranche of an individual series issued by an individual issuer; </w:t>
      </w:r>
    </w:p>
    <w:p w14:paraId="1DB3F8AB" w14:textId="77777777" w:rsidR="00CA2E4E" w:rsidRPr="00D5409F" w:rsidRDefault="00CA2E4E" w:rsidP="00CA2E4E">
      <w:pPr>
        <w:pStyle w:val="MIRSubpara"/>
      </w:pPr>
      <w:r w:rsidRPr="00D5409F">
        <w:t xml:space="preserve">long </w:t>
      </w:r>
      <w:r w:rsidRPr="00F831C0">
        <w:t xml:space="preserve">and short positions </w:t>
      </w:r>
      <w:r w:rsidRPr="00D5409F">
        <w:t xml:space="preserve">may be offset across series for the purposes of determining large exposure to an issuer; and </w:t>
      </w:r>
    </w:p>
    <w:p w14:paraId="1C577A49" w14:textId="77777777" w:rsidR="00CA2E4E" w:rsidRPr="00D5409F" w:rsidRDefault="00CA2E4E" w:rsidP="00CA2E4E">
      <w:pPr>
        <w:pStyle w:val="MIRSubpara"/>
      </w:pPr>
      <w:r w:rsidRPr="00D5409F">
        <w:t xml:space="preserve">a large exposure to an individual issuer is the sum of all series issued by that issuer. </w:t>
      </w:r>
    </w:p>
    <w:p w14:paraId="62FB04E7" w14:textId="77777777" w:rsidR="00CA2E4E" w:rsidRPr="0033698E" w:rsidRDefault="00CA2E4E" w:rsidP="00CA2E4E">
      <w:pPr>
        <w:pStyle w:val="MIRBodyText"/>
      </w:pPr>
      <w:r w:rsidRPr="0033698E">
        <w:t xml:space="preserve">(3) If the absolute value of a Debt Net Position to an issuer is greater than 25% of the Market Participant’s Liquid Capital, the risk amount is: </w:t>
      </w:r>
    </w:p>
    <w:p w14:paraId="52F80F92" w14:textId="77777777" w:rsidR="00CA2E4E" w:rsidRPr="00E85986" w:rsidRDefault="00CA2E4E" w:rsidP="00CA2E4E">
      <w:pPr>
        <w:pStyle w:val="MIRSubpara"/>
      </w:pPr>
      <w:r w:rsidRPr="00E85986">
        <w:t xml:space="preserve">the relevant standard method Position Risk Factor specified in Table A5.1.2 in Annexure 5 to Schedule 1A multiplied by the amount in excess of 25%; and </w:t>
      </w:r>
    </w:p>
    <w:p w14:paraId="117A4555" w14:textId="77777777" w:rsidR="00CA2E4E" w:rsidRPr="00E85986" w:rsidRDefault="00CA2E4E" w:rsidP="00CA2E4E">
      <w:pPr>
        <w:pStyle w:val="MIRSubpara"/>
      </w:pPr>
      <w:r w:rsidRPr="00E85986">
        <w:t xml:space="preserve">if more than one series is held, the Position Risk Factor for the longest dated instrument should be applied to the excess over 25%. </w:t>
      </w:r>
    </w:p>
    <w:p w14:paraId="1AC299EF" w14:textId="77777777" w:rsidR="00CA2E4E" w:rsidRPr="00E85986" w:rsidRDefault="00CA2E4E" w:rsidP="00CA2E4E">
      <w:pPr>
        <w:pStyle w:val="MIRBodyText"/>
      </w:pPr>
      <w:r w:rsidRPr="00E85986">
        <w:t xml:space="preserve">(4) If the absolute value of a Debt Net Position to an individual issue/s is greater than 10% of that issue, the risk amount/s is: </w:t>
      </w:r>
    </w:p>
    <w:p w14:paraId="36982750" w14:textId="77777777" w:rsidR="00CA2E4E" w:rsidRPr="00E85986" w:rsidRDefault="00CA2E4E" w:rsidP="00CA2E4E">
      <w:pPr>
        <w:pStyle w:val="MIRSubpara"/>
      </w:pPr>
      <w:r w:rsidRPr="00E85986">
        <w:t xml:space="preserve">the relevant standard method Position Risk Factor specified in Table A5.1.2 in Annexure 5 to Schedule 1A multiplied by the excess over 10%; and </w:t>
      </w:r>
    </w:p>
    <w:p w14:paraId="0628F877" w14:textId="77777777" w:rsidR="00CA2E4E" w:rsidRPr="00E85986" w:rsidRDefault="00CA2E4E" w:rsidP="00CA2E4E">
      <w:pPr>
        <w:pStyle w:val="MIRSubpara"/>
      </w:pPr>
      <w:r w:rsidRPr="00E85986">
        <w:t xml:space="preserve">if more than one series is held, the risk amount is the aggregate of the risk amounts calculated under paragraph (a) for each individual series. </w:t>
      </w:r>
    </w:p>
    <w:p w14:paraId="6CD09CE2" w14:textId="77777777" w:rsidR="00CA2E4E" w:rsidRPr="00E85986" w:rsidRDefault="00CA2E4E" w:rsidP="00CA2E4E">
      <w:pPr>
        <w:pStyle w:val="MIRHeading3Rule"/>
        <w:keepNext/>
      </w:pPr>
      <w:r w:rsidRPr="00E85986">
        <w:lastRenderedPageBreak/>
        <w:t>A2.3.3</w:t>
      </w:r>
      <w:r w:rsidRPr="00E85986">
        <w:tab/>
        <w:t xml:space="preserve">Equity and Debt method </w:t>
      </w:r>
    </w:p>
    <w:p w14:paraId="1A1F7806" w14:textId="77777777" w:rsidR="00CA2E4E" w:rsidRPr="00E85986" w:rsidRDefault="00CA2E4E" w:rsidP="00CA2E4E">
      <w:pPr>
        <w:pStyle w:val="MIRBodyText"/>
      </w:pPr>
      <w:r w:rsidRPr="00E85986">
        <w:t xml:space="preserve">(1) A Market Participant’s issuer large exposure risk amount in relation to an issuer is based on the absolute sum of the Equity Net Positions and Debt Net Positions. </w:t>
      </w:r>
    </w:p>
    <w:p w14:paraId="444C43A3" w14:textId="77777777" w:rsidR="00CA2E4E" w:rsidRPr="00E85986" w:rsidRDefault="00CA2E4E" w:rsidP="00CA2E4E">
      <w:pPr>
        <w:pStyle w:val="MIRBodyText"/>
      </w:pPr>
      <w:r w:rsidRPr="00E85986">
        <w:t xml:space="preserve">(2) If the absolute sum of the Equity Net Positions and Debt Net Positions is greater than 25% of a Market Participant’s Liquid Capital, then the risk amount is the relevant standard method Position Risk Factor specified in Table A5.1.1 or Table A5.1.2 in Annexure 5 to Schedule 1A multiplied by the excess over 25% according to the following: </w:t>
      </w:r>
    </w:p>
    <w:p w14:paraId="3CCBACAA" w14:textId="77777777" w:rsidR="00CA2E4E" w:rsidRPr="00E85986" w:rsidRDefault="00CA2E4E" w:rsidP="00CA2E4E">
      <w:pPr>
        <w:pStyle w:val="MIRSubpara"/>
      </w:pPr>
      <w:r w:rsidRPr="00E85986">
        <w:t xml:space="preserve">if the Equity Net Positions represent the greatest proportion of the aggregate Net Position, the standard method Position Risk Factor specified in Table A5.1.1 in Annexure 5 to Schedule 1A; </w:t>
      </w:r>
    </w:p>
    <w:p w14:paraId="6CABD789" w14:textId="4AD7039B" w:rsidR="00CA2E4E" w:rsidRPr="00E85986" w:rsidRDefault="00CA2E4E" w:rsidP="00CA2E4E">
      <w:pPr>
        <w:pStyle w:val="MIRSubpara"/>
      </w:pPr>
      <w:r w:rsidRPr="00E85986">
        <w:t>if the Debt Net Positions represent the greatest proportion of the aggregate Net Position</w:t>
      </w:r>
      <w:r w:rsidR="00937EC1">
        <w:t>:</w:t>
      </w:r>
    </w:p>
    <w:p w14:paraId="1778A48C" w14:textId="77777777" w:rsidR="00CA2E4E" w:rsidRPr="00E85986" w:rsidRDefault="00CA2E4E" w:rsidP="00CA2E4E">
      <w:pPr>
        <w:pStyle w:val="MIRSubsubpara"/>
      </w:pPr>
      <w:r w:rsidRPr="00E85986">
        <w:t xml:space="preserve">the relevant standard method Position Risk Factor specified in Table A5.1.2 in Annexure 5 to Schedule 1A; and </w:t>
      </w:r>
    </w:p>
    <w:p w14:paraId="0A4D596B" w14:textId="77777777" w:rsidR="00CA2E4E" w:rsidRPr="00E85986" w:rsidRDefault="00CA2E4E" w:rsidP="00CA2E4E">
      <w:pPr>
        <w:pStyle w:val="MIRSubsubpara"/>
      </w:pPr>
      <w:r w:rsidRPr="00E85986">
        <w:t xml:space="preserve">if more than one series is held, the Position Risk Factor for the longest dated instrument; or </w:t>
      </w:r>
    </w:p>
    <w:p w14:paraId="6124497C" w14:textId="77777777" w:rsidR="000A2540" w:rsidRDefault="00CA2E4E" w:rsidP="00CA2E4E">
      <w:pPr>
        <w:pStyle w:val="MIRSubpara"/>
      </w:pPr>
      <w:r w:rsidRPr="00E85986">
        <w:t xml:space="preserve">if the Equity Net Position and Debt Net Positions are held in equal proportions, the greatest of the standard method </w:t>
      </w:r>
      <w:r w:rsidRPr="00E85986">
        <w:rPr>
          <w:rStyle w:val="MIRSubparaChar"/>
        </w:rPr>
        <w:t>P</w:t>
      </w:r>
      <w:r w:rsidRPr="00E85986">
        <w:t>osition Risk Factors specified in Tables A5.1.1 or</w:t>
      </w:r>
      <w:r>
        <w:t> </w:t>
      </w:r>
      <w:r w:rsidRPr="00E85986">
        <w:t>A5.1.2 in Annexure 5 to Schedule 1A.</w:t>
      </w:r>
    </w:p>
    <w:p w14:paraId="2932DBE7" w14:textId="77777777" w:rsidR="000A2540" w:rsidRDefault="000A2540" w:rsidP="00203B23">
      <w:pPr>
        <w:pStyle w:val="MIRSubpara"/>
        <w:numPr>
          <w:ilvl w:val="0"/>
          <w:numId w:val="0"/>
        </w:numPr>
        <w:spacing w:before="0" w:line="20" w:lineRule="exact"/>
        <w:ind w:left="851"/>
      </w:pPr>
    </w:p>
    <w:p w14:paraId="48240724" w14:textId="77777777" w:rsidR="000A2540" w:rsidRDefault="000A2540" w:rsidP="00203B23">
      <w:pPr>
        <w:pStyle w:val="MIRSubpara"/>
        <w:numPr>
          <w:ilvl w:val="0"/>
          <w:numId w:val="0"/>
        </w:numPr>
        <w:ind w:left="851"/>
        <w:sectPr w:rsidR="000A2540" w:rsidSect="00BA1BD7">
          <w:headerReference w:type="even" r:id="rId37"/>
          <w:headerReference w:type="default" r:id="rId38"/>
          <w:headerReference w:type="first" r:id="rId39"/>
          <w:type w:val="continuous"/>
          <w:pgSz w:w="11906" w:h="16838" w:code="9"/>
          <w:pgMar w:top="1644" w:right="1418" w:bottom="1418" w:left="1418" w:header="567" w:footer="567" w:gutter="0"/>
          <w:cols w:space="720"/>
          <w:docGrid w:linePitch="299"/>
        </w:sectPr>
      </w:pPr>
    </w:p>
    <w:p w14:paraId="4F5886B9" w14:textId="65E38FC0" w:rsidR="00CA2E4E" w:rsidRDefault="00CA2E4E" w:rsidP="00CA2E4E">
      <w:pPr>
        <w:pStyle w:val="MIRHeading1Chapter"/>
      </w:pPr>
      <w:bookmarkStart w:id="48" w:name="_Toc27492580"/>
      <w:bookmarkStart w:id="49" w:name="_Hlk22638408"/>
      <w:r w:rsidRPr="00E85986">
        <w:lastRenderedPageBreak/>
        <w:t xml:space="preserve">Annexure 3 to Schedule 1A: Position </w:t>
      </w:r>
      <w:r w:rsidR="004D2154">
        <w:t>R</w:t>
      </w:r>
      <w:r w:rsidRPr="00E85986">
        <w:t xml:space="preserve">isk </w:t>
      </w:r>
      <w:r w:rsidR="004D2154">
        <w:t>R</w:t>
      </w:r>
      <w:r w:rsidRPr="00E85986">
        <w:t>equirement</w:t>
      </w:r>
      <w:bookmarkEnd w:id="48"/>
      <w:r w:rsidRPr="00E85986">
        <w:t xml:space="preserve"> </w:t>
      </w:r>
    </w:p>
    <w:p w14:paraId="660EAACA" w14:textId="5D074657" w:rsidR="00B9493C" w:rsidRPr="00B9493C" w:rsidRDefault="00B9493C" w:rsidP="00D3615D">
      <w:pPr>
        <w:pStyle w:val="MIRNote"/>
        <w:ind w:left="0"/>
      </w:pPr>
      <w:r>
        <w:t>Note: There is no Part A3.3, A3.4, A3.7. A3.12</w:t>
      </w:r>
      <w:r w:rsidR="00B22EB1">
        <w:t xml:space="preserve"> </w:t>
      </w:r>
      <w:r w:rsidR="00C24F58">
        <w:t xml:space="preserve">or </w:t>
      </w:r>
      <w:r>
        <w:t>A3.13 in this Annexure.</w:t>
      </w:r>
    </w:p>
    <w:p w14:paraId="123535BC" w14:textId="77777777" w:rsidR="00CA2E4E" w:rsidRPr="00E85986" w:rsidRDefault="00CA2E4E" w:rsidP="00CA2E4E">
      <w:pPr>
        <w:pStyle w:val="MIRHeading2Part"/>
      </w:pPr>
      <w:bookmarkStart w:id="50" w:name="_Toc27492581"/>
      <w:r w:rsidRPr="00E85986">
        <w:t>Part A3.1</w:t>
      </w:r>
      <w:r w:rsidRPr="00E85986">
        <w:tab/>
        <w:t>Equity position risk amount</w:t>
      </w:r>
      <w:bookmarkEnd w:id="50"/>
      <w:r w:rsidRPr="00E85986">
        <w:t xml:space="preserve"> </w:t>
      </w:r>
    </w:p>
    <w:p w14:paraId="1E5B2E90" w14:textId="77777777" w:rsidR="00CA2E4E" w:rsidRPr="00E85986" w:rsidRDefault="00CA2E4E" w:rsidP="00CA2E4E">
      <w:pPr>
        <w:pStyle w:val="MIRHeading3Rule"/>
      </w:pPr>
      <w:r w:rsidRPr="00E85986">
        <w:t>A3.1.1</w:t>
      </w:r>
      <w:r w:rsidRPr="00E85986">
        <w:tab/>
        <w:t xml:space="preserve">Nature of equity position risk amount </w:t>
      </w:r>
    </w:p>
    <w:p w14:paraId="2B1605CF" w14:textId="77777777" w:rsidR="00CA2E4E" w:rsidRPr="00E85986" w:rsidRDefault="00CA2E4E" w:rsidP="00CA2E4E">
      <w:pPr>
        <w:pStyle w:val="MIRBodyText"/>
      </w:pPr>
      <w:r w:rsidRPr="00E85986">
        <w:t xml:space="preserve">The equity position risk amount in relation to a Market Participant’s equity positions is the absolute sum of the individual position risk amounts for equity positions calculated for each country using the methods of calculation set out in this Annexure 3. </w:t>
      </w:r>
    </w:p>
    <w:p w14:paraId="06E99238" w14:textId="77777777" w:rsidR="00CA2E4E" w:rsidRPr="00E85986" w:rsidRDefault="00CA2E4E" w:rsidP="00CA2E4E">
      <w:pPr>
        <w:pStyle w:val="MIRHeading3Rule"/>
      </w:pPr>
      <w:r w:rsidRPr="00E85986">
        <w:t>A3.1.2</w:t>
      </w:r>
      <w:r w:rsidRPr="00E85986">
        <w:tab/>
        <w:t xml:space="preserve">Overview of methods </w:t>
      </w:r>
    </w:p>
    <w:p w14:paraId="499B34C7" w14:textId="4D4C9760" w:rsidR="00CA2E4E" w:rsidRPr="00E85986" w:rsidRDefault="00CA2E4E" w:rsidP="00CA2E4E">
      <w:pPr>
        <w:pStyle w:val="MIRBodyText"/>
      </w:pPr>
      <w:r w:rsidRPr="00E85986">
        <w:t xml:space="preserve">(1) The standard method </w:t>
      </w:r>
      <w:r w:rsidR="00037462">
        <w:t>is</w:t>
      </w:r>
      <w:r w:rsidRPr="00E85986">
        <w:t xml:space="preserve"> the main method for measuring the equity position risk amount. </w:t>
      </w:r>
      <w:r w:rsidR="00037462">
        <w:t>This is</w:t>
      </w:r>
      <w:r w:rsidRPr="00E85986">
        <w:t xml:space="preserve"> supplemented by other methods, the use of which largely depends on the Financial Instruments in which principal positions are taken. </w:t>
      </w:r>
    </w:p>
    <w:p w14:paraId="6244863D" w14:textId="50209525" w:rsidR="00CA2E4E" w:rsidRDefault="00CA2E4E" w:rsidP="00CA2E4E">
      <w:pPr>
        <w:pStyle w:val="MIRBodyText"/>
      </w:pPr>
      <w:r w:rsidRPr="00E85986">
        <w:t>(2) In calculating the equity position risk amount, the following methods must be used</w:t>
      </w:r>
      <w:r w:rsidR="009657D5">
        <w:t>.</w:t>
      </w:r>
    </w:p>
    <w:p w14:paraId="79DECB17" w14:textId="77777777" w:rsidR="00CA2E4E" w:rsidRPr="0033698E" w:rsidRDefault="00CA2E4E" w:rsidP="009B6049">
      <w:pPr>
        <w:pStyle w:val="tabletitlefullwidth"/>
      </w:pPr>
      <w:r w:rsidRPr="0033698E">
        <w:t>Table A3.1:</w:t>
      </w:r>
      <w:r w:rsidRPr="0033698E">
        <w:tab/>
        <w:t>Methods</w:t>
      </w:r>
    </w:p>
    <w:tbl>
      <w:tblPr>
        <w:tblW w:w="0" w:type="auto"/>
        <w:tblInd w:w="1"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292"/>
        <w:gridCol w:w="2185"/>
        <w:gridCol w:w="2185"/>
        <w:gridCol w:w="1418"/>
      </w:tblGrid>
      <w:tr w:rsidR="009657D5" w:rsidRPr="0033698E" w14:paraId="76CF87C7" w14:textId="77777777" w:rsidTr="009B6049">
        <w:trPr>
          <w:cantSplit/>
          <w:tblHeader/>
        </w:trPr>
        <w:tc>
          <w:tcPr>
            <w:tcW w:w="2292" w:type="dxa"/>
            <w:shd w:val="clear" w:color="auto" w:fill="C2E3FA"/>
          </w:tcPr>
          <w:p w14:paraId="73223800" w14:textId="77777777" w:rsidR="009657D5" w:rsidRPr="0033698E" w:rsidRDefault="009657D5" w:rsidP="00AD186A">
            <w:pPr>
              <w:pStyle w:val="tablehead"/>
            </w:pPr>
            <w:r w:rsidRPr="0033698E">
              <w:t>Nature of Positions</w:t>
            </w:r>
          </w:p>
        </w:tc>
        <w:tc>
          <w:tcPr>
            <w:tcW w:w="2185" w:type="dxa"/>
            <w:shd w:val="clear" w:color="auto" w:fill="C2E3FA"/>
          </w:tcPr>
          <w:p w14:paraId="02CB4194" w14:textId="77777777" w:rsidR="009657D5" w:rsidRPr="0033698E" w:rsidRDefault="009657D5" w:rsidP="00AD186A">
            <w:pPr>
              <w:pStyle w:val="tablehead"/>
            </w:pPr>
            <w:r w:rsidRPr="0033698E">
              <w:t>Standard Method</w:t>
            </w:r>
          </w:p>
        </w:tc>
        <w:tc>
          <w:tcPr>
            <w:tcW w:w="2185" w:type="dxa"/>
            <w:shd w:val="clear" w:color="auto" w:fill="C2E3FA"/>
          </w:tcPr>
          <w:p w14:paraId="6E2A7845" w14:textId="77777777" w:rsidR="009657D5" w:rsidRPr="0033698E" w:rsidRDefault="009657D5" w:rsidP="00AD186A">
            <w:pPr>
              <w:pStyle w:val="tablehead"/>
            </w:pPr>
            <w:r w:rsidRPr="0033698E">
              <w:t>Margin Method</w:t>
            </w:r>
          </w:p>
        </w:tc>
        <w:tc>
          <w:tcPr>
            <w:tcW w:w="1418" w:type="dxa"/>
            <w:shd w:val="clear" w:color="auto" w:fill="C2E3FA"/>
          </w:tcPr>
          <w:p w14:paraId="6E54F436" w14:textId="77777777" w:rsidR="009657D5" w:rsidRPr="0033698E" w:rsidRDefault="009657D5" w:rsidP="00AD186A">
            <w:pPr>
              <w:pStyle w:val="tablehead"/>
            </w:pPr>
            <w:r w:rsidRPr="0033698E">
              <w:t>Basic Method</w:t>
            </w:r>
          </w:p>
        </w:tc>
      </w:tr>
      <w:tr w:rsidR="009657D5" w:rsidRPr="0033698E" w14:paraId="780591D0" w14:textId="77777777" w:rsidTr="009B6049">
        <w:trPr>
          <w:cantSplit/>
        </w:trPr>
        <w:tc>
          <w:tcPr>
            <w:tcW w:w="2292" w:type="dxa"/>
          </w:tcPr>
          <w:p w14:paraId="1298C718" w14:textId="77777777" w:rsidR="009657D5" w:rsidRPr="0033698E" w:rsidRDefault="009657D5" w:rsidP="00AD186A">
            <w:pPr>
              <w:pStyle w:val="tablehead"/>
            </w:pPr>
            <w:r w:rsidRPr="0033698E">
              <w:t>Physical (not equity derivative)</w:t>
            </w:r>
          </w:p>
        </w:tc>
        <w:tc>
          <w:tcPr>
            <w:tcW w:w="2185" w:type="dxa"/>
          </w:tcPr>
          <w:p w14:paraId="0A1AA97B" w14:textId="77777777" w:rsidR="009657D5" w:rsidRPr="0033698E" w:rsidRDefault="009657D5" w:rsidP="00AD186A">
            <w:pPr>
              <w:pStyle w:val="tbltext"/>
            </w:pPr>
            <w:r w:rsidRPr="0033698E">
              <w:t>Yes</w:t>
            </w:r>
          </w:p>
        </w:tc>
        <w:tc>
          <w:tcPr>
            <w:tcW w:w="2185" w:type="dxa"/>
          </w:tcPr>
          <w:p w14:paraId="69C3B10D" w14:textId="77777777" w:rsidR="009657D5" w:rsidRPr="0033698E" w:rsidRDefault="009657D5" w:rsidP="00AD186A">
            <w:pPr>
              <w:pStyle w:val="tbltext"/>
            </w:pPr>
            <w:r w:rsidRPr="0033698E">
              <w:t>No</w:t>
            </w:r>
          </w:p>
        </w:tc>
        <w:tc>
          <w:tcPr>
            <w:tcW w:w="1418" w:type="dxa"/>
          </w:tcPr>
          <w:p w14:paraId="136C228E" w14:textId="77777777" w:rsidR="009657D5" w:rsidRPr="0033698E" w:rsidRDefault="009657D5" w:rsidP="00AD186A">
            <w:pPr>
              <w:pStyle w:val="tbltext"/>
            </w:pPr>
            <w:r w:rsidRPr="0033698E">
              <w:t>No</w:t>
            </w:r>
          </w:p>
        </w:tc>
      </w:tr>
      <w:tr w:rsidR="009657D5" w:rsidRPr="0033698E" w14:paraId="6DCF2FA2" w14:textId="77777777" w:rsidTr="009B6049">
        <w:trPr>
          <w:cantSplit/>
        </w:trPr>
        <w:tc>
          <w:tcPr>
            <w:tcW w:w="2292" w:type="dxa"/>
          </w:tcPr>
          <w:p w14:paraId="08B7D3C0" w14:textId="77777777" w:rsidR="009657D5" w:rsidRPr="0033698E" w:rsidRDefault="009657D5" w:rsidP="00AD186A">
            <w:pPr>
              <w:pStyle w:val="tablehead"/>
            </w:pPr>
            <w:r w:rsidRPr="0033698E">
              <w:t>Non-option equity derivatives</w:t>
            </w:r>
          </w:p>
        </w:tc>
        <w:tc>
          <w:tcPr>
            <w:tcW w:w="2185" w:type="dxa"/>
          </w:tcPr>
          <w:p w14:paraId="0F43118B" w14:textId="77777777" w:rsidR="009657D5" w:rsidRPr="0033698E" w:rsidRDefault="009657D5" w:rsidP="00AD186A">
            <w:pPr>
              <w:pStyle w:val="tbltext"/>
            </w:pPr>
            <w:r w:rsidRPr="0033698E">
              <w:t>Yes, if converted to equity equivalent positions</w:t>
            </w:r>
          </w:p>
        </w:tc>
        <w:tc>
          <w:tcPr>
            <w:tcW w:w="2185" w:type="dxa"/>
          </w:tcPr>
          <w:p w14:paraId="550AC4FD" w14:textId="77777777" w:rsidR="009657D5" w:rsidRPr="0033698E" w:rsidRDefault="009657D5" w:rsidP="00AD186A">
            <w:pPr>
              <w:pStyle w:val="tbltext"/>
            </w:pPr>
            <w:r w:rsidRPr="0033698E">
              <w:t>Yes, if exchange traded and margined and not calculated under any other method</w:t>
            </w:r>
          </w:p>
        </w:tc>
        <w:tc>
          <w:tcPr>
            <w:tcW w:w="1418" w:type="dxa"/>
          </w:tcPr>
          <w:p w14:paraId="19340FBB" w14:textId="77777777" w:rsidR="009657D5" w:rsidRPr="0033698E" w:rsidRDefault="009657D5" w:rsidP="00AD186A">
            <w:pPr>
              <w:pStyle w:val="tbltext"/>
            </w:pPr>
            <w:r w:rsidRPr="0033698E">
              <w:t>No</w:t>
            </w:r>
          </w:p>
        </w:tc>
      </w:tr>
      <w:tr w:rsidR="009657D5" w:rsidRPr="0033698E" w14:paraId="0267F1B8" w14:textId="77777777" w:rsidTr="009B6049">
        <w:trPr>
          <w:cantSplit/>
        </w:trPr>
        <w:tc>
          <w:tcPr>
            <w:tcW w:w="2292" w:type="dxa"/>
          </w:tcPr>
          <w:p w14:paraId="57F0E804" w14:textId="77777777" w:rsidR="009657D5" w:rsidRDefault="009657D5" w:rsidP="005A595A">
            <w:pPr>
              <w:pStyle w:val="tbltext"/>
              <w:rPr>
                <w:b/>
              </w:rPr>
            </w:pPr>
            <w:r w:rsidRPr="0033698E">
              <w:rPr>
                <w:b/>
              </w:rPr>
              <w:t>Equity options</w:t>
            </w:r>
          </w:p>
          <w:p w14:paraId="3D7FE879" w14:textId="63E34CD0" w:rsidR="008B0893" w:rsidRPr="0033698E" w:rsidRDefault="008B0893" w:rsidP="005A595A">
            <w:pPr>
              <w:pStyle w:val="tbltext"/>
              <w:rPr>
                <w:b/>
              </w:rPr>
            </w:pPr>
            <w:r>
              <w:rPr>
                <w:b/>
              </w:rPr>
              <w:t>Debt options</w:t>
            </w:r>
          </w:p>
        </w:tc>
        <w:tc>
          <w:tcPr>
            <w:tcW w:w="2185" w:type="dxa"/>
          </w:tcPr>
          <w:p w14:paraId="6F063D93" w14:textId="77777777" w:rsidR="009657D5" w:rsidRPr="0033698E" w:rsidRDefault="009657D5" w:rsidP="00AD186A">
            <w:pPr>
              <w:pStyle w:val="tbltext"/>
            </w:pPr>
            <w:r w:rsidRPr="0033698E">
              <w:t>No</w:t>
            </w:r>
          </w:p>
        </w:tc>
        <w:tc>
          <w:tcPr>
            <w:tcW w:w="2185" w:type="dxa"/>
          </w:tcPr>
          <w:p w14:paraId="45ACCDA0" w14:textId="77777777" w:rsidR="009657D5" w:rsidRPr="0033698E" w:rsidRDefault="009657D5" w:rsidP="00AD186A">
            <w:pPr>
              <w:pStyle w:val="tbltext"/>
            </w:pPr>
            <w:r w:rsidRPr="0033698E">
              <w:t>Yes, if exchange traded and margined and not calculated under any other method</w:t>
            </w:r>
          </w:p>
        </w:tc>
        <w:tc>
          <w:tcPr>
            <w:tcW w:w="1418" w:type="dxa"/>
          </w:tcPr>
          <w:p w14:paraId="11595283" w14:textId="22692B70" w:rsidR="009657D5" w:rsidRPr="0033698E" w:rsidRDefault="009657D5" w:rsidP="00AD186A">
            <w:pPr>
              <w:pStyle w:val="tbltext"/>
            </w:pPr>
            <w:r w:rsidRPr="0033698E">
              <w:t>Yes</w:t>
            </w:r>
          </w:p>
        </w:tc>
      </w:tr>
    </w:tbl>
    <w:p w14:paraId="68B0E36D" w14:textId="77777777" w:rsidR="00CA2E4E" w:rsidRPr="0033698E" w:rsidRDefault="00CA2E4E" w:rsidP="00CA2E4E">
      <w:pPr>
        <w:pStyle w:val="MIRBodyText"/>
      </w:pPr>
      <w:r w:rsidRPr="0033698E">
        <w:t xml:space="preserve">(3) For the purposes of Parts A3.1 to A3.9, a right over an equity must be treated as an Option position. </w:t>
      </w:r>
    </w:p>
    <w:p w14:paraId="6511C6A8" w14:textId="77777777" w:rsidR="00CA2E4E" w:rsidRPr="0033698E" w:rsidRDefault="00CA2E4E" w:rsidP="00CA2E4E">
      <w:pPr>
        <w:pStyle w:val="MIRHeading3Rule"/>
      </w:pPr>
      <w:r w:rsidRPr="0033698E">
        <w:t>A3.1.2A</w:t>
      </w:r>
      <w:r w:rsidRPr="0033698E">
        <w:tab/>
        <w:t xml:space="preserve">Equity position risk amount </w:t>
      </w:r>
    </w:p>
    <w:p w14:paraId="75FF07C0" w14:textId="77777777" w:rsidR="00CA2E4E" w:rsidRPr="0033698E" w:rsidRDefault="00CA2E4E" w:rsidP="003D34F3">
      <w:pPr>
        <w:pStyle w:val="MIRBodyText"/>
        <w:spacing w:line="280" w:lineRule="atLeast"/>
      </w:pPr>
      <w:r w:rsidRPr="0033698E">
        <w:t xml:space="preserve">Without limitation, a Market Participant must calculate an equity position risk amount under </w:t>
      </w:r>
      <w:r w:rsidRPr="0033698E">
        <w:rPr>
          <w:color w:val="000000"/>
        </w:rPr>
        <w:t xml:space="preserve">this Annexure 3 in the following circumstances: </w:t>
      </w:r>
    </w:p>
    <w:p w14:paraId="53D94018" w14:textId="77777777" w:rsidR="00CA2E4E" w:rsidRPr="00440565" w:rsidRDefault="00CA2E4E" w:rsidP="003D34F3">
      <w:pPr>
        <w:pStyle w:val="MIRSubpara"/>
        <w:spacing w:line="280" w:lineRule="atLeast"/>
      </w:pPr>
      <w:r w:rsidRPr="00440565">
        <w:t xml:space="preserve">where the Market Participant has entered into an on-market purchase or sale transaction as principal, the Market Participant will be required to calculate an equity position risk </w:t>
      </w:r>
      <w:r w:rsidRPr="00440565">
        <w:lastRenderedPageBreak/>
        <w:t xml:space="preserve">amount unless the trade is done for the purposes of unwinding an existing principal position; </w:t>
      </w:r>
    </w:p>
    <w:p w14:paraId="507CAF69" w14:textId="77777777" w:rsidR="00CA2E4E" w:rsidRPr="00440565" w:rsidRDefault="00CA2E4E" w:rsidP="003D34F3">
      <w:pPr>
        <w:pStyle w:val="MIRSubpara"/>
        <w:spacing w:line="280" w:lineRule="atLeast"/>
      </w:pPr>
      <w:r w:rsidRPr="00440565">
        <w:t xml:space="preserve">where the Market Participant has entered into an off-market purchase or sale and acts as principal on one side of the transaction, the Market Participant will be required to calculate an equity position risk amount from the time that the trade is executed until the trade is sold to the client; </w:t>
      </w:r>
    </w:p>
    <w:p w14:paraId="5A622F0D" w14:textId="77777777" w:rsidR="00CA2E4E" w:rsidRPr="00440565" w:rsidRDefault="00CA2E4E" w:rsidP="003D34F3">
      <w:pPr>
        <w:pStyle w:val="MIRSubpara"/>
        <w:spacing w:line="280" w:lineRule="atLeast"/>
      </w:pPr>
      <w:r w:rsidRPr="00440565">
        <w:t xml:space="preserve">where the Market Participant agrees to buy stock as principal from its client and then seeks to close its principal position by selling the stock to other clients (an off-market client facilitation), the Market Participant will be required to calculate an equity position risk amount on the long Equity position from the time the trade is executed until the position is sold to the other clients (a position risk amount will continue to be required on any part of the position that is not closed out), regardless of whether the client facilitation is fully completed within the day; </w:t>
      </w:r>
    </w:p>
    <w:p w14:paraId="03B3F2BF" w14:textId="375FAE12" w:rsidR="00CA2E4E" w:rsidRPr="00440565" w:rsidRDefault="00CA2E4E" w:rsidP="003D34F3">
      <w:pPr>
        <w:pStyle w:val="MIRSubpara"/>
        <w:spacing w:line="280" w:lineRule="atLeast"/>
      </w:pPr>
      <w:r w:rsidRPr="00440565">
        <w:t>where the Market Participant conducts an off</w:t>
      </w:r>
      <w:r w:rsidR="008C6E1D">
        <w:t>-</w:t>
      </w:r>
      <w:r w:rsidRPr="00440565">
        <w:t xml:space="preserve">market underwritten placement of existing shares via a book build, the Market Participant will be required to calculate an equity position risk amount from the time that the deadline for the placement is reached, for any shares that have not been sold to buying clients by that time, where the position risk amount is based on the “final” price for the placement; </w:t>
      </w:r>
      <w:r w:rsidR="00214426">
        <w:t>and</w:t>
      </w:r>
    </w:p>
    <w:p w14:paraId="6CF648F2" w14:textId="77777777" w:rsidR="00CA2E4E" w:rsidRPr="00440565" w:rsidRDefault="00CA2E4E" w:rsidP="003D34F3">
      <w:pPr>
        <w:pStyle w:val="MIRSubpara"/>
        <w:spacing w:line="280" w:lineRule="atLeast"/>
      </w:pPr>
      <w:r w:rsidRPr="00440565">
        <w:t xml:space="preserve">where the Market Participant has applied for stock, allocation interest units or instalment receipts on behalf of clients and the Market Participant has been given a Firm Allocation and there is a shortfall once the public offer closes, the Market Participant will be required to calculate an equity position risk amount on the shortfall from the date that the Market Participant has outlaid the funds or the date that the public offer closes, whichever is later. </w:t>
      </w:r>
    </w:p>
    <w:p w14:paraId="3F0B35EC" w14:textId="77777777" w:rsidR="00214426" w:rsidRPr="00440565" w:rsidRDefault="00214426" w:rsidP="009B6049">
      <w:pPr>
        <w:pStyle w:val="MIRNote"/>
      </w:pPr>
      <w:r>
        <w:t>Note: Under Rule A4.1.4, a</w:t>
      </w:r>
      <w:r w:rsidRPr="002B32BC">
        <w:t xml:space="preserve"> Market Participant that acts as underwriter of an initial public offering or placement of new shares will </w:t>
      </w:r>
      <w:r>
        <w:t xml:space="preserve">also </w:t>
      </w:r>
      <w:r w:rsidRPr="002B32BC">
        <w:t xml:space="preserve">be required to calculate a position risk amount in </w:t>
      </w:r>
      <w:r>
        <w:t xml:space="preserve">respect of that activity in accordance with this Annexure 3. </w:t>
      </w:r>
    </w:p>
    <w:p w14:paraId="3F594D52" w14:textId="22B184CF" w:rsidR="00CA2E4E" w:rsidRPr="0033698E" w:rsidRDefault="00CA2E4E" w:rsidP="00CA2E4E">
      <w:pPr>
        <w:pStyle w:val="MIRHeading3Rule"/>
      </w:pPr>
      <w:r w:rsidRPr="0033698E">
        <w:t>A3.1.2B</w:t>
      </w:r>
      <w:r w:rsidRPr="0033698E">
        <w:tab/>
        <w:t xml:space="preserve">Treatment—Securities subject to a trading halt or suspension </w:t>
      </w:r>
    </w:p>
    <w:p w14:paraId="5FF821B9" w14:textId="77777777" w:rsidR="00CA2E4E" w:rsidRPr="0033698E" w:rsidRDefault="00CA2E4E" w:rsidP="003D34F3">
      <w:pPr>
        <w:pStyle w:val="MIRBodyText"/>
        <w:spacing w:line="280" w:lineRule="atLeast"/>
      </w:pPr>
      <w:r w:rsidRPr="0033698E">
        <w:t xml:space="preserve">Where a Market Participant holds a principal position in a security that is subject to: </w:t>
      </w:r>
    </w:p>
    <w:p w14:paraId="4D32955E" w14:textId="77777777" w:rsidR="00CA2E4E" w:rsidRPr="00440565" w:rsidRDefault="00CA2E4E" w:rsidP="003D34F3">
      <w:pPr>
        <w:pStyle w:val="MIRSubpara"/>
        <w:spacing w:line="280" w:lineRule="atLeast"/>
      </w:pPr>
      <w:r w:rsidRPr="00440565">
        <w:t xml:space="preserve">a trading halt, the position does not have to be treated as an Excluded Asset </w:t>
      </w:r>
      <w:r>
        <w:t xml:space="preserve">(where the position otherwise </w:t>
      </w:r>
      <w:r w:rsidRPr="00440565">
        <w:t xml:space="preserve">meets the definition of Liquid) and a position risk amount must be calculated; and </w:t>
      </w:r>
    </w:p>
    <w:p w14:paraId="289904DA" w14:textId="77777777" w:rsidR="00CA2E4E" w:rsidRPr="00440565" w:rsidRDefault="00CA2E4E" w:rsidP="003D34F3">
      <w:pPr>
        <w:pStyle w:val="MIRSubpara"/>
        <w:spacing w:line="280" w:lineRule="atLeast"/>
      </w:pPr>
      <w:r w:rsidRPr="00440565">
        <w:t xml:space="preserve">suspension, the position must be treated as an Excluded Asset on the basis that the security is not Liquid. </w:t>
      </w:r>
    </w:p>
    <w:p w14:paraId="115BE089" w14:textId="77777777" w:rsidR="00CA2E4E" w:rsidRPr="0033698E" w:rsidRDefault="00CA2E4E" w:rsidP="00CA2E4E">
      <w:pPr>
        <w:pStyle w:val="MIRHeading3Rule"/>
      </w:pPr>
      <w:r w:rsidRPr="0033698E">
        <w:t>A3.1.2C</w:t>
      </w:r>
      <w:r w:rsidRPr="0033698E">
        <w:tab/>
        <w:t xml:space="preserve">Treatment—Classical ETFs </w:t>
      </w:r>
    </w:p>
    <w:p w14:paraId="0CC1AA3C" w14:textId="77777777" w:rsidR="00CA2E4E" w:rsidRPr="0033698E" w:rsidRDefault="00CA2E4E" w:rsidP="00CA2E4E">
      <w:pPr>
        <w:pStyle w:val="MIRBodyText"/>
      </w:pPr>
      <w:r w:rsidRPr="0033698E">
        <w:rPr>
          <w:color w:val="000000"/>
        </w:rPr>
        <w:t xml:space="preserve">A Market Participant must take the following into account when calculating a position risk amount for a principal position in Classical ETF units: </w:t>
      </w:r>
    </w:p>
    <w:p w14:paraId="7CAC77B1" w14:textId="77777777" w:rsidR="00CA2E4E" w:rsidRPr="00440565" w:rsidRDefault="00CA2E4E" w:rsidP="00CA2E4E">
      <w:pPr>
        <w:pStyle w:val="MIRSubpara"/>
      </w:pPr>
      <w:r w:rsidRPr="00440565">
        <w:t xml:space="preserve">there is no difference between the primary market and secondary market for the purposes of calculating position risk amounts; </w:t>
      </w:r>
    </w:p>
    <w:p w14:paraId="7F78AE78" w14:textId="21C10543" w:rsidR="00CA2E4E" w:rsidRPr="00440565" w:rsidRDefault="00CA2E4E" w:rsidP="00CA2E4E">
      <w:pPr>
        <w:pStyle w:val="MIRSubpara"/>
      </w:pPr>
      <w:r w:rsidRPr="00440565">
        <w:t xml:space="preserve">principal positions in Classical ETFs commence at </w:t>
      </w:r>
      <w:r w:rsidR="00F64351" w:rsidRPr="00440565">
        <w:t>T</w:t>
      </w:r>
      <w:r w:rsidR="00F64351" w:rsidRPr="00B22160">
        <w:rPr>
          <w:vertAlign w:val="subscript"/>
        </w:rPr>
        <w:t>0</w:t>
      </w:r>
      <w:r w:rsidR="00F64351" w:rsidRPr="00440565">
        <w:t xml:space="preserve"> </w:t>
      </w:r>
      <w:r w:rsidRPr="00440565">
        <w:t xml:space="preserve">and the underlying risk variable is the market price of the Classical ETF unit; </w:t>
      </w:r>
    </w:p>
    <w:p w14:paraId="53CA2475" w14:textId="77777777" w:rsidR="00CA2E4E" w:rsidRPr="00440565" w:rsidRDefault="00CA2E4E" w:rsidP="00CA2E4E">
      <w:pPr>
        <w:pStyle w:val="MIRSubpara"/>
      </w:pPr>
      <w:r w:rsidRPr="00440565">
        <w:lastRenderedPageBreak/>
        <w:t xml:space="preserve">the Equity Equivalent of the Classical ETF is set out in Rule A3.8.5; </w:t>
      </w:r>
    </w:p>
    <w:p w14:paraId="0CE587E1" w14:textId="77777777" w:rsidR="00CA2E4E" w:rsidRPr="00440565" w:rsidRDefault="00CA2E4E" w:rsidP="00CA2E4E">
      <w:pPr>
        <w:pStyle w:val="MIRSubpara"/>
      </w:pPr>
      <w:r w:rsidRPr="00440565">
        <w:t xml:space="preserve">the Position Risk Factors to be applied are set out in Table A5.1.1 in Annexure 5 to Schedule 1A; and </w:t>
      </w:r>
    </w:p>
    <w:p w14:paraId="5C9A8160" w14:textId="3DA095AE" w:rsidR="00CA2E4E" w:rsidRPr="00440565" w:rsidRDefault="00CA2E4E" w:rsidP="00CA2E4E">
      <w:pPr>
        <w:pStyle w:val="MIRSubpara"/>
      </w:pPr>
      <w:r w:rsidRPr="00440565">
        <w:t xml:space="preserve">if the Market Participant is unlikely to be able to liquidate its position in a Classical ETF within </w:t>
      </w:r>
      <w:r w:rsidR="00214426">
        <w:t>31</w:t>
      </w:r>
      <w:r w:rsidR="00214426" w:rsidRPr="00440565">
        <w:t xml:space="preserve"> </w:t>
      </w:r>
      <w:r w:rsidRPr="00440565">
        <w:t xml:space="preserve">days, taking into account factors including the size of its position and the volume of that Classical ETF traded in the market, it must treat the position as an Excluded Asset and exclude the market value of that position from Liquid Capital. </w:t>
      </w:r>
    </w:p>
    <w:p w14:paraId="2E623A62" w14:textId="77777777" w:rsidR="00CA2E4E" w:rsidRPr="0033698E" w:rsidRDefault="00CA2E4E" w:rsidP="00CA2E4E">
      <w:pPr>
        <w:pStyle w:val="MIRHeading3Rule"/>
      </w:pPr>
      <w:r w:rsidRPr="0033698E">
        <w:t>A3.1.2D</w:t>
      </w:r>
      <w:r w:rsidRPr="0033698E">
        <w:tab/>
        <w:t xml:space="preserve">Treatment—Hybrid ETFs </w:t>
      </w:r>
    </w:p>
    <w:p w14:paraId="09669AC5" w14:textId="77777777" w:rsidR="00CA2E4E" w:rsidRPr="0033698E" w:rsidRDefault="00CA2E4E" w:rsidP="00CA2E4E">
      <w:pPr>
        <w:pStyle w:val="MIRBodyText"/>
      </w:pPr>
      <w:r w:rsidRPr="0033698E">
        <w:rPr>
          <w:color w:val="000000"/>
        </w:rPr>
        <w:t xml:space="preserve">A Market Participant must take the following into account when calculating a position risk amount for a principal position in units in a Hybrid ETF classified as Equities: </w:t>
      </w:r>
    </w:p>
    <w:p w14:paraId="404C30E3" w14:textId="77777777" w:rsidR="00CA2E4E" w:rsidRPr="00440565" w:rsidRDefault="00CA2E4E" w:rsidP="00CA2E4E">
      <w:pPr>
        <w:pStyle w:val="MIRSubpara"/>
      </w:pPr>
      <w:r w:rsidRPr="00440565">
        <w:t xml:space="preserve">there is no difference between the primary market and secondary market for the purposes of calculating position risk amounts; </w:t>
      </w:r>
    </w:p>
    <w:p w14:paraId="45FC4C95" w14:textId="77777777" w:rsidR="00CA2E4E" w:rsidRPr="00440565" w:rsidRDefault="00CA2E4E" w:rsidP="00CA2E4E">
      <w:pPr>
        <w:pStyle w:val="MIRSubpara"/>
      </w:pPr>
      <w:r w:rsidRPr="00440565">
        <w:t xml:space="preserve">principal positions in Hybrid ETFs commence at </w:t>
      </w:r>
      <w:r w:rsidRPr="003D34F3">
        <w:t>T</w:t>
      </w:r>
      <w:r w:rsidRPr="00B22160">
        <w:rPr>
          <w:vertAlign w:val="subscript"/>
        </w:rPr>
        <w:t>0</w:t>
      </w:r>
      <w:r w:rsidRPr="00440565">
        <w:rPr>
          <w:sz w:val="14"/>
          <w:szCs w:val="14"/>
        </w:rPr>
        <w:t xml:space="preserve"> </w:t>
      </w:r>
      <w:r w:rsidRPr="00440565">
        <w:t xml:space="preserve">and the underlying risk variable is the market price of the Hybrid ETF unit; </w:t>
      </w:r>
    </w:p>
    <w:p w14:paraId="7B12BAFB" w14:textId="77777777" w:rsidR="00CA2E4E" w:rsidRPr="00440565" w:rsidRDefault="00CA2E4E" w:rsidP="00CA2E4E">
      <w:pPr>
        <w:pStyle w:val="MIRSubpara"/>
      </w:pPr>
      <w:r w:rsidRPr="00440565">
        <w:t xml:space="preserve">a Hybrid ETF cannot be broken down into any notional positions in the underlying; </w:t>
      </w:r>
    </w:p>
    <w:p w14:paraId="189C1AA2" w14:textId="77777777" w:rsidR="00CA2E4E" w:rsidRPr="00440565" w:rsidRDefault="00CA2E4E" w:rsidP="00CA2E4E">
      <w:pPr>
        <w:pStyle w:val="MIRSubpara"/>
      </w:pPr>
      <w:r w:rsidRPr="00440565">
        <w:t xml:space="preserve">the Position Risk Factors to be applied are set out in Table A5.1.1 in Annexure 5 to Schedule 1A; and </w:t>
      </w:r>
    </w:p>
    <w:p w14:paraId="37B67E76" w14:textId="549B0FD9" w:rsidR="00CA2E4E" w:rsidRPr="00440565" w:rsidRDefault="00CA2E4E" w:rsidP="00CA2E4E">
      <w:pPr>
        <w:pStyle w:val="MIRSubpara"/>
      </w:pPr>
      <w:r w:rsidRPr="00440565">
        <w:t xml:space="preserve">if the Market Participant is unlikely to be able to liquidate its position in a Hybrid ETF within </w:t>
      </w:r>
      <w:r w:rsidR="00214426">
        <w:t>31</w:t>
      </w:r>
      <w:r w:rsidR="00214426" w:rsidRPr="00440565">
        <w:t xml:space="preserve"> </w:t>
      </w:r>
      <w:r w:rsidRPr="00440565">
        <w:t xml:space="preserve">days, taking into account factors including the size of its position and the volume of that Hybrid ETF traded in the market, it must treat the position as an Excluded Asset and exclude the market value of that position from Liquid Capital. </w:t>
      </w:r>
    </w:p>
    <w:p w14:paraId="6F1E44E3" w14:textId="77777777" w:rsidR="00CA2E4E" w:rsidRPr="0033698E" w:rsidRDefault="00CA2E4E" w:rsidP="00CA2E4E">
      <w:pPr>
        <w:pStyle w:val="MIRHeading3Rule"/>
      </w:pPr>
      <w:r w:rsidRPr="0033698E">
        <w:t>A3.1.2E</w:t>
      </w:r>
      <w:r w:rsidRPr="0033698E">
        <w:tab/>
        <w:t xml:space="preserve">Treatment—Other Managed Funds </w:t>
      </w:r>
    </w:p>
    <w:p w14:paraId="7745B85D" w14:textId="3CB84766" w:rsidR="00CA2E4E" w:rsidRPr="0033698E" w:rsidRDefault="00CA2E4E" w:rsidP="00CA2E4E">
      <w:pPr>
        <w:pStyle w:val="MIRBodyText"/>
      </w:pPr>
      <w:r w:rsidRPr="0033698E">
        <w:rPr>
          <w:color w:val="000000"/>
        </w:rPr>
        <w:t xml:space="preserve">A Market Participant must take the following into account when calculating a position risk amount for a principal position in units </w:t>
      </w:r>
      <w:r w:rsidR="004D2154">
        <w:rPr>
          <w:color w:val="000000"/>
        </w:rPr>
        <w:t xml:space="preserve">in an </w:t>
      </w:r>
      <w:r w:rsidRPr="0033698E">
        <w:rPr>
          <w:color w:val="000000"/>
        </w:rPr>
        <w:t xml:space="preserve">Other Managed Fund classified as Equities: </w:t>
      </w:r>
    </w:p>
    <w:p w14:paraId="48BECA63" w14:textId="77777777" w:rsidR="00CA2E4E" w:rsidRPr="00440565" w:rsidRDefault="00CA2E4E" w:rsidP="00CA2E4E">
      <w:pPr>
        <w:pStyle w:val="MIRSubpara"/>
      </w:pPr>
      <w:r w:rsidRPr="00440565">
        <w:t xml:space="preserve">principal positions in Other Managed Funds commence at </w:t>
      </w:r>
      <w:r w:rsidRPr="00F64351">
        <w:t>T</w:t>
      </w:r>
      <w:r w:rsidRPr="00B22160">
        <w:rPr>
          <w:vertAlign w:val="subscript"/>
        </w:rPr>
        <w:t>0</w:t>
      </w:r>
      <w:r w:rsidRPr="00440565">
        <w:rPr>
          <w:sz w:val="14"/>
          <w:szCs w:val="14"/>
        </w:rPr>
        <w:t xml:space="preserve"> </w:t>
      </w:r>
      <w:r w:rsidRPr="00440565">
        <w:t xml:space="preserve">and the underlying risk variable is the market price of the Other Managed Fund unit; </w:t>
      </w:r>
    </w:p>
    <w:p w14:paraId="5A670284" w14:textId="77777777" w:rsidR="00CA2E4E" w:rsidRPr="00440565" w:rsidRDefault="00CA2E4E" w:rsidP="00CA2E4E">
      <w:pPr>
        <w:pStyle w:val="MIRSubpara"/>
      </w:pPr>
      <w:r w:rsidRPr="00440565">
        <w:t xml:space="preserve">the Other Managed Fund cannot be broken down into any notional positions in the underlying; </w:t>
      </w:r>
    </w:p>
    <w:p w14:paraId="3CD877E4" w14:textId="77777777" w:rsidR="00CA2E4E" w:rsidRPr="00440565" w:rsidRDefault="00CA2E4E" w:rsidP="00CA2E4E">
      <w:pPr>
        <w:pStyle w:val="MIRSubpara"/>
      </w:pPr>
      <w:r w:rsidRPr="00440565">
        <w:t xml:space="preserve">the Position Risk Factors to be applied are set out in Table A5.1.1 in Annexure 5 to Schedule 1A; </w:t>
      </w:r>
    </w:p>
    <w:p w14:paraId="577C3BEB" w14:textId="5BBBD74A" w:rsidR="00CA2E4E" w:rsidRPr="00440565" w:rsidRDefault="00CA2E4E" w:rsidP="00CA2E4E">
      <w:pPr>
        <w:pStyle w:val="MIRSubpara"/>
      </w:pPr>
      <w:r w:rsidRPr="00440565">
        <w:t xml:space="preserve">if the Market Participant is unlikely to be able to liquidate its position in an Other Managed Fund within </w:t>
      </w:r>
      <w:r w:rsidR="00214426">
        <w:t>31</w:t>
      </w:r>
      <w:r w:rsidR="00214426" w:rsidRPr="00440565">
        <w:t xml:space="preserve"> </w:t>
      </w:r>
      <w:r w:rsidRPr="00440565">
        <w:t xml:space="preserve">days, taking into account factors including the size of its position relative to the size of the fund, it must treat the position as an Excluded Asset and exclude the market value of that position from Liquid Capital; and </w:t>
      </w:r>
    </w:p>
    <w:p w14:paraId="54139B42" w14:textId="77777777" w:rsidR="00CA2E4E" w:rsidRPr="00440565" w:rsidRDefault="00CA2E4E" w:rsidP="00CA2E4E">
      <w:pPr>
        <w:pStyle w:val="MIRSubpara"/>
      </w:pPr>
      <w:r w:rsidRPr="00440565">
        <w:t xml:space="preserve">if a daily price cannot be obtained and/or if the numbers of units on issue cannot be determined on a daily basis, the position must be treated as an Excluded Asset as it would not be possible to value the investment in accordance with the requirements of Rule S1A.2.8. </w:t>
      </w:r>
    </w:p>
    <w:p w14:paraId="0F381A9B" w14:textId="77777777" w:rsidR="00CA2E4E" w:rsidRPr="0033698E" w:rsidRDefault="00CA2E4E" w:rsidP="00CA2E4E">
      <w:pPr>
        <w:pStyle w:val="MIRHeading3Rule"/>
      </w:pPr>
      <w:r w:rsidRPr="0033698E">
        <w:lastRenderedPageBreak/>
        <w:t>A3.1.2F</w:t>
      </w:r>
      <w:r w:rsidRPr="0033698E">
        <w:tab/>
        <w:t xml:space="preserve">Exchange traded CFDs </w:t>
      </w:r>
    </w:p>
    <w:p w14:paraId="766167CC" w14:textId="77777777" w:rsidR="00CA2E4E" w:rsidRPr="0033698E" w:rsidRDefault="00CA2E4E" w:rsidP="007F5307">
      <w:pPr>
        <w:pStyle w:val="MIRBodyText"/>
        <w:spacing w:line="310" w:lineRule="atLeast"/>
      </w:pPr>
      <w:r w:rsidRPr="0033698E">
        <w:rPr>
          <w:color w:val="000000"/>
        </w:rPr>
        <w:t xml:space="preserve">A Market Participant must take the following into account when calculating a position risk amount for a principal position in an exchange traded CFD classified as an Equity Derivative: </w:t>
      </w:r>
    </w:p>
    <w:p w14:paraId="11D805DB" w14:textId="77777777" w:rsidR="00CA2E4E" w:rsidRPr="00440565" w:rsidRDefault="00CA2E4E" w:rsidP="007F5307">
      <w:pPr>
        <w:pStyle w:val="MIRSubpara"/>
        <w:spacing w:line="310" w:lineRule="atLeast"/>
      </w:pPr>
      <w:r w:rsidRPr="00440565">
        <w:t xml:space="preserve">principal positions in exchange traded CFDs commence at </w:t>
      </w:r>
      <w:r w:rsidRPr="003D34F3">
        <w:t>T</w:t>
      </w:r>
      <w:r w:rsidRPr="00B22160">
        <w:rPr>
          <w:vertAlign w:val="subscript"/>
        </w:rPr>
        <w:t>0</w:t>
      </w:r>
      <w:r w:rsidRPr="00440565">
        <w:t xml:space="preserve">; </w:t>
      </w:r>
    </w:p>
    <w:p w14:paraId="27656911" w14:textId="77777777" w:rsidR="00CA2E4E" w:rsidRPr="00440565" w:rsidRDefault="00CA2E4E" w:rsidP="007F5307">
      <w:pPr>
        <w:pStyle w:val="MIRSubpara"/>
        <w:spacing w:line="310" w:lineRule="atLeast"/>
      </w:pPr>
      <w:r w:rsidRPr="00440565">
        <w:t xml:space="preserve">the Position Risk Factors to be applied are set out in Table A5.1.1 in Annexure 5 to Schedule 1A; </w:t>
      </w:r>
    </w:p>
    <w:p w14:paraId="787C8817" w14:textId="503F1B75" w:rsidR="00CA2E4E" w:rsidRPr="00440565" w:rsidRDefault="00CA2E4E" w:rsidP="007F5307">
      <w:pPr>
        <w:pStyle w:val="MIRSubpara"/>
        <w:spacing w:line="310" w:lineRule="atLeast"/>
      </w:pPr>
      <w:r w:rsidRPr="00440565">
        <w:t xml:space="preserve">if the Market Participant is unlikely to be able to liquidate its position in an exchange traded CFD within </w:t>
      </w:r>
      <w:r w:rsidR="00214426">
        <w:t>31</w:t>
      </w:r>
      <w:r w:rsidR="00214426" w:rsidRPr="00440565">
        <w:t xml:space="preserve"> </w:t>
      </w:r>
      <w:r w:rsidRPr="00440565">
        <w:t xml:space="preserve">days, taking into account factors including the size of its position and the volume of that exchange traded CFD traded in the market, it must treat that exchange traded CFD as an Excluded Asset and exclude the market value of that position from Liquid Capital. </w:t>
      </w:r>
    </w:p>
    <w:p w14:paraId="5C7DCF2B" w14:textId="77777777" w:rsidR="00CA2E4E" w:rsidRPr="0033698E" w:rsidRDefault="00CA2E4E" w:rsidP="00CA2E4E">
      <w:pPr>
        <w:pStyle w:val="MIRHeading2Part"/>
      </w:pPr>
      <w:bookmarkStart w:id="51" w:name="_Toc27492582"/>
      <w:r w:rsidRPr="0033698E">
        <w:t>Part A3.2</w:t>
      </w:r>
      <w:r w:rsidRPr="0033698E">
        <w:tab/>
        <w:t>Standard method—Equity position risk</w:t>
      </w:r>
      <w:bookmarkEnd w:id="51"/>
      <w:r w:rsidRPr="0033698E">
        <w:t xml:space="preserve"> </w:t>
      </w:r>
    </w:p>
    <w:p w14:paraId="6181855A" w14:textId="77777777" w:rsidR="00CA2E4E" w:rsidRPr="0033698E" w:rsidRDefault="00CA2E4E" w:rsidP="00CA2E4E">
      <w:pPr>
        <w:pStyle w:val="MIRHeading3Rule"/>
      </w:pPr>
      <w:r w:rsidRPr="0033698E">
        <w:t>A3.2.1</w:t>
      </w:r>
      <w:r w:rsidRPr="0033698E">
        <w:tab/>
        <w:t xml:space="preserve">Application </w:t>
      </w:r>
    </w:p>
    <w:p w14:paraId="40E5BAA4" w14:textId="77777777" w:rsidR="00CA2E4E" w:rsidRPr="0033698E" w:rsidRDefault="00CA2E4E" w:rsidP="007F5307">
      <w:pPr>
        <w:pStyle w:val="MIRBodyText"/>
        <w:spacing w:line="310" w:lineRule="atLeast"/>
      </w:pPr>
      <w:r w:rsidRPr="0033698E">
        <w:t xml:space="preserve">(1) Physical Equity positions may be included in the standard method. </w:t>
      </w:r>
    </w:p>
    <w:p w14:paraId="48360377" w14:textId="77777777" w:rsidR="00CA2E4E" w:rsidRPr="0033698E" w:rsidRDefault="00CA2E4E" w:rsidP="007F5307">
      <w:pPr>
        <w:pStyle w:val="MIRBodyText"/>
        <w:spacing w:line="310" w:lineRule="atLeast"/>
      </w:pPr>
      <w:r w:rsidRPr="0033698E">
        <w:t xml:space="preserve">(2) Equity Derivative positions other than Options may be included in the standard method if the positions are converted to Equity Equivalents according to Part A3.8. </w:t>
      </w:r>
    </w:p>
    <w:p w14:paraId="5B2FB68F" w14:textId="77777777" w:rsidR="00CA2E4E" w:rsidRPr="0033698E" w:rsidRDefault="00CA2E4E" w:rsidP="007F5307">
      <w:pPr>
        <w:pStyle w:val="MIRBodyText"/>
        <w:spacing w:line="310" w:lineRule="atLeast"/>
      </w:pPr>
      <w:r w:rsidRPr="0033698E">
        <w:t xml:space="preserve">(3) Equity Derivative positions which are Options may be included in the standard method only if they are purchased positions or if they are written positions which are exchange traded and subject to daily margin requirements and the purchased or written positions are: </w:t>
      </w:r>
    </w:p>
    <w:p w14:paraId="507B6CFB" w14:textId="77777777" w:rsidR="00CA2E4E" w:rsidRPr="00440565" w:rsidRDefault="00CA2E4E" w:rsidP="007F5307">
      <w:pPr>
        <w:pStyle w:val="MIRSubpara"/>
        <w:spacing w:line="310" w:lineRule="atLeast"/>
      </w:pPr>
      <w:r w:rsidRPr="00440565">
        <w:t xml:space="preserve">In the Money by at least the relevant standard method Position Risk Factor for the underlying position specified in Table A5.1.1 in Annexure 5 to Schedule 1A; and </w:t>
      </w:r>
    </w:p>
    <w:p w14:paraId="2A10BBA4" w14:textId="77777777" w:rsidR="00CA2E4E" w:rsidRPr="00440565" w:rsidRDefault="00CA2E4E" w:rsidP="007F5307">
      <w:pPr>
        <w:pStyle w:val="MIRSubpara"/>
        <w:spacing w:line="310" w:lineRule="atLeast"/>
      </w:pPr>
      <w:r w:rsidRPr="00440565">
        <w:t xml:space="preserve">converted to Equity Equivalents according to Part A3.8. </w:t>
      </w:r>
    </w:p>
    <w:p w14:paraId="5EFB4FFA" w14:textId="7653C74B" w:rsidR="00CA2E4E" w:rsidRPr="0033698E" w:rsidRDefault="00CA2E4E" w:rsidP="007F5307">
      <w:pPr>
        <w:pStyle w:val="MIRBodyText"/>
        <w:spacing w:line="310" w:lineRule="atLeast"/>
        <w:rPr>
          <w:color w:val="000000"/>
        </w:rPr>
      </w:pPr>
      <w:r w:rsidRPr="0033698E">
        <w:t xml:space="preserve">If the above criteria are not met, the Options must be treated under one of the option methods </w:t>
      </w:r>
      <w:r w:rsidRPr="0033698E">
        <w:rPr>
          <w:color w:val="000000"/>
        </w:rPr>
        <w:t xml:space="preserve">set out in Parts A3.5 and A3.6. </w:t>
      </w:r>
    </w:p>
    <w:p w14:paraId="6A381C02" w14:textId="77777777" w:rsidR="00CA2E4E" w:rsidRPr="0033698E" w:rsidRDefault="00CA2E4E" w:rsidP="003D34F3">
      <w:pPr>
        <w:pStyle w:val="MIRHeading3Rule"/>
        <w:keepNext/>
      </w:pPr>
      <w:r w:rsidRPr="0033698E">
        <w:t>A3.2.2</w:t>
      </w:r>
      <w:r w:rsidRPr="0033698E">
        <w:tab/>
        <w:t xml:space="preserve">Method </w:t>
      </w:r>
    </w:p>
    <w:p w14:paraId="0597720A" w14:textId="196781D6" w:rsidR="00CA2E4E" w:rsidRPr="0033698E" w:rsidRDefault="00CA2E4E" w:rsidP="007F5307">
      <w:pPr>
        <w:pStyle w:val="MIRBodyText"/>
        <w:spacing w:line="310" w:lineRule="atLeast"/>
      </w:pPr>
      <w:r w:rsidRPr="0033698E">
        <w:t>The position risk amount for equity positions to which the standard method is applied is the absolute sum of the product of individual Equity Net Positions at the mark</w:t>
      </w:r>
      <w:r w:rsidR="00A36FC3">
        <w:t>-</w:t>
      </w:r>
      <w:r w:rsidRPr="0033698E">
        <w:t>to</w:t>
      </w:r>
      <w:r w:rsidR="00A36FC3">
        <w:t>-</w:t>
      </w:r>
      <w:r w:rsidRPr="0033698E">
        <w:t>market value and the applicable Position Risk Factor specified in Table A5.1.1 in Annexure 5 to Schedule</w:t>
      </w:r>
      <w:r>
        <w:t> </w:t>
      </w:r>
      <w:r w:rsidRPr="0033698E">
        <w:t xml:space="preserve">1A. </w:t>
      </w:r>
    </w:p>
    <w:p w14:paraId="4D98E84E" w14:textId="77777777" w:rsidR="00CA2E4E" w:rsidRPr="0033698E" w:rsidRDefault="00CA2E4E" w:rsidP="00AA4109">
      <w:pPr>
        <w:pStyle w:val="MIRHeading2Part"/>
      </w:pPr>
      <w:bookmarkStart w:id="52" w:name="_Toc27492583"/>
      <w:r w:rsidRPr="0033698E">
        <w:lastRenderedPageBreak/>
        <w:t>Part A3.5</w:t>
      </w:r>
      <w:r w:rsidRPr="0033698E">
        <w:tab/>
        <w:t>Margin method—Equity position risk</w:t>
      </w:r>
      <w:bookmarkEnd w:id="52"/>
      <w:r w:rsidRPr="0033698E">
        <w:t xml:space="preserve"> </w:t>
      </w:r>
    </w:p>
    <w:p w14:paraId="7E14D23F" w14:textId="77777777" w:rsidR="00CA2E4E" w:rsidRPr="0033698E" w:rsidRDefault="00CA2E4E" w:rsidP="007F5307">
      <w:pPr>
        <w:pStyle w:val="MIRHeading3Rule"/>
        <w:keepNext/>
        <w:spacing w:before="320"/>
      </w:pPr>
      <w:r w:rsidRPr="0033698E">
        <w:t>A3.5.1</w:t>
      </w:r>
      <w:r w:rsidRPr="0033698E">
        <w:tab/>
        <w:t xml:space="preserve">Application </w:t>
      </w:r>
    </w:p>
    <w:p w14:paraId="6B2EAEA0" w14:textId="1A4286F0" w:rsidR="00CA2E4E" w:rsidRPr="009B6049" w:rsidRDefault="00CA2E4E" w:rsidP="005353D9">
      <w:pPr>
        <w:pStyle w:val="MIRBodyText"/>
        <w:spacing w:before="160"/>
        <w:rPr>
          <w:color w:val="000000"/>
        </w:rPr>
      </w:pPr>
      <w:r w:rsidRPr="00AA4109">
        <w:rPr>
          <w:color w:val="000000"/>
        </w:rPr>
        <w:t>Equity Derivati</w:t>
      </w:r>
      <w:r w:rsidRPr="0033698E">
        <w:t>v</w:t>
      </w:r>
      <w:r w:rsidRPr="00AA4109">
        <w:rPr>
          <w:color w:val="000000"/>
        </w:rPr>
        <w:t xml:space="preserve">e positions which are exchange traded and have a positive Primary Margin Requirement must be included in the margin method if the Market Participant </w:t>
      </w:r>
      <w:r w:rsidRPr="009B6049">
        <w:rPr>
          <w:color w:val="000000"/>
        </w:rPr>
        <w:t xml:space="preserve">is not permitted to use any of the other Methods set out in Rule A3.1.2. </w:t>
      </w:r>
    </w:p>
    <w:p w14:paraId="78EE2190" w14:textId="77777777" w:rsidR="00CA2E4E" w:rsidRPr="0033698E" w:rsidRDefault="00CA2E4E" w:rsidP="00CA2E4E">
      <w:pPr>
        <w:pStyle w:val="MIRHeading3Rule"/>
      </w:pPr>
      <w:r w:rsidRPr="0033698E">
        <w:t>A3.5.2</w:t>
      </w:r>
      <w:r w:rsidRPr="0033698E">
        <w:tab/>
        <w:t xml:space="preserve">Method </w:t>
      </w:r>
    </w:p>
    <w:p w14:paraId="628A91AA" w14:textId="2B190CD5" w:rsidR="00CA2E4E" w:rsidRPr="0033698E" w:rsidRDefault="00CA2E4E" w:rsidP="00CA2E4E">
      <w:pPr>
        <w:pStyle w:val="MIRBodyText"/>
      </w:pPr>
      <w:r w:rsidRPr="0033698E">
        <w:t xml:space="preserve">The position risk amount for Equity Derivative positions under the margin method is 100% of the Primary Margin Requirement for those Equity Derivative positions as determined by the relevant exchange or clearing house multiplied by </w:t>
      </w:r>
      <w:r w:rsidR="0019562E">
        <w:t>four</w:t>
      </w:r>
      <w:r w:rsidRPr="0033698E">
        <w:t xml:space="preserve">. </w:t>
      </w:r>
    </w:p>
    <w:p w14:paraId="79030670" w14:textId="77777777" w:rsidR="00CA2E4E" w:rsidRPr="0033698E" w:rsidRDefault="00CA2E4E" w:rsidP="00CA2E4E">
      <w:pPr>
        <w:pStyle w:val="MIRHeading2Part"/>
      </w:pPr>
      <w:bookmarkStart w:id="53" w:name="_Toc27492584"/>
      <w:bookmarkStart w:id="54" w:name="_Hlk23845820"/>
      <w:r w:rsidRPr="0033698E">
        <w:t>Part A3.6</w:t>
      </w:r>
      <w:r w:rsidRPr="0033698E">
        <w:tab/>
        <w:t>Basic method—Equity position risk</w:t>
      </w:r>
      <w:bookmarkEnd w:id="53"/>
      <w:r w:rsidRPr="0033698E">
        <w:t xml:space="preserve"> </w:t>
      </w:r>
    </w:p>
    <w:p w14:paraId="041AF52C" w14:textId="77777777" w:rsidR="00CA2E4E" w:rsidRPr="0033698E" w:rsidRDefault="00CA2E4E" w:rsidP="00CA2E4E">
      <w:pPr>
        <w:pStyle w:val="MIRHeading3Rule"/>
      </w:pPr>
      <w:r w:rsidRPr="0033698E">
        <w:t>A3.6.1</w:t>
      </w:r>
      <w:r w:rsidRPr="0033698E">
        <w:tab/>
        <w:t xml:space="preserve">Application </w:t>
      </w:r>
    </w:p>
    <w:p w14:paraId="193C3D7A" w14:textId="77777777" w:rsidR="00CA2E4E" w:rsidRPr="0033698E" w:rsidRDefault="00CA2E4E" w:rsidP="00CA2E4E">
      <w:pPr>
        <w:pStyle w:val="MIRBodyText"/>
      </w:pPr>
      <w:r w:rsidRPr="0033698E">
        <w:t xml:space="preserve">Equity Derivative positions which are purchased (long) or written (short) Options may be included in the basic method. </w:t>
      </w:r>
    </w:p>
    <w:p w14:paraId="370F3668" w14:textId="77777777" w:rsidR="00CA2E4E" w:rsidRPr="0033698E" w:rsidRDefault="00CA2E4E" w:rsidP="00CA2E4E">
      <w:pPr>
        <w:pStyle w:val="MIRHeading3Rule"/>
      </w:pPr>
      <w:r w:rsidRPr="0033698E">
        <w:t>A3.6.2</w:t>
      </w:r>
      <w:r w:rsidRPr="0033698E">
        <w:tab/>
        <w:t xml:space="preserve">Method </w:t>
      </w:r>
    </w:p>
    <w:p w14:paraId="5DA6F963" w14:textId="77777777" w:rsidR="00CA2E4E" w:rsidRPr="0033698E" w:rsidRDefault="00CA2E4E" w:rsidP="00CA2E4E">
      <w:pPr>
        <w:pStyle w:val="MIRBodyText"/>
      </w:pPr>
      <w:r w:rsidRPr="0033698E">
        <w:t xml:space="preserve">(1) The position risk amount for a purchased Option is the lesser of: </w:t>
      </w:r>
    </w:p>
    <w:p w14:paraId="69BA4159" w14:textId="71C0E8F6" w:rsidR="00CA2E4E" w:rsidRPr="00440565" w:rsidRDefault="00CA2E4E" w:rsidP="00CA2E4E">
      <w:pPr>
        <w:pStyle w:val="MIRSubpara"/>
      </w:pPr>
      <w:r w:rsidRPr="00440565">
        <w:t>the mark</w:t>
      </w:r>
      <w:r w:rsidR="00A36FC3">
        <w:t>-</w:t>
      </w:r>
      <w:r w:rsidRPr="00440565">
        <w:t>to</w:t>
      </w:r>
      <w:r w:rsidR="00A36FC3">
        <w:t>-</w:t>
      </w:r>
      <w:r w:rsidRPr="00440565">
        <w:t xml:space="preserve">market value of the underlying equity position multiplied by the standard method Position Risk Factor for the underlying position specified in Table A5.1.1 in Annexure 5 to Schedule 1A; and </w:t>
      </w:r>
    </w:p>
    <w:p w14:paraId="2969F33C" w14:textId="48A32080" w:rsidR="00CA2E4E" w:rsidRPr="00440565" w:rsidRDefault="00CA2E4E" w:rsidP="00CA2E4E">
      <w:pPr>
        <w:pStyle w:val="MIRSubpara"/>
      </w:pPr>
      <w:r w:rsidRPr="00440565">
        <w:t>the mark</w:t>
      </w:r>
      <w:r w:rsidR="00A36FC3">
        <w:t>-</w:t>
      </w:r>
      <w:r w:rsidRPr="00440565">
        <w:t>to</w:t>
      </w:r>
      <w:r w:rsidR="00A36FC3">
        <w:t>-</w:t>
      </w:r>
      <w:r w:rsidRPr="00440565">
        <w:t xml:space="preserve">market value of the Option, </w:t>
      </w:r>
    </w:p>
    <w:p w14:paraId="60A520F5" w14:textId="77777777" w:rsidR="00CA2E4E" w:rsidRPr="0033698E" w:rsidRDefault="00CA2E4E" w:rsidP="00CA2E4E">
      <w:pPr>
        <w:pStyle w:val="MIRBodyText"/>
      </w:pPr>
      <w:r w:rsidRPr="0033698E">
        <w:t xml:space="preserve">where: </w:t>
      </w:r>
    </w:p>
    <w:p w14:paraId="39EE40E1" w14:textId="77777777" w:rsidR="00CA2E4E" w:rsidRPr="00440565" w:rsidRDefault="00CA2E4E" w:rsidP="00CA2E4E">
      <w:pPr>
        <w:pStyle w:val="MIRSubpara"/>
        <w:numPr>
          <w:ilvl w:val="1"/>
          <w:numId w:val="22"/>
        </w:numPr>
      </w:pPr>
      <w:r w:rsidRPr="00440565">
        <w:t xml:space="preserve">the market value of the Option should be calculated as the current price of the Option multiplied by the number of Options/number of shares underlying the Option; and </w:t>
      </w:r>
    </w:p>
    <w:p w14:paraId="043BC478" w14:textId="77777777" w:rsidR="00CA2E4E" w:rsidRPr="00440565" w:rsidRDefault="00CA2E4E" w:rsidP="00FB4E7C">
      <w:pPr>
        <w:pStyle w:val="MIRSubpara"/>
        <w:numPr>
          <w:ilvl w:val="1"/>
          <w:numId w:val="103"/>
        </w:numPr>
      </w:pPr>
      <w:r w:rsidRPr="00440565">
        <w:t xml:space="preserve">the notional market value of the physical Equities position underlying the Option is calculated by taking the number of shares underlying the position multiplied by the current price of that stock. </w:t>
      </w:r>
    </w:p>
    <w:p w14:paraId="03ECE313" w14:textId="23E14239" w:rsidR="00CA2E4E" w:rsidRPr="0033698E" w:rsidRDefault="00CA2E4E" w:rsidP="00CA2E4E">
      <w:pPr>
        <w:pStyle w:val="MIRBodyText"/>
      </w:pPr>
      <w:r w:rsidRPr="0033698E">
        <w:t>(2) The position risk amount for a written Option is the mark</w:t>
      </w:r>
      <w:r w:rsidR="00A36FC3">
        <w:t>-</w:t>
      </w:r>
      <w:r w:rsidRPr="0033698E">
        <w:t>to</w:t>
      </w:r>
      <w:r w:rsidR="00A36FC3">
        <w:t>-</w:t>
      </w:r>
      <w:r w:rsidRPr="0033698E">
        <w:t xml:space="preserve">market value of the underlying equity position multiplied by the standard method Position Risk Factor for the underlying position specified in Table A5.1.1 in Annexure 5 to Schedule 1A reduced by: </w:t>
      </w:r>
    </w:p>
    <w:p w14:paraId="31CFFB36" w14:textId="77777777" w:rsidR="00CA2E4E" w:rsidRPr="00440565" w:rsidRDefault="00CA2E4E" w:rsidP="00FB4E7C">
      <w:pPr>
        <w:pStyle w:val="MIRSubpara"/>
        <w:numPr>
          <w:ilvl w:val="1"/>
          <w:numId w:val="104"/>
        </w:numPr>
      </w:pPr>
      <w:r w:rsidRPr="00440565">
        <w:t xml:space="preserve">any excess of the exercise value over the current market value of the underlying position in the case of a call Option, but limited to nil if it would otherwise be negative; or </w:t>
      </w:r>
    </w:p>
    <w:p w14:paraId="12E52002" w14:textId="77777777" w:rsidR="00CA2E4E" w:rsidRPr="00440565" w:rsidRDefault="00CA2E4E" w:rsidP="00FB4E7C">
      <w:pPr>
        <w:pStyle w:val="MIRSubpara"/>
        <w:numPr>
          <w:ilvl w:val="1"/>
          <w:numId w:val="105"/>
        </w:numPr>
      </w:pPr>
      <w:r w:rsidRPr="00440565">
        <w:t>any excess of the current market value of the underlying position over the exercise value in the case of a put Option, but limited to nil if it would otherwise be negative</w:t>
      </w:r>
      <w:bookmarkEnd w:id="54"/>
      <w:r w:rsidRPr="00440565">
        <w:t xml:space="preserve">. </w:t>
      </w:r>
    </w:p>
    <w:p w14:paraId="7D05ABB7" w14:textId="77777777" w:rsidR="00CA2E4E" w:rsidRPr="0033698E" w:rsidRDefault="00CA2E4E" w:rsidP="00CA2E4E">
      <w:pPr>
        <w:pStyle w:val="MIRHeading2Part"/>
      </w:pPr>
      <w:bookmarkStart w:id="55" w:name="_Toc27492585"/>
      <w:r w:rsidRPr="0033698E">
        <w:lastRenderedPageBreak/>
        <w:t>Part A3.8</w:t>
      </w:r>
      <w:r w:rsidRPr="0033698E">
        <w:tab/>
        <w:t>Calculation of Equity Equivalent positions</w:t>
      </w:r>
      <w:r>
        <w:t>—</w:t>
      </w:r>
      <w:r w:rsidRPr="0033698E">
        <w:t>Equity position risk</w:t>
      </w:r>
      <w:bookmarkEnd w:id="55"/>
      <w:r w:rsidRPr="0033698E">
        <w:t xml:space="preserve"> </w:t>
      </w:r>
    </w:p>
    <w:p w14:paraId="5D99925A" w14:textId="77777777" w:rsidR="00CA2E4E" w:rsidRPr="0033698E" w:rsidRDefault="00CA2E4E" w:rsidP="00CA2E4E">
      <w:pPr>
        <w:pStyle w:val="MIRHeading3Rule"/>
      </w:pPr>
      <w:r w:rsidRPr="0033698E">
        <w:t>A3.8.1</w:t>
      </w:r>
      <w:r w:rsidRPr="0033698E">
        <w:tab/>
        <w:t xml:space="preserve">Swaps </w:t>
      </w:r>
    </w:p>
    <w:p w14:paraId="67905EBC" w14:textId="77777777" w:rsidR="00CA2E4E" w:rsidRPr="0033698E" w:rsidRDefault="00CA2E4E" w:rsidP="009B0BF5">
      <w:pPr>
        <w:pStyle w:val="MIRBodyText"/>
        <w:spacing w:line="310" w:lineRule="atLeast"/>
      </w:pPr>
      <w:r w:rsidRPr="0033698E">
        <w:t xml:space="preserve">(1) The Equity Equivalent for a Swap is two notional positions, one for each leg of the Swap under which: </w:t>
      </w:r>
    </w:p>
    <w:p w14:paraId="288F3C8C" w14:textId="77777777" w:rsidR="00CA2E4E" w:rsidRPr="00440565" w:rsidRDefault="00CA2E4E" w:rsidP="009B0BF5">
      <w:pPr>
        <w:pStyle w:val="MIRSubpara"/>
        <w:spacing w:line="310" w:lineRule="atLeast"/>
      </w:pPr>
      <w:r w:rsidRPr="00440565">
        <w:t xml:space="preserve">there is a notional long position in an Equity or Equity Derivative on the leg of the Swap on which an amount is received; and </w:t>
      </w:r>
    </w:p>
    <w:p w14:paraId="1A129011" w14:textId="77777777" w:rsidR="00CA2E4E" w:rsidRPr="00440565" w:rsidRDefault="00CA2E4E" w:rsidP="009B0BF5">
      <w:pPr>
        <w:pStyle w:val="MIRSubpara"/>
        <w:spacing w:line="310" w:lineRule="atLeast"/>
      </w:pPr>
      <w:r w:rsidRPr="00440565">
        <w:t xml:space="preserve">there is a </w:t>
      </w:r>
      <w:r w:rsidRPr="00F831C0">
        <w:t xml:space="preserve">notional short position in </w:t>
      </w:r>
      <w:r w:rsidRPr="00440565">
        <w:t>an Equity or Equity Derivative on the leg of the Swap on which an amount is paid.</w:t>
      </w:r>
    </w:p>
    <w:p w14:paraId="582D723F" w14:textId="77777777" w:rsidR="001C4A94" w:rsidRPr="007861FE" w:rsidRDefault="00CA2E4E" w:rsidP="009B0BF5">
      <w:pPr>
        <w:pStyle w:val="MIRBodyText"/>
        <w:spacing w:line="310" w:lineRule="atLeast"/>
      </w:pPr>
      <w:r w:rsidRPr="00595287">
        <w:t>If one of the legs of the Swap provides for payment or receipt based on some reference to a Debt Instrument or Debt Derivative, the position risk amount for that leg of the Swap shoul</w:t>
      </w:r>
      <w:r w:rsidRPr="006A72A5">
        <w:t>d be assessed in accordance with Parts A3.10 to A3.17</w:t>
      </w:r>
      <w:r w:rsidRPr="007861FE">
        <w:t>.</w:t>
      </w:r>
    </w:p>
    <w:p w14:paraId="552DA169" w14:textId="0DA42140" w:rsidR="00CA2E4E" w:rsidRPr="00BE23D0" w:rsidRDefault="001C4A94" w:rsidP="001C4A94">
      <w:pPr>
        <w:pStyle w:val="MIRBodyText"/>
        <w:spacing w:line="310" w:lineRule="atLeast"/>
      </w:pPr>
      <w:r w:rsidRPr="00BE23D0">
        <w:t>If one of the legs of the Swap provides for payment or receipt based on some reference to a Commodity or Commodity Derivative, the position risk amount for that leg of the Swap should be assessed in accordance with Parts A3.23</w:t>
      </w:r>
      <w:r w:rsidR="006A72A5">
        <w:t xml:space="preserve"> to A3.28</w:t>
      </w:r>
      <w:r w:rsidRPr="00BE23D0">
        <w:t>.</w:t>
      </w:r>
      <w:r w:rsidR="00CA2E4E" w:rsidRPr="00BE23D0">
        <w:t xml:space="preserve"> </w:t>
      </w:r>
    </w:p>
    <w:p w14:paraId="52960CB0" w14:textId="2AE2DE6D" w:rsidR="00CA2E4E" w:rsidRPr="0033698E" w:rsidRDefault="00CA2E4E" w:rsidP="009B0BF5">
      <w:pPr>
        <w:pStyle w:val="MIRBodyText"/>
        <w:spacing w:line="310" w:lineRule="atLeast"/>
      </w:pPr>
      <w:r w:rsidRPr="0033698E">
        <w:t>(2) For the purposes of subrule (1), the notional position is the mark</w:t>
      </w:r>
      <w:r w:rsidR="00A36FC3">
        <w:t>-</w:t>
      </w:r>
      <w:r w:rsidRPr="0033698E">
        <w:t>to</w:t>
      </w:r>
      <w:r w:rsidR="00A36FC3">
        <w:t>-</w:t>
      </w:r>
      <w:r w:rsidRPr="0033698E">
        <w:t xml:space="preserve">market value of the Equity positions underlying the Swap (that is, the number of shares underlying the Swap multiplied by the current market price of those shares). </w:t>
      </w:r>
    </w:p>
    <w:p w14:paraId="6171AA15" w14:textId="021E8406" w:rsidR="00CA2E4E" w:rsidRPr="0033698E" w:rsidRDefault="00CA2E4E" w:rsidP="00CA2E4E">
      <w:pPr>
        <w:pStyle w:val="MIRHeading3Rule"/>
      </w:pPr>
      <w:r w:rsidRPr="0033698E">
        <w:t>A3.8.2</w:t>
      </w:r>
      <w:r w:rsidRPr="0033698E">
        <w:tab/>
        <w:t>Options</w:t>
      </w:r>
    </w:p>
    <w:p w14:paraId="6096C1EA" w14:textId="77777777" w:rsidR="00CA2E4E" w:rsidRPr="0033698E" w:rsidRDefault="00CA2E4E" w:rsidP="009B0BF5">
      <w:pPr>
        <w:pStyle w:val="MIRBodyText"/>
        <w:spacing w:line="310" w:lineRule="atLeast"/>
      </w:pPr>
      <w:r w:rsidRPr="0033698E">
        <w:rPr>
          <w:color w:val="000000"/>
        </w:rPr>
        <w:t xml:space="preserve">The Equity Equivalent for an Option is: </w:t>
      </w:r>
    </w:p>
    <w:p w14:paraId="129A297E" w14:textId="35F1E2A4" w:rsidR="00CA2E4E" w:rsidRPr="00440565" w:rsidRDefault="00CA2E4E" w:rsidP="009B0BF5">
      <w:pPr>
        <w:pStyle w:val="MIRSubpara"/>
        <w:spacing w:line="310" w:lineRule="atLeast"/>
      </w:pPr>
      <w:r w:rsidRPr="00440565">
        <w:t>for purchased call Options and written put Options, a long position at the mark</w:t>
      </w:r>
      <w:r w:rsidR="00A36FC3">
        <w:t>-</w:t>
      </w:r>
      <w:r w:rsidRPr="00440565">
        <w:t>to</w:t>
      </w:r>
      <w:r w:rsidR="00A36FC3">
        <w:t>-</w:t>
      </w:r>
      <w:r w:rsidRPr="00440565">
        <w:t>market value of the underlying equity position, or in the case of an Option on an index or physical basket the mark</w:t>
      </w:r>
      <w:r w:rsidR="00A36FC3">
        <w:t>-</w:t>
      </w:r>
      <w:r w:rsidRPr="00440565">
        <w:t>to</w:t>
      </w:r>
      <w:r w:rsidR="00A36FC3">
        <w:t>-</w:t>
      </w:r>
      <w:r w:rsidRPr="00440565">
        <w:t xml:space="preserve">market value of either the index, basket, or the notional position in the underlying; or </w:t>
      </w:r>
    </w:p>
    <w:p w14:paraId="3F368770" w14:textId="208CEC82" w:rsidR="00CA2E4E" w:rsidRPr="00440565" w:rsidRDefault="00CA2E4E" w:rsidP="009B0BF5">
      <w:pPr>
        <w:pStyle w:val="MIRSubpara"/>
        <w:spacing w:line="310" w:lineRule="atLeast"/>
      </w:pPr>
      <w:r w:rsidRPr="00440565">
        <w:t xml:space="preserve">for purchased put Options and written call </w:t>
      </w:r>
      <w:r w:rsidRPr="00F831C0">
        <w:t xml:space="preserve">Options, a short position </w:t>
      </w:r>
      <w:r w:rsidRPr="00440565">
        <w:t>at the mark</w:t>
      </w:r>
      <w:r w:rsidR="00A36FC3">
        <w:t>-</w:t>
      </w:r>
      <w:r w:rsidRPr="00440565">
        <w:t>to</w:t>
      </w:r>
      <w:r w:rsidR="00A36FC3">
        <w:t>-</w:t>
      </w:r>
      <w:r w:rsidRPr="00440565">
        <w:t>market value of the underlying equity position, or in the case of an Option on an index or physical basket, the mark</w:t>
      </w:r>
      <w:r w:rsidR="00A36FC3">
        <w:t>-</w:t>
      </w:r>
      <w:r w:rsidRPr="00440565">
        <w:t>to</w:t>
      </w:r>
      <w:r w:rsidR="00A36FC3">
        <w:t>-</w:t>
      </w:r>
      <w:r w:rsidRPr="00440565">
        <w:t>market value of either the index, basket, or the notional position in the underlying.</w:t>
      </w:r>
    </w:p>
    <w:p w14:paraId="29F6A42A" w14:textId="77777777" w:rsidR="00CA2E4E" w:rsidRPr="0033698E" w:rsidRDefault="00CA2E4E" w:rsidP="003D34F3">
      <w:pPr>
        <w:pStyle w:val="MIRHeading3Rule"/>
        <w:keepNext/>
      </w:pPr>
      <w:r w:rsidRPr="0033698E">
        <w:t>A3.8.3</w:t>
      </w:r>
      <w:r w:rsidRPr="0033698E">
        <w:tab/>
        <w:t xml:space="preserve">Futures and forward contracts </w:t>
      </w:r>
    </w:p>
    <w:p w14:paraId="760495E1" w14:textId="77777777" w:rsidR="00CA2E4E" w:rsidRPr="0033698E" w:rsidRDefault="00CA2E4E" w:rsidP="009B0BF5">
      <w:pPr>
        <w:pStyle w:val="MIRBodyText"/>
        <w:keepNext/>
        <w:spacing w:line="310" w:lineRule="atLeast"/>
      </w:pPr>
      <w:r w:rsidRPr="0033698E">
        <w:rPr>
          <w:color w:val="000000"/>
        </w:rPr>
        <w:t xml:space="preserve">The Equity Equivalent: </w:t>
      </w:r>
    </w:p>
    <w:p w14:paraId="28F6C28A" w14:textId="6745A2A3" w:rsidR="00CA2E4E" w:rsidRPr="00440565" w:rsidRDefault="00CA2E4E" w:rsidP="009B0BF5">
      <w:pPr>
        <w:pStyle w:val="MIRSubpara"/>
        <w:keepNext/>
        <w:spacing w:line="310" w:lineRule="atLeast"/>
      </w:pPr>
      <w:r w:rsidRPr="00440565">
        <w:t>for a Future and forward contract over a single Equity, is the mark</w:t>
      </w:r>
      <w:r w:rsidR="00A36FC3">
        <w:t>-</w:t>
      </w:r>
      <w:r w:rsidRPr="00440565">
        <w:t>to</w:t>
      </w:r>
      <w:r w:rsidR="00A36FC3">
        <w:t>-</w:t>
      </w:r>
      <w:r w:rsidRPr="00440565">
        <w:t xml:space="preserve">market value of the underlying; or </w:t>
      </w:r>
    </w:p>
    <w:p w14:paraId="1D91EDE5" w14:textId="5CBD4402" w:rsidR="00CA2E4E" w:rsidRPr="00440565" w:rsidRDefault="00CA2E4E" w:rsidP="009B0BF5">
      <w:pPr>
        <w:pStyle w:val="MIRSubpara"/>
        <w:spacing w:line="310" w:lineRule="atLeast"/>
      </w:pPr>
      <w:r w:rsidRPr="00440565">
        <w:t>for a Future and a forward contract over an index or a physical basket, is the mark</w:t>
      </w:r>
      <w:r w:rsidR="00A36FC3">
        <w:t>-</w:t>
      </w:r>
      <w:r w:rsidRPr="00440565">
        <w:t>to</w:t>
      </w:r>
      <w:r w:rsidR="00A36FC3">
        <w:t>-</w:t>
      </w:r>
      <w:r w:rsidRPr="00440565">
        <w:t xml:space="preserve">market value of either the index, basket, or the notional position in the underlying. </w:t>
      </w:r>
    </w:p>
    <w:p w14:paraId="026021CB" w14:textId="77777777" w:rsidR="00CA2E4E" w:rsidRPr="0033698E" w:rsidRDefault="00CA2E4E" w:rsidP="009B0BF5">
      <w:pPr>
        <w:pStyle w:val="MIRHeading3Rule"/>
        <w:keepNext/>
        <w:spacing w:before="360"/>
      </w:pPr>
      <w:r w:rsidRPr="0033698E">
        <w:lastRenderedPageBreak/>
        <w:t>A3.8.4</w:t>
      </w:r>
      <w:r w:rsidRPr="0033698E">
        <w:tab/>
        <w:t xml:space="preserve">Convertible notes </w:t>
      </w:r>
    </w:p>
    <w:p w14:paraId="3CFD13AE" w14:textId="36EE65B6" w:rsidR="00CA2E4E" w:rsidRPr="0033698E" w:rsidRDefault="00CA2E4E" w:rsidP="009B0BF5">
      <w:pPr>
        <w:pStyle w:val="MIRBodyText"/>
        <w:keepNext/>
        <w:spacing w:line="280" w:lineRule="atLeast"/>
      </w:pPr>
      <w:r w:rsidRPr="0033698E">
        <w:t xml:space="preserve">(1) The Equity Equivalent of a convertible note is </w:t>
      </w:r>
      <w:r w:rsidR="00214426">
        <w:t>the mark-to-market value of the underlying Equity if</w:t>
      </w:r>
      <w:r w:rsidR="00AA4109">
        <w:t>:</w:t>
      </w:r>
    </w:p>
    <w:p w14:paraId="3F9D11E5" w14:textId="28940F3C" w:rsidR="00CA2E4E" w:rsidRPr="0033698E" w:rsidRDefault="00CA2E4E" w:rsidP="009B6049">
      <w:pPr>
        <w:pStyle w:val="MIRSubpara"/>
      </w:pPr>
      <w:r w:rsidRPr="0033698E">
        <w:t>the premium is In the Money by less than 10%, where premium in this context means the mark</w:t>
      </w:r>
      <w:r w:rsidR="00A36FC3">
        <w:t>-</w:t>
      </w:r>
      <w:r w:rsidRPr="0033698E">
        <w:t>to</w:t>
      </w:r>
      <w:r w:rsidR="00A36FC3">
        <w:t>-</w:t>
      </w:r>
      <w:r w:rsidRPr="0033698E">
        <w:t>market value of the convertible note less the mark</w:t>
      </w:r>
      <w:r w:rsidR="00A36FC3">
        <w:t>-</w:t>
      </w:r>
      <w:r w:rsidRPr="0033698E">
        <w:t>to</w:t>
      </w:r>
      <w:r w:rsidR="00A36FC3">
        <w:t>-</w:t>
      </w:r>
      <w:r w:rsidRPr="0033698E">
        <w:t>market value of the underlying Equity, expressed as a percentage of the mark</w:t>
      </w:r>
      <w:r w:rsidR="00A36FC3">
        <w:t>-</w:t>
      </w:r>
      <w:r w:rsidRPr="0033698E">
        <w:t>to</w:t>
      </w:r>
      <w:r w:rsidR="00A36FC3">
        <w:t>-</w:t>
      </w:r>
      <w:r w:rsidRPr="0033698E">
        <w:t xml:space="preserve">market value of the underlying Equity; and </w:t>
      </w:r>
    </w:p>
    <w:p w14:paraId="07C45C9B" w14:textId="0227040B" w:rsidR="00CA2E4E" w:rsidRPr="0033698E" w:rsidRDefault="00CA2E4E" w:rsidP="009B6049">
      <w:pPr>
        <w:pStyle w:val="MIRSubpara"/>
      </w:pPr>
      <w:r w:rsidRPr="0033698E">
        <w:t xml:space="preserve">there are less than </w:t>
      </w:r>
      <w:r w:rsidR="00214426">
        <w:t>31</w:t>
      </w:r>
      <w:r w:rsidR="00214426" w:rsidRPr="0033698E">
        <w:t xml:space="preserve"> </w:t>
      </w:r>
      <w:r w:rsidRPr="0033698E">
        <w:t xml:space="preserve">days to the conversion date, </w:t>
      </w:r>
    </w:p>
    <w:p w14:paraId="19905021" w14:textId="7B5187D2" w:rsidR="00CA2E4E" w:rsidRPr="0033698E" w:rsidRDefault="00CA2E4E" w:rsidP="003D34F3">
      <w:pPr>
        <w:pStyle w:val="MIRBodyText"/>
        <w:spacing w:line="280" w:lineRule="atLeast"/>
      </w:pPr>
      <w:r w:rsidRPr="0033698E">
        <w:t xml:space="preserve">but otherwise the convertible note must be treated as a debt position in accordance with Debt Equivalent requirements. </w:t>
      </w:r>
    </w:p>
    <w:p w14:paraId="505EB6BD" w14:textId="77777777" w:rsidR="00CA2E4E" w:rsidRPr="0033698E" w:rsidRDefault="00CA2E4E" w:rsidP="003D34F3">
      <w:pPr>
        <w:pStyle w:val="MIRBodyText"/>
        <w:spacing w:line="280" w:lineRule="atLeast"/>
      </w:pPr>
      <w:r w:rsidRPr="0033698E">
        <w:t xml:space="preserve">(2) For the purposes of subrule (1), the market value of the Equity is the value of the note if it is immediately converted to Equity at current market prices (that is, the conversion ratio times the number of notes times the current price of the issuer’s Equity per share). </w:t>
      </w:r>
    </w:p>
    <w:p w14:paraId="5C955134" w14:textId="77777777" w:rsidR="00CA2E4E" w:rsidRPr="0033698E" w:rsidRDefault="00CA2E4E" w:rsidP="003D34F3">
      <w:pPr>
        <w:pStyle w:val="MIRHeading3Rule"/>
        <w:spacing w:before="360"/>
      </w:pPr>
      <w:r w:rsidRPr="0033698E">
        <w:t>A3.8.5</w:t>
      </w:r>
      <w:r w:rsidRPr="0033698E">
        <w:tab/>
        <w:t xml:space="preserve">Other positions—Classical ETFs </w:t>
      </w:r>
    </w:p>
    <w:p w14:paraId="675926A2" w14:textId="77777777" w:rsidR="00CA2E4E" w:rsidRPr="0033698E" w:rsidRDefault="00CA2E4E" w:rsidP="003D34F3">
      <w:pPr>
        <w:pStyle w:val="MIRBodyText"/>
        <w:spacing w:line="280" w:lineRule="atLeast"/>
      </w:pPr>
      <w:r w:rsidRPr="0033698E">
        <w:rPr>
          <w:color w:val="000000"/>
        </w:rPr>
        <w:t xml:space="preserve">The Equity Equivalent of a Classical ETF is: </w:t>
      </w:r>
    </w:p>
    <w:p w14:paraId="622C0086" w14:textId="120804D8" w:rsidR="00CA2E4E" w:rsidRPr="00440565" w:rsidRDefault="00CA2E4E" w:rsidP="003D34F3">
      <w:pPr>
        <w:pStyle w:val="MIRSubpara"/>
        <w:spacing w:line="280" w:lineRule="atLeast"/>
      </w:pPr>
      <w:r w:rsidRPr="00440565">
        <w:t>the mark</w:t>
      </w:r>
      <w:r w:rsidR="00A36FC3">
        <w:t>-</w:t>
      </w:r>
      <w:r w:rsidRPr="00440565">
        <w:t>to</w:t>
      </w:r>
      <w:r w:rsidR="00A36FC3">
        <w:t>-</w:t>
      </w:r>
      <w:r w:rsidRPr="00440565">
        <w:t xml:space="preserve">market value of the </w:t>
      </w:r>
      <w:r w:rsidRPr="00E85986">
        <w:t>Classical</w:t>
      </w:r>
      <w:r w:rsidRPr="00440565">
        <w:t xml:space="preserve"> ETF; or </w:t>
      </w:r>
    </w:p>
    <w:p w14:paraId="4D1CEF31" w14:textId="3C32911E" w:rsidR="00CA2E4E" w:rsidRPr="00440565" w:rsidRDefault="00CA2E4E" w:rsidP="003D34F3">
      <w:pPr>
        <w:pStyle w:val="MIRSubpara"/>
        <w:spacing w:line="280" w:lineRule="atLeast"/>
      </w:pPr>
      <w:r w:rsidRPr="00440565">
        <w:t>the mark</w:t>
      </w:r>
      <w:r w:rsidR="00A36FC3">
        <w:t>-</w:t>
      </w:r>
      <w:r w:rsidRPr="00440565">
        <w:t>to</w:t>
      </w:r>
      <w:r w:rsidR="00A36FC3">
        <w:t>-</w:t>
      </w:r>
      <w:r w:rsidRPr="00440565">
        <w:t xml:space="preserve">market value of the notional position in the underlying, </w:t>
      </w:r>
    </w:p>
    <w:p w14:paraId="6A1114D2" w14:textId="77777777" w:rsidR="00CA2E4E" w:rsidRPr="0033698E" w:rsidRDefault="00CA2E4E" w:rsidP="003D34F3">
      <w:pPr>
        <w:pStyle w:val="MIRBodyText"/>
        <w:spacing w:line="280" w:lineRule="atLeast"/>
        <w:rPr>
          <w:color w:val="000000"/>
        </w:rPr>
      </w:pPr>
      <w:r w:rsidRPr="0033698E">
        <w:t xml:space="preserve">and any cash component of the Classical ETF should be treated as if it was a position in an </w:t>
      </w:r>
      <w:r w:rsidRPr="0033698E">
        <w:rPr>
          <w:color w:val="000000"/>
        </w:rPr>
        <w:t xml:space="preserve">Equity. </w:t>
      </w:r>
    </w:p>
    <w:p w14:paraId="2C58BD51" w14:textId="77777777" w:rsidR="00CA2E4E" w:rsidRPr="0033698E" w:rsidRDefault="00CA2E4E" w:rsidP="003D34F3">
      <w:pPr>
        <w:pStyle w:val="MIRHeading3Rule"/>
        <w:spacing w:before="360"/>
      </w:pPr>
      <w:r w:rsidRPr="0033698E">
        <w:t>A3.8.5A</w:t>
      </w:r>
      <w:r w:rsidRPr="0033698E">
        <w:tab/>
        <w:t xml:space="preserve">Other positions—Exchange traded CFDs </w:t>
      </w:r>
    </w:p>
    <w:p w14:paraId="63639E05" w14:textId="62C0F97E" w:rsidR="00CA2E4E" w:rsidRPr="0033698E" w:rsidRDefault="00CA2E4E" w:rsidP="003D34F3">
      <w:pPr>
        <w:pStyle w:val="MIRBodyText"/>
        <w:spacing w:line="280" w:lineRule="atLeast"/>
      </w:pPr>
      <w:r w:rsidRPr="0033698E">
        <w:t>(1) The Equity Equivalent for an exchange traded CFD over a single Equity, is the mark</w:t>
      </w:r>
      <w:r w:rsidR="00A36FC3">
        <w:t>-</w:t>
      </w:r>
      <w:r w:rsidRPr="0033698E">
        <w:t>to</w:t>
      </w:r>
      <w:r w:rsidR="00A36FC3">
        <w:t>-</w:t>
      </w:r>
      <w:r w:rsidRPr="0033698E">
        <w:t xml:space="preserve">market value of the underlying. </w:t>
      </w:r>
    </w:p>
    <w:p w14:paraId="7FB21E99" w14:textId="744A02C1" w:rsidR="00CA2E4E" w:rsidRPr="0033698E" w:rsidRDefault="00CA2E4E" w:rsidP="003D34F3">
      <w:pPr>
        <w:pStyle w:val="MIRBodyText"/>
        <w:spacing w:line="280" w:lineRule="atLeast"/>
      </w:pPr>
      <w:r w:rsidRPr="0033698E">
        <w:t>(2) The Equity Equivalent for an exchange traded CFD over an index or a physical basket, is the mark</w:t>
      </w:r>
      <w:r w:rsidR="00A36FC3">
        <w:t>-</w:t>
      </w:r>
      <w:r w:rsidRPr="0033698E">
        <w:t>to</w:t>
      </w:r>
      <w:r w:rsidR="00A36FC3">
        <w:t>-</w:t>
      </w:r>
      <w:r w:rsidRPr="0033698E">
        <w:t xml:space="preserve">market value of either the index, basket or the notional position in the underlying. </w:t>
      </w:r>
    </w:p>
    <w:p w14:paraId="6F4CCC4A" w14:textId="769F2EE2" w:rsidR="00CA2E4E" w:rsidRPr="0033698E" w:rsidRDefault="00CA2E4E" w:rsidP="00CA2E4E">
      <w:pPr>
        <w:pStyle w:val="MIRHeading2Part"/>
      </w:pPr>
      <w:bookmarkStart w:id="56" w:name="_Toc27492586"/>
      <w:r w:rsidRPr="0033698E">
        <w:t>Part A3.9</w:t>
      </w:r>
      <w:r w:rsidRPr="0033698E">
        <w:tab/>
        <w:t xml:space="preserve">Calculation of </w:t>
      </w:r>
      <w:r w:rsidR="004D2154">
        <w:t>E</w:t>
      </w:r>
      <w:r w:rsidRPr="0033698E">
        <w:t xml:space="preserve">quity </w:t>
      </w:r>
      <w:r w:rsidR="004D2154">
        <w:t>N</w:t>
      </w:r>
      <w:r w:rsidRPr="0033698E">
        <w:t xml:space="preserve">et </w:t>
      </w:r>
      <w:r w:rsidR="004D2154">
        <w:t>P</w:t>
      </w:r>
      <w:r w:rsidRPr="0033698E">
        <w:t>ositions</w:t>
      </w:r>
      <w:r>
        <w:t>—</w:t>
      </w:r>
      <w:r w:rsidRPr="0033698E">
        <w:t>Equity position risk</w:t>
      </w:r>
      <w:bookmarkEnd w:id="56"/>
      <w:r w:rsidRPr="0033698E">
        <w:t xml:space="preserve"> </w:t>
      </w:r>
    </w:p>
    <w:p w14:paraId="704624B2" w14:textId="0135757B" w:rsidR="00CA2E4E" w:rsidRPr="0033698E" w:rsidRDefault="00CA2E4E" w:rsidP="00CA2E4E">
      <w:pPr>
        <w:pStyle w:val="MIRHeading3Rule"/>
      </w:pPr>
      <w:r w:rsidRPr="0033698E">
        <w:t>A3.9.1</w:t>
      </w:r>
      <w:r w:rsidRPr="0033698E">
        <w:tab/>
        <w:t xml:space="preserve">Equity </w:t>
      </w:r>
      <w:r w:rsidR="004D2154">
        <w:t>N</w:t>
      </w:r>
      <w:r w:rsidRPr="0033698E">
        <w:t xml:space="preserve">et </w:t>
      </w:r>
      <w:r w:rsidR="004D2154">
        <w:t>P</w:t>
      </w:r>
      <w:r w:rsidRPr="0033698E">
        <w:t xml:space="preserve">ositions </w:t>
      </w:r>
    </w:p>
    <w:p w14:paraId="4DFABD92" w14:textId="77777777" w:rsidR="00CA2E4E" w:rsidRPr="00F831C0" w:rsidRDefault="00CA2E4E" w:rsidP="00CA2E4E">
      <w:pPr>
        <w:pStyle w:val="MIRBodyText"/>
      </w:pPr>
      <w:r w:rsidRPr="0033698E">
        <w:t xml:space="preserve">(1) The </w:t>
      </w:r>
      <w:r w:rsidRPr="002F03C7">
        <w:t>equity net positions</w:t>
      </w:r>
      <w:r w:rsidRPr="0033698E">
        <w:t xml:space="preserve"> are either the </w:t>
      </w:r>
      <w:r w:rsidRPr="00F831C0">
        <w:t xml:space="preserve">long or short positions resulting from offsetting equity positions and Equity Equivalents calculated in the following way: </w:t>
      </w:r>
    </w:p>
    <w:p w14:paraId="27475C16" w14:textId="77777777" w:rsidR="00CA2E4E" w:rsidRPr="00440565" w:rsidRDefault="00CA2E4E" w:rsidP="00CA2E4E">
      <w:pPr>
        <w:pStyle w:val="MIRSubpara"/>
      </w:pPr>
      <w:r w:rsidRPr="00F831C0">
        <w:t xml:space="preserve">A Market Participant may net a long position against a short position </w:t>
      </w:r>
      <w:r w:rsidRPr="00440565">
        <w:t xml:space="preserve">only where the positions are in the same actual instrument. This includes Equity Equivalent positions calculated in accordance with Part A3.8. For the purposes of this paragraph: </w:t>
      </w:r>
    </w:p>
    <w:p w14:paraId="77A48DDB" w14:textId="77777777" w:rsidR="00CA2E4E" w:rsidRPr="0033698E" w:rsidRDefault="00CA2E4E" w:rsidP="00CA2E4E">
      <w:pPr>
        <w:pStyle w:val="MIRSubsubpara"/>
      </w:pPr>
      <w:r w:rsidRPr="0033698E">
        <w:t xml:space="preserve">depository receipts may be treated as if they are the same positions in the corresponding instrument and at the same value if: </w:t>
      </w:r>
    </w:p>
    <w:p w14:paraId="7EE310E7" w14:textId="77777777" w:rsidR="00CA2E4E" w:rsidRPr="0033698E" w:rsidRDefault="00CA2E4E" w:rsidP="00CA2E4E">
      <w:pPr>
        <w:pStyle w:val="MIRsubsubsubpara"/>
        <w:numPr>
          <w:ilvl w:val="3"/>
          <w:numId w:val="16"/>
        </w:numPr>
        <w:ind w:left="2126" w:hanging="425"/>
      </w:pPr>
      <w:r w:rsidRPr="0033698E">
        <w:lastRenderedPageBreak/>
        <w:t xml:space="preserve">the positions in the depository receipt and underlying have been entered into as a specific arbitrage and have the certainty of a locked-in profit (or loss); </w:t>
      </w:r>
    </w:p>
    <w:p w14:paraId="680C61FB" w14:textId="77777777" w:rsidR="00CA2E4E" w:rsidRPr="0033698E" w:rsidRDefault="00CA2E4E" w:rsidP="00CA2E4E">
      <w:pPr>
        <w:pStyle w:val="MIRsubsubsubpara"/>
        <w:numPr>
          <w:ilvl w:val="3"/>
          <w:numId w:val="25"/>
        </w:numPr>
      </w:pPr>
      <w:r w:rsidRPr="0033698E">
        <w:t xml:space="preserve">the profit (or loss) in sub-subparagraph (A) is Liquid; and </w:t>
      </w:r>
    </w:p>
    <w:p w14:paraId="3E17C1F6" w14:textId="77777777" w:rsidR="00CA2E4E" w:rsidRPr="0033698E" w:rsidRDefault="00CA2E4E" w:rsidP="00FB4E7C">
      <w:pPr>
        <w:pStyle w:val="MIRsubsubsubpara"/>
        <w:numPr>
          <w:ilvl w:val="3"/>
          <w:numId w:val="114"/>
        </w:numPr>
      </w:pPr>
      <w:r w:rsidRPr="0033698E">
        <w:t xml:space="preserve">all conversion costs and foreign exchange costs are immediately provided and are separately monitored over the life of the arbitrage, </w:t>
      </w:r>
    </w:p>
    <w:p w14:paraId="3078C3CC" w14:textId="77777777" w:rsidR="00CA2E4E" w:rsidRPr="0033698E" w:rsidRDefault="00CA2E4E" w:rsidP="00CA2E4E">
      <w:pPr>
        <w:pStyle w:val="MIRsubsubsubpara"/>
        <w:numPr>
          <w:ilvl w:val="0"/>
          <w:numId w:val="0"/>
        </w:numPr>
        <w:ind w:left="2126" w:hanging="425"/>
      </w:pPr>
      <w:r w:rsidRPr="0033698E">
        <w:rPr>
          <w:color w:val="000000"/>
        </w:rPr>
        <w:t xml:space="preserve">but otherwise must be valued at the current exchange rate; and </w:t>
      </w:r>
    </w:p>
    <w:p w14:paraId="23FC4340" w14:textId="77777777" w:rsidR="00CA2E4E" w:rsidRPr="0033698E" w:rsidRDefault="00CA2E4E" w:rsidP="00CA2E4E">
      <w:pPr>
        <w:pStyle w:val="MIRSubsubpara"/>
      </w:pPr>
      <w:r w:rsidRPr="0033698E">
        <w:t xml:space="preserve">instalment receipts may be treated as if they are positions in the corresponding instrument. </w:t>
      </w:r>
    </w:p>
    <w:p w14:paraId="1FACB56F" w14:textId="51CDBE9F" w:rsidR="00CA2E4E" w:rsidRPr="00440565" w:rsidRDefault="002A00A6" w:rsidP="00CA2E4E">
      <w:pPr>
        <w:pStyle w:val="MIRSubpara"/>
      </w:pPr>
      <w:r>
        <w:t>A</w:t>
      </w:r>
      <w:r w:rsidR="00CA2E4E" w:rsidRPr="00440565">
        <w:t xml:space="preserve">n Option position can only be offset if it is In the Money by at least the standard method Position Risk Factor specified in Table A5.1.1 in Annexure 5 to Schedule 1A applicable to the underlying position. </w:t>
      </w:r>
    </w:p>
    <w:p w14:paraId="3FB92C3B" w14:textId="77777777" w:rsidR="00CA2E4E" w:rsidRPr="0033698E" w:rsidRDefault="00CA2E4E" w:rsidP="00CA2E4E">
      <w:pPr>
        <w:pStyle w:val="MIRBodyText"/>
      </w:pPr>
      <w:r w:rsidRPr="0033698E">
        <w:t xml:space="preserve">(2) For the purposes of subrule (1), a Market Participant: </w:t>
      </w:r>
    </w:p>
    <w:p w14:paraId="3DE2A328" w14:textId="5697443A" w:rsidR="00CA2E4E" w:rsidRPr="00440565" w:rsidRDefault="00CA2E4E" w:rsidP="00CA2E4E">
      <w:pPr>
        <w:pStyle w:val="MIRSubpara"/>
      </w:pPr>
      <w:r w:rsidRPr="00440565">
        <w:t xml:space="preserve">must not offset Securities Lending and Borrowing transactions against underlying long and short </w:t>
      </w:r>
      <w:r w:rsidR="008B0893">
        <w:t>E</w:t>
      </w:r>
      <w:r w:rsidR="008B0893" w:rsidRPr="002F03C7">
        <w:t xml:space="preserve">quity </w:t>
      </w:r>
      <w:r w:rsidRPr="002F03C7">
        <w:t>net positions</w:t>
      </w:r>
      <w:r w:rsidRPr="00440565">
        <w:t xml:space="preserve">; and </w:t>
      </w:r>
    </w:p>
    <w:p w14:paraId="3A9A1990" w14:textId="77777777" w:rsidR="00CA2E4E" w:rsidRPr="00440565" w:rsidRDefault="00CA2E4E" w:rsidP="00CA2E4E">
      <w:pPr>
        <w:pStyle w:val="MIRSubpara"/>
      </w:pPr>
      <w:r w:rsidRPr="00440565">
        <w:t xml:space="preserve">must treat any securities that have been lent out under a Securities Lending and Borrowing arrangement or that have been sold under a repurchase agreement as a principal position of the Market Participant and must calculate a position risk amount on that position, notwithstanding that a counterparty risk amount must also be calculated under the Securities Lending and Borrowing method in Rule A1.2.4; </w:t>
      </w:r>
    </w:p>
    <w:p w14:paraId="44D36F98" w14:textId="77777777" w:rsidR="00CA2E4E" w:rsidRPr="00440565" w:rsidRDefault="00CA2E4E" w:rsidP="00CA2E4E">
      <w:pPr>
        <w:pStyle w:val="MIRSubpara"/>
      </w:pPr>
      <w:r w:rsidRPr="00440565">
        <w:t xml:space="preserve">may only offset positions in quoted securities issued by a listed entity and quoted on multiple exchanges where the securities quoted on multiple exchanges are identical; </w:t>
      </w:r>
    </w:p>
    <w:p w14:paraId="7E6D0297" w14:textId="0387AB20" w:rsidR="00CA2E4E" w:rsidRPr="00440565" w:rsidRDefault="00CA2E4E" w:rsidP="00CA2E4E">
      <w:pPr>
        <w:pStyle w:val="MIRSubpara"/>
      </w:pPr>
      <w:r w:rsidRPr="00440565">
        <w:t xml:space="preserve">may only offset positions in listed stocks that are subject to a merger and which involve the conversion/exchange of scrip once it is legally certain the conversion/exchange will proceed. </w:t>
      </w:r>
      <w:bookmarkEnd w:id="49"/>
    </w:p>
    <w:p w14:paraId="37095C08" w14:textId="77777777" w:rsidR="00CA2E4E" w:rsidRPr="0033698E" w:rsidRDefault="00CA2E4E" w:rsidP="002B6A72">
      <w:pPr>
        <w:pStyle w:val="MIRHeading2Part"/>
      </w:pPr>
      <w:bookmarkStart w:id="57" w:name="_Toc27492587"/>
      <w:r w:rsidRPr="0033698E">
        <w:t>Part A3.10</w:t>
      </w:r>
      <w:r w:rsidRPr="0033698E">
        <w:tab/>
        <w:t>Debt posi</w:t>
      </w:r>
      <w:r w:rsidRPr="0033698E">
        <w:rPr>
          <w:rFonts w:eastAsiaTheme="minorEastAsia"/>
        </w:rPr>
        <w:t>tio</w:t>
      </w:r>
      <w:r w:rsidRPr="0033698E">
        <w:t>n risk amount</w:t>
      </w:r>
      <w:bookmarkEnd w:id="57"/>
      <w:r w:rsidRPr="0033698E">
        <w:t xml:space="preserve"> </w:t>
      </w:r>
    </w:p>
    <w:p w14:paraId="7D1C7E70" w14:textId="05C8FD4E" w:rsidR="00CA2E4E" w:rsidRPr="0033698E" w:rsidRDefault="00CA2E4E" w:rsidP="003D34F3">
      <w:pPr>
        <w:pStyle w:val="MIRHeading3Rule"/>
        <w:keepNext/>
        <w:spacing w:before="320"/>
      </w:pPr>
      <w:r w:rsidRPr="00203B23">
        <w:rPr>
          <w:spacing w:val="-16"/>
        </w:rPr>
        <w:t>A3.10.1</w:t>
      </w:r>
      <w:r w:rsidRPr="0033698E">
        <w:tab/>
        <w:t xml:space="preserve">Nature of debt position risk amount </w:t>
      </w:r>
    </w:p>
    <w:p w14:paraId="492B7F3B" w14:textId="03C481A4" w:rsidR="00CA2E4E" w:rsidRPr="0033698E" w:rsidRDefault="00CA2E4E" w:rsidP="009926F2">
      <w:pPr>
        <w:pStyle w:val="MIRBodyText"/>
        <w:spacing w:before="160"/>
      </w:pPr>
      <w:r w:rsidRPr="0033698E">
        <w:t xml:space="preserve">The debt position risk amount in relation to a Market Participant’s debt positions is the absolute sum of the individual position risk amounts calculated for debt positions for each currency using the methods of calculation set out in this Annexure 3. </w:t>
      </w:r>
    </w:p>
    <w:p w14:paraId="24BCCD88" w14:textId="78FC5A6B" w:rsidR="00CA2E4E" w:rsidRPr="0033698E" w:rsidRDefault="00CA2E4E" w:rsidP="009926F2">
      <w:pPr>
        <w:pStyle w:val="MIRHeading3Rule"/>
        <w:spacing w:before="320"/>
      </w:pPr>
      <w:r w:rsidRPr="00203B23">
        <w:rPr>
          <w:spacing w:val="-16"/>
        </w:rPr>
        <w:t>A3.10.2</w:t>
      </w:r>
      <w:r w:rsidRPr="0033698E">
        <w:tab/>
        <w:t xml:space="preserve">Overview of methods </w:t>
      </w:r>
    </w:p>
    <w:p w14:paraId="7A259EBD" w14:textId="472017D9" w:rsidR="00CA2E4E" w:rsidRPr="0033698E" w:rsidRDefault="00CA2E4E" w:rsidP="009926F2">
      <w:pPr>
        <w:pStyle w:val="MIRBodyText"/>
        <w:spacing w:before="160"/>
      </w:pPr>
      <w:r w:rsidRPr="0033698E">
        <w:t xml:space="preserve">(1) The standard method </w:t>
      </w:r>
      <w:r w:rsidR="002A00A6">
        <w:t>is</w:t>
      </w:r>
      <w:r w:rsidRPr="0033698E">
        <w:t xml:space="preserve"> the main method for measuring the debt position risk amount. </w:t>
      </w:r>
      <w:r w:rsidR="002A00A6">
        <w:t>This is</w:t>
      </w:r>
      <w:r w:rsidRPr="0033698E">
        <w:t xml:space="preserve"> supplemented by other methods, the use of which largely depends on the Financial Instruments in which principal positions are taken. </w:t>
      </w:r>
    </w:p>
    <w:p w14:paraId="1047ABAE" w14:textId="0E65AC92" w:rsidR="00CA2E4E" w:rsidRPr="0033698E" w:rsidRDefault="00CA2E4E" w:rsidP="009B0BF5">
      <w:pPr>
        <w:pStyle w:val="MIRBodyText"/>
        <w:keepNext/>
        <w:spacing w:before="160"/>
      </w:pPr>
      <w:r w:rsidRPr="0033698E">
        <w:lastRenderedPageBreak/>
        <w:t>(2) In calculating the debt position risk amount, the following methods must be used</w:t>
      </w:r>
      <w:r w:rsidR="00AA4109">
        <w:t>.</w:t>
      </w:r>
      <w:r w:rsidRPr="0033698E">
        <w:t xml:space="preserve"> </w:t>
      </w:r>
    </w:p>
    <w:p w14:paraId="2891DECC" w14:textId="77777777" w:rsidR="00CA2E4E" w:rsidRPr="0033698E" w:rsidRDefault="00CA2E4E" w:rsidP="00E6013C">
      <w:pPr>
        <w:pStyle w:val="tabletitlefullwidth"/>
      </w:pPr>
      <w:r w:rsidRPr="0033698E">
        <w:t>Table A3.2:</w:t>
      </w:r>
      <w:r w:rsidRPr="0033698E">
        <w:tab/>
        <w:t>Overview of methods</w:t>
      </w:r>
    </w:p>
    <w:tbl>
      <w:tblPr>
        <w:tblW w:w="0" w:type="auto"/>
        <w:tblInd w:w="1"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126"/>
        <w:gridCol w:w="1701"/>
        <w:gridCol w:w="2127"/>
        <w:gridCol w:w="1701"/>
      </w:tblGrid>
      <w:tr w:rsidR="00AA4109" w:rsidRPr="0033698E" w14:paraId="48C80749" w14:textId="77777777" w:rsidTr="009B6049">
        <w:trPr>
          <w:cantSplit/>
          <w:tblHeader/>
        </w:trPr>
        <w:tc>
          <w:tcPr>
            <w:tcW w:w="2126" w:type="dxa"/>
            <w:shd w:val="clear" w:color="auto" w:fill="C2E3FA"/>
          </w:tcPr>
          <w:p w14:paraId="7F1CEE81" w14:textId="77777777" w:rsidR="00AA4109" w:rsidRPr="0033698E" w:rsidRDefault="00AA4109" w:rsidP="009926F2">
            <w:pPr>
              <w:pStyle w:val="tablehead"/>
              <w:spacing w:before="100"/>
            </w:pPr>
            <w:r w:rsidRPr="0033698E">
              <w:t>Nature of Positions</w:t>
            </w:r>
          </w:p>
        </w:tc>
        <w:tc>
          <w:tcPr>
            <w:tcW w:w="1701" w:type="dxa"/>
            <w:shd w:val="clear" w:color="auto" w:fill="C2E3FA"/>
          </w:tcPr>
          <w:p w14:paraId="13F6C620" w14:textId="77777777" w:rsidR="00AA4109" w:rsidRPr="0033698E" w:rsidRDefault="00AA4109" w:rsidP="009926F2">
            <w:pPr>
              <w:pStyle w:val="tablehead"/>
              <w:spacing w:before="100"/>
            </w:pPr>
            <w:r w:rsidRPr="0033698E">
              <w:t>Standard Method</w:t>
            </w:r>
          </w:p>
        </w:tc>
        <w:tc>
          <w:tcPr>
            <w:tcW w:w="2127" w:type="dxa"/>
            <w:shd w:val="clear" w:color="auto" w:fill="C2E3FA"/>
          </w:tcPr>
          <w:p w14:paraId="48413771" w14:textId="77777777" w:rsidR="00AA4109" w:rsidRPr="0033698E" w:rsidRDefault="00AA4109" w:rsidP="009926F2">
            <w:pPr>
              <w:pStyle w:val="tablehead"/>
              <w:spacing w:before="100"/>
            </w:pPr>
            <w:r w:rsidRPr="0033698E">
              <w:t>Margin Method</w:t>
            </w:r>
          </w:p>
        </w:tc>
        <w:tc>
          <w:tcPr>
            <w:tcW w:w="1701" w:type="dxa"/>
            <w:shd w:val="clear" w:color="auto" w:fill="C2E3FA"/>
          </w:tcPr>
          <w:p w14:paraId="08F8B86E" w14:textId="77777777" w:rsidR="00AA4109" w:rsidRPr="0033698E" w:rsidRDefault="00AA4109" w:rsidP="009926F2">
            <w:pPr>
              <w:pStyle w:val="tablehead"/>
              <w:spacing w:before="100"/>
            </w:pPr>
            <w:r w:rsidRPr="0033698E">
              <w:t>Basic Method</w:t>
            </w:r>
          </w:p>
        </w:tc>
      </w:tr>
      <w:tr w:rsidR="00AA4109" w:rsidRPr="0033698E" w14:paraId="1E84FFC0" w14:textId="77777777" w:rsidTr="009B6049">
        <w:trPr>
          <w:cantSplit/>
        </w:trPr>
        <w:tc>
          <w:tcPr>
            <w:tcW w:w="2126" w:type="dxa"/>
          </w:tcPr>
          <w:p w14:paraId="3CCC659E" w14:textId="3B864545" w:rsidR="00AA4109" w:rsidRPr="0033698E" w:rsidRDefault="00AA4109" w:rsidP="009926F2">
            <w:pPr>
              <w:pStyle w:val="tablehead"/>
              <w:spacing w:before="100"/>
            </w:pPr>
            <w:r w:rsidRPr="0033698E">
              <w:t xml:space="preserve">Physical (not </w:t>
            </w:r>
            <w:r>
              <w:t>debt</w:t>
            </w:r>
            <w:r w:rsidRPr="0033698E">
              <w:t xml:space="preserve"> derivative)</w:t>
            </w:r>
          </w:p>
        </w:tc>
        <w:tc>
          <w:tcPr>
            <w:tcW w:w="1701" w:type="dxa"/>
          </w:tcPr>
          <w:p w14:paraId="08634009" w14:textId="77777777" w:rsidR="00AA4109" w:rsidRPr="0033698E" w:rsidRDefault="00AA4109" w:rsidP="009926F2">
            <w:pPr>
              <w:pStyle w:val="tbltext"/>
              <w:spacing w:before="100"/>
            </w:pPr>
            <w:r w:rsidRPr="0033698E">
              <w:t>Yes</w:t>
            </w:r>
          </w:p>
        </w:tc>
        <w:tc>
          <w:tcPr>
            <w:tcW w:w="2127" w:type="dxa"/>
          </w:tcPr>
          <w:p w14:paraId="115491E2" w14:textId="77777777" w:rsidR="00AA4109" w:rsidRPr="0033698E" w:rsidRDefault="00AA4109" w:rsidP="009926F2">
            <w:pPr>
              <w:pStyle w:val="tbltext"/>
              <w:spacing w:before="100"/>
            </w:pPr>
            <w:r w:rsidRPr="0033698E">
              <w:t>No</w:t>
            </w:r>
          </w:p>
        </w:tc>
        <w:tc>
          <w:tcPr>
            <w:tcW w:w="1701" w:type="dxa"/>
          </w:tcPr>
          <w:p w14:paraId="746D41DF" w14:textId="77777777" w:rsidR="00AA4109" w:rsidRPr="0033698E" w:rsidRDefault="00AA4109" w:rsidP="009926F2">
            <w:pPr>
              <w:pStyle w:val="tbltext"/>
              <w:spacing w:before="100"/>
            </w:pPr>
            <w:r w:rsidRPr="0033698E">
              <w:t>No</w:t>
            </w:r>
          </w:p>
        </w:tc>
      </w:tr>
      <w:tr w:rsidR="00AA4109" w:rsidRPr="0033698E" w14:paraId="30FA5E7B" w14:textId="77777777" w:rsidTr="009B6049">
        <w:trPr>
          <w:cantSplit/>
        </w:trPr>
        <w:tc>
          <w:tcPr>
            <w:tcW w:w="2126" w:type="dxa"/>
          </w:tcPr>
          <w:p w14:paraId="6F542643" w14:textId="209374B1" w:rsidR="00AA4109" w:rsidRPr="0033698E" w:rsidRDefault="00AA4109" w:rsidP="009926F2">
            <w:pPr>
              <w:pStyle w:val="tablehead"/>
              <w:spacing w:before="100"/>
            </w:pPr>
            <w:r w:rsidRPr="0033698E">
              <w:t xml:space="preserve">Non-option </w:t>
            </w:r>
            <w:r>
              <w:t>debt</w:t>
            </w:r>
            <w:r w:rsidRPr="0033698E">
              <w:t xml:space="preserve"> derivatives</w:t>
            </w:r>
          </w:p>
        </w:tc>
        <w:tc>
          <w:tcPr>
            <w:tcW w:w="1701" w:type="dxa"/>
          </w:tcPr>
          <w:p w14:paraId="0A4CDD6B" w14:textId="77777777" w:rsidR="00AA4109" w:rsidRPr="0033698E" w:rsidRDefault="00AA4109" w:rsidP="009926F2">
            <w:pPr>
              <w:pStyle w:val="tbltext"/>
              <w:spacing w:before="100"/>
            </w:pPr>
            <w:r w:rsidRPr="0033698E">
              <w:t>No</w:t>
            </w:r>
          </w:p>
        </w:tc>
        <w:tc>
          <w:tcPr>
            <w:tcW w:w="2127" w:type="dxa"/>
          </w:tcPr>
          <w:p w14:paraId="67CB6B7E" w14:textId="77777777" w:rsidR="00AA4109" w:rsidRPr="0033698E" w:rsidRDefault="00AA4109" w:rsidP="009926F2">
            <w:pPr>
              <w:pStyle w:val="tbltext"/>
              <w:spacing w:before="100"/>
            </w:pPr>
            <w:r w:rsidRPr="0033698E">
              <w:t>Yes, if exchange traded and margined and not calculated under any other method</w:t>
            </w:r>
          </w:p>
        </w:tc>
        <w:tc>
          <w:tcPr>
            <w:tcW w:w="1701" w:type="dxa"/>
          </w:tcPr>
          <w:p w14:paraId="01E7B43E" w14:textId="77777777" w:rsidR="00AA4109" w:rsidRPr="0033698E" w:rsidRDefault="00AA4109" w:rsidP="009926F2">
            <w:pPr>
              <w:pStyle w:val="tbltext"/>
              <w:spacing w:before="100"/>
            </w:pPr>
            <w:r w:rsidRPr="0033698E">
              <w:t>No</w:t>
            </w:r>
          </w:p>
        </w:tc>
      </w:tr>
      <w:tr w:rsidR="00AA4109" w:rsidRPr="0033698E" w14:paraId="2D79B44C" w14:textId="77777777" w:rsidTr="009B6049">
        <w:trPr>
          <w:cantSplit/>
        </w:trPr>
        <w:tc>
          <w:tcPr>
            <w:tcW w:w="2126" w:type="dxa"/>
          </w:tcPr>
          <w:p w14:paraId="100751C1" w14:textId="39FA7F72" w:rsidR="00AA4109" w:rsidRPr="0033698E" w:rsidRDefault="00AA4109" w:rsidP="009926F2">
            <w:pPr>
              <w:pStyle w:val="tbltext"/>
              <w:spacing w:before="100"/>
              <w:rPr>
                <w:b/>
              </w:rPr>
            </w:pPr>
            <w:r>
              <w:rPr>
                <w:b/>
              </w:rPr>
              <w:t>Debt</w:t>
            </w:r>
            <w:r w:rsidRPr="0033698E">
              <w:rPr>
                <w:b/>
              </w:rPr>
              <w:t xml:space="preserve"> options</w:t>
            </w:r>
          </w:p>
        </w:tc>
        <w:tc>
          <w:tcPr>
            <w:tcW w:w="1701" w:type="dxa"/>
          </w:tcPr>
          <w:p w14:paraId="03D82505" w14:textId="77777777" w:rsidR="00AA4109" w:rsidRPr="0033698E" w:rsidRDefault="00AA4109" w:rsidP="009926F2">
            <w:pPr>
              <w:pStyle w:val="tbltext"/>
              <w:spacing w:before="100"/>
            </w:pPr>
            <w:r w:rsidRPr="0033698E">
              <w:t>No</w:t>
            </w:r>
          </w:p>
        </w:tc>
        <w:tc>
          <w:tcPr>
            <w:tcW w:w="2127" w:type="dxa"/>
          </w:tcPr>
          <w:p w14:paraId="5ADE94A6" w14:textId="77777777" w:rsidR="00AA4109" w:rsidRPr="0033698E" w:rsidRDefault="00AA4109" w:rsidP="009926F2">
            <w:pPr>
              <w:pStyle w:val="tbltext"/>
              <w:spacing w:before="100"/>
            </w:pPr>
            <w:r w:rsidRPr="0033698E">
              <w:t>Yes, if exchange traded and margined and not calculated under any other method</w:t>
            </w:r>
          </w:p>
        </w:tc>
        <w:tc>
          <w:tcPr>
            <w:tcW w:w="1701" w:type="dxa"/>
          </w:tcPr>
          <w:p w14:paraId="27F99945" w14:textId="0BD81041" w:rsidR="00AA4109" w:rsidRPr="0033698E" w:rsidRDefault="00AA4109" w:rsidP="009926F2">
            <w:pPr>
              <w:pStyle w:val="tbltext"/>
              <w:spacing w:before="100"/>
            </w:pPr>
            <w:r w:rsidRPr="0033698E">
              <w:t>Yes</w:t>
            </w:r>
          </w:p>
        </w:tc>
      </w:tr>
    </w:tbl>
    <w:p w14:paraId="3106A559" w14:textId="168215AE" w:rsidR="00CA2E4E" w:rsidRPr="0033698E" w:rsidRDefault="00CA2E4E" w:rsidP="009926F2">
      <w:pPr>
        <w:pStyle w:val="MIRHeading3Rule"/>
        <w:keepNext/>
        <w:spacing w:before="320"/>
      </w:pPr>
      <w:r w:rsidRPr="004E5622">
        <w:t>A3.10.2A</w:t>
      </w:r>
      <w:r w:rsidRPr="0033698E">
        <w:tab/>
        <w:t xml:space="preserve">Treatment—Hybrid ETFs </w:t>
      </w:r>
    </w:p>
    <w:p w14:paraId="670203B9" w14:textId="77777777" w:rsidR="00CA2E4E" w:rsidRPr="0033698E" w:rsidRDefault="00CA2E4E" w:rsidP="009926F2">
      <w:pPr>
        <w:pStyle w:val="MIRBodyText"/>
        <w:spacing w:before="160"/>
      </w:pPr>
      <w:r w:rsidRPr="0033698E">
        <w:rPr>
          <w:color w:val="000000"/>
        </w:rPr>
        <w:t xml:space="preserve">A Market Participant must take the following into account when calculating a position risk amount for a principal position in units in Hybrid ETFs classified as Debt Instruments: </w:t>
      </w:r>
    </w:p>
    <w:p w14:paraId="5355B97B" w14:textId="77777777" w:rsidR="00CA2E4E" w:rsidRPr="00BD1766" w:rsidRDefault="00CA2E4E" w:rsidP="009926F2">
      <w:pPr>
        <w:pStyle w:val="MIRSubpara"/>
        <w:numPr>
          <w:ilvl w:val="1"/>
          <w:numId w:val="17"/>
        </w:numPr>
        <w:spacing w:before="80"/>
      </w:pPr>
      <w:r w:rsidRPr="00BD1766">
        <w:t xml:space="preserve">there is no difference between the primary market and secondary market for the purposes of calculating position risk amounts; </w:t>
      </w:r>
    </w:p>
    <w:p w14:paraId="1AB98565" w14:textId="6F6680A9" w:rsidR="00CA2E4E" w:rsidRPr="00BD1766" w:rsidRDefault="00CA2E4E" w:rsidP="009926F2">
      <w:pPr>
        <w:pStyle w:val="MIRSubpara"/>
        <w:numPr>
          <w:ilvl w:val="1"/>
          <w:numId w:val="23"/>
        </w:numPr>
        <w:spacing w:before="80"/>
      </w:pPr>
      <w:r w:rsidRPr="00BD1766">
        <w:t xml:space="preserve">principal positions in Hybrid ETFs commence </w:t>
      </w:r>
      <w:r w:rsidRPr="00276CE4">
        <w:t xml:space="preserve">at </w:t>
      </w:r>
      <w:r w:rsidR="00276CE4" w:rsidRPr="00DE0060">
        <w:t>T</w:t>
      </w:r>
      <w:r w:rsidR="00276CE4" w:rsidRPr="00B22160">
        <w:rPr>
          <w:vertAlign w:val="subscript"/>
        </w:rPr>
        <w:t>0</w:t>
      </w:r>
      <w:r w:rsidR="00276CE4" w:rsidRPr="00804482">
        <w:rPr>
          <w:sz w:val="14"/>
          <w:szCs w:val="14"/>
        </w:rPr>
        <w:t xml:space="preserve"> </w:t>
      </w:r>
      <w:r w:rsidRPr="00BD1766">
        <w:t xml:space="preserve">and the underlying risk variable is the market price of the Hybrid ETF unit; </w:t>
      </w:r>
    </w:p>
    <w:p w14:paraId="5A3F21C5" w14:textId="14E4D99A" w:rsidR="00CA2E4E" w:rsidRPr="00BD1766" w:rsidRDefault="00CA2E4E" w:rsidP="009926F2">
      <w:pPr>
        <w:pStyle w:val="MIRSubpara"/>
        <w:numPr>
          <w:ilvl w:val="1"/>
          <w:numId w:val="23"/>
        </w:numPr>
        <w:spacing w:before="80"/>
      </w:pPr>
      <w:r w:rsidRPr="00BD1766">
        <w:t xml:space="preserve">a Hybrid ETF cannot be broken down into any notional positions in the underlying; </w:t>
      </w:r>
    </w:p>
    <w:p w14:paraId="42FF779B" w14:textId="77777777" w:rsidR="00CA2E4E" w:rsidRPr="00BD1766" w:rsidRDefault="00CA2E4E" w:rsidP="00CA2E4E">
      <w:pPr>
        <w:pStyle w:val="MIRSubpara"/>
        <w:numPr>
          <w:ilvl w:val="1"/>
          <w:numId w:val="23"/>
        </w:numPr>
      </w:pPr>
      <w:r w:rsidRPr="00BD1766">
        <w:t xml:space="preserve">the Position Risk Factors to be applied are set out in Rule A5.1.2A; and </w:t>
      </w:r>
    </w:p>
    <w:p w14:paraId="5D9C4482" w14:textId="7AF4541E" w:rsidR="00CA2E4E" w:rsidRPr="00BD1766" w:rsidRDefault="00CA2E4E" w:rsidP="003D34F3">
      <w:pPr>
        <w:pStyle w:val="MIRSubpara"/>
        <w:numPr>
          <w:ilvl w:val="1"/>
          <w:numId w:val="23"/>
        </w:numPr>
        <w:spacing w:line="280" w:lineRule="atLeast"/>
      </w:pPr>
      <w:r w:rsidRPr="00BD1766">
        <w:t xml:space="preserve">if the Market Participant is unlikely to be able to liquidate its position in a Hybrid ETF within </w:t>
      </w:r>
      <w:r w:rsidR="002A00A6">
        <w:t>31</w:t>
      </w:r>
      <w:r w:rsidR="002A00A6" w:rsidRPr="00BD1766">
        <w:t xml:space="preserve"> </w:t>
      </w:r>
      <w:r w:rsidRPr="00BD1766">
        <w:t xml:space="preserve">days, taking into account factors including the size of its position and the volume of that Hybrid ETF traded in the market, it must treat the position as an Excluded Asset and exclude the market value of that position from Liquid Capital. </w:t>
      </w:r>
    </w:p>
    <w:p w14:paraId="4EFD08D7" w14:textId="77777777" w:rsidR="00CA2E4E" w:rsidRPr="0033698E" w:rsidRDefault="00CA2E4E" w:rsidP="00CA2E4E">
      <w:pPr>
        <w:pStyle w:val="MIRHeading3Rule"/>
      </w:pPr>
      <w:r w:rsidRPr="004E5622">
        <w:t>A3.10.2B</w:t>
      </w:r>
      <w:r w:rsidRPr="0033698E">
        <w:tab/>
        <w:t xml:space="preserve">Treatment—Other Managed Funds </w:t>
      </w:r>
    </w:p>
    <w:p w14:paraId="5C49033C" w14:textId="77777777" w:rsidR="00CA2E4E" w:rsidRPr="0033698E" w:rsidRDefault="00CA2E4E" w:rsidP="003D34F3">
      <w:pPr>
        <w:pStyle w:val="MIRBodyText"/>
        <w:spacing w:line="280" w:lineRule="atLeast"/>
      </w:pPr>
      <w:r w:rsidRPr="0033698E">
        <w:t xml:space="preserve">A Market Participant must take the following into account when calculating a position risk amount for a principal position in units in Other Managed Funds classified as Debt Instruments: </w:t>
      </w:r>
    </w:p>
    <w:p w14:paraId="780DFA8C" w14:textId="77777777" w:rsidR="00CA2E4E" w:rsidRPr="00804482" w:rsidRDefault="00CA2E4E" w:rsidP="003D34F3">
      <w:pPr>
        <w:pStyle w:val="MIRSubpara"/>
        <w:spacing w:line="280" w:lineRule="atLeast"/>
      </w:pPr>
      <w:r w:rsidRPr="00804482">
        <w:t xml:space="preserve">principal positions in Other Managed Funds commence at </w:t>
      </w:r>
      <w:r w:rsidRPr="003D34F3">
        <w:t>T</w:t>
      </w:r>
      <w:r w:rsidRPr="00B22160">
        <w:rPr>
          <w:vertAlign w:val="subscript"/>
        </w:rPr>
        <w:t>0</w:t>
      </w:r>
      <w:r w:rsidRPr="00804482">
        <w:rPr>
          <w:sz w:val="14"/>
          <w:szCs w:val="14"/>
        </w:rPr>
        <w:t xml:space="preserve"> </w:t>
      </w:r>
      <w:r w:rsidRPr="00804482">
        <w:t xml:space="preserve">and the underlying risk variable is the market price of the Other Managed Fund unit; </w:t>
      </w:r>
    </w:p>
    <w:p w14:paraId="4B51C053" w14:textId="77777777" w:rsidR="00CA2E4E" w:rsidRPr="00804482" w:rsidRDefault="00CA2E4E" w:rsidP="003D34F3">
      <w:pPr>
        <w:pStyle w:val="MIRSubpara"/>
        <w:spacing w:line="280" w:lineRule="atLeast"/>
      </w:pPr>
      <w:r w:rsidRPr="00804482">
        <w:t xml:space="preserve">the Other Managed Fund cannot be broken down into any notional positions in the underlying; </w:t>
      </w:r>
    </w:p>
    <w:p w14:paraId="1A4C068C" w14:textId="77777777" w:rsidR="00CA2E4E" w:rsidRPr="00804482" w:rsidRDefault="00CA2E4E" w:rsidP="003D34F3">
      <w:pPr>
        <w:pStyle w:val="MIRSubpara"/>
        <w:spacing w:line="280" w:lineRule="atLeast"/>
      </w:pPr>
      <w:r w:rsidRPr="00804482">
        <w:t xml:space="preserve">the Position Risk Factors to be applied are set out in Rule A5.1.2B; </w:t>
      </w:r>
    </w:p>
    <w:p w14:paraId="71A3ECE4" w14:textId="0A4C002F" w:rsidR="00CA2E4E" w:rsidRPr="00804482" w:rsidRDefault="00CA2E4E" w:rsidP="003D34F3">
      <w:pPr>
        <w:pStyle w:val="MIRSubpara"/>
        <w:spacing w:line="280" w:lineRule="atLeast"/>
      </w:pPr>
      <w:r w:rsidRPr="00804482">
        <w:t xml:space="preserve">if the Market Participant is unlikely to be able to liquidate its position in an Other Managed Fund within </w:t>
      </w:r>
      <w:r w:rsidR="002A00A6">
        <w:t>31</w:t>
      </w:r>
      <w:r w:rsidR="002A00A6" w:rsidRPr="00804482">
        <w:t xml:space="preserve"> </w:t>
      </w:r>
      <w:r w:rsidRPr="00804482">
        <w:t xml:space="preserve">days, taking into account factors including the size of its </w:t>
      </w:r>
      <w:r w:rsidRPr="00804482">
        <w:lastRenderedPageBreak/>
        <w:t xml:space="preserve">position relative to the size of the fund, it must treat the position as an Excluded Asset and exclude the market value of that position from Liquid Capital; and </w:t>
      </w:r>
    </w:p>
    <w:p w14:paraId="38C3E455" w14:textId="77777777" w:rsidR="00CA2E4E" w:rsidRPr="00804482" w:rsidRDefault="00CA2E4E" w:rsidP="003D34F3">
      <w:pPr>
        <w:pStyle w:val="MIRSubpara"/>
        <w:spacing w:line="280" w:lineRule="atLeast"/>
      </w:pPr>
      <w:r w:rsidRPr="00804482">
        <w:t xml:space="preserve">if a daily price cannot be obtained and/or if the number of units on issue cannot be determined on a daily basis, the position must be treated as an Excluded Asset on the basis that it would not be possible to value the investment in accordance with the requirements of Rule S1A.2.8. </w:t>
      </w:r>
    </w:p>
    <w:p w14:paraId="4E1B744F" w14:textId="77777777" w:rsidR="00CA2E4E" w:rsidRPr="0033698E" w:rsidRDefault="00CA2E4E" w:rsidP="00CA2E4E">
      <w:pPr>
        <w:pStyle w:val="MIRHeading3Rule"/>
      </w:pPr>
      <w:r w:rsidRPr="004E5622">
        <w:t>A3.10.2C</w:t>
      </w:r>
      <w:r w:rsidRPr="0033698E">
        <w:tab/>
        <w:t xml:space="preserve">Treatment—Cash management trusts </w:t>
      </w:r>
    </w:p>
    <w:p w14:paraId="0E49D5F7" w14:textId="77777777" w:rsidR="00CA2E4E" w:rsidRPr="0033698E" w:rsidRDefault="00CA2E4E" w:rsidP="003D34F3">
      <w:pPr>
        <w:pStyle w:val="MIRBodyText"/>
        <w:spacing w:line="280" w:lineRule="atLeast"/>
      </w:pPr>
      <w:r w:rsidRPr="0033698E">
        <w:t xml:space="preserve">For the purposes of the calculation of a position risk amount, an investment in a cash management trust, even if offered by an Approved Deposit Taking Institution or its subsidiary: </w:t>
      </w:r>
    </w:p>
    <w:p w14:paraId="41A22159" w14:textId="77777777" w:rsidR="00CA2E4E" w:rsidRPr="00804482" w:rsidRDefault="00CA2E4E" w:rsidP="003D34F3">
      <w:pPr>
        <w:pStyle w:val="MIRSubpara"/>
        <w:spacing w:line="280" w:lineRule="atLeast"/>
      </w:pPr>
      <w:r w:rsidRPr="00804482">
        <w:t xml:space="preserve">is not a deposit with the Approved Deposit Taking Institution where it is not capital guaranteed and is subject to investment risk; </w:t>
      </w:r>
    </w:p>
    <w:p w14:paraId="03E62B27" w14:textId="77777777" w:rsidR="00CA2E4E" w:rsidRPr="00804482" w:rsidRDefault="00CA2E4E" w:rsidP="003D34F3">
      <w:pPr>
        <w:pStyle w:val="MIRSubpara"/>
        <w:spacing w:line="280" w:lineRule="atLeast"/>
      </w:pPr>
      <w:r w:rsidRPr="00804482">
        <w:t xml:space="preserve">where the cash management trust meets the definition of a Hybrid ETF or Other Managed Fund, may be treated accordingly; and </w:t>
      </w:r>
    </w:p>
    <w:p w14:paraId="30122626" w14:textId="77777777" w:rsidR="00CA2E4E" w:rsidRPr="00804482" w:rsidRDefault="00CA2E4E" w:rsidP="003D34F3">
      <w:pPr>
        <w:pStyle w:val="MIRSubpara"/>
        <w:spacing w:line="280" w:lineRule="atLeast"/>
      </w:pPr>
      <w:r w:rsidRPr="00804482">
        <w:t xml:space="preserve">where the cash management trust does not meet the definition of a Hybrid ETF or Other Managed Fund, must be treated as an Excluded Asset. </w:t>
      </w:r>
    </w:p>
    <w:p w14:paraId="434E555F" w14:textId="77777777" w:rsidR="00CA2E4E" w:rsidRPr="0033698E" w:rsidRDefault="00CA2E4E" w:rsidP="00CA2E4E">
      <w:pPr>
        <w:pStyle w:val="MIRHeading3Rule"/>
      </w:pPr>
      <w:r w:rsidRPr="004E5622">
        <w:t>A3.10.2D</w:t>
      </w:r>
      <w:r w:rsidRPr="0033698E">
        <w:tab/>
        <w:t xml:space="preserve">Treatment—Securities subject to trading halt or suspension </w:t>
      </w:r>
    </w:p>
    <w:p w14:paraId="2F2E07FC" w14:textId="77777777" w:rsidR="00CA2E4E" w:rsidRPr="0033698E" w:rsidRDefault="00CA2E4E" w:rsidP="003D34F3">
      <w:pPr>
        <w:pStyle w:val="MIRBodyText"/>
        <w:spacing w:line="280" w:lineRule="atLeast"/>
      </w:pPr>
      <w:r w:rsidRPr="0033698E">
        <w:t xml:space="preserve">Where a Market Participant holds a principal position in a listed debt security that is subject to: </w:t>
      </w:r>
    </w:p>
    <w:p w14:paraId="13F52CA9" w14:textId="77777777" w:rsidR="00CA2E4E" w:rsidRPr="00804482" w:rsidRDefault="00CA2E4E" w:rsidP="003D34F3">
      <w:pPr>
        <w:pStyle w:val="MIRSubpara"/>
        <w:spacing w:line="280" w:lineRule="atLeast"/>
      </w:pPr>
      <w:r w:rsidRPr="00804482">
        <w:t xml:space="preserve">a trading halt, the position does not have to be treated as an Excluded Asset (where the position otherwise meets the definition of Liquid) and a debt position risk amount must be calculated; </w:t>
      </w:r>
    </w:p>
    <w:p w14:paraId="3FBF0844" w14:textId="77777777" w:rsidR="00CA2E4E" w:rsidRPr="00804482" w:rsidRDefault="00CA2E4E" w:rsidP="003D34F3">
      <w:pPr>
        <w:pStyle w:val="MIRSubpara"/>
        <w:spacing w:line="280" w:lineRule="atLeast"/>
      </w:pPr>
      <w:r w:rsidRPr="00804482">
        <w:t xml:space="preserve">suspension, the position must be treated as an Excluded Asset on the basis that the security is not Liquid. </w:t>
      </w:r>
    </w:p>
    <w:p w14:paraId="67808B24" w14:textId="77777777" w:rsidR="00CA2E4E" w:rsidRPr="0033698E" w:rsidRDefault="00CA2E4E" w:rsidP="00CA2E4E">
      <w:pPr>
        <w:pStyle w:val="MIRHeading2Part"/>
      </w:pPr>
      <w:bookmarkStart w:id="58" w:name="_Toc27492588"/>
      <w:r w:rsidRPr="0033698E">
        <w:t>Part A3.11</w:t>
      </w:r>
      <w:r w:rsidRPr="0033698E">
        <w:tab/>
        <w:t>Standard method—Debt position risk</w:t>
      </w:r>
      <w:bookmarkEnd w:id="58"/>
      <w:r w:rsidRPr="0033698E">
        <w:t xml:space="preserve"> </w:t>
      </w:r>
    </w:p>
    <w:p w14:paraId="4966DD29" w14:textId="7B0E0FAE" w:rsidR="00CA2E4E" w:rsidRPr="0033698E" w:rsidRDefault="00CA2E4E" w:rsidP="00CA2E4E">
      <w:pPr>
        <w:pStyle w:val="MIRHeading3Rule"/>
      </w:pPr>
      <w:r w:rsidRPr="007A72D8">
        <w:t>A3.11.1</w:t>
      </w:r>
      <w:r w:rsidR="00463DDB" w:rsidRPr="007A72D8">
        <w:tab/>
      </w:r>
      <w:r w:rsidR="007A72D8" w:rsidRPr="0033698E">
        <w:tab/>
      </w:r>
      <w:r w:rsidRPr="0033698E">
        <w:t>Application</w:t>
      </w:r>
    </w:p>
    <w:p w14:paraId="0A3F5C1E" w14:textId="77777777" w:rsidR="00CA2E4E" w:rsidRPr="0033698E" w:rsidRDefault="00CA2E4E" w:rsidP="00CA2E4E">
      <w:pPr>
        <w:pStyle w:val="MIRBodyText"/>
      </w:pPr>
      <w:r w:rsidRPr="0033698E">
        <w:t xml:space="preserve">Only physical Debt Instrument positions may be included in the standard method. </w:t>
      </w:r>
    </w:p>
    <w:p w14:paraId="3BBDA5CB" w14:textId="657C9147" w:rsidR="00CA2E4E" w:rsidRPr="0033698E" w:rsidRDefault="00CA2E4E" w:rsidP="00CA2E4E">
      <w:pPr>
        <w:pStyle w:val="MIRHeading3Rule"/>
      </w:pPr>
      <w:r w:rsidRPr="007A72D8">
        <w:t>A3.11.2</w:t>
      </w:r>
      <w:r w:rsidR="00463DDB">
        <w:tab/>
      </w:r>
      <w:r w:rsidR="007A72D8" w:rsidRPr="0033698E">
        <w:tab/>
      </w:r>
      <w:r w:rsidRPr="0033698E">
        <w:t>Method</w:t>
      </w:r>
    </w:p>
    <w:p w14:paraId="758E2DBE" w14:textId="7211C87D" w:rsidR="00CA2E4E" w:rsidRPr="0033698E" w:rsidRDefault="00CA2E4E" w:rsidP="00CA2E4E">
      <w:pPr>
        <w:pStyle w:val="MIRBodyText"/>
      </w:pPr>
      <w:r w:rsidRPr="0033698E">
        <w:t>(1) Subject to subrule (3), the position risk amount for debt positions to which the standard method is applied is the absolute sum of the product of individual Debt Net Positions at the mark</w:t>
      </w:r>
      <w:r w:rsidR="00A36FC3">
        <w:t>-</w:t>
      </w:r>
      <w:r w:rsidRPr="0033698E">
        <w:t>to</w:t>
      </w:r>
      <w:r w:rsidR="00A36FC3">
        <w:t>-</w:t>
      </w:r>
      <w:r w:rsidRPr="0033698E">
        <w:t xml:space="preserve">market value and the applicable Position Risk Factor specified in Table A5.1.2 in Annexure 5 to Schedule 1A. </w:t>
      </w:r>
    </w:p>
    <w:p w14:paraId="6A7DB96C" w14:textId="77777777" w:rsidR="00CA2E4E" w:rsidRPr="0033698E" w:rsidRDefault="00CA2E4E" w:rsidP="00CA2E4E">
      <w:pPr>
        <w:pStyle w:val="MIRBodyText"/>
      </w:pPr>
      <w:r w:rsidRPr="0033698E">
        <w:t xml:space="preserve">(2) In determining the applicable Position Risk Factor for the purposes of subrule (1): </w:t>
      </w:r>
    </w:p>
    <w:p w14:paraId="743F578C" w14:textId="77777777" w:rsidR="00CA2E4E" w:rsidRPr="00804482" w:rsidRDefault="00CA2E4E" w:rsidP="00CA2E4E">
      <w:pPr>
        <w:pStyle w:val="MIRSubpara"/>
      </w:pPr>
      <w:r w:rsidRPr="00804482">
        <w:t xml:space="preserve">the coupon applicable to the Debt Net Position will determine the time band and Position Risk Factor; </w:t>
      </w:r>
    </w:p>
    <w:p w14:paraId="3D0E849B" w14:textId="77777777" w:rsidR="00CA2E4E" w:rsidRPr="00804482" w:rsidRDefault="00CA2E4E" w:rsidP="009B0BF5">
      <w:pPr>
        <w:pStyle w:val="MIRSubpara"/>
        <w:spacing w:line="320" w:lineRule="atLeast"/>
      </w:pPr>
      <w:r w:rsidRPr="00804482">
        <w:lastRenderedPageBreak/>
        <w:t>the Position Risk Factors and time bands for any Debt Instrument that does not have a coupon (for example, zero coupon bonds and bank bills) wil</w:t>
      </w:r>
      <w:r>
        <w:t xml:space="preserve">l generally be the same as for </w:t>
      </w:r>
      <w:r w:rsidRPr="00804482">
        <w:t xml:space="preserve">bonds with a coupon of less than 3%; </w:t>
      </w:r>
    </w:p>
    <w:p w14:paraId="7101F39D" w14:textId="77777777" w:rsidR="00CA2E4E" w:rsidRPr="00804482" w:rsidRDefault="00CA2E4E" w:rsidP="009B0BF5">
      <w:pPr>
        <w:pStyle w:val="MIRSubpara"/>
        <w:spacing w:line="320" w:lineRule="atLeast"/>
      </w:pPr>
      <w:r w:rsidRPr="00804482">
        <w:t xml:space="preserve">fixed rate instruments should be allocated to a time band on the basis of the residual term to maturity; and </w:t>
      </w:r>
    </w:p>
    <w:p w14:paraId="72EBCEE9" w14:textId="77777777" w:rsidR="00CA2E4E" w:rsidRPr="00804482" w:rsidRDefault="00CA2E4E" w:rsidP="009B0BF5">
      <w:pPr>
        <w:pStyle w:val="MIRSubpara"/>
        <w:spacing w:line="320" w:lineRule="atLeast"/>
      </w:pPr>
      <w:r w:rsidRPr="00804482">
        <w:t xml:space="preserve">floating rate instruments should be allocated to a time band on the basis of the residual term to the next repricing date. </w:t>
      </w:r>
    </w:p>
    <w:p w14:paraId="5B6DAAAB" w14:textId="77777777" w:rsidR="00CA2E4E" w:rsidRPr="00804482" w:rsidRDefault="00CA2E4E" w:rsidP="009B0BF5">
      <w:pPr>
        <w:pStyle w:val="MIRBodyText"/>
        <w:spacing w:line="320" w:lineRule="atLeast"/>
      </w:pPr>
      <w:r w:rsidRPr="00804482">
        <w:t xml:space="preserve">(3) Where a Market Participant: </w:t>
      </w:r>
    </w:p>
    <w:p w14:paraId="19393CDD" w14:textId="77777777" w:rsidR="00CA2E4E" w:rsidRPr="00804482" w:rsidRDefault="00CA2E4E" w:rsidP="009B0BF5">
      <w:pPr>
        <w:pStyle w:val="MIRSubpara"/>
        <w:spacing w:line="320" w:lineRule="atLeast"/>
      </w:pPr>
      <w:r w:rsidRPr="00804482">
        <w:t xml:space="preserve">is not an active trader in bank bills; and </w:t>
      </w:r>
    </w:p>
    <w:p w14:paraId="43E09C7D" w14:textId="77777777" w:rsidR="00CA2E4E" w:rsidRPr="00804482" w:rsidRDefault="00CA2E4E" w:rsidP="009B0BF5">
      <w:pPr>
        <w:pStyle w:val="MIRSubpara"/>
        <w:spacing w:line="320" w:lineRule="atLeast"/>
      </w:pPr>
      <w:r w:rsidRPr="00804482">
        <w:t xml:space="preserve">holds bank bills as a passive investment, with the intention that the bank bills be held to maturity, </w:t>
      </w:r>
    </w:p>
    <w:p w14:paraId="1AE035B6" w14:textId="77777777" w:rsidR="00CA2E4E" w:rsidRPr="0033698E" w:rsidRDefault="00CA2E4E" w:rsidP="009B0BF5">
      <w:pPr>
        <w:pStyle w:val="MIRBodyText"/>
        <w:spacing w:line="320" w:lineRule="atLeast"/>
      </w:pPr>
      <w:r w:rsidRPr="0033698E">
        <w:t>the Market Participant may calculate the position risk amount under this method as the face value of the bills multiplied by the applicable Position Risk Factor specified in Table</w:t>
      </w:r>
      <w:r>
        <w:t> </w:t>
      </w:r>
      <w:r w:rsidRPr="0033698E">
        <w:t>A5.1.2</w:t>
      </w:r>
      <w:r>
        <w:t xml:space="preserve"> in Annexure 5 to Schedule 1A.</w:t>
      </w:r>
    </w:p>
    <w:p w14:paraId="338AEC99" w14:textId="77777777" w:rsidR="00CA2E4E" w:rsidRPr="0033698E" w:rsidRDefault="00CA2E4E" w:rsidP="00CA2E4E">
      <w:pPr>
        <w:pStyle w:val="MIRHeading2Part"/>
      </w:pPr>
      <w:bookmarkStart w:id="59" w:name="_Toc27492589"/>
      <w:r w:rsidRPr="0033698E">
        <w:t>Part A3.14</w:t>
      </w:r>
      <w:r w:rsidRPr="0033698E">
        <w:tab/>
        <w:t>Margin method—Debt position risk</w:t>
      </w:r>
      <w:bookmarkEnd w:id="59"/>
      <w:r w:rsidRPr="0033698E">
        <w:t xml:space="preserve"> </w:t>
      </w:r>
    </w:p>
    <w:p w14:paraId="73A379D4" w14:textId="1111F67A" w:rsidR="00CA2E4E" w:rsidRPr="0033698E" w:rsidRDefault="00CA2E4E" w:rsidP="00CA2E4E">
      <w:pPr>
        <w:pStyle w:val="MIRHeading3Rule"/>
      </w:pPr>
      <w:r w:rsidRPr="00871841">
        <w:t>A3.14.1</w:t>
      </w:r>
      <w:r w:rsidR="00871841">
        <w:tab/>
      </w:r>
      <w:r w:rsidRPr="00871841">
        <w:tab/>
      </w:r>
      <w:r w:rsidRPr="0033698E">
        <w:t xml:space="preserve">Application </w:t>
      </w:r>
    </w:p>
    <w:p w14:paraId="12E712C2" w14:textId="5CB1DA92" w:rsidR="00CA2E4E" w:rsidRPr="009B6049" w:rsidRDefault="00CA2E4E" w:rsidP="009B0BF5">
      <w:pPr>
        <w:pStyle w:val="MIRBodyText"/>
        <w:spacing w:line="320" w:lineRule="atLeast"/>
        <w:rPr>
          <w:color w:val="000000"/>
        </w:rPr>
      </w:pPr>
      <w:r w:rsidRPr="006C32CB">
        <w:rPr>
          <w:color w:val="000000"/>
        </w:rPr>
        <w:t xml:space="preserve">Debt Derivative positions which are exchange traded and have a positive Primary Margin Requirement must be included in the margin method if the Market Participant </w:t>
      </w:r>
      <w:r w:rsidRPr="009B6049">
        <w:rPr>
          <w:color w:val="000000"/>
        </w:rPr>
        <w:t xml:space="preserve">is not permitted to use any of the other methods referred to in Rule A3.10.2. </w:t>
      </w:r>
    </w:p>
    <w:p w14:paraId="45C75EA3" w14:textId="22BB4FCC" w:rsidR="00CA2E4E" w:rsidRPr="0033698E" w:rsidRDefault="00CA2E4E" w:rsidP="009926F2">
      <w:pPr>
        <w:pStyle w:val="MIRHeading3"/>
        <w:spacing w:before="440"/>
      </w:pPr>
      <w:r w:rsidRPr="00871841">
        <w:t>A3.14.2</w:t>
      </w:r>
      <w:r w:rsidR="00871841">
        <w:tab/>
      </w:r>
      <w:r w:rsidRPr="00871841">
        <w:tab/>
      </w:r>
      <w:r w:rsidRPr="0033698E">
        <w:t xml:space="preserve">Method </w:t>
      </w:r>
    </w:p>
    <w:p w14:paraId="0C867BF8" w14:textId="0C522293" w:rsidR="00CA2E4E" w:rsidRPr="0033698E" w:rsidRDefault="00CA2E4E" w:rsidP="009B0BF5">
      <w:pPr>
        <w:pStyle w:val="MIRBodyText"/>
        <w:spacing w:before="240" w:line="320" w:lineRule="atLeast"/>
      </w:pPr>
      <w:r w:rsidRPr="0033698E">
        <w:t xml:space="preserve">The position risk amount for Debt Derivative positions under the margin method is 100% of the Primary Margin Requirement for those Debt Derivative positions as determined by the relevant exchange or clearing house in respect of each position multiplied by </w:t>
      </w:r>
      <w:r w:rsidR="00841F06">
        <w:t>four</w:t>
      </w:r>
      <w:r w:rsidRPr="0033698E">
        <w:t xml:space="preserve">. </w:t>
      </w:r>
    </w:p>
    <w:p w14:paraId="1E4E8A06" w14:textId="77777777" w:rsidR="00CA2E4E" w:rsidRPr="0033698E" w:rsidRDefault="00CA2E4E" w:rsidP="00CA2E4E">
      <w:pPr>
        <w:pStyle w:val="MIRHeading2Part"/>
      </w:pPr>
      <w:bookmarkStart w:id="60" w:name="_Toc27492590"/>
      <w:bookmarkStart w:id="61" w:name="_Hlk23845776"/>
      <w:r w:rsidRPr="0033698E">
        <w:t>Part A3.15</w:t>
      </w:r>
      <w:r w:rsidRPr="0033698E">
        <w:tab/>
        <w:t>Basic method—Debt position risk</w:t>
      </w:r>
      <w:bookmarkEnd w:id="60"/>
      <w:r w:rsidRPr="0033698E">
        <w:t xml:space="preserve"> </w:t>
      </w:r>
    </w:p>
    <w:p w14:paraId="4611D31C" w14:textId="14D82FF2" w:rsidR="00CA2E4E" w:rsidRPr="0033698E" w:rsidRDefault="00CA2E4E" w:rsidP="009926F2">
      <w:pPr>
        <w:pStyle w:val="MIRHeading3Rule"/>
        <w:spacing w:before="440"/>
      </w:pPr>
      <w:r w:rsidRPr="00871841">
        <w:t>A3.15.1</w:t>
      </w:r>
      <w:r w:rsidRPr="00871841">
        <w:tab/>
      </w:r>
      <w:r w:rsidR="00871841">
        <w:tab/>
      </w:r>
      <w:r w:rsidRPr="0033698E">
        <w:t xml:space="preserve">Application </w:t>
      </w:r>
    </w:p>
    <w:p w14:paraId="34DCA53A" w14:textId="77777777" w:rsidR="00CA2E4E" w:rsidRPr="0033698E" w:rsidRDefault="00CA2E4E" w:rsidP="009B0BF5">
      <w:pPr>
        <w:pStyle w:val="MIRBodyText"/>
        <w:spacing w:before="240" w:line="320" w:lineRule="atLeast"/>
      </w:pPr>
      <w:r w:rsidRPr="0033698E">
        <w:t xml:space="preserve">Debt Derivative positions which are purchased (long) or written (short) Options may be included in the basic method. </w:t>
      </w:r>
    </w:p>
    <w:p w14:paraId="0FBB6390" w14:textId="4FF38463" w:rsidR="00CA2E4E" w:rsidRPr="0033698E" w:rsidRDefault="00CA2E4E" w:rsidP="00413505">
      <w:pPr>
        <w:pStyle w:val="MIRHeading3Rule"/>
        <w:keepNext/>
        <w:spacing w:before="440"/>
      </w:pPr>
      <w:r w:rsidRPr="00871841">
        <w:lastRenderedPageBreak/>
        <w:t>A3.15.2</w:t>
      </w:r>
      <w:r w:rsidRPr="0033698E">
        <w:tab/>
      </w:r>
      <w:r w:rsidR="00871841">
        <w:tab/>
      </w:r>
      <w:r w:rsidRPr="0033698E">
        <w:t xml:space="preserve">Method </w:t>
      </w:r>
    </w:p>
    <w:p w14:paraId="22E73559" w14:textId="77777777" w:rsidR="00CA2E4E" w:rsidRPr="0033698E" w:rsidRDefault="00CA2E4E" w:rsidP="009B0BF5">
      <w:pPr>
        <w:pStyle w:val="MIRBodyText"/>
        <w:keepNext/>
        <w:spacing w:before="240"/>
      </w:pPr>
      <w:r w:rsidRPr="0033698E">
        <w:t xml:space="preserve">(1) The position risk amount for a purchased Option is the lesser of: </w:t>
      </w:r>
    </w:p>
    <w:p w14:paraId="1AF66D5A" w14:textId="4B0C8E24" w:rsidR="00CA2E4E" w:rsidRPr="00804482" w:rsidRDefault="00CA2E4E" w:rsidP="009926F2">
      <w:pPr>
        <w:pStyle w:val="MIRSubpara"/>
        <w:spacing w:before="120"/>
      </w:pPr>
      <w:r w:rsidRPr="00804482">
        <w:t>the mark</w:t>
      </w:r>
      <w:r w:rsidR="00A36FC3">
        <w:t>-</w:t>
      </w:r>
      <w:r w:rsidRPr="00804482">
        <w:t>to</w:t>
      </w:r>
      <w:r w:rsidR="00A36FC3">
        <w:t>-</w:t>
      </w:r>
      <w:r w:rsidRPr="00804482">
        <w:t xml:space="preserve">market value of the underlying debt position multiplied by the standard method Position Risk Factor for the underlying position specified in Table A5.1.2 in Annexure 5 to Schedule 1A; and </w:t>
      </w:r>
    </w:p>
    <w:p w14:paraId="7ACDDD40" w14:textId="48BBF84B" w:rsidR="00CA2E4E" w:rsidRPr="00804482" w:rsidRDefault="00CA2E4E" w:rsidP="009926F2">
      <w:pPr>
        <w:pStyle w:val="MIRSubpara"/>
        <w:spacing w:before="120"/>
      </w:pPr>
      <w:r w:rsidRPr="00804482">
        <w:t>the mark</w:t>
      </w:r>
      <w:r w:rsidR="00A36FC3">
        <w:t>-</w:t>
      </w:r>
      <w:r w:rsidRPr="00804482">
        <w:t>to</w:t>
      </w:r>
      <w:r w:rsidR="00A36FC3">
        <w:t>-</w:t>
      </w:r>
      <w:r w:rsidRPr="00804482">
        <w:t xml:space="preserve">market value of the Option, </w:t>
      </w:r>
    </w:p>
    <w:p w14:paraId="46ADCBFF" w14:textId="77777777" w:rsidR="00CA2E4E" w:rsidRPr="0033698E" w:rsidRDefault="00CA2E4E" w:rsidP="009926F2">
      <w:pPr>
        <w:pStyle w:val="MIRBodyText"/>
        <w:spacing w:before="240"/>
      </w:pPr>
      <w:r w:rsidRPr="0033698E">
        <w:t xml:space="preserve">where: </w:t>
      </w:r>
    </w:p>
    <w:p w14:paraId="1477D71F" w14:textId="77777777" w:rsidR="00CA2E4E" w:rsidRPr="00804482" w:rsidRDefault="00CA2E4E" w:rsidP="009926F2">
      <w:pPr>
        <w:pStyle w:val="MIRSubpara"/>
        <w:numPr>
          <w:ilvl w:val="1"/>
          <w:numId w:val="24"/>
        </w:numPr>
        <w:spacing w:before="120"/>
      </w:pPr>
      <w:r w:rsidRPr="00804482">
        <w:t xml:space="preserve">subject to paragraph (d), the notional market value of the physical position underlying the Option is the price the Market Participant would have to pay for the Debt Instrument underlying the Option if it were to take a long position in that instrument at current interest rates; </w:t>
      </w:r>
    </w:p>
    <w:p w14:paraId="54847FCD" w14:textId="62A87E86" w:rsidR="00CA2E4E" w:rsidRPr="00804482" w:rsidRDefault="00CA2E4E" w:rsidP="00FB4E7C">
      <w:pPr>
        <w:pStyle w:val="MIRSubpara"/>
        <w:numPr>
          <w:ilvl w:val="1"/>
          <w:numId w:val="115"/>
        </w:numPr>
        <w:spacing w:before="120"/>
      </w:pPr>
      <w:r w:rsidRPr="00804482">
        <w:t xml:space="preserve">the Option is over a Futures contract over a physical Debt Instrument, the notional position should be in the physical Debt Instrument. </w:t>
      </w:r>
    </w:p>
    <w:p w14:paraId="7A27B682" w14:textId="4CE273C0" w:rsidR="00CA2E4E" w:rsidRPr="0033698E" w:rsidRDefault="00CA2E4E" w:rsidP="009926F2">
      <w:pPr>
        <w:pStyle w:val="MIRBodyText"/>
        <w:spacing w:before="160"/>
      </w:pPr>
      <w:r w:rsidRPr="0033698E">
        <w:t>(2) The position risk amount for a written Option is the mark</w:t>
      </w:r>
      <w:r w:rsidR="00A36FC3">
        <w:t>-</w:t>
      </w:r>
      <w:r w:rsidRPr="0033698E">
        <w:t>to</w:t>
      </w:r>
      <w:r w:rsidR="00A36FC3">
        <w:t>-</w:t>
      </w:r>
      <w:r w:rsidRPr="0033698E">
        <w:t xml:space="preserve">market value of the underlying debt position multiplied by the standard method Position Risk Factor for the underlying position specified in Table A5.1.2 in Annexure 5 to Schedule 1A reduced by: </w:t>
      </w:r>
    </w:p>
    <w:p w14:paraId="60918DAA" w14:textId="77777777" w:rsidR="00CA2E4E" w:rsidRPr="00804482" w:rsidRDefault="00CA2E4E" w:rsidP="009926F2">
      <w:pPr>
        <w:pStyle w:val="MIRSubpara"/>
        <w:spacing w:before="120"/>
      </w:pPr>
      <w:r w:rsidRPr="00804482">
        <w:t xml:space="preserve">any excess of the exercise value over the current market value of the underlying position in the case of a call Option, but limited to nil if it would otherwise be negative; or </w:t>
      </w:r>
    </w:p>
    <w:p w14:paraId="4AF496F0" w14:textId="77777777" w:rsidR="00CA2E4E" w:rsidRPr="00804482" w:rsidRDefault="00CA2E4E" w:rsidP="009926F2">
      <w:pPr>
        <w:pStyle w:val="MIRSubpara"/>
        <w:spacing w:before="120"/>
      </w:pPr>
      <w:r w:rsidRPr="00804482">
        <w:t xml:space="preserve">any excess of the current market value of the underlying position over the exercise value in the case of a put Option, but limited to nil if it would otherwise be negative. </w:t>
      </w:r>
    </w:p>
    <w:p w14:paraId="244F4969" w14:textId="30DB6442" w:rsidR="00CA2E4E" w:rsidRPr="0033698E" w:rsidRDefault="00CA2E4E" w:rsidP="009926F2">
      <w:pPr>
        <w:pStyle w:val="MIRHeading2Part"/>
      </w:pPr>
      <w:bookmarkStart w:id="62" w:name="_Toc469050942"/>
      <w:bookmarkStart w:id="63" w:name="_Toc27492591"/>
      <w:bookmarkEnd w:id="61"/>
      <w:r w:rsidRPr="0033698E">
        <w:t>Part A3.16</w:t>
      </w:r>
      <w:r w:rsidRPr="0033698E">
        <w:tab/>
        <w:t>Calculation of Debt Equivalent positions—Debt position risk</w:t>
      </w:r>
      <w:bookmarkEnd w:id="62"/>
      <w:bookmarkEnd w:id="63"/>
    </w:p>
    <w:p w14:paraId="10BFFAEB" w14:textId="7B674D01" w:rsidR="00CA2E4E" w:rsidRPr="0033698E" w:rsidRDefault="00CA2E4E" w:rsidP="009926F2">
      <w:pPr>
        <w:pStyle w:val="MIRHeading3Rule"/>
        <w:keepNext/>
        <w:spacing w:before="440"/>
      </w:pPr>
      <w:r w:rsidRPr="00871841">
        <w:t>A3.16.1</w:t>
      </w:r>
      <w:r w:rsidR="00871841">
        <w:tab/>
      </w:r>
      <w:r w:rsidRPr="0033698E">
        <w:tab/>
        <w:t xml:space="preserve">Swaps </w:t>
      </w:r>
    </w:p>
    <w:p w14:paraId="3009BE92" w14:textId="6AC1FADC" w:rsidR="00CA2E4E" w:rsidRPr="0033698E" w:rsidRDefault="00CA2E4E" w:rsidP="009926F2">
      <w:pPr>
        <w:pStyle w:val="MIRBodyText"/>
        <w:spacing w:before="240"/>
      </w:pPr>
      <w:r w:rsidRPr="0033698E">
        <w:rPr>
          <w:color w:val="000000"/>
        </w:rPr>
        <w:t xml:space="preserve">The Debt Equivalent for a Swap is two notional positions, one for each leg of the Swap under which: </w:t>
      </w:r>
    </w:p>
    <w:p w14:paraId="00E0BF89" w14:textId="77777777" w:rsidR="00CA2E4E" w:rsidRPr="00804482" w:rsidRDefault="00CA2E4E" w:rsidP="009926F2">
      <w:pPr>
        <w:pStyle w:val="MIRSubpara"/>
        <w:spacing w:before="120"/>
      </w:pPr>
      <w:r w:rsidRPr="00804482">
        <w:t xml:space="preserve">there is a notional long position in a Debt Instrument or Debt Derivative on the leg of the Swap on which interest is received with a maturity equal to either the next interest reset date for a floating rate payment or the maturity of the Swap for a fixed rate payment; and </w:t>
      </w:r>
    </w:p>
    <w:p w14:paraId="49208BBD" w14:textId="77777777" w:rsidR="00CA2E4E" w:rsidRPr="00804482" w:rsidRDefault="00CA2E4E" w:rsidP="009926F2">
      <w:pPr>
        <w:pStyle w:val="MIRSubpara"/>
        <w:spacing w:before="120"/>
      </w:pPr>
      <w:r w:rsidRPr="00804482">
        <w:t xml:space="preserve">there is a </w:t>
      </w:r>
      <w:r w:rsidRPr="00F831C0">
        <w:t xml:space="preserve">notional short position in a Debt </w:t>
      </w:r>
      <w:r w:rsidRPr="00804482">
        <w:t xml:space="preserve">Instrument or Debt Derivative on the leg of the Swap on which interest is paid with a maturity equal to either the next interest reset date for a floating rate payment or the maturity of the Swap for a fixed rate payment. </w:t>
      </w:r>
    </w:p>
    <w:p w14:paraId="009DA882" w14:textId="2F36FC6C" w:rsidR="00CA2E4E" w:rsidRDefault="00CA2E4E" w:rsidP="009926F2">
      <w:pPr>
        <w:pStyle w:val="MIRBodyText"/>
        <w:spacing w:before="240"/>
      </w:pPr>
      <w:r w:rsidRPr="0033698E">
        <w:t xml:space="preserve">If one of the legs of the Swap provides for payment or receipt based on some reference to an Equity or Equity Derivative, the position risk amount for that leg of the Swap should be assessed in accordance with Parts A3.1 to A3.9. </w:t>
      </w:r>
    </w:p>
    <w:p w14:paraId="6B7E88A2" w14:textId="74B46A83" w:rsidR="00381A4C" w:rsidRPr="004563CF" w:rsidRDefault="00381A4C" w:rsidP="00381A4C">
      <w:pPr>
        <w:pStyle w:val="MIRBodyText"/>
        <w:spacing w:before="240"/>
      </w:pPr>
      <w:r w:rsidRPr="004563CF">
        <w:lastRenderedPageBreak/>
        <w:t>If one of the legs of the Swap provides for payment or receipt based on some reference to a Commodity or Commodity Derivative, the position risk amount for that leg of the Swap should be assessed in accordance with Part A3.23</w:t>
      </w:r>
      <w:r w:rsidR="006B76BE">
        <w:t xml:space="preserve"> to A3.28</w:t>
      </w:r>
      <w:r w:rsidR="005A595A">
        <w:t>.</w:t>
      </w:r>
    </w:p>
    <w:p w14:paraId="3B562FCF" w14:textId="5AF9E0D4" w:rsidR="00CA2E4E" w:rsidRPr="0033698E" w:rsidRDefault="00CA2E4E" w:rsidP="009B0BF5">
      <w:pPr>
        <w:pStyle w:val="MIRHeading3Rule"/>
        <w:keepNext/>
        <w:spacing w:before="440"/>
      </w:pPr>
      <w:r w:rsidRPr="00871841">
        <w:t>A3.16.2</w:t>
      </w:r>
      <w:r w:rsidR="00871841">
        <w:tab/>
      </w:r>
      <w:r w:rsidRPr="0033698E">
        <w:tab/>
        <w:t xml:space="preserve">Options </w:t>
      </w:r>
    </w:p>
    <w:p w14:paraId="7474F4F5" w14:textId="77777777" w:rsidR="00CA2E4E" w:rsidRPr="0033698E" w:rsidRDefault="00CA2E4E" w:rsidP="009926F2">
      <w:pPr>
        <w:pStyle w:val="MIRBodyText"/>
        <w:spacing w:before="240"/>
      </w:pPr>
      <w:r w:rsidRPr="0033698E">
        <w:t xml:space="preserve">(1) The Debt Equivalent for an Option is: </w:t>
      </w:r>
    </w:p>
    <w:p w14:paraId="45E661BA" w14:textId="77777777" w:rsidR="00CA2E4E" w:rsidRPr="00804482" w:rsidRDefault="00CA2E4E" w:rsidP="009926F2">
      <w:pPr>
        <w:pStyle w:val="MIRSubpara"/>
        <w:spacing w:before="120"/>
      </w:pPr>
      <w:r w:rsidRPr="00804482">
        <w:t xml:space="preserve">for purchased call Options or written put Options, a long notional position: </w:t>
      </w:r>
    </w:p>
    <w:p w14:paraId="323FE6AD" w14:textId="721DAFAF" w:rsidR="00CA2E4E" w:rsidRPr="0033698E" w:rsidRDefault="00CA2E4E" w:rsidP="009926F2">
      <w:pPr>
        <w:pStyle w:val="MIRSubsubpara"/>
        <w:spacing w:before="120"/>
      </w:pPr>
      <w:r w:rsidRPr="0033698E">
        <w:t>in the underlying Debt Instrument, in the case of an Option over a single Debt Instrument, and at the mark</w:t>
      </w:r>
      <w:r w:rsidR="00A36FC3">
        <w:t>-</w:t>
      </w:r>
      <w:r w:rsidRPr="0033698E">
        <w:t>to</w:t>
      </w:r>
      <w:r w:rsidR="00A36FC3">
        <w:t>-</w:t>
      </w:r>
      <w:r w:rsidRPr="0033698E">
        <w:t xml:space="preserve">market value of the Debt Instrument and its residual maturity; or </w:t>
      </w:r>
    </w:p>
    <w:p w14:paraId="588146F9" w14:textId="5AD87449" w:rsidR="00CA2E4E" w:rsidRPr="0033698E" w:rsidRDefault="00CA2E4E" w:rsidP="009926F2">
      <w:pPr>
        <w:pStyle w:val="MIRSubsubpara"/>
        <w:spacing w:before="120"/>
      </w:pPr>
      <w:r w:rsidRPr="0033698E">
        <w:t>in the Debt Instrument with the longest residual maturity, in the case of an Option over Debt Instruments or interest rate index, and at the mark</w:t>
      </w:r>
      <w:r w:rsidR="00A36FC3">
        <w:t>-</w:t>
      </w:r>
      <w:r w:rsidRPr="0033698E">
        <w:t>to</w:t>
      </w:r>
      <w:r w:rsidR="00A36FC3">
        <w:t>-</w:t>
      </w:r>
      <w:r w:rsidRPr="0033698E">
        <w:t xml:space="preserve">market value; </w:t>
      </w:r>
    </w:p>
    <w:p w14:paraId="728CAD46" w14:textId="77777777" w:rsidR="00CA2E4E" w:rsidRPr="00804482" w:rsidRDefault="00CA2E4E" w:rsidP="009926F2">
      <w:pPr>
        <w:pStyle w:val="MIRSubpara"/>
        <w:spacing w:before="120"/>
      </w:pPr>
      <w:r w:rsidRPr="00804482">
        <w:t xml:space="preserve">for purchased put Options or written call Options, a short notional position: </w:t>
      </w:r>
    </w:p>
    <w:p w14:paraId="19E04913" w14:textId="2B996B55" w:rsidR="00CA2E4E" w:rsidRPr="0033698E" w:rsidRDefault="00CA2E4E" w:rsidP="009926F2">
      <w:pPr>
        <w:pStyle w:val="MIRSubsubpara"/>
        <w:spacing w:before="120"/>
      </w:pPr>
      <w:r w:rsidRPr="0033698E">
        <w:t>in the underlying Debt Instrument, in the case of an Option over a single Debt Instrument, and at the mark</w:t>
      </w:r>
      <w:r w:rsidR="00A36FC3">
        <w:t>-</w:t>
      </w:r>
      <w:r w:rsidRPr="0033698E">
        <w:t>to</w:t>
      </w:r>
      <w:r w:rsidR="00A36FC3">
        <w:t>-</w:t>
      </w:r>
      <w:r w:rsidRPr="0033698E">
        <w:t xml:space="preserve">market value of the Debt Instrument and its residual maturity; or </w:t>
      </w:r>
    </w:p>
    <w:p w14:paraId="4C600DEE" w14:textId="11FE3E9C" w:rsidR="00CA2E4E" w:rsidRPr="0033698E" w:rsidRDefault="00CA2E4E" w:rsidP="009926F2">
      <w:pPr>
        <w:pStyle w:val="MIRSubsubpara"/>
        <w:spacing w:before="120"/>
      </w:pPr>
      <w:r w:rsidRPr="0033698E">
        <w:t>in the case of an Option over a debt or interest rate index, in the Debt Instrument with the longest residual maturity in the index, at the mark</w:t>
      </w:r>
      <w:r w:rsidR="00A36FC3">
        <w:t>-</w:t>
      </w:r>
      <w:r w:rsidRPr="0033698E">
        <w:t>to</w:t>
      </w:r>
      <w:r w:rsidR="00A36FC3">
        <w:t>-</w:t>
      </w:r>
      <w:r w:rsidRPr="0033698E">
        <w:t xml:space="preserve">market value of the index; and </w:t>
      </w:r>
    </w:p>
    <w:p w14:paraId="1C034DDD" w14:textId="77777777" w:rsidR="00CA2E4E" w:rsidRPr="00804482" w:rsidRDefault="00CA2E4E" w:rsidP="009926F2">
      <w:pPr>
        <w:pStyle w:val="MIRSubpara"/>
        <w:spacing w:before="120"/>
      </w:pPr>
      <w:r w:rsidRPr="00804482">
        <w:t xml:space="preserve">for purchased call Options or written put Options on a Future, a long notional position calculated under paragraph A3.16.3(1)(a) and for purchased put Options or written call Options on a Future, a short notional position calculated under paragraph A3.16.3(1)(b). </w:t>
      </w:r>
    </w:p>
    <w:p w14:paraId="45CEC810" w14:textId="77777777" w:rsidR="00CA2E4E" w:rsidRPr="00804482" w:rsidRDefault="00CA2E4E" w:rsidP="009926F2">
      <w:pPr>
        <w:pStyle w:val="MIRBodyText"/>
        <w:keepNext/>
      </w:pPr>
      <w:r w:rsidRPr="00804482">
        <w:t xml:space="preserve">(2) For the purposes of subrule (1): </w:t>
      </w:r>
    </w:p>
    <w:p w14:paraId="28DDF12B" w14:textId="77777777" w:rsidR="00CA2E4E" w:rsidRPr="00804482" w:rsidRDefault="00CA2E4E" w:rsidP="009926F2">
      <w:pPr>
        <w:pStyle w:val="MIRSubpara"/>
        <w:keepNext/>
      </w:pPr>
      <w:r w:rsidRPr="00804482">
        <w:t xml:space="preserve">the notional debt position in the case of an Option over a Swap is: </w:t>
      </w:r>
    </w:p>
    <w:p w14:paraId="6579D2EA" w14:textId="77777777" w:rsidR="00CA2E4E" w:rsidRPr="00804482" w:rsidRDefault="00CA2E4E" w:rsidP="00CA2E4E">
      <w:pPr>
        <w:pStyle w:val="MIRSubsubpara"/>
      </w:pPr>
      <w:r w:rsidRPr="00804482">
        <w:t xml:space="preserve">long if exercise of the Option leads to the Market Participant receiving fixed rate payments under the Swap; and </w:t>
      </w:r>
    </w:p>
    <w:p w14:paraId="0D9D421D" w14:textId="77777777" w:rsidR="00CA2E4E" w:rsidRPr="00804482" w:rsidRDefault="00CA2E4E" w:rsidP="00CA2E4E">
      <w:pPr>
        <w:pStyle w:val="MIRSubsubpara"/>
      </w:pPr>
      <w:r w:rsidRPr="00804482">
        <w:t xml:space="preserve">short if exercise of the Option leads to the Market Participant paying fixed rate payments under the Swap; and </w:t>
      </w:r>
    </w:p>
    <w:p w14:paraId="64FE039C" w14:textId="77777777" w:rsidR="00CA2E4E" w:rsidRPr="00804482" w:rsidRDefault="00CA2E4E" w:rsidP="00CA2E4E">
      <w:pPr>
        <w:pStyle w:val="MIRSubpara"/>
      </w:pPr>
      <w:r w:rsidRPr="00804482">
        <w:t xml:space="preserve">the value of the notional position in the Debt Instrument will be: </w:t>
      </w:r>
    </w:p>
    <w:p w14:paraId="7FDD76E6" w14:textId="77777777" w:rsidR="00CA2E4E" w:rsidRPr="0033698E" w:rsidRDefault="00CA2E4E" w:rsidP="00CA2E4E">
      <w:pPr>
        <w:pStyle w:val="MIRSubsubpara"/>
      </w:pPr>
      <w:r w:rsidRPr="0033698E">
        <w:t xml:space="preserve">for an Option over a Debt Instrument, the current market value of that Debt Instrument and the maturity of the notional position in the Debt Instrument will be the term to maturity of the underlying Debt Instrument (and not the term to expiry of the Option); </w:t>
      </w:r>
    </w:p>
    <w:p w14:paraId="6E273FBA" w14:textId="77777777" w:rsidR="00CA2E4E" w:rsidRPr="0033698E" w:rsidRDefault="00CA2E4E" w:rsidP="00CA2E4E">
      <w:pPr>
        <w:pStyle w:val="MIRSubsubpara"/>
      </w:pPr>
      <w:r w:rsidRPr="0033698E">
        <w:t xml:space="preserve">for an Option over an interest rate, the current market value of a zero coupon Government Debt Instrument yielding the interest rate underlying the Option and the maturity of the notional position in the Debt Instrument will be the combined period of the term to expiry of the Option plus the term of the interest rate underlying the Option; and </w:t>
      </w:r>
    </w:p>
    <w:p w14:paraId="72C4AB3E" w14:textId="77777777" w:rsidR="00CA2E4E" w:rsidRPr="0033698E" w:rsidRDefault="00CA2E4E" w:rsidP="00CA2E4E">
      <w:pPr>
        <w:pStyle w:val="MIRSubsubpara"/>
      </w:pPr>
      <w:r w:rsidRPr="0033698E">
        <w:lastRenderedPageBreak/>
        <w:t xml:space="preserve">for an Option over a Swap, the principal amount of the underlying Swap, the maturity of the notional position in the Debt Instrument will be the term to maturity of the underlying Swap and the notional position will have a coupon rate equal to the fixed rate of the underlying Swap. </w:t>
      </w:r>
    </w:p>
    <w:p w14:paraId="7DEA6048" w14:textId="74EF1B5D" w:rsidR="00CA2E4E" w:rsidRPr="0033698E" w:rsidRDefault="00CA2E4E" w:rsidP="00203B23">
      <w:pPr>
        <w:pStyle w:val="MIRHeading3Rule"/>
        <w:ind w:left="1275" w:hanging="1275"/>
      </w:pPr>
      <w:r w:rsidRPr="00871841">
        <w:t>A3.16.3</w:t>
      </w:r>
      <w:r w:rsidR="00871841">
        <w:tab/>
      </w:r>
      <w:r w:rsidRPr="0033698E">
        <w:t xml:space="preserve">Futures, forwards and </w:t>
      </w:r>
      <w:r w:rsidR="00C32C72">
        <w:t>F</w:t>
      </w:r>
      <w:r w:rsidRPr="0033698E">
        <w:t xml:space="preserve">orward </w:t>
      </w:r>
      <w:r w:rsidR="00C32C72">
        <w:t>R</w:t>
      </w:r>
      <w:r w:rsidRPr="0033698E">
        <w:t xml:space="preserve">ate </w:t>
      </w:r>
      <w:r w:rsidR="00C32C72">
        <w:t>A</w:t>
      </w:r>
      <w:r w:rsidRPr="0033698E">
        <w:t xml:space="preserve">greements and options on </w:t>
      </w:r>
      <w:r w:rsidR="00C32C72">
        <w:t>F</w:t>
      </w:r>
      <w:r w:rsidRPr="0033698E">
        <w:t xml:space="preserve">utures </w:t>
      </w:r>
    </w:p>
    <w:p w14:paraId="237CA69D" w14:textId="77777777" w:rsidR="00CA2E4E" w:rsidRPr="0033698E" w:rsidRDefault="00CA2E4E" w:rsidP="00CA2E4E">
      <w:pPr>
        <w:pStyle w:val="MIRBodyText"/>
      </w:pPr>
      <w:r w:rsidRPr="0033698E">
        <w:t xml:space="preserve">(1) The Debt Equivalent for a Future, forward contract or Forward Rate Agreement is: </w:t>
      </w:r>
    </w:p>
    <w:p w14:paraId="0010A3A4" w14:textId="77777777" w:rsidR="00CA2E4E" w:rsidRPr="00F831C0" w:rsidRDefault="00CA2E4E" w:rsidP="00CA2E4E">
      <w:pPr>
        <w:pStyle w:val="MIRSubpara"/>
      </w:pPr>
      <w:r w:rsidRPr="00804482">
        <w:t xml:space="preserve">if purchased, a combination of a long position in a notional Debt Instrument with a maturity equal to the combined term of the contract plus the term of the underlying Debt Instrument, </w:t>
      </w:r>
      <w:r w:rsidRPr="00F831C0">
        <w:t xml:space="preserve">and a short position in the notional Debt Instrument with a maturity equal to the term of the contract; </w:t>
      </w:r>
    </w:p>
    <w:p w14:paraId="19626C73" w14:textId="77777777" w:rsidR="00CA2E4E" w:rsidRPr="00804482" w:rsidRDefault="00CA2E4E" w:rsidP="00CA2E4E">
      <w:pPr>
        <w:pStyle w:val="MIRSubpara"/>
      </w:pPr>
      <w:r w:rsidRPr="00F831C0">
        <w:t xml:space="preserve">if sold, a combination of a short position </w:t>
      </w:r>
      <w:r w:rsidRPr="00804482">
        <w:t xml:space="preserve">in a notional Debt Instrument with a maturity equal to the combined term of the contract plus the term of the underlying Debt Instrument, and a long position in the notional Debt Instrument with a maturity equal to the term of the contract; </w:t>
      </w:r>
    </w:p>
    <w:p w14:paraId="6FE72F26" w14:textId="77777777" w:rsidR="00CA2E4E" w:rsidRPr="00804482" w:rsidRDefault="00CA2E4E" w:rsidP="00CA2E4E">
      <w:pPr>
        <w:pStyle w:val="MIRSubpara"/>
      </w:pPr>
      <w:r w:rsidRPr="00804482">
        <w:t xml:space="preserve">if over an index, a combination of a notional position in the instrument with the longest term, with a maturity equal to the combined term of the contract plus the term of that Debt Instrument, and an opposite position in that Debt Instrument with a maturity equal to the term of the contract; and </w:t>
      </w:r>
    </w:p>
    <w:p w14:paraId="1308B538" w14:textId="77777777" w:rsidR="00CA2E4E" w:rsidRPr="00804482" w:rsidRDefault="00CA2E4E" w:rsidP="00CA2E4E">
      <w:pPr>
        <w:pStyle w:val="MIRSubpara"/>
      </w:pPr>
      <w:r w:rsidRPr="00804482">
        <w:t xml:space="preserve">if a range of deliverable instruments can be delivered to fulfil the contract the Market Participant may elect which Debt Instrument goes into the time band in Table A5.1.2 in Annexure 5 to Schedule 1A, but should take account of any conversion factor for the purposes of calculating the position risk. </w:t>
      </w:r>
    </w:p>
    <w:p w14:paraId="501CE2B6" w14:textId="77777777" w:rsidR="00CA2E4E" w:rsidRPr="00804482" w:rsidRDefault="00CA2E4E" w:rsidP="009926F2">
      <w:pPr>
        <w:pStyle w:val="MIRBodyText"/>
        <w:keepNext/>
      </w:pPr>
      <w:r w:rsidRPr="00804482">
        <w:t xml:space="preserve">(2) For the purposes of subrule (1): </w:t>
      </w:r>
    </w:p>
    <w:p w14:paraId="7F3230E3" w14:textId="77777777" w:rsidR="00CA2E4E" w:rsidRPr="00804482" w:rsidRDefault="00CA2E4E" w:rsidP="00CA2E4E">
      <w:pPr>
        <w:pStyle w:val="MIRSubpara"/>
      </w:pPr>
      <w:r w:rsidRPr="00804482">
        <w:t xml:space="preserve">a “purchased” position should be interpreted as meaning that the holder of the position is an investor and has bought a Futures or forward contract or has sold a Forward Rate Agreement; and </w:t>
      </w:r>
    </w:p>
    <w:p w14:paraId="438A6D53" w14:textId="77777777" w:rsidR="00CA2E4E" w:rsidRPr="00804482" w:rsidRDefault="00CA2E4E" w:rsidP="00CA2E4E">
      <w:pPr>
        <w:pStyle w:val="MIRSubpara"/>
      </w:pPr>
      <w:r w:rsidRPr="00804482">
        <w:t xml:space="preserve">a “sold” position should be interpreted as meaning that the holder of the position is a borrower and has bought a Forward Rate Agreement or sold a Futures or forward contract. </w:t>
      </w:r>
    </w:p>
    <w:p w14:paraId="3090E28B" w14:textId="1E1BA76F" w:rsidR="00CA2E4E" w:rsidRPr="0033698E" w:rsidRDefault="00CA2E4E" w:rsidP="00CA2E4E">
      <w:pPr>
        <w:pStyle w:val="MIRHeading3Rule"/>
      </w:pPr>
      <w:r w:rsidRPr="00871841">
        <w:t>A3.16.4</w:t>
      </w:r>
      <w:r w:rsidRPr="0033698E">
        <w:tab/>
      </w:r>
      <w:r w:rsidR="00871841">
        <w:tab/>
      </w:r>
      <w:r w:rsidRPr="0033698E">
        <w:t xml:space="preserve">Convertible </w:t>
      </w:r>
      <w:r w:rsidR="00C32C72">
        <w:t>n</w:t>
      </w:r>
      <w:r w:rsidRPr="0033698E">
        <w:t xml:space="preserve">otes </w:t>
      </w:r>
    </w:p>
    <w:p w14:paraId="414FBCB9" w14:textId="77777777" w:rsidR="00CA2E4E" w:rsidRPr="0033698E" w:rsidRDefault="00CA2E4E" w:rsidP="00CA2E4E">
      <w:pPr>
        <w:pStyle w:val="MIRBodyText"/>
      </w:pPr>
      <w:r w:rsidRPr="0033698E">
        <w:t>The Debt Equivalent for a convertible note which is not within paragraphs A3.8.4(1)(a) or</w:t>
      </w:r>
      <w:r>
        <w:t> </w:t>
      </w:r>
      <w:r w:rsidRPr="0033698E">
        <w:t xml:space="preserve">(b), is a position in a Debt Instrument. </w:t>
      </w:r>
    </w:p>
    <w:p w14:paraId="2B07D0F6" w14:textId="3D14F6DD" w:rsidR="00CA2E4E" w:rsidRPr="0033698E" w:rsidRDefault="00CA2E4E" w:rsidP="00CA2E4E">
      <w:pPr>
        <w:pStyle w:val="MIRHeading3Rule"/>
      </w:pPr>
      <w:r w:rsidRPr="00871841">
        <w:t>A3.16.5</w:t>
      </w:r>
      <w:r w:rsidRPr="0033698E">
        <w:tab/>
      </w:r>
      <w:r w:rsidR="00871841">
        <w:tab/>
      </w:r>
      <w:r w:rsidRPr="0033698E">
        <w:t xml:space="preserve">Basket or index products </w:t>
      </w:r>
    </w:p>
    <w:p w14:paraId="65E83958" w14:textId="77777777" w:rsidR="00CA2E4E" w:rsidRPr="0033698E" w:rsidRDefault="00CA2E4E" w:rsidP="00CA2E4E">
      <w:pPr>
        <w:pStyle w:val="MIRBodyText"/>
      </w:pPr>
      <w:r w:rsidRPr="0033698E">
        <w:t xml:space="preserve">The Debt Equivalent for a basket or index product, where there is a known weight for each component Debt Instrument, is a position in a portfolio of Debt Instruments with corresponding weights and if the basket or index is based on: </w:t>
      </w:r>
    </w:p>
    <w:p w14:paraId="18ECC5DB" w14:textId="77777777" w:rsidR="00CA2E4E" w:rsidRPr="00804482" w:rsidRDefault="00CA2E4E" w:rsidP="00CA2E4E">
      <w:pPr>
        <w:pStyle w:val="MIRSubpara"/>
      </w:pPr>
      <w:r w:rsidRPr="00804482">
        <w:lastRenderedPageBreak/>
        <w:t xml:space="preserve">Government Debt Instruments, then a zero specific risk Position Risk Factor should be used; and </w:t>
      </w:r>
    </w:p>
    <w:p w14:paraId="4E6F10B7" w14:textId="77777777" w:rsidR="00CA2E4E" w:rsidRPr="00804482" w:rsidRDefault="00CA2E4E" w:rsidP="00CA2E4E">
      <w:pPr>
        <w:pStyle w:val="MIRSubpara"/>
      </w:pPr>
      <w:r w:rsidRPr="00804482">
        <w:t xml:space="preserve">Qualifying Debt Instruments or other Debt Instruments, then the appropriate specific risk Position Risk Factor should be used. </w:t>
      </w:r>
    </w:p>
    <w:p w14:paraId="15E11220" w14:textId="4F23F3D8" w:rsidR="00CA2E4E" w:rsidRPr="0033698E" w:rsidRDefault="00CA2E4E" w:rsidP="00CA2E4E">
      <w:pPr>
        <w:pStyle w:val="MIRHeading3Rule"/>
      </w:pPr>
      <w:r w:rsidRPr="00871841">
        <w:t>A3.16.6</w:t>
      </w:r>
      <w:r w:rsidRPr="0033698E">
        <w:tab/>
      </w:r>
      <w:r w:rsidR="00871841">
        <w:tab/>
      </w:r>
      <w:r w:rsidRPr="0033698E">
        <w:t xml:space="preserve">Income securities </w:t>
      </w:r>
    </w:p>
    <w:p w14:paraId="768120B3" w14:textId="67BAC801" w:rsidR="00CA2E4E" w:rsidRPr="0033698E" w:rsidRDefault="00CA2E4E" w:rsidP="00B03B64">
      <w:pPr>
        <w:pStyle w:val="MIRBodyText"/>
        <w:spacing w:line="320" w:lineRule="atLeast"/>
        <w:rPr>
          <w:color w:val="000000"/>
        </w:rPr>
      </w:pPr>
      <w:r w:rsidRPr="0033698E">
        <w:t>Income securities should be treated as debt positions, not Equity positions, based on their market value. The Position Risk Factors to be applied under the standard method will be based on the time until the n</w:t>
      </w:r>
      <w:r>
        <w:t xml:space="preserve">ext repricing date. The second </w:t>
      </w:r>
      <w:r w:rsidRPr="0033698E">
        <w:rPr>
          <w:color w:val="000000"/>
        </w:rPr>
        <w:t xml:space="preserve">column of time bands in Table A5.1.2 in Annexure 5 to Schedule 1A should be used. </w:t>
      </w:r>
    </w:p>
    <w:p w14:paraId="52D07361" w14:textId="6AEB625E" w:rsidR="00CA2E4E" w:rsidRPr="0033698E" w:rsidRDefault="00CA2E4E" w:rsidP="00CA2E4E">
      <w:pPr>
        <w:pStyle w:val="MIRHeading2Part"/>
      </w:pPr>
      <w:bookmarkStart w:id="64" w:name="_Toc27492592"/>
      <w:r w:rsidRPr="0033698E">
        <w:t>Part A3.17</w:t>
      </w:r>
      <w:r w:rsidRPr="0033698E">
        <w:tab/>
        <w:t xml:space="preserve">Calculation of </w:t>
      </w:r>
      <w:r w:rsidR="00C32C72">
        <w:t>D</w:t>
      </w:r>
      <w:r w:rsidRPr="0033698E">
        <w:t xml:space="preserve">ebt </w:t>
      </w:r>
      <w:r w:rsidR="00C32C72">
        <w:t>N</w:t>
      </w:r>
      <w:r w:rsidRPr="0033698E">
        <w:t xml:space="preserve">et </w:t>
      </w:r>
      <w:r w:rsidR="00C32C72">
        <w:t>P</w:t>
      </w:r>
      <w:r w:rsidRPr="0033698E">
        <w:t>ositions—Debt position risk</w:t>
      </w:r>
      <w:bookmarkEnd w:id="64"/>
      <w:r w:rsidRPr="0033698E">
        <w:t xml:space="preserve"> </w:t>
      </w:r>
    </w:p>
    <w:p w14:paraId="21E72FED" w14:textId="63140117" w:rsidR="00CA2E4E" w:rsidRPr="0033698E" w:rsidRDefault="00CA2E4E" w:rsidP="00CA2E4E">
      <w:pPr>
        <w:pStyle w:val="MIRHeading3Rule"/>
      </w:pPr>
      <w:r w:rsidRPr="00871841">
        <w:t>A3.17.1</w:t>
      </w:r>
      <w:r w:rsidRPr="0033698E">
        <w:tab/>
      </w:r>
      <w:r w:rsidR="00871841">
        <w:tab/>
      </w:r>
      <w:r w:rsidRPr="0033698E">
        <w:t xml:space="preserve">Debt </w:t>
      </w:r>
      <w:r w:rsidR="00CB51D9">
        <w:t>N</w:t>
      </w:r>
      <w:r w:rsidRPr="0033698E">
        <w:t xml:space="preserve">et </w:t>
      </w:r>
      <w:r w:rsidR="00CB51D9">
        <w:t>P</w:t>
      </w:r>
      <w:r w:rsidRPr="0033698E">
        <w:t xml:space="preserve">osition </w:t>
      </w:r>
    </w:p>
    <w:p w14:paraId="3D2648DA" w14:textId="77777777" w:rsidR="00CA2E4E" w:rsidRPr="00F831C0" w:rsidRDefault="00CA2E4E" w:rsidP="00B03B64">
      <w:pPr>
        <w:pStyle w:val="MIRBodyText"/>
        <w:spacing w:line="320" w:lineRule="atLeast"/>
      </w:pPr>
      <w:r w:rsidRPr="0033698E">
        <w:t xml:space="preserve">(1) The debt net position is either the </w:t>
      </w:r>
      <w:r w:rsidRPr="00F831C0">
        <w:t xml:space="preserve">long or short position resulting from offsetting positions in Debt Instruments and Debt Derivatives in the following way: </w:t>
      </w:r>
    </w:p>
    <w:p w14:paraId="00C59E0E" w14:textId="77777777" w:rsidR="00CA2E4E" w:rsidRPr="00F831C0" w:rsidRDefault="00CA2E4E" w:rsidP="00B03B64">
      <w:pPr>
        <w:pStyle w:val="MIRSubpara"/>
        <w:spacing w:line="320" w:lineRule="atLeast"/>
      </w:pPr>
      <w:r w:rsidRPr="00F831C0">
        <w:t xml:space="preserve">subject to paragraphs (c) and (d), short Debt Instrument and Debt Equivalent positions may be directly offset against long Debt Instrument and Debt Equivalent positions provided that the issuer, coupon, maturity are identical; </w:t>
      </w:r>
    </w:p>
    <w:p w14:paraId="384D1DCF" w14:textId="6D5E9613" w:rsidR="00CA2E4E" w:rsidRPr="00F831C0" w:rsidRDefault="00CA2E4E" w:rsidP="00B03B64">
      <w:pPr>
        <w:pStyle w:val="MIRSubpara"/>
        <w:spacing w:line="320" w:lineRule="atLeast"/>
      </w:pPr>
      <w:r w:rsidRPr="00F831C0">
        <w:t xml:space="preserve">an Option position can only be offset if it is In the Money by at least the standard method Position Risk Factor specified in Table A5.1.2 in Annexure 5 to Schedule 1A applicable to the underlying position; </w:t>
      </w:r>
    </w:p>
    <w:p w14:paraId="017D53D0" w14:textId="77777777" w:rsidR="00CA2E4E" w:rsidRPr="00F831C0" w:rsidRDefault="00CA2E4E" w:rsidP="00B03B64">
      <w:pPr>
        <w:pStyle w:val="MIRSubpara"/>
        <w:spacing w:line="320" w:lineRule="atLeast"/>
      </w:pPr>
      <w:r w:rsidRPr="00F831C0">
        <w:t xml:space="preserve">a matched position in a Future or forward contract and its underlying may be offset provided that: </w:t>
      </w:r>
    </w:p>
    <w:p w14:paraId="400507B0" w14:textId="77777777" w:rsidR="00CA2E4E" w:rsidRPr="00F831C0" w:rsidRDefault="00CA2E4E" w:rsidP="00B03B64">
      <w:pPr>
        <w:pStyle w:val="MIRSubsubpara"/>
        <w:spacing w:line="320" w:lineRule="atLeast"/>
      </w:pPr>
      <w:r w:rsidRPr="00F831C0">
        <w:t xml:space="preserve">the term to maturity of the Future or forward contract is included in the relevant time band specified in Table A5.1.2 in Annexure 5 to Schedule 1A; </w:t>
      </w:r>
    </w:p>
    <w:p w14:paraId="1C04BC77" w14:textId="77777777" w:rsidR="00CA2E4E" w:rsidRPr="0033698E" w:rsidRDefault="00CA2E4E" w:rsidP="00B03B64">
      <w:pPr>
        <w:pStyle w:val="MIRSubsubpara"/>
        <w:spacing w:line="320" w:lineRule="atLeast"/>
      </w:pPr>
      <w:r w:rsidRPr="00F831C0">
        <w:t xml:space="preserve">where the Future or the forward contract comprises a range of deliverable instruments, offsetting of positions in the Future or forward contract and the underlying is only permissible when there is a readily identifiable underlying which is profitable for the short position holder </w:t>
      </w:r>
      <w:r w:rsidRPr="0033698E">
        <w:t xml:space="preserve">to deliver; and </w:t>
      </w:r>
    </w:p>
    <w:p w14:paraId="7CBED1C8" w14:textId="77777777" w:rsidR="00CA2E4E" w:rsidRPr="0033698E" w:rsidRDefault="00CA2E4E" w:rsidP="00B03B64">
      <w:pPr>
        <w:pStyle w:val="MIRSubsubpara"/>
        <w:spacing w:line="320" w:lineRule="atLeast"/>
      </w:pPr>
      <w:r w:rsidRPr="0033698E">
        <w:t xml:space="preserve">for a Future or forward contract where a Market Participant has a right to substitute cash settlement for physical delivery and the price at settlement is calculated with reference to a general market price indicator then no offset is allowed against the underlying; and </w:t>
      </w:r>
    </w:p>
    <w:p w14:paraId="3F82DA78" w14:textId="77777777" w:rsidR="00CA2E4E" w:rsidRPr="00804482" w:rsidRDefault="00CA2E4E" w:rsidP="00B03B64">
      <w:pPr>
        <w:pStyle w:val="MIRSubpara"/>
        <w:spacing w:line="320" w:lineRule="atLeast"/>
      </w:pPr>
      <w:r w:rsidRPr="00804482">
        <w:t xml:space="preserve">to qualify for offsets across product groups, the positions must relate to the same underlying instrument type, be of the same nominal value, and: </w:t>
      </w:r>
    </w:p>
    <w:p w14:paraId="1A040E54" w14:textId="46051EFE" w:rsidR="00CA2E4E" w:rsidRPr="0033698E" w:rsidRDefault="00CA2E4E" w:rsidP="00B03B64">
      <w:pPr>
        <w:pStyle w:val="MIRSubsubpara"/>
        <w:spacing w:line="320" w:lineRule="atLeast"/>
      </w:pPr>
      <w:r w:rsidRPr="0033698E">
        <w:lastRenderedPageBreak/>
        <w:t xml:space="preserve">in relation to Futures, the offsetting positions and the notional or underlying instruments to which the Futures relate must be identical products and mature within </w:t>
      </w:r>
      <w:r w:rsidR="00462588">
        <w:t>seven</w:t>
      </w:r>
      <w:r w:rsidR="00462588" w:rsidRPr="0033698E">
        <w:t xml:space="preserve"> </w:t>
      </w:r>
      <w:r w:rsidRPr="0033698E">
        <w:t xml:space="preserve">days of each other; </w:t>
      </w:r>
    </w:p>
    <w:p w14:paraId="28A6731A" w14:textId="3C1C0245" w:rsidR="00CA2E4E" w:rsidRPr="0033698E" w:rsidRDefault="00CA2E4E" w:rsidP="00B03B64">
      <w:pPr>
        <w:pStyle w:val="MIRSubsubpara"/>
        <w:spacing w:line="320" w:lineRule="atLeast"/>
      </w:pPr>
      <w:r w:rsidRPr="0033698E">
        <w:t>in relation to Swaps and Forward Rate Agreements</w:t>
      </w:r>
      <w:r w:rsidR="00C01E9E">
        <w:t>,</w:t>
      </w:r>
      <w:r w:rsidRPr="0033698E">
        <w:t xml:space="preserve"> the reference rate (for floating rate positions) must be identical and the coupon closely matched (within 15 basis points); and </w:t>
      </w:r>
    </w:p>
    <w:p w14:paraId="149A63F8" w14:textId="48671F5F" w:rsidR="00CA2E4E" w:rsidRPr="0033698E" w:rsidRDefault="00CA2E4E" w:rsidP="00B03B64">
      <w:pPr>
        <w:pStyle w:val="MIRSubsubpara"/>
      </w:pPr>
      <w:r w:rsidRPr="0033698E">
        <w:t xml:space="preserve">in relation to Swaps, Forward Rate Agreements and forward contracts, the next interest fixing date, or, for fixed coupon positions or forward contracts, the residual maturity (or, where there is a call or put </w:t>
      </w:r>
      <w:r w:rsidR="00C01E9E">
        <w:t>O</w:t>
      </w:r>
      <w:r w:rsidRPr="0033698E">
        <w:t xml:space="preserve">ption in the relevant instrument, the effective maturity of the instrument) must correspond within the following limits: </w:t>
      </w:r>
    </w:p>
    <w:p w14:paraId="01F9EB6D" w14:textId="4D82DBF3" w:rsidR="00CA2E4E" w:rsidRPr="0033698E" w:rsidRDefault="00CA2E4E" w:rsidP="00B03B64">
      <w:pPr>
        <w:pStyle w:val="MIRsubsubsubpara"/>
      </w:pPr>
      <w:r w:rsidRPr="0033698E">
        <w:t xml:space="preserve">less than </w:t>
      </w:r>
      <w:r w:rsidR="00462588">
        <w:t>one</w:t>
      </w:r>
      <w:r w:rsidR="00462588" w:rsidRPr="0033698E">
        <w:t xml:space="preserve"> </w:t>
      </w:r>
      <w:r w:rsidRPr="0033698E">
        <w:t xml:space="preserve">month hence, same day; </w:t>
      </w:r>
    </w:p>
    <w:p w14:paraId="6BC96F44" w14:textId="303CE5C6" w:rsidR="00CA2E4E" w:rsidRPr="0033698E" w:rsidRDefault="00CA2E4E" w:rsidP="00B03B64">
      <w:pPr>
        <w:pStyle w:val="MIRsubsubsubpara"/>
      </w:pPr>
      <w:r w:rsidRPr="0033698E">
        <w:t xml:space="preserve">between one month and one year hence, within </w:t>
      </w:r>
      <w:r w:rsidR="00462588">
        <w:t>seven</w:t>
      </w:r>
      <w:r w:rsidR="00462588" w:rsidRPr="0033698E">
        <w:t xml:space="preserve"> </w:t>
      </w:r>
      <w:r w:rsidRPr="0033698E">
        <w:t xml:space="preserve">days; and </w:t>
      </w:r>
    </w:p>
    <w:p w14:paraId="29BE662A" w14:textId="77777777" w:rsidR="00CA2E4E" w:rsidRPr="0033698E" w:rsidRDefault="00CA2E4E" w:rsidP="00B03B64">
      <w:pPr>
        <w:pStyle w:val="MIRsubsubsubpara"/>
      </w:pPr>
      <w:r w:rsidRPr="0033698E">
        <w:t xml:space="preserve">over one year hence, within 30 days. </w:t>
      </w:r>
    </w:p>
    <w:p w14:paraId="0862173A" w14:textId="77777777" w:rsidR="00CA2E4E" w:rsidRPr="0033698E" w:rsidRDefault="00CA2E4E" w:rsidP="00B03B64">
      <w:pPr>
        <w:pStyle w:val="MIRBodyText"/>
      </w:pPr>
      <w:r w:rsidRPr="0033698E">
        <w:t xml:space="preserve">(2) For the purposes of subrule (1), a Market Participant: </w:t>
      </w:r>
    </w:p>
    <w:p w14:paraId="3621C7DD" w14:textId="6901C56D" w:rsidR="00CA2E4E" w:rsidRPr="00804482" w:rsidRDefault="00CA2E4E" w:rsidP="00B03B64">
      <w:pPr>
        <w:pStyle w:val="MIRSubpara"/>
      </w:pPr>
      <w:r w:rsidRPr="00804482">
        <w:t xml:space="preserve">must not offset Securities Lending and Borrowing transactions against underlying long and short </w:t>
      </w:r>
      <w:r w:rsidR="00250D67">
        <w:t>D</w:t>
      </w:r>
      <w:r w:rsidR="00250D67" w:rsidRPr="00804482">
        <w:t xml:space="preserve">ebt </w:t>
      </w:r>
      <w:r w:rsidRPr="00804482">
        <w:t xml:space="preserve">net positions; and </w:t>
      </w:r>
    </w:p>
    <w:p w14:paraId="48FD412D" w14:textId="77777777" w:rsidR="00CA2E4E" w:rsidRPr="00804482" w:rsidRDefault="00CA2E4E" w:rsidP="00B03B64">
      <w:pPr>
        <w:pStyle w:val="MIRSubpara"/>
      </w:pPr>
      <w:r w:rsidRPr="00804482">
        <w:t xml:space="preserve">must treat any securities that have been lent out under a Securities Lending and Borrowing arrangement or that have been sold under a repurchase agreement as a principal position of the Market Participant and calculate a position risk amount on that position, notwithstanding that counterparty risk amount must also be calculated under the Securities Lending and Borrowing method in Rule A1.2.4. </w:t>
      </w:r>
    </w:p>
    <w:p w14:paraId="36BA37A9" w14:textId="1CA8879C" w:rsidR="00CA2E4E" w:rsidRPr="0033698E" w:rsidRDefault="00CA2E4E" w:rsidP="009926F2">
      <w:pPr>
        <w:pStyle w:val="MIRHeading2Part"/>
      </w:pPr>
      <w:bookmarkStart w:id="65" w:name="_Toc27492593"/>
      <w:r>
        <w:t xml:space="preserve">Part </w:t>
      </w:r>
      <w:r w:rsidRPr="0033698E">
        <w:t>A3.18</w:t>
      </w:r>
      <w:r w:rsidRPr="0033698E">
        <w:tab/>
        <w:t xml:space="preserve">Foreign </w:t>
      </w:r>
      <w:r w:rsidR="00125ED0">
        <w:t>E</w:t>
      </w:r>
      <w:r w:rsidRPr="0033698E">
        <w:t>xchange position risk amount</w:t>
      </w:r>
      <w:bookmarkEnd w:id="65"/>
      <w:r w:rsidRPr="0033698E">
        <w:t xml:space="preserve"> </w:t>
      </w:r>
    </w:p>
    <w:p w14:paraId="20F61FD8" w14:textId="47AED093" w:rsidR="00CA2E4E" w:rsidRPr="0033698E" w:rsidRDefault="00CA2E4E" w:rsidP="009926F2">
      <w:pPr>
        <w:pStyle w:val="MIRHeading3Rule"/>
        <w:keepNext/>
      </w:pPr>
      <w:r w:rsidRPr="00871841">
        <w:t>A3.18.1</w:t>
      </w:r>
      <w:r w:rsidR="00871841">
        <w:tab/>
      </w:r>
      <w:r w:rsidRPr="0033698E">
        <w:tab/>
        <w:t xml:space="preserve">Nature of </w:t>
      </w:r>
      <w:r w:rsidR="00125ED0">
        <w:t>F</w:t>
      </w:r>
      <w:r w:rsidRPr="0033698E">
        <w:t xml:space="preserve">oreign </w:t>
      </w:r>
      <w:r w:rsidR="00125ED0">
        <w:t>E</w:t>
      </w:r>
      <w:r w:rsidRPr="0033698E">
        <w:t xml:space="preserve">xchange position risk amount </w:t>
      </w:r>
    </w:p>
    <w:p w14:paraId="1D3065F5" w14:textId="39BFFF69" w:rsidR="00CA2E4E" w:rsidRPr="0033698E" w:rsidRDefault="00CA2E4E" w:rsidP="00B03B64">
      <w:pPr>
        <w:pStyle w:val="MIRBodyText"/>
      </w:pPr>
      <w:r w:rsidRPr="0033698E">
        <w:t xml:space="preserve">The </w:t>
      </w:r>
      <w:r w:rsidR="00125ED0">
        <w:t>F</w:t>
      </w:r>
      <w:r w:rsidRPr="0033698E">
        <w:t xml:space="preserve">oreign </w:t>
      </w:r>
      <w:r w:rsidR="00125ED0">
        <w:t>E</w:t>
      </w:r>
      <w:r w:rsidRPr="0033698E">
        <w:t xml:space="preserve">xchange position risk amount in relation to a Market Participant’s </w:t>
      </w:r>
      <w:r w:rsidR="002325B5">
        <w:t>F</w:t>
      </w:r>
      <w:r w:rsidRPr="0033698E">
        <w:t xml:space="preserve">oreign </w:t>
      </w:r>
      <w:r w:rsidR="002325B5">
        <w:t>E</w:t>
      </w:r>
      <w:r w:rsidRPr="0033698E">
        <w:t>xchange positions is the absolute sum of the individual position risk amounts for</w:t>
      </w:r>
      <w:r w:rsidR="00AA2D4F">
        <w:t xml:space="preserve"> </w:t>
      </w:r>
      <w:r w:rsidR="004753FC">
        <w:t>Foreign Exchange</w:t>
      </w:r>
      <w:r w:rsidRPr="0033698E">
        <w:t xml:space="preserve"> positions calculated using the method of calculation set out in this Annexure 3. </w:t>
      </w:r>
    </w:p>
    <w:p w14:paraId="64C41C3A" w14:textId="39F02772" w:rsidR="00CA2E4E" w:rsidRPr="0033698E" w:rsidRDefault="00CA2E4E" w:rsidP="00CA2E4E">
      <w:pPr>
        <w:pStyle w:val="MIRHeading3Rule"/>
      </w:pPr>
      <w:r w:rsidRPr="00871841">
        <w:t>A3.18.2</w:t>
      </w:r>
      <w:r w:rsidRPr="00871841">
        <w:tab/>
      </w:r>
      <w:r w:rsidR="00871841">
        <w:tab/>
      </w:r>
      <w:r w:rsidRPr="0033698E">
        <w:t xml:space="preserve">Overview of </w:t>
      </w:r>
      <w:r w:rsidR="00C32C72">
        <w:t>m</w:t>
      </w:r>
      <w:r w:rsidRPr="0033698E">
        <w:t xml:space="preserve">ethod </w:t>
      </w:r>
    </w:p>
    <w:p w14:paraId="5F90CFCC" w14:textId="7D2D79E8" w:rsidR="00516DCD" w:rsidRDefault="00CA2E4E" w:rsidP="00B03B64">
      <w:pPr>
        <w:pStyle w:val="MIRBodyText"/>
      </w:pPr>
      <w:r w:rsidRPr="0033698E">
        <w:t xml:space="preserve">(1) </w:t>
      </w:r>
      <w:r w:rsidR="00516DCD">
        <w:t>The standard method is the main method for measuring the Foreign Exchange position risk amount. This method is supplemented by other methods, the use of which largely depends on the Financial Instruments in which principal positions are taken.</w:t>
      </w:r>
    </w:p>
    <w:p w14:paraId="527BCE10" w14:textId="31413FEE" w:rsidR="00CA2E4E" w:rsidRPr="0033698E" w:rsidRDefault="00516DCD" w:rsidP="00B03B64">
      <w:pPr>
        <w:pStyle w:val="MIRBodyText"/>
      </w:pPr>
      <w:r>
        <w:t xml:space="preserve">(2) </w:t>
      </w:r>
      <w:r w:rsidR="00EF782C">
        <w:t xml:space="preserve">In calculating the </w:t>
      </w:r>
      <w:r w:rsidR="0041779D">
        <w:t xml:space="preserve">Foreign Exchange </w:t>
      </w:r>
      <w:r w:rsidR="00EF782C">
        <w:t>position risk amount, the following methods must be used</w:t>
      </w:r>
      <w:r w:rsidR="004375C9">
        <w:t>:</w:t>
      </w:r>
      <w:r w:rsidR="00CA2E4E" w:rsidRPr="0033698E">
        <w:t xml:space="preserve"> </w:t>
      </w:r>
    </w:p>
    <w:p w14:paraId="0ED5FF09" w14:textId="4C782EEB" w:rsidR="00CA2E4E" w:rsidRPr="0033698E" w:rsidRDefault="00CA2E4E" w:rsidP="00413505">
      <w:pPr>
        <w:pStyle w:val="tabletitlefullwidth"/>
      </w:pPr>
      <w:r w:rsidRPr="0033698E">
        <w:lastRenderedPageBreak/>
        <w:t>Table A3.</w:t>
      </w:r>
      <w:r>
        <w:t>3</w:t>
      </w:r>
      <w:r w:rsidRPr="0033698E">
        <w:t>:</w:t>
      </w:r>
      <w:r w:rsidRPr="0033698E">
        <w:tab/>
        <w:t xml:space="preserve">Overview of </w:t>
      </w:r>
      <w:r w:rsidR="00C32C72">
        <w:t>m</w:t>
      </w:r>
      <w:r w:rsidRPr="0033698E">
        <w:t>ethod</w:t>
      </w:r>
    </w:p>
    <w:tbl>
      <w:tblPr>
        <w:tblW w:w="5000" w:type="pct"/>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3024"/>
        <w:gridCol w:w="3024"/>
        <w:gridCol w:w="3022"/>
      </w:tblGrid>
      <w:tr w:rsidR="00831EDC" w:rsidRPr="0033698E" w14:paraId="019E24BB" w14:textId="7A688AE0" w:rsidTr="00546772">
        <w:trPr>
          <w:cantSplit/>
          <w:tblHeader/>
        </w:trPr>
        <w:tc>
          <w:tcPr>
            <w:tcW w:w="1667" w:type="pct"/>
            <w:shd w:val="clear" w:color="auto" w:fill="C2E3FA"/>
          </w:tcPr>
          <w:p w14:paraId="42A5A4CE" w14:textId="77777777" w:rsidR="00831EDC" w:rsidRPr="0033698E" w:rsidRDefault="00831EDC" w:rsidP="00AD186A">
            <w:pPr>
              <w:pStyle w:val="tablehead"/>
            </w:pPr>
            <w:r w:rsidRPr="0033698E">
              <w:t>Nature of Positions</w:t>
            </w:r>
          </w:p>
        </w:tc>
        <w:tc>
          <w:tcPr>
            <w:tcW w:w="1667" w:type="pct"/>
            <w:shd w:val="clear" w:color="auto" w:fill="C2E3FA"/>
          </w:tcPr>
          <w:p w14:paraId="67B056F0" w14:textId="77777777" w:rsidR="00831EDC" w:rsidRPr="0033698E" w:rsidRDefault="00831EDC" w:rsidP="00AD186A">
            <w:pPr>
              <w:pStyle w:val="tablehead"/>
            </w:pPr>
            <w:r w:rsidRPr="0033698E">
              <w:t>Standard Method</w:t>
            </w:r>
          </w:p>
        </w:tc>
        <w:tc>
          <w:tcPr>
            <w:tcW w:w="1667" w:type="pct"/>
            <w:shd w:val="clear" w:color="auto" w:fill="C2E3FA"/>
          </w:tcPr>
          <w:p w14:paraId="17A4A81E" w14:textId="2B9AA674" w:rsidR="00831EDC" w:rsidRPr="0033698E" w:rsidRDefault="00831EDC" w:rsidP="00AD186A">
            <w:pPr>
              <w:pStyle w:val="tablehead"/>
            </w:pPr>
            <w:r>
              <w:t>Basic Method</w:t>
            </w:r>
          </w:p>
        </w:tc>
      </w:tr>
      <w:tr w:rsidR="00831EDC" w:rsidRPr="0033698E" w14:paraId="1C0C267D" w14:textId="22D23A60" w:rsidTr="00546772">
        <w:trPr>
          <w:cantSplit/>
        </w:trPr>
        <w:tc>
          <w:tcPr>
            <w:tcW w:w="1667" w:type="pct"/>
          </w:tcPr>
          <w:p w14:paraId="2AF3CEC2" w14:textId="2EE3093B" w:rsidR="00831EDC" w:rsidRPr="0033698E" w:rsidRDefault="00831EDC" w:rsidP="00AD186A">
            <w:pPr>
              <w:pStyle w:val="tbltext"/>
              <w:rPr>
                <w:rFonts w:ascii="Times New Roman" w:hAnsi="Times New Roman"/>
                <w:b/>
                <w:sz w:val="24"/>
                <w:szCs w:val="24"/>
              </w:rPr>
            </w:pPr>
            <w:r w:rsidRPr="0033698E">
              <w:rPr>
                <w:b/>
              </w:rPr>
              <w:t xml:space="preserve">Physical* (not </w:t>
            </w:r>
            <w:r w:rsidR="0041779D">
              <w:rPr>
                <w:b/>
              </w:rPr>
              <w:t>F</w:t>
            </w:r>
            <w:r w:rsidRPr="0033698E">
              <w:rPr>
                <w:b/>
              </w:rPr>
              <w:t xml:space="preserve">oreign </w:t>
            </w:r>
            <w:r w:rsidR="0041779D">
              <w:rPr>
                <w:b/>
              </w:rPr>
              <w:t>E</w:t>
            </w:r>
            <w:r w:rsidRPr="0033698E">
              <w:rPr>
                <w:b/>
              </w:rPr>
              <w:t>xchange derivatives)</w:t>
            </w:r>
          </w:p>
        </w:tc>
        <w:tc>
          <w:tcPr>
            <w:tcW w:w="1667" w:type="pct"/>
          </w:tcPr>
          <w:p w14:paraId="664FC47D" w14:textId="77777777" w:rsidR="00831EDC" w:rsidRPr="0033698E" w:rsidRDefault="00831EDC" w:rsidP="00AD186A">
            <w:pPr>
              <w:pStyle w:val="tbltext"/>
              <w:rPr>
                <w:sz w:val="24"/>
                <w:szCs w:val="24"/>
              </w:rPr>
            </w:pPr>
            <w:r w:rsidRPr="0033698E">
              <w:t>Yes</w:t>
            </w:r>
          </w:p>
        </w:tc>
        <w:tc>
          <w:tcPr>
            <w:tcW w:w="1667" w:type="pct"/>
          </w:tcPr>
          <w:p w14:paraId="7616468B" w14:textId="39516FD4" w:rsidR="00831EDC" w:rsidRPr="0033698E" w:rsidRDefault="00831EDC" w:rsidP="00AD186A">
            <w:pPr>
              <w:pStyle w:val="tbltext"/>
            </w:pPr>
            <w:r>
              <w:t>No</w:t>
            </w:r>
          </w:p>
        </w:tc>
      </w:tr>
      <w:tr w:rsidR="00831EDC" w:rsidRPr="0033698E" w14:paraId="558F2088" w14:textId="4F9D4240" w:rsidTr="00546772">
        <w:trPr>
          <w:cantSplit/>
        </w:trPr>
        <w:tc>
          <w:tcPr>
            <w:tcW w:w="1667" w:type="pct"/>
          </w:tcPr>
          <w:p w14:paraId="192D5338" w14:textId="4B237B45" w:rsidR="00831EDC" w:rsidRPr="0033698E" w:rsidRDefault="00831EDC" w:rsidP="00AD186A">
            <w:pPr>
              <w:pStyle w:val="tbltext"/>
              <w:rPr>
                <w:b/>
                <w:sz w:val="24"/>
                <w:szCs w:val="24"/>
              </w:rPr>
            </w:pPr>
            <w:r w:rsidRPr="0033698E">
              <w:rPr>
                <w:b/>
              </w:rPr>
              <w:t xml:space="preserve">Non-option </w:t>
            </w:r>
            <w:r w:rsidR="0041779D">
              <w:rPr>
                <w:b/>
              </w:rPr>
              <w:t>F</w:t>
            </w:r>
            <w:r w:rsidRPr="0033698E">
              <w:rPr>
                <w:b/>
              </w:rPr>
              <w:t xml:space="preserve">oreign </w:t>
            </w:r>
            <w:r w:rsidR="0041779D">
              <w:rPr>
                <w:b/>
              </w:rPr>
              <w:t>E</w:t>
            </w:r>
            <w:r w:rsidRPr="0033698E">
              <w:rPr>
                <w:b/>
              </w:rPr>
              <w:t>xchange derivatives</w:t>
            </w:r>
          </w:p>
        </w:tc>
        <w:tc>
          <w:tcPr>
            <w:tcW w:w="1667" w:type="pct"/>
          </w:tcPr>
          <w:p w14:paraId="7ADE3B98" w14:textId="5B57E294" w:rsidR="00831EDC" w:rsidRPr="0033698E" w:rsidRDefault="00831EDC" w:rsidP="00AD186A">
            <w:pPr>
              <w:pStyle w:val="tbltext"/>
              <w:rPr>
                <w:sz w:val="24"/>
                <w:szCs w:val="24"/>
              </w:rPr>
            </w:pPr>
            <w:r w:rsidRPr="0033698E">
              <w:t xml:space="preserve">Yes, </w:t>
            </w:r>
            <w:r>
              <w:t>when</w:t>
            </w:r>
            <w:r w:rsidRPr="0033698E">
              <w:t xml:space="preserve"> converted to </w:t>
            </w:r>
            <w:r w:rsidR="008160CB">
              <w:t>F</w:t>
            </w:r>
            <w:r w:rsidRPr="0033698E">
              <w:t xml:space="preserve">oreign </w:t>
            </w:r>
            <w:r w:rsidR="008160CB">
              <w:t>E</w:t>
            </w:r>
            <w:r w:rsidRPr="0033698E">
              <w:t>xchange equivalent positions</w:t>
            </w:r>
          </w:p>
        </w:tc>
        <w:tc>
          <w:tcPr>
            <w:tcW w:w="1667" w:type="pct"/>
          </w:tcPr>
          <w:p w14:paraId="5F035F8C" w14:textId="0980DE55" w:rsidR="00831EDC" w:rsidRPr="00883907" w:rsidRDefault="00831EDC" w:rsidP="00AD186A">
            <w:pPr>
              <w:pStyle w:val="tbltext"/>
            </w:pPr>
            <w:r w:rsidRPr="00883907">
              <w:t>No</w:t>
            </w:r>
          </w:p>
        </w:tc>
      </w:tr>
      <w:tr w:rsidR="00831EDC" w:rsidRPr="0033698E" w14:paraId="2998C3BD" w14:textId="1F7576F2" w:rsidTr="00546772">
        <w:trPr>
          <w:cantSplit/>
        </w:trPr>
        <w:tc>
          <w:tcPr>
            <w:tcW w:w="1667" w:type="pct"/>
          </w:tcPr>
          <w:p w14:paraId="6EDFECDA" w14:textId="77777777" w:rsidR="00831EDC" w:rsidRPr="0033698E" w:rsidRDefault="00831EDC" w:rsidP="00AD186A">
            <w:pPr>
              <w:pStyle w:val="tbltext"/>
              <w:rPr>
                <w:b/>
                <w:sz w:val="24"/>
                <w:szCs w:val="24"/>
              </w:rPr>
            </w:pPr>
            <w:r w:rsidRPr="0033698E">
              <w:rPr>
                <w:b/>
              </w:rPr>
              <w:t>Foreign Exchange Options</w:t>
            </w:r>
          </w:p>
        </w:tc>
        <w:tc>
          <w:tcPr>
            <w:tcW w:w="1667" w:type="pct"/>
          </w:tcPr>
          <w:p w14:paraId="1F8E532B" w14:textId="64150E35" w:rsidR="00831EDC" w:rsidRPr="0033698E" w:rsidRDefault="00E67AE7" w:rsidP="00AD186A">
            <w:pPr>
              <w:pStyle w:val="tbltext"/>
              <w:rPr>
                <w:sz w:val="24"/>
                <w:szCs w:val="24"/>
              </w:rPr>
            </w:pPr>
            <w:r>
              <w:t>Yes, if satisfy releva</w:t>
            </w:r>
            <w:r w:rsidR="00FA0885">
              <w:t>n</w:t>
            </w:r>
            <w:r>
              <w:t>t criteria.</w:t>
            </w:r>
          </w:p>
        </w:tc>
        <w:tc>
          <w:tcPr>
            <w:tcW w:w="1667" w:type="pct"/>
          </w:tcPr>
          <w:p w14:paraId="7860E9C4" w14:textId="15FFA274" w:rsidR="00831EDC" w:rsidRPr="00883907" w:rsidDel="00831EDC" w:rsidRDefault="00831EDC" w:rsidP="00AD186A">
            <w:pPr>
              <w:pStyle w:val="tbltext"/>
            </w:pPr>
            <w:r w:rsidRPr="00883907">
              <w:t>Yes</w:t>
            </w:r>
            <w:r w:rsidR="004863C6" w:rsidRPr="00883907">
              <w:t xml:space="preserve">, </w:t>
            </w:r>
            <w:r w:rsidR="005A02D4" w:rsidRPr="00883907">
              <w:t xml:space="preserve">must be used for all written options and </w:t>
            </w:r>
            <w:r w:rsidR="004863C6" w:rsidRPr="001A4322">
              <w:t>if not calculated under any other method</w:t>
            </w:r>
          </w:p>
        </w:tc>
      </w:tr>
    </w:tbl>
    <w:p w14:paraId="6499ED8B" w14:textId="15771EB7" w:rsidR="00CA2E4E" w:rsidRPr="0033698E" w:rsidRDefault="00CA2E4E" w:rsidP="009B6049">
      <w:pPr>
        <w:pStyle w:val="tblnote"/>
        <w:ind w:left="0"/>
      </w:pPr>
      <w:r w:rsidRPr="0033698E">
        <w:t>*</w:t>
      </w:r>
      <w:r w:rsidR="002D14E2">
        <w:t xml:space="preserve"> </w:t>
      </w:r>
      <w:r w:rsidRPr="0033698E">
        <w:t xml:space="preserve">A </w:t>
      </w:r>
      <w:r w:rsidR="007004F8">
        <w:t>F</w:t>
      </w:r>
      <w:r w:rsidR="000F146C">
        <w:t xml:space="preserve">oreign </w:t>
      </w:r>
      <w:r w:rsidR="004816ED">
        <w:t>Exchange</w:t>
      </w:r>
      <w:r w:rsidR="000F146C" w:rsidRPr="0033698E">
        <w:t xml:space="preserve"> </w:t>
      </w:r>
      <w:r w:rsidRPr="00E85986">
        <w:t xml:space="preserve">position in Parts A3.18 to A3.22 includes </w:t>
      </w:r>
      <w:r w:rsidRPr="0033698E">
        <w:t>foreign currency assets and liabilities</w:t>
      </w:r>
      <w:r w:rsidR="005A02D4">
        <w:t>,</w:t>
      </w:r>
      <w:r w:rsidR="004816ED">
        <w:t xml:space="preserve"> </w:t>
      </w:r>
      <w:r w:rsidR="001E5162">
        <w:t>gold,</w:t>
      </w:r>
      <w:r w:rsidR="004816ED">
        <w:t xml:space="preserve"> </w:t>
      </w:r>
      <w:r w:rsidRPr="0033698E">
        <w:t>Equity</w:t>
      </w:r>
      <w:r w:rsidR="001E5162">
        <w:t xml:space="preserve"> and</w:t>
      </w:r>
      <w:r w:rsidR="004816ED">
        <w:t xml:space="preserve"> </w:t>
      </w:r>
      <w:r w:rsidRPr="0033698E">
        <w:t>Debt Instruments</w:t>
      </w:r>
      <w:r w:rsidR="001E5162">
        <w:t xml:space="preserve"> denominated in a foreign currency</w:t>
      </w:r>
      <w:r w:rsidR="00D2133C">
        <w:t>, Commodities</w:t>
      </w:r>
      <w:r w:rsidR="007004F8">
        <w:t xml:space="preserve"> denominated in a foreign currency</w:t>
      </w:r>
      <w:r w:rsidR="00D2133C">
        <w:t xml:space="preserve"> </w:t>
      </w:r>
      <w:r w:rsidR="005A02D4">
        <w:t xml:space="preserve">not withstanding a </w:t>
      </w:r>
      <w:r w:rsidR="004816ED">
        <w:t>position</w:t>
      </w:r>
      <w:r w:rsidR="005A02D4">
        <w:t xml:space="preserve"> risk amount has been calculated elsewhere in Annexure 3</w:t>
      </w:r>
      <w:r w:rsidR="00976FFA">
        <w:t xml:space="preserve"> to Schedule 1A</w:t>
      </w:r>
      <w:r w:rsidR="005A02D4">
        <w:t>.</w:t>
      </w:r>
    </w:p>
    <w:p w14:paraId="003ADD12" w14:textId="743F0E8D" w:rsidR="00CA2E4E" w:rsidRPr="0033698E" w:rsidRDefault="00CA2E4E" w:rsidP="00CA2E4E">
      <w:pPr>
        <w:pStyle w:val="MIRHeading2Part"/>
      </w:pPr>
      <w:bookmarkStart w:id="66" w:name="_Toc27492594"/>
      <w:r w:rsidRPr="0033698E">
        <w:t>Part A3.19</w:t>
      </w:r>
      <w:r w:rsidRPr="0033698E">
        <w:tab/>
        <w:t xml:space="preserve">Standard method—Foreign </w:t>
      </w:r>
      <w:r w:rsidR="00125ED0">
        <w:t>E</w:t>
      </w:r>
      <w:r w:rsidRPr="0033698E">
        <w:t>xchange position risk</w:t>
      </w:r>
      <w:bookmarkEnd w:id="66"/>
      <w:r w:rsidRPr="0033698E">
        <w:t xml:space="preserve"> </w:t>
      </w:r>
    </w:p>
    <w:p w14:paraId="6D3F9A68" w14:textId="77777777" w:rsidR="00CA2E4E" w:rsidRPr="0033698E" w:rsidRDefault="00CA2E4E" w:rsidP="00CA2E4E">
      <w:pPr>
        <w:pStyle w:val="MIRHeading3"/>
      </w:pPr>
      <w:r w:rsidRPr="00871841">
        <w:t>A3</w:t>
      </w:r>
      <w:r w:rsidRPr="00871841">
        <w:rPr>
          <w:rStyle w:val="MIRHeading3RuleChar"/>
        </w:rPr>
        <w:t>.</w:t>
      </w:r>
      <w:r w:rsidRPr="00871841">
        <w:t>19.1</w:t>
      </w:r>
      <w:r w:rsidRPr="00871841">
        <w:tab/>
      </w:r>
      <w:r w:rsidRPr="0033698E">
        <w:tab/>
        <w:t xml:space="preserve">Application </w:t>
      </w:r>
    </w:p>
    <w:p w14:paraId="3C1381B1" w14:textId="7BF9D054" w:rsidR="00CA2E4E" w:rsidRPr="0033698E" w:rsidRDefault="00CA2E4E" w:rsidP="00B03B64">
      <w:pPr>
        <w:pStyle w:val="MIRBodyText"/>
        <w:spacing w:line="320" w:lineRule="atLeast"/>
      </w:pPr>
      <w:r w:rsidRPr="0033698E">
        <w:t xml:space="preserve">(1) </w:t>
      </w:r>
      <w:r w:rsidR="00566B33">
        <w:t>Foreign Exchange</w:t>
      </w:r>
      <w:r w:rsidRPr="0033698E">
        <w:t xml:space="preserve"> physical positions </w:t>
      </w:r>
      <w:r w:rsidR="008138EE">
        <w:t>must</w:t>
      </w:r>
      <w:r w:rsidR="008138EE" w:rsidRPr="0033698E">
        <w:t xml:space="preserve"> </w:t>
      </w:r>
      <w:r w:rsidRPr="0033698E">
        <w:t xml:space="preserve">be included in </w:t>
      </w:r>
      <w:r w:rsidR="008403D8">
        <w:t xml:space="preserve">the </w:t>
      </w:r>
      <w:r w:rsidRPr="0033698E">
        <w:t xml:space="preserve">standard method. </w:t>
      </w:r>
    </w:p>
    <w:p w14:paraId="53633964" w14:textId="31BA7D37" w:rsidR="00CA2E4E" w:rsidRPr="0033698E" w:rsidRDefault="00CA2E4E" w:rsidP="00B03B64">
      <w:pPr>
        <w:pStyle w:val="MIRBodyText"/>
        <w:spacing w:line="320" w:lineRule="atLeast"/>
      </w:pPr>
      <w:r w:rsidRPr="0033698E">
        <w:t xml:space="preserve">(2) Foreign Exchange Derivative positions other than Options </w:t>
      </w:r>
      <w:r w:rsidR="008138EE">
        <w:t>must</w:t>
      </w:r>
      <w:r w:rsidR="008138EE" w:rsidRPr="0033698E">
        <w:t xml:space="preserve"> </w:t>
      </w:r>
      <w:r w:rsidRPr="0033698E">
        <w:t>be included in the standard method</w:t>
      </w:r>
      <w:r w:rsidR="008138EE">
        <w:t>, and</w:t>
      </w:r>
      <w:r w:rsidRPr="0033698E">
        <w:t xml:space="preserve"> the positions </w:t>
      </w:r>
      <w:r w:rsidR="008138EE">
        <w:t xml:space="preserve">must </w:t>
      </w:r>
      <w:r w:rsidR="004816ED">
        <w:t>be</w:t>
      </w:r>
      <w:r w:rsidR="004816ED" w:rsidRPr="0033698E">
        <w:t xml:space="preserve"> converted</w:t>
      </w:r>
      <w:r w:rsidRPr="0033698E">
        <w:t xml:space="preserve"> to Foreign Exchange Equivalents according to Part A3.21. </w:t>
      </w:r>
    </w:p>
    <w:p w14:paraId="1862B17A" w14:textId="77777777" w:rsidR="00181F69" w:rsidRDefault="00CA2E4E" w:rsidP="00B03B64">
      <w:pPr>
        <w:pStyle w:val="MIRBodyText"/>
        <w:spacing w:line="320" w:lineRule="atLeast"/>
      </w:pPr>
      <w:r w:rsidRPr="0033698E">
        <w:t xml:space="preserve">(3) Foreign Exchange Derivative positions which are Options </w:t>
      </w:r>
    </w:p>
    <w:p w14:paraId="37F4AFB1" w14:textId="0E069FDF" w:rsidR="00181F69" w:rsidRDefault="008138EE" w:rsidP="00181F69">
      <w:pPr>
        <w:pStyle w:val="MIRSubpara"/>
      </w:pPr>
      <w:r>
        <w:t>m</w:t>
      </w:r>
      <w:r w:rsidR="001E5162">
        <w:t>ay</w:t>
      </w:r>
      <w:r w:rsidRPr="0033698E">
        <w:t xml:space="preserve"> </w:t>
      </w:r>
      <w:r w:rsidR="00CA2E4E" w:rsidRPr="0033698E">
        <w:t>be included in the standard method</w:t>
      </w:r>
      <w:r w:rsidR="00E67AE7">
        <w:t xml:space="preserve"> only if they are purchased positions and the purchased positions are</w:t>
      </w:r>
      <w:r w:rsidRPr="0033698E">
        <w:t xml:space="preserve"> </w:t>
      </w:r>
      <w:r w:rsidR="00CA2E4E" w:rsidRPr="0033698E">
        <w:t>converted to a Foreign Exchange Equivalent according to Part A3.21</w:t>
      </w:r>
      <w:r w:rsidR="00181F69">
        <w:t>; and</w:t>
      </w:r>
    </w:p>
    <w:p w14:paraId="5F6E4AFE" w14:textId="376D8494" w:rsidR="000B526F" w:rsidRPr="0033698E" w:rsidRDefault="00181F69" w:rsidP="001A4322">
      <w:pPr>
        <w:pStyle w:val="MIRSubpara"/>
      </w:pPr>
      <w:r>
        <w:t>if they are not included in the standard method</w:t>
      </w:r>
      <w:r w:rsidR="006E6382">
        <w:t xml:space="preserve"> in accordance with paragraph (a)</w:t>
      </w:r>
      <w:r>
        <w:t xml:space="preserve">, </w:t>
      </w:r>
      <w:r w:rsidR="000B526F">
        <w:t>must be treated under the basic method set out in Part A3.20</w:t>
      </w:r>
      <w:r w:rsidR="00D2133C">
        <w:t>.</w:t>
      </w:r>
    </w:p>
    <w:p w14:paraId="6EA5E32A" w14:textId="799AEC1D" w:rsidR="00CA2E4E" w:rsidRPr="0033698E" w:rsidRDefault="00CA2E4E" w:rsidP="00CA2E4E">
      <w:pPr>
        <w:pStyle w:val="MIRHeading3Rule"/>
      </w:pPr>
      <w:r w:rsidRPr="00871841">
        <w:t>A3.19.2</w:t>
      </w:r>
      <w:r w:rsidRPr="00871841">
        <w:tab/>
      </w:r>
      <w:r w:rsidR="00871841">
        <w:tab/>
      </w:r>
      <w:r w:rsidRPr="0033698E">
        <w:t xml:space="preserve">Method </w:t>
      </w:r>
    </w:p>
    <w:p w14:paraId="6880A44F" w14:textId="015BC8E5" w:rsidR="001E67C3" w:rsidRDefault="00CA2E4E" w:rsidP="00B03B64">
      <w:pPr>
        <w:pStyle w:val="MIRBodyText"/>
        <w:spacing w:line="320" w:lineRule="atLeast"/>
      </w:pPr>
      <w:r w:rsidRPr="0033698E">
        <w:t xml:space="preserve">(1) The position risk amount for </w:t>
      </w:r>
      <w:r w:rsidR="00C4130C">
        <w:t>F</w:t>
      </w:r>
      <w:r w:rsidRPr="0033698E">
        <w:t xml:space="preserve">oreign </w:t>
      </w:r>
      <w:r w:rsidR="00C4130C">
        <w:t>E</w:t>
      </w:r>
      <w:r w:rsidRPr="0033698E">
        <w:t>xchange positions to which the standard method is applied</w:t>
      </w:r>
      <w:r w:rsidR="001E67C3">
        <w:t xml:space="preserve"> is the sum of:</w:t>
      </w:r>
    </w:p>
    <w:p w14:paraId="6D08A4A3" w14:textId="4D7E0891" w:rsidR="00CA2E4E" w:rsidRDefault="00CA2E4E" w:rsidP="00D3615D">
      <w:pPr>
        <w:pStyle w:val="MIRSubpara"/>
      </w:pPr>
      <w:r w:rsidRPr="0033698E">
        <w:t xml:space="preserve">the greater of the absolute value of the aggregate of the converted: </w:t>
      </w:r>
    </w:p>
    <w:p w14:paraId="7FA0EE15" w14:textId="413FEFA3" w:rsidR="00CA2E4E" w:rsidRPr="00804482" w:rsidRDefault="00CA2E4E" w:rsidP="00D3615D">
      <w:pPr>
        <w:pStyle w:val="MIRSubsubpara"/>
      </w:pPr>
      <w:r w:rsidRPr="00804482">
        <w:t xml:space="preserve">net open long position in foreign currencies; and </w:t>
      </w:r>
    </w:p>
    <w:p w14:paraId="5BDA98FC" w14:textId="0B52F3C7" w:rsidR="00CA2E4E" w:rsidRDefault="00CA2E4E" w:rsidP="00D3615D">
      <w:pPr>
        <w:pStyle w:val="MIRSubsubpara"/>
      </w:pPr>
      <w:r w:rsidRPr="00804482">
        <w:t xml:space="preserve">net </w:t>
      </w:r>
      <w:r w:rsidRPr="00F831C0">
        <w:t xml:space="preserve">open short position in foreign </w:t>
      </w:r>
      <w:r w:rsidRPr="00804482">
        <w:t>currencies,</w:t>
      </w:r>
      <w:r w:rsidR="000C3640">
        <w:t xml:space="preserve"> </w:t>
      </w:r>
      <w:r w:rsidR="001E67C3">
        <w:t xml:space="preserve">and </w:t>
      </w:r>
    </w:p>
    <w:p w14:paraId="25268BBC" w14:textId="228EB30B" w:rsidR="008043B4" w:rsidRDefault="005A02D4" w:rsidP="00D3615D">
      <w:pPr>
        <w:pStyle w:val="MIRSubpara"/>
      </w:pPr>
      <w:r>
        <w:t>the absolute value of the converted net open position in gold</w:t>
      </w:r>
      <w:r w:rsidR="006E6382">
        <w:t>;</w:t>
      </w:r>
      <w:r w:rsidR="00D57658">
        <w:t xml:space="preserve"> </w:t>
      </w:r>
    </w:p>
    <w:p w14:paraId="6C2BD10A" w14:textId="297C6B21" w:rsidR="00CA2E4E" w:rsidRPr="0033698E" w:rsidRDefault="00CA2E4E" w:rsidP="001A4322">
      <w:pPr>
        <w:pStyle w:val="MIRSubpara"/>
        <w:numPr>
          <w:ilvl w:val="0"/>
          <w:numId w:val="0"/>
        </w:numPr>
        <w:spacing w:line="320" w:lineRule="atLeast"/>
        <w:ind w:left="809"/>
      </w:pPr>
      <w:r w:rsidRPr="0033698E">
        <w:t>multiplied by the Position Risk Factor specified in Table</w:t>
      </w:r>
      <w:r>
        <w:t> </w:t>
      </w:r>
      <w:r w:rsidRPr="0033698E">
        <w:t>A5.1.7 in Annexure</w:t>
      </w:r>
      <w:r>
        <w:t> </w:t>
      </w:r>
      <w:r w:rsidRPr="0033698E">
        <w:t>5 to Schedule</w:t>
      </w:r>
      <w:r>
        <w:t> </w:t>
      </w:r>
      <w:r w:rsidRPr="0033698E">
        <w:t xml:space="preserve">1A. </w:t>
      </w:r>
    </w:p>
    <w:p w14:paraId="67FF5023" w14:textId="3C486445" w:rsidR="00CA2E4E" w:rsidRPr="0033698E" w:rsidRDefault="00CA2E4E" w:rsidP="001A4322">
      <w:pPr>
        <w:pStyle w:val="MIRBodyText"/>
        <w:numPr>
          <w:ilvl w:val="0"/>
          <w:numId w:val="17"/>
        </w:numPr>
        <w:spacing w:line="320" w:lineRule="atLeast"/>
      </w:pPr>
      <w:r w:rsidRPr="0033698E">
        <w:lastRenderedPageBreak/>
        <w:t>(2) Foreign Exchange Derivative positions which are purchased Options and are In the Money by at least the standard method Position Risk Factor specified in Table</w:t>
      </w:r>
      <w:r>
        <w:t> </w:t>
      </w:r>
      <w:r w:rsidRPr="0033698E">
        <w:t>A5.1.7 in Annexure</w:t>
      </w:r>
      <w:r>
        <w:t> </w:t>
      </w:r>
      <w:r w:rsidRPr="0033698E">
        <w:t>5 to Schedule</w:t>
      </w:r>
      <w:r>
        <w:t> </w:t>
      </w:r>
      <w:r w:rsidRPr="0033698E">
        <w:t>1A, are to be converted to a Foreign Exchange Equivalent in accordance with Part</w:t>
      </w:r>
      <w:r>
        <w:t> </w:t>
      </w:r>
      <w:r w:rsidRPr="0033698E">
        <w:t>A3.21 and included in the net open position in accordance with Part</w:t>
      </w:r>
      <w:r>
        <w:t> </w:t>
      </w:r>
      <w:r w:rsidRPr="0033698E">
        <w:t xml:space="preserve">A3.22. </w:t>
      </w:r>
    </w:p>
    <w:p w14:paraId="48B230F2" w14:textId="24DA8AD8" w:rsidR="00CA2E4E" w:rsidRPr="0033698E" w:rsidRDefault="00CA2E4E" w:rsidP="001A4322">
      <w:pPr>
        <w:pStyle w:val="MIRBodyText"/>
        <w:numPr>
          <w:ilvl w:val="0"/>
          <w:numId w:val="17"/>
        </w:numPr>
        <w:spacing w:line="320" w:lineRule="atLeast"/>
      </w:pPr>
      <w:r w:rsidRPr="0033698E">
        <w:t>(3) Foreign Exchange Derivative positions which are purchased Options and are not In the Money by at least the standard method Position Risk Factor specified in Table</w:t>
      </w:r>
      <w:r>
        <w:t> </w:t>
      </w:r>
      <w:r w:rsidRPr="0033698E">
        <w:t>A5.1.7 in Annexure</w:t>
      </w:r>
      <w:r>
        <w:t> </w:t>
      </w:r>
      <w:r w:rsidRPr="0033698E">
        <w:t>5 to Schedule</w:t>
      </w:r>
      <w:r>
        <w:t> </w:t>
      </w:r>
      <w:r w:rsidRPr="0033698E">
        <w:t>1A, are to be converted to a Foreign Exchange Equivalent in accordance with Part</w:t>
      </w:r>
      <w:r>
        <w:t> </w:t>
      </w:r>
      <w:r w:rsidRPr="0033698E">
        <w:t xml:space="preserve">A3.21 and: </w:t>
      </w:r>
    </w:p>
    <w:p w14:paraId="2B926A79" w14:textId="6E5525CF" w:rsidR="00D57658" w:rsidRDefault="00CA2E4E" w:rsidP="00D57658">
      <w:pPr>
        <w:pStyle w:val="MIRSubpara"/>
        <w:numPr>
          <w:ilvl w:val="1"/>
          <w:numId w:val="17"/>
        </w:numPr>
        <w:spacing w:line="320" w:lineRule="atLeast"/>
      </w:pPr>
      <w:r w:rsidRPr="00804482">
        <w:t>where the resulting currency</w:t>
      </w:r>
      <w:r w:rsidR="005A4092">
        <w:t xml:space="preserve"> or gold</w:t>
      </w:r>
      <w:r w:rsidRPr="00804482">
        <w:t xml:space="preserve"> positions from the option increases the net open position in the currency</w:t>
      </w:r>
      <w:r w:rsidR="005A4092">
        <w:t xml:space="preserve"> or gold</w:t>
      </w:r>
      <w:r w:rsidRPr="00804482">
        <w:t xml:space="preserve"> if included, the position must be included in the net open position; and </w:t>
      </w:r>
    </w:p>
    <w:p w14:paraId="295D058E" w14:textId="295C49D1" w:rsidR="00D57658" w:rsidRPr="00D57658" w:rsidRDefault="00D57658" w:rsidP="001A4322">
      <w:pPr>
        <w:pStyle w:val="ListParagraph"/>
        <w:numPr>
          <w:ilvl w:val="1"/>
          <w:numId w:val="17"/>
        </w:numPr>
        <w:spacing w:before="100" w:after="0" w:line="320" w:lineRule="atLeast"/>
      </w:pPr>
      <w:r w:rsidRPr="00D57658">
        <w:rPr>
          <w:szCs w:val="22"/>
        </w:rPr>
        <w:t xml:space="preserve">where the resulting currency or gold positions from the option decreases the net open position in the currency or gold if included, the position must be excluded in the net open position.  </w:t>
      </w:r>
    </w:p>
    <w:p w14:paraId="6AC71916" w14:textId="75589CD9" w:rsidR="004D6A0E" w:rsidRDefault="004D6A0E" w:rsidP="001A4322">
      <w:pPr>
        <w:pStyle w:val="Heading2"/>
      </w:pPr>
      <w:bookmarkStart w:id="67" w:name="_Toc472432233"/>
      <w:bookmarkStart w:id="68" w:name="_Toc27492595"/>
      <w:bookmarkStart w:id="69" w:name="_Hlk23845270"/>
      <w:r>
        <w:t>Part A3.20</w:t>
      </w:r>
      <w:r>
        <w:tab/>
        <w:t xml:space="preserve">Basic method—Foreign </w:t>
      </w:r>
      <w:r w:rsidR="00125ED0">
        <w:t>E</w:t>
      </w:r>
      <w:r>
        <w:t>xchange position risk</w:t>
      </w:r>
      <w:bookmarkEnd w:id="67"/>
      <w:bookmarkEnd w:id="68"/>
      <w:r>
        <w:t xml:space="preserve"> </w:t>
      </w:r>
    </w:p>
    <w:p w14:paraId="731A562B" w14:textId="2271B52A" w:rsidR="004D6A0E" w:rsidRDefault="004D6A0E" w:rsidP="004D6A0E">
      <w:pPr>
        <w:pStyle w:val="MIRHeading3Rule"/>
      </w:pPr>
      <w:r>
        <w:t>A3.20.1</w:t>
      </w:r>
      <w:r>
        <w:tab/>
      </w:r>
      <w:r w:rsidR="008115E0">
        <w:tab/>
      </w:r>
      <w:r>
        <w:t xml:space="preserve">Application </w:t>
      </w:r>
    </w:p>
    <w:p w14:paraId="5468A3FC" w14:textId="3C88B48F" w:rsidR="004D6A0E" w:rsidRDefault="004500D6" w:rsidP="00FB4E7C">
      <w:pPr>
        <w:pStyle w:val="MIRBodyText"/>
        <w:numPr>
          <w:ilvl w:val="0"/>
          <w:numId w:val="111"/>
        </w:numPr>
      </w:pPr>
      <w:r>
        <w:t xml:space="preserve">(1) </w:t>
      </w:r>
      <w:r w:rsidR="00567CE6">
        <w:t xml:space="preserve">Foreign Exchange </w:t>
      </w:r>
      <w:r w:rsidR="004D6A0E">
        <w:t xml:space="preserve">Derivative positions which are purchased (long) or written (short) Options </w:t>
      </w:r>
      <w:r w:rsidR="006E6382">
        <w:t xml:space="preserve">must </w:t>
      </w:r>
      <w:r w:rsidR="004D6A0E">
        <w:t>be included in the basic method</w:t>
      </w:r>
      <w:r w:rsidR="005A02D4">
        <w:t xml:space="preserve"> if not calculated under the standard method</w:t>
      </w:r>
      <w:r w:rsidR="00903DE1">
        <w:t xml:space="preserve"> set out in Part A3.19.</w:t>
      </w:r>
    </w:p>
    <w:p w14:paraId="05C3390F" w14:textId="6280A2C3" w:rsidR="006D3DA2" w:rsidRDefault="006D3DA2" w:rsidP="00FB4E7C">
      <w:pPr>
        <w:pStyle w:val="MIRBodyText"/>
        <w:numPr>
          <w:ilvl w:val="0"/>
          <w:numId w:val="111"/>
        </w:numPr>
        <w:spacing w:line="320" w:lineRule="atLeast"/>
      </w:pPr>
      <w:r w:rsidRPr="0033698E">
        <w:t>(</w:t>
      </w:r>
      <w:r>
        <w:t>2</w:t>
      </w:r>
      <w:r w:rsidRPr="0033698E">
        <w:t>) Foreign Exchange Derivative positions which are</w:t>
      </w:r>
      <w:r>
        <w:t xml:space="preserve"> written</w:t>
      </w:r>
      <w:r w:rsidRPr="0033698E">
        <w:t xml:space="preserve"> Options </w:t>
      </w:r>
      <w:r>
        <w:t>must be</w:t>
      </w:r>
      <w:r w:rsidRPr="0033698E">
        <w:t xml:space="preserve"> included in the </w:t>
      </w:r>
      <w:r w:rsidR="00903DE1">
        <w:t>basic method.</w:t>
      </w:r>
    </w:p>
    <w:p w14:paraId="4D67D7D5" w14:textId="7F3FCEF1" w:rsidR="004D6A0E" w:rsidRDefault="004D6A0E" w:rsidP="004D6A0E">
      <w:pPr>
        <w:pStyle w:val="MIRHeading3Rule"/>
      </w:pPr>
      <w:r>
        <w:t>A3.20.2</w:t>
      </w:r>
      <w:r>
        <w:tab/>
      </w:r>
      <w:r w:rsidR="008115E0">
        <w:tab/>
      </w:r>
      <w:r>
        <w:t xml:space="preserve">Method </w:t>
      </w:r>
    </w:p>
    <w:p w14:paraId="23CFE5B1" w14:textId="77777777" w:rsidR="004D6A0E" w:rsidRDefault="004D6A0E" w:rsidP="00FB4E7C">
      <w:pPr>
        <w:pStyle w:val="MIRBodyText"/>
        <w:numPr>
          <w:ilvl w:val="0"/>
          <w:numId w:val="111"/>
        </w:numPr>
      </w:pPr>
      <w:r>
        <w:t xml:space="preserve">(1) The position risk amount for a purchased Option is the lesser of: </w:t>
      </w:r>
    </w:p>
    <w:p w14:paraId="79AB6C92" w14:textId="1F62900F" w:rsidR="004D6A0E" w:rsidRDefault="004D6A0E" w:rsidP="00FB4E7C">
      <w:pPr>
        <w:pStyle w:val="MIRSubpara"/>
        <w:numPr>
          <w:ilvl w:val="1"/>
          <w:numId w:val="111"/>
        </w:numPr>
      </w:pPr>
      <w:r>
        <w:t xml:space="preserve">the mark-to-market value of the underlying </w:t>
      </w:r>
      <w:r w:rsidR="00A82A8A">
        <w:t>F</w:t>
      </w:r>
      <w:r w:rsidR="00B565B2">
        <w:t xml:space="preserve">oreign </w:t>
      </w:r>
      <w:r w:rsidR="00A82A8A">
        <w:t>E</w:t>
      </w:r>
      <w:r w:rsidR="00B565B2">
        <w:t xml:space="preserve">xchange </w:t>
      </w:r>
      <w:r>
        <w:t xml:space="preserve">position multiplied by the </w:t>
      </w:r>
      <w:r w:rsidR="00424746">
        <w:t xml:space="preserve"> </w:t>
      </w:r>
      <w:r>
        <w:t xml:space="preserve">standard </w:t>
      </w:r>
      <w:r w:rsidR="004816ED">
        <w:t>method</w:t>
      </w:r>
      <w:r w:rsidR="004816ED">
        <w:rPr>
          <w:rStyle w:val="CommentReference"/>
        </w:rPr>
        <w:t xml:space="preserve"> </w:t>
      </w:r>
      <w:r w:rsidR="004816ED" w:rsidRPr="007861FE">
        <w:t>P</w:t>
      </w:r>
      <w:r w:rsidR="004816ED">
        <w:t>osition</w:t>
      </w:r>
      <w:r>
        <w:t xml:space="preserve"> Risk Factor for the underlying position specified in Table A5.1.</w:t>
      </w:r>
      <w:r w:rsidR="003168CE">
        <w:t>7</w:t>
      </w:r>
      <w:r>
        <w:t xml:space="preserve"> in Annexure 5 to Schedule 1A; and </w:t>
      </w:r>
    </w:p>
    <w:p w14:paraId="407122DC" w14:textId="15E20A9B" w:rsidR="004D6A0E" w:rsidRPr="007A0176" w:rsidRDefault="004D6A0E" w:rsidP="00FB4E7C">
      <w:pPr>
        <w:pStyle w:val="MIRSubpara"/>
        <w:numPr>
          <w:ilvl w:val="1"/>
          <w:numId w:val="111"/>
        </w:numPr>
      </w:pPr>
      <w:r>
        <w:t>the mark-to-market value of the Option</w:t>
      </w:r>
      <w:r w:rsidR="002D14E2">
        <w:t>,</w:t>
      </w:r>
    </w:p>
    <w:p w14:paraId="7F2CBF28" w14:textId="6B47D9B7" w:rsidR="00602882" w:rsidRPr="007A0176" w:rsidRDefault="008043B4" w:rsidP="001A4322">
      <w:pPr>
        <w:pStyle w:val="MIRSubpara"/>
        <w:numPr>
          <w:ilvl w:val="0"/>
          <w:numId w:val="0"/>
        </w:numPr>
        <w:ind w:left="851"/>
      </w:pPr>
      <w:r w:rsidRPr="008043B4">
        <w:t>w</w:t>
      </w:r>
      <w:r w:rsidR="004A70EF" w:rsidRPr="001A4322">
        <w:t>here</w:t>
      </w:r>
      <w:r w:rsidRPr="008043B4">
        <w:t xml:space="preserve"> </w:t>
      </w:r>
      <w:r w:rsidR="007A0176" w:rsidRPr="001A4322">
        <w:t xml:space="preserve">the market value of the Option should be calculated as the current price of the Option multiplied by the underlying Foreign Exchange position. </w:t>
      </w:r>
    </w:p>
    <w:p w14:paraId="4DE8D965" w14:textId="5C810984" w:rsidR="004D6A0E" w:rsidRDefault="004D6A0E" w:rsidP="001A4322">
      <w:pPr>
        <w:pStyle w:val="MIRBodyText"/>
        <w:numPr>
          <w:ilvl w:val="0"/>
          <w:numId w:val="17"/>
        </w:numPr>
      </w:pPr>
      <w:r>
        <w:t xml:space="preserve">(2) The position risk amount for a written Option is the mark-to-market value of the underlying </w:t>
      </w:r>
      <w:r w:rsidR="00A25A87">
        <w:t>F</w:t>
      </w:r>
      <w:r w:rsidR="006F63EB">
        <w:t xml:space="preserve">oreign </w:t>
      </w:r>
      <w:r w:rsidR="00A25A87">
        <w:t>E</w:t>
      </w:r>
      <w:r w:rsidR="006F63EB">
        <w:t xml:space="preserve">xchange </w:t>
      </w:r>
      <w:r>
        <w:t>position multiplied by the</w:t>
      </w:r>
      <w:r w:rsidR="00424746">
        <w:t xml:space="preserve"> </w:t>
      </w:r>
      <w:r>
        <w:t>standard method</w:t>
      </w:r>
      <w:r w:rsidR="004816ED">
        <w:t xml:space="preserve"> P</w:t>
      </w:r>
      <w:r>
        <w:t>osition Risk Factor for the underlying position specified in Table A5.1.</w:t>
      </w:r>
      <w:r w:rsidR="009D2310">
        <w:t>7</w:t>
      </w:r>
      <w:r>
        <w:t xml:space="preserve"> in Annexure 5 to Schedule 1A reduced by: </w:t>
      </w:r>
    </w:p>
    <w:p w14:paraId="78E8D81F" w14:textId="1E592604" w:rsidR="004D6A0E" w:rsidRDefault="004D6A0E" w:rsidP="001A4322">
      <w:pPr>
        <w:pStyle w:val="MIRSubpara"/>
        <w:numPr>
          <w:ilvl w:val="1"/>
          <w:numId w:val="17"/>
        </w:numPr>
        <w:tabs>
          <w:tab w:val="left" w:pos="720"/>
        </w:tabs>
      </w:pPr>
      <w:r>
        <w:lastRenderedPageBreak/>
        <w:t xml:space="preserve">any excess of the exercise value over the current market value of the underlying position in the case of a call Option, but limited to nil if it would otherwise be negative; or </w:t>
      </w:r>
    </w:p>
    <w:p w14:paraId="17B814B3" w14:textId="77777777" w:rsidR="004D6A0E" w:rsidRDefault="004D6A0E" w:rsidP="001A4322">
      <w:pPr>
        <w:pStyle w:val="MIRSubpara"/>
        <w:numPr>
          <w:ilvl w:val="1"/>
          <w:numId w:val="17"/>
        </w:numPr>
      </w:pPr>
      <w:r>
        <w:t xml:space="preserve">any excess of the current market value of the underlying position over the exercise value in the case of a put Option, but limited to nil if it would otherwise be negative. </w:t>
      </w:r>
    </w:p>
    <w:p w14:paraId="7BB67636" w14:textId="70625296" w:rsidR="00CA2E4E" w:rsidRPr="0033698E" w:rsidRDefault="00CA2E4E" w:rsidP="001A4322">
      <w:pPr>
        <w:pStyle w:val="Heading2"/>
      </w:pPr>
      <w:bookmarkStart w:id="70" w:name="_Toc27492596"/>
      <w:r w:rsidRPr="0033698E">
        <w:t>Part A3.21</w:t>
      </w:r>
      <w:r w:rsidRPr="0033698E">
        <w:tab/>
        <w:t xml:space="preserve">Calculation of Foreign Exchange Equivalent positions—Foreign </w:t>
      </w:r>
      <w:r w:rsidR="00614FCA">
        <w:t>E</w:t>
      </w:r>
      <w:r w:rsidRPr="0033698E">
        <w:t>xchange position risk</w:t>
      </w:r>
      <w:bookmarkEnd w:id="70"/>
      <w:r w:rsidRPr="0033698E">
        <w:t xml:space="preserve"> </w:t>
      </w:r>
    </w:p>
    <w:p w14:paraId="21E1EEDA" w14:textId="01F5FE10" w:rsidR="00CA2E4E" w:rsidRPr="0033698E" w:rsidRDefault="00CA2E4E" w:rsidP="00CA2E4E">
      <w:pPr>
        <w:pStyle w:val="MIRHeading3Rule"/>
        <w:keepNext/>
      </w:pPr>
      <w:r w:rsidRPr="00871841">
        <w:t>A3.21.1</w:t>
      </w:r>
      <w:r w:rsidRPr="00871841">
        <w:tab/>
      </w:r>
      <w:r w:rsidR="00871841">
        <w:tab/>
      </w:r>
      <w:r w:rsidRPr="0033698E">
        <w:t xml:space="preserve">Options </w:t>
      </w:r>
    </w:p>
    <w:p w14:paraId="7394F6FC" w14:textId="77777777" w:rsidR="00CA2E4E" w:rsidRPr="0033698E" w:rsidRDefault="00CA2E4E" w:rsidP="001A4322">
      <w:pPr>
        <w:pStyle w:val="MIRBodyText"/>
        <w:numPr>
          <w:ilvl w:val="0"/>
          <w:numId w:val="17"/>
        </w:numPr>
        <w:spacing w:line="280" w:lineRule="atLeast"/>
      </w:pPr>
      <w:r w:rsidRPr="0033698E">
        <w:rPr>
          <w:color w:val="000000"/>
        </w:rPr>
        <w:t xml:space="preserve">The Foreign Exchange Equivalent for an Option is: </w:t>
      </w:r>
    </w:p>
    <w:p w14:paraId="34D420ED" w14:textId="77777777" w:rsidR="00CA2E4E" w:rsidRPr="00804482" w:rsidRDefault="00CA2E4E" w:rsidP="001A4322">
      <w:pPr>
        <w:pStyle w:val="MIRSubpara"/>
        <w:numPr>
          <w:ilvl w:val="1"/>
          <w:numId w:val="17"/>
        </w:numPr>
        <w:spacing w:line="280" w:lineRule="atLeast"/>
      </w:pPr>
      <w:r w:rsidRPr="00804482">
        <w:t xml:space="preserve">for purchased call Options and written put Options, a long position at the notional face value of the underlying contract; and </w:t>
      </w:r>
    </w:p>
    <w:p w14:paraId="48FFF5D8" w14:textId="77777777" w:rsidR="00CA2E4E" w:rsidRPr="00804482" w:rsidRDefault="00CA2E4E" w:rsidP="001A4322">
      <w:pPr>
        <w:pStyle w:val="MIRSubpara"/>
        <w:numPr>
          <w:ilvl w:val="1"/>
          <w:numId w:val="17"/>
        </w:numPr>
        <w:spacing w:line="280" w:lineRule="atLeast"/>
      </w:pPr>
      <w:r w:rsidRPr="00804482">
        <w:t xml:space="preserve">for purchased put Options and written call </w:t>
      </w:r>
      <w:r w:rsidRPr="00F831C0">
        <w:t xml:space="preserve">Options, a short position </w:t>
      </w:r>
      <w:r w:rsidRPr="00804482">
        <w:t xml:space="preserve">at the notional face value of the underlying contract. </w:t>
      </w:r>
    </w:p>
    <w:p w14:paraId="1E873FD4" w14:textId="301F3725" w:rsidR="00CA2E4E" w:rsidRPr="0033698E" w:rsidRDefault="00CA2E4E" w:rsidP="00203B23">
      <w:pPr>
        <w:pStyle w:val="MIRHeading3Rule"/>
        <w:ind w:left="1276" w:hanging="1276"/>
      </w:pPr>
      <w:r w:rsidRPr="00203B23">
        <w:rPr>
          <w:spacing w:val="-16"/>
        </w:rPr>
        <w:t>A3.21.2</w:t>
      </w:r>
      <w:r w:rsidR="007B72EE">
        <w:rPr>
          <w:spacing w:val="-16"/>
        </w:rPr>
        <w:tab/>
      </w:r>
      <w:r w:rsidRPr="0033698E">
        <w:t xml:space="preserve">Futures </w:t>
      </w:r>
    </w:p>
    <w:p w14:paraId="45A8721F" w14:textId="0707278D" w:rsidR="00CA2E4E" w:rsidRPr="0033698E" w:rsidRDefault="00CA2E4E" w:rsidP="001A4322">
      <w:pPr>
        <w:pStyle w:val="MIRBodyText"/>
        <w:numPr>
          <w:ilvl w:val="0"/>
          <w:numId w:val="17"/>
        </w:numPr>
        <w:spacing w:line="280" w:lineRule="atLeast"/>
      </w:pPr>
      <w:r w:rsidRPr="0033698E">
        <w:t>The Foreign Exchange Equivalent for a Future</w:t>
      </w:r>
      <w:r w:rsidR="00CC0003">
        <w:t xml:space="preserve"> over a Foreign Exchange</w:t>
      </w:r>
      <w:r w:rsidRPr="0033698E">
        <w:t xml:space="preserve"> is the notional face value of the underlying contract. </w:t>
      </w:r>
    </w:p>
    <w:p w14:paraId="6A2EDB63" w14:textId="62F7708C" w:rsidR="00CA2E4E" w:rsidRPr="0033698E" w:rsidRDefault="00CA2E4E" w:rsidP="00203B23">
      <w:pPr>
        <w:pStyle w:val="MIRHeading3Rule"/>
        <w:ind w:left="1276" w:hanging="1276"/>
      </w:pPr>
      <w:r w:rsidRPr="00203B23">
        <w:rPr>
          <w:spacing w:val="-16"/>
        </w:rPr>
        <w:t>A3.21.3</w:t>
      </w:r>
      <w:r w:rsidRPr="00203B23">
        <w:rPr>
          <w:spacing w:val="-16"/>
        </w:rPr>
        <w:tab/>
      </w:r>
      <w:r w:rsidRPr="0033698E">
        <w:t xml:space="preserve">Forward contracts </w:t>
      </w:r>
    </w:p>
    <w:p w14:paraId="531EE36D" w14:textId="388504CB" w:rsidR="0055349C" w:rsidRPr="001A4322" w:rsidRDefault="00CA2E4E" w:rsidP="001A4322">
      <w:pPr>
        <w:pStyle w:val="MIRBodyText"/>
        <w:numPr>
          <w:ilvl w:val="0"/>
          <w:numId w:val="17"/>
        </w:numPr>
        <w:spacing w:line="280" w:lineRule="atLeast"/>
      </w:pPr>
      <w:r w:rsidRPr="0033698E">
        <w:rPr>
          <w:color w:val="000000"/>
        </w:rPr>
        <w:t xml:space="preserve">The Foreign Exchange Equivalent for a forward contract including a future exchange associated with a cross currency Swap </w:t>
      </w:r>
      <w:r w:rsidR="0055349C">
        <w:rPr>
          <w:color w:val="000000"/>
        </w:rPr>
        <w:t>is at the discretion of the Market Participant</w:t>
      </w:r>
      <w:r w:rsidR="0090116D">
        <w:rPr>
          <w:color w:val="000000"/>
        </w:rPr>
        <w:t xml:space="preserve"> </w:t>
      </w:r>
      <w:r w:rsidR="0055349C">
        <w:rPr>
          <w:color w:val="000000"/>
        </w:rPr>
        <w:t>either the:</w:t>
      </w:r>
    </w:p>
    <w:p w14:paraId="3DCA7CD9" w14:textId="4491FF09" w:rsidR="0055349C" w:rsidRPr="00653951" w:rsidRDefault="00653951" w:rsidP="00D3615D">
      <w:pPr>
        <w:pStyle w:val="MIRBodyText"/>
        <w:numPr>
          <w:ilvl w:val="0"/>
          <w:numId w:val="0"/>
        </w:numPr>
        <w:spacing w:line="280" w:lineRule="atLeast"/>
        <w:ind w:left="1276" w:hanging="425"/>
      </w:pPr>
      <w:r w:rsidRPr="00D3615D">
        <w:rPr>
          <w:color w:val="000000"/>
          <w:sz w:val="18"/>
          <w:szCs w:val="18"/>
        </w:rPr>
        <w:t>(a)</w:t>
      </w:r>
      <w:r>
        <w:rPr>
          <w:color w:val="000000"/>
        </w:rPr>
        <w:tab/>
      </w:r>
      <w:r w:rsidR="008C2F86" w:rsidRPr="00653951">
        <w:t>face value of the contract</w:t>
      </w:r>
      <w:r w:rsidR="0055349C" w:rsidRPr="00653951">
        <w:t>; or</w:t>
      </w:r>
    </w:p>
    <w:p w14:paraId="22A353C9" w14:textId="68CD0314" w:rsidR="00CA2E4E" w:rsidRPr="0033698E" w:rsidRDefault="00653951" w:rsidP="00D3615D">
      <w:pPr>
        <w:pStyle w:val="subparaa"/>
        <w:numPr>
          <w:ilvl w:val="0"/>
          <w:numId w:val="0"/>
        </w:numPr>
        <w:ind w:left="1276" w:hanging="425"/>
      </w:pPr>
      <w:r w:rsidRPr="00D3615D">
        <w:rPr>
          <w:sz w:val="18"/>
          <w:szCs w:val="18"/>
        </w:rPr>
        <w:t>(b)</w:t>
      </w:r>
      <w:r>
        <w:rPr>
          <w:sz w:val="18"/>
          <w:szCs w:val="18"/>
        </w:rPr>
        <w:tab/>
      </w:r>
      <w:r w:rsidR="0055349C">
        <w:t>net present value of the contract.</w:t>
      </w:r>
    </w:p>
    <w:p w14:paraId="13B01E7A" w14:textId="192EF81E" w:rsidR="00CA2E4E" w:rsidRPr="0033698E" w:rsidRDefault="00CA2E4E" w:rsidP="00203B23">
      <w:pPr>
        <w:pStyle w:val="MIRHeading3Rule"/>
        <w:ind w:left="1276" w:hanging="1276"/>
      </w:pPr>
      <w:r w:rsidRPr="00203B23">
        <w:rPr>
          <w:spacing w:val="-16"/>
        </w:rPr>
        <w:t>A3.21.4</w:t>
      </w:r>
      <w:r w:rsidR="00AC0175">
        <w:rPr>
          <w:spacing w:val="-16"/>
        </w:rPr>
        <w:tab/>
      </w:r>
      <w:r w:rsidRPr="0033698E">
        <w:t xml:space="preserve">Other positions—Exchange traded CFDs </w:t>
      </w:r>
      <w:r w:rsidR="0055349C">
        <w:t xml:space="preserve"> </w:t>
      </w:r>
    </w:p>
    <w:p w14:paraId="668DE611" w14:textId="5152EC09" w:rsidR="00CA2E4E" w:rsidRPr="0033698E" w:rsidRDefault="00CA2E4E" w:rsidP="001A4322">
      <w:pPr>
        <w:pStyle w:val="MIRBodyText"/>
        <w:numPr>
          <w:ilvl w:val="0"/>
          <w:numId w:val="17"/>
        </w:numPr>
        <w:spacing w:line="280" w:lineRule="atLeast"/>
      </w:pPr>
      <w:r w:rsidRPr="0033698E">
        <w:t xml:space="preserve">The Foreign Exchange Equivalent for an exchange traded CFD over an exchange rate or </w:t>
      </w:r>
      <w:r w:rsidR="000A77FC">
        <w:t>F</w:t>
      </w:r>
      <w:r w:rsidRPr="0033698E">
        <w:t xml:space="preserve">oreign </w:t>
      </w:r>
      <w:r w:rsidR="000A77FC">
        <w:t xml:space="preserve">Exchange </w:t>
      </w:r>
      <w:r w:rsidRPr="0033698E">
        <w:t xml:space="preserve">is the notional face value of the underlying contract. </w:t>
      </w:r>
    </w:p>
    <w:p w14:paraId="6CBFF968" w14:textId="226349EE" w:rsidR="00CA2E4E" w:rsidRPr="0033698E" w:rsidRDefault="00CA2E4E" w:rsidP="00CA2E4E">
      <w:pPr>
        <w:pStyle w:val="MIRHeading2Part"/>
      </w:pPr>
      <w:bookmarkStart w:id="71" w:name="_Toc27492597"/>
      <w:bookmarkEnd w:id="69"/>
      <w:r w:rsidRPr="0033698E">
        <w:t>Part A3.22</w:t>
      </w:r>
      <w:r w:rsidRPr="0033698E">
        <w:tab/>
        <w:t xml:space="preserve">Calculation of </w:t>
      </w:r>
      <w:r w:rsidR="00A05AF6">
        <w:t>Foreign Exchange</w:t>
      </w:r>
      <w:r w:rsidRPr="0033698E">
        <w:t xml:space="preserve"> net open position</w:t>
      </w:r>
      <w:r w:rsidR="00765DB9">
        <w:t>s</w:t>
      </w:r>
      <w:r w:rsidRPr="0033698E">
        <w:t xml:space="preserve">—Foreign </w:t>
      </w:r>
      <w:r w:rsidR="00125ED0">
        <w:t>E</w:t>
      </w:r>
      <w:r w:rsidRPr="0033698E">
        <w:t>xchange position risk</w:t>
      </w:r>
      <w:bookmarkEnd w:id="71"/>
      <w:r w:rsidRPr="0033698E">
        <w:t xml:space="preserve"> </w:t>
      </w:r>
    </w:p>
    <w:p w14:paraId="1BD005D1" w14:textId="00D705D7" w:rsidR="00CA2E4E" w:rsidRPr="0033698E" w:rsidRDefault="00CA2E4E" w:rsidP="00203B23">
      <w:pPr>
        <w:pStyle w:val="MIRHeading3Rule"/>
        <w:ind w:left="1276" w:hanging="1276"/>
      </w:pPr>
      <w:r w:rsidRPr="00203B23">
        <w:rPr>
          <w:spacing w:val="-16"/>
        </w:rPr>
        <w:t>A3.22.1</w:t>
      </w:r>
      <w:r w:rsidR="007B72EE">
        <w:tab/>
      </w:r>
      <w:r w:rsidRPr="0033698E">
        <w:t xml:space="preserve">Calculation of </w:t>
      </w:r>
      <w:r w:rsidR="0007032C">
        <w:t>foreign currency</w:t>
      </w:r>
      <w:r w:rsidRPr="0033698E">
        <w:t xml:space="preserve"> net open position </w:t>
      </w:r>
    </w:p>
    <w:p w14:paraId="167BE025" w14:textId="77777777" w:rsidR="00CA2E4E" w:rsidRPr="0033698E" w:rsidRDefault="00CA2E4E" w:rsidP="001A4322">
      <w:pPr>
        <w:pStyle w:val="MIRBodyText"/>
        <w:numPr>
          <w:ilvl w:val="0"/>
          <w:numId w:val="17"/>
        </w:numPr>
        <w:spacing w:line="280" w:lineRule="atLeast"/>
      </w:pPr>
      <w:r w:rsidRPr="0033698E">
        <w:t>(1) To calcu</w:t>
      </w:r>
      <w:r w:rsidRPr="0033698E">
        <w:rPr>
          <w:rFonts w:eastAsiaTheme="minorEastAsia"/>
        </w:rPr>
        <w:t>l</w:t>
      </w:r>
      <w:r w:rsidRPr="0033698E">
        <w:t xml:space="preserve">ate a net open position in a foreign currency, a Market Participant must aggregate in each currency all: </w:t>
      </w:r>
    </w:p>
    <w:p w14:paraId="2952AE47" w14:textId="4130DBEE" w:rsidR="00CA2E4E" w:rsidRPr="00804482" w:rsidRDefault="00CA2E4E" w:rsidP="001A4322">
      <w:pPr>
        <w:pStyle w:val="MIRSubpara"/>
        <w:numPr>
          <w:ilvl w:val="1"/>
          <w:numId w:val="17"/>
        </w:numPr>
        <w:spacing w:line="280" w:lineRule="atLeast"/>
      </w:pPr>
      <w:r w:rsidRPr="00804482">
        <w:lastRenderedPageBreak/>
        <w:t xml:space="preserve">Financial Instruments; </w:t>
      </w:r>
    </w:p>
    <w:p w14:paraId="06A1AAC8" w14:textId="3409743A" w:rsidR="00822B75" w:rsidRDefault="00822B75" w:rsidP="001A4322">
      <w:pPr>
        <w:pStyle w:val="MIRSubpara"/>
        <w:numPr>
          <w:ilvl w:val="1"/>
          <w:numId w:val="17"/>
        </w:numPr>
        <w:spacing w:line="280" w:lineRule="atLeast"/>
      </w:pPr>
      <w:r>
        <w:t>Commodities;</w:t>
      </w:r>
      <w:r w:rsidR="00D478E9">
        <w:t xml:space="preserve"> and</w:t>
      </w:r>
    </w:p>
    <w:p w14:paraId="63F4B487" w14:textId="18AED803" w:rsidR="00CA2E4E" w:rsidRPr="00804482" w:rsidRDefault="00CA2E4E" w:rsidP="001A4322">
      <w:pPr>
        <w:pStyle w:val="MIRSubpara"/>
        <w:numPr>
          <w:ilvl w:val="1"/>
          <w:numId w:val="17"/>
        </w:numPr>
        <w:spacing w:line="280" w:lineRule="atLeast"/>
      </w:pPr>
      <w:r w:rsidRPr="00804482">
        <w:t xml:space="preserve">other assets and liabilities, </w:t>
      </w:r>
    </w:p>
    <w:p w14:paraId="3DBE9DF9" w14:textId="77777777" w:rsidR="00CA2E4E" w:rsidRPr="0033698E" w:rsidRDefault="00CA2E4E" w:rsidP="001A4322">
      <w:pPr>
        <w:pStyle w:val="MIRBodyText"/>
        <w:numPr>
          <w:ilvl w:val="0"/>
          <w:numId w:val="17"/>
        </w:numPr>
        <w:spacing w:line="280" w:lineRule="atLeast"/>
      </w:pPr>
      <w:r w:rsidRPr="0033698E">
        <w:t xml:space="preserve">other than Excluded Assets and foreign exchange contracts hedging Excluded Assets. </w:t>
      </w:r>
    </w:p>
    <w:p w14:paraId="54BF27C2" w14:textId="32834210" w:rsidR="00CA2E4E" w:rsidRPr="0033698E" w:rsidRDefault="00CA2E4E" w:rsidP="001A4322">
      <w:pPr>
        <w:pStyle w:val="MIRBodyText"/>
        <w:numPr>
          <w:ilvl w:val="0"/>
          <w:numId w:val="17"/>
        </w:numPr>
      </w:pPr>
      <w:r w:rsidRPr="0033698E">
        <w:t>(2) To convert a net open position</w:t>
      </w:r>
      <w:r w:rsidR="00B61881">
        <w:t xml:space="preserve"> in a foreign currency</w:t>
      </w:r>
      <w:r w:rsidRPr="0033698E">
        <w:t xml:space="preserve"> to an equivalent Australian dollar amount a Market Participant must use: </w:t>
      </w:r>
    </w:p>
    <w:p w14:paraId="44651033" w14:textId="77777777" w:rsidR="00CA2E4E" w:rsidRPr="008D15A6" w:rsidRDefault="00CA2E4E" w:rsidP="001A4322">
      <w:pPr>
        <w:pStyle w:val="MIRSubpara"/>
        <w:numPr>
          <w:ilvl w:val="1"/>
          <w:numId w:val="17"/>
        </w:numPr>
      </w:pPr>
      <w:r w:rsidRPr="00804482">
        <w:t>t</w:t>
      </w:r>
      <w:r w:rsidRPr="008D15A6">
        <w:t xml:space="preserve">he Market Spot Exchange Rate; or </w:t>
      </w:r>
    </w:p>
    <w:p w14:paraId="5E9C603A" w14:textId="2D039422" w:rsidR="000A2540" w:rsidRDefault="00CA2E4E" w:rsidP="001A4322">
      <w:pPr>
        <w:pStyle w:val="MIRSubpara"/>
        <w:numPr>
          <w:ilvl w:val="1"/>
          <w:numId w:val="17"/>
        </w:numPr>
      </w:pPr>
      <w:r w:rsidRPr="00E85986">
        <w:t xml:space="preserve">in the case where a foreign currency asset or liability is specifically matched or hedged by a forward currency contract, the rate of exchange stated in the forward currency contract. </w:t>
      </w:r>
    </w:p>
    <w:p w14:paraId="1B35A96C" w14:textId="77777777" w:rsidR="0074414B" w:rsidRDefault="0074414B" w:rsidP="0074414B">
      <w:pPr>
        <w:pStyle w:val="MIRHeading3"/>
      </w:pPr>
      <w:r>
        <w:t>A3.22.2 Calculation of gold net open position</w:t>
      </w:r>
    </w:p>
    <w:p w14:paraId="4FF0A499" w14:textId="5651F71B" w:rsidR="0074414B" w:rsidRDefault="0074414B" w:rsidP="00E92F01">
      <w:pPr>
        <w:pStyle w:val="MIRBodyText"/>
        <w:numPr>
          <w:ilvl w:val="0"/>
          <w:numId w:val="0"/>
        </w:numPr>
        <w:ind w:left="851"/>
      </w:pPr>
      <w:r>
        <w:t xml:space="preserve">(1) </w:t>
      </w:r>
      <w:r w:rsidR="00103882">
        <w:t>To calculate a net open position in gold</w:t>
      </w:r>
      <w:r w:rsidR="00363E38">
        <w:t xml:space="preserve"> and gold derivatives</w:t>
      </w:r>
      <w:r w:rsidR="00103882">
        <w:t xml:space="preserve">, each </w:t>
      </w:r>
      <w:r w:rsidR="00A872B9">
        <w:t xml:space="preserve">open </w:t>
      </w:r>
      <w:r w:rsidR="00103882">
        <w:t>p</w:t>
      </w:r>
      <w:r>
        <w:t>osition in gold must</w:t>
      </w:r>
      <w:r w:rsidR="00103882">
        <w:t xml:space="preserve"> first</w:t>
      </w:r>
      <w:r>
        <w:t xml:space="preserve"> be expressed in terms of the standard unit of measurement (</w:t>
      </w:r>
      <w:r w:rsidR="00103882">
        <w:t>k</w:t>
      </w:r>
      <w:r>
        <w:t xml:space="preserve">ilos, ounces etc). The net position </w:t>
      </w:r>
      <w:r w:rsidR="00363E38">
        <w:t xml:space="preserve">in gold and gold derivative </w:t>
      </w:r>
      <w:r w:rsidR="00E92F01">
        <w:t>must</w:t>
      </w:r>
      <w:r>
        <w:t xml:space="preserve"> then be converted at the current rates into Australian dollars.</w:t>
      </w:r>
    </w:p>
    <w:p w14:paraId="40651168" w14:textId="5407AABF" w:rsidR="005962AD" w:rsidRPr="004563CF" w:rsidRDefault="005962AD" w:rsidP="001A4322">
      <w:pPr>
        <w:pStyle w:val="MIRBodyText"/>
        <w:numPr>
          <w:ilvl w:val="0"/>
          <w:numId w:val="17"/>
        </w:numPr>
        <w:spacing w:line="280" w:lineRule="atLeast"/>
        <w:jc w:val="both"/>
        <w:rPr>
          <w:color w:val="000000"/>
        </w:rPr>
      </w:pPr>
      <w:r w:rsidRPr="004563CF">
        <w:rPr>
          <w:color w:val="000000"/>
        </w:rPr>
        <w:t xml:space="preserve">(2) When calculating the gold net open positions, the long and short positions in a gold contract or gold </w:t>
      </w:r>
      <w:r w:rsidR="00835862" w:rsidRPr="004563CF">
        <w:rPr>
          <w:color w:val="000000"/>
        </w:rPr>
        <w:t>d</w:t>
      </w:r>
      <w:r w:rsidRPr="004563CF">
        <w:rPr>
          <w:color w:val="000000"/>
        </w:rPr>
        <w:t>erivative may be offset.</w:t>
      </w:r>
    </w:p>
    <w:p w14:paraId="20CA2326" w14:textId="5285656A" w:rsidR="001F7D54" w:rsidRDefault="0074414B" w:rsidP="001F7D54">
      <w:pPr>
        <w:pStyle w:val="MIRBodyText"/>
        <w:numPr>
          <w:ilvl w:val="0"/>
          <w:numId w:val="17"/>
        </w:numPr>
      </w:pPr>
      <w:bookmarkStart w:id="72" w:name="_Hlk23839488"/>
      <w:r>
        <w:t>(</w:t>
      </w:r>
      <w:r w:rsidR="000A77FC">
        <w:t>3</w:t>
      </w:r>
      <w:r>
        <w:t>) Where the interbank market price for gold is denominated in</w:t>
      </w:r>
      <w:r w:rsidR="000A77FC">
        <w:t xml:space="preserve"> a</w:t>
      </w:r>
      <w:r>
        <w:t xml:space="preserve"> </w:t>
      </w:r>
      <w:r w:rsidR="00B334F6">
        <w:t>foreign currency</w:t>
      </w:r>
      <w:r>
        <w:t xml:space="preserve">, a </w:t>
      </w:r>
      <w:r w:rsidR="00A872B9">
        <w:t>M</w:t>
      </w:r>
      <w:r>
        <w:t xml:space="preserve">arket </w:t>
      </w:r>
      <w:r w:rsidR="00A872B9">
        <w:t>P</w:t>
      </w:r>
      <w:r>
        <w:t xml:space="preserve">articipant with an open position </w:t>
      </w:r>
      <w:r w:rsidR="00A872B9">
        <w:t>in gold</w:t>
      </w:r>
      <w:r w:rsidR="00363E38">
        <w:t xml:space="preserve"> and gold derivative</w:t>
      </w:r>
      <w:r w:rsidR="00082A9C">
        <w:t>:</w:t>
      </w:r>
    </w:p>
    <w:p w14:paraId="647870CA" w14:textId="726BAC11" w:rsidR="00C23FEE" w:rsidRDefault="0074414B" w:rsidP="001A4322">
      <w:pPr>
        <w:pStyle w:val="MIRSubpara"/>
        <w:numPr>
          <w:ilvl w:val="1"/>
          <w:numId w:val="17"/>
        </w:numPr>
      </w:pPr>
      <w:r>
        <w:t>must calculate an Australian dollar equivalent amount of</w:t>
      </w:r>
      <w:r w:rsidR="00C23FEE">
        <w:t>:</w:t>
      </w:r>
    </w:p>
    <w:p w14:paraId="7E5FEBF2" w14:textId="27B50F80" w:rsidR="00C23FEE" w:rsidRDefault="0074414B" w:rsidP="001A4322">
      <w:pPr>
        <w:pStyle w:val="MIRSubsubpara"/>
        <w:numPr>
          <w:ilvl w:val="2"/>
          <w:numId w:val="17"/>
        </w:numPr>
      </w:pPr>
      <w:r>
        <w:t>exposure to the gold</w:t>
      </w:r>
      <w:r w:rsidR="00C23FEE">
        <w:t xml:space="preserve"> price;</w:t>
      </w:r>
      <w:r>
        <w:t xml:space="preserve"> and </w:t>
      </w:r>
    </w:p>
    <w:p w14:paraId="4D08EE6A" w14:textId="07347E35" w:rsidR="00C23FEE" w:rsidRDefault="004816ED" w:rsidP="001A4322">
      <w:pPr>
        <w:pStyle w:val="MIRSubsubpara"/>
        <w:numPr>
          <w:ilvl w:val="2"/>
          <w:numId w:val="17"/>
        </w:numPr>
      </w:pPr>
      <w:r>
        <w:t>i</w:t>
      </w:r>
      <w:r w:rsidR="00DC4F7A">
        <w:t xml:space="preserve">ts </w:t>
      </w:r>
      <w:r w:rsidR="00C23FEE">
        <w:t xml:space="preserve">exposure to </w:t>
      </w:r>
      <w:r w:rsidR="000A77FC">
        <w:t>a</w:t>
      </w:r>
      <w:r w:rsidR="00C23FEE" w:rsidRPr="00C23FEE">
        <w:t xml:space="preserve"> </w:t>
      </w:r>
      <w:r w:rsidR="00DC4F7A">
        <w:t>foreign currency</w:t>
      </w:r>
      <w:r w:rsidR="00C23FEE">
        <w:t>; and</w:t>
      </w:r>
    </w:p>
    <w:p w14:paraId="0CEA18DC" w14:textId="7DC77888" w:rsidR="00363E38" w:rsidRDefault="00C23FEE" w:rsidP="001A4322">
      <w:pPr>
        <w:pStyle w:val="MIRSubpara"/>
        <w:numPr>
          <w:ilvl w:val="1"/>
          <w:numId w:val="17"/>
        </w:numPr>
        <w:sectPr w:rsidR="00363E38" w:rsidSect="00A623B7">
          <w:headerReference w:type="even" r:id="rId40"/>
          <w:headerReference w:type="default" r:id="rId41"/>
          <w:headerReference w:type="first" r:id="rId42"/>
          <w:type w:val="continuous"/>
          <w:pgSz w:w="11906" w:h="16838" w:code="9"/>
          <w:pgMar w:top="1644" w:right="1418" w:bottom="1418" w:left="1418" w:header="567" w:footer="567" w:gutter="0"/>
          <w:cols w:space="720"/>
          <w:docGrid w:linePitch="299"/>
        </w:sectPr>
      </w:pPr>
      <w:r>
        <w:t>may net the exposure to</w:t>
      </w:r>
      <w:r w:rsidR="000A77FC">
        <w:t xml:space="preserve"> a</w:t>
      </w:r>
      <w:r>
        <w:t xml:space="preserve"> </w:t>
      </w:r>
      <w:r w:rsidR="00DC4F7A">
        <w:t>foreign currency</w:t>
      </w:r>
      <w:r w:rsidR="0074414B">
        <w:t xml:space="preserve"> against</w:t>
      </w:r>
      <w:r w:rsidR="00BB28AD">
        <w:t xml:space="preserve"> exposures to</w:t>
      </w:r>
      <w:r w:rsidR="0074414B">
        <w:t xml:space="preserve"> </w:t>
      </w:r>
      <w:r w:rsidR="000A77FC">
        <w:t xml:space="preserve">the same </w:t>
      </w:r>
      <w:r w:rsidR="00DC4F7A">
        <w:t xml:space="preserve">foreign </w:t>
      </w:r>
      <w:r w:rsidR="004816ED">
        <w:t>currencies</w:t>
      </w:r>
      <w:r w:rsidR="0074414B">
        <w:t xml:space="preserve"> arising from </w:t>
      </w:r>
      <w:r w:rsidR="00BB28AD">
        <w:t xml:space="preserve">the Market Participant’s </w:t>
      </w:r>
      <w:r w:rsidR="0074414B">
        <w:t>other activities.</w:t>
      </w:r>
    </w:p>
    <w:bookmarkEnd w:id="72"/>
    <w:p w14:paraId="02372686" w14:textId="77777777" w:rsidR="000A2540" w:rsidRDefault="000A2540" w:rsidP="00203B23">
      <w:pPr>
        <w:pStyle w:val="MIRSubpara"/>
        <w:numPr>
          <w:ilvl w:val="0"/>
          <w:numId w:val="0"/>
        </w:numPr>
        <w:spacing w:before="0" w:line="20" w:lineRule="exact"/>
        <w:ind w:left="851"/>
      </w:pPr>
    </w:p>
    <w:p w14:paraId="69E5C429" w14:textId="537C03FF" w:rsidR="008C2F86" w:rsidRPr="00F9069B" w:rsidRDefault="008C2F86" w:rsidP="008C2F86">
      <w:pPr>
        <w:pStyle w:val="MIRHeading2Part"/>
      </w:pPr>
      <w:bookmarkStart w:id="73" w:name="_Toc509478698"/>
      <w:bookmarkStart w:id="74" w:name="_Toc517295434"/>
      <w:bookmarkStart w:id="75" w:name="_Toc27492598"/>
      <w:bookmarkStart w:id="76" w:name="_Toc511655153"/>
      <w:r w:rsidRPr="00F9069B">
        <w:t>Part A3.23</w:t>
      </w:r>
      <w:r w:rsidRPr="00F9069B">
        <w:tab/>
        <w:t>Commodity position risk amount</w:t>
      </w:r>
      <w:bookmarkEnd w:id="73"/>
      <w:bookmarkEnd w:id="74"/>
      <w:bookmarkEnd w:id="75"/>
      <w:r w:rsidRPr="00F9069B">
        <w:t xml:space="preserve"> </w:t>
      </w:r>
      <w:bookmarkEnd w:id="76"/>
    </w:p>
    <w:p w14:paraId="2EA3367B" w14:textId="452E5095" w:rsidR="008C2F86" w:rsidRPr="00F9069B" w:rsidRDefault="008C2F86" w:rsidP="008C2F86">
      <w:pPr>
        <w:pStyle w:val="MIRHeading3Rule"/>
        <w:keepNext/>
      </w:pPr>
      <w:r w:rsidRPr="00F9069B">
        <w:t>A3.23.1</w:t>
      </w:r>
      <w:r w:rsidRPr="00F9069B">
        <w:tab/>
      </w:r>
      <w:r w:rsidRPr="00F9069B">
        <w:tab/>
        <w:t xml:space="preserve">Nature of </w:t>
      </w:r>
      <w:r w:rsidR="00941AF0">
        <w:t>C</w:t>
      </w:r>
      <w:r w:rsidRPr="00F9069B">
        <w:t xml:space="preserve">ommodity position risk amount </w:t>
      </w:r>
    </w:p>
    <w:p w14:paraId="466DE181" w14:textId="1CD6385A" w:rsidR="008C2F86" w:rsidRPr="00F9069B" w:rsidRDefault="008C2F86" w:rsidP="001A4322">
      <w:pPr>
        <w:pStyle w:val="MIRBodyText"/>
        <w:numPr>
          <w:ilvl w:val="0"/>
          <w:numId w:val="17"/>
        </w:numPr>
        <w:spacing w:line="310" w:lineRule="atLeast"/>
      </w:pPr>
      <w:r w:rsidRPr="00F9069B">
        <w:t xml:space="preserve">The </w:t>
      </w:r>
      <w:r w:rsidR="00170342">
        <w:t>C</w:t>
      </w:r>
      <w:r w:rsidRPr="00F9069B">
        <w:t xml:space="preserve">ommodity position risk amount in relation to a Market Participant’s </w:t>
      </w:r>
      <w:r w:rsidR="00803B68" w:rsidRPr="00F9069B">
        <w:t>C</w:t>
      </w:r>
      <w:r w:rsidRPr="00F9069B">
        <w:t xml:space="preserve">ommodity positions is the absolute sum of the individual position risk amounts for </w:t>
      </w:r>
      <w:r w:rsidR="00803B68" w:rsidRPr="00F9069B">
        <w:t>C</w:t>
      </w:r>
      <w:r w:rsidRPr="00F9069B">
        <w:t>ommodity positions</w:t>
      </w:r>
      <w:r w:rsidR="004816ED">
        <w:t xml:space="preserve"> </w:t>
      </w:r>
      <w:r w:rsidRPr="00F9069B">
        <w:t xml:space="preserve">calculated using the method of calculation set out in this Annexure 3. </w:t>
      </w:r>
    </w:p>
    <w:p w14:paraId="0070DD05" w14:textId="77777777" w:rsidR="008C2F86" w:rsidRPr="00F9069B" w:rsidRDefault="008C2F86" w:rsidP="008C2F86">
      <w:pPr>
        <w:pStyle w:val="MIRHeading3Rule"/>
      </w:pPr>
      <w:r w:rsidRPr="00F9069B">
        <w:t>A3.23.2</w:t>
      </w:r>
      <w:r w:rsidRPr="00F9069B">
        <w:tab/>
      </w:r>
      <w:r w:rsidRPr="00F9069B">
        <w:tab/>
        <w:t xml:space="preserve">Overview of method </w:t>
      </w:r>
    </w:p>
    <w:p w14:paraId="376C7FF7" w14:textId="613C8E77" w:rsidR="00F33006" w:rsidRPr="001A4322" w:rsidRDefault="00F33006" w:rsidP="001A4322">
      <w:pPr>
        <w:pStyle w:val="MIRBodyText"/>
        <w:numPr>
          <w:ilvl w:val="0"/>
          <w:numId w:val="17"/>
        </w:numPr>
        <w:spacing w:before="160"/>
      </w:pPr>
      <w:r w:rsidRPr="001A4322">
        <w:t xml:space="preserve">(1) The standard method is the main method for measuring the </w:t>
      </w:r>
      <w:r w:rsidR="00170342">
        <w:t>C</w:t>
      </w:r>
      <w:r w:rsidRPr="001A4322">
        <w:t xml:space="preserve">ommodity position risk amount. This is supplemented by other methods, the use of which largely depends on the Financial Instruments in which principal positions are taken. </w:t>
      </w:r>
    </w:p>
    <w:p w14:paraId="5876000B" w14:textId="6B3246CA" w:rsidR="00F33006" w:rsidRPr="001A4322" w:rsidRDefault="00F33006" w:rsidP="001A4322">
      <w:pPr>
        <w:pStyle w:val="MIRBodyText"/>
        <w:keepNext/>
        <w:numPr>
          <w:ilvl w:val="0"/>
          <w:numId w:val="17"/>
        </w:numPr>
        <w:spacing w:before="160"/>
      </w:pPr>
      <w:r w:rsidRPr="001A4322">
        <w:lastRenderedPageBreak/>
        <w:t xml:space="preserve">(2) In calculating the </w:t>
      </w:r>
      <w:r w:rsidR="00170342">
        <w:t>C</w:t>
      </w:r>
      <w:r w:rsidRPr="001A4322">
        <w:t xml:space="preserve">ommodity position risk amount, the following methods must be used. </w:t>
      </w:r>
    </w:p>
    <w:p w14:paraId="2BE7E446" w14:textId="02D2B23E" w:rsidR="00F33006" w:rsidRPr="001A4322" w:rsidRDefault="00F33006" w:rsidP="00F33006">
      <w:pPr>
        <w:pStyle w:val="tabletitlefullwidth"/>
      </w:pPr>
      <w:r w:rsidRPr="001A4322">
        <w:t>Table A3.</w:t>
      </w:r>
      <w:r w:rsidR="00533BC3">
        <w:t>4</w:t>
      </w:r>
      <w:r w:rsidRPr="001A4322">
        <w:t>:</w:t>
      </w:r>
      <w:r w:rsidRPr="001A4322">
        <w:tab/>
        <w:t>Overview of methods</w:t>
      </w:r>
    </w:p>
    <w:tbl>
      <w:tblPr>
        <w:tblW w:w="0" w:type="auto"/>
        <w:tblInd w:w="1"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126"/>
        <w:gridCol w:w="1984"/>
        <w:gridCol w:w="2126"/>
        <w:gridCol w:w="2552"/>
      </w:tblGrid>
      <w:tr w:rsidR="00F33006" w:rsidRPr="00F9069B" w14:paraId="235D8CEC" w14:textId="77777777" w:rsidTr="00C470D1">
        <w:trPr>
          <w:cantSplit/>
          <w:trHeight w:val="811"/>
          <w:tblHeader/>
        </w:trPr>
        <w:tc>
          <w:tcPr>
            <w:tcW w:w="2126" w:type="dxa"/>
            <w:shd w:val="clear" w:color="auto" w:fill="C2E3FA"/>
          </w:tcPr>
          <w:p w14:paraId="7A2D1D07" w14:textId="77777777" w:rsidR="00F33006" w:rsidRPr="001A4322" w:rsidRDefault="00F33006" w:rsidP="00C470D1">
            <w:pPr>
              <w:pStyle w:val="tabletitlefullwidth"/>
            </w:pPr>
            <w:r w:rsidRPr="001A4322">
              <w:t>Nature of Positions</w:t>
            </w:r>
          </w:p>
        </w:tc>
        <w:tc>
          <w:tcPr>
            <w:tcW w:w="1984" w:type="dxa"/>
            <w:shd w:val="clear" w:color="auto" w:fill="C2E3FA"/>
          </w:tcPr>
          <w:p w14:paraId="2FBFA050" w14:textId="77777777" w:rsidR="00F33006" w:rsidRPr="001A4322" w:rsidRDefault="00F33006" w:rsidP="00C470D1">
            <w:pPr>
              <w:pStyle w:val="tabletitlefullwidth"/>
            </w:pPr>
            <w:r w:rsidRPr="001A4322">
              <w:t>Standard Method</w:t>
            </w:r>
          </w:p>
        </w:tc>
        <w:tc>
          <w:tcPr>
            <w:tcW w:w="2126" w:type="dxa"/>
            <w:shd w:val="clear" w:color="auto" w:fill="C2E3FA"/>
          </w:tcPr>
          <w:p w14:paraId="6575DFD2" w14:textId="77777777" w:rsidR="00F33006" w:rsidRPr="001A4322" w:rsidRDefault="00F33006" w:rsidP="00C470D1">
            <w:pPr>
              <w:pStyle w:val="tabletitlefullwidth"/>
            </w:pPr>
            <w:r w:rsidRPr="001A4322">
              <w:t>Margin Method</w:t>
            </w:r>
          </w:p>
        </w:tc>
        <w:tc>
          <w:tcPr>
            <w:tcW w:w="2552" w:type="dxa"/>
            <w:shd w:val="clear" w:color="auto" w:fill="C2E3FA"/>
          </w:tcPr>
          <w:p w14:paraId="7618756B" w14:textId="77777777" w:rsidR="00F33006" w:rsidRPr="001A4322" w:rsidRDefault="00F33006" w:rsidP="00C470D1">
            <w:pPr>
              <w:pStyle w:val="tabletitlefullwidth"/>
            </w:pPr>
            <w:r w:rsidRPr="001A4322">
              <w:t>Basic Method</w:t>
            </w:r>
          </w:p>
        </w:tc>
      </w:tr>
      <w:tr w:rsidR="00F33006" w:rsidRPr="00F9069B" w14:paraId="3E166248" w14:textId="77777777" w:rsidTr="00C470D1">
        <w:trPr>
          <w:cantSplit/>
        </w:trPr>
        <w:tc>
          <w:tcPr>
            <w:tcW w:w="2126" w:type="dxa"/>
          </w:tcPr>
          <w:p w14:paraId="56F407BC" w14:textId="62079772" w:rsidR="00F33006" w:rsidRPr="001A4322" w:rsidRDefault="00AD13B3" w:rsidP="00C470D1">
            <w:pPr>
              <w:pStyle w:val="tablehead"/>
              <w:spacing w:before="100"/>
            </w:pPr>
            <w:r w:rsidRPr="001A4322">
              <w:t xml:space="preserve">Physical (not </w:t>
            </w:r>
            <w:r w:rsidR="00D5247D" w:rsidRPr="001A4322">
              <w:t>C</w:t>
            </w:r>
            <w:r w:rsidRPr="001A4322">
              <w:t xml:space="preserve">ommodity </w:t>
            </w:r>
            <w:r w:rsidR="00D5247D" w:rsidRPr="001A4322">
              <w:t>D</w:t>
            </w:r>
            <w:r w:rsidRPr="001A4322">
              <w:t>erivative</w:t>
            </w:r>
            <w:r w:rsidR="007D25A3" w:rsidRPr="001A4322">
              <w:t>s</w:t>
            </w:r>
            <w:r w:rsidRPr="001A4322">
              <w:t>)</w:t>
            </w:r>
          </w:p>
        </w:tc>
        <w:tc>
          <w:tcPr>
            <w:tcW w:w="1984" w:type="dxa"/>
          </w:tcPr>
          <w:p w14:paraId="6AD99481" w14:textId="77777777" w:rsidR="00F33006" w:rsidRPr="001A4322" w:rsidRDefault="00F33006" w:rsidP="00C470D1">
            <w:pPr>
              <w:pStyle w:val="tbltext"/>
              <w:spacing w:before="100"/>
            </w:pPr>
            <w:r w:rsidRPr="001A4322">
              <w:t>Yes</w:t>
            </w:r>
          </w:p>
        </w:tc>
        <w:tc>
          <w:tcPr>
            <w:tcW w:w="2126" w:type="dxa"/>
          </w:tcPr>
          <w:p w14:paraId="38231791" w14:textId="77777777" w:rsidR="00F33006" w:rsidRPr="001A4322" w:rsidRDefault="00F33006" w:rsidP="00C470D1">
            <w:pPr>
              <w:pStyle w:val="tbltext"/>
              <w:spacing w:before="100"/>
            </w:pPr>
            <w:r w:rsidRPr="001A4322">
              <w:t>No</w:t>
            </w:r>
          </w:p>
        </w:tc>
        <w:tc>
          <w:tcPr>
            <w:tcW w:w="2552" w:type="dxa"/>
          </w:tcPr>
          <w:p w14:paraId="354BF583" w14:textId="77777777" w:rsidR="00F33006" w:rsidRPr="001A4322" w:rsidRDefault="00F33006" w:rsidP="00C470D1">
            <w:pPr>
              <w:pStyle w:val="tbltext"/>
              <w:spacing w:before="100"/>
            </w:pPr>
            <w:r w:rsidRPr="001A4322">
              <w:t>No</w:t>
            </w:r>
          </w:p>
        </w:tc>
      </w:tr>
      <w:tr w:rsidR="00F33006" w:rsidRPr="00F9069B" w14:paraId="28E8B87F" w14:textId="77777777" w:rsidTr="00C470D1">
        <w:trPr>
          <w:cantSplit/>
        </w:trPr>
        <w:tc>
          <w:tcPr>
            <w:tcW w:w="2126" w:type="dxa"/>
          </w:tcPr>
          <w:p w14:paraId="7BC526C4" w14:textId="22F20500" w:rsidR="00F33006" w:rsidRPr="001A4322" w:rsidRDefault="00F33006" w:rsidP="00C470D1">
            <w:pPr>
              <w:pStyle w:val="tablehead"/>
              <w:spacing w:before="100"/>
            </w:pPr>
            <w:r w:rsidRPr="001A4322">
              <w:t xml:space="preserve">Non-option </w:t>
            </w:r>
            <w:r w:rsidR="00D5247D" w:rsidRPr="001A4322">
              <w:t>C</w:t>
            </w:r>
            <w:r w:rsidRPr="001A4322">
              <w:t xml:space="preserve">ommodity </w:t>
            </w:r>
            <w:r w:rsidR="00D5247D" w:rsidRPr="001A4322">
              <w:t>D</w:t>
            </w:r>
            <w:r w:rsidRPr="001A4322">
              <w:t>erivatives</w:t>
            </w:r>
          </w:p>
        </w:tc>
        <w:tc>
          <w:tcPr>
            <w:tcW w:w="1984" w:type="dxa"/>
          </w:tcPr>
          <w:p w14:paraId="556D1966" w14:textId="680C9591" w:rsidR="00F33006" w:rsidRPr="001A4322" w:rsidRDefault="00F33006" w:rsidP="00C470D1">
            <w:pPr>
              <w:pStyle w:val="tbltext"/>
              <w:spacing w:before="100"/>
            </w:pPr>
            <w:r w:rsidRPr="001A4322">
              <w:t xml:space="preserve">Yes, if converted to </w:t>
            </w:r>
            <w:r w:rsidR="00170342">
              <w:t>C</w:t>
            </w:r>
            <w:r w:rsidRPr="001A4322">
              <w:t>ommodity equivalent positions.</w:t>
            </w:r>
          </w:p>
        </w:tc>
        <w:tc>
          <w:tcPr>
            <w:tcW w:w="2126" w:type="dxa"/>
          </w:tcPr>
          <w:p w14:paraId="557442FB" w14:textId="77777777" w:rsidR="00F33006" w:rsidRPr="001A4322" w:rsidRDefault="00F33006" w:rsidP="00C470D1">
            <w:pPr>
              <w:pStyle w:val="tbltext"/>
              <w:spacing w:before="100"/>
            </w:pPr>
            <w:r w:rsidRPr="001A4322">
              <w:t>Yes, if exchange traded and margined and not calculated under any other method</w:t>
            </w:r>
          </w:p>
        </w:tc>
        <w:tc>
          <w:tcPr>
            <w:tcW w:w="2552" w:type="dxa"/>
          </w:tcPr>
          <w:p w14:paraId="683A8AB9" w14:textId="77777777" w:rsidR="00F33006" w:rsidRPr="001A4322" w:rsidRDefault="00F33006" w:rsidP="00C470D1">
            <w:pPr>
              <w:pStyle w:val="tbltext"/>
              <w:spacing w:before="100"/>
            </w:pPr>
            <w:r w:rsidRPr="001A4322">
              <w:t>No</w:t>
            </w:r>
          </w:p>
        </w:tc>
      </w:tr>
      <w:tr w:rsidR="00F33006" w:rsidRPr="00F9069B" w14:paraId="390DF9F5" w14:textId="77777777" w:rsidTr="00C470D1">
        <w:trPr>
          <w:cantSplit/>
        </w:trPr>
        <w:tc>
          <w:tcPr>
            <w:tcW w:w="2126" w:type="dxa"/>
          </w:tcPr>
          <w:p w14:paraId="62CF9644" w14:textId="47C5C5ED" w:rsidR="00F33006" w:rsidRPr="001A4322" w:rsidRDefault="00F33006" w:rsidP="00C470D1">
            <w:pPr>
              <w:pStyle w:val="tbltext"/>
              <w:spacing w:before="100"/>
              <w:rPr>
                <w:b/>
              </w:rPr>
            </w:pPr>
            <w:r w:rsidRPr="001A4322">
              <w:rPr>
                <w:b/>
              </w:rPr>
              <w:t xml:space="preserve">Commodity </w:t>
            </w:r>
            <w:r w:rsidR="00D5247D" w:rsidRPr="001A4322">
              <w:rPr>
                <w:b/>
              </w:rPr>
              <w:br/>
            </w:r>
            <w:r w:rsidRPr="001A4322">
              <w:rPr>
                <w:b/>
              </w:rPr>
              <w:t>options</w:t>
            </w:r>
          </w:p>
        </w:tc>
        <w:tc>
          <w:tcPr>
            <w:tcW w:w="1984" w:type="dxa"/>
          </w:tcPr>
          <w:p w14:paraId="50C48E2A" w14:textId="39B6A286" w:rsidR="00F33006" w:rsidRPr="001A4322" w:rsidRDefault="00F33006" w:rsidP="00C470D1">
            <w:pPr>
              <w:pStyle w:val="tbltext"/>
              <w:spacing w:before="100"/>
            </w:pPr>
            <w:r w:rsidRPr="001A4322">
              <w:t>Yes, if satisf</w:t>
            </w:r>
            <w:r w:rsidR="00100B75" w:rsidRPr="001A4322">
              <w:t>y</w:t>
            </w:r>
            <w:r w:rsidRPr="001A4322">
              <w:t xml:space="preserve"> relevant criteria.</w:t>
            </w:r>
          </w:p>
        </w:tc>
        <w:tc>
          <w:tcPr>
            <w:tcW w:w="2126" w:type="dxa"/>
          </w:tcPr>
          <w:p w14:paraId="1F8EBB79" w14:textId="77777777" w:rsidR="00F33006" w:rsidRPr="001A4322" w:rsidRDefault="00F33006" w:rsidP="00C470D1">
            <w:pPr>
              <w:pStyle w:val="tbltext"/>
              <w:spacing w:before="100"/>
            </w:pPr>
            <w:r w:rsidRPr="001A4322">
              <w:t>Yes, if exchange traded and margined and not calculated under any other method</w:t>
            </w:r>
          </w:p>
        </w:tc>
        <w:tc>
          <w:tcPr>
            <w:tcW w:w="2552" w:type="dxa"/>
          </w:tcPr>
          <w:p w14:paraId="41BADF1C" w14:textId="77777777" w:rsidR="00F33006" w:rsidRPr="001A4322" w:rsidRDefault="00F33006" w:rsidP="00C470D1">
            <w:pPr>
              <w:pStyle w:val="tbltext"/>
              <w:spacing w:before="100"/>
            </w:pPr>
            <w:r w:rsidRPr="001A4322">
              <w:t>Yes, if not calculated under any other method</w:t>
            </w:r>
          </w:p>
        </w:tc>
      </w:tr>
    </w:tbl>
    <w:p w14:paraId="683AFC1A" w14:textId="0A7E53CF" w:rsidR="00F33006" w:rsidRPr="00F9069B" w:rsidRDefault="00F33006" w:rsidP="00F33006">
      <w:pPr>
        <w:pStyle w:val="MIRBodyText"/>
        <w:numPr>
          <w:ilvl w:val="0"/>
          <w:numId w:val="0"/>
        </w:numPr>
        <w:spacing w:line="310" w:lineRule="atLeast"/>
        <w:ind w:left="851"/>
      </w:pPr>
      <w:r w:rsidRPr="001A4322">
        <w:t xml:space="preserve">(3) The funding of </w:t>
      </w:r>
      <w:r w:rsidR="00100B75" w:rsidRPr="001A4322">
        <w:t>C</w:t>
      </w:r>
      <w:r w:rsidRPr="001A4322">
        <w:t>ommodit</w:t>
      </w:r>
      <w:r w:rsidR="00100B75" w:rsidRPr="001A4322">
        <w:t>y</w:t>
      </w:r>
      <w:r w:rsidRPr="001A4322">
        <w:t xml:space="preserve"> positions may expose a </w:t>
      </w:r>
      <w:r w:rsidR="00602E5B" w:rsidRPr="001A4322">
        <w:t>Market P</w:t>
      </w:r>
      <w:r w:rsidRPr="001A4322">
        <w:t xml:space="preserve">articipant to interest rate or </w:t>
      </w:r>
      <w:r w:rsidR="00F05132" w:rsidRPr="001A4322">
        <w:t>F</w:t>
      </w:r>
      <w:r w:rsidRPr="001A4322">
        <w:t xml:space="preserve">oreign </w:t>
      </w:r>
      <w:r w:rsidR="00F05132" w:rsidRPr="001A4322">
        <w:t>E</w:t>
      </w:r>
      <w:r w:rsidRPr="001A4322">
        <w:t>xchange risk and</w:t>
      </w:r>
      <w:r w:rsidR="002D14E2">
        <w:t>,</w:t>
      </w:r>
      <w:r w:rsidRPr="001A4322">
        <w:t xml:space="preserve"> if so, the relevant positions should be included in the calculation of the debt position risk and </w:t>
      </w:r>
      <w:r w:rsidR="001B077C" w:rsidRPr="001A4322">
        <w:t>F</w:t>
      </w:r>
      <w:r w:rsidRPr="001A4322">
        <w:t xml:space="preserve">oreign </w:t>
      </w:r>
      <w:r w:rsidR="001B077C" w:rsidRPr="001A4322">
        <w:t>E</w:t>
      </w:r>
      <w:r w:rsidRPr="001A4322">
        <w:t>xchange position risk.</w:t>
      </w:r>
    </w:p>
    <w:p w14:paraId="7DE46EA1" w14:textId="311E0C60" w:rsidR="008C2F86" w:rsidRPr="00F9069B" w:rsidRDefault="008C2F86" w:rsidP="008C2F86">
      <w:pPr>
        <w:pStyle w:val="MIRHeading2Part"/>
      </w:pPr>
      <w:bookmarkStart w:id="77" w:name="_Toc509478699"/>
      <w:bookmarkStart w:id="78" w:name="_Toc511655154"/>
      <w:bookmarkStart w:id="79" w:name="_Toc517295435"/>
      <w:bookmarkStart w:id="80" w:name="_Toc27492599"/>
      <w:r w:rsidRPr="00F9069B">
        <w:t>Part A3.24</w:t>
      </w:r>
      <w:r w:rsidRPr="00F9069B">
        <w:tab/>
        <w:t>Standard method</w:t>
      </w:r>
      <w:r w:rsidR="00873782" w:rsidRPr="00F9069B">
        <w:t>—</w:t>
      </w:r>
      <w:r w:rsidRPr="00F9069B">
        <w:t>Commodity position risk</w:t>
      </w:r>
      <w:bookmarkEnd w:id="77"/>
      <w:bookmarkEnd w:id="78"/>
      <w:bookmarkEnd w:id="79"/>
      <w:bookmarkEnd w:id="80"/>
      <w:r w:rsidRPr="00F9069B">
        <w:t xml:space="preserve"> </w:t>
      </w:r>
    </w:p>
    <w:p w14:paraId="3F7519DF" w14:textId="77777777" w:rsidR="008C2F86" w:rsidRPr="00F9069B" w:rsidRDefault="008C2F86" w:rsidP="008C2F86">
      <w:pPr>
        <w:pStyle w:val="MIRHeading3"/>
      </w:pPr>
      <w:r w:rsidRPr="00F9069B">
        <w:t>A3</w:t>
      </w:r>
      <w:r w:rsidRPr="00F9069B">
        <w:rPr>
          <w:rStyle w:val="MIRHeading3RuleChar"/>
        </w:rPr>
        <w:t>.</w:t>
      </w:r>
      <w:r w:rsidRPr="00F9069B">
        <w:t>24.1</w:t>
      </w:r>
      <w:r w:rsidRPr="00F9069B">
        <w:tab/>
      </w:r>
      <w:r w:rsidRPr="00F9069B">
        <w:tab/>
        <w:t xml:space="preserve">Application </w:t>
      </w:r>
    </w:p>
    <w:p w14:paraId="3C4EDD74" w14:textId="77777777" w:rsidR="005F06EC" w:rsidRPr="001A4322" w:rsidRDefault="005F06EC" w:rsidP="001A4322">
      <w:pPr>
        <w:pStyle w:val="MIRBodyText"/>
        <w:numPr>
          <w:ilvl w:val="0"/>
          <w:numId w:val="17"/>
        </w:numPr>
        <w:spacing w:line="310" w:lineRule="atLeast"/>
      </w:pPr>
      <w:r w:rsidRPr="001A4322">
        <w:t xml:space="preserve">(1) Physical Commodity positions must be included in the standard method. </w:t>
      </w:r>
    </w:p>
    <w:p w14:paraId="38926CDB" w14:textId="1468C43D" w:rsidR="005F06EC" w:rsidRPr="001A4322" w:rsidRDefault="005F06EC" w:rsidP="001A4322">
      <w:pPr>
        <w:pStyle w:val="MIRBodyText"/>
        <w:numPr>
          <w:ilvl w:val="0"/>
          <w:numId w:val="17"/>
        </w:numPr>
        <w:spacing w:line="310" w:lineRule="atLeast"/>
      </w:pPr>
      <w:r w:rsidRPr="001A4322">
        <w:t>(2) Commodity Derivative positions other than Options m</w:t>
      </w:r>
      <w:r w:rsidR="00F05132" w:rsidRPr="001A4322">
        <w:t>ay</w:t>
      </w:r>
      <w:r w:rsidRPr="001A4322">
        <w:t xml:space="preserve"> be included in the standard method</w:t>
      </w:r>
      <w:r w:rsidR="00F05132" w:rsidRPr="001A4322">
        <w:t xml:space="preserve"> if</w:t>
      </w:r>
      <w:r w:rsidR="00B402C5">
        <w:t xml:space="preserve"> </w:t>
      </w:r>
      <w:r w:rsidRPr="001A4322">
        <w:t xml:space="preserve">the positions </w:t>
      </w:r>
      <w:r w:rsidR="00F05132" w:rsidRPr="001A4322">
        <w:t>are</w:t>
      </w:r>
      <w:r w:rsidR="00B402C5">
        <w:t xml:space="preserve"> </w:t>
      </w:r>
      <w:r w:rsidRPr="001A4322">
        <w:t xml:space="preserve">converted to Commodity Equivalents according to Part A3.27. </w:t>
      </w:r>
    </w:p>
    <w:p w14:paraId="6466CC7F" w14:textId="4022CAC6" w:rsidR="005F06EC" w:rsidRPr="001A4322" w:rsidRDefault="005F06EC" w:rsidP="001A4322">
      <w:pPr>
        <w:pStyle w:val="MIRBodyText"/>
        <w:numPr>
          <w:ilvl w:val="0"/>
          <w:numId w:val="17"/>
        </w:numPr>
        <w:spacing w:line="320" w:lineRule="atLeast"/>
      </w:pPr>
      <w:r w:rsidRPr="001A4322">
        <w:t>(3) Commodity Derivative positions which are Options m</w:t>
      </w:r>
      <w:r w:rsidR="00F05132" w:rsidRPr="001A4322">
        <w:t>ay</w:t>
      </w:r>
      <w:r w:rsidRPr="001A4322">
        <w:t xml:space="preserve"> be included in the standard method only if they are purchased positions or if they are written positions which are exchange traded and subject to daily margin requirements</w:t>
      </w:r>
      <w:r w:rsidR="000265B5" w:rsidRPr="00F9069B">
        <w:t xml:space="preserve"> and the positions </w:t>
      </w:r>
      <w:r w:rsidR="00280175" w:rsidRPr="00F9069B">
        <w:t xml:space="preserve">are </w:t>
      </w:r>
      <w:r w:rsidR="000265B5" w:rsidRPr="00F9069B">
        <w:t>converted to</w:t>
      </w:r>
      <w:r w:rsidR="004F4CAC">
        <w:t xml:space="preserve"> a</w:t>
      </w:r>
      <w:r w:rsidR="000265B5" w:rsidRPr="00F9069B">
        <w:t xml:space="preserve"> </w:t>
      </w:r>
      <w:r w:rsidR="00887F7A">
        <w:t xml:space="preserve">Commodity </w:t>
      </w:r>
      <w:r w:rsidR="000265B5" w:rsidRPr="00F9069B">
        <w:t>Equivalent according to Part A3.2</w:t>
      </w:r>
      <w:r w:rsidR="0087605B" w:rsidRPr="00F9069B">
        <w:t>7.</w:t>
      </w:r>
    </w:p>
    <w:p w14:paraId="6F754BEB" w14:textId="66EAEA5E" w:rsidR="005F06EC" w:rsidRPr="00AB3FC0" w:rsidRDefault="000D1D19" w:rsidP="001A4322">
      <w:pPr>
        <w:pStyle w:val="MIRBodyText"/>
        <w:numPr>
          <w:ilvl w:val="0"/>
          <w:numId w:val="17"/>
        </w:numPr>
        <w:spacing w:line="310" w:lineRule="atLeast"/>
      </w:pPr>
      <w:r>
        <w:t xml:space="preserve">(4) </w:t>
      </w:r>
      <w:r w:rsidR="005F06EC" w:rsidRPr="00AB3FC0">
        <w:t>If the above criteria are not met, the Option must be treated under one of the option methods referred in Table A3.</w:t>
      </w:r>
      <w:r w:rsidR="0018360F" w:rsidRPr="00AB3FC0">
        <w:t>4</w:t>
      </w:r>
      <w:r w:rsidR="003A6CD6">
        <w:t xml:space="preserve"> in Rule A3.23.2</w:t>
      </w:r>
      <w:r w:rsidR="005F06EC" w:rsidRPr="00AB3FC0">
        <w:t>.</w:t>
      </w:r>
    </w:p>
    <w:p w14:paraId="138081C2" w14:textId="77777777" w:rsidR="008C2F86" w:rsidRPr="00F9069B" w:rsidRDefault="008C2F86" w:rsidP="008C2F86">
      <w:pPr>
        <w:pStyle w:val="MIRHeading3Rule"/>
      </w:pPr>
      <w:r w:rsidRPr="00F9069B">
        <w:t>A3.24.2</w:t>
      </w:r>
      <w:r w:rsidRPr="00F9069B">
        <w:tab/>
      </w:r>
      <w:r w:rsidRPr="00F9069B">
        <w:tab/>
        <w:t xml:space="preserve">Method </w:t>
      </w:r>
    </w:p>
    <w:p w14:paraId="6DBF2A1F" w14:textId="4437E167" w:rsidR="006E6382" w:rsidRPr="00404F4B" w:rsidRDefault="00404F4B" w:rsidP="00D3615D">
      <w:pPr>
        <w:pStyle w:val="MIRBodyText"/>
      </w:pPr>
      <w:r>
        <w:t xml:space="preserve">(1) </w:t>
      </w:r>
      <w:r w:rsidR="00BA4617" w:rsidRPr="00404F4B">
        <w:t xml:space="preserve">The position risk amount for a particular Commodity is </w:t>
      </w:r>
      <w:r w:rsidR="006E6382" w:rsidRPr="00404F4B">
        <w:t>the sum of:</w:t>
      </w:r>
    </w:p>
    <w:p w14:paraId="79B96186" w14:textId="3896C1BD" w:rsidR="006E6382" w:rsidRPr="001A4322" w:rsidRDefault="00BA4617" w:rsidP="00D3615D">
      <w:pPr>
        <w:pStyle w:val="MIRBodyText"/>
        <w:numPr>
          <w:ilvl w:val="4"/>
          <w:numId w:val="17"/>
        </w:numPr>
        <w:spacing w:before="100"/>
        <w:ind w:left="1276" w:hanging="425"/>
      </w:pPr>
      <w:r w:rsidRPr="001A4322">
        <w:t>a net position amount which is calculated by multiplying the absolute value of the net open position in the Commodity</w:t>
      </w:r>
      <w:r w:rsidR="000222F3" w:rsidRPr="001A4322">
        <w:t xml:space="preserve"> </w:t>
      </w:r>
      <w:r w:rsidRPr="001A4322">
        <w:t xml:space="preserve">by the </w:t>
      </w:r>
      <w:r w:rsidR="00280175" w:rsidRPr="001A4322">
        <w:t xml:space="preserve">standard </w:t>
      </w:r>
      <w:r w:rsidR="0044672F">
        <w:t xml:space="preserve">method </w:t>
      </w:r>
      <w:r w:rsidR="00280175" w:rsidRPr="001A4322">
        <w:t xml:space="preserve">Commodity </w:t>
      </w:r>
      <w:r w:rsidRPr="001A4322">
        <w:t>Position Risk Factor specified in Table A5.1.8 in Annexure 5 to Schedule 1A</w:t>
      </w:r>
      <w:r w:rsidR="00F14FBE" w:rsidRPr="001A4322">
        <w:t xml:space="preserve">; and </w:t>
      </w:r>
    </w:p>
    <w:p w14:paraId="1265E3DA" w14:textId="71D270E0" w:rsidR="00BA4617" w:rsidRPr="00F9069B" w:rsidRDefault="00F14FBE" w:rsidP="00D3615D">
      <w:pPr>
        <w:pStyle w:val="MIRBodyText"/>
        <w:numPr>
          <w:ilvl w:val="4"/>
          <w:numId w:val="17"/>
        </w:numPr>
        <w:spacing w:before="100"/>
        <w:ind w:left="1276" w:hanging="425"/>
      </w:pPr>
      <w:r w:rsidRPr="001A4322">
        <w:lastRenderedPageBreak/>
        <w:t xml:space="preserve">an additional amount which is calculated by multiplying the gross position in Commodity by the </w:t>
      </w:r>
      <w:r w:rsidR="00041BAE">
        <w:t xml:space="preserve">standard method </w:t>
      </w:r>
      <w:r w:rsidR="00516372">
        <w:t>G</w:t>
      </w:r>
      <w:r w:rsidRPr="001A4322">
        <w:t xml:space="preserve">ross </w:t>
      </w:r>
      <w:r w:rsidR="00516372">
        <w:t>P</w:t>
      </w:r>
      <w:r w:rsidRPr="001A4322">
        <w:t xml:space="preserve">osition </w:t>
      </w:r>
      <w:r w:rsidR="005B6FB4">
        <w:t xml:space="preserve">Risk </w:t>
      </w:r>
      <w:r w:rsidR="00516372">
        <w:t>F</w:t>
      </w:r>
      <w:r w:rsidR="00280175" w:rsidRPr="001A4322">
        <w:t>a</w:t>
      </w:r>
      <w:r w:rsidRPr="001A4322">
        <w:t>ctor specified in Table A5.1.8 in Annexure 5 to Schedule 1A.</w:t>
      </w:r>
      <w:r w:rsidR="00BA4617" w:rsidRPr="00F9069B">
        <w:t xml:space="preserve"> </w:t>
      </w:r>
    </w:p>
    <w:p w14:paraId="4C854F9D" w14:textId="35319ACA" w:rsidR="0087605B" w:rsidRPr="00F9069B" w:rsidRDefault="0087605B" w:rsidP="00BA4617">
      <w:pPr>
        <w:pStyle w:val="MIRBodyText"/>
        <w:numPr>
          <w:ilvl w:val="0"/>
          <w:numId w:val="0"/>
        </w:numPr>
        <w:spacing w:line="310" w:lineRule="atLeast"/>
        <w:ind w:left="851"/>
      </w:pPr>
      <w:r w:rsidRPr="00F9069B">
        <w:t xml:space="preserve">(2) Commodity Derivative positions which are Options and are In the Money by at least the </w:t>
      </w:r>
      <w:r w:rsidR="00426E68" w:rsidRPr="00F9069B">
        <w:t>standard method</w:t>
      </w:r>
      <w:r w:rsidRPr="00F9069B">
        <w:t xml:space="preserve"> </w:t>
      </w:r>
      <w:r w:rsidR="00CE4CAF">
        <w:t xml:space="preserve">Commodity </w:t>
      </w:r>
      <w:r w:rsidRPr="00F9069B">
        <w:t>Position Risk Factor</w:t>
      </w:r>
      <w:r w:rsidR="00201C7D" w:rsidRPr="00F9069B">
        <w:t xml:space="preserve"> for the underlying position</w:t>
      </w:r>
      <w:r w:rsidRPr="00F9069B">
        <w:t xml:space="preserve"> specified in Table A5.1.8 in Annexure 5 to Schedule 1A are to be converted to a Commodity Equivalent in accordance with Part A3.27</w:t>
      </w:r>
      <w:r w:rsidR="002A383F" w:rsidRPr="00F9069B">
        <w:t xml:space="preserve"> and included in the net open position.</w:t>
      </w:r>
    </w:p>
    <w:p w14:paraId="64CE4D77" w14:textId="4A9D26BC" w:rsidR="002A383F" w:rsidRPr="00F9069B" w:rsidRDefault="002A383F" w:rsidP="00BA4617">
      <w:pPr>
        <w:pStyle w:val="MIRBodyText"/>
        <w:numPr>
          <w:ilvl w:val="0"/>
          <w:numId w:val="0"/>
        </w:numPr>
        <w:spacing w:line="310" w:lineRule="atLeast"/>
        <w:ind w:left="851"/>
      </w:pPr>
      <w:r w:rsidRPr="00F9069B">
        <w:t xml:space="preserve">(3) Commodity Derivative positions which are Options and are </w:t>
      </w:r>
      <w:r w:rsidR="002D14E2">
        <w:t>n</w:t>
      </w:r>
      <w:r w:rsidRPr="00F9069B">
        <w:t xml:space="preserve">ot In the Money by at least the </w:t>
      </w:r>
      <w:r w:rsidR="00426E68" w:rsidRPr="00F9069B">
        <w:t>standard method</w:t>
      </w:r>
      <w:r w:rsidRPr="00F9069B">
        <w:t xml:space="preserve"> </w:t>
      </w:r>
      <w:r w:rsidR="00CE4CAF">
        <w:t xml:space="preserve">Commodity </w:t>
      </w:r>
      <w:r w:rsidRPr="00F9069B">
        <w:t>Position Risk Factor</w:t>
      </w:r>
      <w:r w:rsidR="00201C7D" w:rsidRPr="00F9069B">
        <w:t xml:space="preserve"> fo</w:t>
      </w:r>
      <w:r w:rsidR="00426E68" w:rsidRPr="00F9069B">
        <w:t>r</w:t>
      </w:r>
      <w:r w:rsidR="00201C7D" w:rsidRPr="00F9069B">
        <w:t xml:space="preserve"> the underlying position</w:t>
      </w:r>
      <w:r w:rsidRPr="00F9069B">
        <w:t xml:space="preserve"> specified in Table A5.1.8 in Annexure 5 to Schedule 1A, are to be converted to a Commodity Equivalent in accordance with Part A3.27 and:</w:t>
      </w:r>
    </w:p>
    <w:p w14:paraId="20089C92" w14:textId="09E3E2FA" w:rsidR="000265B5" w:rsidRPr="00F9069B" w:rsidRDefault="000265B5" w:rsidP="001A4322">
      <w:pPr>
        <w:pStyle w:val="MIRSubpara"/>
        <w:numPr>
          <w:ilvl w:val="1"/>
          <w:numId w:val="95"/>
        </w:numPr>
      </w:pPr>
      <w:r w:rsidRPr="00F9069B">
        <w:t xml:space="preserve">where the resulting </w:t>
      </w:r>
      <w:r w:rsidR="00773026">
        <w:t>C</w:t>
      </w:r>
      <w:r w:rsidRPr="00F9069B">
        <w:t xml:space="preserve">ommodity positions from the </w:t>
      </w:r>
      <w:r w:rsidR="002D14E2">
        <w:t>O</w:t>
      </w:r>
      <w:r w:rsidRPr="00F9069B">
        <w:t xml:space="preserve">ption increases the net open position in the </w:t>
      </w:r>
      <w:r w:rsidR="00773026">
        <w:t>C</w:t>
      </w:r>
      <w:r w:rsidRPr="00F9069B">
        <w:t xml:space="preserve">ommodity if included, the position must be included in the net open position; and </w:t>
      </w:r>
    </w:p>
    <w:p w14:paraId="056B46D0" w14:textId="06873AC9" w:rsidR="000265B5" w:rsidRPr="00F9069B" w:rsidRDefault="000265B5" w:rsidP="001A4322">
      <w:pPr>
        <w:pStyle w:val="MIRSubpara"/>
        <w:numPr>
          <w:ilvl w:val="1"/>
          <w:numId w:val="95"/>
        </w:numPr>
      </w:pPr>
      <w:r w:rsidRPr="00F9069B">
        <w:t xml:space="preserve">where the resulting </w:t>
      </w:r>
      <w:r w:rsidR="00773026">
        <w:t>C</w:t>
      </w:r>
      <w:r w:rsidRPr="00F9069B">
        <w:t xml:space="preserve">ommodity positions from the </w:t>
      </w:r>
      <w:r w:rsidR="002D14E2">
        <w:t>O</w:t>
      </w:r>
      <w:r w:rsidRPr="00F9069B">
        <w:t xml:space="preserve">ption decreases the net open position in the </w:t>
      </w:r>
      <w:r w:rsidR="00773026">
        <w:t>C</w:t>
      </w:r>
      <w:r w:rsidRPr="00F9069B">
        <w:t xml:space="preserve">ommodity if included, the position must be excluded in the net open position. </w:t>
      </w:r>
    </w:p>
    <w:p w14:paraId="34BC3466" w14:textId="12F21A99" w:rsidR="00D24C5C" w:rsidRPr="001A4322" w:rsidRDefault="00D24C5C" w:rsidP="00D24C5C">
      <w:pPr>
        <w:pStyle w:val="MIRHeading2Part"/>
      </w:pPr>
      <w:bookmarkStart w:id="81" w:name="_Toc27492600"/>
      <w:r w:rsidRPr="001A4322">
        <w:t>Part A3.25</w:t>
      </w:r>
      <w:r w:rsidRPr="001A4322">
        <w:tab/>
        <w:t>Margin method—Commodity position risk</w:t>
      </w:r>
      <w:bookmarkEnd w:id="81"/>
      <w:r w:rsidRPr="001A4322">
        <w:t xml:space="preserve"> </w:t>
      </w:r>
    </w:p>
    <w:p w14:paraId="33330BC4" w14:textId="33EB21DB" w:rsidR="00D24C5C" w:rsidRPr="001A4322" w:rsidRDefault="00D24C5C" w:rsidP="00D24C5C">
      <w:pPr>
        <w:pStyle w:val="MIRHeading3Rule"/>
        <w:keepNext/>
      </w:pPr>
      <w:r w:rsidRPr="001A4322">
        <w:t>A3.25.1</w:t>
      </w:r>
      <w:r w:rsidRPr="001A4322">
        <w:tab/>
      </w:r>
      <w:r w:rsidRPr="001A4322">
        <w:tab/>
        <w:t xml:space="preserve">Application </w:t>
      </w:r>
    </w:p>
    <w:p w14:paraId="448049F9" w14:textId="70CC9651" w:rsidR="00BA4617" w:rsidRPr="001A4322" w:rsidRDefault="00D24C5C" w:rsidP="001A4322">
      <w:pPr>
        <w:pStyle w:val="MIRBodyText"/>
        <w:numPr>
          <w:ilvl w:val="0"/>
          <w:numId w:val="95"/>
        </w:numPr>
      </w:pPr>
      <w:r w:rsidRPr="001A4322">
        <w:t>Commodity Derivative positions which are exchange traded and have a positive Primary Margin Requirement must be included in the margin method if the Market Participant is not permitted to use any of the other methods referred to in Rule A3.23.2.</w:t>
      </w:r>
    </w:p>
    <w:p w14:paraId="4B5AE426" w14:textId="77777777" w:rsidR="00D24C5C" w:rsidRPr="001A4322" w:rsidRDefault="00D24C5C" w:rsidP="00D24C5C">
      <w:pPr>
        <w:pStyle w:val="MIRHeading3"/>
        <w:spacing w:before="440"/>
      </w:pPr>
      <w:r w:rsidRPr="001A4322">
        <w:t>A3.25.2</w:t>
      </w:r>
      <w:r w:rsidRPr="001A4322">
        <w:tab/>
      </w:r>
      <w:r w:rsidRPr="001A4322">
        <w:tab/>
        <w:t xml:space="preserve">Method </w:t>
      </w:r>
    </w:p>
    <w:p w14:paraId="78EF7119" w14:textId="6113E249" w:rsidR="00D24C5C" w:rsidRPr="001A4322" w:rsidRDefault="00D24C5C" w:rsidP="001A4322">
      <w:pPr>
        <w:pStyle w:val="MIRBodyText"/>
        <w:numPr>
          <w:ilvl w:val="0"/>
          <w:numId w:val="95"/>
        </w:numPr>
        <w:spacing w:before="240" w:line="320" w:lineRule="atLeast"/>
      </w:pPr>
      <w:r w:rsidRPr="001A4322">
        <w:t xml:space="preserve">The position risk amount for Commodity Derivative positions under the margin method is 100% of the Primary Margin Requirement for those Commodity Derivative positions as determined by the relevant exchange or clearing house multiplied by four. </w:t>
      </w:r>
    </w:p>
    <w:p w14:paraId="6DBE6F71" w14:textId="75DF1B60" w:rsidR="002532D1" w:rsidRPr="001A4322" w:rsidRDefault="002532D1" w:rsidP="004270E2">
      <w:pPr>
        <w:pStyle w:val="MIRHeading2Part"/>
      </w:pPr>
      <w:bookmarkStart w:id="82" w:name="_Toc517606092"/>
      <w:bookmarkStart w:id="83" w:name="_Toc27492601"/>
      <w:bookmarkStart w:id="84" w:name="_Hlk23845635"/>
      <w:r w:rsidRPr="001A4322">
        <w:t>Part A3.26</w:t>
      </w:r>
      <w:r w:rsidRPr="001A4322">
        <w:tab/>
        <w:t>Basic method—Commodity position risk</w:t>
      </w:r>
      <w:bookmarkEnd w:id="82"/>
      <w:bookmarkEnd w:id="83"/>
      <w:r w:rsidRPr="001A4322">
        <w:t xml:space="preserve"> </w:t>
      </w:r>
    </w:p>
    <w:p w14:paraId="3DC637FD" w14:textId="2831D9BE" w:rsidR="002532D1" w:rsidRPr="001A4322" w:rsidRDefault="002532D1" w:rsidP="002532D1">
      <w:pPr>
        <w:pStyle w:val="MIRHeading3Rule"/>
        <w:spacing w:before="440"/>
      </w:pPr>
      <w:r w:rsidRPr="001A4322">
        <w:t>A3.</w:t>
      </w:r>
      <w:r w:rsidR="00364E8E" w:rsidRPr="001A4322">
        <w:t>26</w:t>
      </w:r>
      <w:r w:rsidRPr="001A4322">
        <w:t>.1</w:t>
      </w:r>
      <w:r w:rsidRPr="001A4322">
        <w:tab/>
      </w:r>
      <w:r w:rsidR="004270E2" w:rsidRPr="001A4322">
        <w:tab/>
      </w:r>
      <w:r w:rsidRPr="001A4322">
        <w:t xml:space="preserve">Application </w:t>
      </w:r>
    </w:p>
    <w:p w14:paraId="785EBB26" w14:textId="77777777" w:rsidR="002532D1" w:rsidRPr="001A4322" w:rsidRDefault="002532D1" w:rsidP="001A4322">
      <w:pPr>
        <w:pStyle w:val="MIRBodyText"/>
        <w:numPr>
          <w:ilvl w:val="0"/>
          <w:numId w:val="95"/>
        </w:numPr>
      </w:pPr>
      <w:r w:rsidRPr="001A4322">
        <w:t xml:space="preserve">Commodity Derivative positions which are purchased (long) or written (short) Options may be included in the basic method. </w:t>
      </w:r>
    </w:p>
    <w:p w14:paraId="653EA3A1" w14:textId="29C4715A" w:rsidR="002532D1" w:rsidRPr="001A4322" w:rsidRDefault="002532D1" w:rsidP="002532D1">
      <w:pPr>
        <w:pStyle w:val="MIRHeading3Rule"/>
        <w:keepNext/>
        <w:spacing w:before="440"/>
      </w:pPr>
      <w:r w:rsidRPr="001A4322">
        <w:lastRenderedPageBreak/>
        <w:t>A3.</w:t>
      </w:r>
      <w:r w:rsidR="00364E8E" w:rsidRPr="001A4322">
        <w:t>26</w:t>
      </w:r>
      <w:r w:rsidRPr="001A4322">
        <w:t>.2</w:t>
      </w:r>
      <w:r w:rsidRPr="001A4322">
        <w:tab/>
      </w:r>
      <w:r w:rsidRPr="001A4322">
        <w:tab/>
        <w:t xml:space="preserve">Method </w:t>
      </w:r>
    </w:p>
    <w:p w14:paraId="2F183706" w14:textId="77777777" w:rsidR="002532D1" w:rsidRPr="001A4322" w:rsidRDefault="002532D1" w:rsidP="001A4322">
      <w:pPr>
        <w:pStyle w:val="MIRBodyText"/>
        <w:keepNext/>
        <w:numPr>
          <w:ilvl w:val="0"/>
          <w:numId w:val="95"/>
        </w:numPr>
        <w:spacing w:before="240"/>
      </w:pPr>
      <w:r w:rsidRPr="001A4322">
        <w:t xml:space="preserve">(1) The position risk amount for a purchased Option is the lesser of: </w:t>
      </w:r>
    </w:p>
    <w:p w14:paraId="4F03AB5C" w14:textId="4D9CBEA8" w:rsidR="002532D1" w:rsidRPr="001A4322" w:rsidRDefault="002532D1" w:rsidP="001A4322">
      <w:pPr>
        <w:pStyle w:val="MIRSubpara"/>
        <w:numPr>
          <w:ilvl w:val="1"/>
          <w:numId w:val="95"/>
        </w:numPr>
        <w:spacing w:before="120"/>
      </w:pPr>
      <w:r w:rsidRPr="001A4322">
        <w:t xml:space="preserve">the mark-to-market value of the underlying </w:t>
      </w:r>
      <w:r w:rsidR="004E4B24" w:rsidRPr="001A4322">
        <w:t>C</w:t>
      </w:r>
      <w:r w:rsidRPr="001A4322">
        <w:t xml:space="preserve">ommodity position multiplied by the standard method </w:t>
      </w:r>
      <w:r w:rsidR="004E4B24" w:rsidRPr="001A4322">
        <w:t xml:space="preserve">Commodity </w:t>
      </w:r>
      <w:r w:rsidRPr="001A4322">
        <w:t xml:space="preserve">Position Risk Factor specified in Table A5.1.8 in Annexure 5 to Schedule 1A; and </w:t>
      </w:r>
    </w:p>
    <w:p w14:paraId="5AD1BB84" w14:textId="295C9CFA" w:rsidR="002532D1" w:rsidRPr="001A4322" w:rsidRDefault="002532D1" w:rsidP="001A4322">
      <w:pPr>
        <w:pStyle w:val="MIRSubpara"/>
        <w:numPr>
          <w:ilvl w:val="1"/>
          <w:numId w:val="95"/>
        </w:numPr>
        <w:spacing w:before="120"/>
      </w:pPr>
      <w:r w:rsidRPr="001A4322">
        <w:t xml:space="preserve">the mark-to-market value of the Option, </w:t>
      </w:r>
    </w:p>
    <w:p w14:paraId="60FEE4AE" w14:textId="1FBF0EA6" w:rsidR="004A70EF" w:rsidRPr="00A105A0" w:rsidRDefault="004A70EF" w:rsidP="00A105A0">
      <w:pPr>
        <w:pStyle w:val="MIRBodyText"/>
        <w:numPr>
          <w:ilvl w:val="0"/>
          <w:numId w:val="96"/>
        </w:numPr>
        <w:spacing w:line="280" w:lineRule="atLeast"/>
        <w:rPr>
          <w:color w:val="000000"/>
        </w:rPr>
      </w:pPr>
      <w:r w:rsidRPr="00A105A0">
        <w:rPr>
          <w:color w:val="000000"/>
        </w:rPr>
        <w:t>where:</w:t>
      </w:r>
    </w:p>
    <w:p w14:paraId="65A96EC5" w14:textId="0CE6D9B6" w:rsidR="007A0176" w:rsidRPr="00FB4E7C" w:rsidRDefault="007A0176" w:rsidP="00FB4E7C">
      <w:pPr>
        <w:pStyle w:val="MIRSubpara"/>
        <w:numPr>
          <w:ilvl w:val="1"/>
          <w:numId w:val="102"/>
        </w:numPr>
      </w:pPr>
      <w:r w:rsidRPr="003D1EE5">
        <w:t xml:space="preserve">subject to paragraph (d), the notional value of the physical position underlying the Option is the price the Market Participant would have to pay for the Commodity underlying the </w:t>
      </w:r>
      <w:r w:rsidR="002D14E2" w:rsidRPr="003D1EE5">
        <w:t xml:space="preserve">Option </w:t>
      </w:r>
      <w:r w:rsidRPr="003D1EE5">
        <w:t>if it were to take a long position in that instrument at current market rates;</w:t>
      </w:r>
      <w:r w:rsidR="00A27FA9" w:rsidRPr="003D1EE5">
        <w:t xml:space="preserve"> and</w:t>
      </w:r>
    </w:p>
    <w:p w14:paraId="300B6944" w14:textId="114B242D" w:rsidR="007A0176" w:rsidRPr="003D1EE5" w:rsidRDefault="00A27FA9" w:rsidP="00FB4E7C">
      <w:pPr>
        <w:pStyle w:val="MIRSubpara"/>
      </w:pPr>
      <w:r w:rsidRPr="003D1EE5">
        <w:t>for an</w:t>
      </w:r>
      <w:r w:rsidR="007A0176" w:rsidRPr="003D1EE5">
        <w:t xml:space="preserve"> Option over a Futures contract over a physical Commodity, the notional position should be in the physical Commodity.</w:t>
      </w:r>
    </w:p>
    <w:p w14:paraId="7B2D5051" w14:textId="46A23F1E" w:rsidR="002532D1" w:rsidRPr="001A4322" w:rsidRDefault="002532D1" w:rsidP="004270E2">
      <w:pPr>
        <w:pStyle w:val="MIRBodyText"/>
        <w:numPr>
          <w:ilvl w:val="0"/>
          <w:numId w:val="0"/>
        </w:numPr>
        <w:spacing w:before="160"/>
        <w:ind w:left="851"/>
      </w:pPr>
      <w:r w:rsidRPr="001A4322">
        <w:t>(2) The position risk amount for a written Option is</w:t>
      </w:r>
      <w:r w:rsidR="004270E2" w:rsidRPr="001A4322">
        <w:t xml:space="preserve"> </w:t>
      </w:r>
      <w:r w:rsidRPr="001A4322">
        <w:t xml:space="preserve">the mark-to-market value of the underlying </w:t>
      </w:r>
      <w:r w:rsidR="00220808">
        <w:t>C</w:t>
      </w:r>
      <w:r w:rsidRPr="001A4322">
        <w:t xml:space="preserve">ommodity position multiplied by the standard method </w:t>
      </w:r>
      <w:r w:rsidR="004E4B24" w:rsidRPr="001A4322">
        <w:t xml:space="preserve">Commodity </w:t>
      </w:r>
      <w:r w:rsidRPr="001A4322">
        <w:t xml:space="preserve">Position Risk Factor specified in Table A5.1.8 in Annexure 5 to Schedule 1A reduced by: </w:t>
      </w:r>
    </w:p>
    <w:p w14:paraId="146F2CAA" w14:textId="77777777" w:rsidR="002532D1" w:rsidRPr="001A4322" w:rsidRDefault="002532D1" w:rsidP="001A4322">
      <w:pPr>
        <w:pStyle w:val="MIRSubpara"/>
        <w:numPr>
          <w:ilvl w:val="1"/>
          <w:numId w:val="96"/>
        </w:numPr>
        <w:spacing w:before="120"/>
      </w:pPr>
      <w:r w:rsidRPr="001A4322">
        <w:t xml:space="preserve">any excess of the exercise value over the current market value of the underlying position in the case of a call Option, but limited to nil if it would otherwise be negative; or </w:t>
      </w:r>
    </w:p>
    <w:p w14:paraId="52DCE39C" w14:textId="0F62A055" w:rsidR="002532D1" w:rsidRPr="001A4322" w:rsidRDefault="002532D1" w:rsidP="001A4322">
      <w:pPr>
        <w:pStyle w:val="MIRSubpara"/>
        <w:numPr>
          <w:ilvl w:val="1"/>
          <w:numId w:val="96"/>
        </w:numPr>
        <w:spacing w:before="120"/>
      </w:pPr>
      <w:r w:rsidRPr="001A4322">
        <w:t>any excess of the current market value of the underlying position over the exercise value in the case of a put Option</w:t>
      </w:r>
      <w:r w:rsidR="009E519A">
        <w:t>,</w:t>
      </w:r>
      <w:r w:rsidR="00BB70EC">
        <w:t xml:space="preserve"> </w:t>
      </w:r>
      <w:r w:rsidRPr="001A4322">
        <w:t xml:space="preserve">but limited to nil if it would otherwise be negative. </w:t>
      </w:r>
    </w:p>
    <w:p w14:paraId="7C7F8A95" w14:textId="2A4580D1" w:rsidR="008C2F86" w:rsidRPr="00F9069B" w:rsidRDefault="008C2F86" w:rsidP="008C2F86">
      <w:pPr>
        <w:pStyle w:val="MIRHeading2Part"/>
      </w:pPr>
      <w:bookmarkStart w:id="85" w:name="_Toc509478700"/>
      <w:bookmarkStart w:id="86" w:name="_Toc511655155"/>
      <w:bookmarkStart w:id="87" w:name="_Toc517295436"/>
      <w:bookmarkStart w:id="88" w:name="_Toc27492602"/>
      <w:bookmarkStart w:id="89" w:name="_Hlk27474807"/>
      <w:r w:rsidRPr="00F9069B">
        <w:t>Part A3.</w:t>
      </w:r>
      <w:r w:rsidR="00364E8E" w:rsidRPr="00F9069B">
        <w:t>27</w:t>
      </w:r>
      <w:r w:rsidRPr="00F9069B">
        <w:tab/>
        <w:t>Calculation of Commodity Equivalent positions</w:t>
      </w:r>
      <w:r w:rsidR="00873782" w:rsidRPr="00F9069B">
        <w:t>—</w:t>
      </w:r>
      <w:r w:rsidRPr="00F9069B">
        <w:t>Commodity position risk</w:t>
      </w:r>
      <w:bookmarkEnd w:id="85"/>
      <w:bookmarkEnd w:id="86"/>
      <w:bookmarkEnd w:id="87"/>
      <w:bookmarkEnd w:id="88"/>
      <w:r w:rsidRPr="00F9069B">
        <w:t xml:space="preserve"> </w:t>
      </w:r>
    </w:p>
    <w:bookmarkEnd w:id="89"/>
    <w:p w14:paraId="43F47F19" w14:textId="60352304" w:rsidR="008C2F86" w:rsidRPr="00F9069B" w:rsidRDefault="008C2F86" w:rsidP="008C2F86">
      <w:pPr>
        <w:pStyle w:val="MIRHeading3Rule"/>
        <w:keepNext/>
      </w:pPr>
      <w:r w:rsidRPr="00F9069B">
        <w:t>A3.</w:t>
      </w:r>
      <w:r w:rsidR="00BD6D0B" w:rsidRPr="00F9069B">
        <w:t>27</w:t>
      </w:r>
      <w:r w:rsidRPr="00F9069B">
        <w:t>.1</w:t>
      </w:r>
      <w:r w:rsidRPr="00F9069B">
        <w:tab/>
      </w:r>
      <w:r w:rsidRPr="00F9069B">
        <w:tab/>
        <w:t xml:space="preserve">Options </w:t>
      </w:r>
    </w:p>
    <w:p w14:paraId="15BCBD6C" w14:textId="77777777" w:rsidR="008C2F86" w:rsidRPr="00F9069B" w:rsidRDefault="008C2F86" w:rsidP="001A4322">
      <w:pPr>
        <w:pStyle w:val="MIRBodyText"/>
        <w:numPr>
          <w:ilvl w:val="0"/>
          <w:numId w:val="96"/>
        </w:numPr>
        <w:spacing w:line="280" w:lineRule="atLeast"/>
      </w:pPr>
      <w:r w:rsidRPr="00F9069B">
        <w:rPr>
          <w:color w:val="000000"/>
        </w:rPr>
        <w:t xml:space="preserve">The Commodity Equivalent for an Option is: </w:t>
      </w:r>
    </w:p>
    <w:p w14:paraId="04BB9BD3" w14:textId="5633ADA9" w:rsidR="008C2F86" w:rsidRPr="00F9069B" w:rsidRDefault="008C2F86" w:rsidP="001A4322">
      <w:pPr>
        <w:pStyle w:val="MIRSubpara"/>
        <w:numPr>
          <w:ilvl w:val="1"/>
          <w:numId w:val="96"/>
        </w:numPr>
      </w:pPr>
      <w:r w:rsidRPr="00F9069B">
        <w:t>for purchased call Options and written put Options, a long position</w:t>
      </w:r>
      <w:r w:rsidR="00245987" w:rsidRPr="001A4322">
        <w:t xml:space="preserve"> in the notional Commodity positions</w:t>
      </w:r>
      <w:r w:rsidR="00441664" w:rsidRPr="001A4322">
        <w:t xml:space="preserve"> underlying the contract or option</w:t>
      </w:r>
      <w:r w:rsidR="00245987" w:rsidRPr="001A4322">
        <w:t xml:space="preserve"> multiplied by the spot price of the underlying </w:t>
      </w:r>
      <w:r w:rsidR="006F7442" w:rsidRPr="001A4322">
        <w:t>c</w:t>
      </w:r>
      <w:r w:rsidR="00245987" w:rsidRPr="001A4322">
        <w:t>ommodities position</w:t>
      </w:r>
      <w:r w:rsidRPr="00F9069B">
        <w:t xml:space="preserve">; and </w:t>
      </w:r>
    </w:p>
    <w:p w14:paraId="2C559AFC" w14:textId="42F3AD41" w:rsidR="008C2F86" w:rsidRPr="00F9069B" w:rsidRDefault="008C2F86" w:rsidP="001A4322">
      <w:pPr>
        <w:pStyle w:val="MIRSubpara"/>
        <w:numPr>
          <w:ilvl w:val="1"/>
          <w:numId w:val="96"/>
        </w:numPr>
      </w:pPr>
      <w:r w:rsidRPr="00F9069B">
        <w:t>for purchased put Options and written call Options, a short</w:t>
      </w:r>
      <w:r w:rsidR="0058559D" w:rsidRPr="00F9069B">
        <w:t xml:space="preserve"> position </w:t>
      </w:r>
      <w:r w:rsidR="0058559D" w:rsidRPr="001A4322">
        <w:t>in the notional Commodity positions</w:t>
      </w:r>
      <w:r w:rsidR="006F7442" w:rsidRPr="001A4322">
        <w:t xml:space="preserve"> underlying the contract or option </w:t>
      </w:r>
      <w:r w:rsidR="0058559D" w:rsidRPr="001A4322">
        <w:t>multiplied by the spot price of the underlying commodities position</w:t>
      </w:r>
      <w:r w:rsidRPr="001A4322">
        <w:t>.</w:t>
      </w:r>
      <w:r w:rsidRPr="00F9069B">
        <w:t xml:space="preserve"> </w:t>
      </w:r>
    </w:p>
    <w:bookmarkEnd w:id="84"/>
    <w:p w14:paraId="6B278B43" w14:textId="24C17F76" w:rsidR="008C2F86" w:rsidRPr="00F9069B" w:rsidRDefault="008C2F86" w:rsidP="008C2F86">
      <w:pPr>
        <w:pStyle w:val="MIRHeading3Rule"/>
        <w:ind w:left="1276" w:hanging="1276"/>
      </w:pPr>
      <w:r w:rsidRPr="00F9069B">
        <w:rPr>
          <w:spacing w:val="-16"/>
        </w:rPr>
        <w:t>A3.</w:t>
      </w:r>
      <w:r w:rsidR="00BD6D0B" w:rsidRPr="00F9069B">
        <w:rPr>
          <w:spacing w:val="-16"/>
        </w:rPr>
        <w:t>27</w:t>
      </w:r>
      <w:r w:rsidRPr="00F9069B">
        <w:rPr>
          <w:spacing w:val="-16"/>
        </w:rPr>
        <w:t>.2</w:t>
      </w:r>
      <w:r w:rsidRPr="00F9069B">
        <w:rPr>
          <w:spacing w:val="-16"/>
        </w:rPr>
        <w:tab/>
      </w:r>
      <w:r w:rsidRPr="00F9069B">
        <w:t xml:space="preserve">Futures </w:t>
      </w:r>
    </w:p>
    <w:p w14:paraId="671681BF" w14:textId="1054062B" w:rsidR="008C2F86" w:rsidRPr="00F9069B" w:rsidRDefault="008C2F86" w:rsidP="001A4322">
      <w:pPr>
        <w:pStyle w:val="MIRBodyText"/>
        <w:numPr>
          <w:ilvl w:val="0"/>
          <w:numId w:val="96"/>
        </w:numPr>
        <w:spacing w:line="280" w:lineRule="atLeast"/>
      </w:pPr>
      <w:r w:rsidRPr="00F9069B">
        <w:t xml:space="preserve">The Commodity Equivalent for a </w:t>
      </w:r>
      <w:r w:rsidR="008726FE">
        <w:t>C</w:t>
      </w:r>
      <w:r w:rsidRPr="00F9069B">
        <w:t xml:space="preserve">ommodity Future is the </w:t>
      </w:r>
      <w:r w:rsidR="006F73E7" w:rsidRPr="00F9069B">
        <w:t>notional</w:t>
      </w:r>
      <w:r w:rsidR="006F73E7" w:rsidRPr="001A4322">
        <w:t xml:space="preserve"> </w:t>
      </w:r>
      <w:r w:rsidR="003F713D" w:rsidRPr="00F9069B">
        <w:t>amount in term</w:t>
      </w:r>
      <w:r w:rsidR="006F73E7" w:rsidRPr="001A4322">
        <w:t>s</w:t>
      </w:r>
      <w:r w:rsidR="003F713D" w:rsidRPr="00F9069B">
        <w:t xml:space="preserve"> of the standard unit of measurement</w:t>
      </w:r>
      <w:r w:rsidR="006F7442" w:rsidRPr="001A4322">
        <w:t xml:space="preserve"> underlying the future contract</w:t>
      </w:r>
      <w:r w:rsidR="003F713D" w:rsidRPr="00F9069B">
        <w:t xml:space="preserve"> multiplied by the spot price of the Commodity</w:t>
      </w:r>
      <w:r w:rsidRPr="00F9069B">
        <w:t xml:space="preserve">. </w:t>
      </w:r>
    </w:p>
    <w:p w14:paraId="657C78B1" w14:textId="427AAC75" w:rsidR="008C2F86" w:rsidRPr="00F9069B" w:rsidRDefault="008C2F86" w:rsidP="008C2F86">
      <w:pPr>
        <w:pStyle w:val="MIRHeading3Rule"/>
        <w:ind w:left="1276" w:hanging="1276"/>
      </w:pPr>
      <w:r w:rsidRPr="00F9069B">
        <w:rPr>
          <w:spacing w:val="-16"/>
        </w:rPr>
        <w:lastRenderedPageBreak/>
        <w:t>A3.</w:t>
      </w:r>
      <w:r w:rsidR="00BD6D0B" w:rsidRPr="00F9069B">
        <w:rPr>
          <w:spacing w:val="-16"/>
        </w:rPr>
        <w:t>27</w:t>
      </w:r>
      <w:r w:rsidRPr="00F9069B">
        <w:rPr>
          <w:spacing w:val="-16"/>
        </w:rPr>
        <w:t>.3</w:t>
      </w:r>
      <w:r w:rsidRPr="00F9069B">
        <w:rPr>
          <w:spacing w:val="-16"/>
        </w:rPr>
        <w:tab/>
      </w:r>
      <w:r w:rsidRPr="00F9069B">
        <w:t xml:space="preserve">Forward contracts </w:t>
      </w:r>
    </w:p>
    <w:p w14:paraId="732F0540" w14:textId="20259283" w:rsidR="008C2F86" w:rsidRPr="00F9069B" w:rsidRDefault="008C2F86" w:rsidP="001A4322">
      <w:pPr>
        <w:pStyle w:val="MIRBodyText"/>
        <w:numPr>
          <w:ilvl w:val="0"/>
          <w:numId w:val="96"/>
        </w:numPr>
        <w:spacing w:line="280" w:lineRule="atLeast"/>
      </w:pPr>
      <w:r w:rsidRPr="00F9069B">
        <w:rPr>
          <w:color w:val="000000"/>
        </w:rPr>
        <w:t xml:space="preserve">The Commodity Equivalent for a </w:t>
      </w:r>
      <w:r w:rsidR="008726FE">
        <w:rPr>
          <w:color w:val="000000"/>
        </w:rPr>
        <w:t>C</w:t>
      </w:r>
      <w:r w:rsidRPr="00F9069B">
        <w:rPr>
          <w:color w:val="000000"/>
        </w:rPr>
        <w:t xml:space="preserve">ommodity forward contract </w:t>
      </w:r>
      <w:r w:rsidR="004E059D" w:rsidRPr="00F9069B">
        <w:rPr>
          <w:color w:val="000000"/>
        </w:rPr>
        <w:t xml:space="preserve">including a future exchange associated with a </w:t>
      </w:r>
      <w:r w:rsidR="007675B3" w:rsidRPr="00F9069B">
        <w:rPr>
          <w:color w:val="000000"/>
        </w:rPr>
        <w:t>C</w:t>
      </w:r>
      <w:r w:rsidR="004E059D" w:rsidRPr="00F9069B">
        <w:rPr>
          <w:color w:val="000000"/>
        </w:rPr>
        <w:t xml:space="preserve">ommodity Swap </w:t>
      </w:r>
      <w:r w:rsidRPr="00F9069B">
        <w:rPr>
          <w:color w:val="000000"/>
        </w:rPr>
        <w:t>is the</w:t>
      </w:r>
      <w:r w:rsidR="00BE396F" w:rsidRPr="001A4322">
        <w:t xml:space="preserve"> notional amount in term</w:t>
      </w:r>
      <w:r w:rsidR="00153D71" w:rsidRPr="001A4322">
        <w:t>s</w:t>
      </w:r>
      <w:r w:rsidR="00BE396F" w:rsidRPr="001A4322">
        <w:t xml:space="preserve"> of the standard unit of measuremen</w:t>
      </w:r>
      <w:r w:rsidR="00114026" w:rsidRPr="001A4322">
        <w:t xml:space="preserve">t </w:t>
      </w:r>
      <w:r w:rsidR="006F7442" w:rsidRPr="001A4322">
        <w:t xml:space="preserve">underlying the forward contract </w:t>
      </w:r>
      <w:r w:rsidR="00BE396F" w:rsidRPr="001A4322">
        <w:t xml:space="preserve">multiplied by the spot price of the </w:t>
      </w:r>
      <w:r w:rsidR="008726FE">
        <w:t>C</w:t>
      </w:r>
      <w:r w:rsidR="00BE396F" w:rsidRPr="001A4322">
        <w:t>ommodity</w:t>
      </w:r>
      <w:r w:rsidRPr="00F9069B">
        <w:t>.</w:t>
      </w:r>
    </w:p>
    <w:p w14:paraId="397EB8A5" w14:textId="75EC7E7E" w:rsidR="00A24A6B" w:rsidRPr="001A4322" w:rsidRDefault="00A24A6B" w:rsidP="00A24A6B">
      <w:pPr>
        <w:pStyle w:val="MIRHeading3Rule"/>
      </w:pPr>
      <w:r w:rsidRPr="001A4322">
        <w:t>A3.2</w:t>
      </w:r>
      <w:r w:rsidR="00B2348C">
        <w:t>7</w:t>
      </w:r>
      <w:r w:rsidRPr="001A4322">
        <w:t>.4 Commodity Swaps</w:t>
      </w:r>
    </w:p>
    <w:p w14:paraId="4D7E6BB4" w14:textId="0F3F58F5" w:rsidR="00A24A6B" w:rsidRPr="001A4322" w:rsidRDefault="00706A29" w:rsidP="001A4322">
      <w:pPr>
        <w:pStyle w:val="MIRBodyText"/>
        <w:numPr>
          <w:ilvl w:val="0"/>
          <w:numId w:val="96"/>
        </w:numPr>
        <w:spacing w:line="280" w:lineRule="atLeast"/>
        <w:jc w:val="both"/>
      </w:pPr>
      <w:r w:rsidRPr="001A4322">
        <w:rPr>
          <w:color w:val="000000"/>
        </w:rPr>
        <w:t>(</w:t>
      </w:r>
      <w:r w:rsidR="00404F4B">
        <w:rPr>
          <w:color w:val="000000"/>
        </w:rPr>
        <w:t xml:space="preserve">1) </w:t>
      </w:r>
      <w:r w:rsidR="00A24A6B" w:rsidRPr="001A4322">
        <w:rPr>
          <w:color w:val="000000"/>
        </w:rPr>
        <w:t>The Commodity Equivalent for a S</w:t>
      </w:r>
      <w:r w:rsidR="00A24A6B" w:rsidRPr="001A4322">
        <w:rPr>
          <w:sz w:val="23"/>
          <w:szCs w:val="23"/>
        </w:rPr>
        <w:t xml:space="preserve">wap where one leg is a fixed price and the other leg is the current market price is a series of positions equal to the notional amount of the contract, with one position corresponding to each payment on the Swap. The positions are long positions if the </w:t>
      </w:r>
      <w:r w:rsidR="00C718D9" w:rsidRPr="001A4322">
        <w:rPr>
          <w:sz w:val="23"/>
          <w:szCs w:val="23"/>
        </w:rPr>
        <w:t>M</w:t>
      </w:r>
      <w:r w:rsidR="00A24A6B" w:rsidRPr="001A4322">
        <w:rPr>
          <w:sz w:val="23"/>
          <w:szCs w:val="23"/>
        </w:rPr>
        <w:t>arket Participant is paying fixed and receiving floating, and short positions if the Market Participant is receiving fixed and paying floating.</w:t>
      </w:r>
    </w:p>
    <w:p w14:paraId="7F6B99BF" w14:textId="0C446508" w:rsidR="00706A29" w:rsidRPr="00F9069B" w:rsidRDefault="00A27FA9" w:rsidP="001A4322">
      <w:pPr>
        <w:pStyle w:val="MIRBodyText"/>
        <w:numPr>
          <w:ilvl w:val="0"/>
          <w:numId w:val="96"/>
        </w:numPr>
        <w:spacing w:line="280" w:lineRule="atLeast"/>
        <w:jc w:val="both"/>
      </w:pPr>
      <w:r>
        <w:t>(</w:t>
      </w:r>
      <w:r w:rsidR="00404F4B">
        <w:t>2)</w:t>
      </w:r>
      <w:r w:rsidR="00706A29" w:rsidRPr="00F9069B">
        <w:t xml:space="preserve"> If one of the legs of the Swap provides for payment or receipt based on some reference to a Debt Instrument or Debt Derivative, the position risk amount for that leg of the Swap should be assessed in accordance with Part </w:t>
      </w:r>
      <w:r w:rsidR="00F76A1B" w:rsidRPr="00F9069B">
        <w:t>A3.10</w:t>
      </w:r>
      <w:r w:rsidR="00706A29" w:rsidRPr="00F9069B">
        <w:t xml:space="preserve"> of this Annexure</w:t>
      </w:r>
      <w:r w:rsidR="00976FFA">
        <w:t xml:space="preserve"> 3</w:t>
      </w:r>
      <w:r w:rsidR="00706A29" w:rsidRPr="00F9069B">
        <w:t>.</w:t>
      </w:r>
    </w:p>
    <w:p w14:paraId="6DE9581E" w14:textId="417ECEF3" w:rsidR="008C2F86" w:rsidRPr="00F9069B" w:rsidRDefault="008C2F86" w:rsidP="008C2F86">
      <w:pPr>
        <w:pStyle w:val="MIRHeading3Rule"/>
        <w:ind w:left="1276" w:hanging="1276"/>
      </w:pPr>
      <w:r w:rsidRPr="00F9069B">
        <w:rPr>
          <w:spacing w:val="-16"/>
        </w:rPr>
        <w:t>A3.</w:t>
      </w:r>
      <w:r w:rsidR="00A24A6B" w:rsidRPr="00F9069B">
        <w:rPr>
          <w:spacing w:val="-16"/>
        </w:rPr>
        <w:t>27</w:t>
      </w:r>
      <w:r w:rsidRPr="00F9069B">
        <w:rPr>
          <w:spacing w:val="-16"/>
        </w:rPr>
        <w:t>.</w:t>
      </w:r>
      <w:r w:rsidR="00A24A6B" w:rsidRPr="00F9069B">
        <w:rPr>
          <w:spacing w:val="-16"/>
        </w:rPr>
        <w:t>5</w:t>
      </w:r>
      <w:r w:rsidRPr="00F9069B">
        <w:rPr>
          <w:spacing w:val="-16"/>
        </w:rPr>
        <w:tab/>
      </w:r>
      <w:r w:rsidRPr="00F9069B">
        <w:t xml:space="preserve">Other positions—CFDs </w:t>
      </w:r>
    </w:p>
    <w:p w14:paraId="2BE65815" w14:textId="2B00B47D" w:rsidR="008C2F86" w:rsidRPr="00F9069B" w:rsidRDefault="008C2F86" w:rsidP="001A4322">
      <w:pPr>
        <w:pStyle w:val="MIRBodyText"/>
        <w:numPr>
          <w:ilvl w:val="0"/>
          <w:numId w:val="96"/>
        </w:numPr>
        <w:spacing w:line="280" w:lineRule="atLeast"/>
      </w:pPr>
      <w:r w:rsidRPr="00F9069B">
        <w:t>The Commodity Equivalent for a CFD is the notional</w:t>
      </w:r>
      <w:r w:rsidR="009D1531" w:rsidRPr="001A4322">
        <w:t xml:space="preserve"> amount in term</w:t>
      </w:r>
      <w:r w:rsidR="00C86073" w:rsidRPr="001A4322">
        <w:t>s</w:t>
      </w:r>
      <w:r w:rsidR="009D1531" w:rsidRPr="001A4322">
        <w:t xml:space="preserve"> of the standard unit of measuremen</w:t>
      </w:r>
      <w:r w:rsidR="00114026" w:rsidRPr="001A4322">
        <w:t xml:space="preserve">t </w:t>
      </w:r>
      <w:r w:rsidR="00E4097F" w:rsidRPr="001A4322">
        <w:t xml:space="preserve">underlying the contract </w:t>
      </w:r>
      <w:r w:rsidR="009D1531" w:rsidRPr="001A4322">
        <w:t xml:space="preserve">multiplied by the spot price of the </w:t>
      </w:r>
      <w:r w:rsidR="008726FE">
        <w:t>C</w:t>
      </w:r>
      <w:r w:rsidR="009D1531" w:rsidRPr="001A4322">
        <w:t>ommodity</w:t>
      </w:r>
      <w:r w:rsidRPr="001A4322">
        <w:t>.</w:t>
      </w:r>
      <w:r w:rsidRPr="00F9069B">
        <w:t xml:space="preserve"> </w:t>
      </w:r>
    </w:p>
    <w:p w14:paraId="187E22B0" w14:textId="32B7200D" w:rsidR="00111B7E" w:rsidRPr="001A4322" w:rsidRDefault="00111B7E" w:rsidP="00C86073">
      <w:pPr>
        <w:pStyle w:val="MIRHeading2Part"/>
      </w:pPr>
      <w:bookmarkStart w:id="90" w:name="_Toc27492603"/>
      <w:r w:rsidRPr="001A4322">
        <w:t>Part A3.2</w:t>
      </w:r>
      <w:r w:rsidR="00775090" w:rsidRPr="001A4322">
        <w:t>8</w:t>
      </w:r>
      <w:r w:rsidRPr="001A4322">
        <w:tab/>
        <w:t xml:space="preserve">Calculation of Commodity </w:t>
      </w:r>
      <w:r w:rsidR="007861FE">
        <w:t>n</w:t>
      </w:r>
      <w:r w:rsidRPr="001A4322">
        <w:t xml:space="preserve">et </w:t>
      </w:r>
      <w:r w:rsidR="007861FE">
        <w:t>o</w:t>
      </w:r>
      <w:r w:rsidRPr="001A4322">
        <w:t xml:space="preserve">pen </w:t>
      </w:r>
      <w:r w:rsidR="007861FE">
        <w:t>p</w:t>
      </w:r>
      <w:r w:rsidRPr="001A4322">
        <w:t>osition</w:t>
      </w:r>
      <w:r w:rsidR="00765DB9">
        <w:t>s</w:t>
      </w:r>
      <w:r w:rsidR="00BB486B" w:rsidRPr="00F9069B">
        <w:t>—</w:t>
      </w:r>
      <w:r w:rsidR="00A05AF6">
        <w:t>Commodity position risk</w:t>
      </w:r>
      <w:bookmarkEnd w:id="90"/>
    </w:p>
    <w:p w14:paraId="3A0587DD" w14:textId="51BC3F09" w:rsidR="00111B7E" w:rsidRPr="001A4322" w:rsidRDefault="00111B7E" w:rsidP="001A4322">
      <w:pPr>
        <w:pStyle w:val="MIRBodyText"/>
        <w:numPr>
          <w:ilvl w:val="0"/>
          <w:numId w:val="96"/>
        </w:numPr>
        <w:spacing w:line="280" w:lineRule="atLeast"/>
        <w:jc w:val="both"/>
        <w:rPr>
          <w:color w:val="000000"/>
        </w:rPr>
      </w:pPr>
      <w:r w:rsidRPr="001A4322">
        <w:rPr>
          <w:color w:val="000000"/>
        </w:rPr>
        <w:t xml:space="preserve">(1) </w:t>
      </w:r>
      <w:r w:rsidR="00545456" w:rsidRPr="001A4322">
        <w:rPr>
          <w:color w:val="000000"/>
        </w:rPr>
        <w:t>To calculate a net open</w:t>
      </w:r>
      <w:r w:rsidR="00DC1E44" w:rsidRPr="001A4322">
        <w:rPr>
          <w:color w:val="000000"/>
        </w:rPr>
        <w:t xml:space="preserve"> position </w:t>
      </w:r>
      <w:r w:rsidR="006A1054" w:rsidRPr="001A4322">
        <w:rPr>
          <w:color w:val="000000"/>
        </w:rPr>
        <w:t>in a particular Commodity</w:t>
      </w:r>
      <w:r w:rsidR="007F1BE3" w:rsidRPr="001A4322">
        <w:rPr>
          <w:color w:val="000000"/>
        </w:rPr>
        <w:t xml:space="preserve">, each open position in </w:t>
      </w:r>
      <w:r w:rsidR="006B4FCF" w:rsidRPr="001A4322">
        <w:rPr>
          <w:color w:val="000000"/>
        </w:rPr>
        <w:t>the</w:t>
      </w:r>
      <w:r w:rsidR="007F1BE3" w:rsidRPr="001A4322">
        <w:rPr>
          <w:color w:val="000000"/>
        </w:rPr>
        <w:t xml:space="preserve"> Commodity </w:t>
      </w:r>
      <w:r w:rsidR="002017EA" w:rsidRPr="001A4322">
        <w:rPr>
          <w:color w:val="000000"/>
        </w:rPr>
        <w:t>or Commodity Derivative</w:t>
      </w:r>
      <w:r w:rsidR="004816ED">
        <w:rPr>
          <w:color w:val="000000"/>
        </w:rPr>
        <w:t xml:space="preserve"> </w:t>
      </w:r>
      <w:r w:rsidRPr="001A4322">
        <w:rPr>
          <w:color w:val="000000"/>
        </w:rPr>
        <w:t>must</w:t>
      </w:r>
      <w:r w:rsidR="002E6385" w:rsidRPr="001A4322">
        <w:rPr>
          <w:color w:val="000000"/>
        </w:rPr>
        <w:t xml:space="preserve"> first</w:t>
      </w:r>
      <w:r w:rsidRPr="001A4322">
        <w:rPr>
          <w:color w:val="000000"/>
        </w:rPr>
        <w:t xml:space="preserve"> be expressed in terms of the standard unit of measurement (barrels, </w:t>
      </w:r>
      <w:r w:rsidR="00CA6444" w:rsidRPr="001A4322">
        <w:rPr>
          <w:color w:val="000000"/>
        </w:rPr>
        <w:t>k</w:t>
      </w:r>
      <w:r w:rsidRPr="001A4322">
        <w:rPr>
          <w:color w:val="000000"/>
        </w:rPr>
        <w:t>ilos, grams etc). The net position in each Commodity</w:t>
      </w:r>
      <w:r w:rsidR="002017EA" w:rsidRPr="001A4322">
        <w:rPr>
          <w:color w:val="000000"/>
        </w:rPr>
        <w:t xml:space="preserve"> or Commodity Derivative</w:t>
      </w:r>
      <w:r w:rsidRPr="001A4322">
        <w:rPr>
          <w:color w:val="000000"/>
        </w:rPr>
        <w:t xml:space="preserve"> will then be converted at the current rates into Australian dollars.</w:t>
      </w:r>
    </w:p>
    <w:p w14:paraId="0139FF88" w14:textId="6CAEABEB" w:rsidR="00111B7E" w:rsidRPr="001A4322" w:rsidRDefault="00111B7E" w:rsidP="001A4322">
      <w:pPr>
        <w:pStyle w:val="MIRBodyText"/>
        <w:numPr>
          <w:ilvl w:val="0"/>
          <w:numId w:val="96"/>
        </w:numPr>
        <w:spacing w:line="280" w:lineRule="atLeast"/>
        <w:jc w:val="both"/>
        <w:rPr>
          <w:color w:val="000000"/>
        </w:rPr>
      </w:pPr>
      <w:r w:rsidRPr="001A4322">
        <w:rPr>
          <w:color w:val="000000"/>
        </w:rPr>
        <w:t xml:space="preserve">(2) When calculating the </w:t>
      </w:r>
      <w:r w:rsidR="008726FE">
        <w:rPr>
          <w:color w:val="000000"/>
        </w:rPr>
        <w:t>C</w:t>
      </w:r>
      <w:r w:rsidRPr="001A4322">
        <w:rPr>
          <w:color w:val="000000"/>
        </w:rPr>
        <w:t xml:space="preserve">ommodity net open positions for each </w:t>
      </w:r>
      <w:r w:rsidR="008726FE">
        <w:rPr>
          <w:color w:val="000000"/>
        </w:rPr>
        <w:t>C</w:t>
      </w:r>
      <w:r w:rsidRPr="001A4322">
        <w:rPr>
          <w:color w:val="000000"/>
        </w:rPr>
        <w:t>ommodity, the  long and short positions in a Commodity or Commodity Derivative may be offset</w:t>
      </w:r>
      <w:r w:rsidR="00C40A4A" w:rsidRPr="001A4322">
        <w:rPr>
          <w:color w:val="000000"/>
        </w:rPr>
        <w:t>.</w:t>
      </w:r>
    </w:p>
    <w:p w14:paraId="290CBA82" w14:textId="7CF2FE43" w:rsidR="00111B7E" w:rsidRPr="001A4322" w:rsidRDefault="00111B7E" w:rsidP="001A4322">
      <w:pPr>
        <w:pStyle w:val="MIRBodyText"/>
        <w:numPr>
          <w:ilvl w:val="0"/>
          <w:numId w:val="96"/>
        </w:numPr>
        <w:spacing w:line="280" w:lineRule="atLeast"/>
        <w:jc w:val="both"/>
        <w:rPr>
          <w:color w:val="000000"/>
        </w:rPr>
      </w:pPr>
      <w:r w:rsidRPr="001A4322">
        <w:rPr>
          <w:color w:val="000000"/>
        </w:rPr>
        <w:t>(3) Position</w:t>
      </w:r>
      <w:r w:rsidR="00144878" w:rsidRPr="001A4322">
        <w:rPr>
          <w:color w:val="000000"/>
        </w:rPr>
        <w:t>s</w:t>
      </w:r>
      <w:r w:rsidRPr="001A4322">
        <w:rPr>
          <w:color w:val="000000"/>
        </w:rPr>
        <w:t xml:space="preserve"> in different </w:t>
      </w:r>
      <w:r w:rsidR="007E4149" w:rsidRPr="001A4322">
        <w:rPr>
          <w:color w:val="000000"/>
        </w:rPr>
        <w:t>C</w:t>
      </w:r>
      <w:r w:rsidRPr="001A4322">
        <w:rPr>
          <w:color w:val="000000"/>
        </w:rPr>
        <w:t xml:space="preserve">ommodities may not be offset unless </w:t>
      </w:r>
      <w:r w:rsidR="002D64E1" w:rsidRPr="001A4322">
        <w:rPr>
          <w:color w:val="000000"/>
        </w:rPr>
        <w:t xml:space="preserve">the </w:t>
      </w:r>
      <w:r w:rsidR="00F46A2E" w:rsidRPr="001A4322">
        <w:rPr>
          <w:color w:val="000000"/>
        </w:rPr>
        <w:t>C</w:t>
      </w:r>
      <w:r w:rsidRPr="001A4322">
        <w:rPr>
          <w:color w:val="000000"/>
        </w:rPr>
        <w:t>ommodity is fungible for settlement purpose</w:t>
      </w:r>
      <w:r w:rsidR="00F46A2E" w:rsidRPr="001A4322">
        <w:rPr>
          <w:color w:val="000000"/>
        </w:rPr>
        <w:t>s</w:t>
      </w:r>
      <w:r w:rsidRPr="001A4322">
        <w:rPr>
          <w:color w:val="000000"/>
        </w:rPr>
        <w:t xml:space="preserve"> or a highly correlated close substitute</w:t>
      </w:r>
      <w:r w:rsidR="00A623B7" w:rsidRPr="001A4322">
        <w:rPr>
          <w:color w:val="000000"/>
        </w:rPr>
        <w:t>.</w:t>
      </w:r>
    </w:p>
    <w:p w14:paraId="685BC63F" w14:textId="7F42F907" w:rsidR="00111B7E" w:rsidRPr="001A4322" w:rsidRDefault="00111B7E" w:rsidP="001A4322">
      <w:pPr>
        <w:pStyle w:val="MIRBodyText"/>
        <w:numPr>
          <w:ilvl w:val="0"/>
          <w:numId w:val="96"/>
        </w:numPr>
        <w:spacing w:line="280" w:lineRule="atLeast"/>
        <w:jc w:val="both"/>
        <w:rPr>
          <w:color w:val="000000"/>
        </w:rPr>
      </w:pPr>
      <w:r w:rsidRPr="001A4322">
        <w:t xml:space="preserve">(4) Where </w:t>
      </w:r>
      <w:r w:rsidR="008726FE">
        <w:t>C</w:t>
      </w:r>
      <w:r w:rsidRPr="001A4322">
        <w:t xml:space="preserve">ommodities are denominated in a foreign currency, </w:t>
      </w:r>
      <w:r w:rsidR="002D54E0" w:rsidRPr="001A4322">
        <w:t>the M</w:t>
      </w:r>
      <w:r w:rsidRPr="001A4322">
        <w:t xml:space="preserve">arket </w:t>
      </w:r>
      <w:r w:rsidR="002D54E0" w:rsidRPr="001A4322">
        <w:t>P</w:t>
      </w:r>
      <w:r w:rsidRPr="001A4322">
        <w:t xml:space="preserve">articipant must calculate a </w:t>
      </w:r>
      <w:r w:rsidR="008726FE">
        <w:t>C</w:t>
      </w:r>
      <w:r w:rsidRPr="001A4322">
        <w:t>ommodity exposure and a foreign currency exposure.</w:t>
      </w:r>
    </w:p>
    <w:p w14:paraId="64BFD0A0" w14:textId="77777777" w:rsidR="00683D77" w:rsidRDefault="00683D77" w:rsidP="00111B7E">
      <w:pPr>
        <w:pStyle w:val="MIRSubpara"/>
        <w:numPr>
          <w:ilvl w:val="0"/>
          <w:numId w:val="0"/>
        </w:numPr>
      </w:pPr>
    </w:p>
    <w:p w14:paraId="302478B3" w14:textId="77777777" w:rsidR="00B63FA8" w:rsidRDefault="00B63FA8" w:rsidP="001A4322">
      <w:pPr>
        <w:pStyle w:val="MIRSubpara"/>
        <w:numPr>
          <w:ilvl w:val="0"/>
          <w:numId w:val="0"/>
        </w:numPr>
        <w:sectPr w:rsidR="00B63FA8" w:rsidSect="00A623B7">
          <w:headerReference w:type="even" r:id="rId43"/>
          <w:headerReference w:type="default" r:id="rId44"/>
          <w:headerReference w:type="first" r:id="rId45"/>
          <w:type w:val="continuous"/>
          <w:pgSz w:w="11906" w:h="16838" w:code="9"/>
          <w:pgMar w:top="1644" w:right="1418" w:bottom="1418" w:left="1418" w:header="567" w:footer="567" w:gutter="0"/>
          <w:cols w:space="720"/>
          <w:docGrid w:linePitch="299"/>
        </w:sectPr>
      </w:pPr>
    </w:p>
    <w:p w14:paraId="39B85CDC" w14:textId="06FE9EB9" w:rsidR="00CA2E4E" w:rsidRPr="0033698E" w:rsidRDefault="00CA2E4E" w:rsidP="00CA2E4E">
      <w:pPr>
        <w:pStyle w:val="MIRHeading1Chapter"/>
      </w:pPr>
      <w:bookmarkStart w:id="91" w:name="_Toc27492604"/>
      <w:r w:rsidRPr="0033698E">
        <w:lastRenderedPageBreak/>
        <w:t xml:space="preserve">Annexure 4 to Schedule 1A: Underwriting </w:t>
      </w:r>
      <w:r w:rsidR="003261B7">
        <w:t xml:space="preserve">and Sub Underwriting </w:t>
      </w:r>
      <w:r w:rsidRPr="0033698E">
        <w:t>Risk Requirement</w:t>
      </w:r>
      <w:bookmarkEnd w:id="91"/>
    </w:p>
    <w:p w14:paraId="4D0FF942" w14:textId="77777777" w:rsidR="003261B7" w:rsidRPr="00E26929" w:rsidRDefault="003261B7" w:rsidP="003261B7">
      <w:pPr>
        <w:pStyle w:val="MIRHeading3Rule"/>
      </w:pPr>
      <w:r w:rsidRPr="00E26929">
        <w:t xml:space="preserve">A4.1.1 </w:t>
      </w:r>
      <w:r w:rsidRPr="00E26929">
        <w:tab/>
        <w:t>Nature of underwriting risk amount</w:t>
      </w:r>
    </w:p>
    <w:p w14:paraId="78DA245A" w14:textId="77777777" w:rsidR="003261B7" w:rsidRPr="00E26929" w:rsidRDefault="003261B7" w:rsidP="001A4322">
      <w:pPr>
        <w:pStyle w:val="MIRBodyText"/>
        <w:numPr>
          <w:ilvl w:val="0"/>
          <w:numId w:val="96"/>
        </w:numPr>
        <w:rPr>
          <w:lang w:eastAsia="en-US"/>
        </w:rPr>
      </w:pPr>
      <w:r w:rsidRPr="00E26929">
        <w:rPr>
          <w:lang w:eastAsia="en-US"/>
        </w:rPr>
        <w:t xml:space="preserve">The </w:t>
      </w:r>
      <w:r w:rsidRPr="00E26929">
        <w:t>Underwriting and Sub Underwriting Risk Requirement</w:t>
      </w:r>
      <w:r w:rsidRPr="00E26929">
        <w:rPr>
          <w:lang w:eastAsia="en-US"/>
        </w:rPr>
        <w:t xml:space="preserve"> is the absolute sum of the individual underwriting risk amounts calculated using the method of calculation set out in this Annexure 4.</w:t>
      </w:r>
    </w:p>
    <w:p w14:paraId="63B1868E" w14:textId="77777777" w:rsidR="003261B7" w:rsidRPr="00E26929" w:rsidRDefault="003261B7" w:rsidP="003261B7">
      <w:pPr>
        <w:pStyle w:val="MIRHeading3Rule"/>
      </w:pPr>
      <w:r w:rsidRPr="00E26929">
        <w:t>A4.1.2 Method</w:t>
      </w:r>
    </w:p>
    <w:p w14:paraId="2C83EB26" w14:textId="77777777" w:rsidR="003261B7" w:rsidRPr="00E26929" w:rsidRDefault="003261B7" w:rsidP="001A4322">
      <w:pPr>
        <w:pStyle w:val="MIRBodyText"/>
        <w:numPr>
          <w:ilvl w:val="0"/>
          <w:numId w:val="96"/>
        </w:numPr>
        <w:rPr>
          <w:lang w:eastAsia="en-US"/>
        </w:rPr>
      </w:pPr>
      <w:r w:rsidRPr="00E26929">
        <w:rPr>
          <w:lang w:eastAsia="en-US"/>
        </w:rPr>
        <w:t>The underwriting risk amount for each Underwriting Commitment or Sub Underwriting Commitment (</w:t>
      </w:r>
      <w:r w:rsidRPr="009B6049">
        <w:rPr>
          <w:b/>
          <w:i/>
          <w:lang w:eastAsia="en-US"/>
        </w:rPr>
        <w:t>Relevant Commitment</w:t>
      </w:r>
      <w:r w:rsidRPr="00E26929">
        <w:rPr>
          <w:lang w:eastAsia="en-US"/>
        </w:rPr>
        <w:t xml:space="preserve">) made by a Market Participant: </w:t>
      </w:r>
    </w:p>
    <w:p w14:paraId="5BE0EA6B" w14:textId="77777777" w:rsidR="003261B7" w:rsidRPr="00E26929" w:rsidRDefault="003261B7" w:rsidP="001A4322">
      <w:pPr>
        <w:pStyle w:val="MIRSubpara"/>
        <w:numPr>
          <w:ilvl w:val="1"/>
          <w:numId w:val="96"/>
        </w:numPr>
        <w:rPr>
          <w:lang w:eastAsia="en-US"/>
        </w:rPr>
      </w:pPr>
      <w:r w:rsidRPr="00E26929">
        <w:t>is the product of:</w:t>
      </w:r>
    </w:p>
    <w:p w14:paraId="5E8DEE00" w14:textId="4399BAD7" w:rsidR="003261B7" w:rsidRPr="00E26929" w:rsidRDefault="003261B7" w:rsidP="001A4322">
      <w:pPr>
        <w:pStyle w:val="MIRSubsubpara"/>
        <w:numPr>
          <w:ilvl w:val="2"/>
          <w:numId w:val="96"/>
        </w:numPr>
        <w:rPr>
          <w:lang w:eastAsia="en-US"/>
        </w:rPr>
      </w:pPr>
      <w:r w:rsidRPr="00E26929">
        <w:rPr>
          <w:lang w:eastAsia="en-US"/>
        </w:rPr>
        <w:t>the amount underwritten or sub</w:t>
      </w:r>
      <w:r w:rsidR="00374EE1">
        <w:rPr>
          <w:lang w:eastAsia="en-US"/>
        </w:rPr>
        <w:t xml:space="preserve"> </w:t>
      </w:r>
      <w:r w:rsidRPr="00E26929">
        <w:rPr>
          <w:lang w:eastAsia="en-US"/>
        </w:rPr>
        <w:t>underwritten by the Market Participant under the Relevant Commitment, less any part of that amount that has been:</w:t>
      </w:r>
    </w:p>
    <w:p w14:paraId="05F05BC2" w14:textId="6E4E9CC2" w:rsidR="003261B7" w:rsidRPr="00E26929" w:rsidRDefault="003261B7" w:rsidP="001A4322">
      <w:pPr>
        <w:pStyle w:val="MIRsubsubsubpara"/>
        <w:numPr>
          <w:ilvl w:val="3"/>
          <w:numId w:val="96"/>
        </w:numPr>
        <w:rPr>
          <w:lang w:eastAsia="en-US"/>
        </w:rPr>
      </w:pPr>
      <w:r w:rsidRPr="00E26929">
        <w:rPr>
          <w:lang w:eastAsia="en-US"/>
        </w:rPr>
        <w:t>sub</w:t>
      </w:r>
      <w:r w:rsidR="00374EE1">
        <w:rPr>
          <w:lang w:eastAsia="en-US"/>
        </w:rPr>
        <w:t xml:space="preserve"> </w:t>
      </w:r>
      <w:r w:rsidRPr="00E26929">
        <w:rPr>
          <w:lang w:eastAsia="en-US"/>
        </w:rPr>
        <w:t>underwritten under a Sub Underwriting Commitment; or</w:t>
      </w:r>
    </w:p>
    <w:p w14:paraId="6FF132CD" w14:textId="77777777" w:rsidR="007A5C91" w:rsidRDefault="003261B7" w:rsidP="001A4322">
      <w:pPr>
        <w:pStyle w:val="MIRsubsubsubpara"/>
        <w:numPr>
          <w:ilvl w:val="3"/>
          <w:numId w:val="96"/>
        </w:numPr>
        <w:rPr>
          <w:lang w:eastAsia="en-US"/>
        </w:rPr>
      </w:pPr>
      <w:r w:rsidRPr="00E26929">
        <w:rPr>
          <w:lang w:eastAsia="en-US"/>
        </w:rPr>
        <w:t>received under a client placement</w:t>
      </w:r>
      <w:r w:rsidR="007A5C91">
        <w:rPr>
          <w:lang w:eastAsia="en-US"/>
        </w:rPr>
        <w:t xml:space="preserve"> in relation to the Financial Instruments the subject of the Relevant Commitment</w:t>
      </w:r>
      <w:r w:rsidRPr="00E26929">
        <w:rPr>
          <w:lang w:eastAsia="en-US"/>
        </w:rPr>
        <w:t xml:space="preserve">; </w:t>
      </w:r>
      <w:r w:rsidR="007A5C91">
        <w:rPr>
          <w:lang w:eastAsia="en-US"/>
        </w:rPr>
        <w:t>or</w:t>
      </w:r>
    </w:p>
    <w:p w14:paraId="70FCC836" w14:textId="77301157" w:rsidR="003261B7" w:rsidRPr="00E26929" w:rsidRDefault="007A5C91" w:rsidP="001A4322">
      <w:pPr>
        <w:pStyle w:val="MIRsubsubsubpara"/>
        <w:numPr>
          <w:ilvl w:val="3"/>
          <w:numId w:val="96"/>
        </w:numPr>
        <w:rPr>
          <w:lang w:eastAsia="en-US"/>
        </w:rPr>
      </w:pPr>
      <w:r>
        <w:rPr>
          <w:lang w:eastAsia="en-US"/>
        </w:rPr>
        <w:t xml:space="preserve">received as Application Monies for the Financial Instruments where the amount reduces the liability of the Market Participant under the Relevant Commitment; </w:t>
      </w:r>
      <w:r w:rsidR="003261B7" w:rsidRPr="00E26929">
        <w:rPr>
          <w:lang w:eastAsia="en-US"/>
        </w:rPr>
        <w:t>and</w:t>
      </w:r>
    </w:p>
    <w:p w14:paraId="2C99BC4D" w14:textId="77777777" w:rsidR="003261B7" w:rsidRPr="00E26929" w:rsidRDefault="003261B7" w:rsidP="001A4322">
      <w:pPr>
        <w:pStyle w:val="MIRSubsubpara"/>
        <w:numPr>
          <w:ilvl w:val="2"/>
          <w:numId w:val="96"/>
        </w:numPr>
        <w:rPr>
          <w:lang w:eastAsia="en-US"/>
        </w:rPr>
      </w:pPr>
      <w:r w:rsidRPr="00E26929">
        <w:rPr>
          <w:lang w:eastAsia="en-US"/>
        </w:rPr>
        <w:t>the underwriting risk factor specified in Table A5.4.1, Annexure 5; and</w:t>
      </w:r>
    </w:p>
    <w:p w14:paraId="20D9930B" w14:textId="681EFD3B" w:rsidR="003261B7" w:rsidRPr="00E26929" w:rsidRDefault="003261B7" w:rsidP="001A4322">
      <w:pPr>
        <w:pStyle w:val="MIRSubsubpara"/>
        <w:numPr>
          <w:ilvl w:val="2"/>
          <w:numId w:val="96"/>
        </w:numPr>
        <w:rPr>
          <w:lang w:eastAsia="en-US"/>
        </w:rPr>
      </w:pPr>
      <w:r w:rsidRPr="00E26929">
        <w:rPr>
          <w:lang w:eastAsia="en-US"/>
        </w:rPr>
        <w:t>the relevant standard method Position Risk Factor specified in Part A5.1; and</w:t>
      </w:r>
    </w:p>
    <w:p w14:paraId="55EAC1E5" w14:textId="77777777" w:rsidR="003261B7" w:rsidRPr="00E26929" w:rsidRDefault="003261B7" w:rsidP="001A4322">
      <w:pPr>
        <w:pStyle w:val="MIRSubpara"/>
        <w:numPr>
          <w:ilvl w:val="1"/>
          <w:numId w:val="96"/>
        </w:numPr>
        <w:rPr>
          <w:lang w:eastAsia="en-US"/>
        </w:rPr>
      </w:pPr>
      <w:r w:rsidRPr="00E26929">
        <w:rPr>
          <w:lang w:eastAsia="en-US"/>
        </w:rPr>
        <w:t xml:space="preserve">commences on the first date upon which funds can be accepted </w:t>
      </w:r>
      <w:r w:rsidRPr="003261B7">
        <w:rPr>
          <w:lang w:eastAsia="en-US"/>
        </w:rPr>
        <w:t>by the Market Participant</w:t>
      </w:r>
      <w:r w:rsidRPr="00E26929">
        <w:rPr>
          <w:lang w:eastAsia="en-US"/>
        </w:rPr>
        <w:t xml:space="preserve"> for the issue of the Financial Instrument that is the subject of the Relevant Commitment; and</w:t>
      </w:r>
    </w:p>
    <w:p w14:paraId="2A1D512C" w14:textId="77777777" w:rsidR="003261B7" w:rsidRPr="00E26929" w:rsidRDefault="003261B7" w:rsidP="001A4322">
      <w:pPr>
        <w:pStyle w:val="MIRSubpara"/>
        <w:numPr>
          <w:ilvl w:val="1"/>
          <w:numId w:val="96"/>
        </w:numPr>
        <w:rPr>
          <w:lang w:eastAsia="en-US"/>
        </w:rPr>
      </w:pPr>
      <w:r w:rsidRPr="00E26929">
        <w:rPr>
          <w:lang w:eastAsia="en-US"/>
        </w:rPr>
        <w:t>ceases once the Relevant Commitment becomes unconditional.</w:t>
      </w:r>
    </w:p>
    <w:p w14:paraId="41BFDCCD" w14:textId="6971BB49" w:rsidR="003261B7" w:rsidRPr="00E26929" w:rsidRDefault="003261B7" w:rsidP="003261B7">
      <w:pPr>
        <w:pStyle w:val="MIRHeading3"/>
      </w:pPr>
      <w:r w:rsidRPr="00E26929">
        <w:t>A4.1.3</w:t>
      </w:r>
      <w:r w:rsidRPr="00E26929">
        <w:tab/>
        <w:t>Underwriting</w:t>
      </w:r>
      <w:r w:rsidR="00374EE1">
        <w:t>—</w:t>
      </w:r>
      <w:r w:rsidRPr="00E26929">
        <w:t>Counterparty risk</w:t>
      </w:r>
    </w:p>
    <w:p w14:paraId="788679D0" w14:textId="77777777" w:rsidR="003261B7" w:rsidRPr="00E42F1F" w:rsidRDefault="003261B7" w:rsidP="001A4322">
      <w:pPr>
        <w:pStyle w:val="MIRBodyText"/>
        <w:numPr>
          <w:ilvl w:val="0"/>
          <w:numId w:val="96"/>
        </w:numPr>
      </w:pPr>
      <w:r w:rsidRPr="003261B7">
        <w:t>(1) A</w:t>
      </w:r>
      <w:r w:rsidRPr="003261B7" w:rsidDel="00D46B9E">
        <w:t xml:space="preserve"> Market Participant</w:t>
      </w:r>
      <w:r w:rsidRPr="003261B7">
        <w:t xml:space="preserve"> that makes an Underwriting Commitment</w:t>
      </w:r>
      <w:r w:rsidRPr="00246BC6">
        <w:t xml:space="preserve"> must</w:t>
      </w:r>
      <w:r w:rsidRPr="00E42F1F" w:rsidDel="00D46B9E">
        <w:t xml:space="preserve">: </w:t>
      </w:r>
    </w:p>
    <w:p w14:paraId="59FC1C7E" w14:textId="77777777" w:rsidR="003261B7" w:rsidRPr="0018748D" w:rsidRDefault="003261B7" w:rsidP="001A4322">
      <w:pPr>
        <w:pStyle w:val="MIRSubpara"/>
        <w:numPr>
          <w:ilvl w:val="1"/>
          <w:numId w:val="96"/>
        </w:numPr>
      </w:pPr>
      <w:r w:rsidRPr="00E42F1F">
        <w:t xml:space="preserve">treat as a Positive Credit Exposure any amount outstanding from </w:t>
      </w:r>
      <w:r w:rsidRPr="003E12FB">
        <w:t>a client (</w:t>
      </w:r>
      <w:r w:rsidRPr="009B6049">
        <w:rPr>
          <w:b/>
          <w:i/>
        </w:rPr>
        <w:t>Buying Client</w:t>
      </w:r>
      <w:r w:rsidRPr="0018748D">
        <w:t>) that has made an application to buy the Financial Instruments the subject of the Underwriting Commitment, as at the closing date for applications;</w:t>
      </w:r>
    </w:p>
    <w:p w14:paraId="37DDF866" w14:textId="77777777" w:rsidR="003261B7" w:rsidRPr="001C6A5E" w:rsidRDefault="003261B7" w:rsidP="001A4322">
      <w:pPr>
        <w:pStyle w:val="MIRSubpara"/>
        <w:numPr>
          <w:ilvl w:val="1"/>
          <w:numId w:val="96"/>
        </w:numPr>
      </w:pPr>
      <w:r w:rsidRPr="001C6A5E">
        <w:t>calculate in accordance with Annexure 1 to this Schedule a counterparty risk amount on that Positive Credit Exposure, from the time that the Market Participant pays the issuer until the time the Buying Client pays the Market Participant; and</w:t>
      </w:r>
    </w:p>
    <w:p w14:paraId="598F26BD" w14:textId="77777777" w:rsidR="003261B7" w:rsidRPr="00A04723" w:rsidRDefault="003261B7" w:rsidP="001A4322">
      <w:pPr>
        <w:pStyle w:val="MIRSubpara"/>
        <w:numPr>
          <w:ilvl w:val="1"/>
          <w:numId w:val="96"/>
        </w:numPr>
      </w:pPr>
      <w:r w:rsidRPr="001C6A5E">
        <w:t>for the purposes of calculating a counterparty risk amount und</w:t>
      </w:r>
      <w:r w:rsidRPr="00A04723">
        <w:t>er paragraph (b), use the “cost” or “subscription” price as the market value of the Financial Instruments if the market value is not known.</w:t>
      </w:r>
    </w:p>
    <w:p w14:paraId="63CDF7A6" w14:textId="2C0A78A0" w:rsidR="003261B7" w:rsidRPr="00B71413" w:rsidDel="00D46B9E" w:rsidRDefault="003261B7" w:rsidP="001A4322">
      <w:pPr>
        <w:pStyle w:val="MIRBodyText"/>
        <w:numPr>
          <w:ilvl w:val="0"/>
          <w:numId w:val="96"/>
        </w:numPr>
      </w:pPr>
      <w:r w:rsidRPr="00B71413">
        <w:lastRenderedPageBreak/>
        <w:t>(2) The Market Participant may, for the purposes of calculating a counterparty risk amount under paragraph (1)(b), reduce the amount of its Positive Credit Exposure by any part of that amount that has been sub</w:t>
      </w:r>
      <w:r w:rsidR="00374EE1">
        <w:t xml:space="preserve"> </w:t>
      </w:r>
      <w:r w:rsidRPr="00B71413">
        <w:t>underwritten under a Sub Underwriting Commitment.</w:t>
      </w:r>
    </w:p>
    <w:p w14:paraId="6FA29715" w14:textId="6225E18A" w:rsidR="003261B7" w:rsidRPr="003261B7" w:rsidRDefault="003261B7" w:rsidP="003261B7">
      <w:pPr>
        <w:pStyle w:val="MIRHeading3"/>
      </w:pPr>
      <w:r w:rsidRPr="00E26929">
        <w:t>A4.1.4</w:t>
      </w:r>
      <w:r w:rsidRPr="00E26929">
        <w:tab/>
        <w:t>Underwriting</w:t>
      </w:r>
      <w:r w:rsidR="00374EE1">
        <w:t>—</w:t>
      </w:r>
      <w:r w:rsidRPr="00E26929">
        <w:t>Position risk</w:t>
      </w:r>
    </w:p>
    <w:p w14:paraId="4B8B0387" w14:textId="77777777" w:rsidR="003261B7" w:rsidRPr="003E12FB" w:rsidRDefault="003261B7" w:rsidP="001A4322">
      <w:pPr>
        <w:pStyle w:val="MIRBodyText"/>
        <w:numPr>
          <w:ilvl w:val="0"/>
          <w:numId w:val="96"/>
        </w:numPr>
        <w:rPr>
          <w:lang w:eastAsia="en-US"/>
        </w:rPr>
      </w:pPr>
      <w:r w:rsidRPr="00E42F1F">
        <w:rPr>
          <w:lang w:eastAsia="en-US"/>
        </w:rPr>
        <w:t>(1) A Market Participant that makes an Underwriting Commitment or Sub Underwriting Commitment</w:t>
      </w:r>
      <w:r w:rsidRPr="003E12FB">
        <w:rPr>
          <w:lang w:eastAsia="en-US"/>
        </w:rPr>
        <w:t xml:space="preserve"> (each a </w:t>
      </w:r>
      <w:r w:rsidRPr="005353D9">
        <w:rPr>
          <w:b/>
          <w:i/>
          <w:lang w:eastAsia="en-US"/>
        </w:rPr>
        <w:t>Relevant Commitment</w:t>
      </w:r>
      <w:r w:rsidRPr="003E12FB">
        <w:rPr>
          <w:lang w:eastAsia="en-US"/>
        </w:rPr>
        <w:t>) must:</w:t>
      </w:r>
    </w:p>
    <w:p w14:paraId="2F133879" w14:textId="77777777" w:rsidR="003261B7" w:rsidRPr="001C6A5E" w:rsidRDefault="003261B7" w:rsidP="001A4322">
      <w:pPr>
        <w:pStyle w:val="MIRSubpara"/>
        <w:numPr>
          <w:ilvl w:val="1"/>
          <w:numId w:val="96"/>
        </w:numPr>
      </w:pPr>
      <w:r w:rsidRPr="001C6A5E">
        <w:t>treat as a principal position any shortfall in applications</w:t>
      </w:r>
      <w:r w:rsidRPr="001C6A5E">
        <w:rPr>
          <w:lang w:eastAsia="en-US"/>
        </w:rPr>
        <w:t xml:space="preserve"> to buy the Financial Instruments the subject of the Relevant Commitment,</w:t>
      </w:r>
      <w:r w:rsidRPr="001C6A5E">
        <w:t xml:space="preserve"> as at the closing date for applications; and</w:t>
      </w:r>
    </w:p>
    <w:p w14:paraId="0F6A390D" w14:textId="47588DCF" w:rsidR="003261B7" w:rsidRPr="00B71413" w:rsidRDefault="003261B7" w:rsidP="001A4322">
      <w:pPr>
        <w:pStyle w:val="MIRSubpara"/>
        <w:numPr>
          <w:ilvl w:val="1"/>
          <w:numId w:val="96"/>
        </w:numPr>
      </w:pPr>
      <w:r w:rsidRPr="00A04723">
        <w:t>calculate in accordance w</w:t>
      </w:r>
      <w:r w:rsidRPr="00B71413">
        <w:t>ith Annexure 3 to Schedule</w:t>
      </w:r>
      <w:r w:rsidR="00976FFA">
        <w:t xml:space="preserve"> 1A</w:t>
      </w:r>
      <w:r w:rsidRPr="00B71413">
        <w:t xml:space="preserve"> a position risk amount in respect of that principal position, from the time of the closing date for applications; and</w:t>
      </w:r>
    </w:p>
    <w:p w14:paraId="791B58F3" w14:textId="77777777" w:rsidR="003261B7" w:rsidRPr="00B71413" w:rsidRDefault="003261B7" w:rsidP="001A4322">
      <w:pPr>
        <w:pStyle w:val="MIRSubpara"/>
        <w:numPr>
          <w:ilvl w:val="1"/>
          <w:numId w:val="96"/>
        </w:numPr>
      </w:pPr>
      <w:r w:rsidRPr="00B71413">
        <w:t>for the purposes of calculating a position risk amount under paragraph (b), use the “cost” or “subscription” price as the market value of the Financial Instruments if the market value is not known.</w:t>
      </w:r>
    </w:p>
    <w:p w14:paraId="29304915" w14:textId="28E27A27" w:rsidR="003261B7" w:rsidRPr="00E26929" w:rsidRDefault="003261B7" w:rsidP="001A4322">
      <w:pPr>
        <w:pStyle w:val="MIRBodyText"/>
        <w:numPr>
          <w:ilvl w:val="0"/>
          <w:numId w:val="96"/>
        </w:numPr>
        <w:rPr>
          <w:lang w:eastAsia="en-US"/>
        </w:rPr>
      </w:pPr>
      <w:r w:rsidRPr="00B71413">
        <w:rPr>
          <w:lang w:eastAsia="en-US"/>
        </w:rPr>
        <w:t>(2) The Market Participant may, f</w:t>
      </w:r>
      <w:r w:rsidRPr="00B71413">
        <w:t xml:space="preserve">or the purposes of </w:t>
      </w:r>
      <w:r w:rsidRPr="00E26929">
        <w:rPr>
          <w:lang w:eastAsia="en-US"/>
        </w:rPr>
        <w:t xml:space="preserve">calculating a position risk amount under paragraph (1)(b), </w:t>
      </w:r>
      <w:r w:rsidRPr="00E26929">
        <w:t>reduce the amount of its principal position by any part of that amount that has been sub</w:t>
      </w:r>
      <w:r w:rsidR="00374EE1">
        <w:t xml:space="preserve"> </w:t>
      </w:r>
      <w:r w:rsidRPr="00E26929">
        <w:t>underwritten under a Sub Underwriting Commitment</w:t>
      </w:r>
      <w:r w:rsidRPr="00E26929">
        <w:rPr>
          <w:lang w:eastAsia="en-US"/>
        </w:rPr>
        <w:t>.</w:t>
      </w:r>
    </w:p>
    <w:p w14:paraId="4E3210A2" w14:textId="77777777" w:rsidR="000A2540" w:rsidRDefault="000A2540" w:rsidP="001A4322">
      <w:pPr>
        <w:pStyle w:val="MIRBodyText"/>
        <w:numPr>
          <w:ilvl w:val="0"/>
          <w:numId w:val="96"/>
        </w:numPr>
        <w:sectPr w:rsidR="000A2540" w:rsidSect="00BA1BD7">
          <w:headerReference w:type="even" r:id="rId46"/>
          <w:headerReference w:type="default" r:id="rId47"/>
          <w:headerReference w:type="first" r:id="rId48"/>
          <w:type w:val="continuous"/>
          <w:pgSz w:w="11906" w:h="16838" w:code="9"/>
          <w:pgMar w:top="1644" w:right="1418" w:bottom="1418" w:left="1418" w:header="567" w:footer="567" w:gutter="0"/>
          <w:cols w:space="720"/>
          <w:docGrid w:linePitch="299"/>
        </w:sectPr>
      </w:pPr>
    </w:p>
    <w:p w14:paraId="582E02C5" w14:textId="2CE73C42" w:rsidR="00CA2E4E" w:rsidRDefault="00CA2E4E" w:rsidP="00CA2E4E">
      <w:pPr>
        <w:pStyle w:val="MIRHeading1Chapter"/>
      </w:pPr>
      <w:bookmarkStart w:id="92" w:name="_Toc27492605"/>
      <w:r w:rsidRPr="0033698E">
        <w:lastRenderedPageBreak/>
        <w:t>Annexure 5 to Schedule 1A: Tables</w:t>
      </w:r>
      <w:bookmarkEnd w:id="92"/>
    </w:p>
    <w:p w14:paraId="0F626815" w14:textId="36E495F6" w:rsidR="004F4CAC" w:rsidRPr="00156388" w:rsidRDefault="004F4CAC" w:rsidP="00D3615D">
      <w:pPr>
        <w:pStyle w:val="MIRNote"/>
        <w:ind w:left="0"/>
      </w:pPr>
      <w:r>
        <w:t>Note: There is no Table A5.1.3, 5.</w:t>
      </w:r>
      <w:r w:rsidR="00505D44">
        <w:t>1.</w:t>
      </w:r>
      <w:r>
        <w:t xml:space="preserve">4 </w:t>
      </w:r>
      <w:r w:rsidR="00404F4B">
        <w:t xml:space="preserve">or </w:t>
      </w:r>
      <w:r>
        <w:t xml:space="preserve">5.1.5 in this Annexure </w:t>
      </w:r>
    </w:p>
    <w:p w14:paraId="782D32E1" w14:textId="5A238585" w:rsidR="00CA2E4E" w:rsidRPr="0033698E" w:rsidRDefault="00CA2E4E" w:rsidP="00AC0175">
      <w:pPr>
        <w:pStyle w:val="MIRHeading2Part"/>
        <w:tabs>
          <w:tab w:val="left" w:pos="1418"/>
        </w:tabs>
      </w:pPr>
      <w:bookmarkStart w:id="93" w:name="_Toc27492606"/>
      <w:r w:rsidRPr="0033698E">
        <w:t>Part A5.1</w:t>
      </w:r>
      <w:r w:rsidR="00AC0175">
        <w:tab/>
      </w:r>
      <w:r w:rsidRPr="0033698E">
        <w:t>Position Risk</w:t>
      </w:r>
      <w:bookmarkEnd w:id="93"/>
      <w:r w:rsidRPr="0033698E">
        <w:t xml:space="preserve"> </w:t>
      </w:r>
    </w:p>
    <w:p w14:paraId="7905D07B" w14:textId="77777777" w:rsidR="00CA2E4E" w:rsidRPr="0033698E" w:rsidRDefault="00CA2E4E" w:rsidP="00CA2E4E">
      <w:pPr>
        <w:pStyle w:val="tabletitlefullwidth"/>
        <w:ind w:left="0" w:firstLine="0"/>
      </w:pPr>
      <w:r w:rsidRPr="0033698E">
        <w:t>Table A5.1.1:</w:t>
      </w:r>
      <w:r w:rsidRPr="0033698E">
        <w:tab/>
      </w:r>
      <w:r w:rsidRPr="0033698E">
        <w:rPr>
          <w:bCs/>
        </w:rPr>
        <w:t>Equity Position Risk Factors—Recognised Market Index and Non Recognised Market Index</w:t>
      </w:r>
    </w:p>
    <w:tbl>
      <w:tblPr>
        <w:tblW w:w="0" w:type="auto"/>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1985"/>
        <w:gridCol w:w="3118"/>
        <w:gridCol w:w="3119"/>
      </w:tblGrid>
      <w:tr w:rsidR="0094467B" w:rsidRPr="0033698E" w14:paraId="008F003E" w14:textId="77777777" w:rsidTr="00B06951">
        <w:trPr>
          <w:cantSplit/>
          <w:tblHeader/>
        </w:trPr>
        <w:tc>
          <w:tcPr>
            <w:tcW w:w="1985" w:type="dxa"/>
            <w:shd w:val="clear" w:color="auto" w:fill="C2E3FA"/>
          </w:tcPr>
          <w:p w14:paraId="6F1BEA5A" w14:textId="77777777" w:rsidR="0094467B" w:rsidRPr="0033698E" w:rsidRDefault="0094467B" w:rsidP="009926F2">
            <w:pPr>
              <w:pStyle w:val="tablehead"/>
              <w:spacing w:before="80" w:line="200" w:lineRule="atLeast"/>
              <w:rPr>
                <w:rFonts w:ascii="Verdana" w:hAnsi="Verdana"/>
                <w:sz w:val="27"/>
                <w:szCs w:val="27"/>
              </w:rPr>
            </w:pPr>
            <w:r w:rsidRPr="0033698E">
              <w:rPr>
                <w:lang w:val="en-GB"/>
              </w:rPr>
              <w:t>Position In:</w:t>
            </w:r>
          </w:p>
        </w:tc>
        <w:tc>
          <w:tcPr>
            <w:tcW w:w="6237" w:type="dxa"/>
            <w:gridSpan w:val="2"/>
            <w:shd w:val="clear" w:color="auto" w:fill="C2E3FA"/>
          </w:tcPr>
          <w:p w14:paraId="1CFA7FA6" w14:textId="77777777" w:rsidR="0094467B" w:rsidRPr="0033698E" w:rsidRDefault="0094467B" w:rsidP="00B97D44">
            <w:pPr>
              <w:pStyle w:val="tablehead"/>
              <w:spacing w:before="80" w:line="200" w:lineRule="atLeast"/>
              <w:jc w:val="center"/>
              <w:rPr>
                <w:sz w:val="24"/>
                <w:szCs w:val="24"/>
              </w:rPr>
            </w:pPr>
            <w:r w:rsidRPr="0033698E">
              <w:t>Underlying</w:t>
            </w:r>
          </w:p>
        </w:tc>
      </w:tr>
      <w:tr w:rsidR="0094467B" w:rsidRPr="0033698E" w14:paraId="2AB2960C" w14:textId="77777777" w:rsidTr="00D3615D">
        <w:trPr>
          <w:cantSplit/>
          <w:tblHeader/>
        </w:trPr>
        <w:tc>
          <w:tcPr>
            <w:tcW w:w="1985" w:type="dxa"/>
            <w:vMerge w:val="restart"/>
            <w:shd w:val="clear" w:color="auto" w:fill="C2E3FA"/>
          </w:tcPr>
          <w:p w14:paraId="0908F204" w14:textId="77777777" w:rsidR="0094467B" w:rsidRPr="0033698E" w:rsidRDefault="0094467B" w:rsidP="009926F2">
            <w:pPr>
              <w:pStyle w:val="tablehead"/>
              <w:spacing w:before="80" w:line="200" w:lineRule="atLeast"/>
            </w:pPr>
          </w:p>
        </w:tc>
        <w:tc>
          <w:tcPr>
            <w:tcW w:w="3118" w:type="dxa"/>
            <w:shd w:val="clear" w:color="auto" w:fill="C2E3FA"/>
          </w:tcPr>
          <w:p w14:paraId="37392C5E" w14:textId="7D8AA6F6" w:rsidR="0094467B" w:rsidRPr="0033698E" w:rsidRDefault="0094467B" w:rsidP="009926F2">
            <w:pPr>
              <w:pStyle w:val="tablehead"/>
              <w:spacing w:before="80" w:line="200" w:lineRule="atLeast"/>
              <w:rPr>
                <w:sz w:val="24"/>
                <w:szCs w:val="24"/>
              </w:rPr>
            </w:pPr>
            <w:r w:rsidRPr="0033698E">
              <w:t xml:space="preserve">Recognised Market Index </w:t>
            </w:r>
            <w:r w:rsidRPr="0033698E">
              <w:br/>
              <w:t xml:space="preserve">(see Table </w:t>
            </w:r>
            <w:r>
              <w:t>A5.</w:t>
            </w:r>
            <w:r w:rsidRPr="0033698E">
              <w:t>1.6)</w:t>
            </w:r>
          </w:p>
        </w:tc>
        <w:tc>
          <w:tcPr>
            <w:tcW w:w="3119" w:type="dxa"/>
            <w:shd w:val="clear" w:color="auto" w:fill="C2E3FA"/>
          </w:tcPr>
          <w:p w14:paraId="2767D7DF" w14:textId="77777777" w:rsidR="0094467B" w:rsidRPr="0033698E" w:rsidRDefault="0094467B" w:rsidP="009926F2">
            <w:pPr>
              <w:pStyle w:val="tablehead"/>
              <w:spacing w:before="80" w:line="200" w:lineRule="atLeast"/>
              <w:rPr>
                <w:sz w:val="24"/>
                <w:szCs w:val="24"/>
              </w:rPr>
            </w:pPr>
            <w:r w:rsidRPr="0033698E">
              <w:t>Non Recognised Market Index</w:t>
            </w:r>
          </w:p>
        </w:tc>
      </w:tr>
      <w:tr w:rsidR="0094467B" w:rsidRPr="0033698E" w14:paraId="591228A4" w14:textId="77777777" w:rsidTr="00D3615D">
        <w:trPr>
          <w:cantSplit/>
          <w:tblHeader/>
        </w:trPr>
        <w:tc>
          <w:tcPr>
            <w:tcW w:w="1985" w:type="dxa"/>
            <w:vMerge/>
            <w:shd w:val="clear" w:color="auto" w:fill="C2E3FA"/>
          </w:tcPr>
          <w:p w14:paraId="203308C7" w14:textId="77777777" w:rsidR="0094467B" w:rsidRPr="0033698E" w:rsidRDefault="0094467B" w:rsidP="009926F2">
            <w:pPr>
              <w:pStyle w:val="tablehead"/>
              <w:spacing w:before="80" w:line="200" w:lineRule="atLeast"/>
            </w:pPr>
          </w:p>
        </w:tc>
        <w:tc>
          <w:tcPr>
            <w:tcW w:w="3118" w:type="dxa"/>
            <w:shd w:val="clear" w:color="auto" w:fill="C2E3FA"/>
          </w:tcPr>
          <w:p w14:paraId="38173BEF" w14:textId="200F20A9" w:rsidR="0094467B" w:rsidRPr="0033698E" w:rsidRDefault="0094467B" w:rsidP="009926F2">
            <w:pPr>
              <w:pStyle w:val="tablehead"/>
              <w:spacing w:before="80" w:line="200" w:lineRule="atLeast"/>
              <w:rPr>
                <w:sz w:val="24"/>
                <w:szCs w:val="24"/>
              </w:rPr>
            </w:pPr>
            <w:r w:rsidRPr="0033698E">
              <w:t>Standard Method</w:t>
            </w:r>
          </w:p>
        </w:tc>
        <w:tc>
          <w:tcPr>
            <w:tcW w:w="3119" w:type="dxa"/>
            <w:shd w:val="clear" w:color="auto" w:fill="C2E3FA"/>
          </w:tcPr>
          <w:p w14:paraId="6B917848" w14:textId="7B9F7D47" w:rsidR="0094467B" w:rsidRPr="0033698E" w:rsidRDefault="0094467B" w:rsidP="009926F2">
            <w:pPr>
              <w:pStyle w:val="tablehead"/>
              <w:spacing w:before="80" w:line="200" w:lineRule="atLeast"/>
              <w:rPr>
                <w:sz w:val="24"/>
                <w:szCs w:val="24"/>
              </w:rPr>
            </w:pPr>
            <w:r w:rsidRPr="0033698E">
              <w:t>Standard Method</w:t>
            </w:r>
          </w:p>
        </w:tc>
      </w:tr>
      <w:tr w:rsidR="0094467B" w:rsidRPr="0033698E" w14:paraId="1F670692" w14:textId="77777777" w:rsidTr="00D3615D">
        <w:trPr>
          <w:cantSplit/>
        </w:trPr>
        <w:tc>
          <w:tcPr>
            <w:tcW w:w="1985" w:type="dxa"/>
          </w:tcPr>
          <w:p w14:paraId="4D2396D8" w14:textId="77777777" w:rsidR="0094467B" w:rsidRPr="0033698E" w:rsidRDefault="0094467B" w:rsidP="009926F2">
            <w:pPr>
              <w:pStyle w:val="tbltext"/>
              <w:spacing w:before="80" w:line="200" w:lineRule="atLeast"/>
              <w:rPr>
                <w:b/>
                <w:sz w:val="24"/>
                <w:szCs w:val="24"/>
              </w:rPr>
            </w:pPr>
            <w:r w:rsidRPr="0033698E">
              <w:rPr>
                <w:b/>
              </w:rPr>
              <w:t>Single Equity</w:t>
            </w:r>
          </w:p>
        </w:tc>
        <w:tc>
          <w:tcPr>
            <w:tcW w:w="3118" w:type="dxa"/>
          </w:tcPr>
          <w:p w14:paraId="0789E349" w14:textId="3D3E5E49" w:rsidR="0094467B" w:rsidRPr="0033698E" w:rsidRDefault="0094467B" w:rsidP="009926F2">
            <w:pPr>
              <w:pStyle w:val="tbltext"/>
              <w:spacing w:before="80" w:line="200" w:lineRule="atLeast"/>
              <w:jc w:val="center"/>
              <w:rPr>
                <w:sz w:val="24"/>
                <w:szCs w:val="24"/>
              </w:rPr>
            </w:pPr>
            <w:r w:rsidRPr="0033698E">
              <w:t>12%</w:t>
            </w:r>
          </w:p>
        </w:tc>
        <w:tc>
          <w:tcPr>
            <w:tcW w:w="3119" w:type="dxa"/>
          </w:tcPr>
          <w:p w14:paraId="5B9CE3CF" w14:textId="17DB0FFD" w:rsidR="0094467B" w:rsidRPr="0033698E" w:rsidRDefault="0094467B" w:rsidP="009926F2">
            <w:pPr>
              <w:pStyle w:val="tbltext"/>
              <w:spacing w:before="80" w:line="200" w:lineRule="atLeast"/>
              <w:jc w:val="center"/>
              <w:rPr>
                <w:sz w:val="24"/>
                <w:szCs w:val="24"/>
              </w:rPr>
            </w:pPr>
            <w:r w:rsidRPr="0033698E">
              <w:t>16%</w:t>
            </w:r>
          </w:p>
        </w:tc>
      </w:tr>
      <w:tr w:rsidR="0094467B" w:rsidRPr="0033698E" w14:paraId="60CCAEE0" w14:textId="77777777" w:rsidTr="00D3615D">
        <w:trPr>
          <w:cantSplit/>
        </w:trPr>
        <w:tc>
          <w:tcPr>
            <w:tcW w:w="1985" w:type="dxa"/>
          </w:tcPr>
          <w:p w14:paraId="4E73C849" w14:textId="77777777" w:rsidR="0094467B" w:rsidRPr="0033698E" w:rsidRDefault="0094467B" w:rsidP="00374EE1">
            <w:pPr>
              <w:pStyle w:val="tbltext"/>
              <w:spacing w:before="80" w:line="200" w:lineRule="atLeast"/>
              <w:rPr>
                <w:b/>
              </w:rPr>
            </w:pPr>
            <w:r w:rsidRPr="0033698E">
              <w:rPr>
                <w:b/>
              </w:rPr>
              <w:t>Index</w:t>
            </w:r>
          </w:p>
        </w:tc>
        <w:tc>
          <w:tcPr>
            <w:tcW w:w="3118" w:type="dxa"/>
          </w:tcPr>
          <w:p w14:paraId="4F2747CA" w14:textId="5B3291D0" w:rsidR="0094467B" w:rsidRPr="0033698E" w:rsidRDefault="0094467B" w:rsidP="00374EE1">
            <w:pPr>
              <w:pStyle w:val="tbltext"/>
              <w:spacing w:before="80" w:line="200" w:lineRule="atLeast"/>
              <w:jc w:val="center"/>
              <w:rPr>
                <w:sz w:val="24"/>
                <w:szCs w:val="24"/>
              </w:rPr>
            </w:pPr>
            <w:r w:rsidRPr="0033698E">
              <w:t xml:space="preserve">8% </w:t>
            </w:r>
            <w:r>
              <w:rPr>
                <w:vertAlign w:val="superscript"/>
              </w:rPr>
              <w:t>1</w:t>
            </w:r>
          </w:p>
        </w:tc>
        <w:tc>
          <w:tcPr>
            <w:tcW w:w="3119" w:type="dxa"/>
          </w:tcPr>
          <w:p w14:paraId="26FE1308" w14:textId="214E2E74" w:rsidR="0094467B" w:rsidRPr="0033698E" w:rsidRDefault="0094467B" w:rsidP="00374EE1">
            <w:pPr>
              <w:pStyle w:val="tbltext"/>
              <w:spacing w:before="80" w:line="200" w:lineRule="atLeast"/>
              <w:jc w:val="center"/>
              <w:rPr>
                <w:sz w:val="24"/>
                <w:szCs w:val="24"/>
              </w:rPr>
            </w:pPr>
            <w:r w:rsidRPr="0033698E">
              <w:t xml:space="preserve">16% </w:t>
            </w:r>
            <w:r>
              <w:rPr>
                <w:vertAlign w:val="superscript"/>
              </w:rPr>
              <w:t>1</w:t>
            </w:r>
          </w:p>
        </w:tc>
      </w:tr>
    </w:tbl>
    <w:p w14:paraId="77FC5648" w14:textId="142A8819" w:rsidR="009B6049" w:rsidRPr="0033698E" w:rsidRDefault="009B6049" w:rsidP="009B6049">
      <w:pPr>
        <w:pStyle w:val="tblnote"/>
        <w:ind w:left="227" w:hanging="227"/>
        <w:rPr>
          <w:rFonts w:cs="Arial"/>
          <w:szCs w:val="16"/>
        </w:rPr>
      </w:pPr>
      <w:r>
        <w:rPr>
          <w:rFonts w:cs="Arial"/>
          <w:szCs w:val="16"/>
        </w:rPr>
        <w:t>1</w:t>
      </w:r>
      <w:r w:rsidRPr="0033698E">
        <w:rPr>
          <w:rFonts w:cs="Arial"/>
          <w:szCs w:val="16"/>
        </w:rPr>
        <w:tab/>
        <w:t xml:space="preserve">For positions not broken down into constituent Equities, otherwise the single Equity percentages apply. </w:t>
      </w:r>
    </w:p>
    <w:p w14:paraId="6266BE1E" w14:textId="39EAC9C6" w:rsidR="00CA2E4E" w:rsidRPr="00203B23" w:rsidRDefault="00CA2E4E" w:rsidP="00CA2E4E">
      <w:pPr>
        <w:pStyle w:val="tabletitlefullwidth"/>
        <w:rPr>
          <w:b w:val="0"/>
        </w:rPr>
      </w:pPr>
      <w:r w:rsidRPr="0033698E">
        <w:t>Table A5.1.2:</w:t>
      </w:r>
      <w:r w:rsidRPr="0033698E">
        <w:tab/>
        <w:t>Debt Position Risk Factors</w:t>
      </w:r>
    </w:p>
    <w:tbl>
      <w:tblPr>
        <w:tblW w:w="9073"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985"/>
        <w:gridCol w:w="1985"/>
        <w:gridCol w:w="1701"/>
        <w:gridCol w:w="1701"/>
        <w:gridCol w:w="1701"/>
      </w:tblGrid>
      <w:tr w:rsidR="00535A9C" w:rsidRPr="0033698E" w14:paraId="4428DFC3" w14:textId="77777777" w:rsidTr="0022464B">
        <w:trPr>
          <w:cantSplit/>
          <w:tblHeader/>
        </w:trPr>
        <w:tc>
          <w:tcPr>
            <w:tcW w:w="3970" w:type="dxa"/>
            <w:gridSpan w:val="2"/>
            <w:shd w:val="clear" w:color="auto" w:fill="C2E3FA"/>
          </w:tcPr>
          <w:p w14:paraId="1A9873A5" w14:textId="77777777" w:rsidR="00535A9C" w:rsidRPr="0033698E" w:rsidRDefault="00535A9C" w:rsidP="0022464B">
            <w:pPr>
              <w:pStyle w:val="tablehead"/>
              <w:spacing w:before="80" w:line="200" w:lineRule="atLeast"/>
              <w:jc w:val="center"/>
            </w:pPr>
            <w:r w:rsidRPr="00BF42AB">
              <w:t>Time Band</w:t>
            </w:r>
          </w:p>
        </w:tc>
        <w:tc>
          <w:tcPr>
            <w:tcW w:w="5103" w:type="dxa"/>
            <w:gridSpan w:val="3"/>
            <w:shd w:val="clear" w:color="auto" w:fill="C2E3FA"/>
          </w:tcPr>
          <w:p w14:paraId="64F87946" w14:textId="77777777" w:rsidR="00535A9C" w:rsidRPr="0033698E" w:rsidRDefault="00535A9C" w:rsidP="0022464B">
            <w:pPr>
              <w:pStyle w:val="tablehead"/>
              <w:spacing w:before="80" w:line="200" w:lineRule="atLeast"/>
              <w:jc w:val="center"/>
            </w:pPr>
            <w:r w:rsidRPr="0033698E">
              <w:t>Position Risk Factors—%</w:t>
            </w:r>
          </w:p>
        </w:tc>
      </w:tr>
      <w:tr w:rsidR="00535A9C" w:rsidRPr="002F65E3" w14:paraId="097C43CD" w14:textId="77777777" w:rsidTr="0022464B">
        <w:trPr>
          <w:cantSplit/>
          <w:tblHeader/>
        </w:trPr>
        <w:tc>
          <w:tcPr>
            <w:tcW w:w="3970" w:type="dxa"/>
            <w:gridSpan w:val="2"/>
            <w:shd w:val="clear" w:color="auto" w:fill="C2E3FA"/>
          </w:tcPr>
          <w:p w14:paraId="6F1D25DC" w14:textId="77777777" w:rsidR="00535A9C" w:rsidRPr="0033698E" w:rsidRDefault="00535A9C" w:rsidP="0022464B">
            <w:pPr>
              <w:pStyle w:val="tablehead"/>
              <w:spacing w:before="80" w:line="200" w:lineRule="atLeast"/>
              <w:jc w:val="center"/>
            </w:pPr>
            <w:r w:rsidRPr="0033698E">
              <w:t>Coupons</w:t>
            </w:r>
          </w:p>
        </w:tc>
        <w:tc>
          <w:tcPr>
            <w:tcW w:w="5103" w:type="dxa"/>
            <w:gridSpan w:val="3"/>
            <w:shd w:val="clear" w:color="auto" w:fill="C2E3FA"/>
          </w:tcPr>
          <w:p w14:paraId="3718C584" w14:textId="77777777" w:rsidR="00535A9C" w:rsidRPr="00052C40" w:rsidRDefault="00535A9C" w:rsidP="0022464B">
            <w:pPr>
              <w:pStyle w:val="tablehead"/>
              <w:spacing w:before="80" w:line="200" w:lineRule="atLeast"/>
              <w:jc w:val="center"/>
            </w:pPr>
            <w:r w:rsidRPr="00052C40">
              <w:t>Standard Method</w:t>
            </w:r>
          </w:p>
        </w:tc>
      </w:tr>
      <w:tr w:rsidR="00535A9C" w:rsidRPr="0033698E" w14:paraId="2560F3AC" w14:textId="77777777" w:rsidTr="0022464B">
        <w:trPr>
          <w:cantSplit/>
          <w:tblHeader/>
        </w:trPr>
        <w:tc>
          <w:tcPr>
            <w:tcW w:w="1985" w:type="dxa"/>
            <w:shd w:val="clear" w:color="auto" w:fill="C2E3FA"/>
          </w:tcPr>
          <w:p w14:paraId="7F41BB74" w14:textId="77777777" w:rsidR="00535A9C" w:rsidRPr="0033698E" w:rsidRDefault="00535A9C" w:rsidP="0022464B">
            <w:pPr>
              <w:pStyle w:val="tablehead"/>
              <w:spacing w:before="80" w:line="200" w:lineRule="atLeast"/>
              <w:rPr>
                <w:sz w:val="24"/>
                <w:szCs w:val="24"/>
              </w:rPr>
            </w:pPr>
            <w:r w:rsidRPr="0033698E">
              <w:rPr>
                <w:rFonts w:ascii="Symbol" w:hAnsi="Symbol"/>
              </w:rPr>
              <w:t></w:t>
            </w:r>
            <w:r w:rsidRPr="0033698E">
              <w:t xml:space="preserve"> 3%</w:t>
            </w:r>
          </w:p>
        </w:tc>
        <w:tc>
          <w:tcPr>
            <w:tcW w:w="1985" w:type="dxa"/>
            <w:shd w:val="clear" w:color="auto" w:fill="C2E3FA"/>
          </w:tcPr>
          <w:p w14:paraId="17C142E2" w14:textId="0CBB1B88" w:rsidR="00535A9C" w:rsidRPr="0033698E" w:rsidRDefault="00535A9C" w:rsidP="0022464B">
            <w:pPr>
              <w:pStyle w:val="tablehead"/>
              <w:spacing w:before="80" w:line="200" w:lineRule="atLeast"/>
              <w:rPr>
                <w:sz w:val="24"/>
                <w:szCs w:val="24"/>
              </w:rPr>
            </w:pPr>
            <w:r w:rsidRPr="0033698E">
              <w:rPr>
                <w:rFonts w:ascii="Symbol" w:hAnsi="Symbol"/>
              </w:rPr>
              <w:t></w:t>
            </w:r>
            <w:r w:rsidRPr="00FB4E7C">
              <w:rPr>
                <w:rFonts w:ascii="Symbol" w:hAnsi="Symbol"/>
              </w:rPr>
              <w:t xml:space="preserve"> </w:t>
            </w:r>
            <w:r w:rsidRPr="0033698E">
              <w:t>3%</w:t>
            </w:r>
            <w:r w:rsidR="00A45D68" w:rsidRPr="0033698E" w:rsidDel="00A45D68">
              <w:t xml:space="preserve"> </w:t>
            </w:r>
            <w:r w:rsidRPr="0033698E">
              <w:t xml:space="preserve">(or </w:t>
            </w:r>
            <w:r w:rsidRPr="00052C40">
              <w:t>Duration Method)</w:t>
            </w:r>
          </w:p>
        </w:tc>
        <w:tc>
          <w:tcPr>
            <w:tcW w:w="1701" w:type="dxa"/>
            <w:shd w:val="clear" w:color="auto" w:fill="C2E3FA"/>
          </w:tcPr>
          <w:p w14:paraId="6C2FA799" w14:textId="77777777" w:rsidR="00535A9C" w:rsidRPr="00052C40" w:rsidRDefault="00535A9C" w:rsidP="0022464B">
            <w:pPr>
              <w:pStyle w:val="tablehead"/>
              <w:spacing w:before="80" w:line="200" w:lineRule="atLeast"/>
              <w:jc w:val="center"/>
              <w:rPr>
                <w:sz w:val="24"/>
                <w:szCs w:val="24"/>
              </w:rPr>
            </w:pPr>
            <w:r w:rsidRPr="00052C40">
              <w:t>Gov’t</w:t>
            </w:r>
          </w:p>
        </w:tc>
        <w:tc>
          <w:tcPr>
            <w:tcW w:w="1701" w:type="dxa"/>
            <w:shd w:val="clear" w:color="auto" w:fill="C2E3FA"/>
          </w:tcPr>
          <w:p w14:paraId="7B3D8E11" w14:textId="77777777" w:rsidR="00535A9C" w:rsidRPr="00052C40" w:rsidRDefault="00535A9C" w:rsidP="0022464B">
            <w:pPr>
              <w:pStyle w:val="tablehead"/>
              <w:spacing w:before="80" w:line="200" w:lineRule="atLeast"/>
              <w:jc w:val="center"/>
              <w:rPr>
                <w:sz w:val="24"/>
                <w:szCs w:val="24"/>
              </w:rPr>
            </w:pPr>
            <w:r w:rsidRPr="00052C40">
              <w:t>Qualifying</w:t>
            </w:r>
          </w:p>
        </w:tc>
        <w:tc>
          <w:tcPr>
            <w:tcW w:w="1701" w:type="dxa"/>
            <w:shd w:val="clear" w:color="auto" w:fill="C2E3FA"/>
          </w:tcPr>
          <w:p w14:paraId="03801B30" w14:textId="77777777" w:rsidR="00535A9C" w:rsidRPr="00052C40" w:rsidRDefault="00535A9C" w:rsidP="0022464B">
            <w:pPr>
              <w:pStyle w:val="tablehead"/>
              <w:spacing w:before="80" w:line="200" w:lineRule="atLeast"/>
              <w:jc w:val="center"/>
              <w:rPr>
                <w:sz w:val="24"/>
                <w:szCs w:val="24"/>
              </w:rPr>
            </w:pPr>
            <w:r w:rsidRPr="00052C40">
              <w:t>Other</w:t>
            </w:r>
          </w:p>
        </w:tc>
      </w:tr>
      <w:tr w:rsidR="00535A9C" w:rsidRPr="0033698E" w14:paraId="208D62AD" w14:textId="77777777" w:rsidTr="0022464B">
        <w:trPr>
          <w:cantSplit/>
        </w:trPr>
        <w:tc>
          <w:tcPr>
            <w:tcW w:w="1985" w:type="dxa"/>
          </w:tcPr>
          <w:p w14:paraId="1370C529" w14:textId="77777777" w:rsidR="00535A9C" w:rsidRPr="0033698E" w:rsidRDefault="00535A9C" w:rsidP="0022464B">
            <w:pPr>
              <w:pStyle w:val="tbltext"/>
              <w:spacing w:before="80" w:line="200" w:lineRule="atLeast"/>
              <w:rPr>
                <w:b/>
                <w:sz w:val="24"/>
                <w:szCs w:val="24"/>
              </w:rPr>
            </w:pPr>
            <w:r w:rsidRPr="0033698E">
              <w:rPr>
                <w:b/>
              </w:rPr>
              <w:t>0–1 mth</w:t>
            </w:r>
          </w:p>
        </w:tc>
        <w:tc>
          <w:tcPr>
            <w:tcW w:w="1985" w:type="dxa"/>
          </w:tcPr>
          <w:p w14:paraId="684867CB" w14:textId="77777777" w:rsidR="00535A9C" w:rsidRPr="0033698E" w:rsidRDefault="00535A9C" w:rsidP="0022464B">
            <w:pPr>
              <w:pStyle w:val="tbltext"/>
              <w:spacing w:before="80" w:line="200" w:lineRule="atLeast"/>
              <w:rPr>
                <w:b/>
                <w:sz w:val="24"/>
                <w:szCs w:val="24"/>
              </w:rPr>
            </w:pPr>
            <w:r w:rsidRPr="0033698E">
              <w:rPr>
                <w:b/>
              </w:rPr>
              <w:t>0–1 mth</w:t>
            </w:r>
          </w:p>
        </w:tc>
        <w:tc>
          <w:tcPr>
            <w:tcW w:w="1701" w:type="dxa"/>
          </w:tcPr>
          <w:p w14:paraId="3CC2D5E6" w14:textId="77777777" w:rsidR="00535A9C" w:rsidRPr="0033698E" w:rsidRDefault="00535A9C" w:rsidP="0022464B">
            <w:pPr>
              <w:pStyle w:val="tbltext"/>
              <w:spacing w:before="80" w:line="200" w:lineRule="atLeast"/>
              <w:jc w:val="right"/>
              <w:rPr>
                <w:sz w:val="24"/>
                <w:szCs w:val="24"/>
              </w:rPr>
            </w:pPr>
            <w:r w:rsidRPr="0033698E">
              <w:t>0.00</w:t>
            </w:r>
          </w:p>
        </w:tc>
        <w:tc>
          <w:tcPr>
            <w:tcW w:w="1701" w:type="dxa"/>
          </w:tcPr>
          <w:p w14:paraId="1994BBC3" w14:textId="77777777" w:rsidR="00535A9C" w:rsidRPr="0033698E" w:rsidRDefault="00535A9C" w:rsidP="0022464B">
            <w:pPr>
              <w:pStyle w:val="tbltext"/>
              <w:spacing w:before="80" w:line="200" w:lineRule="atLeast"/>
              <w:jc w:val="right"/>
              <w:rPr>
                <w:sz w:val="24"/>
                <w:szCs w:val="24"/>
              </w:rPr>
            </w:pPr>
            <w:r w:rsidRPr="0033698E">
              <w:t>0.25</w:t>
            </w:r>
          </w:p>
        </w:tc>
        <w:tc>
          <w:tcPr>
            <w:tcW w:w="1701" w:type="dxa"/>
          </w:tcPr>
          <w:p w14:paraId="79F3EE32" w14:textId="77777777" w:rsidR="00535A9C" w:rsidRPr="0033698E" w:rsidRDefault="00535A9C" w:rsidP="0022464B">
            <w:pPr>
              <w:pStyle w:val="tbltext"/>
              <w:spacing w:before="80" w:line="200" w:lineRule="atLeast"/>
              <w:jc w:val="right"/>
              <w:rPr>
                <w:sz w:val="24"/>
                <w:szCs w:val="24"/>
              </w:rPr>
            </w:pPr>
            <w:r w:rsidRPr="0033698E">
              <w:t>8.00</w:t>
            </w:r>
          </w:p>
        </w:tc>
      </w:tr>
      <w:tr w:rsidR="00535A9C" w:rsidRPr="0033698E" w14:paraId="685C84E0" w14:textId="77777777" w:rsidTr="0022464B">
        <w:trPr>
          <w:cantSplit/>
        </w:trPr>
        <w:tc>
          <w:tcPr>
            <w:tcW w:w="1985" w:type="dxa"/>
          </w:tcPr>
          <w:p w14:paraId="6B0F3F6B" w14:textId="77777777" w:rsidR="00535A9C" w:rsidRPr="0033698E" w:rsidRDefault="00535A9C" w:rsidP="0022464B">
            <w:pPr>
              <w:pStyle w:val="tbltext"/>
              <w:spacing w:before="80" w:line="200" w:lineRule="atLeast"/>
              <w:rPr>
                <w:b/>
                <w:sz w:val="24"/>
                <w:szCs w:val="24"/>
              </w:rPr>
            </w:pPr>
            <w:r w:rsidRPr="0033698E">
              <w:rPr>
                <w:b/>
              </w:rPr>
              <w:t>1</w:t>
            </w:r>
            <w:r w:rsidRPr="0033698E">
              <w:rPr>
                <w:b/>
                <w:lang w:val="en-US"/>
              </w:rPr>
              <w:t>–</w:t>
            </w:r>
            <w:r w:rsidRPr="0033698E">
              <w:rPr>
                <w:b/>
              </w:rPr>
              <w:t>3 mths</w:t>
            </w:r>
          </w:p>
        </w:tc>
        <w:tc>
          <w:tcPr>
            <w:tcW w:w="1985" w:type="dxa"/>
          </w:tcPr>
          <w:p w14:paraId="4300CB08" w14:textId="77777777" w:rsidR="00535A9C" w:rsidRPr="0033698E" w:rsidRDefault="00535A9C" w:rsidP="0022464B">
            <w:pPr>
              <w:pStyle w:val="tbltext"/>
              <w:spacing w:before="80" w:line="200" w:lineRule="atLeast"/>
              <w:rPr>
                <w:b/>
                <w:sz w:val="24"/>
                <w:szCs w:val="24"/>
              </w:rPr>
            </w:pPr>
            <w:r w:rsidRPr="0033698E">
              <w:rPr>
                <w:b/>
              </w:rPr>
              <w:t>&gt; 1</w:t>
            </w:r>
            <w:r w:rsidRPr="0033698E">
              <w:rPr>
                <w:b/>
                <w:lang w:val="en-US"/>
              </w:rPr>
              <w:t>–</w:t>
            </w:r>
            <w:r w:rsidRPr="0033698E">
              <w:rPr>
                <w:b/>
              </w:rPr>
              <w:t>3 mths</w:t>
            </w:r>
          </w:p>
        </w:tc>
        <w:tc>
          <w:tcPr>
            <w:tcW w:w="1701" w:type="dxa"/>
          </w:tcPr>
          <w:p w14:paraId="1079BF9C" w14:textId="77777777" w:rsidR="00535A9C" w:rsidRPr="0033698E" w:rsidRDefault="00535A9C" w:rsidP="0022464B">
            <w:pPr>
              <w:pStyle w:val="tbltext"/>
              <w:spacing w:before="80" w:line="200" w:lineRule="atLeast"/>
              <w:jc w:val="right"/>
              <w:rPr>
                <w:sz w:val="24"/>
                <w:szCs w:val="24"/>
              </w:rPr>
            </w:pPr>
            <w:r w:rsidRPr="0033698E">
              <w:t>0.20</w:t>
            </w:r>
          </w:p>
        </w:tc>
        <w:tc>
          <w:tcPr>
            <w:tcW w:w="1701" w:type="dxa"/>
          </w:tcPr>
          <w:p w14:paraId="29B88503" w14:textId="77777777" w:rsidR="00535A9C" w:rsidRPr="0033698E" w:rsidRDefault="00535A9C" w:rsidP="0022464B">
            <w:pPr>
              <w:pStyle w:val="tbltext"/>
              <w:spacing w:before="80" w:line="200" w:lineRule="atLeast"/>
              <w:jc w:val="right"/>
              <w:rPr>
                <w:sz w:val="24"/>
                <w:szCs w:val="24"/>
              </w:rPr>
            </w:pPr>
            <w:r w:rsidRPr="0033698E">
              <w:t>0.45</w:t>
            </w:r>
          </w:p>
        </w:tc>
        <w:tc>
          <w:tcPr>
            <w:tcW w:w="1701" w:type="dxa"/>
          </w:tcPr>
          <w:p w14:paraId="26D3868E" w14:textId="77777777" w:rsidR="00535A9C" w:rsidRPr="0033698E" w:rsidRDefault="00535A9C" w:rsidP="0022464B">
            <w:pPr>
              <w:pStyle w:val="tbltext"/>
              <w:spacing w:before="80" w:line="200" w:lineRule="atLeast"/>
              <w:jc w:val="right"/>
              <w:rPr>
                <w:sz w:val="24"/>
                <w:szCs w:val="24"/>
              </w:rPr>
            </w:pPr>
            <w:r w:rsidRPr="0033698E">
              <w:t>8.20</w:t>
            </w:r>
          </w:p>
        </w:tc>
      </w:tr>
      <w:tr w:rsidR="00535A9C" w:rsidRPr="0033698E" w14:paraId="4992D938" w14:textId="77777777" w:rsidTr="0022464B">
        <w:trPr>
          <w:cantSplit/>
        </w:trPr>
        <w:tc>
          <w:tcPr>
            <w:tcW w:w="1985" w:type="dxa"/>
          </w:tcPr>
          <w:p w14:paraId="40626788" w14:textId="77777777" w:rsidR="00535A9C" w:rsidRPr="0033698E" w:rsidRDefault="00535A9C" w:rsidP="0022464B">
            <w:pPr>
              <w:pStyle w:val="tbltext"/>
              <w:spacing w:before="80" w:line="200" w:lineRule="atLeast"/>
              <w:rPr>
                <w:b/>
                <w:sz w:val="24"/>
                <w:szCs w:val="24"/>
              </w:rPr>
            </w:pPr>
            <w:r w:rsidRPr="0033698E">
              <w:rPr>
                <w:b/>
                <w:lang w:val="en-GB"/>
              </w:rPr>
              <w:t>&gt; 3</w:t>
            </w:r>
            <w:r w:rsidRPr="0033698E">
              <w:rPr>
                <w:b/>
                <w:lang w:val="en-US"/>
              </w:rPr>
              <w:t>–</w:t>
            </w:r>
            <w:r w:rsidRPr="0033698E">
              <w:rPr>
                <w:b/>
                <w:lang w:val="en-GB"/>
              </w:rPr>
              <w:t>6 mths</w:t>
            </w:r>
          </w:p>
        </w:tc>
        <w:tc>
          <w:tcPr>
            <w:tcW w:w="1985" w:type="dxa"/>
          </w:tcPr>
          <w:p w14:paraId="1A2AA44D" w14:textId="77777777" w:rsidR="00535A9C" w:rsidRPr="0033698E" w:rsidRDefault="00535A9C" w:rsidP="0022464B">
            <w:pPr>
              <w:pStyle w:val="tbltext"/>
              <w:spacing w:before="80" w:line="200" w:lineRule="atLeast"/>
              <w:rPr>
                <w:b/>
                <w:sz w:val="24"/>
                <w:szCs w:val="24"/>
              </w:rPr>
            </w:pPr>
            <w:r w:rsidRPr="0033698E">
              <w:rPr>
                <w:b/>
                <w:lang w:val="en-US"/>
              </w:rPr>
              <w:t>&gt; 3–6 mths</w:t>
            </w:r>
          </w:p>
        </w:tc>
        <w:tc>
          <w:tcPr>
            <w:tcW w:w="1701" w:type="dxa"/>
          </w:tcPr>
          <w:p w14:paraId="70EDD3EB" w14:textId="77777777" w:rsidR="00535A9C" w:rsidRPr="0033698E" w:rsidRDefault="00535A9C" w:rsidP="0022464B">
            <w:pPr>
              <w:pStyle w:val="tbltext"/>
              <w:spacing w:before="80" w:line="200" w:lineRule="atLeast"/>
              <w:jc w:val="right"/>
              <w:rPr>
                <w:sz w:val="24"/>
                <w:szCs w:val="24"/>
              </w:rPr>
            </w:pPr>
            <w:r w:rsidRPr="0033698E">
              <w:t>0.40</w:t>
            </w:r>
          </w:p>
        </w:tc>
        <w:tc>
          <w:tcPr>
            <w:tcW w:w="1701" w:type="dxa"/>
          </w:tcPr>
          <w:p w14:paraId="6EE7D62E" w14:textId="77777777" w:rsidR="00535A9C" w:rsidRPr="0033698E" w:rsidRDefault="00535A9C" w:rsidP="0022464B">
            <w:pPr>
              <w:pStyle w:val="tbltext"/>
              <w:spacing w:before="80" w:line="200" w:lineRule="atLeast"/>
              <w:jc w:val="right"/>
              <w:rPr>
                <w:sz w:val="24"/>
                <w:szCs w:val="24"/>
              </w:rPr>
            </w:pPr>
            <w:r w:rsidRPr="0033698E">
              <w:t>0.65</w:t>
            </w:r>
          </w:p>
        </w:tc>
        <w:tc>
          <w:tcPr>
            <w:tcW w:w="1701" w:type="dxa"/>
          </w:tcPr>
          <w:p w14:paraId="4F108DA2" w14:textId="77777777" w:rsidR="00535A9C" w:rsidRPr="0033698E" w:rsidRDefault="00535A9C" w:rsidP="0022464B">
            <w:pPr>
              <w:pStyle w:val="tbltext"/>
              <w:spacing w:before="80" w:line="200" w:lineRule="atLeast"/>
              <w:jc w:val="right"/>
              <w:rPr>
                <w:sz w:val="24"/>
                <w:szCs w:val="24"/>
              </w:rPr>
            </w:pPr>
            <w:r w:rsidRPr="0033698E">
              <w:t>8.40</w:t>
            </w:r>
          </w:p>
        </w:tc>
      </w:tr>
      <w:tr w:rsidR="00535A9C" w:rsidRPr="0033698E" w14:paraId="6C787748" w14:textId="77777777" w:rsidTr="0022464B">
        <w:trPr>
          <w:cantSplit/>
        </w:trPr>
        <w:tc>
          <w:tcPr>
            <w:tcW w:w="1985" w:type="dxa"/>
            <w:tcBorders>
              <w:bottom w:val="single" w:sz="4" w:space="0" w:color="auto"/>
            </w:tcBorders>
          </w:tcPr>
          <w:p w14:paraId="21A41D73" w14:textId="77777777" w:rsidR="00535A9C" w:rsidRPr="0033698E" w:rsidRDefault="00535A9C" w:rsidP="0022464B">
            <w:pPr>
              <w:pStyle w:val="tbltext"/>
              <w:spacing w:before="80" w:line="200" w:lineRule="atLeast"/>
              <w:rPr>
                <w:b/>
                <w:sz w:val="24"/>
                <w:szCs w:val="24"/>
              </w:rPr>
            </w:pPr>
            <w:r w:rsidRPr="0033698E">
              <w:rPr>
                <w:b/>
                <w:lang w:val="en-US"/>
              </w:rPr>
              <w:t>&gt; 6–12 mths</w:t>
            </w:r>
          </w:p>
        </w:tc>
        <w:tc>
          <w:tcPr>
            <w:tcW w:w="1985" w:type="dxa"/>
            <w:tcBorders>
              <w:bottom w:val="single" w:sz="4" w:space="0" w:color="auto"/>
            </w:tcBorders>
          </w:tcPr>
          <w:p w14:paraId="300A9208" w14:textId="77777777" w:rsidR="00535A9C" w:rsidRPr="0033698E" w:rsidRDefault="00535A9C" w:rsidP="0022464B">
            <w:pPr>
              <w:pStyle w:val="tbltext"/>
              <w:spacing w:before="80" w:line="200" w:lineRule="atLeast"/>
              <w:rPr>
                <w:b/>
                <w:sz w:val="24"/>
                <w:szCs w:val="24"/>
              </w:rPr>
            </w:pPr>
            <w:r w:rsidRPr="0033698E">
              <w:rPr>
                <w:b/>
                <w:lang w:val="en-US"/>
              </w:rPr>
              <w:t>&gt; 6–12 mths</w:t>
            </w:r>
          </w:p>
        </w:tc>
        <w:tc>
          <w:tcPr>
            <w:tcW w:w="1701" w:type="dxa"/>
            <w:tcBorders>
              <w:bottom w:val="single" w:sz="4" w:space="0" w:color="auto"/>
            </w:tcBorders>
          </w:tcPr>
          <w:p w14:paraId="2090FACD" w14:textId="77777777" w:rsidR="00535A9C" w:rsidRPr="0033698E" w:rsidRDefault="00535A9C" w:rsidP="0022464B">
            <w:pPr>
              <w:pStyle w:val="tbltext"/>
              <w:spacing w:before="80" w:line="200" w:lineRule="atLeast"/>
              <w:jc w:val="right"/>
              <w:rPr>
                <w:sz w:val="24"/>
                <w:szCs w:val="24"/>
              </w:rPr>
            </w:pPr>
            <w:r w:rsidRPr="0033698E">
              <w:t>0.70</w:t>
            </w:r>
          </w:p>
        </w:tc>
        <w:tc>
          <w:tcPr>
            <w:tcW w:w="1701" w:type="dxa"/>
            <w:tcBorders>
              <w:bottom w:val="single" w:sz="4" w:space="0" w:color="auto"/>
            </w:tcBorders>
          </w:tcPr>
          <w:p w14:paraId="74F23F4B" w14:textId="77777777" w:rsidR="00535A9C" w:rsidRPr="0033698E" w:rsidRDefault="00535A9C" w:rsidP="0022464B">
            <w:pPr>
              <w:pStyle w:val="tbltext"/>
              <w:spacing w:before="80" w:line="200" w:lineRule="atLeast"/>
              <w:jc w:val="right"/>
              <w:rPr>
                <w:sz w:val="24"/>
                <w:szCs w:val="24"/>
              </w:rPr>
            </w:pPr>
            <w:r w:rsidRPr="0033698E">
              <w:t>1.70</w:t>
            </w:r>
          </w:p>
        </w:tc>
        <w:tc>
          <w:tcPr>
            <w:tcW w:w="1701" w:type="dxa"/>
            <w:tcBorders>
              <w:bottom w:val="single" w:sz="4" w:space="0" w:color="auto"/>
            </w:tcBorders>
          </w:tcPr>
          <w:p w14:paraId="0C7322A0" w14:textId="77777777" w:rsidR="00535A9C" w:rsidRPr="0033698E" w:rsidRDefault="00535A9C" w:rsidP="0022464B">
            <w:pPr>
              <w:pStyle w:val="tbltext"/>
              <w:spacing w:before="80" w:line="200" w:lineRule="atLeast"/>
              <w:jc w:val="right"/>
              <w:rPr>
                <w:sz w:val="24"/>
                <w:szCs w:val="24"/>
              </w:rPr>
            </w:pPr>
            <w:r w:rsidRPr="0033698E">
              <w:t>8.70</w:t>
            </w:r>
          </w:p>
        </w:tc>
      </w:tr>
      <w:tr w:rsidR="00535A9C" w:rsidRPr="0033698E" w14:paraId="39E129BD" w14:textId="77777777" w:rsidTr="0022464B">
        <w:trPr>
          <w:cantSplit/>
        </w:trPr>
        <w:tc>
          <w:tcPr>
            <w:tcW w:w="1985" w:type="dxa"/>
            <w:tcBorders>
              <w:top w:val="single" w:sz="4" w:space="0" w:color="auto"/>
            </w:tcBorders>
          </w:tcPr>
          <w:p w14:paraId="648507C1" w14:textId="68D1D5A0" w:rsidR="00535A9C" w:rsidRPr="0033698E" w:rsidRDefault="00535A9C" w:rsidP="0022464B">
            <w:pPr>
              <w:pStyle w:val="tbltext"/>
              <w:spacing w:before="80" w:line="200" w:lineRule="atLeast"/>
              <w:rPr>
                <w:b/>
                <w:sz w:val="24"/>
                <w:szCs w:val="24"/>
              </w:rPr>
            </w:pPr>
            <w:r>
              <w:rPr>
                <w:b/>
                <w:lang w:val="en-US"/>
              </w:rPr>
              <w:t>1</w:t>
            </w:r>
            <w:r w:rsidR="008751EC" w:rsidRPr="0033698E">
              <w:rPr>
                <w:b/>
                <w:lang w:val="en-US"/>
              </w:rPr>
              <w:t>–</w:t>
            </w:r>
            <w:r w:rsidRPr="0033698E">
              <w:rPr>
                <w:b/>
                <w:lang w:val="en-US"/>
              </w:rPr>
              <w:t>2 yrs</w:t>
            </w:r>
          </w:p>
        </w:tc>
        <w:tc>
          <w:tcPr>
            <w:tcW w:w="1985" w:type="dxa"/>
            <w:tcBorders>
              <w:top w:val="single" w:sz="4" w:space="0" w:color="auto"/>
            </w:tcBorders>
          </w:tcPr>
          <w:p w14:paraId="5E876807" w14:textId="77777777" w:rsidR="00535A9C" w:rsidRPr="0033698E" w:rsidRDefault="00535A9C" w:rsidP="0022464B">
            <w:pPr>
              <w:pStyle w:val="tbltext"/>
              <w:spacing w:before="80" w:line="200" w:lineRule="atLeast"/>
              <w:rPr>
                <w:b/>
                <w:sz w:val="24"/>
                <w:szCs w:val="24"/>
              </w:rPr>
            </w:pPr>
            <w:r w:rsidRPr="0033698E">
              <w:rPr>
                <w:b/>
                <w:lang w:val="en-US"/>
              </w:rPr>
              <w:t>&gt; 1–1.9 yrs</w:t>
            </w:r>
          </w:p>
        </w:tc>
        <w:tc>
          <w:tcPr>
            <w:tcW w:w="1701" w:type="dxa"/>
            <w:tcBorders>
              <w:top w:val="single" w:sz="4" w:space="0" w:color="auto"/>
            </w:tcBorders>
          </w:tcPr>
          <w:p w14:paraId="0BAECA7C" w14:textId="77777777" w:rsidR="00535A9C" w:rsidRPr="0033698E" w:rsidRDefault="00535A9C" w:rsidP="0022464B">
            <w:pPr>
              <w:pStyle w:val="tbltext"/>
              <w:spacing w:before="80" w:line="200" w:lineRule="atLeast"/>
              <w:jc w:val="right"/>
              <w:rPr>
                <w:sz w:val="24"/>
                <w:szCs w:val="24"/>
              </w:rPr>
            </w:pPr>
            <w:r w:rsidRPr="0033698E">
              <w:t>1.25</w:t>
            </w:r>
          </w:p>
        </w:tc>
        <w:tc>
          <w:tcPr>
            <w:tcW w:w="1701" w:type="dxa"/>
            <w:tcBorders>
              <w:top w:val="single" w:sz="4" w:space="0" w:color="auto"/>
            </w:tcBorders>
          </w:tcPr>
          <w:p w14:paraId="4B9AA6C7" w14:textId="77777777" w:rsidR="00535A9C" w:rsidRPr="0033698E" w:rsidRDefault="00535A9C" w:rsidP="0022464B">
            <w:pPr>
              <w:pStyle w:val="tbltext"/>
              <w:spacing w:before="80" w:line="200" w:lineRule="atLeast"/>
              <w:jc w:val="right"/>
              <w:rPr>
                <w:sz w:val="24"/>
                <w:szCs w:val="24"/>
              </w:rPr>
            </w:pPr>
            <w:r w:rsidRPr="0033698E">
              <w:t>2.25</w:t>
            </w:r>
          </w:p>
        </w:tc>
        <w:tc>
          <w:tcPr>
            <w:tcW w:w="1701" w:type="dxa"/>
            <w:tcBorders>
              <w:top w:val="single" w:sz="4" w:space="0" w:color="auto"/>
            </w:tcBorders>
          </w:tcPr>
          <w:p w14:paraId="06FCEED2" w14:textId="77777777" w:rsidR="00535A9C" w:rsidRPr="0033698E" w:rsidRDefault="00535A9C" w:rsidP="0022464B">
            <w:pPr>
              <w:pStyle w:val="tbltext"/>
              <w:spacing w:before="80" w:line="200" w:lineRule="atLeast"/>
              <w:jc w:val="right"/>
              <w:rPr>
                <w:sz w:val="24"/>
                <w:szCs w:val="24"/>
              </w:rPr>
            </w:pPr>
            <w:r w:rsidRPr="0033698E">
              <w:t>9.25</w:t>
            </w:r>
          </w:p>
        </w:tc>
      </w:tr>
      <w:tr w:rsidR="00535A9C" w:rsidRPr="0033698E" w14:paraId="22AA98D1" w14:textId="77777777" w:rsidTr="0022464B">
        <w:trPr>
          <w:cantSplit/>
        </w:trPr>
        <w:tc>
          <w:tcPr>
            <w:tcW w:w="1985" w:type="dxa"/>
          </w:tcPr>
          <w:p w14:paraId="0E0B079D" w14:textId="77777777" w:rsidR="00535A9C" w:rsidRPr="0033698E" w:rsidRDefault="00535A9C" w:rsidP="0022464B">
            <w:pPr>
              <w:pStyle w:val="tbltext"/>
              <w:spacing w:before="80" w:line="200" w:lineRule="atLeast"/>
              <w:rPr>
                <w:b/>
                <w:sz w:val="24"/>
                <w:szCs w:val="24"/>
              </w:rPr>
            </w:pPr>
            <w:r w:rsidRPr="0033698E">
              <w:rPr>
                <w:b/>
                <w:lang w:val="en-US"/>
              </w:rPr>
              <w:t>&gt; 2–3 yrs</w:t>
            </w:r>
          </w:p>
        </w:tc>
        <w:tc>
          <w:tcPr>
            <w:tcW w:w="1985" w:type="dxa"/>
          </w:tcPr>
          <w:p w14:paraId="582FBE3E" w14:textId="77777777" w:rsidR="00535A9C" w:rsidRPr="0033698E" w:rsidRDefault="00535A9C" w:rsidP="0022464B">
            <w:pPr>
              <w:pStyle w:val="tbltext"/>
              <w:spacing w:before="80" w:line="200" w:lineRule="atLeast"/>
              <w:rPr>
                <w:b/>
                <w:sz w:val="24"/>
                <w:szCs w:val="24"/>
              </w:rPr>
            </w:pPr>
            <w:r w:rsidRPr="0033698E">
              <w:rPr>
                <w:b/>
                <w:lang w:val="en-US"/>
              </w:rPr>
              <w:t>&gt; 1.9–2.8 yrs</w:t>
            </w:r>
          </w:p>
        </w:tc>
        <w:tc>
          <w:tcPr>
            <w:tcW w:w="1701" w:type="dxa"/>
          </w:tcPr>
          <w:p w14:paraId="3AA230CF" w14:textId="77777777" w:rsidR="00535A9C" w:rsidRPr="0033698E" w:rsidRDefault="00535A9C" w:rsidP="0022464B">
            <w:pPr>
              <w:pStyle w:val="tbltext"/>
              <w:spacing w:before="80" w:line="200" w:lineRule="atLeast"/>
              <w:jc w:val="right"/>
              <w:rPr>
                <w:sz w:val="24"/>
                <w:szCs w:val="24"/>
              </w:rPr>
            </w:pPr>
            <w:r w:rsidRPr="0033698E">
              <w:t>1.75</w:t>
            </w:r>
          </w:p>
        </w:tc>
        <w:tc>
          <w:tcPr>
            <w:tcW w:w="1701" w:type="dxa"/>
          </w:tcPr>
          <w:p w14:paraId="7B373855" w14:textId="77777777" w:rsidR="00535A9C" w:rsidRPr="0033698E" w:rsidRDefault="00535A9C" w:rsidP="0022464B">
            <w:pPr>
              <w:pStyle w:val="tbltext"/>
              <w:spacing w:before="80" w:line="200" w:lineRule="atLeast"/>
              <w:jc w:val="right"/>
              <w:rPr>
                <w:sz w:val="24"/>
                <w:szCs w:val="24"/>
              </w:rPr>
            </w:pPr>
            <w:r w:rsidRPr="0033698E">
              <w:t>3.35</w:t>
            </w:r>
          </w:p>
        </w:tc>
        <w:tc>
          <w:tcPr>
            <w:tcW w:w="1701" w:type="dxa"/>
          </w:tcPr>
          <w:p w14:paraId="10790B7E" w14:textId="77777777" w:rsidR="00535A9C" w:rsidRPr="0033698E" w:rsidRDefault="00535A9C" w:rsidP="0022464B">
            <w:pPr>
              <w:pStyle w:val="tbltext"/>
              <w:spacing w:before="80" w:line="200" w:lineRule="atLeast"/>
              <w:jc w:val="right"/>
              <w:rPr>
                <w:sz w:val="24"/>
                <w:szCs w:val="24"/>
              </w:rPr>
            </w:pPr>
            <w:r w:rsidRPr="0033698E">
              <w:t>9.75</w:t>
            </w:r>
          </w:p>
        </w:tc>
      </w:tr>
      <w:tr w:rsidR="00535A9C" w:rsidRPr="0033698E" w14:paraId="3D190BAD" w14:textId="77777777" w:rsidTr="0022464B">
        <w:trPr>
          <w:cantSplit/>
        </w:trPr>
        <w:tc>
          <w:tcPr>
            <w:tcW w:w="1985" w:type="dxa"/>
            <w:tcBorders>
              <w:bottom w:val="single" w:sz="4" w:space="0" w:color="auto"/>
            </w:tcBorders>
          </w:tcPr>
          <w:p w14:paraId="05B548CB" w14:textId="77777777" w:rsidR="00535A9C" w:rsidRPr="0033698E" w:rsidRDefault="00535A9C" w:rsidP="0022464B">
            <w:pPr>
              <w:pStyle w:val="tbltext"/>
              <w:spacing w:before="80" w:line="200" w:lineRule="atLeast"/>
              <w:rPr>
                <w:b/>
                <w:sz w:val="24"/>
                <w:szCs w:val="24"/>
              </w:rPr>
            </w:pPr>
            <w:r w:rsidRPr="0033698E">
              <w:rPr>
                <w:b/>
                <w:lang w:val="en-US"/>
              </w:rPr>
              <w:t>&gt; 3–4 yrs</w:t>
            </w:r>
          </w:p>
        </w:tc>
        <w:tc>
          <w:tcPr>
            <w:tcW w:w="1985" w:type="dxa"/>
            <w:tcBorders>
              <w:bottom w:val="single" w:sz="4" w:space="0" w:color="auto"/>
            </w:tcBorders>
          </w:tcPr>
          <w:p w14:paraId="16B6566F" w14:textId="77777777" w:rsidR="00535A9C" w:rsidRPr="0033698E" w:rsidRDefault="00535A9C" w:rsidP="0022464B">
            <w:pPr>
              <w:pStyle w:val="tbltext"/>
              <w:spacing w:before="80" w:line="200" w:lineRule="atLeast"/>
              <w:rPr>
                <w:b/>
                <w:sz w:val="24"/>
                <w:szCs w:val="24"/>
              </w:rPr>
            </w:pPr>
            <w:r w:rsidRPr="0033698E">
              <w:rPr>
                <w:b/>
                <w:lang w:val="en-US"/>
              </w:rPr>
              <w:t>&gt; 2.8–3.6 yrs</w:t>
            </w:r>
          </w:p>
        </w:tc>
        <w:tc>
          <w:tcPr>
            <w:tcW w:w="1701" w:type="dxa"/>
            <w:tcBorders>
              <w:bottom w:val="single" w:sz="4" w:space="0" w:color="auto"/>
            </w:tcBorders>
          </w:tcPr>
          <w:p w14:paraId="6C1EAD20" w14:textId="77777777" w:rsidR="00535A9C" w:rsidRPr="0033698E" w:rsidRDefault="00535A9C" w:rsidP="0022464B">
            <w:pPr>
              <w:pStyle w:val="tbltext"/>
              <w:spacing w:before="80" w:line="200" w:lineRule="atLeast"/>
              <w:jc w:val="right"/>
              <w:rPr>
                <w:sz w:val="24"/>
                <w:szCs w:val="24"/>
              </w:rPr>
            </w:pPr>
            <w:r w:rsidRPr="0033698E">
              <w:t>2.25</w:t>
            </w:r>
          </w:p>
        </w:tc>
        <w:tc>
          <w:tcPr>
            <w:tcW w:w="1701" w:type="dxa"/>
            <w:tcBorders>
              <w:bottom w:val="single" w:sz="4" w:space="0" w:color="auto"/>
            </w:tcBorders>
          </w:tcPr>
          <w:p w14:paraId="6FE4856E" w14:textId="77777777" w:rsidR="00535A9C" w:rsidRPr="0033698E" w:rsidRDefault="00535A9C" w:rsidP="0022464B">
            <w:pPr>
              <w:pStyle w:val="tbltext"/>
              <w:spacing w:before="80" w:line="200" w:lineRule="atLeast"/>
              <w:jc w:val="right"/>
              <w:rPr>
                <w:sz w:val="24"/>
                <w:szCs w:val="24"/>
              </w:rPr>
            </w:pPr>
            <w:r w:rsidRPr="0033698E">
              <w:t>3.85</w:t>
            </w:r>
          </w:p>
        </w:tc>
        <w:tc>
          <w:tcPr>
            <w:tcW w:w="1701" w:type="dxa"/>
            <w:tcBorders>
              <w:bottom w:val="single" w:sz="4" w:space="0" w:color="auto"/>
            </w:tcBorders>
          </w:tcPr>
          <w:p w14:paraId="2CDFC0E0" w14:textId="77777777" w:rsidR="00535A9C" w:rsidRPr="0033698E" w:rsidRDefault="00535A9C" w:rsidP="0022464B">
            <w:pPr>
              <w:pStyle w:val="tbltext"/>
              <w:spacing w:before="80" w:line="200" w:lineRule="atLeast"/>
              <w:jc w:val="right"/>
              <w:rPr>
                <w:sz w:val="24"/>
                <w:szCs w:val="24"/>
              </w:rPr>
            </w:pPr>
            <w:r w:rsidRPr="0033698E">
              <w:t>10.25</w:t>
            </w:r>
          </w:p>
        </w:tc>
      </w:tr>
      <w:tr w:rsidR="00535A9C" w:rsidRPr="0033698E" w14:paraId="24CBD61F" w14:textId="77777777" w:rsidTr="0022464B">
        <w:trPr>
          <w:cantSplit/>
        </w:trPr>
        <w:tc>
          <w:tcPr>
            <w:tcW w:w="1985" w:type="dxa"/>
            <w:tcBorders>
              <w:top w:val="single" w:sz="4" w:space="0" w:color="auto"/>
            </w:tcBorders>
          </w:tcPr>
          <w:p w14:paraId="04E1B79B" w14:textId="77777777" w:rsidR="00535A9C" w:rsidRPr="0033698E" w:rsidRDefault="00535A9C" w:rsidP="0022464B">
            <w:pPr>
              <w:pStyle w:val="tbltext"/>
              <w:spacing w:before="80" w:line="200" w:lineRule="atLeast"/>
              <w:rPr>
                <w:b/>
                <w:sz w:val="24"/>
                <w:szCs w:val="24"/>
              </w:rPr>
            </w:pPr>
            <w:r w:rsidRPr="0033698E">
              <w:rPr>
                <w:b/>
                <w:lang w:val="en-US"/>
              </w:rPr>
              <w:t>&gt; 4–5 yrs</w:t>
            </w:r>
          </w:p>
        </w:tc>
        <w:tc>
          <w:tcPr>
            <w:tcW w:w="1985" w:type="dxa"/>
            <w:tcBorders>
              <w:top w:val="single" w:sz="4" w:space="0" w:color="auto"/>
            </w:tcBorders>
          </w:tcPr>
          <w:p w14:paraId="624D5AEC" w14:textId="77777777" w:rsidR="00535A9C" w:rsidRPr="0033698E" w:rsidRDefault="00535A9C" w:rsidP="0022464B">
            <w:pPr>
              <w:pStyle w:val="tbltext"/>
              <w:spacing w:before="80" w:line="200" w:lineRule="atLeast"/>
              <w:rPr>
                <w:b/>
                <w:sz w:val="24"/>
                <w:szCs w:val="24"/>
              </w:rPr>
            </w:pPr>
            <w:r w:rsidRPr="0033698E">
              <w:rPr>
                <w:b/>
                <w:lang w:val="en-US"/>
              </w:rPr>
              <w:t>&gt; 3.6–4.3 yrs</w:t>
            </w:r>
          </w:p>
        </w:tc>
        <w:tc>
          <w:tcPr>
            <w:tcW w:w="1701" w:type="dxa"/>
            <w:tcBorders>
              <w:top w:val="single" w:sz="4" w:space="0" w:color="auto"/>
            </w:tcBorders>
          </w:tcPr>
          <w:p w14:paraId="4CA5F09E" w14:textId="77777777" w:rsidR="00535A9C" w:rsidRPr="0033698E" w:rsidRDefault="00535A9C" w:rsidP="0022464B">
            <w:pPr>
              <w:pStyle w:val="tbltext"/>
              <w:spacing w:before="80" w:line="200" w:lineRule="atLeast"/>
              <w:jc w:val="right"/>
              <w:rPr>
                <w:sz w:val="24"/>
                <w:szCs w:val="24"/>
              </w:rPr>
            </w:pPr>
            <w:r w:rsidRPr="0033698E">
              <w:t>2.75</w:t>
            </w:r>
          </w:p>
        </w:tc>
        <w:tc>
          <w:tcPr>
            <w:tcW w:w="1701" w:type="dxa"/>
            <w:tcBorders>
              <w:top w:val="single" w:sz="4" w:space="0" w:color="auto"/>
            </w:tcBorders>
          </w:tcPr>
          <w:p w14:paraId="150CB1EC" w14:textId="77777777" w:rsidR="00535A9C" w:rsidRPr="0033698E" w:rsidRDefault="00535A9C" w:rsidP="0022464B">
            <w:pPr>
              <w:pStyle w:val="tbltext"/>
              <w:spacing w:before="80" w:line="200" w:lineRule="atLeast"/>
              <w:jc w:val="right"/>
              <w:rPr>
                <w:sz w:val="24"/>
                <w:szCs w:val="24"/>
              </w:rPr>
            </w:pPr>
            <w:r w:rsidRPr="0033698E">
              <w:t>4.35</w:t>
            </w:r>
          </w:p>
        </w:tc>
        <w:tc>
          <w:tcPr>
            <w:tcW w:w="1701" w:type="dxa"/>
            <w:tcBorders>
              <w:top w:val="single" w:sz="4" w:space="0" w:color="auto"/>
            </w:tcBorders>
          </w:tcPr>
          <w:p w14:paraId="23125A04" w14:textId="77777777" w:rsidR="00535A9C" w:rsidRPr="0033698E" w:rsidRDefault="00535A9C" w:rsidP="0022464B">
            <w:pPr>
              <w:pStyle w:val="tbltext"/>
              <w:spacing w:before="80" w:line="200" w:lineRule="atLeast"/>
              <w:jc w:val="right"/>
              <w:rPr>
                <w:sz w:val="24"/>
                <w:szCs w:val="24"/>
              </w:rPr>
            </w:pPr>
            <w:r w:rsidRPr="0033698E">
              <w:t>10.75</w:t>
            </w:r>
          </w:p>
        </w:tc>
      </w:tr>
      <w:tr w:rsidR="00535A9C" w:rsidRPr="0033698E" w14:paraId="714CF92A" w14:textId="77777777" w:rsidTr="0022464B">
        <w:trPr>
          <w:cantSplit/>
        </w:trPr>
        <w:tc>
          <w:tcPr>
            <w:tcW w:w="1985" w:type="dxa"/>
          </w:tcPr>
          <w:p w14:paraId="3AE2323D" w14:textId="77777777" w:rsidR="00535A9C" w:rsidRPr="0033698E" w:rsidRDefault="00535A9C" w:rsidP="0022464B">
            <w:pPr>
              <w:pStyle w:val="tbltext"/>
              <w:spacing w:before="80" w:line="200" w:lineRule="atLeast"/>
              <w:rPr>
                <w:b/>
                <w:sz w:val="24"/>
                <w:szCs w:val="24"/>
              </w:rPr>
            </w:pPr>
            <w:r w:rsidRPr="0033698E">
              <w:rPr>
                <w:b/>
                <w:lang w:val="en-US"/>
              </w:rPr>
              <w:t>&gt; 5–7 yrs</w:t>
            </w:r>
          </w:p>
        </w:tc>
        <w:tc>
          <w:tcPr>
            <w:tcW w:w="1985" w:type="dxa"/>
          </w:tcPr>
          <w:p w14:paraId="12AE12DF" w14:textId="77777777" w:rsidR="00535A9C" w:rsidRPr="0033698E" w:rsidRDefault="00535A9C" w:rsidP="0022464B">
            <w:pPr>
              <w:pStyle w:val="tbltext"/>
              <w:spacing w:before="80" w:line="200" w:lineRule="atLeast"/>
              <w:rPr>
                <w:b/>
                <w:sz w:val="24"/>
                <w:szCs w:val="24"/>
              </w:rPr>
            </w:pPr>
            <w:r w:rsidRPr="0033698E">
              <w:rPr>
                <w:b/>
                <w:lang w:val="en-US"/>
              </w:rPr>
              <w:t>&gt; 4.3–5.7 yrs</w:t>
            </w:r>
          </w:p>
        </w:tc>
        <w:tc>
          <w:tcPr>
            <w:tcW w:w="1701" w:type="dxa"/>
          </w:tcPr>
          <w:p w14:paraId="3B16BE24" w14:textId="77777777" w:rsidR="00535A9C" w:rsidRPr="0033698E" w:rsidRDefault="00535A9C" w:rsidP="0022464B">
            <w:pPr>
              <w:pStyle w:val="tbltext"/>
              <w:spacing w:before="80" w:line="200" w:lineRule="atLeast"/>
              <w:jc w:val="right"/>
              <w:rPr>
                <w:sz w:val="24"/>
                <w:szCs w:val="24"/>
              </w:rPr>
            </w:pPr>
            <w:r w:rsidRPr="0033698E">
              <w:t>3.25</w:t>
            </w:r>
          </w:p>
        </w:tc>
        <w:tc>
          <w:tcPr>
            <w:tcW w:w="1701" w:type="dxa"/>
          </w:tcPr>
          <w:p w14:paraId="72894FB4" w14:textId="77777777" w:rsidR="00535A9C" w:rsidRPr="0033698E" w:rsidRDefault="00535A9C" w:rsidP="0022464B">
            <w:pPr>
              <w:pStyle w:val="tbltext"/>
              <w:spacing w:before="80" w:line="200" w:lineRule="atLeast"/>
              <w:jc w:val="right"/>
              <w:rPr>
                <w:sz w:val="24"/>
                <w:szCs w:val="24"/>
              </w:rPr>
            </w:pPr>
            <w:r w:rsidRPr="0033698E">
              <w:t>4.85</w:t>
            </w:r>
          </w:p>
        </w:tc>
        <w:tc>
          <w:tcPr>
            <w:tcW w:w="1701" w:type="dxa"/>
          </w:tcPr>
          <w:p w14:paraId="18C3AA6C" w14:textId="77777777" w:rsidR="00535A9C" w:rsidRPr="0033698E" w:rsidRDefault="00535A9C" w:rsidP="0022464B">
            <w:pPr>
              <w:pStyle w:val="tbltext"/>
              <w:spacing w:before="80" w:line="200" w:lineRule="atLeast"/>
              <w:jc w:val="right"/>
              <w:rPr>
                <w:sz w:val="24"/>
                <w:szCs w:val="24"/>
              </w:rPr>
            </w:pPr>
            <w:r w:rsidRPr="0033698E">
              <w:t>11.25</w:t>
            </w:r>
          </w:p>
        </w:tc>
      </w:tr>
      <w:tr w:rsidR="00535A9C" w:rsidRPr="0033698E" w14:paraId="5ACEB658" w14:textId="77777777" w:rsidTr="0022464B">
        <w:trPr>
          <w:cantSplit/>
        </w:trPr>
        <w:tc>
          <w:tcPr>
            <w:tcW w:w="1985" w:type="dxa"/>
          </w:tcPr>
          <w:p w14:paraId="30FFA94F" w14:textId="77777777" w:rsidR="00535A9C" w:rsidRPr="0033698E" w:rsidRDefault="00535A9C" w:rsidP="0022464B">
            <w:pPr>
              <w:pStyle w:val="tbltext"/>
              <w:spacing w:before="80" w:line="200" w:lineRule="atLeast"/>
              <w:rPr>
                <w:b/>
                <w:sz w:val="24"/>
                <w:szCs w:val="24"/>
              </w:rPr>
            </w:pPr>
            <w:r w:rsidRPr="0033698E">
              <w:rPr>
                <w:b/>
                <w:lang w:val="en-US"/>
              </w:rPr>
              <w:t>&gt; 7–10 yrs</w:t>
            </w:r>
          </w:p>
        </w:tc>
        <w:tc>
          <w:tcPr>
            <w:tcW w:w="1985" w:type="dxa"/>
          </w:tcPr>
          <w:p w14:paraId="5B0F0880" w14:textId="77777777" w:rsidR="00535A9C" w:rsidRPr="0033698E" w:rsidRDefault="00535A9C" w:rsidP="0022464B">
            <w:pPr>
              <w:pStyle w:val="tbltext"/>
              <w:spacing w:before="80" w:line="200" w:lineRule="atLeast"/>
              <w:rPr>
                <w:b/>
                <w:sz w:val="24"/>
                <w:szCs w:val="24"/>
              </w:rPr>
            </w:pPr>
            <w:r w:rsidRPr="0033698E">
              <w:rPr>
                <w:b/>
                <w:lang w:val="en-US"/>
              </w:rPr>
              <w:t>&gt; 5.7–7.3 yrs</w:t>
            </w:r>
          </w:p>
        </w:tc>
        <w:tc>
          <w:tcPr>
            <w:tcW w:w="1701" w:type="dxa"/>
          </w:tcPr>
          <w:p w14:paraId="6AC5F74E" w14:textId="77777777" w:rsidR="00535A9C" w:rsidRPr="0033698E" w:rsidRDefault="00535A9C" w:rsidP="0022464B">
            <w:pPr>
              <w:pStyle w:val="tbltext"/>
              <w:spacing w:before="80" w:line="200" w:lineRule="atLeast"/>
              <w:jc w:val="right"/>
              <w:rPr>
                <w:sz w:val="24"/>
                <w:szCs w:val="24"/>
              </w:rPr>
            </w:pPr>
            <w:r w:rsidRPr="0033698E">
              <w:t>3.75</w:t>
            </w:r>
          </w:p>
        </w:tc>
        <w:tc>
          <w:tcPr>
            <w:tcW w:w="1701" w:type="dxa"/>
          </w:tcPr>
          <w:p w14:paraId="47AD5F40" w14:textId="77777777" w:rsidR="00535A9C" w:rsidRPr="0033698E" w:rsidRDefault="00535A9C" w:rsidP="0022464B">
            <w:pPr>
              <w:pStyle w:val="tbltext"/>
              <w:spacing w:before="80" w:line="200" w:lineRule="atLeast"/>
              <w:jc w:val="right"/>
              <w:rPr>
                <w:sz w:val="24"/>
                <w:szCs w:val="24"/>
              </w:rPr>
            </w:pPr>
            <w:r w:rsidRPr="0033698E">
              <w:t>5.35</w:t>
            </w:r>
          </w:p>
        </w:tc>
        <w:tc>
          <w:tcPr>
            <w:tcW w:w="1701" w:type="dxa"/>
          </w:tcPr>
          <w:p w14:paraId="612BF416" w14:textId="77777777" w:rsidR="00535A9C" w:rsidRPr="0033698E" w:rsidRDefault="00535A9C" w:rsidP="0022464B">
            <w:pPr>
              <w:pStyle w:val="tbltext"/>
              <w:spacing w:before="80" w:line="200" w:lineRule="atLeast"/>
              <w:jc w:val="right"/>
              <w:rPr>
                <w:sz w:val="24"/>
                <w:szCs w:val="24"/>
              </w:rPr>
            </w:pPr>
            <w:r w:rsidRPr="0033698E">
              <w:t>11.75</w:t>
            </w:r>
          </w:p>
        </w:tc>
      </w:tr>
      <w:tr w:rsidR="00535A9C" w:rsidRPr="0033698E" w14:paraId="335B9E9E" w14:textId="77777777" w:rsidTr="0022464B">
        <w:trPr>
          <w:cantSplit/>
        </w:trPr>
        <w:tc>
          <w:tcPr>
            <w:tcW w:w="1985" w:type="dxa"/>
          </w:tcPr>
          <w:p w14:paraId="47363C30" w14:textId="074175C5" w:rsidR="00535A9C" w:rsidRPr="0033698E" w:rsidRDefault="00535A9C" w:rsidP="0022464B">
            <w:pPr>
              <w:pStyle w:val="tbltext"/>
              <w:spacing w:before="80" w:line="200" w:lineRule="atLeast"/>
              <w:rPr>
                <w:b/>
                <w:sz w:val="24"/>
                <w:szCs w:val="24"/>
              </w:rPr>
            </w:pPr>
            <w:r w:rsidRPr="0033698E">
              <w:rPr>
                <w:b/>
              </w:rPr>
              <w:t>&gt; 10</w:t>
            </w:r>
            <w:r w:rsidRPr="0033698E">
              <w:rPr>
                <w:b/>
                <w:lang w:val="en-US"/>
              </w:rPr>
              <w:t>–</w:t>
            </w:r>
            <w:r w:rsidRPr="0033698E">
              <w:rPr>
                <w:b/>
              </w:rPr>
              <w:t>15 yrs</w:t>
            </w:r>
          </w:p>
        </w:tc>
        <w:tc>
          <w:tcPr>
            <w:tcW w:w="1985" w:type="dxa"/>
          </w:tcPr>
          <w:p w14:paraId="06AFDEB3" w14:textId="77777777" w:rsidR="00535A9C" w:rsidRPr="0033698E" w:rsidRDefault="00535A9C" w:rsidP="0022464B">
            <w:pPr>
              <w:pStyle w:val="tbltext"/>
              <w:spacing w:before="80" w:line="200" w:lineRule="atLeast"/>
              <w:rPr>
                <w:b/>
                <w:sz w:val="24"/>
                <w:szCs w:val="24"/>
              </w:rPr>
            </w:pPr>
            <w:r w:rsidRPr="0033698E">
              <w:rPr>
                <w:b/>
                <w:lang w:val="en-US"/>
              </w:rPr>
              <w:t>&gt; 7.3–9.3 yrs</w:t>
            </w:r>
          </w:p>
        </w:tc>
        <w:tc>
          <w:tcPr>
            <w:tcW w:w="1701" w:type="dxa"/>
          </w:tcPr>
          <w:p w14:paraId="23FF23AA" w14:textId="77777777" w:rsidR="00535A9C" w:rsidRPr="0033698E" w:rsidRDefault="00535A9C" w:rsidP="0022464B">
            <w:pPr>
              <w:pStyle w:val="tbltext"/>
              <w:spacing w:before="80" w:line="200" w:lineRule="atLeast"/>
              <w:jc w:val="right"/>
              <w:rPr>
                <w:sz w:val="24"/>
                <w:szCs w:val="24"/>
              </w:rPr>
            </w:pPr>
            <w:r w:rsidRPr="0033698E">
              <w:t>4.50</w:t>
            </w:r>
          </w:p>
        </w:tc>
        <w:tc>
          <w:tcPr>
            <w:tcW w:w="1701" w:type="dxa"/>
          </w:tcPr>
          <w:p w14:paraId="0E07F1CD" w14:textId="77777777" w:rsidR="00535A9C" w:rsidRPr="0033698E" w:rsidRDefault="00535A9C" w:rsidP="0022464B">
            <w:pPr>
              <w:pStyle w:val="tbltext"/>
              <w:spacing w:before="80" w:line="200" w:lineRule="atLeast"/>
              <w:jc w:val="right"/>
              <w:rPr>
                <w:sz w:val="24"/>
                <w:szCs w:val="24"/>
              </w:rPr>
            </w:pPr>
            <w:r w:rsidRPr="0033698E">
              <w:t>6.10</w:t>
            </w:r>
          </w:p>
        </w:tc>
        <w:tc>
          <w:tcPr>
            <w:tcW w:w="1701" w:type="dxa"/>
          </w:tcPr>
          <w:p w14:paraId="61D3EC0F" w14:textId="77777777" w:rsidR="00535A9C" w:rsidRPr="0033698E" w:rsidRDefault="00535A9C" w:rsidP="0022464B">
            <w:pPr>
              <w:pStyle w:val="tbltext"/>
              <w:spacing w:before="80" w:line="200" w:lineRule="atLeast"/>
              <w:jc w:val="right"/>
              <w:rPr>
                <w:sz w:val="24"/>
                <w:szCs w:val="24"/>
              </w:rPr>
            </w:pPr>
            <w:r w:rsidRPr="0033698E">
              <w:t>12.50</w:t>
            </w:r>
          </w:p>
        </w:tc>
      </w:tr>
      <w:tr w:rsidR="00535A9C" w:rsidRPr="0033698E" w14:paraId="08DE4F91" w14:textId="77777777" w:rsidTr="0022464B">
        <w:trPr>
          <w:cantSplit/>
        </w:trPr>
        <w:tc>
          <w:tcPr>
            <w:tcW w:w="1985" w:type="dxa"/>
          </w:tcPr>
          <w:p w14:paraId="5CE0EE0F" w14:textId="754FAA14" w:rsidR="00535A9C" w:rsidRPr="0033698E" w:rsidRDefault="00535A9C" w:rsidP="0022464B">
            <w:pPr>
              <w:pStyle w:val="tbltext"/>
              <w:spacing w:before="80" w:line="200" w:lineRule="atLeast"/>
              <w:rPr>
                <w:b/>
                <w:sz w:val="24"/>
                <w:szCs w:val="24"/>
              </w:rPr>
            </w:pPr>
            <w:r w:rsidRPr="0033698E">
              <w:rPr>
                <w:b/>
              </w:rPr>
              <w:t>&gt; 15</w:t>
            </w:r>
            <w:r w:rsidRPr="0033698E">
              <w:rPr>
                <w:b/>
                <w:lang w:val="en-US"/>
              </w:rPr>
              <w:t>–</w:t>
            </w:r>
            <w:r w:rsidRPr="0033698E">
              <w:rPr>
                <w:b/>
              </w:rPr>
              <w:t>20 yrs</w:t>
            </w:r>
          </w:p>
        </w:tc>
        <w:tc>
          <w:tcPr>
            <w:tcW w:w="1985" w:type="dxa"/>
          </w:tcPr>
          <w:p w14:paraId="3C19AD69" w14:textId="77777777" w:rsidR="00535A9C" w:rsidRPr="0033698E" w:rsidRDefault="00535A9C" w:rsidP="0022464B">
            <w:pPr>
              <w:pStyle w:val="tbltext"/>
              <w:spacing w:before="80" w:line="200" w:lineRule="atLeast"/>
              <w:rPr>
                <w:b/>
                <w:sz w:val="24"/>
                <w:szCs w:val="24"/>
              </w:rPr>
            </w:pPr>
            <w:r w:rsidRPr="0033698E">
              <w:rPr>
                <w:b/>
                <w:lang w:val="en-US"/>
              </w:rPr>
              <w:t>&gt; 9.3–10.6 yrs</w:t>
            </w:r>
          </w:p>
        </w:tc>
        <w:tc>
          <w:tcPr>
            <w:tcW w:w="1701" w:type="dxa"/>
          </w:tcPr>
          <w:p w14:paraId="401E6791" w14:textId="77777777" w:rsidR="00535A9C" w:rsidRPr="0033698E" w:rsidRDefault="00535A9C" w:rsidP="0022464B">
            <w:pPr>
              <w:pStyle w:val="tbltext"/>
              <w:spacing w:before="80" w:line="200" w:lineRule="atLeast"/>
              <w:jc w:val="right"/>
              <w:rPr>
                <w:sz w:val="24"/>
                <w:szCs w:val="24"/>
              </w:rPr>
            </w:pPr>
            <w:r w:rsidRPr="0033698E">
              <w:t>5.25</w:t>
            </w:r>
          </w:p>
        </w:tc>
        <w:tc>
          <w:tcPr>
            <w:tcW w:w="1701" w:type="dxa"/>
          </w:tcPr>
          <w:p w14:paraId="6977F805" w14:textId="77777777" w:rsidR="00535A9C" w:rsidRPr="0033698E" w:rsidRDefault="00535A9C" w:rsidP="0022464B">
            <w:pPr>
              <w:pStyle w:val="tbltext"/>
              <w:spacing w:before="80" w:line="200" w:lineRule="atLeast"/>
              <w:jc w:val="right"/>
              <w:rPr>
                <w:sz w:val="24"/>
                <w:szCs w:val="24"/>
              </w:rPr>
            </w:pPr>
            <w:r w:rsidRPr="0033698E">
              <w:t>6.85</w:t>
            </w:r>
          </w:p>
        </w:tc>
        <w:tc>
          <w:tcPr>
            <w:tcW w:w="1701" w:type="dxa"/>
          </w:tcPr>
          <w:p w14:paraId="3A72C98F" w14:textId="77777777" w:rsidR="00535A9C" w:rsidRPr="0033698E" w:rsidRDefault="00535A9C" w:rsidP="0022464B">
            <w:pPr>
              <w:pStyle w:val="tbltext"/>
              <w:spacing w:before="80" w:line="200" w:lineRule="atLeast"/>
              <w:jc w:val="right"/>
              <w:rPr>
                <w:sz w:val="24"/>
                <w:szCs w:val="24"/>
              </w:rPr>
            </w:pPr>
            <w:r w:rsidRPr="0033698E">
              <w:t>13.25</w:t>
            </w:r>
          </w:p>
        </w:tc>
      </w:tr>
      <w:tr w:rsidR="00535A9C" w:rsidRPr="0033698E" w14:paraId="33D51319" w14:textId="77777777" w:rsidTr="0022464B">
        <w:trPr>
          <w:cantSplit/>
        </w:trPr>
        <w:tc>
          <w:tcPr>
            <w:tcW w:w="1985" w:type="dxa"/>
            <w:vMerge w:val="restart"/>
          </w:tcPr>
          <w:p w14:paraId="539F2CB1" w14:textId="0C3CC538" w:rsidR="00535A9C" w:rsidRPr="0033698E" w:rsidRDefault="00535A9C" w:rsidP="0022464B">
            <w:pPr>
              <w:pStyle w:val="tbltext"/>
              <w:spacing w:before="80" w:line="200" w:lineRule="atLeast"/>
              <w:rPr>
                <w:b/>
                <w:sz w:val="24"/>
                <w:szCs w:val="24"/>
              </w:rPr>
            </w:pPr>
            <w:r w:rsidRPr="0033698E">
              <w:rPr>
                <w:b/>
              </w:rPr>
              <w:t>20+ yrs</w:t>
            </w:r>
          </w:p>
        </w:tc>
        <w:tc>
          <w:tcPr>
            <w:tcW w:w="1985" w:type="dxa"/>
          </w:tcPr>
          <w:p w14:paraId="1C8252ED" w14:textId="77777777" w:rsidR="00535A9C" w:rsidRPr="0033698E" w:rsidRDefault="00535A9C" w:rsidP="0022464B">
            <w:pPr>
              <w:pStyle w:val="tbltext"/>
              <w:spacing w:before="80" w:line="200" w:lineRule="atLeast"/>
              <w:rPr>
                <w:b/>
                <w:sz w:val="24"/>
                <w:szCs w:val="24"/>
              </w:rPr>
            </w:pPr>
            <w:r w:rsidRPr="0033698E">
              <w:rPr>
                <w:b/>
                <w:lang w:val="en-US"/>
              </w:rPr>
              <w:t>&gt; 10.6–12 yrs</w:t>
            </w:r>
          </w:p>
        </w:tc>
        <w:tc>
          <w:tcPr>
            <w:tcW w:w="1701" w:type="dxa"/>
          </w:tcPr>
          <w:p w14:paraId="4EB412A8" w14:textId="77777777" w:rsidR="00535A9C" w:rsidRPr="0033698E" w:rsidRDefault="00535A9C" w:rsidP="0022464B">
            <w:pPr>
              <w:pStyle w:val="tbltext"/>
              <w:spacing w:before="80" w:line="200" w:lineRule="atLeast"/>
              <w:jc w:val="right"/>
              <w:rPr>
                <w:sz w:val="24"/>
                <w:szCs w:val="24"/>
              </w:rPr>
            </w:pPr>
            <w:r w:rsidRPr="0033698E">
              <w:t>6.00</w:t>
            </w:r>
          </w:p>
        </w:tc>
        <w:tc>
          <w:tcPr>
            <w:tcW w:w="1701" w:type="dxa"/>
          </w:tcPr>
          <w:p w14:paraId="6D3C9896" w14:textId="77777777" w:rsidR="00535A9C" w:rsidRPr="0033698E" w:rsidRDefault="00535A9C" w:rsidP="0022464B">
            <w:pPr>
              <w:pStyle w:val="tbltext"/>
              <w:spacing w:before="80" w:line="200" w:lineRule="atLeast"/>
              <w:jc w:val="right"/>
              <w:rPr>
                <w:sz w:val="24"/>
                <w:szCs w:val="24"/>
              </w:rPr>
            </w:pPr>
            <w:r w:rsidRPr="0033698E">
              <w:t>7.60</w:t>
            </w:r>
          </w:p>
        </w:tc>
        <w:tc>
          <w:tcPr>
            <w:tcW w:w="1701" w:type="dxa"/>
          </w:tcPr>
          <w:p w14:paraId="48B69F5D" w14:textId="77777777" w:rsidR="00535A9C" w:rsidRPr="0033698E" w:rsidRDefault="00535A9C" w:rsidP="0022464B">
            <w:pPr>
              <w:pStyle w:val="tbltext"/>
              <w:spacing w:before="80" w:line="200" w:lineRule="atLeast"/>
              <w:jc w:val="right"/>
              <w:rPr>
                <w:sz w:val="24"/>
                <w:szCs w:val="24"/>
              </w:rPr>
            </w:pPr>
            <w:r w:rsidRPr="0033698E">
              <w:t>14.00</w:t>
            </w:r>
          </w:p>
        </w:tc>
      </w:tr>
      <w:tr w:rsidR="00535A9C" w:rsidRPr="0033698E" w14:paraId="1C53E206" w14:textId="77777777" w:rsidTr="0022464B">
        <w:trPr>
          <w:cantSplit/>
        </w:trPr>
        <w:tc>
          <w:tcPr>
            <w:tcW w:w="1985" w:type="dxa"/>
            <w:vMerge/>
          </w:tcPr>
          <w:p w14:paraId="104A652D" w14:textId="77777777" w:rsidR="00535A9C" w:rsidRPr="0033698E" w:rsidRDefault="00535A9C" w:rsidP="0022464B">
            <w:pPr>
              <w:pStyle w:val="tbltext"/>
              <w:spacing w:before="80" w:line="200" w:lineRule="atLeast"/>
            </w:pPr>
          </w:p>
        </w:tc>
        <w:tc>
          <w:tcPr>
            <w:tcW w:w="1985" w:type="dxa"/>
          </w:tcPr>
          <w:p w14:paraId="11182094" w14:textId="77777777" w:rsidR="00535A9C" w:rsidRPr="0033698E" w:rsidRDefault="00535A9C" w:rsidP="0022464B">
            <w:pPr>
              <w:pStyle w:val="tbltext"/>
              <w:spacing w:before="80" w:line="200" w:lineRule="atLeast"/>
              <w:rPr>
                <w:b/>
                <w:sz w:val="24"/>
                <w:szCs w:val="24"/>
              </w:rPr>
            </w:pPr>
            <w:r w:rsidRPr="0033698E">
              <w:rPr>
                <w:b/>
                <w:lang w:val="en-US"/>
              </w:rPr>
              <w:t>12–20 yrs</w:t>
            </w:r>
          </w:p>
        </w:tc>
        <w:tc>
          <w:tcPr>
            <w:tcW w:w="1701" w:type="dxa"/>
          </w:tcPr>
          <w:p w14:paraId="65A68E34" w14:textId="77777777" w:rsidR="00535A9C" w:rsidRPr="0033698E" w:rsidRDefault="00535A9C" w:rsidP="0022464B">
            <w:pPr>
              <w:pStyle w:val="tbltext"/>
              <w:spacing w:before="80" w:line="200" w:lineRule="atLeast"/>
              <w:jc w:val="right"/>
              <w:rPr>
                <w:sz w:val="24"/>
                <w:szCs w:val="24"/>
              </w:rPr>
            </w:pPr>
            <w:r w:rsidRPr="0033698E">
              <w:t>8.00</w:t>
            </w:r>
          </w:p>
        </w:tc>
        <w:tc>
          <w:tcPr>
            <w:tcW w:w="1701" w:type="dxa"/>
          </w:tcPr>
          <w:p w14:paraId="41AA42D2" w14:textId="77777777" w:rsidR="00535A9C" w:rsidRPr="0033698E" w:rsidRDefault="00535A9C" w:rsidP="0022464B">
            <w:pPr>
              <w:pStyle w:val="tbltext"/>
              <w:spacing w:before="80" w:line="200" w:lineRule="atLeast"/>
              <w:jc w:val="right"/>
              <w:rPr>
                <w:sz w:val="24"/>
                <w:szCs w:val="24"/>
              </w:rPr>
            </w:pPr>
            <w:r w:rsidRPr="0033698E">
              <w:t>9.60</w:t>
            </w:r>
          </w:p>
        </w:tc>
        <w:tc>
          <w:tcPr>
            <w:tcW w:w="1701" w:type="dxa"/>
          </w:tcPr>
          <w:p w14:paraId="3BD25BA4" w14:textId="77777777" w:rsidR="00535A9C" w:rsidRPr="0033698E" w:rsidRDefault="00535A9C" w:rsidP="0022464B">
            <w:pPr>
              <w:pStyle w:val="tbltext"/>
              <w:spacing w:before="80" w:line="200" w:lineRule="atLeast"/>
              <w:jc w:val="right"/>
              <w:rPr>
                <w:sz w:val="24"/>
                <w:szCs w:val="24"/>
              </w:rPr>
            </w:pPr>
            <w:r w:rsidRPr="0033698E">
              <w:t>16.00</w:t>
            </w:r>
          </w:p>
        </w:tc>
      </w:tr>
      <w:tr w:rsidR="00535A9C" w:rsidRPr="0033698E" w14:paraId="4CB5993C" w14:textId="77777777" w:rsidTr="0022464B">
        <w:trPr>
          <w:cantSplit/>
        </w:trPr>
        <w:tc>
          <w:tcPr>
            <w:tcW w:w="1985" w:type="dxa"/>
            <w:vMerge/>
          </w:tcPr>
          <w:p w14:paraId="5912C530" w14:textId="77777777" w:rsidR="00535A9C" w:rsidRPr="00883907" w:rsidRDefault="00535A9C" w:rsidP="0022464B">
            <w:pPr>
              <w:pStyle w:val="tbltext"/>
              <w:spacing w:before="80" w:line="200" w:lineRule="atLeast"/>
            </w:pPr>
          </w:p>
        </w:tc>
        <w:tc>
          <w:tcPr>
            <w:tcW w:w="1985" w:type="dxa"/>
          </w:tcPr>
          <w:p w14:paraId="4023A771" w14:textId="77777777" w:rsidR="00535A9C" w:rsidRPr="00883907" w:rsidRDefault="00535A9C" w:rsidP="0022464B">
            <w:pPr>
              <w:pStyle w:val="tbltext"/>
              <w:spacing w:before="80" w:line="200" w:lineRule="atLeast"/>
              <w:rPr>
                <w:b/>
                <w:sz w:val="24"/>
                <w:szCs w:val="24"/>
              </w:rPr>
            </w:pPr>
            <w:r w:rsidRPr="00883907">
              <w:rPr>
                <w:b/>
                <w:lang w:val="en-US"/>
              </w:rPr>
              <w:t>20+ yrs</w:t>
            </w:r>
          </w:p>
        </w:tc>
        <w:tc>
          <w:tcPr>
            <w:tcW w:w="1701" w:type="dxa"/>
          </w:tcPr>
          <w:p w14:paraId="32DB6E32" w14:textId="77777777" w:rsidR="00535A9C" w:rsidRPr="0033698E" w:rsidRDefault="00535A9C" w:rsidP="0022464B">
            <w:pPr>
              <w:pStyle w:val="tbltext"/>
              <w:spacing w:before="80" w:line="200" w:lineRule="atLeast"/>
              <w:jc w:val="right"/>
              <w:rPr>
                <w:sz w:val="24"/>
                <w:szCs w:val="24"/>
              </w:rPr>
            </w:pPr>
            <w:r w:rsidRPr="0033698E">
              <w:t>12.50</w:t>
            </w:r>
          </w:p>
        </w:tc>
        <w:tc>
          <w:tcPr>
            <w:tcW w:w="1701" w:type="dxa"/>
          </w:tcPr>
          <w:p w14:paraId="271F4D55" w14:textId="77777777" w:rsidR="00535A9C" w:rsidRPr="0033698E" w:rsidRDefault="00535A9C" w:rsidP="0022464B">
            <w:pPr>
              <w:pStyle w:val="tbltext"/>
              <w:spacing w:before="80" w:line="200" w:lineRule="atLeast"/>
              <w:jc w:val="right"/>
              <w:rPr>
                <w:sz w:val="24"/>
                <w:szCs w:val="24"/>
              </w:rPr>
            </w:pPr>
            <w:r w:rsidRPr="0033698E">
              <w:t>14.10</w:t>
            </w:r>
          </w:p>
        </w:tc>
        <w:tc>
          <w:tcPr>
            <w:tcW w:w="1701" w:type="dxa"/>
          </w:tcPr>
          <w:p w14:paraId="76E66F32" w14:textId="77777777" w:rsidR="00535A9C" w:rsidRPr="0033698E" w:rsidRDefault="00535A9C" w:rsidP="0022464B">
            <w:pPr>
              <w:pStyle w:val="tbltext"/>
              <w:spacing w:before="80" w:line="200" w:lineRule="atLeast"/>
              <w:jc w:val="right"/>
              <w:rPr>
                <w:sz w:val="24"/>
                <w:szCs w:val="24"/>
              </w:rPr>
            </w:pPr>
            <w:r w:rsidRPr="0033698E">
              <w:t>20.50</w:t>
            </w:r>
          </w:p>
        </w:tc>
      </w:tr>
    </w:tbl>
    <w:p w14:paraId="25E98A58" w14:textId="75BA0507" w:rsidR="00CA2E4E" w:rsidRPr="003D3616" w:rsidRDefault="00CA2E4E" w:rsidP="00D3615D">
      <w:pPr>
        <w:pStyle w:val="tblnote"/>
        <w:keepNext/>
        <w:ind w:left="0"/>
      </w:pPr>
      <w:r w:rsidRPr="003D3616">
        <w:lastRenderedPageBreak/>
        <w:t>Notes</w:t>
      </w:r>
    </w:p>
    <w:p w14:paraId="0B6D17E1" w14:textId="3D0AE4BC" w:rsidR="00CA2E4E" w:rsidRPr="003D3616" w:rsidRDefault="00CA2E4E" w:rsidP="00D3615D">
      <w:pPr>
        <w:pStyle w:val="tblnote"/>
        <w:ind w:left="0"/>
      </w:pPr>
      <w:r w:rsidRPr="003D3616">
        <w:t>1</w:t>
      </w:r>
      <w:r w:rsidR="00DB2EA7" w:rsidRPr="003D3616">
        <w:t xml:space="preserve"> </w:t>
      </w:r>
      <w:r w:rsidRPr="003D3616">
        <w:t>In using Table A5.1.2 for any Debt Derivative, a Market Participant must use the Position Risk Factors specified in the ‘government’ column unless the value of the Debt Derivative is derived from:</w:t>
      </w:r>
    </w:p>
    <w:p w14:paraId="7339D845" w14:textId="3CCB80DC" w:rsidR="00CA2E4E" w:rsidRPr="003D3616" w:rsidRDefault="00AC0175" w:rsidP="00D3615D">
      <w:pPr>
        <w:pStyle w:val="tblnote"/>
        <w:ind w:hanging="425"/>
        <w:rPr>
          <w:rFonts w:cs="Arial"/>
          <w:szCs w:val="16"/>
        </w:rPr>
      </w:pPr>
      <w:r w:rsidRPr="003D3616">
        <w:rPr>
          <w:rFonts w:cs="Arial"/>
          <w:szCs w:val="16"/>
        </w:rPr>
        <w:t>(a)</w:t>
      </w:r>
      <w:r w:rsidRPr="003D3616">
        <w:rPr>
          <w:rFonts w:cs="Arial"/>
          <w:szCs w:val="16"/>
        </w:rPr>
        <w:tab/>
      </w:r>
      <w:r w:rsidR="00BC5E6C" w:rsidRPr="003D3616">
        <w:rPr>
          <w:rFonts w:cs="Arial"/>
          <w:szCs w:val="16"/>
        </w:rPr>
        <w:t xml:space="preserve">a </w:t>
      </w:r>
      <w:r w:rsidR="00CA2E4E" w:rsidRPr="003D3616">
        <w:rPr>
          <w:rFonts w:cs="Arial"/>
          <w:szCs w:val="16"/>
        </w:rPr>
        <w:t>Qualifying Debt Instrument, in which case the Market Participant must use the Position Risk Factors specified in the ‘qualifying’ column; or</w:t>
      </w:r>
    </w:p>
    <w:p w14:paraId="0D2ABE7D" w14:textId="71D919C9" w:rsidR="00CA2E4E" w:rsidRPr="003D3616" w:rsidRDefault="00AC0175" w:rsidP="00D3615D">
      <w:pPr>
        <w:pStyle w:val="tblnote"/>
        <w:ind w:hanging="425"/>
        <w:rPr>
          <w:rFonts w:cs="Arial"/>
          <w:szCs w:val="16"/>
        </w:rPr>
      </w:pPr>
      <w:r w:rsidRPr="003D3616">
        <w:rPr>
          <w:rFonts w:cs="Arial"/>
          <w:szCs w:val="16"/>
        </w:rPr>
        <w:t>(b)</w:t>
      </w:r>
      <w:r w:rsidRPr="003D3616">
        <w:rPr>
          <w:rFonts w:cs="Arial"/>
          <w:szCs w:val="16"/>
        </w:rPr>
        <w:tab/>
      </w:r>
      <w:r w:rsidR="00CA2E4E" w:rsidRPr="003D3616">
        <w:rPr>
          <w:rFonts w:cs="Arial"/>
          <w:szCs w:val="16"/>
        </w:rPr>
        <w:t xml:space="preserve">a non-Government Debt Instrument, in which case the Market Participant must use the Position Risk Factors specified in </w:t>
      </w:r>
      <w:r w:rsidR="008A54B8" w:rsidRPr="003D3616">
        <w:rPr>
          <w:rFonts w:cs="Arial"/>
          <w:szCs w:val="16"/>
        </w:rPr>
        <w:t xml:space="preserve">the </w:t>
      </w:r>
      <w:r w:rsidR="00CA2E4E" w:rsidRPr="003D3616">
        <w:rPr>
          <w:rFonts w:cs="Arial"/>
          <w:szCs w:val="16"/>
        </w:rPr>
        <w:t>‘other’ column.</w:t>
      </w:r>
    </w:p>
    <w:p w14:paraId="3BDA78C8" w14:textId="30BF3798" w:rsidR="00CA2E4E" w:rsidRPr="00232025" w:rsidRDefault="00CA2E4E" w:rsidP="00D3615D">
      <w:pPr>
        <w:pStyle w:val="tblnote"/>
        <w:ind w:left="0"/>
        <w:rPr>
          <w:szCs w:val="16"/>
        </w:rPr>
      </w:pPr>
      <w:r w:rsidRPr="003D3616">
        <w:rPr>
          <w:szCs w:val="16"/>
        </w:rPr>
        <w:t>2 For calculation purposes, where a time band refers to the period ‘1.9 years’ for example, this may be interpreted as being equal to 1.9 x 365 days.</w:t>
      </w:r>
    </w:p>
    <w:p w14:paraId="47587369" w14:textId="418CEF70" w:rsidR="00CA2E4E" w:rsidRPr="0033698E" w:rsidRDefault="00CA2E4E" w:rsidP="00EF6EAC">
      <w:pPr>
        <w:pStyle w:val="MIRHeading3Rule"/>
        <w:ind w:left="1276" w:hanging="1276"/>
      </w:pPr>
      <w:r w:rsidRPr="00203B23">
        <w:rPr>
          <w:spacing w:val="-16"/>
        </w:rPr>
        <w:t>A5.1.2A</w:t>
      </w:r>
      <w:r w:rsidR="00AC0175">
        <w:tab/>
      </w:r>
      <w:r w:rsidRPr="0033698E">
        <w:t>Position Risk Factors: Hybrid ETFs that are classified as Debt</w:t>
      </w:r>
      <w:r w:rsidR="00BC5E6C">
        <w:t xml:space="preserve"> Instruments</w:t>
      </w:r>
      <w:r w:rsidRPr="0033698E">
        <w:t xml:space="preserve"> </w:t>
      </w:r>
    </w:p>
    <w:p w14:paraId="27506C6C" w14:textId="77777777" w:rsidR="00CA2E4E" w:rsidRPr="0033698E" w:rsidRDefault="00CA2E4E" w:rsidP="001A4322">
      <w:pPr>
        <w:pStyle w:val="MIRBodyText"/>
        <w:numPr>
          <w:ilvl w:val="0"/>
          <w:numId w:val="96"/>
        </w:numPr>
      </w:pPr>
      <w:r w:rsidRPr="0033698E">
        <w:rPr>
          <w:color w:val="000000"/>
        </w:rPr>
        <w:t xml:space="preserve">The Position Risk Factors to be applied to a principal position in units in Hybrid ETFs classified as Debt Instruments are: </w:t>
      </w:r>
    </w:p>
    <w:p w14:paraId="535C2694" w14:textId="10AB653C" w:rsidR="00CA2E4E" w:rsidRPr="00304AF9" w:rsidRDefault="00CA2E4E" w:rsidP="001A4322">
      <w:pPr>
        <w:pStyle w:val="MIRSubpara"/>
        <w:numPr>
          <w:ilvl w:val="1"/>
          <w:numId w:val="96"/>
        </w:numPr>
      </w:pPr>
      <w:r w:rsidRPr="00304AF9">
        <w:t xml:space="preserve">as specified in Table A5.1.2 where the assets underlying the Hybrid ETF can be specifically identified, up to a maximum of 16% (standard method). The Position Risk Factor is to be selected from Table A5.1.2 based on the following: </w:t>
      </w:r>
    </w:p>
    <w:p w14:paraId="1140D037" w14:textId="77777777" w:rsidR="00CA2E4E" w:rsidRPr="00304AF9" w:rsidRDefault="00CA2E4E" w:rsidP="001A4322">
      <w:pPr>
        <w:pStyle w:val="MIRSubsubpara"/>
        <w:numPr>
          <w:ilvl w:val="2"/>
          <w:numId w:val="96"/>
        </w:numPr>
      </w:pPr>
      <w:r w:rsidRPr="00304AF9">
        <w:t xml:space="preserve">the time bands for coupon &lt; 3% must be used; </w:t>
      </w:r>
    </w:p>
    <w:p w14:paraId="7E80764A" w14:textId="77777777" w:rsidR="00CA2E4E" w:rsidRPr="00304AF9" w:rsidRDefault="00CA2E4E" w:rsidP="001A4322">
      <w:pPr>
        <w:pStyle w:val="MIRSubsubpara"/>
        <w:numPr>
          <w:ilvl w:val="2"/>
          <w:numId w:val="96"/>
        </w:numPr>
      </w:pPr>
      <w:r w:rsidRPr="00304AF9">
        <w:t xml:space="preserve">the time band chosen should be based on the average investment term and if it can be identified that more than 80% of the assets underlying the Hybrid ETF by value fall in a particular time band, the Position Risk Factor for that time band may be applied to the entire position; </w:t>
      </w:r>
    </w:p>
    <w:p w14:paraId="2146EA73" w14:textId="255F093C" w:rsidR="00CA2E4E" w:rsidRPr="00304AF9" w:rsidRDefault="00CA2E4E" w:rsidP="001A4322">
      <w:pPr>
        <w:pStyle w:val="MIRSubsubpara"/>
        <w:numPr>
          <w:ilvl w:val="2"/>
          <w:numId w:val="96"/>
        </w:numPr>
      </w:pPr>
      <w:r w:rsidRPr="00304AF9">
        <w:t xml:space="preserve">subject to subparagraph (iv), the standard method ‘other’ column should generally be used; and </w:t>
      </w:r>
    </w:p>
    <w:p w14:paraId="389CF11B" w14:textId="77777777" w:rsidR="00CA2E4E" w:rsidRPr="00304AF9" w:rsidRDefault="00CA2E4E" w:rsidP="001A4322">
      <w:pPr>
        <w:pStyle w:val="MIRSubsubpara"/>
        <w:numPr>
          <w:ilvl w:val="2"/>
          <w:numId w:val="96"/>
        </w:numPr>
      </w:pPr>
      <w:r w:rsidRPr="00304AF9">
        <w:t xml:space="preserve">if the Market Participant can identify that any assets underlying the Hybrid ETF satisfy the definition of Qualifying Debt Instrument, the ‘qualifying’ column can be used for that portion of the fund on a proportional basis to the individual holding and the ‘other’ column must be used for the remainder of the position; and </w:t>
      </w:r>
    </w:p>
    <w:p w14:paraId="77DA5C8A" w14:textId="630E86C3" w:rsidR="00CA2E4E" w:rsidRPr="00304AF9" w:rsidRDefault="00CA2E4E" w:rsidP="001A4322">
      <w:pPr>
        <w:pStyle w:val="MIRSubpara"/>
        <w:numPr>
          <w:ilvl w:val="1"/>
          <w:numId w:val="96"/>
        </w:numPr>
      </w:pPr>
      <w:r w:rsidRPr="00304AF9">
        <w:t xml:space="preserve">in all other instances, where the assets underlying the Hybrid ETF cannot be specifically identified, 16% (standard method). </w:t>
      </w:r>
    </w:p>
    <w:p w14:paraId="0F1D2222" w14:textId="20CA3251" w:rsidR="00CA2E4E" w:rsidRPr="0033698E" w:rsidRDefault="00CA2E4E" w:rsidP="00203B23">
      <w:pPr>
        <w:pStyle w:val="MIRHeading3Rule"/>
        <w:ind w:left="1275" w:hanging="1275"/>
      </w:pPr>
      <w:r w:rsidRPr="00203B23">
        <w:rPr>
          <w:spacing w:val="-16"/>
        </w:rPr>
        <w:t>A5.1.2B</w:t>
      </w:r>
      <w:r w:rsidR="00AC0175">
        <w:tab/>
      </w:r>
      <w:r w:rsidRPr="0033698E">
        <w:t xml:space="preserve">Position Risk Factors: Other Managed Funds that are classified as Debt </w:t>
      </w:r>
      <w:r w:rsidR="00BC5E6C">
        <w:t>Instruments</w:t>
      </w:r>
    </w:p>
    <w:p w14:paraId="6BB31989" w14:textId="44EFEC39" w:rsidR="00CA2E4E" w:rsidRPr="0033698E" w:rsidRDefault="00CA2E4E" w:rsidP="001A4322">
      <w:pPr>
        <w:pStyle w:val="MIRBodyText"/>
        <w:numPr>
          <w:ilvl w:val="0"/>
          <w:numId w:val="96"/>
        </w:numPr>
      </w:pPr>
      <w:r w:rsidRPr="0033698E">
        <w:rPr>
          <w:color w:val="000000"/>
        </w:rPr>
        <w:t>The Position Risk Factors to be applied to a principal position in units in Other Managed Funds classified as Debt Instruments are:</w:t>
      </w:r>
    </w:p>
    <w:p w14:paraId="50E79CE5" w14:textId="359B14E7" w:rsidR="00CA2E4E" w:rsidRPr="00304AF9" w:rsidRDefault="00CA2E4E" w:rsidP="001A4322">
      <w:pPr>
        <w:pStyle w:val="MIRSubpara"/>
        <w:numPr>
          <w:ilvl w:val="1"/>
          <w:numId w:val="96"/>
        </w:numPr>
      </w:pPr>
      <w:r w:rsidRPr="00304AF9">
        <w:t>as specified in Table A5.1.2 where the assets underlying the Other Managed Funds can be specifically identified, up to a maximum of 16% (standard method). The Position Risk Factor is to be selected from Table A5.1.2 based on the following:</w:t>
      </w:r>
    </w:p>
    <w:p w14:paraId="607AEE42" w14:textId="75278359" w:rsidR="00CA2E4E" w:rsidRPr="0033698E" w:rsidRDefault="00CA2E4E" w:rsidP="001A4322">
      <w:pPr>
        <w:pStyle w:val="MIRSubsubpara"/>
        <w:numPr>
          <w:ilvl w:val="2"/>
          <w:numId w:val="96"/>
        </w:numPr>
      </w:pPr>
      <w:r w:rsidRPr="0033698E">
        <w:t>the time bands for coupon &lt; 3% must be used;</w:t>
      </w:r>
    </w:p>
    <w:p w14:paraId="6713377C" w14:textId="07E6D509" w:rsidR="00CA2E4E" w:rsidRPr="0033698E" w:rsidRDefault="00CA2E4E" w:rsidP="001A4322">
      <w:pPr>
        <w:pStyle w:val="MIRSubsubpara"/>
        <w:numPr>
          <w:ilvl w:val="2"/>
          <w:numId w:val="96"/>
        </w:numPr>
      </w:pPr>
      <w:r w:rsidRPr="0033698E">
        <w:t>the time band chosen should be based on the average investment term. If it can be identified that more than 80% of the assets underlying the Other Managed Fund by value fall in a particular time band, the Position Risk Factor for that time band may be applied to the entire position;</w:t>
      </w:r>
    </w:p>
    <w:p w14:paraId="67448442" w14:textId="197DC0EE" w:rsidR="00CA2E4E" w:rsidRPr="0033698E" w:rsidRDefault="00CA2E4E" w:rsidP="001A4322">
      <w:pPr>
        <w:pStyle w:val="MIRSubsubpara"/>
        <w:numPr>
          <w:ilvl w:val="2"/>
          <w:numId w:val="96"/>
        </w:numPr>
      </w:pPr>
      <w:r w:rsidRPr="0033698E">
        <w:lastRenderedPageBreak/>
        <w:t xml:space="preserve">subject to </w:t>
      </w:r>
      <w:r w:rsidR="000B6F7A">
        <w:t>sub</w:t>
      </w:r>
      <w:r w:rsidRPr="0033698E">
        <w:t>paragraph (iv), the standard method ‘other’ column should generally be used; and</w:t>
      </w:r>
    </w:p>
    <w:p w14:paraId="4A92CD9D" w14:textId="693B5E6E" w:rsidR="00CA2E4E" w:rsidRPr="0033698E" w:rsidRDefault="00CA2E4E" w:rsidP="001A4322">
      <w:pPr>
        <w:pStyle w:val="MIRSubsubpara"/>
        <w:numPr>
          <w:ilvl w:val="2"/>
          <w:numId w:val="96"/>
        </w:numPr>
        <w:spacing w:before="80"/>
      </w:pPr>
      <w:r w:rsidRPr="0033698E">
        <w:t xml:space="preserve">if the Market Participant can identify that any assets underlying the </w:t>
      </w:r>
      <w:r w:rsidR="00BC5E6C">
        <w:t>O</w:t>
      </w:r>
      <w:r w:rsidRPr="0033698E">
        <w:t xml:space="preserve">ther </w:t>
      </w:r>
      <w:r w:rsidR="00BC5E6C">
        <w:t>M</w:t>
      </w:r>
      <w:r w:rsidRPr="0033698E">
        <w:t xml:space="preserve">anaged </w:t>
      </w:r>
      <w:r w:rsidR="00BC5E6C">
        <w:t>F</w:t>
      </w:r>
      <w:r w:rsidRPr="0033698E">
        <w:t>und satisfy the definition of Qualifying Debt Instrument, the ‘qualifying’ column can be used for that portion of the fund on a proportional basis to the individual holding and the ‘other’ column must be used for the remainder of the position; and</w:t>
      </w:r>
    </w:p>
    <w:p w14:paraId="7CE6E09D" w14:textId="085F2A3B" w:rsidR="00CA2E4E" w:rsidRPr="00304AF9" w:rsidRDefault="00CA2E4E" w:rsidP="001A4322">
      <w:pPr>
        <w:pStyle w:val="MIRSubpara"/>
        <w:numPr>
          <w:ilvl w:val="1"/>
          <w:numId w:val="96"/>
        </w:numPr>
        <w:spacing w:before="80"/>
      </w:pPr>
      <w:r w:rsidRPr="00304AF9">
        <w:t>in all other instances, where the assets underlying the Other Managed Fund cannot be specifically identified, 16% (standard method).</w:t>
      </w:r>
    </w:p>
    <w:p w14:paraId="51BFAA08" w14:textId="77777777" w:rsidR="00CA2E4E" w:rsidRPr="0033698E" w:rsidRDefault="00CA2E4E" w:rsidP="00CA2E4E">
      <w:pPr>
        <w:pStyle w:val="tabletitlefullwidth"/>
      </w:pPr>
      <w:r w:rsidRPr="0033698E">
        <w:t>Table A5.1.6:</w:t>
      </w:r>
      <w:r w:rsidRPr="0033698E">
        <w:tab/>
        <w:t>Recognised Market Indexes</w:t>
      </w:r>
    </w:p>
    <w:tbl>
      <w:tblPr>
        <w:tblW w:w="9072"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268"/>
        <w:gridCol w:w="2268"/>
        <w:gridCol w:w="2268"/>
        <w:gridCol w:w="2268"/>
      </w:tblGrid>
      <w:tr w:rsidR="00CA2E4E" w:rsidRPr="0033698E" w14:paraId="7F225851" w14:textId="77777777" w:rsidTr="00D3615D">
        <w:trPr>
          <w:cantSplit/>
          <w:tblHeader/>
        </w:trPr>
        <w:tc>
          <w:tcPr>
            <w:tcW w:w="2268" w:type="dxa"/>
            <w:shd w:val="clear" w:color="auto" w:fill="C2E3FA"/>
          </w:tcPr>
          <w:p w14:paraId="40EAE3CD" w14:textId="77777777" w:rsidR="00CA2E4E" w:rsidRPr="0033698E" w:rsidRDefault="00CA2E4E" w:rsidP="00B171A0">
            <w:pPr>
              <w:pStyle w:val="tablehead"/>
              <w:spacing w:before="80" w:line="200" w:lineRule="atLeast"/>
              <w:rPr>
                <w:sz w:val="24"/>
                <w:szCs w:val="24"/>
              </w:rPr>
            </w:pPr>
            <w:r w:rsidRPr="0033698E">
              <w:t>Country</w:t>
            </w:r>
          </w:p>
        </w:tc>
        <w:tc>
          <w:tcPr>
            <w:tcW w:w="2268" w:type="dxa"/>
            <w:shd w:val="clear" w:color="auto" w:fill="C2E3FA"/>
          </w:tcPr>
          <w:p w14:paraId="0E3202B9" w14:textId="77777777" w:rsidR="00CA2E4E" w:rsidRPr="0033698E" w:rsidRDefault="00CA2E4E" w:rsidP="00B171A0">
            <w:pPr>
              <w:pStyle w:val="tablehead"/>
              <w:spacing w:before="80" w:line="200" w:lineRule="atLeast"/>
              <w:rPr>
                <w:sz w:val="24"/>
                <w:szCs w:val="24"/>
              </w:rPr>
            </w:pPr>
            <w:r w:rsidRPr="0033698E">
              <w:t>Index</w:t>
            </w:r>
          </w:p>
        </w:tc>
        <w:tc>
          <w:tcPr>
            <w:tcW w:w="2268" w:type="dxa"/>
            <w:shd w:val="clear" w:color="auto" w:fill="C2E3FA"/>
          </w:tcPr>
          <w:p w14:paraId="2F9F1F1E" w14:textId="77777777" w:rsidR="00CA2E4E" w:rsidRPr="0033698E" w:rsidRDefault="00CA2E4E" w:rsidP="00B171A0">
            <w:pPr>
              <w:pStyle w:val="tablehead"/>
              <w:spacing w:before="80" w:line="200" w:lineRule="atLeast"/>
              <w:rPr>
                <w:sz w:val="24"/>
                <w:szCs w:val="24"/>
              </w:rPr>
            </w:pPr>
            <w:r w:rsidRPr="0033698E">
              <w:t>Country</w:t>
            </w:r>
          </w:p>
        </w:tc>
        <w:tc>
          <w:tcPr>
            <w:tcW w:w="2268" w:type="dxa"/>
            <w:shd w:val="clear" w:color="auto" w:fill="C2E3FA"/>
          </w:tcPr>
          <w:p w14:paraId="06798650" w14:textId="77777777" w:rsidR="00CA2E4E" w:rsidRPr="0033698E" w:rsidRDefault="00CA2E4E" w:rsidP="00B171A0">
            <w:pPr>
              <w:pStyle w:val="tablehead"/>
              <w:spacing w:before="80" w:line="200" w:lineRule="atLeast"/>
              <w:rPr>
                <w:sz w:val="24"/>
                <w:szCs w:val="24"/>
              </w:rPr>
            </w:pPr>
            <w:r w:rsidRPr="0033698E">
              <w:t>Index</w:t>
            </w:r>
          </w:p>
        </w:tc>
      </w:tr>
      <w:tr w:rsidR="00CA2E4E" w:rsidRPr="0033698E" w14:paraId="238B88BC" w14:textId="77777777" w:rsidTr="00D3615D">
        <w:trPr>
          <w:cantSplit/>
        </w:trPr>
        <w:tc>
          <w:tcPr>
            <w:tcW w:w="2268" w:type="dxa"/>
          </w:tcPr>
          <w:p w14:paraId="63A31089" w14:textId="77777777" w:rsidR="00CA2E4E" w:rsidRPr="0033698E" w:rsidRDefault="00CA2E4E" w:rsidP="00B171A0">
            <w:pPr>
              <w:pStyle w:val="tbltext"/>
              <w:spacing w:before="80" w:line="200" w:lineRule="atLeast"/>
              <w:rPr>
                <w:sz w:val="24"/>
                <w:szCs w:val="24"/>
              </w:rPr>
            </w:pPr>
            <w:r w:rsidRPr="0033698E">
              <w:t>Australia</w:t>
            </w:r>
          </w:p>
        </w:tc>
        <w:tc>
          <w:tcPr>
            <w:tcW w:w="2268" w:type="dxa"/>
          </w:tcPr>
          <w:p w14:paraId="01BE5461" w14:textId="77777777" w:rsidR="00CA2E4E" w:rsidRPr="0033698E" w:rsidRDefault="00CA2E4E" w:rsidP="00B171A0">
            <w:pPr>
              <w:pStyle w:val="tbltext"/>
              <w:spacing w:before="80" w:line="200" w:lineRule="atLeast"/>
              <w:rPr>
                <w:sz w:val="24"/>
                <w:szCs w:val="24"/>
              </w:rPr>
            </w:pPr>
            <w:r w:rsidRPr="0033698E">
              <w:t xml:space="preserve">S&amp;P/ASX 200 </w:t>
            </w:r>
          </w:p>
        </w:tc>
        <w:tc>
          <w:tcPr>
            <w:tcW w:w="2268" w:type="dxa"/>
          </w:tcPr>
          <w:p w14:paraId="7DB7C355" w14:textId="77777777" w:rsidR="00CA2E4E" w:rsidRPr="0033698E" w:rsidRDefault="00CA2E4E" w:rsidP="00B171A0">
            <w:pPr>
              <w:pStyle w:val="tbltext"/>
              <w:spacing w:before="80" w:line="200" w:lineRule="atLeast"/>
              <w:rPr>
                <w:sz w:val="24"/>
                <w:szCs w:val="24"/>
              </w:rPr>
            </w:pPr>
            <w:r w:rsidRPr="0033698E">
              <w:rPr>
                <w:lang w:val="fr-FR"/>
              </w:rPr>
              <w:t>Netherlands</w:t>
            </w:r>
          </w:p>
        </w:tc>
        <w:tc>
          <w:tcPr>
            <w:tcW w:w="2268" w:type="dxa"/>
          </w:tcPr>
          <w:p w14:paraId="0DCD99A2" w14:textId="0BD6F255" w:rsidR="00CA2E4E" w:rsidRPr="0033698E" w:rsidRDefault="00E42F1F" w:rsidP="00B171A0">
            <w:pPr>
              <w:pStyle w:val="tbltext"/>
              <w:spacing w:before="80" w:line="200" w:lineRule="atLeast"/>
              <w:rPr>
                <w:sz w:val="24"/>
                <w:szCs w:val="24"/>
              </w:rPr>
            </w:pPr>
            <w:r>
              <w:rPr>
                <w:lang w:val="fr-FR"/>
              </w:rPr>
              <w:t>AEX</w:t>
            </w:r>
          </w:p>
        </w:tc>
      </w:tr>
      <w:tr w:rsidR="00CA2E4E" w:rsidRPr="0033698E" w14:paraId="1EC25615" w14:textId="77777777" w:rsidTr="00D3615D">
        <w:trPr>
          <w:cantSplit/>
        </w:trPr>
        <w:tc>
          <w:tcPr>
            <w:tcW w:w="2268" w:type="dxa"/>
          </w:tcPr>
          <w:p w14:paraId="3B096692" w14:textId="77777777" w:rsidR="00CA2E4E" w:rsidRPr="0033698E" w:rsidRDefault="00CA2E4E" w:rsidP="00B171A0">
            <w:pPr>
              <w:pStyle w:val="tbltext"/>
              <w:spacing w:before="80" w:line="200" w:lineRule="atLeast"/>
              <w:rPr>
                <w:sz w:val="24"/>
                <w:szCs w:val="24"/>
              </w:rPr>
            </w:pPr>
            <w:r w:rsidRPr="0033698E">
              <w:rPr>
                <w:lang w:val="fr-FR"/>
              </w:rPr>
              <w:t>Austria</w:t>
            </w:r>
          </w:p>
        </w:tc>
        <w:tc>
          <w:tcPr>
            <w:tcW w:w="2268" w:type="dxa"/>
          </w:tcPr>
          <w:p w14:paraId="72B0B372" w14:textId="77777777" w:rsidR="00CA2E4E" w:rsidRPr="0033698E" w:rsidRDefault="00CA2E4E" w:rsidP="00B171A0">
            <w:pPr>
              <w:pStyle w:val="tbltext"/>
              <w:spacing w:before="80" w:line="200" w:lineRule="atLeast"/>
              <w:rPr>
                <w:sz w:val="24"/>
                <w:szCs w:val="24"/>
              </w:rPr>
            </w:pPr>
            <w:r w:rsidRPr="0033698E">
              <w:t>ATX</w:t>
            </w:r>
          </w:p>
        </w:tc>
        <w:tc>
          <w:tcPr>
            <w:tcW w:w="2268" w:type="dxa"/>
          </w:tcPr>
          <w:p w14:paraId="7FE11665" w14:textId="6D73B313" w:rsidR="00CA2E4E" w:rsidRPr="00E42F1F" w:rsidRDefault="00E42F1F" w:rsidP="00B171A0">
            <w:pPr>
              <w:pStyle w:val="tbltext"/>
              <w:spacing w:before="80" w:line="200" w:lineRule="atLeast"/>
            </w:pPr>
            <w:r>
              <w:t>New Zealand</w:t>
            </w:r>
          </w:p>
        </w:tc>
        <w:tc>
          <w:tcPr>
            <w:tcW w:w="2268" w:type="dxa"/>
          </w:tcPr>
          <w:p w14:paraId="792515CD" w14:textId="2101B65C" w:rsidR="00CA2E4E" w:rsidRPr="00E42F1F" w:rsidRDefault="00E42F1F" w:rsidP="00B171A0">
            <w:pPr>
              <w:pStyle w:val="tbltext"/>
              <w:spacing w:before="80" w:line="200" w:lineRule="atLeast"/>
            </w:pPr>
            <w:r>
              <w:t>NZX 50</w:t>
            </w:r>
          </w:p>
        </w:tc>
      </w:tr>
      <w:tr w:rsidR="00CA2E4E" w:rsidRPr="0033698E" w14:paraId="652E5206" w14:textId="77777777" w:rsidTr="00D3615D">
        <w:trPr>
          <w:cantSplit/>
        </w:trPr>
        <w:tc>
          <w:tcPr>
            <w:tcW w:w="2268" w:type="dxa"/>
          </w:tcPr>
          <w:p w14:paraId="206D19CE" w14:textId="77777777" w:rsidR="00CA2E4E" w:rsidRPr="0033698E" w:rsidRDefault="00CA2E4E" w:rsidP="00B171A0">
            <w:pPr>
              <w:pStyle w:val="tbltext"/>
              <w:spacing w:before="80" w:line="200" w:lineRule="atLeast"/>
              <w:rPr>
                <w:sz w:val="24"/>
                <w:szCs w:val="24"/>
              </w:rPr>
            </w:pPr>
            <w:r w:rsidRPr="0033698E">
              <w:t>Belgium</w:t>
            </w:r>
          </w:p>
        </w:tc>
        <w:tc>
          <w:tcPr>
            <w:tcW w:w="2268" w:type="dxa"/>
          </w:tcPr>
          <w:p w14:paraId="1483B3D4" w14:textId="77777777" w:rsidR="00CA2E4E" w:rsidRPr="0033698E" w:rsidRDefault="00CA2E4E" w:rsidP="00B171A0">
            <w:pPr>
              <w:pStyle w:val="tbltext"/>
              <w:spacing w:before="80" w:line="200" w:lineRule="atLeast"/>
              <w:rPr>
                <w:sz w:val="24"/>
                <w:szCs w:val="24"/>
              </w:rPr>
            </w:pPr>
            <w:r w:rsidRPr="0033698E">
              <w:t>BEL 20</w:t>
            </w:r>
          </w:p>
        </w:tc>
        <w:tc>
          <w:tcPr>
            <w:tcW w:w="2268" w:type="dxa"/>
          </w:tcPr>
          <w:p w14:paraId="1B968424" w14:textId="13DCEEAE" w:rsidR="00CA2E4E" w:rsidRPr="00E42F1F" w:rsidRDefault="00E42F1F" w:rsidP="00B171A0">
            <w:pPr>
              <w:pStyle w:val="tbltext"/>
              <w:spacing w:before="80" w:line="200" w:lineRule="atLeast"/>
            </w:pPr>
            <w:r>
              <w:t>Singapore</w:t>
            </w:r>
          </w:p>
        </w:tc>
        <w:tc>
          <w:tcPr>
            <w:tcW w:w="2268" w:type="dxa"/>
          </w:tcPr>
          <w:p w14:paraId="78580E6D" w14:textId="4C9BEC06" w:rsidR="00CA2E4E" w:rsidRPr="00E42F1F" w:rsidRDefault="00E42F1F" w:rsidP="00B171A0">
            <w:pPr>
              <w:pStyle w:val="tbltext"/>
              <w:spacing w:before="80" w:line="200" w:lineRule="atLeast"/>
            </w:pPr>
            <w:r>
              <w:t>FTSE STI</w:t>
            </w:r>
          </w:p>
        </w:tc>
      </w:tr>
      <w:tr w:rsidR="00E42F1F" w:rsidRPr="0033698E" w14:paraId="300D3D58" w14:textId="77777777" w:rsidTr="00D3615D">
        <w:trPr>
          <w:cantSplit/>
        </w:trPr>
        <w:tc>
          <w:tcPr>
            <w:tcW w:w="2268" w:type="dxa"/>
          </w:tcPr>
          <w:p w14:paraId="3D0D95B5" w14:textId="77777777" w:rsidR="00E42F1F" w:rsidRPr="0033698E" w:rsidRDefault="00E42F1F" w:rsidP="00E42F1F">
            <w:pPr>
              <w:pStyle w:val="tbltext"/>
              <w:spacing w:before="80" w:line="200" w:lineRule="atLeast"/>
              <w:rPr>
                <w:sz w:val="24"/>
                <w:szCs w:val="24"/>
              </w:rPr>
            </w:pPr>
            <w:r w:rsidRPr="0033698E">
              <w:rPr>
                <w:lang w:val="fr-FR"/>
              </w:rPr>
              <w:t>Canada</w:t>
            </w:r>
          </w:p>
        </w:tc>
        <w:tc>
          <w:tcPr>
            <w:tcW w:w="2268" w:type="dxa"/>
          </w:tcPr>
          <w:p w14:paraId="4D351F50" w14:textId="501B6D16" w:rsidR="00E42F1F" w:rsidRPr="0033698E" w:rsidRDefault="00E42F1F" w:rsidP="00E42F1F">
            <w:pPr>
              <w:pStyle w:val="tbltext"/>
              <w:spacing w:before="80" w:line="200" w:lineRule="atLeast"/>
              <w:rPr>
                <w:sz w:val="24"/>
                <w:szCs w:val="24"/>
              </w:rPr>
            </w:pPr>
            <w:r>
              <w:rPr>
                <w:lang w:val="fr-FR"/>
              </w:rPr>
              <w:t>S&amp;P/TSX 60</w:t>
            </w:r>
          </w:p>
        </w:tc>
        <w:tc>
          <w:tcPr>
            <w:tcW w:w="2268" w:type="dxa"/>
          </w:tcPr>
          <w:p w14:paraId="09FF22BF" w14:textId="12639147" w:rsidR="00E42F1F" w:rsidRPr="0033698E" w:rsidRDefault="00E42F1F" w:rsidP="00E42F1F">
            <w:pPr>
              <w:pStyle w:val="tbltext"/>
              <w:spacing w:before="80" w:line="200" w:lineRule="atLeast"/>
              <w:rPr>
                <w:sz w:val="24"/>
                <w:szCs w:val="24"/>
              </w:rPr>
            </w:pPr>
            <w:r w:rsidRPr="0033698E">
              <w:t>Spain</w:t>
            </w:r>
          </w:p>
        </w:tc>
        <w:tc>
          <w:tcPr>
            <w:tcW w:w="2268" w:type="dxa"/>
          </w:tcPr>
          <w:p w14:paraId="1BE4B555" w14:textId="10C91A13" w:rsidR="00E42F1F" w:rsidRPr="0033698E" w:rsidRDefault="00E42F1F" w:rsidP="00E42F1F">
            <w:pPr>
              <w:pStyle w:val="tbltext"/>
              <w:spacing w:before="80" w:line="200" w:lineRule="atLeast"/>
              <w:rPr>
                <w:sz w:val="24"/>
                <w:szCs w:val="24"/>
              </w:rPr>
            </w:pPr>
            <w:r w:rsidRPr="0033698E">
              <w:t>IBEX 35</w:t>
            </w:r>
          </w:p>
        </w:tc>
      </w:tr>
      <w:tr w:rsidR="00E42F1F" w:rsidRPr="0033698E" w14:paraId="7C1B6F1B" w14:textId="77777777" w:rsidTr="00D3615D">
        <w:trPr>
          <w:cantSplit/>
        </w:trPr>
        <w:tc>
          <w:tcPr>
            <w:tcW w:w="2268" w:type="dxa"/>
          </w:tcPr>
          <w:p w14:paraId="411F22F6" w14:textId="0D3ED2E8" w:rsidR="00E42F1F" w:rsidRPr="0033698E" w:rsidRDefault="00E42F1F" w:rsidP="00E42F1F">
            <w:pPr>
              <w:pStyle w:val="tbltext"/>
              <w:spacing w:before="80" w:line="200" w:lineRule="atLeast"/>
              <w:rPr>
                <w:lang w:val="fr-FR"/>
              </w:rPr>
            </w:pPr>
            <w:r>
              <w:rPr>
                <w:lang w:val="fr-FR"/>
              </w:rPr>
              <w:t>Europe</w:t>
            </w:r>
          </w:p>
        </w:tc>
        <w:tc>
          <w:tcPr>
            <w:tcW w:w="2268" w:type="dxa"/>
          </w:tcPr>
          <w:p w14:paraId="628D133A" w14:textId="5BAC0D53" w:rsidR="00E42F1F" w:rsidRPr="0033698E" w:rsidRDefault="00E42F1F" w:rsidP="00E42F1F">
            <w:pPr>
              <w:pStyle w:val="tbltext"/>
              <w:spacing w:before="80" w:line="200" w:lineRule="atLeast"/>
              <w:rPr>
                <w:lang w:val="fr-FR"/>
              </w:rPr>
            </w:pPr>
            <w:r>
              <w:rPr>
                <w:lang w:val="fr-FR"/>
              </w:rPr>
              <w:t>Euronext 100</w:t>
            </w:r>
          </w:p>
        </w:tc>
        <w:tc>
          <w:tcPr>
            <w:tcW w:w="2268" w:type="dxa"/>
          </w:tcPr>
          <w:p w14:paraId="59278C6F" w14:textId="2C7FCC3F" w:rsidR="00E42F1F" w:rsidRPr="0033698E" w:rsidRDefault="00E42F1F" w:rsidP="00E42F1F">
            <w:pPr>
              <w:pStyle w:val="tbltext"/>
              <w:spacing w:before="80" w:line="200" w:lineRule="atLeast"/>
              <w:rPr>
                <w:lang w:val="fr-FR"/>
              </w:rPr>
            </w:pPr>
            <w:r>
              <w:rPr>
                <w:lang w:val="fr-FR"/>
              </w:rPr>
              <w:t>South Korea</w:t>
            </w:r>
          </w:p>
        </w:tc>
        <w:tc>
          <w:tcPr>
            <w:tcW w:w="2268" w:type="dxa"/>
          </w:tcPr>
          <w:p w14:paraId="5D435B89" w14:textId="3C90950A" w:rsidR="00E42F1F" w:rsidRPr="0033698E" w:rsidRDefault="00E42F1F" w:rsidP="00E42F1F">
            <w:pPr>
              <w:pStyle w:val="tbltext"/>
              <w:spacing w:before="80" w:line="200" w:lineRule="atLeast"/>
              <w:rPr>
                <w:lang w:val="fr-FR"/>
              </w:rPr>
            </w:pPr>
            <w:r>
              <w:rPr>
                <w:lang w:val="fr-FR"/>
              </w:rPr>
              <w:t>KOSPI 200</w:t>
            </w:r>
          </w:p>
        </w:tc>
      </w:tr>
      <w:tr w:rsidR="00E42F1F" w:rsidRPr="0033698E" w14:paraId="70954B47" w14:textId="77777777" w:rsidTr="00D3615D">
        <w:trPr>
          <w:cantSplit/>
        </w:trPr>
        <w:tc>
          <w:tcPr>
            <w:tcW w:w="2268" w:type="dxa"/>
          </w:tcPr>
          <w:p w14:paraId="06F72D0B" w14:textId="77777777" w:rsidR="00E42F1F" w:rsidRPr="0033698E" w:rsidRDefault="00E42F1F" w:rsidP="00E42F1F">
            <w:pPr>
              <w:pStyle w:val="tbltext"/>
              <w:spacing w:before="80" w:line="200" w:lineRule="atLeast"/>
              <w:rPr>
                <w:sz w:val="24"/>
                <w:szCs w:val="24"/>
              </w:rPr>
            </w:pPr>
            <w:r w:rsidRPr="0033698E">
              <w:rPr>
                <w:lang w:val="fr-FR"/>
              </w:rPr>
              <w:t>France</w:t>
            </w:r>
          </w:p>
        </w:tc>
        <w:tc>
          <w:tcPr>
            <w:tcW w:w="2268" w:type="dxa"/>
          </w:tcPr>
          <w:p w14:paraId="5387AAD4" w14:textId="77777777" w:rsidR="00E42F1F" w:rsidRPr="0033698E" w:rsidRDefault="00E42F1F" w:rsidP="00E42F1F">
            <w:pPr>
              <w:pStyle w:val="tbltext"/>
              <w:spacing w:before="80" w:line="200" w:lineRule="atLeast"/>
              <w:rPr>
                <w:sz w:val="24"/>
                <w:szCs w:val="24"/>
              </w:rPr>
            </w:pPr>
            <w:r w:rsidRPr="0033698E">
              <w:rPr>
                <w:lang w:val="fr-FR"/>
              </w:rPr>
              <w:t>CAC 40</w:t>
            </w:r>
          </w:p>
        </w:tc>
        <w:tc>
          <w:tcPr>
            <w:tcW w:w="2268" w:type="dxa"/>
          </w:tcPr>
          <w:p w14:paraId="16B16AD3" w14:textId="0AD3F91D" w:rsidR="00E42F1F" w:rsidRPr="0033698E" w:rsidRDefault="00E42F1F" w:rsidP="00E42F1F">
            <w:pPr>
              <w:pStyle w:val="tbltext"/>
              <w:spacing w:before="80" w:line="200" w:lineRule="atLeast"/>
              <w:rPr>
                <w:sz w:val="24"/>
                <w:szCs w:val="24"/>
              </w:rPr>
            </w:pPr>
            <w:r w:rsidRPr="0033698E">
              <w:t>Sweden</w:t>
            </w:r>
          </w:p>
        </w:tc>
        <w:tc>
          <w:tcPr>
            <w:tcW w:w="2268" w:type="dxa"/>
          </w:tcPr>
          <w:p w14:paraId="2F5BD208" w14:textId="01087840" w:rsidR="00E42F1F" w:rsidRPr="0033698E" w:rsidRDefault="00E42F1F" w:rsidP="00E42F1F">
            <w:pPr>
              <w:pStyle w:val="tbltext"/>
              <w:spacing w:before="80" w:line="200" w:lineRule="atLeast"/>
              <w:rPr>
                <w:sz w:val="24"/>
                <w:szCs w:val="24"/>
              </w:rPr>
            </w:pPr>
            <w:r w:rsidRPr="0033698E">
              <w:rPr>
                <w:lang w:val="fr-FR"/>
              </w:rPr>
              <w:t>OMX</w:t>
            </w:r>
          </w:p>
        </w:tc>
      </w:tr>
      <w:tr w:rsidR="00E42F1F" w:rsidRPr="0033698E" w14:paraId="7651DB58" w14:textId="77777777" w:rsidTr="00D3615D">
        <w:trPr>
          <w:cantSplit/>
        </w:trPr>
        <w:tc>
          <w:tcPr>
            <w:tcW w:w="2268" w:type="dxa"/>
          </w:tcPr>
          <w:p w14:paraId="2A75E2D9" w14:textId="77777777" w:rsidR="00E42F1F" w:rsidRPr="0033698E" w:rsidRDefault="00E42F1F" w:rsidP="00E42F1F">
            <w:pPr>
              <w:pStyle w:val="tbltext"/>
              <w:spacing w:before="80" w:line="200" w:lineRule="atLeast"/>
              <w:rPr>
                <w:sz w:val="24"/>
                <w:szCs w:val="24"/>
              </w:rPr>
            </w:pPr>
            <w:r w:rsidRPr="0033698E">
              <w:t>Germany</w:t>
            </w:r>
          </w:p>
        </w:tc>
        <w:tc>
          <w:tcPr>
            <w:tcW w:w="2268" w:type="dxa"/>
          </w:tcPr>
          <w:p w14:paraId="078C62A5" w14:textId="77777777" w:rsidR="00E42F1F" w:rsidRPr="0033698E" w:rsidRDefault="00E42F1F" w:rsidP="00E42F1F">
            <w:pPr>
              <w:pStyle w:val="tbltext"/>
              <w:spacing w:before="80" w:line="200" w:lineRule="atLeast"/>
              <w:rPr>
                <w:sz w:val="24"/>
                <w:szCs w:val="24"/>
              </w:rPr>
            </w:pPr>
            <w:r w:rsidRPr="0033698E">
              <w:t>DAX</w:t>
            </w:r>
          </w:p>
        </w:tc>
        <w:tc>
          <w:tcPr>
            <w:tcW w:w="2268" w:type="dxa"/>
          </w:tcPr>
          <w:p w14:paraId="2FB1162E" w14:textId="1754C76D" w:rsidR="00E42F1F" w:rsidRPr="0033698E" w:rsidRDefault="00E42F1F" w:rsidP="00E42F1F">
            <w:pPr>
              <w:pStyle w:val="tbltext"/>
              <w:spacing w:before="80" w:line="200" w:lineRule="atLeast"/>
              <w:rPr>
                <w:sz w:val="24"/>
                <w:szCs w:val="24"/>
              </w:rPr>
            </w:pPr>
            <w:r w:rsidRPr="0033698E">
              <w:rPr>
                <w:lang w:val="fr-FR"/>
              </w:rPr>
              <w:t>Switzerland</w:t>
            </w:r>
          </w:p>
        </w:tc>
        <w:tc>
          <w:tcPr>
            <w:tcW w:w="2268" w:type="dxa"/>
          </w:tcPr>
          <w:p w14:paraId="37ACAC11" w14:textId="2A734F6E" w:rsidR="00E42F1F" w:rsidRPr="0033698E" w:rsidRDefault="00E42F1F" w:rsidP="00E42F1F">
            <w:pPr>
              <w:pStyle w:val="tbltext"/>
              <w:spacing w:before="80" w:line="200" w:lineRule="atLeast"/>
              <w:rPr>
                <w:sz w:val="24"/>
                <w:szCs w:val="24"/>
              </w:rPr>
            </w:pPr>
            <w:r w:rsidRPr="0033698E">
              <w:rPr>
                <w:lang w:val="fr-FR"/>
              </w:rPr>
              <w:t>SMI</w:t>
            </w:r>
          </w:p>
        </w:tc>
      </w:tr>
      <w:tr w:rsidR="00E42F1F" w:rsidRPr="0033698E" w14:paraId="039C3051" w14:textId="77777777" w:rsidTr="00D3615D">
        <w:trPr>
          <w:cantSplit/>
        </w:trPr>
        <w:tc>
          <w:tcPr>
            <w:tcW w:w="2268" w:type="dxa"/>
          </w:tcPr>
          <w:p w14:paraId="3D58B0A3" w14:textId="77777777" w:rsidR="00E42F1F" w:rsidRPr="0033698E" w:rsidRDefault="00E42F1F" w:rsidP="00E42F1F">
            <w:pPr>
              <w:pStyle w:val="tbltext"/>
              <w:spacing w:before="80" w:line="200" w:lineRule="atLeast"/>
              <w:rPr>
                <w:sz w:val="24"/>
                <w:szCs w:val="24"/>
              </w:rPr>
            </w:pPr>
            <w:r w:rsidRPr="0033698E">
              <w:t>Hong Kong</w:t>
            </w:r>
          </w:p>
        </w:tc>
        <w:tc>
          <w:tcPr>
            <w:tcW w:w="2268" w:type="dxa"/>
          </w:tcPr>
          <w:p w14:paraId="0E7D25D3" w14:textId="77777777" w:rsidR="00E42F1F" w:rsidRPr="0033698E" w:rsidRDefault="00E42F1F" w:rsidP="00E42F1F">
            <w:pPr>
              <w:pStyle w:val="tbltext"/>
              <w:spacing w:before="80" w:line="200" w:lineRule="atLeast"/>
              <w:rPr>
                <w:sz w:val="24"/>
                <w:szCs w:val="24"/>
              </w:rPr>
            </w:pPr>
            <w:r w:rsidRPr="0033698E">
              <w:t>Hang Seng</w:t>
            </w:r>
          </w:p>
        </w:tc>
        <w:tc>
          <w:tcPr>
            <w:tcW w:w="2268" w:type="dxa"/>
          </w:tcPr>
          <w:p w14:paraId="7220C380" w14:textId="342D859B" w:rsidR="00E42F1F" w:rsidRPr="0033698E" w:rsidRDefault="00E42F1F" w:rsidP="00E42F1F">
            <w:pPr>
              <w:pStyle w:val="tbltext"/>
              <w:spacing w:before="80" w:line="200" w:lineRule="atLeast"/>
              <w:rPr>
                <w:sz w:val="24"/>
                <w:szCs w:val="24"/>
              </w:rPr>
            </w:pPr>
            <w:r w:rsidRPr="0033698E">
              <w:t>UK</w:t>
            </w:r>
          </w:p>
        </w:tc>
        <w:tc>
          <w:tcPr>
            <w:tcW w:w="2268" w:type="dxa"/>
          </w:tcPr>
          <w:p w14:paraId="6DF8FA03" w14:textId="516B4DD8" w:rsidR="00E42F1F" w:rsidRPr="0033698E" w:rsidRDefault="00E42F1F" w:rsidP="00E42F1F">
            <w:pPr>
              <w:pStyle w:val="tbltext"/>
              <w:spacing w:before="80" w:line="200" w:lineRule="atLeast"/>
              <w:rPr>
                <w:sz w:val="24"/>
                <w:szCs w:val="24"/>
              </w:rPr>
            </w:pPr>
            <w:r w:rsidRPr="0033698E">
              <w:t>FTSE 100</w:t>
            </w:r>
          </w:p>
        </w:tc>
      </w:tr>
      <w:tr w:rsidR="00E42F1F" w:rsidRPr="0033698E" w14:paraId="72ACD900" w14:textId="77777777" w:rsidTr="00D3615D">
        <w:trPr>
          <w:cantSplit/>
        </w:trPr>
        <w:tc>
          <w:tcPr>
            <w:tcW w:w="2268" w:type="dxa"/>
          </w:tcPr>
          <w:p w14:paraId="19F64435" w14:textId="77777777" w:rsidR="00E42F1F" w:rsidRPr="0033698E" w:rsidRDefault="00E42F1F" w:rsidP="00E42F1F">
            <w:pPr>
              <w:pStyle w:val="tbltext"/>
              <w:spacing w:before="80" w:line="200" w:lineRule="atLeast"/>
              <w:rPr>
                <w:sz w:val="24"/>
                <w:szCs w:val="24"/>
              </w:rPr>
            </w:pPr>
            <w:r w:rsidRPr="0033698E">
              <w:t>Italy</w:t>
            </w:r>
          </w:p>
        </w:tc>
        <w:tc>
          <w:tcPr>
            <w:tcW w:w="2268" w:type="dxa"/>
          </w:tcPr>
          <w:p w14:paraId="17A36240" w14:textId="4734C666" w:rsidR="00E42F1F" w:rsidRPr="0033698E" w:rsidRDefault="00E42F1F" w:rsidP="00E42F1F">
            <w:pPr>
              <w:pStyle w:val="tbltext"/>
              <w:spacing w:before="80" w:line="200" w:lineRule="atLeast"/>
              <w:rPr>
                <w:sz w:val="24"/>
                <w:szCs w:val="24"/>
              </w:rPr>
            </w:pPr>
            <w:r>
              <w:t>FTSE MIB</w:t>
            </w:r>
          </w:p>
        </w:tc>
        <w:tc>
          <w:tcPr>
            <w:tcW w:w="2268" w:type="dxa"/>
          </w:tcPr>
          <w:p w14:paraId="71FCDF2E" w14:textId="262E4854" w:rsidR="00E42F1F" w:rsidRPr="0033698E" w:rsidRDefault="00E42F1F" w:rsidP="00E42F1F">
            <w:pPr>
              <w:pStyle w:val="tbltext"/>
              <w:spacing w:before="80" w:line="200" w:lineRule="atLeast"/>
              <w:rPr>
                <w:sz w:val="24"/>
                <w:szCs w:val="24"/>
              </w:rPr>
            </w:pPr>
            <w:r w:rsidRPr="0033698E">
              <w:t>UK</w:t>
            </w:r>
          </w:p>
        </w:tc>
        <w:tc>
          <w:tcPr>
            <w:tcW w:w="2268" w:type="dxa"/>
          </w:tcPr>
          <w:p w14:paraId="0D0ACED1" w14:textId="12242A09" w:rsidR="00E42F1F" w:rsidRPr="0033698E" w:rsidRDefault="00E42F1F" w:rsidP="00E42F1F">
            <w:pPr>
              <w:pStyle w:val="tbltext"/>
              <w:spacing w:before="80" w:line="200" w:lineRule="atLeast"/>
              <w:rPr>
                <w:sz w:val="24"/>
                <w:szCs w:val="24"/>
              </w:rPr>
            </w:pPr>
            <w:r w:rsidRPr="0033698E">
              <w:t>FTSE mid-250</w:t>
            </w:r>
          </w:p>
        </w:tc>
      </w:tr>
      <w:tr w:rsidR="00E42F1F" w:rsidRPr="0033698E" w14:paraId="2102C43F" w14:textId="77777777" w:rsidTr="00D3615D">
        <w:trPr>
          <w:cantSplit/>
        </w:trPr>
        <w:tc>
          <w:tcPr>
            <w:tcW w:w="2268" w:type="dxa"/>
          </w:tcPr>
          <w:p w14:paraId="6C0DD43A" w14:textId="77777777" w:rsidR="00E42F1F" w:rsidRPr="0033698E" w:rsidRDefault="00E42F1F" w:rsidP="00E42F1F">
            <w:pPr>
              <w:pStyle w:val="tbltext"/>
              <w:spacing w:before="80" w:line="200" w:lineRule="atLeast"/>
              <w:rPr>
                <w:sz w:val="24"/>
                <w:szCs w:val="24"/>
              </w:rPr>
            </w:pPr>
            <w:r w:rsidRPr="0033698E">
              <w:t>Japan</w:t>
            </w:r>
          </w:p>
        </w:tc>
        <w:tc>
          <w:tcPr>
            <w:tcW w:w="2268" w:type="dxa"/>
          </w:tcPr>
          <w:p w14:paraId="69939F3E" w14:textId="77777777" w:rsidR="00E42F1F" w:rsidRPr="0033698E" w:rsidRDefault="00E42F1F" w:rsidP="00E42F1F">
            <w:pPr>
              <w:pStyle w:val="tbltext"/>
              <w:spacing w:before="80" w:line="200" w:lineRule="atLeast"/>
              <w:rPr>
                <w:sz w:val="24"/>
                <w:szCs w:val="24"/>
              </w:rPr>
            </w:pPr>
            <w:r w:rsidRPr="0033698E">
              <w:t>Nikkei 225</w:t>
            </w:r>
          </w:p>
        </w:tc>
        <w:tc>
          <w:tcPr>
            <w:tcW w:w="2268" w:type="dxa"/>
          </w:tcPr>
          <w:p w14:paraId="5F50F632" w14:textId="19990FB7" w:rsidR="00E42F1F" w:rsidRPr="0033698E" w:rsidRDefault="00E42F1F" w:rsidP="00E42F1F">
            <w:pPr>
              <w:pStyle w:val="tbltext"/>
              <w:spacing w:before="80" w:line="200" w:lineRule="atLeast"/>
              <w:rPr>
                <w:sz w:val="24"/>
                <w:szCs w:val="24"/>
              </w:rPr>
            </w:pPr>
            <w:r w:rsidRPr="0033698E">
              <w:t>USA</w:t>
            </w:r>
          </w:p>
        </w:tc>
        <w:tc>
          <w:tcPr>
            <w:tcW w:w="2268" w:type="dxa"/>
          </w:tcPr>
          <w:p w14:paraId="4001D2DA" w14:textId="1FFC9D4C" w:rsidR="00E42F1F" w:rsidRPr="0033698E" w:rsidRDefault="00E42F1F" w:rsidP="00E42F1F">
            <w:pPr>
              <w:pStyle w:val="tbltext"/>
              <w:spacing w:before="80" w:line="200" w:lineRule="atLeast"/>
              <w:rPr>
                <w:sz w:val="20"/>
                <w:szCs w:val="20"/>
              </w:rPr>
            </w:pPr>
            <w:r w:rsidRPr="0033698E">
              <w:t>S&amp;P 500</w:t>
            </w:r>
          </w:p>
        </w:tc>
      </w:tr>
    </w:tbl>
    <w:p w14:paraId="022F7092" w14:textId="77777777" w:rsidR="00CA2E4E" w:rsidRPr="0033698E" w:rsidRDefault="00CA2E4E" w:rsidP="00CA2E4E">
      <w:pPr>
        <w:pStyle w:val="tabletitlefullwidth"/>
      </w:pPr>
      <w:r w:rsidRPr="00883651">
        <w:t>Table A5.1.7:</w:t>
      </w:r>
      <w:r w:rsidRPr="00883651">
        <w:tab/>
        <w:t>Foreign Exchange Position Risk Factors</w:t>
      </w:r>
    </w:p>
    <w:tbl>
      <w:tblPr>
        <w:tblW w:w="0" w:type="auto"/>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4995"/>
        <w:gridCol w:w="2235"/>
      </w:tblGrid>
      <w:tr w:rsidR="00A45D68" w:rsidRPr="0033698E" w14:paraId="3812E5D7" w14:textId="151DE34E" w:rsidTr="00D3615D">
        <w:trPr>
          <w:cantSplit/>
          <w:tblHeader/>
        </w:trPr>
        <w:tc>
          <w:tcPr>
            <w:tcW w:w="4995" w:type="dxa"/>
            <w:shd w:val="clear" w:color="auto" w:fill="C2E3FA"/>
          </w:tcPr>
          <w:p w14:paraId="49B252DE" w14:textId="58F35D63" w:rsidR="00A45D68" w:rsidRPr="0033698E" w:rsidRDefault="00A45D68" w:rsidP="009B6049">
            <w:pPr>
              <w:pStyle w:val="tablehead"/>
              <w:spacing w:before="80" w:line="200" w:lineRule="atLeast"/>
            </w:pPr>
            <w:r>
              <w:t xml:space="preserve">Standard Method </w:t>
            </w:r>
          </w:p>
        </w:tc>
        <w:tc>
          <w:tcPr>
            <w:tcW w:w="2235" w:type="dxa"/>
            <w:shd w:val="clear" w:color="auto" w:fill="C2E3FA"/>
          </w:tcPr>
          <w:p w14:paraId="62783194" w14:textId="0B529009" w:rsidR="00A45D68" w:rsidRPr="0033698E" w:rsidRDefault="00A45D68" w:rsidP="009B6049">
            <w:pPr>
              <w:pStyle w:val="tablehead"/>
              <w:spacing w:before="80" w:line="200" w:lineRule="atLeast"/>
            </w:pPr>
          </w:p>
        </w:tc>
      </w:tr>
      <w:tr w:rsidR="00A45D68" w:rsidRPr="0033698E" w14:paraId="1AF58944" w14:textId="146927FF" w:rsidTr="00D3615D">
        <w:trPr>
          <w:cantSplit/>
        </w:trPr>
        <w:tc>
          <w:tcPr>
            <w:tcW w:w="4995" w:type="dxa"/>
          </w:tcPr>
          <w:p w14:paraId="4808323C" w14:textId="54FD3DF4" w:rsidR="00A45D68" w:rsidRPr="0033698E" w:rsidRDefault="00A45D68" w:rsidP="007C1418">
            <w:pPr>
              <w:pStyle w:val="tbltext"/>
              <w:spacing w:before="80" w:line="200" w:lineRule="atLeast"/>
              <w:rPr>
                <w:sz w:val="24"/>
                <w:szCs w:val="24"/>
              </w:rPr>
            </w:pPr>
            <w:r w:rsidRPr="0033698E">
              <w:t xml:space="preserve">Foreign </w:t>
            </w:r>
            <w:r>
              <w:t>E</w:t>
            </w:r>
            <w:r w:rsidRPr="0033698E">
              <w:t xml:space="preserve">xchange—All </w:t>
            </w:r>
            <w:r>
              <w:t>c</w:t>
            </w:r>
            <w:r w:rsidRPr="0033698E">
              <w:t>urrencies</w:t>
            </w:r>
            <w:r>
              <w:t xml:space="preserve"> and gold</w:t>
            </w:r>
          </w:p>
        </w:tc>
        <w:tc>
          <w:tcPr>
            <w:tcW w:w="2235" w:type="dxa"/>
          </w:tcPr>
          <w:p w14:paraId="7D7C0C6C" w14:textId="77777777" w:rsidR="00A45D68" w:rsidRPr="0033698E" w:rsidRDefault="00A45D68" w:rsidP="00B171A0">
            <w:pPr>
              <w:pStyle w:val="tbltext"/>
              <w:spacing w:before="80" w:line="200" w:lineRule="atLeast"/>
              <w:ind w:right="851"/>
              <w:jc w:val="right"/>
              <w:rPr>
                <w:sz w:val="24"/>
                <w:szCs w:val="24"/>
              </w:rPr>
            </w:pPr>
            <w:r w:rsidRPr="0033698E">
              <w:t>8%</w:t>
            </w:r>
          </w:p>
        </w:tc>
      </w:tr>
    </w:tbl>
    <w:p w14:paraId="00B48B0D" w14:textId="77777777" w:rsidR="00E42F1F" w:rsidRPr="0033698E" w:rsidRDefault="00E42F1F" w:rsidP="00E42F1F">
      <w:pPr>
        <w:pStyle w:val="tabletitlefullwidth"/>
      </w:pPr>
      <w:r w:rsidRPr="0033698E">
        <w:t>Table A5.1.</w:t>
      </w:r>
      <w:r>
        <w:t>8</w:t>
      </w:r>
      <w:r w:rsidRPr="0033698E">
        <w:t>:</w:t>
      </w:r>
      <w:r w:rsidRPr="0033698E">
        <w:tab/>
      </w:r>
      <w:r>
        <w:t>Commodity</w:t>
      </w:r>
      <w:r w:rsidRPr="0033698E">
        <w:t xml:space="preserve"> Position Risk Factors</w:t>
      </w:r>
    </w:p>
    <w:tbl>
      <w:tblPr>
        <w:tblW w:w="0" w:type="auto"/>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4962"/>
        <w:gridCol w:w="2268"/>
      </w:tblGrid>
      <w:tr w:rsidR="00413505" w:rsidRPr="0033698E" w14:paraId="57E17C8F" w14:textId="77777777" w:rsidTr="00D3615D">
        <w:trPr>
          <w:cantSplit/>
          <w:tblHeader/>
        </w:trPr>
        <w:tc>
          <w:tcPr>
            <w:tcW w:w="7230" w:type="dxa"/>
            <w:gridSpan w:val="2"/>
            <w:shd w:val="clear" w:color="auto" w:fill="C2E3FA"/>
          </w:tcPr>
          <w:p w14:paraId="299BC501" w14:textId="77777777" w:rsidR="00413505" w:rsidRPr="0033698E" w:rsidRDefault="00413505" w:rsidP="009B6049">
            <w:pPr>
              <w:pStyle w:val="tablehead"/>
              <w:spacing w:before="80" w:line="200" w:lineRule="atLeast"/>
            </w:pPr>
            <w:r w:rsidRPr="0033698E">
              <w:t>Standard Method</w:t>
            </w:r>
          </w:p>
        </w:tc>
      </w:tr>
      <w:tr w:rsidR="00220808" w:rsidRPr="0033698E" w14:paraId="4AC8AB0D" w14:textId="77777777" w:rsidTr="00D3615D">
        <w:trPr>
          <w:cantSplit/>
        </w:trPr>
        <w:tc>
          <w:tcPr>
            <w:tcW w:w="4962" w:type="dxa"/>
          </w:tcPr>
          <w:p w14:paraId="522975CA" w14:textId="090820B1" w:rsidR="00220808" w:rsidRPr="0033698E" w:rsidRDefault="00220808" w:rsidP="005E517E">
            <w:pPr>
              <w:pStyle w:val="tbltext"/>
              <w:spacing w:before="80" w:line="200" w:lineRule="atLeast"/>
              <w:rPr>
                <w:sz w:val="24"/>
                <w:szCs w:val="24"/>
              </w:rPr>
            </w:pPr>
            <w:r>
              <w:t>Commodity Position Risk Factor</w:t>
            </w:r>
            <w:r w:rsidR="008751EC">
              <w:t>—</w:t>
            </w:r>
            <w:r>
              <w:t>All Commodity</w:t>
            </w:r>
            <w:r w:rsidRPr="0033698E">
              <w:t xml:space="preserve"> </w:t>
            </w:r>
            <w:r>
              <w:t>spot and derivative positions</w:t>
            </w:r>
          </w:p>
        </w:tc>
        <w:tc>
          <w:tcPr>
            <w:tcW w:w="2268" w:type="dxa"/>
          </w:tcPr>
          <w:p w14:paraId="1B98AA44" w14:textId="77777777" w:rsidR="00220808" w:rsidRPr="0033698E" w:rsidRDefault="00220808" w:rsidP="005E517E">
            <w:pPr>
              <w:pStyle w:val="tbltext"/>
              <w:spacing w:before="80" w:line="200" w:lineRule="atLeast"/>
              <w:ind w:right="851"/>
              <w:jc w:val="right"/>
              <w:rPr>
                <w:sz w:val="24"/>
                <w:szCs w:val="24"/>
              </w:rPr>
            </w:pPr>
            <w:r>
              <w:t>15</w:t>
            </w:r>
            <w:r w:rsidRPr="0033698E">
              <w:t>%</w:t>
            </w:r>
          </w:p>
        </w:tc>
      </w:tr>
      <w:tr w:rsidR="00E42F1F" w:rsidRPr="0033698E" w14:paraId="1842D1B1" w14:textId="77777777" w:rsidTr="00D3615D">
        <w:trPr>
          <w:cantSplit/>
        </w:trPr>
        <w:tc>
          <w:tcPr>
            <w:tcW w:w="4962" w:type="dxa"/>
          </w:tcPr>
          <w:p w14:paraId="00745D32" w14:textId="17DAD4C2" w:rsidR="00E42F1F" w:rsidRPr="0033698E" w:rsidRDefault="00220808" w:rsidP="00A665FF">
            <w:pPr>
              <w:pStyle w:val="tbltext"/>
              <w:spacing w:before="80" w:line="200" w:lineRule="atLeast"/>
              <w:rPr>
                <w:sz w:val="24"/>
                <w:szCs w:val="24"/>
              </w:rPr>
            </w:pPr>
            <w:r>
              <w:t xml:space="preserve">Gross </w:t>
            </w:r>
            <w:r w:rsidR="00280175">
              <w:t xml:space="preserve">Position Risk Factor </w:t>
            </w:r>
          </w:p>
        </w:tc>
        <w:tc>
          <w:tcPr>
            <w:tcW w:w="2268" w:type="dxa"/>
          </w:tcPr>
          <w:p w14:paraId="0B27FDDE" w14:textId="07615A44" w:rsidR="00E42F1F" w:rsidRPr="0033698E" w:rsidRDefault="00220808" w:rsidP="00A665FF">
            <w:pPr>
              <w:pStyle w:val="tbltext"/>
              <w:spacing w:before="80" w:line="200" w:lineRule="atLeast"/>
              <w:ind w:right="851"/>
              <w:jc w:val="right"/>
              <w:rPr>
                <w:sz w:val="24"/>
                <w:szCs w:val="24"/>
              </w:rPr>
            </w:pPr>
            <w:r>
              <w:t>3</w:t>
            </w:r>
            <w:r w:rsidR="00E42F1F" w:rsidRPr="0033698E">
              <w:t>%</w:t>
            </w:r>
          </w:p>
        </w:tc>
      </w:tr>
    </w:tbl>
    <w:p w14:paraId="53ACCF70" w14:textId="6F301E0A" w:rsidR="00CA2E4E" w:rsidRPr="0033698E" w:rsidRDefault="00CA2E4E" w:rsidP="00203B23">
      <w:pPr>
        <w:pStyle w:val="MIRHeading2Part"/>
        <w:tabs>
          <w:tab w:val="left" w:pos="1701"/>
        </w:tabs>
      </w:pPr>
      <w:bookmarkStart w:id="94" w:name="_Toc27492607"/>
      <w:r w:rsidRPr="0033698E">
        <w:lastRenderedPageBreak/>
        <w:t>Part A5.2</w:t>
      </w:r>
      <w:r>
        <w:tab/>
      </w:r>
      <w:r w:rsidRPr="0033698E">
        <w:t>Counterparty Risk</w:t>
      </w:r>
      <w:bookmarkEnd w:id="94"/>
    </w:p>
    <w:p w14:paraId="279ECE56" w14:textId="77777777" w:rsidR="00CA2E4E" w:rsidRPr="0033698E" w:rsidRDefault="00CA2E4E" w:rsidP="00CA2E4E">
      <w:pPr>
        <w:pStyle w:val="tabletitlefullwidth"/>
      </w:pPr>
      <w:r w:rsidRPr="0033698E">
        <w:t>Table A5.2.1:</w:t>
      </w:r>
      <w:r w:rsidRPr="0033698E">
        <w:tab/>
        <w:t>Risk Weightings</w:t>
      </w:r>
    </w:p>
    <w:tbl>
      <w:tblPr>
        <w:tblW w:w="0" w:type="auto"/>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5670"/>
        <w:gridCol w:w="1701"/>
      </w:tblGrid>
      <w:tr w:rsidR="00CA2E4E" w:rsidRPr="0033698E" w14:paraId="48BFCBC5" w14:textId="77777777" w:rsidTr="00D3615D">
        <w:trPr>
          <w:cantSplit/>
          <w:tblHeader/>
        </w:trPr>
        <w:tc>
          <w:tcPr>
            <w:tcW w:w="5670" w:type="dxa"/>
            <w:shd w:val="clear" w:color="auto" w:fill="C2E3FA"/>
          </w:tcPr>
          <w:p w14:paraId="125E7A22" w14:textId="77777777" w:rsidR="00CA2E4E" w:rsidRPr="0033698E" w:rsidRDefault="00CA2E4E" w:rsidP="008D5F96">
            <w:pPr>
              <w:pStyle w:val="tablehead"/>
              <w:spacing w:before="140" w:line="260" w:lineRule="atLeast"/>
            </w:pPr>
            <w:r w:rsidRPr="0033698E">
              <w:t>Counterparty</w:t>
            </w:r>
          </w:p>
        </w:tc>
        <w:tc>
          <w:tcPr>
            <w:tcW w:w="1701" w:type="dxa"/>
            <w:shd w:val="clear" w:color="auto" w:fill="C2E3FA"/>
          </w:tcPr>
          <w:p w14:paraId="4D80295E" w14:textId="77777777" w:rsidR="00CA2E4E" w:rsidRPr="0033698E" w:rsidRDefault="00CA2E4E" w:rsidP="008D5F96">
            <w:pPr>
              <w:pStyle w:val="tablehead"/>
              <w:spacing w:before="140" w:line="260" w:lineRule="atLeast"/>
              <w:jc w:val="center"/>
            </w:pPr>
            <w:r w:rsidRPr="0033698E">
              <w:t>Counterparty Risk Weighting</w:t>
            </w:r>
          </w:p>
        </w:tc>
      </w:tr>
      <w:tr w:rsidR="00CA2E4E" w:rsidRPr="0033698E" w14:paraId="732E839A" w14:textId="77777777" w:rsidTr="00D3615D">
        <w:trPr>
          <w:cantSplit/>
        </w:trPr>
        <w:tc>
          <w:tcPr>
            <w:tcW w:w="5670" w:type="dxa"/>
          </w:tcPr>
          <w:p w14:paraId="00F92F7E" w14:textId="061E5DCA" w:rsidR="00CA2E4E" w:rsidRPr="0033698E" w:rsidRDefault="00CA2E4E" w:rsidP="00DD0D5E">
            <w:pPr>
              <w:pStyle w:val="tbltext"/>
              <w:spacing w:before="140" w:line="260" w:lineRule="atLeast"/>
              <w:rPr>
                <w:sz w:val="24"/>
                <w:szCs w:val="24"/>
              </w:rPr>
            </w:pPr>
            <w:r w:rsidRPr="0033698E">
              <w:t xml:space="preserve">Central </w:t>
            </w:r>
            <w:r w:rsidR="00DD0D5E">
              <w:t>b</w:t>
            </w:r>
            <w:r w:rsidRPr="0033698E">
              <w:t>anks in countries that are members of the OECD</w:t>
            </w:r>
          </w:p>
        </w:tc>
        <w:tc>
          <w:tcPr>
            <w:tcW w:w="1701" w:type="dxa"/>
          </w:tcPr>
          <w:p w14:paraId="729FAFF7" w14:textId="77777777" w:rsidR="00CA2E4E" w:rsidRPr="0033698E" w:rsidRDefault="00CA2E4E" w:rsidP="008D5F96">
            <w:pPr>
              <w:pStyle w:val="tbltext"/>
              <w:spacing w:before="140" w:line="260" w:lineRule="atLeast"/>
              <w:ind w:right="567"/>
              <w:jc w:val="right"/>
              <w:rPr>
                <w:sz w:val="24"/>
                <w:szCs w:val="24"/>
              </w:rPr>
            </w:pPr>
            <w:r w:rsidRPr="0033698E">
              <w:t>0%</w:t>
            </w:r>
          </w:p>
        </w:tc>
      </w:tr>
      <w:tr w:rsidR="00CA2E4E" w:rsidRPr="0033698E" w14:paraId="2C2D3B19" w14:textId="77777777" w:rsidTr="00D3615D">
        <w:trPr>
          <w:cantSplit/>
        </w:trPr>
        <w:tc>
          <w:tcPr>
            <w:tcW w:w="5670" w:type="dxa"/>
          </w:tcPr>
          <w:p w14:paraId="5A7B8D53" w14:textId="5B2A8C44" w:rsidR="00CA2E4E" w:rsidRPr="0033698E" w:rsidRDefault="00CA2E4E" w:rsidP="00DD0D5E">
            <w:pPr>
              <w:pStyle w:val="tbltext"/>
              <w:spacing w:before="140" w:line="260" w:lineRule="atLeast"/>
              <w:rPr>
                <w:sz w:val="24"/>
                <w:szCs w:val="24"/>
              </w:rPr>
            </w:pPr>
            <w:r w:rsidRPr="0033698E">
              <w:t xml:space="preserve">Central and </w:t>
            </w:r>
            <w:r w:rsidR="00DD0D5E">
              <w:t>s</w:t>
            </w:r>
            <w:r w:rsidRPr="0033698E">
              <w:t xml:space="preserve">tate </w:t>
            </w:r>
            <w:r w:rsidR="00DD0D5E">
              <w:t>g</w:t>
            </w:r>
            <w:r w:rsidRPr="0033698E">
              <w:t xml:space="preserve">overnments in countries that are members of the OECD where the </w:t>
            </w:r>
            <w:r w:rsidR="00DD0D5E">
              <w:t>c</w:t>
            </w:r>
            <w:r w:rsidRPr="0033698E">
              <w:t xml:space="preserve">entral or </w:t>
            </w:r>
            <w:r w:rsidR="00DD0D5E">
              <w:t>s</w:t>
            </w:r>
            <w:r w:rsidRPr="0033698E">
              <w:t xml:space="preserve">tate </w:t>
            </w:r>
            <w:r w:rsidR="00DD0D5E">
              <w:t>g</w:t>
            </w:r>
            <w:r w:rsidRPr="0033698E">
              <w:t xml:space="preserve">overnment Counterparty is guaranteed by the </w:t>
            </w:r>
            <w:r w:rsidR="00DD0D5E">
              <w:t>g</w:t>
            </w:r>
            <w:r w:rsidRPr="0033698E">
              <w:t>overnment or receives appropriations from government revenue</w:t>
            </w:r>
          </w:p>
        </w:tc>
        <w:tc>
          <w:tcPr>
            <w:tcW w:w="1701" w:type="dxa"/>
          </w:tcPr>
          <w:p w14:paraId="50E99606" w14:textId="77777777" w:rsidR="00CA2E4E" w:rsidRPr="0033698E" w:rsidRDefault="00CA2E4E" w:rsidP="008D5F96">
            <w:pPr>
              <w:pStyle w:val="tbltext"/>
              <w:spacing w:before="140" w:line="260" w:lineRule="atLeast"/>
              <w:ind w:right="567"/>
              <w:jc w:val="right"/>
              <w:rPr>
                <w:sz w:val="24"/>
                <w:szCs w:val="24"/>
              </w:rPr>
            </w:pPr>
            <w:r w:rsidRPr="0033698E">
              <w:t>10%</w:t>
            </w:r>
          </w:p>
        </w:tc>
      </w:tr>
      <w:tr w:rsidR="00CA2E4E" w:rsidRPr="0033698E" w14:paraId="650221CA" w14:textId="77777777" w:rsidTr="00D3615D">
        <w:trPr>
          <w:cantSplit/>
        </w:trPr>
        <w:tc>
          <w:tcPr>
            <w:tcW w:w="5670" w:type="dxa"/>
          </w:tcPr>
          <w:p w14:paraId="5E40FC88" w14:textId="20494169" w:rsidR="00CA2E4E" w:rsidRPr="00E85986" w:rsidRDefault="00CA2E4E" w:rsidP="00E3278E">
            <w:pPr>
              <w:pStyle w:val="tbltext"/>
              <w:spacing w:before="140" w:line="260" w:lineRule="atLeast"/>
              <w:rPr>
                <w:sz w:val="24"/>
                <w:szCs w:val="24"/>
              </w:rPr>
            </w:pPr>
            <w:r w:rsidRPr="00E85986">
              <w:t>Banks</w:t>
            </w:r>
            <w:r w:rsidRPr="00E85986">
              <w:br/>
              <w:t xml:space="preserve">Local </w:t>
            </w:r>
            <w:r w:rsidR="00DD0D5E">
              <w:t>g</w:t>
            </w:r>
            <w:r w:rsidRPr="00E85986">
              <w:t>overnments in countries that are members of the OECD</w:t>
            </w:r>
            <w:r w:rsidRPr="00E85986">
              <w:br/>
            </w:r>
            <w:r w:rsidR="00E3278E">
              <w:t>Approved Deposit Taking Institutions</w:t>
            </w:r>
            <w:r w:rsidRPr="00E85986">
              <w:t xml:space="preserve"> (other than </w:t>
            </w:r>
            <w:r w:rsidR="00DD0D5E">
              <w:t>b</w:t>
            </w:r>
            <w:r w:rsidRPr="00E85986">
              <w:t>anks)</w:t>
            </w:r>
            <w:r w:rsidRPr="00E85986">
              <w:br/>
            </w:r>
            <w:r w:rsidR="00E42F1F">
              <w:t xml:space="preserve">Market </w:t>
            </w:r>
            <w:r w:rsidRPr="00E85986">
              <w:t xml:space="preserve">Participants </w:t>
            </w:r>
            <w:r w:rsidR="00E42F1F">
              <w:t>subject to</w:t>
            </w:r>
            <w:r w:rsidRPr="00E85986">
              <w:t xml:space="preserve"> the Risk</w:t>
            </w:r>
            <w:r w:rsidR="00D973E2">
              <w:t>-</w:t>
            </w:r>
            <w:r w:rsidRPr="00E85986">
              <w:t>Based Capital Requirements</w:t>
            </w:r>
            <w:r w:rsidRPr="00E85986">
              <w:br/>
              <w:t>ASX Clear Participants that comply with the equivalent requirements under the ASX Clear Operating Rules</w:t>
            </w:r>
          </w:p>
        </w:tc>
        <w:tc>
          <w:tcPr>
            <w:tcW w:w="1701" w:type="dxa"/>
          </w:tcPr>
          <w:p w14:paraId="7E24CE0F" w14:textId="77777777" w:rsidR="00CA2E4E" w:rsidRPr="0033698E" w:rsidRDefault="00CA2E4E" w:rsidP="008D5F96">
            <w:pPr>
              <w:pStyle w:val="tbltext"/>
              <w:spacing w:before="140" w:line="260" w:lineRule="atLeast"/>
              <w:ind w:right="567"/>
              <w:jc w:val="right"/>
              <w:rPr>
                <w:sz w:val="24"/>
                <w:szCs w:val="24"/>
              </w:rPr>
            </w:pPr>
            <w:r w:rsidRPr="0033698E">
              <w:t>20%</w:t>
            </w:r>
          </w:p>
        </w:tc>
      </w:tr>
      <w:tr w:rsidR="00CA2E4E" w:rsidRPr="0033698E" w14:paraId="21584A9A" w14:textId="77777777" w:rsidTr="00D3615D">
        <w:trPr>
          <w:cantSplit/>
        </w:trPr>
        <w:tc>
          <w:tcPr>
            <w:tcW w:w="5670" w:type="dxa"/>
          </w:tcPr>
          <w:p w14:paraId="591A7878" w14:textId="33BCE56E" w:rsidR="00CA2E4E" w:rsidRDefault="00CA2E4E" w:rsidP="00276CE4">
            <w:pPr>
              <w:pStyle w:val="tbltext"/>
              <w:spacing w:before="140" w:line="260" w:lineRule="atLeast"/>
            </w:pPr>
            <w:r w:rsidRPr="00E85986">
              <w:t>Approved Institutions</w:t>
            </w:r>
            <w:r w:rsidRPr="00E85986">
              <w:br/>
            </w:r>
            <w:r w:rsidR="00E42F1F">
              <w:t xml:space="preserve">Market </w:t>
            </w:r>
            <w:r w:rsidRPr="00E85986">
              <w:t>Participants</w:t>
            </w:r>
            <w:r w:rsidR="00276CE4">
              <w:t xml:space="preserve"> </w:t>
            </w:r>
            <w:r w:rsidR="00E42F1F">
              <w:t>subject to</w:t>
            </w:r>
            <w:r w:rsidRPr="00E85986">
              <w:t xml:space="preserve"> the NTA Requirements</w:t>
            </w:r>
            <w:r w:rsidRPr="00E85986">
              <w:br/>
              <w:t xml:space="preserve">ASX Clear </w:t>
            </w:r>
            <w:r w:rsidR="00FE5098">
              <w:t xml:space="preserve">(Futures) </w:t>
            </w:r>
            <w:r w:rsidRPr="00E85986">
              <w:t xml:space="preserve">Participants that comply with the </w:t>
            </w:r>
            <w:r w:rsidR="00AF3A91">
              <w:t>capital</w:t>
            </w:r>
            <w:r w:rsidR="00AF3A91" w:rsidRPr="00E85986">
              <w:t xml:space="preserve"> </w:t>
            </w:r>
            <w:r w:rsidRPr="00E85986">
              <w:t xml:space="preserve">requirements under the ASX Clear </w:t>
            </w:r>
            <w:r w:rsidR="00FE5098">
              <w:t xml:space="preserve">(Futures) </w:t>
            </w:r>
            <w:r w:rsidRPr="00E85986">
              <w:t>Operating Rules</w:t>
            </w:r>
          </w:p>
          <w:p w14:paraId="1DD72477" w14:textId="57018F99" w:rsidR="000F375E" w:rsidRPr="00E85986" w:rsidRDefault="000F375E" w:rsidP="00276CE4">
            <w:pPr>
              <w:pStyle w:val="tbltext"/>
              <w:spacing w:before="140" w:line="260" w:lineRule="atLeast"/>
              <w:rPr>
                <w:sz w:val="24"/>
                <w:szCs w:val="24"/>
              </w:rPr>
            </w:pPr>
            <w:bookmarkStart w:id="95" w:name="_Hlk22570933"/>
            <w:r>
              <w:t>A participant of the clearing and settlement facility operated by CME that complies with capital requirements under the operating rules of CME</w:t>
            </w:r>
            <w:bookmarkEnd w:id="95"/>
            <w:r>
              <w:t>.</w:t>
            </w:r>
          </w:p>
        </w:tc>
        <w:tc>
          <w:tcPr>
            <w:tcW w:w="1701" w:type="dxa"/>
          </w:tcPr>
          <w:p w14:paraId="619EBA27" w14:textId="77777777" w:rsidR="00CA2E4E" w:rsidRPr="0033698E" w:rsidRDefault="00CA2E4E" w:rsidP="008D5F96">
            <w:pPr>
              <w:pStyle w:val="tbltext"/>
              <w:spacing w:before="140" w:line="260" w:lineRule="atLeast"/>
              <w:ind w:right="567"/>
              <w:jc w:val="right"/>
              <w:rPr>
                <w:sz w:val="24"/>
                <w:szCs w:val="24"/>
              </w:rPr>
            </w:pPr>
            <w:r w:rsidRPr="0033698E">
              <w:t>50%</w:t>
            </w:r>
          </w:p>
        </w:tc>
      </w:tr>
      <w:tr w:rsidR="00CA2E4E" w:rsidRPr="0033698E" w14:paraId="2C8762A0" w14:textId="77777777" w:rsidTr="00D3615D">
        <w:trPr>
          <w:cantSplit/>
        </w:trPr>
        <w:tc>
          <w:tcPr>
            <w:tcW w:w="5670" w:type="dxa"/>
          </w:tcPr>
          <w:p w14:paraId="5332C704" w14:textId="77777777" w:rsidR="00CA2E4E" w:rsidRPr="0033698E" w:rsidRDefault="00CA2E4E" w:rsidP="008D5F96">
            <w:pPr>
              <w:pStyle w:val="tbltext"/>
              <w:spacing w:before="140" w:line="260" w:lineRule="atLeast"/>
            </w:pPr>
            <w:r w:rsidRPr="0033698E">
              <w:t>Other, including:</w:t>
            </w:r>
          </w:p>
          <w:p w14:paraId="5E09D2D2" w14:textId="399EF784" w:rsidR="00CA2E4E" w:rsidRPr="0033698E" w:rsidRDefault="00DD0D5E" w:rsidP="008D5F96">
            <w:pPr>
              <w:pStyle w:val="tablebullet"/>
              <w:spacing w:before="140" w:line="260" w:lineRule="atLeast"/>
            </w:pPr>
            <w:r>
              <w:t>c</w:t>
            </w:r>
            <w:r w:rsidR="00CA2E4E" w:rsidRPr="0033698E">
              <w:t xml:space="preserve">entral </w:t>
            </w:r>
            <w:r>
              <w:t>b</w:t>
            </w:r>
            <w:r w:rsidR="00CA2E4E" w:rsidRPr="0033698E">
              <w:t xml:space="preserve">anks, </w:t>
            </w:r>
            <w:r>
              <w:t>c</w:t>
            </w:r>
            <w:r w:rsidR="00CA2E4E" w:rsidRPr="0033698E">
              <w:t xml:space="preserve">entral, </w:t>
            </w:r>
            <w:r>
              <w:t>s</w:t>
            </w:r>
            <w:r w:rsidR="00CA2E4E" w:rsidRPr="0033698E">
              <w:t xml:space="preserve">tate and </w:t>
            </w:r>
            <w:r>
              <w:t>l</w:t>
            </w:r>
            <w:r w:rsidR="00CA2E4E" w:rsidRPr="0033698E">
              <w:t xml:space="preserve">ocal </w:t>
            </w:r>
            <w:r>
              <w:t>g</w:t>
            </w:r>
            <w:r w:rsidR="00CA2E4E" w:rsidRPr="0033698E">
              <w:t>overnments in countries that are not members of the OECD</w:t>
            </w:r>
          </w:p>
          <w:p w14:paraId="39E9B17C" w14:textId="77777777" w:rsidR="00CA2E4E" w:rsidRPr="0033698E" w:rsidRDefault="00CA2E4E" w:rsidP="008D5F96">
            <w:pPr>
              <w:pStyle w:val="tablebullet"/>
              <w:spacing w:before="140" w:line="260" w:lineRule="atLeast"/>
            </w:pPr>
            <w:r w:rsidRPr="0033698E">
              <w:t>all public trading enterprises in Australia which have corporate status, operate on a commercial basis or operate on a not-for-profit basis</w:t>
            </w:r>
          </w:p>
        </w:tc>
        <w:tc>
          <w:tcPr>
            <w:tcW w:w="1701" w:type="dxa"/>
          </w:tcPr>
          <w:p w14:paraId="554AAACD" w14:textId="77777777" w:rsidR="00CA2E4E" w:rsidRPr="0033698E" w:rsidRDefault="00CA2E4E" w:rsidP="008D5F96">
            <w:pPr>
              <w:pStyle w:val="tbltext"/>
              <w:spacing w:before="140" w:line="260" w:lineRule="atLeast"/>
              <w:ind w:right="567"/>
              <w:jc w:val="right"/>
            </w:pPr>
            <w:r w:rsidRPr="0033698E">
              <w:t>100%</w:t>
            </w:r>
          </w:p>
        </w:tc>
      </w:tr>
    </w:tbl>
    <w:p w14:paraId="60DF5A08" w14:textId="77777777" w:rsidR="00CA2E4E" w:rsidRPr="0033698E" w:rsidRDefault="00CA2E4E" w:rsidP="00CA2E4E">
      <w:pPr>
        <w:pStyle w:val="tabletitlefullwidth"/>
      </w:pPr>
      <w:r w:rsidRPr="0033698E">
        <w:t>Table A5.2.2:</w:t>
      </w:r>
      <w:r w:rsidRPr="0033698E">
        <w:tab/>
        <w:t>Potential Credit Exposure Factors</w:t>
      </w:r>
    </w:p>
    <w:tbl>
      <w:tblPr>
        <w:tblW w:w="8789"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665"/>
        <w:gridCol w:w="1531"/>
        <w:gridCol w:w="1531"/>
        <w:gridCol w:w="1531"/>
        <w:gridCol w:w="1531"/>
      </w:tblGrid>
      <w:tr w:rsidR="00D2182E" w:rsidRPr="0033698E" w14:paraId="49DD0B73" w14:textId="22C051D1" w:rsidTr="00D3615D">
        <w:trPr>
          <w:cantSplit/>
          <w:tblHeader/>
        </w:trPr>
        <w:tc>
          <w:tcPr>
            <w:tcW w:w="2665" w:type="dxa"/>
            <w:shd w:val="clear" w:color="auto" w:fill="C2E3FA"/>
          </w:tcPr>
          <w:p w14:paraId="738DD0CD" w14:textId="77777777" w:rsidR="00E42F1F" w:rsidRPr="0033698E" w:rsidRDefault="00E42F1F" w:rsidP="008D5F96">
            <w:pPr>
              <w:pStyle w:val="tablehead"/>
              <w:spacing w:before="140" w:line="260" w:lineRule="atLeast"/>
              <w:rPr>
                <w:sz w:val="24"/>
                <w:szCs w:val="24"/>
              </w:rPr>
            </w:pPr>
            <w:r w:rsidRPr="0033698E">
              <w:t>Remaining Time to Maturity</w:t>
            </w:r>
          </w:p>
        </w:tc>
        <w:tc>
          <w:tcPr>
            <w:tcW w:w="1531" w:type="dxa"/>
            <w:shd w:val="clear" w:color="auto" w:fill="C2E3FA"/>
          </w:tcPr>
          <w:p w14:paraId="229037E5" w14:textId="77777777" w:rsidR="00E42F1F" w:rsidRPr="0033698E" w:rsidRDefault="00E42F1F" w:rsidP="008D5F96">
            <w:pPr>
              <w:pStyle w:val="tablehead"/>
              <w:spacing w:before="140" w:line="260" w:lineRule="atLeast"/>
              <w:jc w:val="center"/>
              <w:rPr>
                <w:sz w:val="24"/>
                <w:szCs w:val="24"/>
              </w:rPr>
            </w:pPr>
            <w:r w:rsidRPr="0033698E">
              <w:t>Equity</w:t>
            </w:r>
          </w:p>
        </w:tc>
        <w:tc>
          <w:tcPr>
            <w:tcW w:w="1531" w:type="dxa"/>
            <w:shd w:val="clear" w:color="auto" w:fill="C2E3FA"/>
          </w:tcPr>
          <w:p w14:paraId="11BD0391" w14:textId="77777777" w:rsidR="00E42F1F" w:rsidRPr="0033698E" w:rsidRDefault="00E42F1F" w:rsidP="008D5F96">
            <w:pPr>
              <w:pStyle w:val="tablehead"/>
              <w:spacing w:before="140" w:line="260" w:lineRule="atLeast"/>
              <w:jc w:val="center"/>
              <w:rPr>
                <w:sz w:val="24"/>
                <w:szCs w:val="24"/>
              </w:rPr>
            </w:pPr>
            <w:r w:rsidRPr="0033698E">
              <w:t>Debt</w:t>
            </w:r>
          </w:p>
        </w:tc>
        <w:tc>
          <w:tcPr>
            <w:tcW w:w="1531" w:type="dxa"/>
            <w:shd w:val="clear" w:color="auto" w:fill="C2E3FA"/>
          </w:tcPr>
          <w:p w14:paraId="1B3E8E12" w14:textId="7BA2BB72" w:rsidR="00E42F1F" w:rsidRPr="009B0BF5" w:rsidRDefault="00E42F1F" w:rsidP="008D5F96">
            <w:pPr>
              <w:pStyle w:val="tablehead"/>
              <w:spacing w:before="140" w:line="260" w:lineRule="atLeast"/>
              <w:jc w:val="center"/>
              <w:rPr>
                <w:spacing w:val="-4"/>
                <w:sz w:val="24"/>
                <w:szCs w:val="24"/>
              </w:rPr>
            </w:pPr>
            <w:r w:rsidRPr="009B0BF5">
              <w:rPr>
                <w:spacing w:val="-4"/>
              </w:rPr>
              <w:t>Foreign Exchange</w:t>
            </w:r>
            <w:r w:rsidR="00B122A0">
              <w:rPr>
                <w:spacing w:val="-4"/>
              </w:rPr>
              <w:t xml:space="preserve"> (including gold)</w:t>
            </w:r>
          </w:p>
        </w:tc>
        <w:tc>
          <w:tcPr>
            <w:tcW w:w="1531" w:type="dxa"/>
            <w:shd w:val="clear" w:color="auto" w:fill="C2E3FA"/>
          </w:tcPr>
          <w:p w14:paraId="470F7C5E" w14:textId="0851EC9B" w:rsidR="00E42F1F" w:rsidRPr="0033698E" w:rsidRDefault="00E42F1F" w:rsidP="008D5F96">
            <w:pPr>
              <w:pStyle w:val="tablehead"/>
              <w:spacing w:before="140" w:line="260" w:lineRule="atLeast"/>
              <w:jc w:val="center"/>
            </w:pPr>
            <w:r>
              <w:t>Commodity</w:t>
            </w:r>
          </w:p>
        </w:tc>
      </w:tr>
      <w:tr w:rsidR="00D2182E" w:rsidRPr="0033698E" w14:paraId="19060B83" w14:textId="20659A95" w:rsidTr="00D3615D">
        <w:trPr>
          <w:cantSplit/>
        </w:trPr>
        <w:tc>
          <w:tcPr>
            <w:tcW w:w="2665" w:type="dxa"/>
          </w:tcPr>
          <w:p w14:paraId="400D1C7C" w14:textId="77777777" w:rsidR="00E42F1F" w:rsidRPr="0033698E" w:rsidRDefault="00E42F1F" w:rsidP="008D5F96">
            <w:pPr>
              <w:pStyle w:val="tbltext"/>
              <w:spacing w:before="140" w:line="260" w:lineRule="atLeast"/>
              <w:rPr>
                <w:sz w:val="24"/>
                <w:szCs w:val="24"/>
              </w:rPr>
            </w:pPr>
            <w:r w:rsidRPr="0033698E">
              <w:t>One year or less</w:t>
            </w:r>
          </w:p>
        </w:tc>
        <w:tc>
          <w:tcPr>
            <w:tcW w:w="1531" w:type="dxa"/>
          </w:tcPr>
          <w:p w14:paraId="520A957E" w14:textId="77777777" w:rsidR="00E42F1F" w:rsidRPr="0033698E" w:rsidRDefault="00E42F1F" w:rsidP="008D5F96">
            <w:pPr>
              <w:pStyle w:val="tbltext"/>
              <w:spacing w:before="140" w:line="260" w:lineRule="atLeast"/>
              <w:jc w:val="center"/>
              <w:rPr>
                <w:sz w:val="24"/>
                <w:szCs w:val="24"/>
              </w:rPr>
            </w:pPr>
            <w:r w:rsidRPr="0033698E">
              <w:t>6.0%</w:t>
            </w:r>
          </w:p>
        </w:tc>
        <w:tc>
          <w:tcPr>
            <w:tcW w:w="1531" w:type="dxa"/>
          </w:tcPr>
          <w:p w14:paraId="7B15D172" w14:textId="77777777" w:rsidR="00E42F1F" w:rsidRPr="0033698E" w:rsidRDefault="00E42F1F" w:rsidP="008D5F96">
            <w:pPr>
              <w:pStyle w:val="tbltext"/>
              <w:spacing w:before="140" w:line="260" w:lineRule="atLeast"/>
              <w:jc w:val="center"/>
              <w:rPr>
                <w:sz w:val="24"/>
                <w:szCs w:val="24"/>
              </w:rPr>
            </w:pPr>
            <w:r w:rsidRPr="0033698E">
              <w:t>0.0%</w:t>
            </w:r>
          </w:p>
        </w:tc>
        <w:tc>
          <w:tcPr>
            <w:tcW w:w="1531" w:type="dxa"/>
          </w:tcPr>
          <w:p w14:paraId="0F10F7FB" w14:textId="77777777" w:rsidR="00E42F1F" w:rsidRPr="0033698E" w:rsidRDefault="00E42F1F" w:rsidP="008D5F96">
            <w:pPr>
              <w:pStyle w:val="tbltext"/>
              <w:spacing w:before="140" w:line="260" w:lineRule="atLeast"/>
              <w:jc w:val="center"/>
              <w:rPr>
                <w:sz w:val="24"/>
                <w:szCs w:val="24"/>
              </w:rPr>
            </w:pPr>
            <w:r w:rsidRPr="0033698E">
              <w:t>1.0%</w:t>
            </w:r>
          </w:p>
        </w:tc>
        <w:tc>
          <w:tcPr>
            <w:tcW w:w="1531" w:type="dxa"/>
          </w:tcPr>
          <w:p w14:paraId="74E809DC" w14:textId="5E98B080" w:rsidR="00E42F1F" w:rsidRPr="0033698E" w:rsidRDefault="00E42F1F" w:rsidP="008D5F96">
            <w:pPr>
              <w:pStyle w:val="tbltext"/>
              <w:spacing w:before="140" w:line="260" w:lineRule="atLeast"/>
              <w:jc w:val="center"/>
            </w:pPr>
            <w:r>
              <w:t>10%</w:t>
            </w:r>
          </w:p>
        </w:tc>
      </w:tr>
      <w:tr w:rsidR="00D2182E" w:rsidRPr="0033698E" w14:paraId="3D9656A6" w14:textId="242A0F80" w:rsidTr="00D3615D">
        <w:trPr>
          <w:cantSplit/>
        </w:trPr>
        <w:tc>
          <w:tcPr>
            <w:tcW w:w="2665" w:type="dxa"/>
          </w:tcPr>
          <w:p w14:paraId="17F46454" w14:textId="453EAF0C" w:rsidR="00E42F1F" w:rsidRPr="0033698E" w:rsidRDefault="00E42F1F" w:rsidP="008D5F96">
            <w:pPr>
              <w:pStyle w:val="tbltext"/>
              <w:spacing w:before="140" w:line="260" w:lineRule="atLeast"/>
              <w:rPr>
                <w:sz w:val="24"/>
                <w:szCs w:val="24"/>
              </w:rPr>
            </w:pPr>
            <w:r w:rsidRPr="0033698E">
              <w:t xml:space="preserve">Over one year to </w:t>
            </w:r>
            <w:r w:rsidR="00D2182E">
              <w:t>five</w:t>
            </w:r>
            <w:r w:rsidR="00D2182E" w:rsidRPr="0033698E">
              <w:t xml:space="preserve"> </w:t>
            </w:r>
            <w:r w:rsidRPr="0033698E">
              <w:t>years</w:t>
            </w:r>
          </w:p>
        </w:tc>
        <w:tc>
          <w:tcPr>
            <w:tcW w:w="1531" w:type="dxa"/>
          </w:tcPr>
          <w:p w14:paraId="15B9A5C9" w14:textId="77777777" w:rsidR="00E42F1F" w:rsidRPr="0033698E" w:rsidRDefault="00E42F1F" w:rsidP="008D5F96">
            <w:pPr>
              <w:pStyle w:val="tbltext"/>
              <w:spacing w:before="140" w:line="260" w:lineRule="atLeast"/>
              <w:jc w:val="center"/>
              <w:rPr>
                <w:sz w:val="24"/>
                <w:szCs w:val="24"/>
              </w:rPr>
            </w:pPr>
            <w:r w:rsidRPr="0033698E">
              <w:t>8.0%</w:t>
            </w:r>
          </w:p>
        </w:tc>
        <w:tc>
          <w:tcPr>
            <w:tcW w:w="1531" w:type="dxa"/>
          </w:tcPr>
          <w:p w14:paraId="0E19DD80" w14:textId="77777777" w:rsidR="00E42F1F" w:rsidRPr="0033698E" w:rsidRDefault="00E42F1F" w:rsidP="008D5F96">
            <w:pPr>
              <w:pStyle w:val="tbltext"/>
              <w:spacing w:before="140" w:line="260" w:lineRule="atLeast"/>
              <w:jc w:val="center"/>
              <w:rPr>
                <w:sz w:val="24"/>
                <w:szCs w:val="24"/>
              </w:rPr>
            </w:pPr>
            <w:r w:rsidRPr="0033698E">
              <w:t>0.5%</w:t>
            </w:r>
          </w:p>
        </w:tc>
        <w:tc>
          <w:tcPr>
            <w:tcW w:w="1531" w:type="dxa"/>
          </w:tcPr>
          <w:p w14:paraId="115323F0" w14:textId="77777777" w:rsidR="00E42F1F" w:rsidRPr="0033698E" w:rsidRDefault="00E42F1F" w:rsidP="008D5F96">
            <w:pPr>
              <w:pStyle w:val="tbltext"/>
              <w:spacing w:before="140" w:line="260" w:lineRule="atLeast"/>
              <w:jc w:val="center"/>
              <w:rPr>
                <w:sz w:val="24"/>
                <w:szCs w:val="24"/>
              </w:rPr>
            </w:pPr>
            <w:r w:rsidRPr="0033698E">
              <w:t>5.0%</w:t>
            </w:r>
          </w:p>
        </w:tc>
        <w:tc>
          <w:tcPr>
            <w:tcW w:w="1531" w:type="dxa"/>
          </w:tcPr>
          <w:p w14:paraId="7CA16C33" w14:textId="20C96A89" w:rsidR="00E42F1F" w:rsidRPr="0033698E" w:rsidRDefault="00E42F1F" w:rsidP="008D5F96">
            <w:pPr>
              <w:pStyle w:val="tbltext"/>
              <w:spacing w:before="140" w:line="260" w:lineRule="atLeast"/>
              <w:jc w:val="center"/>
            </w:pPr>
            <w:r>
              <w:t>12%</w:t>
            </w:r>
          </w:p>
        </w:tc>
      </w:tr>
      <w:tr w:rsidR="00D2182E" w:rsidRPr="0033698E" w14:paraId="4A20CC24" w14:textId="102E5358" w:rsidTr="00D3615D">
        <w:trPr>
          <w:cantSplit/>
        </w:trPr>
        <w:tc>
          <w:tcPr>
            <w:tcW w:w="2665" w:type="dxa"/>
          </w:tcPr>
          <w:p w14:paraId="4B86FB71" w14:textId="1616F28C" w:rsidR="00E42F1F" w:rsidRPr="0033698E" w:rsidRDefault="00E42F1F" w:rsidP="008D5F96">
            <w:pPr>
              <w:pStyle w:val="tbltext"/>
              <w:spacing w:before="140" w:line="260" w:lineRule="atLeast"/>
              <w:rPr>
                <w:sz w:val="24"/>
                <w:szCs w:val="24"/>
              </w:rPr>
            </w:pPr>
            <w:r w:rsidRPr="0033698E">
              <w:t xml:space="preserve">Over </w:t>
            </w:r>
            <w:r w:rsidR="00D2182E">
              <w:t>five</w:t>
            </w:r>
            <w:r w:rsidR="00D2182E" w:rsidRPr="0033698E">
              <w:t xml:space="preserve"> </w:t>
            </w:r>
            <w:r w:rsidRPr="0033698E">
              <w:t>years</w:t>
            </w:r>
          </w:p>
        </w:tc>
        <w:tc>
          <w:tcPr>
            <w:tcW w:w="1531" w:type="dxa"/>
          </w:tcPr>
          <w:p w14:paraId="1468EF6D" w14:textId="77777777" w:rsidR="00E42F1F" w:rsidRPr="0033698E" w:rsidRDefault="00E42F1F" w:rsidP="008D5F96">
            <w:pPr>
              <w:pStyle w:val="tbltext"/>
              <w:spacing w:before="140" w:line="260" w:lineRule="atLeast"/>
              <w:jc w:val="center"/>
              <w:rPr>
                <w:sz w:val="24"/>
                <w:szCs w:val="24"/>
              </w:rPr>
            </w:pPr>
            <w:r w:rsidRPr="0033698E">
              <w:t>10.0%</w:t>
            </w:r>
          </w:p>
        </w:tc>
        <w:tc>
          <w:tcPr>
            <w:tcW w:w="1531" w:type="dxa"/>
          </w:tcPr>
          <w:p w14:paraId="18B5E61E" w14:textId="77777777" w:rsidR="00E42F1F" w:rsidRPr="0033698E" w:rsidRDefault="00E42F1F" w:rsidP="008D5F96">
            <w:pPr>
              <w:pStyle w:val="tbltext"/>
              <w:spacing w:before="140" w:line="260" w:lineRule="atLeast"/>
              <w:jc w:val="center"/>
              <w:rPr>
                <w:sz w:val="24"/>
                <w:szCs w:val="24"/>
              </w:rPr>
            </w:pPr>
            <w:r w:rsidRPr="0033698E">
              <w:t>1.5%</w:t>
            </w:r>
          </w:p>
        </w:tc>
        <w:tc>
          <w:tcPr>
            <w:tcW w:w="1531" w:type="dxa"/>
          </w:tcPr>
          <w:p w14:paraId="1549C53F" w14:textId="77777777" w:rsidR="00E42F1F" w:rsidRPr="0033698E" w:rsidRDefault="00E42F1F" w:rsidP="008D5F96">
            <w:pPr>
              <w:pStyle w:val="tbltext"/>
              <w:spacing w:before="140" w:line="260" w:lineRule="atLeast"/>
              <w:jc w:val="center"/>
              <w:rPr>
                <w:sz w:val="24"/>
                <w:szCs w:val="24"/>
              </w:rPr>
            </w:pPr>
            <w:r w:rsidRPr="0033698E">
              <w:t>7.5%</w:t>
            </w:r>
          </w:p>
        </w:tc>
        <w:tc>
          <w:tcPr>
            <w:tcW w:w="1531" w:type="dxa"/>
          </w:tcPr>
          <w:p w14:paraId="5C401130" w14:textId="245C7152" w:rsidR="00E42F1F" w:rsidRPr="0033698E" w:rsidRDefault="00E42F1F" w:rsidP="008D5F96">
            <w:pPr>
              <w:pStyle w:val="tbltext"/>
              <w:spacing w:before="140" w:line="260" w:lineRule="atLeast"/>
              <w:jc w:val="center"/>
            </w:pPr>
            <w:r>
              <w:t>15%</w:t>
            </w:r>
          </w:p>
        </w:tc>
      </w:tr>
    </w:tbl>
    <w:p w14:paraId="0CEA4A0D" w14:textId="271D3B48" w:rsidR="00E42F1F" w:rsidRPr="005D7AD2" w:rsidRDefault="00E6013C" w:rsidP="00280E9E">
      <w:pPr>
        <w:pStyle w:val="tblnote"/>
        <w:ind w:left="113"/>
      </w:pPr>
      <w:r>
        <w:t xml:space="preserve">Note: </w:t>
      </w:r>
      <w:r w:rsidR="00E42F1F">
        <w:t xml:space="preserve">For an OTC Derivative with no maturity or expiry stated in the contract, the remaining time to maturity is ‘Over </w:t>
      </w:r>
      <w:r>
        <w:t xml:space="preserve">five </w:t>
      </w:r>
      <w:r w:rsidR="00E42F1F">
        <w:t>years’ unless otherwise agreed by ASIC.</w:t>
      </w:r>
    </w:p>
    <w:p w14:paraId="5CB5C727" w14:textId="77777777" w:rsidR="00A665FF" w:rsidRPr="0033698E" w:rsidRDefault="00A665FF" w:rsidP="00A665FF">
      <w:pPr>
        <w:pStyle w:val="tabletitlefullwidth"/>
      </w:pPr>
      <w:r>
        <w:lastRenderedPageBreak/>
        <w:t>Table A5.2.3</w:t>
      </w:r>
      <w:r w:rsidRPr="0033698E">
        <w:t>:</w:t>
      </w:r>
      <w:r w:rsidRPr="0033698E">
        <w:tab/>
      </w:r>
      <w:r>
        <w:t>Sub Underwriting Risk Factor</w:t>
      </w:r>
    </w:p>
    <w:tbl>
      <w:tblPr>
        <w:tblW w:w="0" w:type="auto"/>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4962"/>
        <w:gridCol w:w="2268"/>
      </w:tblGrid>
      <w:tr w:rsidR="00E6013C" w:rsidRPr="0033698E" w14:paraId="1670AD72" w14:textId="77777777" w:rsidTr="00D3615D">
        <w:trPr>
          <w:cantSplit/>
          <w:tblHeader/>
        </w:trPr>
        <w:tc>
          <w:tcPr>
            <w:tcW w:w="7230" w:type="dxa"/>
            <w:gridSpan w:val="2"/>
            <w:shd w:val="clear" w:color="auto" w:fill="C2E3FA"/>
          </w:tcPr>
          <w:p w14:paraId="2EE80766" w14:textId="77777777" w:rsidR="00E6013C" w:rsidRPr="0033698E" w:rsidRDefault="00E6013C" w:rsidP="00280E9E">
            <w:pPr>
              <w:pStyle w:val="tablehead"/>
              <w:spacing w:before="80" w:line="200" w:lineRule="atLeast"/>
            </w:pPr>
            <w:r>
              <w:t>Risk Factor</w:t>
            </w:r>
          </w:p>
        </w:tc>
      </w:tr>
      <w:tr w:rsidR="00A665FF" w:rsidRPr="0033698E" w14:paraId="4A30A7EE" w14:textId="77777777" w:rsidTr="00D3615D">
        <w:trPr>
          <w:cantSplit/>
        </w:trPr>
        <w:tc>
          <w:tcPr>
            <w:tcW w:w="4962" w:type="dxa"/>
          </w:tcPr>
          <w:p w14:paraId="7BBABCA3" w14:textId="70BA73EA" w:rsidR="00A665FF" w:rsidRPr="0033698E" w:rsidRDefault="00A665FF" w:rsidP="00A665FF">
            <w:pPr>
              <w:pStyle w:val="tbltext"/>
              <w:spacing w:before="80" w:line="200" w:lineRule="atLeast"/>
              <w:rPr>
                <w:sz w:val="24"/>
                <w:szCs w:val="24"/>
              </w:rPr>
            </w:pPr>
            <w:r>
              <w:t>All Sub Underwriting</w:t>
            </w:r>
            <w:r w:rsidR="00B9493C">
              <w:t xml:space="preserve"> Commitments</w:t>
            </w:r>
          </w:p>
        </w:tc>
        <w:tc>
          <w:tcPr>
            <w:tcW w:w="2268" w:type="dxa"/>
          </w:tcPr>
          <w:p w14:paraId="45E3AB55" w14:textId="77777777" w:rsidR="00A665FF" w:rsidRPr="0033698E" w:rsidRDefault="00A665FF" w:rsidP="00A665FF">
            <w:pPr>
              <w:pStyle w:val="tbltext"/>
              <w:spacing w:before="80" w:line="200" w:lineRule="atLeast"/>
              <w:ind w:right="851"/>
              <w:jc w:val="right"/>
              <w:rPr>
                <w:sz w:val="24"/>
                <w:szCs w:val="24"/>
              </w:rPr>
            </w:pPr>
            <w:r>
              <w:t>2</w:t>
            </w:r>
            <w:r w:rsidRPr="0033698E">
              <w:t>%</w:t>
            </w:r>
          </w:p>
        </w:tc>
      </w:tr>
    </w:tbl>
    <w:p w14:paraId="67445B24" w14:textId="5FF42984" w:rsidR="00CA2E4E" w:rsidRPr="0033698E" w:rsidRDefault="00CA2E4E" w:rsidP="00CA2E4E">
      <w:pPr>
        <w:pStyle w:val="MIRHeading2Part"/>
      </w:pPr>
      <w:bookmarkStart w:id="96" w:name="_Toc27492608"/>
      <w:r w:rsidRPr="0033698E">
        <w:t>Part A5.3</w:t>
      </w:r>
      <w:r>
        <w:tab/>
      </w:r>
      <w:r w:rsidRPr="0033698E">
        <w:t>Other</w:t>
      </w:r>
      <w:bookmarkEnd w:id="96"/>
    </w:p>
    <w:p w14:paraId="44695AA8" w14:textId="3BFDD8BC" w:rsidR="00CA2E4E" w:rsidRPr="0033698E" w:rsidRDefault="00CA2E4E" w:rsidP="00CA2E4E">
      <w:pPr>
        <w:pStyle w:val="tabletitlefullwidth"/>
      </w:pPr>
      <w:r w:rsidRPr="0033698E">
        <w:t>Table A5.3.1:</w:t>
      </w:r>
      <w:r w:rsidRPr="0033698E">
        <w:tab/>
        <w:t>Recognised Regulator</w:t>
      </w:r>
    </w:p>
    <w:tbl>
      <w:tblPr>
        <w:tblW w:w="9072"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694"/>
        <w:gridCol w:w="6378"/>
      </w:tblGrid>
      <w:tr w:rsidR="00CA2E4E" w:rsidRPr="0033698E" w14:paraId="5E799BA9" w14:textId="77777777" w:rsidTr="00D3615D">
        <w:trPr>
          <w:cantSplit/>
          <w:tblHeader/>
        </w:trPr>
        <w:tc>
          <w:tcPr>
            <w:tcW w:w="2694" w:type="dxa"/>
            <w:shd w:val="clear" w:color="auto" w:fill="C2E3FA"/>
          </w:tcPr>
          <w:p w14:paraId="18C7AC0F" w14:textId="77777777" w:rsidR="00CA2E4E" w:rsidRPr="0033698E" w:rsidRDefault="00CA2E4E" w:rsidP="00AD186A">
            <w:pPr>
              <w:pStyle w:val="tablehead"/>
              <w:rPr>
                <w:sz w:val="24"/>
                <w:szCs w:val="24"/>
              </w:rPr>
            </w:pPr>
            <w:r w:rsidRPr="0033698E">
              <w:t>Country</w:t>
            </w:r>
          </w:p>
        </w:tc>
        <w:tc>
          <w:tcPr>
            <w:tcW w:w="6378" w:type="dxa"/>
            <w:shd w:val="clear" w:color="auto" w:fill="C2E3FA"/>
          </w:tcPr>
          <w:p w14:paraId="3F208ACC" w14:textId="77777777" w:rsidR="00CA2E4E" w:rsidRPr="0033698E" w:rsidRDefault="00CA2E4E" w:rsidP="00AD186A">
            <w:pPr>
              <w:pStyle w:val="tablehead"/>
              <w:rPr>
                <w:sz w:val="24"/>
                <w:szCs w:val="24"/>
              </w:rPr>
            </w:pPr>
            <w:r w:rsidRPr="0033698E">
              <w:t>Regulator</w:t>
            </w:r>
          </w:p>
        </w:tc>
      </w:tr>
      <w:tr w:rsidR="00CA2E4E" w:rsidRPr="0033698E" w14:paraId="64492E73" w14:textId="77777777" w:rsidTr="00D3615D">
        <w:trPr>
          <w:cantSplit/>
        </w:trPr>
        <w:tc>
          <w:tcPr>
            <w:tcW w:w="2694" w:type="dxa"/>
          </w:tcPr>
          <w:p w14:paraId="7A557D48" w14:textId="77777777" w:rsidR="00CA2E4E" w:rsidRPr="009B0BF5" w:rsidRDefault="00CA2E4E" w:rsidP="009B0BF5">
            <w:pPr>
              <w:pStyle w:val="tbltext"/>
              <w:spacing w:before="60" w:line="260" w:lineRule="atLeast"/>
            </w:pPr>
            <w:r w:rsidRPr="00112667">
              <w:t>Australia</w:t>
            </w:r>
          </w:p>
        </w:tc>
        <w:tc>
          <w:tcPr>
            <w:tcW w:w="6378" w:type="dxa"/>
          </w:tcPr>
          <w:p w14:paraId="3CB419A9" w14:textId="77777777" w:rsidR="00CA2E4E" w:rsidRPr="009B0BF5" w:rsidRDefault="00CA2E4E" w:rsidP="009B0BF5">
            <w:pPr>
              <w:pStyle w:val="tbltext"/>
              <w:spacing w:before="60" w:line="260" w:lineRule="atLeast"/>
            </w:pPr>
            <w:r w:rsidRPr="00112667">
              <w:t>Australian Securities Exchange Limited</w:t>
            </w:r>
          </w:p>
        </w:tc>
      </w:tr>
      <w:tr w:rsidR="0056606F" w:rsidRPr="0033698E" w14:paraId="78981FAB" w14:textId="77777777" w:rsidTr="00D3615D">
        <w:trPr>
          <w:cantSplit/>
        </w:trPr>
        <w:tc>
          <w:tcPr>
            <w:tcW w:w="2694" w:type="dxa"/>
          </w:tcPr>
          <w:p w14:paraId="3BE5DB41" w14:textId="77777777" w:rsidR="0056606F" w:rsidRPr="0033698E" w:rsidRDefault="0056606F" w:rsidP="0064645B">
            <w:pPr>
              <w:pStyle w:val="tbltext"/>
              <w:spacing w:before="60" w:line="260" w:lineRule="atLeast"/>
              <w:rPr>
                <w:sz w:val="24"/>
                <w:szCs w:val="24"/>
              </w:rPr>
            </w:pPr>
            <w:r w:rsidRPr="0033698E">
              <w:t>Austria</w:t>
            </w:r>
          </w:p>
        </w:tc>
        <w:tc>
          <w:tcPr>
            <w:tcW w:w="6378" w:type="dxa"/>
          </w:tcPr>
          <w:p w14:paraId="7C192EEA" w14:textId="77777777" w:rsidR="0056606F" w:rsidRPr="0033698E" w:rsidRDefault="0056606F" w:rsidP="0064645B">
            <w:pPr>
              <w:pStyle w:val="tbltext"/>
              <w:spacing w:before="60" w:line="260" w:lineRule="atLeast"/>
              <w:rPr>
                <w:rFonts w:ascii="Times New Roman" w:hAnsi="Times New Roman"/>
                <w:sz w:val="24"/>
                <w:szCs w:val="24"/>
              </w:rPr>
            </w:pPr>
            <w:r w:rsidRPr="007B5414">
              <w:t>Bundesministerium für Finanzen (Federal Ministry of Finance, Banking, Stock Exchange and Capital Market Supervision)</w:t>
            </w:r>
          </w:p>
          <w:p w14:paraId="6D29D332" w14:textId="4D7B3F7A" w:rsidR="0056606F" w:rsidRPr="0033698E" w:rsidRDefault="0056606F" w:rsidP="0064645B">
            <w:pPr>
              <w:pStyle w:val="tbltext"/>
              <w:spacing w:before="60" w:line="260" w:lineRule="atLeast"/>
              <w:rPr>
                <w:sz w:val="24"/>
                <w:szCs w:val="24"/>
              </w:rPr>
            </w:pPr>
            <w:r>
              <w:t>Finanzmarktaufsicht</w:t>
            </w:r>
            <w:r w:rsidRPr="0033698E">
              <w:t xml:space="preserve"> (</w:t>
            </w:r>
            <w:r>
              <w:t>Financial Market Authority</w:t>
            </w:r>
            <w:r w:rsidRPr="0033698E">
              <w:t>)</w:t>
            </w:r>
          </w:p>
        </w:tc>
      </w:tr>
      <w:tr w:rsidR="0056606F" w:rsidRPr="00647606" w14:paraId="3672E0DD" w14:textId="77777777" w:rsidTr="00D3615D">
        <w:trPr>
          <w:cantSplit/>
        </w:trPr>
        <w:tc>
          <w:tcPr>
            <w:tcW w:w="2694" w:type="dxa"/>
          </w:tcPr>
          <w:p w14:paraId="7F03E2B8" w14:textId="77777777" w:rsidR="0056606F" w:rsidRPr="0033698E" w:rsidRDefault="0056606F" w:rsidP="0064645B">
            <w:pPr>
              <w:pStyle w:val="tbltext"/>
              <w:spacing w:before="60" w:line="260" w:lineRule="atLeast"/>
              <w:rPr>
                <w:sz w:val="24"/>
                <w:szCs w:val="24"/>
              </w:rPr>
            </w:pPr>
            <w:r w:rsidRPr="0033698E">
              <w:rPr>
                <w:lang w:val="fr-FR"/>
              </w:rPr>
              <w:t>Belgium</w:t>
            </w:r>
          </w:p>
        </w:tc>
        <w:tc>
          <w:tcPr>
            <w:tcW w:w="6378" w:type="dxa"/>
          </w:tcPr>
          <w:p w14:paraId="531DB9EF" w14:textId="77777777" w:rsidR="0056606F" w:rsidRPr="00FB4E7C" w:rsidRDefault="0056606F" w:rsidP="0064645B">
            <w:pPr>
              <w:pStyle w:val="tbltext"/>
              <w:spacing w:before="60" w:line="260" w:lineRule="atLeast"/>
              <w:rPr>
                <w:sz w:val="24"/>
                <w:szCs w:val="24"/>
                <w:lang w:val="fr-FR"/>
              </w:rPr>
            </w:pPr>
            <w:r>
              <w:rPr>
                <w:lang w:val="fr-FR"/>
              </w:rPr>
              <w:t>Autoriteit voor Financiële Diensten en Markten/L’Autorité des services et marchés financiers (Financial Services and Markets Authority)</w:t>
            </w:r>
          </w:p>
        </w:tc>
      </w:tr>
      <w:tr w:rsidR="00CA2E4E" w:rsidRPr="0033698E" w14:paraId="0138CCA2" w14:textId="77777777" w:rsidTr="00D3615D">
        <w:trPr>
          <w:cantSplit/>
        </w:trPr>
        <w:tc>
          <w:tcPr>
            <w:tcW w:w="2694" w:type="dxa"/>
          </w:tcPr>
          <w:p w14:paraId="6687EB9C" w14:textId="77777777" w:rsidR="00CA2E4E" w:rsidRPr="009B0BF5" w:rsidRDefault="00CA2E4E" w:rsidP="009B0BF5">
            <w:pPr>
              <w:pStyle w:val="tbltext"/>
              <w:spacing w:before="60" w:line="260" w:lineRule="atLeast"/>
            </w:pPr>
            <w:r w:rsidRPr="00112667">
              <w:t>Canada</w:t>
            </w:r>
          </w:p>
        </w:tc>
        <w:tc>
          <w:tcPr>
            <w:tcW w:w="6378" w:type="dxa"/>
          </w:tcPr>
          <w:p w14:paraId="6BA09ACD" w14:textId="77777777" w:rsidR="003E12FB" w:rsidRPr="00FB4E7C" w:rsidRDefault="003E12FB" w:rsidP="009B0BF5">
            <w:pPr>
              <w:pStyle w:val="tbltext"/>
              <w:spacing w:before="60" w:line="260" w:lineRule="atLeast"/>
              <w:rPr>
                <w:lang w:val="fr-FR"/>
              </w:rPr>
            </w:pPr>
            <w:r w:rsidRPr="00FB4E7C">
              <w:rPr>
                <w:lang w:val="fr-FR"/>
              </w:rPr>
              <w:t>Autorité des marches financiers (Québec)</w:t>
            </w:r>
          </w:p>
          <w:p w14:paraId="64F1BDBE" w14:textId="0B5F9506" w:rsidR="003E12FB" w:rsidRPr="009B0BF5" w:rsidRDefault="003E12FB" w:rsidP="009B0BF5">
            <w:pPr>
              <w:pStyle w:val="tbltext"/>
              <w:spacing w:before="60" w:line="260" w:lineRule="atLeast"/>
            </w:pPr>
            <w:r w:rsidRPr="00112667">
              <w:t>British Columbia Securities Commission</w:t>
            </w:r>
          </w:p>
          <w:p w14:paraId="038434D2" w14:textId="70860FC7" w:rsidR="003E12FB" w:rsidRPr="00112667" w:rsidRDefault="003E12FB" w:rsidP="009B0BF5">
            <w:pPr>
              <w:pStyle w:val="tbltext"/>
              <w:spacing w:before="60" w:line="260" w:lineRule="atLeast"/>
            </w:pPr>
            <w:r w:rsidRPr="00112667">
              <w:t>Investment Industry Regulatory Organization of Canada</w:t>
            </w:r>
          </w:p>
          <w:p w14:paraId="081BB13F" w14:textId="6738A7A4" w:rsidR="00CA2E4E" w:rsidRPr="00112667" w:rsidRDefault="00CA2E4E" w:rsidP="009B0BF5">
            <w:pPr>
              <w:pStyle w:val="tbltext"/>
              <w:spacing w:before="60" w:line="260" w:lineRule="atLeast"/>
            </w:pPr>
            <w:r w:rsidRPr="00112667">
              <w:t>Montreal Exchange</w:t>
            </w:r>
          </w:p>
          <w:p w14:paraId="08B20BB4" w14:textId="055EC955" w:rsidR="003E12FB" w:rsidRPr="00112667" w:rsidRDefault="003E12FB" w:rsidP="009B0BF5">
            <w:pPr>
              <w:pStyle w:val="tbltext"/>
              <w:spacing w:before="60" w:line="260" w:lineRule="atLeast"/>
            </w:pPr>
            <w:r w:rsidRPr="00112667">
              <w:t>Ontario Securities Commission</w:t>
            </w:r>
          </w:p>
          <w:p w14:paraId="48911754" w14:textId="0E2FD412" w:rsidR="003E12FB" w:rsidRPr="00112667" w:rsidRDefault="00CA2E4E" w:rsidP="009B0BF5">
            <w:pPr>
              <w:pStyle w:val="tbltext"/>
              <w:spacing w:before="60" w:line="260" w:lineRule="atLeast"/>
            </w:pPr>
            <w:r w:rsidRPr="00112667">
              <w:t>Toronto Stock Exchange</w:t>
            </w:r>
          </w:p>
        </w:tc>
      </w:tr>
      <w:tr w:rsidR="0056606F" w:rsidRPr="0033698E" w14:paraId="62E8D074" w14:textId="77777777" w:rsidTr="00D3615D">
        <w:trPr>
          <w:cantSplit/>
        </w:trPr>
        <w:tc>
          <w:tcPr>
            <w:tcW w:w="2694" w:type="dxa"/>
          </w:tcPr>
          <w:p w14:paraId="61A00465" w14:textId="77777777" w:rsidR="0056606F" w:rsidRPr="0033698E" w:rsidRDefault="0056606F" w:rsidP="0064645B">
            <w:pPr>
              <w:pStyle w:val="tbltext"/>
              <w:spacing w:before="60" w:line="260" w:lineRule="atLeast"/>
              <w:rPr>
                <w:lang w:val="fr-FR"/>
              </w:rPr>
            </w:pPr>
            <w:r>
              <w:rPr>
                <w:lang w:val="fr-FR"/>
              </w:rPr>
              <w:t>Denmark</w:t>
            </w:r>
          </w:p>
        </w:tc>
        <w:tc>
          <w:tcPr>
            <w:tcW w:w="6378" w:type="dxa"/>
          </w:tcPr>
          <w:p w14:paraId="52D57B52" w14:textId="77777777" w:rsidR="0056606F" w:rsidRPr="00FB4E7C" w:rsidRDefault="0056606F" w:rsidP="0064645B">
            <w:pPr>
              <w:pStyle w:val="tbltext"/>
              <w:spacing w:before="60" w:line="260" w:lineRule="atLeast"/>
            </w:pPr>
            <w:r w:rsidRPr="00FB4E7C">
              <w:t>Finanstilsynet (Financial Supervisory Authority of Denmark)</w:t>
            </w:r>
          </w:p>
        </w:tc>
      </w:tr>
      <w:tr w:rsidR="0056606F" w:rsidRPr="0033698E" w14:paraId="098EA571" w14:textId="77777777" w:rsidTr="00D3615D">
        <w:trPr>
          <w:cantSplit/>
        </w:trPr>
        <w:tc>
          <w:tcPr>
            <w:tcW w:w="2694" w:type="dxa"/>
          </w:tcPr>
          <w:p w14:paraId="1891DFEA" w14:textId="77777777" w:rsidR="0056606F" w:rsidRPr="0033698E" w:rsidRDefault="0056606F" w:rsidP="0064645B">
            <w:pPr>
              <w:pStyle w:val="tbltext"/>
              <w:spacing w:before="60" w:line="260" w:lineRule="atLeast"/>
            </w:pPr>
            <w:r>
              <w:t>Europe</w:t>
            </w:r>
          </w:p>
        </w:tc>
        <w:tc>
          <w:tcPr>
            <w:tcW w:w="6378" w:type="dxa"/>
          </w:tcPr>
          <w:p w14:paraId="2F47CB75" w14:textId="77777777" w:rsidR="0056606F" w:rsidRPr="00FB4E7C" w:rsidRDefault="0056606F" w:rsidP="0064645B">
            <w:pPr>
              <w:pStyle w:val="tbltext"/>
              <w:spacing w:before="60" w:line="260" w:lineRule="atLeast"/>
            </w:pPr>
            <w:r w:rsidRPr="00FB4E7C">
              <w:t>European Central Bank</w:t>
            </w:r>
          </w:p>
          <w:p w14:paraId="70550ADD" w14:textId="77777777" w:rsidR="0056606F" w:rsidRPr="0033698E" w:rsidRDefault="0056606F" w:rsidP="0064645B">
            <w:pPr>
              <w:pStyle w:val="tbltext"/>
              <w:spacing w:before="60" w:line="260" w:lineRule="atLeast"/>
            </w:pPr>
            <w:r w:rsidRPr="00FB4E7C">
              <w:t>European Securities and Markets Authority</w:t>
            </w:r>
          </w:p>
        </w:tc>
      </w:tr>
      <w:tr w:rsidR="0056606F" w:rsidRPr="0033698E" w14:paraId="454F60A0" w14:textId="77777777" w:rsidTr="00D3615D">
        <w:trPr>
          <w:cantSplit/>
        </w:trPr>
        <w:tc>
          <w:tcPr>
            <w:tcW w:w="2694" w:type="dxa"/>
          </w:tcPr>
          <w:p w14:paraId="406D9BEB" w14:textId="77777777" w:rsidR="0056606F" w:rsidRPr="0033698E" w:rsidRDefault="0056606F" w:rsidP="0064645B">
            <w:pPr>
              <w:pStyle w:val="tbltext"/>
              <w:spacing w:before="60" w:line="260" w:lineRule="atLeast"/>
              <w:rPr>
                <w:sz w:val="24"/>
                <w:szCs w:val="24"/>
              </w:rPr>
            </w:pPr>
            <w:r w:rsidRPr="0033698E">
              <w:t>Finland</w:t>
            </w:r>
          </w:p>
        </w:tc>
        <w:tc>
          <w:tcPr>
            <w:tcW w:w="6378" w:type="dxa"/>
          </w:tcPr>
          <w:p w14:paraId="4803653B" w14:textId="77777777" w:rsidR="0056606F" w:rsidRPr="0033698E" w:rsidRDefault="0056606F" w:rsidP="0064645B">
            <w:pPr>
              <w:pStyle w:val="tbltext"/>
              <w:spacing w:before="60" w:line="260" w:lineRule="atLeast"/>
              <w:rPr>
                <w:sz w:val="24"/>
                <w:szCs w:val="24"/>
              </w:rPr>
            </w:pPr>
            <w:r>
              <w:t xml:space="preserve">Finanssivalvonta/Finansinspektionen (Finnish </w:t>
            </w:r>
            <w:r w:rsidRPr="0033698E">
              <w:t>Financial Supervis</w:t>
            </w:r>
            <w:r>
              <w:t>ory</w:t>
            </w:r>
            <w:r w:rsidRPr="0033698E">
              <w:t xml:space="preserve"> Authority</w:t>
            </w:r>
            <w:r>
              <w:t>)</w:t>
            </w:r>
          </w:p>
        </w:tc>
      </w:tr>
      <w:tr w:rsidR="0056606F" w:rsidRPr="00647606" w14:paraId="34A3F282" w14:textId="77777777" w:rsidTr="00D3615D">
        <w:trPr>
          <w:cantSplit/>
        </w:trPr>
        <w:tc>
          <w:tcPr>
            <w:tcW w:w="2694" w:type="dxa"/>
          </w:tcPr>
          <w:p w14:paraId="113AABF3" w14:textId="77777777" w:rsidR="0056606F" w:rsidRPr="0033698E" w:rsidRDefault="0056606F" w:rsidP="0064645B">
            <w:pPr>
              <w:pStyle w:val="tbltext"/>
              <w:spacing w:before="60" w:line="260" w:lineRule="atLeast"/>
              <w:rPr>
                <w:sz w:val="24"/>
                <w:szCs w:val="24"/>
              </w:rPr>
            </w:pPr>
            <w:r w:rsidRPr="0033698E">
              <w:rPr>
                <w:lang w:val="fr-FR"/>
              </w:rPr>
              <w:t>France</w:t>
            </w:r>
          </w:p>
        </w:tc>
        <w:tc>
          <w:tcPr>
            <w:tcW w:w="6378" w:type="dxa"/>
          </w:tcPr>
          <w:p w14:paraId="12E34A3E" w14:textId="77777777" w:rsidR="0056606F" w:rsidRPr="00FB4E7C" w:rsidRDefault="0056606F" w:rsidP="0064645B">
            <w:pPr>
              <w:pStyle w:val="tbltext"/>
              <w:spacing w:before="60" w:line="260" w:lineRule="atLeast"/>
              <w:rPr>
                <w:sz w:val="24"/>
                <w:szCs w:val="24"/>
                <w:lang w:val="fr-FR"/>
              </w:rPr>
            </w:pPr>
            <w:r>
              <w:rPr>
                <w:lang w:val="fr-FR"/>
              </w:rPr>
              <w:t>Autorité des marchés financiers (Financial Markets Regulator)</w:t>
            </w:r>
          </w:p>
        </w:tc>
      </w:tr>
      <w:tr w:rsidR="0056606F" w:rsidRPr="00647606" w14:paraId="3301FDAF" w14:textId="77777777" w:rsidTr="00D3615D">
        <w:trPr>
          <w:cantSplit/>
        </w:trPr>
        <w:tc>
          <w:tcPr>
            <w:tcW w:w="2694" w:type="dxa"/>
          </w:tcPr>
          <w:p w14:paraId="109B31BB" w14:textId="77777777" w:rsidR="0056606F" w:rsidRPr="0033698E" w:rsidRDefault="0056606F" w:rsidP="0064645B">
            <w:pPr>
              <w:pStyle w:val="tbltext"/>
              <w:spacing w:before="60" w:line="260" w:lineRule="atLeast"/>
              <w:rPr>
                <w:sz w:val="24"/>
                <w:szCs w:val="24"/>
              </w:rPr>
            </w:pPr>
            <w:r w:rsidRPr="0033698E">
              <w:t>Germany</w:t>
            </w:r>
          </w:p>
        </w:tc>
        <w:tc>
          <w:tcPr>
            <w:tcW w:w="6378" w:type="dxa"/>
          </w:tcPr>
          <w:p w14:paraId="2CCF97DE" w14:textId="77777777" w:rsidR="0056606F" w:rsidRPr="00FB4E7C" w:rsidRDefault="0056606F" w:rsidP="0064645B">
            <w:pPr>
              <w:pStyle w:val="tbltext"/>
              <w:spacing w:before="60" w:line="260" w:lineRule="atLeast"/>
              <w:rPr>
                <w:sz w:val="24"/>
                <w:szCs w:val="24"/>
                <w:lang w:val="de-DE"/>
              </w:rPr>
            </w:pPr>
            <w:r w:rsidRPr="00FB4E7C">
              <w:rPr>
                <w:lang w:val="de-DE"/>
              </w:rPr>
              <w:t>Bundesanstalt für Finanzdienstleistungsaufsicht (Federal Financial Supervisory Authority)</w:t>
            </w:r>
          </w:p>
        </w:tc>
      </w:tr>
      <w:tr w:rsidR="0056606F" w:rsidRPr="0033698E" w14:paraId="29A44549" w14:textId="77777777" w:rsidTr="00D3615D">
        <w:trPr>
          <w:cantSplit/>
        </w:trPr>
        <w:tc>
          <w:tcPr>
            <w:tcW w:w="2694" w:type="dxa"/>
          </w:tcPr>
          <w:p w14:paraId="6E6DFAD6" w14:textId="77777777" w:rsidR="0056606F" w:rsidRPr="0033698E" w:rsidRDefault="0056606F" w:rsidP="0064645B">
            <w:pPr>
              <w:pStyle w:val="tbltext"/>
              <w:spacing w:before="60" w:line="260" w:lineRule="atLeast"/>
              <w:rPr>
                <w:sz w:val="24"/>
                <w:szCs w:val="24"/>
              </w:rPr>
            </w:pPr>
            <w:r w:rsidRPr="0033698E">
              <w:t>Greece</w:t>
            </w:r>
          </w:p>
        </w:tc>
        <w:tc>
          <w:tcPr>
            <w:tcW w:w="6378" w:type="dxa"/>
          </w:tcPr>
          <w:p w14:paraId="0C3CE2E6" w14:textId="77777777" w:rsidR="0056606F" w:rsidRPr="0033698E" w:rsidRDefault="0056606F" w:rsidP="0064645B">
            <w:pPr>
              <w:pStyle w:val="tbltext"/>
              <w:spacing w:before="60" w:line="260" w:lineRule="atLeast"/>
              <w:rPr>
                <w:rFonts w:ascii="Times New Roman" w:hAnsi="Times New Roman"/>
                <w:sz w:val="24"/>
                <w:szCs w:val="24"/>
              </w:rPr>
            </w:pPr>
            <w:r w:rsidRPr="0033698E">
              <w:t>The Bank of Greece</w:t>
            </w:r>
          </w:p>
          <w:p w14:paraId="16D94E79" w14:textId="1438BD99" w:rsidR="0056606F" w:rsidRPr="0033698E" w:rsidRDefault="0056606F" w:rsidP="0064645B">
            <w:pPr>
              <w:pStyle w:val="tbltext"/>
              <w:spacing w:before="60" w:line="260" w:lineRule="atLeast"/>
              <w:rPr>
                <w:sz w:val="24"/>
                <w:szCs w:val="24"/>
              </w:rPr>
            </w:pPr>
            <w:r w:rsidRPr="0033698E">
              <w:t>The Capital Market Commission</w:t>
            </w:r>
          </w:p>
        </w:tc>
      </w:tr>
      <w:tr w:rsidR="00CA2E4E" w:rsidRPr="0033698E" w14:paraId="0CCCEA5A" w14:textId="77777777" w:rsidTr="00D3615D">
        <w:trPr>
          <w:cantSplit/>
        </w:trPr>
        <w:tc>
          <w:tcPr>
            <w:tcW w:w="2694" w:type="dxa"/>
          </w:tcPr>
          <w:p w14:paraId="7B0F1187" w14:textId="77777777" w:rsidR="00CA2E4E" w:rsidRPr="009B0BF5" w:rsidRDefault="00CA2E4E" w:rsidP="009B0BF5">
            <w:pPr>
              <w:pStyle w:val="tbltext"/>
              <w:spacing w:before="60" w:line="260" w:lineRule="atLeast"/>
            </w:pPr>
            <w:r w:rsidRPr="00112667">
              <w:t>Hong Kong</w:t>
            </w:r>
          </w:p>
        </w:tc>
        <w:tc>
          <w:tcPr>
            <w:tcW w:w="6378" w:type="dxa"/>
          </w:tcPr>
          <w:p w14:paraId="0C206E78" w14:textId="35CD58FC" w:rsidR="00CA2E4E" w:rsidRPr="009B0BF5" w:rsidRDefault="00CA2E4E" w:rsidP="009B0BF5">
            <w:pPr>
              <w:pStyle w:val="tbltext"/>
              <w:spacing w:before="60" w:line="260" w:lineRule="atLeast"/>
            </w:pPr>
            <w:r w:rsidRPr="00112667">
              <w:t>Hong Kong Monetary Authority</w:t>
            </w:r>
          </w:p>
          <w:p w14:paraId="533AAB5D" w14:textId="77777777" w:rsidR="00CA2E4E" w:rsidRPr="009B0BF5" w:rsidRDefault="00CA2E4E" w:rsidP="009B0BF5">
            <w:pPr>
              <w:pStyle w:val="tbltext"/>
              <w:spacing w:before="60" w:line="260" w:lineRule="atLeast"/>
            </w:pPr>
            <w:r w:rsidRPr="00112667">
              <w:t>Hong Kong Securities and Futures Commission</w:t>
            </w:r>
          </w:p>
        </w:tc>
      </w:tr>
      <w:tr w:rsidR="0056606F" w:rsidRPr="0033698E" w14:paraId="0701BAB5" w14:textId="77777777" w:rsidTr="00D3615D">
        <w:trPr>
          <w:cantSplit/>
        </w:trPr>
        <w:tc>
          <w:tcPr>
            <w:tcW w:w="2694" w:type="dxa"/>
          </w:tcPr>
          <w:p w14:paraId="553D57CB" w14:textId="77777777" w:rsidR="0056606F" w:rsidRPr="0033698E" w:rsidRDefault="0056606F" w:rsidP="0064645B">
            <w:pPr>
              <w:pStyle w:val="tbltext"/>
              <w:spacing w:before="60" w:line="260" w:lineRule="atLeast"/>
              <w:rPr>
                <w:sz w:val="24"/>
                <w:szCs w:val="24"/>
              </w:rPr>
            </w:pPr>
            <w:r w:rsidRPr="0033698E">
              <w:t>Iceland</w:t>
            </w:r>
          </w:p>
        </w:tc>
        <w:tc>
          <w:tcPr>
            <w:tcW w:w="6378" w:type="dxa"/>
          </w:tcPr>
          <w:p w14:paraId="2D5DEAB4" w14:textId="77777777" w:rsidR="0056606F" w:rsidRPr="0033698E" w:rsidRDefault="0056606F" w:rsidP="0064645B">
            <w:pPr>
              <w:pStyle w:val="tbltext"/>
              <w:spacing w:before="60" w:line="260" w:lineRule="atLeast"/>
              <w:rPr>
                <w:sz w:val="24"/>
                <w:szCs w:val="24"/>
              </w:rPr>
            </w:pPr>
            <w:r w:rsidRPr="0033698E">
              <w:t>Central Bank of Iceland</w:t>
            </w:r>
          </w:p>
        </w:tc>
      </w:tr>
      <w:tr w:rsidR="0056606F" w:rsidRPr="0033698E" w14:paraId="5BE695F9" w14:textId="77777777" w:rsidTr="00D3615D">
        <w:trPr>
          <w:cantSplit/>
        </w:trPr>
        <w:tc>
          <w:tcPr>
            <w:tcW w:w="2694" w:type="dxa"/>
          </w:tcPr>
          <w:p w14:paraId="686477E2" w14:textId="77777777" w:rsidR="0056606F" w:rsidRPr="0033698E" w:rsidRDefault="0056606F" w:rsidP="0064645B">
            <w:pPr>
              <w:pStyle w:val="tbltext"/>
              <w:spacing w:before="60" w:line="260" w:lineRule="atLeast"/>
              <w:rPr>
                <w:sz w:val="24"/>
                <w:szCs w:val="24"/>
              </w:rPr>
            </w:pPr>
            <w:r w:rsidRPr="0033698E">
              <w:t>Ireland</w:t>
            </w:r>
          </w:p>
        </w:tc>
        <w:tc>
          <w:tcPr>
            <w:tcW w:w="6378" w:type="dxa"/>
          </w:tcPr>
          <w:p w14:paraId="715819E7" w14:textId="77777777" w:rsidR="0056606F" w:rsidRPr="0033698E" w:rsidRDefault="0056606F" w:rsidP="0064645B">
            <w:pPr>
              <w:pStyle w:val="tbltext"/>
              <w:spacing w:before="60" w:line="260" w:lineRule="atLeast"/>
              <w:rPr>
                <w:sz w:val="24"/>
                <w:szCs w:val="24"/>
              </w:rPr>
            </w:pPr>
            <w:r w:rsidRPr="0033698E">
              <w:t>Central Bank of Ireland</w:t>
            </w:r>
          </w:p>
        </w:tc>
      </w:tr>
      <w:tr w:rsidR="0056606F" w:rsidRPr="00647606" w14:paraId="494F61F3" w14:textId="77777777" w:rsidTr="00D3615D">
        <w:trPr>
          <w:cantSplit/>
        </w:trPr>
        <w:tc>
          <w:tcPr>
            <w:tcW w:w="2694" w:type="dxa"/>
          </w:tcPr>
          <w:p w14:paraId="38145064" w14:textId="77777777" w:rsidR="0056606F" w:rsidRPr="0033698E" w:rsidRDefault="0056606F" w:rsidP="0064645B">
            <w:pPr>
              <w:pStyle w:val="tbltext"/>
              <w:spacing w:before="60" w:line="260" w:lineRule="atLeast"/>
              <w:rPr>
                <w:sz w:val="24"/>
                <w:szCs w:val="24"/>
              </w:rPr>
            </w:pPr>
            <w:r w:rsidRPr="0033698E">
              <w:t>Italy</w:t>
            </w:r>
          </w:p>
        </w:tc>
        <w:tc>
          <w:tcPr>
            <w:tcW w:w="6378" w:type="dxa"/>
          </w:tcPr>
          <w:p w14:paraId="7E5CEB7C" w14:textId="77777777" w:rsidR="0056606F" w:rsidRPr="00FB4E7C" w:rsidRDefault="0056606F" w:rsidP="0064645B">
            <w:pPr>
              <w:pStyle w:val="tbltext"/>
              <w:spacing w:before="60" w:line="260" w:lineRule="atLeast"/>
              <w:rPr>
                <w:lang w:val="fr-FR"/>
              </w:rPr>
            </w:pPr>
            <w:r w:rsidRPr="00FB4E7C">
              <w:rPr>
                <w:lang w:val="fr-FR"/>
              </w:rPr>
              <w:t>Banca d’Italia</w:t>
            </w:r>
          </w:p>
          <w:p w14:paraId="4DC2E81C" w14:textId="77777777" w:rsidR="0056606F" w:rsidRPr="00FB4E7C" w:rsidRDefault="0056606F" w:rsidP="0064645B">
            <w:pPr>
              <w:pStyle w:val="tbltext"/>
              <w:spacing w:before="60" w:line="260" w:lineRule="atLeast"/>
              <w:rPr>
                <w:sz w:val="24"/>
                <w:szCs w:val="24"/>
                <w:lang w:val="fr-FR"/>
              </w:rPr>
            </w:pPr>
            <w:r w:rsidRPr="00FB4E7C">
              <w:rPr>
                <w:lang w:val="fr-FR"/>
              </w:rPr>
              <w:t>Commissione Nazionale per le Società e la Borsa</w:t>
            </w:r>
          </w:p>
        </w:tc>
      </w:tr>
      <w:tr w:rsidR="00CA2E4E" w:rsidRPr="0033698E" w14:paraId="33A5FB64" w14:textId="77777777" w:rsidTr="00D3615D">
        <w:trPr>
          <w:cantSplit/>
        </w:trPr>
        <w:tc>
          <w:tcPr>
            <w:tcW w:w="2694" w:type="dxa"/>
          </w:tcPr>
          <w:p w14:paraId="2C4730D3" w14:textId="77777777" w:rsidR="00CA2E4E" w:rsidRPr="009B0BF5" w:rsidRDefault="00CA2E4E" w:rsidP="009B0BF5">
            <w:pPr>
              <w:pStyle w:val="tbltext"/>
              <w:spacing w:before="60" w:line="260" w:lineRule="atLeast"/>
            </w:pPr>
            <w:r w:rsidRPr="00112667">
              <w:lastRenderedPageBreak/>
              <w:t>Japan</w:t>
            </w:r>
          </w:p>
        </w:tc>
        <w:tc>
          <w:tcPr>
            <w:tcW w:w="6378" w:type="dxa"/>
          </w:tcPr>
          <w:p w14:paraId="4228D5FC" w14:textId="77777777" w:rsidR="00CA2E4E" w:rsidRPr="009B0BF5" w:rsidRDefault="00CA2E4E" w:rsidP="009B0BF5">
            <w:pPr>
              <w:pStyle w:val="tbltext"/>
              <w:spacing w:before="60" w:line="260" w:lineRule="atLeast"/>
            </w:pPr>
            <w:r w:rsidRPr="00112667">
              <w:t>Financial Services Agency</w:t>
            </w:r>
          </w:p>
        </w:tc>
      </w:tr>
      <w:tr w:rsidR="0056606F" w:rsidRPr="00647606" w14:paraId="16B52047" w14:textId="77777777" w:rsidTr="00D3615D">
        <w:trPr>
          <w:cantSplit/>
        </w:trPr>
        <w:tc>
          <w:tcPr>
            <w:tcW w:w="2694" w:type="dxa"/>
          </w:tcPr>
          <w:p w14:paraId="4A553FC6" w14:textId="77777777" w:rsidR="0056606F" w:rsidRPr="0033698E" w:rsidRDefault="0056606F" w:rsidP="0064645B">
            <w:pPr>
              <w:pStyle w:val="tbltext"/>
              <w:spacing w:before="60" w:line="260" w:lineRule="atLeast"/>
              <w:rPr>
                <w:sz w:val="24"/>
                <w:szCs w:val="24"/>
              </w:rPr>
            </w:pPr>
            <w:r w:rsidRPr="0033698E">
              <w:rPr>
                <w:lang w:val="fr-FR"/>
              </w:rPr>
              <w:t>Liechtenstein</w:t>
            </w:r>
          </w:p>
        </w:tc>
        <w:tc>
          <w:tcPr>
            <w:tcW w:w="6378" w:type="dxa"/>
          </w:tcPr>
          <w:p w14:paraId="437C682B" w14:textId="77777777" w:rsidR="0056606F" w:rsidRPr="00FB4E7C" w:rsidRDefault="0056606F" w:rsidP="0064645B">
            <w:pPr>
              <w:pStyle w:val="tbltext"/>
              <w:spacing w:before="60" w:line="260" w:lineRule="atLeast"/>
              <w:rPr>
                <w:sz w:val="24"/>
                <w:szCs w:val="24"/>
                <w:lang w:val="de-DE"/>
              </w:rPr>
            </w:pPr>
            <w:r w:rsidRPr="00FB4E7C">
              <w:rPr>
                <w:lang w:val="de-DE"/>
              </w:rPr>
              <w:t>Finanzmarktaufsicht Liechtenstein (Financial Market Authority of Liechtenstein)</w:t>
            </w:r>
          </w:p>
        </w:tc>
      </w:tr>
      <w:tr w:rsidR="0056606F" w:rsidRPr="00647606" w14:paraId="05265F95" w14:textId="77777777" w:rsidTr="00D3615D">
        <w:trPr>
          <w:cantSplit/>
        </w:trPr>
        <w:tc>
          <w:tcPr>
            <w:tcW w:w="2694" w:type="dxa"/>
          </w:tcPr>
          <w:p w14:paraId="3DA3F16D" w14:textId="77777777" w:rsidR="0056606F" w:rsidRPr="0033698E" w:rsidRDefault="0056606F" w:rsidP="0064645B">
            <w:pPr>
              <w:pStyle w:val="tbltext"/>
              <w:spacing w:before="60" w:line="260" w:lineRule="atLeast"/>
              <w:rPr>
                <w:sz w:val="24"/>
                <w:szCs w:val="24"/>
              </w:rPr>
            </w:pPr>
            <w:r w:rsidRPr="0033698E">
              <w:rPr>
                <w:lang w:val="fr-FR"/>
              </w:rPr>
              <w:t>Luxembourg</w:t>
            </w:r>
          </w:p>
        </w:tc>
        <w:tc>
          <w:tcPr>
            <w:tcW w:w="6378" w:type="dxa"/>
          </w:tcPr>
          <w:p w14:paraId="5571ADD3" w14:textId="77777777" w:rsidR="0056606F" w:rsidRPr="00FB4E7C" w:rsidRDefault="0056606F" w:rsidP="0064645B">
            <w:pPr>
              <w:pStyle w:val="tbltext"/>
              <w:spacing w:before="60" w:line="260" w:lineRule="atLeast"/>
              <w:rPr>
                <w:sz w:val="24"/>
                <w:szCs w:val="24"/>
                <w:lang w:val="fr-FR"/>
              </w:rPr>
            </w:pPr>
            <w:r>
              <w:rPr>
                <w:lang w:val="fr-FR"/>
              </w:rPr>
              <w:t>Commission de Surveillance du Secteur Financier</w:t>
            </w:r>
          </w:p>
        </w:tc>
      </w:tr>
      <w:tr w:rsidR="0056606F" w:rsidRPr="0033698E" w14:paraId="5E7C292E" w14:textId="77777777" w:rsidTr="00D3615D">
        <w:trPr>
          <w:cantSplit/>
        </w:trPr>
        <w:tc>
          <w:tcPr>
            <w:tcW w:w="2694" w:type="dxa"/>
          </w:tcPr>
          <w:p w14:paraId="2C2D8822" w14:textId="77777777" w:rsidR="0056606F" w:rsidRPr="0033698E" w:rsidRDefault="0056606F" w:rsidP="0064645B">
            <w:pPr>
              <w:pStyle w:val="tbltext"/>
              <w:spacing w:before="60" w:line="260" w:lineRule="atLeast"/>
              <w:rPr>
                <w:sz w:val="24"/>
                <w:szCs w:val="24"/>
              </w:rPr>
            </w:pPr>
            <w:r w:rsidRPr="0033698E">
              <w:t>Netherlands</w:t>
            </w:r>
          </w:p>
        </w:tc>
        <w:tc>
          <w:tcPr>
            <w:tcW w:w="6378" w:type="dxa"/>
          </w:tcPr>
          <w:p w14:paraId="69CC523F" w14:textId="77777777" w:rsidR="0056606F" w:rsidRPr="0033698E" w:rsidRDefault="0056606F" w:rsidP="0064645B">
            <w:pPr>
              <w:pStyle w:val="tbltext"/>
              <w:spacing w:before="60" w:line="260" w:lineRule="atLeast"/>
              <w:rPr>
                <w:sz w:val="24"/>
                <w:szCs w:val="24"/>
              </w:rPr>
            </w:pPr>
            <w:r>
              <w:t>Autoriteit Financiële Markten (Netherlands Authority for the Financial Markets)</w:t>
            </w:r>
          </w:p>
        </w:tc>
      </w:tr>
      <w:tr w:rsidR="003E12FB" w:rsidRPr="0033698E" w14:paraId="55238CAD" w14:textId="77777777" w:rsidTr="00D3615D">
        <w:trPr>
          <w:cantSplit/>
        </w:trPr>
        <w:tc>
          <w:tcPr>
            <w:tcW w:w="2694" w:type="dxa"/>
          </w:tcPr>
          <w:p w14:paraId="1D14D05E" w14:textId="1BF2F71E" w:rsidR="003E12FB" w:rsidRPr="00112667" w:rsidRDefault="003E12FB" w:rsidP="009B0BF5">
            <w:pPr>
              <w:pStyle w:val="tbltext"/>
              <w:spacing w:before="60" w:line="260" w:lineRule="atLeast"/>
            </w:pPr>
            <w:r w:rsidRPr="00112667">
              <w:t>New Zealand</w:t>
            </w:r>
          </w:p>
        </w:tc>
        <w:tc>
          <w:tcPr>
            <w:tcW w:w="6378" w:type="dxa"/>
          </w:tcPr>
          <w:p w14:paraId="0675E5B5" w14:textId="579B4D34" w:rsidR="003E12FB" w:rsidRPr="00112667" w:rsidRDefault="003E12FB" w:rsidP="009B0BF5">
            <w:pPr>
              <w:pStyle w:val="tbltext"/>
              <w:spacing w:before="60" w:line="260" w:lineRule="atLeast"/>
            </w:pPr>
            <w:r w:rsidRPr="00112667">
              <w:t>Financial Markets Authority</w:t>
            </w:r>
          </w:p>
          <w:p w14:paraId="428A77D2" w14:textId="270ED146" w:rsidR="003E12FB" w:rsidRPr="00112667" w:rsidRDefault="003E12FB" w:rsidP="009B0BF5">
            <w:pPr>
              <w:pStyle w:val="tbltext"/>
              <w:spacing w:before="60" w:line="260" w:lineRule="atLeast"/>
            </w:pPr>
            <w:r w:rsidRPr="00112667">
              <w:t>New Zealand Stock Exchange</w:t>
            </w:r>
          </w:p>
        </w:tc>
      </w:tr>
      <w:tr w:rsidR="0056606F" w:rsidRPr="0033698E" w14:paraId="12A9CFAC" w14:textId="77777777" w:rsidTr="00D3615D">
        <w:trPr>
          <w:cantSplit/>
        </w:trPr>
        <w:tc>
          <w:tcPr>
            <w:tcW w:w="2694" w:type="dxa"/>
          </w:tcPr>
          <w:p w14:paraId="106EC07E" w14:textId="77777777" w:rsidR="0056606F" w:rsidRPr="0033698E" w:rsidRDefault="0056606F" w:rsidP="0064645B">
            <w:pPr>
              <w:pStyle w:val="tbltext"/>
              <w:spacing w:before="60" w:line="260" w:lineRule="atLeast"/>
              <w:rPr>
                <w:sz w:val="24"/>
                <w:szCs w:val="24"/>
              </w:rPr>
            </w:pPr>
            <w:r w:rsidRPr="0033698E">
              <w:t>Norway</w:t>
            </w:r>
          </w:p>
        </w:tc>
        <w:tc>
          <w:tcPr>
            <w:tcW w:w="6378" w:type="dxa"/>
          </w:tcPr>
          <w:p w14:paraId="03DB6477" w14:textId="77777777" w:rsidR="0056606F" w:rsidRPr="0033698E" w:rsidRDefault="0056606F" w:rsidP="0064645B">
            <w:pPr>
              <w:pStyle w:val="tbltext"/>
              <w:spacing w:before="60" w:line="260" w:lineRule="atLeast"/>
              <w:rPr>
                <w:sz w:val="24"/>
                <w:szCs w:val="24"/>
              </w:rPr>
            </w:pPr>
            <w:r>
              <w:t>Finanstilsynet</w:t>
            </w:r>
            <w:r w:rsidRPr="0033698E">
              <w:t xml:space="preserve"> (</w:t>
            </w:r>
            <w:r>
              <w:t>Financial Supervisory Authority of Norway)</w:t>
            </w:r>
          </w:p>
        </w:tc>
      </w:tr>
      <w:tr w:rsidR="0056606F" w:rsidRPr="0033698E" w14:paraId="0F3C6FDB" w14:textId="77777777" w:rsidTr="00D3615D">
        <w:trPr>
          <w:cantSplit/>
        </w:trPr>
        <w:tc>
          <w:tcPr>
            <w:tcW w:w="2694" w:type="dxa"/>
          </w:tcPr>
          <w:p w14:paraId="1790B3EE" w14:textId="77777777" w:rsidR="0056606F" w:rsidRPr="0033698E" w:rsidRDefault="0056606F" w:rsidP="0064645B">
            <w:pPr>
              <w:pStyle w:val="tbltext"/>
              <w:spacing w:before="60" w:line="260" w:lineRule="atLeast"/>
              <w:rPr>
                <w:sz w:val="24"/>
                <w:szCs w:val="24"/>
              </w:rPr>
            </w:pPr>
            <w:r w:rsidRPr="0033698E">
              <w:rPr>
                <w:lang w:val="fr-FR"/>
              </w:rPr>
              <w:t>Portugal</w:t>
            </w:r>
          </w:p>
        </w:tc>
        <w:tc>
          <w:tcPr>
            <w:tcW w:w="6378" w:type="dxa"/>
          </w:tcPr>
          <w:p w14:paraId="25537F04" w14:textId="77777777" w:rsidR="0056606F" w:rsidRPr="0033698E" w:rsidRDefault="0056606F" w:rsidP="0064645B">
            <w:pPr>
              <w:pStyle w:val="tbltext"/>
              <w:spacing w:before="60" w:line="260" w:lineRule="atLeast"/>
              <w:rPr>
                <w:sz w:val="24"/>
                <w:szCs w:val="24"/>
              </w:rPr>
            </w:pPr>
            <w:r>
              <w:rPr>
                <w:lang w:val="fr-FR"/>
              </w:rPr>
              <w:t>Comissão do Mercado de Valores Mobiliáros</w:t>
            </w:r>
            <w:r w:rsidRPr="0033698E">
              <w:rPr>
                <w:lang w:val="fr-FR"/>
              </w:rPr>
              <w:t xml:space="preserve"> (</w:t>
            </w:r>
            <w:r>
              <w:rPr>
                <w:lang w:val="fr-FR"/>
              </w:rPr>
              <w:t>Portuguese Securities Market Commission</w:t>
            </w:r>
            <w:r w:rsidRPr="0033698E">
              <w:rPr>
                <w:lang w:val="fr-FR"/>
              </w:rPr>
              <w:t>)</w:t>
            </w:r>
          </w:p>
        </w:tc>
      </w:tr>
      <w:tr w:rsidR="00CA2E4E" w:rsidRPr="0033698E" w14:paraId="50F1374D" w14:textId="77777777" w:rsidTr="00D3615D">
        <w:trPr>
          <w:cantSplit/>
        </w:trPr>
        <w:tc>
          <w:tcPr>
            <w:tcW w:w="2694" w:type="dxa"/>
          </w:tcPr>
          <w:p w14:paraId="01A9F2D0" w14:textId="77777777" w:rsidR="00CA2E4E" w:rsidRPr="009B0BF5" w:rsidRDefault="00CA2E4E" w:rsidP="009B0BF5">
            <w:pPr>
              <w:pStyle w:val="tbltext"/>
              <w:spacing w:before="60" w:line="260" w:lineRule="atLeast"/>
            </w:pPr>
            <w:r w:rsidRPr="00112667">
              <w:t>Singapore</w:t>
            </w:r>
          </w:p>
        </w:tc>
        <w:tc>
          <w:tcPr>
            <w:tcW w:w="6378" w:type="dxa"/>
          </w:tcPr>
          <w:p w14:paraId="6FD4D3FA" w14:textId="21DB7BEA" w:rsidR="00CA2E4E" w:rsidRPr="009B0BF5" w:rsidRDefault="00CA2E4E" w:rsidP="009B0BF5">
            <w:pPr>
              <w:pStyle w:val="tbltext"/>
              <w:spacing w:before="60" w:line="260" w:lineRule="atLeast"/>
            </w:pPr>
            <w:r w:rsidRPr="00112667">
              <w:t>Monetary Authority of Singapore</w:t>
            </w:r>
          </w:p>
          <w:p w14:paraId="52D5036C" w14:textId="77777777" w:rsidR="00CA2E4E" w:rsidRPr="009B0BF5" w:rsidRDefault="00CA2E4E" w:rsidP="009B0BF5">
            <w:pPr>
              <w:pStyle w:val="tbltext"/>
              <w:spacing w:before="60" w:line="260" w:lineRule="atLeast"/>
            </w:pPr>
            <w:r w:rsidRPr="00112667">
              <w:t>Stock Exchange of Singapore</w:t>
            </w:r>
          </w:p>
        </w:tc>
      </w:tr>
      <w:tr w:rsidR="00CA2E4E" w:rsidRPr="0033698E" w14:paraId="2BE39F98" w14:textId="77777777" w:rsidTr="00D3615D">
        <w:trPr>
          <w:cantSplit/>
        </w:trPr>
        <w:tc>
          <w:tcPr>
            <w:tcW w:w="2694" w:type="dxa"/>
          </w:tcPr>
          <w:p w14:paraId="50E3627C" w14:textId="77777777" w:rsidR="00CA2E4E" w:rsidRPr="009B0BF5" w:rsidRDefault="00CA2E4E" w:rsidP="009B0BF5">
            <w:pPr>
              <w:pStyle w:val="tbltext"/>
              <w:spacing w:before="60" w:line="260" w:lineRule="atLeast"/>
            </w:pPr>
            <w:r w:rsidRPr="00112667">
              <w:t>South Africa</w:t>
            </w:r>
          </w:p>
        </w:tc>
        <w:tc>
          <w:tcPr>
            <w:tcW w:w="6378" w:type="dxa"/>
          </w:tcPr>
          <w:p w14:paraId="1E03D2D5" w14:textId="76DF4BC7" w:rsidR="00CA2E4E" w:rsidRPr="00112667" w:rsidRDefault="00CA2E4E" w:rsidP="009B0BF5">
            <w:pPr>
              <w:pStyle w:val="tbltext"/>
              <w:spacing w:before="60" w:line="260" w:lineRule="atLeast"/>
            </w:pPr>
            <w:r w:rsidRPr="00112667">
              <w:t>Johannesburg Stock Exchange</w:t>
            </w:r>
          </w:p>
          <w:p w14:paraId="13BBEF9A" w14:textId="77777777" w:rsidR="00CA2E4E" w:rsidRPr="009B0BF5" w:rsidRDefault="00CA2E4E" w:rsidP="009B0BF5">
            <w:pPr>
              <w:pStyle w:val="tbltext"/>
              <w:spacing w:before="60" w:line="260" w:lineRule="atLeast"/>
            </w:pPr>
            <w:r w:rsidRPr="00112667">
              <w:t>South African Futures Exchange</w:t>
            </w:r>
          </w:p>
        </w:tc>
      </w:tr>
      <w:tr w:rsidR="0056606F" w:rsidRPr="00647606" w14:paraId="2D300652" w14:textId="77777777" w:rsidTr="00D3615D">
        <w:trPr>
          <w:cantSplit/>
        </w:trPr>
        <w:tc>
          <w:tcPr>
            <w:tcW w:w="2694" w:type="dxa"/>
          </w:tcPr>
          <w:p w14:paraId="04B99C30" w14:textId="77777777" w:rsidR="0056606F" w:rsidRPr="0033698E" w:rsidRDefault="0056606F" w:rsidP="0064645B">
            <w:pPr>
              <w:pStyle w:val="tbltext"/>
              <w:spacing w:before="60" w:line="260" w:lineRule="atLeast"/>
              <w:rPr>
                <w:sz w:val="24"/>
                <w:szCs w:val="24"/>
              </w:rPr>
            </w:pPr>
            <w:r w:rsidRPr="0033698E">
              <w:t>Spain</w:t>
            </w:r>
          </w:p>
        </w:tc>
        <w:tc>
          <w:tcPr>
            <w:tcW w:w="6378" w:type="dxa"/>
          </w:tcPr>
          <w:p w14:paraId="5FA98E5D" w14:textId="77777777" w:rsidR="0056606F" w:rsidRPr="0033698E" w:rsidRDefault="0056606F" w:rsidP="0064645B">
            <w:pPr>
              <w:pStyle w:val="tbltext"/>
              <w:spacing w:before="60" w:line="260" w:lineRule="atLeast"/>
              <w:rPr>
                <w:rFonts w:ascii="Times New Roman" w:hAnsi="Times New Roman"/>
                <w:sz w:val="24"/>
                <w:szCs w:val="24"/>
              </w:rPr>
            </w:pPr>
            <w:r w:rsidRPr="0033698E">
              <w:t>Banco de Espana (for Banks and Credit Institutions)</w:t>
            </w:r>
          </w:p>
          <w:p w14:paraId="06C77715" w14:textId="77777777" w:rsidR="0056606F" w:rsidRPr="00FB4E7C" w:rsidRDefault="0056606F" w:rsidP="0064645B">
            <w:pPr>
              <w:pStyle w:val="tbltext"/>
              <w:spacing w:before="60" w:line="260" w:lineRule="atLeast"/>
              <w:rPr>
                <w:sz w:val="24"/>
                <w:szCs w:val="24"/>
                <w:lang w:val="fr-FR"/>
              </w:rPr>
            </w:pPr>
            <w:r w:rsidRPr="0033698E">
              <w:rPr>
                <w:lang w:val="fr-FR"/>
              </w:rPr>
              <w:t>Comision Nacional del Mercado de Valores</w:t>
            </w:r>
          </w:p>
        </w:tc>
      </w:tr>
      <w:tr w:rsidR="0056606F" w:rsidRPr="0033698E" w14:paraId="3F3A12D2" w14:textId="77777777" w:rsidTr="00D3615D">
        <w:trPr>
          <w:cantSplit/>
        </w:trPr>
        <w:tc>
          <w:tcPr>
            <w:tcW w:w="2694" w:type="dxa"/>
          </w:tcPr>
          <w:p w14:paraId="266F3947" w14:textId="77777777" w:rsidR="0056606F" w:rsidRPr="0033698E" w:rsidRDefault="0056606F" w:rsidP="0064645B">
            <w:pPr>
              <w:pStyle w:val="tbltext"/>
              <w:spacing w:before="60" w:line="260" w:lineRule="atLeast"/>
            </w:pPr>
            <w:r>
              <w:t>Sweden</w:t>
            </w:r>
          </w:p>
        </w:tc>
        <w:tc>
          <w:tcPr>
            <w:tcW w:w="6378" w:type="dxa"/>
          </w:tcPr>
          <w:p w14:paraId="13F52932" w14:textId="77777777" w:rsidR="0056606F" w:rsidRPr="0033698E" w:rsidRDefault="0056606F" w:rsidP="0064645B">
            <w:pPr>
              <w:pStyle w:val="tbltext"/>
              <w:spacing w:before="60" w:line="260" w:lineRule="atLeast"/>
            </w:pPr>
            <w:r>
              <w:t>Finansinspektionen (Financial Supervisory Authority of Sweden)</w:t>
            </w:r>
          </w:p>
        </w:tc>
      </w:tr>
      <w:tr w:rsidR="0056606F" w:rsidRPr="0033698E" w14:paraId="24F7D277" w14:textId="77777777" w:rsidTr="00D3615D">
        <w:trPr>
          <w:cantSplit/>
        </w:trPr>
        <w:tc>
          <w:tcPr>
            <w:tcW w:w="2694" w:type="dxa"/>
          </w:tcPr>
          <w:p w14:paraId="31F0C9D9" w14:textId="77777777" w:rsidR="0056606F" w:rsidRPr="0033698E" w:rsidRDefault="0056606F" w:rsidP="0064645B">
            <w:pPr>
              <w:pStyle w:val="tbltext"/>
              <w:spacing w:before="60" w:line="260" w:lineRule="atLeast"/>
              <w:rPr>
                <w:sz w:val="24"/>
                <w:szCs w:val="24"/>
              </w:rPr>
            </w:pPr>
            <w:r w:rsidRPr="0033698E">
              <w:t>United Kingdom</w:t>
            </w:r>
          </w:p>
        </w:tc>
        <w:tc>
          <w:tcPr>
            <w:tcW w:w="6378" w:type="dxa"/>
          </w:tcPr>
          <w:p w14:paraId="7D7C4F36" w14:textId="77777777" w:rsidR="0056606F" w:rsidRPr="0033698E" w:rsidRDefault="0056606F" w:rsidP="0064645B">
            <w:pPr>
              <w:pStyle w:val="tbltext"/>
              <w:spacing w:before="60" w:line="260" w:lineRule="atLeast"/>
              <w:rPr>
                <w:sz w:val="24"/>
                <w:szCs w:val="24"/>
              </w:rPr>
            </w:pPr>
            <w:r>
              <w:t>Financial Conduct Authority</w:t>
            </w:r>
          </w:p>
        </w:tc>
      </w:tr>
      <w:tr w:rsidR="00CA2E4E" w:rsidRPr="0033698E" w14:paraId="7520E154" w14:textId="77777777" w:rsidTr="00D3615D">
        <w:trPr>
          <w:cantSplit/>
        </w:trPr>
        <w:tc>
          <w:tcPr>
            <w:tcW w:w="2694" w:type="dxa"/>
          </w:tcPr>
          <w:p w14:paraId="566E49FB" w14:textId="77777777" w:rsidR="00CA2E4E" w:rsidRPr="009B0BF5" w:rsidRDefault="00CA2E4E" w:rsidP="009B0BF5">
            <w:pPr>
              <w:pStyle w:val="tbltext"/>
              <w:spacing w:before="60" w:line="260" w:lineRule="atLeast"/>
            </w:pPr>
            <w:r w:rsidRPr="00112667">
              <w:t>United States</w:t>
            </w:r>
          </w:p>
        </w:tc>
        <w:tc>
          <w:tcPr>
            <w:tcW w:w="6378" w:type="dxa"/>
          </w:tcPr>
          <w:p w14:paraId="60191220" w14:textId="77777777" w:rsidR="00CA2E4E" w:rsidRPr="009B0BF5" w:rsidRDefault="00CA2E4E" w:rsidP="009B0BF5">
            <w:pPr>
              <w:pStyle w:val="tbltext"/>
              <w:spacing w:before="60" w:line="260" w:lineRule="atLeast"/>
            </w:pPr>
            <w:r w:rsidRPr="00112667">
              <w:t>Securities and Exchange Commission</w:t>
            </w:r>
          </w:p>
          <w:p w14:paraId="32DEC012" w14:textId="15F0CE78" w:rsidR="00CA2E4E" w:rsidRPr="00112667" w:rsidRDefault="00CA2E4E" w:rsidP="009B0BF5">
            <w:pPr>
              <w:pStyle w:val="tbltext"/>
              <w:spacing w:before="60" w:line="260" w:lineRule="atLeast"/>
            </w:pPr>
            <w:r w:rsidRPr="00112667">
              <w:t xml:space="preserve">Commodity </w:t>
            </w:r>
            <w:r w:rsidR="003C2BE8">
              <w:t xml:space="preserve">and </w:t>
            </w:r>
            <w:r w:rsidRPr="00112667">
              <w:t>Futures Trading Commission</w:t>
            </w:r>
          </w:p>
          <w:p w14:paraId="3CD93DB3" w14:textId="2467A0E2" w:rsidR="003E12FB" w:rsidRPr="009B0BF5" w:rsidRDefault="003E12FB" w:rsidP="009B0BF5">
            <w:pPr>
              <w:pStyle w:val="tbltext"/>
              <w:spacing w:before="60" w:line="260" w:lineRule="atLeast"/>
            </w:pPr>
            <w:r w:rsidRPr="00112667">
              <w:t>Financial Industry Regulatory Authority</w:t>
            </w:r>
          </w:p>
        </w:tc>
      </w:tr>
    </w:tbl>
    <w:p w14:paraId="0ACAAFC8" w14:textId="6D2265EE" w:rsidR="003E12FB" w:rsidRPr="00D34506" w:rsidRDefault="003E12FB" w:rsidP="003E12FB">
      <w:pPr>
        <w:pStyle w:val="MIRHeading2Part"/>
      </w:pPr>
      <w:bookmarkStart w:id="97" w:name="_Toc503282410"/>
      <w:bookmarkStart w:id="98" w:name="_Toc509478706"/>
      <w:bookmarkStart w:id="99" w:name="_Toc511655161"/>
      <w:bookmarkStart w:id="100" w:name="_Toc517295442"/>
      <w:bookmarkStart w:id="101" w:name="_Toc27492609"/>
      <w:r w:rsidRPr="00D34506">
        <w:t xml:space="preserve">Part A5.4 </w:t>
      </w:r>
      <w:r w:rsidRPr="00D34506">
        <w:tab/>
        <w:t>Underwriting Risk</w:t>
      </w:r>
      <w:bookmarkEnd w:id="97"/>
      <w:bookmarkEnd w:id="98"/>
      <w:bookmarkEnd w:id="99"/>
      <w:bookmarkEnd w:id="100"/>
      <w:bookmarkEnd w:id="101"/>
    </w:p>
    <w:p w14:paraId="1CC641AF" w14:textId="77777777" w:rsidR="003E12FB" w:rsidRPr="0033698E" w:rsidRDefault="003E12FB" w:rsidP="003E12FB">
      <w:pPr>
        <w:pStyle w:val="tabletitlefullwidth"/>
      </w:pPr>
      <w:r w:rsidRPr="00D34506">
        <w:t>Table A5.4.1:</w:t>
      </w:r>
      <w:r w:rsidRPr="00D34506">
        <w:tab/>
        <w:t>Underwriting Risk Factor</w:t>
      </w:r>
    </w:p>
    <w:tbl>
      <w:tblPr>
        <w:tblpPr w:leftFromText="180" w:rightFromText="180" w:vertAnchor="text" w:tblpY="1"/>
        <w:tblOverlap w:val="never"/>
        <w:tblW w:w="0" w:type="auto"/>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4962"/>
        <w:gridCol w:w="2268"/>
      </w:tblGrid>
      <w:tr w:rsidR="0045642E" w:rsidRPr="0033698E" w14:paraId="5887AE3B" w14:textId="77777777" w:rsidTr="00280E9E">
        <w:trPr>
          <w:cantSplit/>
          <w:tblHeader/>
        </w:trPr>
        <w:tc>
          <w:tcPr>
            <w:tcW w:w="7230" w:type="dxa"/>
            <w:gridSpan w:val="2"/>
            <w:shd w:val="clear" w:color="auto" w:fill="C2E3FA"/>
          </w:tcPr>
          <w:p w14:paraId="33D048DA" w14:textId="77777777" w:rsidR="0045642E" w:rsidRPr="0033698E" w:rsidRDefault="0045642E" w:rsidP="009B0BF5">
            <w:pPr>
              <w:pStyle w:val="tablehead"/>
              <w:spacing w:before="60" w:line="260" w:lineRule="atLeast"/>
            </w:pPr>
            <w:r>
              <w:t>Risk Factor</w:t>
            </w:r>
          </w:p>
        </w:tc>
      </w:tr>
      <w:tr w:rsidR="003E12FB" w:rsidRPr="0033698E" w14:paraId="4F32A805" w14:textId="77777777" w:rsidTr="00211210">
        <w:trPr>
          <w:cantSplit/>
        </w:trPr>
        <w:tc>
          <w:tcPr>
            <w:tcW w:w="4962" w:type="dxa"/>
          </w:tcPr>
          <w:p w14:paraId="683401DF" w14:textId="77777777" w:rsidR="003E12FB" w:rsidRPr="0033698E" w:rsidRDefault="003E12FB" w:rsidP="009B0BF5">
            <w:pPr>
              <w:pStyle w:val="tbltext"/>
              <w:spacing w:before="60" w:line="260" w:lineRule="atLeast"/>
              <w:rPr>
                <w:sz w:val="24"/>
                <w:szCs w:val="24"/>
              </w:rPr>
            </w:pPr>
            <w:r>
              <w:t>All Underwritings</w:t>
            </w:r>
          </w:p>
        </w:tc>
        <w:tc>
          <w:tcPr>
            <w:tcW w:w="2268" w:type="dxa"/>
          </w:tcPr>
          <w:p w14:paraId="2E38AC31" w14:textId="77777777" w:rsidR="003E12FB" w:rsidRPr="0033698E" w:rsidRDefault="003E12FB" w:rsidP="009B0BF5">
            <w:pPr>
              <w:pStyle w:val="tbltext"/>
              <w:spacing w:before="60" w:line="260" w:lineRule="atLeast"/>
              <w:ind w:right="851"/>
              <w:jc w:val="right"/>
              <w:rPr>
                <w:sz w:val="24"/>
                <w:szCs w:val="24"/>
              </w:rPr>
            </w:pPr>
            <w:r>
              <w:t>5</w:t>
            </w:r>
            <w:r w:rsidRPr="0033698E">
              <w:t>%</w:t>
            </w:r>
          </w:p>
        </w:tc>
      </w:tr>
    </w:tbl>
    <w:p w14:paraId="6564A7F3" w14:textId="77777777" w:rsidR="003E12FB" w:rsidRPr="0033698E" w:rsidRDefault="003E12FB" w:rsidP="003E12FB">
      <w:pPr>
        <w:pStyle w:val="MIRNote"/>
        <w:sectPr w:rsidR="003E12FB" w:rsidRPr="0033698E" w:rsidSect="00BA1BD7">
          <w:headerReference w:type="even" r:id="rId49"/>
          <w:headerReference w:type="default" r:id="rId50"/>
          <w:headerReference w:type="first" r:id="rId51"/>
          <w:type w:val="continuous"/>
          <w:pgSz w:w="11906" w:h="16838" w:code="9"/>
          <w:pgMar w:top="1644" w:right="1418" w:bottom="1418" w:left="1418" w:header="567" w:footer="567" w:gutter="0"/>
          <w:cols w:space="720"/>
          <w:docGrid w:linePitch="299"/>
        </w:sectPr>
      </w:pPr>
      <w:r>
        <w:br w:type="textWrapping" w:clear="all"/>
      </w:r>
    </w:p>
    <w:p w14:paraId="1803FA65" w14:textId="3A719896" w:rsidR="0007252C" w:rsidRPr="0033698E" w:rsidRDefault="0007252C" w:rsidP="003E12FB">
      <w:pPr>
        <w:pStyle w:val="MIRNote"/>
        <w:sectPr w:rsidR="0007252C" w:rsidRPr="0033698E" w:rsidSect="00BA1BD7">
          <w:headerReference w:type="even" r:id="rId52"/>
          <w:headerReference w:type="default" r:id="rId53"/>
          <w:headerReference w:type="first" r:id="rId54"/>
          <w:type w:val="continuous"/>
          <w:pgSz w:w="11906" w:h="16838" w:code="9"/>
          <w:pgMar w:top="1644" w:right="1418" w:bottom="1418" w:left="1418" w:header="567" w:footer="567" w:gutter="0"/>
          <w:cols w:space="720"/>
          <w:docGrid w:linePitch="299"/>
        </w:sectPr>
      </w:pPr>
    </w:p>
    <w:p w14:paraId="6BA9BFD8" w14:textId="77777777" w:rsidR="00504101" w:rsidRPr="0033698E" w:rsidRDefault="00504101" w:rsidP="00FB4E7C">
      <w:pPr>
        <w:pStyle w:val="MIRHeading1Chapter"/>
        <w:spacing w:line="270" w:lineRule="atLeast"/>
        <w:rPr>
          <w:rFonts w:eastAsia="Arial"/>
        </w:rPr>
      </w:pPr>
      <w:bookmarkStart w:id="102" w:name="_Toc385511296"/>
      <w:bookmarkStart w:id="103" w:name="_Toc27492610"/>
      <w:bookmarkStart w:id="104" w:name="_Toc385511297"/>
      <w:r w:rsidRPr="0033698E">
        <w:rPr>
          <w:rFonts w:eastAsia="Arial"/>
        </w:rPr>
        <w:lastRenderedPageBreak/>
        <w:t>Schedule</w:t>
      </w:r>
      <w:r w:rsidRPr="0033698E">
        <w:rPr>
          <w:rFonts w:eastAsia="Arial"/>
          <w:spacing w:val="53"/>
        </w:rPr>
        <w:t xml:space="preserve"> </w:t>
      </w:r>
      <w:r w:rsidRPr="0033698E">
        <w:rPr>
          <w:rFonts w:eastAsia="Arial"/>
        </w:rPr>
        <w:t>1C:</w:t>
      </w:r>
      <w:r w:rsidRPr="0033698E">
        <w:rPr>
          <w:rFonts w:eastAsia="Arial"/>
          <w:spacing w:val="16"/>
        </w:rPr>
        <w:t xml:space="preserve"> </w:t>
      </w:r>
      <w:r w:rsidRPr="0033698E">
        <w:rPr>
          <w:rFonts w:eastAsia="Arial"/>
          <w:w w:val="102"/>
        </w:rPr>
        <w:t>Forms</w:t>
      </w:r>
      <w:bookmarkEnd w:id="102"/>
      <w:bookmarkEnd w:id="103"/>
    </w:p>
    <w:p w14:paraId="6A31A26C" w14:textId="25A9DCD9" w:rsidR="00CB36B6" w:rsidRPr="0033698E" w:rsidRDefault="00CB36B6" w:rsidP="00FB4E7C">
      <w:pPr>
        <w:pStyle w:val="MIRHeading2Part"/>
        <w:spacing w:before="340" w:line="270" w:lineRule="atLeast"/>
        <w:rPr>
          <w:rFonts w:eastAsia="Arial"/>
        </w:rPr>
      </w:pPr>
      <w:bookmarkStart w:id="105" w:name="_Toc27492611"/>
      <w:r w:rsidRPr="0033698E">
        <w:rPr>
          <w:rFonts w:eastAsia="Arial"/>
        </w:rPr>
        <w:t>Sch</w:t>
      </w:r>
      <w:r w:rsidR="00432822">
        <w:rPr>
          <w:rFonts w:eastAsia="Arial"/>
        </w:rPr>
        <w:t>edule</w:t>
      </w:r>
      <w:r w:rsidRPr="0033698E">
        <w:rPr>
          <w:rFonts w:eastAsia="Arial"/>
        </w:rPr>
        <w:t xml:space="preserve"> 1C Form 1</w:t>
      </w:r>
      <w:bookmarkEnd w:id="104"/>
      <w:r w:rsidR="002E03A9" w:rsidRPr="0033698E">
        <w:rPr>
          <w:rFonts w:eastAsia="Arial"/>
        </w:rPr>
        <w:tab/>
        <w:t>Ad Hoc</w:t>
      </w:r>
      <w:r w:rsidR="003521AC">
        <w:rPr>
          <w:rFonts w:eastAsia="Arial"/>
        </w:rPr>
        <w:t xml:space="preserve"> Risk-Based</w:t>
      </w:r>
      <w:r w:rsidR="002E03A9" w:rsidRPr="0033698E">
        <w:rPr>
          <w:rFonts w:eastAsia="Arial"/>
        </w:rPr>
        <w:t xml:space="preserve"> Return</w:t>
      </w:r>
      <w:bookmarkEnd w:id="105"/>
    </w:p>
    <w:p w14:paraId="6249C70C" w14:textId="18A8B135" w:rsidR="00F71762" w:rsidRPr="00821ED4" w:rsidRDefault="00F71762" w:rsidP="00D3615D">
      <w:pPr>
        <w:spacing w:before="120" w:after="0"/>
      </w:pPr>
      <w:r w:rsidRPr="00D3615D">
        <w:rPr>
          <w:rFonts w:ascii="Arial" w:hAnsi="Arial" w:cs="Arial"/>
          <w:sz w:val="20"/>
        </w:rPr>
        <w:t>Return date</w:t>
      </w:r>
    </w:p>
    <w:p w14:paraId="4365FBEA" w14:textId="00D4A831" w:rsidR="00F71762" w:rsidRDefault="00F71762" w:rsidP="00740D71">
      <w:pPr>
        <w:rPr>
          <w:lang w:val="en"/>
        </w:rPr>
      </w:pPr>
      <w:r>
        <w:rPr>
          <w:noProof/>
        </w:rPr>
        <w:drawing>
          <wp:inline distT="0" distB="0" distL="0" distR="0" wp14:anchorId="5A2380AA" wp14:editId="539EAFDD">
            <wp:extent cx="2400000" cy="390476"/>
            <wp:effectExtent l="0" t="0" r="635" b="0"/>
            <wp:docPr id="3" name="Picture 3" descr="Blank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2400000" cy="390476"/>
                    </a:xfrm>
                    <a:prstGeom prst="rect">
                      <a:avLst/>
                    </a:prstGeom>
                  </pic:spPr>
                </pic:pic>
              </a:graphicData>
            </a:graphic>
          </wp:inline>
        </w:drawing>
      </w:r>
    </w:p>
    <w:p w14:paraId="48D75C50" w14:textId="4C550913" w:rsidR="00F71762" w:rsidRPr="00821ED4" w:rsidRDefault="00F71762" w:rsidP="00D3615D">
      <w:pPr>
        <w:spacing w:after="0"/>
      </w:pPr>
      <w:r w:rsidRPr="00D3615D">
        <w:rPr>
          <w:rFonts w:ascii="Arial" w:hAnsi="Arial" w:cs="Arial"/>
          <w:sz w:val="20"/>
        </w:rPr>
        <w:t>Core Capital</w:t>
      </w:r>
    </w:p>
    <w:p w14:paraId="564754F6" w14:textId="5C878E51" w:rsidR="00F71762" w:rsidRPr="00740D71" w:rsidRDefault="00F71762" w:rsidP="00740D71">
      <w:pPr>
        <w:rPr>
          <w:rStyle w:val="IntenseEmphasis"/>
          <w:rFonts w:ascii="Times New Roman" w:hAnsi="Times New Roman"/>
          <w:b w:val="0"/>
          <w:bCs w:val="0"/>
          <w:i w:val="0"/>
          <w:iCs w:val="0"/>
          <w:color w:val="auto"/>
          <w:lang w:val="en"/>
        </w:rPr>
      </w:pPr>
      <w:r w:rsidRPr="00740D71">
        <w:rPr>
          <w:noProof/>
        </w:rPr>
        <w:drawing>
          <wp:inline distT="0" distB="0" distL="0" distR="0" wp14:anchorId="240F02C4" wp14:editId="59F4274C">
            <wp:extent cx="3543300" cy="419100"/>
            <wp:effectExtent l="0" t="0" r="0" b="0"/>
            <wp:docPr id="39" name="Picture 39" descr="Blank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543300" cy="419100"/>
                    </a:xfrm>
                    <a:prstGeom prst="rect">
                      <a:avLst/>
                    </a:prstGeom>
                    <a:noFill/>
                    <a:ln>
                      <a:noFill/>
                    </a:ln>
                  </pic:spPr>
                </pic:pic>
              </a:graphicData>
            </a:graphic>
          </wp:inline>
        </w:drawing>
      </w:r>
    </w:p>
    <w:p w14:paraId="71A0A2EC" w14:textId="39E96FEA" w:rsidR="00F71762" w:rsidRPr="00821ED4" w:rsidRDefault="00F71762" w:rsidP="00D3615D">
      <w:pPr>
        <w:spacing w:after="0"/>
      </w:pPr>
      <w:r w:rsidRPr="00D3615D">
        <w:rPr>
          <w:rFonts w:ascii="Arial" w:hAnsi="Arial" w:cs="Arial"/>
          <w:sz w:val="20"/>
        </w:rPr>
        <w:t>Approved Subordinated Debt</w:t>
      </w:r>
    </w:p>
    <w:p w14:paraId="3A9725CE" w14:textId="1692193E" w:rsidR="00F71762" w:rsidRPr="00740D71" w:rsidRDefault="00F71762" w:rsidP="00740D71">
      <w:pPr>
        <w:rPr>
          <w:lang w:val="en"/>
        </w:rPr>
      </w:pPr>
      <w:r w:rsidRPr="00740D71">
        <w:rPr>
          <w:noProof/>
        </w:rPr>
        <w:drawing>
          <wp:inline distT="0" distB="0" distL="0" distR="0" wp14:anchorId="1ADF5B11" wp14:editId="158A6698">
            <wp:extent cx="3543300" cy="419100"/>
            <wp:effectExtent l="0" t="0" r="0" b="0"/>
            <wp:docPr id="40" name="Picture 40" descr="Blank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543300" cy="419100"/>
                    </a:xfrm>
                    <a:prstGeom prst="rect">
                      <a:avLst/>
                    </a:prstGeom>
                    <a:noFill/>
                    <a:ln>
                      <a:noFill/>
                    </a:ln>
                  </pic:spPr>
                </pic:pic>
              </a:graphicData>
            </a:graphic>
          </wp:inline>
        </w:drawing>
      </w:r>
    </w:p>
    <w:p w14:paraId="00831C38" w14:textId="29CF3DC3" w:rsidR="00F71762" w:rsidRPr="00676207" w:rsidRDefault="00F71762" w:rsidP="00D3615D">
      <w:pPr>
        <w:spacing w:after="0"/>
        <w:rPr>
          <w:bCs/>
        </w:rPr>
      </w:pPr>
      <w:r w:rsidRPr="004C1E44">
        <w:rPr>
          <w:rFonts w:ascii="Arial" w:hAnsi="Arial" w:cs="Arial"/>
          <w:bCs/>
          <w:sz w:val="20"/>
        </w:rPr>
        <w:t>Cumulative Preference Shares/revaluation reserve</w:t>
      </w:r>
    </w:p>
    <w:p w14:paraId="4B313A5F" w14:textId="150E4CEA" w:rsidR="00F71762" w:rsidRPr="00740D71" w:rsidRDefault="00F71762" w:rsidP="00740D71">
      <w:pPr>
        <w:rPr>
          <w:lang w:val="en"/>
        </w:rPr>
      </w:pPr>
      <w:r w:rsidRPr="00740D71">
        <w:rPr>
          <w:noProof/>
        </w:rPr>
        <w:drawing>
          <wp:inline distT="0" distB="0" distL="0" distR="0" wp14:anchorId="187D23FF" wp14:editId="220A0D65">
            <wp:extent cx="3543300" cy="419100"/>
            <wp:effectExtent l="0" t="0" r="0" b="0"/>
            <wp:docPr id="42" name="Picture 42" descr="Blank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543300" cy="419100"/>
                    </a:xfrm>
                    <a:prstGeom prst="rect">
                      <a:avLst/>
                    </a:prstGeom>
                    <a:noFill/>
                    <a:ln>
                      <a:noFill/>
                    </a:ln>
                  </pic:spPr>
                </pic:pic>
              </a:graphicData>
            </a:graphic>
          </wp:inline>
        </w:drawing>
      </w:r>
    </w:p>
    <w:p w14:paraId="3A991E76" w14:textId="0238A1C2" w:rsidR="00F71762" w:rsidRPr="00821ED4" w:rsidRDefault="00F71762" w:rsidP="00D3615D">
      <w:pPr>
        <w:spacing w:after="0"/>
      </w:pPr>
      <w:r w:rsidRPr="00D3615D">
        <w:rPr>
          <w:rFonts w:ascii="Arial" w:hAnsi="Arial" w:cs="Arial"/>
          <w:sz w:val="20"/>
        </w:rPr>
        <w:t>Less Excluded Assets</w:t>
      </w:r>
    </w:p>
    <w:p w14:paraId="0DA004A6" w14:textId="75C34441" w:rsidR="00F71762" w:rsidRPr="00740D71" w:rsidRDefault="00F71762" w:rsidP="00740D71">
      <w:pPr>
        <w:rPr>
          <w:lang w:val="en"/>
        </w:rPr>
      </w:pPr>
      <w:r w:rsidRPr="00740D71">
        <w:rPr>
          <w:noProof/>
        </w:rPr>
        <w:drawing>
          <wp:inline distT="0" distB="0" distL="0" distR="0" wp14:anchorId="47A84D15" wp14:editId="4809FD74">
            <wp:extent cx="3543300" cy="419100"/>
            <wp:effectExtent l="0" t="0" r="0" b="0"/>
            <wp:docPr id="43" name="Picture 43" descr="Blank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543300" cy="419100"/>
                    </a:xfrm>
                    <a:prstGeom prst="rect">
                      <a:avLst/>
                    </a:prstGeom>
                    <a:noFill/>
                    <a:ln>
                      <a:noFill/>
                    </a:ln>
                  </pic:spPr>
                </pic:pic>
              </a:graphicData>
            </a:graphic>
          </wp:inline>
        </w:drawing>
      </w:r>
    </w:p>
    <w:p w14:paraId="4EDF18F0" w14:textId="6A4CC567" w:rsidR="00F71762" w:rsidRPr="00821ED4" w:rsidRDefault="00F71762" w:rsidP="00D3615D">
      <w:pPr>
        <w:spacing w:after="0"/>
      </w:pPr>
      <w:r w:rsidRPr="00D3615D">
        <w:rPr>
          <w:rFonts w:ascii="Arial" w:hAnsi="Arial" w:cs="Arial"/>
          <w:sz w:val="20"/>
        </w:rPr>
        <w:t>Less Excluded Liabilities</w:t>
      </w:r>
    </w:p>
    <w:p w14:paraId="1A652E26" w14:textId="77777777" w:rsidR="00F71762" w:rsidRDefault="00F71762" w:rsidP="00740D71">
      <w:pPr>
        <w:rPr>
          <w:lang w:val="en"/>
        </w:rPr>
      </w:pPr>
      <w:r w:rsidRPr="00740D71">
        <w:rPr>
          <w:noProof/>
        </w:rPr>
        <w:drawing>
          <wp:inline distT="0" distB="0" distL="0" distR="0" wp14:anchorId="486F5220" wp14:editId="197DC585">
            <wp:extent cx="3543300" cy="419100"/>
            <wp:effectExtent l="0" t="0" r="0" b="0"/>
            <wp:docPr id="44" name="Picture 44" descr="Blank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543300" cy="419100"/>
                    </a:xfrm>
                    <a:prstGeom prst="rect">
                      <a:avLst/>
                    </a:prstGeom>
                    <a:noFill/>
                    <a:ln>
                      <a:noFill/>
                    </a:ln>
                  </pic:spPr>
                </pic:pic>
              </a:graphicData>
            </a:graphic>
          </wp:inline>
        </w:drawing>
      </w:r>
    </w:p>
    <w:p w14:paraId="2148F786" w14:textId="7F7015CB" w:rsidR="002D1DA1" w:rsidRDefault="002D1DA1" w:rsidP="00FB4E7C">
      <w:pPr>
        <w:keepNext/>
        <w:spacing w:after="0"/>
        <w:rPr>
          <w:rFonts w:ascii="Arial" w:hAnsi="Arial" w:cs="Arial"/>
          <w:b/>
          <w:sz w:val="20"/>
        </w:rPr>
      </w:pPr>
      <w:r>
        <w:rPr>
          <w:rFonts w:ascii="Arial" w:hAnsi="Arial" w:cs="Arial"/>
          <w:b/>
          <w:sz w:val="20"/>
        </w:rPr>
        <w:t xml:space="preserve">Liquid </w:t>
      </w:r>
      <w:r w:rsidR="00676207">
        <w:rPr>
          <w:rFonts w:ascii="Arial" w:hAnsi="Arial" w:cs="Arial"/>
          <w:b/>
          <w:sz w:val="20"/>
        </w:rPr>
        <w:t>C</w:t>
      </w:r>
      <w:r>
        <w:rPr>
          <w:rFonts w:ascii="Arial" w:hAnsi="Arial" w:cs="Arial"/>
          <w:b/>
          <w:sz w:val="20"/>
        </w:rPr>
        <w:t>apital</w:t>
      </w:r>
    </w:p>
    <w:p w14:paraId="5CC403DB" w14:textId="278936FA" w:rsidR="00560E9E" w:rsidRPr="00FB4E7C" w:rsidRDefault="00560E9E" w:rsidP="0058616F">
      <w:pPr>
        <w:rPr>
          <w:lang w:val="en"/>
        </w:rPr>
      </w:pPr>
      <w:r>
        <w:rPr>
          <w:noProof/>
        </w:rPr>
        <w:drawing>
          <wp:inline distT="0" distB="0" distL="0" distR="0" wp14:anchorId="560ECDFD" wp14:editId="11015375">
            <wp:extent cx="3543300" cy="419100"/>
            <wp:effectExtent l="0" t="0" r="0" b="0"/>
            <wp:docPr id="5" name="Picture 5" descr="Blank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543300" cy="419100"/>
                    </a:xfrm>
                    <a:prstGeom prst="rect">
                      <a:avLst/>
                    </a:prstGeom>
                    <a:noFill/>
                    <a:ln>
                      <a:noFill/>
                    </a:ln>
                  </pic:spPr>
                </pic:pic>
              </a:graphicData>
            </a:graphic>
          </wp:inline>
        </w:drawing>
      </w:r>
    </w:p>
    <w:p w14:paraId="7C7EC75D" w14:textId="4A805056" w:rsidR="00F71762" w:rsidRPr="00821ED4" w:rsidRDefault="00F71762" w:rsidP="00D3615D">
      <w:pPr>
        <w:spacing w:before="240" w:after="0"/>
      </w:pPr>
      <w:r w:rsidRPr="00D3615D">
        <w:rPr>
          <w:rFonts w:ascii="Arial" w:hAnsi="Arial" w:cs="Arial"/>
          <w:sz w:val="20"/>
        </w:rPr>
        <w:lastRenderedPageBreak/>
        <w:t>Operational Risk Requirement</w:t>
      </w:r>
    </w:p>
    <w:p w14:paraId="69E409A9" w14:textId="74966681" w:rsidR="00F71762" w:rsidRPr="00740D71" w:rsidRDefault="00563062" w:rsidP="00740D71">
      <w:pPr>
        <w:rPr>
          <w:rStyle w:val="IntenseEmphasis"/>
          <w:rFonts w:ascii="Times New Roman" w:hAnsi="Times New Roman"/>
          <w:b w:val="0"/>
          <w:bCs w:val="0"/>
          <w:i w:val="0"/>
          <w:iCs w:val="0"/>
          <w:color w:val="auto"/>
          <w:lang w:val="en"/>
        </w:rPr>
      </w:pPr>
      <w:r w:rsidRPr="00740D71">
        <w:rPr>
          <w:noProof/>
        </w:rPr>
        <w:drawing>
          <wp:inline distT="0" distB="0" distL="0" distR="0" wp14:anchorId="586D05A7" wp14:editId="44B1E8DC">
            <wp:extent cx="4237990" cy="419100"/>
            <wp:effectExtent l="0" t="0" r="0" b="0"/>
            <wp:docPr id="2" name="Picture 2" descr="Blank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237990" cy="419100"/>
                    </a:xfrm>
                    <a:prstGeom prst="rect">
                      <a:avLst/>
                    </a:prstGeom>
                    <a:noFill/>
                    <a:ln>
                      <a:noFill/>
                    </a:ln>
                  </pic:spPr>
                </pic:pic>
              </a:graphicData>
            </a:graphic>
          </wp:inline>
        </w:drawing>
      </w:r>
      <w:r w:rsidR="00F71762" w:rsidRPr="00740D71">
        <w:rPr>
          <w:rStyle w:val="IntenseEmphasis"/>
          <w:b w:val="0"/>
        </w:rPr>
        <w:t xml:space="preserve"> </w:t>
      </w:r>
    </w:p>
    <w:p w14:paraId="6C537D05" w14:textId="415ADBDF" w:rsidR="00F71762" w:rsidRPr="00821ED4" w:rsidRDefault="00F71762" w:rsidP="00D3615D">
      <w:pPr>
        <w:spacing w:after="0"/>
      </w:pPr>
      <w:r w:rsidRPr="00D3615D">
        <w:rPr>
          <w:rFonts w:ascii="Arial" w:hAnsi="Arial" w:cs="Arial"/>
          <w:sz w:val="20"/>
        </w:rPr>
        <w:t>Counterparty Risk Requirement</w:t>
      </w:r>
    </w:p>
    <w:p w14:paraId="0F6CC94E" w14:textId="59250A36" w:rsidR="00F71762" w:rsidRPr="00740D71" w:rsidRDefault="00F71762" w:rsidP="00740D71">
      <w:pPr>
        <w:rPr>
          <w:rStyle w:val="IntenseEmphasis"/>
          <w:rFonts w:ascii="Times New Roman" w:hAnsi="Times New Roman"/>
          <w:b w:val="0"/>
          <w:bCs w:val="0"/>
          <w:i w:val="0"/>
          <w:iCs w:val="0"/>
          <w:color w:val="auto"/>
          <w:lang w:val="en"/>
        </w:rPr>
      </w:pPr>
      <w:r w:rsidRPr="00740D71">
        <w:rPr>
          <w:noProof/>
        </w:rPr>
        <w:drawing>
          <wp:inline distT="0" distB="0" distL="0" distR="0" wp14:anchorId="31F68FDF" wp14:editId="291E3ABF">
            <wp:extent cx="4237990" cy="419100"/>
            <wp:effectExtent l="0" t="0" r="0" b="0"/>
            <wp:docPr id="49" name="Picture 49" descr="Blank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237990" cy="419100"/>
                    </a:xfrm>
                    <a:prstGeom prst="rect">
                      <a:avLst/>
                    </a:prstGeom>
                    <a:noFill/>
                    <a:ln>
                      <a:noFill/>
                    </a:ln>
                  </pic:spPr>
                </pic:pic>
              </a:graphicData>
            </a:graphic>
          </wp:inline>
        </w:drawing>
      </w:r>
    </w:p>
    <w:p w14:paraId="7585E55C" w14:textId="41A3165E" w:rsidR="00F71762" w:rsidRPr="00821ED4" w:rsidRDefault="00F71762" w:rsidP="00D3615D">
      <w:pPr>
        <w:spacing w:after="0"/>
      </w:pPr>
      <w:r w:rsidRPr="00D3615D">
        <w:rPr>
          <w:rFonts w:ascii="Arial" w:hAnsi="Arial" w:cs="Arial"/>
          <w:sz w:val="20"/>
        </w:rPr>
        <w:t>Large Exposure Risk Requirement</w:t>
      </w:r>
    </w:p>
    <w:p w14:paraId="183C8468" w14:textId="7248947F" w:rsidR="00F71762" w:rsidRPr="00740D71" w:rsidRDefault="00F71762" w:rsidP="00740D71">
      <w:pPr>
        <w:rPr>
          <w:rStyle w:val="IntenseEmphasis"/>
          <w:rFonts w:ascii="Times New Roman" w:hAnsi="Times New Roman"/>
          <w:b w:val="0"/>
          <w:bCs w:val="0"/>
          <w:i w:val="0"/>
          <w:iCs w:val="0"/>
          <w:color w:val="auto"/>
          <w:lang w:val="en"/>
        </w:rPr>
      </w:pPr>
      <w:r w:rsidRPr="00740D71">
        <w:rPr>
          <w:noProof/>
        </w:rPr>
        <w:drawing>
          <wp:inline distT="0" distB="0" distL="0" distR="0" wp14:anchorId="48F61DA1" wp14:editId="21BB4F63">
            <wp:extent cx="4257675" cy="419100"/>
            <wp:effectExtent l="0" t="0" r="9525" b="0"/>
            <wp:docPr id="41" name="Picture 41" descr="Blank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257675" cy="419100"/>
                    </a:xfrm>
                    <a:prstGeom prst="rect">
                      <a:avLst/>
                    </a:prstGeom>
                    <a:noFill/>
                    <a:ln>
                      <a:noFill/>
                    </a:ln>
                  </pic:spPr>
                </pic:pic>
              </a:graphicData>
            </a:graphic>
          </wp:inline>
        </w:drawing>
      </w:r>
    </w:p>
    <w:p w14:paraId="5A024970" w14:textId="549FF117" w:rsidR="00F71762" w:rsidRPr="00821ED4" w:rsidRDefault="00F71762" w:rsidP="00D3615D">
      <w:pPr>
        <w:spacing w:after="0"/>
      </w:pPr>
      <w:r w:rsidRPr="00D3615D">
        <w:rPr>
          <w:rFonts w:ascii="Arial" w:hAnsi="Arial" w:cs="Arial"/>
          <w:sz w:val="20"/>
        </w:rPr>
        <w:t>Position Risk Requirement</w:t>
      </w:r>
    </w:p>
    <w:p w14:paraId="485D18F3" w14:textId="5A028875" w:rsidR="00F71762" w:rsidRPr="00740D71" w:rsidRDefault="00F71762" w:rsidP="00740D71">
      <w:pPr>
        <w:rPr>
          <w:lang w:val="en"/>
        </w:rPr>
      </w:pPr>
      <w:r w:rsidRPr="00740D71">
        <w:rPr>
          <w:noProof/>
        </w:rPr>
        <w:drawing>
          <wp:inline distT="0" distB="0" distL="0" distR="0" wp14:anchorId="165527A7" wp14:editId="5BDEF5ED">
            <wp:extent cx="4248150" cy="4191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248150" cy="419100"/>
                    </a:xfrm>
                    <a:prstGeom prst="rect">
                      <a:avLst/>
                    </a:prstGeom>
                    <a:noFill/>
                    <a:ln>
                      <a:noFill/>
                    </a:ln>
                  </pic:spPr>
                </pic:pic>
              </a:graphicData>
            </a:graphic>
          </wp:inline>
        </w:drawing>
      </w:r>
    </w:p>
    <w:p w14:paraId="369305B5" w14:textId="3053F50C" w:rsidR="00F71762" w:rsidRPr="00821ED4" w:rsidRDefault="00F71762" w:rsidP="00D3615D">
      <w:pPr>
        <w:spacing w:after="0"/>
      </w:pPr>
      <w:r w:rsidRPr="00D3615D">
        <w:rPr>
          <w:rFonts w:ascii="Arial" w:hAnsi="Arial" w:cs="Arial"/>
          <w:sz w:val="20"/>
        </w:rPr>
        <w:t>Underwriting and Sub Underwriting Risk Requirement</w:t>
      </w:r>
    </w:p>
    <w:p w14:paraId="5AFC1AF2" w14:textId="65710B13" w:rsidR="00F71762" w:rsidRPr="00740D71" w:rsidRDefault="00F71762" w:rsidP="00740D71">
      <w:pPr>
        <w:rPr>
          <w:lang w:val="en"/>
        </w:rPr>
      </w:pPr>
      <w:r w:rsidRPr="00740D71">
        <w:rPr>
          <w:noProof/>
        </w:rPr>
        <w:drawing>
          <wp:inline distT="0" distB="0" distL="0" distR="0" wp14:anchorId="138D7126" wp14:editId="7381DDD0">
            <wp:extent cx="4237990" cy="419100"/>
            <wp:effectExtent l="0" t="0" r="0" b="0"/>
            <wp:docPr id="47" name="Picture 47" descr="Blank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237990" cy="419100"/>
                    </a:xfrm>
                    <a:prstGeom prst="rect">
                      <a:avLst/>
                    </a:prstGeom>
                    <a:noFill/>
                    <a:ln>
                      <a:noFill/>
                    </a:ln>
                  </pic:spPr>
                </pic:pic>
              </a:graphicData>
            </a:graphic>
          </wp:inline>
        </w:drawing>
      </w:r>
    </w:p>
    <w:p w14:paraId="14A29408" w14:textId="5DBEBDF8" w:rsidR="00F71762" w:rsidRPr="00821ED4" w:rsidRDefault="00F71762" w:rsidP="00D3615D">
      <w:pPr>
        <w:spacing w:after="0"/>
      </w:pPr>
      <w:r w:rsidRPr="00D3615D">
        <w:rPr>
          <w:rFonts w:ascii="Arial" w:hAnsi="Arial" w:cs="Arial"/>
          <w:sz w:val="20"/>
        </w:rPr>
        <w:t>Non</w:t>
      </w:r>
      <w:r w:rsidR="0084514E" w:rsidRPr="00D3615D">
        <w:rPr>
          <w:rFonts w:ascii="Arial" w:hAnsi="Arial" w:cs="Arial"/>
          <w:sz w:val="20"/>
        </w:rPr>
        <w:t>-</w:t>
      </w:r>
      <w:r w:rsidRPr="00D3615D">
        <w:rPr>
          <w:rFonts w:ascii="Arial" w:hAnsi="Arial" w:cs="Arial"/>
          <w:sz w:val="20"/>
        </w:rPr>
        <w:t>Standard Risk Requirement</w:t>
      </w:r>
    </w:p>
    <w:p w14:paraId="4F827746" w14:textId="2722B94A" w:rsidR="00F71762" w:rsidRDefault="00F71762" w:rsidP="00740D71">
      <w:pPr>
        <w:rPr>
          <w:lang w:val="en"/>
        </w:rPr>
      </w:pPr>
      <w:r w:rsidRPr="00740D71">
        <w:rPr>
          <w:noProof/>
        </w:rPr>
        <w:drawing>
          <wp:inline distT="0" distB="0" distL="0" distR="0" wp14:anchorId="40D1CABE" wp14:editId="6726FA39">
            <wp:extent cx="4237990" cy="419100"/>
            <wp:effectExtent l="0" t="0" r="0" b="0"/>
            <wp:docPr id="54" name="Picture 54" descr="Blank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237990" cy="419100"/>
                    </a:xfrm>
                    <a:prstGeom prst="rect">
                      <a:avLst/>
                    </a:prstGeom>
                    <a:noFill/>
                    <a:ln>
                      <a:noFill/>
                    </a:ln>
                  </pic:spPr>
                </pic:pic>
              </a:graphicData>
            </a:graphic>
          </wp:inline>
        </w:drawing>
      </w:r>
    </w:p>
    <w:p w14:paraId="3C5953AF" w14:textId="5EC26A14" w:rsidR="002D1DA1" w:rsidRPr="00FB4E7C" w:rsidRDefault="002D1DA1" w:rsidP="00FB4E7C">
      <w:pPr>
        <w:keepNext/>
        <w:spacing w:after="0"/>
        <w:rPr>
          <w:rFonts w:ascii="Arial" w:hAnsi="Arial" w:cs="Arial"/>
          <w:b/>
          <w:sz w:val="20"/>
        </w:rPr>
      </w:pPr>
      <w:r w:rsidRPr="00FB4E7C">
        <w:rPr>
          <w:rFonts w:ascii="Arial" w:hAnsi="Arial" w:cs="Arial"/>
          <w:b/>
          <w:sz w:val="20"/>
        </w:rPr>
        <w:t>Total Risk Requirement</w:t>
      </w:r>
    </w:p>
    <w:p w14:paraId="2E617B4D" w14:textId="0212D6FE" w:rsidR="00F71762" w:rsidRPr="00FB4E7C" w:rsidRDefault="00740D71" w:rsidP="00FB4E7C">
      <w:pPr>
        <w:rPr>
          <w:lang w:val="en"/>
        </w:rPr>
      </w:pPr>
      <w:r>
        <w:rPr>
          <w:noProof/>
        </w:rPr>
        <w:drawing>
          <wp:inline distT="0" distB="0" distL="0" distR="0" wp14:anchorId="321DCD08" wp14:editId="7DEEEBB9">
            <wp:extent cx="4237990" cy="419100"/>
            <wp:effectExtent l="0" t="0" r="0" b="0"/>
            <wp:docPr id="109" name="Picture 109" descr="Blank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237990" cy="419100"/>
                    </a:xfrm>
                    <a:prstGeom prst="rect">
                      <a:avLst/>
                    </a:prstGeom>
                    <a:noFill/>
                    <a:ln>
                      <a:noFill/>
                    </a:ln>
                  </pic:spPr>
                </pic:pic>
              </a:graphicData>
            </a:graphic>
          </wp:inline>
        </w:drawing>
      </w:r>
    </w:p>
    <w:p w14:paraId="34D0F701" w14:textId="3BD5657E" w:rsidR="002D1DA1" w:rsidRPr="00FB4E7C" w:rsidRDefault="002D1DA1" w:rsidP="00FB4E7C">
      <w:pPr>
        <w:keepNext/>
        <w:spacing w:after="0"/>
      </w:pPr>
      <w:r w:rsidRPr="00FB4E7C">
        <w:rPr>
          <w:rFonts w:ascii="Arial" w:hAnsi="Arial" w:cs="Arial"/>
          <w:b/>
          <w:sz w:val="20"/>
        </w:rPr>
        <w:t>Liquid Margin</w:t>
      </w:r>
    </w:p>
    <w:p w14:paraId="1D66559A" w14:textId="35777567" w:rsidR="00F71762" w:rsidRDefault="00740D71" w:rsidP="00FB4E7C">
      <w:r>
        <w:rPr>
          <w:noProof/>
        </w:rPr>
        <w:drawing>
          <wp:inline distT="0" distB="0" distL="0" distR="0" wp14:anchorId="3A20F364" wp14:editId="3B050B62">
            <wp:extent cx="4237990" cy="419100"/>
            <wp:effectExtent l="0" t="0" r="0" b="0"/>
            <wp:docPr id="127" name="Picture 127" descr="Blank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237990" cy="419100"/>
                    </a:xfrm>
                    <a:prstGeom prst="rect">
                      <a:avLst/>
                    </a:prstGeom>
                    <a:noFill/>
                    <a:ln>
                      <a:noFill/>
                    </a:ln>
                  </pic:spPr>
                </pic:pic>
              </a:graphicData>
            </a:graphic>
          </wp:inline>
        </w:drawing>
      </w:r>
    </w:p>
    <w:p w14:paraId="16D1EBA8" w14:textId="3A28223D" w:rsidR="002D1DA1" w:rsidRPr="00FB4E7C" w:rsidRDefault="002D1DA1" w:rsidP="00FB4E7C">
      <w:pPr>
        <w:spacing w:after="0"/>
      </w:pPr>
      <w:r w:rsidRPr="002D1DA1">
        <w:rPr>
          <w:rFonts w:ascii="Arial" w:hAnsi="Arial" w:cs="Arial"/>
          <w:b/>
          <w:sz w:val="20"/>
        </w:rPr>
        <w:lastRenderedPageBreak/>
        <w:t>Ratio of Liquid Capital to Total Risk Requirement</w:t>
      </w:r>
    </w:p>
    <w:p w14:paraId="51947794" w14:textId="725AF1C9" w:rsidR="00E933C3" w:rsidRPr="001160D7" w:rsidRDefault="00AA3246" w:rsidP="00FB4E7C">
      <w:r>
        <w:rPr>
          <w:noProof/>
        </w:rPr>
        <w:drawing>
          <wp:inline distT="0" distB="0" distL="0" distR="0" wp14:anchorId="7FFB4CCE" wp14:editId="712E0B4E">
            <wp:extent cx="4237990" cy="419100"/>
            <wp:effectExtent l="0" t="0" r="0" b="0"/>
            <wp:docPr id="375" name="Picture 375" descr="Blank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237990" cy="419100"/>
                    </a:xfrm>
                    <a:prstGeom prst="rect">
                      <a:avLst/>
                    </a:prstGeom>
                    <a:noFill/>
                    <a:ln>
                      <a:noFill/>
                    </a:ln>
                  </pic:spPr>
                </pic:pic>
              </a:graphicData>
            </a:graphic>
          </wp:inline>
        </w:drawing>
      </w:r>
    </w:p>
    <w:p w14:paraId="715A0488" w14:textId="60CDCE51" w:rsidR="00F71762" w:rsidRPr="00FB4E7C" w:rsidRDefault="00F71762" w:rsidP="00FB4E7C">
      <w:pPr>
        <w:spacing w:after="0"/>
        <w:rPr>
          <w:rFonts w:ascii="Arial" w:hAnsi="Arial" w:cs="Arial"/>
          <w:sz w:val="20"/>
        </w:rPr>
      </w:pPr>
      <w:r w:rsidRPr="00D3615D">
        <w:rPr>
          <w:rFonts w:ascii="Arial" w:hAnsi="Arial" w:cs="Arial"/>
          <w:sz w:val="20"/>
        </w:rPr>
        <w:t>Component of the Counterparty Risk Requirement that is the Non-margined Financial Instruments method (NMFIM) amount greater than 10</w:t>
      </w:r>
      <w:r w:rsidR="003D3616" w:rsidRPr="00D3615D">
        <w:rPr>
          <w:rFonts w:ascii="Arial" w:hAnsi="Arial" w:cs="Arial"/>
          <w:sz w:val="20"/>
        </w:rPr>
        <w:t> </w:t>
      </w:r>
      <w:r w:rsidRPr="00D3615D">
        <w:rPr>
          <w:rFonts w:ascii="Arial" w:hAnsi="Arial" w:cs="Arial"/>
          <w:sz w:val="20"/>
        </w:rPr>
        <w:t>Business Days</w:t>
      </w:r>
    </w:p>
    <w:p w14:paraId="256CCDE5" w14:textId="1A05346B" w:rsidR="00F71762" w:rsidRPr="00740D71" w:rsidRDefault="00F71762" w:rsidP="00740D71">
      <w:pPr>
        <w:rPr>
          <w:lang w:val="en"/>
        </w:rPr>
      </w:pPr>
      <w:r w:rsidRPr="00740D71">
        <w:rPr>
          <w:noProof/>
        </w:rPr>
        <w:drawing>
          <wp:inline distT="0" distB="0" distL="0" distR="0" wp14:anchorId="18709DB4" wp14:editId="635CB9A3">
            <wp:extent cx="4248150" cy="419100"/>
            <wp:effectExtent l="0" t="0" r="0" b="0"/>
            <wp:docPr id="55" name="Picture 55" descr="Blank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248150" cy="419100"/>
                    </a:xfrm>
                    <a:prstGeom prst="rect">
                      <a:avLst/>
                    </a:prstGeom>
                    <a:noFill/>
                    <a:ln>
                      <a:noFill/>
                    </a:ln>
                  </pic:spPr>
                </pic:pic>
              </a:graphicData>
            </a:graphic>
          </wp:inline>
        </w:drawing>
      </w:r>
    </w:p>
    <w:p w14:paraId="7276576E" w14:textId="77777777" w:rsidR="00CB36B6" w:rsidRPr="0033698E" w:rsidRDefault="00CB36B6" w:rsidP="00CB36B6">
      <w:pPr>
        <w:spacing w:after="0"/>
        <w:sectPr w:rsidR="00CB36B6" w:rsidRPr="0033698E" w:rsidSect="00DE51C0">
          <w:headerReference w:type="even" r:id="rId57"/>
          <w:headerReference w:type="default" r:id="rId58"/>
          <w:footerReference w:type="default" r:id="rId59"/>
          <w:headerReference w:type="first" r:id="rId60"/>
          <w:pgSz w:w="16840" w:h="11920" w:orient="landscape"/>
          <w:pgMar w:top="1440" w:right="1440" w:bottom="1440" w:left="1440" w:header="567" w:footer="567" w:gutter="0"/>
          <w:cols w:space="720"/>
          <w:docGrid w:linePitch="299"/>
        </w:sectPr>
      </w:pPr>
    </w:p>
    <w:p w14:paraId="41050A47" w14:textId="5EA7DA4D" w:rsidR="00CB36B6" w:rsidRPr="0033698E" w:rsidRDefault="00CB36B6" w:rsidP="003521AC">
      <w:pPr>
        <w:pStyle w:val="MIRHeading2Part"/>
        <w:rPr>
          <w:rFonts w:eastAsia="Arial"/>
        </w:rPr>
      </w:pPr>
      <w:bookmarkStart w:id="106" w:name="_Toc385511298"/>
      <w:bookmarkStart w:id="107" w:name="_Toc27492612"/>
      <w:r w:rsidRPr="0033698E">
        <w:rPr>
          <w:rFonts w:eastAsia="Arial"/>
        </w:rPr>
        <w:lastRenderedPageBreak/>
        <w:t>Schedu</w:t>
      </w:r>
      <w:r w:rsidRPr="0033698E">
        <w:rPr>
          <w:rFonts w:eastAsia="Arial"/>
          <w:spacing w:val="2"/>
        </w:rPr>
        <w:t>l</w:t>
      </w:r>
      <w:r w:rsidRPr="0033698E">
        <w:rPr>
          <w:rFonts w:eastAsia="Arial"/>
        </w:rPr>
        <w:t>e</w:t>
      </w:r>
      <w:r w:rsidRPr="0033698E">
        <w:rPr>
          <w:rFonts w:eastAsia="Arial"/>
          <w:spacing w:val="-12"/>
        </w:rPr>
        <w:t xml:space="preserve"> </w:t>
      </w:r>
      <w:r w:rsidRPr="0033698E">
        <w:rPr>
          <w:rFonts w:eastAsia="Arial"/>
        </w:rPr>
        <w:t>1C</w:t>
      </w:r>
      <w:r w:rsidRPr="0033698E">
        <w:rPr>
          <w:rFonts w:eastAsia="Arial"/>
          <w:spacing w:val="-1"/>
        </w:rPr>
        <w:t xml:space="preserve"> </w:t>
      </w:r>
      <w:bookmarkStart w:id="108" w:name="_Hlk3296521"/>
      <w:r w:rsidRPr="0033698E">
        <w:rPr>
          <w:rFonts w:eastAsia="Arial"/>
        </w:rPr>
        <w:t>Form</w:t>
      </w:r>
      <w:r w:rsidRPr="0033698E">
        <w:rPr>
          <w:rFonts w:eastAsia="Arial"/>
          <w:spacing w:val="-4"/>
        </w:rPr>
        <w:t xml:space="preserve"> </w:t>
      </w:r>
      <w:r w:rsidRPr="0033698E">
        <w:rPr>
          <w:rFonts w:eastAsia="Arial"/>
        </w:rPr>
        <w:t>2</w:t>
      </w:r>
      <w:r w:rsidRPr="0033698E">
        <w:rPr>
          <w:rFonts w:eastAsia="Arial"/>
          <w:spacing w:val="-1"/>
        </w:rPr>
        <w:t xml:space="preserve"> </w:t>
      </w:r>
      <w:r w:rsidR="003521AC">
        <w:rPr>
          <w:rFonts w:eastAsia="Arial"/>
          <w:w w:val="99"/>
        </w:rPr>
        <w:t>Risk-Based Return</w:t>
      </w:r>
      <w:r w:rsidRPr="0033698E">
        <w:rPr>
          <w:rFonts w:eastAsia="Arial"/>
          <w:spacing w:val="-12"/>
        </w:rPr>
        <w:t xml:space="preserve"> </w:t>
      </w:r>
      <w:r w:rsidRPr="0033698E">
        <w:rPr>
          <w:rFonts w:eastAsia="Arial"/>
        </w:rPr>
        <w:t>Dec</w:t>
      </w:r>
      <w:r w:rsidRPr="0033698E">
        <w:rPr>
          <w:rFonts w:eastAsia="Arial"/>
          <w:spacing w:val="2"/>
        </w:rPr>
        <w:t>l</w:t>
      </w:r>
      <w:r w:rsidRPr="0033698E">
        <w:rPr>
          <w:rFonts w:eastAsia="Arial"/>
        </w:rPr>
        <w:t>arat</w:t>
      </w:r>
      <w:r w:rsidRPr="0033698E">
        <w:rPr>
          <w:rFonts w:eastAsia="Arial"/>
          <w:spacing w:val="2"/>
        </w:rPr>
        <w:t>i</w:t>
      </w:r>
      <w:r w:rsidRPr="0033698E">
        <w:rPr>
          <w:rFonts w:eastAsia="Arial"/>
        </w:rPr>
        <w:t>on</w:t>
      </w:r>
      <w:bookmarkEnd w:id="106"/>
      <w:bookmarkEnd w:id="108"/>
      <w:bookmarkEnd w:id="107"/>
    </w:p>
    <w:p w14:paraId="31B7082F" w14:textId="45C8B774" w:rsidR="00D0145B" w:rsidRDefault="00221816" w:rsidP="00D3615D">
      <w:pPr>
        <w:pStyle w:val="ListParagraph"/>
        <w:spacing w:before="240" w:after="0"/>
        <w:ind w:left="357"/>
      </w:pPr>
      <w:r w:rsidRPr="00740D71">
        <w:rPr>
          <w:noProof/>
        </w:rPr>
        <w:drawing>
          <wp:inline distT="0" distB="0" distL="0" distR="0" wp14:anchorId="21735941" wp14:editId="224E9B31">
            <wp:extent cx="3514725" cy="346744"/>
            <wp:effectExtent l="0" t="0" r="0" b="0"/>
            <wp:docPr id="160" name="Picture 160" descr="Blank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585524" cy="353729"/>
                    </a:xfrm>
                    <a:prstGeom prst="rect">
                      <a:avLst/>
                    </a:prstGeom>
                    <a:noFill/>
                    <a:ln>
                      <a:noFill/>
                    </a:ln>
                  </pic:spPr>
                </pic:pic>
              </a:graphicData>
            </a:graphic>
          </wp:inline>
        </w:drawing>
      </w:r>
      <w:r w:rsidR="00D0145B">
        <w:t xml:space="preserve"> (the Market Participant)</w:t>
      </w:r>
    </w:p>
    <w:p w14:paraId="380BBC7D" w14:textId="7760052F" w:rsidR="00D0145B" w:rsidRPr="00D0145B" w:rsidRDefault="00D0145B" w:rsidP="00D0145B">
      <w:r w:rsidRPr="00D0145B">
        <w:t>I</w:t>
      </w:r>
      <w:r w:rsidR="00A659C8">
        <w:t xml:space="preserve"> </w:t>
      </w:r>
      <w:r w:rsidRPr="00D0145B">
        <w:t>make the following declarations:</w:t>
      </w:r>
    </w:p>
    <w:p w14:paraId="354AD4F6" w14:textId="34FBEE34" w:rsidR="00D0145B" w:rsidRPr="00D0145B" w:rsidRDefault="00E27A80" w:rsidP="00D0145B">
      <w:sdt>
        <w:sdtPr>
          <w:id w:val="1256318006"/>
          <w14:checkbox>
            <w14:checked w14:val="0"/>
            <w14:checkedState w14:val="2612" w14:font="MS Gothic"/>
            <w14:uncheckedState w14:val="2610" w14:font="MS Gothic"/>
          </w14:checkbox>
        </w:sdtPr>
        <w:sdtEndPr/>
        <w:sdtContent>
          <w:r w:rsidR="00AD1004">
            <w:rPr>
              <w:rFonts w:ascii="MS Gothic" w:eastAsia="MS Gothic" w:hAnsi="MS Gothic" w:hint="eastAsia"/>
            </w:rPr>
            <w:t>☐</w:t>
          </w:r>
        </w:sdtContent>
      </w:sdt>
      <w:r w:rsidR="00D0145B" w:rsidRPr="00D0145B">
        <w:t xml:space="preserve"> I</w:t>
      </w:r>
      <w:r w:rsidR="00D0145B" w:rsidRPr="00A659C8">
        <w:t xml:space="preserve"> </w:t>
      </w:r>
      <w:r w:rsidR="00D0145B" w:rsidRPr="00D0145B">
        <w:t>understand that giving false or misleading information or documents to ASIC is a serious offence.</w:t>
      </w:r>
    </w:p>
    <w:p w14:paraId="12D8BB22" w14:textId="09D8F9AB" w:rsidR="00D0145B" w:rsidRPr="00D0145B" w:rsidRDefault="00E27A80" w:rsidP="00D0145B">
      <w:sdt>
        <w:sdtPr>
          <w:id w:val="1145242137"/>
          <w14:checkbox>
            <w14:checked w14:val="0"/>
            <w14:checkedState w14:val="2612" w14:font="MS Gothic"/>
            <w14:uncheckedState w14:val="2610" w14:font="MS Gothic"/>
          </w14:checkbox>
        </w:sdtPr>
        <w:sdtEndPr/>
        <w:sdtContent>
          <w:r w:rsidR="00D0145B" w:rsidRPr="00D0145B">
            <w:rPr>
              <w:rFonts w:ascii="MS Gothic" w:eastAsia="MS Gothic" w:hAnsi="MS Gothic" w:hint="eastAsia"/>
            </w:rPr>
            <w:t>☐</w:t>
          </w:r>
        </w:sdtContent>
      </w:sdt>
      <w:r w:rsidR="00D0145B" w:rsidRPr="00D0145B">
        <w:t xml:space="preserve"> I</w:t>
      </w:r>
      <w:r w:rsidR="00D0145B" w:rsidRPr="00A659C8">
        <w:t xml:space="preserve"> </w:t>
      </w:r>
      <w:r w:rsidR="00D0145B" w:rsidRPr="00D0145B">
        <w:t>understand that failure to give information, which renders the information or documents given to ASIC false or misleading, is also a serious office.</w:t>
      </w:r>
    </w:p>
    <w:p w14:paraId="1F8FD20F" w14:textId="5ED96645" w:rsidR="00D0145B" w:rsidRPr="00D0145B" w:rsidRDefault="00E27A80" w:rsidP="00D0145B">
      <w:sdt>
        <w:sdtPr>
          <w:id w:val="-947008873"/>
          <w14:checkbox>
            <w14:checked w14:val="0"/>
            <w14:checkedState w14:val="2612" w14:font="MS Gothic"/>
            <w14:uncheckedState w14:val="2610" w14:font="MS Gothic"/>
          </w14:checkbox>
        </w:sdtPr>
        <w:sdtEndPr/>
        <w:sdtContent>
          <w:r w:rsidR="00D0145B" w:rsidRPr="00D0145B">
            <w:rPr>
              <w:rFonts w:ascii="MS Gothic" w:eastAsia="MS Gothic" w:hAnsi="MS Gothic" w:hint="eastAsia"/>
            </w:rPr>
            <w:t>☐</w:t>
          </w:r>
        </w:sdtContent>
      </w:sdt>
      <w:r w:rsidR="00D0145B" w:rsidRPr="00D0145B">
        <w:t xml:space="preserve"> I</w:t>
      </w:r>
      <w:r w:rsidR="00D0145B" w:rsidRPr="00A659C8">
        <w:t xml:space="preserve"> </w:t>
      </w:r>
      <w:r w:rsidR="00D0145B" w:rsidRPr="00D0145B">
        <w:t xml:space="preserve">understand that giving false or misleading information or documents to ASIC </w:t>
      </w:r>
      <w:r w:rsidR="00D0145B" w:rsidRPr="00A659C8">
        <w:t>is a serious offence</w:t>
      </w:r>
      <w:r w:rsidR="00D0145B" w:rsidRPr="00D0145B">
        <w:t xml:space="preserve"> and could lead to a criminal prosecution.</w:t>
      </w:r>
    </w:p>
    <w:p w14:paraId="6B7A4098" w14:textId="2775009D" w:rsidR="00D0145B" w:rsidRPr="00D0145B" w:rsidRDefault="00E27A80" w:rsidP="00D0145B">
      <w:sdt>
        <w:sdtPr>
          <w:id w:val="1538234691"/>
          <w14:checkbox>
            <w14:checked w14:val="0"/>
            <w14:checkedState w14:val="2612" w14:font="MS Gothic"/>
            <w14:uncheckedState w14:val="2610" w14:font="MS Gothic"/>
          </w14:checkbox>
        </w:sdtPr>
        <w:sdtEndPr/>
        <w:sdtContent>
          <w:r w:rsidR="00D0145B" w:rsidRPr="00D0145B">
            <w:rPr>
              <w:rFonts w:ascii="MS Gothic" w:eastAsia="MS Gothic" w:hAnsi="MS Gothic" w:hint="eastAsia"/>
            </w:rPr>
            <w:t>☐</w:t>
          </w:r>
        </w:sdtContent>
      </w:sdt>
      <w:r w:rsidR="00D0145B" w:rsidRPr="00D0145B">
        <w:t xml:space="preserve"> To the best of my</w:t>
      </w:r>
      <w:r w:rsidR="00D0145B" w:rsidRPr="00A659C8">
        <w:t xml:space="preserve"> </w:t>
      </w:r>
      <w:r w:rsidR="00D0145B" w:rsidRPr="00D0145B">
        <w:t>knowledge, the information contained in this document, including any attachments, is complete, true and correct, and I</w:t>
      </w:r>
      <w:r w:rsidR="00D0145B" w:rsidRPr="00A659C8">
        <w:t xml:space="preserve"> </w:t>
      </w:r>
      <w:r w:rsidR="00D0145B" w:rsidRPr="00D0145B">
        <w:t>have taken reasonable steps and made reasonable enquiries to confirm this.</w:t>
      </w:r>
    </w:p>
    <w:p w14:paraId="4C0CFB6F" w14:textId="77777777" w:rsidR="00D0145B" w:rsidRPr="00A659C8" w:rsidRDefault="00D0145B" w:rsidP="00D0145B">
      <w:r w:rsidRPr="00A659C8">
        <w:t xml:space="preserve">The assets and liabilities of each company controlled by the Market Participant or any other venture in which the Market Participant has a financial interest: </w:t>
      </w:r>
    </w:p>
    <w:p w14:paraId="2916A0AD" w14:textId="2A92FD32" w:rsidR="00D0145B" w:rsidRPr="00A659C8" w:rsidRDefault="00E27A80" w:rsidP="00D0145B">
      <w:pPr>
        <w:ind w:left="720"/>
      </w:pPr>
      <w:sdt>
        <w:sdtPr>
          <w:id w:val="-1270309787"/>
          <w14:checkbox>
            <w14:checked w14:val="0"/>
            <w14:checkedState w14:val="2612" w14:font="MS Gothic"/>
            <w14:uncheckedState w14:val="2610" w14:font="MS Gothic"/>
          </w14:checkbox>
        </w:sdtPr>
        <w:sdtEndPr/>
        <w:sdtContent>
          <w:r w:rsidR="00D0145B" w:rsidRPr="00D0145B">
            <w:rPr>
              <w:rFonts w:ascii="MS Gothic" w:eastAsia="MS Gothic" w:hAnsi="MS Gothic" w:hint="eastAsia"/>
            </w:rPr>
            <w:t>☐</w:t>
          </w:r>
        </w:sdtContent>
      </w:sdt>
      <w:r w:rsidR="00D0145B" w:rsidRPr="00A659C8">
        <w:t xml:space="preserve"> are </w:t>
      </w:r>
      <w:r w:rsidR="00D0145B" w:rsidRPr="00A659C8">
        <w:rPr>
          <w:b/>
        </w:rPr>
        <w:t>not</w:t>
      </w:r>
      <w:r w:rsidR="00573D3A">
        <w:t xml:space="preserve"> in my</w:t>
      </w:r>
      <w:r w:rsidR="00D0145B" w:rsidRPr="00A659C8">
        <w:t xml:space="preserve"> opinion such as to affect adversely to a material extent the Market Participant’s financial position.</w:t>
      </w:r>
    </w:p>
    <w:p w14:paraId="641ECE09" w14:textId="41B9625D" w:rsidR="00D0145B" w:rsidRPr="00D0145B" w:rsidRDefault="00E27A80" w:rsidP="00D0145B">
      <w:pPr>
        <w:ind w:left="720"/>
      </w:pPr>
      <w:sdt>
        <w:sdtPr>
          <w:id w:val="936335588"/>
          <w14:checkbox>
            <w14:checked w14:val="0"/>
            <w14:checkedState w14:val="2612" w14:font="MS Gothic"/>
            <w14:uncheckedState w14:val="2610" w14:font="MS Gothic"/>
          </w14:checkbox>
        </w:sdtPr>
        <w:sdtEndPr/>
        <w:sdtContent>
          <w:r w:rsidR="00D0145B" w:rsidRPr="00D0145B">
            <w:rPr>
              <w:rFonts w:ascii="MS Gothic" w:eastAsia="MS Gothic" w:hAnsi="MS Gothic" w:hint="eastAsia"/>
            </w:rPr>
            <w:t>☐</w:t>
          </w:r>
        </w:sdtContent>
      </w:sdt>
      <w:r w:rsidR="00573D3A">
        <w:t xml:space="preserve"> are in my</w:t>
      </w:r>
      <w:r w:rsidR="00D0145B" w:rsidRPr="00A659C8">
        <w:t xml:space="preserve"> opinion such as to affect adversely to a material extent the Market Participant’s financial position.</w:t>
      </w:r>
    </w:p>
    <w:p w14:paraId="0CD30A29" w14:textId="34A48469" w:rsidR="00D0145B" w:rsidRPr="00A659C8" w:rsidRDefault="00573D3A" w:rsidP="00D0145B">
      <w:r>
        <w:t>In my</w:t>
      </w:r>
      <w:r w:rsidR="00D0145B" w:rsidRPr="00A659C8">
        <w:t xml:space="preserve"> opinion, the Market Participant’s systems, controls and accounting records: </w:t>
      </w:r>
    </w:p>
    <w:p w14:paraId="17398709" w14:textId="42E8A58F" w:rsidR="00D0145B" w:rsidRPr="00A659C8" w:rsidRDefault="00E27A80" w:rsidP="00D0145B">
      <w:pPr>
        <w:ind w:left="720"/>
      </w:pPr>
      <w:sdt>
        <w:sdtPr>
          <w:id w:val="1923600923"/>
          <w14:checkbox>
            <w14:checked w14:val="0"/>
            <w14:checkedState w14:val="2612" w14:font="MS Gothic"/>
            <w14:uncheckedState w14:val="2610" w14:font="MS Gothic"/>
          </w14:checkbox>
        </w:sdtPr>
        <w:sdtEndPr/>
        <w:sdtContent>
          <w:r w:rsidR="00AD1004">
            <w:rPr>
              <w:rFonts w:ascii="MS Gothic" w:eastAsia="MS Gothic" w:hAnsi="MS Gothic" w:hint="eastAsia"/>
            </w:rPr>
            <w:t>☐</w:t>
          </w:r>
        </w:sdtContent>
      </w:sdt>
      <w:r w:rsidR="00D0145B" w:rsidRPr="00A659C8">
        <w:t xml:space="preserve"> have been properly and accurately maintained and form an appropriate basis upon which to assess and regularly review the financial stability of the Market Participant. </w:t>
      </w:r>
    </w:p>
    <w:p w14:paraId="14FE2A55" w14:textId="77777777" w:rsidR="00D0145B" w:rsidRPr="00D0145B" w:rsidRDefault="00E27A80" w:rsidP="00D0145B">
      <w:pPr>
        <w:ind w:left="720"/>
      </w:pPr>
      <w:sdt>
        <w:sdtPr>
          <w:id w:val="-920095681"/>
          <w14:checkbox>
            <w14:checked w14:val="0"/>
            <w14:checkedState w14:val="2612" w14:font="MS Gothic"/>
            <w14:uncheckedState w14:val="2610" w14:font="MS Gothic"/>
          </w14:checkbox>
        </w:sdtPr>
        <w:sdtEndPr/>
        <w:sdtContent>
          <w:r w:rsidR="00D0145B" w:rsidRPr="00D0145B">
            <w:rPr>
              <w:rFonts w:ascii="MS Gothic" w:eastAsia="MS Gothic" w:hAnsi="MS Gothic" w:hint="eastAsia"/>
            </w:rPr>
            <w:t>☐</w:t>
          </w:r>
        </w:sdtContent>
      </w:sdt>
      <w:r w:rsidR="00D0145B" w:rsidRPr="00A659C8">
        <w:t xml:space="preserve"> have </w:t>
      </w:r>
      <w:r w:rsidR="00D0145B" w:rsidRPr="00A659C8">
        <w:rPr>
          <w:b/>
        </w:rPr>
        <w:t>not</w:t>
      </w:r>
      <w:r w:rsidR="00D0145B" w:rsidRPr="00A659C8">
        <w:t xml:space="preserve"> been properly and accurately maintained and </w:t>
      </w:r>
      <w:r w:rsidR="00D0145B" w:rsidRPr="00A659C8">
        <w:rPr>
          <w:b/>
        </w:rPr>
        <w:t>do not</w:t>
      </w:r>
      <w:r w:rsidR="00D0145B" w:rsidRPr="00A659C8">
        <w:t xml:space="preserve"> form an appropriate basis upon which to assess and regularly review the financial stability of the Market Participant.</w:t>
      </w:r>
    </w:p>
    <w:p w14:paraId="75AAABFC" w14:textId="7A947D37" w:rsidR="00D0145B" w:rsidRPr="00D0145B" w:rsidRDefault="00573D3A" w:rsidP="00D0145B">
      <w:r>
        <w:t>In my</w:t>
      </w:r>
      <w:r w:rsidR="00D0145B" w:rsidRPr="00A659C8">
        <w:t xml:space="preserve"> opinion:</w:t>
      </w:r>
    </w:p>
    <w:p w14:paraId="2F94C9B9" w14:textId="77777777" w:rsidR="00D0145B" w:rsidRPr="00A659C8" w:rsidRDefault="00E27A80" w:rsidP="00D0145B">
      <w:pPr>
        <w:ind w:left="720"/>
      </w:pPr>
      <w:sdt>
        <w:sdtPr>
          <w:id w:val="-111980975"/>
          <w14:checkbox>
            <w14:checked w14:val="0"/>
            <w14:checkedState w14:val="2612" w14:font="MS Gothic"/>
            <w14:uncheckedState w14:val="2610" w14:font="MS Gothic"/>
          </w14:checkbox>
        </w:sdtPr>
        <w:sdtEndPr/>
        <w:sdtContent>
          <w:r w:rsidR="00D0145B" w:rsidRPr="00D0145B">
            <w:rPr>
              <w:rFonts w:ascii="MS Gothic" w:eastAsia="MS Gothic" w:hAnsi="MS Gothic" w:hint="eastAsia"/>
            </w:rPr>
            <w:t>☐</w:t>
          </w:r>
        </w:sdtContent>
      </w:sdt>
      <w:r w:rsidR="00D0145B" w:rsidRPr="00D0145B" w:rsidDel="008F7308">
        <w:t xml:space="preserve"> </w:t>
      </w:r>
      <w:r w:rsidR="00D0145B" w:rsidRPr="00A659C8">
        <w:t>No events have occurred or are anticipated up to the date of this statement which may result in a significant deterioration in the financial stability of the Market Participant and there are reasonable grounds to believe the Market Participant will be able to meet its obligations as and when they fall due.</w:t>
      </w:r>
    </w:p>
    <w:p w14:paraId="7A0B9CB0" w14:textId="77777777" w:rsidR="00D0145B" w:rsidRPr="00A659C8" w:rsidRDefault="00E27A80" w:rsidP="00D0145B">
      <w:pPr>
        <w:ind w:left="720"/>
      </w:pPr>
      <w:sdt>
        <w:sdtPr>
          <w:id w:val="-595944927"/>
          <w14:checkbox>
            <w14:checked w14:val="0"/>
            <w14:checkedState w14:val="2612" w14:font="MS Gothic"/>
            <w14:uncheckedState w14:val="2610" w14:font="MS Gothic"/>
          </w14:checkbox>
        </w:sdtPr>
        <w:sdtEndPr/>
        <w:sdtContent>
          <w:r w:rsidR="00D0145B" w:rsidRPr="00D0145B">
            <w:rPr>
              <w:rFonts w:ascii="MS Gothic" w:eastAsia="MS Gothic" w:hAnsi="MS Gothic" w:hint="eastAsia"/>
            </w:rPr>
            <w:t>☐</w:t>
          </w:r>
        </w:sdtContent>
      </w:sdt>
      <w:r w:rsidR="00D0145B" w:rsidRPr="00D0145B" w:rsidDel="008F7308">
        <w:t xml:space="preserve"> </w:t>
      </w:r>
      <w:r w:rsidR="00D0145B" w:rsidRPr="00A659C8">
        <w:t xml:space="preserve">Events have occurred or are anticipated up to the date of this statement which may result in a significant deterioration in the financial stability of the Market Participant and there are reasonable grounds to believe the Market Participant will </w:t>
      </w:r>
      <w:r w:rsidR="00D0145B" w:rsidRPr="00A659C8">
        <w:rPr>
          <w:b/>
        </w:rPr>
        <w:t>not</w:t>
      </w:r>
      <w:r w:rsidR="00D0145B" w:rsidRPr="00A659C8">
        <w:t xml:space="preserve"> be able to meet its obligations as and when they fall due.</w:t>
      </w:r>
    </w:p>
    <w:p w14:paraId="2A870E04" w14:textId="5777F79D" w:rsidR="00D0145B" w:rsidRPr="00A659C8" w:rsidRDefault="00573D3A" w:rsidP="00D0145B">
      <w:r>
        <w:t>To the best of my</w:t>
      </w:r>
      <w:r w:rsidR="00D0145B" w:rsidRPr="00A659C8">
        <w:t xml:space="preserve"> knowledge and belief the Income Statement and Balance Sheet: </w:t>
      </w:r>
    </w:p>
    <w:p w14:paraId="1A316F85" w14:textId="0D236428" w:rsidR="00D0145B" w:rsidRPr="00A659C8" w:rsidRDefault="00E27A80" w:rsidP="00D0145B">
      <w:pPr>
        <w:ind w:left="720"/>
      </w:pPr>
      <w:sdt>
        <w:sdtPr>
          <w:id w:val="1114183104"/>
          <w14:checkbox>
            <w14:checked w14:val="0"/>
            <w14:checkedState w14:val="2612" w14:font="MS Gothic"/>
            <w14:uncheckedState w14:val="2610" w14:font="MS Gothic"/>
          </w14:checkbox>
        </w:sdtPr>
        <w:sdtEndPr/>
        <w:sdtContent>
          <w:r w:rsidR="00D0145B" w:rsidRPr="00D0145B">
            <w:rPr>
              <w:rFonts w:ascii="MS Gothic" w:eastAsia="MS Gothic" w:hAnsi="MS Gothic" w:hint="eastAsia"/>
            </w:rPr>
            <w:t>☐</w:t>
          </w:r>
        </w:sdtContent>
      </w:sdt>
      <w:r w:rsidR="00D0145B" w:rsidRPr="00A659C8">
        <w:t xml:space="preserve"> have been drawn to comply with: the requirements of sections 988A and 988B of the </w:t>
      </w:r>
      <w:r w:rsidR="00D0145B" w:rsidRPr="00A659C8">
        <w:rPr>
          <w:i/>
        </w:rPr>
        <w:t xml:space="preserve">Corporations Act 2001 </w:t>
      </w:r>
      <w:r w:rsidR="00D0145B" w:rsidRPr="00A659C8">
        <w:t xml:space="preserve">or equivalent legislation in the Place of Incorporation (as applicable); </w:t>
      </w:r>
      <w:r w:rsidR="00D0145B" w:rsidRPr="00A659C8">
        <w:lastRenderedPageBreak/>
        <w:t xml:space="preserve">and the accounting standard generally accepted in Australia; and the </w:t>
      </w:r>
      <w:r w:rsidR="00D0145B" w:rsidRPr="00A659C8">
        <w:rPr>
          <w:i/>
        </w:rPr>
        <w:t>ASIC Market Integrity Rules (Capital) 20</w:t>
      </w:r>
      <w:r w:rsidR="004F4E4F">
        <w:rPr>
          <w:i/>
        </w:rPr>
        <w:t>2</w:t>
      </w:r>
      <w:r w:rsidR="00BB486B">
        <w:rPr>
          <w:i/>
        </w:rPr>
        <w:t>1</w:t>
      </w:r>
      <w:r w:rsidR="00D0145B" w:rsidRPr="00A659C8">
        <w:t>.</w:t>
      </w:r>
    </w:p>
    <w:p w14:paraId="75900067" w14:textId="0ACB32B4" w:rsidR="00D0145B" w:rsidRPr="00A659C8" w:rsidRDefault="00E27A80" w:rsidP="00D0145B">
      <w:pPr>
        <w:ind w:left="720"/>
      </w:pPr>
      <w:sdt>
        <w:sdtPr>
          <w:id w:val="-1254967882"/>
          <w14:checkbox>
            <w14:checked w14:val="0"/>
            <w14:checkedState w14:val="2612" w14:font="MS Gothic"/>
            <w14:uncheckedState w14:val="2610" w14:font="MS Gothic"/>
          </w14:checkbox>
        </w:sdtPr>
        <w:sdtEndPr/>
        <w:sdtContent>
          <w:r w:rsidR="00D0145B" w:rsidRPr="00D0145B">
            <w:rPr>
              <w:rFonts w:ascii="MS Gothic" w:eastAsia="MS Gothic" w:hAnsi="MS Gothic" w:hint="eastAsia"/>
            </w:rPr>
            <w:t>☐</w:t>
          </w:r>
        </w:sdtContent>
      </w:sdt>
      <w:r w:rsidR="00D0145B" w:rsidRPr="00A659C8">
        <w:t xml:space="preserve"> have </w:t>
      </w:r>
      <w:r w:rsidR="00D0145B" w:rsidRPr="00A659C8">
        <w:rPr>
          <w:b/>
        </w:rPr>
        <w:t>not</w:t>
      </w:r>
      <w:r w:rsidR="00D0145B" w:rsidRPr="00A659C8">
        <w:t xml:space="preserve"> been drawn to comply with: the requirements of sections 988A and 988B of the </w:t>
      </w:r>
      <w:r w:rsidR="00D0145B" w:rsidRPr="00A659C8">
        <w:rPr>
          <w:i/>
        </w:rPr>
        <w:t xml:space="preserve">Corporations Act 2001 </w:t>
      </w:r>
      <w:r w:rsidR="00D0145B" w:rsidRPr="00A659C8">
        <w:t xml:space="preserve">or equivalent legislation in the Place of Incorporation (as applicable); and the accounting standard generally accepted in Australia; and the </w:t>
      </w:r>
      <w:r w:rsidR="00D0145B" w:rsidRPr="00A659C8">
        <w:rPr>
          <w:i/>
        </w:rPr>
        <w:t>ASIC Market Integrity Rules (Capital) 20</w:t>
      </w:r>
      <w:r w:rsidR="004F4E4F">
        <w:rPr>
          <w:i/>
        </w:rPr>
        <w:t>2</w:t>
      </w:r>
      <w:r w:rsidR="00BB486B">
        <w:rPr>
          <w:i/>
        </w:rPr>
        <w:t>1</w:t>
      </w:r>
      <w:r w:rsidR="00D0145B" w:rsidRPr="00A659C8">
        <w:t>.</w:t>
      </w:r>
    </w:p>
    <w:p w14:paraId="306C6D60" w14:textId="6786C145" w:rsidR="00D0145B" w:rsidRPr="00A659C8" w:rsidRDefault="00573D3A" w:rsidP="00D0145B">
      <w:r>
        <w:t>To the best of my</w:t>
      </w:r>
      <w:r w:rsidR="00D0145B" w:rsidRPr="00A659C8">
        <w:t xml:space="preserve"> knowledge and belief the Core Capital, Liquid Capital calculation and the calculation of the Total Risk Requirement:</w:t>
      </w:r>
    </w:p>
    <w:p w14:paraId="4AACBC63" w14:textId="2CB87185" w:rsidR="00D0145B" w:rsidRPr="00A659C8" w:rsidRDefault="00E27A80" w:rsidP="00D0145B">
      <w:pPr>
        <w:ind w:left="720"/>
      </w:pPr>
      <w:sdt>
        <w:sdtPr>
          <w:id w:val="1943107391"/>
          <w14:checkbox>
            <w14:checked w14:val="0"/>
            <w14:checkedState w14:val="2612" w14:font="MS Gothic"/>
            <w14:uncheckedState w14:val="2610" w14:font="MS Gothic"/>
          </w14:checkbox>
        </w:sdtPr>
        <w:sdtEndPr/>
        <w:sdtContent>
          <w:r w:rsidR="00D0145B" w:rsidRPr="00D0145B">
            <w:rPr>
              <w:rFonts w:ascii="MS Gothic" w:eastAsia="MS Gothic" w:hAnsi="MS Gothic" w:hint="eastAsia"/>
            </w:rPr>
            <w:t>☐</w:t>
          </w:r>
        </w:sdtContent>
      </w:sdt>
      <w:r w:rsidR="00D0145B" w:rsidRPr="00A659C8">
        <w:t xml:space="preserve">have been drawn to comply with the requirements of the </w:t>
      </w:r>
      <w:r w:rsidR="00D0145B" w:rsidRPr="00A659C8">
        <w:rPr>
          <w:i/>
        </w:rPr>
        <w:t>ASIC Market Integrity Rules (Capital) 20</w:t>
      </w:r>
      <w:r w:rsidR="004F4E4F">
        <w:rPr>
          <w:i/>
        </w:rPr>
        <w:t>2</w:t>
      </w:r>
      <w:r w:rsidR="00BB486B">
        <w:rPr>
          <w:i/>
        </w:rPr>
        <w:t>1</w:t>
      </w:r>
      <w:r w:rsidR="00D0145B" w:rsidRPr="00A659C8">
        <w:t>.</w:t>
      </w:r>
    </w:p>
    <w:p w14:paraId="5FC40ADD" w14:textId="1C77EF5F" w:rsidR="00D0145B" w:rsidRPr="00A659C8" w:rsidRDefault="00E27A80" w:rsidP="00D0145B">
      <w:pPr>
        <w:ind w:left="720"/>
      </w:pPr>
      <w:sdt>
        <w:sdtPr>
          <w:id w:val="255714296"/>
          <w14:checkbox>
            <w14:checked w14:val="0"/>
            <w14:checkedState w14:val="2612" w14:font="MS Gothic"/>
            <w14:uncheckedState w14:val="2610" w14:font="MS Gothic"/>
          </w14:checkbox>
        </w:sdtPr>
        <w:sdtEndPr/>
        <w:sdtContent>
          <w:r w:rsidR="00D0145B" w:rsidRPr="00D0145B">
            <w:rPr>
              <w:rFonts w:ascii="MS Gothic" w:eastAsia="MS Gothic" w:hAnsi="MS Gothic" w:hint="eastAsia"/>
            </w:rPr>
            <w:t>☐</w:t>
          </w:r>
        </w:sdtContent>
      </w:sdt>
      <w:r w:rsidR="00D0145B" w:rsidRPr="00A659C8">
        <w:t xml:space="preserve">have </w:t>
      </w:r>
      <w:r w:rsidR="00D0145B" w:rsidRPr="00A659C8">
        <w:rPr>
          <w:b/>
        </w:rPr>
        <w:t>not</w:t>
      </w:r>
      <w:r w:rsidR="00D0145B" w:rsidRPr="00A659C8">
        <w:t xml:space="preserve"> been drawn to comply with the requirements of the </w:t>
      </w:r>
      <w:r w:rsidR="00D0145B" w:rsidRPr="00A659C8">
        <w:rPr>
          <w:i/>
        </w:rPr>
        <w:t>ASIC Market Integrity Rules (Capital) 20</w:t>
      </w:r>
      <w:r w:rsidR="004F4E4F">
        <w:rPr>
          <w:i/>
        </w:rPr>
        <w:t>2</w:t>
      </w:r>
      <w:r w:rsidR="00BB486B">
        <w:rPr>
          <w:i/>
        </w:rPr>
        <w:t>1</w:t>
      </w:r>
      <w:r w:rsidR="00D0145B" w:rsidRPr="00A659C8">
        <w:t>.</w:t>
      </w:r>
    </w:p>
    <w:p w14:paraId="7EE1A582" w14:textId="77777777" w:rsidR="00D0145B" w:rsidRPr="00A659C8" w:rsidRDefault="00D0145B" w:rsidP="00D0145B">
      <w:r w:rsidRPr="00A659C8">
        <w:t>Since the date of the last reporting statement the Market Participant:</w:t>
      </w:r>
    </w:p>
    <w:p w14:paraId="31977BA4" w14:textId="77777777" w:rsidR="00D0145B" w:rsidRPr="00A659C8" w:rsidRDefault="00E27A80" w:rsidP="00D0145B">
      <w:pPr>
        <w:ind w:left="720"/>
      </w:pPr>
      <w:sdt>
        <w:sdtPr>
          <w:id w:val="457301421"/>
          <w14:checkbox>
            <w14:checked w14:val="0"/>
            <w14:checkedState w14:val="2612" w14:font="MS Gothic"/>
            <w14:uncheckedState w14:val="2610" w14:font="MS Gothic"/>
          </w14:checkbox>
        </w:sdtPr>
        <w:sdtEndPr/>
        <w:sdtContent>
          <w:r w:rsidR="00D0145B" w:rsidRPr="00D0145B">
            <w:rPr>
              <w:rFonts w:ascii="MS Gothic" w:eastAsia="MS Gothic" w:hAnsi="MS Gothic" w:hint="eastAsia"/>
            </w:rPr>
            <w:t>☐</w:t>
          </w:r>
        </w:sdtContent>
      </w:sdt>
      <w:r w:rsidR="00D0145B" w:rsidRPr="00D0145B">
        <w:t xml:space="preserve"> </w:t>
      </w:r>
      <w:r w:rsidR="00D0145B" w:rsidRPr="00A659C8">
        <w:t>has been in compliance with the Risk-Based Capital Requirements</w:t>
      </w:r>
    </w:p>
    <w:p w14:paraId="1B6F0F88" w14:textId="77777777" w:rsidR="00D0145B" w:rsidRPr="00A659C8" w:rsidRDefault="00E27A80" w:rsidP="00D0145B">
      <w:pPr>
        <w:ind w:left="720"/>
      </w:pPr>
      <w:sdt>
        <w:sdtPr>
          <w:id w:val="-1842312234"/>
          <w14:checkbox>
            <w14:checked w14:val="0"/>
            <w14:checkedState w14:val="2612" w14:font="MS Gothic"/>
            <w14:uncheckedState w14:val="2610" w14:font="MS Gothic"/>
          </w14:checkbox>
        </w:sdtPr>
        <w:sdtEndPr/>
        <w:sdtContent>
          <w:r w:rsidR="00D0145B" w:rsidRPr="00D0145B">
            <w:rPr>
              <w:rFonts w:ascii="MS Gothic" w:eastAsia="MS Gothic" w:hAnsi="MS Gothic" w:hint="eastAsia"/>
            </w:rPr>
            <w:t>☐</w:t>
          </w:r>
        </w:sdtContent>
      </w:sdt>
      <w:r w:rsidR="00D0145B" w:rsidRPr="00D0145B">
        <w:t xml:space="preserve"> </w:t>
      </w:r>
      <w:r w:rsidR="00D0145B" w:rsidRPr="00A659C8">
        <w:t xml:space="preserve">has </w:t>
      </w:r>
      <w:r w:rsidR="00D0145B" w:rsidRPr="00A659C8">
        <w:rPr>
          <w:b/>
        </w:rPr>
        <w:t>not</w:t>
      </w:r>
      <w:r w:rsidR="00D0145B" w:rsidRPr="00A659C8">
        <w:t xml:space="preserve"> been in compliance with the Risk-Based Capital Requirements</w:t>
      </w:r>
    </w:p>
    <w:p w14:paraId="36FC6F35" w14:textId="16715196" w:rsidR="006165F6" w:rsidRDefault="004F71E8" w:rsidP="006D7C24">
      <w:pPr>
        <w:spacing w:after="96"/>
        <w:textAlignment w:val="baseline"/>
        <w:rPr>
          <w:rFonts w:cs="Arial"/>
          <w:color w:val="333333"/>
          <w:bdr w:val="none" w:sz="0" w:space="0" w:color="auto" w:frame="1"/>
        </w:rPr>
      </w:pPr>
      <w:r>
        <w:rPr>
          <w:rFonts w:cs="Arial"/>
          <w:color w:val="333333"/>
          <w:bdr w:val="none" w:sz="0" w:space="0" w:color="auto" w:frame="1"/>
        </w:rPr>
        <w:t>Authoriser’s full name</w:t>
      </w:r>
      <w:r w:rsidR="006A4357">
        <w:rPr>
          <w:rFonts w:cs="Arial"/>
          <w:color w:val="333333"/>
          <w:bdr w:val="none" w:sz="0" w:space="0" w:color="auto" w:frame="1"/>
        </w:rPr>
        <w:t>:</w:t>
      </w:r>
    </w:p>
    <w:p w14:paraId="1E2F9330" w14:textId="575D7272" w:rsidR="00221816" w:rsidRPr="00CA04B6" w:rsidRDefault="00221816" w:rsidP="006D7C24">
      <w:pPr>
        <w:spacing w:after="96"/>
        <w:textAlignment w:val="baseline"/>
        <w:rPr>
          <w:rFonts w:cs="Arial"/>
          <w:color w:val="333333"/>
          <w:bdr w:val="none" w:sz="0" w:space="0" w:color="auto" w:frame="1"/>
        </w:rPr>
      </w:pPr>
      <w:r w:rsidRPr="00740D71">
        <w:rPr>
          <w:noProof/>
        </w:rPr>
        <w:drawing>
          <wp:inline distT="0" distB="0" distL="0" distR="0" wp14:anchorId="2846BFC0" wp14:editId="13EE677B">
            <wp:extent cx="3514725" cy="346744"/>
            <wp:effectExtent l="0" t="0" r="0" b="0"/>
            <wp:docPr id="159" name="Picture 159" descr="Blank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585524" cy="353729"/>
                    </a:xfrm>
                    <a:prstGeom prst="rect">
                      <a:avLst/>
                    </a:prstGeom>
                    <a:noFill/>
                    <a:ln>
                      <a:noFill/>
                    </a:ln>
                  </pic:spPr>
                </pic:pic>
              </a:graphicData>
            </a:graphic>
          </wp:inline>
        </w:drawing>
      </w:r>
    </w:p>
    <w:p w14:paraId="4F975CE7" w14:textId="01720C07" w:rsidR="006D7C24" w:rsidRPr="001320D6" w:rsidRDefault="006D7C24" w:rsidP="006D7C24">
      <w:pPr>
        <w:spacing w:after="0"/>
        <w:textAlignment w:val="baseline"/>
        <w:rPr>
          <w:rFonts w:cs="Arial"/>
          <w:color w:val="333333"/>
        </w:rPr>
      </w:pPr>
      <w:r>
        <w:rPr>
          <w:rFonts w:cs="Arial"/>
          <w:color w:val="333333"/>
          <w:bdr w:val="none" w:sz="0" w:space="0" w:color="auto" w:frame="1"/>
        </w:rPr>
        <w:t>Authorisation date</w:t>
      </w:r>
      <w:r w:rsidRPr="001320D6">
        <w:rPr>
          <w:rFonts w:cs="Arial"/>
          <w:color w:val="333333"/>
          <w:bdr w:val="none" w:sz="0" w:space="0" w:color="auto" w:frame="1"/>
        </w:rPr>
        <w:t>:</w:t>
      </w:r>
    </w:p>
    <w:p w14:paraId="7CD3E8A0" w14:textId="77D709BD" w:rsidR="006D7C24" w:rsidRDefault="00221816" w:rsidP="006D7C24">
      <w:pPr>
        <w:spacing w:after="96"/>
        <w:textAlignment w:val="baseline"/>
        <w:rPr>
          <w:rStyle w:val="IntenseEmphasis"/>
          <w:color w:val="7030A0"/>
        </w:rPr>
      </w:pPr>
      <w:r>
        <w:rPr>
          <w:noProof/>
        </w:rPr>
        <w:drawing>
          <wp:inline distT="0" distB="0" distL="0" distR="0" wp14:anchorId="0F82BEA3" wp14:editId="273B6E12">
            <wp:extent cx="2400000" cy="390476"/>
            <wp:effectExtent l="0" t="0" r="635" b="0"/>
            <wp:docPr id="163" name="Picture 163" descr="Blank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2400000" cy="390476"/>
                    </a:xfrm>
                    <a:prstGeom prst="rect">
                      <a:avLst/>
                    </a:prstGeom>
                  </pic:spPr>
                </pic:pic>
              </a:graphicData>
            </a:graphic>
          </wp:inline>
        </w:drawing>
      </w:r>
    </w:p>
    <w:p w14:paraId="0058AE6F" w14:textId="77777777" w:rsidR="00CB36B6" w:rsidRPr="0033698E" w:rsidRDefault="00CB36B6" w:rsidP="00CB36B6">
      <w:pPr>
        <w:spacing w:after="0"/>
        <w:sectPr w:rsidR="00CB36B6" w:rsidRPr="0033698E" w:rsidSect="008F3CFC">
          <w:headerReference w:type="even" r:id="rId61"/>
          <w:headerReference w:type="default" r:id="rId62"/>
          <w:footerReference w:type="default" r:id="rId63"/>
          <w:headerReference w:type="first" r:id="rId64"/>
          <w:pgSz w:w="11920" w:h="16840"/>
          <w:pgMar w:top="1440" w:right="1440" w:bottom="1440" w:left="1440" w:header="567" w:footer="567" w:gutter="0"/>
          <w:cols w:space="720"/>
          <w:docGrid w:linePitch="299"/>
        </w:sectPr>
      </w:pPr>
    </w:p>
    <w:p w14:paraId="652890D1" w14:textId="3760ABF4" w:rsidR="00CB36B6" w:rsidRPr="0033698E" w:rsidRDefault="00CB36B6" w:rsidP="00CB36B6">
      <w:pPr>
        <w:pStyle w:val="MIRHeading2Part"/>
        <w:rPr>
          <w:rFonts w:eastAsia="Arial"/>
        </w:rPr>
      </w:pPr>
      <w:bookmarkStart w:id="109" w:name="_Toc385511299"/>
      <w:bookmarkStart w:id="110" w:name="_Toc27492613"/>
      <w:bookmarkStart w:id="111" w:name="_Hlk25153183"/>
      <w:r w:rsidRPr="0033698E">
        <w:rPr>
          <w:rFonts w:eastAsia="Arial"/>
        </w:rPr>
        <w:lastRenderedPageBreak/>
        <w:t>Sch</w:t>
      </w:r>
      <w:r w:rsidR="001745AC">
        <w:rPr>
          <w:rFonts w:eastAsia="Arial"/>
        </w:rPr>
        <w:t>edule</w:t>
      </w:r>
      <w:r w:rsidRPr="0033698E">
        <w:rPr>
          <w:rFonts w:eastAsia="Arial"/>
        </w:rPr>
        <w:t xml:space="preserve"> 1C Form 3</w:t>
      </w:r>
      <w:bookmarkEnd w:id="109"/>
      <w:r w:rsidR="00504101" w:rsidRPr="0033698E">
        <w:rPr>
          <w:rFonts w:eastAsia="Arial"/>
        </w:rPr>
        <w:tab/>
        <w:t>Risk-Based Return (Summary, Monthly and Annual</w:t>
      </w:r>
      <w:r w:rsidR="007E182C">
        <w:rPr>
          <w:rFonts w:eastAsia="Arial"/>
        </w:rPr>
        <w:t>*</w:t>
      </w:r>
      <w:r w:rsidR="00504101" w:rsidRPr="0033698E">
        <w:rPr>
          <w:rFonts w:eastAsia="Arial"/>
        </w:rPr>
        <w:t>)</w:t>
      </w:r>
      <w:bookmarkEnd w:id="110"/>
    </w:p>
    <w:p w14:paraId="1BB5DAEA" w14:textId="054017CD" w:rsidR="007E182C" w:rsidRDefault="004B1CA0" w:rsidP="00D3615D">
      <w:pPr>
        <w:spacing w:after="80" w:line="252" w:lineRule="auto"/>
      </w:pPr>
      <w:bookmarkStart w:id="112" w:name="_Hlk25155150"/>
      <w:bookmarkStart w:id="113" w:name="_Hlk25153165"/>
      <w:bookmarkEnd w:id="111"/>
      <w:r>
        <w:rPr>
          <w:rFonts w:ascii="Arial" w:eastAsia="Arial" w:hAnsi="Arial" w:cs="Arial"/>
          <w:sz w:val="20"/>
        </w:rPr>
        <w:t>*</w:t>
      </w:r>
      <w:r w:rsidR="007E182C">
        <w:t xml:space="preserve">For the Annual Audited Risk Based Return, the </w:t>
      </w:r>
      <w:r w:rsidR="00B30062">
        <w:t>‘</w:t>
      </w:r>
      <w:r w:rsidR="007E182C">
        <w:t>Prior</w:t>
      </w:r>
      <w:r w:rsidR="00B30062">
        <w:t>’</w:t>
      </w:r>
      <w:r w:rsidR="007E182C">
        <w:t xml:space="preserve"> </w:t>
      </w:r>
      <w:r w:rsidR="0063685F">
        <w:t xml:space="preserve">column </w:t>
      </w:r>
      <w:r w:rsidR="007E182C">
        <w:t xml:space="preserve">represents the </w:t>
      </w:r>
      <w:r w:rsidR="0063685F">
        <w:t xml:space="preserve">values that were set out in the </w:t>
      </w:r>
      <w:r w:rsidR="007E182C">
        <w:t>monthly risk-based return submitted by the Market Participant for</w:t>
      </w:r>
      <w:r w:rsidR="00B41868">
        <w:t xml:space="preserve"> the end of period to which the Annual return relates.</w:t>
      </w:r>
      <w:bookmarkEnd w:id="112"/>
      <w:r w:rsidR="00B41868" w:rsidDel="00B41868">
        <w:t xml:space="preserve"> </w:t>
      </w:r>
    </w:p>
    <w:bookmarkEnd w:id="113"/>
    <w:p w14:paraId="2A9C0492" w14:textId="152112E7" w:rsidR="007E182C" w:rsidRDefault="007E182C" w:rsidP="00D3615D">
      <w:pPr>
        <w:spacing w:after="80" w:line="252" w:lineRule="auto"/>
      </w:pPr>
      <w:r>
        <w:t xml:space="preserve">For </w:t>
      </w:r>
      <w:r w:rsidR="00B30062">
        <w:t xml:space="preserve">the </w:t>
      </w:r>
      <w:r>
        <w:t xml:space="preserve">Monthly Risk Based Return, the </w:t>
      </w:r>
      <w:r w:rsidR="00B30062">
        <w:t>‘</w:t>
      </w:r>
      <w:r>
        <w:t>Prior</w:t>
      </w:r>
      <w:r w:rsidR="00B30062">
        <w:t>’</w:t>
      </w:r>
      <w:r>
        <w:t xml:space="preserve"> </w:t>
      </w:r>
      <w:r w:rsidR="0063685F">
        <w:t xml:space="preserve">column </w:t>
      </w:r>
      <w:r>
        <w:t xml:space="preserve">represents the </w:t>
      </w:r>
      <w:r w:rsidR="0063685F">
        <w:t xml:space="preserve">values that were set out in the </w:t>
      </w:r>
      <w:r>
        <w:t>previous month’s risk-based return submitted by the market participant.</w:t>
      </w:r>
    </w:p>
    <w:p w14:paraId="3E682C68" w14:textId="66B9F95F" w:rsidR="007E182C" w:rsidRDefault="00B30062" w:rsidP="00D3615D">
      <w:pPr>
        <w:spacing w:after="80"/>
      </w:pPr>
      <w:r>
        <w:t xml:space="preserve">For the </w:t>
      </w:r>
      <w:r w:rsidR="007E182C">
        <w:t xml:space="preserve">Summary Risk Based Return, the </w:t>
      </w:r>
      <w:r>
        <w:t>‘</w:t>
      </w:r>
      <w:r w:rsidR="007E182C">
        <w:t>Prior</w:t>
      </w:r>
      <w:r>
        <w:t>’</w:t>
      </w:r>
      <w:r w:rsidR="007E182C">
        <w:t xml:space="preserve"> </w:t>
      </w:r>
      <w:r w:rsidR="0063685F">
        <w:t xml:space="preserve">column </w:t>
      </w:r>
      <w:r w:rsidR="007E182C">
        <w:t>represents the</w:t>
      </w:r>
      <w:r w:rsidR="008774EA">
        <w:t xml:space="preserve"> values that were set out in the</w:t>
      </w:r>
      <w:r w:rsidR="007E182C">
        <w:t xml:space="preserve"> last summary risk-based return submitted by the market participant</w:t>
      </w:r>
    </w:p>
    <w:p w14:paraId="37F14C47" w14:textId="698096AB" w:rsidR="001162C9" w:rsidRDefault="001162C9" w:rsidP="00D3615D">
      <w:pPr>
        <w:spacing w:before="360" w:after="120"/>
        <w:outlineLvl w:val="3"/>
        <w:rPr>
          <w:rFonts w:ascii="Calibri" w:hAnsi="Calibri"/>
          <w:b/>
          <w:bCs/>
          <w:color w:val="0070C0"/>
          <w:sz w:val="32"/>
          <w:szCs w:val="32"/>
        </w:rPr>
      </w:pPr>
      <w:r>
        <w:rPr>
          <w:rFonts w:ascii="Calibri" w:hAnsi="Calibri"/>
          <w:b/>
          <w:bCs/>
          <w:color w:val="0070C0"/>
          <w:sz w:val="32"/>
          <w:szCs w:val="32"/>
        </w:rPr>
        <w:t>Select the calendar month/financial year for which you are reporting</w:t>
      </w:r>
    </w:p>
    <w:p w14:paraId="35AF31E2" w14:textId="17E43904" w:rsidR="00D16068" w:rsidRDefault="00D16068" w:rsidP="00D16068">
      <w:pPr>
        <w:spacing w:after="200" w:line="276" w:lineRule="auto"/>
        <w:rPr>
          <w:rFonts w:ascii="LatoRegular" w:eastAsia="Calibri" w:hAnsi="LatoRegular" w:cs="Arial"/>
          <w:color w:val="45535A"/>
          <w:sz w:val="21"/>
          <w:szCs w:val="21"/>
          <w:lang w:val="en"/>
        </w:rPr>
      </w:pPr>
      <w:r w:rsidRPr="00E95745">
        <w:rPr>
          <w:rFonts w:ascii="LatoRegular" w:eastAsia="Calibri" w:hAnsi="LatoRegular" w:cs="Arial"/>
          <w:noProof/>
          <w:color w:val="45535A"/>
          <w:sz w:val="21"/>
          <w:szCs w:val="21"/>
          <w:lang w:val="en"/>
        </w:rPr>
        <w:drawing>
          <wp:inline distT="0" distB="0" distL="0" distR="0" wp14:anchorId="1D19865E" wp14:editId="774480C3">
            <wp:extent cx="3714750" cy="371475"/>
            <wp:effectExtent l="0" t="0" r="0" b="952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714750" cy="371475"/>
                    </a:xfrm>
                    <a:prstGeom prst="rect">
                      <a:avLst/>
                    </a:prstGeom>
                    <a:noFill/>
                    <a:ln>
                      <a:noFill/>
                    </a:ln>
                  </pic:spPr>
                </pic:pic>
              </a:graphicData>
            </a:graphic>
          </wp:inline>
        </w:drawing>
      </w:r>
    </w:p>
    <w:p w14:paraId="57312D83" w14:textId="4579DE20" w:rsidR="004C0481" w:rsidRDefault="004C0481" w:rsidP="00930407">
      <w:pPr>
        <w:spacing w:after="0"/>
        <w:outlineLvl w:val="3"/>
        <w:rPr>
          <w:rFonts w:ascii="Calibri" w:hAnsi="Calibri"/>
          <w:b/>
          <w:bCs/>
          <w:color w:val="0070C0"/>
          <w:sz w:val="32"/>
          <w:szCs w:val="32"/>
        </w:rPr>
      </w:pPr>
      <w:r>
        <w:rPr>
          <w:rFonts w:ascii="Calibri" w:hAnsi="Calibri"/>
          <w:b/>
          <w:bCs/>
          <w:color w:val="0070C0"/>
          <w:sz w:val="32"/>
          <w:szCs w:val="32"/>
        </w:rPr>
        <w:t>Return profile</w:t>
      </w:r>
    </w:p>
    <w:p w14:paraId="587C3433" w14:textId="1E3AF762" w:rsidR="00C22001" w:rsidRPr="00930407" w:rsidRDefault="00C22001" w:rsidP="00D3615D">
      <w:pPr>
        <w:spacing w:before="120" w:after="0"/>
        <w:outlineLvl w:val="3"/>
        <w:rPr>
          <w:rFonts w:ascii="Calibri" w:hAnsi="Calibri" w:cs="Helvetica"/>
          <w:b/>
          <w:sz w:val="24"/>
          <w:szCs w:val="24"/>
          <w:lang w:val="en"/>
        </w:rPr>
      </w:pPr>
      <w:r w:rsidRPr="00930407">
        <w:rPr>
          <w:rFonts w:ascii="Calibri" w:hAnsi="Calibri" w:cs="Helvetica"/>
          <w:b/>
          <w:sz w:val="24"/>
          <w:szCs w:val="24"/>
          <w:lang w:val="en"/>
        </w:rPr>
        <w:t>Select all risk calculation methods that you require to enter a risk requirement:</w:t>
      </w:r>
    </w:p>
    <w:p w14:paraId="2FEB72B4" w14:textId="4B7E1963" w:rsidR="00C22001" w:rsidRPr="00E95745" w:rsidRDefault="00E27A80" w:rsidP="00D3615D">
      <w:pPr>
        <w:spacing w:before="240" w:after="120"/>
        <w:ind w:left="357"/>
        <w:rPr>
          <w:rFonts w:ascii="Calibri" w:hAnsi="Calibri"/>
          <w:sz w:val="24"/>
        </w:rPr>
      </w:pPr>
      <w:sdt>
        <w:sdtPr>
          <w:rPr>
            <w:rFonts w:ascii="Calibri" w:hAnsi="Calibri"/>
            <w:sz w:val="24"/>
          </w:rPr>
          <w:id w:val="-176268583"/>
          <w14:checkbox>
            <w14:checked w14:val="0"/>
            <w14:checkedState w14:val="2612" w14:font="MS Gothic"/>
            <w14:uncheckedState w14:val="2610" w14:font="MS Gothic"/>
          </w14:checkbox>
        </w:sdtPr>
        <w:sdtEndPr/>
        <w:sdtContent>
          <w:r w:rsidR="006A4357">
            <w:rPr>
              <w:rFonts w:ascii="MS Gothic" w:eastAsia="MS Gothic" w:hAnsi="MS Gothic" w:hint="eastAsia"/>
              <w:sz w:val="24"/>
            </w:rPr>
            <w:t>☐</w:t>
          </w:r>
        </w:sdtContent>
      </w:sdt>
      <w:r w:rsidR="00C22001" w:rsidRPr="00E95745">
        <w:rPr>
          <w:rFonts w:ascii="Calibri" w:hAnsi="Calibri"/>
          <w:b/>
          <w:sz w:val="24"/>
        </w:rPr>
        <w:t>Counterparty Risk Requirement</w:t>
      </w:r>
    </w:p>
    <w:p w14:paraId="769C25A0" w14:textId="764A52D8" w:rsidR="00C22001" w:rsidRPr="00E95745" w:rsidRDefault="00C22001" w:rsidP="004C1E44">
      <w:pPr>
        <w:spacing w:before="120" w:after="120"/>
        <w:ind w:left="850"/>
        <w:rPr>
          <w:rFonts w:ascii="Calibri" w:hAnsi="Calibri"/>
          <w:sz w:val="24"/>
        </w:rPr>
      </w:pPr>
      <w:r w:rsidRPr="00E95745">
        <w:rPr>
          <w:rFonts w:ascii="Calibri" w:hAnsi="Calibri"/>
          <w:sz w:val="24"/>
          <w:lang w:eastAsia="en-US"/>
        </w:rPr>
        <w:object w:dxaOrig="225" w:dyaOrig="225" w14:anchorId="2209B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1pt;height:18pt" o:ole="">
            <v:imagedata r:id="rId66" o:title=""/>
          </v:shape>
          <w:control r:id="rId67" w:name="DefaultOcxName" w:shapeid="_x0000_i1060"/>
        </w:object>
      </w:r>
      <w:r w:rsidRPr="00E95745">
        <w:rPr>
          <w:rFonts w:ascii="Calibri" w:hAnsi="Calibri"/>
          <w:sz w:val="24"/>
        </w:rPr>
        <w:t> Non-margined Financial Instruments</w:t>
      </w:r>
    </w:p>
    <w:p w14:paraId="5F5C5AD7" w14:textId="05173266" w:rsidR="00C22001" w:rsidRPr="00E95745" w:rsidRDefault="00C22001" w:rsidP="004C1E44">
      <w:pPr>
        <w:spacing w:before="120" w:after="120"/>
        <w:ind w:left="850"/>
        <w:rPr>
          <w:rFonts w:ascii="Calibri" w:hAnsi="Calibri"/>
          <w:sz w:val="24"/>
        </w:rPr>
      </w:pPr>
      <w:r w:rsidRPr="00E95745">
        <w:rPr>
          <w:rFonts w:ascii="Calibri" w:hAnsi="Calibri"/>
          <w:sz w:val="24"/>
          <w:lang w:eastAsia="en-US"/>
        </w:rPr>
        <w:object w:dxaOrig="225" w:dyaOrig="225" w14:anchorId="6A5F1DF1">
          <v:shape id="_x0000_i1063" type="#_x0000_t75" style="width:21pt;height:18pt" o:ole="">
            <v:imagedata r:id="rId66" o:title=""/>
          </v:shape>
          <w:control r:id="rId68" w:name="DefaultOcxName1" w:shapeid="_x0000_i1063"/>
        </w:object>
      </w:r>
      <w:r w:rsidRPr="00E95745">
        <w:rPr>
          <w:rFonts w:ascii="Calibri" w:hAnsi="Calibri"/>
          <w:sz w:val="24"/>
        </w:rPr>
        <w:t xml:space="preserve"> Free Delivery </w:t>
      </w:r>
    </w:p>
    <w:p w14:paraId="7515E3B6" w14:textId="5EDD0FA3" w:rsidR="00C22001" w:rsidRPr="00E95745" w:rsidRDefault="00C22001" w:rsidP="004C1E44">
      <w:pPr>
        <w:spacing w:before="120" w:after="120"/>
        <w:ind w:left="850"/>
        <w:rPr>
          <w:rFonts w:ascii="Calibri" w:hAnsi="Calibri"/>
          <w:sz w:val="24"/>
        </w:rPr>
      </w:pPr>
      <w:r w:rsidRPr="00E95745">
        <w:rPr>
          <w:rFonts w:ascii="Calibri" w:hAnsi="Calibri"/>
          <w:sz w:val="24"/>
          <w:lang w:eastAsia="en-US"/>
        </w:rPr>
        <w:object w:dxaOrig="225" w:dyaOrig="225" w14:anchorId="5E0C89E7">
          <v:shape id="_x0000_i1066" type="#_x0000_t75" style="width:21pt;height:18pt" o:ole="">
            <v:imagedata r:id="rId66" o:title=""/>
          </v:shape>
          <w:control r:id="rId69" w:name="DefaultOcxName2" w:shapeid="_x0000_i1066"/>
        </w:object>
      </w:r>
      <w:r w:rsidRPr="00E95745">
        <w:rPr>
          <w:rFonts w:ascii="Calibri" w:hAnsi="Calibri"/>
          <w:sz w:val="24"/>
        </w:rPr>
        <w:t> Securities Lending and Borrowing</w:t>
      </w:r>
    </w:p>
    <w:p w14:paraId="63CDB5C0" w14:textId="39251DAA" w:rsidR="00C22001" w:rsidRPr="00E95745" w:rsidRDefault="00C22001" w:rsidP="004C1E44">
      <w:pPr>
        <w:spacing w:before="120" w:after="120"/>
        <w:ind w:left="850"/>
        <w:rPr>
          <w:rFonts w:ascii="Calibri" w:hAnsi="Calibri"/>
          <w:sz w:val="24"/>
        </w:rPr>
      </w:pPr>
      <w:r w:rsidRPr="00E95745">
        <w:rPr>
          <w:rFonts w:ascii="Calibri" w:hAnsi="Calibri"/>
          <w:sz w:val="24"/>
          <w:lang w:eastAsia="en-US"/>
        </w:rPr>
        <w:object w:dxaOrig="225" w:dyaOrig="225" w14:anchorId="22135D94">
          <v:shape id="_x0000_i1069" type="#_x0000_t75" style="width:21pt;height:18pt" o:ole="">
            <v:imagedata r:id="rId66" o:title=""/>
          </v:shape>
          <w:control r:id="rId70" w:name="DefaultOcxName3" w:shapeid="_x0000_i1069"/>
        </w:object>
      </w:r>
      <w:r w:rsidRPr="00E95745">
        <w:rPr>
          <w:rFonts w:ascii="Calibri" w:hAnsi="Calibri"/>
          <w:sz w:val="24"/>
        </w:rPr>
        <w:t> Margined Financial Instruments</w:t>
      </w:r>
    </w:p>
    <w:p w14:paraId="65C271AC" w14:textId="39F203BB" w:rsidR="00C22001" w:rsidRPr="00E95745" w:rsidRDefault="00C22001" w:rsidP="004C1E44">
      <w:pPr>
        <w:spacing w:before="120" w:after="120"/>
        <w:ind w:left="850"/>
        <w:rPr>
          <w:rFonts w:ascii="Calibri" w:hAnsi="Calibri"/>
          <w:sz w:val="24"/>
        </w:rPr>
      </w:pPr>
      <w:r w:rsidRPr="00E95745">
        <w:rPr>
          <w:rFonts w:ascii="Calibri" w:hAnsi="Calibri"/>
          <w:sz w:val="24"/>
          <w:lang w:eastAsia="en-US"/>
        </w:rPr>
        <w:object w:dxaOrig="225" w:dyaOrig="225" w14:anchorId="5BF9B781">
          <v:shape id="_x0000_i1072" type="#_x0000_t75" style="width:21pt;height:18pt" o:ole="">
            <v:imagedata r:id="rId66" o:title=""/>
          </v:shape>
          <w:control r:id="rId71" w:name="DefaultOcxName4" w:shapeid="_x0000_i1072"/>
        </w:object>
      </w:r>
      <w:r w:rsidRPr="00E95745">
        <w:rPr>
          <w:rFonts w:ascii="Calibri" w:hAnsi="Calibri"/>
          <w:sz w:val="24"/>
        </w:rPr>
        <w:t> </w:t>
      </w:r>
      <w:bookmarkStart w:id="114" w:name="_Hlk536099996"/>
      <w:r w:rsidRPr="00E95745">
        <w:rPr>
          <w:rFonts w:ascii="Calibri" w:hAnsi="Calibri"/>
          <w:sz w:val="24"/>
        </w:rPr>
        <w:t>O</w:t>
      </w:r>
      <w:r>
        <w:rPr>
          <w:rFonts w:ascii="Calibri" w:hAnsi="Calibri"/>
          <w:sz w:val="24"/>
        </w:rPr>
        <w:t xml:space="preserve">ver </w:t>
      </w:r>
      <w:r w:rsidRPr="00E95745">
        <w:rPr>
          <w:rFonts w:ascii="Calibri" w:hAnsi="Calibri"/>
          <w:sz w:val="24"/>
        </w:rPr>
        <w:t>T</w:t>
      </w:r>
      <w:r>
        <w:rPr>
          <w:rFonts w:ascii="Calibri" w:hAnsi="Calibri"/>
          <w:sz w:val="24"/>
        </w:rPr>
        <w:t xml:space="preserve">he </w:t>
      </w:r>
      <w:r w:rsidRPr="00E95745">
        <w:rPr>
          <w:rFonts w:ascii="Calibri" w:hAnsi="Calibri"/>
          <w:sz w:val="24"/>
        </w:rPr>
        <w:t>C</w:t>
      </w:r>
      <w:r>
        <w:rPr>
          <w:rFonts w:ascii="Calibri" w:hAnsi="Calibri"/>
          <w:sz w:val="24"/>
        </w:rPr>
        <w:t>ounter</w:t>
      </w:r>
      <w:r w:rsidRPr="00E95745">
        <w:rPr>
          <w:rFonts w:ascii="Calibri" w:hAnsi="Calibri"/>
          <w:sz w:val="24"/>
        </w:rPr>
        <w:t xml:space="preserve"> </w:t>
      </w:r>
      <w:r>
        <w:rPr>
          <w:rFonts w:ascii="Calibri" w:hAnsi="Calibri"/>
          <w:sz w:val="24"/>
        </w:rPr>
        <w:t xml:space="preserve">(OTC) </w:t>
      </w:r>
      <w:r w:rsidRPr="00E95745">
        <w:rPr>
          <w:rFonts w:ascii="Calibri" w:hAnsi="Calibri"/>
          <w:sz w:val="24"/>
        </w:rPr>
        <w:t xml:space="preserve">Derivatives </w:t>
      </w:r>
      <w:bookmarkEnd w:id="114"/>
      <w:r w:rsidRPr="00E95745">
        <w:rPr>
          <w:rFonts w:ascii="Calibri" w:hAnsi="Calibri"/>
          <w:sz w:val="24"/>
        </w:rPr>
        <w:t>and Warrants executed as principal</w:t>
      </w:r>
    </w:p>
    <w:p w14:paraId="4BF29C17" w14:textId="6B7306BA" w:rsidR="00C22001" w:rsidRDefault="00C22001" w:rsidP="004C1E44">
      <w:pPr>
        <w:spacing w:before="120" w:after="120"/>
        <w:ind w:left="850"/>
        <w:rPr>
          <w:rFonts w:ascii="Calibri" w:hAnsi="Calibri"/>
          <w:sz w:val="24"/>
        </w:rPr>
      </w:pPr>
      <w:r w:rsidRPr="00E95745">
        <w:rPr>
          <w:rFonts w:ascii="Calibri" w:hAnsi="Calibri"/>
          <w:sz w:val="24"/>
        </w:rPr>
        <w:object w:dxaOrig="225" w:dyaOrig="225" w14:anchorId="1601A74F">
          <v:shape id="_x0000_i1075" type="#_x0000_t75" style="width:21pt;height:18pt" o:ole="">
            <v:imagedata r:id="rId66" o:title=""/>
          </v:shape>
          <w:control r:id="rId72" w:name="DefaultOcxName5" w:shapeid="_x0000_i1075"/>
        </w:object>
      </w:r>
      <w:r w:rsidRPr="00E95745">
        <w:rPr>
          <w:rFonts w:ascii="Calibri" w:hAnsi="Calibri"/>
          <w:sz w:val="24"/>
        </w:rPr>
        <w:t> Sub Underwritten Positions</w:t>
      </w:r>
    </w:p>
    <w:p w14:paraId="4C187CFE" w14:textId="77777777" w:rsidR="00C22001" w:rsidRPr="00E95745" w:rsidRDefault="00E27A80" w:rsidP="00D3615D">
      <w:pPr>
        <w:spacing w:before="240" w:after="120"/>
        <w:ind w:left="357"/>
        <w:rPr>
          <w:rFonts w:ascii="Calibri" w:hAnsi="Calibri"/>
          <w:b/>
          <w:sz w:val="24"/>
        </w:rPr>
      </w:pPr>
      <w:sdt>
        <w:sdtPr>
          <w:rPr>
            <w:rFonts w:ascii="Calibri" w:hAnsi="Calibri"/>
            <w:b/>
            <w:sz w:val="24"/>
          </w:rPr>
          <w:id w:val="-777260536"/>
          <w14:checkbox>
            <w14:checked w14:val="0"/>
            <w14:checkedState w14:val="2612" w14:font="MS Gothic"/>
            <w14:uncheckedState w14:val="2610" w14:font="MS Gothic"/>
          </w14:checkbox>
        </w:sdtPr>
        <w:sdtEndPr/>
        <w:sdtContent>
          <w:r w:rsidR="00C22001" w:rsidRPr="00E95745">
            <w:rPr>
              <w:rFonts w:ascii="Segoe UI Symbol" w:hAnsi="Segoe UI Symbol" w:cs="Segoe UI Symbol"/>
              <w:b/>
              <w:sz w:val="24"/>
            </w:rPr>
            <w:t>☐</w:t>
          </w:r>
        </w:sdtContent>
      </w:sdt>
      <w:r w:rsidR="00C22001" w:rsidRPr="00E95745">
        <w:rPr>
          <w:rFonts w:ascii="Calibri" w:hAnsi="Calibri"/>
          <w:b/>
          <w:sz w:val="24"/>
        </w:rPr>
        <w:t xml:space="preserve"> Large Exposure Risk Requirement </w:t>
      </w:r>
    </w:p>
    <w:p w14:paraId="62800A57" w14:textId="213D7E41" w:rsidR="00C22001" w:rsidRPr="00E95745" w:rsidRDefault="00E27A80" w:rsidP="004C1E44">
      <w:pPr>
        <w:spacing w:before="120" w:after="120"/>
        <w:ind w:left="850"/>
        <w:rPr>
          <w:rFonts w:ascii="Calibri" w:hAnsi="Calibri"/>
          <w:sz w:val="24"/>
          <w:szCs w:val="24"/>
        </w:rPr>
      </w:pPr>
      <w:sdt>
        <w:sdtPr>
          <w:rPr>
            <w:rFonts w:ascii="Calibri" w:hAnsi="Calibri"/>
            <w:sz w:val="24"/>
            <w:szCs w:val="24"/>
          </w:rPr>
          <w:id w:val="243689177"/>
          <w14:checkbox>
            <w14:checked w14:val="0"/>
            <w14:checkedState w14:val="2612" w14:font="MS Gothic"/>
            <w14:uncheckedState w14:val="2610" w14:font="MS Gothic"/>
          </w14:checkbox>
        </w:sdtPr>
        <w:sdtEndPr/>
        <w:sdtContent>
          <w:r w:rsidR="00AD1004">
            <w:rPr>
              <w:rFonts w:ascii="MS Gothic" w:eastAsia="MS Gothic" w:hAnsi="MS Gothic" w:hint="eastAsia"/>
              <w:sz w:val="24"/>
              <w:szCs w:val="24"/>
            </w:rPr>
            <w:t>☐</w:t>
          </w:r>
        </w:sdtContent>
      </w:sdt>
      <w:r w:rsidR="00C22001" w:rsidRPr="00E95745">
        <w:rPr>
          <w:rFonts w:ascii="Calibri" w:hAnsi="Calibri"/>
          <w:sz w:val="24"/>
          <w:szCs w:val="24"/>
        </w:rPr>
        <w:t>Counterparty large exposure</w:t>
      </w:r>
      <w:r w:rsidR="00C22001" w:rsidRPr="00E95745">
        <w:rPr>
          <w:rFonts w:ascii="Calibri" w:hAnsi="Calibri"/>
          <w:sz w:val="24"/>
          <w:szCs w:val="24"/>
        </w:rPr>
        <w:tab/>
      </w:r>
    </w:p>
    <w:p w14:paraId="6519A549" w14:textId="77777777" w:rsidR="00C22001" w:rsidRPr="00E95745" w:rsidRDefault="00E27A80" w:rsidP="004C1E44">
      <w:pPr>
        <w:spacing w:before="120" w:after="120"/>
        <w:ind w:left="850"/>
        <w:rPr>
          <w:rFonts w:ascii="Calibri" w:hAnsi="Calibri"/>
          <w:sz w:val="24"/>
          <w:szCs w:val="24"/>
        </w:rPr>
      </w:pPr>
      <w:sdt>
        <w:sdtPr>
          <w:rPr>
            <w:rFonts w:ascii="Calibri" w:hAnsi="Calibri"/>
            <w:sz w:val="24"/>
            <w:szCs w:val="24"/>
          </w:rPr>
          <w:id w:val="231196451"/>
          <w14:checkbox>
            <w14:checked w14:val="0"/>
            <w14:checkedState w14:val="2612" w14:font="MS Gothic"/>
            <w14:uncheckedState w14:val="2610" w14:font="MS Gothic"/>
          </w14:checkbox>
        </w:sdtPr>
        <w:sdtEndPr/>
        <w:sdtContent>
          <w:r w:rsidR="00C22001" w:rsidRPr="00E95745">
            <w:rPr>
              <w:rFonts w:ascii="Segoe UI Symbol" w:hAnsi="Segoe UI Symbol" w:cs="Segoe UI Symbol"/>
              <w:sz w:val="24"/>
              <w:szCs w:val="24"/>
            </w:rPr>
            <w:t>☐</w:t>
          </w:r>
        </w:sdtContent>
      </w:sdt>
      <w:r w:rsidR="00C22001" w:rsidRPr="00E95745">
        <w:rPr>
          <w:rFonts w:ascii="Calibri" w:hAnsi="Calibri"/>
          <w:sz w:val="24"/>
          <w:szCs w:val="24"/>
        </w:rPr>
        <w:t xml:space="preserve"> Issuer large exposure</w:t>
      </w:r>
    </w:p>
    <w:p w14:paraId="23E6E120" w14:textId="77777777" w:rsidR="00C22001" w:rsidRPr="00E95745" w:rsidRDefault="00E27A80" w:rsidP="004C1E44">
      <w:pPr>
        <w:spacing w:before="120" w:after="120"/>
        <w:ind w:left="1275"/>
        <w:rPr>
          <w:rFonts w:ascii="Calibri" w:hAnsi="Calibri"/>
          <w:sz w:val="24"/>
          <w:szCs w:val="24"/>
        </w:rPr>
      </w:pPr>
      <w:sdt>
        <w:sdtPr>
          <w:rPr>
            <w:rFonts w:ascii="Calibri" w:hAnsi="Calibri"/>
            <w:sz w:val="24"/>
            <w:szCs w:val="24"/>
          </w:rPr>
          <w:id w:val="48046515"/>
          <w14:checkbox>
            <w14:checked w14:val="0"/>
            <w14:checkedState w14:val="2612" w14:font="MS Gothic"/>
            <w14:uncheckedState w14:val="2610" w14:font="MS Gothic"/>
          </w14:checkbox>
        </w:sdtPr>
        <w:sdtEndPr/>
        <w:sdtContent>
          <w:r w:rsidR="00C22001" w:rsidRPr="00E95745">
            <w:rPr>
              <w:rFonts w:ascii="Segoe UI Symbol" w:hAnsi="Segoe UI Symbol" w:cs="Segoe UI Symbol"/>
              <w:sz w:val="24"/>
              <w:szCs w:val="24"/>
            </w:rPr>
            <w:t>☐</w:t>
          </w:r>
        </w:sdtContent>
      </w:sdt>
      <w:r w:rsidR="00C22001" w:rsidRPr="00E95745">
        <w:rPr>
          <w:rFonts w:ascii="Calibri" w:hAnsi="Calibri"/>
          <w:sz w:val="24"/>
          <w:szCs w:val="24"/>
        </w:rPr>
        <w:t>Equity method</w:t>
      </w:r>
    </w:p>
    <w:p w14:paraId="6B5748E9" w14:textId="77777777" w:rsidR="00C22001" w:rsidRPr="00E95745" w:rsidRDefault="00E27A80" w:rsidP="004C1E44">
      <w:pPr>
        <w:spacing w:before="120" w:after="120"/>
        <w:ind w:left="1275"/>
        <w:rPr>
          <w:rFonts w:ascii="Calibri" w:hAnsi="Calibri"/>
          <w:sz w:val="24"/>
          <w:szCs w:val="24"/>
        </w:rPr>
      </w:pPr>
      <w:sdt>
        <w:sdtPr>
          <w:rPr>
            <w:rFonts w:ascii="Calibri" w:hAnsi="Calibri"/>
            <w:sz w:val="24"/>
            <w:szCs w:val="24"/>
          </w:rPr>
          <w:id w:val="20748882"/>
          <w14:checkbox>
            <w14:checked w14:val="0"/>
            <w14:checkedState w14:val="2612" w14:font="MS Gothic"/>
            <w14:uncheckedState w14:val="2610" w14:font="MS Gothic"/>
          </w14:checkbox>
        </w:sdtPr>
        <w:sdtEndPr/>
        <w:sdtContent>
          <w:r w:rsidR="00C22001" w:rsidRPr="00E95745">
            <w:rPr>
              <w:rFonts w:ascii="Segoe UI Symbol" w:hAnsi="Segoe UI Symbol" w:cs="Segoe UI Symbol"/>
              <w:sz w:val="24"/>
              <w:szCs w:val="24"/>
            </w:rPr>
            <w:t>☐</w:t>
          </w:r>
        </w:sdtContent>
      </w:sdt>
      <w:r w:rsidR="00C22001" w:rsidRPr="00E95745">
        <w:rPr>
          <w:rFonts w:ascii="Calibri" w:hAnsi="Calibri"/>
          <w:sz w:val="24"/>
          <w:szCs w:val="24"/>
        </w:rPr>
        <w:t>Debt method</w:t>
      </w:r>
    </w:p>
    <w:p w14:paraId="0E950D01" w14:textId="77777777" w:rsidR="00C22001" w:rsidRDefault="00E27A80" w:rsidP="004C1E44">
      <w:pPr>
        <w:spacing w:before="120" w:after="120"/>
        <w:ind w:left="1275"/>
        <w:rPr>
          <w:rFonts w:ascii="Calibri" w:hAnsi="Calibri"/>
          <w:sz w:val="24"/>
          <w:szCs w:val="24"/>
        </w:rPr>
      </w:pPr>
      <w:sdt>
        <w:sdtPr>
          <w:rPr>
            <w:rFonts w:ascii="Calibri" w:hAnsi="Calibri"/>
            <w:sz w:val="24"/>
            <w:szCs w:val="24"/>
          </w:rPr>
          <w:id w:val="-1807549142"/>
          <w14:checkbox>
            <w14:checked w14:val="0"/>
            <w14:checkedState w14:val="2612" w14:font="MS Gothic"/>
            <w14:uncheckedState w14:val="2610" w14:font="MS Gothic"/>
          </w14:checkbox>
        </w:sdtPr>
        <w:sdtEndPr/>
        <w:sdtContent>
          <w:r w:rsidR="00C22001" w:rsidRPr="00E95745">
            <w:rPr>
              <w:rFonts w:ascii="Segoe UI Symbol" w:hAnsi="Segoe UI Symbol" w:cs="Segoe UI Symbol"/>
              <w:sz w:val="24"/>
              <w:szCs w:val="24"/>
            </w:rPr>
            <w:t>☐</w:t>
          </w:r>
        </w:sdtContent>
      </w:sdt>
      <w:r w:rsidR="00C22001" w:rsidRPr="00E95745">
        <w:rPr>
          <w:rFonts w:ascii="Calibri" w:hAnsi="Calibri"/>
          <w:sz w:val="24"/>
          <w:szCs w:val="24"/>
        </w:rPr>
        <w:t>Equity and Debt method</w:t>
      </w:r>
    </w:p>
    <w:p w14:paraId="535395C3" w14:textId="77777777" w:rsidR="00C22001" w:rsidRPr="00E95745" w:rsidRDefault="00E27A80" w:rsidP="00D3615D">
      <w:pPr>
        <w:spacing w:before="240" w:after="120"/>
        <w:ind w:left="357"/>
        <w:rPr>
          <w:rFonts w:ascii="Calibri" w:hAnsi="Calibri"/>
          <w:b/>
          <w:sz w:val="24"/>
        </w:rPr>
      </w:pPr>
      <w:sdt>
        <w:sdtPr>
          <w:rPr>
            <w:rFonts w:ascii="Calibri" w:hAnsi="Calibri"/>
            <w:b/>
            <w:sz w:val="24"/>
          </w:rPr>
          <w:id w:val="1170679192"/>
          <w14:checkbox>
            <w14:checked w14:val="0"/>
            <w14:checkedState w14:val="2612" w14:font="MS Gothic"/>
            <w14:uncheckedState w14:val="2610" w14:font="MS Gothic"/>
          </w14:checkbox>
        </w:sdtPr>
        <w:sdtEndPr/>
        <w:sdtContent>
          <w:r w:rsidR="00C22001" w:rsidRPr="00E95745">
            <w:rPr>
              <w:rFonts w:ascii="Segoe UI Symbol" w:hAnsi="Segoe UI Symbol" w:cs="Segoe UI Symbol"/>
              <w:b/>
              <w:sz w:val="24"/>
            </w:rPr>
            <w:t>☐</w:t>
          </w:r>
        </w:sdtContent>
      </w:sdt>
      <w:r w:rsidR="00C22001" w:rsidRPr="00E95745">
        <w:rPr>
          <w:rFonts w:ascii="Calibri" w:hAnsi="Calibri"/>
          <w:b/>
          <w:sz w:val="24"/>
        </w:rPr>
        <w:t xml:space="preserve"> Position Risk Requirement</w:t>
      </w:r>
    </w:p>
    <w:p w14:paraId="48A53387" w14:textId="77777777" w:rsidR="00C22001" w:rsidRPr="00E95745" w:rsidRDefault="00E27A80" w:rsidP="004C1E44">
      <w:pPr>
        <w:spacing w:before="120" w:after="120"/>
        <w:ind w:left="850"/>
        <w:rPr>
          <w:rFonts w:ascii="Calibri" w:hAnsi="Calibri"/>
          <w:sz w:val="24"/>
        </w:rPr>
      </w:pPr>
      <w:sdt>
        <w:sdtPr>
          <w:rPr>
            <w:rFonts w:ascii="Calibri" w:hAnsi="Calibri"/>
            <w:sz w:val="24"/>
          </w:rPr>
          <w:id w:val="1579102936"/>
          <w14:checkbox>
            <w14:checked w14:val="0"/>
            <w14:checkedState w14:val="2612" w14:font="MS Gothic"/>
            <w14:uncheckedState w14:val="2610" w14:font="MS Gothic"/>
          </w14:checkbox>
        </w:sdtPr>
        <w:sdtEndPr/>
        <w:sdtContent>
          <w:r w:rsidR="00C22001" w:rsidRPr="00E95745">
            <w:rPr>
              <w:rFonts w:ascii="Segoe UI Symbol" w:hAnsi="Segoe UI Symbol" w:cs="Segoe UI Symbol"/>
              <w:sz w:val="24"/>
            </w:rPr>
            <w:t>☐</w:t>
          </w:r>
        </w:sdtContent>
      </w:sdt>
      <w:r w:rsidR="00C22001" w:rsidRPr="00E95745">
        <w:rPr>
          <w:rFonts w:ascii="Calibri" w:hAnsi="Calibri"/>
          <w:sz w:val="24"/>
        </w:rPr>
        <w:t xml:space="preserve"> Equity position risk</w:t>
      </w:r>
    </w:p>
    <w:p w14:paraId="04B6AC25" w14:textId="1C8AF135" w:rsidR="00C22001" w:rsidRPr="00E95745" w:rsidRDefault="00C22001" w:rsidP="00821ED4">
      <w:pPr>
        <w:spacing w:before="120" w:after="120"/>
        <w:ind w:left="1440"/>
        <w:rPr>
          <w:rFonts w:ascii="Calibri" w:hAnsi="Calibri"/>
          <w:sz w:val="24"/>
        </w:rPr>
      </w:pPr>
      <w:r w:rsidRPr="00E95745">
        <w:rPr>
          <w:rFonts w:ascii="Calibri" w:hAnsi="Calibri"/>
          <w:sz w:val="24"/>
          <w:lang w:eastAsia="en-US"/>
        </w:rPr>
        <w:object w:dxaOrig="225" w:dyaOrig="225" w14:anchorId="4C89E50C">
          <v:shape id="_x0000_i1078" type="#_x0000_t75" style="width:21pt;height:18pt" o:ole="">
            <v:imagedata r:id="rId66" o:title=""/>
          </v:shape>
          <w:control r:id="rId73" w:name="DefaultOcxName91" w:shapeid="_x0000_i1078"/>
        </w:object>
      </w:r>
      <w:r w:rsidRPr="00E95745">
        <w:rPr>
          <w:rFonts w:ascii="Calibri" w:hAnsi="Calibri"/>
          <w:sz w:val="24"/>
        </w:rPr>
        <w:t xml:space="preserve"> Standard method </w:t>
      </w:r>
    </w:p>
    <w:p w14:paraId="6EF6C2B5" w14:textId="5F6D1E08" w:rsidR="00C22001" w:rsidRPr="00E95745" w:rsidRDefault="00C22001" w:rsidP="00821ED4">
      <w:pPr>
        <w:spacing w:before="120" w:after="120"/>
        <w:ind w:left="1440"/>
        <w:rPr>
          <w:rFonts w:ascii="Calibri" w:hAnsi="Calibri"/>
          <w:sz w:val="24"/>
        </w:rPr>
      </w:pPr>
      <w:r w:rsidRPr="00E95745">
        <w:rPr>
          <w:rFonts w:ascii="Calibri" w:hAnsi="Calibri"/>
          <w:sz w:val="24"/>
          <w:lang w:eastAsia="en-US"/>
        </w:rPr>
        <w:object w:dxaOrig="225" w:dyaOrig="225" w14:anchorId="6124E3B6">
          <v:shape id="_x0000_i1081" type="#_x0000_t75" style="width:21pt;height:18pt" o:ole="">
            <v:imagedata r:id="rId66" o:title=""/>
          </v:shape>
          <w:control r:id="rId74" w:name="DefaultOcxName131" w:shapeid="_x0000_i1081"/>
        </w:object>
      </w:r>
      <w:r w:rsidRPr="00E95745">
        <w:rPr>
          <w:rFonts w:ascii="Calibri" w:hAnsi="Calibri"/>
          <w:sz w:val="24"/>
        </w:rPr>
        <w:t xml:space="preserve"> Margin method </w:t>
      </w:r>
    </w:p>
    <w:p w14:paraId="0B988D99" w14:textId="30C84B74" w:rsidR="00C22001" w:rsidRPr="00E95745" w:rsidRDefault="00C22001" w:rsidP="00821ED4">
      <w:pPr>
        <w:spacing w:before="120" w:after="120"/>
        <w:ind w:left="1440"/>
        <w:rPr>
          <w:rFonts w:ascii="Calibri" w:hAnsi="Calibri"/>
          <w:sz w:val="24"/>
        </w:rPr>
      </w:pPr>
      <w:r w:rsidRPr="00E95745">
        <w:rPr>
          <w:rFonts w:ascii="Calibri" w:hAnsi="Calibri"/>
          <w:sz w:val="24"/>
          <w:lang w:eastAsia="en-US"/>
        </w:rPr>
        <w:object w:dxaOrig="225" w:dyaOrig="225" w14:anchorId="5F409B9A">
          <v:shape id="_x0000_i1084" type="#_x0000_t75" style="width:21pt;height:18pt" o:ole="">
            <v:imagedata r:id="rId66" o:title=""/>
          </v:shape>
          <w:control r:id="rId75" w:name="DefaultOcxName141" w:shapeid="_x0000_i1084"/>
        </w:object>
      </w:r>
      <w:r w:rsidRPr="00E95745">
        <w:rPr>
          <w:rFonts w:ascii="Calibri" w:hAnsi="Calibri"/>
          <w:sz w:val="24"/>
        </w:rPr>
        <w:t xml:space="preserve"> Basic method </w:t>
      </w:r>
    </w:p>
    <w:p w14:paraId="767CD329" w14:textId="0640B3EC" w:rsidR="00C22001" w:rsidRPr="00E95745" w:rsidRDefault="00E27A80" w:rsidP="004C1E44">
      <w:pPr>
        <w:spacing w:before="120" w:after="120"/>
        <w:ind w:left="850"/>
        <w:rPr>
          <w:rFonts w:ascii="Calibri" w:hAnsi="Calibri"/>
          <w:sz w:val="24"/>
        </w:rPr>
      </w:pPr>
      <w:sdt>
        <w:sdtPr>
          <w:rPr>
            <w:rFonts w:ascii="Calibri" w:hAnsi="Calibri"/>
            <w:sz w:val="24"/>
          </w:rPr>
          <w:id w:val="-1188373419"/>
          <w14:checkbox>
            <w14:checked w14:val="0"/>
            <w14:checkedState w14:val="2612" w14:font="MS Gothic"/>
            <w14:uncheckedState w14:val="2610" w14:font="MS Gothic"/>
          </w14:checkbox>
        </w:sdtPr>
        <w:sdtEndPr/>
        <w:sdtContent>
          <w:r w:rsidR="00C22001" w:rsidRPr="00E95745">
            <w:rPr>
              <w:rFonts w:ascii="Segoe UI Symbol" w:hAnsi="Segoe UI Symbol" w:cs="Segoe UI Symbol"/>
              <w:sz w:val="24"/>
            </w:rPr>
            <w:t>☐</w:t>
          </w:r>
        </w:sdtContent>
      </w:sdt>
      <w:r w:rsidR="00C22001" w:rsidRPr="00E95745">
        <w:rPr>
          <w:rFonts w:ascii="Calibri" w:hAnsi="Calibri"/>
          <w:sz w:val="24"/>
        </w:rPr>
        <w:t xml:space="preserve"> Debt position risk</w:t>
      </w:r>
    </w:p>
    <w:p w14:paraId="2DBDCF05" w14:textId="50355A5B" w:rsidR="00C22001" w:rsidRPr="00E95745" w:rsidRDefault="00C22001" w:rsidP="00821ED4">
      <w:pPr>
        <w:spacing w:before="120" w:after="120"/>
        <w:ind w:left="1440"/>
        <w:rPr>
          <w:rFonts w:ascii="Calibri" w:hAnsi="Calibri"/>
          <w:sz w:val="24"/>
        </w:rPr>
      </w:pPr>
      <w:r w:rsidRPr="00E95745">
        <w:rPr>
          <w:rFonts w:ascii="Calibri" w:hAnsi="Calibri"/>
          <w:sz w:val="24"/>
          <w:lang w:eastAsia="en-US"/>
        </w:rPr>
        <w:object w:dxaOrig="225" w:dyaOrig="225" w14:anchorId="4C9E3EA8">
          <v:shape id="_x0000_i1087" type="#_x0000_t75" style="width:21pt;height:18pt" o:ole="">
            <v:imagedata r:id="rId66" o:title=""/>
          </v:shape>
          <w:control r:id="rId76" w:name="DefaultOcxName9" w:shapeid="_x0000_i1087"/>
        </w:object>
      </w:r>
      <w:r w:rsidRPr="00E95745">
        <w:rPr>
          <w:rFonts w:ascii="Calibri" w:hAnsi="Calibri"/>
          <w:sz w:val="24"/>
        </w:rPr>
        <w:t xml:space="preserve"> Standard method </w:t>
      </w:r>
    </w:p>
    <w:p w14:paraId="65BBC7DC" w14:textId="377683F4" w:rsidR="00C22001" w:rsidRPr="00E95745" w:rsidRDefault="00C22001" w:rsidP="00821ED4">
      <w:pPr>
        <w:spacing w:before="120" w:after="120"/>
        <w:ind w:left="1440"/>
        <w:rPr>
          <w:rFonts w:ascii="Calibri" w:hAnsi="Calibri"/>
          <w:sz w:val="24"/>
        </w:rPr>
      </w:pPr>
      <w:r w:rsidRPr="00A40091">
        <w:rPr>
          <w:rFonts w:ascii="Calibri" w:hAnsi="Calibri"/>
          <w:sz w:val="24"/>
          <w:lang w:eastAsia="en-US"/>
        </w:rPr>
        <w:object w:dxaOrig="225" w:dyaOrig="225" w14:anchorId="6DD69975">
          <v:shape id="_x0000_i1090" type="#_x0000_t75" style="width:21pt;height:18pt" o:ole="">
            <v:imagedata r:id="rId66" o:title=""/>
          </v:shape>
          <w:control r:id="rId77" w:name="DefaultOcxName13" w:shapeid="_x0000_i1090"/>
        </w:object>
      </w:r>
      <w:r w:rsidRPr="00A40091">
        <w:rPr>
          <w:rFonts w:ascii="Calibri" w:hAnsi="Calibri"/>
          <w:sz w:val="24"/>
        </w:rPr>
        <w:t> Margin method</w:t>
      </w:r>
      <w:r w:rsidRPr="00E95745">
        <w:rPr>
          <w:rFonts w:ascii="Calibri" w:hAnsi="Calibri"/>
          <w:sz w:val="24"/>
        </w:rPr>
        <w:t xml:space="preserve"> </w:t>
      </w:r>
    </w:p>
    <w:p w14:paraId="6FEF22FA" w14:textId="50EFD878" w:rsidR="00C22001" w:rsidRPr="00E95745" w:rsidRDefault="00C22001" w:rsidP="00821ED4">
      <w:pPr>
        <w:spacing w:before="120" w:after="120"/>
        <w:ind w:left="1440"/>
        <w:rPr>
          <w:rFonts w:ascii="Calibri" w:hAnsi="Calibri"/>
          <w:sz w:val="24"/>
        </w:rPr>
      </w:pPr>
      <w:r w:rsidRPr="00E95745">
        <w:rPr>
          <w:rFonts w:ascii="Calibri" w:hAnsi="Calibri"/>
          <w:sz w:val="24"/>
          <w:lang w:eastAsia="en-US"/>
        </w:rPr>
        <w:object w:dxaOrig="225" w:dyaOrig="225" w14:anchorId="5CCA02F5">
          <v:shape id="_x0000_i1093" type="#_x0000_t75" style="width:21pt;height:18pt" o:ole="">
            <v:imagedata r:id="rId66" o:title=""/>
          </v:shape>
          <w:control r:id="rId78" w:name="DefaultOcxName14" w:shapeid="_x0000_i1093"/>
        </w:object>
      </w:r>
      <w:r w:rsidRPr="00E95745">
        <w:rPr>
          <w:rFonts w:ascii="Calibri" w:hAnsi="Calibri"/>
          <w:sz w:val="24"/>
        </w:rPr>
        <w:t xml:space="preserve"> Basic method </w:t>
      </w:r>
    </w:p>
    <w:p w14:paraId="05360BD3" w14:textId="3B7DACD9" w:rsidR="00B10248" w:rsidRPr="00AD1CE1" w:rsidRDefault="00E27A80" w:rsidP="004C1E44">
      <w:pPr>
        <w:shd w:val="clear" w:color="auto" w:fill="FFFFFF" w:themeFill="background1"/>
        <w:spacing w:before="240" w:after="120"/>
        <w:ind w:left="850"/>
        <w:rPr>
          <w:rFonts w:ascii="Calibri" w:hAnsi="Calibri"/>
          <w:b/>
          <w:sz w:val="24"/>
        </w:rPr>
      </w:pPr>
      <w:sdt>
        <w:sdtPr>
          <w:rPr>
            <w:rFonts w:ascii="Calibri" w:hAnsi="Calibri"/>
            <w:b/>
            <w:sz w:val="24"/>
          </w:rPr>
          <w:id w:val="-464966295"/>
          <w14:checkbox>
            <w14:checked w14:val="0"/>
            <w14:checkedState w14:val="2612" w14:font="MS Gothic"/>
            <w14:uncheckedState w14:val="2610" w14:font="MS Gothic"/>
          </w14:checkbox>
        </w:sdtPr>
        <w:sdtEndPr/>
        <w:sdtContent>
          <w:r w:rsidR="00A40091" w:rsidRPr="00AD1CE1">
            <w:rPr>
              <w:rFonts w:ascii="MS Gothic" w:eastAsia="MS Gothic" w:hAnsi="MS Gothic" w:hint="eastAsia"/>
              <w:b/>
              <w:sz w:val="24"/>
            </w:rPr>
            <w:t>☐</w:t>
          </w:r>
        </w:sdtContent>
      </w:sdt>
      <w:r w:rsidR="00C22001" w:rsidRPr="00AD1CE1">
        <w:rPr>
          <w:rFonts w:ascii="Calibri" w:hAnsi="Calibri"/>
          <w:b/>
          <w:sz w:val="24"/>
        </w:rPr>
        <w:t xml:space="preserve"> </w:t>
      </w:r>
      <w:r w:rsidR="00C22001" w:rsidRPr="00B97D44">
        <w:rPr>
          <w:rFonts w:ascii="Calibri" w:hAnsi="Calibri"/>
          <w:sz w:val="24"/>
        </w:rPr>
        <w:t xml:space="preserve">Foreign </w:t>
      </w:r>
      <w:r w:rsidR="002D232E" w:rsidRPr="00B97D44">
        <w:rPr>
          <w:rFonts w:ascii="Calibri" w:hAnsi="Calibri"/>
          <w:sz w:val="24"/>
        </w:rPr>
        <w:t>E</w:t>
      </w:r>
      <w:r w:rsidR="00C22001" w:rsidRPr="00B97D44">
        <w:rPr>
          <w:rFonts w:ascii="Calibri" w:hAnsi="Calibri"/>
          <w:sz w:val="24"/>
        </w:rPr>
        <w:t>xchange position risk</w:t>
      </w:r>
    </w:p>
    <w:p w14:paraId="441DCBC7" w14:textId="71104B92" w:rsidR="00C22001" w:rsidRPr="001A4322" w:rsidRDefault="00B10248" w:rsidP="00821ED4">
      <w:pPr>
        <w:spacing w:before="120" w:after="120"/>
        <w:ind w:left="1440"/>
        <w:rPr>
          <w:rFonts w:ascii="Calibri" w:hAnsi="Calibri"/>
          <w:sz w:val="24"/>
          <w:lang w:eastAsia="en-US"/>
        </w:rPr>
      </w:pPr>
      <w:r w:rsidRPr="004C097F">
        <w:rPr>
          <w:rFonts w:ascii="Calibri" w:hAnsi="Calibri"/>
          <w:sz w:val="24"/>
          <w:lang w:eastAsia="en-US"/>
        </w:rPr>
        <w:object w:dxaOrig="225" w:dyaOrig="225" w14:anchorId="05705DB8">
          <v:shape id="_x0000_i1096" type="#_x0000_t75" style="width:21pt;height:18pt" o:ole="">
            <v:imagedata r:id="rId66" o:title=""/>
          </v:shape>
          <w:control r:id="rId79" w:name="DefaultOcxName142" w:shapeid="_x0000_i1096"/>
        </w:object>
      </w:r>
      <w:r w:rsidRPr="00AD1CE1">
        <w:rPr>
          <w:rFonts w:ascii="Calibri" w:hAnsi="Calibri"/>
          <w:sz w:val="24"/>
          <w:lang w:eastAsia="en-US"/>
        </w:rPr>
        <w:t xml:space="preserve"> Standard method </w:t>
      </w:r>
    </w:p>
    <w:p w14:paraId="333ACB26" w14:textId="0A2963BF" w:rsidR="00A40091" w:rsidRPr="001A4322" w:rsidRDefault="00A40091" w:rsidP="00821ED4">
      <w:pPr>
        <w:spacing w:before="120" w:after="120"/>
        <w:ind w:left="1440"/>
        <w:rPr>
          <w:rFonts w:ascii="Calibri" w:hAnsi="Calibri"/>
          <w:sz w:val="24"/>
        </w:rPr>
      </w:pPr>
      <w:r w:rsidRPr="00AD1CE1">
        <w:rPr>
          <w:rFonts w:ascii="Calibri" w:hAnsi="Calibri"/>
          <w:sz w:val="24"/>
          <w:lang w:eastAsia="en-US"/>
        </w:rPr>
        <w:object w:dxaOrig="225" w:dyaOrig="225" w14:anchorId="1231BF31">
          <v:shape id="_x0000_i1099" type="#_x0000_t75" style="width:21pt;height:18pt" o:ole="">
            <v:imagedata r:id="rId66" o:title=""/>
          </v:shape>
          <w:control r:id="rId80" w:name="DefaultOcxName1412" w:shapeid="_x0000_i1099"/>
        </w:object>
      </w:r>
      <w:r w:rsidRPr="00AD1CE1">
        <w:rPr>
          <w:rFonts w:ascii="Calibri" w:hAnsi="Calibri"/>
          <w:sz w:val="24"/>
        </w:rPr>
        <w:t> Basic method</w:t>
      </w:r>
      <w:r w:rsidRPr="00E95745">
        <w:rPr>
          <w:rFonts w:ascii="Calibri" w:hAnsi="Calibri"/>
          <w:sz w:val="24"/>
        </w:rPr>
        <w:t xml:space="preserve"> </w:t>
      </w:r>
    </w:p>
    <w:p w14:paraId="3ECB041C" w14:textId="444C3758" w:rsidR="00C22001" w:rsidRPr="001A4322" w:rsidRDefault="00E27A80" w:rsidP="004C1E44">
      <w:pPr>
        <w:shd w:val="clear" w:color="auto" w:fill="FFFFFF" w:themeFill="background1"/>
        <w:spacing w:before="120" w:after="120"/>
        <w:ind w:left="850"/>
        <w:rPr>
          <w:rFonts w:ascii="Calibri" w:hAnsi="Calibri"/>
          <w:b/>
          <w:sz w:val="24"/>
        </w:rPr>
      </w:pPr>
      <w:sdt>
        <w:sdtPr>
          <w:rPr>
            <w:rFonts w:ascii="Calibri" w:hAnsi="Calibri"/>
            <w:sz w:val="24"/>
          </w:rPr>
          <w:id w:val="-712270637"/>
          <w14:checkbox>
            <w14:checked w14:val="0"/>
            <w14:checkedState w14:val="2612" w14:font="MS Gothic"/>
            <w14:uncheckedState w14:val="2610" w14:font="MS Gothic"/>
          </w14:checkbox>
        </w:sdtPr>
        <w:sdtEndPr/>
        <w:sdtContent>
          <w:r w:rsidR="00C22001" w:rsidRPr="001A4322">
            <w:rPr>
              <w:rFonts w:ascii="MS Gothic" w:eastAsia="MS Gothic" w:hAnsi="MS Gothic"/>
              <w:sz w:val="24"/>
            </w:rPr>
            <w:t>☐</w:t>
          </w:r>
        </w:sdtContent>
      </w:sdt>
      <w:r w:rsidR="007553AF" w:rsidRPr="001A4322">
        <w:rPr>
          <w:rFonts w:ascii="Calibri" w:hAnsi="Calibri"/>
          <w:sz w:val="24"/>
        </w:rPr>
        <w:t xml:space="preserve"> </w:t>
      </w:r>
      <w:r w:rsidR="00C22001" w:rsidRPr="00B97D44">
        <w:rPr>
          <w:rFonts w:ascii="Calibri" w:hAnsi="Calibri"/>
          <w:sz w:val="24"/>
        </w:rPr>
        <w:t>Commodity position risk</w:t>
      </w:r>
    </w:p>
    <w:p w14:paraId="17F9C392" w14:textId="3FC386A1" w:rsidR="00AD1CE1" w:rsidRPr="00E95745" w:rsidRDefault="00AD1CE1" w:rsidP="00821ED4">
      <w:pPr>
        <w:spacing w:before="120" w:after="120"/>
        <w:ind w:left="1440"/>
        <w:rPr>
          <w:rFonts w:ascii="Calibri" w:hAnsi="Calibri"/>
          <w:sz w:val="24"/>
        </w:rPr>
      </w:pPr>
      <w:r w:rsidRPr="00E95745">
        <w:rPr>
          <w:rFonts w:ascii="Calibri" w:hAnsi="Calibri"/>
          <w:sz w:val="24"/>
          <w:lang w:eastAsia="en-US"/>
        </w:rPr>
        <w:object w:dxaOrig="225" w:dyaOrig="225" w14:anchorId="48D75712">
          <v:shape id="_x0000_i1102" type="#_x0000_t75" style="width:21pt;height:18pt" o:ole="">
            <v:imagedata r:id="rId66" o:title=""/>
          </v:shape>
          <w:control r:id="rId81" w:name="DefaultOcxName911" w:shapeid="_x0000_i1102"/>
        </w:object>
      </w:r>
      <w:r w:rsidRPr="00E95745">
        <w:rPr>
          <w:rFonts w:ascii="Calibri" w:hAnsi="Calibri"/>
          <w:sz w:val="24"/>
        </w:rPr>
        <w:t xml:space="preserve"> Standard method </w:t>
      </w:r>
    </w:p>
    <w:p w14:paraId="63D072A2" w14:textId="47FBD7BC" w:rsidR="00AD1CE1" w:rsidRPr="00E95745" w:rsidRDefault="00AD1CE1" w:rsidP="00821ED4">
      <w:pPr>
        <w:spacing w:before="120" w:after="120"/>
        <w:ind w:left="1440"/>
        <w:rPr>
          <w:rFonts w:ascii="Calibri" w:hAnsi="Calibri"/>
          <w:sz w:val="24"/>
        </w:rPr>
      </w:pPr>
      <w:r w:rsidRPr="00E95745">
        <w:rPr>
          <w:rFonts w:ascii="Calibri" w:hAnsi="Calibri"/>
          <w:sz w:val="24"/>
          <w:lang w:eastAsia="en-US"/>
        </w:rPr>
        <w:object w:dxaOrig="225" w:dyaOrig="225" w14:anchorId="08342B21">
          <v:shape id="_x0000_i1105" type="#_x0000_t75" style="width:21pt;height:18pt" o:ole="">
            <v:imagedata r:id="rId66" o:title=""/>
          </v:shape>
          <w:control r:id="rId82" w:name="DefaultOcxName1311" w:shapeid="_x0000_i1105"/>
        </w:object>
      </w:r>
      <w:r w:rsidRPr="00E95745">
        <w:rPr>
          <w:rFonts w:ascii="Calibri" w:hAnsi="Calibri"/>
          <w:sz w:val="24"/>
        </w:rPr>
        <w:t xml:space="preserve"> Margin method </w:t>
      </w:r>
    </w:p>
    <w:p w14:paraId="4ECA8C57" w14:textId="457825D3" w:rsidR="00AD1CE1" w:rsidRPr="008F434A" w:rsidRDefault="00AD1CE1" w:rsidP="00821ED4">
      <w:pPr>
        <w:spacing w:before="120" w:after="120"/>
        <w:ind w:left="1440"/>
        <w:rPr>
          <w:rFonts w:ascii="Calibri" w:hAnsi="Calibri"/>
          <w:sz w:val="24"/>
        </w:rPr>
      </w:pPr>
      <w:r w:rsidRPr="00E95745">
        <w:rPr>
          <w:rFonts w:ascii="Calibri" w:hAnsi="Calibri"/>
          <w:sz w:val="24"/>
          <w:lang w:eastAsia="en-US"/>
        </w:rPr>
        <w:object w:dxaOrig="225" w:dyaOrig="225" w14:anchorId="54673F71">
          <v:shape id="_x0000_i1108" type="#_x0000_t75" style="width:21pt;height:18pt" o:ole="">
            <v:imagedata r:id="rId66" o:title=""/>
          </v:shape>
          <w:control r:id="rId83" w:name="DefaultOcxName1411" w:shapeid="_x0000_i1108"/>
        </w:object>
      </w:r>
      <w:r w:rsidRPr="00E95745">
        <w:rPr>
          <w:rFonts w:ascii="Calibri" w:hAnsi="Calibri"/>
          <w:sz w:val="24"/>
        </w:rPr>
        <w:t xml:space="preserve"> Basic method </w:t>
      </w:r>
    </w:p>
    <w:p w14:paraId="3D31E402" w14:textId="77777777" w:rsidR="001162C9" w:rsidRDefault="00E27A80" w:rsidP="00D3615D">
      <w:pPr>
        <w:spacing w:before="240" w:after="120"/>
        <w:ind w:left="357"/>
        <w:rPr>
          <w:rFonts w:ascii="Calibri" w:hAnsi="Calibri"/>
          <w:sz w:val="24"/>
        </w:rPr>
      </w:pPr>
      <w:sdt>
        <w:sdtPr>
          <w:rPr>
            <w:rFonts w:ascii="Calibri" w:hAnsi="Calibri"/>
            <w:b/>
            <w:sz w:val="24"/>
          </w:rPr>
          <w:id w:val="1868788685"/>
          <w14:checkbox>
            <w14:checked w14:val="0"/>
            <w14:checkedState w14:val="2612" w14:font="MS Gothic"/>
            <w14:uncheckedState w14:val="2610" w14:font="MS Gothic"/>
          </w14:checkbox>
        </w:sdtPr>
        <w:sdtEndPr/>
        <w:sdtContent>
          <w:r w:rsidR="001162C9" w:rsidRPr="00E95745">
            <w:rPr>
              <w:rFonts w:ascii="Segoe UI Symbol" w:hAnsi="Segoe UI Symbol" w:cs="Segoe UI Symbol"/>
              <w:b/>
              <w:sz w:val="24"/>
            </w:rPr>
            <w:t>☐</w:t>
          </w:r>
        </w:sdtContent>
      </w:sdt>
      <w:r w:rsidR="001162C9" w:rsidRPr="00E95745">
        <w:rPr>
          <w:rFonts w:ascii="Calibri" w:hAnsi="Calibri"/>
          <w:b/>
          <w:sz w:val="24"/>
        </w:rPr>
        <w:t xml:space="preserve"> Underwriting and Sub Underwriting Risk Requirement</w:t>
      </w:r>
      <w:r w:rsidR="001162C9" w:rsidRPr="001162C9" w:rsidDel="00DD2F4B">
        <w:rPr>
          <w:rFonts w:ascii="Calibri" w:hAnsi="Calibri"/>
          <w:sz w:val="24"/>
        </w:rPr>
        <w:t xml:space="preserve"> </w:t>
      </w:r>
    </w:p>
    <w:p w14:paraId="68548868" w14:textId="77777777" w:rsidR="001162C9" w:rsidRDefault="00E27A80" w:rsidP="00D3615D">
      <w:pPr>
        <w:spacing w:before="240"/>
        <w:ind w:left="357"/>
        <w:rPr>
          <w:rFonts w:ascii="Calibri" w:hAnsi="Calibri"/>
          <w:sz w:val="24"/>
        </w:rPr>
      </w:pPr>
      <w:sdt>
        <w:sdtPr>
          <w:rPr>
            <w:rFonts w:ascii="Calibri" w:hAnsi="Calibri"/>
            <w:b/>
            <w:sz w:val="24"/>
          </w:rPr>
          <w:id w:val="-1629776358"/>
          <w14:checkbox>
            <w14:checked w14:val="0"/>
            <w14:checkedState w14:val="2612" w14:font="MS Gothic"/>
            <w14:uncheckedState w14:val="2610" w14:font="MS Gothic"/>
          </w14:checkbox>
        </w:sdtPr>
        <w:sdtEndPr/>
        <w:sdtContent>
          <w:r w:rsidR="001162C9" w:rsidRPr="00E95745">
            <w:rPr>
              <w:rFonts w:ascii="Segoe UI Symbol" w:hAnsi="Segoe UI Symbol" w:cs="Segoe UI Symbol"/>
              <w:b/>
              <w:sz w:val="24"/>
            </w:rPr>
            <w:t>☐</w:t>
          </w:r>
        </w:sdtContent>
      </w:sdt>
      <w:r w:rsidR="001162C9" w:rsidRPr="00E95745">
        <w:rPr>
          <w:rFonts w:ascii="Calibri" w:hAnsi="Calibri"/>
          <w:b/>
          <w:sz w:val="24"/>
        </w:rPr>
        <w:t xml:space="preserve"> Non-</w:t>
      </w:r>
      <w:r w:rsidR="001162C9">
        <w:rPr>
          <w:rFonts w:ascii="Calibri" w:hAnsi="Calibri"/>
          <w:b/>
          <w:sz w:val="24"/>
        </w:rPr>
        <w:t>S</w:t>
      </w:r>
      <w:r w:rsidR="001162C9" w:rsidRPr="00E95745">
        <w:rPr>
          <w:rFonts w:ascii="Calibri" w:hAnsi="Calibri"/>
          <w:b/>
          <w:sz w:val="24"/>
        </w:rPr>
        <w:t>tandard Risk Requirement</w:t>
      </w:r>
      <w:r w:rsidR="001162C9" w:rsidRPr="001162C9" w:rsidDel="00DD2F4B">
        <w:rPr>
          <w:rFonts w:ascii="Calibri" w:hAnsi="Calibri"/>
          <w:sz w:val="24"/>
        </w:rPr>
        <w:t xml:space="preserve"> </w:t>
      </w:r>
    </w:p>
    <w:p w14:paraId="3A1D2FB9" w14:textId="7CCCEE3F" w:rsidR="00C575EF" w:rsidRDefault="00C575EF" w:rsidP="001A4322">
      <w:pPr>
        <w:spacing w:after="200" w:line="276" w:lineRule="auto"/>
        <w:rPr>
          <w:rFonts w:asciiTheme="minorHAnsi" w:hAnsiTheme="minorHAnsi"/>
        </w:rPr>
      </w:pPr>
      <w:bookmarkStart w:id="115" w:name="_Hlk4762391"/>
      <w:r>
        <w:rPr>
          <w:rFonts w:asciiTheme="minorHAnsi" w:hAnsiTheme="minorHAnsi"/>
        </w:rPr>
        <w:t>Footnotes</w:t>
      </w:r>
    </w:p>
    <w:p w14:paraId="0D546226" w14:textId="3536EA51" w:rsidR="00356C9C" w:rsidRPr="001A4322" w:rsidRDefault="00356C9C" w:rsidP="00D3615D">
      <w:pPr>
        <w:spacing w:before="120" w:after="120"/>
        <w:rPr>
          <w:rFonts w:asciiTheme="minorHAnsi" w:hAnsiTheme="minorHAnsi"/>
        </w:rPr>
      </w:pPr>
      <w:r w:rsidRPr="001A4322">
        <w:rPr>
          <w:rFonts w:asciiTheme="minorHAnsi" w:hAnsiTheme="minorHAnsi"/>
          <w:b/>
        </w:rPr>
        <w:t>Counterparty Risk Requirement</w:t>
      </w:r>
      <w:r w:rsidRPr="001A4322">
        <w:rPr>
          <w:rFonts w:asciiTheme="minorHAnsi" w:hAnsiTheme="minorHAnsi"/>
        </w:rPr>
        <w:t xml:space="preserve"> </w:t>
      </w:r>
      <w:r w:rsidR="00CF2394">
        <w:rPr>
          <w:rFonts w:asciiTheme="minorHAnsi" w:hAnsiTheme="minorHAnsi"/>
        </w:rPr>
        <w:t>–</w:t>
      </w:r>
      <w:r w:rsidRPr="001A4322">
        <w:rPr>
          <w:rFonts w:asciiTheme="minorHAnsi" w:hAnsiTheme="minorHAnsi"/>
        </w:rPr>
        <w:t xml:space="preserve"> Select this option for each type of counterparty risk that gives rise to a positive credit exposure</w:t>
      </w:r>
    </w:p>
    <w:p w14:paraId="794612C2" w14:textId="16C8087C" w:rsidR="00356C9C" w:rsidRPr="001A4322" w:rsidRDefault="00356C9C" w:rsidP="00D3615D">
      <w:pPr>
        <w:pStyle w:val="ListParagraph"/>
        <w:numPr>
          <w:ilvl w:val="0"/>
          <w:numId w:val="86"/>
        </w:numPr>
        <w:spacing w:before="120" w:after="120"/>
        <w:rPr>
          <w:rFonts w:asciiTheme="minorHAnsi" w:hAnsiTheme="minorHAnsi"/>
        </w:rPr>
      </w:pPr>
      <w:r w:rsidRPr="001A4322">
        <w:rPr>
          <w:rFonts w:asciiTheme="minorHAnsi" w:hAnsiTheme="minorHAnsi"/>
        </w:rPr>
        <w:t xml:space="preserve">Non-margined Financial Instruments </w:t>
      </w:r>
      <w:r w:rsidR="00CF2394">
        <w:rPr>
          <w:rFonts w:asciiTheme="minorHAnsi" w:hAnsiTheme="minorHAnsi"/>
        </w:rPr>
        <w:t>–</w:t>
      </w:r>
      <w:r w:rsidRPr="001A4322">
        <w:rPr>
          <w:rFonts w:asciiTheme="minorHAnsi" w:hAnsiTheme="minorHAnsi"/>
        </w:rPr>
        <w:t xml:space="preserve"> Select this option for unsettled trades in Financial Instruments which are not margined and not covered by one of the other counterparty risk calculation methods, and for unsettled trades in margined Equities, Debt Instruments and Warrants</w:t>
      </w:r>
    </w:p>
    <w:p w14:paraId="104A9D35" w14:textId="12FA3579" w:rsidR="00356C9C" w:rsidRPr="001A4322" w:rsidRDefault="00356C9C" w:rsidP="00D3615D">
      <w:pPr>
        <w:pStyle w:val="ListParagraph"/>
        <w:numPr>
          <w:ilvl w:val="0"/>
          <w:numId w:val="86"/>
        </w:numPr>
        <w:spacing w:before="120" w:after="120"/>
        <w:rPr>
          <w:rFonts w:asciiTheme="minorHAnsi" w:hAnsiTheme="minorHAnsi"/>
        </w:rPr>
      </w:pPr>
      <w:r w:rsidRPr="001A4322">
        <w:rPr>
          <w:rFonts w:asciiTheme="minorHAnsi" w:hAnsiTheme="minorHAnsi"/>
        </w:rPr>
        <w:t xml:space="preserve">Free Delivery </w:t>
      </w:r>
      <w:r w:rsidR="00CF2394">
        <w:rPr>
          <w:rFonts w:asciiTheme="minorHAnsi" w:hAnsiTheme="minorHAnsi"/>
        </w:rPr>
        <w:t>–</w:t>
      </w:r>
      <w:r w:rsidRPr="001A4322">
        <w:rPr>
          <w:rFonts w:asciiTheme="minorHAnsi" w:hAnsiTheme="minorHAnsi"/>
        </w:rPr>
        <w:t xml:space="preserve"> Select this option where delivery of a Financial Instrument is made without receiving payment, or where payment is made without receiving a Financial Instrument</w:t>
      </w:r>
    </w:p>
    <w:p w14:paraId="197DB021" w14:textId="23E20DD1" w:rsidR="00356C9C" w:rsidRPr="001A4322" w:rsidRDefault="00356C9C" w:rsidP="00D3615D">
      <w:pPr>
        <w:pStyle w:val="ListParagraph"/>
        <w:numPr>
          <w:ilvl w:val="0"/>
          <w:numId w:val="86"/>
        </w:numPr>
        <w:spacing w:before="120" w:after="120"/>
        <w:rPr>
          <w:rFonts w:asciiTheme="minorHAnsi" w:hAnsiTheme="minorHAnsi"/>
        </w:rPr>
      </w:pPr>
      <w:r w:rsidRPr="001A4322">
        <w:rPr>
          <w:rFonts w:asciiTheme="minorHAnsi" w:hAnsiTheme="minorHAnsi"/>
        </w:rPr>
        <w:t xml:space="preserve">Securities Lending and Borrowing </w:t>
      </w:r>
      <w:r w:rsidR="00CF2394">
        <w:rPr>
          <w:rFonts w:asciiTheme="minorHAnsi" w:hAnsiTheme="minorHAnsi"/>
        </w:rPr>
        <w:t>–</w:t>
      </w:r>
      <w:r w:rsidRPr="001A4322">
        <w:rPr>
          <w:rFonts w:asciiTheme="minorHAnsi" w:hAnsiTheme="minorHAnsi"/>
        </w:rPr>
        <w:t xml:space="preserve"> Select this option where the market value of Equity or Debt Instruments or cash given to a counterparty exceeds the market value of Equity or Debt Instruments or cash received from the counterparty</w:t>
      </w:r>
    </w:p>
    <w:p w14:paraId="05DAAC79" w14:textId="3238E0DF" w:rsidR="00356C9C" w:rsidRPr="001A4322" w:rsidRDefault="00356C9C" w:rsidP="00D3615D">
      <w:pPr>
        <w:pStyle w:val="ListParagraph"/>
        <w:numPr>
          <w:ilvl w:val="0"/>
          <w:numId w:val="86"/>
        </w:numPr>
        <w:spacing w:before="120" w:after="120"/>
        <w:rPr>
          <w:rFonts w:asciiTheme="minorHAnsi" w:hAnsiTheme="minorHAnsi"/>
        </w:rPr>
      </w:pPr>
      <w:r w:rsidRPr="001A4322">
        <w:rPr>
          <w:rFonts w:asciiTheme="minorHAnsi" w:hAnsiTheme="minorHAnsi"/>
        </w:rPr>
        <w:t xml:space="preserve">Margined Financial Instrument </w:t>
      </w:r>
      <w:r w:rsidR="00CF2394">
        <w:rPr>
          <w:rFonts w:asciiTheme="minorHAnsi" w:hAnsiTheme="minorHAnsi"/>
        </w:rPr>
        <w:t>–</w:t>
      </w:r>
      <w:r w:rsidRPr="001A4322">
        <w:rPr>
          <w:rFonts w:asciiTheme="minorHAnsi" w:hAnsiTheme="minorHAnsi"/>
        </w:rPr>
        <w:t xml:space="preserve"> Select this option for trades in Financial Instruments which are margined (other than unsettled trades in margined equities, Debt Instruments and Warrants)</w:t>
      </w:r>
    </w:p>
    <w:p w14:paraId="31174033" w14:textId="4B178B99" w:rsidR="00356C9C" w:rsidRPr="001A4322" w:rsidRDefault="00356C9C" w:rsidP="00D3615D">
      <w:pPr>
        <w:pStyle w:val="ListParagraph"/>
        <w:numPr>
          <w:ilvl w:val="0"/>
          <w:numId w:val="86"/>
        </w:numPr>
        <w:spacing w:before="120" w:after="120"/>
        <w:rPr>
          <w:rFonts w:asciiTheme="minorHAnsi" w:hAnsiTheme="minorHAnsi"/>
        </w:rPr>
      </w:pPr>
      <w:r w:rsidRPr="001A4322">
        <w:rPr>
          <w:rFonts w:asciiTheme="minorHAnsi" w:hAnsiTheme="minorHAnsi"/>
        </w:rPr>
        <w:t xml:space="preserve">OTC Derivatives and Warrants executed as principal </w:t>
      </w:r>
      <w:r w:rsidR="00CF2394">
        <w:rPr>
          <w:rFonts w:asciiTheme="minorHAnsi" w:hAnsiTheme="minorHAnsi"/>
        </w:rPr>
        <w:t>–</w:t>
      </w:r>
      <w:r w:rsidRPr="001A4322">
        <w:rPr>
          <w:rFonts w:asciiTheme="minorHAnsi" w:hAnsiTheme="minorHAnsi"/>
        </w:rPr>
        <w:t xml:space="preserve"> Select this option for OTC Derivatives or Warrants held as principal</w:t>
      </w:r>
    </w:p>
    <w:p w14:paraId="6406BEBD" w14:textId="61535C73" w:rsidR="00356C9C" w:rsidRDefault="00356C9C" w:rsidP="00D3615D">
      <w:pPr>
        <w:pStyle w:val="ListParagraph"/>
        <w:numPr>
          <w:ilvl w:val="0"/>
          <w:numId w:val="86"/>
        </w:numPr>
        <w:spacing w:before="120" w:after="120"/>
        <w:rPr>
          <w:rFonts w:asciiTheme="minorHAnsi" w:hAnsiTheme="minorHAnsi"/>
        </w:rPr>
      </w:pPr>
      <w:r w:rsidRPr="001A4322">
        <w:rPr>
          <w:rFonts w:asciiTheme="minorHAnsi" w:hAnsiTheme="minorHAnsi"/>
        </w:rPr>
        <w:t xml:space="preserve">Sub Underwritten Positions </w:t>
      </w:r>
      <w:r w:rsidR="00CF2394">
        <w:rPr>
          <w:rFonts w:asciiTheme="minorHAnsi" w:hAnsiTheme="minorHAnsi"/>
        </w:rPr>
        <w:t>–</w:t>
      </w:r>
      <w:r w:rsidRPr="001A4322">
        <w:rPr>
          <w:rFonts w:asciiTheme="minorHAnsi" w:hAnsiTheme="minorHAnsi"/>
        </w:rPr>
        <w:t xml:space="preserve"> Select this option where the entity has received Sub Underwriting Commitment </w:t>
      </w:r>
    </w:p>
    <w:p w14:paraId="29CB8E44" w14:textId="560E88E2" w:rsidR="0047560E" w:rsidRPr="001A4322" w:rsidRDefault="0047560E" w:rsidP="00D3615D">
      <w:pPr>
        <w:spacing w:before="120" w:after="120"/>
        <w:rPr>
          <w:rFonts w:asciiTheme="minorHAnsi" w:hAnsiTheme="minorHAnsi"/>
        </w:rPr>
      </w:pPr>
      <w:r w:rsidRPr="001A4322">
        <w:rPr>
          <w:rFonts w:asciiTheme="minorHAnsi" w:hAnsiTheme="minorHAnsi"/>
          <w:b/>
          <w:bCs/>
        </w:rPr>
        <w:t>Large Exposure Risk Requirement</w:t>
      </w:r>
      <w:r w:rsidRPr="001A4322">
        <w:rPr>
          <w:rFonts w:asciiTheme="minorHAnsi" w:hAnsiTheme="minorHAnsi"/>
          <w:bCs/>
        </w:rPr>
        <w:t xml:space="preserve"> </w:t>
      </w:r>
      <w:r w:rsidR="00CF2394">
        <w:rPr>
          <w:rFonts w:asciiTheme="minorHAnsi" w:hAnsiTheme="minorHAnsi"/>
        </w:rPr>
        <w:t>–</w:t>
      </w:r>
      <w:r w:rsidRPr="001A4322">
        <w:rPr>
          <w:rFonts w:asciiTheme="minorHAnsi" w:hAnsiTheme="minorHAnsi"/>
          <w:bCs/>
        </w:rPr>
        <w:t xml:space="preserve"> </w:t>
      </w:r>
      <w:r w:rsidRPr="001A4322">
        <w:rPr>
          <w:rFonts w:asciiTheme="minorHAnsi" w:hAnsiTheme="minorHAnsi"/>
        </w:rPr>
        <w:t>Select this option if aggregate exposures to a counterparty are greater than 10% of Liquid Capital, or if Equity Net Positions or Debt Net Positions are large relative to Liquid Capital and/or the issue</w:t>
      </w:r>
    </w:p>
    <w:p w14:paraId="011D92FC" w14:textId="06A62F88" w:rsidR="0047560E" w:rsidRPr="001A4322" w:rsidRDefault="0047560E" w:rsidP="00D3615D">
      <w:pPr>
        <w:pStyle w:val="ListParagraph"/>
        <w:numPr>
          <w:ilvl w:val="0"/>
          <w:numId w:val="87"/>
        </w:numPr>
        <w:spacing w:before="120" w:after="120"/>
        <w:rPr>
          <w:rFonts w:asciiTheme="minorHAnsi" w:hAnsiTheme="minorHAnsi"/>
        </w:rPr>
      </w:pPr>
      <w:r w:rsidRPr="001A4322">
        <w:rPr>
          <w:rFonts w:asciiTheme="minorHAnsi" w:hAnsiTheme="minorHAnsi"/>
        </w:rPr>
        <w:t>Counterparty large exposure</w:t>
      </w:r>
      <w:r w:rsidR="00CF2394">
        <w:rPr>
          <w:rFonts w:asciiTheme="minorHAnsi" w:hAnsiTheme="minorHAnsi"/>
        </w:rPr>
        <w:t xml:space="preserve"> –</w:t>
      </w:r>
      <w:r w:rsidRPr="001A4322">
        <w:rPr>
          <w:rFonts w:asciiTheme="minorHAnsi" w:hAnsiTheme="minorHAnsi"/>
        </w:rPr>
        <w:t xml:space="preserve"> Select this option if aggregate exposures to a counterparty are greater than 10% of Liquid Capital</w:t>
      </w:r>
    </w:p>
    <w:p w14:paraId="669C7D93" w14:textId="307A1753" w:rsidR="0047560E" w:rsidRPr="001A4322" w:rsidRDefault="0047560E" w:rsidP="00D3615D">
      <w:pPr>
        <w:pStyle w:val="ListParagraph"/>
        <w:numPr>
          <w:ilvl w:val="0"/>
          <w:numId w:val="87"/>
        </w:numPr>
        <w:spacing w:before="120" w:after="120"/>
        <w:rPr>
          <w:rFonts w:asciiTheme="minorHAnsi" w:hAnsiTheme="minorHAnsi"/>
        </w:rPr>
      </w:pPr>
      <w:r w:rsidRPr="001A4322">
        <w:rPr>
          <w:rFonts w:asciiTheme="minorHAnsi" w:hAnsiTheme="minorHAnsi"/>
        </w:rPr>
        <w:t xml:space="preserve">Issuer large exposure </w:t>
      </w:r>
      <w:r w:rsidR="00CF2394">
        <w:rPr>
          <w:rFonts w:asciiTheme="minorHAnsi" w:hAnsiTheme="minorHAnsi"/>
        </w:rPr>
        <w:t>–</w:t>
      </w:r>
      <w:r w:rsidRPr="001A4322">
        <w:rPr>
          <w:rFonts w:asciiTheme="minorHAnsi" w:hAnsiTheme="minorHAnsi"/>
        </w:rPr>
        <w:t xml:space="preserve"> Select this option if Equity Net Positions or Debt Net Positions are large relative to Liquid Capital and/or the issue</w:t>
      </w:r>
    </w:p>
    <w:p w14:paraId="1C8A5ACE" w14:textId="77777777" w:rsidR="0047560E" w:rsidRPr="001A4322" w:rsidRDefault="0047560E" w:rsidP="00D3615D">
      <w:pPr>
        <w:pStyle w:val="ListParagraph"/>
        <w:numPr>
          <w:ilvl w:val="1"/>
          <w:numId w:val="87"/>
        </w:numPr>
        <w:spacing w:before="120" w:after="120"/>
        <w:rPr>
          <w:rFonts w:asciiTheme="minorHAnsi" w:hAnsiTheme="minorHAnsi"/>
        </w:rPr>
      </w:pPr>
      <w:r w:rsidRPr="001A4322">
        <w:rPr>
          <w:rFonts w:asciiTheme="minorHAnsi" w:hAnsiTheme="minorHAnsi"/>
        </w:rPr>
        <w:t>Equity method – Select this option if Equity Net Positions are greater than 25% of Liquid Capital and/or greater than 5% relative to the issue</w:t>
      </w:r>
    </w:p>
    <w:p w14:paraId="46B7DA65" w14:textId="77777777" w:rsidR="00C575EF" w:rsidRDefault="0047560E" w:rsidP="00D3615D">
      <w:pPr>
        <w:pStyle w:val="ListParagraph"/>
        <w:numPr>
          <w:ilvl w:val="1"/>
          <w:numId w:val="87"/>
        </w:numPr>
        <w:spacing w:before="120" w:after="120"/>
        <w:rPr>
          <w:rFonts w:asciiTheme="minorHAnsi" w:hAnsiTheme="minorHAnsi"/>
        </w:rPr>
      </w:pPr>
      <w:r w:rsidRPr="001A4322">
        <w:rPr>
          <w:rFonts w:asciiTheme="minorHAnsi" w:hAnsiTheme="minorHAnsi"/>
        </w:rPr>
        <w:t>Debt method – Select this option if Debt Net Positions are greater than 25% of Liquid Capital and/or greater than 10% relative to the issue</w:t>
      </w:r>
    </w:p>
    <w:p w14:paraId="4F8F3882" w14:textId="56DD975A" w:rsidR="0047560E" w:rsidRPr="001A4322" w:rsidRDefault="0047560E" w:rsidP="00D3615D">
      <w:pPr>
        <w:pStyle w:val="ListParagraph"/>
        <w:numPr>
          <w:ilvl w:val="1"/>
          <w:numId w:val="87"/>
        </w:numPr>
        <w:spacing w:before="120" w:after="120"/>
        <w:rPr>
          <w:rFonts w:asciiTheme="minorHAnsi" w:hAnsiTheme="minorHAnsi"/>
        </w:rPr>
      </w:pPr>
      <w:r w:rsidRPr="001A4322">
        <w:rPr>
          <w:rFonts w:asciiTheme="minorHAnsi" w:hAnsiTheme="minorHAnsi"/>
        </w:rPr>
        <w:lastRenderedPageBreak/>
        <w:t xml:space="preserve">Equity and Debt method </w:t>
      </w:r>
      <w:r w:rsidR="00CF2394">
        <w:rPr>
          <w:rFonts w:asciiTheme="minorHAnsi" w:hAnsiTheme="minorHAnsi"/>
        </w:rPr>
        <w:t>–</w:t>
      </w:r>
      <w:r w:rsidRPr="001A4322">
        <w:rPr>
          <w:rFonts w:asciiTheme="minorHAnsi" w:hAnsiTheme="minorHAnsi"/>
        </w:rPr>
        <w:t xml:space="preserve"> Select this option if Equity Net Positions or Debt Net Positions are greater than 25% of Liquid Capital, and where the Equity method and Debt method do not apply    </w:t>
      </w:r>
    </w:p>
    <w:p w14:paraId="736DADD4" w14:textId="0E044D7C" w:rsidR="00C575EF" w:rsidRPr="001A4322" w:rsidRDefault="00C575EF" w:rsidP="00D3615D">
      <w:pPr>
        <w:spacing w:before="120" w:after="120"/>
        <w:rPr>
          <w:rFonts w:asciiTheme="minorHAnsi" w:hAnsiTheme="minorHAnsi"/>
        </w:rPr>
      </w:pPr>
      <w:r w:rsidRPr="001A4322">
        <w:rPr>
          <w:rFonts w:asciiTheme="minorHAnsi" w:hAnsiTheme="minorHAnsi"/>
          <w:b/>
        </w:rPr>
        <w:t>Position Risk Requirement</w:t>
      </w:r>
      <w:r w:rsidRPr="001A4322">
        <w:rPr>
          <w:rFonts w:asciiTheme="minorHAnsi" w:hAnsiTheme="minorHAnsi"/>
        </w:rPr>
        <w:t xml:space="preserve"> </w:t>
      </w:r>
      <w:r w:rsidR="00CF2394">
        <w:rPr>
          <w:rFonts w:asciiTheme="minorHAnsi" w:hAnsiTheme="minorHAnsi"/>
        </w:rPr>
        <w:t>–</w:t>
      </w:r>
      <w:r w:rsidRPr="001A4322">
        <w:rPr>
          <w:rFonts w:asciiTheme="minorHAnsi" w:hAnsiTheme="minorHAnsi"/>
        </w:rPr>
        <w:t xml:space="preserve"> Select this option to enter a position risk requirement </w:t>
      </w:r>
    </w:p>
    <w:p w14:paraId="51B29261" w14:textId="561D5634" w:rsidR="00C575EF" w:rsidRPr="001A4322" w:rsidRDefault="00C575EF" w:rsidP="00D3615D">
      <w:pPr>
        <w:pStyle w:val="ListParagraph"/>
        <w:numPr>
          <w:ilvl w:val="0"/>
          <w:numId w:val="88"/>
        </w:numPr>
        <w:spacing w:before="120" w:after="120"/>
        <w:rPr>
          <w:rFonts w:asciiTheme="minorHAnsi" w:hAnsiTheme="minorHAnsi"/>
        </w:rPr>
      </w:pPr>
      <w:r w:rsidRPr="001A4322">
        <w:rPr>
          <w:rFonts w:asciiTheme="minorHAnsi" w:hAnsiTheme="minorHAnsi"/>
        </w:rPr>
        <w:t xml:space="preserve">Equity position risk </w:t>
      </w:r>
      <w:r w:rsidR="00CF2394">
        <w:rPr>
          <w:rFonts w:asciiTheme="minorHAnsi" w:hAnsiTheme="minorHAnsi"/>
        </w:rPr>
        <w:t>–</w:t>
      </w:r>
      <w:r w:rsidRPr="001A4322">
        <w:rPr>
          <w:rFonts w:asciiTheme="minorHAnsi" w:hAnsiTheme="minorHAnsi"/>
        </w:rPr>
        <w:t xml:space="preserve"> Select this option to enter a position risk amount for equity positions</w:t>
      </w:r>
    </w:p>
    <w:p w14:paraId="4AA67086" w14:textId="3E80DFA8" w:rsidR="00C575EF" w:rsidRPr="001A4322" w:rsidRDefault="00C575EF" w:rsidP="00D3615D">
      <w:pPr>
        <w:pStyle w:val="ListParagraph"/>
        <w:numPr>
          <w:ilvl w:val="1"/>
          <w:numId w:val="88"/>
        </w:numPr>
        <w:spacing w:before="120" w:after="120"/>
        <w:rPr>
          <w:rFonts w:asciiTheme="minorHAnsi" w:hAnsiTheme="minorHAnsi"/>
        </w:rPr>
      </w:pPr>
      <w:r w:rsidRPr="001A4322">
        <w:rPr>
          <w:rFonts w:asciiTheme="minorHAnsi" w:hAnsiTheme="minorHAnsi"/>
        </w:rPr>
        <w:t xml:space="preserve">Standard method </w:t>
      </w:r>
      <w:r w:rsidR="00CF2394">
        <w:rPr>
          <w:rFonts w:asciiTheme="minorHAnsi" w:hAnsiTheme="minorHAnsi"/>
        </w:rPr>
        <w:t>–</w:t>
      </w:r>
      <w:r w:rsidRPr="001A4322">
        <w:rPr>
          <w:rFonts w:asciiTheme="minorHAnsi" w:hAnsiTheme="minorHAnsi"/>
        </w:rPr>
        <w:t xml:space="preserve"> Select this option to enter an equity position risk amount for physical equity positions, non-option equity derivative positions, purchased equity options, and written equity options that meet the criteria set out in Rule A3.2.1(3)</w:t>
      </w:r>
    </w:p>
    <w:p w14:paraId="6E37A3FC" w14:textId="711116E8" w:rsidR="00C575EF" w:rsidRPr="001A4322" w:rsidRDefault="00C575EF" w:rsidP="00D3615D">
      <w:pPr>
        <w:pStyle w:val="ListParagraph"/>
        <w:numPr>
          <w:ilvl w:val="1"/>
          <w:numId w:val="88"/>
        </w:numPr>
        <w:spacing w:before="120" w:after="120"/>
        <w:rPr>
          <w:rFonts w:asciiTheme="minorHAnsi" w:hAnsiTheme="minorHAnsi"/>
        </w:rPr>
      </w:pPr>
      <w:r w:rsidRPr="001A4322">
        <w:rPr>
          <w:rFonts w:asciiTheme="minorHAnsi" w:hAnsiTheme="minorHAnsi"/>
        </w:rPr>
        <w:t xml:space="preserve">Margin method </w:t>
      </w:r>
      <w:r w:rsidR="00CF2394">
        <w:rPr>
          <w:rFonts w:asciiTheme="minorHAnsi" w:hAnsiTheme="minorHAnsi"/>
        </w:rPr>
        <w:t>–</w:t>
      </w:r>
      <w:r w:rsidRPr="001A4322">
        <w:rPr>
          <w:rFonts w:asciiTheme="minorHAnsi" w:hAnsiTheme="minorHAnsi"/>
        </w:rPr>
        <w:t xml:space="preserve"> Select this option to enter an equity position risk amount for equity derivative positions and equity options positions</w:t>
      </w:r>
    </w:p>
    <w:p w14:paraId="679AFC8C" w14:textId="37A8AB2F" w:rsidR="00C575EF" w:rsidRPr="001A4322" w:rsidRDefault="00C575EF" w:rsidP="00D3615D">
      <w:pPr>
        <w:pStyle w:val="ListParagraph"/>
        <w:numPr>
          <w:ilvl w:val="1"/>
          <w:numId w:val="88"/>
        </w:numPr>
        <w:spacing w:before="120" w:after="120"/>
        <w:rPr>
          <w:rFonts w:asciiTheme="minorHAnsi" w:hAnsiTheme="minorHAnsi"/>
        </w:rPr>
      </w:pPr>
      <w:r w:rsidRPr="001A4322">
        <w:rPr>
          <w:rFonts w:asciiTheme="minorHAnsi" w:hAnsiTheme="minorHAnsi"/>
        </w:rPr>
        <w:t xml:space="preserve">Basic method </w:t>
      </w:r>
      <w:r w:rsidR="00CF2394">
        <w:rPr>
          <w:rFonts w:asciiTheme="minorHAnsi" w:hAnsiTheme="minorHAnsi"/>
        </w:rPr>
        <w:t>–</w:t>
      </w:r>
      <w:r w:rsidRPr="001A4322">
        <w:rPr>
          <w:rFonts w:asciiTheme="minorHAnsi" w:hAnsiTheme="minorHAnsi"/>
        </w:rPr>
        <w:t xml:space="preserve"> Select this option to enter an equity position risk amount for equity options positions</w:t>
      </w:r>
    </w:p>
    <w:p w14:paraId="3FD76665" w14:textId="5CBBE8F0" w:rsidR="00C575EF" w:rsidRPr="001A4322" w:rsidRDefault="00C575EF" w:rsidP="00D3615D">
      <w:pPr>
        <w:pStyle w:val="ListParagraph"/>
        <w:numPr>
          <w:ilvl w:val="0"/>
          <w:numId w:val="88"/>
        </w:numPr>
        <w:spacing w:before="120" w:after="120"/>
        <w:rPr>
          <w:rFonts w:asciiTheme="minorHAnsi" w:hAnsiTheme="minorHAnsi"/>
        </w:rPr>
      </w:pPr>
      <w:r w:rsidRPr="001A4322">
        <w:rPr>
          <w:rFonts w:asciiTheme="minorHAnsi" w:hAnsiTheme="minorHAnsi"/>
        </w:rPr>
        <w:t xml:space="preserve">Debt position risk </w:t>
      </w:r>
      <w:r w:rsidR="00CF2394">
        <w:rPr>
          <w:rFonts w:asciiTheme="minorHAnsi" w:hAnsiTheme="minorHAnsi"/>
        </w:rPr>
        <w:t>–</w:t>
      </w:r>
      <w:r w:rsidRPr="001A4322">
        <w:rPr>
          <w:rFonts w:asciiTheme="minorHAnsi" w:hAnsiTheme="minorHAnsi"/>
        </w:rPr>
        <w:t xml:space="preserve"> Select this option to enter a position risk amount for debt positions</w:t>
      </w:r>
    </w:p>
    <w:p w14:paraId="457FFADF" w14:textId="2FE4283D" w:rsidR="00C575EF" w:rsidRPr="001A4322" w:rsidRDefault="00C575EF" w:rsidP="00D3615D">
      <w:pPr>
        <w:pStyle w:val="ListParagraph"/>
        <w:numPr>
          <w:ilvl w:val="1"/>
          <w:numId w:val="88"/>
        </w:numPr>
        <w:spacing w:before="120" w:after="120"/>
        <w:rPr>
          <w:rFonts w:asciiTheme="minorHAnsi" w:hAnsiTheme="minorHAnsi"/>
        </w:rPr>
      </w:pPr>
      <w:r w:rsidRPr="001A4322">
        <w:rPr>
          <w:rFonts w:asciiTheme="minorHAnsi" w:hAnsiTheme="minorHAnsi"/>
        </w:rPr>
        <w:t xml:space="preserve">Standard method </w:t>
      </w:r>
      <w:r w:rsidR="00CF2394">
        <w:rPr>
          <w:rFonts w:asciiTheme="minorHAnsi" w:hAnsiTheme="minorHAnsi"/>
        </w:rPr>
        <w:t>–</w:t>
      </w:r>
      <w:r w:rsidRPr="001A4322">
        <w:rPr>
          <w:rFonts w:asciiTheme="minorHAnsi" w:hAnsiTheme="minorHAnsi"/>
        </w:rPr>
        <w:t xml:space="preserve"> Select this option to enter a debt position risk amount for physical (not debt derivative) positions</w:t>
      </w:r>
    </w:p>
    <w:p w14:paraId="59C8101B" w14:textId="5EE878F6" w:rsidR="00C575EF" w:rsidRPr="001A4322" w:rsidRDefault="00C575EF" w:rsidP="00D3615D">
      <w:pPr>
        <w:pStyle w:val="ListParagraph"/>
        <w:numPr>
          <w:ilvl w:val="1"/>
          <w:numId w:val="88"/>
        </w:numPr>
        <w:spacing w:before="120" w:after="120"/>
        <w:rPr>
          <w:rFonts w:asciiTheme="minorHAnsi" w:hAnsiTheme="minorHAnsi"/>
        </w:rPr>
      </w:pPr>
      <w:r w:rsidRPr="001A4322">
        <w:rPr>
          <w:rFonts w:asciiTheme="minorHAnsi" w:hAnsiTheme="minorHAnsi"/>
        </w:rPr>
        <w:t xml:space="preserve">Margin method </w:t>
      </w:r>
      <w:r w:rsidR="00CF2394">
        <w:rPr>
          <w:rFonts w:asciiTheme="minorHAnsi" w:hAnsiTheme="minorHAnsi"/>
        </w:rPr>
        <w:t>–</w:t>
      </w:r>
      <w:r w:rsidRPr="001A4322">
        <w:rPr>
          <w:rFonts w:asciiTheme="minorHAnsi" w:hAnsiTheme="minorHAnsi"/>
        </w:rPr>
        <w:t xml:space="preserve"> Select this option to enter a debt position risk amount for non-option debt derivative positions and debt options positions, if exchange traded and margined</w:t>
      </w:r>
    </w:p>
    <w:p w14:paraId="6B1EC681" w14:textId="1775562D" w:rsidR="00C575EF" w:rsidRPr="001A4322" w:rsidRDefault="00C575EF" w:rsidP="00D3615D">
      <w:pPr>
        <w:pStyle w:val="ListParagraph"/>
        <w:numPr>
          <w:ilvl w:val="1"/>
          <w:numId w:val="88"/>
        </w:numPr>
        <w:spacing w:before="120" w:after="120"/>
        <w:rPr>
          <w:rFonts w:asciiTheme="minorHAnsi" w:hAnsiTheme="minorHAnsi"/>
        </w:rPr>
      </w:pPr>
      <w:r w:rsidRPr="001A4322">
        <w:rPr>
          <w:rFonts w:asciiTheme="minorHAnsi" w:hAnsiTheme="minorHAnsi"/>
        </w:rPr>
        <w:t xml:space="preserve">Basic method </w:t>
      </w:r>
      <w:r w:rsidR="00CF2394">
        <w:rPr>
          <w:rFonts w:asciiTheme="minorHAnsi" w:hAnsiTheme="minorHAnsi"/>
        </w:rPr>
        <w:t>–</w:t>
      </w:r>
      <w:r w:rsidRPr="001A4322">
        <w:rPr>
          <w:rFonts w:asciiTheme="minorHAnsi" w:hAnsiTheme="minorHAnsi"/>
        </w:rPr>
        <w:t xml:space="preserve"> Select this option to enter a debt position risk amount for debt options positions</w:t>
      </w:r>
    </w:p>
    <w:p w14:paraId="16B235E2" w14:textId="0B77C9E7" w:rsidR="00C575EF" w:rsidRPr="001A4322" w:rsidRDefault="00C575EF" w:rsidP="004C1E44">
      <w:pPr>
        <w:pStyle w:val="ListParagraph"/>
        <w:numPr>
          <w:ilvl w:val="0"/>
          <w:numId w:val="88"/>
        </w:numPr>
        <w:spacing w:before="120" w:after="120"/>
        <w:rPr>
          <w:rFonts w:asciiTheme="minorHAnsi" w:hAnsiTheme="minorHAnsi"/>
        </w:rPr>
      </w:pPr>
      <w:r w:rsidRPr="004C1E44">
        <w:rPr>
          <w:rFonts w:asciiTheme="minorHAnsi" w:hAnsiTheme="minorHAnsi"/>
        </w:rPr>
        <w:t xml:space="preserve">Foreign </w:t>
      </w:r>
      <w:r w:rsidR="00FB663D" w:rsidRPr="004C1E44">
        <w:rPr>
          <w:rFonts w:asciiTheme="minorHAnsi" w:hAnsiTheme="minorHAnsi"/>
        </w:rPr>
        <w:t>E</w:t>
      </w:r>
      <w:r w:rsidRPr="004C1E44">
        <w:rPr>
          <w:rFonts w:asciiTheme="minorHAnsi" w:hAnsiTheme="minorHAnsi"/>
        </w:rPr>
        <w:t>xchange position risk</w:t>
      </w:r>
      <w:r w:rsidRPr="001A4322">
        <w:rPr>
          <w:rFonts w:asciiTheme="minorHAnsi" w:hAnsiTheme="minorHAnsi"/>
        </w:rPr>
        <w:t xml:space="preserve"> </w:t>
      </w:r>
      <w:r w:rsidR="00CF2394">
        <w:rPr>
          <w:rFonts w:asciiTheme="minorHAnsi" w:hAnsiTheme="minorHAnsi"/>
        </w:rPr>
        <w:t>–</w:t>
      </w:r>
      <w:r w:rsidRPr="001A4322">
        <w:rPr>
          <w:rFonts w:asciiTheme="minorHAnsi" w:hAnsiTheme="minorHAnsi"/>
        </w:rPr>
        <w:t xml:space="preserve"> Select this option to enter a position risk amount for </w:t>
      </w:r>
      <w:r w:rsidR="00FB663D">
        <w:rPr>
          <w:rFonts w:asciiTheme="minorHAnsi" w:hAnsiTheme="minorHAnsi"/>
        </w:rPr>
        <w:t>F</w:t>
      </w:r>
      <w:r w:rsidRPr="001A4322">
        <w:rPr>
          <w:rFonts w:asciiTheme="minorHAnsi" w:hAnsiTheme="minorHAnsi"/>
        </w:rPr>
        <w:t xml:space="preserve">oreign </w:t>
      </w:r>
      <w:r w:rsidR="00FB663D">
        <w:rPr>
          <w:rFonts w:asciiTheme="minorHAnsi" w:hAnsiTheme="minorHAnsi"/>
        </w:rPr>
        <w:t>E</w:t>
      </w:r>
      <w:r w:rsidRPr="001A4322">
        <w:rPr>
          <w:rFonts w:asciiTheme="minorHAnsi" w:hAnsiTheme="minorHAnsi"/>
        </w:rPr>
        <w:t>xchange positions</w:t>
      </w:r>
    </w:p>
    <w:p w14:paraId="4DC9CBAF" w14:textId="0D895652" w:rsidR="00C575EF" w:rsidRDefault="00C575EF" w:rsidP="004C1E44">
      <w:pPr>
        <w:pStyle w:val="ListParagraph"/>
        <w:numPr>
          <w:ilvl w:val="1"/>
          <w:numId w:val="88"/>
        </w:numPr>
        <w:spacing w:before="120" w:after="120"/>
        <w:rPr>
          <w:rFonts w:asciiTheme="minorHAnsi" w:hAnsiTheme="minorHAnsi"/>
        </w:rPr>
      </w:pPr>
      <w:r w:rsidRPr="001A4322">
        <w:rPr>
          <w:rFonts w:asciiTheme="minorHAnsi" w:hAnsiTheme="minorHAnsi"/>
        </w:rPr>
        <w:t xml:space="preserve">Standard method </w:t>
      </w:r>
      <w:r w:rsidR="00CF2394">
        <w:rPr>
          <w:rFonts w:asciiTheme="minorHAnsi" w:hAnsiTheme="minorHAnsi"/>
        </w:rPr>
        <w:t>–</w:t>
      </w:r>
      <w:r w:rsidRPr="001A4322">
        <w:rPr>
          <w:rFonts w:asciiTheme="minorHAnsi" w:hAnsiTheme="minorHAnsi"/>
        </w:rPr>
        <w:t xml:space="preserve"> Select this option to enter a </w:t>
      </w:r>
      <w:r w:rsidR="00FB663D">
        <w:rPr>
          <w:rFonts w:asciiTheme="minorHAnsi" w:hAnsiTheme="minorHAnsi"/>
        </w:rPr>
        <w:t>F</w:t>
      </w:r>
      <w:r w:rsidRPr="001A4322">
        <w:rPr>
          <w:rFonts w:asciiTheme="minorHAnsi" w:hAnsiTheme="minorHAnsi"/>
        </w:rPr>
        <w:t xml:space="preserve">oreign </w:t>
      </w:r>
      <w:r w:rsidR="00FB663D">
        <w:rPr>
          <w:rFonts w:asciiTheme="minorHAnsi" w:hAnsiTheme="minorHAnsi"/>
        </w:rPr>
        <w:t>E</w:t>
      </w:r>
      <w:r w:rsidRPr="001A4322">
        <w:rPr>
          <w:rFonts w:asciiTheme="minorHAnsi" w:hAnsiTheme="minorHAnsi"/>
        </w:rPr>
        <w:t xml:space="preserve">xchange position risk amount for all </w:t>
      </w:r>
      <w:r w:rsidR="00AD1CE1">
        <w:rPr>
          <w:rFonts w:asciiTheme="minorHAnsi" w:hAnsiTheme="minorHAnsi"/>
        </w:rPr>
        <w:t>F</w:t>
      </w:r>
      <w:r w:rsidRPr="001A4322">
        <w:rPr>
          <w:rFonts w:asciiTheme="minorHAnsi" w:hAnsiTheme="minorHAnsi"/>
        </w:rPr>
        <w:t xml:space="preserve">oreign </w:t>
      </w:r>
      <w:r w:rsidR="00AD1CE1">
        <w:rPr>
          <w:rFonts w:asciiTheme="minorHAnsi" w:hAnsiTheme="minorHAnsi"/>
        </w:rPr>
        <w:t>E</w:t>
      </w:r>
      <w:r w:rsidRPr="001A4322">
        <w:rPr>
          <w:rFonts w:asciiTheme="minorHAnsi" w:hAnsiTheme="minorHAnsi"/>
        </w:rPr>
        <w:t>xchange positions</w:t>
      </w:r>
    </w:p>
    <w:p w14:paraId="1ECE21DD" w14:textId="229BB79D" w:rsidR="00AD1CE1" w:rsidRPr="001A4322" w:rsidRDefault="00AD1CE1" w:rsidP="004C1E44">
      <w:pPr>
        <w:pStyle w:val="ListParagraph"/>
        <w:numPr>
          <w:ilvl w:val="1"/>
          <w:numId w:val="88"/>
        </w:numPr>
        <w:spacing w:after="120"/>
        <w:ind w:left="1434" w:hanging="357"/>
        <w:rPr>
          <w:rFonts w:asciiTheme="minorHAnsi" w:hAnsiTheme="minorHAnsi"/>
        </w:rPr>
      </w:pPr>
      <w:r w:rsidRPr="008F434A">
        <w:rPr>
          <w:rFonts w:asciiTheme="minorHAnsi" w:hAnsiTheme="minorHAnsi"/>
        </w:rPr>
        <w:t xml:space="preserve">Basic method – Select this option to enter a </w:t>
      </w:r>
      <w:r>
        <w:rPr>
          <w:rFonts w:asciiTheme="minorHAnsi" w:hAnsiTheme="minorHAnsi"/>
        </w:rPr>
        <w:t>F</w:t>
      </w:r>
      <w:r w:rsidRPr="008F434A">
        <w:rPr>
          <w:rFonts w:asciiTheme="minorHAnsi" w:hAnsiTheme="minorHAnsi"/>
        </w:rPr>
        <w:t xml:space="preserve">oreign </w:t>
      </w:r>
      <w:r>
        <w:rPr>
          <w:rFonts w:asciiTheme="minorHAnsi" w:hAnsiTheme="minorHAnsi"/>
        </w:rPr>
        <w:t>E</w:t>
      </w:r>
      <w:r w:rsidRPr="008F434A">
        <w:rPr>
          <w:rFonts w:asciiTheme="minorHAnsi" w:hAnsiTheme="minorHAnsi"/>
        </w:rPr>
        <w:t xml:space="preserve">xchange position risk amount for </w:t>
      </w:r>
      <w:r>
        <w:rPr>
          <w:rFonts w:asciiTheme="minorHAnsi" w:hAnsiTheme="minorHAnsi"/>
        </w:rPr>
        <w:t>F</w:t>
      </w:r>
      <w:r w:rsidRPr="008F434A">
        <w:rPr>
          <w:rFonts w:asciiTheme="minorHAnsi" w:hAnsiTheme="minorHAnsi"/>
        </w:rPr>
        <w:t xml:space="preserve">oreign </w:t>
      </w:r>
      <w:r>
        <w:rPr>
          <w:rFonts w:asciiTheme="minorHAnsi" w:hAnsiTheme="minorHAnsi"/>
        </w:rPr>
        <w:t>E</w:t>
      </w:r>
      <w:r w:rsidRPr="008F434A">
        <w:rPr>
          <w:rFonts w:asciiTheme="minorHAnsi" w:hAnsiTheme="minorHAnsi"/>
        </w:rPr>
        <w:t>xchange options positions</w:t>
      </w:r>
    </w:p>
    <w:p w14:paraId="5197D556" w14:textId="68C1527E" w:rsidR="00C575EF" w:rsidRDefault="00C575EF" w:rsidP="004C1E44">
      <w:pPr>
        <w:pStyle w:val="ListParagraph"/>
        <w:numPr>
          <w:ilvl w:val="0"/>
          <w:numId w:val="88"/>
        </w:numPr>
        <w:spacing w:before="120" w:after="120"/>
        <w:rPr>
          <w:rFonts w:asciiTheme="minorHAnsi" w:hAnsiTheme="minorHAnsi"/>
        </w:rPr>
      </w:pPr>
      <w:r w:rsidRPr="004C1E44">
        <w:rPr>
          <w:rFonts w:asciiTheme="minorHAnsi" w:hAnsiTheme="minorHAnsi"/>
        </w:rPr>
        <w:t>Commodity position risk</w:t>
      </w:r>
      <w:r w:rsidRPr="001A4322">
        <w:rPr>
          <w:rFonts w:asciiTheme="minorHAnsi" w:hAnsiTheme="minorHAnsi"/>
        </w:rPr>
        <w:t xml:space="preserve"> </w:t>
      </w:r>
      <w:r w:rsidR="00CF2394">
        <w:rPr>
          <w:rFonts w:asciiTheme="minorHAnsi" w:hAnsiTheme="minorHAnsi"/>
        </w:rPr>
        <w:t>–</w:t>
      </w:r>
      <w:r w:rsidRPr="001A4322">
        <w:rPr>
          <w:rFonts w:asciiTheme="minorHAnsi" w:hAnsiTheme="minorHAnsi"/>
        </w:rPr>
        <w:t xml:space="preserve"> Select this option to enter a position risk amount for </w:t>
      </w:r>
      <w:r w:rsidR="0036325E">
        <w:rPr>
          <w:rFonts w:asciiTheme="minorHAnsi" w:hAnsiTheme="minorHAnsi"/>
        </w:rPr>
        <w:t>C</w:t>
      </w:r>
      <w:r w:rsidRPr="001A4322">
        <w:rPr>
          <w:rFonts w:asciiTheme="minorHAnsi" w:hAnsiTheme="minorHAnsi"/>
        </w:rPr>
        <w:t>ommodity positions</w:t>
      </w:r>
    </w:p>
    <w:p w14:paraId="17511317" w14:textId="5B868948" w:rsidR="00AD1CE1" w:rsidRDefault="00AD1CE1" w:rsidP="004C1E44">
      <w:pPr>
        <w:pStyle w:val="ListParagraph"/>
        <w:numPr>
          <w:ilvl w:val="1"/>
          <w:numId w:val="88"/>
        </w:numPr>
        <w:spacing w:before="120" w:after="120"/>
        <w:rPr>
          <w:rFonts w:asciiTheme="minorHAnsi" w:hAnsiTheme="minorHAnsi"/>
        </w:rPr>
      </w:pPr>
      <w:bookmarkStart w:id="116" w:name="_Hlk25157737"/>
      <w:r w:rsidRPr="00742DB7">
        <w:rPr>
          <w:rFonts w:asciiTheme="minorHAnsi" w:hAnsiTheme="minorHAnsi"/>
        </w:rPr>
        <w:t>Standard method</w:t>
      </w:r>
      <w:r>
        <w:rPr>
          <w:rFonts w:asciiTheme="minorHAnsi" w:hAnsiTheme="minorHAnsi"/>
        </w:rPr>
        <w:t xml:space="preserve"> </w:t>
      </w:r>
      <w:r w:rsidR="00CF2394">
        <w:rPr>
          <w:rFonts w:asciiTheme="minorHAnsi" w:hAnsiTheme="minorHAnsi"/>
        </w:rPr>
        <w:t>–</w:t>
      </w:r>
      <w:r>
        <w:rPr>
          <w:rFonts w:asciiTheme="minorHAnsi" w:hAnsiTheme="minorHAnsi"/>
        </w:rPr>
        <w:t xml:space="preserve"> </w:t>
      </w:r>
      <w:r w:rsidRPr="008F434A">
        <w:rPr>
          <w:rFonts w:asciiTheme="minorHAnsi" w:hAnsiTheme="minorHAnsi"/>
        </w:rPr>
        <w:t xml:space="preserve"> Select this option to enter a position risk amount for </w:t>
      </w:r>
      <w:r w:rsidR="00FB663D">
        <w:rPr>
          <w:rFonts w:asciiTheme="minorHAnsi" w:hAnsiTheme="minorHAnsi"/>
        </w:rPr>
        <w:t>C</w:t>
      </w:r>
      <w:r w:rsidRPr="008F434A">
        <w:rPr>
          <w:rFonts w:asciiTheme="minorHAnsi" w:hAnsiTheme="minorHAnsi"/>
        </w:rPr>
        <w:t>ommodity positions</w:t>
      </w:r>
    </w:p>
    <w:p w14:paraId="1C561E5E" w14:textId="73D6A637" w:rsidR="00AD1CE1" w:rsidRDefault="00AD1CE1" w:rsidP="004C1E44">
      <w:pPr>
        <w:pStyle w:val="ListParagraph"/>
        <w:numPr>
          <w:ilvl w:val="1"/>
          <w:numId w:val="88"/>
        </w:numPr>
        <w:spacing w:before="120" w:after="120"/>
        <w:rPr>
          <w:rFonts w:asciiTheme="minorHAnsi" w:hAnsiTheme="minorHAnsi"/>
        </w:rPr>
      </w:pPr>
      <w:r>
        <w:rPr>
          <w:rFonts w:asciiTheme="minorHAnsi" w:hAnsiTheme="minorHAnsi"/>
        </w:rPr>
        <w:t xml:space="preserve">Margin method – Select this option to enter a </w:t>
      </w:r>
      <w:r w:rsidR="00950A68">
        <w:rPr>
          <w:rFonts w:asciiTheme="minorHAnsi" w:hAnsiTheme="minorHAnsi"/>
        </w:rPr>
        <w:t>C</w:t>
      </w:r>
      <w:r>
        <w:rPr>
          <w:rFonts w:asciiTheme="minorHAnsi" w:hAnsiTheme="minorHAnsi"/>
        </w:rPr>
        <w:t xml:space="preserve">ommodity position risk amount for non-option </w:t>
      </w:r>
      <w:r w:rsidR="00950A68">
        <w:rPr>
          <w:rFonts w:asciiTheme="minorHAnsi" w:hAnsiTheme="minorHAnsi"/>
        </w:rPr>
        <w:t>C</w:t>
      </w:r>
      <w:r>
        <w:rPr>
          <w:rFonts w:asciiTheme="minorHAnsi" w:hAnsiTheme="minorHAnsi"/>
        </w:rPr>
        <w:t xml:space="preserve">ommodity derivative positions and </w:t>
      </w:r>
      <w:r w:rsidR="00950A68">
        <w:rPr>
          <w:rFonts w:asciiTheme="minorHAnsi" w:hAnsiTheme="minorHAnsi"/>
        </w:rPr>
        <w:t>C</w:t>
      </w:r>
      <w:r>
        <w:rPr>
          <w:rFonts w:asciiTheme="minorHAnsi" w:hAnsiTheme="minorHAnsi"/>
        </w:rPr>
        <w:t>ommodity options positions, if exchange traded and margined</w:t>
      </w:r>
    </w:p>
    <w:p w14:paraId="08ACB5EE" w14:textId="5C021C41" w:rsidR="00AD1CE1" w:rsidRPr="001A4322" w:rsidRDefault="00AD1CE1" w:rsidP="004C1E44">
      <w:pPr>
        <w:pStyle w:val="ListParagraph"/>
        <w:numPr>
          <w:ilvl w:val="1"/>
          <w:numId w:val="88"/>
        </w:numPr>
        <w:spacing w:before="120" w:after="120"/>
        <w:rPr>
          <w:rFonts w:asciiTheme="minorHAnsi" w:hAnsiTheme="minorHAnsi"/>
        </w:rPr>
      </w:pPr>
      <w:r>
        <w:rPr>
          <w:rFonts w:asciiTheme="minorHAnsi" w:hAnsiTheme="minorHAnsi"/>
        </w:rPr>
        <w:t xml:space="preserve">Basic method – Select this option to enter a </w:t>
      </w:r>
      <w:r w:rsidR="00950A68">
        <w:rPr>
          <w:rFonts w:asciiTheme="minorHAnsi" w:hAnsiTheme="minorHAnsi"/>
        </w:rPr>
        <w:t>C</w:t>
      </w:r>
      <w:r>
        <w:rPr>
          <w:rFonts w:asciiTheme="minorHAnsi" w:hAnsiTheme="minorHAnsi"/>
        </w:rPr>
        <w:t xml:space="preserve">ommodity position risk amount for </w:t>
      </w:r>
      <w:r w:rsidR="00950A68">
        <w:rPr>
          <w:rFonts w:asciiTheme="minorHAnsi" w:hAnsiTheme="minorHAnsi"/>
        </w:rPr>
        <w:t>C</w:t>
      </w:r>
      <w:r>
        <w:rPr>
          <w:rFonts w:asciiTheme="minorHAnsi" w:hAnsiTheme="minorHAnsi"/>
        </w:rPr>
        <w:t xml:space="preserve">ommodity options positions  </w:t>
      </w:r>
      <w:bookmarkEnd w:id="116"/>
    </w:p>
    <w:p w14:paraId="07DDBA5E" w14:textId="534D835F" w:rsidR="00C575EF" w:rsidRPr="001A4322" w:rsidRDefault="00C575EF" w:rsidP="00D3615D">
      <w:pPr>
        <w:spacing w:before="120" w:after="120"/>
        <w:rPr>
          <w:rFonts w:ascii="Calibri" w:hAnsi="Calibri"/>
          <w:color w:val="000000" w:themeColor="text1"/>
        </w:rPr>
      </w:pPr>
      <w:r w:rsidRPr="001A4322">
        <w:rPr>
          <w:rFonts w:ascii="Calibri" w:hAnsi="Calibri"/>
          <w:b/>
          <w:bCs/>
          <w:color w:val="000000" w:themeColor="text1"/>
        </w:rPr>
        <w:t>Underwriting and Sub Underwriting Risk Requirement</w:t>
      </w:r>
      <w:r w:rsidRPr="001A4322">
        <w:rPr>
          <w:rFonts w:ascii="Calibri" w:hAnsi="Calibri"/>
          <w:bCs/>
          <w:color w:val="000000" w:themeColor="text1"/>
        </w:rPr>
        <w:t xml:space="preserve"> </w:t>
      </w:r>
      <w:r w:rsidR="00CF2394">
        <w:rPr>
          <w:rFonts w:asciiTheme="minorHAnsi" w:hAnsiTheme="minorHAnsi"/>
        </w:rPr>
        <w:t>–</w:t>
      </w:r>
      <w:r w:rsidRPr="001A4322">
        <w:rPr>
          <w:rFonts w:ascii="Calibri" w:hAnsi="Calibri"/>
          <w:bCs/>
          <w:color w:val="000000" w:themeColor="text1"/>
        </w:rPr>
        <w:t xml:space="preserve"> </w:t>
      </w:r>
      <w:bookmarkStart w:id="117" w:name="_Hlk536187670"/>
      <w:r w:rsidRPr="001A4322">
        <w:rPr>
          <w:rFonts w:ascii="Calibri" w:hAnsi="Calibri"/>
          <w:color w:val="000000" w:themeColor="text1"/>
        </w:rPr>
        <w:t>Select this option if the entity has made an Underwriting Commitment or Sub Underwriting Commitment</w:t>
      </w:r>
      <w:bookmarkEnd w:id="117"/>
    </w:p>
    <w:p w14:paraId="7A80526B" w14:textId="5FB5A2C9" w:rsidR="00765ABE" w:rsidRPr="00614145" w:rsidRDefault="00C575EF" w:rsidP="00D3615D">
      <w:pPr>
        <w:spacing w:before="120" w:after="120"/>
        <w:rPr>
          <w:rFonts w:ascii="Calibri" w:hAnsi="Calibri"/>
        </w:rPr>
      </w:pPr>
      <w:r w:rsidRPr="001A4322">
        <w:rPr>
          <w:rFonts w:ascii="Calibri" w:hAnsi="Calibri"/>
          <w:b/>
          <w:bCs/>
        </w:rPr>
        <w:t>Non-Standard Risk Requirement</w:t>
      </w:r>
      <w:r w:rsidRPr="001A4322">
        <w:rPr>
          <w:rFonts w:ascii="Calibri" w:hAnsi="Calibri"/>
          <w:bCs/>
        </w:rPr>
        <w:t xml:space="preserve"> </w:t>
      </w:r>
      <w:r w:rsidR="00CF2394">
        <w:rPr>
          <w:rFonts w:asciiTheme="minorHAnsi" w:hAnsiTheme="minorHAnsi"/>
        </w:rPr>
        <w:t>–</w:t>
      </w:r>
      <w:r w:rsidRPr="001A4322">
        <w:rPr>
          <w:rFonts w:ascii="Calibri" w:hAnsi="Calibri"/>
          <w:bCs/>
        </w:rPr>
        <w:t xml:space="preserve"> </w:t>
      </w:r>
      <w:r w:rsidRPr="001A4322">
        <w:rPr>
          <w:rFonts w:ascii="Calibri" w:hAnsi="Calibri"/>
        </w:rPr>
        <w:t>Select this option for unusual or non-standard exposures</w:t>
      </w:r>
    </w:p>
    <w:bookmarkEnd w:id="115"/>
    <w:p w14:paraId="7F87D386" w14:textId="59D161C5" w:rsidR="0064645B" w:rsidRDefault="0064645B" w:rsidP="00D3615D">
      <w:pPr>
        <w:keepNext/>
        <w:spacing w:after="0"/>
        <w:outlineLvl w:val="3"/>
        <w:rPr>
          <w:rFonts w:ascii="Calibri" w:hAnsi="Calibri"/>
          <w:b/>
          <w:bCs/>
          <w:color w:val="0070C0"/>
          <w:sz w:val="32"/>
          <w:szCs w:val="32"/>
        </w:rPr>
      </w:pPr>
      <w:r>
        <w:rPr>
          <w:rFonts w:ascii="Calibri" w:hAnsi="Calibri"/>
          <w:b/>
          <w:bCs/>
          <w:color w:val="0070C0"/>
          <w:sz w:val="32"/>
          <w:szCs w:val="32"/>
        </w:rPr>
        <w:lastRenderedPageBreak/>
        <w:t>Counterparty Risk Requirement</w:t>
      </w:r>
      <w:r w:rsidRPr="00930407" w:rsidDel="00DD2F4B">
        <w:rPr>
          <w:rFonts w:ascii="Calibri" w:hAnsi="Calibri"/>
          <w:b/>
          <w:bCs/>
          <w:color w:val="0070C0"/>
          <w:sz w:val="32"/>
          <w:szCs w:val="32"/>
        </w:rPr>
        <w:t xml:space="preserve"> </w:t>
      </w:r>
    </w:p>
    <w:p w14:paraId="7BDD530A" w14:textId="71B1B084" w:rsidR="0064645B" w:rsidRPr="00930407" w:rsidRDefault="00F65995" w:rsidP="00D3615D">
      <w:pPr>
        <w:keepNext/>
        <w:spacing w:before="120" w:after="120"/>
        <w:outlineLvl w:val="3"/>
        <w:rPr>
          <w:rFonts w:ascii="Calibri" w:hAnsi="Calibri" w:cs="Helvetica"/>
          <w:b/>
          <w:sz w:val="24"/>
          <w:szCs w:val="24"/>
          <w:lang w:val="en"/>
        </w:rPr>
      </w:pPr>
      <w:r w:rsidRPr="00930407">
        <w:rPr>
          <w:rFonts w:ascii="Calibri" w:hAnsi="Calibri" w:cs="Helvetica"/>
          <w:b/>
          <w:sz w:val="24"/>
          <w:szCs w:val="24"/>
          <w:lang w:val="en"/>
        </w:rPr>
        <w:t>Non-margined Financial Instruments method</w:t>
      </w:r>
    </w:p>
    <w:tbl>
      <w:tblPr>
        <w:tblW w:w="14596" w:type="dxa"/>
        <w:tblLayout w:type="fixed"/>
        <w:tblLook w:val="04A0" w:firstRow="1" w:lastRow="0" w:firstColumn="1" w:lastColumn="0" w:noHBand="0" w:noVBand="1"/>
      </w:tblPr>
      <w:tblGrid>
        <w:gridCol w:w="8075"/>
        <w:gridCol w:w="1086"/>
        <w:gridCol w:w="1087"/>
        <w:gridCol w:w="1087"/>
        <w:gridCol w:w="1087"/>
        <w:gridCol w:w="1087"/>
        <w:gridCol w:w="1087"/>
      </w:tblGrid>
      <w:tr w:rsidR="0064645B" w:rsidRPr="00E95745" w14:paraId="7ADA4325" w14:textId="77777777" w:rsidTr="00D3615D">
        <w:trPr>
          <w:trHeight w:val="347"/>
          <w:tblHeader/>
        </w:trPr>
        <w:tc>
          <w:tcPr>
            <w:tcW w:w="8075" w:type="dxa"/>
            <w:tcBorders>
              <w:top w:val="single" w:sz="4" w:space="0" w:color="auto"/>
              <w:left w:val="single" w:sz="4" w:space="0" w:color="auto"/>
              <w:bottom w:val="single" w:sz="4" w:space="0" w:color="auto"/>
              <w:right w:val="single" w:sz="4" w:space="0" w:color="auto"/>
            </w:tcBorders>
            <w:shd w:val="clear" w:color="auto" w:fill="0070C0"/>
            <w:hideMark/>
          </w:tcPr>
          <w:p w14:paraId="4F67C826" w14:textId="48073611" w:rsidR="0064645B" w:rsidRPr="00E95745" w:rsidRDefault="00E73805" w:rsidP="00D3615D">
            <w:pPr>
              <w:spacing w:before="120" w:after="120"/>
              <w:rPr>
                <w:rFonts w:ascii="Calibri" w:hAnsi="Calibri"/>
                <w:b/>
                <w:bCs/>
                <w:color w:val="FFFFFF"/>
              </w:rPr>
            </w:pPr>
            <w:r>
              <w:rPr>
                <w:rFonts w:ascii="Calibri" w:hAnsi="Calibri"/>
                <w:b/>
                <w:bCs/>
                <w:color w:val="FFFFFF"/>
              </w:rPr>
              <w:t>R</w:t>
            </w:r>
            <w:r w:rsidR="0064645B" w:rsidRPr="00E95745">
              <w:rPr>
                <w:rFonts w:ascii="Calibri" w:hAnsi="Calibri"/>
                <w:b/>
                <w:bCs/>
                <w:color w:val="FFFFFF"/>
              </w:rPr>
              <w:t xml:space="preserve">isk </w:t>
            </w:r>
            <w:r w:rsidR="0064645B">
              <w:rPr>
                <w:rFonts w:ascii="Calibri" w:hAnsi="Calibri"/>
                <w:b/>
                <w:bCs/>
                <w:color w:val="FFFFFF"/>
              </w:rPr>
              <w:t>a</w:t>
            </w:r>
            <w:r w:rsidR="0064645B" w:rsidRPr="00E95745">
              <w:rPr>
                <w:rFonts w:ascii="Calibri" w:hAnsi="Calibri"/>
                <w:b/>
                <w:bCs/>
                <w:color w:val="FFFFFF"/>
              </w:rPr>
              <w:t xml:space="preserve">mounts by </w:t>
            </w:r>
            <w:r w:rsidR="0064645B">
              <w:rPr>
                <w:rFonts w:ascii="Calibri" w:hAnsi="Calibri"/>
                <w:b/>
                <w:bCs/>
                <w:color w:val="FFFFFF"/>
              </w:rPr>
              <w:t>c</w:t>
            </w:r>
            <w:r w:rsidR="0064645B" w:rsidRPr="00E95745">
              <w:rPr>
                <w:rFonts w:ascii="Calibri" w:hAnsi="Calibri"/>
                <w:b/>
                <w:bCs/>
                <w:color w:val="FFFFFF"/>
              </w:rPr>
              <w:t xml:space="preserve">ounterparty </w:t>
            </w:r>
            <w:r w:rsidR="0064645B">
              <w:rPr>
                <w:rFonts w:ascii="Calibri" w:hAnsi="Calibri"/>
                <w:b/>
                <w:bCs/>
                <w:color w:val="FFFFFF"/>
              </w:rPr>
              <w:t>r</w:t>
            </w:r>
            <w:r w:rsidR="0064645B" w:rsidRPr="00E95745">
              <w:rPr>
                <w:rFonts w:ascii="Calibri" w:hAnsi="Calibri"/>
                <w:b/>
                <w:bCs/>
                <w:color w:val="FFFFFF"/>
              </w:rPr>
              <w:t xml:space="preserve">isk </w:t>
            </w:r>
            <w:r w:rsidR="0064645B">
              <w:rPr>
                <w:rFonts w:ascii="Calibri" w:hAnsi="Calibri"/>
                <w:b/>
                <w:bCs/>
                <w:color w:val="FFFFFF"/>
              </w:rPr>
              <w:t>w</w:t>
            </w:r>
            <w:r w:rsidR="0064645B" w:rsidRPr="00E95745">
              <w:rPr>
                <w:rFonts w:ascii="Calibri" w:hAnsi="Calibri"/>
                <w:b/>
                <w:bCs/>
                <w:color w:val="FFFFFF"/>
              </w:rPr>
              <w:t xml:space="preserve">eighting (CRW) </w:t>
            </w:r>
            <w:r w:rsidR="0064645B">
              <w:rPr>
                <w:rFonts w:ascii="Calibri" w:hAnsi="Calibri"/>
                <w:b/>
                <w:bCs/>
                <w:color w:val="FFFFFF"/>
              </w:rPr>
              <w:t>c</w:t>
            </w:r>
            <w:r w:rsidR="0064645B" w:rsidRPr="00E95745">
              <w:rPr>
                <w:rFonts w:ascii="Calibri" w:hAnsi="Calibri"/>
                <w:b/>
                <w:bCs/>
                <w:color w:val="FFFFFF"/>
              </w:rPr>
              <w:t>ategory</w:t>
            </w:r>
          </w:p>
        </w:tc>
        <w:tc>
          <w:tcPr>
            <w:tcW w:w="1086" w:type="dxa"/>
            <w:tcBorders>
              <w:top w:val="single" w:sz="4" w:space="0" w:color="auto"/>
              <w:left w:val="single" w:sz="4" w:space="0" w:color="auto"/>
              <w:bottom w:val="single" w:sz="4" w:space="0" w:color="auto"/>
              <w:right w:val="single" w:sz="4" w:space="0" w:color="auto"/>
            </w:tcBorders>
            <w:shd w:val="clear" w:color="auto" w:fill="0070C0"/>
            <w:noWrap/>
            <w:hideMark/>
          </w:tcPr>
          <w:p w14:paraId="5B764327" w14:textId="77777777" w:rsidR="0064645B" w:rsidRPr="00E95745" w:rsidRDefault="0064645B" w:rsidP="00D3615D">
            <w:pPr>
              <w:spacing w:before="120" w:after="120"/>
              <w:rPr>
                <w:rFonts w:ascii="Calibri" w:hAnsi="Calibri"/>
                <w:b/>
                <w:bCs/>
                <w:color w:val="FFFFFF"/>
              </w:rPr>
            </w:pPr>
            <w:r w:rsidRPr="00E95745">
              <w:rPr>
                <w:rFonts w:ascii="Calibri" w:hAnsi="Calibri"/>
                <w:b/>
                <w:bCs/>
                <w:color w:val="FFFFFF"/>
              </w:rPr>
              <w:t>0%</w:t>
            </w:r>
          </w:p>
        </w:tc>
        <w:tc>
          <w:tcPr>
            <w:tcW w:w="1087" w:type="dxa"/>
            <w:tcBorders>
              <w:top w:val="single" w:sz="4" w:space="0" w:color="auto"/>
              <w:left w:val="single" w:sz="4" w:space="0" w:color="auto"/>
              <w:bottom w:val="single" w:sz="4" w:space="0" w:color="auto"/>
              <w:right w:val="single" w:sz="4" w:space="0" w:color="auto"/>
            </w:tcBorders>
            <w:shd w:val="clear" w:color="auto" w:fill="0070C0"/>
            <w:noWrap/>
            <w:hideMark/>
          </w:tcPr>
          <w:p w14:paraId="62FB17D7" w14:textId="77777777" w:rsidR="0064645B" w:rsidRPr="00E95745" w:rsidRDefault="0064645B" w:rsidP="00D3615D">
            <w:pPr>
              <w:spacing w:before="120" w:after="120"/>
              <w:rPr>
                <w:rFonts w:ascii="Calibri" w:hAnsi="Calibri"/>
                <w:b/>
                <w:bCs/>
                <w:color w:val="FFFFFF"/>
              </w:rPr>
            </w:pPr>
            <w:r w:rsidRPr="00E95745">
              <w:rPr>
                <w:rFonts w:ascii="Calibri" w:hAnsi="Calibri"/>
                <w:b/>
                <w:bCs/>
                <w:color w:val="FFFFFF"/>
              </w:rPr>
              <w:t>10%</w:t>
            </w:r>
          </w:p>
        </w:tc>
        <w:tc>
          <w:tcPr>
            <w:tcW w:w="1087" w:type="dxa"/>
            <w:tcBorders>
              <w:top w:val="single" w:sz="4" w:space="0" w:color="auto"/>
              <w:left w:val="single" w:sz="4" w:space="0" w:color="auto"/>
              <w:bottom w:val="single" w:sz="4" w:space="0" w:color="auto"/>
              <w:right w:val="single" w:sz="4" w:space="0" w:color="auto"/>
            </w:tcBorders>
            <w:shd w:val="clear" w:color="auto" w:fill="0070C0"/>
            <w:noWrap/>
            <w:hideMark/>
          </w:tcPr>
          <w:p w14:paraId="55CE89CA" w14:textId="77777777" w:rsidR="0064645B" w:rsidRPr="00E95745" w:rsidRDefault="0064645B" w:rsidP="00D3615D">
            <w:pPr>
              <w:spacing w:before="120" w:after="120"/>
              <w:rPr>
                <w:rFonts w:ascii="Calibri" w:hAnsi="Calibri"/>
                <w:b/>
                <w:bCs/>
                <w:color w:val="FFFFFF"/>
              </w:rPr>
            </w:pPr>
            <w:r w:rsidRPr="00E95745">
              <w:rPr>
                <w:rFonts w:ascii="Calibri" w:hAnsi="Calibri"/>
                <w:b/>
                <w:bCs/>
                <w:color w:val="FFFFFF"/>
              </w:rPr>
              <w:t>20%</w:t>
            </w:r>
          </w:p>
        </w:tc>
        <w:tc>
          <w:tcPr>
            <w:tcW w:w="1087" w:type="dxa"/>
            <w:tcBorders>
              <w:top w:val="single" w:sz="4" w:space="0" w:color="auto"/>
              <w:left w:val="single" w:sz="4" w:space="0" w:color="auto"/>
              <w:bottom w:val="single" w:sz="4" w:space="0" w:color="auto"/>
              <w:right w:val="single" w:sz="4" w:space="0" w:color="auto"/>
            </w:tcBorders>
            <w:shd w:val="clear" w:color="auto" w:fill="0070C0"/>
            <w:noWrap/>
            <w:hideMark/>
          </w:tcPr>
          <w:p w14:paraId="6F88FFCB" w14:textId="77777777" w:rsidR="0064645B" w:rsidRPr="00E95745" w:rsidRDefault="0064645B" w:rsidP="00D3615D">
            <w:pPr>
              <w:spacing w:before="120" w:after="120"/>
              <w:rPr>
                <w:rFonts w:ascii="Calibri" w:hAnsi="Calibri"/>
                <w:b/>
                <w:bCs/>
                <w:color w:val="FFFFFF"/>
              </w:rPr>
            </w:pPr>
            <w:r w:rsidRPr="00E95745">
              <w:rPr>
                <w:rFonts w:ascii="Calibri" w:hAnsi="Calibri"/>
                <w:b/>
                <w:bCs/>
                <w:color w:val="FFFFFF"/>
              </w:rPr>
              <w:t>50%</w:t>
            </w:r>
          </w:p>
        </w:tc>
        <w:tc>
          <w:tcPr>
            <w:tcW w:w="1087" w:type="dxa"/>
            <w:tcBorders>
              <w:top w:val="single" w:sz="4" w:space="0" w:color="auto"/>
              <w:left w:val="single" w:sz="4" w:space="0" w:color="auto"/>
              <w:bottom w:val="single" w:sz="4" w:space="0" w:color="auto"/>
              <w:right w:val="single" w:sz="4" w:space="0" w:color="auto"/>
            </w:tcBorders>
            <w:shd w:val="clear" w:color="auto" w:fill="0070C0"/>
            <w:noWrap/>
            <w:hideMark/>
          </w:tcPr>
          <w:p w14:paraId="75CA00C9" w14:textId="77777777" w:rsidR="0064645B" w:rsidRPr="00E95745" w:rsidRDefault="0064645B" w:rsidP="00D3615D">
            <w:pPr>
              <w:spacing w:before="120" w:after="120"/>
              <w:rPr>
                <w:rFonts w:ascii="Calibri" w:hAnsi="Calibri"/>
                <w:b/>
                <w:bCs/>
                <w:color w:val="FFFFFF"/>
              </w:rPr>
            </w:pPr>
            <w:r w:rsidRPr="00E95745">
              <w:rPr>
                <w:rFonts w:ascii="Calibri" w:hAnsi="Calibri"/>
                <w:b/>
                <w:bCs/>
                <w:color w:val="FFFFFF"/>
              </w:rPr>
              <w:t>100%</w:t>
            </w:r>
          </w:p>
        </w:tc>
        <w:tc>
          <w:tcPr>
            <w:tcW w:w="1087" w:type="dxa"/>
            <w:tcBorders>
              <w:top w:val="single" w:sz="4" w:space="0" w:color="auto"/>
              <w:left w:val="single" w:sz="4" w:space="0" w:color="auto"/>
              <w:bottom w:val="single" w:sz="4" w:space="0" w:color="auto"/>
              <w:right w:val="single" w:sz="4" w:space="0" w:color="auto"/>
            </w:tcBorders>
            <w:shd w:val="clear" w:color="auto" w:fill="0070C0"/>
            <w:noWrap/>
            <w:hideMark/>
          </w:tcPr>
          <w:p w14:paraId="618D0A8A" w14:textId="77777777" w:rsidR="0064645B" w:rsidRPr="00E95745" w:rsidRDefault="0064645B" w:rsidP="00D3615D">
            <w:pPr>
              <w:spacing w:before="120" w:after="120"/>
              <w:rPr>
                <w:rFonts w:ascii="Calibri" w:hAnsi="Calibri"/>
                <w:b/>
                <w:bCs/>
                <w:color w:val="FFFFFF"/>
              </w:rPr>
            </w:pPr>
            <w:r w:rsidRPr="00E95745">
              <w:rPr>
                <w:rFonts w:ascii="Calibri" w:hAnsi="Calibri"/>
                <w:b/>
                <w:bCs/>
                <w:color w:val="FFFFFF"/>
              </w:rPr>
              <w:t>Total</w:t>
            </w:r>
          </w:p>
        </w:tc>
      </w:tr>
      <w:tr w:rsidR="0064645B" w:rsidRPr="00E95745" w14:paraId="73515E66" w14:textId="77777777" w:rsidTr="00D3615D">
        <w:trPr>
          <w:trHeight w:val="305"/>
          <w:tblHeader/>
        </w:trPr>
        <w:tc>
          <w:tcPr>
            <w:tcW w:w="80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4EDBAD" w14:textId="77777777" w:rsidR="0064645B" w:rsidRPr="00E95745" w:rsidRDefault="0064645B" w:rsidP="00D3615D">
            <w:pPr>
              <w:spacing w:before="120" w:after="0"/>
              <w:rPr>
                <w:rFonts w:ascii="Calibri" w:hAnsi="Calibri"/>
                <w:color w:val="000000"/>
              </w:rPr>
            </w:pPr>
            <w:r w:rsidRPr="00E95745">
              <w:rPr>
                <w:rFonts w:ascii="Calibri" w:hAnsi="Calibri"/>
                <w:color w:val="000000"/>
              </w:rPr>
              <w:t>Trades unsettled 10 Business Days or less (3% of Client Balance)</w:t>
            </w: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E51CA" w14:textId="125B3B47" w:rsidR="0064645B" w:rsidRPr="00E95745" w:rsidRDefault="0064645B" w:rsidP="00D3615D">
            <w:pPr>
              <w:spacing w:before="120" w:after="0"/>
              <w:rPr>
                <w:rFonts w:ascii="Calibri" w:hAnsi="Calibri"/>
                <w:color w:val="3F3F76"/>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49956" w14:textId="65C3AE1E" w:rsidR="0064645B" w:rsidRPr="00E95745" w:rsidRDefault="0064645B" w:rsidP="00D3615D">
            <w:pPr>
              <w:spacing w:before="120" w:after="0"/>
              <w:rPr>
                <w:rFonts w:ascii="Calibri" w:hAnsi="Calibri"/>
                <w:color w:val="3F3F76"/>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B41BF" w14:textId="558A0270" w:rsidR="0064645B" w:rsidRPr="00E95745" w:rsidRDefault="0064645B" w:rsidP="00D3615D">
            <w:pPr>
              <w:spacing w:before="120" w:after="0"/>
              <w:rPr>
                <w:rFonts w:ascii="Calibri" w:hAnsi="Calibri"/>
                <w:color w:val="3F3F76"/>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61D7F" w14:textId="6770A38B" w:rsidR="0064645B" w:rsidRPr="00E95745" w:rsidRDefault="0064645B" w:rsidP="00D3615D">
            <w:pPr>
              <w:spacing w:before="120" w:after="0"/>
              <w:rPr>
                <w:rFonts w:ascii="Calibri" w:hAnsi="Calibri"/>
                <w:color w:val="3F3F76"/>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65433" w14:textId="6AB94DB4" w:rsidR="0064645B" w:rsidRPr="00E95745" w:rsidRDefault="0064645B" w:rsidP="00D3615D">
            <w:pPr>
              <w:spacing w:before="120" w:after="0"/>
              <w:rPr>
                <w:rFonts w:ascii="Calibri" w:hAnsi="Calibri"/>
                <w:color w:val="3F3F76"/>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8F1CF" w14:textId="12D36DFB" w:rsidR="0064645B" w:rsidRPr="004C1E44" w:rsidRDefault="0064645B" w:rsidP="00D3615D">
            <w:pPr>
              <w:spacing w:before="120" w:after="0"/>
              <w:rPr>
                <w:rFonts w:ascii="Calibri" w:hAnsi="Calibri"/>
                <w:b/>
                <w:bCs/>
              </w:rPr>
            </w:pPr>
            <w:r w:rsidRPr="00C479FA">
              <w:rPr>
                <w:rFonts w:ascii="Calibri" w:hAnsi="Calibri"/>
              </w:rPr>
              <w:t> </w:t>
            </w:r>
          </w:p>
        </w:tc>
      </w:tr>
      <w:tr w:rsidR="0064645B" w:rsidRPr="00E95745" w14:paraId="1AD9A762" w14:textId="77777777" w:rsidTr="00D3615D">
        <w:trPr>
          <w:trHeight w:val="551"/>
          <w:tblHeader/>
        </w:trPr>
        <w:tc>
          <w:tcPr>
            <w:tcW w:w="80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9F64D8" w14:textId="77777777" w:rsidR="0064645B" w:rsidRPr="00E95745" w:rsidRDefault="0064645B" w:rsidP="00D3615D">
            <w:pPr>
              <w:spacing w:before="120" w:after="0"/>
              <w:rPr>
                <w:rFonts w:ascii="Calibri" w:hAnsi="Calibri"/>
                <w:color w:val="000000"/>
              </w:rPr>
            </w:pPr>
            <w:r w:rsidRPr="00E95745">
              <w:rPr>
                <w:rFonts w:ascii="Calibri" w:hAnsi="Calibri"/>
                <w:color w:val="000000"/>
              </w:rPr>
              <w:t>Trades unsettled 10 Business Days or more (3% of contract value, or excess of contract value over market value or market value over contract value (whichever is greater))</w:t>
            </w: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C7A9F" w14:textId="71CD72C2" w:rsidR="0064645B" w:rsidRPr="00E95745" w:rsidRDefault="0064645B" w:rsidP="00D3615D">
            <w:pPr>
              <w:spacing w:before="120" w:after="0"/>
              <w:rPr>
                <w:rFonts w:ascii="Calibri" w:hAnsi="Calibri"/>
                <w:color w:val="3F3F76"/>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922E4" w14:textId="7980877A" w:rsidR="0064645B" w:rsidRPr="00E95745" w:rsidRDefault="0064645B" w:rsidP="00D3615D">
            <w:pPr>
              <w:spacing w:before="120" w:after="0"/>
              <w:rPr>
                <w:rFonts w:ascii="Calibri" w:hAnsi="Calibri"/>
                <w:color w:val="3F3F76"/>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C6BB4" w14:textId="7524DB46" w:rsidR="0064645B" w:rsidRPr="00E95745" w:rsidRDefault="0064645B" w:rsidP="00D3615D">
            <w:pPr>
              <w:spacing w:before="120" w:after="0"/>
              <w:rPr>
                <w:rFonts w:ascii="Calibri" w:hAnsi="Calibri"/>
                <w:color w:val="3F3F76"/>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CC14A" w14:textId="67F49D0C" w:rsidR="0064645B" w:rsidRPr="00E95745" w:rsidRDefault="0064645B" w:rsidP="00D3615D">
            <w:pPr>
              <w:spacing w:before="120" w:after="0"/>
              <w:rPr>
                <w:rFonts w:ascii="Calibri" w:hAnsi="Calibri"/>
                <w:color w:val="3F3F76"/>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0191D" w14:textId="7988AA5E" w:rsidR="0064645B" w:rsidRPr="00E95745" w:rsidRDefault="0064645B" w:rsidP="00D3615D">
            <w:pPr>
              <w:spacing w:before="120" w:after="0"/>
              <w:rPr>
                <w:rFonts w:ascii="Calibri" w:hAnsi="Calibri"/>
                <w:color w:val="3F3F76"/>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0304C" w14:textId="03997B45" w:rsidR="0064645B" w:rsidRPr="004C1E44" w:rsidRDefault="0064645B" w:rsidP="00D3615D">
            <w:pPr>
              <w:spacing w:before="120" w:after="0"/>
              <w:rPr>
                <w:rFonts w:ascii="Calibri" w:hAnsi="Calibri"/>
                <w:b/>
                <w:bCs/>
              </w:rPr>
            </w:pPr>
          </w:p>
        </w:tc>
      </w:tr>
      <w:tr w:rsidR="0064645B" w:rsidRPr="00E95745" w14:paraId="7FE02C32" w14:textId="77777777" w:rsidTr="00D3615D">
        <w:trPr>
          <w:trHeight w:val="559"/>
          <w:tblHeader/>
        </w:trPr>
        <w:tc>
          <w:tcPr>
            <w:tcW w:w="80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10ED" w14:textId="77777777" w:rsidR="0064645B" w:rsidRPr="00E95745" w:rsidRDefault="0064645B" w:rsidP="00D3615D">
            <w:pPr>
              <w:spacing w:before="120" w:after="0"/>
              <w:rPr>
                <w:rFonts w:ascii="Calibri" w:hAnsi="Calibri"/>
                <w:color w:val="000000"/>
              </w:rPr>
            </w:pPr>
            <w:r w:rsidRPr="00E95745">
              <w:rPr>
                <w:rFonts w:ascii="Calibri" w:hAnsi="Calibri"/>
                <w:color w:val="000000"/>
              </w:rPr>
              <w:t>Trades unsettled 10 Business Days or more (100% of contract value or 100% of market value)</w:t>
            </w: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12205" w14:textId="731D283F" w:rsidR="0064645B" w:rsidRPr="00E95745" w:rsidRDefault="0064645B" w:rsidP="00D3615D">
            <w:pPr>
              <w:spacing w:before="120" w:after="0"/>
              <w:rPr>
                <w:rFonts w:ascii="Calibri" w:hAnsi="Calibri"/>
                <w:color w:val="3F3F76"/>
              </w:rPr>
            </w:pPr>
            <w:r w:rsidRPr="00E95745">
              <w:rPr>
                <w:rFonts w:ascii="Calibri" w:hAnsi="Calibri"/>
              </w:rPr>
              <w:t>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3166C" w14:textId="1B598929" w:rsidR="0064645B" w:rsidRPr="00E95745" w:rsidRDefault="0064645B" w:rsidP="00D3615D">
            <w:pPr>
              <w:spacing w:before="120" w:after="0"/>
              <w:rPr>
                <w:rFonts w:ascii="Calibri" w:hAnsi="Calibri"/>
                <w:color w:val="3F3F76"/>
              </w:rPr>
            </w:pPr>
            <w:r w:rsidRPr="00E95745">
              <w:rPr>
                <w:rFonts w:ascii="Calibri" w:hAnsi="Calibri"/>
              </w:rPr>
              <w:t>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009B2" w14:textId="12893980" w:rsidR="0064645B" w:rsidRPr="00E95745" w:rsidRDefault="0064645B" w:rsidP="00D3615D">
            <w:pPr>
              <w:spacing w:before="120" w:after="0"/>
              <w:rPr>
                <w:rFonts w:ascii="Calibri" w:hAnsi="Calibri"/>
                <w:color w:val="3F3F76"/>
              </w:rPr>
            </w:pPr>
            <w:r w:rsidRPr="00E95745">
              <w:rPr>
                <w:rFonts w:ascii="Calibri" w:hAnsi="Calibri"/>
              </w:rPr>
              <w:t>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0D10C" w14:textId="7FF2F2D9" w:rsidR="0064645B" w:rsidRPr="00E95745" w:rsidRDefault="0064645B" w:rsidP="00D3615D">
            <w:pPr>
              <w:spacing w:before="120" w:after="0"/>
              <w:rPr>
                <w:rFonts w:ascii="Calibri" w:hAnsi="Calibri"/>
                <w:color w:val="3F3F76"/>
              </w:rPr>
            </w:pPr>
            <w:r w:rsidRPr="00E95745">
              <w:rPr>
                <w:rFonts w:ascii="Calibri" w:hAnsi="Calibri"/>
              </w:rPr>
              <w:t>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09BF6" w14:textId="0DC30452" w:rsidR="0064645B" w:rsidRPr="00E95745" w:rsidRDefault="0064645B" w:rsidP="00D3615D">
            <w:pPr>
              <w:spacing w:before="120" w:after="0"/>
              <w:rPr>
                <w:rFonts w:ascii="Calibri" w:hAnsi="Calibri"/>
                <w:color w:val="3F3F76"/>
              </w:rPr>
            </w:pPr>
            <w:r w:rsidRPr="00E95745">
              <w:rPr>
                <w:rFonts w:ascii="Calibri" w:hAnsi="Calibri"/>
              </w:rPr>
              <w:t>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C2E12" w14:textId="4D448E22" w:rsidR="0064645B" w:rsidRPr="004C1E44" w:rsidRDefault="0064645B" w:rsidP="00D3615D">
            <w:pPr>
              <w:spacing w:before="120" w:after="0"/>
              <w:rPr>
                <w:rFonts w:ascii="Calibri" w:hAnsi="Calibri"/>
                <w:b/>
                <w:bCs/>
              </w:rPr>
            </w:pPr>
            <w:r w:rsidRPr="00C479FA">
              <w:rPr>
                <w:rFonts w:ascii="Calibri" w:hAnsi="Calibri"/>
              </w:rPr>
              <w:t> </w:t>
            </w:r>
          </w:p>
        </w:tc>
      </w:tr>
      <w:tr w:rsidR="0064645B" w:rsidRPr="00E95745" w14:paraId="32DB85A5" w14:textId="77777777" w:rsidTr="00D3615D">
        <w:trPr>
          <w:trHeight w:val="386"/>
          <w:tblHeader/>
        </w:trPr>
        <w:tc>
          <w:tcPr>
            <w:tcW w:w="80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0C7B31" w14:textId="77777777" w:rsidR="0064645B" w:rsidRPr="00E95745" w:rsidRDefault="0064645B" w:rsidP="00D3615D">
            <w:pPr>
              <w:spacing w:before="120" w:after="0"/>
              <w:rPr>
                <w:rFonts w:ascii="Calibri" w:hAnsi="Calibri"/>
                <w:color w:val="000000"/>
              </w:rPr>
            </w:pPr>
            <w:r w:rsidRPr="00E95745">
              <w:rPr>
                <w:rFonts w:ascii="Calibri" w:hAnsi="Calibri"/>
                <w:color w:val="000000"/>
              </w:rPr>
              <w:t>Sub</w:t>
            </w:r>
            <w:r>
              <w:rPr>
                <w:rFonts w:ascii="Calibri" w:hAnsi="Calibri"/>
                <w:color w:val="000000"/>
              </w:rPr>
              <w:t>t</w:t>
            </w:r>
            <w:r w:rsidRPr="00E95745">
              <w:rPr>
                <w:rFonts w:ascii="Calibri" w:hAnsi="Calibri"/>
                <w:color w:val="000000"/>
              </w:rPr>
              <w:t xml:space="preserve">otal – </w:t>
            </w:r>
            <w:r>
              <w:rPr>
                <w:rFonts w:ascii="Calibri" w:hAnsi="Calibri"/>
                <w:color w:val="000000"/>
              </w:rPr>
              <w:t>u</w:t>
            </w:r>
            <w:r w:rsidRPr="00E95745">
              <w:rPr>
                <w:rFonts w:ascii="Calibri" w:hAnsi="Calibri"/>
                <w:color w:val="000000"/>
              </w:rPr>
              <w:t xml:space="preserve">nweighted </w:t>
            </w:r>
            <w:r>
              <w:rPr>
                <w:rFonts w:ascii="Calibri" w:hAnsi="Calibri"/>
                <w:color w:val="000000"/>
              </w:rPr>
              <w:t>a</w:t>
            </w:r>
            <w:r w:rsidRPr="00E95745">
              <w:rPr>
                <w:rFonts w:ascii="Calibri" w:hAnsi="Calibri"/>
                <w:color w:val="000000"/>
              </w:rPr>
              <w:t>mounts</w:t>
            </w: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ED88C" w14:textId="0C7327EA" w:rsidR="0064645B" w:rsidRPr="004C1E44" w:rsidRDefault="0064645B" w:rsidP="00D3615D">
            <w:pPr>
              <w:spacing w:before="120" w:after="0"/>
              <w:rPr>
                <w:rFonts w:ascii="Calibri" w:hAnsi="Calibri"/>
                <w:b/>
                <w:bCs/>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65337" w14:textId="270EC093" w:rsidR="0064645B" w:rsidRPr="004C1E44" w:rsidRDefault="0064645B" w:rsidP="00D3615D">
            <w:pPr>
              <w:spacing w:before="120" w:after="0"/>
              <w:rPr>
                <w:rFonts w:ascii="Calibri" w:hAnsi="Calibri"/>
                <w:b/>
                <w:bCs/>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35574" w14:textId="5CD83BA9" w:rsidR="0064645B" w:rsidRPr="004C1E44" w:rsidRDefault="0064645B" w:rsidP="00D3615D">
            <w:pPr>
              <w:spacing w:before="120" w:after="0"/>
              <w:rPr>
                <w:rFonts w:ascii="Calibri" w:hAnsi="Calibri"/>
                <w:b/>
                <w:bCs/>
              </w:rPr>
            </w:pPr>
            <w:r w:rsidRPr="00C479FA">
              <w:rPr>
                <w:rFonts w:ascii="Calibri" w:hAnsi="Calibri"/>
              </w:rPr>
              <w:t>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1E8FC" w14:textId="033C3DC5" w:rsidR="0064645B" w:rsidRPr="004C1E44" w:rsidRDefault="0064645B" w:rsidP="00D3615D">
            <w:pPr>
              <w:spacing w:before="120" w:after="0"/>
              <w:rPr>
                <w:rFonts w:ascii="Calibri" w:hAnsi="Calibri"/>
                <w:b/>
                <w:bCs/>
              </w:rPr>
            </w:pPr>
            <w:r w:rsidRPr="00C479FA">
              <w:rPr>
                <w:rFonts w:ascii="Calibri" w:hAnsi="Calibri"/>
              </w:rPr>
              <w:t>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3B49B" w14:textId="6A7D4FD8" w:rsidR="0064645B" w:rsidRPr="004C1E44" w:rsidRDefault="0064645B" w:rsidP="00D3615D">
            <w:pPr>
              <w:spacing w:before="120" w:after="0"/>
              <w:rPr>
                <w:rFonts w:ascii="Calibri" w:hAnsi="Calibri"/>
                <w:b/>
                <w:bCs/>
              </w:rPr>
            </w:pPr>
            <w:r w:rsidRPr="00C479FA">
              <w:rPr>
                <w:rFonts w:ascii="Calibri" w:hAnsi="Calibri"/>
              </w:rPr>
              <w:t>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48CD3" w14:textId="36DC6C25" w:rsidR="0064645B" w:rsidRPr="004C1E44" w:rsidRDefault="0064645B" w:rsidP="00D3615D">
            <w:pPr>
              <w:spacing w:before="120" w:after="0"/>
              <w:rPr>
                <w:rFonts w:ascii="Calibri" w:hAnsi="Calibri"/>
                <w:b/>
                <w:bCs/>
              </w:rPr>
            </w:pPr>
            <w:r w:rsidRPr="00C479FA">
              <w:rPr>
                <w:rFonts w:ascii="Calibri" w:hAnsi="Calibri"/>
              </w:rPr>
              <w:t> </w:t>
            </w:r>
          </w:p>
        </w:tc>
      </w:tr>
      <w:tr w:rsidR="0064645B" w:rsidRPr="00E95745" w14:paraId="57A51822" w14:textId="77777777" w:rsidTr="00D3615D">
        <w:trPr>
          <w:trHeight w:val="386"/>
          <w:tblHeader/>
        </w:trPr>
        <w:tc>
          <w:tcPr>
            <w:tcW w:w="80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A2E2AF" w14:textId="77777777" w:rsidR="0064645B" w:rsidRPr="00E95745" w:rsidRDefault="0064645B" w:rsidP="00D3615D">
            <w:pPr>
              <w:spacing w:before="120" w:after="0"/>
              <w:rPr>
                <w:rFonts w:ascii="Calibri" w:hAnsi="Calibri"/>
                <w:b/>
                <w:bCs/>
                <w:color w:val="000000"/>
              </w:rPr>
            </w:pPr>
            <w:r w:rsidRPr="00E95745">
              <w:rPr>
                <w:rFonts w:ascii="Calibri" w:hAnsi="Calibri"/>
                <w:b/>
                <w:bCs/>
                <w:color w:val="000000"/>
              </w:rPr>
              <w:t xml:space="preserve">Total </w:t>
            </w:r>
            <w:r>
              <w:rPr>
                <w:rFonts w:ascii="Calibri" w:hAnsi="Calibri"/>
                <w:b/>
                <w:bCs/>
                <w:color w:val="000000"/>
              </w:rPr>
              <w:t>r</w:t>
            </w:r>
            <w:r w:rsidRPr="00E95745">
              <w:rPr>
                <w:rFonts w:ascii="Calibri" w:hAnsi="Calibri"/>
                <w:b/>
                <w:bCs/>
                <w:color w:val="000000"/>
              </w:rPr>
              <w:t xml:space="preserve">isk </w:t>
            </w:r>
            <w:r>
              <w:rPr>
                <w:rFonts w:ascii="Calibri" w:hAnsi="Calibri"/>
                <w:b/>
                <w:bCs/>
                <w:color w:val="000000"/>
              </w:rPr>
              <w:t>a</w:t>
            </w:r>
            <w:r w:rsidRPr="00E95745">
              <w:rPr>
                <w:rFonts w:ascii="Calibri" w:hAnsi="Calibri"/>
                <w:b/>
                <w:bCs/>
                <w:color w:val="000000"/>
              </w:rPr>
              <w:t xml:space="preserve">mounts – </w:t>
            </w:r>
            <w:r>
              <w:rPr>
                <w:rFonts w:ascii="Calibri" w:hAnsi="Calibri"/>
                <w:b/>
                <w:bCs/>
                <w:color w:val="000000"/>
              </w:rPr>
              <w:t>w</w:t>
            </w:r>
            <w:r w:rsidRPr="00E95745">
              <w:rPr>
                <w:rFonts w:ascii="Calibri" w:hAnsi="Calibri"/>
                <w:b/>
                <w:bCs/>
                <w:color w:val="000000"/>
              </w:rPr>
              <w:t>eighted by CRW</w:t>
            </w: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F21F3" w14:textId="2A05AC86" w:rsidR="0064645B" w:rsidRPr="004C1E44" w:rsidRDefault="0064645B" w:rsidP="00D3615D">
            <w:pPr>
              <w:spacing w:before="120" w:after="0"/>
              <w:rPr>
                <w:rFonts w:ascii="Calibri" w:hAnsi="Calibri"/>
                <w:b/>
                <w:bCs/>
              </w:rPr>
            </w:pPr>
            <w:r w:rsidRPr="00C479FA">
              <w:rPr>
                <w:rFonts w:ascii="Calibri" w:hAnsi="Calibri"/>
                <w:b/>
              </w:rPr>
              <w:t>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640F8" w14:textId="279F68EA" w:rsidR="0064645B" w:rsidRPr="004C1E44" w:rsidRDefault="0064645B" w:rsidP="00D3615D">
            <w:pPr>
              <w:spacing w:before="120" w:after="0"/>
              <w:rPr>
                <w:rFonts w:ascii="Calibri" w:hAnsi="Calibri"/>
                <w:b/>
                <w:bCs/>
              </w:rPr>
            </w:pPr>
            <w:r w:rsidRPr="00C479FA">
              <w:rPr>
                <w:rFonts w:ascii="Calibri" w:hAnsi="Calibri"/>
                <w:b/>
              </w:rPr>
              <w:t>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72DD5" w14:textId="49BC57A8" w:rsidR="0064645B" w:rsidRPr="004C1E44" w:rsidRDefault="0064645B" w:rsidP="00D3615D">
            <w:pPr>
              <w:spacing w:before="120" w:after="0"/>
              <w:rPr>
                <w:rFonts w:ascii="Calibri" w:hAnsi="Calibri"/>
                <w:b/>
                <w:bCs/>
              </w:rPr>
            </w:pPr>
            <w:r w:rsidRPr="00C479FA">
              <w:rPr>
                <w:rFonts w:ascii="Calibri" w:hAnsi="Calibri"/>
                <w:b/>
              </w:rPr>
              <w:t>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5FFA5" w14:textId="248BFA13" w:rsidR="0064645B" w:rsidRPr="004C1E44" w:rsidRDefault="0064645B" w:rsidP="00D3615D">
            <w:pPr>
              <w:spacing w:before="120" w:after="0"/>
              <w:rPr>
                <w:rFonts w:ascii="Calibri" w:hAnsi="Calibri"/>
                <w:b/>
                <w:bCs/>
              </w:rPr>
            </w:pPr>
            <w:r w:rsidRPr="00C479FA">
              <w:rPr>
                <w:rFonts w:ascii="Calibri" w:hAnsi="Calibri"/>
                <w:b/>
              </w:rPr>
              <w:t>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D50C8" w14:textId="296859DC" w:rsidR="0064645B" w:rsidRPr="004C1E44" w:rsidRDefault="0064645B" w:rsidP="00D3615D">
            <w:pPr>
              <w:spacing w:before="120" w:after="0"/>
              <w:rPr>
                <w:rFonts w:ascii="Calibri" w:hAnsi="Calibri"/>
                <w:b/>
                <w:bCs/>
              </w:rPr>
            </w:pPr>
            <w:r w:rsidRPr="00C479FA">
              <w:rPr>
                <w:rFonts w:ascii="Calibri" w:hAnsi="Calibri"/>
                <w:b/>
              </w:rPr>
              <w:t>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0F287" w14:textId="3CDF6D55" w:rsidR="0064645B" w:rsidRPr="004C1E44" w:rsidRDefault="0064645B" w:rsidP="00D3615D">
            <w:pPr>
              <w:spacing w:before="120" w:after="0"/>
              <w:rPr>
                <w:rFonts w:ascii="Calibri" w:hAnsi="Calibri"/>
                <w:b/>
                <w:bCs/>
              </w:rPr>
            </w:pPr>
            <w:r w:rsidRPr="00C479FA">
              <w:rPr>
                <w:rFonts w:ascii="Calibri" w:hAnsi="Calibri"/>
                <w:b/>
              </w:rPr>
              <w:t> </w:t>
            </w:r>
          </w:p>
        </w:tc>
      </w:tr>
      <w:tr w:rsidR="0064645B" w:rsidRPr="00E95745" w14:paraId="68252862" w14:textId="77777777" w:rsidTr="00D3615D">
        <w:trPr>
          <w:trHeight w:val="386"/>
          <w:tblHeader/>
        </w:trPr>
        <w:tc>
          <w:tcPr>
            <w:tcW w:w="80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9BAA30" w14:textId="77777777" w:rsidR="0064645B" w:rsidRPr="00E95745" w:rsidRDefault="0064645B" w:rsidP="00D3615D">
            <w:pPr>
              <w:spacing w:before="120" w:after="0"/>
              <w:rPr>
                <w:rFonts w:ascii="Calibri" w:hAnsi="Calibri"/>
                <w:color w:val="000000"/>
              </w:rPr>
            </w:pPr>
            <w:r w:rsidRPr="00E95745">
              <w:rPr>
                <w:rFonts w:ascii="Calibri" w:hAnsi="Calibri"/>
                <w:color w:val="000000"/>
              </w:rPr>
              <w:t>Disclose the amount of collateral used to reduce the above amounts</w:t>
            </w: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CEB79" w14:textId="0DBA2C46" w:rsidR="0064645B" w:rsidRPr="00E95745" w:rsidRDefault="0064645B" w:rsidP="00D3615D">
            <w:pPr>
              <w:spacing w:before="120" w:after="0"/>
              <w:rPr>
                <w:rFonts w:ascii="Calibri" w:hAnsi="Calibri"/>
                <w:color w:val="3F3F76"/>
              </w:rPr>
            </w:pPr>
            <w:r w:rsidRPr="00E95745">
              <w:rPr>
                <w:rFonts w:ascii="Calibri" w:hAnsi="Calibri"/>
              </w:rPr>
              <w:t>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25A7E" w14:textId="0B2B6B08" w:rsidR="0064645B" w:rsidRPr="00E95745" w:rsidRDefault="0064645B" w:rsidP="00D3615D">
            <w:pPr>
              <w:spacing w:before="120" w:after="0"/>
              <w:rPr>
                <w:rFonts w:ascii="Calibri" w:hAnsi="Calibri"/>
                <w:color w:val="3F3F76"/>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6964C" w14:textId="676C88C8" w:rsidR="0064645B" w:rsidRPr="00E95745" w:rsidRDefault="0064645B" w:rsidP="00D3615D">
            <w:pPr>
              <w:spacing w:before="120" w:after="0"/>
              <w:rPr>
                <w:rFonts w:ascii="Calibri" w:hAnsi="Calibri"/>
                <w:color w:val="3F3F76"/>
              </w:rPr>
            </w:pPr>
            <w:r w:rsidRPr="00E95745">
              <w:rPr>
                <w:rFonts w:ascii="Calibri" w:hAnsi="Calibri"/>
              </w:rPr>
              <w:t>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0CBA1" w14:textId="57DC17F6" w:rsidR="0064645B" w:rsidRPr="00E95745" w:rsidRDefault="0064645B" w:rsidP="00D3615D">
            <w:pPr>
              <w:spacing w:before="120" w:after="0"/>
              <w:rPr>
                <w:rFonts w:ascii="Calibri" w:hAnsi="Calibri"/>
                <w:color w:val="3F3F76"/>
              </w:rPr>
            </w:pPr>
            <w:r w:rsidRPr="00E95745">
              <w:rPr>
                <w:rFonts w:ascii="Calibri" w:hAnsi="Calibri"/>
              </w:rPr>
              <w:t>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0E083" w14:textId="27EF3D61" w:rsidR="0064645B" w:rsidRPr="00E95745" w:rsidRDefault="0064645B" w:rsidP="00D3615D">
            <w:pPr>
              <w:spacing w:before="120" w:after="0"/>
              <w:rPr>
                <w:rFonts w:ascii="Calibri" w:hAnsi="Calibri"/>
                <w:color w:val="3F3F76"/>
              </w:rPr>
            </w:pPr>
            <w:r w:rsidRPr="00E95745">
              <w:rPr>
                <w:rFonts w:ascii="Calibri" w:hAnsi="Calibri"/>
              </w:rPr>
              <w:t>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1F9B3" w14:textId="1EE2CD96" w:rsidR="0064645B" w:rsidRPr="004C1E44" w:rsidRDefault="0064645B" w:rsidP="00D3615D">
            <w:pPr>
              <w:spacing w:before="120" w:after="0"/>
              <w:rPr>
                <w:rFonts w:ascii="Calibri" w:hAnsi="Calibri"/>
                <w:b/>
                <w:bCs/>
              </w:rPr>
            </w:pPr>
            <w:r w:rsidRPr="00C479FA">
              <w:rPr>
                <w:rFonts w:ascii="Calibri" w:hAnsi="Calibri"/>
              </w:rPr>
              <w:t> </w:t>
            </w:r>
          </w:p>
        </w:tc>
      </w:tr>
    </w:tbl>
    <w:p w14:paraId="1A360586" w14:textId="77777777" w:rsidR="0099336D" w:rsidRPr="00D3615D" w:rsidRDefault="0099336D" w:rsidP="00D3615D">
      <w:pPr>
        <w:spacing w:before="240" w:after="200" w:line="276" w:lineRule="auto"/>
        <w:contextualSpacing/>
        <w:rPr>
          <w:rFonts w:ascii="Calibri" w:hAnsi="Calibri"/>
          <w:color w:val="000000"/>
          <w:sz w:val="16"/>
          <w:szCs w:val="16"/>
        </w:rPr>
      </w:pPr>
    </w:p>
    <w:p w14:paraId="2924F461" w14:textId="449EC69B" w:rsidR="00F65995" w:rsidRPr="00E95745" w:rsidRDefault="00F65995" w:rsidP="00D3615D">
      <w:pPr>
        <w:numPr>
          <w:ilvl w:val="0"/>
          <w:numId w:val="69"/>
        </w:numPr>
        <w:spacing w:before="240" w:after="120"/>
        <w:ind w:left="714" w:hanging="357"/>
        <w:contextualSpacing/>
        <w:rPr>
          <w:rFonts w:ascii="Calibri" w:hAnsi="Calibri"/>
          <w:color w:val="000000"/>
        </w:rPr>
      </w:pPr>
      <w:r w:rsidRPr="00E95745">
        <w:rPr>
          <w:rFonts w:ascii="Calibri" w:hAnsi="Calibri"/>
          <w:color w:val="000000"/>
        </w:rPr>
        <w:t>Input calculated counterparty risk amounts pre-risk weighted but reflecting any reduction due to the recognition of collateral or other relevant rule</w:t>
      </w:r>
      <w:r>
        <w:rPr>
          <w:rFonts w:ascii="Calibri" w:hAnsi="Calibri"/>
          <w:color w:val="000000"/>
        </w:rPr>
        <w:t>.</w:t>
      </w:r>
    </w:p>
    <w:p w14:paraId="1E0F795E" w14:textId="5ED03D52" w:rsidR="00F65995" w:rsidRDefault="00F65995" w:rsidP="00D3615D">
      <w:pPr>
        <w:numPr>
          <w:ilvl w:val="0"/>
          <w:numId w:val="69"/>
        </w:numPr>
        <w:spacing w:after="120"/>
        <w:contextualSpacing/>
        <w:rPr>
          <w:rFonts w:ascii="Calibri" w:hAnsi="Calibri"/>
          <w:color w:val="000000"/>
        </w:rPr>
      </w:pPr>
      <w:r w:rsidRPr="00E95745">
        <w:rPr>
          <w:rFonts w:ascii="Calibri" w:hAnsi="Calibri"/>
          <w:color w:val="000000"/>
        </w:rPr>
        <w:t>If you do not wish to reduce the counterparty risk amount by counterparty risk weighting, enter all calculated counterparty risk amounts in the 100% column</w:t>
      </w:r>
      <w:r>
        <w:rPr>
          <w:rFonts w:ascii="Calibri" w:hAnsi="Calibri"/>
          <w:color w:val="000000"/>
        </w:rPr>
        <w:t>.</w:t>
      </w:r>
    </w:p>
    <w:p w14:paraId="377BA9FC" w14:textId="433BDC30" w:rsidR="0064645B" w:rsidRDefault="00F65995" w:rsidP="00D3615D">
      <w:pPr>
        <w:numPr>
          <w:ilvl w:val="0"/>
          <w:numId w:val="69"/>
        </w:numPr>
        <w:spacing w:after="120"/>
        <w:contextualSpacing/>
        <w:rPr>
          <w:rFonts w:ascii="Calibri" w:hAnsi="Calibri"/>
          <w:color w:val="000000"/>
        </w:rPr>
      </w:pPr>
      <w:r w:rsidRPr="00F65995">
        <w:rPr>
          <w:rFonts w:ascii="Calibri" w:hAnsi="Calibri"/>
          <w:color w:val="000000"/>
        </w:rPr>
        <w:t xml:space="preserve">For reporting purposes, disclose the amount of collateral that has been used to reduce the counterparty risk amounts. Use the comment </w:t>
      </w:r>
      <w:r w:rsidR="00451E2D">
        <w:rPr>
          <w:rFonts w:ascii="Calibri" w:hAnsi="Calibri"/>
          <w:color w:val="000000"/>
        </w:rPr>
        <w:t xml:space="preserve">function </w:t>
      </w:r>
      <w:r w:rsidRPr="00F65995">
        <w:rPr>
          <w:rFonts w:ascii="Calibri" w:hAnsi="Calibri"/>
          <w:color w:val="000000"/>
        </w:rPr>
        <w:t>to confirm that the collateral meets the eligibility criteria outlined in the ASIC Market Integrity Rules.</w:t>
      </w:r>
    </w:p>
    <w:p w14:paraId="78028F25" w14:textId="1AFB8070" w:rsidR="00F65995" w:rsidRDefault="00F65995" w:rsidP="00930407">
      <w:pPr>
        <w:spacing w:after="200" w:line="276" w:lineRule="auto"/>
        <w:contextualSpacing/>
        <w:rPr>
          <w:rFonts w:ascii="Calibri" w:hAnsi="Calibri"/>
          <w:color w:val="00000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tblGrid>
      <w:tr w:rsidR="00F65995" w:rsidRPr="00E95745" w14:paraId="32B28041" w14:textId="77777777" w:rsidTr="001F4457">
        <w:tc>
          <w:tcPr>
            <w:tcW w:w="6101" w:type="dxa"/>
            <w:tcBorders>
              <w:top w:val="single" w:sz="4" w:space="0" w:color="auto"/>
              <w:left w:val="single" w:sz="4" w:space="0" w:color="auto"/>
              <w:bottom w:val="single" w:sz="4" w:space="0" w:color="auto"/>
              <w:right w:val="single" w:sz="4" w:space="0" w:color="auto"/>
            </w:tcBorders>
            <w:shd w:val="clear" w:color="auto" w:fill="0070C0"/>
          </w:tcPr>
          <w:p w14:paraId="196AD678" w14:textId="300D22BA" w:rsidR="00F65995" w:rsidRPr="00E95745" w:rsidRDefault="00F65995" w:rsidP="00D3615D">
            <w:pPr>
              <w:spacing w:before="60" w:after="120"/>
              <w:rPr>
                <w:rFonts w:ascii="Calibri" w:eastAsia="Calibri" w:hAnsi="Calibri" w:cs="Times New Roman"/>
                <w:b/>
                <w:bCs/>
                <w:iCs/>
              </w:rPr>
            </w:pPr>
            <w:r w:rsidRPr="00E95745">
              <w:rPr>
                <w:rFonts w:ascii="Calibri" w:eastAsia="Calibri" w:hAnsi="Calibri" w:cs="Times New Roman"/>
                <w:b/>
                <w:bCs/>
                <w:iCs/>
                <w:color w:val="FFFFFF"/>
                <w:shd w:val="clear" w:color="auto" w:fill="0070C0"/>
              </w:rPr>
              <w:t>&gt;</w:t>
            </w:r>
            <w:r w:rsidR="0027441B">
              <w:rPr>
                <w:rFonts w:ascii="Calibri" w:eastAsia="Calibri" w:hAnsi="Calibri" w:cs="Times New Roman"/>
                <w:b/>
                <w:bCs/>
                <w:iCs/>
                <w:color w:val="FFFFFF"/>
                <w:shd w:val="clear" w:color="auto" w:fill="0070C0"/>
              </w:rPr>
              <w:t xml:space="preserve"> </w:t>
            </w:r>
            <w:r w:rsidRPr="00E95745">
              <w:rPr>
                <w:rFonts w:ascii="Calibri" w:eastAsia="Calibri" w:hAnsi="Calibri" w:cs="Times New Roman"/>
                <w:b/>
                <w:bCs/>
                <w:iCs/>
                <w:color w:val="FFFFFF"/>
                <w:shd w:val="clear" w:color="auto" w:fill="0070C0"/>
              </w:rPr>
              <w:t xml:space="preserve">10 </w:t>
            </w:r>
            <w:r>
              <w:rPr>
                <w:rFonts w:ascii="Calibri" w:eastAsia="Calibri" w:hAnsi="Calibri" w:cs="Times New Roman"/>
                <w:b/>
                <w:bCs/>
                <w:iCs/>
                <w:color w:val="FFFFFF"/>
                <w:shd w:val="clear" w:color="auto" w:fill="0070C0"/>
              </w:rPr>
              <w:t>B</w:t>
            </w:r>
            <w:r w:rsidRPr="00E95745">
              <w:rPr>
                <w:rFonts w:ascii="Calibri" w:eastAsia="Calibri" w:hAnsi="Calibri" w:cs="Times New Roman"/>
                <w:b/>
                <w:bCs/>
                <w:iCs/>
                <w:color w:val="FFFFFF"/>
                <w:shd w:val="clear" w:color="auto" w:fill="0070C0"/>
              </w:rPr>
              <w:t xml:space="preserve">usiness </w:t>
            </w:r>
            <w:r>
              <w:rPr>
                <w:rFonts w:ascii="Calibri" w:eastAsia="Calibri" w:hAnsi="Calibri" w:cs="Times New Roman"/>
                <w:b/>
                <w:bCs/>
                <w:iCs/>
                <w:color w:val="FFFFFF"/>
                <w:shd w:val="clear" w:color="auto" w:fill="0070C0"/>
              </w:rPr>
              <w:t>D</w:t>
            </w:r>
            <w:r w:rsidRPr="00E95745">
              <w:rPr>
                <w:rFonts w:ascii="Calibri" w:eastAsia="Calibri" w:hAnsi="Calibri" w:cs="Times New Roman"/>
                <w:b/>
                <w:bCs/>
                <w:iCs/>
                <w:color w:val="FFFFFF"/>
                <w:shd w:val="clear" w:color="auto" w:fill="0070C0"/>
              </w:rPr>
              <w:t>ays comment</w:t>
            </w:r>
          </w:p>
        </w:tc>
      </w:tr>
      <w:tr w:rsidR="004B591D" w:rsidRPr="00E95745" w14:paraId="250DD528" w14:textId="77777777" w:rsidTr="00D3615D">
        <w:trPr>
          <w:trHeight w:val="1972"/>
        </w:trPr>
        <w:tc>
          <w:tcPr>
            <w:tcW w:w="6101" w:type="dxa"/>
            <w:tcBorders>
              <w:top w:val="single" w:sz="4" w:space="0" w:color="auto"/>
              <w:left w:val="single" w:sz="4" w:space="0" w:color="auto"/>
              <w:bottom w:val="single" w:sz="4" w:space="0" w:color="auto"/>
              <w:right w:val="single" w:sz="4" w:space="0" w:color="auto"/>
            </w:tcBorders>
            <w:shd w:val="clear" w:color="auto" w:fill="auto"/>
          </w:tcPr>
          <w:p w14:paraId="3F02DFCF" w14:textId="77777777" w:rsidR="00B10248" w:rsidRDefault="00B10248" w:rsidP="001A4322">
            <w:pPr>
              <w:spacing w:after="200" w:line="276" w:lineRule="auto"/>
              <w:contextualSpacing/>
              <w:rPr>
                <w:rFonts w:ascii="Calibri" w:hAnsi="Calibri"/>
                <w:color w:val="000000"/>
              </w:rPr>
            </w:pPr>
            <w:r>
              <w:rPr>
                <w:rFonts w:ascii="Calibri" w:hAnsi="Calibri"/>
                <w:color w:val="000000"/>
              </w:rPr>
              <w:t>Provide an explanation of the trades unsettled by more than 10 Business Days</w:t>
            </w:r>
          </w:p>
          <w:p w14:paraId="7C1DFA07" w14:textId="77777777" w:rsidR="004B591D" w:rsidRPr="00E95745" w:rsidRDefault="004B591D" w:rsidP="001F4457">
            <w:pPr>
              <w:rPr>
                <w:rFonts w:ascii="Calibri" w:eastAsia="Calibri" w:hAnsi="Calibri"/>
                <w:b/>
                <w:bCs/>
                <w:iCs/>
                <w:color w:val="FFFFFF"/>
                <w:shd w:val="clear" w:color="auto" w:fill="0070C0"/>
              </w:rPr>
            </w:pPr>
          </w:p>
        </w:tc>
      </w:tr>
      <w:tr w:rsidR="004B591D" w:rsidRPr="00E95745" w14:paraId="3360F526" w14:textId="77777777" w:rsidTr="00203BCF">
        <w:tc>
          <w:tcPr>
            <w:tcW w:w="6101" w:type="dxa"/>
            <w:tcBorders>
              <w:top w:val="single" w:sz="4" w:space="0" w:color="auto"/>
              <w:left w:val="single" w:sz="4" w:space="0" w:color="auto"/>
              <w:bottom w:val="single" w:sz="4" w:space="0" w:color="auto"/>
              <w:right w:val="single" w:sz="4" w:space="0" w:color="auto"/>
            </w:tcBorders>
            <w:shd w:val="clear" w:color="auto" w:fill="0070C0"/>
          </w:tcPr>
          <w:p w14:paraId="003CB10D" w14:textId="4ED183ED" w:rsidR="004B591D" w:rsidRPr="00E95745" w:rsidRDefault="004B591D" w:rsidP="00D3615D">
            <w:pPr>
              <w:keepNext/>
              <w:spacing w:before="60" w:after="120"/>
              <w:rPr>
                <w:rFonts w:ascii="Calibri" w:eastAsia="Calibri" w:hAnsi="Calibri" w:cs="Times New Roman"/>
                <w:b/>
                <w:bCs/>
                <w:iCs/>
              </w:rPr>
            </w:pPr>
            <w:r>
              <w:rPr>
                <w:rFonts w:ascii="Calibri" w:eastAsia="Calibri" w:hAnsi="Calibri" w:cs="Times New Roman"/>
                <w:b/>
                <w:bCs/>
                <w:iCs/>
                <w:color w:val="FFFFFF"/>
                <w:shd w:val="clear" w:color="auto" w:fill="0070C0"/>
              </w:rPr>
              <w:lastRenderedPageBreak/>
              <w:t>Collateral</w:t>
            </w:r>
            <w:r w:rsidRPr="00E95745">
              <w:rPr>
                <w:rFonts w:ascii="Calibri" w:eastAsia="Calibri" w:hAnsi="Calibri" w:cs="Times New Roman"/>
                <w:b/>
                <w:bCs/>
                <w:iCs/>
                <w:color w:val="FFFFFF"/>
                <w:shd w:val="clear" w:color="auto" w:fill="0070C0"/>
              </w:rPr>
              <w:t xml:space="preserve"> comment</w:t>
            </w:r>
          </w:p>
        </w:tc>
      </w:tr>
      <w:tr w:rsidR="004B591D" w:rsidRPr="00E95745" w14:paraId="692629BF" w14:textId="77777777" w:rsidTr="00D3615D">
        <w:trPr>
          <w:trHeight w:val="1017"/>
        </w:trPr>
        <w:tc>
          <w:tcPr>
            <w:tcW w:w="6101" w:type="dxa"/>
            <w:tcBorders>
              <w:top w:val="single" w:sz="4" w:space="0" w:color="auto"/>
              <w:left w:val="single" w:sz="4" w:space="0" w:color="auto"/>
              <w:bottom w:val="single" w:sz="4" w:space="0" w:color="auto"/>
              <w:right w:val="single" w:sz="4" w:space="0" w:color="auto"/>
            </w:tcBorders>
            <w:shd w:val="clear" w:color="auto" w:fill="auto"/>
          </w:tcPr>
          <w:p w14:paraId="29A990D6" w14:textId="77777777" w:rsidR="004B591D" w:rsidRPr="00E95745" w:rsidRDefault="004B591D" w:rsidP="00203BCF">
            <w:pPr>
              <w:rPr>
                <w:rFonts w:ascii="Calibri" w:eastAsia="Calibri" w:hAnsi="Calibri"/>
                <w:b/>
                <w:bCs/>
                <w:iCs/>
                <w:color w:val="FFFFFF"/>
                <w:shd w:val="clear" w:color="auto" w:fill="0070C0"/>
              </w:rPr>
            </w:pPr>
          </w:p>
        </w:tc>
      </w:tr>
    </w:tbl>
    <w:p w14:paraId="79AD0245" w14:textId="796477A1" w:rsidR="00F65995" w:rsidRPr="00930407" w:rsidRDefault="00F65995" w:rsidP="00D3615D">
      <w:pPr>
        <w:spacing w:before="240" w:after="120"/>
        <w:outlineLvl w:val="3"/>
        <w:rPr>
          <w:rFonts w:ascii="Calibri" w:hAnsi="Calibri" w:cs="Helvetica"/>
          <w:b/>
          <w:sz w:val="24"/>
          <w:szCs w:val="24"/>
          <w:lang w:val="en"/>
        </w:rPr>
      </w:pPr>
      <w:r w:rsidRPr="00930407">
        <w:rPr>
          <w:rFonts w:ascii="Calibri" w:hAnsi="Calibri" w:cs="Helvetica"/>
          <w:b/>
          <w:sz w:val="24"/>
          <w:szCs w:val="24"/>
          <w:lang w:val="en"/>
        </w:rPr>
        <w:t>Free Delivery method</w:t>
      </w:r>
    </w:p>
    <w:tbl>
      <w:tblPr>
        <w:tblW w:w="14029" w:type="dxa"/>
        <w:tblLayout w:type="fixed"/>
        <w:tblLook w:val="04A0" w:firstRow="1" w:lastRow="0" w:firstColumn="1" w:lastColumn="0" w:noHBand="0" w:noVBand="1"/>
      </w:tblPr>
      <w:tblGrid>
        <w:gridCol w:w="5949"/>
        <w:gridCol w:w="1346"/>
        <w:gridCol w:w="1347"/>
        <w:gridCol w:w="1347"/>
        <w:gridCol w:w="1346"/>
        <w:gridCol w:w="1347"/>
        <w:gridCol w:w="1347"/>
      </w:tblGrid>
      <w:tr w:rsidR="00F65995" w:rsidRPr="00E95745" w14:paraId="2D27A8DC" w14:textId="77777777" w:rsidTr="00D3615D">
        <w:trPr>
          <w:trHeight w:val="267"/>
        </w:trPr>
        <w:tc>
          <w:tcPr>
            <w:tcW w:w="5949"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7AB8201" w14:textId="72CBD02A" w:rsidR="00F65995" w:rsidRPr="00E95745" w:rsidRDefault="00F65995" w:rsidP="00D3615D">
            <w:pPr>
              <w:spacing w:before="120" w:after="120"/>
              <w:rPr>
                <w:rFonts w:ascii="Calibri" w:hAnsi="Calibri"/>
                <w:b/>
                <w:bCs/>
                <w:color w:val="FFFFFF"/>
              </w:rPr>
            </w:pPr>
            <w:r w:rsidRPr="00E95745">
              <w:rPr>
                <w:rFonts w:ascii="Calibri" w:hAnsi="Calibri"/>
                <w:b/>
                <w:bCs/>
                <w:color w:val="FFFFFF"/>
              </w:rPr>
              <w:t xml:space="preserve">Risk </w:t>
            </w:r>
            <w:r>
              <w:rPr>
                <w:rFonts w:ascii="Calibri" w:hAnsi="Calibri"/>
                <w:b/>
                <w:bCs/>
                <w:color w:val="FFFFFF"/>
              </w:rPr>
              <w:t>a</w:t>
            </w:r>
            <w:r w:rsidRPr="00E95745">
              <w:rPr>
                <w:rFonts w:ascii="Calibri" w:hAnsi="Calibri"/>
                <w:b/>
                <w:bCs/>
                <w:color w:val="FFFFFF"/>
              </w:rPr>
              <w:t xml:space="preserve">mounts by </w:t>
            </w:r>
            <w:r>
              <w:rPr>
                <w:rFonts w:ascii="Calibri" w:hAnsi="Calibri"/>
                <w:b/>
                <w:bCs/>
                <w:color w:val="FFFFFF"/>
              </w:rPr>
              <w:t>c</w:t>
            </w:r>
            <w:r w:rsidRPr="00E95745">
              <w:rPr>
                <w:rFonts w:ascii="Calibri" w:hAnsi="Calibri"/>
                <w:b/>
                <w:bCs/>
                <w:color w:val="FFFFFF"/>
              </w:rPr>
              <w:t xml:space="preserve">ounterparty </w:t>
            </w:r>
            <w:r>
              <w:rPr>
                <w:rFonts w:ascii="Calibri" w:hAnsi="Calibri"/>
                <w:b/>
                <w:bCs/>
                <w:color w:val="FFFFFF"/>
              </w:rPr>
              <w:t>r</w:t>
            </w:r>
            <w:r w:rsidRPr="00E95745">
              <w:rPr>
                <w:rFonts w:ascii="Calibri" w:hAnsi="Calibri"/>
                <w:b/>
                <w:bCs/>
                <w:color w:val="FFFFFF"/>
              </w:rPr>
              <w:t xml:space="preserve">isk </w:t>
            </w:r>
            <w:r>
              <w:rPr>
                <w:rFonts w:ascii="Calibri" w:hAnsi="Calibri"/>
                <w:b/>
                <w:bCs/>
                <w:color w:val="FFFFFF"/>
              </w:rPr>
              <w:t>w</w:t>
            </w:r>
            <w:r w:rsidRPr="00E95745">
              <w:rPr>
                <w:rFonts w:ascii="Calibri" w:hAnsi="Calibri"/>
                <w:b/>
                <w:bCs/>
                <w:color w:val="FFFFFF"/>
              </w:rPr>
              <w:t xml:space="preserve">eighting (CRW) </w:t>
            </w:r>
            <w:r>
              <w:rPr>
                <w:rFonts w:ascii="Calibri" w:hAnsi="Calibri"/>
                <w:b/>
                <w:bCs/>
                <w:color w:val="FFFFFF"/>
              </w:rPr>
              <w:t>c</w:t>
            </w:r>
            <w:r w:rsidRPr="00E95745">
              <w:rPr>
                <w:rFonts w:ascii="Calibri" w:hAnsi="Calibri"/>
                <w:b/>
                <w:bCs/>
                <w:color w:val="FFFFFF"/>
              </w:rPr>
              <w:t>ategory</w:t>
            </w:r>
          </w:p>
        </w:tc>
        <w:tc>
          <w:tcPr>
            <w:tcW w:w="1346"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9A723B9" w14:textId="77777777" w:rsidR="00F65995" w:rsidRPr="00E95745" w:rsidRDefault="00F65995" w:rsidP="00D3615D">
            <w:pPr>
              <w:spacing w:before="120" w:after="120"/>
              <w:jc w:val="right"/>
              <w:rPr>
                <w:rFonts w:ascii="Calibri" w:hAnsi="Calibri"/>
                <w:b/>
                <w:bCs/>
                <w:color w:val="FFFFFF"/>
              </w:rPr>
            </w:pPr>
            <w:r w:rsidRPr="00E95745">
              <w:rPr>
                <w:rFonts w:ascii="Calibri" w:hAnsi="Calibri"/>
                <w:b/>
                <w:bCs/>
                <w:color w:val="FFFFFF"/>
              </w:rPr>
              <w:t>0%</w:t>
            </w:r>
          </w:p>
        </w:tc>
        <w:tc>
          <w:tcPr>
            <w:tcW w:w="1347"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C12555D" w14:textId="77777777" w:rsidR="00F65995" w:rsidRPr="00E95745" w:rsidRDefault="00F65995" w:rsidP="00D3615D">
            <w:pPr>
              <w:spacing w:before="120" w:after="120"/>
              <w:jc w:val="right"/>
              <w:rPr>
                <w:rFonts w:ascii="Calibri" w:hAnsi="Calibri"/>
                <w:b/>
                <w:bCs/>
                <w:color w:val="FFFFFF"/>
              </w:rPr>
            </w:pPr>
            <w:r w:rsidRPr="00E95745">
              <w:rPr>
                <w:rFonts w:ascii="Calibri" w:hAnsi="Calibri"/>
                <w:b/>
                <w:bCs/>
                <w:color w:val="FFFFFF"/>
              </w:rPr>
              <w:t>10%</w:t>
            </w:r>
          </w:p>
        </w:tc>
        <w:tc>
          <w:tcPr>
            <w:tcW w:w="1347"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6618C81" w14:textId="77777777" w:rsidR="00F65995" w:rsidRPr="00E95745" w:rsidRDefault="00F65995" w:rsidP="00D3615D">
            <w:pPr>
              <w:spacing w:before="120" w:after="120"/>
              <w:jc w:val="right"/>
              <w:rPr>
                <w:rFonts w:ascii="Calibri" w:hAnsi="Calibri"/>
                <w:b/>
                <w:bCs/>
                <w:color w:val="FFFFFF"/>
              </w:rPr>
            </w:pPr>
            <w:r w:rsidRPr="00E95745">
              <w:rPr>
                <w:rFonts w:ascii="Calibri" w:hAnsi="Calibri"/>
                <w:b/>
                <w:bCs/>
                <w:color w:val="FFFFFF"/>
              </w:rPr>
              <w:t>20%</w:t>
            </w:r>
          </w:p>
        </w:tc>
        <w:tc>
          <w:tcPr>
            <w:tcW w:w="1346"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75801C8" w14:textId="77777777" w:rsidR="00F65995" w:rsidRPr="00E95745" w:rsidRDefault="00F65995" w:rsidP="00D3615D">
            <w:pPr>
              <w:spacing w:before="120" w:after="120"/>
              <w:jc w:val="right"/>
              <w:rPr>
                <w:rFonts w:ascii="Calibri" w:hAnsi="Calibri"/>
                <w:b/>
                <w:bCs/>
                <w:color w:val="FFFFFF"/>
              </w:rPr>
            </w:pPr>
            <w:r w:rsidRPr="00E95745">
              <w:rPr>
                <w:rFonts w:ascii="Calibri" w:hAnsi="Calibri"/>
                <w:b/>
                <w:bCs/>
                <w:color w:val="FFFFFF"/>
              </w:rPr>
              <w:t>50%</w:t>
            </w:r>
          </w:p>
        </w:tc>
        <w:tc>
          <w:tcPr>
            <w:tcW w:w="1347"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6495C75" w14:textId="77777777" w:rsidR="00F65995" w:rsidRPr="00E95745" w:rsidRDefault="00F65995" w:rsidP="00D3615D">
            <w:pPr>
              <w:spacing w:before="120" w:after="120"/>
              <w:jc w:val="right"/>
              <w:rPr>
                <w:rFonts w:ascii="Calibri" w:hAnsi="Calibri"/>
                <w:b/>
                <w:bCs/>
                <w:color w:val="FFFFFF"/>
              </w:rPr>
            </w:pPr>
            <w:r w:rsidRPr="00E95745">
              <w:rPr>
                <w:rFonts w:ascii="Calibri" w:hAnsi="Calibri"/>
                <w:b/>
                <w:bCs/>
                <w:color w:val="FFFFFF"/>
              </w:rPr>
              <w:t>100%</w:t>
            </w:r>
          </w:p>
        </w:tc>
        <w:tc>
          <w:tcPr>
            <w:tcW w:w="1347"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76C9F4A" w14:textId="77777777" w:rsidR="00F65995" w:rsidRPr="00E95745" w:rsidRDefault="00F65995" w:rsidP="00D3615D">
            <w:pPr>
              <w:spacing w:before="120" w:after="120"/>
              <w:rPr>
                <w:rFonts w:ascii="Calibri" w:hAnsi="Calibri"/>
                <w:b/>
                <w:bCs/>
                <w:color w:val="FFFFFF"/>
              </w:rPr>
            </w:pPr>
            <w:r w:rsidRPr="00E95745">
              <w:rPr>
                <w:rFonts w:ascii="Calibri" w:hAnsi="Calibri"/>
                <w:b/>
                <w:bCs/>
                <w:color w:val="FFFFFF"/>
              </w:rPr>
              <w:t>Total</w:t>
            </w:r>
          </w:p>
        </w:tc>
      </w:tr>
      <w:tr w:rsidR="0099336D" w:rsidRPr="00E95745" w14:paraId="6959BB29" w14:textId="77777777" w:rsidTr="0099336D">
        <w:trPr>
          <w:trHeight w:val="287"/>
        </w:trPr>
        <w:tc>
          <w:tcPr>
            <w:tcW w:w="59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85C4A1" w14:textId="77777777" w:rsidR="00F65995" w:rsidRPr="00E95745" w:rsidRDefault="00F65995" w:rsidP="00D3615D">
            <w:pPr>
              <w:spacing w:before="100" w:after="40"/>
              <w:rPr>
                <w:rFonts w:ascii="Calibri" w:hAnsi="Calibri"/>
                <w:color w:val="000000"/>
              </w:rPr>
            </w:pPr>
            <w:r w:rsidRPr="00E95745">
              <w:rPr>
                <w:rFonts w:ascii="Calibri" w:hAnsi="Calibri"/>
                <w:color w:val="000000"/>
              </w:rPr>
              <w:t>Payment or delivery outstanding less than 2 Business Days (8% of contract value)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543FB" w14:textId="54C35B04" w:rsidR="00F65995" w:rsidRPr="00E95745" w:rsidRDefault="00F65995" w:rsidP="00D3615D">
            <w:pPr>
              <w:spacing w:before="100" w:after="40"/>
              <w:rPr>
                <w:rFonts w:ascii="Calibri" w:hAnsi="Calibri"/>
                <w:color w:val="3F3F76"/>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9DD8D0" w14:textId="4F53968C" w:rsidR="00F65995" w:rsidRPr="00E95745" w:rsidRDefault="00F65995" w:rsidP="00D3615D">
            <w:pPr>
              <w:spacing w:before="100" w:after="40"/>
              <w:rPr>
                <w:rFonts w:ascii="Calibri" w:hAnsi="Calibri"/>
                <w:color w:val="3F3F76"/>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937B3A" w14:textId="5ABAE798" w:rsidR="00F65995" w:rsidRPr="00E95745" w:rsidRDefault="00F65995" w:rsidP="00D3615D">
            <w:pPr>
              <w:spacing w:before="100" w:after="40"/>
              <w:rPr>
                <w:rFonts w:ascii="Calibri" w:hAnsi="Calibri"/>
                <w:color w:val="3F3F76"/>
              </w:rPr>
            </w:pP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B4DD6" w14:textId="10DF1F27" w:rsidR="00F65995" w:rsidRPr="00E95745" w:rsidRDefault="00F65995" w:rsidP="00D3615D">
            <w:pPr>
              <w:spacing w:before="100" w:after="40"/>
              <w:rPr>
                <w:rFonts w:ascii="Calibri" w:hAnsi="Calibri"/>
                <w:color w:val="3F3F76"/>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60EEA" w14:textId="05EA8438" w:rsidR="00F65995" w:rsidRPr="00E95745" w:rsidRDefault="00F65995" w:rsidP="00D3615D">
            <w:pPr>
              <w:spacing w:before="100" w:after="40"/>
              <w:rPr>
                <w:rFonts w:ascii="Calibri" w:hAnsi="Calibri"/>
                <w:color w:val="3F3F76"/>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4710BB" w14:textId="69B95479" w:rsidR="00F65995" w:rsidRPr="00E95745" w:rsidRDefault="00F65995" w:rsidP="00D3615D">
            <w:pPr>
              <w:spacing w:before="100" w:after="40"/>
              <w:rPr>
                <w:rFonts w:ascii="Calibri" w:hAnsi="Calibri"/>
                <w:bCs/>
              </w:rPr>
            </w:pPr>
          </w:p>
        </w:tc>
      </w:tr>
      <w:tr w:rsidR="00F65995" w:rsidRPr="00E95745" w14:paraId="68C2B117" w14:textId="77777777" w:rsidTr="00D3615D">
        <w:trPr>
          <w:trHeight w:val="510"/>
        </w:trPr>
        <w:tc>
          <w:tcPr>
            <w:tcW w:w="59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6DFCF2" w14:textId="3233C96D" w:rsidR="00F65995" w:rsidRPr="00E95745" w:rsidRDefault="00F65995" w:rsidP="00D3615D">
            <w:pPr>
              <w:spacing w:before="100" w:after="40"/>
              <w:rPr>
                <w:rFonts w:ascii="Calibri" w:hAnsi="Calibri"/>
                <w:color w:val="000000"/>
              </w:rPr>
            </w:pPr>
            <w:r w:rsidRPr="00E95745">
              <w:rPr>
                <w:rFonts w:ascii="Calibri" w:hAnsi="Calibri"/>
                <w:color w:val="000000"/>
              </w:rPr>
              <w:t>Payment o</w:t>
            </w:r>
            <w:r w:rsidR="00D3770B">
              <w:rPr>
                <w:rFonts w:ascii="Calibri" w:hAnsi="Calibri"/>
                <w:color w:val="000000"/>
              </w:rPr>
              <w:t>r</w:t>
            </w:r>
            <w:r w:rsidRPr="00E95745">
              <w:rPr>
                <w:rFonts w:ascii="Calibri" w:hAnsi="Calibri"/>
                <w:color w:val="000000"/>
              </w:rPr>
              <w:t xml:space="preserve"> delivery outstanding 2 Business Days or more (100% of contract value)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D9CB7" w14:textId="2BC74002" w:rsidR="00F65995" w:rsidRPr="00E95745" w:rsidRDefault="00F65995" w:rsidP="00D3615D">
            <w:pPr>
              <w:spacing w:before="100" w:after="40"/>
              <w:rPr>
                <w:rFonts w:ascii="Calibri" w:hAnsi="Calibri"/>
                <w:color w:val="3F3F76"/>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C1F94A" w14:textId="6D2E7EE6" w:rsidR="00F65995" w:rsidRPr="00E95745" w:rsidRDefault="00F65995" w:rsidP="00D3615D">
            <w:pPr>
              <w:spacing w:before="100" w:after="40"/>
              <w:rPr>
                <w:rFonts w:ascii="Calibri" w:hAnsi="Calibri"/>
                <w:color w:val="3F3F76"/>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55970" w14:textId="00879A13" w:rsidR="00F65995" w:rsidRPr="00E95745" w:rsidRDefault="00F65995" w:rsidP="00D3615D">
            <w:pPr>
              <w:spacing w:before="100" w:after="40"/>
              <w:rPr>
                <w:rFonts w:ascii="Calibri" w:hAnsi="Calibri"/>
                <w:color w:val="3F3F76"/>
              </w:rPr>
            </w:pP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C4D116" w14:textId="1A4913C1" w:rsidR="00F65995" w:rsidRPr="00E95745" w:rsidRDefault="00F65995" w:rsidP="00D3615D">
            <w:pPr>
              <w:spacing w:before="100" w:after="40"/>
              <w:rPr>
                <w:rFonts w:ascii="Calibri" w:hAnsi="Calibri"/>
                <w:color w:val="3F3F76"/>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62A10" w14:textId="62DED974" w:rsidR="00F65995" w:rsidRPr="00E95745" w:rsidRDefault="00F65995" w:rsidP="00D3615D">
            <w:pPr>
              <w:spacing w:before="100" w:after="40"/>
              <w:rPr>
                <w:rFonts w:ascii="Calibri" w:hAnsi="Calibri"/>
                <w:color w:val="3F3F76"/>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85F09" w14:textId="238C928C" w:rsidR="00F65995" w:rsidRPr="00E95745" w:rsidRDefault="00F65995" w:rsidP="00D3615D">
            <w:pPr>
              <w:spacing w:before="100" w:after="40"/>
              <w:rPr>
                <w:rFonts w:ascii="Calibri" w:hAnsi="Calibri"/>
                <w:bCs/>
              </w:rPr>
            </w:pPr>
          </w:p>
        </w:tc>
      </w:tr>
      <w:tr w:rsidR="00F65995" w:rsidRPr="00E95745" w14:paraId="715F26F8" w14:textId="77777777" w:rsidTr="00D3615D">
        <w:trPr>
          <w:trHeight w:val="255"/>
        </w:trPr>
        <w:tc>
          <w:tcPr>
            <w:tcW w:w="59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10A184" w14:textId="77777777" w:rsidR="00F65995" w:rsidRPr="00E95745" w:rsidRDefault="00F65995" w:rsidP="00D3615D">
            <w:pPr>
              <w:spacing w:before="100" w:after="40"/>
              <w:rPr>
                <w:rFonts w:ascii="Calibri" w:hAnsi="Calibri"/>
                <w:color w:val="000000"/>
              </w:rPr>
            </w:pPr>
            <w:r w:rsidRPr="00E95745">
              <w:rPr>
                <w:rFonts w:ascii="Calibri" w:hAnsi="Calibri"/>
                <w:color w:val="000000"/>
              </w:rPr>
              <w:t>Sub</w:t>
            </w:r>
            <w:r>
              <w:rPr>
                <w:rFonts w:ascii="Calibri" w:hAnsi="Calibri"/>
                <w:color w:val="000000"/>
              </w:rPr>
              <w:t>t</w:t>
            </w:r>
            <w:r w:rsidRPr="00E95745">
              <w:rPr>
                <w:rFonts w:ascii="Calibri" w:hAnsi="Calibri"/>
                <w:color w:val="000000"/>
              </w:rPr>
              <w:t xml:space="preserve">otal – </w:t>
            </w:r>
            <w:r>
              <w:rPr>
                <w:rFonts w:ascii="Calibri" w:hAnsi="Calibri"/>
                <w:color w:val="000000"/>
              </w:rPr>
              <w:t>u</w:t>
            </w:r>
            <w:r w:rsidRPr="00E95745">
              <w:rPr>
                <w:rFonts w:ascii="Calibri" w:hAnsi="Calibri"/>
                <w:color w:val="000000"/>
              </w:rPr>
              <w:t xml:space="preserve">nweighted </w:t>
            </w:r>
            <w:r>
              <w:rPr>
                <w:rFonts w:ascii="Calibri" w:hAnsi="Calibri"/>
                <w:color w:val="000000"/>
              </w:rPr>
              <w:t>a</w:t>
            </w:r>
            <w:r w:rsidRPr="00E95745">
              <w:rPr>
                <w:rFonts w:ascii="Calibri" w:hAnsi="Calibri"/>
                <w:color w:val="000000"/>
              </w:rPr>
              <w:t>mounts</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0F67B" w14:textId="2379993C" w:rsidR="00F65995" w:rsidRPr="00E95745" w:rsidRDefault="00F65995" w:rsidP="00D3615D">
            <w:pPr>
              <w:spacing w:before="100" w:after="40"/>
              <w:rPr>
                <w:rFonts w:ascii="Calibri" w:hAnsi="Calibri"/>
                <w:bCs/>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CA8FF" w14:textId="50929C0E" w:rsidR="00F65995" w:rsidRPr="00E95745" w:rsidRDefault="00F65995" w:rsidP="00D3615D">
            <w:pPr>
              <w:spacing w:before="100" w:after="40"/>
              <w:rPr>
                <w:rFonts w:ascii="Calibri" w:hAnsi="Calibri"/>
                <w:bCs/>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7C1016" w14:textId="416B6871" w:rsidR="00F65995" w:rsidRPr="00E95745" w:rsidRDefault="00F65995" w:rsidP="00D3615D">
            <w:pPr>
              <w:spacing w:before="100" w:after="40"/>
              <w:rPr>
                <w:rFonts w:ascii="Calibri" w:hAnsi="Calibri"/>
                <w:bCs/>
              </w:rPr>
            </w:pP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1E07A" w14:textId="0D383C3B" w:rsidR="00F65995" w:rsidRPr="00E95745" w:rsidRDefault="00F65995" w:rsidP="00D3615D">
            <w:pPr>
              <w:spacing w:before="100" w:after="40"/>
              <w:rPr>
                <w:rFonts w:ascii="Calibri" w:hAnsi="Calibri"/>
                <w:bCs/>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8D82E9" w14:textId="66A96FF0" w:rsidR="00F65995" w:rsidRPr="00E95745" w:rsidRDefault="00F65995" w:rsidP="00D3615D">
            <w:pPr>
              <w:spacing w:before="100" w:after="40"/>
              <w:rPr>
                <w:rFonts w:ascii="Calibri" w:hAnsi="Calibri"/>
                <w:bCs/>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3EF47" w14:textId="682ECE33" w:rsidR="00F65995" w:rsidRPr="00E95745" w:rsidRDefault="00F65995" w:rsidP="00D3615D">
            <w:pPr>
              <w:spacing w:before="100" w:after="40"/>
              <w:rPr>
                <w:rFonts w:ascii="Calibri" w:hAnsi="Calibri"/>
                <w:bCs/>
              </w:rPr>
            </w:pPr>
          </w:p>
        </w:tc>
      </w:tr>
      <w:tr w:rsidR="00F65995" w:rsidRPr="00E95745" w14:paraId="59BD9306" w14:textId="77777777" w:rsidTr="00D3615D">
        <w:trPr>
          <w:trHeight w:val="255"/>
        </w:trPr>
        <w:tc>
          <w:tcPr>
            <w:tcW w:w="59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66F06D" w14:textId="77777777" w:rsidR="00F65995" w:rsidRPr="00E95745" w:rsidRDefault="00F65995" w:rsidP="00D3615D">
            <w:pPr>
              <w:spacing w:before="100" w:after="40"/>
              <w:rPr>
                <w:rFonts w:ascii="Calibri" w:hAnsi="Calibri"/>
                <w:b/>
                <w:bCs/>
                <w:color w:val="000000"/>
              </w:rPr>
            </w:pPr>
            <w:r w:rsidRPr="00E95745">
              <w:rPr>
                <w:rFonts w:ascii="Calibri" w:hAnsi="Calibri"/>
                <w:b/>
                <w:bCs/>
                <w:color w:val="000000"/>
              </w:rPr>
              <w:t xml:space="preserve">Total </w:t>
            </w:r>
            <w:r>
              <w:rPr>
                <w:rFonts w:ascii="Calibri" w:hAnsi="Calibri"/>
                <w:b/>
                <w:bCs/>
                <w:color w:val="000000"/>
              </w:rPr>
              <w:t>r</w:t>
            </w:r>
            <w:r w:rsidRPr="00E95745">
              <w:rPr>
                <w:rFonts w:ascii="Calibri" w:hAnsi="Calibri"/>
                <w:b/>
                <w:bCs/>
                <w:color w:val="000000"/>
              </w:rPr>
              <w:t xml:space="preserve">isk </w:t>
            </w:r>
            <w:r>
              <w:rPr>
                <w:rFonts w:ascii="Calibri" w:hAnsi="Calibri"/>
                <w:b/>
                <w:bCs/>
                <w:color w:val="000000"/>
              </w:rPr>
              <w:t>a</w:t>
            </w:r>
            <w:r w:rsidRPr="00E95745">
              <w:rPr>
                <w:rFonts w:ascii="Calibri" w:hAnsi="Calibri"/>
                <w:b/>
                <w:bCs/>
                <w:color w:val="000000"/>
              </w:rPr>
              <w:t xml:space="preserve">mounts – </w:t>
            </w:r>
            <w:r>
              <w:rPr>
                <w:rFonts w:ascii="Calibri" w:hAnsi="Calibri"/>
                <w:b/>
                <w:bCs/>
                <w:color w:val="000000"/>
              </w:rPr>
              <w:t>w</w:t>
            </w:r>
            <w:r w:rsidRPr="00E95745">
              <w:rPr>
                <w:rFonts w:ascii="Calibri" w:hAnsi="Calibri"/>
                <w:b/>
                <w:bCs/>
                <w:color w:val="000000"/>
              </w:rPr>
              <w:t>eighted by CRW</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27B04" w14:textId="317D54B0" w:rsidR="00F65995" w:rsidRPr="00E95745" w:rsidRDefault="00F65995" w:rsidP="00D3615D">
            <w:pPr>
              <w:spacing w:before="100" w:after="40"/>
              <w:rPr>
                <w:rFonts w:ascii="Calibri" w:hAnsi="Calibri"/>
                <w:b/>
                <w:bCs/>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D5EDC4" w14:textId="5D7A2229" w:rsidR="00F65995" w:rsidRPr="00E95745" w:rsidRDefault="00F65995" w:rsidP="00D3615D">
            <w:pPr>
              <w:spacing w:before="100" w:after="40"/>
              <w:rPr>
                <w:rFonts w:ascii="Calibri" w:hAnsi="Calibri"/>
                <w:b/>
                <w:bCs/>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0F6394" w14:textId="7AEFD2E2" w:rsidR="00F65995" w:rsidRPr="00E95745" w:rsidRDefault="00F65995" w:rsidP="00D3615D">
            <w:pPr>
              <w:spacing w:before="100" w:after="40"/>
              <w:rPr>
                <w:rFonts w:ascii="Calibri" w:hAnsi="Calibri"/>
                <w:b/>
                <w:bCs/>
              </w:rPr>
            </w:pP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BE369" w14:textId="32301DB1" w:rsidR="00F65995" w:rsidRPr="00E95745" w:rsidRDefault="00F65995" w:rsidP="00D3615D">
            <w:pPr>
              <w:spacing w:before="100" w:after="40"/>
              <w:rPr>
                <w:rFonts w:ascii="Calibri" w:hAnsi="Calibri"/>
                <w:b/>
                <w:bCs/>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FE0EC" w14:textId="14203223" w:rsidR="00F65995" w:rsidRPr="00E95745" w:rsidRDefault="00F65995" w:rsidP="00D3615D">
            <w:pPr>
              <w:spacing w:before="100" w:after="40"/>
              <w:rPr>
                <w:rFonts w:ascii="Calibri" w:hAnsi="Calibri"/>
                <w:b/>
                <w:bCs/>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4BD43" w14:textId="6F75C555" w:rsidR="00F65995" w:rsidRPr="00E95745" w:rsidRDefault="00F65995" w:rsidP="00D3615D">
            <w:pPr>
              <w:spacing w:before="100" w:after="40"/>
              <w:rPr>
                <w:rFonts w:ascii="Calibri" w:hAnsi="Calibri"/>
                <w:b/>
                <w:bCs/>
              </w:rPr>
            </w:pPr>
          </w:p>
        </w:tc>
      </w:tr>
      <w:tr w:rsidR="00F65995" w:rsidRPr="00E95745" w14:paraId="60AB62BC" w14:textId="77777777" w:rsidTr="00D3615D">
        <w:trPr>
          <w:trHeight w:val="242"/>
        </w:trPr>
        <w:tc>
          <w:tcPr>
            <w:tcW w:w="59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BE254B" w14:textId="77777777" w:rsidR="00F65995" w:rsidRPr="00E95745" w:rsidRDefault="00F65995" w:rsidP="00D3615D">
            <w:pPr>
              <w:spacing w:before="100" w:after="40"/>
              <w:rPr>
                <w:rFonts w:ascii="Calibri" w:hAnsi="Calibri"/>
                <w:color w:val="000000"/>
              </w:rPr>
            </w:pPr>
            <w:r w:rsidRPr="00E95745">
              <w:rPr>
                <w:rFonts w:ascii="Calibri" w:hAnsi="Calibri"/>
                <w:color w:val="000000"/>
              </w:rPr>
              <w:t>Disclose the amount of collateral used to reduce the above amounts</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99F77" w14:textId="4C77CA22" w:rsidR="00F65995" w:rsidRPr="00E95745" w:rsidRDefault="00F65995" w:rsidP="00D3615D">
            <w:pPr>
              <w:spacing w:before="100" w:after="40"/>
              <w:rPr>
                <w:rFonts w:ascii="Calibri" w:hAnsi="Calibri"/>
                <w:color w:val="3F3F76"/>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75D51" w14:textId="01C70E2F" w:rsidR="00F65995" w:rsidRPr="00E95745" w:rsidRDefault="00F65995" w:rsidP="00D3615D">
            <w:pPr>
              <w:spacing w:before="100" w:after="40"/>
              <w:rPr>
                <w:rFonts w:ascii="Calibri" w:hAnsi="Calibri"/>
                <w:color w:val="3F3F76"/>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3B209" w14:textId="25EFF642" w:rsidR="00F65995" w:rsidRPr="00E95745" w:rsidRDefault="00F65995" w:rsidP="00D3615D">
            <w:pPr>
              <w:spacing w:before="100" w:after="40"/>
              <w:rPr>
                <w:rFonts w:ascii="Calibri" w:hAnsi="Calibri"/>
                <w:color w:val="3F3F76"/>
              </w:rPr>
            </w:pP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1D34B" w14:textId="7BCDEC52" w:rsidR="00F65995" w:rsidRPr="00E95745" w:rsidRDefault="00F65995" w:rsidP="00D3615D">
            <w:pPr>
              <w:spacing w:before="100" w:after="40"/>
              <w:rPr>
                <w:rFonts w:ascii="Calibri" w:hAnsi="Calibri"/>
                <w:color w:val="3F3F76"/>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BDC8" w14:textId="592BAE63" w:rsidR="00F65995" w:rsidRPr="00E95745" w:rsidRDefault="00F65995" w:rsidP="00D3615D">
            <w:pPr>
              <w:spacing w:before="100" w:after="40"/>
              <w:rPr>
                <w:rFonts w:ascii="Calibri" w:hAnsi="Calibri"/>
                <w:color w:val="3F3F76"/>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D4A42F" w14:textId="3026BCF4" w:rsidR="00F65995" w:rsidRPr="00E95745" w:rsidRDefault="00F65995" w:rsidP="00D3615D">
            <w:pPr>
              <w:spacing w:before="100" w:after="40"/>
              <w:rPr>
                <w:rFonts w:ascii="Calibri" w:hAnsi="Calibri"/>
                <w:bCs/>
              </w:rPr>
            </w:pPr>
          </w:p>
        </w:tc>
      </w:tr>
    </w:tbl>
    <w:p w14:paraId="118A859F" w14:textId="77777777" w:rsidR="0027441B" w:rsidRPr="00D3615D" w:rsidRDefault="0027441B" w:rsidP="00D3615D">
      <w:pPr>
        <w:spacing w:after="120"/>
        <w:contextualSpacing/>
        <w:rPr>
          <w:rFonts w:ascii="Calibri" w:eastAsia="Calibri" w:hAnsi="Calibri"/>
          <w:b/>
          <w:bCs/>
          <w:i/>
          <w:iCs/>
          <w:color w:val="8064A2"/>
          <w:sz w:val="16"/>
          <w:szCs w:val="16"/>
        </w:rPr>
      </w:pPr>
    </w:p>
    <w:p w14:paraId="1E316F04" w14:textId="2B525B6F" w:rsidR="00534643" w:rsidRPr="00E95745" w:rsidRDefault="00534643" w:rsidP="00D3615D">
      <w:pPr>
        <w:numPr>
          <w:ilvl w:val="0"/>
          <w:numId w:val="70"/>
        </w:numPr>
        <w:spacing w:after="120"/>
        <w:ind w:left="714" w:hanging="357"/>
        <w:contextualSpacing/>
        <w:rPr>
          <w:rFonts w:ascii="Calibri" w:eastAsia="Calibri" w:hAnsi="Calibri"/>
          <w:b/>
          <w:bCs/>
          <w:i/>
          <w:iCs/>
          <w:color w:val="8064A2"/>
        </w:rPr>
      </w:pPr>
      <w:r w:rsidRPr="00E95745">
        <w:rPr>
          <w:rFonts w:ascii="Calibri" w:hAnsi="Calibri"/>
          <w:color w:val="000000"/>
        </w:rPr>
        <w:t>Input calculated counterparty risk amounts pre-risk weighted</w:t>
      </w:r>
      <w:r w:rsidR="001A195A">
        <w:rPr>
          <w:rFonts w:ascii="Calibri" w:hAnsi="Calibri"/>
          <w:color w:val="000000"/>
        </w:rPr>
        <w:t xml:space="preserve"> but reflecting any reduction of collateral or other relevant rule</w:t>
      </w:r>
      <w:r>
        <w:rPr>
          <w:rFonts w:ascii="Calibri" w:hAnsi="Calibri"/>
          <w:color w:val="000000"/>
        </w:rPr>
        <w:t>.</w:t>
      </w:r>
    </w:p>
    <w:p w14:paraId="1B395506" w14:textId="3BD4EBDF" w:rsidR="00534643" w:rsidRDefault="00534643" w:rsidP="00D3615D">
      <w:pPr>
        <w:numPr>
          <w:ilvl w:val="0"/>
          <w:numId w:val="70"/>
        </w:numPr>
        <w:spacing w:after="120"/>
        <w:ind w:left="714" w:hanging="357"/>
        <w:contextualSpacing/>
        <w:rPr>
          <w:rFonts w:ascii="Calibri" w:eastAsia="Calibri" w:hAnsi="Calibri"/>
          <w:b/>
          <w:bCs/>
          <w:i/>
          <w:iCs/>
          <w:color w:val="8064A2"/>
        </w:rPr>
      </w:pPr>
      <w:r w:rsidRPr="00E95745">
        <w:rPr>
          <w:rFonts w:ascii="Calibri" w:hAnsi="Calibri"/>
          <w:color w:val="000000"/>
        </w:rPr>
        <w:t>If you do not wish to reduce the counterparty risk amount by risk weighting, enter all calculated counterparty risk amounts in the 100% column</w:t>
      </w:r>
      <w:r>
        <w:rPr>
          <w:rFonts w:ascii="Calibri" w:hAnsi="Calibri"/>
          <w:color w:val="000000"/>
        </w:rPr>
        <w:t>.</w:t>
      </w:r>
    </w:p>
    <w:p w14:paraId="1E4E4357" w14:textId="7E64BADE" w:rsidR="00F65995" w:rsidRPr="001A4322" w:rsidRDefault="00534643" w:rsidP="00D3615D">
      <w:pPr>
        <w:numPr>
          <w:ilvl w:val="0"/>
          <w:numId w:val="70"/>
        </w:numPr>
        <w:spacing w:after="120"/>
        <w:ind w:left="714" w:hanging="357"/>
        <w:contextualSpacing/>
        <w:rPr>
          <w:rFonts w:ascii="Calibri" w:eastAsia="Calibri" w:hAnsi="Calibri"/>
          <w:b/>
          <w:bCs/>
          <w:i/>
          <w:iCs/>
          <w:color w:val="8064A2"/>
        </w:rPr>
      </w:pPr>
      <w:r w:rsidRPr="00534643">
        <w:rPr>
          <w:rFonts w:ascii="Calibri" w:hAnsi="Calibri"/>
          <w:color w:val="000000"/>
        </w:rPr>
        <w:t xml:space="preserve">For reporting purposes disclose the amount of collateral </w:t>
      </w:r>
      <w:r w:rsidRPr="00930407">
        <w:rPr>
          <w:rFonts w:ascii="Calibri" w:hAnsi="Calibri"/>
          <w:color w:val="000000"/>
        </w:rPr>
        <w:t>used</w:t>
      </w:r>
      <w:r w:rsidRPr="00534643">
        <w:rPr>
          <w:rFonts w:ascii="Calibri" w:hAnsi="Calibri"/>
          <w:color w:val="000000"/>
        </w:rPr>
        <w:t xml:space="preserve"> to reduce the counterparty risk amounts. Use the comment </w:t>
      </w:r>
      <w:r w:rsidR="00451E2D">
        <w:rPr>
          <w:rFonts w:ascii="Calibri" w:hAnsi="Calibri"/>
          <w:color w:val="000000"/>
        </w:rPr>
        <w:t>function</w:t>
      </w:r>
      <w:r w:rsidR="00451E2D" w:rsidRPr="00534643">
        <w:rPr>
          <w:rFonts w:ascii="Calibri" w:hAnsi="Calibri"/>
          <w:color w:val="000000"/>
        </w:rPr>
        <w:t xml:space="preserve"> </w:t>
      </w:r>
      <w:r w:rsidRPr="00534643">
        <w:rPr>
          <w:rFonts w:ascii="Calibri" w:hAnsi="Calibri"/>
          <w:color w:val="000000"/>
        </w:rPr>
        <w:t>to confirm that the collateral meets the eligibility criteria outlined in the ASIC Market Integrity Rules.</w:t>
      </w:r>
    </w:p>
    <w:p w14:paraId="7C8F9D1C" w14:textId="0D79D37A" w:rsidR="00203BCF" w:rsidRPr="00930407" w:rsidRDefault="00203BCF" w:rsidP="00D3615D">
      <w:pPr>
        <w:numPr>
          <w:ilvl w:val="0"/>
          <w:numId w:val="70"/>
        </w:numPr>
        <w:spacing w:after="120"/>
        <w:ind w:left="714" w:hanging="357"/>
        <w:contextualSpacing/>
        <w:rPr>
          <w:rFonts w:ascii="Calibri" w:eastAsia="Calibri" w:hAnsi="Calibri"/>
          <w:b/>
          <w:bCs/>
          <w:i/>
          <w:iCs/>
          <w:color w:val="8064A2"/>
        </w:rPr>
      </w:pPr>
      <w:r>
        <w:rPr>
          <w:rFonts w:ascii="Calibri" w:hAnsi="Calibri"/>
          <w:color w:val="000000"/>
        </w:rPr>
        <w:t>Provide an explanation of the trades unsettled by more than 2 Business Days</w:t>
      </w:r>
    </w:p>
    <w:p w14:paraId="1FE1F03B" w14:textId="0A303CF6" w:rsidR="00534643" w:rsidRDefault="00534643" w:rsidP="00930407">
      <w:pPr>
        <w:spacing w:after="200" w:line="276" w:lineRule="auto"/>
        <w:contextualSpacing/>
        <w:rPr>
          <w:rFonts w:ascii="Calibri" w:hAnsi="Calibri"/>
          <w:color w:val="00000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tblGrid>
      <w:tr w:rsidR="00534643" w:rsidRPr="00E95745" w14:paraId="41E3DE5B" w14:textId="77777777" w:rsidTr="001F4457">
        <w:tc>
          <w:tcPr>
            <w:tcW w:w="6101" w:type="dxa"/>
            <w:tcBorders>
              <w:top w:val="single" w:sz="4" w:space="0" w:color="auto"/>
              <w:left w:val="single" w:sz="4" w:space="0" w:color="auto"/>
              <w:bottom w:val="single" w:sz="4" w:space="0" w:color="auto"/>
              <w:right w:val="single" w:sz="4" w:space="0" w:color="auto"/>
            </w:tcBorders>
            <w:shd w:val="clear" w:color="auto" w:fill="0070C0"/>
          </w:tcPr>
          <w:p w14:paraId="26BD293D" w14:textId="30B78F77" w:rsidR="00534643" w:rsidRPr="00D3615D" w:rsidRDefault="0027441B" w:rsidP="00D3615D">
            <w:pPr>
              <w:spacing w:before="60" w:after="120"/>
              <w:rPr>
                <w:rFonts w:ascii="Calibri" w:eastAsia="Calibri" w:hAnsi="Calibri"/>
                <w:b/>
                <w:bCs/>
                <w:iCs/>
              </w:rPr>
            </w:pPr>
            <w:r w:rsidRPr="00E95745">
              <w:rPr>
                <w:rFonts w:ascii="Calibri" w:eastAsia="Calibri" w:hAnsi="Calibri" w:cs="Times New Roman"/>
                <w:b/>
                <w:bCs/>
                <w:iCs/>
                <w:color w:val="FFFFFF"/>
                <w:shd w:val="clear" w:color="auto" w:fill="0070C0"/>
              </w:rPr>
              <w:t>&gt;</w:t>
            </w:r>
            <w:r>
              <w:rPr>
                <w:rFonts w:ascii="Calibri" w:eastAsia="Calibri" w:hAnsi="Calibri"/>
                <w:b/>
                <w:bCs/>
                <w:iCs/>
                <w:color w:val="FFFFFF"/>
                <w:shd w:val="clear" w:color="auto" w:fill="0070C0"/>
              </w:rPr>
              <w:t xml:space="preserve"> </w:t>
            </w:r>
            <w:r w:rsidR="00534643" w:rsidRPr="00D3615D">
              <w:rPr>
                <w:rFonts w:ascii="Calibri" w:eastAsia="Calibri" w:hAnsi="Calibri"/>
                <w:b/>
                <w:bCs/>
                <w:iCs/>
                <w:color w:val="FFFFFF"/>
                <w:shd w:val="clear" w:color="auto" w:fill="0070C0"/>
              </w:rPr>
              <w:t>2 Business Days comment</w:t>
            </w:r>
          </w:p>
        </w:tc>
      </w:tr>
      <w:tr w:rsidR="004B591D" w:rsidRPr="00E95745" w14:paraId="1B7BDAA6" w14:textId="77777777" w:rsidTr="00D3615D">
        <w:trPr>
          <w:trHeight w:val="1010"/>
        </w:trPr>
        <w:tc>
          <w:tcPr>
            <w:tcW w:w="6101" w:type="dxa"/>
            <w:tcBorders>
              <w:top w:val="single" w:sz="4" w:space="0" w:color="auto"/>
              <w:left w:val="single" w:sz="4" w:space="0" w:color="auto"/>
              <w:bottom w:val="single" w:sz="4" w:space="0" w:color="auto"/>
              <w:right w:val="single" w:sz="4" w:space="0" w:color="auto"/>
            </w:tcBorders>
            <w:shd w:val="clear" w:color="auto" w:fill="auto"/>
          </w:tcPr>
          <w:p w14:paraId="6407D4CE" w14:textId="77777777" w:rsidR="004B591D" w:rsidRPr="00E95745" w:rsidRDefault="004B591D" w:rsidP="001F4457">
            <w:pPr>
              <w:rPr>
                <w:rFonts w:ascii="Calibri" w:eastAsia="Calibri" w:hAnsi="Calibri"/>
                <w:b/>
                <w:bCs/>
                <w:iCs/>
                <w:color w:val="FFFFFF"/>
                <w:shd w:val="clear" w:color="auto" w:fill="0070C0"/>
              </w:rPr>
            </w:pPr>
          </w:p>
        </w:tc>
      </w:tr>
      <w:tr w:rsidR="006B1F0F" w:rsidRPr="00E95745" w14:paraId="478C289A" w14:textId="77777777" w:rsidTr="00203BCF">
        <w:tc>
          <w:tcPr>
            <w:tcW w:w="6101" w:type="dxa"/>
            <w:tcBorders>
              <w:top w:val="single" w:sz="4" w:space="0" w:color="auto"/>
              <w:left w:val="single" w:sz="4" w:space="0" w:color="auto"/>
              <w:bottom w:val="single" w:sz="4" w:space="0" w:color="auto"/>
              <w:right w:val="single" w:sz="4" w:space="0" w:color="auto"/>
            </w:tcBorders>
            <w:shd w:val="clear" w:color="auto" w:fill="0070C0"/>
          </w:tcPr>
          <w:p w14:paraId="78CC0FEE" w14:textId="77777777" w:rsidR="006B1F0F" w:rsidRPr="00E95745" w:rsidRDefault="006B1F0F" w:rsidP="00203BCF">
            <w:pPr>
              <w:rPr>
                <w:rFonts w:ascii="Calibri" w:eastAsia="Calibri" w:hAnsi="Calibri" w:cs="Times New Roman"/>
                <w:b/>
                <w:bCs/>
                <w:iCs/>
              </w:rPr>
            </w:pPr>
            <w:r>
              <w:rPr>
                <w:rFonts w:ascii="Calibri" w:eastAsia="Calibri" w:hAnsi="Calibri" w:cs="Times New Roman"/>
                <w:b/>
                <w:bCs/>
                <w:iCs/>
                <w:color w:val="FFFFFF"/>
                <w:shd w:val="clear" w:color="auto" w:fill="0070C0"/>
              </w:rPr>
              <w:lastRenderedPageBreak/>
              <w:t>Collateral</w:t>
            </w:r>
            <w:r w:rsidRPr="00E95745">
              <w:rPr>
                <w:rFonts w:ascii="Calibri" w:eastAsia="Calibri" w:hAnsi="Calibri" w:cs="Times New Roman"/>
                <w:b/>
                <w:bCs/>
                <w:iCs/>
                <w:color w:val="FFFFFF"/>
                <w:shd w:val="clear" w:color="auto" w:fill="0070C0"/>
              </w:rPr>
              <w:t xml:space="preserve"> comment</w:t>
            </w:r>
          </w:p>
        </w:tc>
      </w:tr>
      <w:tr w:rsidR="006B1F0F" w:rsidRPr="00E95745" w14:paraId="4CBF9D42" w14:textId="77777777" w:rsidTr="00D3615D">
        <w:trPr>
          <w:trHeight w:val="891"/>
        </w:trPr>
        <w:tc>
          <w:tcPr>
            <w:tcW w:w="6101" w:type="dxa"/>
            <w:tcBorders>
              <w:top w:val="single" w:sz="4" w:space="0" w:color="auto"/>
              <w:left w:val="single" w:sz="4" w:space="0" w:color="auto"/>
              <w:bottom w:val="single" w:sz="4" w:space="0" w:color="auto"/>
              <w:right w:val="single" w:sz="4" w:space="0" w:color="auto"/>
            </w:tcBorders>
            <w:shd w:val="clear" w:color="auto" w:fill="auto"/>
          </w:tcPr>
          <w:p w14:paraId="66FE819F" w14:textId="77777777" w:rsidR="006B1F0F" w:rsidRPr="00E95745" w:rsidRDefault="006B1F0F" w:rsidP="00203BCF">
            <w:pPr>
              <w:rPr>
                <w:rFonts w:ascii="Calibri" w:eastAsia="Calibri" w:hAnsi="Calibri"/>
                <w:b/>
                <w:bCs/>
                <w:iCs/>
                <w:color w:val="FFFFFF"/>
                <w:shd w:val="clear" w:color="auto" w:fill="0070C0"/>
              </w:rPr>
            </w:pPr>
          </w:p>
        </w:tc>
      </w:tr>
    </w:tbl>
    <w:p w14:paraId="666E4F61" w14:textId="77777777" w:rsidR="00534643" w:rsidRPr="00930407" w:rsidRDefault="00534643" w:rsidP="00930407">
      <w:pPr>
        <w:spacing w:after="200" w:line="276" w:lineRule="auto"/>
        <w:contextualSpacing/>
        <w:rPr>
          <w:rFonts w:ascii="Calibri" w:eastAsia="Calibri" w:hAnsi="Calibri"/>
          <w:b/>
          <w:bCs/>
          <w:iCs/>
          <w:color w:val="8064A2"/>
        </w:rPr>
      </w:pPr>
    </w:p>
    <w:p w14:paraId="2BAC8BBA" w14:textId="2E811478" w:rsidR="00F65995" w:rsidRPr="00930407" w:rsidRDefault="00534643" w:rsidP="00D3615D">
      <w:pPr>
        <w:spacing w:before="240" w:after="120"/>
        <w:outlineLvl w:val="3"/>
        <w:rPr>
          <w:rFonts w:ascii="Calibri" w:hAnsi="Calibri" w:cs="Helvetica"/>
          <w:b/>
          <w:sz w:val="24"/>
          <w:szCs w:val="24"/>
          <w:lang w:val="en"/>
        </w:rPr>
      </w:pPr>
      <w:r w:rsidRPr="00930407">
        <w:rPr>
          <w:rFonts w:ascii="Calibri" w:hAnsi="Calibri" w:cs="Helvetica"/>
          <w:b/>
          <w:sz w:val="24"/>
          <w:szCs w:val="24"/>
          <w:lang w:val="en"/>
        </w:rPr>
        <w:t>Securities Lending and Borrowing method</w:t>
      </w:r>
    </w:p>
    <w:tbl>
      <w:tblPr>
        <w:tblW w:w="14988" w:type="dxa"/>
        <w:tblLook w:val="04A0" w:firstRow="1" w:lastRow="0" w:firstColumn="1" w:lastColumn="0" w:noHBand="0" w:noVBand="1"/>
      </w:tblPr>
      <w:tblGrid>
        <w:gridCol w:w="7366"/>
        <w:gridCol w:w="1271"/>
        <w:gridCol w:w="1271"/>
        <w:gridCol w:w="1270"/>
        <w:gridCol w:w="1270"/>
        <w:gridCol w:w="1270"/>
        <w:gridCol w:w="1270"/>
      </w:tblGrid>
      <w:tr w:rsidR="00534643" w:rsidRPr="00E95745" w14:paraId="512C13AA" w14:textId="77777777" w:rsidTr="00930407">
        <w:trPr>
          <w:trHeight w:val="261"/>
        </w:trPr>
        <w:tc>
          <w:tcPr>
            <w:tcW w:w="7366"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4CF92C16" w14:textId="1489EA45" w:rsidR="00534643" w:rsidRPr="00E95745" w:rsidRDefault="00534643" w:rsidP="00D3615D">
            <w:pPr>
              <w:spacing w:before="120" w:after="120"/>
              <w:rPr>
                <w:rFonts w:ascii="Calibri" w:hAnsi="Calibri"/>
                <w:b/>
                <w:bCs/>
                <w:color w:val="FFFFFF"/>
              </w:rPr>
            </w:pPr>
            <w:r w:rsidRPr="00E95745">
              <w:rPr>
                <w:rFonts w:ascii="Calibri" w:hAnsi="Calibri"/>
                <w:b/>
                <w:bCs/>
                <w:color w:val="FFFFFF"/>
              </w:rPr>
              <w:t xml:space="preserve">Risk </w:t>
            </w:r>
            <w:r>
              <w:rPr>
                <w:rFonts w:ascii="Calibri" w:hAnsi="Calibri"/>
                <w:b/>
                <w:bCs/>
                <w:color w:val="FFFFFF"/>
              </w:rPr>
              <w:t>a</w:t>
            </w:r>
            <w:r w:rsidRPr="00E95745">
              <w:rPr>
                <w:rFonts w:ascii="Calibri" w:hAnsi="Calibri"/>
                <w:b/>
                <w:bCs/>
                <w:color w:val="FFFFFF"/>
              </w:rPr>
              <w:t xml:space="preserve">mounts by </w:t>
            </w:r>
            <w:r>
              <w:rPr>
                <w:rFonts w:ascii="Calibri" w:hAnsi="Calibri"/>
                <w:b/>
                <w:bCs/>
                <w:color w:val="FFFFFF"/>
              </w:rPr>
              <w:t>c</w:t>
            </w:r>
            <w:r w:rsidRPr="00E95745">
              <w:rPr>
                <w:rFonts w:ascii="Calibri" w:hAnsi="Calibri"/>
                <w:b/>
                <w:bCs/>
                <w:color w:val="FFFFFF"/>
              </w:rPr>
              <w:t xml:space="preserve">ounterparty </w:t>
            </w:r>
            <w:r>
              <w:rPr>
                <w:rFonts w:ascii="Calibri" w:hAnsi="Calibri"/>
                <w:b/>
                <w:bCs/>
                <w:color w:val="FFFFFF"/>
              </w:rPr>
              <w:t>r</w:t>
            </w:r>
            <w:r w:rsidRPr="00E95745">
              <w:rPr>
                <w:rFonts w:ascii="Calibri" w:hAnsi="Calibri"/>
                <w:b/>
                <w:bCs/>
                <w:color w:val="FFFFFF"/>
              </w:rPr>
              <w:t xml:space="preserve">isk </w:t>
            </w:r>
            <w:r>
              <w:rPr>
                <w:rFonts w:ascii="Calibri" w:hAnsi="Calibri"/>
                <w:b/>
                <w:bCs/>
                <w:color w:val="FFFFFF"/>
              </w:rPr>
              <w:t>w</w:t>
            </w:r>
            <w:r w:rsidRPr="00E95745">
              <w:rPr>
                <w:rFonts w:ascii="Calibri" w:hAnsi="Calibri"/>
                <w:b/>
                <w:bCs/>
                <w:color w:val="FFFFFF"/>
              </w:rPr>
              <w:t xml:space="preserve">eighting (CRW) </w:t>
            </w:r>
            <w:r>
              <w:rPr>
                <w:rFonts w:ascii="Calibri" w:hAnsi="Calibri"/>
                <w:b/>
                <w:bCs/>
                <w:color w:val="FFFFFF"/>
              </w:rPr>
              <w:t>c</w:t>
            </w:r>
            <w:r w:rsidRPr="00E95745">
              <w:rPr>
                <w:rFonts w:ascii="Calibri" w:hAnsi="Calibri"/>
                <w:b/>
                <w:bCs/>
                <w:color w:val="FFFFFF"/>
              </w:rPr>
              <w:t>ategory</w:t>
            </w:r>
          </w:p>
        </w:tc>
        <w:tc>
          <w:tcPr>
            <w:tcW w:w="1271"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E1D18EB" w14:textId="77777777" w:rsidR="00534643" w:rsidRPr="00E95745" w:rsidRDefault="00534643" w:rsidP="00D3615D">
            <w:pPr>
              <w:spacing w:before="120" w:after="120"/>
              <w:rPr>
                <w:rFonts w:ascii="Calibri" w:hAnsi="Calibri"/>
                <w:b/>
                <w:bCs/>
                <w:color w:val="FFFFFF"/>
              </w:rPr>
            </w:pPr>
            <w:r w:rsidRPr="00E95745">
              <w:rPr>
                <w:rFonts w:ascii="Calibri" w:hAnsi="Calibri"/>
                <w:b/>
                <w:bCs/>
                <w:color w:val="FFFFFF"/>
              </w:rPr>
              <w:t>0%</w:t>
            </w:r>
          </w:p>
        </w:tc>
        <w:tc>
          <w:tcPr>
            <w:tcW w:w="1271"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D51A972" w14:textId="77777777" w:rsidR="00534643" w:rsidRPr="00E95745" w:rsidRDefault="00534643" w:rsidP="00D3615D">
            <w:pPr>
              <w:spacing w:before="120" w:after="120"/>
              <w:rPr>
                <w:rFonts w:ascii="Calibri" w:hAnsi="Calibri"/>
                <w:b/>
                <w:bCs/>
                <w:color w:val="FFFFFF"/>
              </w:rPr>
            </w:pPr>
            <w:r w:rsidRPr="00E95745">
              <w:rPr>
                <w:rFonts w:ascii="Calibri" w:hAnsi="Calibri"/>
                <w:b/>
                <w:bCs/>
                <w:color w:val="FFFFFF"/>
              </w:rPr>
              <w:t>10%</w:t>
            </w:r>
          </w:p>
        </w:tc>
        <w:tc>
          <w:tcPr>
            <w:tcW w:w="1270"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0DE2520" w14:textId="77777777" w:rsidR="00534643" w:rsidRPr="00E95745" w:rsidRDefault="00534643" w:rsidP="00D3615D">
            <w:pPr>
              <w:spacing w:before="120" w:after="120"/>
              <w:rPr>
                <w:rFonts w:ascii="Calibri" w:hAnsi="Calibri"/>
                <w:b/>
                <w:bCs/>
                <w:color w:val="FFFFFF"/>
              </w:rPr>
            </w:pPr>
            <w:r w:rsidRPr="00E95745">
              <w:rPr>
                <w:rFonts w:ascii="Calibri" w:hAnsi="Calibri"/>
                <w:b/>
                <w:bCs/>
                <w:color w:val="FFFFFF"/>
              </w:rPr>
              <w:t>20%</w:t>
            </w:r>
          </w:p>
        </w:tc>
        <w:tc>
          <w:tcPr>
            <w:tcW w:w="1270"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54304A2" w14:textId="77777777" w:rsidR="00534643" w:rsidRPr="00E95745" w:rsidRDefault="00534643" w:rsidP="00D3615D">
            <w:pPr>
              <w:spacing w:before="120" w:after="120"/>
              <w:rPr>
                <w:rFonts w:ascii="Calibri" w:hAnsi="Calibri"/>
                <w:b/>
                <w:bCs/>
                <w:color w:val="FFFFFF"/>
              </w:rPr>
            </w:pPr>
            <w:r w:rsidRPr="00E95745">
              <w:rPr>
                <w:rFonts w:ascii="Calibri" w:hAnsi="Calibri"/>
                <w:b/>
                <w:bCs/>
                <w:color w:val="FFFFFF"/>
              </w:rPr>
              <w:t>50%</w:t>
            </w:r>
          </w:p>
        </w:tc>
        <w:tc>
          <w:tcPr>
            <w:tcW w:w="1270"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71583AE" w14:textId="77777777" w:rsidR="00534643" w:rsidRPr="00E95745" w:rsidRDefault="00534643" w:rsidP="00D3615D">
            <w:pPr>
              <w:spacing w:before="120" w:after="120"/>
              <w:rPr>
                <w:rFonts w:ascii="Calibri" w:hAnsi="Calibri"/>
                <w:b/>
                <w:bCs/>
                <w:color w:val="FFFFFF"/>
              </w:rPr>
            </w:pPr>
            <w:r w:rsidRPr="00E95745">
              <w:rPr>
                <w:rFonts w:ascii="Calibri" w:hAnsi="Calibri"/>
                <w:b/>
                <w:bCs/>
                <w:color w:val="FFFFFF"/>
              </w:rPr>
              <w:t>100%</w:t>
            </w:r>
          </w:p>
        </w:tc>
        <w:tc>
          <w:tcPr>
            <w:tcW w:w="1270"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F699954" w14:textId="77777777" w:rsidR="00534643" w:rsidRPr="00E95745" w:rsidRDefault="00534643" w:rsidP="00D3615D">
            <w:pPr>
              <w:spacing w:before="120" w:after="120"/>
              <w:rPr>
                <w:rFonts w:ascii="Calibri" w:hAnsi="Calibri"/>
                <w:b/>
                <w:bCs/>
                <w:color w:val="FFFFFF"/>
              </w:rPr>
            </w:pPr>
            <w:r w:rsidRPr="00E95745">
              <w:rPr>
                <w:rFonts w:ascii="Calibri" w:hAnsi="Calibri"/>
                <w:b/>
                <w:bCs/>
                <w:color w:val="FFFFFF"/>
              </w:rPr>
              <w:t>Total</w:t>
            </w:r>
          </w:p>
        </w:tc>
      </w:tr>
      <w:tr w:rsidR="00534643" w:rsidRPr="00E95745" w14:paraId="2310687D" w14:textId="77777777" w:rsidTr="00930407">
        <w:trPr>
          <w:trHeight w:val="550"/>
        </w:trPr>
        <w:tc>
          <w:tcPr>
            <w:tcW w:w="73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FB4D08" w14:textId="77777777" w:rsidR="00534643" w:rsidRPr="00E95745" w:rsidRDefault="00534643" w:rsidP="00D3615D">
            <w:pPr>
              <w:spacing w:before="120" w:after="40"/>
              <w:rPr>
                <w:rFonts w:ascii="Calibri" w:hAnsi="Calibri"/>
                <w:color w:val="000000"/>
              </w:rPr>
            </w:pPr>
            <w:r w:rsidRPr="00D3615D">
              <w:rPr>
                <w:rFonts w:ascii="Calibri" w:hAnsi="Calibri"/>
                <w:color w:val="000000"/>
              </w:rPr>
              <w:t>Option 1a: Counterparty exposure is greater than $10,000, and counterparty exposure is 15% (or less) of the market value of Equity/Debt Instruments/cash received: (8% of counterparty exposure)</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C6F171" w14:textId="0C0E28F1" w:rsidR="00534643" w:rsidRPr="00D3615D" w:rsidRDefault="00534643" w:rsidP="00D3615D">
            <w:pPr>
              <w:spacing w:before="120" w:after="40"/>
              <w:rPr>
                <w:rFonts w:ascii="Calibri" w:hAnsi="Calibri"/>
                <w:color w:val="000000"/>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9451A" w14:textId="46F6FB29" w:rsidR="00534643" w:rsidRPr="00D3615D" w:rsidRDefault="00534643" w:rsidP="00D3615D">
            <w:pPr>
              <w:spacing w:before="120" w:after="40"/>
              <w:rPr>
                <w:rFonts w:ascii="Calibri" w:hAnsi="Calibri"/>
                <w:color w:val="000000"/>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CFA77" w14:textId="3347077C" w:rsidR="00534643" w:rsidRPr="00D3615D" w:rsidRDefault="00534643" w:rsidP="00D3615D">
            <w:pPr>
              <w:spacing w:before="120" w:after="40"/>
              <w:rPr>
                <w:rFonts w:ascii="Calibri" w:hAnsi="Calibri"/>
                <w:color w:val="000000"/>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1A989" w14:textId="54BEB588" w:rsidR="00534643" w:rsidRPr="00D3615D" w:rsidRDefault="00534643" w:rsidP="00D3615D">
            <w:pPr>
              <w:spacing w:before="120" w:after="40"/>
              <w:rPr>
                <w:rFonts w:ascii="Calibri" w:hAnsi="Calibri"/>
                <w:color w:val="000000"/>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419B72" w14:textId="4EDECF2C" w:rsidR="00534643" w:rsidRPr="00D3615D" w:rsidRDefault="00534643" w:rsidP="00D3615D">
            <w:pPr>
              <w:spacing w:before="120" w:after="40"/>
              <w:rPr>
                <w:rFonts w:ascii="Calibri" w:hAnsi="Calibri"/>
                <w:color w:val="000000"/>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F56AD6" w14:textId="21D3A146" w:rsidR="00534643" w:rsidRPr="00D3615D" w:rsidRDefault="00534643" w:rsidP="00D3615D">
            <w:pPr>
              <w:spacing w:before="120" w:after="40"/>
              <w:rPr>
                <w:rFonts w:ascii="Calibri" w:hAnsi="Calibri"/>
                <w:color w:val="000000"/>
              </w:rPr>
            </w:pPr>
          </w:p>
        </w:tc>
      </w:tr>
      <w:tr w:rsidR="00534643" w:rsidRPr="00E95745" w14:paraId="02F83CC1" w14:textId="77777777" w:rsidTr="00930407">
        <w:trPr>
          <w:trHeight w:val="550"/>
        </w:trPr>
        <w:tc>
          <w:tcPr>
            <w:tcW w:w="73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854798" w14:textId="77777777" w:rsidR="00534643" w:rsidRPr="00E95745" w:rsidRDefault="00534643" w:rsidP="00D3615D">
            <w:pPr>
              <w:spacing w:before="120" w:after="40"/>
              <w:rPr>
                <w:rFonts w:ascii="Calibri" w:hAnsi="Calibri"/>
                <w:color w:val="000000"/>
              </w:rPr>
            </w:pPr>
            <w:r w:rsidRPr="00D3615D">
              <w:rPr>
                <w:rFonts w:ascii="Calibri" w:hAnsi="Calibri"/>
                <w:color w:val="000000"/>
              </w:rPr>
              <w:t>Option 1b: Counterparty exposure is greater than $10,000, and counterparty exposure is greater than 15% of the market value of Equity/Debt Instruments/cash received: (sum of 8% of 15% of value received, plus the difference between counterparty exposure and 15% of value received)</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8774C" w14:textId="2BDA35B9" w:rsidR="00534643" w:rsidRPr="00D3615D" w:rsidRDefault="00534643" w:rsidP="00D3615D">
            <w:pPr>
              <w:spacing w:before="120" w:after="40"/>
              <w:rPr>
                <w:rFonts w:ascii="Calibri" w:hAnsi="Calibri"/>
                <w:color w:val="000000"/>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579B9" w14:textId="2849A20B" w:rsidR="00534643" w:rsidRPr="00D3615D" w:rsidRDefault="00534643" w:rsidP="00D3615D">
            <w:pPr>
              <w:spacing w:before="120" w:after="40"/>
              <w:rPr>
                <w:rFonts w:ascii="Calibri" w:hAnsi="Calibri"/>
                <w:color w:val="000000"/>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3B8341" w14:textId="39987191" w:rsidR="00534643" w:rsidRPr="00D3615D" w:rsidRDefault="00534643" w:rsidP="00D3615D">
            <w:pPr>
              <w:spacing w:before="120" w:after="40"/>
              <w:rPr>
                <w:rFonts w:ascii="Calibri" w:hAnsi="Calibri"/>
                <w:color w:val="000000"/>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270E4E" w14:textId="550EF34B" w:rsidR="00534643" w:rsidRPr="00D3615D" w:rsidRDefault="00534643" w:rsidP="00D3615D">
            <w:pPr>
              <w:spacing w:before="120" w:after="40"/>
              <w:rPr>
                <w:rFonts w:ascii="Calibri" w:hAnsi="Calibri"/>
                <w:color w:val="000000"/>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5CC14A" w14:textId="7E63C87A" w:rsidR="00534643" w:rsidRPr="00D3615D" w:rsidRDefault="00534643" w:rsidP="00D3615D">
            <w:pPr>
              <w:spacing w:before="120" w:after="40"/>
              <w:rPr>
                <w:rFonts w:ascii="Calibri" w:hAnsi="Calibri"/>
                <w:color w:val="000000"/>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7036F0" w14:textId="16455F40" w:rsidR="00534643" w:rsidRPr="00D3615D" w:rsidRDefault="00534643" w:rsidP="00D3615D">
            <w:pPr>
              <w:spacing w:before="120" w:after="40"/>
              <w:rPr>
                <w:rFonts w:ascii="Calibri" w:hAnsi="Calibri"/>
                <w:color w:val="000000"/>
              </w:rPr>
            </w:pPr>
          </w:p>
        </w:tc>
      </w:tr>
      <w:tr w:rsidR="00534643" w:rsidRPr="00E95745" w14:paraId="7AE62B6B" w14:textId="77777777" w:rsidTr="00930407">
        <w:trPr>
          <w:trHeight w:val="70"/>
        </w:trPr>
        <w:tc>
          <w:tcPr>
            <w:tcW w:w="73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3F67FF" w14:textId="77777777" w:rsidR="00534643" w:rsidRPr="00E95745" w:rsidRDefault="00534643" w:rsidP="00D3615D">
            <w:pPr>
              <w:spacing w:before="120" w:after="40"/>
              <w:rPr>
                <w:rFonts w:ascii="Calibri" w:hAnsi="Calibri"/>
                <w:color w:val="000000"/>
              </w:rPr>
            </w:pPr>
            <w:r w:rsidRPr="00D3615D">
              <w:rPr>
                <w:rFonts w:ascii="Calibri" w:hAnsi="Calibri"/>
                <w:color w:val="000000"/>
              </w:rPr>
              <w:t>Option 2: Counterparty exposure is greater than $10,000, no written agreement for netting across transactions and/or participant elects not to use option 1a and 1b: (100% of counterparty exposure)</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557BE" w14:textId="578C33E6" w:rsidR="00534643" w:rsidRPr="00D3615D" w:rsidRDefault="00534643" w:rsidP="00D3615D">
            <w:pPr>
              <w:spacing w:before="120" w:after="40"/>
              <w:rPr>
                <w:rFonts w:ascii="Calibri" w:hAnsi="Calibri"/>
                <w:color w:val="000000"/>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83BDAD" w14:textId="53AAB91B" w:rsidR="00534643" w:rsidRPr="00D3615D" w:rsidRDefault="00534643" w:rsidP="00D3615D">
            <w:pPr>
              <w:spacing w:before="120" w:after="40"/>
              <w:rPr>
                <w:rFonts w:ascii="Calibri" w:hAnsi="Calibri"/>
                <w:color w:val="000000"/>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106022" w14:textId="02AA206D" w:rsidR="00534643" w:rsidRPr="00D3615D" w:rsidRDefault="00534643" w:rsidP="00D3615D">
            <w:pPr>
              <w:spacing w:before="120" w:after="40"/>
              <w:rPr>
                <w:rFonts w:ascii="Calibri" w:hAnsi="Calibri"/>
                <w:color w:val="000000"/>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4B379" w14:textId="25532B20" w:rsidR="00534643" w:rsidRPr="00D3615D" w:rsidRDefault="00534643" w:rsidP="00D3615D">
            <w:pPr>
              <w:spacing w:before="120" w:after="40"/>
              <w:rPr>
                <w:rFonts w:ascii="Calibri" w:hAnsi="Calibri"/>
                <w:color w:val="000000"/>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5E880" w14:textId="0CAEB49A" w:rsidR="00534643" w:rsidRPr="00D3615D" w:rsidRDefault="00534643" w:rsidP="00D3615D">
            <w:pPr>
              <w:spacing w:before="120" w:after="40"/>
              <w:rPr>
                <w:rFonts w:ascii="Calibri" w:hAnsi="Calibri"/>
                <w:color w:val="000000"/>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52B2D" w14:textId="6D4BB6BF" w:rsidR="00534643" w:rsidRPr="00D3615D" w:rsidRDefault="00534643" w:rsidP="00D3615D">
            <w:pPr>
              <w:spacing w:before="120" w:after="40"/>
              <w:rPr>
                <w:rFonts w:ascii="Calibri" w:hAnsi="Calibri"/>
                <w:color w:val="000000"/>
              </w:rPr>
            </w:pPr>
          </w:p>
        </w:tc>
      </w:tr>
      <w:tr w:rsidR="00534643" w:rsidRPr="00E95745" w14:paraId="37DF582D" w14:textId="77777777" w:rsidTr="00930407">
        <w:trPr>
          <w:trHeight w:val="245"/>
        </w:trPr>
        <w:tc>
          <w:tcPr>
            <w:tcW w:w="73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1CB269" w14:textId="77777777" w:rsidR="00534643" w:rsidRPr="00E95745" w:rsidRDefault="00534643" w:rsidP="00D3615D">
            <w:pPr>
              <w:spacing w:before="120" w:after="40"/>
              <w:rPr>
                <w:rFonts w:ascii="Calibri" w:hAnsi="Calibri"/>
                <w:color w:val="000000"/>
              </w:rPr>
            </w:pPr>
            <w:r w:rsidRPr="00D3615D">
              <w:rPr>
                <w:rFonts w:ascii="Calibri" w:hAnsi="Calibri"/>
                <w:color w:val="000000"/>
              </w:rPr>
              <w:t>Subtotal – unweighted amounts</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F560CD" w14:textId="0759B2CA" w:rsidR="00534643" w:rsidRPr="00D3615D" w:rsidRDefault="00534643" w:rsidP="00D3615D">
            <w:pPr>
              <w:spacing w:before="120" w:after="40"/>
              <w:rPr>
                <w:rFonts w:ascii="Calibri" w:hAnsi="Calibri"/>
                <w:color w:val="000000"/>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F7FA6" w14:textId="51F6E270" w:rsidR="00534643" w:rsidRPr="00D3615D" w:rsidRDefault="00534643" w:rsidP="00D3615D">
            <w:pPr>
              <w:spacing w:before="120" w:after="40"/>
              <w:rPr>
                <w:rFonts w:ascii="Calibri" w:hAnsi="Calibri"/>
                <w:color w:val="000000"/>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0E1B6" w14:textId="5E6E8BD2" w:rsidR="00534643" w:rsidRPr="00D3615D" w:rsidRDefault="00534643" w:rsidP="00D3615D">
            <w:pPr>
              <w:spacing w:before="120" w:after="40"/>
              <w:rPr>
                <w:rFonts w:ascii="Calibri" w:hAnsi="Calibri"/>
                <w:color w:val="000000"/>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7FFE39" w14:textId="5574019B" w:rsidR="00534643" w:rsidRPr="00D3615D" w:rsidRDefault="00534643" w:rsidP="00D3615D">
            <w:pPr>
              <w:spacing w:before="120" w:after="40"/>
              <w:rPr>
                <w:rFonts w:ascii="Calibri" w:hAnsi="Calibri"/>
                <w:color w:val="000000"/>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48BB55" w14:textId="507FE4A9" w:rsidR="00534643" w:rsidRPr="00D3615D" w:rsidRDefault="00534643" w:rsidP="00D3615D">
            <w:pPr>
              <w:spacing w:before="120" w:after="40"/>
              <w:rPr>
                <w:rFonts w:ascii="Calibri" w:hAnsi="Calibri"/>
                <w:color w:val="000000"/>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771A4" w14:textId="38AFEF66" w:rsidR="00534643" w:rsidRPr="00D3615D" w:rsidRDefault="00534643" w:rsidP="00D3615D">
            <w:pPr>
              <w:spacing w:before="120" w:after="40"/>
              <w:rPr>
                <w:rFonts w:ascii="Calibri" w:hAnsi="Calibri"/>
                <w:color w:val="000000"/>
              </w:rPr>
            </w:pPr>
          </w:p>
        </w:tc>
      </w:tr>
      <w:tr w:rsidR="00534643" w:rsidRPr="00E95745" w14:paraId="273DD01D" w14:textId="77777777" w:rsidTr="00930407">
        <w:trPr>
          <w:trHeight w:val="275"/>
        </w:trPr>
        <w:tc>
          <w:tcPr>
            <w:tcW w:w="73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4687A6" w14:textId="77777777" w:rsidR="00534643" w:rsidRPr="00D3615D" w:rsidRDefault="00534643" w:rsidP="00D3615D">
            <w:pPr>
              <w:spacing w:before="120" w:after="40"/>
              <w:rPr>
                <w:rFonts w:ascii="Calibri" w:hAnsi="Calibri"/>
                <w:b/>
                <w:color w:val="000000"/>
              </w:rPr>
            </w:pPr>
            <w:r w:rsidRPr="00D3615D">
              <w:rPr>
                <w:rFonts w:ascii="Calibri" w:hAnsi="Calibri"/>
                <w:b/>
                <w:color w:val="000000"/>
              </w:rPr>
              <w:t>Total risk amounts – weighted by CRW</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EA1DA" w14:textId="525D8D59" w:rsidR="00534643" w:rsidRPr="00D3615D" w:rsidRDefault="00534643" w:rsidP="00D3615D">
            <w:pPr>
              <w:spacing w:before="120" w:after="40"/>
              <w:rPr>
                <w:rFonts w:ascii="Calibri" w:hAnsi="Calibri"/>
                <w:color w:val="000000"/>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240B07" w14:textId="38B6A826" w:rsidR="00534643" w:rsidRPr="00D3615D" w:rsidRDefault="00534643" w:rsidP="00D3615D">
            <w:pPr>
              <w:spacing w:before="120" w:after="40"/>
              <w:rPr>
                <w:rFonts w:ascii="Calibri" w:hAnsi="Calibri"/>
                <w:color w:val="000000"/>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C7D56C" w14:textId="5A242BF1" w:rsidR="00534643" w:rsidRPr="00D3615D" w:rsidRDefault="00534643" w:rsidP="00D3615D">
            <w:pPr>
              <w:spacing w:before="120" w:after="40"/>
              <w:rPr>
                <w:rFonts w:ascii="Calibri" w:hAnsi="Calibri"/>
                <w:color w:val="000000"/>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36DD2" w14:textId="20BBA7E1" w:rsidR="00534643" w:rsidRPr="00D3615D" w:rsidRDefault="00534643" w:rsidP="00D3615D">
            <w:pPr>
              <w:spacing w:before="120" w:after="40"/>
              <w:rPr>
                <w:rFonts w:ascii="Calibri" w:hAnsi="Calibri"/>
                <w:color w:val="000000"/>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A8E61B" w14:textId="27707816" w:rsidR="00534643" w:rsidRPr="00D3615D" w:rsidRDefault="00534643" w:rsidP="00D3615D">
            <w:pPr>
              <w:spacing w:before="120" w:after="40"/>
              <w:rPr>
                <w:rFonts w:ascii="Calibri" w:hAnsi="Calibri"/>
                <w:color w:val="000000"/>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08B53" w14:textId="172CA988" w:rsidR="00534643" w:rsidRPr="00D3615D" w:rsidRDefault="00534643" w:rsidP="00D3615D">
            <w:pPr>
              <w:spacing w:before="120" w:after="40"/>
              <w:rPr>
                <w:rFonts w:ascii="Calibri" w:hAnsi="Calibri"/>
                <w:color w:val="000000"/>
              </w:rPr>
            </w:pPr>
          </w:p>
        </w:tc>
      </w:tr>
    </w:tbl>
    <w:p w14:paraId="60FB5BB5" w14:textId="77777777" w:rsidR="0027441B" w:rsidRPr="00D3615D" w:rsidRDefault="0027441B" w:rsidP="00D3615D">
      <w:pPr>
        <w:spacing w:after="200" w:line="276" w:lineRule="auto"/>
        <w:contextualSpacing/>
        <w:rPr>
          <w:rFonts w:ascii="Calibri" w:eastAsia="Calibri" w:hAnsi="Calibri"/>
          <w:b/>
          <w:bCs/>
          <w:i/>
          <w:iCs/>
          <w:color w:val="8064A2"/>
          <w:sz w:val="16"/>
          <w:szCs w:val="16"/>
        </w:rPr>
      </w:pPr>
    </w:p>
    <w:p w14:paraId="29372FDF" w14:textId="6601753C" w:rsidR="00534643" w:rsidRPr="00D3615D" w:rsidRDefault="00534643" w:rsidP="00D3615D">
      <w:pPr>
        <w:numPr>
          <w:ilvl w:val="0"/>
          <w:numId w:val="70"/>
        </w:numPr>
        <w:spacing w:after="120"/>
        <w:ind w:left="714" w:hanging="357"/>
        <w:contextualSpacing/>
        <w:rPr>
          <w:rFonts w:ascii="Calibri" w:hAnsi="Calibri"/>
          <w:color w:val="000000"/>
        </w:rPr>
      </w:pPr>
      <w:r w:rsidRPr="00E95745">
        <w:rPr>
          <w:rFonts w:ascii="Calibri" w:hAnsi="Calibri"/>
          <w:color w:val="000000"/>
        </w:rPr>
        <w:t>Input calculated counterparty risk amounts pre-risk weighted</w:t>
      </w:r>
      <w:r>
        <w:rPr>
          <w:rFonts w:ascii="Calibri" w:hAnsi="Calibri"/>
          <w:color w:val="000000"/>
        </w:rPr>
        <w:t>.</w:t>
      </w:r>
    </w:p>
    <w:p w14:paraId="28FB1A2F" w14:textId="24C55463" w:rsidR="00534643" w:rsidRPr="00D3615D" w:rsidRDefault="00534643" w:rsidP="00D3615D">
      <w:pPr>
        <w:numPr>
          <w:ilvl w:val="0"/>
          <w:numId w:val="70"/>
        </w:numPr>
        <w:spacing w:after="120"/>
        <w:ind w:left="714" w:hanging="357"/>
        <w:contextualSpacing/>
        <w:rPr>
          <w:rFonts w:ascii="Calibri" w:hAnsi="Calibri"/>
          <w:color w:val="000000"/>
        </w:rPr>
      </w:pPr>
      <w:r w:rsidRPr="00534643">
        <w:rPr>
          <w:rFonts w:ascii="Calibri" w:hAnsi="Calibri"/>
          <w:color w:val="000000"/>
        </w:rPr>
        <w:t>If you do not wish to reduce the counterparty risk amount by risk weighting, enter all calculated counterparty risk amounts in the 100% column.</w:t>
      </w:r>
    </w:p>
    <w:p w14:paraId="61A4C912" w14:textId="75498798" w:rsidR="00534643" w:rsidRDefault="0088216E" w:rsidP="00D3615D">
      <w:pPr>
        <w:numPr>
          <w:ilvl w:val="0"/>
          <w:numId w:val="70"/>
        </w:numPr>
        <w:spacing w:after="120"/>
        <w:ind w:left="714" w:hanging="357"/>
        <w:contextualSpacing/>
        <w:rPr>
          <w:rFonts w:ascii="Calibri" w:hAnsi="Calibri"/>
          <w:color w:val="000000"/>
        </w:rPr>
      </w:pPr>
      <w:r w:rsidRPr="0027441B">
        <w:rPr>
          <w:rFonts w:ascii="Calibri" w:hAnsi="Calibri"/>
          <w:color w:val="000000"/>
        </w:rPr>
        <w:t>For Option 1b input the sum of: 8% of the counterparty exposure (for the part of the exposure less than or equal to 15% of the market value of the Equity/Debt Instrument or cash received) and 100% of the counterparty exposure (for the part of the exposure greater than 15% of the market value of the Equity/Debt Instrument or cash received).</w:t>
      </w:r>
      <w:r w:rsidR="0027441B" w:rsidRPr="00D3615D" w:rsidDel="0027441B">
        <w:rPr>
          <w:rFonts w:ascii="Calibri" w:hAnsi="Calibri"/>
          <w:color w:val="000000"/>
        </w:rPr>
        <w:t xml:space="preserve"> </w:t>
      </w:r>
    </w:p>
    <w:p w14:paraId="546E72A4" w14:textId="31294D10" w:rsidR="00534643" w:rsidRPr="00930407" w:rsidRDefault="00534643" w:rsidP="00D3615D">
      <w:pPr>
        <w:keepNext/>
        <w:spacing w:before="240" w:after="120"/>
        <w:outlineLvl w:val="3"/>
        <w:rPr>
          <w:rFonts w:ascii="Calibri" w:hAnsi="Calibri" w:cs="Helvetica"/>
          <w:b/>
          <w:sz w:val="24"/>
          <w:szCs w:val="24"/>
          <w:lang w:val="en"/>
        </w:rPr>
      </w:pPr>
      <w:r w:rsidRPr="00930407">
        <w:rPr>
          <w:rFonts w:ascii="Calibri" w:hAnsi="Calibri" w:cs="Helvetica"/>
          <w:b/>
          <w:sz w:val="24"/>
          <w:szCs w:val="24"/>
          <w:lang w:val="en"/>
        </w:rPr>
        <w:lastRenderedPageBreak/>
        <w:t>Margined Financial Instruments method</w:t>
      </w:r>
    </w:p>
    <w:tbl>
      <w:tblPr>
        <w:tblW w:w="15037" w:type="dxa"/>
        <w:tblLook w:val="04A0" w:firstRow="1" w:lastRow="0" w:firstColumn="1" w:lastColumn="0" w:noHBand="0" w:noVBand="1"/>
      </w:tblPr>
      <w:tblGrid>
        <w:gridCol w:w="7225"/>
        <w:gridCol w:w="1302"/>
        <w:gridCol w:w="1302"/>
        <w:gridCol w:w="1302"/>
        <w:gridCol w:w="1302"/>
        <w:gridCol w:w="1302"/>
        <w:gridCol w:w="1302"/>
      </w:tblGrid>
      <w:tr w:rsidR="00534643" w:rsidRPr="00E95745" w14:paraId="5AE70A07" w14:textId="77777777" w:rsidTr="00930407">
        <w:trPr>
          <w:trHeight w:val="376"/>
        </w:trPr>
        <w:tc>
          <w:tcPr>
            <w:tcW w:w="722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77C08E52" w14:textId="22D64992" w:rsidR="00534643" w:rsidRPr="00E95745" w:rsidRDefault="00534643" w:rsidP="00D3615D">
            <w:pPr>
              <w:spacing w:before="120" w:after="120"/>
              <w:rPr>
                <w:rFonts w:ascii="Calibri" w:hAnsi="Calibri"/>
                <w:b/>
                <w:bCs/>
                <w:color w:val="FFFFFF"/>
              </w:rPr>
            </w:pPr>
            <w:r w:rsidRPr="00D3615D">
              <w:rPr>
                <w:rFonts w:ascii="Calibri" w:hAnsi="Calibri"/>
                <w:b/>
                <w:bCs/>
                <w:color w:val="FFFFFF"/>
              </w:rPr>
              <w:t>Risk amounts by counterparty risk weighting (CRW) category</w:t>
            </w:r>
          </w:p>
        </w:tc>
        <w:tc>
          <w:tcPr>
            <w:tcW w:w="1302"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120DF8B" w14:textId="77777777" w:rsidR="00534643" w:rsidRPr="00E95745" w:rsidRDefault="00534643" w:rsidP="00D3615D">
            <w:pPr>
              <w:spacing w:before="120" w:after="120"/>
              <w:rPr>
                <w:rFonts w:ascii="Calibri" w:hAnsi="Calibri"/>
                <w:b/>
                <w:bCs/>
                <w:color w:val="FFFFFF"/>
              </w:rPr>
            </w:pPr>
            <w:r w:rsidRPr="00E95745">
              <w:rPr>
                <w:rFonts w:ascii="Calibri" w:hAnsi="Calibri"/>
                <w:b/>
                <w:bCs/>
                <w:color w:val="FFFFFF"/>
              </w:rPr>
              <w:t>0%</w:t>
            </w:r>
          </w:p>
        </w:tc>
        <w:tc>
          <w:tcPr>
            <w:tcW w:w="1302"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52CA5CC" w14:textId="77777777" w:rsidR="00534643" w:rsidRPr="00E95745" w:rsidRDefault="00534643" w:rsidP="00D3615D">
            <w:pPr>
              <w:spacing w:before="120" w:after="120"/>
              <w:rPr>
                <w:rFonts w:ascii="Calibri" w:hAnsi="Calibri"/>
                <w:b/>
                <w:bCs/>
                <w:color w:val="FFFFFF"/>
              </w:rPr>
            </w:pPr>
            <w:r w:rsidRPr="00E95745">
              <w:rPr>
                <w:rFonts w:ascii="Calibri" w:hAnsi="Calibri"/>
                <w:b/>
                <w:bCs/>
                <w:color w:val="FFFFFF"/>
              </w:rPr>
              <w:t>10%</w:t>
            </w:r>
          </w:p>
        </w:tc>
        <w:tc>
          <w:tcPr>
            <w:tcW w:w="1302"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CE155D5" w14:textId="77777777" w:rsidR="00534643" w:rsidRPr="00E95745" w:rsidRDefault="00534643" w:rsidP="00D3615D">
            <w:pPr>
              <w:spacing w:before="120" w:after="120"/>
              <w:rPr>
                <w:rFonts w:ascii="Calibri" w:hAnsi="Calibri"/>
                <w:b/>
                <w:bCs/>
                <w:color w:val="FFFFFF"/>
              </w:rPr>
            </w:pPr>
            <w:r w:rsidRPr="00E95745">
              <w:rPr>
                <w:rFonts w:ascii="Calibri" w:hAnsi="Calibri"/>
                <w:b/>
                <w:bCs/>
                <w:color w:val="FFFFFF"/>
              </w:rPr>
              <w:t>20%</w:t>
            </w:r>
          </w:p>
        </w:tc>
        <w:tc>
          <w:tcPr>
            <w:tcW w:w="1302"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BA6943C" w14:textId="77777777" w:rsidR="00534643" w:rsidRPr="00E95745" w:rsidRDefault="00534643" w:rsidP="00D3615D">
            <w:pPr>
              <w:spacing w:before="120" w:after="120"/>
              <w:rPr>
                <w:rFonts w:ascii="Calibri" w:hAnsi="Calibri"/>
                <w:b/>
                <w:bCs/>
                <w:color w:val="FFFFFF"/>
              </w:rPr>
            </w:pPr>
            <w:r w:rsidRPr="00E95745">
              <w:rPr>
                <w:rFonts w:ascii="Calibri" w:hAnsi="Calibri"/>
                <w:b/>
                <w:bCs/>
                <w:color w:val="FFFFFF"/>
              </w:rPr>
              <w:t>50%</w:t>
            </w:r>
          </w:p>
        </w:tc>
        <w:tc>
          <w:tcPr>
            <w:tcW w:w="1302"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091A30E" w14:textId="77777777" w:rsidR="00534643" w:rsidRPr="00E95745" w:rsidRDefault="00534643" w:rsidP="00D3615D">
            <w:pPr>
              <w:spacing w:before="120" w:after="120"/>
              <w:rPr>
                <w:rFonts w:ascii="Calibri" w:hAnsi="Calibri"/>
                <w:b/>
                <w:bCs/>
                <w:color w:val="FFFFFF"/>
              </w:rPr>
            </w:pPr>
            <w:r w:rsidRPr="00E95745">
              <w:rPr>
                <w:rFonts w:ascii="Calibri" w:hAnsi="Calibri"/>
                <w:b/>
                <w:bCs/>
                <w:color w:val="FFFFFF"/>
              </w:rPr>
              <w:t>100%</w:t>
            </w:r>
          </w:p>
        </w:tc>
        <w:tc>
          <w:tcPr>
            <w:tcW w:w="1302"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E292116" w14:textId="77777777" w:rsidR="00534643" w:rsidRPr="00E95745" w:rsidRDefault="00534643" w:rsidP="00D3615D">
            <w:pPr>
              <w:spacing w:before="120" w:after="120"/>
              <w:rPr>
                <w:rFonts w:ascii="Calibri" w:hAnsi="Calibri"/>
                <w:b/>
                <w:bCs/>
                <w:color w:val="FFFFFF"/>
              </w:rPr>
            </w:pPr>
            <w:r w:rsidRPr="00E95745">
              <w:rPr>
                <w:rFonts w:ascii="Calibri" w:hAnsi="Calibri"/>
                <w:b/>
                <w:bCs/>
                <w:color w:val="FFFFFF"/>
              </w:rPr>
              <w:t>Total</w:t>
            </w:r>
          </w:p>
        </w:tc>
      </w:tr>
      <w:tr w:rsidR="00534643" w:rsidRPr="00E95745" w14:paraId="1EE06EC6" w14:textId="77777777" w:rsidTr="00930407">
        <w:trPr>
          <w:trHeight w:val="793"/>
        </w:trPr>
        <w:tc>
          <w:tcPr>
            <w:tcW w:w="72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78A1DB" w14:textId="77777777" w:rsidR="00534643" w:rsidRPr="00E95745" w:rsidRDefault="00534643" w:rsidP="00D3615D">
            <w:pPr>
              <w:spacing w:before="120" w:after="40"/>
              <w:rPr>
                <w:rFonts w:ascii="Calibri" w:hAnsi="Calibri"/>
                <w:color w:val="000000"/>
              </w:rPr>
            </w:pPr>
            <w:r w:rsidRPr="00D3615D">
              <w:rPr>
                <w:rFonts w:ascii="Calibri" w:hAnsi="Calibri"/>
                <w:color w:val="000000"/>
              </w:rPr>
              <w:t>Trades in Financial Instruments which are margined (100% of outstanding settlement amount, premium, deposit or margin call due or payable by Counterparty)</w:t>
            </w: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63D4D" w14:textId="26BE1A27" w:rsidR="00534643" w:rsidRPr="00E95745" w:rsidRDefault="00534643" w:rsidP="00D3615D">
            <w:pPr>
              <w:spacing w:before="12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CA9ECC" w14:textId="63E01623" w:rsidR="00534643" w:rsidRPr="00D3615D" w:rsidRDefault="00534643" w:rsidP="00D3615D">
            <w:pPr>
              <w:spacing w:before="12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ABA46" w14:textId="40BB134C" w:rsidR="00534643" w:rsidRPr="00D3615D" w:rsidRDefault="00534643" w:rsidP="00D3615D">
            <w:pPr>
              <w:spacing w:before="12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08D1D1" w14:textId="4FEC8BC6" w:rsidR="00534643" w:rsidRPr="00D3615D" w:rsidRDefault="00534643" w:rsidP="00D3615D">
            <w:pPr>
              <w:spacing w:before="12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661637" w14:textId="0A17D900" w:rsidR="00534643" w:rsidRPr="00D3615D" w:rsidRDefault="00534643" w:rsidP="00D3615D">
            <w:pPr>
              <w:spacing w:before="12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F38BD" w14:textId="0204B81D" w:rsidR="00534643" w:rsidRPr="00E95745" w:rsidRDefault="00534643" w:rsidP="00D3615D">
            <w:pPr>
              <w:spacing w:before="120" w:after="40"/>
              <w:rPr>
                <w:rFonts w:ascii="Calibri" w:hAnsi="Calibri"/>
                <w:color w:val="000000"/>
              </w:rPr>
            </w:pPr>
          </w:p>
        </w:tc>
      </w:tr>
      <w:tr w:rsidR="00534643" w:rsidRPr="00E95745" w14:paraId="404DC78E" w14:textId="77777777" w:rsidTr="00930407">
        <w:trPr>
          <w:trHeight w:val="193"/>
        </w:trPr>
        <w:tc>
          <w:tcPr>
            <w:tcW w:w="72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0659AE" w14:textId="77777777" w:rsidR="00534643" w:rsidRPr="00E95745" w:rsidRDefault="00534643" w:rsidP="00D3615D">
            <w:pPr>
              <w:spacing w:before="120" w:after="40"/>
              <w:rPr>
                <w:rFonts w:ascii="Calibri" w:hAnsi="Calibri"/>
                <w:color w:val="000000"/>
              </w:rPr>
            </w:pPr>
            <w:r w:rsidRPr="00D3615D">
              <w:rPr>
                <w:rFonts w:ascii="Calibri" w:hAnsi="Calibri"/>
                <w:color w:val="000000"/>
              </w:rPr>
              <w:t>Subtotal – unweighted amounts</w:t>
            </w: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B2115" w14:textId="5A638365" w:rsidR="00534643" w:rsidRPr="00E95745" w:rsidRDefault="00534643" w:rsidP="00D3615D">
            <w:pPr>
              <w:spacing w:before="12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20F74C" w14:textId="4997AA0D" w:rsidR="00534643" w:rsidRPr="00E95745" w:rsidRDefault="00534643" w:rsidP="00D3615D">
            <w:pPr>
              <w:spacing w:before="12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BC0230" w14:textId="63803C56" w:rsidR="00534643" w:rsidRPr="00E95745" w:rsidRDefault="00534643" w:rsidP="00D3615D">
            <w:pPr>
              <w:spacing w:before="12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CD4A3" w14:textId="76DBA61A" w:rsidR="00534643" w:rsidRPr="00E95745" w:rsidRDefault="00534643" w:rsidP="00D3615D">
            <w:pPr>
              <w:spacing w:before="12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664BF5" w14:textId="5EE0F31E" w:rsidR="00534643" w:rsidRPr="00E95745" w:rsidRDefault="00534643" w:rsidP="00D3615D">
            <w:pPr>
              <w:spacing w:before="12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CA834" w14:textId="65FE110C" w:rsidR="00534643" w:rsidRPr="00E95745" w:rsidRDefault="00534643" w:rsidP="00D3615D">
            <w:pPr>
              <w:spacing w:before="120" w:after="40"/>
              <w:rPr>
                <w:rFonts w:ascii="Calibri" w:hAnsi="Calibri"/>
                <w:color w:val="000000"/>
              </w:rPr>
            </w:pPr>
          </w:p>
        </w:tc>
      </w:tr>
      <w:tr w:rsidR="00534643" w:rsidRPr="00E95745" w14:paraId="1F70CFF0" w14:textId="77777777" w:rsidTr="00930407">
        <w:trPr>
          <w:trHeight w:val="269"/>
        </w:trPr>
        <w:tc>
          <w:tcPr>
            <w:tcW w:w="72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ED6550" w14:textId="77777777" w:rsidR="00534643" w:rsidRPr="00871048" w:rsidRDefault="00534643" w:rsidP="00D3615D">
            <w:pPr>
              <w:spacing w:before="120" w:after="40"/>
              <w:rPr>
                <w:rFonts w:ascii="Calibri" w:hAnsi="Calibri"/>
                <w:b/>
                <w:color w:val="000000"/>
              </w:rPr>
            </w:pPr>
            <w:r w:rsidRPr="00D3615D">
              <w:rPr>
                <w:rFonts w:ascii="Calibri" w:hAnsi="Calibri"/>
                <w:b/>
                <w:color w:val="000000"/>
              </w:rPr>
              <w:t>Total risk amounts – weighted by CRW</w:t>
            </w: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44F8E" w14:textId="111D1D4C" w:rsidR="00534643" w:rsidRPr="00D3615D" w:rsidRDefault="00534643" w:rsidP="00D3615D">
            <w:pPr>
              <w:spacing w:before="12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7CDBD9" w14:textId="7A93BF41" w:rsidR="00534643" w:rsidRPr="00D3615D" w:rsidRDefault="00534643" w:rsidP="00D3615D">
            <w:pPr>
              <w:spacing w:before="12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0AD579" w14:textId="385A4848" w:rsidR="00534643" w:rsidRPr="00D3615D" w:rsidRDefault="00534643" w:rsidP="00D3615D">
            <w:pPr>
              <w:spacing w:before="12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C3AEE" w14:textId="36C4D634" w:rsidR="00534643" w:rsidRPr="00D3615D" w:rsidRDefault="00534643" w:rsidP="00D3615D">
            <w:pPr>
              <w:spacing w:before="12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D8A3D" w14:textId="4CB42A3A" w:rsidR="00534643" w:rsidRPr="00D3615D" w:rsidRDefault="00534643" w:rsidP="00D3615D">
            <w:pPr>
              <w:spacing w:before="12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D0E77" w14:textId="36B4AF41" w:rsidR="00534643" w:rsidRPr="00D3615D" w:rsidRDefault="00534643" w:rsidP="00D3615D">
            <w:pPr>
              <w:spacing w:before="120" w:after="40"/>
              <w:rPr>
                <w:rFonts w:ascii="Calibri" w:hAnsi="Calibri"/>
                <w:color w:val="000000"/>
              </w:rPr>
            </w:pPr>
          </w:p>
        </w:tc>
      </w:tr>
      <w:tr w:rsidR="00534643" w:rsidRPr="00E95745" w14:paraId="581E0D6E" w14:textId="77777777" w:rsidTr="00930407">
        <w:trPr>
          <w:trHeight w:val="273"/>
        </w:trPr>
        <w:tc>
          <w:tcPr>
            <w:tcW w:w="72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E5E275" w14:textId="77777777" w:rsidR="00534643" w:rsidRPr="00E95745" w:rsidRDefault="00534643" w:rsidP="00D3615D">
            <w:pPr>
              <w:spacing w:before="120" w:after="40"/>
              <w:rPr>
                <w:rFonts w:ascii="Calibri" w:hAnsi="Calibri"/>
                <w:color w:val="000000"/>
              </w:rPr>
            </w:pPr>
            <w:r w:rsidRPr="00D3615D">
              <w:rPr>
                <w:rFonts w:ascii="Calibri" w:hAnsi="Calibri"/>
                <w:color w:val="000000"/>
              </w:rPr>
              <w:t>Disclose the amount of collateral used to reduce the above amounts</w:t>
            </w: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2D8C28" w14:textId="021AC566" w:rsidR="00534643" w:rsidRPr="00E95745" w:rsidRDefault="00534643" w:rsidP="00D3615D">
            <w:pPr>
              <w:spacing w:before="12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6925B" w14:textId="2DB489E4" w:rsidR="00534643" w:rsidRPr="00E95745" w:rsidRDefault="00534643" w:rsidP="00D3615D">
            <w:pPr>
              <w:spacing w:before="12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96CE6" w14:textId="3468A5FC" w:rsidR="00534643" w:rsidRPr="00E95745" w:rsidRDefault="00534643" w:rsidP="00D3615D">
            <w:pPr>
              <w:spacing w:before="12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3841A" w14:textId="2AA26E27" w:rsidR="00534643" w:rsidRPr="00E95745" w:rsidRDefault="00534643" w:rsidP="00D3615D">
            <w:pPr>
              <w:spacing w:before="12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0FBD66" w14:textId="18EF2D1D" w:rsidR="00534643" w:rsidRPr="00E95745" w:rsidRDefault="00534643" w:rsidP="00D3615D">
            <w:pPr>
              <w:spacing w:before="12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E1D7BC" w14:textId="24F9A9AE" w:rsidR="00534643" w:rsidRPr="00E95745" w:rsidRDefault="00534643" w:rsidP="00D3615D">
            <w:pPr>
              <w:spacing w:before="120" w:after="40"/>
              <w:rPr>
                <w:rFonts w:ascii="Calibri" w:hAnsi="Calibri"/>
                <w:color w:val="000000"/>
              </w:rPr>
            </w:pPr>
          </w:p>
        </w:tc>
      </w:tr>
    </w:tbl>
    <w:p w14:paraId="60195E50" w14:textId="77777777" w:rsidR="004B6AA0" w:rsidRPr="00D3615D" w:rsidRDefault="004B6AA0" w:rsidP="00D3615D">
      <w:pPr>
        <w:spacing w:after="200" w:line="276" w:lineRule="auto"/>
        <w:contextualSpacing/>
        <w:rPr>
          <w:rFonts w:ascii="Calibri" w:eastAsia="Calibri" w:hAnsi="Calibri"/>
          <w:bCs/>
          <w:iCs/>
          <w:sz w:val="16"/>
          <w:szCs w:val="16"/>
        </w:rPr>
      </w:pPr>
    </w:p>
    <w:p w14:paraId="3EC7871D" w14:textId="1A3E38E5" w:rsidR="00534643" w:rsidRPr="00E95745" w:rsidRDefault="00534643" w:rsidP="00534643">
      <w:pPr>
        <w:numPr>
          <w:ilvl w:val="0"/>
          <w:numId w:val="70"/>
        </w:numPr>
        <w:spacing w:after="200" w:line="276" w:lineRule="auto"/>
        <w:contextualSpacing/>
        <w:rPr>
          <w:rFonts w:ascii="Calibri" w:eastAsia="Calibri" w:hAnsi="Calibri"/>
          <w:bCs/>
          <w:iCs/>
        </w:rPr>
      </w:pPr>
      <w:r w:rsidRPr="00E95745">
        <w:rPr>
          <w:rFonts w:ascii="Calibri" w:eastAsia="Calibri" w:hAnsi="Calibri"/>
          <w:bCs/>
          <w:iCs/>
        </w:rPr>
        <w:t>Input calculated counterparty risk amounts pre-risk weighted</w:t>
      </w:r>
      <w:r w:rsidR="00D31B3D">
        <w:rPr>
          <w:rFonts w:ascii="Calibri" w:eastAsia="Calibri" w:hAnsi="Calibri"/>
          <w:bCs/>
          <w:iCs/>
        </w:rPr>
        <w:t xml:space="preserve"> but reflecting any reduction due to the recognition of collateral or other relevant rule</w:t>
      </w:r>
      <w:r>
        <w:rPr>
          <w:rFonts w:ascii="Calibri" w:eastAsia="Calibri" w:hAnsi="Calibri"/>
          <w:bCs/>
          <w:iCs/>
        </w:rPr>
        <w:t>.</w:t>
      </w:r>
    </w:p>
    <w:p w14:paraId="07973E0D" w14:textId="32C471B8" w:rsidR="00534643" w:rsidRPr="00E95745" w:rsidRDefault="00534643" w:rsidP="00534643">
      <w:pPr>
        <w:numPr>
          <w:ilvl w:val="0"/>
          <w:numId w:val="70"/>
        </w:numPr>
        <w:spacing w:after="200" w:line="276" w:lineRule="auto"/>
        <w:contextualSpacing/>
        <w:rPr>
          <w:rFonts w:ascii="Calibri" w:eastAsia="Calibri" w:hAnsi="Calibri"/>
          <w:bCs/>
          <w:iCs/>
        </w:rPr>
      </w:pPr>
      <w:r w:rsidRPr="00E95745">
        <w:rPr>
          <w:rFonts w:ascii="Calibri" w:eastAsia="Calibri" w:hAnsi="Calibri"/>
          <w:bCs/>
          <w:iCs/>
        </w:rPr>
        <w:t>If you do not wish to reduce the counterparty risk amount by risk weighting, enter all calculated counterparty risk amounts in the 100% column</w:t>
      </w:r>
      <w:r>
        <w:rPr>
          <w:rFonts w:ascii="Calibri" w:eastAsia="Calibri" w:hAnsi="Calibri"/>
          <w:bCs/>
          <w:iCs/>
        </w:rPr>
        <w:t>.</w:t>
      </w:r>
    </w:p>
    <w:p w14:paraId="3AC3E7BA" w14:textId="4896D7A2" w:rsidR="00534643" w:rsidRDefault="00534643" w:rsidP="00930407">
      <w:pPr>
        <w:numPr>
          <w:ilvl w:val="0"/>
          <w:numId w:val="70"/>
        </w:numPr>
        <w:spacing w:after="200" w:line="276" w:lineRule="auto"/>
        <w:contextualSpacing/>
        <w:rPr>
          <w:rFonts w:ascii="Calibri" w:hAnsi="Calibri"/>
        </w:rPr>
      </w:pPr>
      <w:r w:rsidRPr="00E95745">
        <w:rPr>
          <w:rFonts w:ascii="Calibri" w:eastAsia="Calibri" w:hAnsi="Calibri"/>
          <w:bCs/>
          <w:iCs/>
        </w:rPr>
        <w:t xml:space="preserve">For reporting purposes please disclose the amount of collateral that has been used to reduce the counterparty risk amounts. Use the comment </w:t>
      </w:r>
      <w:r w:rsidR="00FD64AD">
        <w:rPr>
          <w:rFonts w:ascii="Calibri" w:eastAsia="Calibri" w:hAnsi="Calibri"/>
          <w:bCs/>
          <w:iCs/>
        </w:rPr>
        <w:t>function</w:t>
      </w:r>
      <w:r w:rsidR="00FD64AD" w:rsidRPr="00E95745">
        <w:rPr>
          <w:rFonts w:ascii="Calibri" w:eastAsia="Calibri" w:hAnsi="Calibri"/>
          <w:bCs/>
          <w:iCs/>
        </w:rPr>
        <w:t xml:space="preserve"> </w:t>
      </w:r>
      <w:r w:rsidRPr="00E95745">
        <w:rPr>
          <w:rFonts w:ascii="Calibri" w:eastAsia="Calibri" w:hAnsi="Calibri"/>
          <w:bCs/>
          <w:iCs/>
        </w:rPr>
        <w:t>to confirm that the collateral meets the eligibility criteria outlined in the ASIC Market Integrity Rules. Collateral for the purposes of reducing counterparty risk amounts does not include collateral lodged with a clearing house in respect of specific transactions.</w:t>
      </w:r>
    </w:p>
    <w:p w14:paraId="187E209A" w14:textId="3C02C756" w:rsidR="00534643" w:rsidRPr="00930407" w:rsidRDefault="00534643" w:rsidP="00930407">
      <w:pPr>
        <w:numPr>
          <w:ilvl w:val="0"/>
          <w:numId w:val="70"/>
        </w:numPr>
        <w:spacing w:after="200" w:line="276" w:lineRule="auto"/>
        <w:contextualSpacing/>
        <w:rPr>
          <w:rFonts w:ascii="Calibri" w:hAnsi="Calibri"/>
        </w:rPr>
      </w:pPr>
      <w:r w:rsidRPr="00534643">
        <w:rPr>
          <w:rFonts w:ascii="Calibri" w:eastAsia="Calibri" w:hAnsi="Calibri"/>
          <w:b/>
          <w:bCs/>
          <w:i/>
          <w:iCs/>
        </w:rPr>
        <w:t>Note</w:t>
      </w:r>
      <w:r w:rsidRPr="00534643">
        <w:rPr>
          <w:rFonts w:ascii="Calibri" w:eastAsia="Calibri" w:hAnsi="Calibri"/>
          <w:bCs/>
          <w:iCs/>
        </w:rPr>
        <w:t>: Counterparty exposure commences at the time the amounts are scheduled for payment to the relevant exchange or clearing house.</w:t>
      </w:r>
    </w:p>
    <w:p w14:paraId="6FCE62EE" w14:textId="1AC288E5" w:rsidR="00534643" w:rsidRDefault="00534643" w:rsidP="00930407">
      <w:pPr>
        <w:spacing w:after="200" w:line="276" w:lineRule="auto"/>
        <w:contextualSpacing/>
        <w:rPr>
          <w:rFonts w:ascii="Calibri" w:hAnsi="Calibri"/>
          <w:color w:val="00000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tblGrid>
      <w:tr w:rsidR="00534643" w:rsidRPr="00E95745" w14:paraId="2A9FF27D" w14:textId="77777777" w:rsidTr="001F4457">
        <w:tc>
          <w:tcPr>
            <w:tcW w:w="6101" w:type="dxa"/>
            <w:tcBorders>
              <w:top w:val="single" w:sz="4" w:space="0" w:color="auto"/>
              <w:left w:val="single" w:sz="4" w:space="0" w:color="auto"/>
              <w:bottom w:val="single" w:sz="4" w:space="0" w:color="auto"/>
              <w:right w:val="single" w:sz="4" w:space="0" w:color="auto"/>
            </w:tcBorders>
            <w:shd w:val="clear" w:color="auto" w:fill="0070C0"/>
          </w:tcPr>
          <w:p w14:paraId="04BEE691" w14:textId="30CBB832" w:rsidR="00534643" w:rsidRPr="00E95745" w:rsidRDefault="00534643" w:rsidP="00D3615D">
            <w:pPr>
              <w:spacing w:before="60" w:after="120"/>
              <w:rPr>
                <w:rFonts w:ascii="Calibri" w:eastAsia="Calibri" w:hAnsi="Calibri" w:cs="Times New Roman"/>
                <w:b/>
                <w:bCs/>
                <w:iCs/>
                <w:color w:val="FFFFFF"/>
              </w:rPr>
            </w:pPr>
            <w:r w:rsidRPr="00E95745">
              <w:rPr>
                <w:rFonts w:ascii="Calibri" w:eastAsia="Calibri" w:hAnsi="Calibri" w:cs="Times New Roman"/>
                <w:b/>
                <w:bCs/>
                <w:iCs/>
                <w:color w:val="FFFFFF"/>
              </w:rPr>
              <w:t>Collateral comment</w:t>
            </w:r>
          </w:p>
        </w:tc>
      </w:tr>
      <w:tr w:rsidR="00534643" w:rsidRPr="00E95745" w14:paraId="3D37F69A" w14:textId="77777777" w:rsidTr="00D3615D">
        <w:trPr>
          <w:trHeight w:val="1807"/>
        </w:trPr>
        <w:tc>
          <w:tcPr>
            <w:tcW w:w="6101" w:type="dxa"/>
            <w:tcBorders>
              <w:top w:val="single" w:sz="4" w:space="0" w:color="auto"/>
              <w:left w:val="single" w:sz="4" w:space="0" w:color="auto"/>
              <w:bottom w:val="single" w:sz="4" w:space="0" w:color="auto"/>
              <w:right w:val="single" w:sz="4" w:space="0" w:color="auto"/>
            </w:tcBorders>
          </w:tcPr>
          <w:p w14:paraId="55266686" w14:textId="1D62426E" w:rsidR="00534643" w:rsidRPr="00E95745" w:rsidRDefault="00534643" w:rsidP="001F4457">
            <w:pPr>
              <w:rPr>
                <w:rFonts w:ascii="Calibri" w:eastAsia="Calibri" w:hAnsi="Calibri" w:cs="Times New Roman"/>
                <w:b/>
                <w:bCs/>
                <w:iCs/>
              </w:rPr>
            </w:pPr>
          </w:p>
        </w:tc>
      </w:tr>
    </w:tbl>
    <w:p w14:paraId="340A83D2" w14:textId="13ABA2A0" w:rsidR="00534643" w:rsidRDefault="00534643" w:rsidP="00930407">
      <w:pPr>
        <w:spacing w:after="200" w:line="276" w:lineRule="auto"/>
        <w:contextualSpacing/>
        <w:rPr>
          <w:rFonts w:ascii="Calibri" w:hAnsi="Calibri"/>
          <w:color w:val="000000"/>
        </w:rPr>
      </w:pPr>
    </w:p>
    <w:p w14:paraId="3A8A93E4" w14:textId="77777777" w:rsidR="00534643" w:rsidRDefault="00534643" w:rsidP="00930407">
      <w:pPr>
        <w:spacing w:after="200" w:line="276" w:lineRule="auto"/>
        <w:contextualSpacing/>
        <w:rPr>
          <w:rFonts w:ascii="Calibri" w:hAnsi="Calibri"/>
          <w:color w:val="000000"/>
        </w:rPr>
      </w:pPr>
    </w:p>
    <w:p w14:paraId="710E287E" w14:textId="32C3363C" w:rsidR="00534643" w:rsidRPr="00930407" w:rsidRDefault="00A821AB" w:rsidP="00D3615D">
      <w:pPr>
        <w:keepNext/>
        <w:spacing w:before="240" w:after="120"/>
        <w:outlineLvl w:val="3"/>
        <w:rPr>
          <w:rFonts w:ascii="Calibri" w:hAnsi="Calibri" w:cs="Helvetica"/>
          <w:b/>
          <w:sz w:val="24"/>
          <w:szCs w:val="24"/>
          <w:lang w:val="en"/>
        </w:rPr>
      </w:pPr>
      <w:r w:rsidRPr="00930407">
        <w:rPr>
          <w:rFonts w:ascii="Calibri" w:hAnsi="Calibri" w:cs="Helvetica"/>
          <w:b/>
          <w:sz w:val="24"/>
          <w:szCs w:val="24"/>
          <w:lang w:val="en"/>
        </w:rPr>
        <w:lastRenderedPageBreak/>
        <w:t>OTC Derivatives and Warrants executed as principal method</w:t>
      </w:r>
    </w:p>
    <w:tbl>
      <w:tblPr>
        <w:tblW w:w="14946" w:type="dxa"/>
        <w:tblLook w:val="04A0" w:firstRow="1" w:lastRow="0" w:firstColumn="1" w:lastColumn="0" w:noHBand="0" w:noVBand="1"/>
      </w:tblPr>
      <w:tblGrid>
        <w:gridCol w:w="7225"/>
        <w:gridCol w:w="1286"/>
        <w:gridCol w:w="1287"/>
        <w:gridCol w:w="1287"/>
        <w:gridCol w:w="1287"/>
        <w:gridCol w:w="1287"/>
        <w:gridCol w:w="1287"/>
      </w:tblGrid>
      <w:tr w:rsidR="00A821AB" w:rsidRPr="00E95745" w14:paraId="7E432ACD" w14:textId="77777777" w:rsidTr="00930407">
        <w:trPr>
          <w:trHeight w:val="219"/>
        </w:trPr>
        <w:tc>
          <w:tcPr>
            <w:tcW w:w="722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7B24CFBC" w14:textId="7400B168" w:rsidR="00A821AB" w:rsidRPr="00E95745" w:rsidRDefault="00A821AB" w:rsidP="00D3615D">
            <w:pPr>
              <w:spacing w:before="120" w:after="120"/>
              <w:rPr>
                <w:rFonts w:ascii="Calibri" w:hAnsi="Calibri"/>
                <w:b/>
                <w:bCs/>
                <w:color w:val="FFFFFF"/>
              </w:rPr>
            </w:pPr>
            <w:r w:rsidRPr="00D3615D">
              <w:rPr>
                <w:rFonts w:ascii="Calibri" w:hAnsi="Calibri"/>
                <w:b/>
                <w:bCs/>
                <w:color w:val="FFFFFF"/>
              </w:rPr>
              <w:t>Risk amounts by counterparty risk weighting (CRW) category</w:t>
            </w:r>
          </w:p>
        </w:tc>
        <w:tc>
          <w:tcPr>
            <w:tcW w:w="1286"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E4266C4" w14:textId="77777777" w:rsidR="00A821AB" w:rsidRPr="00E95745" w:rsidRDefault="00A821AB" w:rsidP="00D3615D">
            <w:pPr>
              <w:spacing w:before="120" w:after="120"/>
              <w:rPr>
                <w:rFonts w:ascii="Calibri" w:hAnsi="Calibri"/>
                <w:b/>
                <w:bCs/>
                <w:color w:val="FFFFFF"/>
              </w:rPr>
            </w:pPr>
            <w:r w:rsidRPr="00E95745">
              <w:rPr>
                <w:rFonts w:ascii="Calibri" w:hAnsi="Calibri"/>
                <w:b/>
                <w:bCs/>
                <w:color w:val="FFFFFF"/>
              </w:rPr>
              <w:t>0%</w:t>
            </w:r>
          </w:p>
        </w:tc>
        <w:tc>
          <w:tcPr>
            <w:tcW w:w="1287"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46D56A0" w14:textId="77777777" w:rsidR="00A821AB" w:rsidRPr="00E95745" w:rsidRDefault="00A821AB" w:rsidP="00D3615D">
            <w:pPr>
              <w:spacing w:before="120" w:after="120"/>
              <w:rPr>
                <w:rFonts w:ascii="Calibri" w:hAnsi="Calibri"/>
                <w:b/>
                <w:bCs/>
                <w:color w:val="FFFFFF"/>
              </w:rPr>
            </w:pPr>
            <w:r w:rsidRPr="00E95745">
              <w:rPr>
                <w:rFonts w:ascii="Calibri" w:hAnsi="Calibri"/>
                <w:b/>
                <w:bCs/>
                <w:color w:val="FFFFFF"/>
              </w:rPr>
              <w:t>10%</w:t>
            </w:r>
          </w:p>
        </w:tc>
        <w:tc>
          <w:tcPr>
            <w:tcW w:w="1287"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A127C4" w14:textId="77777777" w:rsidR="00A821AB" w:rsidRPr="00E95745" w:rsidRDefault="00A821AB" w:rsidP="00D3615D">
            <w:pPr>
              <w:spacing w:before="120" w:after="120"/>
              <w:rPr>
                <w:rFonts w:ascii="Calibri" w:hAnsi="Calibri"/>
                <w:b/>
                <w:bCs/>
                <w:color w:val="FFFFFF"/>
              </w:rPr>
            </w:pPr>
            <w:r w:rsidRPr="00E95745">
              <w:rPr>
                <w:rFonts w:ascii="Calibri" w:hAnsi="Calibri"/>
                <w:b/>
                <w:bCs/>
                <w:color w:val="FFFFFF"/>
              </w:rPr>
              <w:t>20%</w:t>
            </w:r>
          </w:p>
        </w:tc>
        <w:tc>
          <w:tcPr>
            <w:tcW w:w="1287"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E7F7CC5" w14:textId="77777777" w:rsidR="00A821AB" w:rsidRPr="00E95745" w:rsidRDefault="00A821AB" w:rsidP="00D3615D">
            <w:pPr>
              <w:spacing w:before="120" w:after="120"/>
              <w:rPr>
                <w:rFonts w:ascii="Calibri" w:hAnsi="Calibri"/>
                <w:b/>
                <w:bCs/>
                <w:color w:val="FFFFFF"/>
              </w:rPr>
            </w:pPr>
            <w:r w:rsidRPr="00E95745">
              <w:rPr>
                <w:rFonts w:ascii="Calibri" w:hAnsi="Calibri"/>
                <w:b/>
                <w:bCs/>
                <w:color w:val="FFFFFF"/>
              </w:rPr>
              <w:t>50%</w:t>
            </w:r>
          </w:p>
        </w:tc>
        <w:tc>
          <w:tcPr>
            <w:tcW w:w="1287"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BE260FD" w14:textId="77777777" w:rsidR="00A821AB" w:rsidRPr="00E95745" w:rsidRDefault="00A821AB" w:rsidP="00D3615D">
            <w:pPr>
              <w:spacing w:before="120" w:after="120"/>
              <w:rPr>
                <w:rFonts w:ascii="Calibri" w:hAnsi="Calibri"/>
                <w:b/>
                <w:bCs/>
                <w:color w:val="FFFFFF"/>
              </w:rPr>
            </w:pPr>
            <w:r w:rsidRPr="00E95745">
              <w:rPr>
                <w:rFonts w:ascii="Calibri" w:hAnsi="Calibri"/>
                <w:b/>
                <w:bCs/>
                <w:color w:val="FFFFFF"/>
              </w:rPr>
              <w:t>100%</w:t>
            </w:r>
          </w:p>
        </w:tc>
        <w:tc>
          <w:tcPr>
            <w:tcW w:w="1287"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6AFB86D" w14:textId="77777777" w:rsidR="00A821AB" w:rsidRPr="00E95745" w:rsidRDefault="00A821AB" w:rsidP="00D3615D">
            <w:pPr>
              <w:spacing w:before="120" w:after="120"/>
              <w:rPr>
                <w:rFonts w:ascii="Calibri" w:hAnsi="Calibri"/>
                <w:b/>
                <w:bCs/>
                <w:color w:val="FFFFFF"/>
              </w:rPr>
            </w:pPr>
            <w:r w:rsidRPr="00E95745">
              <w:rPr>
                <w:rFonts w:ascii="Calibri" w:hAnsi="Calibri"/>
                <w:b/>
                <w:bCs/>
                <w:color w:val="FFFFFF"/>
              </w:rPr>
              <w:t>Total</w:t>
            </w:r>
          </w:p>
        </w:tc>
      </w:tr>
      <w:tr w:rsidR="00A821AB" w:rsidRPr="00E95745" w14:paraId="344065A7" w14:textId="77777777" w:rsidTr="00930407">
        <w:trPr>
          <w:trHeight w:val="243"/>
        </w:trPr>
        <w:tc>
          <w:tcPr>
            <w:tcW w:w="72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CDE851" w14:textId="77777777" w:rsidR="00A821AB" w:rsidRPr="00E95745" w:rsidRDefault="00A821AB" w:rsidP="00D3615D">
            <w:pPr>
              <w:spacing w:before="100" w:after="40"/>
              <w:rPr>
                <w:rFonts w:ascii="Calibri" w:hAnsi="Calibri"/>
                <w:color w:val="000000"/>
              </w:rPr>
            </w:pPr>
            <w:r w:rsidRPr="00D3615D">
              <w:rPr>
                <w:rFonts w:ascii="Calibri" w:hAnsi="Calibri"/>
                <w:color w:val="000000"/>
              </w:rPr>
              <w:t>Written Option where premium due has not been received (100% of premium)</w:t>
            </w:r>
          </w:p>
        </w:tc>
        <w:tc>
          <w:tcPr>
            <w:tcW w:w="1286" w:type="dxa"/>
            <w:tcBorders>
              <w:top w:val="single" w:sz="4" w:space="0" w:color="auto"/>
              <w:left w:val="single" w:sz="4" w:space="0" w:color="auto"/>
              <w:bottom w:val="single" w:sz="4" w:space="0" w:color="auto"/>
              <w:right w:val="single" w:sz="4" w:space="0" w:color="auto"/>
            </w:tcBorders>
            <w:shd w:val="clear" w:color="auto" w:fill="auto"/>
            <w:noWrap/>
          </w:tcPr>
          <w:p w14:paraId="0356505C" w14:textId="6443AB28" w:rsidR="00A821AB" w:rsidRPr="00E95745" w:rsidRDefault="00A821AB" w:rsidP="00D3615D">
            <w:pPr>
              <w:spacing w:before="100" w:after="40"/>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21558050" w14:textId="59EC9602" w:rsidR="00A821AB" w:rsidRPr="00D3615D" w:rsidRDefault="00A821AB" w:rsidP="00D3615D">
            <w:pPr>
              <w:spacing w:before="100" w:after="40"/>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68283AF3" w14:textId="6D4DBA2F" w:rsidR="00A821AB" w:rsidRPr="00D3615D" w:rsidRDefault="00A821AB" w:rsidP="00D3615D">
            <w:pPr>
              <w:spacing w:before="100" w:after="40"/>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6A6A7DD3" w14:textId="68F3D560" w:rsidR="00A821AB" w:rsidRPr="00D3615D" w:rsidRDefault="00A821AB" w:rsidP="00D3615D">
            <w:pPr>
              <w:spacing w:before="100" w:after="40"/>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126A0A08" w14:textId="7B9046AA" w:rsidR="00A821AB" w:rsidRPr="00D3615D" w:rsidRDefault="00A821AB" w:rsidP="00D3615D">
            <w:pPr>
              <w:spacing w:before="100" w:after="40"/>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F8A7C" w14:textId="7A1E6832" w:rsidR="00A821AB" w:rsidRPr="00E95745" w:rsidRDefault="00A821AB" w:rsidP="00D3615D">
            <w:pPr>
              <w:spacing w:before="100" w:after="40"/>
              <w:rPr>
                <w:rFonts w:ascii="Calibri" w:hAnsi="Calibri"/>
                <w:color w:val="000000"/>
              </w:rPr>
            </w:pPr>
          </w:p>
        </w:tc>
      </w:tr>
      <w:tr w:rsidR="00A821AB" w:rsidRPr="00E95745" w14:paraId="2F3EF85E" w14:textId="77777777" w:rsidTr="00930407">
        <w:trPr>
          <w:trHeight w:val="243"/>
        </w:trPr>
        <w:tc>
          <w:tcPr>
            <w:tcW w:w="72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8890C2" w14:textId="77777777" w:rsidR="00A821AB" w:rsidRPr="00E95745" w:rsidRDefault="00A821AB" w:rsidP="00D3615D">
            <w:pPr>
              <w:spacing w:before="100" w:after="40"/>
              <w:rPr>
                <w:rFonts w:ascii="Calibri" w:hAnsi="Calibri"/>
                <w:color w:val="000000"/>
              </w:rPr>
            </w:pPr>
            <w:r w:rsidRPr="00D3615D">
              <w:rPr>
                <w:rFonts w:ascii="Calibri" w:hAnsi="Calibri"/>
                <w:color w:val="000000"/>
              </w:rPr>
              <w:t>OTC Derivative or Warrant held as principal (8% of sum of current credit exposure and potential credit exposure)</w:t>
            </w:r>
          </w:p>
        </w:tc>
        <w:tc>
          <w:tcPr>
            <w:tcW w:w="1286" w:type="dxa"/>
            <w:tcBorders>
              <w:top w:val="single" w:sz="4" w:space="0" w:color="auto"/>
              <w:left w:val="single" w:sz="4" w:space="0" w:color="auto"/>
              <w:bottom w:val="single" w:sz="4" w:space="0" w:color="auto"/>
              <w:right w:val="single" w:sz="4" w:space="0" w:color="auto"/>
            </w:tcBorders>
            <w:shd w:val="clear" w:color="auto" w:fill="auto"/>
            <w:noWrap/>
          </w:tcPr>
          <w:p w14:paraId="03263B32" w14:textId="469AF826" w:rsidR="00A821AB" w:rsidRPr="00E95745" w:rsidRDefault="00A821AB" w:rsidP="00D3615D">
            <w:pPr>
              <w:spacing w:before="100" w:after="40"/>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6CB9A309" w14:textId="6B8ACB02" w:rsidR="00A821AB" w:rsidRPr="00D3615D" w:rsidRDefault="00A821AB" w:rsidP="00D3615D">
            <w:pPr>
              <w:spacing w:before="100" w:after="40"/>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28B0811E" w14:textId="6CAE088C" w:rsidR="00A821AB" w:rsidRPr="00D3615D" w:rsidRDefault="00A821AB" w:rsidP="00D3615D">
            <w:pPr>
              <w:spacing w:before="100" w:after="40"/>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16561539" w14:textId="35CF4C47" w:rsidR="00A821AB" w:rsidRPr="00D3615D" w:rsidRDefault="00A821AB" w:rsidP="00D3615D">
            <w:pPr>
              <w:spacing w:before="100" w:after="40"/>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7F78DD75" w14:textId="04D3361B" w:rsidR="00A821AB" w:rsidRPr="00D3615D" w:rsidRDefault="00A821AB" w:rsidP="00D3615D">
            <w:pPr>
              <w:spacing w:before="100" w:after="40"/>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4C2B8" w14:textId="130A14F8" w:rsidR="00A821AB" w:rsidRPr="00E95745" w:rsidRDefault="00A821AB" w:rsidP="00D3615D">
            <w:pPr>
              <w:spacing w:before="100" w:after="40"/>
              <w:rPr>
                <w:rFonts w:ascii="Calibri" w:hAnsi="Calibri"/>
                <w:color w:val="000000"/>
              </w:rPr>
            </w:pPr>
          </w:p>
        </w:tc>
      </w:tr>
      <w:tr w:rsidR="00A821AB" w:rsidRPr="00E95745" w14:paraId="10B858C6" w14:textId="77777777" w:rsidTr="00930407">
        <w:trPr>
          <w:trHeight w:val="243"/>
        </w:trPr>
        <w:tc>
          <w:tcPr>
            <w:tcW w:w="72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CAFABA" w14:textId="77777777" w:rsidR="00A821AB" w:rsidRPr="00E95745" w:rsidRDefault="00A821AB" w:rsidP="00D3615D">
            <w:pPr>
              <w:spacing w:before="100" w:after="40"/>
              <w:rPr>
                <w:rFonts w:ascii="Calibri" w:hAnsi="Calibri"/>
                <w:color w:val="000000"/>
              </w:rPr>
            </w:pPr>
            <w:r w:rsidRPr="00D3615D">
              <w:rPr>
                <w:rFonts w:ascii="Calibri" w:hAnsi="Calibri"/>
                <w:color w:val="000000"/>
              </w:rPr>
              <w:t>Subtotal – unweighted amounts</w:t>
            </w:r>
          </w:p>
        </w:tc>
        <w:tc>
          <w:tcPr>
            <w:tcW w:w="1286" w:type="dxa"/>
            <w:tcBorders>
              <w:top w:val="single" w:sz="4" w:space="0" w:color="auto"/>
              <w:left w:val="single" w:sz="4" w:space="0" w:color="auto"/>
              <w:bottom w:val="single" w:sz="4" w:space="0" w:color="auto"/>
              <w:right w:val="single" w:sz="4" w:space="0" w:color="auto"/>
            </w:tcBorders>
            <w:shd w:val="clear" w:color="auto" w:fill="auto"/>
            <w:noWrap/>
          </w:tcPr>
          <w:p w14:paraId="0F017D7A" w14:textId="404EAC9E" w:rsidR="00A821AB" w:rsidRPr="00E95745" w:rsidRDefault="00A821AB" w:rsidP="00D3615D">
            <w:pPr>
              <w:spacing w:before="100" w:after="40"/>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473764DF" w14:textId="7E98A068" w:rsidR="00A821AB" w:rsidRPr="00D3615D" w:rsidRDefault="00A821AB" w:rsidP="00D3615D">
            <w:pPr>
              <w:spacing w:before="100" w:after="40"/>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332597A7" w14:textId="18E404CB" w:rsidR="00A821AB" w:rsidRPr="00D3615D" w:rsidRDefault="00A821AB" w:rsidP="00D3615D">
            <w:pPr>
              <w:spacing w:before="100" w:after="40"/>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4437B6F0" w14:textId="5D441B9C" w:rsidR="00A821AB" w:rsidRPr="00D3615D" w:rsidRDefault="00A821AB" w:rsidP="00D3615D">
            <w:pPr>
              <w:spacing w:before="100" w:after="40"/>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2871E3CA" w14:textId="11574D7B" w:rsidR="00A821AB" w:rsidRPr="00D3615D" w:rsidRDefault="00A821AB" w:rsidP="00D3615D">
            <w:pPr>
              <w:spacing w:before="100" w:after="40"/>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343C849D" w14:textId="422E9D5A" w:rsidR="00A821AB" w:rsidRPr="00E95745" w:rsidRDefault="00A821AB" w:rsidP="00D3615D">
            <w:pPr>
              <w:spacing w:before="100" w:after="40"/>
              <w:rPr>
                <w:rFonts w:ascii="Calibri" w:hAnsi="Calibri"/>
                <w:color w:val="000000"/>
              </w:rPr>
            </w:pPr>
          </w:p>
        </w:tc>
      </w:tr>
      <w:tr w:rsidR="00A821AB" w:rsidRPr="00E95745" w14:paraId="0E56B2A9" w14:textId="77777777" w:rsidTr="00930407">
        <w:trPr>
          <w:trHeight w:val="243"/>
        </w:trPr>
        <w:tc>
          <w:tcPr>
            <w:tcW w:w="72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326053" w14:textId="77777777" w:rsidR="00A821AB" w:rsidRPr="00D3615D" w:rsidRDefault="00A821AB" w:rsidP="00D3615D">
            <w:pPr>
              <w:spacing w:before="100" w:after="40"/>
              <w:rPr>
                <w:rFonts w:ascii="Calibri" w:hAnsi="Calibri"/>
                <w:b/>
                <w:color w:val="000000"/>
              </w:rPr>
            </w:pPr>
            <w:r w:rsidRPr="00D3615D">
              <w:rPr>
                <w:rFonts w:ascii="Calibri" w:hAnsi="Calibri"/>
                <w:b/>
                <w:color w:val="000000"/>
              </w:rPr>
              <w:t>Total risk amounts – weighted by CRW</w:t>
            </w:r>
          </w:p>
        </w:tc>
        <w:tc>
          <w:tcPr>
            <w:tcW w:w="1286" w:type="dxa"/>
            <w:tcBorders>
              <w:top w:val="single" w:sz="4" w:space="0" w:color="auto"/>
              <w:left w:val="single" w:sz="4" w:space="0" w:color="auto"/>
              <w:bottom w:val="single" w:sz="4" w:space="0" w:color="auto"/>
              <w:right w:val="single" w:sz="4" w:space="0" w:color="auto"/>
            </w:tcBorders>
            <w:shd w:val="clear" w:color="auto" w:fill="auto"/>
            <w:noWrap/>
          </w:tcPr>
          <w:p w14:paraId="26A61311" w14:textId="3AF64070" w:rsidR="00A821AB" w:rsidRPr="00D3615D" w:rsidRDefault="00A821AB" w:rsidP="00D3615D">
            <w:pPr>
              <w:spacing w:before="100" w:after="40"/>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4C362E85" w14:textId="147A82BD" w:rsidR="00A821AB" w:rsidRPr="00D3615D" w:rsidRDefault="00A821AB" w:rsidP="00D3615D">
            <w:pPr>
              <w:spacing w:before="100" w:after="40"/>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55A378C2" w14:textId="735EBCB6" w:rsidR="00A821AB" w:rsidRPr="00D3615D" w:rsidRDefault="00A821AB" w:rsidP="00D3615D">
            <w:pPr>
              <w:spacing w:before="100" w:after="40"/>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7B5C9F83" w14:textId="24E153F6" w:rsidR="00A821AB" w:rsidRPr="00D3615D" w:rsidRDefault="00A821AB" w:rsidP="00D3615D">
            <w:pPr>
              <w:spacing w:before="100" w:after="40"/>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2B605A27" w14:textId="4AA48724" w:rsidR="00A821AB" w:rsidRPr="00D3615D" w:rsidRDefault="00A821AB" w:rsidP="00D3615D">
            <w:pPr>
              <w:spacing w:before="100" w:after="40"/>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2A6F63DC" w14:textId="25410689" w:rsidR="00A821AB" w:rsidRPr="00D3615D" w:rsidRDefault="00A821AB" w:rsidP="00D3615D">
            <w:pPr>
              <w:spacing w:before="100" w:after="40"/>
              <w:rPr>
                <w:rFonts w:ascii="Calibri" w:hAnsi="Calibri"/>
                <w:color w:val="000000"/>
              </w:rPr>
            </w:pPr>
          </w:p>
        </w:tc>
      </w:tr>
      <w:tr w:rsidR="00A821AB" w:rsidRPr="00E95745" w14:paraId="01C1C0C8" w14:textId="77777777" w:rsidTr="00930407">
        <w:trPr>
          <w:trHeight w:val="243"/>
        </w:trPr>
        <w:tc>
          <w:tcPr>
            <w:tcW w:w="72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10B8AA" w14:textId="77777777" w:rsidR="00A821AB" w:rsidRPr="00E95745" w:rsidRDefault="00A821AB" w:rsidP="00D3615D">
            <w:pPr>
              <w:spacing w:before="100" w:after="40"/>
              <w:rPr>
                <w:rFonts w:ascii="Calibri" w:hAnsi="Calibri"/>
                <w:color w:val="000000"/>
              </w:rPr>
            </w:pPr>
            <w:r w:rsidRPr="00D3615D">
              <w:rPr>
                <w:rFonts w:ascii="Calibri" w:hAnsi="Calibri"/>
                <w:color w:val="000000"/>
              </w:rPr>
              <w:t>Disclose the amount of collateral used to reduce the above amounts</w:t>
            </w:r>
          </w:p>
        </w:tc>
        <w:tc>
          <w:tcPr>
            <w:tcW w:w="1286" w:type="dxa"/>
            <w:tcBorders>
              <w:top w:val="single" w:sz="4" w:space="0" w:color="auto"/>
              <w:left w:val="single" w:sz="4" w:space="0" w:color="auto"/>
              <w:bottom w:val="single" w:sz="4" w:space="0" w:color="auto"/>
              <w:right w:val="single" w:sz="4" w:space="0" w:color="auto"/>
            </w:tcBorders>
            <w:shd w:val="clear" w:color="auto" w:fill="auto"/>
            <w:noWrap/>
          </w:tcPr>
          <w:p w14:paraId="2F891F3C" w14:textId="24809C27" w:rsidR="00A821AB" w:rsidRPr="00E95745" w:rsidRDefault="00A821AB" w:rsidP="00D3615D">
            <w:pPr>
              <w:spacing w:before="100" w:after="40"/>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3A801398" w14:textId="66D2151B" w:rsidR="00A821AB" w:rsidRPr="00D3615D" w:rsidRDefault="00A821AB" w:rsidP="00D3615D">
            <w:pPr>
              <w:spacing w:before="100" w:after="40"/>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5E7C7D0B" w14:textId="4F901DBF" w:rsidR="00A821AB" w:rsidRPr="00D3615D" w:rsidRDefault="00A821AB" w:rsidP="00D3615D">
            <w:pPr>
              <w:spacing w:before="100" w:after="40"/>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68D5EC21" w14:textId="6D221518" w:rsidR="00A821AB" w:rsidRPr="00D3615D" w:rsidRDefault="00A821AB" w:rsidP="00D3615D">
            <w:pPr>
              <w:spacing w:before="100" w:after="40"/>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71D0A5B9" w14:textId="30BD66EB" w:rsidR="00A821AB" w:rsidRPr="00D3615D" w:rsidRDefault="00A821AB" w:rsidP="00D3615D">
            <w:pPr>
              <w:spacing w:before="100" w:after="40"/>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6C728E16" w14:textId="1412CFDF" w:rsidR="00A821AB" w:rsidRPr="00E95745" w:rsidRDefault="00A821AB" w:rsidP="00D3615D">
            <w:pPr>
              <w:spacing w:before="100" w:after="40"/>
              <w:rPr>
                <w:rFonts w:ascii="Calibri" w:hAnsi="Calibri"/>
                <w:color w:val="000000"/>
              </w:rPr>
            </w:pPr>
          </w:p>
        </w:tc>
      </w:tr>
    </w:tbl>
    <w:p w14:paraId="3DC4F8CB" w14:textId="3D3441D3" w:rsidR="00A821AB" w:rsidRDefault="00A821AB" w:rsidP="00930407">
      <w:pPr>
        <w:spacing w:after="200" w:line="276" w:lineRule="auto"/>
        <w:contextualSpacing/>
        <w:rPr>
          <w:rFonts w:ascii="Calibri" w:hAnsi="Calibri"/>
          <w:color w:val="00000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tblGrid>
      <w:tr w:rsidR="006B1F0F" w:rsidRPr="00E95745" w14:paraId="711301FE" w14:textId="77777777" w:rsidTr="00203BCF">
        <w:tc>
          <w:tcPr>
            <w:tcW w:w="6101" w:type="dxa"/>
            <w:tcBorders>
              <w:top w:val="single" w:sz="4" w:space="0" w:color="auto"/>
              <w:left w:val="single" w:sz="4" w:space="0" w:color="auto"/>
              <w:bottom w:val="single" w:sz="4" w:space="0" w:color="auto"/>
              <w:right w:val="single" w:sz="4" w:space="0" w:color="auto"/>
            </w:tcBorders>
            <w:shd w:val="clear" w:color="auto" w:fill="0070C0"/>
          </w:tcPr>
          <w:p w14:paraId="321BD6FA" w14:textId="77777777" w:rsidR="006B1F0F" w:rsidRPr="00E95745" w:rsidRDefault="006B1F0F" w:rsidP="00203BCF">
            <w:pPr>
              <w:rPr>
                <w:rFonts w:ascii="Calibri" w:eastAsia="Calibri" w:hAnsi="Calibri" w:cs="Times New Roman"/>
                <w:b/>
                <w:bCs/>
                <w:iCs/>
              </w:rPr>
            </w:pPr>
            <w:r>
              <w:rPr>
                <w:rFonts w:ascii="Calibri" w:eastAsia="Calibri" w:hAnsi="Calibri" w:cs="Times New Roman"/>
                <w:b/>
                <w:bCs/>
                <w:iCs/>
                <w:color w:val="FFFFFF"/>
                <w:shd w:val="clear" w:color="auto" w:fill="0070C0"/>
              </w:rPr>
              <w:t>Collateral</w:t>
            </w:r>
            <w:r w:rsidRPr="00E95745">
              <w:rPr>
                <w:rFonts w:ascii="Calibri" w:eastAsia="Calibri" w:hAnsi="Calibri" w:cs="Times New Roman"/>
                <w:b/>
                <w:bCs/>
                <w:iCs/>
                <w:color w:val="FFFFFF"/>
                <w:shd w:val="clear" w:color="auto" w:fill="0070C0"/>
              </w:rPr>
              <w:t xml:space="preserve"> comment</w:t>
            </w:r>
          </w:p>
        </w:tc>
      </w:tr>
      <w:tr w:rsidR="006B1F0F" w:rsidRPr="00E95745" w14:paraId="2038ED1F" w14:textId="77777777" w:rsidTr="00D3615D">
        <w:trPr>
          <w:trHeight w:val="1301"/>
        </w:trPr>
        <w:tc>
          <w:tcPr>
            <w:tcW w:w="6101" w:type="dxa"/>
            <w:tcBorders>
              <w:top w:val="single" w:sz="4" w:space="0" w:color="auto"/>
              <w:left w:val="single" w:sz="4" w:space="0" w:color="auto"/>
              <w:bottom w:val="single" w:sz="4" w:space="0" w:color="auto"/>
              <w:right w:val="single" w:sz="4" w:space="0" w:color="auto"/>
            </w:tcBorders>
            <w:shd w:val="clear" w:color="auto" w:fill="auto"/>
          </w:tcPr>
          <w:p w14:paraId="014070ED" w14:textId="77777777" w:rsidR="006B1F0F" w:rsidRPr="00E95745" w:rsidRDefault="006B1F0F" w:rsidP="00203BCF">
            <w:pPr>
              <w:rPr>
                <w:rFonts w:ascii="Calibri" w:eastAsia="Calibri" w:hAnsi="Calibri"/>
                <w:b/>
                <w:bCs/>
                <w:iCs/>
                <w:color w:val="FFFFFF"/>
                <w:shd w:val="clear" w:color="auto" w:fill="0070C0"/>
              </w:rPr>
            </w:pPr>
          </w:p>
        </w:tc>
      </w:tr>
    </w:tbl>
    <w:p w14:paraId="1C8C20BF" w14:textId="63C19A43" w:rsidR="00A821AB" w:rsidRPr="00930407" w:rsidRDefault="00A821AB" w:rsidP="00D3615D">
      <w:pPr>
        <w:keepNext/>
        <w:spacing w:before="360" w:after="120"/>
        <w:outlineLvl w:val="3"/>
        <w:rPr>
          <w:rFonts w:ascii="Calibri" w:hAnsi="Calibri" w:cs="Helvetica"/>
          <w:b/>
          <w:sz w:val="24"/>
          <w:szCs w:val="24"/>
          <w:lang w:val="en"/>
        </w:rPr>
      </w:pPr>
      <w:r w:rsidRPr="00930407">
        <w:rPr>
          <w:rFonts w:ascii="Calibri" w:hAnsi="Calibri" w:cs="Helvetica"/>
          <w:b/>
          <w:sz w:val="24"/>
          <w:szCs w:val="24"/>
          <w:lang w:val="en"/>
        </w:rPr>
        <w:t>Sub Underwritten Positions method</w:t>
      </w:r>
    </w:p>
    <w:tbl>
      <w:tblPr>
        <w:tblW w:w="14895" w:type="dxa"/>
        <w:tblLook w:val="04A0" w:firstRow="1" w:lastRow="0" w:firstColumn="1" w:lastColumn="0" w:noHBand="0" w:noVBand="1"/>
      </w:tblPr>
      <w:tblGrid>
        <w:gridCol w:w="7083"/>
        <w:gridCol w:w="1302"/>
        <w:gridCol w:w="1302"/>
        <w:gridCol w:w="1302"/>
        <w:gridCol w:w="1302"/>
        <w:gridCol w:w="1302"/>
        <w:gridCol w:w="1302"/>
      </w:tblGrid>
      <w:tr w:rsidR="00A821AB" w:rsidRPr="00E95745" w14:paraId="58BA5B50" w14:textId="77777777" w:rsidTr="00930407">
        <w:trPr>
          <w:trHeight w:val="252"/>
        </w:trPr>
        <w:tc>
          <w:tcPr>
            <w:tcW w:w="7083"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5952D4E" w14:textId="582EF5B8" w:rsidR="00A821AB" w:rsidRPr="00E95745" w:rsidRDefault="00A821AB" w:rsidP="00D3615D">
            <w:pPr>
              <w:spacing w:before="120" w:after="120"/>
              <w:rPr>
                <w:rFonts w:ascii="Calibri" w:hAnsi="Calibri"/>
                <w:b/>
                <w:bCs/>
                <w:color w:val="FFFFFF"/>
              </w:rPr>
            </w:pPr>
            <w:r w:rsidRPr="00D3615D">
              <w:rPr>
                <w:rFonts w:ascii="Calibri" w:hAnsi="Calibri"/>
                <w:b/>
                <w:bCs/>
                <w:color w:val="FFFFFF"/>
              </w:rPr>
              <w:t>Risk amounts by counterparty risk weighting (CRW) category</w:t>
            </w:r>
          </w:p>
        </w:tc>
        <w:tc>
          <w:tcPr>
            <w:tcW w:w="1302"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6F7CDAC" w14:textId="77777777" w:rsidR="00A821AB" w:rsidRPr="00E95745" w:rsidRDefault="00A821AB" w:rsidP="00D3615D">
            <w:pPr>
              <w:spacing w:before="120" w:after="120"/>
              <w:rPr>
                <w:rFonts w:ascii="Calibri" w:hAnsi="Calibri"/>
                <w:b/>
                <w:bCs/>
                <w:color w:val="FFFFFF"/>
              </w:rPr>
            </w:pPr>
            <w:r w:rsidRPr="00E95745">
              <w:rPr>
                <w:rFonts w:ascii="Calibri" w:hAnsi="Calibri"/>
                <w:b/>
                <w:bCs/>
                <w:color w:val="FFFFFF"/>
              </w:rPr>
              <w:t>0%</w:t>
            </w:r>
          </w:p>
        </w:tc>
        <w:tc>
          <w:tcPr>
            <w:tcW w:w="1302"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B9A0C22" w14:textId="77777777" w:rsidR="00A821AB" w:rsidRPr="00E95745" w:rsidRDefault="00A821AB" w:rsidP="00D3615D">
            <w:pPr>
              <w:spacing w:before="120" w:after="120"/>
              <w:rPr>
                <w:rFonts w:ascii="Calibri" w:hAnsi="Calibri"/>
                <w:b/>
                <w:bCs/>
                <w:color w:val="FFFFFF"/>
              </w:rPr>
            </w:pPr>
            <w:r w:rsidRPr="00E95745">
              <w:rPr>
                <w:rFonts w:ascii="Calibri" w:hAnsi="Calibri"/>
                <w:b/>
                <w:bCs/>
                <w:color w:val="FFFFFF"/>
              </w:rPr>
              <w:t>10%</w:t>
            </w:r>
          </w:p>
        </w:tc>
        <w:tc>
          <w:tcPr>
            <w:tcW w:w="1302"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FD06D96" w14:textId="77777777" w:rsidR="00A821AB" w:rsidRPr="00E95745" w:rsidRDefault="00A821AB" w:rsidP="00D3615D">
            <w:pPr>
              <w:spacing w:before="120" w:after="120"/>
              <w:rPr>
                <w:rFonts w:ascii="Calibri" w:hAnsi="Calibri"/>
                <w:b/>
                <w:bCs/>
                <w:color w:val="FFFFFF"/>
              </w:rPr>
            </w:pPr>
            <w:r w:rsidRPr="00E95745">
              <w:rPr>
                <w:rFonts w:ascii="Calibri" w:hAnsi="Calibri"/>
                <w:b/>
                <w:bCs/>
                <w:color w:val="FFFFFF"/>
              </w:rPr>
              <w:t>20%</w:t>
            </w:r>
          </w:p>
        </w:tc>
        <w:tc>
          <w:tcPr>
            <w:tcW w:w="1302"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A08E949" w14:textId="77777777" w:rsidR="00A821AB" w:rsidRPr="00E95745" w:rsidRDefault="00A821AB" w:rsidP="00D3615D">
            <w:pPr>
              <w:spacing w:before="120" w:after="120"/>
              <w:rPr>
                <w:rFonts w:ascii="Calibri" w:hAnsi="Calibri"/>
                <w:b/>
                <w:bCs/>
                <w:color w:val="FFFFFF"/>
              </w:rPr>
            </w:pPr>
            <w:r w:rsidRPr="00E95745">
              <w:rPr>
                <w:rFonts w:ascii="Calibri" w:hAnsi="Calibri"/>
                <w:b/>
                <w:bCs/>
                <w:color w:val="FFFFFF"/>
              </w:rPr>
              <w:t>50%</w:t>
            </w:r>
          </w:p>
        </w:tc>
        <w:tc>
          <w:tcPr>
            <w:tcW w:w="1302"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2EA6E8A" w14:textId="77777777" w:rsidR="00A821AB" w:rsidRPr="00E95745" w:rsidRDefault="00A821AB" w:rsidP="00D3615D">
            <w:pPr>
              <w:spacing w:before="120" w:after="120"/>
              <w:rPr>
                <w:rFonts w:ascii="Calibri" w:hAnsi="Calibri"/>
                <w:b/>
                <w:bCs/>
                <w:color w:val="FFFFFF"/>
              </w:rPr>
            </w:pPr>
            <w:r w:rsidRPr="00E95745">
              <w:rPr>
                <w:rFonts w:ascii="Calibri" w:hAnsi="Calibri"/>
                <w:b/>
                <w:bCs/>
                <w:color w:val="FFFFFF"/>
              </w:rPr>
              <w:t>100%</w:t>
            </w:r>
          </w:p>
        </w:tc>
        <w:tc>
          <w:tcPr>
            <w:tcW w:w="1302"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69F4F83" w14:textId="77777777" w:rsidR="00A821AB" w:rsidRPr="00E95745" w:rsidRDefault="00A821AB" w:rsidP="00D3615D">
            <w:pPr>
              <w:spacing w:before="120" w:after="120"/>
              <w:rPr>
                <w:rFonts w:ascii="Calibri" w:hAnsi="Calibri"/>
                <w:b/>
                <w:bCs/>
                <w:color w:val="FFFFFF"/>
              </w:rPr>
            </w:pPr>
            <w:r w:rsidRPr="00E95745">
              <w:rPr>
                <w:rFonts w:ascii="Calibri" w:hAnsi="Calibri"/>
                <w:b/>
                <w:bCs/>
                <w:color w:val="FFFFFF"/>
              </w:rPr>
              <w:t>Total</w:t>
            </w:r>
          </w:p>
        </w:tc>
      </w:tr>
      <w:tr w:rsidR="00A821AB" w:rsidRPr="00E95745" w14:paraId="11680BAB" w14:textId="77777777" w:rsidTr="00930407">
        <w:trPr>
          <w:trHeight w:val="240"/>
        </w:trPr>
        <w:tc>
          <w:tcPr>
            <w:tcW w:w="70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4DED40" w14:textId="77777777" w:rsidR="00A821AB" w:rsidRPr="00E95745" w:rsidRDefault="00A821AB" w:rsidP="00D3615D">
            <w:pPr>
              <w:spacing w:before="100" w:after="40"/>
              <w:rPr>
                <w:rFonts w:ascii="Calibri" w:hAnsi="Calibri"/>
                <w:color w:val="000000"/>
              </w:rPr>
            </w:pPr>
            <w:r w:rsidRPr="00D3615D">
              <w:rPr>
                <w:rFonts w:ascii="Calibri" w:hAnsi="Calibri"/>
                <w:color w:val="000000"/>
              </w:rPr>
              <w:t>Sub Underwriting Commitment (2% of net sub underwriting exposure)</w:t>
            </w:r>
          </w:p>
        </w:tc>
        <w:tc>
          <w:tcPr>
            <w:tcW w:w="1302" w:type="dxa"/>
            <w:tcBorders>
              <w:top w:val="single" w:sz="4" w:space="0" w:color="auto"/>
              <w:left w:val="single" w:sz="4" w:space="0" w:color="auto"/>
              <w:bottom w:val="single" w:sz="4" w:space="0" w:color="auto"/>
              <w:right w:val="single" w:sz="4" w:space="0" w:color="auto"/>
            </w:tcBorders>
            <w:shd w:val="clear" w:color="auto" w:fill="auto"/>
            <w:noWrap/>
          </w:tcPr>
          <w:p w14:paraId="489353EA" w14:textId="606957E8" w:rsidR="00A821AB" w:rsidRPr="00E95745" w:rsidRDefault="00A821AB" w:rsidP="00D3615D">
            <w:pPr>
              <w:spacing w:before="10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tcPr>
          <w:p w14:paraId="57072388" w14:textId="4C011401" w:rsidR="00A821AB" w:rsidRPr="00D3615D" w:rsidRDefault="00A821AB" w:rsidP="00D3615D">
            <w:pPr>
              <w:spacing w:before="10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tcPr>
          <w:p w14:paraId="47EAF35E" w14:textId="05CE0777" w:rsidR="00A821AB" w:rsidRPr="00D3615D" w:rsidRDefault="00A821AB" w:rsidP="00D3615D">
            <w:pPr>
              <w:spacing w:before="10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tcPr>
          <w:p w14:paraId="1B874A9F" w14:textId="775B54B8" w:rsidR="00A821AB" w:rsidRPr="00D3615D" w:rsidRDefault="00A821AB" w:rsidP="00D3615D">
            <w:pPr>
              <w:spacing w:before="10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tcPr>
          <w:p w14:paraId="304677B3" w14:textId="7E46A600" w:rsidR="00A821AB" w:rsidRPr="00D3615D" w:rsidRDefault="00A821AB" w:rsidP="00D3615D">
            <w:pPr>
              <w:spacing w:before="10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tcPr>
          <w:p w14:paraId="1A6AE1E0" w14:textId="56971D2A" w:rsidR="00A821AB" w:rsidRPr="00E95745" w:rsidRDefault="00A821AB" w:rsidP="00D3615D">
            <w:pPr>
              <w:spacing w:before="100" w:after="40"/>
              <w:rPr>
                <w:rFonts w:ascii="Calibri" w:hAnsi="Calibri"/>
                <w:color w:val="000000"/>
              </w:rPr>
            </w:pPr>
          </w:p>
        </w:tc>
      </w:tr>
      <w:tr w:rsidR="00A821AB" w:rsidRPr="00E95745" w14:paraId="2457760B" w14:textId="77777777" w:rsidTr="00930407">
        <w:trPr>
          <w:trHeight w:val="240"/>
        </w:trPr>
        <w:tc>
          <w:tcPr>
            <w:tcW w:w="70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9468ED" w14:textId="77777777" w:rsidR="00A821AB" w:rsidRPr="00E95745" w:rsidRDefault="00A821AB" w:rsidP="00D3615D">
            <w:pPr>
              <w:spacing w:before="100" w:after="40"/>
              <w:rPr>
                <w:rFonts w:ascii="Calibri" w:hAnsi="Calibri"/>
                <w:color w:val="000000"/>
              </w:rPr>
            </w:pPr>
            <w:r w:rsidRPr="00D3615D">
              <w:rPr>
                <w:rFonts w:ascii="Calibri" w:hAnsi="Calibri"/>
                <w:color w:val="000000"/>
              </w:rPr>
              <w:t>Sub Underwriting Commitment (100% of net sub underwriting exposure)</w:t>
            </w:r>
          </w:p>
        </w:tc>
        <w:tc>
          <w:tcPr>
            <w:tcW w:w="1302" w:type="dxa"/>
            <w:tcBorders>
              <w:top w:val="single" w:sz="4" w:space="0" w:color="auto"/>
              <w:left w:val="single" w:sz="4" w:space="0" w:color="auto"/>
              <w:bottom w:val="single" w:sz="4" w:space="0" w:color="auto"/>
              <w:right w:val="single" w:sz="4" w:space="0" w:color="auto"/>
            </w:tcBorders>
            <w:shd w:val="clear" w:color="auto" w:fill="auto"/>
            <w:noWrap/>
          </w:tcPr>
          <w:p w14:paraId="5B8A22B7" w14:textId="3B4C3E01" w:rsidR="00A821AB" w:rsidRPr="00E95745" w:rsidRDefault="00A821AB" w:rsidP="00D3615D">
            <w:pPr>
              <w:spacing w:before="10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tcPr>
          <w:p w14:paraId="5D629F6B" w14:textId="5D23A3B5" w:rsidR="00A821AB" w:rsidRPr="00D3615D" w:rsidRDefault="00A821AB" w:rsidP="00D3615D">
            <w:pPr>
              <w:spacing w:before="10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tcPr>
          <w:p w14:paraId="2B8ABD04" w14:textId="5D4FE57C" w:rsidR="00A821AB" w:rsidRPr="00D3615D" w:rsidRDefault="00A821AB" w:rsidP="00D3615D">
            <w:pPr>
              <w:spacing w:before="10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tcPr>
          <w:p w14:paraId="04820093" w14:textId="00732B47" w:rsidR="00A821AB" w:rsidRPr="00D3615D" w:rsidRDefault="00A821AB" w:rsidP="00D3615D">
            <w:pPr>
              <w:spacing w:before="10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tcPr>
          <w:p w14:paraId="0A5CAAC6" w14:textId="70F846F2" w:rsidR="00A821AB" w:rsidRPr="00D3615D" w:rsidRDefault="00A821AB" w:rsidP="00D3615D">
            <w:pPr>
              <w:spacing w:before="10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tcPr>
          <w:p w14:paraId="20101738" w14:textId="445E4E8D" w:rsidR="00A821AB" w:rsidRPr="00E95745" w:rsidRDefault="00A821AB" w:rsidP="00D3615D">
            <w:pPr>
              <w:spacing w:before="100" w:after="40"/>
              <w:rPr>
                <w:rFonts w:ascii="Calibri" w:hAnsi="Calibri"/>
                <w:color w:val="000000"/>
              </w:rPr>
            </w:pPr>
          </w:p>
        </w:tc>
      </w:tr>
      <w:tr w:rsidR="00A821AB" w:rsidRPr="00E95745" w14:paraId="0287C3E1" w14:textId="77777777" w:rsidTr="00930407">
        <w:trPr>
          <w:trHeight w:val="240"/>
        </w:trPr>
        <w:tc>
          <w:tcPr>
            <w:tcW w:w="70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584E66" w14:textId="77777777" w:rsidR="00A821AB" w:rsidRPr="00E95745" w:rsidRDefault="00A821AB" w:rsidP="00D3615D">
            <w:pPr>
              <w:spacing w:before="100" w:after="40"/>
              <w:rPr>
                <w:rFonts w:ascii="Calibri" w:hAnsi="Calibri"/>
                <w:color w:val="000000"/>
              </w:rPr>
            </w:pPr>
            <w:r w:rsidRPr="00D3615D">
              <w:rPr>
                <w:rFonts w:ascii="Calibri" w:hAnsi="Calibri"/>
                <w:color w:val="000000"/>
              </w:rPr>
              <w:t>Subtotal – unweighted amounts</w:t>
            </w:r>
          </w:p>
        </w:tc>
        <w:tc>
          <w:tcPr>
            <w:tcW w:w="1302" w:type="dxa"/>
            <w:tcBorders>
              <w:top w:val="single" w:sz="4" w:space="0" w:color="auto"/>
              <w:left w:val="single" w:sz="4" w:space="0" w:color="auto"/>
              <w:bottom w:val="single" w:sz="4" w:space="0" w:color="auto"/>
              <w:right w:val="single" w:sz="4" w:space="0" w:color="auto"/>
            </w:tcBorders>
            <w:shd w:val="clear" w:color="auto" w:fill="auto"/>
            <w:noWrap/>
          </w:tcPr>
          <w:p w14:paraId="38C4870E" w14:textId="3A801B04" w:rsidR="00A821AB" w:rsidRPr="00D3615D" w:rsidRDefault="00A821AB" w:rsidP="00D3615D">
            <w:pPr>
              <w:spacing w:before="10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tcPr>
          <w:p w14:paraId="667E026B" w14:textId="756839D8" w:rsidR="00A821AB" w:rsidRPr="00D3615D" w:rsidRDefault="00A821AB" w:rsidP="00D3615D">
            <w:pPr>
              <w:spacing w:before="10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tcPr>
          <w:p w14:paraId="0B2FB703" w14:textId="728BB9EA" w:rsidR="00A821AB" w:rsidRPr="00D3615D" w:rsidRDefault="00A821AB" w:rsidP="00D3615D">
            <w:pPr>
              <w:spacing w:before="10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tcPr>
          <w:p w14:paraId="408CB665" w14:textId="004502DE" w:rsidR="00A821AB" w:rsidRPr="00D3615D" w:rsidRDefault="00A821AB" w:rsidP="00D3615D">
            <w:pPr>
              <w:spacing w:before="10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tcPr>
          <w:p w14:paraId="713E2564" w14:textId="792AF6A5" w:rsidR="00A821AB" w:rsidRPr="00D3615D" w:rsidRDefault="00A821AB" w:rsidP="00D3615D">
            <w:pPr>
              <w:spacing w:before="10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tcPr>
          <w:p w14:paraId="782D7253" w14:textId="76F391BD" w:rsidR="00A821AB" w:rsidRPr="00D3615D" w:rsidRDefault="00A821AB" w:rsidP="00D3615D">
            <w:pPr>
              <w:spacing w:before="100" w:after="40"/>
              <w:rPr>
                <w:rFonts w:ascii="Calibri" w:hAnsi="Calibri"/>
                <w:color w:val="000000"/>
              </w:rPr>
            </w:pPr>
          </w:p>
        </w:tc>
      </w:tr>
      <w:tr w:rsidR="00A821AB" w:rsidRPr="00E95745" w14:paraId="25325D61" w14:textId="77777777" w:rsidTr="00930407">
        <w:trPr>
          <w:trHeight w:val="240"/>
        </w:trPr>
        <w:tc>
          <w:tcPr>
            <w:tcW w:w="70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724D9B" w14:textId="77777777" w:rsidR="00A821AB" w:rsidRPr="00D3615D" w:rsidRDefault="00A821AB" w:rsidP="00D3615D">
            <w:pPr>
              <w:spacing w:before="100" w:after="40"/>
              <w:rPr>
                <w:rFonts w:ascii="Calibri" w:hAnsi="Calibri"/>
                <w:b/>
                <w:color w:val="000000"/>
              </w:rPr>
            </w:pPr>
            <w:r w:rsidRPr="00D3615D">
              <w:rPr>
                <w:rFonts w:ascii="Calibri" w:hAnsi="Calibri"/>
                <w:b/>
                <w:color w:val="000000"/>
              </w:rPr>
              <w:t>Total risk amounts – weighted by CRW</w:t>
            </w:r>
          </w:p>
        </w:tc>
        <w:tc>
          <w:tcPr>
            <w:tcW w:w="1302" w:type="dxa"/>
            <w:tcBorders>
              <w:top w:val="single" w:sz="4" w:space="0" w:color="auto"/>
              <w:left w:val="single" w:sz="4" w:space="0" w:color="auto"/>
              <w:bottom w:val="single" w:sz="4" w:space="0" w:color="auto"/>
              <w:right w:val="single" w:sz="4" w:space="0" w:color="auto"/>
            </w:tcBorders>
            <w:shd w:val="clear" w:color="auto" w:fill="auto"/>
            <w:noWrap/>
          </w:tcPr>
          <w:p w14:paraId="1517F600" w14:textId="21049D17" w:rsidR="00A821AB" w:rsidRPr="00D3615D" w:rsidRDefault="00A821AB" w:rsidP="00D3615D">
            <w:pPr>
              <w:spacing w:before="10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tcPr>
          <w:p w14:paraId="53451B71" w14:textId="5D0EEF71" w:rsidR="00A821AB" w:rsidRPr="00D3615D" w:rsidRDefault="00A821AB" w:rsidP="00D3615D">
            <w:pPr>
              <w:spacing w:before="10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tcPr>
          <w:p w14:paraId="1D3A95CB" w14:textId="632D547B" w:rsidR="00A821AB" w:rsidRPr="00D3615D" w:rsidRDefault="00A821AB" w:rsidP="00D3615D">
            <w:pPr>
              <w:spacing w:before="10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tcPr>
          <w:p w14:paraId="6B915B1E" w14:textId="024D1BBA" w:rsidR="00A821AB" w:rsidRPr="00D3615D" w:rsidRDefault="00A821AB" w:rsidP="00D3615D">
            <w:pPr>
              <w:spacing w:before="10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tcPr>
          <w:p w14:paraId="42618DF3" w14:textId="13356414" w:rsidR="00A821AB" w:rsidRPr="00D3615D" w:rsidRDefault="00A821AB" w:rsidP="00D3615D">
            <w:pPr>
              <w:spacing w:before="100" w:after="40"/>
              <w:rPr>
                <w:rFonts w:ascii="Calibri" w:hAnsi="Calibri"/>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tcPr>
          <w:p w14:paraId="338F8D74" w14:textId="5F99328E" w:rsidR="00A821AB" w:rsidRPr="00D3615D" w:rsidRDefault="00A821AB" w:rsidP="00D3615D">
            <w:pPr>
              <w:spacing w:before="100" w:after="40"/>
              <w:rPr>
                <w:rFonts w:ascii="Calibri" w:hAnsi="Calibri"/>
                <w:color w:val="000000"/>
              </w:rPr>
            </w:pPr>
          </w:p>
        </w:tc>
      </w:tr>
    </w:tbl>
    <w:p w14:paraId="1547DA61" w14:textId="46159676" w:rsidR="00A821AB" w:rsidRPr="001A4322" w:rsidRDefault="00DC633C" w:rsidP="001A4322">
      <w:pPr>
        <w:pStyle w:val="ListParagraph"/>
        <w:numPr>
          <w:ilvl w:val="0"/>
          <w:numId w:val="70"/>
        </w:numPr>
        <w:spacing w:after="200" w:line="276" w:lineRule="auto"/>
        <w:rPr>
          <w:rFonts w:ascii="Calibri" w:hAnsi="Calibri"/>
          <w:color w:val="000000"/>
        </w:rPr>
      </w:pPr>
      <w:r>
        <w:rPr>
          <w:rFonts w:ascii="Calibri" w:hAnsi="Calibri"/>
          <w:color w:val="000000"/>
        </w:rPr>
        <w:t>Input calculated counterparty risk amounts pre-risk weighted.</w:t>
      </w:r>
    </w:p>
    <w:p w14:paraId="79262351" w14:textId="15188714" w:rsidR="00A821AB" w:rsidRPr="00930407" w:rsidRDefault="00A821AB" w:rsidP="00D3615D">
      <w:pPr>
        <w:keepNext/>
        <w:spacing w:before="240" w:after="120"/>
        <w:outlineLvl w:val="3"/>
        <w:rPr>
          <w:rFonts w:ascii="Calibri" w:hAnsi="Calibri" w:cs="Helvetica"/>
          <w:b/>
          <w:sz w:val="24"/>
          <w:szCs w:val="24"/>
          <w:lang w:val="en"/>
        </w:rPr>
      </w:pPr>
      <w:r w:rsidRPr="00930407">
        <w:rPr>
          <w:rFonts w:ascii="Calibri" w:hAnsi="Calibri" w:cs="Helvetica"/>
          <w:b/>
          <w:sz w:val="24"/>
          <w:szCs w:val="24"/>
          <w:lang w:val="en"/>
        </w:rPr>
        <w:lastRenderedPageBreak/>
        <w:t>Disclose currency exposure</w:t>
      </w:r>
    </w:p>
    <w:tbl>
      <w:tblPr>
        <w:tblW w:w="8085" w:type="dxa"/>
        <w:tblInd w:w="-10" w:type="dxa"/>
        <w:tblLook w:val="04A0" w:firstRow="1" w:lastRow="0" w:firstColumn="1" w:lastColumn="0" w:noHBand="0" w:noVBand="1"/>
      </w:tblPr>
      <w:tblGrid>
        <w:gridCol w:w="3407"/>
        <w:gridCol w:w="4678"/>
      </w:tblGrid>
      <w:tr w:rsidR="00B964A6" w:rsidRPr="00E95745" w14:paraId="27F0A2CE" w14:textId="77777777" w:rsidTr="00D3615D">
        <w:trPr>
          <w:trHeight w:val="307"/>
        </w:trPr>
        <w:tc>
          <w:tcPr>
            <w:tcW w:w="3407" w:type="dxa"/>
            <w:tcBorders>
              <w:top w:val="single" w:sz="4" w:space="0" w:color="auto"/>
              <w:left w:val="single" w:sz="4" w:space="0" w:color="auto"/>
              <w:bottom w:val="single" w:sz="4" w:space="0" w:color="auto"/>
              <w:right w:val="single" w:sz="4" w:space="0" w:color="auto"/>
            </w:tcBorders>
            <w:shd w:val="clear" w:color="auto" w:fill="0070C0"/>
            <w:noWrap/>
            <w:hideMark/>
          </w:tcPr>
          <w:p w14:paraId="5C54D486" w14:textId="33CD0AA5" w:rsidR="00B964A6" w:rsidRPr="00B964A6" w:rsidRDefault="00B964A6" w:rsidP="00D3615D">
            <w:pPr>
              <w:spacing w:before="120" w:after="120"/>
              <w:rPr>
                <w:rFonts w:ascii="Calibri" w:hAnsi="Calibri"/>
                <w:b/>
                <w:bCs/>
                <w:color w:val="FFFFFF"/>
              </w:rPr>
            </w:pPr>
            <w:r w:rsidRPr="00B964A6">
              <w:rPr>
                <w:rFonts w:ascii="Calibri" w:hAnsi="Calibri"/>
                <w:b/>
                <w:bCs/>
                <w:color w:val="FFFFFF"/>
              </w:rPr>
              <w:t>Currency</w:t>
            </w:r>
          </w:p>
        </w:tc>
        <w:tc>
          <w:tcPr>
            <w:tcW w:w="4678" w:type="dxa"/>
            <w:tcBorders>
              <w:top w:val="single" w:sz="4" w:space="0" w:color="auto"/>
              <w:left w:val="single" w:sz="4" w:space="0" w:color="auto"/>
              <w:bottom w:val="single" w:sz="4" w:space="0" w:color="auto"/>
              <w:right w:val="single" w:sz="4" w:space="0" w:color="auto"/>
            </w:tcBorders>
            <w:shd w:val="clear" w:color="auto" w:fill="0070C0"/>
            <w:noWrap/>
            <w:hideMark/>
          </w:tcPr>
          <w:p w14:paraId="3D6A0939" w14:textId="3A8FD97C" w:rsidR="00B964A6" w:rsidRPr="00B964A6" w:rsidRDefault="00B964A6" w:rsidP="00D3615D">
            <w:pPr>
              <w:spacing w:before="120" w:after="120"/>
              <w:rPr>
                <w:rFonts w:ascii="Calibri" w:hAnsi="Calibri"/>
                <w:b/>
                <w:bCs/>
                <w:color w:val="FFFFFF"/>
              </w:rPr>
            </w:pPr>
            <w:r w:rsidRPr="00B964A6">
              <w:rPr>
                <w:rFonts w:ascii="Calibri" w:hAnsi="Calibri"/>
                <w:b/>
                <w:bCs/>
                <w:color w:val="FFFFFF"/>
              </w:rPr>
              <w:t>% of total Counterparty Risk Requirement</w:t>
            </w:r>
          </w:p>
        </w:tc>
      </w:tr>
      <w:tr w:rsidR="00B964A6" w:rsidRPr="00E95745" w14:paraId="68E03608" w14:textId="77777777" w:rsidTr="00D3615D">
        <w:trPr>
          <w:trHeight w:val="294"/>
        </w:trPr>
        <w:tc>
          <w:tcPr>
            <w:tcW w:w="3407" w:type="dxa"/>
            <w:tcBorders>
              <w:top w:val="single" w:sz="4" w:space="0" w:color="auto"/>
              <w:left w:val="single" w:sz="4" w:space="0" w:color="auto"/>
              <w:bottom w:val="single" w:sz="4" w:space="0" w:color="auto"/>
              <w:right w:val="single" w:sz="4" w:space="0" w:color="auto"/>
            </w:tcBorders>
            <w:shd w:val="clear" w:color="auto" w:fill="auto"/>
            <w:noWrap/>
            <w:hideMark/>
          </w:tcPr>
          <w:p w14:paraId="55A8CDA3" w14:textId="591FF69B" w:rsidR="00B964A6" w:rsidRPr="00D3615D" w:rsidRDefault="00B964A6" w:rsidP="00D3615D">
            <w:pPr>
              <w:spacing w:before="120" w:after="40"/>
              <w:rPr>
                <w:rFonts w:ascii="Calibri" w:hAnsi="Calibri"/>
                <w:color w:val="000000"/>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hideMark/>
          </w:tcPr>
          <w:p w14:paraId="47E5B916" w14:textId="12B91C19" w:rsidR="00B964A6" w:rsidRPr="00E95745" w:rsidRDefault="00B964A6" w:rsidP="00D3615D">
            <w:pPr>
              <w:spacing w:before="120" w:after="40"/>
              <w:rPr>
                <w:rFonts w:ascii="Calibri" w:hAnsi="Calibri"/>
                <w:color w:val="000000"/>
              </w:rPr>
            </w:pPr>
          </w:p>
        </w:tc>
      </w:tr>
      <w:tr w:rsidR="00B964A6" w:rsidRPr="00E95745" w14:paraId="7076BBD0" w14:textId="77777777" w:rsidTr="00D3615D">
        <w:trPr>
          <w:trHeight w:val="271"/>
        </w:trPr>
        <w:tc>
          <w:tcPr>
            <w:tcW w:w="3407" w:type="dxa"/>
            <w:tcBorders>
              <w:top w:val="single" w:sz="4" w:space="0" w:color="auto"/>
              <w:left w:val="single" w:sz="4" w:space="0" w:color="auto"/>
              <w:bottom w:val="single" w:sz="4" w:space="0" w:color="auto"/>
              <w:right w:val="single" w:sz="4" w:space="0" w:color="auto"/>
            </w:tcBorders>
            <w:shd w:val="clear" w:color="auto" w:fill="auto"/>
            <w:noWrap/>
            <w:hideMark/>
          </w:tcPr>
          <w:p w14:paraId="7C85C903" w14:textId="77777777" w:rsidR="00B964A6" w:rsidRPr="00871048" w:rsidRDefault="00B964A6" w:rsidP="00D3615D">
            <w:pPr>
              <w:spacing w:before="120" w:after="40"/>
              <w:rPr>
                <w:rFonts w:ascii="Calibri" w:hAnsi="Calibri"/>
                <w:b/>
                <w:color w:val="000000"/>
              </w:rPr>
            </w:pPr>
            <w:r w:rsidRPr="00871048">
              <w:rPr>
                <w:rFonts w:ascii="Calibri" w:hAnsi="Calibri"/>
                <w:b/>
                <w:color w:val="000000"/>
              </w:rPr>
              <w:t>Total</w:t>
            </w:r>
          </w:p>
        </w:tc>
        <w:tc>
          <w:tcPr>
            <w:tcW w:w="4678" w:type="dxa"/>
            <w:tcBorders>
              <w:top w:val="single" w:sz="4" w:space="0" w:color="auto"/>
              <w:left w:val="single" w:sz="4" w:space="0" w:color="auto"/>
              <w:bottom w:val="single" w:sz="4" w:space="0" w:color="auto"/>
              <w:right w:val="single" w:sz="4" w:space="0" w:color="auto"/>
            </w:tcBorders>
            <w:shd w:val="clear" w:color="auto" w:fill="auto"/>
            <w:noWrap/>
            <w:hideMark/>
          </w:tcPr>
          <w:p w14:paraId="337D7ED0" w14:textId="73FE3A77" w:rsidR="00B964A6" w:rsidRPr="00D3615D" w:rsidRDefault="00B964A6" w:rsidP="00D3615D">
            <w:pPr>
              <w:spacing w:before="120" w:after="40"/>
              <w:rPr>
                <w:rFonts w:ascii="Calibri" w:hAnsi="Calibri"/>
                <w:color w:val="000000"/>
              </w:rPr>
            </w:pPr>
          </w:p>
        </w:tc>
      </w:tr>
    </w:tbl>
    <w:p w14:paraId="27D3EDF6" w14:textId="77777777" w:rsidR="00661F8A" w:rsidRPr="00D3615D" w:rsidRDefault="00661F8A" w:rsidP="00D3615D">
      <w:pPr>
        <w:spacing w:after="200" w:line="276" w:lineRule="auto"/>
        <w:contextualSpacing/>
        <w:rPr>
          <w:rFonts w:ascii="Calibri" w:eastAsia="Calibri" w:hAnsi="Calibri"/>
          <w:bCs/>
          <w:iCs/>
          <w:sz w:val="16"/>
          <w:szCs w:val="16"/>
        </w:rPr>
      </w:pPr>
    </w:p>
    <w:p w14:paraId="586E2C3B" w14:textId="3B2F7CCF" w:rsidR="00974310" w:rsidRDefault="00974310" w:rsidP="00D3615D">
      <w:pPr>
        <w:numPr>
          <w:ilvl w:val="0"/>
          <w:numId w:val="71"/>
        </w:numPr>
        <w:spacing w:after="120"/>
        <w:contextualSpacing/>
        <w:rPr>
          <w:rFonts w:ascii="Calibri" w:eastAsia="Calibri" w:hAnsi="Calibri"/>
          <w:bCs/>
          <w:iCs/>
        </w:rPr>
      </w:pPr>
      <w:r w:rsidRPr="00E95745">
        <w:rPr>
          <w:rFonts w:ascii="Calibri" w:eastAsia="Calibri" w:hAnsi="Calibri"/>
          <w:bCs/>
          <w:iCs/>
        </w:rPr>
        <w:t>Detail by currency, the percentage that each currency represents of the total Counterparty Risk Requirement.</w:t>
      </w:r>
    </w:p>
    <w:p w14:paraId="6902B6FF" w14:textId="1FB1DFD3" w:rsidR="00A821AB" w:rsidRPr="00930407" w:rsidRDefault="00974310" w:rsidP="00D3615D">
      <w:pPr>
        <w:numPr>
          <w:ilvl w:val="0"/>
          <w:numId w:val="71"/>
        </w:numPr>
        <w:spacing w:after="120"/>
        <w:ind w:left="714" w:hanging="357"/>
        <w:contextualSpacing/>
        <w:rPr>
          <w:rFonts w:ascii="Calibri" w:eastAsia="Calibri" w:hAnsi="Calibri"/>
          <w:bCs/>
          <w:iCs/>
        </w:rPr>
      </w:pPr>
      <w:r w:rsidRPr="00974310">
        <w:rPr>
          <w:rFonts w:ascii="Calibri" w:eastAsia="Calibri" w:hAnsi="Calibri"/>
          <w:bCs/>
          <w:iCs/>
        </w:rPr>
        <w:t>Ensure that the total amounts to 100%.</w:t>
      </w:r>
    </w:p>
    <w:p w14:paraId="134A4D28" w14:textId="52D49662" w:rsidR="00974310" w:rsidRPr="00930407" w:rsidRDefault="00974310" w:rsidP="00D3615D">
      <w:pPr>
        <w:keepNext/>
        <w:spacing w:before="360" w:after="120"/>
        <w:outlineLvl w:val="3"/>
        <w:rPr>
          <w:rFonts w:ascii="Calibri" w:hAnsi="Calibri" w:cs="Helvetica"/>
          <w:b/>
          <w:sz w:val="24"/>
          <w:szCs w:val="24"/>
          <w:lang w:val="en"/>
        </w:rPr>
      </w:pPr>
      <w:r w:rsidRPr="00930407">
        <w:rPr>
          <w:rFonts w:ascii="Calibri" w:hAnsi="Calibri" w:cs="Helvetica"/>
          <w:b/>
          <w:sz w:val="24"/>
          <w:szCs w:val="24"/>
          <w:lang w:val="en"/>
        </w:rPr>
        <w:t>Counterparty concentration</w:t>
      </w:r>
    </w:p>
    <w:tbl>
      <w:tblPr>
        <w:tblW w:w="13745" w:type="dxa"/>
        <w:tblLayout w:type="fixed"/>
        <w:tblLook w:val="04A0" w:firstRow="1" w:lastRow="0" w:firstColumn="1" w:lastColumn="0" w:noHBand="0" w:noVBand="1"/>
      </w:tblPr>
      <w:tblGrid>
        <w:gridCol w:w="3397"/>
        <w:gridCol w:w="2977"/>
        <w:gridCol w:w="2457"/>
        <w:gridCol w:w="2457"/>
        <w:gridCol w:w="2457"/>
      </w:tblGrid>
      <w:tr w:rsidR="00974310" w:rsidRPr="00E95745" w14:paraId="75F2075B" w14:textId="77777777" w:rsidTr="00D3615D">
        <w:trPr>
          <w:trHeight w:val="579"/>
        </w:trPr>
        <w:tc>
          <w:tcPr>
            <w:tcW w:w="3397" w:type="dxa"/>
            <w:tcBorders>
              <w:top w:val="single" w:sz="4" w:space="0" w:color="auto"/>
              <w:left w:val="single" w:sz="4" w:space="0" w:color="auto"/>
              <w:bottom w:val="single" w:sz="4" w:space="0" w:color="auto"/>
              <w:right w:val="single" w:sz="4" w:space="0" w:color="auto"/>
            </w:tcBorders>
            <w:shd w:val="clear" w:color="auto" w:fill="0070C0"/>
            <w:noWrap/>
            <w:hideMark/>
          </w:tcPr>
          <w:p w14:paraId="48D04516" w14:textId="2C841397" w:rsidR="00974310" w:rsidRPr="00661F8A" w:rsidRDefault="00974310" w:rsidP="00D3615D">
            <w:pPr>
              <w:spacing w:before="120" w:after="120"/>
              <w:rPr>
                <w:rFonts w:ascii="Calibri" w:hAnsi="Calibri"/>
                <w:b/>
                <w:bCs/>
                <w:color w:val="FFFFFF"/>
              </w:rPr>
            </w:pPr>
            <w:r w:rsidRPr="00661F8A">
              <w:rPr>
                <w:rFonts w:ascii="Calibri" w:hAnsi="Calibri"/>
                <w:b/>
                <w:bCs/>
                <w:color w:val="FFFFFF"/>
              </w:rPr>
              <w:t>Counterparty name</w:t>
            </w:r>
          </w:p>
        </w:tc>
        <w:tc>
          <w:tcPr>
            <w:tcW w:w="2977" w:type="dxa"/>
            <w:tcBorders>
              <w:top w:val="single" w:sz="4" w:space="0" w:color="auto"/>
              <w:left w:val="single" w:sz="4" w:space="0" w:color="auto"/>
              <w:bottom w:val="single" w:sz="4" w:space="0" w:color="auto"/>
              <w:right w:val="single" w:sz="4" w:space="0" w:color="auto"/>
            </w:tcBorders>
            <w:shd w:val="clear" w:color="auto" w:fill="0070C0"/>
            <w:hideMark/>
          </w:tcPr>
          <w:p w14:paraId="78F72BE3" w14:textId="21EBA316" w:rsidR="00974310" w:rsidRPr="00661F8A" w:rsidRDefault="00974310" w:rsidP="00D3615D">
            <w:pPr>
              <w:spacing w:before="120" w:after="120"/>
              <w:rPr>
                <w:rFonts w:ascii="Calibri" w:hAnsi="Calibri"/>
                <w:b/>
                <w:bCs/>
                <w:color w:val="FFFFFF"/>
              </w:rPr>
            </w:pPr>
            <w:r w:rsidRPr="00661F8A">
              <w:rPr>
                <w:rFonts w:ascii="Calibri" w:hAnsi="Calibri"/>
                <w:b/>
                <w:bCs/>
                <w:color w:val="FFFFFF"/>
              </w:rPr>
              <w:t>Counterparty type</w:t>
            </w:r>
          </w:p>
        </w:tc>
        <w:tc>
          <w:tcPr>
            <w:tcW w:w="245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3D5BADEF" w14:textId="58699618" w:rsidR="00974310" w:rsidRPr="00661F8A" w:rsidRDefault="00974310" w:rsidP="00D3615D">
            <w:pPr>
              <w:spacing w:before="120" w:after="120"/>
              <w:rPr>
                <w:rFonts w:ascii="Calibri" w:hAnsi="Calibri"/>
                <w:b/>
                <w:bCs/>
                <w:color w:val="FFFFFF"/>
              </w:rPr>
            </w:pPr>
            <w:r w:rsidRPr="00661F8A">
              <w:rPr>
                <w:rFonts w:ascii="Calibri" w:hAnsi="Calibri"/>
                <w:b/>
                <w:bCs/>
                <w:color w:val="FFFFFF"/>
              </w:rPr>
              <w:t xml:space="preserve">Gross </w:t>
            </w:r>
            <w:r w:rsidR="00C623EA">
              <w:rPr>
                <w:rFonts w:ascii="Calibri" w:hAnsi="Calibri"/>
                <w:b/>
                <w:bCs/>
                <w:color w:val="FFFFFF"/>
              </w:rPr>
              <w:t>‘</w:t>
            </w:r>
            <w:r w:rsidRPr="00661F8A">
              <w:rPr>
                <w:rFonts w:ascii="Calibri" w:hAnsi="Calibri"/>
                <w:b/>
                <w:bCs/>
                <w:color w:val="FFFFFF"/>
              </w:rPr>
              <w:t>unweighted value</w:t>
            </w:r>
            <w:r w:rsidR="00C623EA">
              <w:rPr>
                <w:rFonts w:ascii="Calibri" w:hAnsi="Calibri"/>
                <w:b/>
                <w:bCs/>
                <w:color w:val="FFFFFF"/>
              </w:rPr>
              <w:t>’</w:t>
            </w:r>
          </w:p>
        </w:tc>
        <w:tc>
          <w:tcPr>
            <w:tcW w:w="245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12C7714" w14:textId="77777777" w:rsidR="00974310" w:rsidRPr="00661F8A" w:rsidRDefault="00974310" w:rsidP="00D3615D">
            <w:pPr>
              <w:spacing w:before="120" w:after="120"/>
              <w:rPr>
                <w:rFonts w:ascii="Calibri" w:hAnsi="Calibri"/>
                <w:b/>
                <w:bCs/>
                <w:color w:val="FFFFFF"/>
              </w:rPr>
            </w:pPr>
            <w:r w:rsidRPr="00661F8A">
              <w:rPr>
                <w:rFonts w:ascii="Calibri" w:hAnsi="Calibri"/>
                <w:b/>
                <w:bCs/>
                <w:color w:val="FFFFFF"/>
              </w:rPr>
              <w:t>Counterparty risk weighting %</w:t>
            </w:r>
          </w:p>
        </w:tc>
        <w:tc>
          <w:tcPr>
            <w:tcW w:w="245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1E0F829" w14:textId="77777777" w:rsidR="00974310" w:rsidRPr="00661F8A" w:rsidRDefault="00974310" w:rsidP="00D3615D">
            <w:pPr>
              <w:spacing w:before="120" w:after="120"/>
              <w:rPr>
                <w:rFonts w:ascii="Calibri" w:hAnsi="Calibri"/>
                <w:b/>
                <w:bCs/>
                <w:color w:val="FFFFFF"/>
              </w:rPr>
            </w:pPr>
            <w:r w:rsidRPr="00661F8A">
              <w:rPr>
                <w:rFonts w:ascii="Calibri" w:hAnsi="Calibri"/>
                <w:b/>
                <w:bCs/>
                <w:color w:val="FFFFFF"/>
              </w:rPr>
              <w:t>Counterparty risk amount (risk weighted)</w:t>
            </w:r>
          </w:p>
        </w:tc>
      </w:tr>
      <w:tr w:rsidR="00974310" w:rsidRPr="00E95745" w14:paraId="3396EF6F" w14:textId="77777777" w:rsidTr="00D3615D">
        <w:trPr>
          <w:trHeight w:val="313"/>
        </w:trPr>
        <w:tc>
          <w:tcPr>
            <w:tcW w:w="3397" w:type="dxa"/>
            <w:tcBorders>
              <w:top w:val="single" w:sz="4" w:space="0" w:color="auto"/>
              <w:left w:val="single" w:sz="4" w:space="0" w:color="auto"/>
              <w:bottom w:val="single" w:sz="4" w:space="0" w:color="auto"/>
              <w:right w:val="single" w:sz="4" w:space="0" w:color="auto"/>
            </w:tcBorders>
            <w:shd w:val="clear" w:color="auto" w:fill="auto"/>
            <w:noWrap/>
            <w:hideMark/>
          </w:tcPr>
          <w:p w14:paraId="6111189B" w14:textId="6A314E1E" w:rsidR="00974310" w:rsidRPr="00E95745" w:rsidRDefault="00974310" w:rsidP="00D3615D">
            <w:pPr>
              <w:spacing w:before="120" w:after="40"/>
              <w:rPr>
                <w:rFonts w:ascii="Calibri" w:hAnsi="Calibri"/>
                <w:color w:val="000000"/>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14:paraId="10FE8BD2" w14:textId="0F21E3CC" w:rsidR="00974310" w:rsidRPr="00D3615D" w:rsidRDefault="00974310" w:rsidP="00D3615D">
            <w:pPr>
              <w:spacing w:before="120" w:after="40"/>
              <w:rPr>
                <w:rFonts w:ascii="Calibri" w:hAnsi="Calibri"/>
                <w:color w:val="000000"/>
              </w:rPr>
            </w:pPr>
          </w:p>
        </w:tc>
        <w:tc>
          <w:tcPr>
            <w:tcW w:w="24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46C418" w14:textId="4DDC3A2E" w:rsidR="00974310" w:rsidRPr="00E95745" w:rsidRDefault="00974310" w:rsidP="00D3615D">
            <w:pPr>
              <w:spacing w:before="120" w:after="40"/>
              <w:rPr>
                <w:rFonts w:ascii="Calibri" w:hAnsi="Calibri"/>
                <w:color w:val="000000"/>
              </w:rPr>
            </w:pPr>
          </w:p>
        </w:tc>
        <w:tc>
          <w:tcPr>
            <w:tcW w:w="24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D872B" w14:textId="00F4E405" w:rsidR="00974310" w:rsidRPr="00E95745" w:rsidRDefault="00974310" w:rsidP="00D3615D">
            <w:pPr>
              <w:spacing w:before="120" w:after="40"/>
              <w:rPr>
                <w:rFonts w:ascii="Calibri" w:hAnsi="Calibri"/>
                <w:color w:val="000000"/>
              </w:rPr>
            </w:pPr>
          </w:p>
        </w:tc>
        <w:tc>
          <w:tcPr>
            <w:tcW w:w="24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9723D0" w14:textId="4F977874" w:rsidR="00974310" w:rsidRPr="00E95745" w:rsidRDefault="00974310" w:rsidP="00D3615D">
            <w:pPr>
              <w:spacing w:before="120" w:after="40"/>
              <w:rPr>
                <w:rFonts w:ascii="Calibri" w:hAnsi="Calibri"/>
                <w:color w:val="000000"/>
              </w:rPr>
            </w:pPr>
          </w:p>
        </w:tc>
      </w:tr>
      <w:tr w:rsidR="00974310" w:rsidRPr="00E95745" w14:paraId="3C439AF4" w14:textId="77777777" w:rsidTr="00D3615D">
        <w:trPr>
          <w:trHeight w:val="282"/>
        </w:trPr>
        <w:tc>
          <w:tcPr>
            <w:tcW w:w="3397" w:type="dxa"/>
            <w:tcBorders>
              <w:top w:val="single" w:sz="4" w:space="0" w:color="auto"/>
              <w:left w:val="single" w:sz="4" w:space="0" w:color="auto"/>
              <w:bottom w:val="single" w:sz="4" w:space="0" w:color="auto"/>
              <w:right w:val="single" w:sz="4" w:space="0" w:color="auto"/>
            </w:tcBorders>
            <w:shd w:val="clear" w:color="auto" w:fill="auto"/>
            <w:noWrap/>
          </w:tcPr>
          <w:p w14:paraId="406C52D6" w14:textId="581B5690" w:rsidR="00974310" w:rsidRPr="00E95745" w:rsidRDefault="00974310" w:rsidP="00D3615D">
            <w:pPr>
              <w:spacing w:before="120" w:after="40"/>
              <w:rPr>
                <w:rFonts w:ascii="Calibri" w:hAnsi="Calibri"/>
                <w:color w:val="000000"/>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14:paraId="5F20FB7E" w14:textId="222CC0DC" w:rsidR="00974310" w:rsidRPr="00D3615D" w:rsidRDefault="00974310" w:rsidP="00D3615D">
            <w:pPr>
              <w:spacing w:before="120" w:after="40"/>
              <w:rPr>
                <w:rFonts w:ascii="Calibri" w:hAnsi="Calibri"/>
                <w:color w:val="000000"/>
              </w:rPr>
            </w:pPr>
          </w:p>
        </w:tc>
        <w:tc>
          <w:tcPr>
            <w:tcW w:w="24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5CF15C" w14:textId="7A8B30CA" w:rsidR="00974310" w:rsidRPr="00E95745" w:rsidRDefault="00974310" w:rsidP="00D3615D">
            <w:pPr>
              <w:spacing w:before="120" w:after="40"/>
              <w:rPr>
                <w:rFonts w:ascii="Calibri" w:hAnsi="Calibri"/>
                <w:color w:val="000000"/>
              </w:rPr>
            </w:pPr>
          </w:p>
        </w:tc>
        <w:tc>
          <w:tcPr>
            <w:tcW w:w="24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40F10" w14:textId="5E3D8E5B" w:rsidR="00974310" w:rsidRPr="00E95745" w:rsidRDefault="00974310" w:rsidP="00D3615D">
            <w:pPr>
              <w:spacing w:before="120" w:after="40"/>
              <w:rPr>
                <w:rFonts w:ascii="Calibri" w:hAnsi="Calibri"/>
                <w:color w:val="000000"/>
              </w:rPr>
            </w:pPr>
          </w:p>
        </w:tc>
        <w:tc>
          <w:tcPr>
            <w:tcW w:w="24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2E54D" w14:textId="14B0D08E" w:rsidR="00974310" w:rsidRPr="00E95745" w:rsidRDefault="00974310" w:rsidP="00D3615D">
            <w:pPr>
              <w:spacing w:before="120" w:after="40"/>
              <w:rPr>
                <w:rFonts w:ascii="Calibri" w:hAnsi="Calibri"/>
                <w:color w:val="000000"/>
              </w:rPr>
            </w:pPr>
          </w:p>
        </w:tc>
      </w:tr>
      <w:tr w:rsidR="00974310" w:rsidRPr="00E95745" w14:paraId="0271A234" w14:textId="77777777" w:rsidTr="00D3615D">
        <w:trPr>
          <w:trHeight w:val="282"/>
        </w:trPr>
        <w:tc>
          <w:tcPr>
            <w:tcW w:w="3397" w:type="dxa"/>
            <w:tcBorders>
              <w:top w:val="single" w:sz="4" w:space="0" w:color="auto"/>
              <w:left w:val="single" w:sz="4" w:space="0" w:color="auto"/>
              <w:bottom w:val="single" w:sz="4" w:space="0" w:color="auto"/>
              <w:right w:val="single" w:sz="4" w:space="0" w:color="auto"/>
            </w:tcBorders>
            <w:shd w:val="clear" w:color="auto" w:fill="auto"/>
            <w:noWrap/>
          </w:tcPr>
          <w:p w14:paraId="089C63D4" w14:textId="2BD4A51C" w:rsidR="00974310" w:rsidRPr="00E95745" w:rsidRDefault="00974310" w:rsidP="00D3615D">
            <w:pPr>
              <w:spacing w:before="120" w:after="40"/>
              <w:rPr>
                <w:rFonts w:ascii="Calibri" w:hAnsi="Calibri"/>
                <w:color w:val="000000"/>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14:paraId="269981BC" w14:textId="29EF70CB" w:rsidR="00974310" w:rsidRPr="00D3615D" w:rsidRDefault="00974310" w:rsidP="00D3615D">
            <w:pPr>
              <w:spacing w:before="120" w:after="40"/>
              <w:rPr>
                <w:rFonts w:ascii="Calibri" w:hAnsi="Calibri"/>
                <w:color w:val="000000"/>
              </w:rPr>
            </w:pPr>
          </w:p>
        </w:tc>
        <w:tc>
          <w:tcPr>
            <w:tcW w:w="24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2D5F2" w14:textId="612E2ADD" w:rsidR="00974310" w:rsidRPr="00E95745" w:rsidRDefault="00974310" w:rsidP="00D3615D">
            <w:pPr>
              <w:spacing w:before="120" w:after="40"/>
              <w:rPr>
                <w:rFonts w:ascii="Calibri" w:hAnsi="Calibri"/>
                <w:color w:val="000000"/>
              </w:rPr>
            </w:pPr>
          </w:p>
        </w:tc>
        <w:tc>
          <w:tcPr>
            <w:tcW w:w="24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A69E25" w14:textId="31533BE9" w:rsidR="00974310" w:rsidRPr="00E95745" w:rsidRDefault="00974310" w:rsidP="00D3615D">
            <w:pPr>
              <w:spacing w:before="120" w:after="40"/>
              <w:rPr>
                <w:rFonts w:ascii="Calibri" w:hAnsi="Calibri"/>
                <w:color w:val="000000"/>
              </w:rPr>
            </w:pPr>
          </w:p>
        </w:tc>
        <w:tc>
          <w:tcPr>
            <w:tcW w:w="24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DED98" w14:textId="48DBBFA0" w:rsidR="00974310" w:rsidRPr="00E95745" w:rsidRDefault="00974310" w:rsidP="00D3615D">
            <w:pPr>
              <w:spacing w:before="120" w:after="40"/>
              <w:rPr>
                <w:rFonts w:ascii="Calibri" w:hAnsi="Calibri"/>
                <w:color w:val="000000"/>
              </w:rPr>
            </w:pPr>
          </w:p>
        </w:tc>
      </w:tr>
      <w:tr w:rsidR="00974310" w:rsidRPr="00E95745" w14:paraId="16A89937" w14:textId="77777777" w:rsidTr="00D3615D">
        <w:trPr>
          <w:trHeight w:val="282"/>
        </w:trPr>
        <w:tc>
          <w:tcPr>
            <w:tcW w:w="3397" w:type="dxa"/>
            <w:tcBorders>
              <w:top w:val="single" w:sz="4" w:space="0" w:color="auto"/>
              <w:left w:val="single" w:sz="4" w:space="0" w:color="auto"/>
              <w:bottom w:val="single" w:sz="4" w:space="0" w:color="auto"/>
              <w:right w:val="single" w:sz="4" w:space="0" w:color="auto"/>
            </w:tcBorders>
            <w:shd w:val="clear" w:color="auto" w:fill="auto"/>
            <w:noWrap/>
          </w:tcPr>
          <w:p w14:paraId="5C685AC3" w14:textId="17CEF200" w:rsidR="00974310" w:rsidRPr="00E95745" w:rsidRDefault="00974310" w:rsidP="00D3615D">
            <w:pPr>
              <w:spacing w:before="120" w:after="40"/>
              <w:rPr>
                <w:rFonts w:ascii="Calibri" w:hAnsi="Calibri"/>
                <w:color w:val="000000"/>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14:paraId="79EEA82E" w14:textId="61C6F06A" w:rsidR="00974310" w:rsidRPr="00D3615D" w:rsidRDefault="00974310" w:rsidP="00D3615D">
            <w:pPr>
              <w:spacing w:before="120" w:after="40"/>
              <w:rPr>
                <w:rFonts w:ascii="Calibri" w:hAnsi="Calibri"/>
                <w:color w:val="000000"/>
              </w:rPr>
            </w:pPr>
          </w:p>
        </w:tc>
        <w:tc>
          <w:tcPr>
            <w:tcW w:w="24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B6E438" w14:textId="183915B5" w:rsidR="00974310" w:rsidRPr="00E95745" w:rsidRDefault="00974310" w:rsidP="00D3615D">
            <w:pPr>
              <w:spacing w:before="120" w:after="40"/>
              <w:rPr>
                <w:rFonts w:ascii="Calibri" w:hAnsi="Calibri"/>
                <w:color w:val="000000"/>
              </w:rPr>
            </w:pPr>
          </w:p>
        </w:tc>
        <w:tc>
          <w:tcPr>
            <w:tcW w:w="24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5E2DC2" w14:textId="0AFFF3CF" w:rsidR="00974310" w:rsidRPr="00E95745" w:rsidRDefault="00974310" w:rsidP="00D3615D">
            <w:pPr>
              <w:spacing w:before="120" w:after="40"/>
              <w:rPr>
                <w:rFonts w:ascii="Calibri" w:hAnsi="Calibri"/>
                <w:color w:val="000000"/>
              </w:rPr>
            </w:pPr>
          </w:p>
        </w:tc>
        <w:tc>
          <w:tcPr>
            <w:tcW w:w="24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E3727" w14:textId="432F5C97" w:rsidR="00974310" w:rsidRPr="00E95745" w:rsidRDefault="00974310" w:rsidP="00D3615D">
            <w:pPr>
              <w:spacing w:before="120" w:after="40"/>
              <w:rPr>
                <w:rFonts w:ascii="Calibri" w:hAnsi="Calibri"/>
                <w:color w:val="000000"/>
              </w:rPr>
            </w:pPr>
          </w:p>
        </w:tc>
      </w:tr>
      <w:tr w:rsidR="00974310" w:rsidRPr="00E95745" w14:paraId="3C177A6F" w14:textId="77777777" w:rsidTr="00D3615D">
        <w:trPr>
          <w:trHeight w:val="282"/>
        </w:trPr>
        <w:tc>
          <w:tcPr>
            <w:tcW w:w="3397" w:type="dxa"/>
            <w:tcBorders>
              <w:top w:val="single" w:sz="4" w:space="0" w:color="auto"/>
              <w:left w:val="single" w:sz="4" w:space="0" w:color="auto"/>
              <w:bottom w:val="single" w:sz="4" w:space="0" w:color="auto"/>
              <w:right w:val="single" w:sz="4" w:space="0" w:color="auto"/>
            </w:tcBorders>
            <w:shd w:val="clear" w:color="auto" w:fill="auto"/>
            <w:noWrap/>
          </w:tcPr>
          <w:p w14:paraId="5D0A87BB" w14:textId="7926A0C5" w:rsidR="00974310" w:rsidRPr="00E95745" w:rsidRDefault="00974310" w:rsidP="00D3615D">
            <w:pPr>
              <w:spacing w:before="120" w:after="40"/>
              <w:rPr>
                <w:rFonts w:ascii="Calibri" w:hAnsi="Calibri"/>
                <w:color w:val="000000"/>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14:paraId="155487E2" w14:textId="2801F617" w:rsidR="00974310" w:rsidRPr="00D3615D" w:rsidRDefault="00974310" w:rsidP="00D3615D">
            <w:pPr>
              <w:spacing w:before="120" w:after="40"/>
              <w:rPr>
                <w:rFonts w:ascii="Calibri" w:hAnsi="Calibri"/>
                <w:color w:val="000000"/>
              </w:rPr>
            </w:pPr>
          </w:p>
        </w:tc>
        <w:tc>
          <w:tcPr>
            <w:tcW w:w="24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ED977B" w14:textId="78447D97" w:rsidR="00974310" w:rsidRPr="00E95745" w:rsidRDefault="00974310" w:rsidP="00D3615D">
            <w:pPr>
              <w:spacing w:before="120" w:after="40"/>
              <w:rPr>
                <w:rFonts w:ascii="Calibri" w:hAnsi="Calibri"/>
                <w:color w:val="000000"/>
              </w:rPr>
            </w:pPr>
          </w:p>
        </w:tc>
        <w:tc>
          <w:tcPr>
            <w:tcW w:w="24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9343B" w14:textId="3748A090" w:rsidR="00974310" w:rsidRPr="00E95745" w:rsidRDefault="00974310" w:rsidP="00D3615D">
            <w:pPr>
              <w:spacing w:before="120" w:after="40"/>
              <w:rPr>
                <w:rFonts w:ascii="Calibri" w:hAnsi="Calibri"/>
                <w:color w:val="000000"/>
              </w:rPr>
            </w:pPr>
          </w:p>
        </w:tc>
        <w:tc>
          <w:tcPr>
            <w:tcW w:w="24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B5A082" w14:textId="61027B7F" w:rsidR="00974310" w:rsidRPr="00E95745" w:rsidRDefault="00974310" w:rsidP="00D3615D">
            <w:pPr>
              <w:spacing w:before="120" w:after="40"/>
              <w:rPr>
                <w:rFonts w:ascii="Calibri" w:hAnsi="Calibri"/>
                <w:color w:val="000000"/>
              </w:rPr>
            </w:pPr>
          </w:p>
        </w:tc>
      </w:tr>
    </w:tbl>
    <w:p w14:paraId="19DA303C" w14:textId="77777777" w:rsidR="00661F8A" w:rsidRPr="00D3615D" w:rsidRDefault="00661F8A" w:rsidP="00930407">
      <w:pPr>
        <w:spacing w:after="200" w:line="276" w:lineRule="auto"/>
        <w:contextualSpacing/>
        <w:rPr>
          <w:rFonts w:ascii="Calibri" w:eastAsia="Calibri" w:hAnsi="Calibri"/>
          <w:sz w:val="16"/>
          <w:szCs w:val="16"/>
        </w:rPr>
      </w:pPr>
    </w:p>
    <w:p w14:paraId="2B47F3D4" w14:textId="2E94B46B" w:rsidR="00974310" w:rsidRDefault="006B1F0F" w:rsidP="00D3615D">
      <w:pPr>
        <w:spacing w:before="120" w:after="120"/>
        <w:contextualSpacing/>
        <w:rPr>
          <w:rFonts w:ascii="Calibri" w:hAnsi="Calibri"/>
          <w:color w:val="000000"/>
        </w:rPr>
      </w:pPr>
      <w:r w:rsidRPr="00E95745">
        <w:rPr>
          <w:rFonts w:ascii="Calibri" w:eastAsia="Calibri" w:hAnsi="Calibri"/>
        </w:rPr>
        <w:t>Based on the gross unweighted counterparty risk amounts, detail the 5 counterparties that comprise the greatest percentage of the total gross unweighted Counterparty Risk Requirement. The gross 'unweighted counterparty risk amount' is the calculated counterparty risk amount for that individual counterparty. It is not the Client Balance for that counterparty.</w:t>
      </w:r>
      <w:r w:rsidR="009947C9">
        <w:rPr>
          <w:rFonts w:ascii="Calibri" w:eastAsia="Calibri" w:hAnsi="Calibri"/>
        </w:rPr>
        <w:t xml:space="preserve"> Refer to Table A5.2.1 when selecting ‘counterparty type’.</w:t>
      </w:r>
    </w:p>
    <w:p w14:paraId="61550FC6" w14:textId="3097D694" w:rsidR="00974310" w:rsidRDefault="00974310" w:rsidP="00D3615D">
      <w:pPr>
        <w:keepNext/>
        <w:spacing w:before="360" w:after="120"/>
        <w:outlineLvl w:val="3"/>
        <w:rPr>
          <w:rFonts w:ascii="Calibri" w:hAnsi="Calibri" w:cs="Helvetica"/>
          <w:b/>
          <w:sz w:val="24"/>
          <w:szCs w:val="24"/>
          <w:lang w:val="en"/>
        </w:rPr>
      </w:pPr>
      <w:r w:rsidRPr="00930407">
        <w:rPr>
          <w:rFonts w:ascii="Calibri" w:hAnsi="Calibri" w:cs="Helvetica"/>
          <w:b/>
          <w:sz w:val="24"/>
          <w:szCs w:val="24"/>
          <w:lang w:val="en"/>
        </w:rPr>
        <w:t>Summary</w:t>
      </w:r>
    </w:p>
    <w:p w14:paraId="1196B4B2" w14:textId="77777777" w:rsidR="00B10248" w:rsidRPr="00B22F71" w:rsidRDefault="00B10248" w:rsidP="00D3615D">
      <w:pPr>
        <w:spacing w:after="120"/>
        <w:outlineLvl w:val="3"/>
        <w:rPr>
          <w:rFonts w:ascii="Calibri" w:hAnsi="Calibri" w:cs="Helvetica"/>
          <w:b/>
          <w:szCs w:val="22"/>
          <w:lang w:val="en"/>
        </w:rPr>
      </w:pPr>
      <w:r w:rsidRPr="00B22F71">
        <w:rPr>
          <w:rFonts w:ascii="Calibri" w:hAnsi="Calibri" w:cs="Helvetica"/>
          <w:b/>
          <w:szCs w:val="22"/>
          <w:lang w:val="en"/>
        </w:rPr>
        <w:t>Reducing the Counterparty Risk Requirement</w:t>
      </w:r>
    </w:p>
    <w:p w14:paraId="5D9ECFD4" w14:textId="77777777" w:rsidR="00B10248" w:rsidRDefault="00B10248" w:rsidP="00D3615D">
      <w:pPr>
        <w:spacing w:before="120" w:after="0"/>
        <w:outlineLvl w:val="3"/>
        <w:rPr>
          <w:rFonts w:ascii="Calibri" w:hAnsi="Calibri" w:cs="Helvetica"/>
          <w:szCs w:val="22"/>
          <w:lang w:val="en"/>
        </w:rPr>
      </w:pPr>
      <w:r w:rsidRPr="00B22F71">
        <w:rPr>
          <w:rFonts w:ascii="Calibri" w:hAnsi="Calibri" w:cs="Helvetica"/>
          <w:szCs w:val="22"/>
          <w:lang w:val="en"/>
        </w:rPr>
        <w:t>You must complete the Currency exposure and Counterparty concentration sections and must have reported the provision for doubtful debts figure if you are using it to reduce the counterparty risk requirement.</w:t>
      </w:r>
    </w:p>
    <w:tbl>
      <w:tblPr>
        <w:tblW w:w="9072" w:type="dxa"/>
        <w:tblLook w:val="04A0" w:firstRow="1" w:lastRow="0" w:firstColumn="1" w:lastColumn="0" w:noHBand="0" w:noVBand="1"/>
      </w:tblPr>
      <w:tblGrid>
        <w:gridCol w:w="7249"/>
        <w:gridCol w:w="1823"/>
      </w:tblGrid>
      <w:tr w:rsidR="00974310" w:rsidRPr="00E95745" w14:paraId="2BACFB7E" w14:textId="77777777" w:rsidTr="00974310">
        <w:trPr>
          <w:trHeight w:val="380"/>
        </w:trPr>
        <w:tc>
          <w:tcPr>
            <w:tcW w:w="7249"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56EED0B5" w14:textId="343AA122" w:rsidR="00974310" w:rsidRPr="00E95745" w:rsidRDefault="00974310" w:rsidP="00D3615D">
            <w:pPr>
              <w:keepNext/>
              <w:spacing w:before="120" w:after="120"/>
              <w:jc w:val="both"/>
              <w:rPr>
                <w:rFonts w:ascii="Calibri" w:hAnsi="Calibri"/>
                <w:b/>
                <w:bCs/>
                <w:color w:val="FFFFFF"/>
              </w:rPr>
            </w:pPr>
            <w:r w:rsidRPr="00E95745">
              <w:rPr>
                <w:rFonts w:ascii="Calibri" w:hAnsi="Calibri"/>
                <w:b/>
                <w:bCs/>
                <w:color w:val="FFFFFF"/>
              </w:rPr>
              <w:lastRenderedPageBreak/>
              <w:t xml:space="preserve">Counterparty </w:t>
            </w:r>
            <w:r>
              <w:rPr>
                <w:rFonts w:ascii="Calibri" w:hAnsi="Calibri"/>
                <w:b/>
                <w:bCs/>
                <w:color w:val="FFFFFF"/>
              </w:rPr>
              <w:t>r</w:t>
            </w:r>
            <w:r w:rsidRPr="00E95745">
              <w:rPr>
                <w:rFonts w:ascii="Calibri" w:hAnsi="Calibri"/>
                <w:b/>
                <w:bCs/>
                <w:color w:val="FFFFFF"/>
              </w:rPr>
              <w:t xml:space="preserve">isk </w:t>
            </w:r>
            <w:r>
              <w:rPr>
                <w:rFonts w:ascii="Calibri" w:hAnsi="Calibri"/>
                <w:b/>
                <w:bCs/>
                <w:color w:val="FFFFFF"/>
              </w:rPr>
              <w:t>a</w:t>
            </w:r>
            <w:r w:rsidRPr="00E95745">
              <w:rPr>
                <w:rFonts w:ascii="Calibri" w:hAnsi="Calibri"/>
                <w:b/>
                <w:bCs/>
                <w:color w:val="FFFFFF"/>
              </w:rPr>
              <w:t xml:space="preserve">mounts (after </w:t>
            </w:r>
            <w:r w:rsidR="00B10248">
              <w:rPr>
                <w:rFonts w:ascii="Calibri" w:hAnsi="Calibri"/>
                <w:b/>
                <w:bCs/>
                <w:color w:val="FFFFFF"/>
              </w:rPr>
              <w:t>C</w:t>
            </w:r>
            <w:r w:rsidRPr="00E95745">
              <w:rPr>
                <w:rFonts w:ascii="Calibri" w:hAnsi="Calibri"/>
                <w:b/>
                <w:bCs/>
                <w:color w:val="FFFFFF"/>
              </w:rPr>
              <w:t xml:space="preserve">ounterparty </w:t>
            </w:r>
            <w:r>
              <w:rPr>
                <w:rFonts w:ascii="Calibri" w:hAnsi="Calibri"/>
                <w:b/>
                <w:bCs/>
                <w:color w:val="FFFFFF"/>
              </w:rPr>
              <w:t>r</w:t>
            </w:r>
            <w:r w:rsidRPr="00E95745">
              <w:rPr>
                <w:rFonts w:ascii="Calibri" w:hAnsi="Calibri"/>
                <w:b/>
                <w:bCs/>
                <w:color w:val="FFFFFF"/>
              </w:rPr>
              <w:t xml:space="preserve">isk </w:t>
            </w:r>
            <w:r>
              <w:rPr>
                <w:rFonts w:ascii="Calibri" w:hAnsi="Calibri"/>
                <w:b/>
                <w:bCs/>
                <w:color w:val="FFFFFF"/>
              </w:rPr>
              <w:t>w</w:t>
            </w:r>
            <w:r w:rsidRPr="00E95745">
              <w:rPr>
                <w:rFonts w:ascii="Calibri" w:hAnsi="Calibri"/>
                <w:b/>
                <w:bCs/>
                <w:color w:val="FFFFFF"/>
              </w:rPr>
              <w:t>eightings)</w:t>
            </w:r>
          </w:p>
        </w:tc>
        <w:tc>
          <w:tcPr>
            <w:tcW w:w="1823"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2C99D87" w14:textId="77777777" w:rsidR="00974310" w:rsidRPr="00E95745" w:rsidRDefault="00974310" w:rsidP="00D3615D">
            <w:pPr>
              <w:keepNext/>
              <w:spacing w:before="120" w:after="120"/>
              <w:rPr>
                <w:rFonts w:ascii="Calibri" w:hAnsi="Calibri"/>
                <w:b/>
                <w:bCs/>
                <w:color w:val="FFFFFF"/>
              </w:rPr>
            </w:pPr>
            <w:r w:rsidRPr="00E95745">
              <w:rPr>
                <w:rFonts w:ascii="Calibri" w:hAnsi="Calibri"/>
                <w:b/>
                <w:bCs/>
                <w:color w:val="FFFFFF"/>
              </w:rPr>
              <w:t>Total</w:t>
            </w:r>
          </w:p>
        </w:tc>
      </w:tr>
      <w:tr w:rsidR="00974310" w:rsidRPr="00E95745" w14:paraId="3F5993F2" w14:textId="77777777" w:rsidTr="00930407">
        <w:trPr>
          <w:trHeight w:val="280"/>
        </w:trPr>
        <w:tc>
          <w:tcPr>
            <w:tcW w:w="72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38D423" w14:textId="77777777" w:rsidR="00974310" w:rsidRPr="00E95745" w:rsidRDefault="00974310" w:rsidP="00D3615D">
            <w:pPr>
              <w:spacing w:before="90" w:after="40"/>
              <w:rPr>
                <w:rFonts w:ascii="Calibri" w:hAnsi="Calibri"/>
                <w:color w:val="000000"/>
              </w:rPr>
            </w:pPr>
            <w:r w:rsidRPr="00E95745">
              <w:rPr>
                <w:rFonts w:ascii="Calibri" w:hAnsi="Calibri"/>
                <w:color w:val="000000"/>
              </w:rPr>
              <w:t>Non-margined Financial Instruments method</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2F0181" w14:textId="687D94D0" w:rsidR="00974310" w:rsidRPr="00E95745" w:rsidRDefault="00974310" w:rsidP="00D3615D">
            <w:pPr>
              <w:spacing w:before="90" w:after="40"/>
              <w:rPr>
                <w:rFonts w:ascii="Calibri" w:hAnsi="Calibri"/>
                <w:color w:val="000000"/>
              </w:rPr>
            </w:pPr>
          </w:p>
        </w:tc>
      </w:tr>
      <w:tr w:rsidR="00974310" w:rsidRPr="00E95745" w14:paraId="767E764F" w14:textId="77777777" w:rsidTr="00930407">
        <w:trPr>
          <w:trHeight w:val="280"/>
        </w:trPr>
        <w:tc>
          <w:tcPr>
            <w:tcW w:w="72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8D7BE9" w14:textId="77777777" w:rsidR="00974310" w:rsidRPr="00E95745" w:rsidRDefault="00974310" w:rsidP="00D3615D">
            <w:pPr>
              <w:spacing w:before="90" w:after="40"/>
              <w:rPr>
                <w:rFonts w:ascii="Calibri" w:hAnsi="Calibri"/>
                <w:color w:val="000000"/>
              </w:rPr>
            </w:pPr>
            <w:r w:rsidRPr="00E95745">
              <w:rPr>
                <w:rFonts w:ascii="Calibri" w:hAnsi="Calibri"/>
                <w:color w:val="000000"/>
              </w:rPr>
              <w:t>Free Delivery method</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7810B" w14:textId="34C2DC96" w:rsidR="00974310" w:rsidRPr="00E95745" w:rsidRDefault="00974310" w:rsidP="00D3615D">
            <w:pPr>
              <w:spacing w:before="90" w:after="40"/>
              <w:rPr>
                <w:rFonts w:ascii="Calibri" w:hAnsi="Calibri"/>
                <w:color w:val="000000"/>
              </w:rPr>
            </w:pPr>
          </w:p>
        </w:tc>
      </w:tr>
      <w:tr w:rsidR="00974310" w:rsidRPr="00E95745" w14:paraId="4CEE8089" w14:textId="77777777" w:rsidTr="00930407">
        <w:trPr>
          <w:trHeight w:val="280"/>
        </w:trPr>
        <w:tc>
          <w:tcPr>
            <w:tcW w:w="72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8DA371" w14:textId="77777777" w:rsidR="00974310" w:rsidRPr="00E95745" w:rsidRDefault="00974310" w:rsidP="00D3615D">
            <w:pPr>
              <w:spacing w:before="90" w:after="40"/>
              <w:rPr>
                <w:rFonts w:ascii="Calibri" w:hAnsi="Calibri"/>
                <w:color w:val="000000"/>
              </w:rPr>
            </w:pPr>
            <w:r w:rsidRPr="00E95745">
              <w:rPr>
                <w:rFonts w:ascii="Calibri" w:hAnsi="Calibri"/>
                <w:color w:val="000000"/>
              </w:rPr>
              <w:t>Securities Lending and Borrowing method</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C411E0" w14:textId="329524FC" w:rsidR="00974310" w:rsidRPr="00E95745" w:rsidRDefault="00974310" w:rsidP="00D3615D">
            <w:pPr>
              <w:spacing w:before="90" w:after="40"/>
              <w:rPr>
                <w:rFonts w:ascii="Calibri" w:hAnsi="Calibri"/>
                <w:color w:val="000000"/>
              </w:rPr>
            </w:pPr>
          </w:p>
        </w:tc>
      </w:tr>
      <w:tr w:rsidR="00974310" w:rsidRPr="00E95745" w14:paraId="34E32CAD" w14:textId="77777777" w:rsidTr="00930407">
        <w:trPr>
          <w:trHeight w:val="280"/>
        </w:trPr>
        <w:tc>
          <w:tcPr>
            <w:tcW w:w="72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C5F084" w14:textId="77777777" w:rsidR="00974310" w:rsidRPr="00E95745" w:rsidRDefault="00974310" w:rsidP="00D3615D">
            <w:pPr>
              <w:spacing w:before="90" w:after="40"/>
              <w:rPr>
                <w:rFonts w:ascii="Calibri" w:hAnsi="Calibri"/>
                <w:color w:val="000000"/>
              </w:rPr>
            </w:pPr>
            <w:r w:rsidRPr="00E95745">
              <w:rPr>
                <w:rFonts w:ascii="Calibri" w:hAnsi="Calibri"/>
                <w:color w:val="000000"/>
              </w:rPr>
              <w:t>Margined Financial Instruments method</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8F59B" w14:textId="1EB89DC2" w:rsidR="00974310" w:rsidRPr="00E95745" w:rsidRDefault="00974310" w:rsidP="00D3615D">
            <w:pPr>
              <w:spacing w:before="90" w:after="40"/>
              <w:rPr>
                <w:rFonts w:ascii="Calibri" w:hAnsi="Calibri"/>
                <w:color w:val="000000"/>
              </w:rPr>
            </w:pPr>
          </w:p>
        </w:tc>
      </w:tr>
      <w:tr w:rsidR="00974310" w:rsidRPr="00E95745" w14:paraId="090EB504" w14:textId="77777777" w:rsidTr="00930407">
        <w:trPr>
          <w:trHeight w:val="280"/>
        </w:trPr>
        <w:tc>
          <w:tcPr>
            <w:tcW w:w="72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35BBDF" w14:textId="77777777" w:rsidR="00974310" w:rsidRPr="00E95745" w:rsidRDefault="00974310" w:rsidP="00D3615D">
            <w:pPr>
              <w:spacing w:before="90" w:after="40"/>
              <w:rPr>
                <w:rFonts w:ascii="Calibri" w:hAnsi="Calibri"/>
                <w:color w:val="000000"/>
              </w:rPr>
            </w:pPr>
            <w:r w:rsidRPr="00E95745">
              <w:rPr>
                <w:rFonts w:ascii="Calibri" w:hAnsi="Calibri"/>
                <w:color w:val="000000"/>
              </w:rPr>
              <w:t>OTC Derivatives and Warrants executed as principal method</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51761" w14:textId="2B88D686" w:rsidR="00974310" w:rsidRPr="00E95745" w:rsidRDefault="00974310" w:rsidP="00D3615D">
            <w:pPr>
              <w:spacing w:before="90" w:after="40"/>
              <w:rPr>
                <w:rFonts w:ascii="Calibri" w:hAnsi="Calibri"/>
                <w:color w:val="000000"/>
              </w:rPr>
            </w:pPr>
          </w:p>
        </w:tc>
      </w:tr>
      <w:tr w:rsidR="00974310" w:rsidRPr="00E95745" w14:paraId="1360A976" w14:textId="77777777" w:rsidTr="00930407">
        <w:trPr>
          <w:trHeight w:val="280"/>
        </w:trPr>
        <w:tc>
          <w:tcPr>
            <w:tcW w:w="72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430697" w14:textId="77777777" w:rsidR="00974310" w:rsidRPr="00E95745" w:rsidRDefault="00974310" w:rsidP="00D3615D">
            <w:pPr>
              <w:spacing w:before="90" w:after="40"/>
              <w:rPr>
                <w:rFonts w:ascii="Calibri" w:hAnsi="Calibri"/>
                <w:color w:val="000000"/>
              </w:rPr>
            </w:pPr>
            <w:r w:rsidRPr="00E95745">
              <w:rPr>
                <w:rFonts w:ascii="Calibri" w:hAnsi="Calibri"/>
                <w:color w:val="000000"/>
              </w:rPr>
              <w:t>Sub Underwritten Positions method</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6081CE" w14:textId="3B9A8B40" w:rsidR="00974310" w:rsidRPr="00E95745" w:rsidRDefault="00974310" w:rsidP="00D3615D">
            <w:pPr>
              <w:spacing w:before="90" w:after="40"/>
              <w:rPr>
                <w:rFonts w:ascii="Calibri" w:hAnsi="Calibri"/>
                <w:color w:val="000000"/>
              </w:rPr>
            </w:pPr>
          </w:p>
        </w:tc>
      </w:tr>
      <w:tr w:rsidR="00974310" w:rsidRPr="00E95745" w14:paraId="0C490596" w14:textId="77777777" w:rsidTr="00930407">
        <w:trPr>
          <w:trHeight w:val="280"/>
        </w:trPr>
        <w:tc>
          <w:tcPr>
            <w:tcW w:w="72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51BD60" w14:textId="77777777" w:rsidR="00974310" w:rsidRPr="00E95745" w:rsidRDefault="00974310" w:rsidP="00D3615D">
            <w:pPr>
              <w:spacing w:before="90" w:after="40"/>
              <w:rPr>
                <w:rFonts w:ascii="Calibri" w:hAnsi="Calibri"/>
                <w:color w:val="000000"/>
              </w:rPr>
            </w:pPr>
            <w:r w:rsidRPr="00E95745">
              <w:rPr>
                <w:rFonts w:ascii="Calibri" w:hAnsi="Calibri"/>
                <w:color w:val="000000"/>
              </w:rPr>
              <w:t>Sub</w:t>
            </w:r>
            <w:r>
              <w:rPr>
                <w:rFonts w:ascii="Calibri" w:hAnsi="Calibri"/>
                <w:color w:val="000000"/>
              </w:rPr>
              <w:t>t</w:t>
            </w:r>
            <w:r w:rsidRPr="00E95745">
              <w:rPr>
                <w:rFonts w:ascii="Calibri" w:hAnsi="Calibri"/>
                <w:color w:val="000000"/>
              </w:rPr>
              <w:t>otal</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AFDD8" w14:textId="32DCF569" w:rsidR="00974310" w:rsidRPr="00E95745" w:rsidRDefault="00974310" w:rsidP="00D3615D">
            <w:pPr>
              <w:spacing w:before="90" w:after="40"/>
              <w:rPr>
                <w:rFonts w:ascii="Calibri" w:hAnsi="Calibri"/>
                <w:color w:val="000000"/>
              </w:rPr>
            </w:pPr>
          </w:p>
        </w:tc>
      </w:tr>
      <w:tr w:rsidR="00974310" w:rsidRPr="00E95745" w14:paraId="1971AF1F" w14:textId="77777777" w:rsidTr="00930407">
        <w:trPr>
          <w:trHeight w:val="280"/>
        </w:trPr>
        <w:tc>
          <w:tcPr>
            <w:tcW w:w="72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681538" w14:textId="022016DC" w:rsidR="00974310" w:rsidRPr="00E95745" w:rsidRDefault="00974310" w:rsidP="00D3615D">
            <w:pPr>
              <w:spacing w:before="90" w:after="40"/>
              <w:rPr>
                <w:rFonts w:ascii="Calibri" w:hAnsi="Calibri"/>
                <w:color w:val="000000"/>
              </w:rPr>
            </w:pPr>
            <w:r w:rsidRPr="00871048">
              <w:rPr>
                <w:rFonts w:ascii="Calibri" w:hAnsi="Calibri"/>
                <w:i/>
                <w:color w:val="000000"/>
              </w:rPr>
              <w:t>less</w:t>
            </w:r>
            <w:r w:rsidRPr="00E95745">
              <w:rPr>
                <w:rFonts w:ascii="Calibri" w:hAnsi="Calibri"/>
                <w:color w:val="000000"/>
              </w:rPr>
              <w:t xml:space="preserve"> provision for </w:t>
            </w:r>
            <w:r w:rsidR="00B10248">
              <w:rPr>
                <w:rFonts w:ascii="Calibri" w:hAnsi="Calibri"/>
                <w:color w:val="000000"/>
              </w:rPr>
              <w:t>D</w:t>
            </w:r>
            <w:r w:rsidRPr="00E95745">
              <w:rPr>
                <w:rFonts w:ascii="Calibri" w:hAnsi="Calibri"/>
                <w:color w:val="000000"/>
              </w:rPr>
              <w:t xml:space="preserve">oubtful </w:t>
            </w:r>
            <w:r w:rsidR="00B10248">
              <w:rPr>
                <w:rFonts w:ascii="Calibri" w:hAnsi="Calibri"/>
                <w:color w:val="000000"/>
              </w:rPr>
              <w:t>D</w:t>
            </w:r>
            <w:r w:rsidRPr="00E95745">
              <w:rPr>
                <w:rFonts w:ascii="Calibri" w:hAnsi="Calibri"/>
                <w:color w:val="000000"/>
              </w:rPr>
              <w:t>ebts</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02FB5A" w14:textId="61BF8AD8" w:rsidR="00974310" w:rsidRPr="00E95745" w:rsidRDefault="00974310" w:rsidP="00D3615D">
            <w:pPr>
              <w:spacing w:before="90" w:after="40"/>
              <w:rPr>
                <w:rFonts w:ascii="Calibri" w:hAnsi="Calibri"/>
                <w:color w:val="000000"/>
              </w:rPr>
            </w:pPr>
          </w:p>
        </w:tc>
      </w:tr>
      <w:tr w:rsidR="00974310" w:rsidRPr="00E95745" w14:paraId="3D0E16F9" w14:textId="77777777" w:rsidTr="00974310">
        <w:trPr>
          <w:trHeight w:val="280"/>
        </w:trPr>
        <w:tc>
          <w:tcPr>
            <w:tcW w:w="72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FCDE62" w14:textId="77777777" w:rsidR="00974310" w:rsidRPr="00871048" w:rsidRDefault="00974310" w:rsidP="00D3615D">
            <w:pPr>
              <w:spacing w:before="90" w:after="40"/>
              <w:rPr>
                <w:rFonts w:ascii="Calibri" w:hAnsi="Calibri"/>
                <w:b/>
                <w:color w:val="000000"/>
              </w:rPr>
            </w:pPr>
            <w:r w:rsidRPr="00871048">
              <w:rPr>
                <w:rFonts w:ascii="Calibri" w:hAnsi="Calibri"/>
                <w:b/>
                <w:color w:val="000000"/>
              </w:rPr>
              <w:t>Total Counterparty Risk Requirement</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C087B" w14:textId="013EC374" w:rsidR="00974310" w:rsidRPr="00974310" w:rsidRDefault="00974310" w:rsidP="00D3615D">
            <w:pPr>
              <w:spacing w:before="90" w:after="40"/>
              <w:rPr>
                <w:rFonts w:ascii="Calibri" w:hAnsi="Calibri"/>
                <w:color w:val="000000"/>
              </w:rPr>
            </w:pPr>
          </w:p>
        </w:tc>
      </w:tr>
    </w:tbl>
    <w:p w14:paraId="5C91C57A" w14:textId="4378BC79" w:rsidR="00974310" w:rsidRPr="00930407" w:rsidRDefault="00974310" w:rsidP="00D3615D">
      <w:pPr>
        <w:spacing w:before="360" w:after="0"/>
        <w:outlineLvl w:val="3"/>
        <w:rPr>
          <w:rFonts w:ascii="Calibri" w:hAnsi="Calibri"/>
          <w:b/>
          <w:bCs/>
          <w:color w:val="0070C0"/>
          <w:sz w:val="32"/>
          <w:szCs w:val="32"/>
        </w:rPr>
      </w:pPr>
      <w:r w:rsidRPr="00930407">
        <w:rPr>
          <w:rFonts w:ascii="Calibri" w:hAnsi="Calibri"/>
          <w:b/>
          <w:bCs/>
          <w:color w:val="0070C0"/>
          <w:sz w:val="32"/>
          <w:szCs w:val="32"/>
        </w:rPr>
        <w:t>Large Exposure Risk Requirement</w:t>
      </w:r>
    </w:p>
    <w:p w14:paraId="5D346405" w14:textId="25861DE8" w:rsidR="00974310" w:rsidRPr="00930407" w:rsidRDefault="00974310" w:rsidP="00D3615D">
      <w:pPr>
        <w:keepNext/>
        <w:spacing w:before="120" w:after="120"/>
        <w:outlineLvl w:val="3"/>
        <w:rPr>
          <w:rFonts w:ascii="Calibri" w:hAnsi="Calibri" w:cs="Helvetica"/>
          <w:b/>
          <w:sz w:val="24"/>
          <w:szCs w:val="24"/>
          <w:lang w:val="en"/>
        </w:rPr>
      </w:pPr>
      <w:r w:rsidRPr="00930407">
        <w:rPr>
          <w:rFonts w:ascii="Calibri" w:hAnsi="Calibri" w:cs="Helvetica"/>
          <w:b/>
          <w:sz w:val="24"/>
          <w:szCs w:val="24"/>
          <w:lang w:val="en"/>
        </w:rPr>
        <w:t xml:space="preserve">Counterparty large exposure </w:t>
      </w:r>
      <w:r w:rsidR="006112A4">
        <w:rPr>
          <w:rFonts w:ascii="Calibri" w:hAnsi="Calibri" w:cs="Helvetica"/>
          <w:b/>
          <w:sz w:val="24"/>
          <w:szCs w:val="24"/>
          <w:lang w:val="en"/>
        </w:rPr>
        <w:t>risk amount</w:t>
      </w:r>
    </w:p>
    <w:tbl>
      <w:tblPr>
        <w:tblW w:w="11189" w:type="dxa"/>
        <w:tblInd w:w="5" w:type="dxa"/>
        <w:tblLayout w:type="fixed"/>
        <w:tblLook w:val="04A0" w:firstRow="1" w:lastRow="0" w:firstColumn="1" w:lastColumn="0" w:noHBand="0" w:noVBand="1"/>
      </w:tblPr>
      <w:tblGrid>
        <w:gridCol w:w="4952"/>
        <w:gridCol w:w="3118"/>
        <w:gridCol w:w="3119"/>
      </w:tblGrid>
      <w:tr w:rsidR="00974310" w:rsidRPr="00E95745" w14:paraId="6081A473" w14:textId="77777777" w:rsidTr="00D3615D">
        <w:trPr>
          <w:trHeight w:val="518"/>
        </w:trPr>
        <w:tc>
          <w:tcPr>
            <w:tcW w:w="4952" w:type="dxa"/>
            <w:tcBorders>
              <w:top w:val="single" w:sz="4" w:space="0" w:color="auto"/>
              <w:left w:val="single" w:sz="4" w:space="0" w:color="auto"/>
              <w:bottom w:val="single" w:sz="4" w:space="0" w:color="auto"/>
              <w:right w:val="single" w:sz="4" w:space="0" w:color="auto"/>
            </w:tcBorders>
            <w:shd w:val="clear" w:color="auto" w:fill="0070C0"/>
            <w:noWrap/>
            <w:hideMark/>
          </w:tcPr>
          <w:p w14:paraId="43BA56D8" w14:textId="77777777" w:rsidR="00974310" w:rsidRPr="00E95745" w:rsidRDefault="00974310" w:rsidP="00D3615D">
            <w:pPr>
              <w:keepNext/>
              <w:spacing w:before="120" w:after="120"/>
              <w:rPr>
                <w:rFonts w:ascii="Calibri" w:hAnsi="Calibri"/>
                <w:b/>
                <w:bCs/>
                <w:color w:val="FFFFFF"/>
              </w:rPr>
            </w:pPr>
            <w:r w:rsidRPr="00E95745">
              <w:rPr>
                <w:rFonts w:ascii="Calibri" w:hAnsi="Calibri"/>
                <w:b/>
                <w:bCs/>
                <w:color w:val="FFFFFF"/>
              </w:rPr>
              <w:t>Method</w:t>
            </w:r>
          </w:p>
        </w:tc>
        <w:tc>
          <w:tcPr>
            <w:tcW w:w="3118" w:type="dxa"/>
            <w:tcBorders>
              <w:top w:val="single" w:sz="4" w:space="0" w:color="auto"/>
              <w:left w:val="single" w:sz="4" w:space="0" w:color="auto"/>
              <w:bottom w:val="single" w:sz="4" w:space="0" w:color="auto"/>
              <w:right w:val="single" w:sz="4" w:space="0" w:color="auto"/>
            </w:tcBorders>
            <w:shd w:val="clear" w:color="auto" w:fill="0070C0"/>
            <w:noWrap/>
            <w:hideMark/>
          </w:tcPr>
          <w:p w14:paraId="5EA27F86" w14:textId="77777777" w:rsidR="00974310" w:rsidRPr="00E95745" w:rsidRDefault="00974310" w:rsidP="00D3615D">
            <w:pPr>
              <w:keepNext/>
              <w:spacing w:before="120" w:after="120"/>
              <w:rPr>
                <w:rFonts w:ascii="Calibri" w:hAnsi="Calibri"/>
                <w:b/>
                <w:bCs/>
                <w:color w:val="FFFFFF"/>
              </w:rPr>
            </w:pPr>
            <w:r w:rsidRPr="00E95745">
              <w:rPr>
                <w:rFonts w:ascii="Calibri" w:hAnsi="Calibri"/>
                <w:b/>
                <w:bCs/>
                <w:color w:val="FFFFFF"/>
              </w:rPr>
              <w:t xml:space="preserve">Risk </w:t>
            </w:r>
            <w:r>
              <w:rPr>
                <w:rFonts w:ascii="Calibri" w:hAnsi="Calibri"/>
                <w:b/>
                <w:bCs/>
                <w:color w:val="FFFFFF"/>
              </w:rPr>
              <w:t>a</w:t>
            </w:r>
            <w:r w:rsidRPr="00E95745">
              <w:rPr>
                <w:rFonts w:ascii="Calibri" w:hAnsi="Calibri"/>
                <w:b/>
                <w:bCs/>
                <w:color w:val="FFFFFF"/>
              </w:rPr>
              <w:t>mounts</w:t>
            </w:r>
          </w:p>
        </w:tc>
        <w:tc>
          <w:tcPr>
            <w:tcW w:w="3119" w:type="dxa"/>
            <w:tcBorders>
              <w:top w:val="single" w:sz="4" w:space="0" w:color="auto"/>
              <w:left w:val="single" w:sz="4" w:space="0" w:color="auto"/>
              <w:bottom w:val="single" w:sz="4" w:space="0" w:color="auto"/>
              <w:right w:val="single" w:sz="4" w:space="0" w:color="auto"/>
            </w:tcBorders>
            <w:shd w:val="clear" w:color="auto" w:fill="0070C0"/>
            <w:hideMark/>
          </w:tcPr>
          <w:p w14:paraId="1B031677" w14:textId="65AFFB7F" w:rsidR="00974310" w:rsidRPr="00E95745" w:rsidRDefault="00974310" w:rsidP="00D3615D">
            <w:pPr>
              <w:keepNext/>
              <w:spacing w:before="120" w:after="120"/>
              <w:rPr>
                <w:rFonts w:ascii="Calibri" w:hAnsi="Calibri"/>
                <w:b/>
                <w:bCs/>
                <w:color w:val="FFFFFF"/>
              </w:rPr>
            </w:pPr>
            <w:r w:rsidRPr="00E95745">
              <w:rPr>
                <w:rFonts w:ascii="Calibri" w:hAnsi="Calibri"/>
                <w:b/>
                <w:bCs/>
                <w:color w:val="FFFFFF"/>
              </w:rPr>
              <w:t>Total</w:t>
            </w:r>
            <w:r w:rsidR="0019050C">
              <w:rPr>
                <w:rFonts w:ascii="Calibri" w:hAnsi="Calibri"/>
                <w:b/>
                <w:bCs/>
                <w:color w:val="FFFFFF"/>
              </w:rPr>
              <w:t xml:space="preserve"> </w:t>
            </w:r>
            <w:r w:rsidRPr="00E95745">
              <w:rPr>
                <w:rFonts w:ascii="Calibri" w:hAnsi="Calibri"/>
                <w:b/>
                <w:bCs/>
                <w:color w:val="FFFFFF"/>
              </w:rPr>
              <w:t>number of counterparties</w:t>
            </w:r>
          </w:p>
        </w:tc>
      </w:tr>
      <w:tr w:rsidR="00974310" w:rsidRPr="00E95745" w14:paraId="77D418F5" w14:textId="77777777" w:rsidTr="00D3615D">
        <w:trPr>
          <w:trHeight w:val="259"/>
        </w:trPr>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8ECC15" w14:textId="77777777" w:rsidR="00974310" w:rsidRPr="00D3615D" w:rsidRDefault="00974310" w:rsidP="00D3615D">
            <w:pPr>
              <w:spacing w:before="90" w:after="40"/>
              <w:rPr>
                <w:rFonts w:ascii="Calibri" w:hAnsi="Calibri"/>
                <w:color w:val="000000"/>
              </w:rPr>
            </w:pPr>
            <w:r w:rsidRPr="00D3615D">
              <w:rPr>
                <w:rFonts w:ascii="Calibri" w:hAnsi="Calibri"/>
                <w:color w:val="000000"/>
              </w:rPr>
              <w:t>Non-margined Financial Instrument</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82895" w14:textId="52C0C9F0" w:rsidR="00974310" w:rsidRPr="00D3615D" w:rsidRDefault="00974310" w:rsidP="00D3615D">
            <w:pPr>
              <w:spacing w:before="90" w:after="40"/>
              <w:rPr>
                <w:rFonts w:ascii="Calibri" w:hAnsi="Calibri"/>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79A5A3" w14:textId="7A84C685" w:rsidR="00974310" w:rsidRPr="00D3615D" w:rsidRDefault="00974310" w:rsidP="00D3615D">
            <w:pPr>
              <w:spacing w:before="90" w:after="40"/>
              <w:rPr>
                <w:rFonts w:ascii="Calibri" w:hAnsi="Calibri"/>
                <w:color w:val="000000"/>
              </w:rPr>
            </w:pPr>
          </w:p>
        </w:tc>
      </w:tr>
      <w:tr w:rsidR="00974310" w:rsidRPr="00E95745" w14:paraId="5F6CFC09" w14:textId="77777777" w:rsidTr="00D3615D">
        <w:trPr>
          <w:trHeight w:val="259"/>
        </w:trPr>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CE586E" w14:textId="77777777" w:rsidR="00974310" w:rsidRPr="00D3615D" w:rsidRDefault="00974310" w:rsidP="00D3615D">
            <w:pPr>
              <w:spacing w:before="90" w:after="40"/>
              <w:rPr>
                <w:rFonts w:ascii="Calibri" w:hAnsi="Calibri"/>
                <w:color w:val="000000"/>
              </w:rPr>
            </w:pPr>
            <w:r w:rsidRPr="00D3615D">
              <w:rPr>
                <w:rFonts w:ascii="Calibri" w:hAnsi="Calibri"/>
                <w:color w:val="000000"/>
              </w:rPr>
              <w:t>Securities Lending and Borrowing</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233D50" w14:textId="7E172D48" w:rsidR="00974310" w:rsidRPr="00D3615D" w:rsidRDefault="00974310" w:rsidP="00D3615D">
            <w:pPr>
              <w:spacing w:before="90" w:after="40"/>
              <w:rPr>
                <w:rFonts w:ascii="Calibri" w:hAnsi="Calibri"/>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F41F98" w14:textId="490FCC23" w:rsidR="00974310" w:rsidRPr="00D3615D" w:rsidRDefault="00974310" w:rsidP="00D3615D">
            <w:pPr>
              <w:spacing w:before="90" w:after="40"/>
              <w:rPr>
                <w:rFonts w:ascii="Calibri" w:hAnsi="Calibri"/>
                <w:color w:val="000000"/>
              </w:rPr>
            </w:pPr>
          </w:p>
        </w:tc>
      </w:tr>
      <w:tr w:rsidR="00974310" w:rsidRPr="00E95745" w14:paraId="15BBCE0B" w14:textId="77777777" w:rsidTr="00D3615D">
        <w:trPr>
          <w:trHeight w:val="259"/>
        </w:trPr>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0DBBCF" w14:textId="77777777" w:rsidR="00974310" w:rsidRPr="00D3615D" w:rsidRDefault="00974310" w:rsidP="00D3615D">
            <w:pPr>
              <w:spacing w:before="90" w:after="40"/>
              <w:rPr>
                <w:rFonts w:ascii="Calibri" w:hAnsi="Calibri"/>
                <w:color w:val="000000"/>
              </w:rPr>
            </w:pPr>
            <w:r w:rsidRPr="00D3615D">
              <w:rPr>
                <w:rFonts w:ascii="Calibri" w:hAnsi="Calibri"/>
                <w:color w:val="000000"/>
              </w:rPr>
              <w:t>Margined Financial Instrument</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EAEC88" w14:textId="2B1D870C" w:rsidR="00974310" w:rsidRPr="00D3615D" w:rsidRDefault="00974310" w:rsidP="00D3615D">
            <w:pPr>
              <w:spacing w:before="90" w:after="40"/>
              <w:rPr>
                <w:rFonts w:ascii="Calibri" w:hAnsi="Calibri"/>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112D1" w14:textId="5A3129CD" w:rsidR="00974310" w:rsidRPr="00D3615D" w:rsidRDefault="00974310" w:rsidP="00D3615D">
            <w:pPr>
              <w:spacing w:before="90" w:after="40"/>
              <w:rPr>
                <w:rFonts w:ascii="Calibri" w:hAnsi="Calibri"/>
                <w:color w:val="000000"/>
              </w:rPr>
            </w:pPr>
          </w:p>
        </w:tc>
      </w:tr>
      <w:tr w:rsidR="00974310" w:rsidRPr="00E95745" w14:paraId="4612738C" w14:textId="77777777" w:rsidTr="00D3615D">
        <w:trPr>
          <w:trHeight w:val="254"/>
        </w:trPr>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DC480C" w14:textId="77777777" w:rsidR="00974310" w:rsidRPr="00D3615D" w:rsidRDefault="00974310" w:rsidP="00D3615D">
            <w:pPr>
              <w:spacing w:before="90" w:after="40"/>
              <w:rPr>
                <w:rFonts w:ascii="Calibri" w:hAnsi="Calibri"/>
                <w:color w:val="000000"/>
              </w:rPr>
            </w:pPr>
            <w:r w:rsidRPr="00D3615D">
              <w:rPr>
                <w:rFonts w:ascii="Calibri" w:hAnsi="Calibri"/>
                <w:color w:val="000000"/>
              </w:rPr>
              <w:t>OTC Derivative and Warrants executed as principal</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C4DC35" w14:textId="7E80DABD" w:rsidR="00974310" w:rsidRPr="00D3615D" w:rsidRDefault="00974310" w:rsidP="00D3615D">
            <w:pPr>
              <w:spacing w:before="90" w:after="40"/>
              <w:rPr>
                <w:rFonts w:ascii="Calibri" w:hAnsi="Calibri"/>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40D405" w14:textId="26D2AE94" w:rsidR="00974310" w:rsidRPr="00D3615D" w:rsidRDefault="00974310" w:rsidP="00D3615D">
            <w:pPr>
              <w:spacing w:before="90" w:after="40"/>
              <w:rPr>
                <w:rFonts w:ascii="Calibri" w:hAnsi="Calibri"/>
                <w:color w:val="000000"/>
              </w:rPr>
            </w:pPr>
          </w:p>
        </w:tc>
      </w:tr>
      <w:tr w:rsidR="00974310" w:rsidRPr="00E95745" w14:paraId="0EDCCF7B" w14:textId="77777777" w:rsidTr="00D3615D">
        <w:trPr>
          <w:trHeight w:val="254"/>
        </w:trPr>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E79062" w14:textId="77777777" w:rsidR="00974310" w:rsidRPr="00D3615D" w:rsidRDefault="00974310" w:rsidP="00D3615D">
            <w:pPr>
              <w:spacing w:before="90" w:after="40"/>
              <w:rPr>
                <w:rFonts w:ascii="Calibri" w:hAnsi="Calibri"/>
                <w:color w:val="000000"/>
              </w:rPr>
            </w:pPr>
            <w:r w:rsidRPr="00D3615D">
              <w:rPr>
                <w:rFonts w:ascii="Calibri" w:hAnsi="Calibri"/>
                <w:color w:val="000000"/>
              </w:rPr>
              <w:t>Sub Underwritten Positions</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9AE73A" w14:textId="378ACC3D" w:rsidR="00974310" w:rsidRPr="00D3615D" w:rsidRDefault="00974310" w:rsidP="00D3615D">
            <w:pPr>
              <w:spacing w:before="90" w:after="40"/>
              <w:rPr>
                <w:rFonts w:ascii="Calibri" w:hAnsi="Calibri"/>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57DED" w14:textId="305492A7" w:rsidR="00974310" w:rsidRPr="00D3615D" w:rsidRDefault="00974310" w:rsidP="00D3615D">
            <w:pPr>
              <w:spacing w:before="90" w:after="40"/>
              <w:rPr>
                <w:rFonts w:ascii="Calibri" w:hAnsi="Calibri"/>
                <w:color w:val="000000"/>
              </w:rPr>
            </w:pPr>
          </w:p>
        </w:tc>
      </w:tr>
      <w:tr w:rsidR="00974310" w:rsidRPr="00E95745" w14:paraId="603D30B3" w14:textId="77777777" w:rsidTr="00D3615D">
        <w:trPr>
          <w:trHeight w:val="272"/>
        </w:trPr>
        <w:tc>
          <w:tcPr>
            <w:tcW w:w="49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0681E" w14:textId="5C9EE347" w:rsidR="00974310" w:rsidRPr="00D3615D" w:rsidRDefault="00974310" w:rsidP="00D3615D">
            <w:pPr>
              <w:spacing w:before="90" w:after="40"/>
              <w:rPr>
                <w:rFonts w:ascii="Calibri" w:hAnsi="Calibri"/>
                <w:b/>
                <w:color w:val="000000"/>
              </w:rPr>
            </w:pPr>
            <w:r w:rsidRPr="00D3615D">
              <w:rPr>
                <w:rFonts w:ascii="Calibri" w:hAnsi="Calibri"/>
                <w:b/>
                <w:color w:val="000000"/>
              </w:rPr>
              <w:t>Total</w:t>
            </w:r>
            <w:r w:rsidR="00B10248" w:rsidRPr="00D3615D">
              <w:rPr>
                <w:rFonts w:ascii="Calibri" w:hAnsi="Calibri"/>
                <w:b/>
                <w:color w:val="000000"/>
              </w:rPr>
              <w:t xml:space="preserve"> risk amounts</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7716D9" w14:textId="7AE78B1D" w:rsidR="00974310" w:rsidRPr="00D3615D" w:rsidRDefault="00974310" w:rsidP="00D3615D">
            <w:pPr>
              <w:spacing w:before="90" w:after="40"/>
              <w:rPr>
                <w:rFonts w:ascii="Calibri" w:hAnsi="Calibri"/>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5567" w14:textId="62CA0325" w:rsidR="00974310" w:rsidRPr="00D3615D" w:rsidRDefault="00974310" w:rsidP="00D3615D">
            <w:pPr>
              <w:spacing w:before="90" w:after="40"/>
              <w:rPr>
                <w:rFonts w:ascii="Calibri" w:hAnsi="Calibri"/>
                <w:color w:val="000000"/>
              </w:rPr>
            </w:pPr>
          </w:p>
        </w:tc>
      </w:tr>
    </w:tbl>
    <w:p w14:paraId="472B52BE" w14:textId="3C45B7DF" w:rsidR="00974310" w:rsidRDefault="00974310" w:rsidP="00D3615D">
      <w:pPr>
        <w:spacing w:before="120" w:after="120"/>
        <w:contextualSpacing/>
        <w:rPr>
          <w:rFonts w:ascii="Calibri" w:hAnsi="Calibri"/>
          <w:bCs/>
          <w:iCs/>
        </w:rPr>
      </w:pPr>
      <w:r w:rsidRPr="00E95745">
        <w:rPr>
          <w:rFonts w:ascii="Calibri" w:hAnsi="Calibri"/>
          <w:bCs/>
          <w:iCs/>
        </w:rPr>
        <w:t>Counterparty Large Exposure is triggered where the exposure is greater than 10% of the Market Participant’s Liquid Capital at the time specified in the ASIC Market Integrity Rules</w:t>
      </w:r>
      <w:r>
        <w:rPr>
          <w:rFonts w:ascii="Calibri" w:hAnsi="Calibri"/>
          <w:bCs/>
          <w:iCs/>
        </w:rPr>
        <w:t>.</w:t>
      </w:r>
    </w:p>
    <w:p w14:paraId="690F91ED" w14:textId="0D0292DE" w:rsidR="00974310" w:rsidRDefault="00974310" w:rsidP="00D3615D">
      <w:pPr>
        <w:keepNext/>
        <w:spacing w:before="240" w:after="120"/>
        <w:outlineLvl w:val="3"/>
        <w:rPr>
          <w:rFonts w:ascii="Calibri" w:hAnsi="Calibri" w:cs="Helvetica"/>
          <w:b/>
          <w:sz w:val="24"/>
          <w:szCs w:val="24"/>
          <w:lang w:val="en"/>
        </w:rPr>
      </w:pPr>
      <w:r w:rsidRPr="00930407">
        <w:rPr>
          <w:rFonts w:ascii="Calibri" w:hAnsi="Calibri" w:cs="Helvetica"/>
          <w:b/>
          <w:sz w:val="24"/>
          <w:szCs w:val="24"/>
          <w:lang w:val="en"/>
        </w:rPr>
        <w:lastRenderedPageBreak/>
        <w:t>Issuer large exposure – Equity method</w:t>
      </w:r>
    </w:p>
    <w:p w14:paraId="42BF3931" w14:textId="77777777" w:rsidR="00B10248" w:rsidRPr="00B22F71" w:rsidRDefault="00B10248" w:rsidP="00D3615D">
      <w:pPr>
        <w:spacing w:after="40"/>
        <w:outlineLvl w:val="3"/>
        <w:rPr>
          <w:rFonts w:ascii="Calibri" w:hAnsi="Calibri" w:cs="Helvetica"/>
          <w:b/>
          <w:szCs w:val="22"/>
          <w:lang w:val="en"/>
        </w:rPr>
      </w:pPr>
      <w:r w:rsidRPr="00B22F71">
        <w:rPr>
          <w:rFonts w:ascii="Calibri" w:hAnsi="Calibri" w:cs="Helvetica"/>
          <w:b/>
          <w:szCs w:val="22"/>
          <w:lang w:val="en"/>
        </w:rPr>
        <w:t>Determining risk amounts</w:t>
      </w:r>
    </w:p>
    <w:p w14:paraId="3D01E6DD" w14:textId="77777777" w:rsidR="00B10248" w:rsidRPr="00B22F71" w:rsidRDefault="00B10248" w:rsidP="00D3615D">
      <w:pPr>
        <w:spacing w:after="120"/>
        <w:outlineLvl w:val="3"/>
        <w:rPr>
          <w:rFonts w:ascii="Calibri" w:hAnsi="Calibri" w:cs="Helvetica"/>
          <w:szCs w:val="22"/>
          <w:lang w:val="en"/>
        </w:rPr>
      </w:pPr>
      <w:r w:rsidRPr="00B22F71">
        <w:rPr>
          <w:rFonts w:ascii="Calibri" w:hAnsi="Calibri" w:cs="Helvetica"/>
          <w:szCs w:val="22"/>
          <w:lang w:val="en"/>
        </w:rPr>
        <w:t>Before you enter the risk amounts, you will have to determine the greater of the '&gt;25% of Liquid Capital' and '&gt; 5% of issue'</w:t>
      </w:r>
    </w:p>
    <w:tbl>
      <w:tblPr>
        <w:tblStyle w:val="TableGrid2"/>
        <w:tblW w:w="1389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599"/>
        <w:gridCol w:w="1600"/>
        <w:gridCol w:w="1600"/>
        <w:gridCol w:w="1599"/>
        <w:gridCol w:w="1600"/>
        <w:gridCol w:w="1600"/>
        <w:gridCol w:w="1600"/>
      </w:tblGrid>
      <w:tr w:rsidR="00974310" w:rsidRPr="00E95745" w14:paraId="3061C68A" w14:textId="77777777" w:rsidTr="00D3615D">
        <w:trPr>
          <w:trHeight w:val="843"/>
        </w:trPr>
        <w:tc>
          <w:tcPr>
            <w:tcW w:w="2694" w:type="dxa"/>
            <w:tcBorders>
              <w:top w:val="single" w:sz="4" w:space="0" w:color="auto"/>
              <w:left w:val="single" w:sz="4" w:space="0" w:color="auto"/>
              <w:bottom w:val="single" w:sz="4" w:space="0" w:color="auto"/>
              <w:right w:val="single" w:sz="4" w:space="0" w:color="auto"/>
            </w:tcBorders>
            <w:shd w:val="clear" w:color="auto" w:fill="0070C0"/>
          </w:tcPr>
          <w:p w14:paraId="6A455C54" w14:textId="714AE345" w:rsidR="00974310" w:rsidRPr="00E95745" w:rsidRDefault="00974310" w:rsidP="00D3615D">
            <w:pPr>
              <w:spacing w:before="40" w:after="120"/>
              <w:rPr>
                <w:rFonts w:ascii="Calibri" w:eastAsia="Times New Roman" w:hAnsi="Calibri" w:cs="Times New Roman"/>
                <w:b/>
                <w:bCs/>
                <w:color w:val="FFFFFF"/>
                <w:lang w:eastAsia="en-AU"/>
              </w:rPr>
            </w:pPr>
            <w:r w:rsidRPr="00E95745">
              <w:rPr>
                <w:rFonts w:ascii="Calibri" w:eastAsia="Times New Roman" w:hAnsi="Calibri" w:cs="Times New Roman"/>
                <w:b/>
                <w:bCs/>
                <w:color w:val="FFFFFF"/>
                <w:lang w:eastAsia="en-AU"/>
              </w:rPr>
              <w:t>Country</w:t>
            </w:r>
          </w:p>
        </w:tc>
        <w:tc>
          <w:tcPr>
            <w:tcW w:w="1599" w:type="dxa"/>
            <w:tcBorders>
              <w:top w:val="single" w:sz="4" w:space="0" w:color="auto"/>
              <w:left w:val="single" w:sz="4" w:space="0" w:color="auto"/>
              <w:bottom w:val="single" w:sz="4" w:space="0" w:color="auto"/>
              <w:right w:val="single" w:sz="4" w:space="0" w:color="auto"/>
            </w:tcBorders>
            <w:shd w:val="clear" w:color="auto" w:fill="0070C0"/>
          </w:tcPr>
          <w:p w14:paraId="01F40498" w14:textId="77777777" w:rsidR="00974310" w:rsidRPr="00E95745" w:rsidRDefault="00974310" w:rsidP="00D3615D">
            <w:pPr>
              <w:spacing w:before="40" w:after="120"/>
              <w:rPr>
                <w:rFonts w:ascii="Calibri" w:eastAsia="Times New Roman" w:hAnsi="Calibri" w:cs="Times New Roman"/>
                <w:b/>
                <w:bCs/>
                <w:color w:val="FFFFFF"/>
                <w:lang w:eastAsia="en-AU"/>
              </w:rPr>
            </w:pPr>
            <w:r w:rsidRPr="00E95745">
              <w:rPr>
                <w:rFonts w:ascii="Calibri" w:eastAsia="Times New Roman" w:hAnsi="Calibri" w:cs="Times New Roman"/>
                <w:b/>
                <w:bCs/>
                <w:color w:val="FFFFFF"/>
                <w:lang w:eastAsia="en-AU"/>
              </w:rPr>
              <w:t>Number of Equity Issuers</w:t>
            </w:r>
          </w:p>
        </w:tc>
        <w:tc>
          <w:tcPr>
            <w:tcW w:w="1600" w:type="dxa"/>
            <w:tcBorders>
              <w:top w:val="single" w:sz="4" w:space="0" w:color="auto"/>
              <w:left w:val="single" w:sz="4" w:space="0" w:color="auto"/>
              <w:bottom w:val="single" w:sz="4" w:space="0" w:color="auto"/>
              <w:right w:val="single" w:sz="4" w:space="0" w:color="auto"/>
            </w:tcBorders>
            <w:shd w:val="clear" w:color="auto" w:fill="0070C0"/>
          </w:tcPr>
          <w:p w14:paraId="0960FB49" w14:textId="77777777" w:rsidR="00974310" w:rsidRPr="00E95745" w:rsidRDefault="00974310" w:rsidP="00D3615D">
            <w:pPr>
              <w:spacing w:before="40" w:after="120"/>
              <w:rPr>
                <w:rFonts w:ascii="Calibri" w:eastAsia="Times New Roman" w:hAnsi="Calibri" w:cs="Times New Roman"/>
                <w:b/>
                <w:bCs/>
                <w:color w:val="FFFFFF"/>
                <w:lang w:eastAsia="en-AU"/>
              </w:rPr>
            </w:pPr>
            <w:r w:rsidRPr="00E95745">
              <w:rPr>
                <w:rFonts w:ascii="Calibri" w:eastAsia="Times New Roman" w:hAnsi="Calibri" w:cs="Times New Roman"/>
                <w:b/>
                <w:bCs/>
                <w:color w:val="FFFFFF"/>
                <w:lang w:eastAsia="en-AU"/>
              </w:rPr>
              <w:t>Equity Net Position</w:t>
            </w:r>
          </w:p>
        </w:tc>
        <w:tc>
          <w:tcPr>
            <w:tcW w:w="1600" w:type="dxa"/>
            <w:tcBorders>
              <w:top w:val="single" w:sz="4" w:space="0" w:color="auto"/>
              <w:left w:val="single" w:sz="4" w:space="0" w:color="auto"/>
              <w:bottom w:val="single" w:sz="4" w:space="0" w:color="auto"/>
              <w:right w:val="single" w:sz="4" w:space="0" w:color="auto"/>
            </w:tcBorders>
            <w:shd w:val="clear" w:color="auto" w:fill="0070C0"/>
          </w:tcPr>
          <w:p w14:paraId="6894DE9C" w14:textId="77777777" w:rsidR="00974310" w:rsidRPr="00E95745" w:rsidRDefault="00974310" w:rsidP="00D3615D">
            <w:pPr>
              <w:spacing w:before="40" w:after="120"/>
              <w:rPr>
                <w:rFonts w:ascii="Calibri" w:eastAsia="Times New Roman" w:hAnsi="Calibri" w:cs="Times New Roman"/>
                <w:b/>
                <w:bCs/>
                <w:color w:val="FFFFFF"/>
                <w:lang w:eastAsia="en-AU"/>
              </w:rPr>
            </w:pPr>
            <w:r w:rsidRPr="00E95745">
              <w:rPr>
                <w:rFonts w:ascii="Calibri" w:eastAsia="Times New Roman" w:hAnsi="Calibri" w:cs="Times New Roman"/>
                <w:b/>
                <w:bCs/>
                <w:color w:val="FFFFFF"/>
                <w:lang w:eastAsia="en-AU"/>
              </w:rPr>
              <w:t>&gt; 25% of Liquid Capital at 12%</w:t>
            </w:r>
          </w:p>
        </w:tc>
        <w:tc>
          <w:tcPr>
            <w:tcW w:w="1599" w:type="dxa"/>
            <w:tcBorders>
              <w:top w:val="single" w:sz="4" w:space="0" w:color="auto"/>
              <w:left w:val="single" w:sz="4" w:space="0" w:color="auto"/>
              <w:bottom w:val="single" w:sz="4" w:space="0" w:color="auto"/>
              <w:right w:val="single" w:sz="4" w:space="0" w:color="auto"/>
            </w:tcBorders>
            <w:shd w:val="clear" w:color="auto" w:fill="0070C0"/>
          </w:tcPr>
          <w:p w14:paraId="322CF542" w14:textId="77777777" w:rsidR="00974310" w:rsidRPr="00E95745" w:rsidRDefault="00974310" w:rsidP="00D3615D">
            <w:pPr>
              <w:spacing w:before="40" w:after="120"/>
              <w:rPr>
                <w:rFonts w:ascii="Calibri" w:eastAsia="Times New Roman" w:hAnsi="Calibri" w:cs="Times New Roman"/>
                <w:b/>
                <w:bCs/>
                <w:color w:val="FFFFFF"/>
                <w:lang w:eastAsia="en-AU"/>
              </w:rPr>
            </w:pPr>
            <w:r w:rsidRPr="00E95745">
              <w:rPr>
                <w:rFonts w:ascii="Calibri" w:eastAsia="Times New Roman" w:hAnsi="Calibri" w:cs="Times New Roman"/>
                <w:b/>
                <w:bCs/>
                <w:color w:val="FFFFFF"/>
                <w:lang w:eastAsia="en-AU"/>
              </w:rPr>
              <w:t>&gt; 25% of Liquid Capital at 16%</w:t>
            </w:r>
          </w:p>
        </w:tc>
        <w:tc>
          <w:tcPr>
            <w:tcW w:w="1600" w:type="dxa"/>
            <w:tcBorders>
              <w:top w:val="single" w:sz="4" w:space="0" w:color="auto"/>
              <w:left w:val="single" w:sz="4" w:space="0" w:color="auto"/>
              <w:bottom w:val="single" w:sz="4" w:space="0" w:color="auto"/>
              <w:right w:val="single" w:sz="4" w:space="0" w:color="auto"/>
            </w:tcBorders>
            <w:shd w:val="clear" w:color="auto" w:fill="0070C0"/>
          </w:tcPr>
          <w:p w14:paraId="01C9B36E" w14:textId="77777777" w:rsidR="00974310" w:rsidRPr="00E95745" w:rsidRDefault="00974310" w:rsidP="00D3615D">
            <w:pPr>
              <w:spacing w:before="40" w:after="120"/>
              <w:rPr>
                <w:rFonts w:ascii="Calibri" w:eastAsia="Times New Roman" w:hAnsi="Calibri" w:cs="Times New Roman"/>
                <w:b/>
                <w:bCs/>
                <w:color w:val="FFFFFF"/>
                <w:lang w:eastAsia="en-AU"/>
              </w:rPr>
            </w:pPr>
            <w:r w:rsidRPr="00E95745">
              <w:rPr>
                <w:rFonts w:ascii="Calibri" w:eastAsia="Times New Roman" w:hAnsi="Calibri" w:cs="Times New Roman"/>
                <w:b/>
                <w:bCs/>
                <w:color w:val="FFFFFF"/>
                <w:lang w:eastAsia="en-AU"/>
              </w:rPr>
              <w:t xml:space="preserve">&gt; 5% of </w:t>
            </w:r>
            <w:r>
              <w:rPr>
                <w:rFonts w:ascii="Calibri" w:eastAsia="Times New Roman" w:hAnsi="Calibri" w:cs="Times New Roman"/>
                <w:b/>
                <w:bCs/>
                <w:color w:val="FFFFFF"/>
                <w:lang w:eastAsia="en-AU"/>
              </w:rPr>
              <w:t>i</w:t>
            </w:r>
            <w:r w:rsidRPr="00E95745">
              <w:rPr>
                <w:rFonts w:ascii="Calibri" w:eastAsia="Times New Roman" w:hAnsi="Calibri" w:cs="Times New Roman"/>
                <w:b/>
                <w:bCs/>
                <w:color w:val="FFFFFF"/>
                <w:lang w:eastAsia="en-AU"/>
              </w:rPr>
              <w:t>ssue at 12%</w:t>
            </w:r>
          </w:p>
        </w:tc>
        <w:tc>
          <w:tcPr>
            <w:tcW w:w="1600" w:type="dxa"/>
            <w:tcBorders>
              <w:top w:val="single" w:sz="4" w:space="0" w:color="auto"/>
              <w:left w:val="single" w:sz="4" w:space="0" w:color="auto"/>
              <w:bottom w:val="single" w:sz="4" w:space="0" w:color="auto"/>
              <w:right w:val="single" w:sz="4" w:space="0" w:color="auto"/>
            </w:tcBorders>
            <w:shd w:val="clear" w:color="auto" w:fill="0070C0"/>
          </w:tcPr>
          <w:p w14:paraId="31F53D42" w14:textId="77777777" w:rsidR="00974310" w:rsidRPr="00E95745" w:rsidRDefault="00974310" w:rsidP="00D3615D">
            <w:pPr>
              <w:spacing w:before="40" w:after="120"/>
              <w:rPr>
                <w:rFonts w:ascii="Calibri" w:eastAsia="Times New Roman" w:hAnsi="Calibri" w:cs="Times New Roman"/>
                <w:b/>
                <w:bCs/>
                <w:color w:val="FFFFFF"/>
                <w:lang w:eastAsia="en-AU"/>
              </w:rPr>
            </w:pPr>
            <w:r w:rsidRPr="00E95745">
              <w:rPr>
                <w:rFonts w:ascii="Calibri" w:eastAsia="Times New Roman" w:hAnsi="Calibri" w:cs="Times New Roman"/>
                <w:b/>
                <w:bCs/>
                <w:color w:val="FFFFFF"/>
                <w:lang w:eastAsia="en-AU"/>
              </w:rPr>
              <w:t xml:space="preserve">&gt; 5% of </w:t>
            </w:r>
            <w:r>
              <w:rPr>
                <w:rFonts w:ascii="Calibri" w:eastAsia="Times New Roman" w:hAnsi="Calibri" w:cs="Times New Roman"/>
                <w:b/>
                <w:bCs/>
                <w:color w:val="FFFFFF"/>
                <w:lang w:eastAsia="en-AU"/>
              </w:rPr>
              <w:t>i</w:t>
            </w:r>
            <w:r w:rsidRPr="00E95745">
              <w:rPr>
                <w:rFonts w:ascii="Calibri" w:eastAsia="Times New Roman" w:hAnsi="Calibri" w:cs="Times New Roman"/>
                <w:b/>
                <w:bCs/>
                <w:color w:val="FFFFFF"/>
                <w:lang w:eastAsia="en-AU"/>
              </w:rPr>
              <w:t>ssue at 16%</w:t>
            </w:r>
          </w:p>
        </w:tc>
        <w:tc>
          <w:tcPr>
            <w:tcW w:w="1600" w:type="dxa"/>
            <w:tcBorders>
              <w:top w:val="single" w:sz="4" w:space="0" w:color="auto"/>
              <w:left w:val="single" w:sz="4" w:space="0" w:color="auto"/>
              <w:bottom w:val="single" w:sz="4" w:space="0" w:color="auto"/>
              <w:right w:val="single" w:sz="4" w:space="0" w:color="auto"/>
            </w:tcBorders>
            <w:shd w:val="clear" w:color="auto" w:fill="0070C0"/>
          </w:tcPr>
          <w:p w14:paraId="3DD9A492" w14:textId="17C5A0AF" w:rsidR="00974310" w:rsidRPr="00E95745" w:rsidRDefault="00974310" w:rsidP="00D3615D">
            <w:pPr>
              <w:spacing w:before="40" w:after="120"/>
              <w:rPr>
                <w:rFonts w:ascii="Calibri" w:hAnsi="Calibri"/>
                <w:b/>
                <w:bCs/>
                <w:color w:val="FFFFFF"/>
              </w:rPr>
            </w:pPr>
            <w:r w:rsidRPr="00E95745">
              <w:rPr>
                <w:rFonts w:ascii="Calibri" w:eastAsia="Times New Roman" w:hAnsi="Calibri" w:cs="Times New Roman"/>
                <w:b/>
                <w:bCs/>
                <w:color w:val="FFFFFF"/>
                <w:lang w:eastAsia="en-AU"/>
              </w:rPr>
              <w:t xml:space="preserve">Total </w:t>
            </w:r>
            <w:r>
              <w:rPr>
                <w:rFonts w:ascii="Calibri" w:eastAsia="Times New Roman" w:hAnsi="Calibri" w:cs="Times New Roman"/>
                <w:b/>
                <w:bCs/>
                <w:color w:val="FFFFFF"/>
                <w:lang w:eastAsia="en-AU"/>
              </w:rPr>
              <w:t>r</w:t>
            </w:r>
            <w:r w:rsidRPr="00E95745">
              <w:rPr>
                <w:rFonts w:ascii="Calibri" w:eastAsia="Times New Roman" w:hAnsi="Calibri" w:cs="Times New Roman"/>
                <w:b/>
                <w:bCs/>
                <w:color w:val="FFFFFF"/>
                <w:lang w:eastAsia="en-AU"/>
              </w:rPr>
              <w:t xml:space="preserve">isk </w:t>
            </w:r>
            <w:r>
              <w:rPr>
                <w:rFonts w:ascii="Calibri" w:eastAsia="Times New Roman" w:hAnsi="Calibri" w:cs="Times New Roman"/>
                <w:b/>
                <w:bCs/>
                <w:color w:val="FFFFFF"/>
                <w:lang w:eastAsia="en-AU"/>
              </w:rPr>
              <w:t>a</w:t>
            </w:r>
            <w:r w:rsidRPr="00E95745">
              <w:rPr>
                <w:rFonts w:ascii="Calibri" w:eastAsia="Times New Roman" w:hAnsi="Calibri" w:cs="Times New Roman"/>
                <w:b/>
                <w:bCs/>
                <w:color w:val="FFFFFF"/>
                <w:lang w:eastAsia="en-AU"/>
              </w:rPr>
              <w:t>mount</w:t>
            </w:r>
          </w:p>
        </w:tc>
      </w:tr>
      <w:tr w:rsidR="00FE1CA1" w:rsidRPr="00E95745" w14:paraId="13F1A647" w14:textId="77777777" w:rsidTr="00D3615D">
        <w:trPr>
          <w:trHeight w:val="573"/>
        </w:trPr>
        <w:tc>
          <w:tcPr>
            <w:tcW w:w="2694" w:type="dxa"/>
            <w:tcBorders>
              <w:top w:val="single" w:sz="4" w:space="0" w:color="auto"/>
              <w:left w:val="single" w:sz="4" w:space="0" w:color="auto"/>
              <w:bottom w:val="single" w:sz="4" w:space="0" w:color="auto"/>
              <w:right w:val="single" w:sz="4" w:space="0" w:color="auto"/>
            </w:tcBorders>
            <w:vAlign w:val="bottom"/>
          </w:tcPr>
          <w:p w14:paraId="31ECB16D" w14:textId="77777777" w:rsidR="00FE1CA1" w:rsidRPr="00FE1CA1" w:rsidRDefault="00FE1CA1" w:rsidP="00D3615D">
            <w:pPr>
              <w:spacing w:before="90" w:after="40"/>
              <w:rPr>
                <w:rFonts w:ascii="Calibri" w:hAnsi="Calibri"/>
                <w:color w:val="000000"/>
              </w:rPr>
            </w:pPr>
          </w:p>
        </w:tc>
        <w:tc>
          <w:tcPr>
            <w:tcW w:w="1599" w:type="dxa"/>
            <w:tcBorders>
              <w:top w:val="single" w:sz="4" w:space="0" w:color="auto"/>
              <w:left w:val="single" w:sz="4" w:space="0" w:color="auto"/>
              <w:bottom w:val="single" w:sz="4" w:space="0" w:color="auto"/>
              <w:right w:val="single" w:sz="4" w:space="0" w:color="auto"/>
            </w:tcBorders>
            <w:vAlign w:val="bottom"/>
          </w:tcPr>
          <w:p w14:paraId="605F5D91" w14:textId="77777777" w:rsidR="00FE1CA1" w:rsidRPr="00FE1CA1" w:rsidRDefault="00FE1CA1" w:rsidP="00D3615D">
            <w:pPr>
              <w:spacing w:before="90" w:after="40"/>
              <w:rPr>
                <w:rFonts w:ascii="Calibri" w:hAnsi="Calibri"/>
                <w:color w:val="000000"/>
              </w:rPr>
            </w:pPr>
          </w:p>
        </w:tc>
        <w:tc>
          <w:tcPr>
            <w:tcW w:w="1600" w:type="dxa"/>
            <w:tcBorders>
              <w:top w:val="single" w:sz="4" w:space="0" w:color="auto"/>
              <w:left w:val="single" w:sz="4" w:space="0" w:color="auto"/>
              <w:bottom w:val="single" w:sz="4" w:space="0" w:color="auto"/>
              <w:right w:val="single" w:sz="4" w:space="0" w:color="auto"/>
            </w:tcBorders>
            <w:vAlign w:val="bottom"/>
          </w:tcPr>
          <w:p w14:paraId="45955BA4" w14:textId="77777777" w:rsidR="00FE1CA1" w:rsidRPr="00FE1CA1" w:rsidRDefault="00FE1CA1" w:rsidP="00D3615D">
            <w:pPr>
              <w:spacing w:before="90" w:after="40"/>
              <w:rPr>
                <w:rFonts w:ascii="Calibri" w:hAnsi="Calibri"/>
                <w:color w:val="000000"/>
              </w:rPr>
            </w:pPr>
          </w:p>
        </w:tc>
        <w:tc>
          <w:tcPr>
            <w:tcW w:w="1600" w:type="dxa"/>
            <w:tcBorders>
              <w:top w:val="single" w:sz="4" w:space="0" w:color="auto"/>
              <w:left w:val="single" w:sz="4" w:space="0" w:color="auto"/>
              <w:bottom w:val="single" w:sz="4" w:space="0" w:color="auto"/>
              <w:right w:val="single" w:sz="4" w:space="0" w:color="auto"/>
            </w:tcBorders>
            <w:vAlign w:val="bottom"/>
          </w:tcPr>
          <w:p w14:paraId="0DE985DD" w14:textId="77777777" w:rsidR="00FE1CA1" w:rsidRPr="00FE1CA1" w:rsidRDefault="00FE1CA1" w:rsidP="00D3615D">
            <w:pPr>
              <w:spacing w:before="90" w:after="40"/>
              <w:rPr>
                <w:rFonts w:ascii="Calibri" w:hAnsi="Calibri"/>
                <w:color w:val="000000"/>
              </w:rPr>
            </w:pPr>
          </w:p>
        </w:tc>
        <w:tc>
          <w:tcPr>
            <w:tcW w:w="1599" w:type="dxa"/>
            <w:tcBorders>
              <w:top w:val="single" w:sz="4" w:space="0" w:color="auto"/>
              <w:left w:val="single" w:sz="4" w:space="0" w:color="auto"/>
              <w:bottom w:val="single" w:sz="4" w:space="0" w:color="auto"/>
              <w:right w:val="single" w:sz="4" w:space="0" w:color="auto"/>
            </w:tcBorders>
            <w:vAlign w:val="bottom"/>
          </w:tcPr>
          <w:p w14:paraId="52C1163F" w14:textId="77777777" w:rsidR="00FE1CA1" w:rsidRPr="00FE1CA1" w:rsidRDefault="00FE1CA1" w:rsidP="00D3615D">
            <w:pPr>
              <w:spacing w:before="90" w:after="40"/>
              <w:rPr>
                <w:rFonts w:ascii="Calibri" w:hAnsi="Calibri"/>
                <w:color w:val="000000"/>
              </w:rPr>
            </w:pPr>
          </w:p>
        </w:tc>
        <w:tc>
          <w:tcPr>
            <w:tcW w:w="1600" w:type="dxa"/>
            <w:tcBorders>
              <w:top w:val="single" w:sz="4" w:space="0" w:color="auto"/>
              <w:left w:val="single" w:sz="4" w:space="0" w:color="auto"/>
              <w:bottom w:val="single" w:sz="4" w:space="0" w:color="auto"/>
              <w:right w:val="single" w:sz="4" w:space="0" w:color="auto"/>
            </w:tcBorders>
            <w:vAlign w:val="bottom"/>
          </w:tcPr>
          <w:p w14:paraId="547F5A1C" w14:textId="77777777" w:rsidR="00FE1CA1" w:rsidRPr="00FE1CA1" w:rsidRDefault="00FE1CA1" w:rsidP="00D3615D">
            <w:pPr>
              <w:spacing w:before="90" w:after="40"/>
              <w:rPr>
                <w:rFonts w:ascii="Calibri" w:hAnsi="Calibri"/>
                <w:color w:val="000000"/>
              </w:rPr>
            </w:pPr>
          </w:p>
        </w:tc>
        <w:tc>
          <w:tcPr>
            <w:tcW w:w="1600" w:type="dxa"/>
            <w:tcBorders>
              <w:top w:val="single" w:sz="4" w:space="0" w:color="auto"/>
              <w:left w:val="single" w:sz="4" w:space="0" w:color="auto"/>
              <w:bottom w:val="single" w:sz="4" w:space="0" w:color="auto"/>
              <w:right w:val="single" w:sz="4" w:space="0" w:color="auto"/>
            </w:tcBorders>
            <w:vAlign w:val="bottom"/>
          </w:tcPr>
          <w:p w14:paraId="34B0BB3D" w14:textId="77777777" w:rsidR="00FE1CA1" w:rsidRPr="00FE1CA1" w:rsidRDefault="00FE1CA1" w:rsidP="00D3615D">
            <w:pPr>
              <w:spacing w:before="90" w:after="40"/>
              <w:rPr>
                <w:rFonts w:ascii="Calibri" w:hAnsi="Calibri"/>
                <w:color w:val="000000"/>
              </w:rPr>
            </w:pPr>
          </w:p>
        </w:tc>
        <w:tc>
          <w:tcPr>
            <w:tcW w:w="1600" w:type="dxa"/>
            <w:tcBorders>
              <w:top w:val="single" w:sz="4" w:space="0" w:color="auto"/>
              <w:left w:val="single" w:sz="4" w:space="0" w:color="auto"/>
              <w:bottom w:val="single" w:sz="4" w:space="0" w:color="auto"/>
              <w:right w:val="single" w:sz="4" w:space="0" w:color="auto"/>
            </w:tcBorders>
            <w:vAlign w:val="bottom"/>
          </w:tcPr>
          <w:p w14:paraId="7B0BEF8B" w14:textId="77777777" w:rsidR="00FE1CA1" w:rsidRPr="00FE1CA1" w:rsidRDefault="00FE1CA1" w:rsidP="00D3615D">
            <w:pPr>
              <w:spacing w:before="90" w:after="40"/>
              <w:rPr>
                <w:rFonts w:ascii="Calibri" w:hAnsi="Calibri"/>
                <w:color w:val="000000"/>
              </w:rPr>
            </w:pPr>
          </w:p>
        </w:tc>
      </w:tr>
      <w:tr w:rsidR="000D640B" w:rsidRPr="00E95745" w14:paraId="413973CC" w14:textId="77777777" w:rsidTr="00D3615D">
        <w:trPr>
          <w:trHeight w:val="573"/>
        </w:trPr>
        <w:tc>
          <w:tcPr>
            <w:tcW w:w="2694" w:type="dxa"/>
            <w:tcBorders>
              <w:top w:val="single" w:sz="4" w:space="0" w:color="auto"/>
              <w:left w:val="single" w:sz="4" w:space="0" w:color="auto"/>
              <w:bottom w:val="single" w:sz="4" w:space="0" w:color="auto"/>
              <w:right w:val="single" w:sz="4" w:space="0" w:color="auto"/>
            </w:tcBorders>
            <w:vAlign w:val="bottom"/>
          </w:tcPr>
          <w:p w14:paraId="37530790" w14:textId="3C0A4833" w:rsidR="000D640B" w:rsidRPr="00D3615D" w:rsidRDefault="000D640B" w:rsidP="00D3615D">
            <w:pPr>
              <w:spacing w:before="90" w:after="40"/>
              <w:rPr>
                <w:rFonts w:ascii="Calibri" w:hAnsi="Calibri"/>
                <w:b/>
                <w:color w:val="000000"/>
              </w:rPr>
            </w:pPr>
            <w:r w:rsidRPr="00D3615D">
              <w:rPr>
                <w:rFonts w:ascii="Calibri" w:hAnsi="Calibri"/>
                <w:b/>
                <w:color w:val="000000"/>
              </w:rPr>
              <w:t>Total</w:t>
            </w:r>
          </w:p>
        </w:tc>
        <w:tc>
          <w:tcPr>
            <w:tcW w:w="1599" w:type="dxa"/>
            <w:tcBorders>
              <w:top w:val="single" w:sz="4" w:space="0" w:color="auto"/>
              <w:left w:val="single" w:sz="4" w:space="0" w:color="auto"/>
              <w:bottom w:val="single" w:sz="4" w:space="0" w:color="auto"/>
              <w:right w:val="single" w:sz="4" w:space="0" w:color="auto"/>
            </w:tcBorders>
            <w:vAlign w:val="bottom"/>
          </w:tcPr>
          <w:p w14:paraId="0755E3CD" w14:textId="77777777" w:rsidR="000D640B" w:rsidRPr="00FE1CA1" w:rsidRDefault="000D640B" w:rsidP="00D3615D">
            <w:pPr>
              <w:spacing w:before="90" w:after="40"/>
              <w:rPr>
                <w:rFonts w:ascii="Calibri" w:hAnsi="Calibri"/>
                <w:color w:val="000000"/>
              </w:rPr>
            </w:pPr>
          </w:p>
        </w:tc>
        <w:tc>
          <w:tcPr>
            <w:tcW w:w="1600" w:type="dxa"/>
            <w:tcBorders>
              <w:top w:val="single" w:sz="4" w:space="0" w:color="auto"/>
              <w:left w:val="single" w:sz="4" w:space="0" w:color="auto"/>
              <w:bottom w:val="single" w:sz="4" w:space="0" w:color="auto"/>
              <w:right w:val="single" w:sz="4" w:space="0" w:color="auto"/>
            </w:tcBorders>
            <w:vAlign w:val="bottom"/>
          </w:tcPr>
          <w:p w14:paraId="0510E3B4" w14:textId="77777777" w:rsidR="000D640B" w:rsidRPr="00FE1CA1" w:rsidRDefault="000D640B" w:rsidP="00D3615D">
            <w:pPr>
              <w:spacing w:before="90" w:after="40"/>
              <w:rPr>
                <w:rFonts w:ascii="Calibri" w:hAnsi="Calibri"/>
                <w:color w:val="000000"/>
              </w:rPr>
            </w:pPr>
          </w:p>
        </w:tc>
        <w:tc>
          <w:tcPr>
            <w:tcW w:w="1600" w:type="dxa"/>
            <w:tcBorders>
              <w:top w:val="single" w:sz="4" w:space="0" w:color="auto"/>
              <w:left w:val="single" w:sz="4" w:space="0" w:color="auto"/>
              <w:bottom w:val="single" w:sz="4" w:space="0" w:color="auto"/>
              <w:right w:val="single" w:sz="4" w:space="0" w:color="auto"/>
            </w:tcBorders>
            <w:vAlign w:val="bottom"/>
          </w:tcPr>
          <w:p w14:paraId="73FC14A7" w14:textId="77777777" w:rsidR="000D640B" w:rsidRPr="00FE1CA1" w:rsidRDefault="000D640B" w:rsidP="00D3615D">
            <w:pPr>
              <w:spacing w:before="90" w:after="40"/>
              <w:rPr>
                <w:rFonts w:ascii="Calibri" w:hAnsi="Calibri"/>
                <w:color w:val="000000"/>
              </w:rPr>
            </w:pPr>
          </w:p>
        </w:tc>
        <w:tc>
          <w:tcPr>
            <w:tcW w:w="1599" w:type="dxa"/>
            <w:tcBorders>
              <w:top w:val="single" w:sz="4" w:space="0" w:color="auto"/>
              <w:left w:val="single" w:sz="4" w:space="0" w:color="auto"/>
              <w:bottom w:val="single" w:sz="4" w:space="0" w:color="auto"/>
              <w:right w:val="single" w:sz="4" w:space="0" w:color="auto"/>
            </w:tcBorders>
            <w:vAlign w:val="bottom"/>
          </w:tcPr>
          <w:p w14:paraId="28B14793" w14:textId="77777777" w:rsidR="000D640B" w:rsidRPr="00FE1CA1" w:rsidRDefault="000D640B" w:rsidP="00D3615D">
            <w:pPr>
              <w:spacing w:before="90" w:after="40"/>
              <w:rPr>
                <w:rFonts w:ascii="Calibri" w:hAnsi="Calibri"/>
                <w:color w:val="000000"/>
              </w:rPr>
            </w:pPr>
          </w:p>
        </w:tc>
        <w:tc>
          <w:tcPr>
            <w:tcW w:w="1600" w:type="dxa"/>
            <w:tcBorders>
              <w:top w:val="single" w:sz="4" w:space="0" w:color="auto"/>
              <w:left w:val="single" w:sz="4" w:space="0" w:color="auto"/>
              <w:bottom w:val="single" w:sz="4" w:space="0" w:color="auto"/>
              <w:right w:val="single" w:sz="4" w:space="0" w:color="auto"/>
            </w:tcBorders>
            <w:vAlign w:val="bottom"/>
          </w:tcPr>
          <w:p w14:paraId="3413A473" w14:textId="77777777" w:rsidR="000D640B" w:rsidRPr="00FE1CA1" w:rsidRDefault="000D640B" w:rsidP="00D3615D">
            <w:pPr>
              <w:spacing w:before="90" w:after="40"/>
              <w:rPr>
                <w:rFonts w:ascii="Calibri" w:hAnsi="Calibri"/>
                <w:color w:val="000000"/>
              </w:rPr>
            </w:pPr>
          </w:p>
        </w:tc>
        <w:tc>
          <w:tcPr>
            <w:tcW w:w="1600" w:type="dxa"/>
            <w:tcBorders>
              <w:top w:val="single" w:sz="4" w:space="0" w:color="auto"/>
              <w:left w:val="single" w:sz="4" w:space="0" w:color="auto"/>
              <w:bottom w:val="single" w:sz="4" w:space="0" w:color="auto"/>
              <w:right w:val="single" w:sz="4" w:space="0" w:color="auto"/>
            </w:tcBorders>
            <w:vAlign w:val="bottom"/>
          </w:tcPr>
          <w:p w14:paraId="7098A5A4" w14:textId="77777777" w:rsidR="000D640B" w:rsidRPr="00FE1CA1" w:rsidRDefault="000D640B" w:rsidP="00D3615D">
            <w:pPr>
              <w:spacing w:before="90" w:after="40"/>
              <w:rPr>
                <w:rFonts w:ascii="Calibri" w:hAnsi="Calibri"/>
                <w:color w:val="000000"/>
              </w:rPr>
            </w:pPr>
          </w:p>
        </w:tc>
        <w:tc>
          <w:tcPr>
            <w:tcW w:w="1600" w:type="dxa"/>
            <w:tcBorders>
              <w:top w:val="single" w:sz="4" w:space="0" w:color="auto"/>
              <w:left w:val="single" w:sz="4" w:space="0" w:color="auto"/>
              <w:bottom w:val="single" w:sz="4" w:space="0" w:color="auto"/>
              <w:right w:val="single" w:sz="4" w:space="0" w:color="auto"/>
            </w:tcBorders>
            <w:vAlign w:val="bottom"/>
          </w:tcPr>
          <w:p w14:paraId="2B178AED" w14:textId="77777777" w:rsidR="000D640B" w:rsidRPr="00FE1CA1" w:rsidRDefault="000D640B" w:rsidP="00D3615D">
            <w:pPr>
              <w:spacing w:before="90" w:after="40"/>
              <w:rPr>
                <w:rFonts w:ascii="Calibri" w:hAnsi="Calibri"/>
                <w:color w:val="000000"/>
              </w:rPr>
            </w:pPr>
          </w:p>
        </w:tc>
      </w:tr>
    </w:tbl>
    <w:p w14:paraId="495299D1" w14:textId="77777777" w:rsidR="000D640B" w:rsidRPr="00D3615D" w:rsidRDefault="000D640B" w:rsidP="00D3615D">
      <w:pPr>
        <w:spacing w:before="100" w:beforeAutospacing="1" w:after="100" w:afterAutospacing="1" w:line="259" w:lineRule="auto"/>
        <w:contextualSpacing/>
        <w:rPr>
          <w:rFonts w:ascii="Calibri" w:hAnsi="Calibri"/>
          <w:sz w:val="16"/>
          <w:szCs w:val="16"/>
        </w:rPr>
      </w:pPr>
    </w:p>
    <w:p w14:paraId="4331CE30" w14:textId="4ABCD560" w:rsidR="00974310" w:rsidRPr="00D3615D" w:rsidRDefault="00974310" w:rsidP="00930407">
      <w:pPr>
        <w:numPr>
          <w:ilvl w:val="0"/>
          <w:numId w:val="72"/>
        </w:numPr>
        <w:spacing w:before="100" w:beforeAutospacing="1" w:after="100" w:afterAutospacing="1" w:line="259" w:lineRule="auto"/>
        <w:contextualSpacing/>
        <w:rPr>
          <w:rFonts w:ascii="Calibri" w:hAnsi="Calibri"/>
          <w:szCs w:val="22"/>
        </w:rPr>
      </w:pPr>
      <w:r w:rsidRPr="00D3615D">
        <w:rPr>
          <w:rFonts w:ascii="Calibri" w:hAnsi="Calibri"/>
          <w:szCs w:val="22"/>
        </w:rPr>
        <w:t>Enter amounts for each country for which there are large exposures.</w:t>
      </w:r>
    </w:p>
    <w:p w14:paraId="1D5ADE35" w14:textId="3E900E7D" w:rsidR="00974310" w:rsidRPr="00D3615D" w:rsidRDefault="00974310" w:rsidP="00930407">
      <w:pPr>
        <w:numPr>
          <w:ilvl w:val="0"/>
          <w:numId w:val="72"/>
        </w:numPr>
        <w:spacing w:before="100" w:beforeAutospacing="1" w:after="100" w:afterAutospacing="1" w:line="259" w:lineRule="auto"/>
        <w:contextualSpacing/>
        <w:rPr>
          <w:rFonts w:ascii="Calibri" w:hAnsi="Calibri"/>
          <w:szCs w:val="22"/>
        </w:rPr>
      </w:pPr>
      <w:r w:rsidRPr="00D3615D">
        <w:rPr>
          <w:rFonts w:ascii="Calibri" w:hAnsi="Calibri"/>
          <w:szCs w:val="22"/>
        </w:rPr>
        <w:t>You should use the columns headed &gt;25% of Liquid Capital and &gt;5% of issue to categorise risk amounts for disclosure to ASIC.</w:t>
      </w:r>
    </w:p>
    <w:p w14:paraId="3788A40F" w14:textId="3998FC28" w:rsidR="009947C9" w:rsidRPr="00D3615D" w:rsidRDefault="009947C9" w:rsidP="00930407">
      <w:pPr>
        <w:numPr>
          <w:ilvl w:val="0"/>
          <w:numId w:val="72"/>
        </w:numPr>
        <w:spacing w:before="100" w:beforeAutospacing="1" w:after="100" w:afterAutospacing="1" w:line="259" w:lineRule="auto"/>
        <w:contextualSpacing/>
        <w:rPr>
          <w:rFonts w:ascii="Calibri" w:hAnsi="Calibri"/>
          <w:szCs w:val="22"/>
        </w:rPr>
      </w:pPr>
      <w:r w:rsidRPr="00D3615D">
        <w:rPr>
          <w:rFonts w:ascii="Calibri" w:hAnsi="Calibri"/>
          <w:szCs w:val="22"/>
        </w:rPr>
        <w:t>You can only select each country once so all similar country amounts should be aggregated before being input.</w:t>
      </w:r>
    </w:p>
    <w:p w14:paraId="08407BC6" w14:textId="6C9CB82E" w:rsidR="00974310" w:rsidRDefault="00AC18DC" w:rsidP="00D3615D">
      <w:pPr>
        <w:keepNext/>
        <w:spacing w:before="480" w:after="120"/>
        <w:outlineLvl w:val="3"/>
        <w:rPr>
          <w:rFonts w:ascii="Calibri" w:hAnsi="Calibri" w:cs="Helvetica"/>
          <w:b/>
          <w:sz w:val="24"/>
          <w:szCs w:val="24"/>
          <w:lang w:val="en"/>
        </w:rPr>
      </w:pPr>
      <w:r w:rsidRPr="00AC18DC">
        <w:rPr>
          <w:rFonts w:ascii="Calibri" w:hAnsi="Calibri" w:cs="Helvetica"/>
          <w:b/>
          <w:sz w:val="24"/>
          <w:szCs w:val="24"/>
          <w:lang w:val="en"/>
        </w:rPr>
        <w:t xml:space="preserve">Issuer </w:t>
      </w:r>
      <w:r>
        <w:rPr>
          <w:rFonts w:ascii="Calibri" w:hAnsi="Calibri" w:cs="Helvetica"/>
          <w:b/>
          <w:sz w:val="24"/>
          <w:szCs w:val="24"/>
          <w:lang w:val="en"/>
        </w:rPr>
        <w:t>l</w:t>
      </w:r>
      <w:r w:rsidRPr="00930407">
        <w:rPr>
          <w:rFonts w:ascii="Calibri" w:hAnsi="Calibri" w:cs="Helvetica"/>
          <w:b/>
          <w:sz w:val="24"/>
          <w:szCs w:val="24"/>
          <w:lang w:val="en"/>
        </w:rPr>
        <w:t>arge exposure – Debt method</w:t>
      </w:r>
    </w:p>
    <w:p w14:paraId="6873BBA0" w14:textId="77777777" w:rsidR="00B10248" w:rsidRPr="00B22F71" w:rsidRDefault="00B10248" w:rsidP="00D3615D">
      <w:pPr>
        <w:spacing w:after="40"/>
        <w:outlineLvl w:val="3"/>
        <w:rPr>
          <w:rFonts w:ascii="Calibri" w:hAnsi="Calibri" w:cs="Helvetica"/>
          <w:b/>
          <w:szCs w:val="22"/>
          <w:lang w:val="en"/>
        </w:rPr>
      </w:pPr>
      <w:r w:rsidRPr="00B22F71">
        <w:rPr>
          <w:rFonts w:ascii="Calibri" w:hAnsi="Calibri" w:cs="Helvetica"/>
          <w:b/>
          <w:szCs w:val="22"/>
          <w:lang w:val="en"/>
        </w:rPr>
        <w:t>Determining risk amounts</w:t>
      </w:r>
    </w:p>
    <w:p w14:paraId="3AF1E2F6" w14:textId="77777777" w:rsidR="00B10248" w:rsidRPr="00B22F71" w:rsidRDefault="00B10248" w:rsidP="00D3615D">
      <w:pPr>
        <w:spacing w:after="120"/>
        <w:outlineLvl w:val="3"/>
        <w:rPr>
          <w:rFonts w:ascii="Calibri" w:hAnsi="Calibri" w:cs="Helvetica"/>
          <w:szCs w:val="22"/>
          <w:lang w:val="en"/>
        </w:rPr>
      </w:pPr>
      <w:r w:rsidRPr="00B22F71">
        <w:rPr>
          <w:rFonts w:ascii="Calibri" w:hAnsi="Calibri" w:cs="Helvetica"/>
          <w:szCs w:val="22"/>
          <w:lang w:val="en"/>
        </w:rPr>
        <w:t>Before you enter the risk amounts, you will have to determine the greater of the '&gt;25% of Liquid Capital' and '&gt; 10% of issue'.</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239"/>
        <w:gridCol w:w="2240"/>
        <w:gridCol w:w="2239"/>
        <w:gridCol w:w="2240"/>
        <w:gridCol w:w="2240"/>
      </w:tblGrid>
      <w:tr w:rsidR="00AC18DC" w:rsidRPr="00E95745" w14:paraId="662D8385" w14:textId="77777777" w:rsidTr="00D3615D">
        <w:tc>
          <w:tcPr>
            <w:tcW w:w="2689" w:type="dxa"/>
            <w:tcBorders>
              <w:top w:val="single" w:sz="4" w:space="0" w:color="auto"/>
              <w:left w:val="single" w:sz="4" w:space="0" w:color="auto"/>
              <w:bottom w:val="single" w:sz="4" w:space="0" w:color="auto"/>
              <w:right w:val="single" w:sz="4" w:space="0" w:color="auto"/>
            </w:tcBorders>
            <w:shd w:val="clear" w:color="auto" w:fill="0070C0"/>
          </w:tcPr>
          <w:p w14:paraId="0DF85134" w14:textId="27DD7EE8" w:rsidR="00AC18DC" w:rsidRPr="00E95745" w:rsidRDefault="00AC18DC" w:rsidP="00D3615D">
            <w:pPr>
              <w:spacing w:before="40" w:after="120"/>
              <w:rPr>
                <w:rFonts w:ascii="Calibri" w:eastAsia="Calibri" w:hAnsi="Calibri" w:cs="Times New Roman"/>
                <w:b/>
                <w:bCs/>
                <w:iCs/>
                <w:color w:val="FFFFFF"/>
              </w:rPr>
            </w:pPr>
            <w:r w:rsidRPr="00E95745">
              <w:rPr>
                <w:rFonts w:ascii="Calibri" w:eastAsia="Calibri" w:hAnsi="Calibri" w:cs="Times New Roman"/>
                <w:b/>
                <w:bCs/>
                <w:iCs/>
                <w:color w:val="FFFFFF"/>
              </w:rPr>
              <w:t xml:space="preserve">Underlying </w:t>
            </w:r>
            <w:r>
              <w:rPr>
                <w:rFonts w:ascii="Calibri" w:eastAsia="Calibri" w:hAnsi="Calibri" w:cs="Times New Roman"/>
                <w:b/>
                <w:bCs/>
                <w:iCs/>
                <w:color w:val="FFFFFF"/>
              </w:rPr>
              <w:t>c</w:t>
            </w:r>
            <w:r w:rsidRPr="00E95745">
              <w:rPr>
                <w:rFonts w:ascii="Calibri" w:eastAsia="Calibri" w:hAnsi="Calibri" w:cs="Times New Roman"/>
                <w:b/>
                <w:bCs/>
                <w:iCs/>
                <w:color w:val="FFFFFF"/>
              </w:rPr>
              <w:t>urrency</w:t>
            </w:r>
          </w:p>
        </w:tc>
        <w:tc>
          <w:tcPr>
            <w:tcW w:w="2239" w:type="dxa"/>
            <w:tcBorders>
              <w:top w:val="single" w:sz="4" w:space="0" w:color="auto"/>
              <w:left w:val="single" w:sz="4" w:space="0" w:color="auto"/>
              <w:bottom w:val="single" w:sz="4" w:space="0" w:color="auto"/>
              <w:right w:val="single" w:sz="4" w:space="0" w:color="auto"/>
            </w:tcBorders>
            <w:shd w:val="clear" w:color="auto" w:fill="0070C0"/>
          </w:tcPr>
          <w:p w14:paraId="0A4FFA95" w14:textId="6A6E5A5E" w:rsidR="00AC18DC" w:rsidRPr="00E95745" w:rsidRDefault="00AC18DC" w:rsidP="00D3615D">
            <w:pPr>
              <w:spacing w:before="40" w:after="120"/>
              <w:rPr>
                <w:rFonts w:ascii="Calibri" w:eastAsia="Calibri" w:hAnsi="Calibri" w:cs="Times New Roman"/>
                <w:b/>
                <w:bCs/>
                <w:iCs/>
                <w:color w:val="FFFFFF"/>
              </w:rPr>
            </w:pPr>
            <w:r w:rsidRPr="00E95745">
              <w:rPr>
                <w:rFonts w:ascii="Calibri" w:eastAsia="Calibri" w:hAnsi="Calibri" w:cs="Times New Roman"/>
                <w:b/>
                <w:bCs/>
                <w:iCs/>
                <w:color w:val="FFFFFF"/>
              </w:rPr>
              <w:t>Number of Debt Issuers</w:t>
            </w:r>
          </w:p>
        </w:tc>
        <w:tc>
          <w:tcPr>
            <w:tcW w:w="2240" w:type="dxa"/>
            <w:tcBorders>
              <w:top w:val="single" w:sz="4" w:space="0" w:color="auto"/>
              <w:left w:val="single" w:sz="4" w:space="0" w:color="auto"/>
              <w:bottom w:val="single" w:sz="4" w:space="0" w:color="auto"/>
              <w:right w:val="single" w:sz="4" w:space="0" w:color="auto"/>
            </w:tcBorders>
            <w:shd w:val="clear" w:color="auto" w:fill="0070C0"/>
          </w:tcPr>
          <w:p w14:paraId="394CCC91" w14:textId="718A5892" w:rsidR="00AC18DC" w:rsidRPr="00E95745" w:rsidRDefault="00AC18DC" w:rsidP="00D3615D">
            <w:pPr>
              <w:spacing w:before="40" w:after="120"/>
              <w:rPr>
                <w:rFonts w:ascii="Calibri" w:eastAsia="Calibri" w:hAnsi="Calibri" w:cs="Times New Roman"/>
                <w:b/>
                <w:bCs/>
                <w:iCs/>
                <w:color w:val="FFFFFF"/>
              </w:rPr>
            </w:pPr>
            <w:r w:rsidRPr="00E95745">
              <w:rPr>
                <w:rFonts w:ascii="Calibri" w:eastAsia="Calibri" w:hAnsi="Calibri" w:cs="Times New Roman"/>
                <w:b/>
                <w:bCs/>
                <w:iCs/>
                <w:color w:val="FFFFFF"/>
              </w:rPr>
              <w:t>Debt Net Position</w:t>
            </w:r>
          </w:p>
        </w:tc>
        <w:tc>
          <w:tcPr>
            <w:tcW w:w="2239" w:type="dxa"/>
            <w:tcBorders>
              <w:top w:val="single" w:sz="4" w:space="0" w:color="auto"/>
              <w:left w:val="single" w:sz="4" w:space="0" w:color="auto"/>
              <w:bottom w:val="single" w:sz="4" w:space="0" w:color="auto"/>
              <w:right w:val="single" w:sz="4" w:space="0" w:color="auto"/>
            </w:tcBorders>
            <w:shd w:val="clear" w:color="auto" w:fill="0070C0"/>
          </w:tcPr>
          <w:p w14:paraId="5250B77B" w14:textId="77777777" w:rsidR="00AC18DC" w:rsidRPr="00E95745" w:rsidRDefault="00AC18DC" w:rsidP="00D3615D">
            <w:pPr>
              <w:spacing w:before="40" w:after="120"/>
              <w:rPr>
                <w:rFonts w:ascii="Calibri" w:eastAsia="Calibri" w:hAnsi="Calibri" w:cs="Times New Roman"/>
                <w:b/>
                <w:bCs/>
                <w:iCs/>
                <w:color w:val="FFFFFF"/>
              </w:rPr>
            </w:pPr>
            <w:r w:rsidRPr="00E95745">
              <w:rPr>
                <w:rFonts w:ascii="Calibri" w:eastAsia="Calibri" w:hAnsi="Calibri" w:cs="Times New Roman"/>
                <w:b/>
                <w:bCs/>
                <w:iCs/>
                <w:color w:val="FFFFFF"/>
              </w:rPr>
              <w:t>&gt; 25% of Liquid Capital</w:t>
            </w:r>
          </w:p>
        </w:tc>
        <w:tc>
          <w:tcPr>
            <w:tcW w:w="2240" w:type="dxa"/>
            <w:tcBorders>
              <w:top w:val="single" w:sz="4" w:space="0" w:color="auto"/>
              <w:left w:val="single" w:sz="4" w:space="0" w:color="auto"/>
              <w:bottom w:val="single" w:sz="4" w:space="0" w:color="auto"/>
              <w:right w:val="single" w:sz="4" w:space="0" w:color="auto"/>
            </w:tcBorders>
            <w:shd w:val="clear" w:color="auto" w:fill="0070C0"/>
          </w:tcPr>
          <w:p w14:paraId="7D9BDD98" w14:textId="77777777" w:rsidR="00AC18DC" w:rsidRPr="00E95745" w:rsidRDefault="00AC18DC" w:rsidP="00D3615D">
            <w:pPr>
              <w:spacing w:before="40" w:after="120"/>
              <w:rPr>
                <w:rFonts w:ascii="Calibri" w:eastAsia="Calibri" w:hAnsi="Calibri" w:cs="Times New Roman"/>
                <w:b/>
                <w:bCs/>
                <w:iCs/>
                <w:color w:val="FFFFFF"/>
              </w:rPr>
            </w:pPr>
            <w:r w:rsidRPr="00E95745">
              <w:rPr>
                <w:rFonts w:ascii="Calibri" w:eastAsia="Calibri" w:hAnsi="Calibri" w:cs="Times New Roman"/>
                <w:b/>
                <w:bCs/>
                <w:iCs/>
                <w:color w:val="FFFFFF"/>
              </w:rPr>
              <w:t xml:space="preserve">&gt; 10% of </w:t>
            </w:r>
            <w:r>
              <w:rPr>
                <w:rFonts w:ascii="Calibri" w:eastAsia="Calibri" w:hAnsi="Calibri" w:cs="Times New Roman"/>
                <w:b/>
                <w:bCs/>
                <w:iCs/>
                <w:color w:val="FFFFFF"/>
              </w:rPr>
              <w:t>i</w:t>
            </w:r>
            <w:r w:rsidRPr="00E95745">
              <w:rPr>
                <w:rFonts w:ascii="Calibri" w:eastAsia="Calibri" w:hAnsi="Calibri" w:cs="Times New Roman"/>
                <w:b/>
                <w:bCs/>
                <w:iCs/>
                <w:color w:val="FFFFFF"/>
              </w:rPr>
              <w:t>ssue</w:t>
            </w:r>
          </w:p>
        </w:tc>
        <w:tc>
          <w:tcPr>
            <w:tcW w:w="2240" w:type="dxa"/>
            <w:tcBorders>
              <w:top w:val="single" w:sz="4" w:space="0" w:color="auto"/>
              <w:left w:val="single" w:sz="4" w:space="0" w:color="auto"/>
              <w:bottom w:val="single" w:sz="4" w:space="0" w:color="auto"/>
              <w:right w:val="single" w:sz="4" w:space="0" w:color="auto"/>
            </w:tcBorders>
            <w:shd w:val="clear" w:color="auto" w:fill="0070C0"/>
          </w:tcPr>
          <w:p w14:paraId="5F911058" w14:textId="77777777" w:rsidR="00AC18DC" w:rsidRPr="00E95745" w:rsidRDefault="00AC18DC" w:rsidP="00D3615D">
            <w:pPr>
              <w:spacing w:before="40" w:after="120"/>
              <w:rPr>
                <w:rFonts w:ascii="Calibri" w:eastAsia="Calibri" w:hAnsi="Calibri" w:cs="Times New Roman"/>
                <w:b/>
                <w:bCs/>
                <w:iCs/>
                <w:color w:val="FFFFFF"/>
              </w:rPr>
            </w:pPr>
            <w:r w:rsidRPr="00E95745">
              <w:rPr>
                <w:rFonts w:ascii="Calibri" w:eastAsia="Calibri" w:hAnsi="Calibri" w:cs="Times New Roman"/>
                <w:b/>
                <w:bCs/>
                <w:iCs/>
                <w:color w:val="FFFFFF"/>
              </w:rPr>
              <w:t xml:space="preserve">Total </w:t>
            </w:r>
            <w:r>
              <w:rPr>
                <w:rFonts w:ascii="Calibri" w:eastAsia="Calibri" w:hAnsi="Calibri" w:cs="Times New Roman"/>
                <w:b/>
                <w:bCs/>
                <w:iCs/>
                <w:color w:val="FFFFFF"/>
              </w:rPr>
              <w:t>r</w:t>
            </w:r>
            <w:r w:rsidRPr="00E95745">
              <w:rPr>
                <w:rFonts w:ascii="Calibri" w:eastAsia="Calibri" w:hAnsi="Calibri" w:cs="Times New Roman"/>
                <w:b/>
                <w:bCs/>
                <w:iCs/>
                <w:color w:val="FFFFFF"/>
              </w:rPr>
              <w:t xml:space="preserve">isk </w:t>
            </w:r>
            <w:r>
              <w:rPr>
                <w:rFonts w:ascii="Calibri" w:eastAsia="Calibri" w:hAnsi="Calibri" w:cs="Times New Roman"/>
                <w:b/>
                <w:bCs/>
                <w:iCs/>
                <w:color w:val="FFFFFF"/>
              </w:rPr>
              <w:t>a</w:t>
            </w:r>
            <w:r w:rsidRPr="00E95745">
              <w:rPr>
                <w:rFonts w:ascii="Calibri" w:eastAsia="Calibri" w:hAnsi="Calibri" w:cs="Times New Roman"/>
                <w:b/>
                <w:bCs/>
                <w:iCs/>
                <w:color w:val="FFFFFF"/>
              </w:rPr>
              <w:t>mount</w:t>
            </w:r>
          </w:p>
        </w:tc>
      </w:tr>
      <w:tr w:rsidR="00AC18DC" w:rsidRPr="00E95745" w14:paraId="674497A7" w14:textId="77777777" w:rsidTr="00D3615D">
        <w:tc>
          <w:tcPr>
            <w:tcW w:w="2689" w:type="dxa"/>
            <w:tcBorders>
              <w:top w:val="single" w:sz="4" w:space="0" w:color="auto"/>
              <w:left w:val="single" w:sz="4" w:space="0" w:color="auto"/>
              <w:bottom w:val="single" w:sz="4" w:space="0" w:color="auto"/>
              <w:right w:val="single" w:sz="4" w:space="0" w:color="auto"/>
            </w:tcBorders>
            <w:vAlign w:val="bottom"/>
          </w:tcPr>
          <w:p w14:paraId="66D5F3E7" w14:textId="537F166F" w:rsidR="00AC18DC" w:rsidRPr="00D3615D" w:rsidRDefault="00AC18DC" w:rsidP="00D3615D">
            <w:pPr>
              <w:spacing w:before="120" w:after="40"/>
              <w:rPr>
                <w:rFonts w:ascii="Calibri" w:hAnsi="Calibri"/>
                <w:color w:val="000000"/>
              </w:rPr>
            </w:pPr>
          </w:p>
        </w:tc>
        <w:tc>
          <w:tcPr>
            <w:tcW w:w="2239" w:type="dxa"/>
            <w:tcBorders>
              <w:top w:val="single" w:sz="4" w:space="0" w:color="auto"/>
              <w:left w:val="single" w:sz="4" w:space="0" w:color="auto"/>
              <w:bottom w:val="single" w:sz="4" w:space="0" w:color="auto"/>
              <w:right w:val="single" w:sz="4" w:space="0" w:color="auto"/>
            </w:tcBorders>
            <w:shd w:val="clear" w:color="auto" w:fill="auto"/>
            <w:vAlign w:val="bottom"/>
          </w:tcPr>
          <w:p w14:paraId="38FAE4D2" w14:textId="26A1AA17" w:rsidR="00AC18DC" w:rsidRPr="00D3615D" w:rsidRDefault="00AC18DC" w:rsidP="00D3615D">
            <w:pPr>
              <w:spacing w:before="120" w:after="40"/>
              <w:rPr>
                <w:rFonts w:ascii="Calibri" w:hAnsi="Calibri"/>
                <w:color w:val="000000"/>
              </w:rPr>
            </w:pPr>
          </w:p>
        </w:tc>
        <w:tc>
          <w:tcPr>
            <w:tcW w:w="2240" w:type="dxa"/>
            <w:tcBorders>
              <w:top w:val="single" w:sz="4" w:space="0" w:color="auto"/>
              <w:left w:val="single" w:sz="4" w:space="0" w:color="auto"/>
              <w:bottom w:val="single" w:sz="4" w:space="0" w:color="auto"/>
              <w:right w:val="single" w:sz="4" w:space="0" w:color="auto"/>
            </w:tcBorders>
            <w:shd w:val="clear" w:color="auto" w:fill="auto"/>
            <w:vAlign w:val="bottom"/>
          </w:tcPr>
          <w:p w14:paraId="0C292874" w14:textId="1516CC20" w:rsidR="00AC18DC" w:rsidRPr="00D3615D" w:rsidRDefault="00AC18DC" w:rsidP="00D3615D">
            <w:pPr>
              <w:spacing w:before="120" w:after="40"/>
              <w:rPr>
                <w:rFonts w:ascii="Calibri" w:hAnsi="Calibri"/>
                <w:color w:val="000000"/>
              </w:rPr>
            </w:pPr>
          </w:p>
        </w:tc>
        <w:tc>
          <w:tcPr>
            <w:tcW w:w="2239" w:type="dxa"/>
            <w:tcBorders>
              <w:top w:val="single" w:sz="4" w:space="0" w:color="auto"/>
              <w:left w:val="single" w:sz="4" w:space="0" w:color="auto"/>
              <w:bottom w:val="single" w:sz="4" w:space="0" w:color="auto"/>
              <w:right w:val="single" w:sz="4" w:space="0" w:color="auto"/>
            </w:tcBorders>
            <w:shd w:val="clear" w:color="auto" w:fill="auto"/>
            <w:vAlign w:val="bottom"/>
          </w:tcPr>
          <w:p w14:paraId="2201ADA7" w14:textId="796AE66D" w:rsidR="00AC18DC" w:rsidRPr="00D3615D" w:rsidRDefault="00AC18DC" w:rsidP="00D3615D">
            <w:pPr>
              <w:spacing w:before="120" w:after="40"/>
              <w:rPr>
                <w:rFonts w:ascii="Calibri" w:hAnsi="Calibri"/>
                <w:color w:val="000000"/>
              </w:rPr>
            </w:pPr>
          </w:p>
        </w:tc>
        <w:tc>
          <w:tcPr>
            <w:tcW w:w="2240" w:type="dxa"/>
            <w:tcBorders>
              <w:top w:val="single" w:sz="4" w:space="0" w:color="auto"/>
              <w:left w:val="single" w:sz="4" w:space="0" w:color="auto"/>
              <w:bottom w:val="single" w:sz="4" w:space="0" w:color="auto"/>
              <w:right w:val="single" w:sz="4" w:space="0" w:color="auto"/>
            </w:tcBorders>
            <w:shd w:val="clear" w:color="auto" w:fill="auto"/>
            <w:vAlign w:val="bottom"/>
          </w:tcPr>
          <w:p w14:paraId="356FAC65" w14:textId="7483A557" w:rsidR="00AC18DC" w:rsidRPr="00D3615D" w:rsidRDefault="00AC18DC" w:rsidP="00D3615D">
            <w:pPr>
              <w:spacing w:before="120" w:after="40"/>
              <w:rPr>
                <w:rFonts w:ascii="Calibri" w:hAnsi="Calibri"/>
                <w:color w:val="000000"/>
              </w:rPr>
            </w:pPr>
          </w:p>
        </w:tc>
        <w:tc>
          <w:tcPr>
            <w:tcW w:w="2240" w:type="dxa"/>
            <w:tcBorders>
              <w:top w:val="single" w:sz="4" w:space="0" w:color="auto"/>
              <w:left w:val="single" w:sz="4" w:space="0" w:color="auto"/>
              <w:bottom w:val="single" w:sz="4" w:space="0" w:color="auto"/>
              <w:right w:val="single" w:sz="4" w:space="0" w:color="auto"/>
            </w:tcBorders>
            <w:shd w:val="clear" w:color="auto" w:fill="auto"/>
            <w:vAlign w:val="bottom"/>
          </w:tcPr>
          <w:p w14:paraId="18357888" w14:textId="7CDF088E" w:rsidR="00AC18DC" w:rsidRPr="00D3615D" w:rsidRDefault="00AC18DC" w:rsidP="00D3615D">
            <w:pPr>
              <w:spacing w:before="120" w:after="40"/>
              <w:rPr>
                <w:rFonts w:ascii="Calibri" w:hAnsi="Calibri"/>
                <w:color w:val="000000"/>
              </w:rPr>
            </w:pPr>
          </w:p>
        </w:tc>
      </w:tr>
      <w:tr w:rsidR="00AC18DC" w:rsidRPr="00E95745" w14:paraId="538F3B73" w14:textId="77777777" w:rsidTr="00D3615D">
        <w:trPr>
          <w:trHeight w:val="248"/>
        </w:trPr>
        <w:tc>
          <w:tcPr>
            <w:tcW w:w="2689" w:type="dxa"/>
            <w:tcBorders>
              <w:top w:val="single" w:sz="4" w:space="0" w:color="auto"/>
              <w:left w:val="single" w:sz="4" w:space="0" w:color="auto"/>
              <w:bottom w:val="single" w:sz="4" w:space="0" w:color="auto"/>
              <w:right w:val="single" w:sz="4" w:space="0" w:color="auto"/>
            </w:tcBorders>
            <w:vAlign w:val="bottom"/>
          </w:tcPr>
          <w:p w14:paraId="4D7AD642" w14:textId="77777777" w:rsidR="00AC18DC" w:rsidRPr="00D3615D" w:rsidRDefault="00AC18DC" w:rsidP="00D3615D">
            <w:pPr>
              <w:spacing w:before="120" w:after="40"/>
              <w:rPr>
                <w:rFonts w:ascii="Calibri" w:hAnsi="Calibri"/>
                <w:b/>
                <w:color w:val="000000"/>
              </w:rPr>
            </w:pPr>
            <w:r w:rsidRPr="00D3615D">
              <w:rPr>
                <w:rFonts w:ascii="Calibri" w:eastAsia="Times New Roman" w:hAnsi="Calibri"/>
                <w:b/>
                <w:color w:val="000000"/>
              </w:rPr>
              <w:t>Total</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bottom"/>
          </w:tcPr>
          <w:p w14:paraId="7C7A6DBA" w14:textId="646FE970" w:rsidR="00AC18DC" w:rsidRPr="00D3615D" w:rsidRDefault="00AC18DC" w:rsidP="00D3615D">
            <w:pPr>
              <w:spacing w:before="120" w:after="40"/>
              <w:rPr>
                <w:rFonts w:ascii="Calibri" w:hAnsi="Calibri"/>
                <w:color w:val="000000"/>
              </w:rPr>
            </w:pPr>
          </w:p>
        </w:tc>
        <w:tc>
          <w:tcPr>
            <w:tcW w:w="2240" w:type="dxa"/>
            <w:tcBorders>
              <w:top w:val="single" w:sz="4" w:space="0" w:color="auto"/>
              <w:left w:val="single" w:sz="4" w:space="0" w:color="auto"/>
              <w:bottom w:val="single" w:sz="4" w:space="0" w:color="auto"/>
              <w:right w:val="single" w:sz="4" w:space="0" w:color="auto"/>
            </w:tcBorders>
            <w:shd w:val="clear" w:color="auto" w:fill="auto"/>
            <w:vAlign w:val="bottom"/>
          </w:tcPr>
          <w:p w14:paraId="7FD06AE8" w14:textId="3D93A6B9" w:rsidR="00AC18DC" w:rsidRPr="00D3615D" w:rsidRDefault="00AC18DC" w:rsidP="00D3615D">
            <w:pPr>
              <w:spacing w:before="120" w:after="40"/>
              <w:rPr>
                <w:rFonts w:ascii="Calibri" w:hAnsi="Calibri"/>
                <w:color w:val="000000"/>
              </w:rPr>
            </w:pPr>
          </w:p>
        </w:tc>
        <w:tc>
          <w:tcPr>
            <w:tcW w:w="2239" w:type="dxa"/>
            <w:tcBorders>
              <w:top w:val="single" w:sz="4" w:space="0" w:color="auto"/>
              <w:left w:val="single" w:sz="4" w:space="0" w:color="auto"/>
              <w:bottom w:val="single" w:sz="4" w:space="0" w:color="auto"/>
              <w:right w:val="single" w:sz="4" w:space="0" w:color="auto"/>
            </w:tcBorders>
            <w:shd w:val="clear" w:color="auto" w:fill="auto"/>
            <w:vAlign w:val="bottom"/>
          </w:tcPr>
          <w:p w14:paraId="79A24DAC" w14:textId="7A8E3BA8" w:rsidR="00AC18DC" w:rsidRPr="00D3615D" w:rsidRDefault="00AC18DC" w:rsidP="00D3615D">
            <w:pPr>
              <w:spacing w:before="120" w:after="40"/>
              <w:rPr>
                <w:rFonts w:ascii="Calibri" w:hAnsi="Calibri"/>
                <w:color w:val="000000"/>
              </w:rPr>
            </w:pPr>
          </w:p>
        </w:tc>
        <w:tc>
          <w:tcPr>
            <w:tcW w:w="2240" w:type="dxa"/>
            <w:tcBorders>
              <w:top w:val="single" w:sz="4" w:space="0" w:color="auto"/>
              <w:left w:val="single" w:sz="4" w:space="0" w:color="auto"/>
              <w:bottom w:val="single" w:sz="4" w:space="0" w:color="auto"/>
              <w:right w:val="single" w:sz="4" w:space="0" w:color="auto"/>
            </w:tcBorders>
            <w:shd w:val="clear" w:color="auto" w:fill="auto"/>
            <w:vAlign w:val="bottom"/>
          </w:tcPr>
          <w:p w14:paraId="628AC860" w14:textId="5BA2406B" w:rsidR="00AC18DC" w:rsidRPr="00D3615D" w:rsidRDefault="00AC18DC" w:rsidP="00D3615D">
            <w:pPr>
              <w:spacing w:before="120" w:after="40"/>
              <w:rPr>
                <w:rFonts w:ascii="Calibri" w:hAnsi="Calibri"/>
                <w:color w:val="000000"/>
              </w:rPr>
            </w:pPr>
          </w:p>
        </w:tc>
        <w:tc>
          <w:tcPr>
            <w:tcW w:w="2240" w:type="dxa"/>
            <w:tcBorders>
              <w:top w:val="single" w:sz="4" w:space="0" w:color="auto"/>
              <w:left w:val="single" w:sz="4" w:space="0" w:color="auto"/>
              <w:bottom w:val="single" w:sz="4" w:space="0" w:color="auto"/>
              <w:right w:val="single" w:sz="4" w:space="0" w:color="auto"/>
            </w:tcBorders>
            <w:shd w:val="clear" w:color="auto" w:fill="auto"/>
            <w:vAlign w:val="bottom"/>
          </w:tcPr>
          <w:p w14:paraId="013605B0" w14:textId="2306EC41" w:rsidR="00AC18DC" w:rsidRPr="00D3615D" w:rsidRDefault="00AC18DC" w:rsidP="00D3615D">
            <w:pPr>
              <w:spacing w:before="120" w:after="40"/>
              <w:rPr>
                <w:rFonts w:ascii="Calibri" w:hAnsi="Calibri"/>
                <w:color w:val="000000"/>
              </w:rPr>
            </w:pPr>
          </w:p>
        </w:tc>
      </w:tr>
    </w:tbl>
    <w:p w14:paraId="53491825" w14:textId="77777777" w:rsidR="000D640B" w:rsidRPr="00D3615D" w:rsidRDefault="000D640B" w:rsidP="00D3615D">
      <w:pPr>
        <w:spacing w:before="100" w:beforeAutospacing="1" w:after="100" w:afterAutospacing="1" w:line="259" w:lineRule="auto"/>
        <w:contextualSpacing/>
        <w:rPr>
          <w:rFonts w:ascii="Calibri" w:hAnsi="Calibri"/>
          <w:sz w:val="16"/>
          <w:szCs w:val="16"/>
        </w:rPr>
      </w:pPr>
    </w:p>
    <w:p w14:paraId="069B02C1" w14:textId="531121C3" w:rsidR="00AC18DC" w:rsidRDefault="00AC18DC" w:rsidP="00930407">
      <w:pPr>
        <w:numPr>
          <w:ilvl w:val="0"/>
          <w:numId w:val="73"/>
        </w:numPr>
        <w:spacing w:before="100" w:beforeAutospacing="1" w:after="100" w:afterAutospacing="1" w:line="259" w:lineRule="auto"/>
        <w:contextualSpacing/>
        <w:rPr>
          <w:rFonts w:ascii="Calibri" w:hAnsi="Calibri"/>
          <w:szCs w:val="24"/>
        </w:rPr>
      </w:pPr>
      <w:r w:rsidRPr="00E95745">
        <w:rPr>
          <w:rFonts w:ascii="Calibri" w:hAnsi="Calibri"/>
          <w:szCs w:val="24"/>
        </w:rPr>
        <w:t>Enter amounts for each currency in which there are large exposures</w:t>
      </w:r>
      <w:r>
        <w:rPr>
          <w:rFonts w:ascii="Calibri" w:hAnsi="Calibri"/>
          <w:szCs w:val="24"/>
        </w:rPr>
        <w:t>.</w:t>
      </w:r>
    </w:p>
    <w:p w14:paraId="7AB50A9F" w14:textId="1E8A4AF1" w:rsidR="00AC18DC" w:rsidRPr="00930407" w:rsidRDefault="00AC18DC" w:rsidP="00930407">
      <w:pPr>
        <w:numPr>
          <w:ilvl w:val="0"/>
          <w:numId w:val="73"/>
        </w:numPr>
        <w:spacing w:before="100" w:beforeAutospacing="1" w:after="100" w:afterAutospacing="1" w:line="259" w:lineRule="auto"/>
        <w:contextualSpacing/>
        <w:rPr>
          <w:rFonts w:ascii="Calibri" w:hAnsi="Calibri"/>
          <w:szCs w:val="24"/>
        </w:rPr>
      </w:pPr>
      <w:r>
        <w:rPr>
          <w:rFonts w:ascii="Calibri" w:hAnsi="Calibri"/>
          <w:szCs w:val="24"/>
        </w:rPr>
        <w:t>Y</w:t>
      </w:r>
      <w:r w:rsidRPr="00AC18DC">
        <w:rPr>
          <w:rFonts w:ascii="Calibri" w:hAnsi="Calibri"/>
          <w:szCs w:val="24"/>
        </w:rPr>
        <w:t>ou should use the columns headed &gt;25% of Liquid Capital and &gt;10% of Issue to categorise risk amounts for disclosure to ASIC</w:t>
      </w:r>
      <w:r w:rsidR="002E1988">
        <w:rPr>
          <w:rFonts w:ascii="Calibri" w:hAnsi="Calibri"/>
          <w:szCs w:val="24"/>
        </w:rPr>
        <w:t>.</w:t>
      </w:r>
    </w:p>
    <w:p w14:paraId="2B55DE67" w14:textId="5532EF3E" w:rsidR="004D28B6" w:rsidRPr="00D3615D" w:rsidRDefault="004D28B6" w:rsidP="004D28B6">
      <w:pPr>
        <w:numPr>
          <w:ilvl w:val="0"/>
          <w:numId w:val="73"/>
        </w:numPr>
        <w:spacing w:before="100" w:beforeAutospacing="1" w:after="100" w:afterAutospacing="1" w:line="259" w:lineRule="auto"/>
        <w:contextualSpacing/>
        <w:rPr>
          <w:rFonts w:ascii="Calibri" w:hAnsi="Calibri"/>
          <w:szCs w:val="24"/>
        </w:rPr>
      </w:pPr>
      <w:r w:rsidRPr="00D3615D">
        <w:rPr>
          <w:rFonts w:ascii="Calibri" w:hAnsi="Calibri"/>
          <w:szCs w:val="24"/>
        </w:rPr>
        <w:t>You can only select each currency once so all similar country amounts should be aggregated before being input.</w:t>
      </w:r>
    </w:p>
    <w:p w14:paraId="64BE32D6" w14:textId="2419A5A7" w:rsidR="00974310" w:rsidRPr="00930407" w:rsidRDefault="00AC18DC" w:rsidP="00D3615D">
      <w:pPr>
        <w:keepNext/>
        <w:spacing w:before="240" w:after="120"/>
        <w:outlineLvl w:val="3"/>
        <w:rPr>
          <w:rFonts w:ascii="Calibri" w:hAnsi="Calibri" w:cs="Helvetica"/>
          <w:b/>
          <w:sz w:val="24"/>
          <w:szCs w:val="24"/>
          <w:lang w:val="en"/>
        </w:rPr>
      </w:pPr>
      <w:r w:rsidRPr="00930407">
        <w:rPr>
          <w:rFonts w:ascii="Calibri" w:hAnsi="Calibri" w:cs="Helvetica"/>
          <w:b/>
          <w:sz w:val="24"/>
          <w:szCs w:val="24"/>
          <w:lang w:val="en"/>
        </w:rPr>
        <w:lastRenderedPageBreak/>
        <w:t xml:space="preserve">Issuer large exposure </w:t>
      </w:r>
      <w:r w:rsidR="007F63C9">
        <w:rPr>
          <w:rFonts w:ascii="Calibri" w:hAnsi="Calibri" w:cs="Helvetica"/>
          <w:b/>
          <w:sz w:val="24"/>
          <w:szCs w:val="24"/>
          <w:lang w:val="en"/>
        </w:rPr>
        <w:t xml:space="preserve">– Equity &amp; Debt </w:t>
      </w:r>
      <w:r w:rsidR="00B10248">
        <w:rPr>
          <w:rFonts w:ascii="Calibri" w:hAnsi="Calibri" w:cs="Helvetica"/>
          <w:b/>
          <w:sz w:val="24"/>
          <w:szCs w:val="24"/>
          <w:lang w:val="en"/>
        </w:rPr>
        <w:t>M</w:t>
      </w:r>
      <w:r w:rsidR="007F63C9">
        <w:rPr>
          <w:rFonts w:ascii="Calibri" w:hAnsi="Calibri" w:cs="Helvetica"/>
          <w:b/>
          <w:sz w:val="24"/>
          <w:szCs w:val="24"/>
          <w:lang w:val="en"/>
        </w:rPr>
        <w:t>ethod</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984"/>
        <w:gridCol w:w="1843"/>
        <w:gridCol w:w="1559"/>
        <w:gridCol w:w="1560"/>
        <w:gridCol w:w="2409"/>
        <w:gridCol w:w="1471"/>
      </w:tblGrid>
      <w:tr w:rsidR="00AC18DC" w:rsidRPr="00E95745" w14:paraId="4CE9D8C0" w14:textId="77777777" w:rsidTr="00930407">
        <w:tc>
          <w:tcPr>
            <w:tcW w:w="3114" w:type="dxa"/>
            <w:tcBorders>
              <w:top w:val="single" w:sz="4" w:space="0" w:color="auto"/>
              <w:left w:val="single" w:sz="4" w:space="0" w:color="auto"/>
              <w:bottom w:val="single" w:sz="4" w:space="0" w:color="auto"/>
              <w:right w:val="single" w:sz="4" w:space="0" w:color="auto"/>
            </w:tcBorders>
            <w:shd w:val="clear" w:color="auto" w:fill="0070C0"/>
          </w:tcPr>
          <w:p w14:paraId="7DE5EA40" w14:textId="4F8491E7" w:rsidR="00AC18DC" w:rsidRPr="00E95745" w:rsidRDefault="00AC18DC" w:rsidP="00D3615D">
            <w:pPr>
              <w:spacing w:before="40" w:after="120"/>
              <w:rPr>
                <w:rFonts w:ascii="Calibri" w:eastAsia="Calibri" w:hAnsi="Calibri" w:cs="Times New Roman"/>
                <w:b/>
                <w:bCs/>
                <w:iCs/>
                <w:color w:val="FFFFFF"/>
              </w:rPr>
            </w:pPr>
            <w:r w:rsidRPr="00E95745">
              <w:rPr>
                <w:rFonts w:ascii="Calibri" w:eastAsia="Calibri" w:hAnsi="Calibri" w:cs="Times New Roman"/>
                <w:b/>
                <w:bCs/>
                <w:iCs/>
                <w:color w:val="FFFFFF"/>
              </w:rPr>
              <w:t xml:space="preserve">Underlying </w:t>
            </w:r>
            <w:r>
              <w:rPr>
                <w:rFonts w:ascii="Calibri" w:eastAsia="Calibri" w:hAnsi="Calibri" w:cs="Times New Roman"/>
                <w:b/>
                <w:bCs/>
                <w:iCs/>
                <w:color w:val="FFFFFF"/>
              </w:rPr>
              <w:t>c</w:t>
            </w:r>
            <w:r w:rsidRPr="00E95745">
              <w:rPr>
                <w:rFonts w:ascii="Calibri" w:eastAsia="Calibri" w:hAnsi="Calibri" w:cs="Times New Roman"/>
                <w:b/>
                <w:bCs/>
                <w:iCs/>
                <w:color w:val="FFFFFF"/>
              </w:rPr>
              <w:t>urrency</w:t>
            </w:r>
          </w:p>
        </w:tc>
        <w:tc>
          <w:tcPr>
            <w:tcW w:w="1984" w:type="dxa"/>
            <w:tcBorders>
              <w:top w:val="single" w:sz="4" w:space="0" w:color="auto"/>
              <w:left w:val="single" w:sz="4" w:space="0" w:color="auto"/>
              <w:bottom w:val="single" w:sz="4" w:space="0" w:color="auto"/>
              <w:right w:val="single" w:sz="4" w:space="0" w:color="auto"/>
            </w:tcBorders>
            <w:shd w:val="clear" w:color="auto" w:fill="0070C0"/>
          </w:tcPr>
          <w:p w14:paraId="78589DDF" w14:textId="59D8301E" w:rsidR="00AC18DC" w:rsidRPr="00E95745" w:rsidRDefault="00AC18DC" w:rsidP="00D3615D">
            <w:pPr>
              <w:spacing w:before="40" w:after="120"/>
              <w:rPr>
                <w:rFonts w:ascii="Calibri" w:eastAsia="Calibri" w:hAnsi="Calibri" w:cs="Times New Roman"/>
                <w:b/>
                <w:bCs/>
                <w:iCs/>
                <w:color w:val="FFFFFF"/>
              </w:rPr>
            </w:pPr>
            <w:r w:rsidRPr="00E95745">
              <w:rPr>
                <w:rFonts w:ascii="Calibri" w:eastAsia="Calibri" w:hAnsi="Calibri" w:cs="Times New Roman"/>
                <w:b/>
                <w:bCs/>
                <w:iCs/>
                <w:color w:val="FFFFFF"/>
              </w:rPr>
              <w:t>Number of Equity/ Debt Issuers</w:t>
            </w:r>
          </w:p>
        </w:tc>
        <w:tc>
          <w:tcPr>
            <w:tcW w:w="1843" w:type="dxa"/>
            <w:tcBorders>
              <w:top w:val="single" w:sz="4" w:space="0" w:color="auto"/>
              <w:left w:val="single" w:sz="4" w:space="0" w:color="auto"/>
              <w:bottom w:val="single" w:sz="4" w:space="0" w:color="auto"/>
              <w:right w:val="single" w:sz="4" w:space="0" w:color="auto"/>
            </w:tcBorders>
            <w:shd w:val="clear" w:color="auto" w:fill="0070C0"/>
          </w:tcPr>
          <w:p w14:paraId="7AAD6154" w14:textId="1CBD68D2" w:rsidR="00AC18DC" w:rsidRPr="00E95745" w:rsidRDefault="00AC18DC" w:rsidP="00D3615D">
            <w:pPr>
              <w:spacing w:before="40" w:after="120"/>
              <w:rPr>
                <w:rFonts w:ascii="Calibri" w:eastAsia="Calibri" w:hAnsi="Calibri" w:cs="Times New Roman"/>
                <w:b/>
                <w:bCs/>
                <w:iCs/>
                <w:color w:val="FFFFFF"/>
              </w:rPr>
            </w:pPr>
            <w:r w:rsidRPr="00E95745">
              <w:rPr>
                <w:rFonts w:ascii="Calibri" w:eastAsia="Calibri" w:hAnsi="Calibri" w:cs="Times New Roman"/>
                <w:b/>
                <w:bCs/>
                <w:iCs/>
                <w:color w:val="FFFFFF"/>
              </w:rPr>
              <w:t xml:space="preserve">Equity Net Position </w:t>
            </w:r>
            <w:r>
              <w:rPr>
                <w:rFonts w:ascii="Calibri" w:eastAsia="Calibri" w:hAnsi="Calibri" w:cs="Times New Roman"/>
                <w:b/>
                <w:bCs/>
                <w:iCs/>
                <w:color w:val="FFFFFF"/>
              </w:rPr>
              <w:t>p</w:t>
            </w:r>
            <w:r w:rsidRPr="00E95745">
              <w:rPr>
                <w:rFonts w:ascii="Calibri" w:eastAsia="Calibri" w:hAnsi="Calibri" w:cs="Times New Roman"/>
                <w:b/>
                <w:bCs/>
                <w:iCs/>
                <w:color w:val="FFFFFF"/>
              </w:rPr>
              <w:t>lus Debt Net Position</w:t>
            </w:r>
          </w:p>
        </w:tc>
        <w:tc>
          <w:tcPr>
            <w:tcW w:w="1559" w:type="dxa"/>
            <w:tcBorders>
              <w:top w:val="single" w:sz="4" w:space="0" w:color="auto"/>
              <w:left w:val="single" w:sz="4" w:space="0" w:color="auto"/>
              <w:bottom w:val="single" w:sz="4" w:space="0" w:color="auto"/>
              <w:right w:val="single" w:sz="4" w:space="0" w:color="auto"/>
            </w:tcBorders>
            <w:shd w:val="clear" w:color="auto" w:fill="0070C0"/>
          </w:tcPr>
          <w:p w14:paraId="687BD451" w14:textId="77777777" w:rsidR="00AC18DC" w:rsidRPr="00E95745" w:rsidRDefault="00AC18DC" w:rsidP="00D3615D">
            <w:pPr>
              <w:spacing w:before="40" w:after="120"/>
              <w:rPr>
                <w:rFonts w:ascii="Calibri" w:eastAsia="Calibri" w:hAnsi="Calibri" w:cs="Times New Roman"/>
                <w:b/>
                <w:bCs/>
                <w:iCs/>
                <w:color w:val="FFFFFF"/>
              </w:rPr>
            </w:pPr>
            <w:r w:rsidRPr="00E95745">
              <w:rPr>
                <w:rFonts w:ascii="Calibri" w:eastAsia="Calibri" w:hAnsi="Calibri" w:cs="Times New Roman"/>
                <w:color w:val="FFFFFF"/>
              </w:rPr>
              <w:t>&gt;</w:t>
            </w:r>
            <w:r w:rsidRPr="00E95745">
              <w:rPr>
                <w:rFonts w:ascii="Calibri" w:eastAsia="Calibri" w:hAnsi="Calibri" w:cs="Times New Roman"/>
                <w:b/>
                <w:bCs/>
                <w:iCs/>
                <w:color w:val="FFFFFF"/>
              </w:rPr>
              <w:t xml:space="preserve"> 25% of Liquid Capital at 12%</w:t>
            </w:r>
          </w:p>
        </w:tc>
        <w:tc>
          <w:tcPr>
            <w:tcW w:w="1560" w:type="dxa"/>
            <w:tcBorders>
              <w:top w:val="single" w:sz="4" w:space="0" w:color="auto"/>
              <w:left w:val="single" w:sz="4" w:space="0" w:color="auto"/>
              <w:bottom w:val="single" w:sz="4" w:space="0" w:color="auto"/>
              <w:right w:val="single" w:sz="4" w:space="0" w:color="auto"/>
            </w:tcBorders>
            <w:shd w:val="clear" w:color="auto" w:fill="0070C0"/>
          </w:tcPr>
          <w:p w14:paraId="718D0A8E" w14:textId="77777777" w:rsidR="00AC18DC" w:rsidRPr="00E95745" w:rsidRDefault="00AC18DC" w:rsidP="00D3615D">
            <w:pPr>
              <w:spacing w:before="40" w:after="120"/>
              <w:rPr>
                <w:rFonts w:ascii="Calibri" w:eastAsia="Calibri" w:hAnsi="Calibri" w:cs="Times New Roman"/>
                <w:b/>
                <w:bCs/>
                <w:iCs/>
                <w:color w:val="FFFFFF"/>
              </w:rPr>
            </w:pPr>
            <w:r w:rsidRPr="00E95745">
              <w:rPr>
                <w:rFonts w:ascii="Calibri" w:eastAsia="Calibri" w:hAnsi="Calibri" w:cs="Times New Roman"/>
                <w:b/>
                <w:bCs/>
                <w:iCs/>
                <w:color w:val="FFFFFF"/>
              </w:rPr>
              <w:t>&gt; 25% of Liquid Capital at 16%</w:t>
            </w:r>
          </w:p>
        </w:tc>
        <w:tc>
          <w:tcPr>
            <w:tcW w:w="2409" w:type="dxa"/>
            <w:tcBorders>
              <w:top w:val="single" w:sz="4" w:space="0" w:color="auto"/>
              <w:left w:val="single" w:sz="4" w:space="0" w:color="auto"/>
              <w:bottom w:val="single" w:sz="4" w:space="0" w:color="auto"/>
              <w:right w:val="single" w:sz="4" w:space="0" w:color="auto"/>
            </w:tcBorders>
            <w:shd w:val="clear" w:color="auto" w:fill="0070C0"/>
          </w:tcPr>
          <w:p w14:paraId="4ADACF57" w14:textId="77777777" w:rsidR="00AC18DC" w:rsidRPr="00E95745" w:rsidRDefault="00AC18DC" w:rsidP="00D3615D">
            <w:pPr>
              <w:spacing w:before="40" w:after="120"/>
              <w:rPr>
                <w:rFonts w:ascii="Calibri" w:eastAsia="Calibri" w:hAnsi="Calibri" w:cs="Times New Roman"/>
                <w:b/>
                <w:bCs/>
                <w:iCs/>
                <w:color w:val="FFFFFF"/>
              </w:rPr>
            </w:pPr>
            <w:r w:rsidRPr="00E95745">
              <w:rPr>
                <w:rFonts w:ascii="Calibri" w:eastAsia="Calibri" w:hAnsi="Calibri" w:cs="Times New Roman"/>
                <w:b/>
                <w:bCs/>
                <w:iCs/>
                <w:color w:val="FFFFFF"/>
              </w:rPr>
              <w:t>&gt; 25% of Liquid Capital at applicable debt position risk factor</w:t>
            </w:r>
          </w:p>
        </w:tc>
        <w:tc>
          <w:tcPr>
            <w:tcW w:w="1471" w:type="dxa"/>
            <w:tcBorders>
              <w:top w:val="single" w:sz="4" w:space="0" w:color="auto"/>
              <w:left w:val="single" w:sz="4" w:space="0" w:color="auto"/>
              <w:bottom w:val="single" w:sz="4" w:space="0" w:color="auto"/>
              <w:right w:val="single" w:sz="4" w:space="0" w:color="auto"/>
            </w:tcBorders>
            <w:shd w:val="clear" w:color="auto" w:fill="0070C0"/>
          </w:tcPr>
          <w:p w14:paraId="475109DB" w14:textId="77777777" w:rsidR="00AC18DC" w:rsidRPr="00E95745" w:rsidRDefault="00AC18DC" w:rsidP="00D3615D">
            <w:pPr>
              <w:spacing w:before="40" w:after="120"/>
              <w:rPr>
                <w:rFonts w:ascii="Calibri" w:eastAsia="Calibri" w:hAnsi="Calibri" w:cs="Times New Roman"/>
                <w:b/>
                <w:bCs/>
                <w:iCs/>
                <w:color w:val="FFFFFF"/>
              </w:rPr>
            </w:pPr>
            <w:r w:rsidRPr="00E95745">
              <w:rPr>
                <w:rFonts w:ascii="Calibri" w:eastAsia="Calibri" w:hAnsi="Calibri" w:cs="Times New Roman"/>
                <w:b/>
                <w:bCs/>
                <w:iCs/>
                <w:color w:val="FFFFFF"/>
              </w:rPr>
              <w:t xml:space="preserve">Total </w:t>
            </w:r>
            <w:r>
              <w:rPr>
                <w:rFonts w:ascii="Calibri" w:eastAsia="Calibri" w:hAnsi="Calibri" w:cs="Times New Roman"/>
                <w:b/>
                <w:bCs/>
                <w:iCs/>
                <w:color w:val="FFFFFF"/>
              </w:rPr>
              <w:t>r</w:t>
            </w:r>
            <w:r w:rsidRPr="00E95745">
              <w:rPr>
                <w:rFonts w:ascii="Calibri" w:eastAsia="Calibri" w:hAnsi="Calibri" w:cs="Times New Roman"/>
                <w:b/>
                <w:bCs/>
                <w:iCs/>
                <w:color w:val="FFFFFF"/>
              </w:rPr>
              <w:t xml:space="preserve">isk </w:t>
            </w:r>
            <w:r>
              <w:rPr>
                <w:rFonts w:ascii="Calibri" w:eastAsia="Calibri" w:hAnsi="Calibri" w:cs="Times New Roman"/>
                <w:b/>
                <w:bCs/>
                <w:iCs/>
                <w:color w:val="FFFFFF"/>
              </w:rPr>
              <w:t>a</w:t>
            </w:r>
            <w:r w:rsidRPr="00E95745">
              <w:rPr>
                <w:rFonts w:ascii="Calibri" w:eastAsia="Calibri" w:hAnsi="Calibri" w:cs="Times New Roman"/>
                <w:b/>
                <w:bCs/>
                <w:iCs/>
                <w:color w:val="FFFFFF"/>
              </w:rPr>
              <w:t>mount</w:t>
            </w:r>
          </w:p>
        </w:tc>
      </w:tr>
      <w:tr w:rsidR="00AC18DC" w:rsidRPr="00E95745" w14:paraId="4599746B" w14:textId="77777777" w:rsidTr="00930407">
        <w:tc>
          <w:tcPr>
            <w:tcW w:w="3114" w:type="dxa"/>
            <w:tcBorders>
              <w:top w:val="single" w:sz="4" w:space="0" w:color="auto"/>
              <w:left w:val="single" w:sz="4" w:space="0" w:color="auto"/>
              <w:bottom w:val="single" w:sz="4" w:space="0" w:color="auto"/>
              <w:right w:val="single" w:sz="4" w:space="0" w:color="auto"/>
            </w:tcBorders>
          </w:tcPr>
          <w:p w14:paraId="422D19C3" w14:textId="700BB07D" w:rsidR="00AC18DC" w:rsidRPr="00E95745" w:rsidRDefault="00AC18DC" w:rsidP="00D3615D">
            <w:pPr>
              <w:spacing w:before="120" w:after="120"/>
              <w:rPr>
                <w:rFonts w:ascii="Calibri" w:eastAsia="Calibri" w:hAnsi="Calibri" w:cs="Times New Roman"/>
                <w:b/>
                <w:bCs/>
                <w:iCs/>
                <w:color w:val="8064A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74229C7" w14:textId="36430256" w:rsidR="00AC18DC" w:rsidRPr="00E95745" w:rsidRDefault="00AC18DC" w:rsidP="00D3615D">
            <w:pPr>
              <w:spacing w:before="120" w:after="120"/>
              <w:rPr>
                <w:rFonts w:ascii="Calibri" w:eastAsia="Calibri" w:hAnsi="Calibri" w:cs="Times New Roman"/>
                <w:bCs/>
                <w:iCs/>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498C44" w14:textId="598AA0AD" w:rsidR="00AC18DC" w:rsidRPr="00E95745" w:rsidRDefault="00AC18DC" w:rsidP="00D3615D">
            <w:pPr>
              <w:spacing w:before="120" w:after="120"/>
              <w:rPr>
                <w:rFonts w:ascii="Calibri" w:eastAsia="Calibri" w:hAnsi="Calibri" w:cs="Times New Roman"/>
                <w:bCs/>
                <w:iCs/>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96BF6E" w14:textId="2F6BE706" w:rsidR="00AC18DC" w:rsidRPr="00E95745" w:rsidRDefault="00AC18DC" w:rsidP="00D3615D">
            <w:pPr>
              <w:spacing w:before="120" w:after="120"/>
              <w:rPr>
                <w:rFonts w:ascii="Calibri" w:eastAsia="Calibri" w:hAnsi="Calibri" w:cs="Times New Roman"/>
                <w:bCs/>
                <w:iCs/>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23AB7AC" w14:textId="64E7E5E8" w:rsidR="00AC18DC" w:rsidRPr="00E95745" w:rsidRDefault="00AC18DC" w:rsidP="00D3615D">
            <w:pPr>
              <w:spacing w:before="120" w:after="120"/>
              <w:rPr>
                <w:rFonts w:ascii="Calibri" w:eastAsia="Calibri" w:hAnsi="Calibri" w:cs="Times New Roman"/>
                <w:bCs/>
                <w:iCs/>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1A54415" w14:textId="301D08D0" w:rsidR="00AC18DC" w:rsidRPr="00E95745" w:rsidRDefault="00AC18DC" w:rsidP="00D3615D">
            <w:pPr>
              <w:spacing w:before="120" w:after="120"/>
              <w:rPr>
                <w:rFonts w:ascii="Calibri" w:eastAsia="Calibri" w:hAnsi="Calibri" w:cs="Times New Roman"/>
                <w:bCs/>
                <w:iCs/>
                <w:color w:val="000000"/>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4C31CA8C" w14:textId="615C61B3" w:rsidR="00AC18DC" w:rsidRPr="00E95745" w:rsidRDefault="00AC18DC" w:rsidP="00D3615D">
            <w:pPr>
              <w:spacing w:before="120" w:after="120"/>
              <w:rPr>
                <w:rFonts w:ascii="Calibri" w:eastAsia="Calibri" w:hAnsi="Calibri" w:cs="Times New Roman"/>
                <w:bCs/>
                <w:iCs/>
                <w:color w:val="000000"/>
              </w:rPr>
            </w:pPr>
          </w:p>
        </w:tc>
      </w:tr>
      <w:tr w:rsidR="00AC18DC" w:rsidRPr="00E95745" w14:paraId="75B4290F" w14:textId="77777777" w:rsidTr="00930407">
        <w:tc>
          <w:tcPr>
            <w:tcW w:w="3114" w:type="dxa"/>
            <w:tcBorders>
              <w:top w:val="single" w:sz="4" w:space="0" w:color="auto"/>
              <w:left w:val="single" w:sz="4" w:space="0" w:color="auto"/>
              <w:bottom w:val="single" w:sz="4" w:space="0" w:color="auto"/>
              <w:right w:val="single" w:sz="4" w:space="0" w:color="auto"/>
            </w:tcBorders>
            <w:shd w:val="clear" w:color="auto" w:fill="auto"/>
          </w:tcPr>
          <w:p w14:paraId="2B13FB66" w14:textId="77777777" w:rsidR="00AC18DC" w:rsidRPr="00E95745" w:rsidRDefault="00AC18DC" w:rsidP="00D3615D">
            <w:pPr>
              <w:spacing w:before="120" w:after="120"/>
              <w:rPr>
                <w:rFonts w:ascii="Calibri" w:eastAsia="Calibri" w:hAnsi="Calibri" w:cs="Times New Roman"/>
                <w:b/>
                <w:bCs/>
                <w:iCs/>
                <w:color w:val="000000"/>
              </w:rPr>
            </w:pPr>
            <w:r w:rsidRPr="00E95745">
              <w:rPr>
                <w:rFonts w:ascii="Calibri" w:eastAsia="Calibri" w:hAnsi="Calibri" w:cs="Times New Roman"/>
                <w:b/>
                <w:bCs/>
                <w:iCs/>
                <w:color w:val="000000"/>
              </w:rPr>
              <w:t>Total</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8A03951" w14:textId="0E3AD3DF" w:rsidR="00AC18DC" w:rsidRPr="00E95745" w:rsidRDefault="00AC18DC" w:rsidP="00D3615D">
            <w:pPr>
              <w:spacing w:before="120" w:after="120"/>
              <w:rPr>
                <w:rFonts w:ascii="Calibri" w:eastAsia="Calibri" w:hAnsi="Calibri" w:cs="Times New Roman"/>
                <w:b/>
                <w:bCs/>
                <w:iCs/>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C3BA47" w14:textId="66C77E08" w:rsidR="00AC18DC" w:rsidRPr="00E95745" w:rsidRDefault="00AC18DC" w:rsidP="00D3615D">
            <w:pPr>
              <w:spacing w:before="120" w:after="120"/>
              <w:rPr>
                <w:rFonts w:ascii="Calibri" w:eastAsia="Calibri" w:hAnsi="Calibri" w:cs="Times New Roman"/>
                <w:b/>
                <w:bCs/>
                <w:iCs/>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CE3E89" w14:textId="53BF23A6" w:rsidR="00AC18DC" w:rsidRPr="00E95745" w:rsidRDefault="00AC18DC" w:rsidP="00D3615D">
            <w:pPr>
              <w:spacing w:before="120" w:after="120"/>
              <w:rPr>
                <w:rFonts w:ascii="Calibri" w:eastAsia="Calibri" w:hAnsi="Calibri" w:cs="Times New Roman"/>
                <w:b/>
                <w:bCs/>
                <w:iCs/>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341FAA4" w14:textId="4150CC6C" w:rsidR="00AC18DC" w:rsidRPr="00E95745" w:rsidRDefault="00AC18DC" w:rsidP="00D3615D">
            <w:pPr>
              <w:spacing w:before="120" w:after="120"/>
              <w:rPr>
                <w:rFonts w:ascii="Calibri" w:eastAsia="Calibri" w:hAnsi="Calibri" w:cs="Times New Roman"/>
                <w:b/>
                <w:bCs/>
                <w:iCs/>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5393C93" w14:textId="28257D9E" w:rsidR="00AC18DC" w:rsidRPr="00E95745" w:rsidRDefault="00AC18DC" w:rsidP="00D3615D">
            <w:pPr>
              <w:spacing w:before="120" w:after="120"/>
              <w:rPr>
                <w:rFonts w:ascii="Calibri" w:eastAsia="Calibri" w:hAnsi="Calibri" w:cs="Times New Roman"/>
                <w:b/>
                <w:bCs/>
                <w:iCs/>
                <w:color w:val="000000"/>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7FD58274" w14:textId="156A3FFD" w:rsidR="00AC18DC" w:rsidRPr="00E95745" w:rsidRDefault="00AC18DC" w:rsidP="00D3615D">
            <w:pPr>
              <w:spacing w:before="120" w:after="120"/>
              <w:rPr>
                <w:rFonts w:ascii="Calibri" w:eastAsia="Calibri" w:hAnsi="Calibri" w:cs="Times New Roman"/>
                <w:b/>
                <w:bCs/>
                <w:iCs/>
                <w:color w:val="000000"/>
              </w:rPr>
            </w:pPr>
          </w:p>
        </w:tc>
      </w:tr>
    </w:tbl>
    <w:p w14:paraId="2B25D360" w14:textId="77777777" w:rsidR="000D640B" w:rsidRPr="00D3615D" w:rsidRDefault="000D640B" w:rsidP="00D3615D">
      <w:pPr>
        <w:spacing w:before="100" w:beforeAutospacing="1" w:after="100" w:afterAutospacing="1" w:line="259" w:lineRule="auto"/>
        <w:contextualSpacing/>
        <w:rPr>
          <w:rFonts w:ascii="Calibri" w:hAnsi="Calibri"/>
          <w:sz w:val="16"/>
          <w:szCs w:val="16"/>
        </w:rPr>
      </w:pPr>
    </w:p>
    <w:p w14:paraId="5C65E58F" w14:textId="12037ED8" w:rsidR="00AC18DC" w:rsidRDefault="00AC18DC" w:rsidP="00D3615D">
      <w:pPr>
        <w:numPr>
          <w:ilvl w:val="0"/>
          <w:numId w:val="73"/>
        </w:numPr>
        <w:spacing w:after="120"/>
        <w:ind w:left="714" w:hanging="357"/>
        <w:contextualSpacing/>
        <w:rPr>
          <w:rFonts w:ascii="Calibri" w:hAnsi="Calibri"/>
          <w:szCs w:val="24"/>
        </w:rPr>
      </w:pPr>
      <w:r w:rsidRPr="00E95745">
        <w:rPr>
          <w:rFonts w:ascii="Calibri" w:hAnsi="Calibri"/>
          <w:szCs w:val="24"/>
        </w:rPr>
        <w:t>Enter amounts for each currency in which there are large exposures.</w:t>
      </w:r>
    </w:p>
    <w:p w14:paraId="7CD70A46" w14:textId="4B3DC39E" w:rsidR="00974310" w:rsidRPr="00930407" w:rsidRDefault="00AC18DC" w:rsidP="00D3615D">
      <w:pPr>
        <w:numPr>
          <w:ilvl w:val="0"/>
          <w:numId w:val="73"/>
        </w:numPr>
        <w:spacing w:after="120"/>
        <w:ind w:left="714" w:hanging="357"/>
        <w:contextualSpacing/>
        <w:rPr>
          <w:rFonts w:ascii="Calibri" w:hAnsi="Calibri"/>
          <w:szCs w:val="24"/>
        </w:rPr>
      </w:pPr>
      <w:r w:rsidRPr="00AC18DC">
        <w:rPr>
          <w:rFonts w:ascii="Calibri" w:hAnsi="Calibri"/>
          <w:szCs w:val="24"/>
        </w:rPr>
        <w:t>You should use the columns headed &gt;25% of Liquid Capital to categorise risk amounts for disclosure to ASIC.</w:t>
      </w:r>
    </w:p>
    <w:p w14:paraId="0F9D520B" w14:textId="77777777" w:rsidR="004D28B6" w:rsidRPr="00D3615D" w:rsidRDefault="004D28B6" w:rsidP="00D3615D">
      <w:pPr>
        <w:numPr>
          <w:ilvl w:val="0"/>
          <w:numId w:val="73"/>
        </w:numPr>
        <w:spacing w:after="120"/>
        <w:ind w:left="714" w:hanging="357"/>
        <w:contextualSpacing/>
        <w:rPr>
          <w:rFonts w:ascii="Calibri" w:hAnsi="Calibri"/>
          <w:szCs w:val="24"/>
        </w:rPr>
      </w:pPr>
      <w:r w:rsidRPr="00D3615D">
        <w:rPr>
          <w:rFonts w:ascii="Calibri" w:hAnsi="Calibri"/>
          <w:szCs w:val="24"/>
        </w:rPr>
        <w:t>You can only select each currency once so all similar country amounts should be aggregated before being input.</w:t>
      </w:r>
    </w:p>
    <w:p w14:paraId="30679D3B" w14:textId="68C22B13" w:rsidR="00974310" w:rsidRPr="00930407" w:rsidRDefault="00AC18DC" w:rsidP="00D3615D">
      <w:pPr>
        <w:keepNext/>
        <w:spacing w:before="360" w:after="120"/>
        <w:outlineLvl w:val="3"/>
        <w:rPr>
          <w:rFonts w:ascii="Calibri" w:hAnsi="Calibri" w:cs="Helvetica"/>
          <w:b/>
          <w:sz w:val="24"/>
          <w:szCs w:val="24"/>
          <w:lang w:val="en"/>
        </w:rPr>
      </w:pPr>
      <w:r w:rsidRPr="00930407">
        <w:rPr>
          <w:rFonts w:ascii="Calibri" w:hAnsi="Calibri" w:cs="Helvetica"/>
          <w:b/>
          <w:sz w:val="24"/>
          <w:szCs w:val="24"/>
          <w:lang w:val="en"/>
        </w:rPr>
        <w:t>Summary</w:t>
      </w:r>
    </w:p>
    <w:tbl>
      <w:tblPr>
        <w:tblW w:w="7220" w:type="dxa"/>
        <w:tblLook w:val="04A0" w:firstRow="1" w:lastRow="0" w:firstColumn="1" w:lastColumn="0" w:noHBand="0" w:noVBand="1"/>
      </w:tblPr>
      <w:tblGrid>
        <w:gridCol w:w="4455"/>
        <w:gridCol w:w="2765"/>
      </w:tblGrid>
      <w:tr w:rsidR="00AC18DC" w:rsidRPr="00E95745" w14:paraId="5FE7FA96" w14:textId="77777777" w:rsidTr="003A1BE7">
        <w:trPr>
          <w:trHeight w:val="313"/>
        </w:trPr>
        <w:tc>
          <w:tcPr>
            <w:tcW w:w="4111"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887A227" w14:textId="77777777" w:rsidR="00AC18DC" w:rsidRPr="00E95745" w:rsidRDefault="00AC18DC" w:rsidP="00D3615D">
            <w:pPr>
              <w:keepNext/>
              <w:spacing w:before="120" w:after="120"/>
              <w:rPr>
                <w:rFonts w:ascii="Calibri" w:hAnsi="Calibri"/>
                <w:b/>
                <w:bCs/>
                <w:color w:val="FFFFFF"/>
              </w:rPr>
            </w:pPr>
            <w:r w:rsidRPr="00E95745">
              <w:rPr>
                <w:rFonts w:ascii="Calibri" w:hAnsi="Calibri"/>
                <w:b/>
                <w:bCs/>
                <w:color w:val="FFFFFF"/>
              </w:rPr>
              <w:t xml:space="preserve">Large </w:t>
            </w:r>
            <w:r>
              <w:rPr>
                <w:rFonts w:ascii="Calibri" w:hAnsi="Calibri"/>
                <w:b/>
                <w:bCs/>
                <w:color w:val="FFFFFF"/>
              </w:rPr>
              <w:t>e</w:t>
            </w:r>
            <w:r w:rsidRPr="00E95745">
              <w:rPr>
                <w:rFonts w:ascii="Calibri" w:hAnsi="Calibri"/>
                <w:b/>
                <w:bCs/>
                <w:color w:val="FFFFFF"/>
              </w:rPr>
              <w:t xml:space="preserve">xposure </w:t>
            </w:r>
            <w:r>
              <w:rPr>
                <w:rFonts w:ascii="Calibri" w:hAnsi="Calibri"/>
                <w:b/>
                <w:bCs/>
                <w:color w:val="FFFFFF"/>
              </w:rPr>
              <w:t>r</w:t>
            </w:r>
            <w:r w:rsidRPr="00E95745">
              <w:rPr>
                <w:rFonts w:ascii="Calibri" w:hAnsi="Calibri"/>
                <w:b/>
                <w:bCs/>
                <w:color w:val="FFFFFF"/>
              </w:rPr>
              <w:t xml:space="preserve">isk </w:t>
            </w:r>
            <w:r>
              <w:rPr>
                <w:rFonts w:ascii="Calibri" w:hAnsi="Calibri"/>
                <w:b/>
                <w:bCs/>
                <w:color w:val="FFFFFF"/>
              </w:rPr>
              <w:t>a</w:t>
            </w:r>
            <w:r w:rsidRPr="00E95745">
              <w:rPr>
                <w:rFonts w:ascii="Calibri" w:hAnsi="Calibri"/>
                <w:b/>
                <w:bCs/>
                <w:color w:val="FFFFFF"/>
              </w:rPr>
              <w:t>mounts</w:t>
            </w:r>
          </w:p>
        </w:tc>
        <w:tc>
          <w:tcPr>
            <w:tcW w:w="2552"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664B107" w14:textId="77777777" w:rsidR="00AC18DC" w:rsidRPr="00E95745" w:rsidRDefault="00AC18DC" w:rsidP="00D3615D">
            <w:pPr>
              <w:keepNext/>
              <w:spacing w:before="120" w:after="120"/>
              <w:rPr>
                <w:rFonts w:ascii="Calibri" w:hAnsi="Calibri"/>
                <w:b/>
                <w:bCs/>
                <w:color w:val="FFFFFF"/>
              </w:rPr>
            </w:pPr>
            <w:r w:rsidRPr="00E95745">
              <w:rPr>
                <w:rFonts w:ascii="Calibri" w:hAnsi="Calibri"/>
                <w:b/>
                <w:bCs/>
                <w:color w:val="FFFFFF"/>
              </w:rPr>
              <w:t>Total</w:t>
            </w:r>
          </w:p>
        </w:tc>
      </w:tr>
      <w:tr w:rsidR="00AC18DC" w:rsidRPr="00E95745" w14:paraId="4BAB52D1" w14:textId="77777777" w:rsidTr="00930407">
        <w:trPr>
          <w:trHeight w:val="313"/>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52A4D" w14:textId="77777777" w:rsidR="00AC18DC" w:rsidRPr="00E95745" w:rsidRDefault="00AC18DC" w:rsidP="00D3615D">
            <w:pPr>
              <w:spacing w:before="120" w:after="120"/>
              <w:rPr>
                <w:rFonts w:ascii="Calibri" w:hAnsi="Calibri"/>
                <w:color w:val="000000"/>
              </w:rPr>
            </w:pPr>
            <w:r w:rsidRPr="00E95745">
              <w:rPr>
                <w:rFonts w:ascii="Calibri" w:hAnsi="Calibri"/>
                <w:color w:val="000000"/>
              </w:rPr>
              <w:t xml:space="preserve">Counterparty </w:t>
            </w:r>
            <w:r>
              <w:rPr>
                <w:rFonts w:ascii="Calibri" w:hAnsi="Calibri"/>
                <w:color w:val="000000"/>
              </w:rPr>
              <w:t>l</w:t>
            </w:r>
            <w:r w:rsidRPr="00E95745">
              <w:rPr>
                <w:rFonts w:ascii="Calibri" w:hAnsi="Calibri"/>
                <w:color w:val="000000"/>
              </w:rPr>
              <w:t xml:space="preserve">arge </w:t>
            </w:r>
            <w:r>
              <w:rPr>
                <w:rFonts w:ascii="Calibri" w:hAnsi="Calibri"/>
                <w:color w:val="000000"/>
              </w:rPr>
              <w:t>e</w:t>
            </w:r>
            <w:r w:rsidRPr="00E95745">
              <w:rPr>
                <w:rFonts w:ascii="Calibri" w:hAnsi="Calibri"/>
                <w:color w:val="000000"/>
              </w:rPr>
              <w:t xml:space="preserve">xposure </w:t>
            </w:r>
            <w:r>
              <w:rPr>
                <w:rFonts w:ascii="Calibri" w:hAnsi="Calibri"/>
                <w:color w:val="000000"/>
              </w:rPr>
              <w:t>r</w:t>
            </w:r>
            <w:r w:rsidRPr="00E95745">
              <w:rPr>
                <w:rFonts w:ascii="Calibri" w:hAnsi="Calibri"/>
                <w:color w:val="000000"/>
              </w:rPr>
              <w:t xml:space="preserve">isk </w:t>
            </w:r>
            <w:r>
              <w:rPr>
                <w:rFonts w:ascii="Calibri" w:hAnsi="Calibri"/>
                <w:color w:val="000000"/>
              </w:rPr>
              <w:t>a</w:t>
            </w:r>
            <w:r w:rsidRPr="00E95745">
              <w:rPr>
                <w:rFonts w:ascii="Calibri" w:hAnsi="Calibri"/>
                <w:color w:val="000000"/>
              </w:rPr>
              <w:t>mount</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14:paraId="4CB4B5B2" w14:textId="2DFDDBAC" w:rsidR="00AC18DC" w:rsidRPr="00E95745" w:rsidRDefault="00AC18DC" w:rsidP="00D3615D">
            <w:pPr>
              <w:spacing w:before="120" w:after="120"/>
              <w:rPr>
                <w:rFonts w:ascii="Calibri" w:hAnsi="Calibri"/>
                <w:b/>
                <w:bCs/>
              </w:rPr>
            </w:pPr>
          </w:p>
        </w:tc>
      </w:tr>
      <w:tr w:rsidR="00AC18DC" w:rsidRPr="00E95745" w14:paraId="0DB8B7BE" w14:textId="77777777" w:rsidTr="00930407">
        <w:trPr>
          <w:trHeight w:val="313"/>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4FE03" w14:textId="77777777" w:rsidR="00AC18DC" w:rsidRPr="00E95745" w:rsidRDefault="00AC18DC" w:rsidP="00D3615D">
            <w:pPr>
              <w:spacing w:before="120" w:after="120"/>
              <w:rPr>
                <w:rFonts w:ascii="Calibri" w:hAnsi="Calibri"/>
                <w:color w:val="000000"/>
              </w:rPr>
            </w:pPr>
            <w:r w:rsidRPr="00E95745">
              <w:rPr>
                <w:rFonts w:ascii="Calibri" w:hAnsi="Calibri"/>
                <w:color w:val="000000"/>
              </w:rPr>
              <w:t xml:space="preserve">Issuer </w:t>
            </w:r>
            <w:r>
              <w:rPr>
                <w:rFonts w:ascii="Calibri" w:hAnsi="Calibri"/>
                <w:color w:val="000000"/>
              </w:rPr>
              <w:t>l</w:t>
            </w:r>
            <w:r w:rsidRPr="00E95745">
              <w:rPr>
                <w:rFonts w:ascii="Calibri" w:hAnsi="Calibri"/>
                <w:color w:val="000000"/>
              </w:rPr>
              <w:t xml:space="preserve">arge </w:t>
            </w:r>
            <w:r>
              <w:rPr>
                <w:rFonts w:ascii="Calibri" w:hAnsi="Calibri"/>
                <w:color w:val="000000"/>
              </w:rPr>
              <w:t>e</w:t>
            </w:r>
            <w:r w:rsidRPr="00E95745">
              <w:rPr>
                <w:rFonts w:ascii="Calibri" w:hAnsi="Calibri"/>
                <w:color w:val="000000"/>
              </w:rPr>
              <w:t xml:space="preserve">xposure - Equity </w:t>
            </w:r>
            <w:r>
              <w:rPr>
                <w:rFonts w:ascii="Calibri" w:hAnsi="Calibri"/>
                <w:color w:val="000000"/>
              </w:rPr>
              <w:t>m</w:t>
            </w:r>
            <w:r w:rsidRPr="00E95745">
              <w:rPr>
                <w:rFonts w:ascii="Calibri" w:hAnsi="Calibri"/>
                <w:color w:val="000000"/>
              </w:rPr>
              <w:t>ethod</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14:paraId="1CE163A7" w14:textId="7EE129A0" w:rsidR="00AC18DC" w:rsidRPr="00E95745" w:rsidRDefault="00AC18DC" w:rsidP="00D3615D">
            <w:pPr>
              <w:spacing w:before="120" w:after="120"/>
              <w:rPr>
                <w:rFonts w:ascii="Calibri" w:hAnsi="Calibri"/>
                <w:b/>
                <w:bCs/>
              </w:rPr>
            </w:pPr>
          </w:p>
        </w:tc>
      </w:tr>
      <w:tr w:rsidR="00AC18DC" w:rsidRPr="00E95745" w14:paraId="44E82B2B" w14:textId="77777777" w:rsidTr="00930407">
        <w:trPr>
          <w:trHeight w:val="313"/>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D9EBD" w14:textId="77777777" w:rsidR="00AC18DC" w:rsidRPr="00E95745" w:rsidRDefault="00AC18DC" w:rsidP="00D3615D">
            <w:pPr>
              <w:spacing w:before="120" w:after="120"/>
              <w:rPr>
                <w:rFonts w:ascii="Calibri" w:hAnsi="Calibri"/>
                <w:color w:val="000000"/>
              </w:rPr>
            </w:pPr>
            <w:r w:rsidRPr="00E95745">
              <w:rPr>
                <w:rFonts w:ascii="Calibri" w:hAnsi="Calibri"/>
                <w:color w:val="000000"/>
              </w:rPr>
              <w:t xml:space="preserve">Issuer </w:t>
            </w:r>
            <w:r>
              <w:rPr>
                <w:rFonts w:ascii="Calibri" w:hAnsi="Calibri"/>
                <w:color w:val="000000"/>
              </w:rPr>
              <w:t>l</w:t>
            </w:r>
            <w:r w:rsidRPr="00E95745">
              <w:rPr>
                <w:rFonts w:ascii="Calibri" w:hAnsi="Calibri"/>
                <w:color w:val="000000"/>
              </w:rPr>
              <w:t xml:space="preserve">arge </w:t>
            </w:r>
            <w:r>
              <w:rPr>
                <w:rFonts w:ascii="Calibri" w:hAnsi="Calibri"/>
                <w:color w:val="000000"/>
              </w:rPr>
              <w:t>e</w:t>
            </w:r>
            <w:r w:rsidRPr="00E95745">
              <w:rPr>
                <w:rFonts w:ascii="Calibri" w:hAnsi="Calibri"/>
                <w:color w:val="000000"/>
              </w:rPr>
              <w:t xml:space="preserve">xposure - Debt </w:t>
            </w:r>
            <w:r>
              <w:rPr>
                <w:rFonts w:ascii="Calibri" w:hAnsi="Calibri"/>
                <w:color w:val="000000"/>
              </w:rPr>
              <w:t>m</w:t>
            </w:r>
            <w:r w:rsidRPr="00E95745">
              <w:rPr>
                <w:rFonts w:ascii="Calibri" w:hAnsi="Calibri"/>
                <w:color w:val="000000"/>
              </w:rPr>
              <w:t>ethod</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14:paraId="426F5A4E" w14:textId="1F06DEA8" w:rsidR="00AC18DC" w:rsidRPr="00E95745" w:rsidRDefault="00AC18DC" w:rsidP="00D3615D">
            <w:pPr>
              <w:spacing w:before="120" w:after="120"/>
              <w:rPr>
                <w:rFonts w:ascii="Calibri" w:hAnsi="Calibri"/>
                <w:b/>
                <w:bCs/>
              </w:rPr>
            </w:pPr>
          </w:p>
        </w:tc>
      </w:tr>
      <w:tr w:rsidR="00AC18DC" w:rsidRPr="00E95745" w14:paraId="24966EE3" w14:textId="77777777" w:rsidTr="00930407">
        <w:trPr>
          <w:trHeight w:val="23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CCF062" w14:textId="77777777" w:rsidR="00AC18DC" w:rsidRPr="00E95745" w:rsidRDefault="00AC18DC" w:rsidP="00D3615D">
            <w:pPr>
              <w:spacing w:before="120" w:after="120"/>
              <w:rPr>
                <w:rFonts w:ascii="Calibri" w:hAnsi="Calibri"/>
                <w:color w:val="000000"/>
              </w:rPr>
            </w:pPr>
            <w:r w:rsidRPr="00E95745">
              <w:rPr>
                <w:rFonts w:ascii="Calibri" w:hAnsi="Calibri"/>
                <w:color w:val="000000"/>
              </w:rPr>
              <w:t xml:space="preserve">Issuer </w:t>
            </w:r>
            <w:r>
              <w:rPr>
                <w:rFonts w:ascii="Calibri" w:hAnsi="Calibri"/>
                <w:color w:val="000000"/>
              </w:rPr>
              <w:t>l</w:t>
            </w:r>
            <w:r w:rsidRPr="00E95745">
              <w:rPr>
                <w:rFonts w:ascii="Calibri" w:hAnsi="Calibri"/>
                <w:color w:val="000000"/>
              </w:rPr>
              <w:t xml:space="preserve">arge </w:t>
            </w:r>
            <w:r>
              <w:rPr>
                <w:rFonts w:ascii="Calibri" w:hAnsi="Calibri"/>
                <w:color w:val="000000"/>
              </w:rPr>
              <w:t>e</w:t>
            </w:r>
            <w:r w:rsidRPr="00E95745">
              <w:rPr>
                <w:rFonts w:ascii="Calibri" w:hAnsi="Calibri"/>
                <w:color w:val="000000"/>
              </w:rPr>
              <w:t xml:space="preserve">xposure - Equity &amp; Debt </w:t>
            </w:r>
            <w:r>
              <w:rPr>
                <w:rFonts w:ascii="Calibri" w:hAnsi="Calibri"/>
                <w:color w:val="000000"/>
              </w:rPr>
              <w:t>m</w:t>
            </w:r>
            <w:r w:rsidRPr="00E95745">
              <w:rPr>
                <w:rFonts w:ascii="Calibri" w:hAnsi="Calibri"/>
                <w:color w:val="000000"/>
              </w:rPr>
              <w:t>ethod</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14:paraId="662E9852" w14:textId="65988C80" w:rsidR="00AC18DC" w:rsidRPr="00E95745" w:rsidRDefault="00AC18DC" w:rsidP="00D3615D">
            <w:pPr>
              <w:spacing w:before="120" w:after="120"/>
              <w:rPr>
                <w:rFonts w:ascii="Calibri" w:hAnsi="Calibri"/>
                <w:b/>
                <w:bCs/>
              </w:rPr>
            </w:pPr>
          </w:p>
        </w:tc>
      </w:tr>
      <w:tr w:rsidR="00AC18DC" w:rsidRPr="0038469E" w14:paraId="660251DB" w14:textId="77777777" w:rsidTr="00930407">
        <w:trPr>
          <w:trHeight w:val="328"/>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28BFED" w14:textId="77777777" w:rsidR="00AC18DC" w:rsidRPr="0038469E" w:rsidRDefault="00AC18DC" w:rsidP="00D3615D">
            <w:pPr>
              <w:spacing w:before="120" w:after="120"/>
              <w:rPr>
                <w:rFonts w:ascii="Calibri" w:hAnsi="Calibri"/>
                <w:color w:val="000000"/>
              </w:rPr>
            </w:pPr>
            <w:r w:rsidRPr="0038469E">
              <w:rPr>
                <w:rFonts w:ascii="Calibri" w:hAnsi="Calibri"/>
                <w:color w:val="000000"/>
              </w:rPr>
              <w:t>Total Large Exposure Risk Requirement</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14:paraId="4857A92F" w14:textId="2852F08E" w:rsidR="00AC18DC" w:rsidRPr="0038469E" w:rsidRDefault="00AC18DC" w:rsidP="00D3615D">
            <w:pPr>
              <w:spacing w:before="120" w:after="120"/>
              <w:rPr>
                <w:rFonts w:ascii="Calibri" w:hAnsi="Calibri"/>
                <w:bCs/>
              </w:rPr>
            </w:pPr>
          </w:p>
        </w:tc>
      </w:tr>
    </w:tbl>
    <w:p w14:paraId="394FD2F3" w14:textId="75820FB8" w:rsidR="00974310" w:rsidRPr="00930407" w:rsidRDefault="00AC18DC" w:rsidP="00D3615D">
      <w:pPr>
        <w:keepNext/>
        <w:spacing w:before="360" w:after="0"/>
        <w:outlineLvl w:val="3"/>
        <w:rPr>
          <w:rFonts w:ascii="Calibri" w:hAnsi="Calibri"/>
          <w:b/>
          <w:bCs/>
          <w:color w:val="0070C0"/>
          <w:sz w:val="32"/>
          <w:szCs w:val="32"/>
        </w:rPr>
      </w:pPr>
      <w:r w:rsidRPr="00930407">
        <w:rPr>
          <w:rFonts w:ascii="Calibri" w:hAnsi="Calibri"/>
          <w:b/>
          <w:bCs/>
          <w:color w:val="0070C0"/>
          <w:sz w:val="32"/>
          <w:szCs w:val="32"/>
        </w:rPr>
        <w:lastRenderedPageBreak/>
        <w:t>Position Risk Requirement</w:t>
      </w:r>
    </w:p>
    <w:p w14:paraId="294FCAE0" w14:textId="44E250B3" w:rsidR="00AC18DC" w:rsidRPr="00930407" w:rsidRDefault="00AC18DC" w:rsidP="00D3615D">
      <w:pPr>
        <w:keepNext/>
        <w:spacing w:before="240" w:after="120"/>
        <w:outlineLvl w:val="3"/>
        <w:rPr>
          <w:rFonts w:ascii="Calibri" w:hAnsi="Calibri" w:cs="Helvetica"/>
          <w:b/>
          <w:sz w:val="24"/>
          <w:szCs w:val="24"/>
          <w:lang w:val="en"/>
        </w:rPr>
      </w:pPr>
      <w:r w:rsidRPr="00930407">
        <w:rPr>
          <w:rFonts w:ascii="Calibri" w:hAnsi="Calibri" w:cs="Helvetica"/>
          <w:b/>
          <w:sz w:val="24"/>
          <w:szCs w:val="24"/>
          <w:lang w:val="en"/>
        </w:rPr>
        <w:t>Equity Position Risk – Standard method</w:t>
      </w:r>
    </w:p>
    <w:tbl>
      <w:tblPr>
        <w:tblW w:w="13732" w:type="dxa"/>
        <w:tblLook w:val="04A0" w:firstRow="1" w:lastRow="0" w:firstColumn="1" w:lastColumn="0" w:noHBand="0" w:noVBand="1"/>
      </w:tblPr>
      <w:tblGrid>
        <w:gridCol w:w="3539"/>
        <w:gridCol w:w="2551"/>
        <w:gridCol w:w="2693"/>
        <w:gridCol w:w="2694"/>
        <w:gridCol w:w="2255"/>
      </w:tblGrid>
      <w:tr w:rsidR="00AC18DC" w:rsidRPr="00E95745" w14:paraId="3C0C31D0" w14:textId="77777777" w:rsidTr="00D3615D">
        <w:trPr>
          <w:trHeight w:val="521"/>
        </w:trPr>
        <w:tc>
          <w:tcPr>
            <w:tcW w:w="3539" w:type="dxa"/>
            <w:tcBorders>
              <w:top w:val="single" w:sz="4" w:space="0" w:color="auto"/>
              <w:left w:val="single" w:sz="4" w:space="0" w:color="auto"/>
              <w:bottom w:val="single" w:sz="4" w:space="0" w:color="auto"/>
              <w:right w:val="single" w:sz="4" w:space="0" w:color="auto"/>
            </w:tcBorders>
            <w:shd w:val="clear" w:color="auto" w:fill="0070C0"/>
            <w:noWrap/>
            <w:hideMark/>
          </w:tcPr>
          <w:p w14:paraId="3F65588F" w14:textId="2036D080" w:rsidR="00AC18DC" w:rsidRPr="00E95745" w:rsidRDefault="00AC18DC" w:rsidP="00D3615D">
            <w:pPr>
              <w:keepNext/>
              <w:spacing w:before="40" w:after="120"/>
              <w:rPr>
                <w:rFonts w:ascii="Calibri" w:hAnsi="Calibri"/>
                <w:b/>
                <w:bCs/>
                <w:color w:val="FFFFFF"/>
              </w:rPr>
            </w:pPr>
            <w:r w:rsidRPr="00E95745">
              <w:rPr>
                <w:rFonts w:ascii="Calibri" w:hAnsi="Calibri"/>
                <w:b/>
                <w:bCs/>
                <w:color w:val="FFFFFF"/>
              </w:rPr>
              <w:t>Country</w:t>
            </w:r>
          </w:p>
        </w:tc>
        <w:tc>
          <w:tcPr>
            <w:tcW w:w="2551" w:type="dxa"/>
            <w:tcBorders>
              <w:top w:val="single" w:sz="4" w:space="0" w:color="auto"/>
              <w:left w:val="single" w:sz="4" w:space="0" w:color="auto"/>
              <w:bottom w:val="single" w:sz="4" w:space="0" w:color="auto"/>
              <w:right w:val="single" w:sz="4" w:space="0" w:color="auto"/>
            </w:tcBorders>
            <w:shd w:val="clear" w:color="auto" w:fill="0070C0"/>
            <w:hideMark/>
          </w:tcPr>
          <w:p w14:paraId="2E034855" w14:textId="77777777" w:rsidR="00AC18DC" w:rsidRPr="00E95745" w:rsidRDefault="00AC18DC" w:rsidP="00D3615D">
            <w:pPr>
              <w:keepNext/>
              <w:spacing w:before="40" w:after="120"/>
              <w:rPr>
                <w:rFonts w:ascii="Calibri" w:hAnsi="Calibri"/>
                <w:b/>
                <w:bCs/>
                <w:color w:val="FFFFFF"/>
              </w:rPr>
            </w:pPr>
            <w:r w:rsidRPr="00E95745">
              <w:rPr>
                <w:rFonts w:ascii="Calibri" w:hAnsi="Calibri"/>
                <w:b/>
                <w:bCs/>
                <w:color w:val="FFFFFF"/>
              </w:rPr>
              <w:t>Equity Net Positions (8% Position Risk Factor)</w:t>
            </w:r>
          </w:p>
        </w:tc>
        <w:tc>
          <w:tcPr>
            <w:tcW w:w="2693" w:type="dxa"/>
            <w:tcBorders>
              <w:top w:val="single" w:sz="4" w:space="0" w:color="auto"/>
              <w:left w:val="single" w:sz="4" w:space="0" w:color="auto"/>
              <w:bottom w:val="single" w:sz="4" w:space="0" w:color="auto"/>
              <w:right w:val="single" w:sz="4" w:space="0" w:color="auto"/>
            </w:tcBorders>
            <w:shd w:val="clear" w:color="auto" w:fill="0070C0"/>
            <w:hideMark/>
          </w:tcPr>
          <w:p w14:paraId="4EFAAB50" w14:textId="77777777" w:rsidR="00AC18DC" w:rsidRPr="00E95745" w:rsidRDefault="00AC18DC" w:rsidP="00D3615D">
            <w:pPr>
              <w:keepNext/>
              <w:spacing w:before="40" w:after="120"/>
              <w:rPr>
                <w:rFonts w:ascii="Calibri" w:hAnsi="Calibri"/>
                <w:b/>
                <w:bCs/>
                <w:color w:val="FFFFFF"/>
              </w:rPr>
            </w:pPr>
            <w:r w:rsidRPr="00E95745">
              <w:rPr>
                <w:rFonts w:ascii="Calibri" w:hAnsi="Calibri"/>
                <w:b/>
                <w:bCs/>
                <w:color w:val="FFFFFF"/>
              </w:rPr>
              <w:t>Equity Net Positions (12% Position Risk Factor)</w:t>
            </w:r>
          </w:p>
        </w:tc>
        <w:tc>
          <w:tcPr>
            <w:tcW w:w="2694" w:type="dxa"/>
            <w:tcBorders>
              <w:top w:val="single" w:sz="4" w:space="0" w:color="auto"/>
              <w:left w:val="single" w:sz="4" w:space="0" w:color="auto"/>
              <w:bottom w:val="single" w:sz="4" w:space="0" w:color="auto"/>
              <w:right w:val="single" w:sz="4" w:space="0" w:color="auto"/>
            </w:tcBorders>
            <w:shd w:val="clear" w:color="auto" w:fill="0070C0"/>
            <w:hideMark/>
          </w:tcPr>
          <w:p w14:paraId="018AEC04" w14:textId="77777777" w:rsidR="00AC18DC" w:rsidRPr="00E95745" w:rsidRDefault="00AC18DC" w:rsidP="00D3615D">
            <w:pPr>
              <w:keepNext/>
              <w:spacing w:before="40" w:after="120"/>
              <w:rPr>
                <w:rFonts w:ascii="Calibri" w:hAnsi="Calibri"/>
                <w:b/>
                <w:bCs/>
                <w:color w:val="FFFFFF"/>
              </w:rPr>
            </w:pPr>
            <w:r w:rsidRPr="00E95745">
              <w:rPr>
                <w:rFonts w:ascii="Calibri" w:hAnsi="Calibri"/>
                <w:b/>
                <w:bCs/>
                <w:color w:val="FFFFFF"/>
              </w:rPr>
              <w:t>Equity Net Positions (16% Position Risk Factor)</w:t>
            </w:r>
          </w:p>
        </w:tc>
        <w:tc>
          <w:tcPr>
            <w:tcW w:w="2255" w:type="dxa"/>
            <w:tcBorders>
              <w:top w:val="single" w:sz="4" w:space="0" w:color="auto"/>
              <w:left w:val="single" w:sz="4" w:space="0" w:color="auto"/>
              <w:bottom w:val="single" w:sz="4" w:space="0" w:color="auto"/>
              <w:right w:val="single" w:sz="4" w:space="0" w:color="auto"/>
            </w:tcBorders>
            <w:shd w:val="clear" w:color="auto" w:fill="0070C0"/>
            <w:hideMark/>
          </w:tcPr>
          <w:p w14:paraId="498D01A9" w14:textId="77777777" w:rsidR="00AC18DC" w:rsidRPr="00E95745" w:rsidRDefault="00AC18DC" w:rsidP="00D3615D">
            <w:pPr>
              <w:keepNext/>
              <w:spacing w:before="40" w:after="120"/>
              <w:rPr>
                <w:rFonts w:ascii="Calibri" w:hAnsi="Calibri"/>
                <w:b/>
                <w:bCs/>
                <w:color w:val="FFFFFF"/>
              </w:rPr>
            </w:pPr>
            <w:r w:rsidRPr="00E95745">
              <w:rPr>
                <w:rFonts w:ascii="Calibri" w:hAnsi="Calibri"/>
                <w:b/>
                <w:bCs/>
                <w:color w:val="FFFFFF"/>
              </w:rPr>
              <w:t>Total</w:t>
            </w:r>
          </w:p>
        </w:tc>
      </w:tr>
      <w:tr w:rsidR="00AC18DC" w:rsidRPr="00E95745" w14:paraId="2E18E002" w14:textId="77777777" w:rsidTr="00930407">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FC0CB" w14:textId="5DF4B4CB" w:rsidR="00AC18DC" w:rsidRPr="00D3615D" w:rsidRDefault="00AC18DC" w:rsidP="00D3615D">
            <w:pPr>
              <w:spacing w:after="120"/>
              <w:rPr>
                <w:rFonts w:ascii="Calibri" w:hAnsi="Calibri"/>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F4097B" w14:textId="3CC96770" w:rsidR="00AC18DC" w:rsidRPr="00C623EA" w:rsidRDefault="00AC18DC" w:rsidP="00D3615D">
            <w:pPr>
              <w:spacing w:after="120"/>
              <w:rPr>
                <w:rFonts w:ascii="Calibri" w:hAnsi="Calibri"/>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1C9671" w14:textId="61DED620" w:rsidR="00AC18DC" w:rsidRPr="00C623EA" w:rsidRDefault="00AC18DC" w:rsidP="00D3615D">
            <w:pPr>
              <w:spacing w:after="120"/>
              <w:rPr>
                <w:rFonts w:ascii="Calibri" w:hAnsi="Calibri"/>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C42FF7" w14:textId="3574EE18" w:rsidR="00AC18DC" w:rsidRPr="00C623EA" w:rsidRDefault="00AC18DC" w:rsidP="00D3615D">
            <w:pPr>
              <w:spacing w:after="120"/>
              <w:rPr>
                <w:rFonts w:ascii="Calibri" w:hAnsi="Calibri"/>
              </w:rPr>
            </w:pP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0D213" w14:textId="2DC68F51" w:rsidR="00AC18DC" w:rsidRPr="00C623EA" w:rsidRDefault="00AC18DC" w:rsidP="00D3615D">
            <w:pPr>
              <w:spacing w:after="120"/>
              <w:rPr>
                <w:rFonts w:ascii="Calibri" w:hAnsi="Calibri"/>
                <w:b/>
                <w:bCs/>
              </w:rPr>
            </w:pPr>
          </w:p>
        </w:tc>
      </w:tr>
      <w:tr w:rsidR="00AC18DC" w:rsidRPr="00E95745" w14:paraId="13931939" w14:textId="77777777" w:rsidTr="00930407">
        <w:trPr>
          <w:trHeight w:val="179"/>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D6510" w14:textId="77777777" w:rsidR="00AC18DC" w:rsidRPr="00E95745" w:rsidRDefault="00AC18DC" w:rsidP="00D3615D">
            <w:pPr>
              <w:spacing w:after="120"/>
              <w:rPr>
                <w:rFonts w:ascii="Calibri" w:hAnsi="Calibri"/>
                <w:b/>
                <w:color w:val="000000"/>
              </w:rPr>
            </w:pPr>
            <w:r w:rsidRPr="00E95745">
              <w:rPr>
                <w:rFonts w:ascii="Calibri" w:hAnsi="Calibri"/>
                <w:b/>
                <w:color w:val="000000"/>
              </w:rPr>
              <w:t>Total</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9B11EC" w14:textId="57E64836" w:rsidR="00AC18DC" w:rsidRPr="00E95745" w:rsidRDefault="00AC18DC" w:rsidP="00D3615D">
            <w:pPr>
              <w:spacing w:after="120"/>
              <w:rPr>
                <w:rFonts w:ascii="Calibri" w:hAnsi="Calibri"/>
                <w:b/>
                <w:bCs/>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0B4EFE" w14:textId="796FFA67" w:rsidR="00AC18DC" w:rsidRPr="00E95745" w:rsidRDefault="00AC18DC" w:rsidP="00D3615D">
            <w:pPr>
              <w:spacing w:after="120"/>
              <w:rPr>
                <w:rFonts w:ascii="Calibri" w:hAnsi="Calibri"/>
                <w:b/>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E25252" w14:textId="19B2BFAC" w:rsidR="00AC18DC" w:rsidRPr="00E95745" w:rsidRDefault="00AC18DC" w:rsidP="00D3615D">
            <w:pPr>
              <w:spacing w:after="120"/>
              <w:rPr>
                <w:rFonts w:ascii="Calibri" w:hAnsi="Calibri"/>
                <w:b/>
              </w:rPr>
            </w:pP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7CEAEF" w14:textId="1BBF6C84" w:rsidR="00AC18DC" w:rsidRPr="00E95745" w:rsidRDefault="00AC18DC" w:rsidP="00D3615D">
            <w:pPr>
              <w:spacing w:after="120"/>
              <w:rPr>
                <w:rFonts w:ascii="Calibri" w:hAnsi="Calibri"/>
                <w:b/>
              </w:rPr>
            </w:pPr>
          </w:p>
        </w:tc>
      </w:tr>
    </w:tbl>
    <w:p w14:paraId="7EAD3678" w14:textId="77777777" w:rsidR="00C623EA" w:rsidRPr="00D3615D" w:rsidRDefault="00C623EA" w:rsidP="00D3615D">
      <w:pPr>
        <w:spacing w:after="0"/>
        <w:rPr>
          <w:rFonts w:ascii="Calibri" w:hAnsi="Calibri"/>
          <w:color w:val="000000"/>
          <w:sz w:val="16"/>
          <w:szCs w:val="16"/>
        </w:rPr>
      </w:pPr>
    </w:p>
    <w:p w14:paraId="393EBB38" w14:textId="427E3467" w:rsidR="00AC18DC" w:rsidRDefault="00A10C47" w:rsidP="001A4322">
      <w:pPr>
        <w:pStyle w:val="ListParagraph"/>
        <w:numPr>
          <w:ilvl w:val="0"/>
          <w:numId w:val="73"/>
        </w:numPr>
        <w:spacing w:after="200" w:line="276" w:lineRule="auto"/>
        <w:rPr>
          <w:rFonts w:ascii="Calibri" w:hAnsi="Calibri"/>
          <w:color w:val="000000"/>
        </w:rPr>
      </w:pPr>
      <w:r w:rsidRPr="001A4322">
        <w:rPr>
          <w:rFonts w:ascii="Calibri" w:hAnsi="Calibri"/>
          <w:color w:val="000000"/>
        </w:rPr>
        <w:t>Risk amounts are required to be input. You should use the percentage columns to categorise risk amounts for disclosure to ASIC.</w:t>
      </w:r>
    </w:p>
    <w:p w14:paraId="1360DADC" w14:textId="1FF8AACC" w:rsidR="004D28B6" w:rsidRPr="001A4322" w:rsidRDefault="004D28B6" w:rsidP="001A4322">
      <w:pPr>
        <w:pStyle w:val="ListParagraph"/>
        <w:numPr>
          <w:ilvl w:val="0"/>
          <w:numId w:val="73"/>
        </w:numPr>
        <w:spacing w:after="200" w:line="276" w:lineRule="auto"/>
        <w:rPr>
          <w:rFonts w:ascii="Calibri" w:hAnsi="Calibri"/>
          <w:color w:val="000000"/>
        </w:rPr>
      </w:pPr>
      <w:r>
        <w:rPr>
          <w:rFonts w:ascii="Calibri" w:hAnsi="Calibri"/>
          <w:color w:val="000000"/>
        </w:rPr>
        <w:t>You can only select each country once so all similar country amounts should be aggregated before being input.</w:t>
      </w:r>
    </w:p>
    <w:p w14:paraId="66A57380" w14:textId="54F7D945" w:rsidR="00974310" w:rsidRPr="00930407" w:rsidRDefault="00A10C47" w:rsidP="00D3615D">
      <w:pPr>
        <w:keepNext/>
        <w:spacing w:before="240" w:after="120"/>
        <w:outlineLvl w:val="3"/>
        <w:rPr>
          <w:rFonts w:ascii="Calibri" w:hAnsi="Calibri" w:cs="Helvetica"/>
          <w:b/>
          <w:sz w:val="24"/>
          <w:szCs w:val="24"/>
          <w:lang w:val="en"/>
        </w:rPr>
      </w:pPr>
      <w:r w:rsidRPr="00930407">
        <w:rPr>
          <w:rFonts w:ascii="Calibri" w:hAnsi="Calibri" w:cs="Helvetica"/>
          <w:b/>
          <w:sz w:val="24"/>
          <w:szCs w:val="24"/>
          <w:lang w:val="en"/>
        </w:rPr>
        <w:t>Equity Position Risk – Margin method</w:t>
      </w:r>
    </w:p>
    <w:tbl>
      <w:tblPr>
        <w:tblW w:w="10060" w:type="dxa"/>
        <w:tblLayout w:type="fixed"/>
        <w:tblLook w:val="04A0" w:firstRow="1" w:lastRow="0" w:firstColumn="1" w:lastColumn="0" w:noHBand="0" w:noVBand="1"/>
      </w:tblPr>
      <w:tblGrid>
        <w:gridCol w:w="3539"/>
        <w:gridCol w:w="3260"/>
        <w:gridCol w:w="3261"/>
      </w:tblGrid>
      <w:tr w:rsidR="00A10C47" w:rsidRPr="00E95745" w14:paraId="61E6891D" w14:textId="77777777" w:rsidTr="00D3615D">
        <w:trPr>
          <w:trHeight w:val="608"/>
        </w:trPr>
        <w:tc>
          <w:tcPr>
            <w:tcW w:w="3539" w:type="dxa"/>
            <w:tcBorders>
              <w:top w:val="single" w:sz="4" w:space="0" w:color="auto"/>
              <w:left w:val="single" w:sz="4" w:space="0" w:color="auto"/>
              <w:bottom w:val="single" w:sz="4" w:space="0" w:color="auto"/>
              <w:right w:val="single" w:sz="4" w:space="0" w:color="auto"/>
            </w:tcBorders>
            <w:shd w:val="clear" w:color="auto" w:fill="0070C0"/>
            <w:noWrap/>
            <w:hideMark/>
          </w:tcPr>
          <w:p w14:paraId="2BAF4356" w14:textId="2C1EAE8E" w:rsidR="00A10C47" w:rsidRPr="00E95745" w:rsidRDefault="00A10C47" w:rsidP="00D3615D">
            <w:pPr>
              <w:spacing w:before="40" w:after="120"/>
              <w:rPr>
                <w:rFonts w:ascii="Calibri" w:hAnsi="Calibri"/>
                <w:b/>
                <w:bCs/>
                <w:color w:val="FFFFFF"/>
              </w:rPr>
            </w:pPr>
            <w:r w:rsidRPr="00E95745">
              <w:rPr>
                <w:rFonts w:ascii="Calibri" w:hAnsi="Calibri"/>
                <w:b/>
                <w:bCs/>
                <w:color w:val="FFFFFF"/>
              </w:rPr>
              <w:t>Country</w:t>
            </w:r>
          </w:p>
        </w:tc>
        <w:tc>
          <w:tcPr>
            <w:tcW w:w="3260" w:type="dxa"/>
            <w:tcBorders>
              <w:top w:val="single" w:sz="4" w:space="0" w:color="auto"/>
              <w:left w:val="single" w:sz="4" w:space="0" w:color="auto"/>
              <w:bottom w:val="single" w:sz="4" w:space="0" w:color="auto"/>
              <w:right w:val="single" w:sz="4" w:space="0" w:color="auto"/>
            </w:tcBorders>
            <w:shd w:val="clear" w:color="auto" w:fill="0070C0"/>
            <w:hideMark/>
          </w:tcPr>
          <w:p w14:paraId="7DB702C5" w14:textId="6274B731" w:rsidR="00A10C47" w:rsidRPr="00E95745" w:rsidRDefault="00A10C47" w:rsidP="00D3615D">
            <w:pPr>
              <w:spacing w:before="40" w:after="120"/>
              <w:rPr>
                <w:rFonts w:ascii="Calibri" w:hAnsi="Calibri"/>
                <w:b/>
                <w:bCs/>
                <w:color w:val="FFFFFF"/>
              </w:rPr>
            </w:pPr>
            <w:r w:rsidRPr="00E95745">
              <w:rPr>
                <w:rFonts w:ascii="Calibri" w:hAnsi="Calibri"/>
                <w:b/>
                <w:bCs/>
                <w:color w:val="FFFFFF"/>
              </w:rPr>
              <w:t>Primary Margin Requirement</w:t>
            </w:r>
          </w:p>
        </w:tc>
        <w:tc>
          <w:tcPr>
            <w:tcW w:w="3261" w:type="dxa"/>
            <w:tcBorders>
              <w:top w:val="single" w:sz="4" w:space="0" w:color="auto"/>
              <w:left w:val="single" w:sz="4" w:space="0" w:color="auto"/>
              <w:bottom w:val="single" w:sz="4" w:space="0" w:color="auto"/>
              <w:right w:val="single" w:sz="4" w:space="0" w:color="auto"/>
            </w:tcBorders>
            <w:shd w:val="clear" w:color="auto" w:fill="0070C0"/>
            <w:hideMark/>
          </w:tcPr>
          <w:p w14:paraId="70F2392C" w14:textId="77777777" w:rsidR="00A10C47" w:rsidRPr="00E95745" w:rsidRDefault="00A10C47" w:rsidP="00D3615D">
            <w:pPr>
              <w:spacing w:before="40" w:after="120"/>
              <w:rPr>
                <w:rFonts w:ascii="Calibri" w:hAnsi="Calibri"/>
                <w:b/>
                <w:bCs/>
                <w:color w:val="FFFFFF"/>
              </w:rPr>
            </w:pPr>
            <w:r w:rsidRPr="00E95745">
              <w:rPr>
                <w:rFonts w:ascii="Calibri" w:hAnsi="Calibri"/>
                <w:b/>
                <w:bCs/>
                <w:color w:val="FFFFFF"/>
              </w:rPr>
              <w:t xml:space="preserve">Position </w:t>
            </w:r>
            <w:r>
              <w:rPr>
                <w:rFonts w:ascii="Calibri" w:hAnsi="Calibri"/>
                <w:b/>
                <w:bCs/>
                <w:color w:val="FFFFFF"/>
              </w:rPr>
              <w:t>r</w:t>
            </w:r>
            <w:r w:rsidRPr="00E95745">
              <w:rPr>
                <w:rFonts w:ascii="Calibri" w:hAnsi="Calibri"/>
                <w:b/>
                <w:bCs/>
                <w:color w:val="FFFFFF"/>
              </w:rPr>
              <w:t xml:space="preserve">isk </w:t>
            </w:r>
            <w:r>
              <w:rPr>
                <w:rFonts w:ascii="Calibri" w:hAnsi="Calibri"/>
                <w:b/>
                <w:bCs/>
                <w:color w:val="FFFFFF"/>
              </w:rPr>
              <w:t>a</w:t>
            </w:r>
            <w:r w:rsidRPr="00E95745">
              <w:rPr>
                <w:rFonts w:ascii="Calibri" w:hAnsi="Calibri"/>
                <w:b/>
                <w:bCs/>
                <w:color w:val="FFFFFF"/>
              </w:rPr>
              <w:t>mount (4 x Primary Margin Requirement)</w:t>
            </w:r>
          </w:p>
        </w:tc>
      </w:tr>
      <w:tr w:rsidR="00A10C47" w:rsidRPr="00E95745" w14:paraId="4514C565" w14:textId="77777777" w:rsidTr="00D3615D">
        <w:trPr>
          <w:trHeight w:val="304"/>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71A5D" w14:textId="57850CD0" w:rsidR="00A10C47" w:rsidRPr="00E95745" w:rsidRDefault="00A10C47" w:rsidP="00D3615D">
            <w:pPr>
              <w:spacing w:after="120"/>
              <w:rPr>
                <w:rFonts w:ascii="Calibri" w:hAnsi="Calibri"/>
                <w:color w:val="3F3F76"/>
              </w:rPr>
            </w:pP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B5327" w14:textId="4882C2D5" w:rsidR="00A10C47" w:rsidRPr="00E95745" w:rsidRDefault="00A10C47" w:rsidP="00D3615D">
            <w:pPr>
              <w:spacing w:after="120"/>
              <w:rPr>
                <w:rFonts w:ascii="Calibri" w:hAnsi="Calibri"/>
              </w:rPr>
            </w:pP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1D230" w14:textId="104BD6F9" w:rsidR="00A10C47" w:rsidRPr="00E95745" w:rsidRDefault="00A10C47" w:rsidP="00D3615D">
            <w:pPr>
              <w:spacing w:after="120"/>
              <w:rPr>
                <w:rFonts w:ascii="Calibri" w:hAnsi="Calibri"/>
                <w:b/>
                <w:bCs/>
              </w:rPr>
            </w:pPr>
          </w:p>
        </w:tc>
      </w:tr>
      <w:tr w:rsidR="00A10C47" w:rsidRPr="00E95745" w14:paraId="49375388" w14:textId="77777777" w:rsidTr="00D3615D">
        <w:trPr>
          <w:trHeight w:val="319"/>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A3F14" w14:textId="77777777" w:rsidR="00A10C47" w:rsidRPr="00E95745" w:rsidRDefault="00A10C47" w:rsidP="00D3615D">
            <w:pPr>
              <w:spacing w:after="120"/>
              <w:rPr>
                <w:rFonts w:ascii="Calibri" w:hAnsi="Calibri"/>
                <w:b/>
                <w:color w:val="000000"/>
              </w:rPr>
            </w:pPr>
            <w:r w:rsidRPr="00E95745">
              <w:rPr>
                <w:rFonts w:ascii="Calibri" w:hAnsi="Calibri"/>
                <w:b/>
                <w:color w:val="000000"/>
              </w:rPr>
              <w:t>Total</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F2CB65" w14:textId="554A3B37" w:rsidR="00A10C47" w:rsidRPr="00E95745" w:rsidRDefault="00A10C47" w:rsidP="00D3615D">
            <w:pPr>
              <w:spacing w:after="120"/>
              <w:rPr>
                <w:rFonts w:ascii="Calibri" w:hAnsi="Calibri"/>
                <w:b/>
                <w:bCs/>
              </w:rPr>
            </w:pP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718F2B" w14:textId="5B793DF1" w:rsidR="00A10C47" w:rsidRPr="00E95745" w:rsidRDefault="00A10C47" w:rsidP="00D3615D">
            <w:pPr>
              <w:spacing w:after="120"/>
              <w:rPr>
                <w:rFonts w:ascii="Calibri" w:hAnsi="Calibri"/>
              </w:rPr>
            </w:pPr>
          </w:p>
        </w:tc>
      </w:tr>
    </w:tbl>
    <w:p w14:paraId="48949AF6" w14:textId="77777777" w:rsidR="00C623EA" w:rsidRPr="00D3615D" w:rsidRDefault="00C623EA" w:rsidP="00D3615D">
      <w:pPr>
        <w:spacing w:after="0"/>
        <w:rPr>
          <w:rFonts w:ascii="Calibri" w:hAnsi="Calibri"/>
          <w:color w:val="000000"/>
          <w:sz w:val="16"/>
          <w:szCs w:val="16"/>
        </w:rPr>
      </w:pPr>
    </w:p>
    <w:p w14:paraId="43570DA0" w14:textId="36423A83" w:rsidR="00A10C47" w:rsidRPr="001A4322" w:rsidRDefault="000150DB" w:rsidP="001A4322">
      <w:pPr>
        <w:pStyle w:val="ListParagraph"/>
        <w:numPr>
          <w:ilvl w:val="0"/>
          <w:numId w:val="73"/>
        </w:numPr>
        <w:spacing w:after="200" w:line="276" w:lineRule="auto"/>
        <w:rPr>
          <w:rFonts w:ascii="Calibri" w:hAnsi="Calibri"/>
          <w:color w:val="000000"/>
        </w:rPr>
      </w:pPr>
      <w:r>
        <w:rPr>
          <w:rFonts w:ascii="Calibri" w:hAnsi="Calibri"/>
          <w:color w:val="000000"/>
        </w:rPr>
        <w:t>You can only select each country once so all similar country amounts should be aggregated before being input.</w:t>
      </w:r>
    </w:p>
    <w:p w14:paraId="49ADC324" w14:textId="26257E56" w:rsidR="00974310" w:rsidRPr="00930407" w:rsidRDefault="00A10C47" w:rsidP="00D3615D">
      <w:pPr>
        <w:keepNext/>
        <w:spacing w:before="240" w:after="120"/>
        <w:outlineLvl w:val="3"/>
        <w:rPr>
          <w:rFonts w:ascii="Calibri" w:hAnsi="Calibri" w:cs="Helvetica"/>
          <w:b/>
          <w:sz w:val="24"/>
          <w:szCs w:val="24"/>
          <w:lang w:val="en"/>
        </w:rPr>
      </w:pPr>
      <w:r w:rsidRPr="00930407">
        <w:rPr>
          <w:rFonts w:ascii="Calibri" w:hAnsi="Calibri" w:cs="Helvetica"/>
          <w:b/>
          <w:sz w:val="24"/>
          <w:szCs w:val="24"/>
          <w:lang w:val="en"/>
        </w:rPr>
        <w:t>Equity Position Risk – Basic method</w:t>
      </w:r>
    </w:p>
    <w:tbl>
      <w:tblPr>
        <w:tblW w:w="14029" w:type="dxa"/>
        <w:tblLayout w:type="fixed"/>
        <w:tblLook w:val="04A0" w:firstRow="1" w:lastRow="0" w:firstColumn="1" w:lastColumn="0" w:noHBand="0" w:noVBand="1"/>
      </w:tblPr>
      <w:tblGrid>
        <w:gridCol w:w="2731"/>
        <w:gridCol w:w="1883"/>
        <w:gridCol w:w="1883"/>
        <w:gridCol w:w="1862"/>
        <w:gridCol w:w="1904"/>
        <w:gridCol w:w="1883"/>
        <w:gridCol w:w="1883"/>
      </w:tblGrid>
      <w:tr w:rsidR="00A10C47" w:rsidRPr="00E95745" w14:paraId="5DDCA77D" w14:textId="77777777" w:rsidTr="00D3615D">
        <w:trPr>
          <w:trHeight w:val="300"/>
        </w:trPr>
        <w:tc>
          <w:tcPr>
            <w:tcW w:w="2731" w:type="dxa"/>
            <w:tcBorders>
              <w:top w:val="single" w:sz="4" w:space="0" w:color="auto"/>
              <w:left w:val="single" w:sz="4" w:space="0" w:color="auto"/>
              <w:bottom w:val="single" w:sz="4" w:space="0" w:color="auto"/>
              <w:right w:val="single" w:sz="4" w:space="0" w:color="auto"/>
            </w:tcBorders>
            <w:shd w:val="clear" w:color="auto" w:fill="0070C0"/>
            <w:hideMark/>
          </w:tcPr>
          <w:p w14:paraId="55866661" w14:textId="77777777" w:rsidR="00A10C47" w:rsidRPr="00E95745" w:rsidRDefault="00A10C47" w:rsidP="00C623EA">
            <w:pPr>
              <w:spacing w:after="0"/>
              <w:rPr>
                <w:rFonts w:ascii="Calibri" w:hAnsi="Calibri"/>
                <w:b/>
                <w:bCs/>
                <w:color w:val="FFFFFF"/>
              </w:rPr>
            </w:pPr>
            <w:r w:rsidRPr="00E95745">
              <w:rPr>
                <w:rFonts w:ascii="Calibri" w:hAnsi="Calibri"/>
                <w:b/>
                <w:bCs/>
                <w:color w:val="FFFFFF"/>
              </w:rPr>
              <w:t> </w:t>
            </w:r>
          </w:p>
        </w:tc>
        <w:tc>
          <w:tcPr>
            <w:tcW w:w="5628" w:type="dxa"/>
            <w:gridSpan w:val="3"/>
            <w:tcBorders>
              <w:top w:val="single" w:sz="4" w:space="0" w:color="auto"/>
              <w:left w:val="single" w:sz="4" w:space="0" w:color="auto"/>
              <w:bottom w:val="single" w:sz="4" w:space="0" w:color="auto"/>
              <w:right w:val="single" w:sz="4" w:space="0" w:color="auto"/>
            </w:tcBorders>
            <w:shd w:val="clear" w:color="auto" w:fill="0070C0"/>
            <w:noWrap/>
            <w:hideMark/>
          </w:tcPr>
          <w:p w14:paraId="20126ED6" w14:textId="77777777" w:rsidR="00A10C47" w:rsidRPr="00E95745" w:rsidRDefault="00A10C47" w:rsidP="00D3615D">
            <w:pPr>
              <w:spacing w:after="0"/>
              <w:jc w:val="center"/>
              <w:rPr>
                <w:rFonts w:ascii="Calibri" w:hAnsi="Calibri"/>
                <w:b/>
                <w:bCs/>
                <w:color w:val="FFFFFF"/>
              </w:rPr>
            </w:pPr>
            <w:r w:rsidRPr="00E95745">
              <w:rPr>
                <w:rFonts w:ascii="Calibri" w:hAnsi="Calibri"/>
                <w:b/>
                <w:bCs/>
                <w:color w:val="FFFFFF"/>
              </w:rPr>
              <w:t>Purchased Options</w:t>
            </w:r>
          </w:p>
        </w:tc>
        <w:tc>
          <w:tcPr>
            <w:tcW w:w="5670" w:type="dxa"/>
            <w:gridSpan w:val="3"/>
            <w:tcBorders>
              <w:top w:val="single" w:sz="4" w:space="0" w:color="auto"/>
              <w:left w:val="single" w:sz="4" w:space="0" w:color="auto"/>
              <w:bottom w:val="single" w:sz="4" w:space="0" w:color="auto"/>
              <w:right w:val="single" w:sz="4" w:space="0" w:color="auto"/>
            </w:tcBorders>
            <w:shd w:val="clear" w:color="auto" w:fill="0070C0"/>
            <w:hideMark/>
          </w:tcPr>
          <w:p w14:paraId="7E32B8D1" w14:textId="77777777" w:rsidR="00A10C47" w:rsidRPr="00E95745" w:rsidRDefault="00A10C47" w:rsidP="00D3615D">
            <w:pPr>
              <w:spacing w:after="0"/>
              <w:jc w:val="center"/>
              <w:rPr>
                <w:rFonts w:ascii="Calibri" w:hAnsi="Calibri"/>
                <w:b/>
                <w:bCs/>
                <w:color w:val="FFFFFF"/>
              </w:rPr>
            </w:pPr>
            <w:r w:rsidRPr="00E95745">
              <w:rPr>
                <w:rFonts w:ascii="Calibri" w:hAnsi="Calibri"/>
                <w:b/>
                <w:bCs/>
                <w:color w:val="FFFFFF"/>
              </w:rPr>
              <w:t>Written Options</w:t>
            </w:r>
          </w:p>
        </w:tc>
      </w:tr>
      <w:tr w:rsidR="00A10C47" w:rsidRPr="00E95745" w14:paraId="0FEFD7B9" w14:textId="77777777" w:rsidTr="00D3615D">
        <w:trPr>
          <w:trHeight w:val="897"/>
        </w:trPr>
        <w:tc>
          <w:tcPr>
            <w:tcW w:w="2731" w:type="dxa"/>
            <w:tcBorders>
              <w:top w:val="single" w:sz="4" w:space="0" w:color="auto"/>
              <w:left w:val="single" w:sz="4" w:space="0" w:color="auto"/>
              <w:bottom w:val="single" w:sz="4" w:space="0" w:color="auto"/>
              <w:right w:val="single" w:sz="4" w:space="0" w:color="auto"/>
            </w:tcBorders>
            <w:shd w:val="clear" w:color="auto" w:fill="0070C0"/>
            <w:noWrap/>
            <w:hideMark/>
          </w:tcPr>
          <w:p w14:paraId="75125D05" w14:textId="20DC4CB1" w:rsidR="00A10C47" w:rsidRPr="00E95745" w:rsidRDefault="00A10C47" w:rsidP="00D3615D">
            <w:pPr>
              <w:spacing w:before="40" w:after="120"/>
              <w:rPr>
                <w:rFonts w:ascii="Calibri" w:hAnsi="Calibri"/>
                <w:b/>
                <w:bCs/>
                <w:color w:val="FFFFFF"/>
              </w:rPr>
            </w:pPr>
            <w:r w:rsidRPr="00E95745">
              <w:rPr>
                <w:rFonts w:ascii="Calibri" w:hAnsi="Calibri"/>
                <w:b/>
                <w:bCs/>
                <w:color w:val="FFFFFF"/>
              </w:rPr>
              <w:t>Country</w:t>
            </w:r>
          </w:p>
        </w:tc>
        <w:tc>
          <w:tcPr>
            <w:tcW w:w="1883" w:type="dxa"/>
            <w:tcBorders>
              <w:top w:val="single" w:sz="4" w:space="0" w:color="auto"/>
              <w:left w:val="single" w:sz="4" w:space="0" w:color="auto"/>
              <w:bottom w:val="single" w:sz="4" w:space="0" w:color="auto"/>
              <w:right w:val="single" w:sz="4" w:space="0" w:color="auto"/>
            </w:tcBorders>
            <w:shd w:val="clear" w:color="auto" w:fill="0070C0"/>
            <w:hideMark/>
          </w:tcPr>
          <w:p w14:paraId="5C877742" w14:textId="77777777" w:rsidR="00A10C47" w:rsidRPr="00E95745" w:rsidRDefault="00A10C47" w:rsidP="00D3615D">
            <w:pPr>
              <w:spacing w:before="40" w:after="120"/>
              <w:rPr>
                <w:rFonts w:ascii="Calibri" w:hAnsi="Calibri"/>
                <w:b/>
                <w:bCs/>
                <w:color w:val="FFFFFF"/>
              </w:rPr>
            </w:pPr>
            <w:r w:rsidRPr="00E95745">
              <w:rPr>
                <w:rFonts w:ascii="Calibri" w:hAnsi="Calibri"/>
                <w:b/>
                <w:bCs/>
                <w:color w:val="FFFFFF"/>
              </w:rPr>
              <w:t>Mark-to-market value of underlying</w:t>
            </w:r>
          </w:p>
        </w:tc>
        <w:tc>
          <w:tcPr>
            <w:tcW w:w="1883" w:type="dxa"/>
            <w:tcBorders>
              <w:top w:val="single" w:sz="4" w:space="0" w:color="auto"/>
              <w:left w:val="single" w:sz="4" w:space="0" w:color="auto"/>
              <w:bottom w:val="single" w:sz="4" w:space="0" w:color="auto"/>
              <w:right w:val="single" w:sz="4" w:space="0" w:color="auto"/>
            </w:tcBorders>
            <w:shd w:val="clear" w:color="auto" w:fill="0070C0"/>
            <w:hideMark/>
          </w:tcPr>
          <w:p w14:paraId="53F7154A" w14:textId="77777777" w:rsidR="00A10C47" w:rsidRPr="00E95745" w:rsidRDefault="00A10C47" w:rsidP="00D3615D">
            <w:pPr>
              <w:spacing w:before="40" w:after="120"/>
              <w:rPr>
                <w:rFonts w:ascii="Calibri" w:hAnsi="Calibri"/>
                <w:b/>
                <w:bCs/>
                <w:color w:val="FFFFFF"/>
              </w:rPr>
            </w:pPr>
            <w:r w:rsidRPr="00E95745">
              <w:rPr>
                <w:rFonts w:ascii="Calibri" w:hAnsi="Calibri"/>
                <w:b/>
                <w:bCs/>
                <w:color w:val="FFFFFF"/>
              </w:rPr>
              <w:t>Mark-to-market value of the Option</w:t>
            </w:r>
          </w:p>
        </w:tc>
        <w:tc>
          <w:tcPr>
            <w:tcW w:w="1862" w:type="dxa"/>
            <w:tcBorders>
              <w:top w:val="single" w:sz="4" w:space="0" w:color="auto"/>
              <w:left w:val="single" w:sz="4" w:space="0" w:color="auto"/>
              <w:bottom w:val="single" w:sz="4" w:space="0" w:color="auto"/>
              <w:right w:val="single" w:sz="4" w:space="0" w:color="auto"/>
            </w:tcBorders>
            <w:shd w:val="clear" w:color="auto" w:fill="0070C0"/>
            <w:hideMark/>
          </w:tcPr>
          <w:p w14:paraId="48F88A74" w14:textId="77777777" w:rsidR="00A10C47" w:rsidRPr="00E95745" w:rsidRDefault="00A10C47" w:rsidP="00D3615D">
            <w:pPr>
              <w:spacing w:before="40" w:after="120"/>
              <w:rPr>
                <w:rFonts w:ascii="Calibri" w:hAnsi="Calibri"/>
                <w:b/>
                <w:bCs/>
                <w:color w:val="FFFFFF"/>
              </w:rPr>
            </w:pPr>
            <w:r w:rsidRPr="00E95745">
              <w:rPr>
                <w:rFonts w:ascii="Calibri" w:hAnsi="Calibri"/>
                <w:b/>
                <w:bCs/>
                <w:color w:val="FFFFFF"/>
              </w:rPr>
              <w:t xml:space="preserve">Position </w:t>
            </w:r>
            <w:r>
              <w:rPr>
                <w:rFonts w:ascii="Calibri" w:hAnsi="Calibri"/>
                <w:b/>
                <w:bCs/>
                <w:color w:val="FFFFFF"/>
              </w:rPr>
              <w:t>r</w:t>
            </w:r>
            <w:r w:rsidRPr="00E95745">
              <w:rPr>
                <w:rFonts w:ascii="Calibri" w:hAnsi="Calibri"/>
                <w:b/>
                <w:bCs/>
                <w:color w:val="FFFFFF"/>
              </w:rPr>
              <w:t xml:space="preserve">isk </w:t>
            </w:r>
            <w:r>
              <w:rPr>
                <w:rFonts w:ascii="Calibri" w:hAnsi="Calibri"/>
                <w:b/>
                <w:bCs/>
                <w:color w:val="FFFFFF"/>
              </w:rPr>
              <w:t>a</w:t>
            </w:r>
            <w:r w:rsidRPr="00E95745">
              <w:rPr>
                <w:rFonts w:ascii="Calibri" w:hAnsi="Calibri"/>
                <w:b/>
                <w:bCs/>
                <w:color w:val="FFFFFF"/>
              </w:rPr>
              <w:t>mount</w:t>
            </w:r>
          </w:p>
        </w:tc>
        <w:tc>
          <w:tcPr>
            <w:tcW w:w="1904" w:type="dxa"/>
            <w:tcBorders>
              <w:top w:val="single" w:sz="4" w:space="0" w:color="auto"/>
              <w:left w:val="single" w:sz="4" w:space="0" w:color="auto"/>
              <w:bottom w:val="single" w:sz="4" w:space="0" w:color="auto"/>
              <w:right w:val="single" w:sz="4" w:space="0" w:color="auto"/>
            </w:tcBorders>
            <w:shd w:val="clear" w:color="auto" w:fill="0070C0"/>
            <w:hideMark/>
          </w:tcPr>
          <w:p w14:paraId="01E4646D" w14:textId="77777777" w:rsidR="00A10C47" w:rsidRPr="00E95745" w:rsidRDefault="00A10C47" w:rsidP="00D3615D">
            <w:pPr>
              <w:spacing w:before="40" w:after="120"/>
              <w:rPr>
                <w:rFonts w:ascii="Calibri" w:hAnsi="Calibri"/>
                <w:b/>
                <w:bCs/>
                <w:color w:val="FFFFFF"/>
              </w:rPr>
            </w:pPr>
            <w:r w:rsidRPr="00E95745">
              <w:rPr>
                <w:rFonts w:ascii="Calibri" w:hAnsi="Calibri"/>
                <w:b/>
                <w:bCs/>
                <w:color w:val="FFFFFF"/>
              </w:rPr>
              <w:t xml:space="preserve">Mark-to-market value of underlying </w:t>
            </w:r>
          </w:p>
        </w:tc>
        <w:tc>
          <w:tcPr>
            <w:tcW w:w="1883" w:type="dxa"/>
            <w:tcBorders>
              <w:top w:val="single" w:sz="4" w:space="0" w:color="auto"/>
              <w:left w:val="single" w:sz="4" w:space="0" w:color="auto"/>
              <w:bottom w:val="single" w:sz="4" w:space="0" w:color="auto"/>
              <w:right w:val="single" w:sz="4" w:space="0" w:color="auto"/>
            </w:tcBorders>
            <w:shd w:val="clear" w:color="auto" w:fill="0070C0"/>
            <w:hideMark/>
          </w:tcPr>
          <w:p w14:paraId="31ED6CBC" w14:textId="77777777" w:rsidR="00A10C47" w:rsidRPr="00E95745" w:rsidRDefault="00A10C47" w:rsidP="00D3615D">
            <w:pPr>
              <w:spacing w:before="40" w:after="120"/>
              <w:rPr>
                <w:rFonts w:ascii="Calibri" w:hAnsi="Calibri"/>
                <w:b/>
                <w:bCs/>
                <w:color w:val="FFFFFF"/>
              </w:rPr>
            </w:pPr>
            <w:r w:rsidRPr="00E95745">
              <w:rPr>
                <w:rFonts w:ascii="Calibri" w:hAnsi="Calibri"/>
                <w:b/>
                <w:bCs/>
                <w:color w:val="FFFFFF"/>
              </w:rPr>
              <w:t>Amount reduced by</w:t>
            </w:r>
          </w:p>
        </w:tc>
        <w:tc>
          <w:tcPr>
            <w:tcW w:w="1883" w:type="dxa"/>
            <w:tcBorders>
              <w:top w:val="single" w:sz="4" w:space="0" w:color="auto"/>
              <w:left w:val="single" w:sz="4" w:space="0" w:color="auto"/>
              <w:bottom w:val="single" w:sz="4" w:space="0" w:color="auto"/>
              <w:right w:val="single" w:sz="4" w:space="0" w:color="auto"/>
            </w:tcBorders>
            <w:shd w:val="clear" w:color="auto" w:fill="0070C0"/>
            <w:hideMark/>
          </w:tcPr>
          <w:p w14:paraId="7C71388B" w14:textId="77777777" w:rsidR="00A10C47" w:rsidRPr="00E95745" w:rsidRDefault="00A10C47" w:rsidP="00D3615D">
            <w:pPr>
              <w:spacing w:before="40" w:after="120"/>
              <w:rPr>
                <w:rFonts w:ascii="Calibri" w:hAnsi="Calibri"/>
                <w:b/>
                <w:bCs/>
                <w:color w:val="FFFFFF"/>
              </w:rPr>
            </w:pPr>
            <w:r w:rsidRPr="00E95745">
              <w:rPr>
                <w:rFonts w:ascii="Calibri" w:hAnsi="Calibri"/>
                <w:b/>
                <w:bCs/>
                <w:color w:val="FFFFFF"/>
              </w:rPr>
              <w:t xml:space="preserve">Position </w:t>
            </w:r>
            <w:r>
              <w:rPr>
                <w:rFonts w:ascii="Calibri" w:hAnsi="Calibri"/>
                <w:b/>
                <w:bCs/>
                <w:color w:val="FFFFFF"/>
              </w:rPr>
              <w:t>r</w:t>
            </w:r>
            <w:r w:rsidRPr="00E95745">
              <w:rPr>
                <w:rFonts w:ascii="Calibri" w:hAnsi="Calibri"/>
                <w:b/>
                <w:bCs/>
                <w:color w:val="FFFFFF"/>
              </w:rPr>
              <w:t xml:space="preserve">isk </w:t>
            </w:r>
            <w:r>
              <w:rPr>
                <w:rFonts w:ascii="Calibri" w:hAnsi="Calibri"/>
                <w:b/>
                <w:bCs/>
                <w:color w:val="FFFFFF"/>
              </w:rPr>
              <w:t>a</w:t>
            </w:r>
            <w:r w:rsidRPr="00E95745">
              <w:rPr>
                <w:rFonts w:ascii="Calibri" w:hAnsi="Calibri"/>
                <w:b/>
                <w:bCs/>
                <w:color w:val="FFFFFF"/>
              </w:rPr>
              <w:t>mount</w:t>
            </w:r>
          </w:p>
        </w:tc>
      </w:tr>
      <w:tr w:rsidR="00A10C47" w:rsidRPr="00E95745" w14:paraId="275E191D" w14:textId="77777777" w:rsidTr="00D3615D">
        <w:trPr>
          <w:trHeight w:val="300"/>
        </w:trPr>
        <w:tc>
          <w:tcPr>
            <w:tcW w:w="2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3A0A1" w14:textId="1CDC89D5" w:rsidR="00A10C47" w:rsidRPr="00E95745" w:rsidRDefault="00A10C47" w:rsidP="00D3615D">
            <w:pPr>
              <w:spacing w:after="120"/>
              <w:rPr>
                <w:rFonts w:ascii="Calibri" w:hAnsi="Calibri"/>
                <w:color w:val="3F3F76"/>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64B2D" w14:textId="139D23C8" w:rsidR="00A10C47" w:rsidRPr="00E95745" w:rsidRDefault="00A10C47" w:rsidP="00D3615D">
            <w:pPr>
              <w:spacing w:after="120"/>
              <w:rPr>
                <w:rFonts w:ascii="Calibri" w:hAnsi="Calibri"/>
                <w:color w:val="3F3F76"/>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F05F1" w14:textId="16714CD4" w:rsidR="00A10C47" w:rsidRPr="00E95745" w:rsidRDefault="00A10C47" w:rsidP="00D3615D">
            <w:pPr>
              <w:spacing w:after="120"/>
              <w:rPr>
                <w:rFonts w:ascii="Calibri" w:hAnsi="Calibri"/>
                <w:color w:val="3F3F76"/>
              </w:rPr>
            </w:pPr>
          </w:p>
        </w:tc>
        <w:tc>
          <w:tcPr>
            <w:tcW w:w="1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3CD7C" w14:textId="6CFF3A6D" w:rsidR="00A10C47" w:rsidRPr="004C1E44" w:rsidRDefault="00A10C47" w:rsidP="00D3615D">
            <w:pPr>
              <w:spacing w:after="120"/>
              <w:rPr>
                <w:rFonts w:ascii="Calibri" w:hAnsi="Calibri"/>
                <w:b/>
                <w:bCs/>
              </w:rPr>
            </w:pP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EED34" w14:textId="09F09134" w:rsidR="00A10C47" w:rsidRPr="00E95745" w:rsidRDefault="00A10C47" w:rsidP="00D3615D">
            <w:pPr>
              <w:spacing w:after="120"/>
              <w:rPr>
                <w:rFonts w:ascii="Calibri" w:hAnsi="Calibri"/>
                <w:color w:val="3F3F76"/>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ED7F4" w14:textId="45DEA86F" w:rsidR="00A10C47" w:rsidRPr="00E95745" w:rsidRDefault="00A10C47" w:rsidP="00D3615D">
            <w:pPr>
              <w:spacing w:after="120"/>
              <w:rPr>
                <w:rFonts w:ascii="Calibri" w:hAnsi="Calibri"/>
                <w:color w:val="000000"/>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F936B" w14:textId="551947A7" w:rsidR="00A10C47" w:rsidRPr="004C1E44" w:rsidRDefault="00A10C47" w:rsidP="00D3615D">
            <w:pPr>
              <w:spacing w:after="120"/>
              <w:rPr>
                <w:rFonts w:ascii="Calibri" w:hAnsi="Calibri"/>
                <w:b/>
                <w:bCs/>
              </w:rPr>
            </w:pPr>
          </w:p>
        </w:tc>
      </w:tr>
      <w:tr w:rsidR="00A10C47" w:rsidRPr="00E95745" w14:paraId="090764FD" w14:textId="77777777" w:rsidTr="00D3615D">
        <w:trPr>
          <w:trHeight w:val="315"/>
        </w:trPr>
        <w:tc>
          <w:tcPr>
            <w:tcW w:w="2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428E1" w14:textId="77777777" w:rsidR="00A10C47" w:rsidRPr="00E95745" w:rsidRDefault="00A10C47" w:rsidP="00D3615D">
            <w:pPr>
              <w:spacing w:after="120"/>
              <w:rPr>
                <w:rFonts w:ascii="Calibri" w:hAnsi="Calibri"/>
                <w:b/>
                <w:color w:val="000000"/>
              </w:rPr>
            </w:pPr>
            <w:r w:rsidRPr="00E95745">
              <w:rPr>
                <w:rFonts w:ascii="Calibri" w:hAnsi="Calibri"/>
                <w:b/>
                <w:color w:val="000000"/>
              </w:rPr>
              <w:t>Total</w:t>
            </w: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11BFA" w14:textId="7DF5C690" w:rsidR="00A10C47" w:rsidRPr="004C1E44" w:rsidRDefault="00A10C47" w:rsidP="00D3615D">
            <w:pPr>
              <w:spacing w:after="120"/>
              <w:rPr>
                <w:rFonts w:ascii="Calibri" w:hAnsi="Calibri"/>
                <w:b/>
                <w:bC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tcPr>
          <w:p w14:paraId="252B104D" w14:textId="77777777" w:rsidR="00A10C47" w:rsidRPr="00E95745" w:rsidRDefault="00A10C47" w:rsidP="00D3615D">
            <w:pPr>
              <w:spacing w:after="120"/>
              <w:rPr>
                <w:rFonts w:ascii="Calibri" w:hAnsi="Calibri"/>
                <w:color w:val="000000"/>
              </w:rPr>
            </w:pPr>
          </w:p>
        </w:tc>
        <w:tc>
          <w:tcPr>
            <w:tcW w:w="18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D2295" w14:textId="3DBC5AD7" w:rsidR="00A10C47" w:rsidRPr="00E95745" w:rsidRDefault="00A10C47" w:rsidP="00D3615D">
            <w:pPr>
              <w:spacing w:after="120"/>
              <w:rPr>
                <w:rFonts w:ascii="Calibri" w:hAnsi="Calibri"/>
                <w:color w:val="000000"/>
              </w:rPr>
            </w:pP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461FA" w14:textId="5CEAFB6D" w:rsidR="00A10C47" w:rsidRPr="00E95745" w:rsidRDefault="00A10C47" w:rsidP="00D3615D">
            <w:pPr>
              <w:spacing w:after="120"/>
              <w:rPr>
                <w:rFonts w:ascii="Calibri" w:hAnsi="Calibri"/>
                <w:color w:val="000000"/>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EFA856" w14:textId="54690B7F" w:rsidR="00A10C47" w:rsidRPr="00E95745" w:rsidRDefault="00A10C47" w:rsidP="00D3615D">
            <w:pPr>
              <w:spacing w:after="120"/>
              <w:rPr>
                <w:rFonts w:ascii="Calibri" w:hAnsi="Calibri"/>
                <w:color w:val="000000"/>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19BE7D" w14:textId="0E725D11" w:rsidR="00A10C47" w:rsidRPr="00E95745" w:rsidRDefault="00A10C47" w:rsidP="00D3615D">
            <w:pPr>
              <w:spacing w:after="120"/>
              <w:rPr>
                <w:rFonts w:ascii="Calibri" w:hAnsi="Calibri"/>
                <w:color w:val="000000"/>
              </w:rPr>
            </w:pPr>
          </w:p>
        </w:tc>
      </w:tr>
    </w:tbl>
    <w:p w14:paraId="076C8050" w14:textId="7751CE65" w:rsidR="00A10C47" w:rsidRPr="001A4322" w:rsidRDefault="00A10C47" w:rsidP="00D3615D">
      <w:pPr>
        <w:pStyle w:val="ListParagraph"/>
        <w:numPr>
          <w:ilvl w:val="0"/>
          <w:numId w:val="73"/>
        </w:numPr>
        <w:spacing w:after="120"/>
        <w:ind w:left="714" w:hanging="357"/>
        <w:rPr>
          <w:rFonts w:ascii="Calibri" w:hAnsi="Calibri"/>
          <w:color w:val="000000"/>
        </w:rPr>
      </w:pPr>
      <w:r w:rsidRPr="001A4322">
        <w:rPr>
          <w:rFonts w:ascii="Calibri" w:eastAsia="Calibri" w:hAnsi="Calibri"/>
          <w:bCs/>
          <w:iCs/>
        </w:rPr>
        <w:lastRenderedPageBreak/>
        <w:t xml:space="preserve">For reporting purposes, </w:t>
      </w:r>
      <w:r w:rsidR="00F06955">
        <w:rPr>
          <w:rFonts w:ascii="Calibri" w:eastAsia="Calibri" w:hAnsi="Calibri"/>
          <w:bCs/>
          <w:iCs/>
        </w:rPr>
        <w:t xml:space="preserve">you must </w:t>
      </w:r>
      <w:r w:rsidRPr="001A4322">
        <w:rPr>
          <w:rFonts w:ascii="Calibri" w:eastAsia="Calibri" w:hAnsi="Calibri"/>
          <w:bCs/>
          <w:iCs/>
        </w:rPr>
        <w:t>disclose the amount you have used to reduce the position risk amount for written options</w:t>
      </w:r>
      <w:r w:rsidR="00DC6E05">
        <w:rPr>
          <w:rFonts w:ascii="Calibri" w:eastAsia="Calibri" w:hAnsi="Calibri"/>
          <w:bCs/>
          <w:iCs/>
        </w:rPr>
        <w:t>.</w:t>
      </w:r>
    </w:p>
    <w:p w14:paraId="28647AF9" w14:textId="3F731CF0" w:rsidR="00DC6E05" w:rsidRPr="001A4322" w:rsidRDefault="00DC6E05" w:rsidP="00D3615D">
      <w:pPr>
        <w:pStyle w:val="ListParagraph"/>
        <w:numPr>
          <w:ilvl w:val="0"/>
          <w:numId w:val="73"/>
        </w:numPr>
        <w:spacing w:after="120"/>
        <w:ind w:left="714" w:hanging="357"/>
        <w:rPr>
          <w:rFonts w:ascii="Calibri" w:hAnsi="Calibri"/>
          <w:color w:val="000000"/>
        </w:rPr>
      </w:pPr>
      <w:r>
        <w:rPr>
          <w:rFonts w:ascii="Calibri" w:eastAsia="Calibri" w:hAnsi="Calibri"/>
          <w:bCs/>
          <w:iCs/>
        </w:rPr>
        <w:t>You can only select each country once so all similar country amounts should be aggregated before being input.</w:t>
      </w:r>
    </w:p>
    <w:p w14:paraId="3E29E8F2" w14:textId="29FC25E8" w:rsidR="00DC6E05" w:rsidRPr="001A4322" w:rsidRDefault="00DC6E05" w:rsidP="00D3615D">
      <w:pPr>
        <w:pStyle w:val="ListParagraph"/>
        <w:numPr>
          <w:ilvl w:val="0"/>
          <w:numId w:val="73"/>
        </w:numPr>
        <w:spacing w:after="120"/>
        <w:ind w:left="714" w:hanging="357"/>
        <w:rPr>
          <w:rFonts w:ascii="Calibri" w:hAnsi="Calibri"/>
          <w:color w:val="000000"/>
        </w:rPr>
      </w:pPr>
      <w:r>
        <w:rPr>
          <w:rFonts w:ascii="Calibri" w:eastAsia="Calibri" w:hAnsi="Calibri"/>
          <w:bCs/>
          <w:iCs/>
        </w:rPr>
        <w:t>Enter the risk amount with the Position Risk Factor applied for mark-to-market value of underlying</w:t>
      </w:r>
      <w:r w:rsidR="002720AF">
        <w:rPr>
          <w:rFonts w:ascii="Calibri" w:eastAsia="Calibri" w:hAnsi="Calibri"/>
          <w:bCs/>
          <w:iCs/>
        </w:rPr>
        <w:t>.</w:t>
      </w:r>
    </w:p>
    <w:p w14:paraId="3ED2FDF8" w14:textId="69B01DA5" w:rsidR="00DC6E05" w:rsidRPr="001A4322" w:rsidRDefault="00DC6E05" w:rsidP="00D3615D">
      <w:pPr>
        <w:pStyle w:val="ListParagraph"/>
        <w:numPr>
          <w:ilvl w:val="0"/>
          <w:numId w:val="73"/>
        </w:numPr>
        <w:spacing w:after="120"/>
        <w:ind w:left="714" w:hanging="357"/>
        <w:rPr>
          <w:rFonts w:ascii="Calibri" w:hAnsi="Calibri"/>
          <w:color w:val="000000"/>
        </w:rPr>
      </w:pPr>
      <w:r>
        <w:rPr>
          <w:rFonts w:ascii="Calibri" w:eastAsia="Calibri" w:hAnsi="Calibri"/>
          <w:bCs/>
          <w:iCs/>
        </w:rPr>
        <w:t>Where you have multiple purchased options positions, you must determine the lesser of the aggregate ‘mark-to-market value of underlying’ and the aggrega</w:t>
      </w:r>
      <w:r w:rsidR="009254BB">
        <w:rPr>
          <w:rFonts w:ascii="Calibri" w:eastAsia="Calibri" w:hAnsi="Calibri"/>
          <w:bCs/>
          <w:iCs/>
        </w:rPr>
        <w:t>te ‘mark-to-market value of the option’ prior to entering the risk amount.</w:t>
      </w:r>
    </w:p>
    <w:p w14:paraId="6AC93C47" w14:textId="0C7440D2" w:rsidR="00A10C47" w:rsidRPr="00930407" w:rsidRDefault="00A10C47" w:rsidP="00D3615D">
      <w:pPr>
        <w:keepNext/>
        <w:spacing w:before="240" w:after="120"/>
        <w:outlineLvl w:val="3"/>
        <w:rPr>
          <w:rFonts w:ascii="Calibri" w:hAnsi="Calibri" w:cs="Helvetica"/>
          <w:b/>
          <w:sz w:val="24"/>
          <w:szCs w:val="24"/>
          <w:lang w:val="en"/>
        </w:rPr>
      </w:pPr>
      <w:r w:rsidRPr="00930407">
        <w:rPr>
          <w:rFonts w:ascii="Calibri" w:hAnsi="Calibri" w:cs="Helvetica"/>
          <w:b/>
          <w:sz w:val="24"/>
          <w:szCs w:val="24"/>
          <w:lang w:val="en"/>
        </w:rPr>
        <w:t>Equity principal concentration</w:t>
      </w:r>
    </w:p>
    <w:tbl>
      <w:tblPr>
        <w:tblW w:w="13887" w:type="dxa"/>
        <w:tblLayout w:type="fixed"/>
        <w:tblLook w:val="04A0" w:firstRow="1" w:lastRow="0" w:firstColumn="1" w:lastColumn="0" w:noHBand="0" w:noVBand="1"/>
      </w:tblPr>
      <w:tblGrid>
        <w:gridCol w:w="3800"/>
        <w:gridCol w:w="2521"/>
        <w:gridCol w:w="2522"/>
        <w:gridCol w:w="2522"/>
        <w:gridCol w:w="2522"/>
      </w:tblGrid>
      <w:tr w:rsidR="00A10C47" w:rsidRPr="00E95745" w14:paraId="6695AAAB" w14:textId="77777777" w:rsidTr="00D3615D">
        <w:trPr>
          <w:trHeight w:val="577"/>
        </w:trPr>
        <w:tc>
          <w:tcPr>
            <w:tcW w:w="3800" w:type="dxa"/>
            <w:tcBorders>
              <w:top w:val="single" w:sz="4" w:space="0" w:color="auto"/>
              <w:left w:val="single" w:sz="4" w:space="0" w:color="auto"/>
              <w:bottom w:val="single" w:sz="4" w:space="0" w:color="auto"/>
              <w:right w:val="single" w:sz="4" w:space="0" w:color="auto"/>
            </w:tcBorders>
            <w:shd w:val="clear" w:color="auto" w:fill="0070C0"/>
            <w:hideMark/>
          </w:tcPr>
          <w:p w14:paraId="2A60FB6A" w14:textId="37D4B1D2" w:rsidR="00A10C47" w:rsidRPr="00E95745" w:rsidRDefault="00A10C47" w:rsidP="00D3615D">
            <w:pPr>
              <w:spacing w:before="40" w:after="120"/>
              <w:rPr>
                <w:rFonts w:ascii="Calibri" w:hAnsi="Calibri"/>
                <w:b/>
                <w:bCs/>
                <w:color w:val="FFFFFF"/>
              </w:rPr>
            </w:pPr>
            <w:r w:rsidRPr="00E95745">
              <w:rPr>
                <w:rFonts w:ascii="Calibri" w:hAnsi="Calibri"/>
                <w:b/>
                <w:bCs/>
                <w:color w:val="FFFFFF"/>
              </w:rPr>
              <w:t xml:space="preserve">Security </w:t>
            </w:r>
            <w:r>
              <w:rPr>
                <w:rFonts w:ascii="Calibri" w:hAnsi="Calibri"/>
                <w:b/>
                <w:bCs/>
                <w:color w:val="FFFFFF"/>
              </w:rPr>
              <w:t>c</w:t>
            </w:r>
            <w:r w:rsidRPr="00E95745">
              <w:rPr>
                <w:rFonts w:ascii="Calibri" w:hAnsi="Calibri"/>
                <w:b/>
                <w:bCs/>
                <w:color w:val="FFFFFF"/>
              </w:rPr>
              <w:t>ode (or description if code not applicable)</w:t>
            </w:r>
          </w:p>
        </w:tc>
        <w:tc>
          <w:tcPr>
            <w:tcW w:w="2521" w:type="dxa"/>
            <w:tcBorders>
              <w:top w:val="single" w:sz="4" w:space="0" w:color="auto"/>
              <w:left w:val="single" w:sz="4" w:space="0" w:color="auto"/>
              <w:bottom w:val="single" w:sz="4" w:space="0" w:color="auto"/>
              <w:right w:val="single" w:sz="4" w:space="0" w:color="auto"/>
            </w:tcBorders>
            <w:shd w:val="clear" w:color="auto" w:fill="0070C0"/>
            <w:hideMark/>
          </w:tcPr>
          <w:p w14:paraId="6599CF19" w14:textId="73ABAF55" w:rsidR="00A10C47" w:rsidRPr="00E95745" w:rsidRDefault="00A10C47" w:rsidP="00D3615D">
            <w:pPr>
              <w:spacing w:before="40" w:after="120"/>
              <w:rPr>
                <w:rFonts w:ascii="Calibri" w:hAnsi="Calibri"/>
                <w:b/>
                <w:bCs/>
                <w:color w:val="FFFFFF"/>
              </w:rPr>
            </w:pPr>
            <w:r w:rsidRPr="00E95745">
              <w:rPr>
                <w:rFonts w:ascii="Calibri" w:hAnsi="Calibri"/>
                <w:b/>
                <w:bCs/>
                <w:color w:val="FFFFFF"/>
              </w:rPr>
              <w:t>Country</w:t>
            </w:r>
          </w:p>
        </w:tc>
        <w:tc>
          <w:tcPr>
            <w:tcW w:w="2522" w:type="dxa"/>
            <w:tcBorders>
              <w:top w:val="single" w:sz="4" w:space="0" w:color="auto"/>
              <w:left w:val="single" w:sz="4" w:space="0" w:color="auto"/>
              <w:bottom w:val="single" w:sz="4" w:space="0" w:color="auto"/>
              <w:right w:val="single" w:sz="4" w:space="0" w:color="auto"/>
            </w:tcBorders>
            <w:shd w:val="clear" w:color="auto" w:fill="0070C0"/>
            <w:hideMark/>
          </w:tcPr>
          <w:p w14:paraId="58AAD7C2" w14:textId="77777777" w:rsidR="00A10C47" w:rsidRPr="00E95745" w:rsidRDefault="00A10C47" w:rsidP="00D3615D">
            <w:pPr>
              <w:spacing w:before="40" w:after="120"/>
              <w:rPr>
                <w:rFonts w:ascii="Calibri" w:hAnsi="Calibri"/>
                <w:b/>
                <w:bCs/>
                <w:color w:val="FFFFFF"/>
              </w:rPr>
            </w:pPr>
            <w:r w:rsidRPr="00E95745">
              <w:rPr>
                <w:rFonts w:ascii="Calibri" w:hAnsi="Calibri"/>
                <w:b/>
                <w:bCs/>
                <w:color w:val="FFFFFF"/>
              </w:rPr>
              <w:t>Equity Net Position (Liquid)</w:t>
            </w:r>
          </w:p>
        </w:tc>
        <w:tc>
          <w:tcPr>
            <w:tcW w:w="2522" w:type="dxa"/>
            <w:tcBorders>
              <w:top w:val="single" w:sz="4" w:space="0" w:color="auto"/>
              <w:left w:val="single" w:sz="4" w:space="0" w:color="auto"/>
              <w:bottom w:val="single" w:sz="4" w:space="0" w:color="auto"/>
              <w:right w:val="single" w:sz="4" w:space="0" w:color="auto"/>
            </w:tcBorders>
            <w:shd w:val="clear" w:color="auto" w:fill="0070C0"/>
            <w:hideMark/>
          </w:tcPr>
          <w:p w14:paraId="2D2419F9" w14:textId="77777777" w:rsidR="00A10C47" w:rsidRPr="00E95745" w:rsidRDefault="00A10C47" w:rsidP="00D3615D">
            <w:pPr>
              <w:spacing w:before="40" w:after="120"/>
              <w:rPr>
                <w:rFonts w:ascii="Calibri" w:hAnsi="Calibri"/>
                <w:b/>
                <w:bCs/>
                <w:color w:val="FFFFFF"/>
              </w:rPr>
            </w:pPr>
            <w:r w:rsidRPr="00E95745">
              <w:rPr>
                <w:rFonts w:ascii="Calibri" w:hAnsi="Calibri"/>
                <w:b/>
                <w:bCs/>
                <w:color w:val="FFFFFF"/>
              </w:rPr>
              <w:t>Equity Net Position (Illiquid)</w:t>
            </w:r>
          </w:p>
        </w:tc>
        <w:tc>
          <w:tcPr>
            <w:tcW w:w="2522" w:type="dxa"/>
            <w:tcBorders>
              <w:top w:val="single" w:sz="4" w:space="0" w:color="auto"/>
              <w:left w:val="single" w:sz="4" w:space="0" w:color="auto"/>
              <w:bottom w:val="single" w:sz="4" w:space="0" w:color="auto"/>
              <w:right w:val="single" w:sz="4" w:space="0" w:color="auto"/>
            </w:tcBorders>
            <w:shd w:val="clear" w:color="auto" w:fill="0070C0"/>
            <w:noWrap/>
            <w:hideMark/>
          </w:tcPr>
          <w:p w14:paraId="5D053FE5" w14:textId="77777777" w:rsidR="00A10C47" w:rsidRPr="00E95745" w:rsidRDefault="00A10C47" w:rsidP="00D3615D">
            <w:pPr>
              <w:spacing w:before="40" w:after="120"/>
              <w:rPr>
                <w:rFonts w:ascii="Calibri" w:hAnsi="Calibri"/>
                <w:b/>
                <w:bCs/>
                <w:color w:val="FFFFFF"/>
              </w:rPr>
            </w:pPr>
            <w:r w:rsidRPr="00E95745">
              <w:rPr>
                <w:rFonts w:ascii="Calibri" w:hAnsi="Calibri"/>
                <w:b/>
                <w:bCs/>
                <w:color w:val="FFFFFF"/>
              </w:rPr>
              <w:t xml:space="preserve">Total </w:t>
            </w:r>
            <w:r>
              <w:rPr>
                <w:rFonts w:ascii="Calibri" w:hAnsi="Calibri"/>
                <w:b/>
                <w:bCs/>
                <w:color w:val="FFFFFF"/>
              </w:rPr>
              <w:t>p</w:t>
            </w:r>
            <w:r w:rsidRPr="00E95745">
              <w:rPr>
                <w:rFonts w:ascii="Calibri" w:hAnsi="Calibri"/>
                <w:b/>
                <w:bCs/>
                <w:color w:val="FFFFFF"/>
              </w:rPr>
              <w:t>osition</w:t>
            </w:r>
          </w:p>
        </w:tc>
      </w:tr>
      <w:tr w:rsidR="00A10C47" w:rsidRPr="00E95745" w14:paraId="7365C096" w14:textId="77777777" w:rsidTr="00D3615D">
        <w:trPr>
          <w:trHeight w:val="288"/>
        </w:trPr>
        <w:tc>
          <w:tcPr>
            <w:tcW w:w="3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C159B6" w14:textId="0ABD681C" w:rsidR="00A10C47" w:rsidRPr="00E95745" w:rsidRDefault="00A10C47" w:rsidP="00D3615D">
            <w:pPr>
              <w:spacing w:after="120"/>
              <w:rPr>
                <w:rFonts w:ascii="Calibri" w:hAnsi="Calibri"/>
                <w:b/>
                <w:bCs/>
                <w:color w:val="000000"/>
              </w:rPr>
            </w:pPr>
            <w:r w:rsidRPr="00E95745">
              <w:rPr>
                <w:rFonts w:ascii="Calibri" w:hAnsi="Calibri"/>
                <w:b/>
                <w:bCs/>
                <w:color w:val="000000"/>
              </w:rPr>
              <w:t> </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B4AB3" w14:textId="0567D2D2" w:rsidR="00A10C47" w:rsidRPr="00E95745" w:rsidRDefault="00A10C47" w:rsidP="00D3615D">
            <w:pPr>
              <w:spacing w:after="120"/>
              <w:rPr>
                <w:rFonts w:ascii="Calibri" w:hAnsi="Calibri"/>
                <w:b/>
                <w:bCs/>
                <w:color w:val="000000"/>
              </w:rPr>
            </w:pPr>
            <w:r w:rsidRPr="00E95745">
              <w:rPr>
                <w:rFonts w:ascii="Calibri" w:hAnsi="Calibri"/>
                <w:b/>
                <w:bCs/>
                <w:color w:val="000000"/>
              </w:rPr>
              <w:t> </w:t>
            </w:r>
          </w:p>
        </w:tc>
        <w:tc>
          <w:tcPr>
            <w:tcW w:w="2522" w:type="dxa"/>
            <w:tcBorders>
              <w:top w:val="single" w:sz="4" w:space="0" w:color="auto"/>
              <w:left w:val="single" w:sz="4" w:space="0" w:color="auto"/>
              <w:bottom w:val="single" w:sz="4" w:space="0" w:color="auto"/>
              <w:right w:val="single" w:sz="4" w:space="0" w:color="auto"/>
            </w:tcBorders>
            <w:shd w:val="clear" w:color="auto" w:fill="auto"/>
            <w:vAlign w:val="bottom"/>
          </w:tcPr>
          <w:p w14:paraId="6A8D759D" w14:textId="1C61A9AD" w:rsidR="00A10C47" w:rsidRPr="00E95745" w:rsidRDefault="00A10C47" w:rsidP="00D3615D">
            <w:pPr>
              <w:spacing w:after="120"/>
              <w:rPr>
                <w:rFonts w:ascii="Calibri" w:hAnsi="Calibri"/>
                <w:bCs/>
                <w:color w:val="000000"/>
              </w:rPr>
            </w:pPr>
          </w:p>
        </w:tc>
        <w:tc>
          <w:tcPr>
            <w:tcW w:w="2522" w:type="dxa"/>
            <w:tcBorders>
              <w:top w:val="single" w:sz="4" w:space="0" w:color="auto"/>
              <w:left w:val="single" w:sz="4" w:space="0" w:color="auto"/>
              <w:bottom w:val="single" w:sz="4" w:space="0" w:color="auto"/>
              <w:right w:val="single" w:sz="4" w:space="0" w:color="auto"/>
            </w:tcBorders>
            <w:shd w:val="clear" w:color="auto" w:fill="auto"/>
            <w:vAlign w:val="bottom"/>
          </w:tcPr>
          <w:p w14:paraId="4FE5F7E7" w14:textId="066CF0E1" w:rsidR="00A10C47" w:rsidRPr="00E95745" w:rsidRDefault="00A10C47" w:rsidP="00D3615D">
            <w:pPr>
              <w:spacing w:after="120"/>
              <w:rPr>
                <w:rFonts w:ascii="Calibri" w:hAnsi="Calibri"/>
                <w:bCs/>
                <w:color w:val="000000"/>
              </w:rPr>
            </w:pP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43A06" w14:textId="5C3C0A88" w:rsidR="00A10C47" w:rsidRPr="004C1E44" w:rsidRDefault="00A10C47" w:rsidP="00D3615D">
            <w:pPr>
              <w:spacing w:after="120"/>
              <w:rPr>
                <w:rFonts w:ascii="Calibri" w:hAnsi="Calibri"/>
                <w:bCs/>
              </w:rPr>
            </w:pPr>
          </w:p>
        </w:tc>
      </w:tr>
      <w:tr w:rsidR="00A10C47" w:rsidRPr="00E95745" w14:paraId="4A041CCB" w14:textId="77777777" w:rsidTr="00D3615D">
        <w:trPr>
          <w:trHeight w:val="303"/>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00C5C" w14:textId="77777777" w:rsidR="00A10C47" w:rsidRPr="00E95745" w:rsidRDefault="00A10C47" w:rsidP="00D3615D">
            <w:pPr>
              <w:spacing w:after="120"/>
              <w:rPr>
                <w:rFonts w:ascii="Calibri" w:hAnsi="Calibri"/>
                <w:b/>
                <w:bCs/>
                <w:color w:val="000000"/>
              </w:rPr>
            </w:pPr>
            <w:r w:rsidRPr="00E95745">
              <w:rPr>
                <w:rFonts w:ascii="Calibri" w:hAnsi="Calibri"/>
                <w:b/>
                <w:bCs/>
                <w:color w:val="000000"/>
              </w:rPr>
              <w:t>Total</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70375" w14:textId="6FA54D81" w:rsidR="00A10C47" w:rsidRPr="004C1E44" w:rsidRDefault="00A10C47" w:rsidP="00D3615D">
            <w:pPr>
              <w:spacing w:after="120"/>
              <w:rPr>
                <w:rFonts w:ascii="Calibri" w:hAnsi="Calibri"/>
                <w:b/>
                <w:bCs/>
              </w:rPr>
            </w:pP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C77C5" w14:textId="77777777" w:rsidR="00A10C47" w:rsidRPr="00E95745" w:rsidRDefault="00A10C47" w:rsidP="00D3615D">
            <w:pPr>
              <w:spacing w:after="120"/>
              <w:rPr>
                <w:rFonts w:ascii="Calibri" w:hAnsi="Calibri"/>
                <w:color w:val="000000"/>
              </w:rPr>
            </w:pPr>
            <w:r w:rsidRPr="00E95745">
              <w:rPr>
                <w:rFonts w:ascii="Calibri" w:hAnsi="Calibri"/>
                <w:color w:val="000000"/>
              </w:rPr>
              <w:t> </w:t>
            </w: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B995B" w14:textId="77777777" w:rsidR="00A10C47" w:rsidRPr="00E95745" w:rsidRDefault="00A10C47" w:rsidP="00D3615D">
            <w:pPr>
              <w:spacing w:after="120"/>
              <w:rPr>
                <w:rFonts w:ascii="Calibri" w:hAnsi="Calibri"/>
                <w:color w:val="000000"/>
              </w:rPr>
            </w:pPr>
            <w:r w:rsidRPr="00E95745">
              <w:rPr>
                <w:rFonts w:ascii="Calibri" w:hAnsi="Calibri"/>
                <w:color w:val="000000"/>
              </w:rPr>
              <w:t> </w:t>
            </w: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71B43" w14:textId="77777777" w:rsidR="00A10C47" w:rsidRPr="00E95745" w:rsidRDefault="00A10C47" w:rsidP="00D3615D">
            <w:pPr>
              <w:spacing w:after="120"/>
              <w:rPr>
                <w:rFonts w:ascii="Calibri" w:hAnsi="Calibri"/>
                <w:color w:val="000000"/>
              </w:rPr>
            </w:pPr>
            <w:r w:rsidRPr="00E95745">
              <w:rPr>
                <w:rFonts w:ascii="Calibri" w:hAnsi="Calibri"/>
                <w:color w:val="000000"/>
              </w:rPr>
              <w:t> </w:t>
            </w:r>
          </w:p>
        </w:tc>
      </w:tr>
    </w:tbl>
    <w:p w14:paraId="1966642D" w14:textId="77777777" w:rsidR="007D7C66" w:rsidRPr="00D3615D" w:rsidRDefault="007D7C66" w:rsidP="00D3615D">
      <w:pPr>
        <w:spacing w:after="0"/>
        <w:rPr>
          <w:rFonts w:ascii="Calibri" w:hAnsi="Calibri"/>
          <w:color w:val="000000"/>
          <w:sz w:val="16"/>
          <w:szCs w:val="16"/>
        </w:rPr>
      </w:pPr>
    </w:p>
    <w:p w14:paraId="4783DBDE" w14:textId="369DB3F0" w:rsidR="004F41C1" w:rsidRPr="00E95745" w:rsidRDefault="004F41C1" w:rsidP="00D3615D">
      <w:pPr>
        <w:numPr>
          <w:ilvl w:val="0"/>
          <w:numId w:val="74"/>
        </w:numPr>
        <w:spacing w:after="120"/>
        <w:ind w:left="714" w:hanging="357"/>
        <w:rPr>
          <w:rFonts w:ascii="Calibri" w:hAnsi="Calibri"/>
        </w:rPr>
      </w:pPr>
      <w:r w:rsidRPr="00E95745">
        <w:rPr>
          <w:rFonts w:ascii="Calibri" w:hAnsi="Calibri"/>
        </w:rPr>
        <w:t xml:space="preserve">Detail the 5 </w:t>
      </w:r>
      <w:r>
        <w:rPr>
          <w:rFonts w:ascii="Calibri" w:hAnsi="Calibri"/>
        </w:rPr>
        <w:t>E</w:t>
      </w:r>
      <w:r w:rsidRPr="00E95745">
        <w:rPr>
          <w:rFonts w:ascii="Calibri" w:hAnsi="Calibri"/>
        </w:rPr>
        <w:t xml:space="preserve">quity </w:t>
      </w:r>
      <w:r>
        <w:rPr>
          <w:rFonts w:ascii="Calibri" w:hAnsi="Calibri"/>
        </w:rPr>
        <w:t>N</w:t>
      </w:r>
      <w:r w:rsidRPr="00E95745">
        <w:rPr>
          <w:rFonts w:ascii="Calibri" w:hAnsi="Calibri"/>
        </w:rPr>
        <w:t xml:space="preserve">et </w:t>
      </w:r>
      <w:r>
        <w:rPr>
          <w:rFonts w:ascii="Calibri" w:hAnsi="Calibri"/>
        </w:rPr>
        <w:t>P</w:t>
      </w:r>
      <w:r w:rsidRPr="00E95745">
        <w:rPr>
          <w:rFonts w:ascii="Calibri" w:hAnsi="Calibri"/>
        </w:rPr>
        <w:t>ositions that comprise the greatest percentage of the total gross value of the equity portfolio</w:t>
      </w:r>
      <w:r>
        <w:rPr>
          <w:rFonts w:ascii="Calibri" w:hAnsi="Calibri"/>
        </w:rPr>
        <w:t>.</w:t>
      </w:r>
    </w:p>
    <w:p w14:paraId="6F7E568C" w14:textId="4B64B817" w:rsidR="004F41C1" w:rsidRDefault="004F41C1" w:rsidP="00D3615D">
      <w:pPr>
        <w:numPr>
          <w:ilvl w:val="0"/>
          <w:numId w:val="74"/>
        </w:numPr>
        <w:spacing w:after="120"/>
        <w:ind w:left="714" w:hanging="357"/>
        <w:rPr>
          <w:rFonts w:ascii="Calibri" w:hAnsi="Calibri"/>
        </w:rPr>
      </w:pPr>
      <w:r w:rsidRPr="00E95745">
        <w:rPr>
          <w:rFonts w:ascii="Calibri" w:hAnsi="Calibri"/>
        </w:rPr>
        <w:t xml:space="preserve">If the position is </w:t>
      </w:r>
      <w:r>
        <w:rPr>
          <w:rFonts w:ascii="Calibri" w:hAnsi="Calibri"/>
        </w:rPr>
        <w:t xml:space="preserve">a </w:t>
      </w:r>
      <w:r w:rsidRPr="00E95745">
        <w:rPr>
          <w:rFonts w:ascii="Calibri" w:hAnsi="Calibri"/>
        </w:rPr>
        <w:t xml:space="preserve">listed security then please enter the </w:t>
      </w:r>
      <w:r>
        <w:rPr>
          <w:rFonts w:ascii="Calibri" w:hAnsi="Calibri"/>
        </w:rPr>
        <w:t>market</w:t>
      </w:r>
      <w:r w:rsidRPr="00E95745">
        <w:rPr>
          <w:rFonts w:ascii="Calibri" w:hAnsi="Calibri"/>
        </w:rPr>
        <w:t xml:space="preserve"> code (e.g. TLS for Telstra Corporation Limited). If not, enter the name of the issuer, security code if listed and type of security.</w:t>
      </w:r>
    </w:p>
    <w:p w14:paraId="62E77FC5" w14:textId="7919A5C7" w:rsidR="00A10C47" w:rsidRPr="00930407" w:rsidRDefault="004F41C1" w:rsidP="00D3615D">
      <w:pPr>
        <w:numPr>
          <w:ilvl w:val="0"/>
          <w:numId w:val="74"/>
        </w:numPr>
        <w:spacing w:after="360"/>
        <w:ind w:left="714" w:hanging="357"/>
        <w:rPr>
          <w:rFonts w:ascii="Calibri" w:hAnsi="Calibri"/>
        </w:rPr>
      </w:pPr>
      <w:r w:rsidRPr="004F41C1">
        <w:rPr>
          <w:rFonts w:ascii="Calibri" w:hAnsi="Calibri"/>
        </w:rPr>
        <w:t>If you enter an equity net position for a security which is not listed on a Market, use the comment section to provide details of how you have assessed this position as Liquid as per the definition in the ASIC Market Integrity Rules.</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tblGrid>
      <w:tr w:rsidR="004F41C1" w:rsidRPr="00E95745" w14:paraId="6BC317E9" w14:textId="238F3270" w:rsidTr="00D3615D">
        <w:tc>
          <w:tcPr>
            <w:tcW w:w="6101" w:type="dxa"/>
            <w:tcBorders>
              <w:top w:val="single" w:sz="4" w:space="0" w:color="auto"/>
              <w:left w:val="single" w:sz="4" w:space="0" w:color="auto"/>
              <w:bottom w:val="single" w:sz="4" w:space="0" w:color="auto"/>
              <w:right w:val="single" w:sz="4" w:space="0" w:color="auto"/>
            </w:tcBorders>
            <w:shd w:val="clear" w:color="auto" w:fill="0070C0"/>
            <w:vAlign w:val="center"/>
          </w:tcPr>
          <w:p w14:paraId="20EE29B7" w14:textId="725AE1A4" w:rsidR="004F41C1" w:rsidRPr="00E95745" w:rsidRDefault="004F41C1" w:rsidP="007D7C66">
            <w:pPr>
              <w:rPr>
                <w:rFonts w:ascii="Calibri" w:eastAsia="Calibri" w:hAnsi="Calibri" w:cs="Times New Roman"/>
                <w:b/>
                <w:bCs/>
                <w:iCs/>
                <w:color w:val="FFFFFF"/>
              </w:rPr>
            </w:pPr>
            <w:r w:rsidRPr="00E95745">
              <w:rPr>
                <w:rFonts w:ascii="Calibri" w:eastAsia="Calibri" w:hAnsi="Calibri" w:cs="Times New Roman"/>
                <w:b/>
                <w:bCs/>
                <w:iCs/>
                <w:color w:val="FFFFFF"/>
              </w:rPr>
              <w:t>Comments</w:t>
            </w:r>
          </w:p>
        </w:tc>
      </w:tr>
      <w:tr w:rsidR="004F41C1" w:rsidRPr="00E95745" w14:paraId="63FDF8A6" w14:textId="20FC7444" w:rsidTr="003A1BE7">
        <w:tc>
          <w:tcPr>
            <w:tcW w:w="6101" w:type="dxa"/>
            <w:tcBorders>
              <w:top w:val="single" w:sz="4" w:space="0" w:color="auto"/>
              <w:left w:val="single" w:sz="4" w:space="0" w:color="auto"/>
              <w:bottom w:val="single" w:sz="4" w:space="0" w:color="auto"/>
              <w:right w:val="single" w:sz="4" w:space="0" w:color="auto"/>
            </w:tcBorders>
          </w:tcPr>
          <w:p w14:paraId="36793BF5" w14:textId="09A5237A" w:rsidR="004F41C1" w:rsidRPr="00E95745" w:rsidRDefault="004F41C1" w:rsidP="003A1BE7">
            <w:pPr>
              <w:rPr>
                <w:rFonts w:ascii="Calibri" w:eastAsia="Calibri" w:hAnsi="Calibri" w:cs="Times New Roman"/>
                <w:b/>
                <w:bCs/>
                <w:iCs/>
              </w:rPr>
            </w:pPr>
            <w:r w:rsidRPr="00E95745">
              <w:rPr>
                <w:rFonts w:ascii="Calibri" w:eastAsia="Calibri" w:hAnsi="Calibri"/>
                <w:noProof/>
                <w:color w:val="984806"/>
              </w:rPr>
              <w:drawing>
                <wp:inline distT="0" distB="0" distL="0" distR="0" wp14:anchorId="2138DF8F" wp14:editId="1DE52FF7">
                  <wp:extent cx="3590925" cy="1228725"/>
                  <wp:effectExtent l="0" t="0" r="9525" b="9525"/>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619320" cy="1238441"/>
                          </a:xfrm>
                          <a:prstGeom prst="rect">
                            <a:avLst/>
                          </a:prstGeom>
                          <a:noFill/>
                          <a:ln>
                            <a:noFill/>
                          </a:ln>
                        </pic:spPr>
                      </pic:pic>
                    </a:graphicData>
                  </a:graphic>
                </wp:inline>
              </w:drawing>
            </w:r>
          </w:p>
        </w:tc>
      </w:tr>
    </w:tbl>
    <w:p w14:paraId="0014FDDC" w14:textId="6046F700" w:rsidR="004F41C1" w:rsidRPr="00930407" w:rsidRDefault="004F41C1" w:rsidP="00D3615D">
      <w:pPr>
        <w:keepNext/>
        <w:spacing w:before="240" w:after="120"/>
        <w:outlineLvl w:val="3"/>
        <w:rPr>
          <w:rFonts w:ascii="Calibri" w:hAnsi="Calibri" w:cs="Helvetica"/>
          <w:b/>
          <w:sz w:val="24"/>
          <w:szCs w:val="24"/>
          <w:lang w:val="en"/>
        </w:rPr>
      </w:pPr>
      <w:r w:rsidRPr="00930407">
        <w:rPr>
          <w:rFonts w:ascii="Calibri" w:hAnsi="Calibri" w:cs="Helvetica"/>
          <w:b/>
          <w:sz w:val="24"/>
          <w:szCs w:val="24"/>
          <w:lang w:val="en"/>
        </w:rPr>
        <w:lastRenderedPageBreak/>
        <w:t>Debt Position Risk – Standard method</w:t>
      </w:r>
    </w:p>
    <w:tbl>
      <w:tblPr>
        <w:tblW w:w="11653" w:type="dxa"/>
        <w:tblLayout w:type="fixed"/>
        <w:tblLook w:val="04A0" w:firstRow="1" w:lastRow="0" w:firstColumn="1" w:lastColumn="0" w:noHBand="0" w:noVBand="1"/>
      </w:tblPr>
      <w:tblGrid>
        <w:gridCol w:w="2911"/>
        <w:gridCol w:w="2914"/>
        <w:gridCol w:w="2914"/>
        <w:gridCol w:w="2914"/>
      </w:tblGrid>
      <w:tr w:rsidR="004F41C1" w:rsidRPr="00E95745" w14:paraId="0CFEAB91" w14:textId="77777777" w:rsidTr="00D3615D">
        <w:trPr>
          <w:trHeight w:val="422"/>
        </w:trPr>
        <w:tc>
          <w:tcPr>
            <w:tcW w:w="2911" w:type="dxa"/>
            <w:tcBorders>
              <w:top w:val="single" w:sz="4" w:space="0" w:color="auto"/>
              <w:left w:val="single" w:sz="4" w:space="0" w:color="auto"/>
              <w:bottom w:val="single" w:sz="4" w:space="0" w:color="auto"/>
              <w:right w:val="single" w:sz="4" w:space="0" w:color="auto"/>
            </w:tcBorders>
            <w:shd w:val="clear" w:color="auto" w:fill="0070C0"/>
            <w:noWrap/>
            <w:hideMark/>
          </w:tcPr>
          <w:p w14:paraId="771E23AF" w14:textId="52073C3D" w:rsidR="004F41C1" w:rsidRPr="00E95745" w:rsidRDefault="004F41C1" w:rsidP="00D3615D">
            <w:pPr>
              <w:spacing w:before="40" w:after="120"/>
              <w:rPr>
                <w:rFonts w:ascii="Calibri" w:hAnsi="Calibri"/>
                <w:b/>
                <w:bCs/>
                <w:color w:val="FFFFFF"/>
              </w:rPr>
            </w:pPr>
            <w:r w:rsidRPr="00E95745">
              <w:rPr>
                <w:rFonts w:ascii="Calibri" w:hAnsi="Calibri"/>
                <w:b/>
                <w:bCs/>
                <w:color w:val="FFFFFF"/>
              </w:rPr>
              <w:t>Currency</w:t>
            </w:r>
          </w:p>
        </w:tc>
        <w:tc>
          <w:tcPr>
            <w:tcW w:w="2914" w:type="dxa"/>
            <w:tcBorders>
              <w:top w:val="single" w:sz="4" w:space="0" w:color="auto"/>
              <w:left w:val="single" w:sz="4" w:space="0" w:color="auto"/>
              <w:bottom w:val="single" w:sz="4" w:space="0" w:color="auto"/>
              <w:right w:val="single" w:sz="4" w:space="0" w:color="auto"/>
            </w:tcBorders>
            <w:shd w:val="clear" w:color="auto" w:fill="0070C0"/>
          </w:tcPr>
          <w:p w14:paraId="5A4BE815" w14:textId="4B004F7E" w:rsidR="004F41C1" w:rsidRPr="00E95745" w:rsidRDefault="004F41C1" w:rsidP="00D3615D">
            <w:pPr>
              <w:spacing w:before="40" w:after="120"/>
              <w:rPr>
                <w:rFonts w:ascii="Calibri" w:hAnsi="Calibri"/>
                <w:b/>
                <w:bCs/>
                <w:color w:val="FFFFFF"/>
              </w:rPr>
            </w:pPr>
            <w:r w:rsidRPr="00E95745">
              <w:rPr>
                <w:rFonts w:ascii="Calibri" w:hAnsi="Calibri"/>
                <w:b/>
                <w:bCs/>
                <w:color w:val="FFFFFF"/>
              </w:rPr>
              <w:t>Coupon</w:t>
            </w:r>
            <w:r w:rsidR="007F63C9">
              <w:rPr>
                <w:rFonts w:ascii="Calibri" w:hAnsi="Calibri"/>
                <w:b/>
                <w:bCs/>
                <w:color w:val="FFFFFF"/>
              </w:rPr>
              <w:t xml:space="preserve"> type</w:t>
            </w:r>
          </w:p>
        </w:tc>
        <w:tc>
          <w:tcPr>
            <w:tcW w:w="2914" w:type="dxa"/>
            <w:tcBorders>
              <w:top w:val="single" w:sz="4" w:space="0" w:color="auto"/>
              <w:left w:val="single" w:sz="4" w:space="0" w:color="auto"/>
              <w:bottom w:val="single" w:sz="4" w:space="0" w:color="auto"/>
              <w:right w:val="single" w:sz="4" w:space="0" w:color="auto"/>
            </w:tcBorders>
            <w:shd w:val="clear" w:color="auto" w:fill="0070C0"/>
          </w:tcPr>
          <w:p w14:paraId="2D13630B" w14:textId="1521175C" w:rsidR="004F41C1" w:rsidRPr="00E95745" w:rsidRDefault="004F41C1" w:rsidP="00D3615D">
            <w:pPr>
              <w:spacing w:before="40" w:after="120"/>
              <w:rPr>
                <w:rFonts w:ascii="Calibri" w:hAnsi="Calibri"/>
                <w:b/>
                <w:bCs/>
                <w:color w:val="FFFFFF"/>
              </w:rPr>
            </w:pPr>
            <w:r w:rsidRPr="00E95745">
              <w:rPr>
                <w:rFonts w:ascii="Calibri" w:hAnsi="Calibri"/>
                <w:b/>
                <w:bCs/>
                <w:color w:val="FFFFFF"/>
              </w:rPr>
              <w:t>Position Risk Factors - %</w:t>
            </w:r>
          </w:p>
        </w:tc>
        <w:tc>
          <w:tcPr>
            <w:tcW w:w="2914" w:type="dxa"/>
            <w:tcBorders>
              <w:top w:val="single" w:sz="4" w:space="0" w:color="auto"/>
              <w:left w:val="single" w:sz="4" w:space="0" w:color="auto"/>
              <w:bottom w:val="single" w:sz="4" w:space="0" w:color="auto"/>
              <w:right w:val="single" w:sz="4" w:space="0" w:color="auto"/>
            </w:tcBorders>
            <w:shd w:val="clear" w:color="auto" w:fill="0070C0"/>
            <w:hideMark/>
          </w:tcPr>
          <w:p w14:paraId="5BCB68AC" w14:textId="267D14AE" w:rsidR="004F41C1" w:rsidRPr="00E95745" w:rsidRDefault="004F41C1" w:rsidP="00D3615D">
            <w:pPr>
              <w:spacing w:before="40" w:after="120"/>
              <w:rPr>
                <w:rFonts w:ascii="Calibri" w:hAnsi="Calibri"/>
                <w:b/>
                <w:bCs/>
                <w:color w:val="FFFFFF"/>
              </w:rPr>
            </w:pPr>
            <w:r w:rsidRPr="00E95745">
              <w:rPr>
                <w:rFonts w:ascii="Calibri" w:hAnsi="Calibri"/>
                <w:b/>
                <w:bCs/>
                <w:color w:val="FFFFFF"/>
              </w:rPr>
              <w:t xml:space="preserve">Position </w:t>
            </w:r>
            <w:r>
              <w:rPr>
                <w:rFonts w:ascii="Calibri" w:hAnsi="Calibri"/>
                <w:b/>
                <w:bCs/>
                <w:color w:val="FFFFFF"/>
              </w:rPr>
              <w:t>r</w:t>
            </w:r>
            <w:r w:rsidRPr="00E95745">
              <w:rPr>
                <w:rFonts w:ascii="Calibri" w:hAnsi="Calibri"/>
                <w:b/>
                <w:bCs/>
                <w:color w:val="FFFFFF"/>
              </w:rPr>
              <w:t xml:space="preserve">isk </w:t>
            </w:r>
            <w:r>
              <w:rPr>
                <w:rFonts w:ascii="Calibri" w:hAnsi="Calibri"/>
                <w:b/>
                <w:bCs/>
                <w:color w:val="FFFFFF"/>
              </w:rPr>
              <w:t>a</w:t>
            </w:r>
            <w:r w:rsidRPr="00E95745">
              <w:rPr>
                <w:rFonts w:ascii="Calibri" w:hAnsi="Calibri"/>
                <w:b/>
                <w:bCs/>
                <w:color w:val="FFFFFF"/>
              </w:rPr>
              <w:t>mount</w:t>
            </w:r>
          </w:p>
        </w:tc>
      </w:tr>
      <w:tr w:rsidR="004F41C1" w:rsidRPr="00E95745" w14:paraId="13156939" w14:textId="77777777" w:rsidTr="00D3615D">
        <w:trPr>
          <w:trHeight w:val="294"/>
        </w:trPr>
        <w:tc>
          <w:tcPr>
            <w:tcW w:w="2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88776" w14:textId="16A98C37" w:rsidR="004F41C1" w:rsidRPr="00E95745" w:rsidRDefault="004F41C1" w:rsidP="00D3615D">
            <w:pPr>
              <w:spacing w:after="100"/>
              <w:rPr>
                <w:rFonts w:ascii="Calibri" w:hAnsi="Calibri"/>
                <w:color w:val="3F3F76"/>
              </w:rPr>
            </w:pPr>
            <w:r w:rsidRPr="00E95745">
              <w:rPr>
                <w:rFonts w:ascii="Calibri" w:hAnsi="Calibri"/>
                <w:color w:val="3F3F76"/>
              </w:rPr>
              <w:t> </w:t>
            </w:r>
          </w:p>
        </w:tc>
        <w:tc>
          <w:tcPr>
            <w:tcW w:w="2914" w:type="dxa"/>
            <w:tcBorders>
              <w:top w:val="single" w:sz="4" w:space="0" w:color="auto"/>
              <w:left w:val="single" w:sz="4" w:space="0" w:color="auto"/>
              <w:bottom w:val="single" w:sz="4" w:space="0" w:color="auto"/>
              <w:right w:val="single" w:sz="4" w:space="0" w:color="auto"/>
            </w:tcBorders>
          </w:tcPr>
          <w:p w14:paraId="5F416CAB" w14:textId="18119690" w:rsidR="004F41C1" w:rsidRPr="00E95745" w:rsidRDefault="004F41C1" w:rsidP="00D3615D">
            <w:pPr>
              <w:spacing w:after="100"/>
              <w:rPr>
                <w:rFonts w:ascii="Calibri" w:hAnsi="Calibri"/>
              </w:rPr>
            </w:pPr>
          </w:p>
        </w:tc>
        <w:tc>
          <w:tcPr>
            <w:tcW w:w="2914" w:type="dxa"/>
            <w:tcBorders>
              <w:top w:val="single" w:sz="4" w:space="0" w:color="auto"/>
              <w:left w:val="single" w:sz="4" w:space="0" w:color="auto"/>
              <w:bottom w:val="single" w:sz="4" w:space="0" w:color="auto"/>
              <w:right w:val="single" w:sz="4" w:space="0" w:color="auto"/>
            </w:tcBorders>
            <w:shd w:val="clear" w:color="auto" w:fill="auto"/>
          </w:tcPr>
          <w:p w14:paraId="6BF2BBCD" w14:textId="77777777" w:rsidR="004F41C1" w:rsidRPr="00E95745" w:rsidRDefault="004F41C1" w:rsidP="00D3615D">
            <w:pPr>
              <w:spacing w:after="100"/>
              <w:rPr>
                <w:rFonts w:ascii="Calibri" w:hAnsi="Calibri"/>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1BA5F3" w14:textId="36CDF933" w:rsidR="004F41C1" w:rsidRPr="00E95745" w:rsidRDefault="004F41C1" w:rsidP="00D3615D">
            <w:pPr>
              <w:spacing w:after="100"/>
              <w:rPr>
                <w:rFonts w:ascii="Calibri" w:hAnsi="Calibri"/>
                <w:color w:val="3F3F76"/>
              </w:rPr>
            </w:pPr>
          </w:p>
        </w:tc>
      </w:tr>
      <w:tr w:rsidR="004F41C1" w:rsidRPr="00E95745" w14:paraId="0E0937A3" w14:textId="77777777" w:rsidTr="00D3615D">
        <w:trPr>
          <w:trHeight w:val="309"/>
        </w:trPr>
        <w:tc>
          <w:tcPr>
            <w:tcW w:w="2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70D86" w14:textId="77777777" w:rsidR="004F41C1" w:rsidRPr="00E95745" w:rsidRDefault="004F41C1" w:rsidP="00D3615D">
            <w:pPr>
              <w:spacing w:after="100"/>
              <w:rPr>
                <w:rFonts w:ascii="Calibri" w:hAnsi="Calibri"/>
                <w:b/>
                <w:color w:val="000000"/>
              </w:rPr>
            </w:pPr>
            <w:r w:rsidRPr="00E95745">
              <w:rPr>
                <w:rFonts w:ascii="Calibri" w:hAnsi="Calibri"/>
                <w:b/>
                <w:color w:val="000000"/>
              </w:rPr>
              <w:t>Total</w:t>
            </w:r>
          </w:p>
        </w:tc>
        <w:tc>
          <w:tcPr>
            <w:tcW w:w="2914" w:type="dxa"/>
            <w:tcBorders>
              <w:top w:val="single" w:sz="4" w:space="0" w:color="auto"/>
              <w:left w:val="single" w:sz="4" w:space="0" w:color="auto"/>
              <w:bottom w:val="single" w:sz="4" w:space="0" w:color="auto"/>
              <w:right w:val="single" w:sz="4" w:space="0" w:color="auto"/>
            </w:tcBorders>
          </w:tcPr>
          <w:p w14:paraId="5C5EA27F" w14:textId="77777777" w:rsidR="004F41C1" w:rsidRPr="00E95745" w:rsidRDefault="004F41C1" w:rsidP="00D3615D">
            <w:pPr>
              <w:spacing w:after="100"/>
              <w:rPr>
                <w:rFonts w:ascii="Calibri" w:hAnsi="Calibri"/>
                <w:b/>
                <w:bCs/>
              </w:rPr>
            </w:pPr>
          </w:p>
        </w:tc>
        <w:tc>
          <w:tcPr>
            <w:tcW w:w="2914" w:type="dxa"/>
            <w:tcBorders>
              <w:top w:val="single" w:sz="4" w:space="0" w:color="auto"/>
              <w:left w:val="single" w:sz="4" w:space="0" w:color="auto"/>
              <w:bottom w:val="single" w:sz="4" w:space="0" w:color="auto"/>
              <w:right w:val="single" w:sz="4" w:space="0" w:color="auto"/>
            </w:tcBorders>
            <w:shd w:val="clear" w:color="auto" w:fill="auto"/>
          </w:tcPr>
          <w:p w14:paraId="358CD3A7" w14:textId="77777777" w:rsidR="004F41C1" w:rsidRPr="00E95745" w:rsidRDefault="004F41C1" w:rsidP="00D3615D">
            <w:pPr>
              <w:spacing w:after="100"/>
              <w:rPr>
                <w:rFonts w:ascii="Calibri" w:hAnsi="Calibri"/>
                <w:b/>
                <w:bCs/>
              </w:rPr>
            </w:pPr>
          </w:p>
        </w:tc>
        <w:tc>
          <w:tcPr>
            <w:tcW w:w="2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08E9F" w14:textId="374ECF71" w:rsidR="004F41C1" w:rsidRPr="004C1E44" w:rsidRDefault="004F41C1" w:rsidP="00D3615D">
            <w:pPr>
              <w:spacing w:after="100"/>
              <w:rPr>
                <w:rFonts w:ascii="Calibri" w:hAnsi="Calibri"/>
                <w:b/>
                <w:bCs/>
              </w:rPr>
            </w:pPr>
          </w:p>
        </w:tc>
      </w:tr>
    </w:tbl>
    <w:p w14:paraId="562D75A7" w14:textId="77777777" w:rsidR="007D7C66" w:rsidRPr="00D3615D" w:rsidRDefault="007D7C66" w:rsidP="00D3615D">
      <w:pPr>
        <w:spacing w:after="0"/>
        <w:rPr>
          <w:rFonts w:ascii="Calibri" w:hAnsi="Calibri"/>
          <w:color w:val="000000"/>
          <w:sz w:val="6"/>
          <w:szCs w:val="6"/>
        </w:rPr>
      </w:pPr>
    </w:p>
    <w:p w14:paraId="1D7EA22E" w14:textId="5A9B7542" w:rsidR="004F41C1" w:rsidRDefault="004F41C1" w:rsidP="00D3615D">
      <w:pPr>
        <w:pStyle w:val="ListParagraph"/>
        <w:numPr>
          <w:ilvl w:val="0"/>
          <w:numId w:val="74"/>
        </w:numPr>
        <w:spacing w:after="120"/>
        <w:ind w:left="714" w:hanging="357"/>
        <w:rPr>
          <w:rFonts w:ascii="Calibri" w:hAnsi="Calibri"/>
          <w:color w:val="000000"/>
        </w:rPr>
      </w:pPr>
      <w:r w:rsidRPr="001A4322">
        <w:rPr>
          <w:rFonts w:ascii="Calibri" w:hAnsi="Calibri"/>
          <w:color w:val="000000"/>
        </w:rPr>
        <w:t>Enter risk amount with Position Risk Factor applied</w:t>
      </w:r>
      <w:r w:rsidR="00236DAA">
        <w:rPr>
          <w:rFonts w:ascii="Calibri" w:hAnsi="Calibri"/>
          <w:color w:val="000000"/>
        </w:rPr>
        <w:t>.</w:t>
      </w:r>
    </w:p>
    <w:p w14:paraId="7D5D666D" w14:textId="32B8A5FE" w:rsidR="00DC6E05" w:rsidRPr="001A4322" w:rsidRDefault="00DC6E05" w:rsidP="00D3615D">
      <w:pPr>
        <w:pStyle w:val="ListParagraph"/>
        <w:numPr>
          <w:ilvl w:val="0"/>
          <w:numId w:val="74"/>
        </w:numPr>
        <w:spacing w:after="120"/>
        <w:ind w:left="714" w:hanging="357"/>
        <w:rPr>
          <w:rFonts w:ascii="Calibri" w:hAnsi="Calibri"/>
          <w:color w:val="000000"/>
        </w:rPr>
      </w:pPr>
      <w:r>
        <w:rPr>
          <w:rFonts w:ascii="Calibri" w:hAnsi="Calibri"/>
          <w:color w:val="000000"/>
        </w:rPr>
        <w:t>You can only select each currency once for the same coupon type (i.e. ≥3% or &lt;3%) so risk amounts must be aggregated for each currency.</w:t>
      </w:r>
    </w:p>
    <w:p w14:paraId="08BCCE57" w14:textId="1DC98D31" w:rsidR="004F41C1" w:rsidRPr="00930407" w:rsidRDefault="004F41C1" w:rsidP="00D3615D">
      <w:pPr>
        <w:keepNext/>
        <w:spacing w:before="240" w:after="120"/>
        <w:outlineLvl w:val="3"/>
        <w:rPr>
          <w:rFonts w:ascii="Calibri" w:hAnsi="Calibri" w:cs="Helvetica"/>
          <w:b/>
          <w:sz w:val="24"/>
          <w:szCs w:val="24"/>
          <w:lang w:val="en"/>
        </w:rPr>
      </w:pPr>
      <w:r w:rsidRPr="00930407">
        <w:rPr>
          <w:rFonts w:ascii="Calibri" w:hAnsi="Calibri" w:cs="Helvetica"/>
          <w:b/>
          <w:sz w:val="24"/>
          <w:szCs w:val="24"/>
          <w:lang w:val="en"/>
        </w:rPr>
        <w:t>Debt Position Risk – Margin method</w:t>
      </w:r>
    </w:p>
    <w:tbl>
      <w:tblPr>
        <w:tblW w:w="11052" w:type="dxa"/>
        <w:tblLayout w:type="fixed"/>
        <w:tblLook w:val="04A0" w:firstRow="1" w:lastRow="0" w:firstColumn="1" w:lastColumn="0" w:noHBand="0" w:noVBand="1"/>
      </w:tblPr>
      <w:tblGrid>
        <w:gridCol w:w="4126"/>
        <w:gridCol w:w="3463"/>
        <w:gridCol w:w="3463"/>
      </w:tblGrid>
      <w:tr w:rsidR="004F41C1" w:rsidRPr="00E95745" w14:paraId="4D222D59" w14:textId="77777777" w:rsidTr="00D3615D">
        <w:trPr>
          <w:trHeight w:val="600"/>
        </w:trPr>
        <w:tc>
          <w:tcPr>
            <w:tcW w:w="4126" w:type="dxa"/>
            <w:tcBorders>
              <w:top w:val="single" w:sz="4" w:space="0" w:color="auto"/>
              <w:left w:val="single" w:sz="4" w:space="0" w:color="auto"/>
              <w:bottom w:val="single" w:sz="4" w:space="0" w:color="auto"/>
              <w:right w:val="single" w:sz="4" w:space="0" w:color="auto"/>
            </w:tcBorders>
            <w:shd w:val="clear" w:color="auto" w:fill="0070C0"/>
            <w:hideMark/>
          </w:tcPr>
          <w:p w14:paraId="26C4507A" w14:textId="5C2ED34C" w:rsidR="004F41C1" w:rsidRPr="00E95745" w:rsidRDefault="004F41C1" w:rsidP="00D3615D">
            <w:pPr>
              <w:spacing w:before="40" w:after="120"/>
              <w:rPr>
                <w:rFonts w:ascii="Calibri" w:hAnsi="Calibri"/>
                <w:b/>
                <w:bCs/>
                <w:color w:val="FFFFFF"/>
              </w:rPr>
            </w:pPr>
            <w:r w:rsidRPr="00E95745">
              <w:rPr>
                <w:rFonts w:ascii="Calibri" w:hAnsi="Calibri"/>
                <w:b/>
                <w:bCs/>
                <w:color w:val="FFFFFF"/>
              </w:rPr>
              <w:t xml:space="preserve">Underlying </w:t>
            </w:r>
            <w:r>
              <w:rPr>
                <w:rFonts w:ascii="Calibri" w:hAnsi="Calibri"/>
                <w:b/>
                <w:bCs/>
                <w:color w:val="FFFFFF"/>
              </w:rPr>
              <w:t>c</w:t>
            </w:r>
            <w:r w:rsidRPr="00E95745">
              <w:rPr>
                <w:rFonts w:ascii="Calibri" w:hAnsi="Calibri"/>
                <w:b/>
                <w:bCs/>
                <w:color w:val="FFFFFF"/>
              </w:rPr>
              <w:t>urrency</w:t>
            </w:r>
          </w:p>
        </w:tc>
        <w:tc>
          <w:tcPr>
            <w:tcW w:w="3463" w:type="dxa"/>
            <w:tcBorders>
              <w:top w:val="single" w:sz="4" w:space="0" w:color="auto"/>
              <w:left w:val="single" w:sz="4" w:space="0" w:color="auto"/>
              <w:bottom w:val="single" w:sz="4" w:space="0" w:color="auto"/>
              <w:right w:val="single" w:sz="4" w:space="0" w:color="auto"/>
            </w:tcBorders>
            <w:shd w:val="clear" w:color="auto" w:fill="0070C0"/>
            <w:noWrap/>
            <w:hideMark/>
          </w:tcPr>
          <w:p w14:paraId="545025F2" w14:textId="69BDA0D3" w:rsidR="004F41C1" w:rsidRPr="00D3615D" w:rsidRDefault="004F41C1" w:rsidP="00D3615D">
            <w:pPr>
              <w:spacing w:before="40" w:after="120"/>
              <w:rPr>
                <w:rFonts w:ascii="Calibri" w:hAnsi="Calibri"/>
                <w:b/>
                <w:bCs/>
                <w:color w:val="FFFFFF"/>
              </w:rPr>
            </w:pPr>
            <w:r w:rsidRPr="00E95745">
              <w:rPr>
                <w:rFonts w:ascii="Calibri" w:hAnsi="Calibri"/>
                <w:b/>
                <w:bCs/>
                <w:color w:val="FFFFFF"/>
              </w:rPr>
              <w:t>Primary Margin Requirement</w:t>
            </w:r>
          </w:p>
        </w:tc>
        <w:tc>
          <w:tcPr>
            <w:tcW w:w="3463" w:type="dxa"/>
            <w:tcBorders>
              <w:top w:val="single" w:sz="4" w:space="0" w:color="auto"/>
              <w:left w:val="single" w:sz="4" w:space="0" w:color="auto"/>
              <w:bottom w:val="single" w:sz="4" w:space="0" w:color="auto"/>
              <w:right w:val="single" w:sz="4" w:space="0" w:color="auto"/>
            </w:tcBorders>
            <w:shd w:val="clear" w:color="auto" w:fill="0070C0"/>
            <w:noWrap/>
            <w:hideMark/>
          </w:tcPr>
          <w:p w14:paraId="21CC95A6" w14:textId="3B6B6430" w:rsidR="004F41C1" w:rsidRPr="00D3615D" w:rsidRDefault="004F41C1" w:rsidP="00D3615D">
            <w:pPr>
              <w:spacing w:before="40" w:after="120"/>
              <w:rPr>
                <w:rFonts w:ascii="Calibri" w:hAnsi="Calibri"/>
                <w:b/>
                <w:bCs/>
                <w:color w:val="FFFFFF"/>
              </w:rPr>
            </w:pPr>
            <w:r w:rsidRPr="00E95745">
              <w:rPr>
                <w:rFonts w:ascii="Calibri" w:hAnsi="Calibri"/>
                <w:b/>
                <w:bCs/>
                <w:color w:val="FFFFFF"/>
              </w:rPr>
              <w:t xml:space="preserve">Position </w:t>
            </w:r>
            <w:r>
              <w:rPr>
                <w:rFonts w:ascii="Calibri" w:hAnsi="Calibri"/>
                <w:b/>
                <w:bCs/>
                <w:color w:val="FFFFFF"/>
              </w:rPr>
              <w:t>r</w:t>
            </w:r>
            <w:r w:rsidRPr="00E95745">
              <w:rPr>
                <w:rFonts w:ascii="Calibri" w:hAnsi="Calibri"/>
                <w:b/>
                <w:bCs/>
                <w:color w:val="FFFFFF"/>
              </w:rPr>
              <w:t xml:space="preserve">isk </w:t>
            </w:r>
            <w:r>
              <w:rPr>
                <w:rFonts w:ascii="Calibri" w:hAnsi="Calibri"/>
                <w:b/>
                <w:bCs/>
                <w:color w:val="FFFFFF"/>
              </w:rPr>
              <w:t>a</w:t>
            </w:r>
            <w:r w:rsidRPr="00E95745">
              <w:rPr>
                <w:rFonts w:ascii="Calibri" w:hAnsi="Calibri"/>
                <w:b/>
                <w:bCs/>
                <w:color w:val="FFFFFF"/>
              </w:rPr>
              <w:t>mount (4</w:t>
            </w:r>
            <w:r w:rsidR="007D7C66">
              <w:rPr>
                <w:rFonts w:ascii="Calibri" w:hAnsi="Calibri"/>
                <w:b/>
                <w:bCs/>
                <w:color w:val="FFFFFF"/>
              </w:rPr>
              <w:t> </w:t>
            </w:r>
            <w:r w:rsidRPr="00E95745">
              <w:rPr>
                <w:rFonts w:ascii="Calibri" w:hAnsi="Calibri"/>
                <w:b/>
                <w:bCs/>
                <w:color w:val="FFFFFF"/>
              </w:rPr>
              <w:t>x</w:t>
            </w:r>
            <w:r w:rsidR="007D7C66">
              <w:rPr>
                <w:rFonts w:ascii="Calibri" w:hAnsi="Calibri"/>
                <w:b/>
                <w:bCs/>
                <w:color w:val="FFFFFF"/>
              </w:rPr>
              <w:t> </w:t>
            </w:r>
            <w:r w:rsidRPr="00E95745">
              <w:rPr>
                <w:rFonts w:ascii="Calibri" w:hAnsi="Calibri"/>
                <w:b/>
                <w:bCs/>
                <w:color w:val="FFFFFF"/>
              </w:rPr>
              <w:t>Primary Margin Requirement)</w:t>
            </w:r>
          </w:p>
        </w:tc>
      </w:tr>
      <w:tr w:rsidR="004F41C1" w:rsidRPr="00E95745" w14:paraId="02E7973E" w14:textId="77777777" w:rsidTr="00D3615D">
        <w:trPr>
          <w:trHeight w:val="30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2A006" w14:textId="0B5D922E" w:rsidR="004F41C1" w:rsidRPr="00E95745" w:rsidRDefault="004F41C1" w:rsidP="00D3615D">
            <w:pPr>
              <w:spacing w:after="100"/>
              <w:rPr>
                <w:rFonts w:ascii="Calibri" w:hAnsi="Calibri"/>
                <w:color w:val="3F3F76"/>
              </w:rPr>
            </w:pPr>
            <w:r w:rsidRPr="00E95745">
              <w:rPr>
                <w:rFonts w:ascii="Calibri" w:hAnsi="Calibri"/>
                <w:color w:val="3F3F76"/>
              </w:rPr>
              <w:t> </w:t>
            </w:r>
          </w:p>
        </w:tc>
        <w:tc>
          <w:tcPr>
            <w:tcW w:w="3463" w:type="dxa"/>
            <w:tcBorders>
              <w:top w:val="single" w:sz="4" w:space="0" w:color="auto"/>
              <w:left w:val="single" w:sz="4" w:space="0" w:color="auto"/>
              <w:bottom w:val="single" w:sz="4" w:space="0" w:color="auto"/>
              <w:right w:val="single" w:sz="4" w:space="0" w:color="auto"/>
            </w:tcBorders>
            <w:shd w:val="clear" w:color="auto" w:fill="auto"/>
            <w:vAlign w:val="bottom"/>
          </w:tcPr>
          <w:p w14:paraId="3831E736" w14:textId="121F00F4" w:rsidR="004F41C1" w:rsidRPr="00E95745" w:rsidRDefault="004F41C1" w:rsidP="00D3615D">
            <w:pPr>
              <w:spacing w:after="100"/>
              <w:rPr>
                <w:rFonts w:ascii="Calibri" w:hAnsi="Calibri"/>
                <w:color w:val="3F3F76"/>
              </w:rPr>
            </w:pP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7FE512" w14:textId="3E11DFDB" w:rsidR="004F41C1" w:rsidRPr="004C1E44" w:rsidRDefault="004F41C1" w:rsidP="00D3615D">
            <w:pPr>
              <w:spacing w:after="100"/>
              <w:rPr>
                <w:rFonts w:ascii="Calibri" w:hAnsi="Calibri"/>
                <w:bCs/>
              </w:rPr>
            </w:pPr>
          </w:p>
        </w:tc>
      </w:tr>
      <w:tr w:rsidR="004F41C1" w:rsidRPr="00E95745" w14:paraId="3325899B" w14:textId="77777777" w:rsidTr="00D3615D">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8FE4F" w14:textId="77777777" w:rsidR="004F41C1" w:rsidRPr="00E95745" w:rsidRDefault="004F41C1" w:rsidP="00D3615D">
            <w:pPr>
              <w:spacing w:after="100"/>
              <w:rPr>
                <w:rFonts w:ascii="Calibri" w:hAnsi="Calibri"/>
                <w:b/>
                <w:color w:val="000000"/>
              </w:rPr>
            </w:pPr>
            <w:r w:rsidRPr="00E95745">
              <w:rPr>
                <w:rFonts w:ascii="Calibri" w:hAnsi="Calibri"/>
                <w:b/>
                <w:color w:val="000000"/>
              </w:rPr>
              <w:t>Total</w:t>
            </w:r>
          </w:p>
        </w:tc>
        <w:tc>
          <w:tcPr>
            <w:tcW w:w="3463" w:type="dxa"/>
            <w:tcBorders>
              <w:top w:val="single" w:sz="4" w:space="0" w:color="auto"/>
              <w:left w:val="single" w:sz="4" w:space="0" w:color="auto"/>
              <w:bottom w:val="single" w:sz="4" w:space="0" w:color="auto"/>
              <w:right w:val="single" w:sz="4" w:space="0" w:color="auto"/>
            </w:tcBorders>
            <w:shd w:val="clear" w:color="auto" w:fill="auto"/>
            <w:noWrap/>
          </w:tcPr>
          <w:p w14:paraId="6EA0E3CE" w14:textId="31495CFD" w:rsidR="004F41C1" w:rsidRPr="00E95745" w:rsidRDefault="004F41C1" w:rsidP="00D3615D">
            <w:pPr>
              <w:spacing w:after="100"/>
              <w:rPr>
                <w:rFonts w:ascii="Calibri" w:hAnsi="Calibri"/>
                <w:b/>
                <w:color w:val="000000"/>
              </w:rPr>
            </w:pP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03E23" w14:textId="68B98C54" w:rsidR="004F41C1" w:rsidRPr="00E95745" w:rsidRDefault="004F41C1" w:rsidP="00D3615D">
            <w:pPr>
              <w:spacing w:after="100"/>
              <w:rPr>
                <w:rFonts w:ascii="Calibri" w:hAnsi="Calibri"/>
                <w:b/>
                <w:color w:val="000000"/>
              </w:rPr>
            </w:pPr>
          </w:p>
        </w:tc>
      </w:tr>
    </w:tbl>
    <w:p w14:paraId="6074CA47" w14:textId="77777777" w:rsidR="007D7C66" w:rsidRPr="00D3615D" w:rsidRDefault="007D7C66" w:rsidP="00D3615D">
      <w:pPr>
        <w:spacing w:after="0"/>
        <w:rPr>
          <w:rFonts w:ascii="Calibri" w:hAnsi="Calibri"/>
          <w:color w:val="000000"/>
          <w:sz w:val="6"/>
          <w:szCs w:val="6"/>
        </w:rPr>
      </w:pPr>
    </w:p>
    <w:p w14:paraId="583A61F2" w14:textId="18EE3BD2" w:rsidR="004F41C1" w:rsidRDefault="007553AF" w:rsidP="00D3615D">
      <w:pPr>
        <w:pStyle w:val="ListParagraph"/>
        <w:numPr>
          <w:ilvl w:val="0"/>
          <w:numId w:val="74"/>
        </w:numPr>
        <w:spacing w:after="120"/>
        <w:ind w:left="714" w:hanging="357"/>
        <w:rPr>
          <w:rFonts w:ascii="Calibri" w:hAnsi="Calibri"/>
          <w:color w:val="000000"/>
        </w:rPr>
      </w:pPr>
      <w:r w:rsidRPr="001A4322">
        <w:rPr>
          <w:rFonts w:ascii="Calibri" w:hAnsi="Calibri"/>
          <w:color w:val="000000"/>
        </w:rPr>
        <w:t>Enter amounts for each currency in which there are exposures</w:t>
      </w:r>
      <w:r w:rsidR="00236DAA">
        <w:rPr>
          <w:rFonts w:ascii="Calibri" w:hAnsi="Calibri"/>
          <w:color w:val="000000"/>
        </w:rPr>
        <w:t>.</w:t>
      </w:r>
    </w:p>
    <w:p w14:paraId="5EB00843" w14:textId="0679AEC6" w:rsidR="00DC6E05" w:rsidRPr="001A4322" w:rsidRDefault="00DC6E05" w:rsidP="00D3615D">
      <w:pPr>
        <w:pStyle w:val="ListParagraph"/>
        <w:numPr>
          <w:ilvl w:val="0"/>
          <w:numId w:val="74"/>
        </w:numPr>
        <w:spacing w:after="120"/>
        <w:ind w:left="714" w:hanging="357"/>
        <w:rPr>
          <w:rFonts w:ascii="Calibri" w:hAnsi="Calibri"/>
          <w:color w:val="000000"/>
        </w:rPr>
      </w:pPr>
      <w:r>
        <w:rPr>
          <w:rFonts w:ascii="Calibri" w:hAnsi="Calibri"/>
          <w:color w:val="000000"/>
        </w:rPr>
        <w:t>You can only select each currency once so all similar currency amounts should be aggregated before being input</w:t>
      </w:r>
      <w:r w:rsidR="00236DAA">
        <w:rPr>
          <w:rFonts w:ascii="Calibri" w:hAnsi="Calibri"/>
          <w:color w:val="000000"/>
        </w:rPr>
        <w:t>.</w:t>
      </w:r>
    </w:p>
    <w:p w14:paraId="095CF807" w14:textId="0B1221ED" w:rsidR="007553AF" w:rsidRPr="00930407" w:rsidRDefault="007553AF" w:rsidP="00D3615D">
      <w:pPr>
        <w:keepNext/>
        <w:spacing w:before="240" w:after="120"/>
        <w:outlineLvl w:val="3"/>
        <w:rPr>
          <w:rFonts w:ascii="Calibri" w:hAnsi="Calibri" w:cs="Helvetica"/>
          <w:b/>
          <w:sz w:val="24"/>
          <w:szCs w:val="24"/>
          <w:lang w:val="en"/>
        </w:rPr>
      </w:pPr>
      <w:r w:rsidRPr="00930407">
        <w:rPr>
          <w:rFonts w:ascii="Calibri" w:hAnsi="Calibri" w:cs="Helvetica"/>
          <w:b/>
          <w:sz w:val="24"/>
          <w:szCs w:val="24"/>
          <w:lang w:val="en"/>
        </w:rPr>
        <w:t>Debt Position Risk – Basic method</w:t>
      </w:r>
    </w:p>
    <w:tbl>
      <w:tblPr>
        <w:tblW w:w="13887" w:type="dxa"/>
        <w:tblLayout w:type="fixed"/>
        <w:tblLook w:val="04A0" w:firstRow="1" w:lastRow="0" w:firstColumn="1" w:lastColumn="0" w:noHBand="0" w:noVBand="1"/>
      </w:tblPr>
      <w:tblGrid>
        <w:gridCol w:w="2800"/>
        <w:gridCol w:w="1847"/>
        <w:gridCol w:w="1848"/>
        <w:gridCol w:w="1848"/>
        <w:gridCol w:w="16"/>
        <w:gridCol w:w="1832"/>
        <w:gridCol w:w="1848"/>
        <w:gridCol w:w="1848"/>
      </w:tblGrid>
      <w:tr w:rsidR="007553AF" w:rsidRPr="00E95745" w14:paraId="7F845BD8" w14:textId="77777777" w:rsidTr="00D3615D">
        <w:trPr>
          <w:trHeight w:val="300"/>
        </w:trPr>
        <w:tc>
          <w:tcPr>
            <w:tcW w:w="2800" w:type="dxa"/>
            <w:tcBorders>
              <w:top w:val="single" w:sz="4" w:space="0" w:color="auto"/>
              <w:left w:val="single" w:sz="4" w:space="0" w:color="auto"/>
              <w:bottom w:val="single" w:sz="4" w:space="0" w:color="auto"/>
              <w:right w:val="single" w:sz="4" w:space="0" w:color="auto"/>
            </w:tcBorders>
            <w:shd w:val="clear" w:color="auto" w:fill="0070C0"/>
            <w:hideMark/>
          </w:tcPr>
          <w:p w14:paraId="4D4D089D" w14:textId="77777777" w:rsidR="007553AF" w:rsidRPr="00E95745" w:rsidRDefault="007553AF" w:rsidP="00D3615D">
            <w:pPr>
              <w:spacing w:before="40" w:after="120"/>
              <w:rPr>
                <w:rFonts w:ascii="Calibri" w:hAnsi="Calibri"/>
                <w:b/>
                <w:bCs/>
                <w:color w:val="FFFFFF"/>
              </w:rPr>
            </w:pPr>
            <w:r w:rsidRPr="00E95745">
              <w:rPr>
                <w:rFonts w:ascii="Calibri" w:hAnsi="Calibri"/>
                <w:b/>
                <w:bCs/>
                <w:color w:val="FFFFFF"/>
              </w:rPr>
              <w:t> </w:t>
            </w:r>
          </w:p>
        </w:tc>
        <w:tc>
          <w:tcPr>
            <w:tcW w:w="5559" w:type="dxa"/>
            <w:gridSpan w:val="4"/>
            <w:tcBorders>
              <w:top w:val="single" w:sz="4" w:space="0" w:color="auto"/>
              <w:left w:val="single" w:sz="4" w:space="0" w:color="auto"/>
              <w:bottom w:val="single" w:sz="4" w:space="0" w:color="auto"/>
              <w:right w:val="single" w:sz="4" w:space="0" w:color="auto"/>
            </w:tcBorders>
            <w:shd w:val="clear" w:color="auto" w:fill="0070C0"/>
            <w:noWrap/>
            <w:hideMark/>
          </w:tcPr>
          <w:p w14:paraId="1F505038" w14:textId="77777777" w:rsidR="007553AF" w:rsidRPr="00E95745" w:rsidRDefault="007553AF" w:rsidP="00D3615D">
            <w:pPr>
              <w:spacing w:before="40" w:after="120"/>
              <w:jc w:val="center"/>
              <w:rPr>
                <w:rFonts w:ascii="Calibri" w:hAnsi="Calibri"/>
                <w:b/>
                <w:bCs/>
                <w:color w:val="FFFFFF"/>
              </w:rPr>
            </w:pPr>
            <w:r w:rsidRPr="00E95745">
              <w:rPr>
                <w:rFonts w:ascii="Calibri" w:hAnsi="Calibri"/>
                <w:b/>
                <w:bCs/>
                <w:color w:val="FFFFFF"/>
              </w:rPr>
              <w:t>Purchased Options</w:t>
            </w:r>
          </w:p>
        </w:tc>
        <w:tc>
          <w:tcPr>
            <w:tcW w:w="5528" w:type="dxa"/>
            <w:gridSpan w:val="3"/>
            <w:tcBorders>
              <w:top w:val="single" w:sz="4" w:space="0" w:color="auto"/>
              <w:left w:val="single" w:sz="4" w:space="0" w:color="auto"/>
              <w:bottom w:val="single" w:sz="4" w:space="0" w:color="auto"/>
              <w:right w:val="single" w:sz="4" w:space="0" w:color="auto"/>
            </w:tcBorders>
            <w:shd w:val="clear" w:color="auto" w:fill="0070C0"/>
            <w:hideMark/>
          </w:tcPr>
          <w:p w14:paraId="67223E5F" w14:textId="77777777" w:rsidR="007553AF" w:rsidRPr="00E95745" w:rsidRDefault="007553AF" w:rsidP="00D3615D">
            <w:pPr>
              <w:spacing w:before="40" w:after="120"/>
              <w:jc w:val="center"/>
              <w:rPr>
                <w:rFonts w:ascii="Calibri" w:hAnsi="Calibri"/>
                <w:b/>
                <w:bCs/>
                <w:color w:val="FFFFFF"/>
              </w:rPr>
            </w:pPr>
            <w:r w:rsidRPr="00E95745">
              <w:rPr>
                <w:rFonts w:ascii="Calibri" w:hAnsi="Calibri"/>
                <w:b/>
                <w:bCs/>
                <w:color w:val="FFFFFF"/>
              </w:rPr>
              <w:t>Written Options</w:t>
            </w:r>
          </w:p>
        </w:tc>
      </w:tr>
      <w:tr w:rsidR="007553AF" w:rsidRPr="00E95745" w14:paraId="2C1A6B7E" w14:textId="77777777" w:rsidTr="00D3615D">
        <w:trPr>
          <w:trHeight w:val="946"/>
        </w:trPr>
        <w:tc>
          <w:tcPr>
            <w:tcW w:w="2800" w:type="dxa"/>
            <w:tcBorders>
              <w:top w:val="single" w:sz="4" w:space="0" w:color="auto"/>
              <w:left w:val="single" w:sz="4" w:space="0" w:color="auto"/>
              <w:bottom w:val="single" w:sz="4" w:space="0" w:color="auto"/>
              <w:right w:val="single" w:sz="4" w:space="0" w:color="auto"/>
            </w:tcBorders>
            <w:shd w:val="clear" w:color="auto" w:fill="0070C0"/>
            <w:noWrap/>
            <w:hideMark/>
          </w:tcPr>
          <w:p w14:paraId="13C45FBD" w14:textId="4B5BDA81" w:rsidR="007553AF" w:rsidRPr="00E95745" w:rsidRDefault="007553AF" w:rsidP="00D3615D">
            <w:pPr>
              <w:spacing w:before="40" w:after="120"/>
              <w:rPr>
                <w:rFonts w:ascii="Calibri" w:hAnsi="Calibri"/>
                <w:b/>
                <w:bCs/>
                <w:color w:val="FFFFFF"/>
              </w:rPr>
            </w:pPr>
            <w:r w:rsidRPr="00E95745">
              <w:rPr>
                <w:rFonts w:ascii="Calibri" w:hAnsi="Calibri"/>
                <w:b/>
                <w:bCs/>
                <w:color w:val="FFFFFF"/>
              </w:rPr>
              <w:t xml:space="preserve">Underlying </w:t>
            </w:r>
            <w:r>
              <w:rPr>
                <w:rFonts w:ascii="Calibri" w:hAnsi="Calibri"/>
                <w:b/>
                <w:bCs/>
                <w:color w:val="FFFFFF"/>
              </w:rPr>
              <w:t>c</w:t>
            </w:r>
            <w:r w:rsidRPr="00E95745">
              <w:rPr>
                <w:rFonts w:ascii="Calibri" w:hAnsi="Calibri"/>
                <w:b/>
                <w:bCs/>
                <w:color w:val="FFFFFF"/>
              </w:rPr>
              <w:t>urrency</w:t>
            </w:r>
          </w:p>
        </w:tc>
        <w:tc>
          <w:tcPr>
            <w:tcW w:w="1847" w:type="dxa"/>
            <w:tcBorders>
              <w:top w:val="single" w:sz="4" w:space="0" w:color="auto"/>
              <w:left w:val="single" w:sz="4" w:space="0" w:color="auto"/>
              <w:bottom w:val="single" w:sz="4" w:space="0" w:color="auto"/>
              <w:right w:val="single" w:sz="4" w:space="0" w:color="auto"/>
            </w:tcBorders>
            <w:shd w:val="clear" w:color="auto" w:fill="0070C0"/>
            <w:hideMark/>
          </w:tcPr>
          <w:p w14:paraId="6F998948" w14:textId="77777777" w:rsidR="007553AF" w:rsidRPr="00E95745" w:rsidRDefault="007553AF" w:rsidP="00D3615D">
            <w:pPr>
              <w:spacing w:before="40" w:after="120"/>
              <w:rPr>
                <w:rFonts w:ascii="Calibri" w:hAnsi="Calibri"/>
                <w:b/>
                <w:bCs/>
                <w:color w:val="FFFFFF"/>
              </w:rPr>
            </w:pPr>
            <w:r w:rsidRPr="00E95745">
              <w:rPr>
                <w:rFonts w:ascii="Calibri" w:hAnsi="Calibri"/>
                <w:b/>
                <w:bCs/>
                <w:color w:val="FFFFFF"/>
              </w:rPr>
              <w:t>Mark-to-market value of underlying</w:t>
            </w:r>
          </w:p>
        </w:tc>
        <w:tc>
          <w:tcPr>
            <w:tcW w:w="1848" w:type="dxa"/>
            <w:tcBorders>
              <w:top w:val="single" w:sz="4" w:space="0" w:color="auto"/>
              <w:left w:val="single" w:sz="4" w:space="0" w:color="auto"/>
              <w:bottom w:val="single" w:sz="4" w:space="0" w:color="auto"/>
              <w:right w:val="single" w:sz="4" w:space="0" w:color="auto"/>
            </w:tcBorders>
            <w:shd w:val="clear" w:color="auto" w:fill="0070C0"/>
            <w:hideMark/>
          </w:tcPr>
          <w:p w14:paraId="70349520" w14:textId="77777777" w:rsidR="007553AF" w:rsidRPr="00E95745" w:rsidRDefault="007553AF" w:rsidP="00D3615D">
            <w:pPr>
              <w:spacing w:before="40" w:after="120"/>
              <w:rPr>
                <w:rFonts w:ascii="Calibri" w:hAnsi="Calibri"/>
                <w:b/>
                <w:bCs/>
                <w:color w:val="FFFFFF"/>
              </w:rPr>
            </w:pPr>
            <w:r w:rsidRPr="00E95745">
              <w:rPr>
                <w:rFonts w:ascii="Calibri" w:hAnsi="Calibri"/>
                <w:b/>
                <w:bCs/>
                <w:color w:val="FFFFFF"/>
              </w:rPr>
              <w:t>Mark-to-market value of the Option</w:t>
            </w:r>
          </w:p>
        </w:tc>
        <w:tc>
          <w:tcPr>
            <w:tcW w:w="1864"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2C49E423" w14:textId="77777777" w:rsidR="007553AF" w:rsidRPr="00E95745" w:rsidRDefault="007553AF" w:rsidP="00D3615D">
            <w:pPr>
              <w:spacing w:before="40" w:after="120"/>
              <w:rPr>
                <w:rFonts w:ascii="Calibri" w:hAnsi="Calibri"/>
                <w:b/>
                <w:bCs/>
                <w:color w:val="FFFFFF"/>
              </w:rPr>
            </w:pPr>
            <w:r w:rsidRPr="00E95745">
              <w:rPr>
                <w:rFonts w:ascii="Calibri" w:hAnsi="Calibri"/>
                <w:b/>
                <w:bCs/>
                <w:color w:val="FFFFFF"/>
              </w:rPr>
              <w:t xml:space="preserve">Position </w:t>
            </w:r>
            <w:r>
              <w:rPr>
                <w:rFonts w:ascii="Calibri" w:hAnsi="Calibri"/>
                <w:b/>
                <w:bCs/>
                <w:color w:val="FFFFFF"/>
              </w:rPr>
              <w:t>r</w:t>
            </w:r>
            <w:r w:rsidRPr="00E95745">
              <w:rPr>
                <w:rFonts w:ascii="Calibri" w:hAnsi="Calibri"/>
                <w:b/>
                <w:bCs/>
                <w:color w:val="FFFFFF"/>
              </w:rPr>
              <w:t xml:space="preserve">isk </w:t>
            </w:r>
            <w:r>
              <w:rPr>
                <w:rFonts w:ascii="Calibri" w:hAnsi="Calibri"/>
                <w:b/>
                <w:bCs/>
                <w:color w:val="FFFFFF"/>
              </w:rPr>
              <w:t>a</w:t>
            </w:r>
            <w:r w:rsidRPr="00E95745">
              <w:rPr>
                <w:rFonts w:ascii="Calibri" w:hAnsi="Calibri"/>
                <w:b/>
                <w:bCs/>
                <w:color w:val="FFFFFF"/>
              </w:rPr>
              <w:t>mount</w:t>
            </w:r>
          </w:p>
        </w:tc>
        <w:tc>
          <w:tcPr>
            <w:tcW w:w="1832" w:type="dxa"/>
            <w:tcBorders>
              <w:top w:val="single" w:sz="4" w:space="0" w:color="auto"/>
              <w:left w:val="single" w:sz="4" w:space="0" w:color="auto"/>
              <w:bottom w:val="single" w:sz="4" w:space="0" w:color="auto"/>
              <w:right w:val="single" w:sz="4" w:space="0" w:color="auto"/>
            </w:tcBorders>
            <w:shd w:val="clear" w:color="auto" w:fill="0070C0"/>
            <w:hideMark/>
          </w:tcPr>
          <w:p w14:paraId="29C1E1C4" w14:textId="77777777" w:rsidR="007553AF" w:rsidRPr="00E95745" w:rsidRDefault="007553AF" w:rsidP="00D3615D">
            <w:pPr>
              <w:spacing w:before="40" w:after="120"/>
              <w:rPr>
                <w:rFonts w:ascii="Calibri" w:hAnsi="Calibri"/>
                <w:b/>
                <w:bCs/>
                <w:color w:val="FFFFFF"/>
              </w:rPr>
            </w:pPr>
            <w:r w:rsidRPr="00E95745">
              <w:rPr>
                <w:rFonts w:ascii="Calibri" w:hAnsi="Calibri"/>
                <w:b/>
                <w:bCs/>
                <w:color w:val="FFFFFF"/>
              </w:rPr>
              <w:t>Mark-to-market value of underlying</w:t>
            </w:r>
          </w:p>
        </w:tc>
        <w:tc>
          <w:tcPr>
            <w:tcW w:w="1848" w:type="dxa"/>
            <w:tcBorders>
              <w:top w:val="single" w:sz="4" w:space="0" w:color="auto"/>
              <w:left w:val="single" w:sz="4" w:space="0" w:color="auto"/>
              <w:bottom w:val="single" w:sz="4" w:space="0" w:color="auto"/>
              <w:right w:val="single" w:sz="4" w:space="0" w:color="auto"/>
            </w:tcBorders>
            <w:shd w:val="clear" w:color="auto" w:fill="0070C0"/>
            <w:hideMark/>
          </w:tcPr>
          <w:p w14:paraId="0DFEE7E2" w14:textId="77777777" w:rsidR="007553AF" w:rsidRPr="00E95745" w:rsidRDefault="007553AF" w:rsidP="00D3615D">
            <w:pPr>
              <w:spacing w:before="40" w:after="120"/>
              <w:rPr>
                <w:rFonts w:ascii="Calibri" w:hAnsi="Calibri"/>
                <w:b/>
                <w:bCs/>
                <w:color w:val="FFFFFF"/>
              </w:rPr>
            </w:pPr>
            <w:r w:rsidRPr="00E95745">
              <w:rPr>
                <w:rFonts w:ascii="Calibri" w:hAnsi="Calibri"/>
                <w:b/>
                <w:bCs/>
                <w:color w:val="FFFFFF"/>
              </w:rPr>
              <w:t>Amount reduced by</w:t>
            </w:r>
          </w:p>
        </w:tc>
        <w:tc>
          <w:tcPr>
            <w:tcW w:w="1848" w:type="dxa"/>
            <w:tcBorders>
              <w:top w:val="single" w:sz="4" w:space="0" w:color="auto"/>
              <w:left w:val="single" w:sz="4" w:space="0" w:color="auto"/>
              <w:bottom w:val="single" w:sz="4" w:space="0" w:color="auto"/>
              <w:right w:val="single" w:sz="4" w:space="0" w:color="auto"/>
            </w:tcBorders>
            <w:shd w:val="clear" w:color="auto" w:fill="0070C0"/>
            <w:hideMark/>
          </w:tcPr>
          <w:p w14:paraId="07128E1D" w14:textId="77777777" w:rsidR="007553AF" w:rsidRPr="00E95745" w:rsidRDefault="007553AF" w:rsidP="00D3615D">
            <w:pPr>
              <w:spacing w:before="40" w:after="120"/>
              <w:rPr>
                <w:rFonts w:ascii="Calibri" w:hAnsi="Calibri"/>
                <w:b/>
                <w:bCs/>
                <w:color w:val="FFFFFF"/>
              </w:rPr>
            </w:pPr>
            <w:r w:rsidRPr="00E95745">
              <w:rPr>
                <w:rFonts w:ascii="Calibri" w:hAnsi="Calibri"/>
                <w:b/>
                <w:bCs/>
                <w:color w:val="FFFFFF"/>
              </w:rPr>
              <w:t xml:space="preserve">Position </w:t>
            </w:r>
            <w:r>
              <w:rPr>
                <w:rFonts w:ascii="Calibri" w:hAnsi="Calibri"/>
                <w:b/>
                <w:bCs/>
                <w:color w:val="FFFFFF"/>
              </w:rPr>
              <w:t>r</w:t>
            </w:r>
            <w:r w:rsidRPr="00E95745">
              <w:rPr>
                <w:rFonts w:ascii="Calibri" w:hAnsi="Calibri"/>
                <w:b/>
                <w:bCs/>
                <w:color w:val="FFFFFF"/>
              </w:rPr>
              <w:t xml:space="preserve">isk </w:t>
            </w:r>
            <w:r>
              <w:rPr>
                <w:rFonts w:ascii="Calibri" w:hAnsi="Calibri"/>
                <w:b/>
                <w:bCs/>
                <w:color w:val="FFFFFF"/>
              </w:rPr>
              <w:t>a</w:t>
            </w:r>
            <w:r w:rsidRPr="00E95745">
              <w:rPr>
                <w:rFonts w:ascii="Calibri" w:hAnsi="Calibri"/>
                <w:b/>
                <w:bCs/>
                <w:color w:val="FFFFFF"/>
              </w:rPr>
              <w:t>mount</w:t>
            </w:r>
          </w:p>
        </w:tc>
      </w:tr>
      <w:tr w:rsidR="007553AF" w:rsidRPr="00E95745" w14:paraId="4E684AC8" w14:textId="77777777" w:rsidTr="00D3615D">
        <w:trPr>
          <w:trHeight w:val="30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A9A04" w14:textId="49613B5A" w:rsidR="007553AF" w:rsidRPr="00E95745" w:rsidRDefault="007553AF" w:rsidP="00D3615D">
            <w:pPr>
              <w:spacing w:after="100"/>
              <w:rPr>
                <w:rFonts w:ascii="Calibri" w:hAnsi="Calibri"/>
                <w:color w:val="3F3F76"/>
              </w:rPr>
            </w:pPr>
            <w:r w:rsidRPr="00E95745">
              <w:rPr>
                <w:rFonts w:ascii="Calibri" w:hAnsi="Calibri"/>
                <w:color w:val="3F3F76"/>
              </w:rPr>
              <w:t> </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14:paraId="22134BBE" w14:textId="4DE9C2FD" w:rsidR="007553AF" w:rsidRPr="00E95745" w:rsidRDefault="007553AF" w:rsidP="00D3615D">
            <w:pPr>
              <w:spacing w:after="100"/>
              <w:rPr>
                <w:rFonts w:ascii="Calibri" w:hAnsi="Calibri"/>
                <w:color w:val="3F3F76"/>
              </w:rPr>
            </w:pP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14:paraId="594D8C04" w14:textId="694D19F5" w:rsidR="007553AF" w:rsidRPr="00E95745" w:rsidRDefault="007553AF" w:rsidP="00D3615D">
            <w:pPr>
              <w:spacing w:after="100"/>
              <w:rPr>
                <w:rFonts w:ascii="Calibri" w:hAnsi="Calibri"/>
                <w:color w:val="3F3F76"/>
              </w:rPr>
            </w:pPr>
          </w:p>
        </w:tc>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1670C" w14:textId="56CBF399" w:rsidR="007553AF" w:rsidRPr="004C1E44" w:rsidRDefault="007553AF" w:rsidP="00D3615D">
            <w:pPr>
              <w:spacing w:after="100"/>
              <w:rPr>
                <w:rFonts w:ascii="Calibri" w:hAnsi="Calibri"/>
                <w:bCs/>
              </w:rPr>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DAF8EC" w14:textId="50B8A62D" w:rsidR="007553AF" w:rsidRPr="00E95745" w:rsidRDefault="007553AF" w:rsidP="00D3615D">
            <w:pPr>
              <w:spacing w:after="100"/>
              <w:rPr>
                <w:rFonts w:ascii="Calibri" w:hAnsi="Calibri"/>
                <w:color w:val="3F3F76"/>
              </w:rPr>
            </w:pP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14:paraId="428C4D1A" w14:textId="3595D928" w:rsidR="007553AF" w:rsidRPr="00E95745" w:rsidRDefault="007553AF" w:rsidP="00D3615D">
            <w:pPr>
              <w:spacing w:after="100"/>
              <w:rPr>
                <w:rFonts w:ascii="Calibri" w:hAnsi="Calibri"/>
                <w:color w:val="3F3F76"/>
              </w:rPr>
            </w:pP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14:paraId="1B76B058" w14:textId="3C62CE6C" w:rsidR="007553AF" w:rsidRPr="00E95745" w:rsidRDefault="007553AF" w:rsidP="00D3615D">
            <w:pPr>
              <w:spacing w:after="100"/>
              <w:rPr>
                <w:rFonts w:ascii="Calibri" w:hAnsi="Calibri"/>
                <w:bCs/>
                <w:color w:val="FA7D00"/>
              </w:rPr>
            </w:pPr>
          </w:p>
        </w:tc>
      </w:tr>
      <w:tr w:rsidR="007553AF" w:rsidRPr="00E95745" w14:paraId="2AE5107D" w14:textId="77777777" w:rsidTr="00D3615D">
        <w:trPr>
          <w:trHeight w:val="31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F00A4" w14:textId="77777777" w:rsidR="007553AF" w:rsidRPr="00E95745" w:rsidRDefault="007553AF" w:rsidP="00D3615D">
            <w:pPr>
              <w:spacing w:after="100"/>
              <w:rPr>
                <w:rFonts w:ascii="Calibri" w:hAnsi="Calibri"/>
                <w:color w:val="000000"/>
              </w:rPr>
            </w:pPr>
            <w:r w:rsidRPr="00E95745">
              <w:rPr>
                <w:rFonts w:ascii="Calibri" w:hAnsi="Calibri"/>
                <w:b/>
                <w:color w:val="000000"/>
              </w:rPr>
              <w:t>Total</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48913B" w14:textId="6B1A3336" w:rsidR="007553AF" w:rsidRPr="004C1E44" w:rsidRDefault="007553AF" w:rsidP="00D3615D">
            <w:pPr>
              <w:spacing w:after="100"/>
              <w:rPr>
                <w:rFonts w:ascii="Calibri" w:hAnsi="Calibri"/>
                <w:b/>
                <w:bCs/>
              </w:rPr>
            </w:pPr>
          </w:p>
        </w:tc>
        <w:tc>
          <w:tcPr>
            <w:tcW w:w="18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875CD" w14:textId="6E23B66C" w:rsidR="007553AF" w:rsidRPr="00E95745" w:rsidRDefault="007553AF" w:rsidP="00D3615D">
            <w:pPr>
              <w:spacing w:after="100"/>
              <w:rPr>
                <w:rFonts w:ascii="Calibri" w:hAnsi="Calibri"/>
                <w:color w:val="000000"/>
              </w:rPr>
            </w:pPr>
          </w:p>
        </w:tc>
        <w:tc>
          <w:tcPr>
            <w:tcW w:w="18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C0C91" w14:textId="28A8C895" w:rsidR="007553AF" w:rsidRPr="00E95745" w:rsidRDefault="007553AF" w:rsidP="00D3615D">
            <w:pPr>
              <w:spacing w:after="100"/>
              <w:rPr>
                <w:rFonts w:ascii="Calibri" w:hAnsi="Calibri"/>
                <w:color w:val="000000"/>
              </w:rPr>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50B0161" w14:textId="3735DE95" w:rsidR="007553AF" w:rsidRPr="00E95745" w:rsidRDefault="007553AF" w:rsidP="00D3615D">
            <w:pPr>
              <w:spacing w:after="100"/>
              <w:rPr>
                <w:rFonts w:ascii="Calibri" w:hAnsi="Calibri"/>
                <w:color w:val="000000"/>
              </w:rPr>
            </w:pPr>
          </w:p>
        </w:tc>
        <w:tc>
          <w:tcPr>
            <w:tcW w:w="18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08C88" w14:textId="394C17B2" w:rsidR="007553AF" w:rsidRPr="00E95745" w:rsidRDefault="007553AF" w:rsidP="00D3615D">
            <w:pPr>
              <w:spacing w:after="100"/>
              <w:rPr>
                <w:rFonts w:ascii="Calibri" w:hAnsi="Calibri"/>
                <w:color w:val="000000"/>
              </w:rPr>
            </w:pPr>
          </w:p>
        </w:tc>
        <w:tc>
          <w:tcPr>
            <w:tcW w:w="18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BE9EA" w14:textId="1BEA4ED6" w:rsidR="007553AF" w:rsidRPr="00E95745" w:rsidRDefault="007553AF" w:rsidP="00D3615D">
            <w:pPr>
              <w:spacing w:after="100"/>
              <w:rPr>
                <w:rFonts w:ascii="Calibri" w:hAnsi="Calibri"/>
                <w:color w:val="000000"/>
              </w:rPr>
            </w:pPr>
          </w:p>
        </w:tc>
      </w:tr>
    </w:tbl>
    <w:p w14:paraId="7762F257" w14:textId="77777777" w:rsidR="00BB40A7" w:rsidRPr="00D3615D" w:rsidRDefault="00BB40A7" w:rsidP="00D3615D">
      <w:pPr>
        <w:spacing w:after="0"/>
        <w:rPr>
          <w:rFonts w:ascii="Calibri" w:hAnsi="Calibri"/>
          <w:color w:val="000000"/>
          <w:sz w:val="6"/>
          <w:szCs w:val="6"/>
        </w:rPr>
      </w:pPr>
    </w:p>
    <w:p w14:paraId="51AC43EF" w14:textId="78AF47D0" w:rsidR="007553AF" w:rsidRDefault="009254BB" w:rsidP="00D3615D">
      <w:pPr>
        <w:pStyle w:val="ListParagraph"/>
        <w:numPr>
          <w:ilvl w:val="0"/>
          <w:numId w:val="74"/>
        </w:numPr>
        <w:spacing w:after="120"/>
        <w:ind w:left="714" w:hanging="357"/>
        <w:rPr>
          <w:rFonts w:ascii="Calibri" w:hAnsi="Calibri"/>
          <w:color w:val="000000"/>
        </w:rPr>
      </w:pPr>
      <w:r>
        <w:rPr>
          <w:rFonts w:ascii="Calibri" w:hAnsi="Calibri"/>
          <w:color w:val="000000"/>
        </w:rPr>
        <w:t>Where you have multiple purchased options positions, you must determine the lesser of the aggregate ‘mark-to-market value of underlying’ and the aggregate ‘mark-to-market value of the option</w:t>
      </w:r>
      <w:r w:rsidR="00B10248">
        <w:rPr>
          <w:rFonts w:ascii="Calibri" w:hAnsi="Calibri"/>
          <w:color w:val="000000"/>
        </w:rPr>
        <w:t>s</w:t>
      </w:r>
      <w:r>
        <w:rPr>
          <w:rFonts w:ascii="Calibri" w:hAnsi="Calibri"/>
          <w:color w:val="000000"/>
        </w:rPr>
        <w:t>’ prior to entering the risk amount.</w:t>
      </w:r>
    </w:p>
    <w:p w14:paraId="769753B2" w14:textId="493DC058" w:rsidR="009254BB" w:rsidRPr="001A4322" w:rsidRDefault="009254BB" w:rsidP="00D3615D">
      <w:pPr>
        <w:pStyle w:val="ListParagraph"/>
        <w:numPr>
          <w:ilvl w:val="0"/>
          <w:numId w:val="74"/>
        </w:numPr>
        <w:spacing w:after="120"/>
        <w:ind w:left="714" w:hanging="357"/>
        <w:rPr>
          <w:rFonts w:ascii="Calibri" w:hAnsi="Calibri"/>
          <w:color w:val="000000"/>
        </w:rPr>
      </w:pPr>
      <w:r>
        <w:rPr>
          <w:rFonts w:ascii="Calibri" w:hAnsi="Calibri"/>
          <w:color w:val="000000"/>
        </w:rPr>
        <w:t>You can only select each currency once so all similar currency amounts should be aggregated before being input.</w:t>
      </w:r>
    </w:p>
    <w:p w14:paraId="366D250B" w14:textId="07CDD771" w:rsidR="007553AF" w:rsidRPr="00930407" w:rsidRDefault="007553AF" w:rsidP="00D3615D">
      <w:pPr>
        <w:keepNext/>
        <w:spacing w:before="240" w:after="120"/>
        <w:outlineLvl w:val="3"/>
        <w:rPr>
          <w:rFonts w:ascii="Calibri" w:hAnsi="Calibri" w:cs="Helvetica"/>
          <w:b/>
          <w:sz w:val="24"/>
          <w:szCs w:val="24"/>
          <w:lang w:val="en"/>
        </w:rPr>
      </w:pPr>
      <w:r w:rsidRPr="00930407">
        <w:rPr>
          <w:rFonts w:ascii="Calibri" w:hAnsi="Calibri" w:cs="Helvetica"/>
          <w:b/>
          <w:sz w:val="24"/>
          <w:szCs w:val="24"/>
          <w:lang w:val="en"/>
        </w:rPr>
        <w:lastRenderedPageBreak/>
        <w:t>Debt principal concentration</w:t>
      </w:r>
    </w:p>
    <w:tbl>
      <w:tblPr>
        <w:tblW w:w="13887" w:type="dxa"/>
        <w:tblLayout w:type="fixed"/>
        <w:tblLook w:val="04A0" w:firstRow="1" w:lastRow="0" w:firstColumn="1" w:lastColumn="0" w:noHBand="0" w:noVBand="1"/>
      </w:tblPr>
      <w:tblGrid>
        <w:gridCol w:w="3798"/>
        <w:gridCol w:w="2522"/>
        <w:gridCol w:w="2522"/>
        <w:gridCol w:w="2522"/>
        <w:gridCol w:w="2523"/>
      </w:tblGrid>
      <w:tr w:rsidR="007553AF" w:rsidRPr="00E95745" w14:paraId="7D060847" w14:textId="77777777" w:rsidTr="00D3615D">
        <w:trPr>
          <w:trHeight w:val="577"/>
        </w:trPr>
        <w:tc>
          <w:tcPr>
            <w:tcW w:w="3798" w:type="dxa"/>
            <w:tcBorders>
              <w:top w:val="single" w:sz="4" w:space="0" w:color="auto"/>
              <w:left w:val="single" w:sz="4" w:space="0" w:color="auto"/>
              <w:bottom w:val="single" w:sz="4" w:space="0" w:color="auto"/>
              <w:right w:val="single" w:sz="4" w:space="0" w:color="auto"/>
            </w:tcBorders>
            <w:shd w:val="clear" w:color="auto" w:fill="0070C0"/>
            <w:hideMark/>
          </w:tcPr>
          <w:p w14:paraId="0B862505" w14:textId="5CD48301" w:rsidR="007553AF" w:rsidRPr="00E95745" w:rsidRDefault="007553AF" w:rsidP="00D3615D">
            <w:pPr>
              <w:spacing w:before="40" w:after="120"/>
              <w:rPr>
                <w:rFonts w:ascii="Calibri" w:hAnsi="Calibri"/>
                <w:b/>
                <w:bCs/>
                <w:color w:val="FFFFFF"/>
              </w:rPr>
            </w:pPr>
            <w:r w:rsidRPr="00E95745">
              <w:rPr>
                <w:rFonts w:ascii="Calibri" w:hAnsi="Calibri"/>
                <w:b/>
                <w:bCs/>
                <w:color w:val="FFFFFF"/>
              </w:rPr>
              <w:t xml:space="preserve">Security </w:t>
            </w:r>
            <w:r>
              <w:rPr>
                <w:rFonts w:ascii="Calibri" w:hAnsi="Calibri"/>
                <w:b/>
                <w:bCs/>
                <w:color w:val="FFFFFF"/>
              </w:rPr>
              <w:t>c</w:t>
            </w:r>
            <w:r w:rsidRPr="00E95745">
              <w:rPr>
                <w:rFonts w:ascii="Calibri" w:hAnsi="Calibri"/>
                <w:b/>
                <w:bCs/>
                <w:color w:val="FFFFFF"/>
              </w:rPr>
              <w:t>ode (or description if code not applicable)</w:t>
            </w:r>
          </w:p>
        </w:tc>
        <w:tc>
          <w:tcPr>
            <w:tcW w:w="2522" w:type="dxa"/>
            <w:tcBorders>
              <w:top w:val="single" w:sz="4" w:space="0" w:color="auto"/>
              <w:left w:val="single" w:sz="4" w:space="0" w:color="auto"/>
              <w:bottom w:val="single" w:sz="4" w:space="0" w:color="auto"/>
              <w:right w:val="single" w:sz="4" w:space="0" w:color="auto"/>
            </w:tcBorders>
            <w:shd w:val="clear" w:color="auto" w:fill="0070C0"/>
            <w:hideMark/>
          </w:tcPr>
          <w:p w14:paraId="3446E39E" w14:textId="0F086440" w:rsidR="007553AF" w:rsidRPr="00E95745" w:rsidRDefault="007553AF" w:rsidP="00D3615D">
            <w:pPr>
              <w:spacing w:before="40" w:after="120"/>
              <w:rPr>
                <w:rFonts w:ascii="Calibri" w:hAnsi="Calibri"/>
                <w:b/>
                <w:bCs/>
                <w:color w:val="FFFFFF"/>
              </w:rPr>
            </w:pPr>
            <w:r w:rsidRPr="00E95745">
              <w:rPr>
                <w:rFonts w:ascii="Calibri" w:hAnsi="Calibri"/>
                <w:b/>
                <w:bCs/>
                <w:color w:val="FFFFFF"/>
              </w:rPr>
              <w:t>Underlying currency</w:t>
            </w:r>
          </w:p>
        </w:tc>
        <w:tc>
          <w:tcPr>
            <w:tcW w:w="2522" w:type="dxa"/>
            <w:tcBorders>
              <w:top w:val="single" w:sz="4" w:space="0" w:color="auto"/>
              <w:left w:val="single" w:sz="4" w:space="0" w:color="auto"/>
              <w:bottom w:val="single" w:sz="4" w:space="0" w:color="auto"/>
              <w:right w:val="single" w:sz="4" w:space="0" w:color="auto"/>
            </w:tcBorders>
            <w:shd w:val="clear" w:color="auto" w:fill="0070C0"/>
            <w:hideMark/>
          </w:tcPr>
          <w:p w14:paraId="1E970416" w14:textId="77777777" w:rsidR="007553AF" w:rsidRPr="00E95745" w:rsidRDefault="007553AF" w:rsidP="00D3615D">
            <w:pPr>
              <w:spacing w:before="40" w:after="120"/>
              <w:rPr>
                <w:rFonts w:ascii="Calibri" w:hAnsi="Calibri"/>
                <w:b/>
                <w:bCs/>
                <w:color w:val="FFFFFF"/>
              </w:rPr>
            </w:pPr>
            <w:r w:rsidRPr="00E95745">
              <w:rPr>
                <w:rFonts w:ascii="Calibri" w:hAnsi="Calibri"/>
                <w:b/>
                <w:bCs/>
                <w:color w:val="FFFFFF"/>
              </w:rPr>
              <w:t>Debt Net Position (Liquid)</w:t>
            </w:r>
          </w:p>
        </w:tc>
        <w:tc>
          <w:tcPr>
            <w:tcW w:w="2522" w:type="dxa"/>
            <w:tcBorders>
              <w:top w:val="single" w:sz="4" w:space="0" w:color="auto"/>
              <w:left w:val="single" w:sz="4" w:space="0" w:color="auto"/>
              <w:bottom w:val="single" w:sz="4" w:space="0" w:color="auto"/>
              <w:right w:val="single" w:sz="4" w:space="0" w:color="auto"/>
            </w:tcBorders>
            <w:shd w:val="clear" w:color="auto" w:fill="0070C0"/>
            <w:hideMark/>
          </w:tcPr>
          <w:p w14:paraId="228471BF" w14:textId="77777777" w:rsidR="007553AF" w:rsidRPr="00E95745" w:rsidRDefault="007553AF" w:rsidP="00D3615D">
            <w:pPr>
              <w:spacing w:before="40" w:after="120"/>
              <w:rPr>
                <w:rFonts w:ascii="Calibri" w:hAnsi="Calibri"/>
                <w:b/>
                <w:bCs/>
                <w:color w:val="FFFFFF"/>
              </w:rPr>
            </w:pPr>
            <w:r w:rsidRPr="00E95745">
              <w:rPr>
                <w:rFonts w:ascii="Calibri" w:hAnsi="Calibri"/>
                <w:b/>
                <w:bCs/>
                <w:color w:val="FFFFFF"/>
              </w:rPr>
              <w:t>Debt Net Position (Illiquid)</w:t>
            </w:r>
          </w:p>
        </w:tc>
        <w:tc>
          <w:tcPr>
            <w:tcW w:w="2523" w:type="dxa"/>
            <w:tcBorders>
              <w:top w:val="single" w:sz="4" w:space="0" w:color="auto"/>
              <w:left w:val="single" w:sz="4" w:space="0" w:color="auto"/>
              <w:bottom w:val="single" w:sz="4" w:space="0" w:color="auto"/>
              <w:right w:val="single" w:sz="4" w:space="0" w:color="auto"/>
            </w:tcBorders>
            <w:shd w:val="clear" w:color="auto" w:fill="0070C0"/>
            <w:noWrap/>
            <w:hideMark/>
          </w:tcPr>
          <w:p w14:paraId="4E0C773D" w14:textId="77777777" w:rsidR="007553AF" w:rsidRPr="00E95745" w:rsidRDefault="007553AF" w:rsidP="00D3615D">
            <w:pPr>
              <w:spacing w:before="40" w:after="120"/>
              <w:rPr>
                <w:rFonts w:ascii="Calibri" w:hAnsi="Calibri"/>
                <w:b/>
                <w:bCs/>
                <w:color w:val="FFFFFF"/>
              </w:rPr>
            </w:pPr>
            <w:r w:rsidRPr="00E95745">
              <w:rPr>
                <w:rFonts w:ascii="Calibri" w:hAnsi="Calibri"/>
                <w:b/>
                <w:bCs/>
                <w:color w:val="FFFFFF"/>
              </w:rPr>
              <w:t xml:space="preserve">Total </w:t>
            </w:r>
            <w:r>
              <w:rPr>
                <w:rFonts w:ascii="Calibri" w:hAnsi="Calibri"/>
                <w:b/>
                <w:bCs/>
                <w:color w:val="FFFFFF"/>
              </w:rPr>
              <w:t>p</w:t>
            </w:r>
            <w:r w:rsidRPr="00E95745">
              <w:rPr>
                <w:rFonts w:ascii="Calibri" w:hAnsi="Calibri"/>
                <w:b/>
                <w:bCs/>
                <w:color w:val="FFFFFF"/>
              </w:rPr>
              <w:t>osition</w:t>
            </w:r>
          </w:p>
        </w:tc>
      </w:tr>
      <w:tr w:rsidR="007553AF" w:rsidRPr="00E95745" w14:paraId="16D56749" w14:textId="77777777" w:rsidTr="00D3615D">
        <w:trPr>
          <w:trHeight w:val="288"/>
        </w:trPr>
        <w:tc>
          <w:tcPr>
            <w:tcW w:w="37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78822D" w14:textId="412A9408" w:rsidR="007553AF" w:rsidRPr="00E95745" w:rsidRDefault="007553AF" w:rsidP="00D3615D">
            <w:pPr>
              <w:spacing w:before="120" w:after="120"/>
              <w:rPr>
                <w:rFonts w:ascii="Calibri" w:hAnsi="Calibri"/>
                <w:b/>
                <w:bCs/>
                <w:color w:val="000000"/>
              </w:rPr>
            </w:pPr>
            <w:r w:rsidRPr="00E95745">
              <w:rPr>
                <w:rFonts w:ascii="Calibri" w:hAnsi="Calibri"/>
                <w:b/>
                <w:bCs/>
                <w:color w:val="000000"/>
              </w:rPr>
              <w:t> </w:t>
            </w:r>
          </w:p>
        </w:tc>
        <w:tc>
          <w:tcPr>
            <w:tcW w:w="25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26F841" w14:textId="3263E874" w:rsidR="007553AF" w:rsidRPr="00E95745" w:rsidRDefault="007553AF" w:rsidP="00D3615D">
            <w:pPr>
              <w:spacing w:before="120" w:after="120"/>
              <w:rPr>
                <w:rFonts w:ascii="Calibri" w:hAnsi="Calibri"/>
                <w:b/>
                <w:bCs/>
                <w:color w:val="000000"/>
              </w:rPr>
            </w:pPr>
            <w:r w:rsidRPr="00E95745">
              <w:rPr>
                <w:rFonts w:ascii="Calibri" w:hAnsi="Calibri"/>
                <w:b/>
                <w:bCs/>
                <w:color w:val="000000"/>
              </w:rPr>
              <w:t> </w:t>
            </w:r>
          </w:p>
        </w:tc>
        <w:tc>
          <w:tcPr>
            <w:tcW w:w="2522" w:type="dxa"/>
            <w:tcBorders>
              <w:top w:val="single" w:sz="4" w:space="0" w:color="auto"/>
              <w:left w:val="single" w:sz="4" w:space="0" w:color="auto"/>
              <w:bottom w:val="single" w:sz="4" w:space="0" w:color="auto"/>
              <w:right w:val="single" w:sz="4" w:space="0" w:color="auto"/>
            </w:tcBorders>
            <w:shd w:val="clear" w:color="auto" w:fill="auto"/>
            <w:vAlign w:val="bottom"/>
          </w:tcPr>
          <w:p w14:paraId="370E8B7D" w14:textId="446A5133" w:rsidR="007553AF" w:rsidRPr="00E95745" w:rsidRDefault="007553AF" w:rsidP="00D3615D">
            <w:pPr>
              <w:spacing w:before="120" w:after="120"/>
              <w:rPr>
                <w:rFonts w:ascii="Calibri" w:hAnsi="Calibri"/>
                <w:b/>
                <w:bCs/>
                <w:color w:val="000000"/>
              </w:rPr>
            </w:pPr>
          </w:p>
        </w:tc>
        <w:tc>
          <w:tcPr>
            <w:tcW w:w="2522" w:type="dxa"/>
            <w:tcBorders>
              <w:top w:val="single" w:sz="4" w:space="0" w:color="auto"/>
              <w:left w:val="single" w:sz="4" w:space="0" w:color="auto"/>
              <w:bottom w:val="single" w:sz="4" w:space="0" w:color="auto"/>
              <w:right w:val="single" w:sz="4" w:space="0" w:color="auto"/>
            </w:tcBorders>
            <w:shd w:val="clear" w:color="auto" w:fill="auto"/>
            <w:vAlign w:val="bottom"/>
          </w:tcPr>
          <w:p w14:paraId="440A04E4" w14:textId="10450F58" w:rsidR="007553AF" w:rsidRPr="00E95745" w:rsidRDefault="007553AF" w:rsidP="00D3615D">
            <w:pPr>
              <w:spacing w:before="120" w:after="120"/>
              <w:rPr>
                <w:rFonts w:ascii="Calibri" w:hAnsi="Calibri"/>
                <w:b/>
                <w:bCs/>
                <w:color w:val="000000"/>
              </w:rPr>
            </w:pPr>
          </w:p>
        </w:tc>
        <w:tc>
          <w:tcPr>
            <w:tcW w:w="2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A676F" w14:textId="15DE67E9" w:rsidR="007553AF" w:rsidRPr="004C1E44" w:rsidRDefault="007553AF" w:rsidP="00D3615D">
            <w:pPr>
              <w:spacing w:before="120" w:after="120"/>
              <w:rPr>
                <w:rFonts w:ascii="Calibri" w:hAnsi="Calibri"/>
                <w:b/>
                <w:bCs/>
              </w:rPr>
            </w:pPr>
          </w:p>
        </w:tc>
      </w:tr>
      <w:tr w:rsidR="007553AF" w:rsidRPr="00E95745" w14:paraId="21940D14" w14:textId="77777777" w:rsidTr="00D3615D">
        <w:trPr>
          <w:trHeight w:val="303"/>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B7E61" w14:textId="77777777" w:rsidR="007553AF" w:rsidRPr="00E95745" w:rsidRDefault="007553AF" w:rsidP="00D3615D">
            <w:pPr>
              <w:spacing w:before="120" w:after="120"/>
              <w:rPr>
                <w:rFonts w:ascii="Calibri" w:hAnsi="Calibri"/>
                <w:b/>
                <w:bCs/>
                <w:color w:val="000000"/>
              </w:rPr>
            </w:pPr>
            <w:r w:rsidRPr="00E95745">
              <w:rPr>
                <w:rFonts w:ascii="Calibri" w:hAnsi="Calibri"/>
                <w:b/>
                <w:bCs/>
                <w:color w:val="000000"/>
              </w:rPr>
              <w:t>Total</w:t>
            </w: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C196A" w14:textId="5129A0D5" w:rsidR="007553AF" w:rsidRPr="004C1E44" w:rsidRDefault="007553AF" w:rsidP="00D3615D">
            <w:pPr>
              <w:spacing w:before="120" w:after="120"/>
              <w:rPr>
                <w:rFonts w:ascii="Calibri" w:hAnsi="Calibri"/>
                <w:b/>
                <w:bCs/>
              </w:rPr>
            </w:pP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7F0F7" w14:textId="70E20DA1" w:rsidR="007553AF" w:rsidRPr="00E95745" w:rsidRDefault="007553AF" w:rsidP="00D3615D">
            <w:pPr>
              <w:spacing w:before="120" w:after="120"/>
              <w:rPr>
                <w:rFonts w:ascii="Calibri" w:hAnsi="Calibri"/>
                <w:color w:val="000000"/>
              </w:rPr>
            </w:pP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141E6D" w14:textId="20F1A20A" w:rsidR="007553AF" w:rsidRPr="00E95745" w:rsidRDefault="007553AF" w:rsidP="00D3615D">
            <w:pPr>
              <w:spacing w:before="120" w:after="120"/>
              <w:rPr>
                <w:rFonts w:ascii="Calibri" w:hAnsi="Calibri"/>
                <w:color w:val="000000"/>
              </w:rPr>
            </w:pPr>
          </w:p>
        </w:tc>
        <w:tc>
          <w:tcPr>
            <w:tcW w:w="2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02E9D" w14:textId="3DB9EE24" w:rsidR="007553AF" w:rsidRPr="00E95745" w:rsidRDefault="007553AF" w:rsidP="00D3615D">
            <w:pPr>
              <w:spacing w:before="120" w:after="120"/>
              <w:rPr>
                <w:rFonts w:ascii="Calibri" w:hAnsi="Calibri"/>
                <w:color w:val="000000"/>
              </w:rPr>
            </w:pPr>
          </w:p>
        </w:tc>
      </w:tr>
    </w:tbl>
    <w:p w14:paraId="50324A9F" w14:textId="77777777" w:rsidR="003A4F4D" w:rsidRPr="00D3615D" w:rsidRDefault="003A4F4D" w:rsidP="00D3615D">
      <w:pPr>
        <w:spacing w:after="0"/>
        <w:rPr>
          <w:rFonts w:ascii="Calibri" w:hAnsi="Calibri"/>
          <w:color w:val="000000"/>
          <w:sz w:val="16"/>
          <w:szCs w:val="16"/>
        </w:rPr>
      </w:pPr>
    </w:p>
    <w:p w14:paraId="0F892D47" w14:textId="0532A059" w:rsidR="007553AF" w:rsidRDefault="0055433D" w:rsidP="00D3615D">
      <w:pPr>
        <w:numPr>
          <w:ilvl w:val="0"/>
          <w:numId w:val="76"/>
        </w:numPr>
        <w:spacing w:after="0"/>
        <w:ind w:left="714" w:hanging="357"/>
        <w:rPr>
          <w:rFonts w:ascii="Calibri" w:eastAsia="Calibri" w:hAnsi="Calibri"/>
        </w:rPr>
      </w:pPr>
      <w:r>
        <w:rPr>
          <w:rFonts w:ascii="Calibri" w:eastAsia="Calibri" w:hAnsi="Calibri"/>
        </w:rPr>
        <w:t>Detail the 5 debt net positions that comprise the greatest percentage of the total gross value of the debt portfolio</w:t>
      </w:r>
      <w:r w:rsidR="00236DAA">
        <w:rPr>
          <w:rFonts w:ascii="Calibri" w:eastAsia="Calibri" w:hAnsi="Calibri"/>
        </w:rPr>
        <w:t>.</w:t>
      </w:r>
    </w:p>
    <w:p w14:paraId="7ECEAF5D" w14:textId="47EB28EF" w:rsidR="007553AF" w:rsidRPr="00930407" w:rsidRDefault="007553AF" w:rsidP="00D3615D">
      <w:pPr>
        <w:numPr>
          <w:ilvl w:val="0"/>
          <w:numId w:val="76"/>
        </w:numPr>
        <w:spacing w:after="0"/>
        <w:ind w:left="714" w:hanging="357"/>
        <w:rPr>
          <w:rFonts w:ascii="Calibri" w:eastAsia="Calibri" w:hAnsi="Calibri"/>
        </w:rPr>
      </w:pPr>
      <w:r w:rsidRPr="007553AF">
        <w:rPr>
          <w:rFonts w:ascii="Calibri" w:eastAsia="Calibri" w:hAnsi="Calibri"/>
        </w:rPr>
        <w:t>If the position is a listed security, then enter the code. If not, enter the type of debt position.</w:t>
      </w:r>
    </w:p>
    <w:p w14:paraId="1CB35AD0" w14:textId="65F3A256" w:rsidR="004F41C1" w:rsidRPr="00AD1CE1" w:rsidRDefault="007553AF" w:rsidP="00D3615D">
      <w:pPr>
        <w:spacing w:before="480" w:after="0"/>
        <w:outlineLvl w:val="3"/>
        <w:rPr>
          <w:rFonts w:ascii="Calibri" w:hAnsi="Calibri"/>
          <w:b/>
          <w:bCs/>
          <w:color w:val="0070C0"/>
          <w:sz w:val="32"/>
          <w:szCs w:val="32"/>
        </w:rPr>
      </w:pPr>
      <w:r w:rsidRPr="00AD1CE1">
        <w:rPr>
          <w:rFonts w:ascii="Calibri" w:hAnsi="Calibri"/>
          <w:b/>
          <w:bCs/>
          <w:color w:val="0070C0"/>
          <w:sz w:val="32"/>
          <w:szCs w:val="32"/>
        </w:rPr>
        <w:t xml:space="preserve">Foreign </w:t>
      </w:r>
      <w:r w:rsidR="000D6D3B">
        <w:rPr>
          <w:rFonts w:ascii="Calibri" w:hAnsi="Calibri"/>
          <w:b/>
          <w:bCs/>
          <w:color w:val="0070C0"/>
          <w:sz w:val="32"/>
          <w:szCs w:val="32"/>
        </w:rPr>
        <w:t>E</w:t>
      </w:r>
      <w:r w:rsidRPr="00AD1CE1">
        <w:rPr>
          <w:rFonts w:ascii="Calibri" w:hAnsi="Calibri"/>
          <w:b/>
          <w:bCs/>
          <w:color w:val="0070C0"/>
          <w:sz w:val="32"/>
          <w:szCs w:val="32"/>
        </w:rPr>
        <w:t>xchange position risk</w:t>
      </w:r>
    </w:p>
    <w:p w14:paraId="63A195E5" w14:textId="134C9967" w:rsidR="003F6625" w:rsidRPr="00AD1CE1" w:rsidRDefault="003F6625" w:rsidP="00D3615D">
      <w:pPr>
        <w:keepNext/>
        <w:spacing w:before="240" w:after="120"/>
        <w:outlineLvl w:val="3"/>
        <w:rPr>
          <w:rFonts w:ascii="Calibri" w:hAnsi="Calibri" w:cs="Helvetica"/>
          <w:b/>
          <w:sz w:val="24"/>
          <w:szCs w:val="24"/>
          <w:lang w:val="en"/>
        </w:rPr>
      </w:pPr>
      <w:r w:rsidRPr="00AD1CE1">
        <w:rPr>
          <w:rFonts w:ascii="Calibri" w:hAnsi="Calibri" w:cs="Helvetica"/>
          <w:b/>
          <w:sz w:val="24"/>
          <w:szCs w:val="24"/>
          <w:lang w:val="en"/>
        </w:rPr>
        <w:t xml:space="preserve">Foreign </w:t>
      </w:r>
      <w:r w:rsidR="00DF7455">
        <w:rPr>
          <w:rFonts w:ascii="Calibri" w:hAnsi="Calibri" w:cs="Helvetica"/>
          <w:b/>
          <w:sz w:val="24"/>
          <w:szCs w:val="24"/>
          <w:lang w:val="en"/>
        </w:rPr>
        <w:t>E</w:t>
      </w:r>
      <w:r w:rsidRPr="00AD1CE1">
        <w:rPr>
          <w:rFonts w:ascii="Calibri" w:hAnsi="Calibri" w:cs="Helvetica"/>
          <w:b/>
          <w:sz w:val="24"/>
          <w:szCs w:val="24"/>
          <w:lang w:val="en"/>
        </w:rPr>
        <w:t xml:space="preserve">xchange position risk – </w:t>
      </w:r>
      <w:r w:rsidR="00AD1CE1">
        <w:rPr>
          <w:rFonts w:ascii="Calibri" w:hAnsi="Calibri" w:cs="Helvetica"/>
          <w:b/>
          <w:sz w:val="24"/>
          <w:szCs w:val="24"/>
          <w:lang w:val="en"/>
        </w:rPr>
        <w:t>S</w:t>
      </w:r>
      <w:r w:rsidRPr="00AD1CE1">
        <w:rPr>
          <w:rFonts w:ascii="Calibri" w:hAnsi="Calibri" w:cs="Helvetica"/>
          <w:b/>
          <w:sz w:val="24"/>
          <w:szCs w:val="24"/>
          <w:lang w:val="en"/>
        </w:rPr>
        <w:t>tandard method</w:t>
      </w:r>
    </w:p>
    <w:tbl>
      <w:tblPr>
        <w:tblW w:w="12469" w:type="dxa"/>
        <w:tblLayout w:type="fixed"/>
        <w:tblLook w:val="04A0" w:firstRow="1" w:lastRow="0" w:firstColumn="1" w:lastColumn="0" w:noHBand="0" w:noVBand="1"/>
      </w:tblPr>
      <w:tblGrid>
        <w:gridCol w:w="3938"/>
        <w:gridCol w:w="2843"/>
        <w:gridCol w:w="2844"/>
        <w:gridCol w:w="2844"/>
      </w:tblGrid>
      <w:tr w:rsidR="00AD1CE1" w:rsidRPr="00AD1CE1" w14:paraId="57EA8EB7" w14:textId="4853A02A" w:rsidTr="00D3615D">
        <w:trPr>
          <w:trHeight w:val="456"/>
        </w:trPr>
        <w:tc>
          <w:tcPr>
            <w:tcW w:w="3938"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9AC3A62" w14:textId="1B48D6EC" w:rsidR="00AD1CE1" w:rsidRPr="00AD1CE1" w:rsidRDefault="00AD1CE1" w:rsidP="00D3615D">
            <w:pPr>
              <w:spacing w:before="40" w:after="120"/>
              <w:rPr>
                <w:rFonts w:ascii="Calibri" w:hAnsi="Calibri"/>
                <w:b/>
                <w:bCs/>
                <w:color w:val="FFFFFF"/>
              </w:rPr>
            </w:pPr>
            <w:r w:rsidRPr="00AD1CE1">
              <w:rPr>
                <w:rFonts w:ascii="Calibri" w:hAnsi="Calibri"/>
                <w:b/>
                <w:bCs/>
                <w:color w:val="FFFFFF"/>
              </w:rPr>
              <w:t>Currency</w:t>
            </w:r>
          </w:p>
        </w:tc>
        <w:tc>
          <w:tcPr>
            <w:tcW w:w="2843"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7F486FFB" w14:textId="7CA5AD40" w:rsidR="00AD1CE1" w:rsidRPr="00AD1CE1" w:rsidRDefault="00AD1CE1" w:rsidP="00D3615D">
            <w:pPr>
              <w:spacing w:before="40" w:after="120"/>
              <w:rPr>
                <w:rFonts w:ascii="Calibri" w:hAnsi="Calibri"/>
                <w:b/>
                <w:bCs/>
                <w:color w:val="FFFFFF"/>
              </w:rPr>
            </w:pPr>
            <w:r w:rsidRPr="00AD1CE1">
              <w:rPr>
                <w:rFonts w:ascii="Calibri" w:hAnsi="Calibri"/>
                <w:b/>
                <w:bCs/>
                <w:color w:val="FFFFFF"/>
              </w:rPr>
              <w:t xml:space="preserve">Net open long position </w:t>
            </w:r>
          </w:p>
        </w:tc>
        <w:tc>
          <w:tcPr>
            <w:tcW w:w="2844"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8FCDABC" w14:textId="7AF47039" w:rsidR="00AD1CE1" w:rsidRPr="00AD1CE1" w:rsidRDefault="00AD1CE1" w:rsidP="00D3615D">
            <w:pPr>
              <w:spacing w:before="40" w:after="120"/>
              <w:rPr>
                <w:rFonts w:ascii="Calibri" w:hAnsi="Calibri"/>
                <w:b/>
                <w:bCs/>
                <w:color w:val="FFFFFF"/>
              </w:rPr>
            </w:pPr>
            <w:r w:rsidRPr="00AD1CE1">
              <w:rPr>
                <w:rFonts w:ascii="Calibri" w:hAnsi="Calibri"/>
                <w:b/>
                <w:bCs/>
                <w:color w:val="FFFFFF"/>
              </w:rPr>
              <w:t xml:space="preserve">Net open short position </w:t>
            </w:r>
          </w:p>
        </w:tc>
        <w:tc>
          <w:tcPr>
            <w:tcW w:w="2844" w:type="dxa"/>
            <w:tcBorders>
              <w:top w:val="single" w:sz="4" w:space="0" w:color="auto"/>
              <w:left w:val="single" w:sz="4" w:space="0" w:color="auto"/>
              <w:bottom w:val="single" w:sz="4" w:space="0" w:color="auto"/>
              <w:right w:val="single" w:sz="4" w:space="0" w:color="auto"/>
            </w:tcBorders>
            <w:shd w:val="clear" w:color="auto" w:fill="0070C0"/>
          </w:tcPr>
          <w:p w14:paraId="4B34598D" w14:textId="5BF95FF4" w:rsidR="00AD1CE1" w:rsidRPr="00AD1CE1" w:rsidRDefault="00AD1CE1" w:rsidP="00D3615D">
            <w:pPr>
              <w:spacing w:before="40" w:after="120"/>
              <w:rPr>
                <w:rFonts w:ascii="Calibri" w:hAnsi="Calibri"/>
                <w:b/>
                <w:bCs/>
                <w:color w:val="FFFFFF"/>
              </w:rPr>
            </w:pPr>
            <w:r>
              <w:rPr>
                <w:rFonts w:ascii="Calibri" w:hAnsi="Calibri"/>
                <w:b/>
                <w:bCs/>
                <w:color w:val="FFFFFF"/>
              </w:rPr>
              <w:t>Net open position</w:t>
            </w:r>
          </w:p>
        </w:tc>
      </w:tr>
      <w:tr w:rsidR="00AD1CE1" w:rsidRPr="00AD1CE1" w14:paraId="37DF75DE" w14:textId="325C5E73" w:rsidTr="00D3615D">
        <w:trPr>
          <w:trHeight w:val="228"/>
        </w:trPr>
        <w:tc>
          <w:tcPr>
            <w:tcW w:w="3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1E35D" w14:textId="6E1EB4C9" w:rsidR="00AD1CE1" w:rsidRPr="00AD1CE1" w:rsidRDefault="00AD1CE1" w:rsidP="00D3615D">
            <w:pPr>
              <w:spacing w:before="120" w:after="120"/>
              <w:rPr>
                <w:rFonts w:ascii="Calibri" w:hAnsi="Calibri"/>
                <w:color w:val="3F3F76"/>
              </w:rPr>
            </w:pPr>
            <w:r w:rsidRPr="00AD1CE1">
              <w:rPr>
                <w:rFonts w:ascii="Calibri" w:hAnsi="Calibri"/>
                <w:color w:val="3F3F76"/>
              </w:rPr>
              <w:t> </w:t>
            </w:r>
          </w:p>
        </w:tc>
        <w:tc>
          <w:tcPr>
            <w:tcW w:w="2843" w:type="dxa"/>
            <w:tcBorders>
              <w:top w:val="single" w:sz="4" w:space="0" w:color="auto"/>
              <w:left w:val="single" w:sz="4" w:space="0" w:color="auto"/>
              <w:bottom w:val="single" w:sz="4" w:space="0" w:color="auto"/>
              <w:right w:val="single" w:sz="4" w:space="0" w:color="auto"/>
            </w:tcBorders>
            <w:shd w:val="clear" w:color="auto" w:fill="auto"/>
            <w:vAlign w:val="bottom"/>
          </w:tcPr>
          <w:p w14:paraId="182C3B4F" w14:textId="7E572BD1" w:rsidR="00AD1CE1" w:rsidRPr="00AD1CE1" w:rsidRDefault="00AD1CE1" w:rsidP="00D3615D">
            <w:pPr>
              <w:spacing w:before="120" w:after="120"/>
              <w:rPr>
                <w:rFonts w:ascii="Calibri" w:hAnsi="Calibri"/>
              </w:rPr>
            </w:pPr>
          </w:p>
        </w:tc>
        <w:tc>
          <w:tcPr>
            <w:tcW w:w="2844" w:type="dxa"/>
            <w:tcBorders>
              <w:top w:val="single" w:sz="4" w:space="0" w:color="auto"/>
              <w:left w:val="single" w:sz="4" w:space="0" w:color="auto"/>
              <w:bottom w:val="single" w:sz="4" w:space="0" w:color="auto"/>
              <w:right w:val="single" w:sz="4" w:space="0" w:color="auto"/>
            </w:tcBorders>
            <w:shd w:val="clear" w:color="auto" w:fill="auto"/>
            <w:vAlign w:val="bottom"/>
          </w:tcPr>
          <w:p w14:paraId="73EBF4FA" w14:textId="355E5106" w:rsidR="00AD1CE1" w:rsidRPr="00AD1CE1" w:rsidRDefault="00AD1CE1" w:rsidP="00D3615D">
            <w:pPr>
              <w:spacing w:before="120" w:after="120"/>
              <w:rPr>
                <w:rFonts w:ascii="Calibri" w:hAnsi="Calibri"/>
              </w:rPr>
            </w:pPr>
          </w:p>
        </w:tc>
        <w:tc>
          <w:tcPr>
            <w:tcW w:w="28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A02EA8" w14:textId="77777777" w:rsidR="00AD1CE1" w:rsidRPr="00AD1CE1" w:rsidRDefault="00AD1CE1" w:rsidP="00D3615D">
            <w:pPr>
              <w:spacing w:before="120" w:after="120"/>
              <w:rPr>
                <w:rFonts w:ascii="Calibri" w:hAnsi="Calibri"/>
              </w:rPr>
            </w:pPr>
          </w:p>
        </w:tc>
      </w:tr>
      <w:tr w:rsidR="00AD1CE1" w:rsidRPr="00AD1CE1" w14:paraId="30D9F383" w14:textId="482AA472" w:rsidTr="00D3615D">
        <w:trPr>
          <w:trHeight w:val="239"/>
        </w:trPr>
        <w:tc>
          <w:tcPr>
            <w:tcW w:w="3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4D8C0" w14:textId="77777777" w:rsidR="00AD1CE1" w:rsidRPr="00AD1CE1" w:rsidRDefault="00AD1CE1" w:rsidP="00D3615D">
            <w:pPr>
              <w:spacing w:before="120" w:after="120"/>
              <w:rPr>
                <w:rFonts w:ascii="Calibri" w:hAnsi="Calibri"/>
                <w:b/>
                <w:color w:val="000000"/>
              </w:rPr>
            </w:pPr>
            <w:r w:rsidRPr="00AD1CE1">
              <w:rPr>
                <w:rFonts w:ascii="Calibri" w:hAnsi="Calibri"/>
                <w:b/>
                <w:bCs/>
              </w:rPr>
              <w:t>Total</w:t>
            </w:r>
          </w:p>
        </w:tc>
        <w:tc>
          <w:tcPr>
            <w:tcW w:w="2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C0469" w14:textId="26012A6E" w:rsidR="00AD1CE1" w:rsidRPr="004C1E44" w:rsidRDefault="00AD1CE1" w:rsidP="00D3615D">
            <w:pPr>
              <w:spacing w:before="120" w:after="120"/>
              <w:rPr>
                <w:rFonts w:ascii="Calibri" w:hAnsi="Calibri"/>
                <w:b/>
                <w:bCs/>
              </w:rPr>
            </w:pPr>
          </w:p>
        </w:tc>
        <w:tc>
          <w:tcPr>
            <w:tcW w:w="28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31EEA3" w14:textId="0B6CC146" w:rsidR="00AD1CE1" w:rsidRPr="00AD1CE1" w:rsidRDefault="00AD1CE1" w:rsidP="00D3615D">
            <w:pPr>
              <w:spacing w:before="120" w:after="120"/>
              <w:rPr>
                <w:rFonts w:ascii="Calibri" w:hAnsi="Calibri"/>
                <w:color w:val="000000"/>
              </w:rPr>
            </w:pPr>
          </w:p>
        </w:tc>
        <w:tc>
          <w:tcPr>
            <w:tcW w:w="2844" w:type="dxa"/>
            <w:tcBorders>
              <w:top w:val="single" w:sz="4" w:space="0" w:color="auto"/>
              <w:left w:val="single" w:sz="4" w:space="0" w:color="auto"/>
              <w:bottom w:val="single" w:sz="4" w:space="0" w:color="auto"/>
              <w:right w:val="single" w:sz="4" w:space="0" w:color="auto"/>
            </w:tcBorders>
          </w:tcPr>
          <w:p w14:paraId="26F372D8" w14:textId="77777777" w:rsidR="00AD1CE1" w:rsidRPr="00AD1CE1" w:rsidRDefault="00AD1CE1" w:rsidP="00D3615D">
            <w:pPr>
              <w:spacing w:before="120" w:after="120"/>
              <w:rPr>
                <w:rFonts w:ascii="Calibri" w:hAnsi="Calibri"/>
                <w:color w:val="000000"/>
              </w:rPr>
            </w:pPr>
          </w:p>
        </w:tc>
      </w:tr>
      <w:tr w:rsidR="00DF7455" w:rsidRPr="00AD1CE1" w14:paraId="0B504767" w14:textId="77777777" w:rsidTr="00D3615D">
        <w:trPr>
          <w:trHeight w:val="239"/>
        </w:trPr>
        <w:tc>
          <w:tcPr>
            <w:tcW w:w="39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ACE739" w14:textId="02671FAE" w:rsidR="00DF7455" w:rsidRPr="001A4322" w:rsidRDefault="00DF7455" w:rsidP="00D3615D">
            <w:pPr>
              <w:spacing w:before="120" w:after="120"/>
              <w:rPr>
                <w:rFonts w:ascii="Calibri" w:hAnsi="Calibri"/>
                <w:bCs/>
              </w:rPr>
            </w:pPr>
            <w:r w:rsidRPr="001A4322">
              <w:rPr>
                <w:rFonts w:ascii="Calibri" w:hAnsi="Calibri"/>
                <w:bCs/>
              </w:rPr>
              <w:t>Gold</w:t>
            </w:r>
          </w:p>
        </w:tc>
        <w:tc>
          <w:tcPr>
            <w:tcW w:w="2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012F38D9" w14:textId="77777777" w:rsidR="00DF7455" w:rsidRPr="004C1E44" w:rsidRDefault="00DF7455" w:rsidP="00D3615D">
            <w:pPr>
              <w:spacing w:before="120" w:after="120"/>
              <w:rPr>
                <w:rFonts w:ascii="Calibri" w:hAnsi="Calibri"/>
                <w:b/>
                <w:bCs/>
              </w:rPr>
            </w:pPr>
          </w:p>
        </w:tc>
        <w:tc>
          <w:tcPr>
            <w:tcW w:w="284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0BA486B8" w14:textId="77777777" w:rsidR="00DF7455" w:rsidRPr="00AD1CE1" w:rsidRDefault="00DF7455" w:rsidP="00D3615D">
            <w:pPr>
              <w:spacing w:before="120" w:after="120"/>
              <w:rPr>
                <w:rFonts w:ascii="Calibri" w:hAnsi="Calibri"/>
                <w:color w:val="000000"/>
              </w:rPr>
            </w:pPr>
          </w:p>
        </w:tc>
        <w:tc>
          <w:tcPr>
            <w:tcW w:w="2844" w:type="dxa"/>
            <w:tcBorders>
              <w:top w:val="single" w:sz="4" w:space="0" w:color="auto"/>
              <w:left w:val="single" w:sz="4" w:space="0" w:color="auto"/>
              <w:bottom w:val="single" w:sz="4" w:space="0" w:color="auto"/>
              <w:right w:val="single" w:sz="4" w:space="0" w:color="auto"/>
            </w:tcBorders>
          </w:tcPr>
          <w:p w14:paraId="41D108ED" w14:textId="77777777" w:rsidR="00DF7455" w:rsidRPr="00AD1CE1" w:rsidRDefault="00DF7455" w:rsidP="00D3615D">
            <w:pPr>
              <w:spacing w:before="120" w:after="120"/>
              <w:rPr>
                <w:rFonts w:ascii="Calibri" w:hAnsi="Calibri"/>
                <w:color w:val="000000"/>
              </w:rPr>
            </w:pPr>
          </w:p>
        </w:tc>
      </w:tr>
      <w:tr w:rsidR="00AD1CE1" w:rsidRPr="00AD1CE1" w14:paraId="6FD13034" w14:textId="6489A29B" w:rsidTr="00D3615D">
        <w:trPr>
          <w:trHeight w:val="239"/>
        </w:trPr>
        <w:tc>
          <w:tcPr>
            <w:tcW w:w="39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C86A6" w14:textId="0E824434" w:rsidR="00AD1CE1" w:rsidRPr="00AD1CE1" w:rsidRDefault="00AD1CE1" w:rsidP="00D3615D">
            <w:pPr>
              <w:spacing w:before="120" w:after="120"/>
              <w:rPr>
                <w:rFonts w:ascii="Calibri" w:hAnsi="Calibri"/>
                <w:b/>
                <w:bCs/>
              </w:rPr>
            </w:pPr>
            <w:r w:rsidRPr="00AD1CE1">
              <w:rPr>
                <w:rFonts w:ascii="Calibri" w:hAnsi="Calibri"/>
                <w:b/>
                <w:bCs/>
              </w:rPr>
              <w:t xml:space="preserve">Position risk amount </w:t>
            </w:r>
          </w:p>
        </w:tc>
        <w:tc>
          <w:tcPr>
            <w:tcW w:w="2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67D92" w14:textId="77777777" w:rsidR="00AD1CE1" w:rsidRPr="004C1E44" w:rsidRDefault="00AD1CE1" w:rsidP="00D3615D">
            <w:pPr>
              <w:spacing w:before="120" w:after="120"/>
              <w:rPr>
                <w:rFonts w:ascii="Calibri" w:hAnsi="Calibri"/>
                <w:b/>
                <w:bCs/>
              </w:rPr>
            </w:pPr>
          </w:p>
        </w:tc>
        <w:tc>
          <w:tcPr>
            <w:tcW w:w="28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C4033" w14:textId="77777777" w:rsidR="00AD1CE1" w:rsidRPr="00AD1CE1" w:rsidRDefault="00AD1CE1" w:rsidP="00D3615D">
            <w:pPr>
              <w:spacing w:before="120" w:after="120"/>
              <w:rPr>
                <w:rFonts w:ascii="Calibri" w:hAnsi="Calibri"/>
                <w:color w:val="000000"/>
              </w:rPr>
            </w:pPr>
          </w:p>
        </w:tc>
        <w:tc>
          <w:tcPr>
            <w:tcW w:w="2844" w:type="dxa"/>
            <w:tcBorders>
              <w:top w:val="single" w:sz="4" w:space="0" w:color="auto"/>
              <w:left w:val="single" w:sz="4" w:space="0" w:color="auto"/>
              <w:bottom w:val="single" w:sz="4" w:space="0" w:color="auto"/>
              <w:right w:val="single" w:sz="4" w:space="0" w:color="auto"/>
            </w:tcBorders>
          </w:tcPr>
          <w:p w14:paraId="0F3001DB" w14:textId="77777777" w:rsidR="00AD1CE1" w:rsidRPr="00AD1CE1" w:rsidRDefault="00AD1CE1" w:rsidP="00D3615D">
            <w:pPr>
              <w:spacing w:before="120" w:after="120"/>
              <w:rPr>
                <w:rFonts w:ascii="Calibri" w:hAnsi="Calibri"/>
                <w:color w:val="000000"/>
              </w:rPr>
            </w:pPr>
          </w:p>
        </w:tc>
      </w:tr>
    </w:tbl>
    <w:p w14:paraId="5E008F4F" w14:textId="77777777" w:rsidR="003A4F4D" w:rsidRPr="00D3615D" w:rsidRDefault="003A4F4D" w:rsidP="00D3615D">
      <w:pPr>
        <w:spacing w:after="0"/>
        <w:rPr>
          <w:rFonts w:ascii="Calibri" w:hAnsi="Calibri"/>
          <w:color w:val="000000"/>
          <w:sz w:val="16"/>
          <w:szCs w:val="16"/>
        </w:rPr>
      </w:pPr>
    </w:p>
    <w:p w14:paraId="6772F75A" w14:textId="023E3593" w:rsidR="009254BB" w:rsidRDefault="009254BB" w:rsidP="00D3615D">
      <w:pPr>
        <w:pStyle w:val="ListParagraph"/>
        <w:numPr>
          <w:ilvl w:val="0"/>
          <w:numId w:val="76"/>
        </w:numPr>
        <w:ind w:left="714" w:hanging="357"/>
        <w:rPr>
          <w:rFonts w:ascii="Calibri" w:eastAsia="Calibri" w:hAnsi="Calibri"/>
        </w:rPr>
      </w:pPr>
      <w:r w:rsidRPr="001A4322">
        <w:rPr>
          <w:rFonts w:ascii="Calibri" w:eastAsia="Calibri" w:hAnsi="Calibri"/>
        </w:rPr>
        <w:t>Enter the AUD equivalent of the net open long position or net open short position in each currency</w:t>
      </w:r>
      <w:r w:rsidR="00236DAA">
        <w:rPr>
          <w:rFonts w:ascii="Calibri" w:eastAsia="Calibri" w:hAnsi="Calibri"/>
        </w:rPr>
        <w:t>.</w:t>
      </w:r>
    </w:p>
    <w:p w14:paraId="46B20174" w14:textId="279A0792" w:rsidR="00AD1CE1" w:rsidRPr="001A4322" w:rsidRDefault="00AD1CE1" w:rsidP="00D3615D">
      <w:pPr>
        <w:pStyle w:val="ListParagraph"/>
        <w:numPr>
          <w:ilvl w:val="0"/>
          <w:numId w:val="76"/>
        </w:numPr>
        <w:ind w:left="714" w:hanging="357"/>
        <w:rPr>
          <w:rFonts w:ascii="Calibri" w:eastAsia="Calibri" w:hAnsi="Calibri"/>
        </w:rPr>
      </w:pPr>
      <w:r>
        <w:rPr>
          <w:rFonts w:ascii="Calibri" w:eastAsia="Calibri" w:hAnsi="Calibri"/>
        </w:rPr>
        <w:t>Enter the AUD equivalent of the net open position in gold</w:t>
      </w:r>
      <w:r w:rsidR="00236DAA">
        <w:rPr>
          <w:rFonts w:ascii="Calibri" w:eastAsia="Calibri" w:hAnsi="Calibri"/>
        </w:rPr>
        <w:t>.</w:t>
      </w:r>
    </w:p>
    <w:p w14:paraId="615DBA69" w14:textId="77777777" w:rsidR="009254BB" w:rsidRPr="00AD1CE1" w:rsidRDefault="009254BB" w:rsidP="00D3615D">
      <w:pPr>
        <w:pStyle w:val="ListParagraph"/>
        <w:numPr>
          <w:ilvl w:val="0"/>
          <w:numId w:val="76"/>
        </w:numPr>
        <w:ind w:left="714" w:hanging="357"/>
        <w:rPr>
          <w:rFonts w:ascii="Calibri" w:eastAsia="Calibri" w:hAnsi="Calibri"/>
        </w:rPr>
      </w:pPr>
      <w:r w:rsidRPr="00AD1CE1">
        <w:rPr>
          <w:rFonts w:ascii="Calibri" w:eastAsia="Calibri" w:hAnsi="Calibri"/>
        </w:rPr>
        <w:t>For a selected currency you may enter either a Net Open Long Position or a Net Open Short Position.</w:t>
      </w:r>
    </w:p>
    <w:p w14:paraId="6BC4C7DE" w14:textId="1E899504" w:rsidR="00AD1CE1" w:rsidRDefault="009254BB" w:rsidP="00D3615D">
      <w:pPr>
        <w:pStyle w:val="ListParagraph"/>
        <w:numPr>
          <w:ilvl w:val="0"/>
          <w:numId w:val="76"/>
        </w:numPr>
        <w:ind w:left="714" w:hanging="357"/>
        <w:rPr>
          <w:rFonts w:ascii="Calibri" w:eastAsia="Calibri" w:hAnsi="Calibri"/>
        </w:rPr>
      </w:pPr>
      <w:r w:rsidRPr="001A4322">
        <w:rPr>
          <w:rFonts w:ascii="Calibri" w:eastAsia="Calibri" w:hAnsi="Calibri"/>
        </w:rPr>
        <w:t>You can only select each currency once so all similar currency amounts should be aggregated before being input.</w:t>
      </w:r>
    </w:p>
    <w:p w14:paraId="7DAE18FF" w14:textId="5B21243C" w:rsidR="00AD1CE1" w:rsidRPr="001A4322" w:rsidRDefault="00AD1CE1" w:rsidP="00D3615D">
      <w:pPr>
        <w:pStyle w:val="ListParagraph"/>
        <w:numPr>
          <w:ilvl w:val="0"/>
          <w:numId w:val="76"/>
        </w:numPr>
        <w:ind w:left="714" w:hanging="357"/>
        <w:rPr>
          <w:rFonts w:ascii="Calibri" w:eastAsia="Calibri" w:hAnsi="Calibri"/>
        </w:rPr>
      </w:pPr>
      <w:r w:rsidRPr="001A4322">
        <w:rPr>
          <w:rFonts w:ascii="Calibri" w:eastAsia="Calibri" w:hAnsi="Calibri" w:cs="Calibri"/>
        </w:rPr>
        <w:t xml:space="preserve">The position risk amount is 8 per cent of the sum of the absolute values of </w:t>
      </w:r>
      <w:r w:rsidR="00D3770B">
        <w:rPr>
          <w:rFonts w:ascii="Calibri" w:eastAsia="Calibri" w:hAnsi="Calibri" w:cs="Calibri"/>
        </w:rPr>
        <w:t>‘</w:t>
      </w:r>
      <w:r w:rsidRPr="001A4322">
        <w:rPr>
          <w:rFonts w:ascii="Calibri" w:eastAsia="Calibri" w:hAnsi="Calibri" w:cs="Calibri"/>
        </w:rPr>
        <w:t>the higher of aggregate net short/long open positions</w:t>
      </w:r>
      <w:r w:rsidR="00D3770B">
        <w:rPr>
          <w:rFonts w:ascii="Calibri" w:eastAsia="Calibri" w:hAnsi="Calibri" w:cs="Calibri"/>
        </w:rPr>
        <w:t>’</w:t>
      </w:r>
      <w:r w:rsidRPr="001A4322">
        <w:rPr>
          <w:rFonts w:ascii="Calibri" w:eastAsia="Calibri" w:hAnsi="Calibri" w:cs="Calibri"/>
        </w:rPr>
        <w:t xml:space="preserve"> and </w:t>
      </w:r>
      <w:r w:rsidR="00D3770B">
        <w:rPr>
          <w:rFonts w:ascii="Calibri" w:eastAsia="Calibri" w:hAnsi="Calibri" w:cs="Calibri"/>
        </w:rPr>
        <w:t>‘g</w:t>
      </w:r>
      <w:r w:rsidRPr="001A4322">
        <w:rPr>
          <w:rFonts w:ascii="Calibri" w:eastAsia="Calibri" w:hAnsi="Calibri" w:cs="Calibri"/>
        </w:rPr>
        <w:t>old net open positions</w:t>
      </w:r>
      <w:r w:rsidR="00D3770B">
        <w:rPr>
          <w:rFonts w:ascii="Calibri" w:eastAsia="Calibri" w:hAnsi="Calibri" w:cs="Calibri"/>
        </w:rPr>
        <w:t>’</w:t>
      </w:r>
      <w:r w:rsidR="00236DAA">
        <w:rPr>
          <w:rFonts w:ascii="Calibri" w:eastAsia="Calibri" w:hAnsi="Calibri" w:cs="Calibri"/>
        </w:rPr>
        <w:t>.</w:t>
      </w:r>
    </w:p>
    <w:p w14:paraId="7D78F2FD" w14:textId="18D703CE" w:rsidR="00AD1CE1" w:rsidRPr="00930407" w:rsidRDefault="00AD1CE1" w:rsidP="00D3615D">
      <w:pPr>
        <w:keepNext/>
        <w:spacing w:before="240" w:after="120"/>
        <w:outlineLvl w:val="3"/>
        <w:rPr>
          <w:rFonts w:ascii="Calibri" w:hAnsi="Calibri" w:cs="Helvetica"/>
          <w:b/>
          <w:sz w:val="24"/>
          <w:szCs w:val="24"/>
          <w:lang w:val="en"/>
        </w:rPr>
      </w:pPr>
      <w:r>
        <w:rPr>
          <w:rFonts w:ascii="Calibri" w:hAnsi="Calibri" w:cs="Helvetica"/>
          <w:b/>
          <w:sz w:val="24"/>
          <w:szCs w:val="24"/>
          <w:lang w:val="en"/>
        </w:rPr>
        <w:lastRenderedPageBreak/>
        <w:t xml:space="preserve">Foreign </w:t>
      </w:r>
      <w:r w:rsidR="00DF7455">
        <w:rPr>
          <w:rFonts w:ascii="Calibri" w:hAnsi="Calibri" w:cs="Helvetica"/>
          <w:b/>
          <w:sz w:val="24"/>
          <w:szCs w:val="24"/>
          <w:lang w:val="en"/>
        </w:rPr>
        <w:t>E</w:t>
      </w:r>
      <w:r>
        <w:rPr>
          <w:rFonts w:ascii="Calibri" w:hAnsi="Calibri" w:cs="Helvetica"/>
          <w:b/>
          <w:sz w:val="24"/>
          <w:szCs w:val="24"/>
          <w:lang w:val="en"/>
        </w:rPr>
        <w:t>xchange</w:t>
      </w:r>
      <w:r w:rsidRPr="00930407">
        <w:rPr>
          <w:rFonts w:ascii="Calibri" w:hAnsi="Calibri" w:cs="Helvetica"/>
          <w:b/>
          <w:sz w:val="24"/>
          <w:szCs w:val="24"/>
          <w:lang w:val="en"/>
        </w:rPr>
        <w:t xml:space="preserve"> </w:t>
      </w:r>
      <w:r>
        <w:rPr>
          <w:rFonts w:ascii="Calibri" w:hAnsi="Calibri" w:cs="Helvetica"/>
          <w:b/>
          <w:sz w:val="24"/>
          <w:szCs w:val="24"/>
          <w:lang w:val="en"/>
        </w:rPr>
        <w:t>p</w:t>
      </w:r>
      <w:r w:rsidRPr="00930407">
        <w:rPr>
          <w:rFonts w:ascii="Calibri" w:hAnsi="Calibri" w:cs="Helvetica"/>
          <w:b/>
          <w:sz w:val="24"/>
          <w:szCs w:val="24"/>
          <w:lang w:val="en"/>
        </w:rPr>
        <w:t xml:space="preserve">osition </w:t>
      </w:r>
      <w:r>
        <w:rPr>
          <w:rFonts w:ascii="Calibri" w:hAnsi="Calibri" w:cs="Helvetica"/>
          <w:b/>
          <w:sz w:val="24"/>
          <w:szCs w:val="24"/>
          <w:lang w:val="en"/>
        </w:rPr>
        <w:t>r</w:t>
      </w:r>
      <w:r w:rsidRPr="00930407">
        <w:rPr>
          <w:rFonts w:ascii="Calibri" w:hAnsi="Calibri" w:cs="Helvetica"/>
          <w:b/>
          <w:sz w:val="24"/>
          <w:szCs w:val="24"/>
          <w:lang w:val="en"/>
        </w:rPr>
        <w:t>isk – Basic method</w:t>
      </w:r>
    </w:p>
    <w:tbl>
      <w:tblPr>
        <w:tblW w:w="14029" w:type="dxa"/>
        <w:tblLayout w:type="fixed"/>
        <w:tblLook w:val="04A0" w:firstRow="1" w:lastRow="0" w:firstColumn="1" w:lastColumn="0" w:noHBand="0" w:noVBand="1"/>
      </w:tblPr>
      <w:tblGrid>
        <w:gridCol w:w="2731"/>
        <w:gridCol w:w="1883"/>
        <w:gridCol w:w="1883"/>
        <w:gridCol w:w="1883"/>
        <w:gridCol w:w="1883"/>
        <w:gridCol w:w="1883"/>
        <w:gridCol w:w="1883"/>
      </w:tblGrid>
      <w:tr w:rsidR="00AD1CE1" w:rsidRPr="00E95745" w14:paraId="3686CC8F" w14:textId="77777777" w:rsidTr="00D3615D">
        <w:trPr>
          <w:trHeight w:val="300"/>
        </w:trPr>
        <w:tc>
          <w:tcPr>
            <w:tcW w:w="2731"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240ED457" w14:textId="77777777" w:rsidR="00AD1CE1" w:rsidRPr="00E95745" w:rsidRDefault="00AD1CE1" w:rsidP="00AD1CE1">
            <w:pPr>
              <w:spacing w:after="0"/>
              <w:rPr>
                <w:rFonts w:ascii="Calibri" w:hAnsi="Calibri"/>
                <w:b/>
                <w:bCs/>
                <w:color w:val="FFFFFF"/>
              </w:rPr>
            </w:pPr>
            <w:r w:rsidRPr="00E95745">
              <w:rPr>
                <w:rFonts w:ascii="Calibri" w:hAnsi="Calibri"/>
                <w:b/>
                <w:bCs/>
                <w:color w:val="FFFFFF"/>
              </w:rPr>
              <w:t> </w:t>
            </w:r>
          </w:p>
        </w:tc>
        <w:tc>
          <w:tcPr>
            <w:tcW w:w="5649" w:type="dxa"/>
            <w:gridSpan w:val="3"/>
            <w:tcBorders>
              <w:top w:val="single" w:sz="4" w:space="0" w:color="auto"/>
              <w:left w:val="single" w:sz="4" w:space="0" w:color="auto"/>
              <w:bottom w:val="single" w:sz="4" w:space="0" w:color="auto"/>
              <w:right w:val="single" w:sz="4" w:space="0" w:color="auto"/>
            </w:tcBorders>
            <w:shd w:val="clear" w:color="auto" w:fill="0070C0"/>
            <w:noWrap/>
            <w:hideMark/>
          </w:tcPr>
          <w:p w14:paraId="67F4CDF7" w14:textId="77777777" w:rsidR="00AD1CE1" w:rsidRPr="00E95745" w:rsidRDefault="00AD1CE1" w:rsidP="00D3615D">
            <w:pPr>
              <w:spacing w:after="0"/>
              <w:jc w:val="center"/>
              <w:rPr>
                <w:rFonts w:ascii="Calibri" w:hAnsi="Calibri"/>
                <w:b/>
                <w:bCs/>
                <w:color w:val="FFFFFF"/>
              </w:rPr>
            </w:pPr>
            <w:r w:rsidRPr="00E95745">
              <w:rPr>
                <w:rFonts w:ascii="Calibri" w:hAnsi="Calibri"/>
                <w:b/>
                <w:bCs/>
                <w:color w:val="FFFFFF"/>
              </w:rPr>
              <w:t>Purchased Options</w:t>
            </w:r>
          </w:p>
        </w:tc>
        <w:tc>
          <w:tcPr>
            <w:tcW w:w="5649" w:type="dxa"/>
            <w:gridSpan w:val="3"/>
            <w:tcBorders>
              <w:top w:val="single" w:sz="4" w:space="0" w:color="auto"/>
              <w:left w:val="single" w:sz="4" w:space="0" w:color="auto"/>
              <w:bottom w:val="single" w:sz="4" w:space="0" w:color="auto"/>
              <w:right w:val="single" w:sz="4" w:space="0" w:color="auto"/>
            </w:tcBorders>
            <w:shd w:val="clear" w:color="auto" w:fill="0070C0"/>
            <w:hideMark/>
          </w:tcPr>
          <w:p w14:paraId="358E7E0F" w14:textId="77777777" w:rsidR="00AD1CE1" w:rsidRPr="00E95745" w:rsidRDefault="00AD1CE1" w:rsidP="00D3615D">
            <w:pPr>
              <w:spacing w:after="0"/>
              <w:jc w:val="center"/>
              <w:rPr>
                <w:rFonts w:ascii="Calibri" w:hAnsi="Calibri"/>
                <w:b/>
                <w:bCs/>
                <w:color w:val="FFFFFF"/>
              </w:rPr>
            </w:pPr>
            <w:r w:rsidRPr="00E95745">
              <w:rPr>
                <w:rFonts w:ascii="Calibri" w:hAnsi="Calibri"/>
                <w:b/>
                <w:bCs/>
                <w:color w:val="FFFFFF"/>
              </w:rPr>
              <w:t>Written Options</w:t>
            </w:r>
          </w:p>
        </w:tc>
      </w:tr>
      <w:tr w:rsidR="00AD1CE1" w:rsidRPr="00E95745" w14:paraId="07F1E54F" w14:textId="77777777" w:rsidTr="00D3615D">
        <w:trPr>
          <w:trHeight w:val="964"/>
        </w:trPr>
        <w:tc>
          <w:tcPr>
            <w:tcW w:w="2731" w:type="dxa"/>
            <w:tcBorders>
              <w:top w:val="single" w:sz="4" w:space="0" w:color="auto"/>
              <w:left w:val="single" w:sz="4" w:space="0" w:color="auto"/>
              <w:bottom w:val="single" w:sz="4" w:space="0" w:color="auto"/>
              <w:right w:val="single" w:sz="4" w:space="0" w:color="auto"/>
            </w:tcBorders>
            <w:shd w:val="clear" w:color="auto" w:fill="0070C0"/>
            <w:noWrap/>
            <w:hideMark/>
          </w:tcPr>
          <w:p w14:paraId="6C624BE2" w14:textId="77777777" w:rsidR="00AD1CE1" w:rsidRPr="00E95745" w:rsidRDefault="00AD1CE1" w:rsidP="00540727">
            <w:pPr>
              <w:spacing w:after="0"/>
              <w:rPr>
                <w:rFonts w:ascii="Calibri" w:hAnsi="Calibri"/>
                <w:b/>
                <w:bCs/>
                <w:color w:val="FFFFFF"/>
              </w:rPr>
            </w:pPr>
            <w:r>
              <w:rPr>
                <w:rFonts w:ascii="Calibri" w:hAnsi="Calibri"/>
                <w:b/>
                <w:bCs/>
                <w:color w:val="FFFFFF"/>
              </w:rPr>
              <w:t>Foreign Exchange</w:t>
            </w:r>
          </w:p>
        </w:tc>
        <w:tc>
          <w:tcPr>
            <w:tcW w:w="1883" w:type="dxa"/>
            <w:tcBorders>
              <w:top w:val="single" w:sz="4" w:space="0" w:color="auto"/>
              <w:left w:val="single" w:sz="4" w:space="0" w:color="auto"/>
              <w:bottom w:val="single" w:sz="4" w:space="0" w:color="auto"/>
              <w:right w:val="single" w:sz="4" w:space="0" w:color="auto"/>
            </w:tcBorders>
            <w:shd w:val="clear" w:color="auto" w:fill="0070C0"/>
            <w:hideMark/>
          </w:tcPr>
          <w:p w14:paraId="12061750" w14:textId="77777777" w:rsidR="00AD1CE1" w:rsidRPr="00E95745" w:rsidRDefault="00AD1CE1" w:rsidP="00540727">
            <w:pPr>
              <w:spacing w:after="0"/>
              <w:rPr>
                <w:rFonts w:ascii="Calibri" w:hAnsi="Calibri"/>
                <w:b/>
                <w:bCs/>
                <w:color w:val="FFFFFF"/>
              </w:rPr>
            </w:pPr>
            <w:r w:rsidRPr="00E95745">
              <w:rPr>
                <w:rFonts w:ascii="Calibri" w:hAnsi="Calibri"/>
                <w:b/>
                <w:bCs/>
                <w:color w:val="FFFFFF"/>
              </w:rPr>
              <w:t>Mark-to-market value of underlying</w:t>
            </w:r>
          </w:p>
        </w:tc>
        <w:tc>
          <w:tcPr>
            <w:tcW w:w="1883" w:type="dxa"/>
            <w:tcBorders>
              <w:top w:val="single" w:sz="4" w:space="0" w:color="auto"/>
              <w:left w:val="single" w:sz="4" w:space="0" w:color="auto"/>
              <w:bottom w:val="single" w:sz="4" w:space="0" w:color="auto"/>
              <w:right w:val="single" w:sz="4" w:space="0" w:color="auto"/>
            </w:tcBorders>
            <w:shd w:val="clear" w:color="auto" w:fill="0070C0"/>
            <w:hideMark/>
          </w:tcPr>
          <w:p w14:paraId="0EB9156F" w14:textId="77777777" w:rsidR="00AD1CE1" w:rsidRPr="00E95745" w:rsidRDefault="00AD1CE1" w:rsidP="00540727">
            <w:pPr>
              <w:spacing w:after="0"/>
              <w:rPr>
                <w:rFonts w:ascii="Calibri" w:hAnsi="Calibri"/>
                <w:b/>
                <w:bCs/>
                <w:color w:val="FFFFFF"/>
              </w:rPr>
            </w:pPr>
            <w:r w:rsidRPr="00E95745">
              <w:rPr>
                <w:rFonts w:ascii="Calibri" w:hAnsi="Calibri"/>
                <w:b/>
                <w:bCs/>
                <w:color w:val="FFFFFF"/>
              </w:rPr>
              <w:t>Mark-to-market value of the Option</w:t>
            </w:r>
          </w:p>
        </w:tc>
        <w:tc>
          <w:tcPr>
            <w:tcW w:w="1883" w:type="dxa"/>
            <w:tcBorders>
              <w:top w:val="single" w:sz="4" w:space="0" w:color="auto"/>
              <w:left w:val="single" w:sz="4" w:space="0" w:color="auto"/>
              <w:bottom w:val="single" w:sz="4" w:space="0" w:color="auto"/>
              <w:right w:val="single" w:sz="4" w:space="0" w:color="auto"/>
            </w:tcBorders>
            <w:shd w:val="clear" w:color="auto" w:fill="0070C0"/>
            <w:hideMark/>
          </w:tcPr>
          <w:p w14:paraId="6D77EDBB" w14:textId="77777777" w:rsidR="00AD1CE1" w:rsidRPr="00E95745" w:rsidRDefault="00AD1CE1" w:rsidP="00540727">
            <w:pPr>
              <w:spacing w:after="0"/>
              <w:rPr>
                <w:rFonts w:ascii="Calibri" w:hAnsi="Calibri"/>
                <w:b/>
                <w:bCs/>
                <w:color w:val="FFFFFF"/>
              </w:rPr>
            </w:pPr>
            <w:r w:rsidRPr="00E95745">
              <w:rPr>
                <w:rFonts w:ascii="Calibri" w:hAnsi="Calibri"/>
                <w:b/>
                <w:bCs/>
                <w:color w:val="FFFFFF"/>
              </w:rPr>
              <w:t xml:space="preserve">Position </w:t>
            </w:r>
            <w:r>
              <w:rPr>
                <w:rFonts w:ascii="Calibri" w:hAnsi="Calibri"/>
                <w:b/>
                <w:bCs/>
                <w:color w:val="FFFFFF"/>
              </w:rPr>
              <w:t>r</w:t>
            </w:r>
            <w:r w:rsidRPr="00E95745">
              <w:rPr>
                <w:rFonts w:ascii="Calibri" w:hAnsi="Calibri"/>
                <w:b/>
                <w:bCs/>
                <w:color w:val="FFFFFF"/>
              </w:rPr>
              <w:t xml:space="preserve">isk </w:t>
            </w:r>
            <w:r>
              <w:rPr>
                <w:rFonts w:ascii="Calibri" w:hAnsi="Calibri"/>
                <w:b/>
                <w:bCs/>
                <w:color w:val="FFFFFF"/>
              </w:rPr>
              <w:t>a</w:t>
            </w:r>
            <w:r w:rsidRPr="00E95745">
              <w:rPr>
                <w:rFonts w:ascii="Calibri" w:hAnsi="Calibri"/>
                <w:b/>
                <w:bCs/>
                <w:color w:val="FFFFFF"/>
              </w:rPr>
              <w:t>mount</w:t>
            </w:r>
          </w:p>
        </w:tc>
        <w:tc>
          <w:tcPr>
            <w:tcW w:w="1883" w:type="dxa"/>
            <w:tcBorders>
              <w:top w:val="single" w:sz="4" w:space="0" w:color="auto"/>
              <w:left w:val="single" w:sz="4" w:space="0" w:color="auto"/>
              <w:bottom w:val="single" w:sz="4" w:space="0" w:color="auto"/>
              <w:right w:val="single" w:sz="4" w:space="0" w:color="auto"/>
            </w:tcBorders>
            <w:shd w:val="clear" w:color="auto" w:fill="0070C0"/>
            <w:hideMark/>
          </w:tcPr>
          <w:p w14:paraId="2CE817CB" w14:textId="77777777" w:rsidR="00AD1CE1" w:rsidRPr="00E95745" w:rsidRDefault="00AD1CE1" w:rsidP="00540727">
            <w:pPr>
              <w:spacing w:after="0"/>
              <w:rPr>
                <w:rFonts w:ascii="Calibri" w:hAnsi="Calibri"/>
                <w:b/>
                <w:bCs/>
                <w:color w:val="FFFFFF"/>
              </w:rPr>
            </w:pPr>
            <w:r w:rsidRPr="00E95745">
              <w:rPr>
                <w:rFonts w:ascii="Calibri" w:hAnsi="Calibri"/>
                <w:b/>
                <w:bCs/>
                <w:color w:val="FFFFFF"/>
              </w:rPr>
              <w:t xml:space="preserve">Mark-to-market value of underlying </w:t>
            </w:r>
          </w:p>
        </w:tc>
        <w:tc>
          <w:tcPr>
            <w:tcW w:w="1883" w:type="dxa"/>
            <w:tcBorders>
              <w:top w:val="single" w:sz="4" w:space="0" w:color="auto"/>
              <w:left w:val="single" w:sz="4" w:space="0" w:color="auto"/>
              <w:bottom w:val="single" w:sz="4" w:space="0" w:color="auto"/>
              <w:right w:val="single" w:sz="4" w:space="0" w:color="auto"/>
            </w:tcBorders>
            <w:shd w:val="clear" w:color="auto" w:fill="0070C0"/>
            <w:hideMark/>
          </w:tcPr>
          <w:p w14:paraId="5EE5A022" w14:textId="77777777" w:rsidR="00AD1CE1" w:rsidRPr="00E95745" w:rsidRDefault="00AD1CE1" w:rsidP="00540727">
            <w:pPr>
              <w:spacing w:after="0"/>
              <w:rPr>
                <w:rFonts w:ascii="Calibri" w:hAnsi="Calibri"/>
                <w:b/>
                <w:bCs/>
                <w:color w:val="FFFFFF"/>
              </w:rPr>
            </w:pPr>
            <w:r w:rsidRPr="00E95745">
              <w:rPr>
                <w:rFonts w:ascii="Calibri" w:hAnsi="Calibri"/>
                <w:b/>
                <w:bCs/>
                <w:color w:val="FFFFFF"/>
              </w:rPr>
              <w:t>Amount reduced by</w:t>
            </w:r>
          </w:p>
        </w:tc>
        <w:tc>
          <w:tcPr>
            <w:tcW w:w="1883" w:type="dxa"/>
            <w:tcBorders>
              <w:top w:val="single" w:sz="4" w:space="0" w:color="auto"/>
              <w:left w:val="single" w:sz="4" w:space="0" w:color="auto"/>
              <w:bottom w:val="single" w:sz="4" w:space="0" w:color="auto"/>
              <w:right w:val="single" w:sz="4" w:space="0" w:color="auto"/>
            </w:tcBorders>
            <w:shd w:val="clear" w:color="auto" w:fill="0070C0"/>
            <w:hideMark/>
          </w:tcPr>
          <w:p w14:paraId="2A3D2CF1" w14:textId="77777777" w:rsidR="00AD1CE1" w:rsidRPr="00E95745" w:rsidRDefault="00AD1CE1" w:rsidP="00540727">
            <w:pPr>
              <w:spacing w:after="0"/>
              <w:rPr>
                <w:rFonts w:ascii="Calibri" w:hAnsi="Calibri"/>
                <w:b/>
                <w:bCs/>
                <w:color w:val="FFFFFF"/>
              </w:rPr>
            </w:pPr>
            <w:r w:rsidRPr="00E95745">
              <w:rPr>
                <w:rFonts w:ascii="Calibri" w:hAnsi="Calibri"/>
                <w:b/>
                <w:bCs/>
                <w:color w:val="FFFFFF"/>
              </w:rPr>
              <w:t xml:space="preserve">Position </w:t>
            </w:r>
            <w:r>
              <w:rPr>
                <w:rFonts w:ascii="Calibri" w:hAnsi="Calibri"/>
                <w:b/>
                <w:bCs/>
                <w:color w:val="FFFFFF"/>
              </w:rPr>
              <w:t>r</w:t>
            </w:r>
            <w:r w:rsidRPr="00E95745">
              <w:rPr>
                <w:rFonts w:ascii="Calibri" w:hAnsi="Calibri"/>
                <w:b/>
                <w:bCs/>
                <w:color w:val="FFFFFF"/>
              </w:rPr>
              <w:t xml:space="preserve">isk </w:t>
            </w:r>
            <w:r>
              <w:rPr>
                <w:rFonts w:ascii="Calibri" w:hAnsi="Calibri"/>
                <w:b/>
                <w:bCs/>
                <w:color w:val="FFFFFF"/>
              </w:rPr>
              <w:t>a</w:t>
            </w:r>
            <w:r w:rsidRPr="00E95745">
              <w:rPr>
                <w:rFonts w:ascii="Calibri" w:hAnsi="Calibri"/>
                <w:b/>
                <w:bCs/>
                <w:color w:val="FFFFFF"/>
              </w:rPr>
              <w:t>mount</w:t>
            </w:r>
          </w:p>
        </w:tc>
      </w:tr>
      <w:tr w:rsidR="00AD1CE1" w:rsidRPr="00E95745" w14:paraId="681C7452" w14:textId="77777777" w:rsidTr="00D3615D">
        <w:trPr>
          <w:trHeight w:val="300"/>
        </w:trPr>
        <w:tc>
          <w:tcPr>
            <w:tcW w:w="2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6AD50" w14:textId="77777777" w:rsidR="00AD1CE1" w:rsidRPr="00E95745" w:rsidRDefault="00AD1CE1" w:rsidP="00D3615D">
            <w:pPr>
              <w:spacing w:before="120" w:after="120"/>
              <w:rPr>
                <w:rFonts w:ascii="Calibri" w:hAnsi="Calibri"/>
                <w:color w:val="3F3F76"/>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3B6F2" w14:textId="77777777" w:rsidR="00AD1CE1" w:rsidRPr="00E95745" w:rsidRDefault="00AD1CE1" w:rsidP="00D3615D">
            <w:pPr>
              <w:spacing w:before="120" w:after="120"/>
              <w:rPr>
                <w:rFonts w:ascii="Calibri" w:hAnsi="Calibri"/>
                <w:color w:val="3F3F76"/>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E366E" w14:textId="77777777" w:rsidR="00AD1CE1" w:rsidRPr="00E95745" w:rsidRDefault="00AD1CE1" w:rsidP="00D3615D">
            <w:pPr>
              <w:spacing w:before="120" w:after="120"/>
              <w:rPr>
                <w:rFonts w:ascii="Calibri" w:hAnsi="Calibri"/>
                <w:color w:val="3F3F76"/>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B15F8" w14:textId="77777777" w:rsidR="00AD1CE1" w:rsidRPr="00E95745" w:rsidRDefault="00AD1CE1" w:rsidP="00D3615D">
            <w:pPr>
              <w:spacing w:before="120" w:after="120"/>
              <w:rPr>
                <w:rFonts w:ascii="Calibri" w:hAnsi="Calibri"/>
                <w:b/>
                <w:bCs/>
                <w:color w:val="FA7D00"/>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6962D" w14:textId="77777777" w:rsidR="00AD1CE1" w:rsidRPr="00E95745" w:rsidRDefault="00AD1CE1" w:rsidP="00D3615D">
            <w:pPr>
              <w:spacing w:before="120" w:after="120"/>
              <w:rPr>
                <w:rFonts w:ascii="Calibri" w:hAnsi="Calibri"/>
                <w:color w:val="3F3F76"/>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BEFF9" w14:textId="77777777" w:rsidR="00AD1CE1" w:rsidRPr="00E95745" w:rsidRDefault="00AD1CE1" w:rsidP="00D3615D">
            <w:pPr>
              <w:spacing w:before="120" w:after="120"/>
              <w:rPr>
                <w:rFonts w:ascii="Calibri" w:hAnsi="Calibri"/>
                <w:color w:val="000000"/>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20311" w14:textId="77777777" w:rsidR="00AD1CE1" w:rsidRPr="00E95745" w:rsidRDefault="00AD1CE1" w:rsidP="00D3615D">
            <w:pPr>
              <w:spacing w:before="120" w:after="120"/>
              <w:rPr>
                <w:rFonts w:ascii="Calibri" w:hAnsi="Calibri"/>
                <w:b/>
                <w:bCs/>
                <w:color w:val="FA7D00"/>
              </w:rPr>
            </w:pPr>
          </w:p>
        </w:tc>
      </w:tr>
      <w:tr w:rsidR="00AD1CE1" w:rsidRPr="00E95745" w14:paraId="59BCA364" w14:textId="77777777" w:rsidTr="00D3615D">
        <w:trPr>
          <w:trHeight w:val="315"/>
        </w:trPr>
        <w:tc>
          <w:tcPr>
            <w:tcW w:w="2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76321" w14:textId="77777777" w:rsidR="00AD1CE1" w:rsidRPr="00E95745" w:rsidRDefault="00AD1CE1" w:rsidP="00D3615D">
            <w:pPr>
              <w:spacing w:before="120" w:after="120"/>
              <w:rPr>
                <w:rFonts w:ascii="Calibri" w:hAnsi="Calibri"/>
                <w:b/>
                <w:color w:val="000000"/>
              </w:rPr>
            </w:pPr>
            <w:r w:rsidRPr="00E95745">
              <w:rPr>
                <w:rFonts w:ascii="Calibri" w:hAnsi="Calibri"/>
                <w:b/>
                <w:color w:val="000000"/>
              </w:rPr>
              <w:t>Total</w:t>
            </w: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2ADB2" w14:textId="77777777" w:rsidR="00AD1CE1" w:rsidRPr="00E95745" w:rsidRDefault="00AD1CE1" w:rsidP="00D3615D">
            <w:pPr>
              <w:spacing w:before="120" w:after="120"/>
              <w:rPr>
                <w:rFonts w:ascii="Calibri" w:hAnsi="Calibri"/>
                <w:b/>
                <w:bCs/>
                <w:color w:val="FA7D00"/>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tcPr>
          <w:p w14:paraId="5C1E7528" w14:textId="77777777" w:rsidR="00AD1CE1" w:rsidRPr="00E95745" w:rsidRDefault="00AD1CE1" w:rsidP="00D3615D">
            <w:pPr>
              <w:spacing w:before="120" w:after="120"/>
              <w:rPr>
                <w:rFonts w:ascii="Calibri" w:hAnsi="Calibri"/>
                <w:color w:val="000000"/>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81642A" w14:textId="77777777" w:rsidR="00AD1CE1" w:rsidRPr="00E95745" w:rsidRDefault="00AD1CE1" w:rsidP="00D3615D">
            <w:pPr>
              <w:spacing w:before="120" w:after="120"/>
              <w:rPr>
                <w:rFonts w:ascii="Calibri" w:hAnsi="Calibri"/>
                <w:color w:val="000000"/>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C508F" w14:textId="77777777" w:rsidR="00AD1CE1" w:rsidRPr="00E95745" w:rsidRDefault="00AD1CE1" w:rsidP="00D3615D">
            <w:pPr>
              <w:spacing w:before="120" w:after="120"/>
              <w:rPr>
                <w:rFonts w:ascii="Calibri" w:hAnsi="Calibri"/>
                <w:color w:val="000000"/>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DB6BB8" w14:textId="77777777" w:rsidR="00AD1CE1" w:rsidRPr="00E95745" w:rsidRDefault="00AD1CE1" w:rsidP="00D3615D">
            <w:pPr>
              <w:spacing w:before="120" w:after="120"/>
              <w:rPr>
                <w:rFonts w:ascii="Calibri" w:hAnsi="Calibri"/>
                <w:color w:val="000000"/>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C04FA7" w14:textId="77777777" w:rsidR="00AD1CE1" w:rsidRPr="00E95745" w:rsidRDefault="00AD1CE1" w:rsidP="00D3615D">
            <w:pPr>
              <w:spacing w:before="120" w:after="120"/>
              <w:rPr>
                <w:rFonts w:ascii="Calibri" w:hAnsi="Calibri"/>
                <w:color w:val="000000"/>
              </w:rPr>
            </w:pPr>
          </w:p>
        </w:tc>
      </w:tr>
    </w:tbl>
    <w:p w14:paraId="7FD72C16" w14:textId="77777777" w:rsidR="00540727" w:rsidRPr="00D3615D" w:rsidRDefault="00540727" w:rsidP="00D3615D">
      <w:pPr>
        <w:spacing w:after="0"/>
        <w:rPr>
          <w:rFonts w:ascii="Calibri" w:hAnsi="Calibri"/>
          <w:color w:val="000000"/>
          <w:sz w:val="16"/>
          <w:szCs w:val="16"/>
        </w:rPr>
      </w:pPr>
    </w:p>
    <w:p w14:paraId="34D5187B" w14:textId="77777777" w:rsidR="00AD1CE1" w:rsidRPr="00742DB7" w:rsidRDefault="00AD1CE1" w:rsidP="00D3615D">
      <w:pPr>
        <w:pStyle w:val="ListParagraph"/>
        <w:numPr>
          <w:ilvl w:val="0"/>
          <w:numId w:val="73"/>
        </w:numPr>
        <w:spacing w:after="120"/>
        <w:ind w:left="714" w:hanging="357"/>
        <w:rPr>
          <w:rFonts w:ascii="Calibri" w:hAnsi="Calibri"/>
          <w:color w:val="000000"/>
        </w:rPr>
      </w:pPr>
      <w:r w:rsidRPr="00742DB7">
        <w:rPr>
          <w:rFonts w:ascii="Calibri" w:eastAsia="Calibri" w:hAnsi="Calibri"/>
          <w:bCs/>
          <w:iCs/>
        </w:rPr>
        <w:t xml:space="preserve">For reporting purposes, </w:t>
      </w:r>
      <w:r>
        <w:rPr>
          <w:rFonts w:ascii="Calibri" w:eastAsia="Calibri" w:hAnsi="Calibri"/>
          <w:bCs/>
          <w:iCs/>
        </w:rPr>
        <w:t xml:space="preserve">you must </w:t>
      </w:r>
      <w:r w:rsidRPr="00742DB7">
        <w:rPr>
          <w:rFonts w:ascii="Calibri" w:eastAsia="Calibri" w:hAnsi="Calibri"/>
          <w:bCs/>
          <w:iCs/>
        </w:rPr>
        <w:t>disclose the amount you have used to reduce the position risk amount for written options</w:t>
      </w:r>
      <w:r>
        <w:rPr>
          <w:rFonts w:ascii="Calibri" w:eastAsia="Calibri" w:hAnsi="Calibri"/>
          <w:bCs/>
          <w:iCs/>
        </w:rPr>
        <w:t>.</w:t>
      </w:r>
    </w:p>
    <w:p w14:paraId="6E1908C3" w14:textId="21780B7C" w:rsidR="00AD1CE1" w:rsidRPr="00742DB7" w:rsidRDefault="00AD1CE1" w:rsidP="00D3615D">
      <w:pPr>
        <w:pStyle w:val="ListParagraph"/>
        <w:numPr>
          <w:ilvl w:val="0"/>
          <w:numId w:val="73"/>
        </w:numPr>
        <w:spacing w:after="120"/>
        <w:ind w:left="714" w:hanging="357"/>
        <w:rPr>
          <w:rFonts w:ascii="Calibri" w:hAnsi="Calibri"/>
          <w:color w:val="000000"/>
        </w:rPr>
      </w:pPr>
      <w:r>
        <w:rPr>
          <w:rFonts w:ascii="Calibri" w:eastAsia="Calibri" w:hAnsi="Calibri"/>
          <w:bCs/>
          <w:iCs/>
        </w:rPr>
        <w:t>Enter the risk amount with the Position Risk Factor applied for mark-to-market value of underlying</w:t>
      </w:r>
      <w:r w:rsidR="00236DAA">
        <w:rPr>
          <w:rFonts w:ascii="Calibri" w:eastAsia="Calibri" w:hAnsi="Calibri"/>
          <w:bCs/>
          <w:iCs/>
        </w:rPr>
        <w:t>.</w:t>
      </w:r>
    </w:p>
    <w:p w14:paraId="51721820" w14:textId="77777777" w:rsidR="00AD1CE1" w:rsidRPr="00742DB7" w:rsidRDefault="00AD1CE1" w:rsidP="00D3615D">
      <w:pPr>
        <w:pStyle w:val="ListParagraph"/>
        <w:numPr>
          <w:ilvl w:val="0"/>
          <w:numId w:val="73"/>
        </w:numPr>
        <w:spacing w:after="120"/>
        <w:ind w:left="714" w:hanging="357"/>
        <w:rPr>
          <w:rFonts w:ascii="Calibri" w:hAnsi="Calibri"/>
          <w:color w:val="000000"/>
        </w:rPr>
      </w:pPr>
      <w:r>
        <w:rPr>
          <w:rFonts w:ascii="Calibri" w:eastAsia="Calibri" w:hAnsi="Calibri"/>
          <w:bCs/>
          <w:iCs/>
        </w:rPr>
        <w:t>Where you have multiple purchased options positions, you must determine the lesser of the aggregate ‘mark-to-market value of underlying’ and the aggregate ‘mark-to-market value of the option’ prior to entering the risk amount.</w:t>
      </w:r>
    </w:p>
    <w:p w14:paraId="48C9211C" w14:textId="70CEED24" w:rsidR="005C7AD1" w:rsidRPr="00AD1CE1" w:rsidRDefault="005C7AD1" w:rsidP="00D3615D">
      <w:pPr>
        <w:spacing w:before="480" w:after="0"/>
        <w:outlineLvl w:val="3"/>
        <w:rPr>
          <w:rFonts w:ascii="Calibri" w:hAnsi="Calibri"/>
          <w:b/>
          <w:bCs/>
          <w:color w:val="0070C0"/>
          <w:sz w:val="32"/>
          <w:szCs w:val="32"/>
        </w:rPr>
      </w:pPr>
      <w:r w:rsidRPr="00AD1CE1">
        <w:rPr>
          <w:rFonts w:ascii="Calibri" w:hAnsi="Calibri"/>
          <w:b/>
          <w:bCs/>
          <w:color w:val="0070C0"/>
          <w:sz w:val="32"/>
          <w:szCs w:val="32"/>
        </w:rPr>
        <w:t>Commodity position risk</w:t>
      </w:r>
    </w:p>
    <w:p w14:paraId="30FEEBDE" w14:textId="5E06AD2F" w:rsidR="003F6625" w:rsidRPr="00AD1CE1" w:rsidRDefault="003F6625" w:rsidP="00D3615D">
      <w:pPr>
        <w:keepNext/>
        <w:spacing w:before="240" w:after="120"/>
        <w:outlineLvl w:val="3"/>
        <w:rPr>
          <w:rFonts w:ascii="Calibri" w:hAnsi="Calibri" w:cs="Helvetica"/>
          <w:b/>
          <w:sz w:val="24"/>
          <w:szCs w:val="24"/>
          <w:lang w:val="en"/>
        </w:rPr>
      </w:pPr>
      <w:r w:rsidRPr="008A15B2">
        <w:rPr>
          <w:rFonts w:ascii="Calibri" w:hAnsi="Calibri" w:cs="Helvetica"/>
          <w:b/>
          <w:sz w:val="24"/>
          <w:szCs w:val="24"/>
          <w:lang w:val="en"/>
        </w:rPr>
        <w:t xml:space="preserve">Commodity position risk – </w:t>
      </w:r>
      <w:r w:rsidR="00AD1CE1">
        <w:rPr>
          <w:rFonts w:ascii="Calibri" w:hAnsi="Calibri" w:cs="Helvetica"/>
          <w:b/>
          <w:sz w:val="24"/>
          <w:szCs w:val="24"/>
          <w:lang w:val="en"/>
        </w:rPr>
        <w:t>S</w:t>
      </w:r>
      <w:r w:rsidRPr="00AD1CE1">
        <w:rPr>
          <w:rFonts w:ascii="Calibri" w:hAnsi="Calibri" w:cs="Helvetica"/>
          <w:b/>
          <w:sz w:val="24"/>
          <w:szCs w:val="24"/>
          <w:lang w:val="en"/>
        </w:rPr>
        <w:t>tandard method</w:t>
      </w:r>
    </w:p>
    <w:tbl>
      <w:tblPr>
        <w:tblW w:w="12186" w:type="dxa"/>
        <w:tblLayout w:type="fixed"/>
        <w:tblLook w:val="04A0" w:firstRow="1" w:lastRow="0" w:firstColumn="1" w:lastColumn="0" w:noHBand="0" w:noVBand="1"/>
      </w:tblPr>
      <w:tblGrid>
        <w:gridCol w:w="5258"/>
        <w:gridCol w:w="2309"/>
        <w:gridCol w:w="2309"/>
        <w:gridCol w:w="2310"/>
      </w:tblGrid>
      <w:tr w:rsidR="00EB2F6F" w:rsidRPr="00AD1CE1" w14:paraId="0BBABBA7" w14:textId="77777777" w:rsidTr="00D3615D">
        <w:trPr>
          <w:trHeight w:val="600"/>
        </w:trPr>
        <w:tc>
          <w:tcPr>
            <w:tcW w:w="5258"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5AB8F29" w14:textId="344E0E53" w:rsidR="00EB2F6F" w:rsidRPr="00AD1CE1" w:rsidRDefault="00EB2F6F" w:rsidP="00D3615D">
            <w:pPr>
              <w:spacing w:before="40" w:after="120"/>
              <w:rPr>
                <w:rFonts w:ascii="Calibri" w:hAnsi="Calibri"/>
                <w:b/>
                <w:bCs/>
                <w:color w:val="FFFFFF"/>
              </w:rPr>
            </w:pPr>
            <w:r w:rsidRPr="00AD1CE1">
              <w:rPr>
                <w:rFonts w:ascii="Calibri" w:hAnsi="Calibri"/>
                <w:b/>
                <w:bCs/>
                <w:color w:val="FFFFFF"/>
              </w:rPr>
              <w:t>Commodity</w:t>
            </w:r>
          </w:p>
        </w:tc>
        <w:tc>
          <w:tcPr>
            <w:tcW w:w="2309" w:type="dxa"/>
            <w:tcBorders>
              <w:top w:val="single" w:sz="4" w:space="0" w:color="auto"/>
              <w:left w:val="single" w:sz="4" w:space="0" w:color="auto"/>
              <w:bottom w:val="single" w:sz="4" w:space="0" w:color="auto"/>
              <w:right w:val="single" w:sz="4" w:space="0" w:color="auto"/>
            </w:tcBorders>
            <w:shd w:val="clear" w:color="auto" w:fill="0070C0"/>
            <w:vAlign w:val="center"/>
          </w:tcPr>
          <w:p w14:paraId="319FF2DC" w14:textId="39B664D0" w:rsidR="00EB2F6F" w:rsidRPr="00AD1CE1" w:rsidRDefault="00AD1CE1" w:rsidP="00D3615D">
            <w:pPr>
              <w:spacing w:before="40" w:after="120"/>
              <w:rPr>
                <w:rFonts w:ascii="Calibri" w:hAnsi="Calibri"/>
                <w:b/>
                <w:bCs/>
                <w:color w:val="FFFFFF"/>
              </w:rPr>
            </w:pPr>
            <w:r>
              <w:rPr>
                <w:rFonts w:ascii="Calibri" w:hAnsi="Calibri"/>
                <w:b/>
                <w:bCs/>
                <w:color w:val="FFFFFF"/>
              </w:rPr>
              <w:t>Total short position</w:t>
            </w:r>
          </w:p>
        </w:tc>
        <w:tc>
          <w:tcPr>
            <w:tcW w:w="2309"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034A907" w14:textId="5DB18BA1" w:rsidR="00EB2F6F" w:rsidRPr="00AD1CE1" w:rsidRDefault="00AD1CE1" w:rsidP="00D3615D">
            <w:pPr>
              <w:spacing w:before="40" w:after="120"/>
              <w:rPr>
                <w:rFonts w:ascii="Calibri" w:hAnsi="Calibri"/>
                <w:b/>
                <w:bCs/>
                <w:color w:val="FFFFFF"/>
              </w:rPr>
            </w:pPr>
            <w:r>
              <w:rPr>
                <w:rFonts w:ascii="Calibri" w:hAnsi="Calibri"/>
                <w:b/>
                <w:bCs/>
                <w:color w:val="FFFFFF"/>
              </w:rPr>
              <w:t>Total</w:t>
            </w:r>
            <w:r w:rsidR="00EB2F6F" w:rsidRPr="00AD1CE1">
              <w:rPr>
                <w:rFonts w:ascii="Calibri" w:hAnsi="Calibri"/>
                <w:b/>
                <w:bCs/>
                <w:color w:val="FFFFFF"/>
              </w:rPr>
              <w:t xml:space="preserve"> long position </w:t>
            </w:r>
          </w:p>
        </w:tc>
        <w:tc>
          <w:tcPr>
            <w:tcW w:w="2310"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F4559D7" w14:textId="4F2A8BDB" w:rsidR="00EB2F6F" w:rsidRPr="00AD1CE1" w:rsidRDefault="00AD1CE1" w:rsidP="00D3615D">
            <w:pPr>
              <w:spacing w:before="40" w:after="120"/>
              <w:rPr>
                <w:rFonts w:ascii="Calibri" w:hAnsi="Calibri"/>
                <w:b/>
                <w:bCs/>
                <w:color w:val="FFFFFF"/>
              </w:rPr>
            </w:pPr>
            <w:r>
              <w:rPr>
                <w:rFonts w:ascii="Calibri" w:hAnsi="Calibri"/>
                <w:b/>
                <w:bCs/>
                <w:color w:val="FFFFFF"/>
              </w:rPr>
              <w:t>Position risk amount</w:t>
            </w:r>
          </w:p>
        </w:tc>
      </w:tr>
      <w:tr w:rsidR="00EB2F6F" w:rsidRPr="00AD1CE1" w14:paraId="2E68A582" w14:textId="77777777" w:rsidTr="00D3615D">
        <w:trPr>
          <w:trHeight w:val="300"/>
        </w:trPr>
        <w:tc>
          <w:tcPr>
            <w:tcW w:w="5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DBCED" w14:textId="2E44412D" w:rsidR="00EB2F6F" w:rsidRPr="00AD1CE1" w:rsidRDefault="00EB2F6F" w:rsidP="00D3615D">
            <w:pPr>
              <w:spacing w:before="120" w:after="120"/>
              <w:rPr>
                <w:rFonts w:ascii="Calibri" w:hAnsi="Calibri"/>
                <w:color w:val="3F3F76"/>
              </w:rPr>
            </w:pPr>
            <w:r w:rsidRPr="00AD1CE1">
              <w:rPr>
                <w:rFonts w:ascii="Calibri" w:hAnsi="Calibri"/>
                <w:color w:val="3F3F76"/>
              </w:rPr>
              <w:t> </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bottom"/>
          </w:tcPr>
          <w:p w14:paraId="2B059FF9" w14:textId="35FB5A2F" w:rsidR="00EB2F6F" w:rsidRPr="00AD1CE1" w:rsidRDefault="00EB2F6F" w:rsidP="00D3615D">
            <w:pPr>
              <w:spacing w:before="120" w:after="120"/>
              <w:rPr>
                <w:rFonts w:ascii="Calibri" w:hAnsi="Calibri"/>
              </w:rPr>
            </w:pPr>
          </w:p>
        </w:tc>
        <w:tc>
          <w:tcPr>
            <w:tcW w:w="2309" w:type="dxa"/>
            <w:tcBorders>
              <w:top w:val="single" w:sz="4" w:space="0" w:color="auto"/>
              <w:left w:val="single" w:sz="4" w:space="0" w:color="auto"/>
              <w:bottom w:val="single" w:sz="4" w:space="0" w:color="auto"/>
              <w:right w:val="single" w:sz="4" w:space="0" w:color="auto"/>
            </w:tcBorders>
            <w:shd w:val="clear" w:color="auto" w:fill="auto"/>
            <w:vAlign w:val="bottom"/>
          </w:tcPr>
          <w:p w14:paraId="11D6DF10" w14:textId="0B85356A" w:rsidR="00EB2F6F" w:rsidRPr="00AD1CE1" w:rsidRDefault="00EB2F6F" w:rsidP="00D3615D">
            <w:pPr>
              <w:spacing w:before="120" w:after="120"/>
              <w:rPr>
                <w:rFonts w:ascii="Calibri" w:hAnsi="Calibri"/>
              </w:rPr>
            </w:pPr>
          </w:p>
        </w:tc>
        <w:tc>
          <w:tcPr>
            <w:tcW w:w="2310" w:type="dxa"/>
            <w:tcBorders>
              <w:top w:val="single" w:sz="4" w:space="0" w:color="auto"/>
              <w:left w:val="single" w:sz="4" w:space="0" w:color="auto"/>
              <w:bottom w:val="single" w:sz="4" w:space="0" w:color="auto"/>
              <w:right w:val="single" w:sz="4" w:space="0" w:color="auto"/>
            </w:tcBorders>
            <w:shd w:val="clear" w:color="auto" w:fill="auto"/>
            <w:vAlign w:val="bottom"/>
          </w:tcPr>
          <w:p w14:paraId="7B3826DA" w14:textId="633DF112" w:rsidR="00EB2F6F" w:rsidRPr="00AD1CE1" w:rsidRDefault="00EB2F6F" w:rsidP="00D3615D">
            <w:pPr>
              <w:spacing w:before="120" w:after="120"/>
              <w:rPr>
                <w:rFonts w:ascii="Calibri" w:hAnsi="Calibri"/>
              </w:rPr>
            </w:pPr>
          </w:p>
        </w:tc>
      </w:tr>
      <w:tr w:rsidR="00EB2F6F" w:rsidRPr="00AD1CE1" w14:paraId="7CA6C2C3" w14:textId="77777777" w:rsidTr="00D3615D">
        <w:trPr>
          <w:trHeight w:val="315"/>
        </w:trPr>
        <w:tc>
          <w:tcPr>
            <w:tcW w:w="5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49E41" w14:textId="77777777" w:rsidR="00EB2F6F" w:rsidRPr="00AD1CE1" w:rsidRDefault="00EB2F6F" w:rsidP="00D3615D">
            <w:pPr>
              <w:spacing w:before="120" w:after="120"/>
              <w:rPr>
                <w:rFonts w:ascii="Calibri" w:hAnsi="Calibri"/>
                <w:b/>
                <w:color w:val="000000"/>
              </w:rPr>
            </w:pPr>
            <w:r w:rsidRPr="00AD1CE1">
              <w:rPr>
                <w:rFonts w:ascii="Calibri" w:hAnsi="Calibri"/>
                <w:b/>
                <w:color w:val="000000"/>
              </w:rPr>
              <w:t>Total</w:t>
            </w:r>
          </w:p>
        </w:tc>
        <w:tc>
          <w:tcPr>
            <w:tcW w:w="23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781462" w14:textId="3EE51656" w:rsidR="00EB2F6F" w:rsidRPr="00AD1CE1" w:rsidRDefault="00EB2F6F" w:rsidP="00D3615D">
            <w:pPr>
              <w:spacing w:before="120" w:after="120"/>
              <w:rPr>
                <w:rFonts w:ascii="Calibri" w:hAnsi="Calibri"/>
                <w:b/>
                <w:bCs/>
                <w:color w:val="FA7D00"/>
              </w:rPr>
            </w:pPr>
          </w:p>
        </w:tc>
        <w:tc>
          <w:tcPr>
            <w:tcW w:w="23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B2B53D" w14:textId="105EE3B9" w:rsidR="00EB2F6F" w:rsidRPr="00AD1CE1" w:rsidRDefault="00EB2F6F" w:rsidP="00D3615D">
            <w:pPr>
              <w:spacing w:before="120" w:after="120"/>
              <w:rPr>
                <w:rFonts w:ascii="Calibri" w:hAnsi="Calibri"/>
                <w:color w:val="000000"/>
              </w:rPr>
            </w:pPr>
          </w:p>
        </w:tc>
        <w:tc>
          <w:tcPr>
            <w:tcW w:w="2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DFC37F" w14:textId="2352FD3C" w:rsidR="00EB2F6F" w:rsidRPr="00AD1CE1" w:rsidRDefault="00EB2F6F" w:rsidP="00D3615D">
            <w:pPr>
              <w:spacing w:before="120" w:after="120"/>
              <w:rPr>
                <w:rFonts w:ascii="Calibri" w:hAnsi="Calibri"/>
                <w:color w:val="000000"/>
              </w:rPr>
            </w:pPr>
          </w:p>
        </w:tc>
      </w:tr>
    </w:tbl>
    <w:p w14:paraId="145FEE62" w14:textId="77777777" w:rsidR="00540727" w:rsidRPr="00D3615D" w:rsidRDefault="00540727" w:rsidP="00D3615D">
      <w:pPr>
        <w:spacing w:after="0"/>
        <w:rPr>
          <w:rFonts w:ascii="Calibri" w:hAnsi="Calibri"/>
          <w:color w:val="000000"/>
          <w:sz w:val="16"/>
          <w:szCs w:val="16"/>
        </w:rPr>
      </w:pPr>
    </w:p>
    <w:p w14:paraId="53E31100" w14:textId="55ADA7F5" w:rsidR="008A15B2" w:rsidRPr="001A4322" w:rsidRDefault="009254BB" w:rsidP="00D3615D">
      <w:pPr>
        <w:pStyle w:val="ListParagraph"/>
        <w:numPr>
          <w:ilvl w:val="0"/>
          <w:numId w:val="76"/>
        </w:numPr>
        <w:spacing w:after="120"/>
        <w:ind w:left="714" w:hanging="357"/>
        <w:rPr>
          <w:rFonts w:ascii="Calibri" w:eastAsia="Calibri" w:hAnsi="Calibri"/>
        </w:rPr>
      </w:pPr>
      <w:r w:rsidRPr="001A4322">
        <w:rPr>
          <w:rFonts w:ascii="Calibri" w:eastAsia="Calibri" w:hAnsi="Calibri"/>
        </w:rPr>
        <w:t xml:space="preserve">Where you have multiple positions for a specific </w:t>
      </w:r>
      <w:r w:rsidR="006165E8">
        <w:rPr>
          <w:rFonts w:ascii="Calibri" w:eastAsia="Calibri" w:hAnsi="Calibri"/>
        </w:rPr>
        <w:t>C</w:t>
      </w:r>
      <w:r w:rsidRPr="001A4322">
        <w:rPr>
          <w:rFonts w:ascii="Calibri" w:eastAsia="Calibri" w:hAnsi="Calibri"/>
        </w:rPr>
        <w:t>ommodity enter aggregate risk amounts</w:t>
      </w:r>
      <w:r w:rsidR="00BB3B0A" w:rsidRPr="001A4322">
        <w:rPr>
          <w:rFonts w:ascii="Calibri" w:eastAsia="Calibri" w:hAnsi="Calibri"/>
        </w:rPr>
        <w:t>.</w:t>
      </w:r>
      <w:r w:rsidR="00BB70EC">
        <w:rPr>
          <w:rFonts w:ascii="Calibri" w:eastAsia="Calibri" w:hAnsi="Calibri"/>
        </w:rPr>
        <w:t xml:space="preserve"> </w:t>
      </w:r>
      <w:r w:rsidRPr="001A4322">
        <w:rPr>
          <w:rFonts w:ascii="Calibri" w:eastAsia="Calibri" w:hAnsi="Calibri"/>
        </w:rPr>
        <w:t>Enter the AUD equivalent of the</w:t>
      </w:r>
      <w:r w:rsidR="00AD1CE1">
        <w:rPr>
          <w:rFonts w:ascii="Calibri" w:eastAsia="Calibri" w:hAnsi="Calibri"/>
        </w:rPr>
        <w:t xml:space="preserve"> absolute value for the total short position and the total long position for each </w:t>
      </w:r>
      <w:r w:rsidR="00950A68">
        <w:rPr>
          <w:rFonts w:ascii="Calibri" w:eastAsia="Calibri" w:hAnsi="Calibri"/>
        </w:rPr>
        <w:t>C</w:t>
      </w:r>
      <w:r w:rsidR="00AD1CE1">
        <w:rPr>
          <w:rFonts w:ascii="Calibri" w:eastAsia="Calibri" w:hAnsi="Calibri"/>
        </w:rPr>
        <w:t>ommodity</w:t>
      </w:r>
      <w:r w:rsidR="00236DAA">
        <w:rPr>
          <w:rFonts w:ascii="Calibri" w:eastAsia="Calibri" w:hAnsi="Calibri"/>
        </w:rPr>
        <w:t>.</w:t>
      </w:r>
    </w:p>
    <w:p w14:paraId="37EA5EFD" w14:textId="2D6D5C95" w:rsidR="008A15B2" w:rsidRPr="008F434A" w:rsidRDefault="008A15B2" w:rsidP="00D3615D">
      <w:pPr>
        <w:pStyle w:val="ListParagraph"/>
        <w:numPr>
          <w:ilvl w:val="0"/>
          <w:numId w:val="76"/>
        </w:numPr>
        <w:spacing w:after="120"/>
        <w:ind w:left="714" w:hanging="357"/>
        <w:rPr>
          <w:rFonts w:ascii="Calibri" w:eastAsia="Calibri" w:hAnsi="Calibri"/>
        </w:rPr>
      </w:pPr>
      <w:r w:rsidRPr="008F434A">
        <w:rPr>
          <w:rFonts w:ascii="Calibri" w:eastAsia="Calibri" w:hAnsi="Calibri"/>
        </w:rPr>
        <w:t xml:space="preserve">The position risk amount for each </w:t>
      </w:r>
      <w:r w:rsidR="00950A68">
        <w:rPr>
          <w:rFonts w:ascii="Calibri" w:eastAsia="Calibri" w:hAnsi="Calibri"/>
        </w:rPr>
        <w:t>C</w:t>
      </w:r>
      <w:r w:rsidRPr="008F434A">
        <w:rPr>
          <w:rFonts w:ascii="Calibri" w:eastAsia="Calibri" w:hAnsi="Calibri"/>
        </w:rPr>
        <w:t>ommodity is the sum of 15 per cent of the net open position (the difference between the total short position and the total long position) and 3 per cent of the gross position (the sum of the absolute values of the total short position and the total long position).</w:t>
      </w:r>
    </w:p>
    <w:p w14:paraId="1B46E013" w14:textId="2C50267C" w:rsidR="008A15B2" w:rsidRPr="00930407" w:rsidRDefault="008A15B2" w:rsidP="00D3615D">
      <w:pPr>
        <w:keepNext/>
        <w:spacing w:before="240" w:after="120"/>
        <w:outlineLvl w:val="3"/>
        <w:rPr>
          <w:rFonts w:ascii="Calibri" w:hAnsi="Calibri" w:cs="Helvetica"/>
          <w:b/>
          <w:sz w:val="24"/>
          <w:szCs w:val="24"/>
          <w:lang w:val="en"/>
        </w:rPr>
      </w:pPr>
      <w:r>
        <w:rPr>
          <w:rFonts w:ascii="Calibri" w:hAnsi="Calibri" w:cs="Helvetica"/>
          <w:b/>
          <w:sz w:val="24"/>
          <w:szCs w:val="24"/>
          <w:lang w:val="en"/>
        </w:rPr>
        <w:lastRenderedPageBreak/>
        <w:t>Commodity</w:t>
      </w:r>
      <w:r w:rsidRPr="00930407">
        <w:rPr>
          <w:rFonts w:ascii="Calibri" w:hAnsi="Calibri" w:cs="Helvetica"/>
          <w:b/>
          <w:sz w:val="24"/>
          <w:szCs w:val="24"/>
          <w:lang w:val="en"/>
        </w:rPr>
        <w:t xml:space="preserve"> </w:t>
      </w:r>
      <w:r>
        <w:rPr>
          <w:rFonts w:ascii="Calibri" w:hAnsi="Calibri" w:cs="Helvetica"/>
          <w:b/>
          <w:sz w:val="24"/>
          <w:szCs w:val="24"/>
          <w:lang w:val="en"/>
        </w:rPr>
        <w:t>p</w:t>
      </w:r>
      <w:r w:rsidRPr="00930407">
        <w:rPr>
          <w:rFonts w:ascii="Calibri" w:hAnsi="Calibri" w:cs="Helvetica"/>
          <w:b/>
          <w:sz w:val="24"/>
          <w:szCs w:val="24"/>
          <w:lang w:val="en"/>
        </w:rPr>
        <w:t xml:space="preserve">osition </w:t>
      </w:r>
      <w:r>
        <w:rPr>
          <w:rFonts w:ascii="Calibri" w:hAnsi="Calibri" w:cs="Helvetica"/>
          <w:b/>
          <w:sz w:val="24"/>
          <w:szCs w:val="24"/>
          <w:lang w:val="en"/>
        </w:rPr>
        <w:t>r</w:t>
      </w:r>
      <w:r w:rsidRPr="00930407">
        <w:rPr>
          <w:rFonts w:ascii="Calibri" w:hAnsi="Calibri" w:cs="Helvetica"/>
          <w:b/>
          <w:sz w:val="24"/>
          <w:szCs w:val="24"/>
          <w:lang w:val="en"/>
        </w:rPr>
        <w:t>isk – Margin method</w:t>
      </w:r>
    </w:p>
    <w:tbl>
      <w:tblPr>
        <w:tblW w:w="10627" w:type="dxa"/>
        <w:tblLayout w:type="fixed"/>
        <w:tblLook w:val="04A0" w:firstRow="1" w:lastRow="0" w:firstColumn="1" w:lastColumn="0" w:noHBand="0" w:noVBand="1"/>
      </w:tblPr>
      <w:tblGrid>
        <w:gridCol w:w="3539"/>
        <w:gridCol w:w="3544"/>
        <w:gridCol w:w="3544"/>
      </w:tblGrid>
      <w:tr w:rsidR="008A15B2" w:rsidRPr="00E95745" w14:paraId="1BC8C1F1" w14:textId="77777777" w:rsidTr="00D3615D">
        <w:trPr>
          <w:trHeight w:val="564"/>
        </w:trPr>
        <w:tc>
          <w:tcPr>
            <w:tcW w:w="3539" w:type="dxa"/>
            <w:tcBorders>
              <w:top w:val="single" w:sz="4" w:space="0" w:color="auto"/>
              <w:left w:val="single" w:sz="4" w:space="0" w:color="auto"/>
              <w:bottom w:val="single" w:sz="4" w:space="0" w:color="auto"/>
              <w:right w:val="single" w:sz="4" w:space="0" w:color="auto"/>
            </w:tcBorders>
            <w:shd w:val="clear" w:color="auto" w:fill="0070C0"/>
            <w:noWrap/>
            <w:hideMark/>
          </w:tcPr>
          <w:p w14:paraId="090EF85F" w14:textId="77777777" w:rsidR="008A15B2" w:rsidRPr="00E95745" w:rsidRDefault="008A15B2" w:rsidP="00D3615D">
            <w:pPr>
              <w:spacing w:before="40" w:after="120"/>
              <w:rPr>
                <w:rFonts w:ascii="Calibri" w:hAnsi="Calibri"/>
                <w:b/>
                <w:bCs/>
                <w:color w:val="FFFFFF"/>
              </w:rPr>
            </w:pPr>
            <w:r w:rsidRPr="00E95745">
              <w:rPr>
                <w:rFonts w:ascii="Calibri" w:hAnsi="Calibri"/>
                <w:b/>
                <w:bCs/>
                <w:color w:val="FFFFFF"/>
              </w:rPr>
              <w:t>C</w:t>
            </w:r>
            <w:r>
              <w:rPr>
                <w:rFonts w:ascii="Calibri" w:hAnsi="Calibri"/>
                <w:b/>
                <w:bCs/>
                <w:color w:val="FFFFFF"/>
              </w:rPr>
              <w:t>ommodity</w:t>
            </w:r>
          </w:p>
        </w:tc>
        <w:tc>
          <w:tcPr>
            <w:tcW w:w="3544" w:type="dxa"/>
            <w:tcBorders>
              <w:top w:val="single" w:sz="4" w:space="0" w:color="auto"/>
              <w:left w:val="single" w:sz="4" w:space="0" w:color="auto"/>
              <w:bottom w:val="single" w:sz="4" w:space="0" w:color="auto"/>
              <w:right w:val="single" w:sz="4" w:space="0" w:color="auto"/>
            </w:tcBorders>
            <w:shd w:val="clear" w:color="auto" w:fill="0070C0"/>
            <w:hideMark/>
          </w:tcPr>
          <w:p w14:paraId="1E5B0238" w14:textId="77777777" w:rsidR="008A15B2" w:rsidRPr="00E95745" w:rsidRDefault="008A15B2" w:rsidP="00D3615D">
            <w:pPr>
              <w:spacing w:before="40" w:after="120"/>
              <w:rPr>
                <w:rFonts w:ascii="Calibri" w:hAnsi="Calibri"/>
                <w:b/>
                <w:bCs/>
                <w:color w:val="FFFFFF"/>
              </w:rPr>
            </w:pPr>
            <w:r w:rsidRPr="00E95745">
              <w:rPr>
                <w:rFonts w:ascii="Calibri" w:hAnsi="Calibri"/>
                <w:b/>
                <w:bCs/>
                <w:color w:val="FFFFFF"/>
              </w:rPr>
              <w:t>Primary Margin Requirement</w:t>
            </w:r>
          </w:p>
        </w:tc>
        <w:tc>
          <w:tcPr>
            <w:tcW w:w="3544" w:type="dxa"/>
            <w:tcBorders>
              <w:top w:val="single" w:sz="4" w:space="0" w:color="auto"/>
              <w:left w:val="single" w:sz="4" w:space="0" w:color="auto"/>
              <w:bottom w:val="single" w:sz="4" w:space="0" w:color="auto"/>
              <w:right w:val="single" w:sz="4" w:space="0" w:color="auto"/>
            </w:tcBorders>
            <w:shd w:val="clear" w:color="auto" w:fill="0070C0"/>
            <w:hideMark/>
          </w:tcPr>
          <w:p w14:paraId="2470F08B" w14:textId="77777777" w:rsidR="008A15B2" w:rsidRPr="00E95745" w:rsidRDefault="008A15B2" w:rsidP="00D3615D">
            <w:pPr>
              <w:spacing w:before="40" w:after="120"/>
              <w:rPr>
                <w:rFonts w:ascii="Calibri" w:hAnsi="Calibri"/>
                <w:b/>
                <w:bCs/>
                <w:color w:val="FFFFFF"/>
              </w:rPr>
            </w:pPr>
            <w:r w:rsidRPr="00E95745">
              <w:rPr>
                <w:rFonts w:ascii="Calibri" w:hAnsi="Calibri"/>
                <w:b/>
                <w:bCs/>
                <w:color w:val="FFFFFF"/>
              </w:rPr>
              <w:t xml:space="preserve">Position </w:t>
            </w:r>
            <w:r>
              <w:rPr>
                <w:rFonts w:ascii="Calibri" w:hAnsi="Calibri"/>
                <w:b/>
                <w:bCs/>
                <w:color w:val="FFFFFF"/>
              </w:rPr>
              <w:t>r</w:t>
            </w:r>
            <w:r w:rsidRPr="00E95745">
              <w:rPr>
                <w:rFonts w:ascii="Calibri" w:hAnsi="Calibri"/>
                <w:b/>
                <w:bCs/>
                <w:color w:val="FFFFFF"/>
              </w:rPr>
              <w:t xml:space="preserve">isk </w:t>
            </w:r>
            <w:r>
              <w:rPr>
                <w:rFonts w:ascii="Calibri" w:hAnsi="Calibri"/>
                <w:b/>
                <w:bCs/>
                <w:color w:val="FFFFFF"/>
              </w:rPr>
              <w:t>a</w:t>
            </w:r>
            <w:r w:rsidRPr="00E95745">
              <w:rPr>
                <w:rFonts w:ascii="Calibri" w:hAnsi="Calibri"/>
                <w:b/>
                <w:bCs/>
                <w:color w:val="FFFFFF"/>
              </w:rPr>
              <w:t>mount (4 x Primary Margin Requirement)</w:t>
            </w:r>
          </w:p>
        </w:tc>
      </w:tr>
      <w:tr w:rsidR="008A15B2" w:rsidRPr="00E95745" w14:paraId="566D53CD" w14:textId="77777777" w:rsidTr="00D3615D">
        <w:trPr>
          <w:trHeight w:val="304"/>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4EBED" w14:textId="77777777" w:rsidR="008A15B2" w:rsidRPr="00E95745" w:rsidRDefault="008A15B2" w:rsidP="00D3615D">
            <w:pPr>
              <w:spacing w:after="120"/>
              <w:rPr>
                <w:rFonts w:ascii="Calibri" w:hAnsi="Calibri"/>
                <w:color w:val="3F3F76"/>
              </w:rPr>
            </w:pP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BD7D6" w14:textId="77777777" w:rsidR="008A15B2" w:rsidRPr="00E95745" w:rsidRDefault="008A15B2" w:rsidP="00D3615D">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40695" w14:textId="77777777" w:rsidR="008A15B2" w:rsidRPr="00E95745" w:rsidRDefault="008A15B2" w:rsidP="00D3615D">
            <w:pPr>
              <w:spacing w:after="120"/>
              <w:rPr>
                <w:rFonts w:ascii="Calibri" w:hAnsi="Calibri"/>
                <w:b/>
                <w:bCs/>
              </w:rPr>
            </w:pPr>
          </w:p>
        </w:tc>
      </w:tr>
      <w:tr w:rsidR="008A15B2" w:rsidRPr="00E95745" w14:paraId="18217906" w14:textId="77777777" w:rsidTr="00D3615D">
        <w:trPr>
          <w:trHeight w:val="319"/>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4B8DD" w14:textId="77777777" w:rsidR="008A15B2" w:rsidRPr="00E95745" w:rsidRDefault="008A15B2" w:rsidP="00D3615D">
            <w:pPr>
              <w:spacing w:after="120"/>
              <w:rPr>
                <w:rFonts w:ascii="Calibri" w:hAnsi="Calibri"/>
                <w:b/>
                <w:color w:val="000000"/>
              </w:rPr>
            </w:pPr>
            <w:r w:rsidRPr="00E95745">
              <w:rPr>
                <w:rFonts w:ascii="Calibri" w:hAnsi="Calibri"/>
                <w:b/>
                <w:color w:val="000000"/>
              </w:rPr>
              <w:t>Total</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A4C482" w14:textId="77777777" w:rsidR="008A15B2" w:rsidRPr="00E95745" w:rsidRDefault="008A15B2" w:rsidP="00D3615D">
            <w:pPr>
              <w:spacing w:after="120"/>
              <w:rPr>
                <w:rFonts w:ascii="Calibri" w:hAnsi="Calibri"/>
                <w:b/>
                <w:bCs/>
              </w:rPr>
            </w:pP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13A157" w14:textId="77777777" w:rsidR="008A15B2" w:rsidRPr="00E95745" w:rsidRDefault="008A15B2" w:rsidP="00D3615D">
            <w:pPr>
              <w:spacing w:after="120"/>
              <w:rPr>
                <w:rFonts w:ascii="Calibri" w:hAnsi="Calibri"/>
              </w:rPr>
            </w:pPr>
          </w:p>
        </w:tc>
      </w:tr>
    </w:tbl>
    <w:p w14:paraId="6585FC63" w14:textId="77777777" w:rsidR="008A15B2" w:rsidRPr="00930407" w:rsidRDefault="008A15B2" w:rsidP="00D3615D">
      <w:pPr>
        <w:keepNext/>
        <w:spacing w:before="240" w:after="120"/>
        <w:outlineLvl w:val="3"/>
        <w:rPr>
          <w:rFonts w:ascii="Calibri" w:hAnsi="Calibri" w:cs="Helvetica"/>
          <w:b/>
          <w:sz w:val="24"/>
          <w:szCs w:val="24"/>
          <w:lang w:val="en"/>
        </w:rPr>
      </w:pPr>
      <w:r>
        <w:rPr>
          <w:rFonts w:ascii="Calibri" w:hAnsi="Calibri" w:cs="Helvetica"/>
          <w:b/>
          <w:sz w:val="24"/>
          <w:szCs w:val="24"/>
          <w:lang w:val="en"/>
        </w:rPr>
        <w:t>Commodity</w:t>
      </w:r>
      <w:r w:rsidRPr="00930407">
        <w:rPr>
          <w:rFonts w:ascii="Calibri" w:hAnsi="Calibri" w:cs="Helvetica"/>
          <w:b/>
          <w:sz w:val="24"/>
          <w:szCs w:val="24"/>
          <w:lang w:val="en"/>
        </w:rPr>
        <w:t xml:space="preserve"> </w:t>
      </w:r>
      <w:r>
        <w:rPr>
          <w:rFonts w:ascii="Calibri" w:hAnsi="Calibri" w:cs="Helvetica"/>
          <w:b/>
          <w:sz w:val="24"/>
          <w:szCs w:val="24"/>
          <w:lang w:val="en"/>
        </w:rPr>
        <w:t>p</w:t>
      </w:r>
      <w:r w:rsidRPr="00930407">
        <w:rPr>
          <w:rFonts w:ascii="Calibri" w:hAnsi="Calibri" w:cs="Helvetica"/>
          <w:b/>
          <w:sz w:val="24"/>
          <w:szCs w:val="24"/>
          <w:lang w:val="en"/>
        </w:rPr>
        <w:t xml:space="preserve">osition </w:t>
      </w:r>
      <w:r>
        <w:rPr>
          <w:rFonts w:ascii="Calibri" w:hAnsi="Calibri" w:cs="Helvetica"/>
          <w:b/>
          <w:sz w:val="24"/>
          <w:szCs w:val="24"/>
          <w:lang w:val="en"/>
        </w:rPr>
        <w:t>r</w:t>
      </w:r>
      <w:r w:rsidRPr="00930407">
        <w:rPr>
          <w:rFonts w:ascii="Calibri" w:hAnsi="Calibri" w:cs="Helvetica"/>
          <w:b/>
          <w:sz w:val="24"/>
          <w:szCs w:val="24"/>
          <w:lang w:val="en"/>
        </w:rPr>
        <w:t>isk – Basic method</w:t>
      </w:r>
    </w:p>
    <w:tbl>
      <w:tblPr>
        <w:tblW w:w="14029" w:type="dxa"/>
        <w:tblLayout w:type="fixed"/>
        <w:tblLook w:val="04A0" w:firstRow="1" w:lastRow="0" w:firstColumn="1" w:lastColumn="0" w:noHBand="0" w:noVBand="1"/>
      </w:tblPr>
      <w:tblGrid>
        <w:gridCol w:w="2731"/>
        <w:gridCol w:w="1883"/>
        <w:gridCol w:w="1883"/>
        <w:gridCol w:w="1862"/>
        <w:gridCol w:w="1904"/>
        <w:gridCol w:w="1883"/>
        <w:gridCol w:w="1883"/>
      </w:tblGrid>
      <w:tr w:rsidR="008A15B2" w:rsidRPr="00E95745" w14:paraId="13A888F3" w14:textId="77777777" w:rsidTr="00D3615D">
        <w:trPr>
          <w:trHeight w:val="300"/>
        </w:trPr>
        <w:tc>
          <w:tcPr>
            <w:tcW w:w="2731" w:type="dxa"/>
            <w:tcBorders>
              <w:top w:val="single" w:sz="4" w:space="0" w:color="auto"/>
              <w:left w:val="single" w:sz="4" w:space="0" w:color="auto"/>
              <w:bottom w:val="single" w:sz="4" w:space="0" w:color="auto"/>
              <w:right w:val="single" w:sz="4" w:space="0" w:color="auto"/>
            </w:tcBorders>
            <w:shd w:val="clear" w:color="auto" w:fill="0070C0"/>
            <w:hideMark/>
          </w:tcPr>
          <w:p w14:paraId="60305A39" w14:textId="77777777" w:rsidR="008A15B2" w:rsidRPr="00E95745" w:rsidRDefault="008A15B2" w:rsidP="00983840">
            <w:pPr>
              <w:spacing w:after="0"/>
              <w:rPr>
                <w:rFonts w:ascii="Calibri" w:hAnsi="Calibri"/>
                <w:b/>
                <w:bCs/>
                <w:color w:val="FFFFFF"/>
              </w:rPr>
            </w:pPr>
            <w:r w:rsidRPr="00E95745">
              <w:rPr>
                <w:rFonts w:ascii="Calibri" w:hAnsi="Calibri"/>
                <w:b/>
                <w:bCs/>
                <w:color w:val="FFFFFF"/>
              </w:rPr>
              <w:t> </w:t>
            </w:r>
          </w:p>
        </w:tc>
        <w:tc>
          <w:tcPr>
            <w:tcW w:w="5628" w:type="dxa"/>
            <w:gridSpan w:val="3"/>
            <w:tcBorders>
              <w:top w:val="single" w:sz="4" w:space="0" w:color="auto"/>
              <w:left w:val="single" w:sz="4" w:space="0" w:color="auto"/>
              <w:bottom w:val="single" w:sz="4" w:space="0" w:color="auto"/>
              <w:right w:val="single" w:sz="4" w:space="0" w:color="auto"/>
            </w:tcBorders>
            <w:shd w:val="clear" w:color="auto" w:fill="0070C0"/>
            <w:noWrap/>
            <w:hideMark/>
          </w:tcPr>
          <w:p w14:paraId="3A022B01" w14:textId="77777777" w:rsidR="008A15B2" w:rsidRPr="00E95745" w:rsidRDefault="008A15B2" w:rsidP="00D3615D">
            <w:pPr>
              <w:spacing w:after="0"/>
              <w:jc w:val="center"/>
              <w:rPr>
                <w:rFonts w:ascii="Calibri" w:hAnsi="Calibri"/>
                <w:b/>
                <w:bCs/>
                <w:color w:val="FFFFFF"/>
              </w:rPr>
            </w:pPr>
            <w:r w:rsidRPr="00E95745">
              <w:rPr>
                <w:rFonts w:ascii="Calibri" w:hAnsi="Calibri"/>
                <w:b/>
                <w:bCs/>
                <w:color w:val="FFFFFF"/>
              </w:rPr>
              <w:t>Purchased Options</w:t>
            </w:r>
          </w:p>
        </w:tc>
        <w:tc>
          <w:tcPr>
            <w:tcW w:w="5670" w:type="dxa"/>
            <w:gridSpan w:val="3"/>
            <w:tcBorders>
              <w:top w:val="single" w:sz="4" w:space="0" w:color="auto"/>
              <w:left w:val="single" w:sz="4" w:space="0" w:color="auto"/>
              <w:bottom w:val="single" w:sz="4" w:space="0" w:color="auto"/>
              <w:right w:val="single" w:sz="4" w:space="0" w:color="auto"/>
            </w:tcBorders>
            <w:shd w:val="clear" w:color="auto" w:fill="0070C0"/>
            <w:hideMark/>
          </w:tcPr>
          <w:p w14:paraId="0038873B" w14:textId="77777777" w:rsidR="008A15B2" w:rsidRPr="00E95745" w:rsidRDefault="008A15B2" w:rsidP="00D3615D">
            <w:pPr>
              <w:spacing w:after="0"/>
              <w:jc w:val="center"/>
              <w:rPr>
                <w:rFonts w:ascii="Calibri" w:hAnsi="Calibri"/>
                <w:b/>
                <w:bCs/>
                <w:color w:val="FFFFFF"/>
              </w:rPr>
            </w:pPr>
            <w:r w:rsidRPr="00E95745">
              <w:rPr>
                <w:rFonts w:ascii="Calibri" w:hAnsi="Calibri"/>
                <w:b/>
                <w:bCs/>
                <w:color w:val="FFFFFF"/>
              </w:rPr>
              <w:t>Written Options</w:t>
            </w:r>
          </w:p>
        </w:tc>
      </w:tr>
      <w:tr w:rsidR="008A15B2" w:rsidRPr="00E95745" w14:paraId="6AAEB726" w14:textId="77777777" w:rsidTr="00D3615D">
        <w:trPr>
          <w:trHeight w:val="954"/>
        </w:trPr>
        <w:tc>
          <w:tcPr>
            <w:tcW w:w="2731" w:type="dxa"/>
            <w:tcBorders>
              <w:top w:val="single" w:sz="4" w:space="0" w:color="auto"/>
              <w:left w:val="single" w:sz="4" w:space="0" w:color="auto"/>
              <w:bottom w:val="single" w:sz="4" w:space="0" w:color="auto"/>
              <w:right w:val="single" w:sz="4" w:space="0" w:color="auto"/>
            </w:tcBorders>
            <w:shd w:val="clear" w:color="auto" w:fill="0070C0"/>
            <w:noWrap/>
            <w:hideMark/>
          </w:tcPr>
          <w:p w14:paraId="439A93B1" w14:textId="77777777" w:rsidR="008A15B2" w:rsidRPr="00E95745" w:rsidRDefault="008A15B2" w:rsidP="00983840">
            <w:pPr>
              <w:spacing w:after="0"/>
              <w:rPr>
                <w:rFonts w:ascii="Calibri" w:hAnsi="Calibri"/>
                <w:b/>
                <w:bCs/>
                <w:color w:val="FFFFFF"/>
              </w:rPr>
            </w:pPr>
            <w:r>
              <w:rPr>
                <w:rFonts w:ascii="Calibri" w:hAnsi="Calibri"/>
                <w:b/>
                <w:bCs/>
                <w:color w:val="FFFFFF"/>
              </w:rPr>
              <w:t>Commodity</w:t>
            </w:r>
          </w:p>
        </w:tc>
        <w:tc>
          <w:tcPr>
            <w:tcW w:w="1883" w:type="dxa"/>
            <w:tcBorders>
              <w:top w:val="single" w:sz="4" w:space="0" w:color="auto"/>
              <w:left w:val="single" w:sz="4" w:space="0" w:color="auto"/>
              <w:bottom w:val="single" w:sz="4" w:space="0" w:color="auto"/>
              <w:right w:val="single" w:sz="4" w:space="0" w:color="auto"/>
            </w:tcBorders>
            <w:shd w:val="clear" w:color="auto" w:fill="0070C0"/>
            <w:hideMark/>
          </w:tcPr>
          <w:p w14:paraId="1C20C51A" w14:textId="77777777" w:rsidR="008A15B2" w:rsidRPr="00E95745" w:rsidRDefault="008A15B2" w:rsidP="00983840">
            <w:pPr>
              <w:spacing w:after="0"/>
              <w:rPr>
                <w:rFonts w:ascii="Calibri" w:hAnsi="Calibri"/>
                <w:b/>
                <w:bCs/>
                <w:color w:val="FFFFFF"/>
              </w:rPr>
            </w:pPr>
            <w:r w:rsidRPr="00E95745">
              <w:rPr>
                <w:rFonts w:ascii="Calibri" w:hAnsi="Calibri"/>
                <w:b/>
                <w:bCs/>
                <w:color w:val="FFFFFF"/>
              </w:rPr>
              <w:t>Mark-to-market value of underlying</w:t>
            </w:r>
          </w:p>
        </w:tc>
        <w:tc>
          <w:tcPr>
            <w:tcW w:w="1883" w:type="dxa"/>
            <w:tcBorders>
              <w:top w:val="single" w:sz="4" w:space="0" w:color="auto"/>
              <w:left w:val="single" w:sz="4" w:space="0" w:color="auto"/>
              <w:bottom w:val="single" w:sz="4" w:space="0" w:color="auto"/>
              <w:right w:val="single" w:sz="4" w:space="0" w:color="auto"/>
            </w:tcBorders>
            <w:shd w:val="clear" w:color="auto" w:fill="0070C0"/>
            <w:hideMark/>
          </w:tcPr>
          <w:p w14:paraId="30362D4B" w14:textId="77777777" w:rsidR="008A15B2" w:rsidRPr="00E95745" w:rsidRDefault="008A15B2" w:rsidP="00983840">
            <w:pPr>
              <w:spacing w:after="0"/>
              <w:rPr>
                <w:rFonts w:ascii="Calibri" w:hAnsi="Calibri"/>
                <w:b/>
                <w:bCs/>
                <w:color w:val="FFFFFF"/>
              </w:rPr>
            </w:pPr>
            <w:r w:rsidRPr="00E95745">
              <w:rPr>
                <w:rFonts w:ascii="Calibri" w:hAnsi="Calibri"/>
                <w:b/>
                <w:bCs/>
                <w:color w:val="FFFFFF"/>
              </w:rPr>
              <w:t>Mark-to-market value of the Option</w:t>
            </w:r>
          </w:p>
        </w:tc>
        <w:tc>
          <w:tcPr>
            <w:tcW w:w="1862" w:type="dxa"/>
            <w:tcBorders>
              <w:top w:val="single" w:sz="4" w:space="0" w:color="auto"/>
              <w:left w:val="single" w:sz="4" w:space="0" w:color="auto"/>
              <w:bottom w:val="single" w:sz="4" w:space="0" w:color="auto"/>
              <w:right w:val="single" w:sz="4" w:space="0" w:color="auto"/>
            </w:tcBorders>
            <w:shd w:val="clear" w:color="auto" w:fill="0070C0"/>
            <w:hideMark/>
          </w:tcPr>
          <w:p w14:paraId="29746E97" w14:textId="77777777" w:rsidR="008A15B2" w:rsidRPr="00E95745" w:rsidRDefault="008A15B2" w:rsidP="00983840">
            <w:pPr>
              <w:spacing w:after="0"/>
              <w:rPr>
                <w:rFonts w:ascii="Calibri" w:hAnsi="Calibri"/>
                <w:b/>
                <w:bCs/>
                <w:color w:val="FFFFFF"/>
              </w:rPr>
            </w:pPr>
            <w:r w:rsidRPr="00E95745">
              <w:rPr>
                <w:rFonts w:ascii="Calibri" w:hAnsi="Calibri"/>
                <w:b/>
                <w:bCs/>
                <w:color w:val="FFFFFF"/>
              </w:rPr>
              <w:t xml:space="preserve">Position </w:t>
            </w:r>
            <w:r>
              <w:rPr>
                <w:rFonts w:ascii="Calibri" w:hAnsi="Calibri"/>
                <w:b/>
                <w:bCs/>
                <w:color w:val="FFFFFF"/>
              </w:rPr>
              <w:t>r</w:t>
            </w:r>
            <w:r w:rsidRPr="00E95745">
              <w:rPr>
                <w:rFonts w:ascii="Calibri" w:hAnsi="Calibri"/>
                <w:b/>
                <w:bCs/>
                <w:color w:val="FFFFFF"/>
              </w:rPr>
              <w:t xml:space="preserve">isk </w:t>
            </w:r>
            <w:r>
              <w:rPr>
                <w:rFonts w:ascii="Calibri" w:hAnsi="Calibri"/>
                <w:b/>
                <w:bCs/>
                <w:color w:val="FFFFFF"/>
              </w:rPr>
              <w:t>a</w:t>
            </w:r>
            <w:r w:rsidRPr="00E95745">
              <w:rPr>
                <w:rFonts w:ascii="Calibri" w:hAnsi="Calibri"/>
                <w:b/>
                <w:bCs/>
                <w:color w:val="FFFFFF"/>
              </w:rPr>
              <w:t>mount</w:t>
            </w:r>
          </w:p>
        </w:tc>
        <w:tc>
          <w:tcPr>
            <w:tcW w:w="1904" w:type="dxa"/>
            <w:tcBorders>
              <w:top w:val="single" w:sz="4" w:space="0" w:color="auto"/>
              <w:left w:val="single" w:sz="4" w:space="0" w:color="auto"/>
              <w:bottom w:val="single" w:sz="4" w:space="0" w:color="auto"/>
              <w:right w:val="single" w:sz="4" w:space="0" w:color="auto"/>
            </w:tcBorders>
            <w:shd w:val="clear" w:color="auto" w:fill="0070C0"/>
            <w:hideMark/>
          </w:tcPr>
          <w:p w14:paraId="72C3503F" w14:textId="77777777" w:rsidR="008A15B2" w:rsidRPr="00E95745" w:rsidRDefault="008A15B2" w:rsidP="00983840">
            <w:pPr>
              <w:spacing w:after="0"/>
              <w:rPr>
                <w:rFonts w:ascii="Calibri" w:hAnsi="Calibri"/>
                <w:b/>
                <w:bCs/>
                <w:color w:val="FFFFFF"/>
              </w:rPr>
            </w:pPr>
            <w:r w:rsidRPr="00E95745">
              <w:rPr>
                <w:rFonts w:ascii="Calibri" w:hAnsi="Calibri"/>
                <w:b/>
                <w:bCs/>
                <w:color w:val="FFFFFF"/>
              </w:rPr>
              <w:t xml:space="preserve">Mark-to-market value of underlying </w:t>
            </w:r>
          </w:p>
        </w:tc>
        <w:tc>
          <w:tcPr>
            <w:tcW w:w="1883" w:type="dxa"/>
            <w:tcBorders>
              <w:top w:val="single" w:sz="4" w:space="0" w:color="auto"/>
              <w:left w:val="single" w:sz="4" w:space="0" w:color="auto"/>
              <w:bottom w:val="single" w:sz="4" w:space="0" w:color="auto"/>
              <w:right w:val="single" w:sz="4" w:space="0" w:color="auto"/>
            </w:tcBorders>
            <w:shd w:val="clear" w:color="auto" w:fill="0070C0"/>
            <w:hideMark/>
          </w:tcPr>
          <w:p w14:paraId="49EA8655" w14:textId="77777777" w:rsidR="008A15B2" w:rsidRPr="00E95745" w:rsidRDefault="008A15B2" w:rsidP="00983840">
            <w:pPr>
              <w:spacing w:after="0"/>
              <w:rPr>
                <w:rFonts w:ascii="Calibri" w:hAnsi="Calibri"/>
                <w:b/>
                <w:bCs/>
                <w:color w:val="FFFFFF"/>
              </w:rPr>
            </w:pPr>
            <w:r w:rsidRPr="00E95745">
              <w:rPr>
                <w:rFonts w:ascii="Calibri" w:hAnsi="Calibri"/>
                <w:b/>
                <w:bCs/>
                <w:color w:val="FFFFFF"/>
              </w:rPr>
              <w:t>Amount reduced by</w:t>
            </w:r>
          </w:p>
        </w:tc>
        <w:tc>
          <w:tcPr>
            <w:tcW w:w="1883" w:type="dxa"/>
            <w:tcBorders>
              <w:top w:val="single" w:sz="4" w:space="0" w:color="auto"/>
              <w:left w:val="single" w:sz="4" w:space="0" w:color="auto"/>
              <w:bottom w:val="single" w:sz="4" w:space="0" w:color="auto"/>
              <w:right w:val="single" w:sz="4" w:space="0" w:color="auto"/>
            </w:tcBorders>
            <w:shd w:val="clear" w:color="auto" w:fill="0070C0"/>
            <w:hideMark/>
          </w:tcPr>
          <w:p w14:paraId="4530580D" w14:textId="77777777" w:rsidR="008A15B2" w:rsidRPr="00E95745" w:rsidRDefault="008A15B2" w:rsidP="00983840">
            <w:pPr>
              <w:spacing w:after="0"/>
              <w:rPr>
                <w:rFonts w:ascii="Calibri" w:hAnsi="Calibri"/>
                <w:b/>
                <w:bCs/>
                <w:color w:val="FFFFFF"/>
              </w:rPr>
            </w:pPr>
            <w:r w:rsidRPr="00E95745">
              <w:rPr>
                <w:rFonts w:ascii="Calibri" w:hAnsi="Calibri"/>
                <w:b/>
                <w:bCs/>
                <w:color w:val="FFFFFF"/>
              </w:rPr>
              <w:t xml:space="preserve">Position </w:t>
            </w:r>
            <w:r>
              <w:rPr>
                <w:rFonts w:ascii="Calibri" w:hAnsi="Calibri"/>
                <w:b/>
                <w:bCs/>
                <w:color w:val="FFFFFF"/>
              </w:rPr>
              <w:t>r</w:t>
            </w:r>
            <w:r w:rsidRPr="00E95745">
              <w:rPr>
                <w:rFonts w:ascii="Calibri" w:hAnsi="Calibri"/>
                <w:b/>
                <w:bCs/>
                <w:color w:val="FFFFFF"/>
              </w:rPr>
              <w:t xml:space="preserve">isk </w:t>
            </w:r>
            <w:r>
              <w:rPr>
                <w:rFonts w:ascii="Calibri" w:hAnsi="Calibri"/>
                <w:b/>
                <w:bCs/>
                <w:color w:val="FFFFFF"/>
              </w:rPr>
              <w:t>a</w:t>
            </w:r>
            <w:r w:rsidRPr="00E95745">
              <w:rPr>
                <w:rFonts w:ascii="Calibri" w:hAnsi="Calibri"/>
                <w:b/>
                <w:bCs/>
                <w:color w:val="FFFFFF"/>
              </w:rPr>
              <w:t>mount</w:t>
            </w:r>
          </w:p>
        </w:tc>
      </w:tr>
      <w:tr w:rsidR="008A15B2" w:rsidRPr="00E95745" w14:paraId="3F8A0C8B" w14:textId="77777777" w:rsidTr="00D3615D">
        <w:trPr>
          <w:trHeight w:val="300"/>
        </w:trPr>
        <w:tc>
          <w:tcPr>
            <w:tcW w:w="2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51122" w14:textId="77777777" w:rsidR="008A15B2" w:rsidRPr="00E95745" w:rsidRDefault="008A15B2" w:rsidP="00D3615D">
            <w:pPr>
              <w:spacing w:after="120"/>
              <w:rPr>
                <w:rFonts w:ascii="Calibri" w:hAnsi="Calibri"/>
                <w:color w:val="3F3F76"/>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F2781" w14:textId="77777777" w:rsidR="008A15B2" w:rsidRPr="00E95745" w:rsidRDefault="008A15B2" w:rsidP="00D3615D">
            <w:pPr>
              <w:spacing w:after="120"/>
              <w:rPr>
                <w:rFonts w:ascii="Calibri" w:hAnsi="Calibri"/>
                <w:color w:val="3F3F76"/>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B7E1E" w14:textId="77777777" w:rsidR="008A15B2" w:rsidRPr="00E95745" w:rsidRDefault="008A15B2" w:rsidP="00D3615D">
            <w:pPr>
              <w:spacing w:after="120"/>
              <w:rPr>
                <w:rFonts w:ascii="Calibri" w:hAnsi="Calibri"/>
                <w:color w:val="3F3F76"/>
              </w:rPr>
            </w:pPr>
          </w:p>
        </w:tc>
        <w:tc>
          <w:tcPr>
            <w:tcW w:w="1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22149" w14:textId="77777777" w:rsidR="008A15B2" w:rsidRPr="00E95745" w:rsidRDefault="008A15B2" w:rsidP="00D3615D">
            <w:pPr>
              <w:spacing w:after="120"/>
              <w:rPr>
                <w:rFonts w:ascii="Calibri" w:hAnsi="Calibri"/>
                <w:b/>
                <w:bCs/>
                <w:color w:val="FA7D00"/>
              </w:rPr>
            </w:pP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3C5F0" w14:textId="77777777" w:rsidR="008A15B2" w:rsidRPr="00E95745" w:rsidRDefault="008A15B2" w:rsidP="00D3615D">
            <w:pPr>
              <w:spacing w:after="120"/>
              <w:rPr>
                <w:rFonts w:ascii="Calibri" w:hAnsi="Calibri"/>
                <w:color w:val="3F3F76"/>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D488D" w14:textId="77777777" w:rsidR="008A15B2" w:rsidRPr="00E95745" w:rsidRDefault="008A15B2" w:rsidP="00D3615D">
            <w:pPr>
              <w:spacing w:after="120"/>
              <w:rPr>
                <w:rFonts w:ascii="Calibri" w:hAnsi="Calibri"/>
                <w:color w:val="000000"/>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5242F" w14:textId="77777777" w:rsidR="008A15B2" w:rsidRPr="00E95745" w:rsidRDefault="008A15B2" w:rsidP="00D3615D">
            <w:pPr>
              <w:spacing w:after="120"/>
              <w:rPr>
                <w:rFonts w:ascii="Calibri" w:hAnsi="Calibri"/>
                <w:b/>
                <w:bCs/>
                <w:color w:val="FA7D00"/>
              </w:rPr>
            </w:pPr>
          </w:p>
        </w:tc>
      </w:tr>
      <w:tr w:rsidR="008A15B2" w:rsidRPr="00E95745" w14:paraId="1C42EE9F" w14:textId="77777777" w:rsidTr="00D3615D">
        <w:trPr>
          <w:trHeight w:val="315"/>
        </w:trPr>
        <w:tc>
          <w:tcPr>
            <w:tcW w:w="2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018CC" w14:textId="77777777" w:rsidR="008A15B2" w:rsidRPr="00E95745" w:rsidRDefault="008A15B2" w:rsidP="00D3615D">
            <w:pPr>
              <w:spacing w:after="120"/>
              <w:rPr>
                <w:rFonts w:ascii="Calibri" w:hAnsi="Calibri"/>
                <w:b/>
                <w:color w:val="000000"/>
              </w:rPr>
            </w:pPr>
            <w:r w:rsidRPr="00E95745">
              <w:rPr>
                <w:rFonts w:ascii="Calibri" w:hAnsi="Calibri"/>
                <w:b/>
                <w:color w:val="000000"/>
              </w:rPr>
              <w:t>Total</w:t>
            </w: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941DF4" w14:textId="77777777" w:rsidR="008A15B2" w:rsidRPr="00E95745" w:rsidRDefault="008A15B2" w:rsidP="00D3615D">
            <w:pPr>
              <w:spacing w:after="120"/>
              <w:rPr>
                <w:rFonts w:ascii="Calibri" w:hAnsi="Calibri"/>
                <w:b/>
                <w:bCs/>
                <w:color w:val="FA7D00"/>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tcPr>
          <w:p w14:paraId="5F4DFD4B" w14:textId="77777777" w:rsidR="008A15B2" w:rsidRPr="00E95745" w:rsidRDefault="008A15B2" w:rsidP="00D3615D">
            <w:pPr>
              <w:spacing w:after="120"/>
              <w:rPr>
                <w:rFonts w:ascii="Calibri" w:hAnsi="Calibri"/>
                <w:color w:val="000000"/>
              </w:rPr>
            </w:pPr>
          </w:p>
        </w:tc>
        <w:tc>
          <w:tcPr>
            <w:tcW w:w="18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B166A" w14:textId="77777777" w:rsidR="008A15B2" w:rsidRPr="00E95745" w:rsidRDefault="008A15B2" w:rsidP="00D3615D">
            <w:pPr>
              <w:spacing w:after="120"/>
              <w:rPr>
                <w:rFonts w:ascii="Calibri" w:hAnsi="Calibri"/>
                <w:color w:val="000000"/>
              </w:rPr>
            </w:pP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7B720" w14:textId="77777777" w:rsidR="008A15B2" w:rsidRPr="00E95745" w:rsidRDefault="008A15B2" w:rsidP="00D3615D">
            <w:pPr>
              <w:spacing w:after="120"/>
              <w:rPr>
                <w:rFonts w:ascii="Calibri" w:hAnsi="Calibri"/>
                <w:color w:val="000000"/>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91F91" w14:textId="77777777" w:rsidR="008A15B2" w:rsidRPr="00E95745" w:rsidRDefault="008A15B2" w:rsidP="00D3615D">
            <w:pPr>
              <w:spacing w:after="120"/>
              <w:rPr>
                <w:rFonts w:ascii="Calibri" w:hAnsi="Calibri"/>
                <w:color w:val="000000"/>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CC874" w14:textId="77777777" w:rsidR="008A15B2" w:rsidRPr="00E95745" w:rsidRDefault="008A15B2" w:rsidP="00D3615D">
            <w:pPr>
              <w:spacing w:after="120"/>
              <w:rPr>
                <w:rFonts w:ascii="Calibri" w:hAnsi="Calibri"/>
                <w:color w:val="000000"/>
              </w:rPr>
            </w:pPr>
          </w:p>
        </w:tc>
      </w:tr>
    </w:tbl>
    <w:p w14:paraId="02666003" w14:textId="77777777" w:rsidR="00983840" w:rsidRPr="00D3615D" w:rsidRDefault="00983840" w:rsidP="00D3615D">
      <w:pPr>
        <w:spacing w:after="0"/>
        <w:rPr>
          <w:rFonts w:ascii="Calibri" w:hAnsi="Calibri"/>
          <w:color w:val="000000"/>
          <w:sz w:val="16"/>
          <w:szCs w:val="16"/>
        </w:rPr>
      </w:pPr>
    </w:p>
    <w:p w14:paraId="4EC9137E" w14:textId="77777777" w:rsidR="008A15B2" w:rsidRPr="00742DB7" w:rsidRDefault="008A15B2" w:rsidP="00D3615D">
      <w:pPr>
        <w:pStyle w:val="ListParagraph"/>
        <w:numPr>
          <w:ilvl w:val="0"/>
          <w:numId w:val="73"/>
        </w:numPr>
        <w:spacing w:after="120"/>
        <w:ind w:left="714" w:hanging="357"/>
        <w:rPr>
          <w:rFonts w:ascii="Calibri" w:hAnsi="Calibri"/>
          <w:color w:val="000000"/>
        </w:rPr>
      </w:pPr>
      <w:r w:rsidRPr="00742DB7">
        <w:rPr>
          <w:rFonts w:ascii="Calibri" w:eastAsia="Calibri" w:hAnsi="Calibri"/>
          <w:bCs/>
          <w:iCs/>
        </w:rPr>
        <w:t xml:space="preserve">For reporting purposes, </w:t>
      </w:r>
      <w:r>
        <w:rPr>
          <w:rFonts w:ascii="Calibri" w:eastAsia="Calibri" w:hAnsi="Calibri"/>
          <w:bCs/>
          <w:iCs/>
        </w:rPr>
        <w:t xml:space="preserve">you must </w:t>
      </w:r>
      <w:r w:rsidRPr="00742DB7">
        <w:rPr>
          <w:rFonts w:ascii="Calibri" w:eastAsia="Calibri" w:hAnsi="Calibri"/>
          <w:bCs/>
          <w:iCs/>
        </w:rPr>
        <w:t>disclose the amount you have used to reduce the position risk amount for written options</w:t>
      </w:r>
      <w:r>
        <w:rPr>
          <w:rFonts w:ascii="Calibri" w:eastAsia="Calibri" w:hAnsi="Calibri"/>
          <w:bCs/>
          <w:iCs/>
        </w:rPr>
        <w:t>.</w:t>
      </w:r>
    </w:p>
    <w:p w14:paraId="12FD986D" w14:textId="3676B263" w:rsidR="008A15B2" w:rsidRPr="00742DB7" w:rsidRDefault="008A15B2" w:rsidP="00D3615D">
      <w:pPr>
        <w:pStyle w:val="ListParagraph"/>
        <w:numPr>
          <w:ilvl w:val="0"/>
          <w:numId w:val="73"/>
        </w:numPr>
        <w:spacing w:after="120"/>
        <w:ind w:left="714" w:hanging="357"/>
        <w:rPr>
          <w:rFonts w:ascii="Calibri" w:hAnsi="Calibri"/>
          <w:color w:val="000000"/>
        </w:rPr>
      </w:pPr>
      <w:r>
        <w:rPr>
          <w:rFonts w:ascii="Calibri" w:eastAsia="Calibri" w:hAnsi="Calibri"/>
          <w:bCs/>
          <w:iCs/>
        </w:rPr>
        <w:t>Enter the risk amount with the Position Risk Factor applied for mark-to-market value of underlying</w:t>
      </w:r>
      <w:r w:rsidR="00236DAA">
        <w:rPr>
          <w:rFonts w:ascii="Calibri" w:eastAsia="Calibri" w:hAnsi="Calibri"/>
          <w:bCs/>
          <w:iCs/>
        </w:rPr>
        <w:t>.</w:t>
      </w:r>
    </w:p>
    <w:p w14:paraId="25CD444C" w14:textId="77777777" w:rsidR="008A15B2" w:rsidRPr="00742DB7" w:rsidRDefault="008A15B2" w:rsidP="00D3615D">
      <w:pPr>
        <w:pStyle w:val="ListParagraph"/>
        <w:numPr>
          <w:ilvl w:val="0"/>
          <w:numId w:val="73"/>
        </w:numPr>
        <w:spacing w:after="120"/>
        <w:ind w:left="714" w:hanging="357"/>
        <w:rPr>
          <w:rFonts w:ascii="Calibri" w:hAnsi="Calibri"/>
          <w:color w:val="000000"/>
        </w:rPr>
      </w:pPr>
      <w:r>
        <w:rPr>
          <w:rFonts w:ascii="Calibri" w:eastAsia="Calibri" w:hAnsi="Calibri"/>
          <w:bCs/>
          <w:iCs/>
        </w:rPr>
        <w:t>Where you have multiple purchased options positions, you must determine the lesser of the aggregate ‘mark-to-market value of underlying’ and the aggregate ‘mark-to-market value of the option’ prior to entering the risk amount.</w:t>
      </w:r>
    </w:p>
    <w:p w14:paraId="5D6D7A7C" w14:textId="40110BD8" w:rsidR="00A10C47" w:rsidRPr="00930407" w:rsidRDefault="003F6625" w:rsidP="00D3615D">
      <w:pPr>
        <w:spacing w:before="360" w:after="120"/>
        <w:outlineLvl w:val="3"/>
        <w:rPr>
          <w:rFonts w:ascii="Calibri" w:hAnsi="Calibri"/>
          <w:b/>
          <w:bCs/>
          <w:color w:val="0070C0"/>
          <w:sz w:val="32"/>
          <w:szCs w:val="32"/>
        </w:rPr>
      </w:pPr>
      <w:r w:rsidRPr="00930407">
        <w:rPr>
          <w:rFonts w:ascii="Calibri" w:hAnsi="Calibri"/>
          <w:b/>
          <w:bCs/>
          <w:color w:val="0070C0"/>
          <w:sz w:val="32"/>
          <w:szCs w:val="32"/>
        </w:rPr>
        <w:t>Summary</w:t>
      </w:r>
    </w:p>
    <w:tbl>
      <w:tblPr>
        <w:tblW w:w="8184" w:type="dxa"/>
        <w:tblLook w:val="04A0" w:firstRow="1" w:lastRow="0" w:firstColumn="1" w:lastColumn="0" w:noHBand="0" w:noVBand="1"/>
      </w:tblPr>
      <w:tblGrid>
        <w:gridCol w:w="6032"/>
        <w:gridCol w:w="2152"/>
      </w:tblGrid>
      <w:tr w:rsidR="003F6625" w:rsidRPr="00E95745" w14:paraId="1CC1B789" w14:textId="77777777" w:rsidTr="003A1BE7">
        <w:trPr>
          <w:trHeight w:val="300"/>
        </w:trPr>
        <w:tc>
          <w:tcPr>
            <w:tcW w:w="5517"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D09A91" w14:textId="77777777" w:rsidR="003F6625" w:rsidRPr="00E95745" w:rsidRDefault="003F6625" w:rsidP="00D3615D">
            <w:pPr>
              <w:spacing w:after="80"/>
              <w:rPr>
                <w:rFonts w:ascii="Calibri" w:hAnsi="Calibri"/>
                <w:b/>
                <w:bCs/>
                <w:color w:val="FFFFFF"/>
              </w:rPr>
            </w:pPr>
            <w:r w:rsidRPr="00E95745">
              <w:rPr>
                <w:rFonts w:ascii="Calibri" w:hAnsi="Calibri"/>
                <w:b/>
                <w:bCs/>
                <w:color w:val="FFFFFF"/>
              </w:rPr>
              <w:t>Summary</w:t>
            </w:r>
          </w:p>
        </w:tc>
        <w:tc>
          <w:tcPr>
            <w:tcW w:w="1968"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FC67D4D" w14:textId="77777777" w:rsidR="003F6625" w:rsidRPr="00E95745" w:rsidRDefault="003F6625" w:rsidP="00D3615D">
            <w:pPr>
              <w:spacing w:after="80"/>
              <w:rPr>
                <w:rFonts w:ascii="Calibri" w:hAnsi="Calibri"/>
                <w:b/>
                <w:bCs/>
                <w:color w:val="000000"/>
              </w:rPr>
            </w:pPr>
            <w:r w:rsidRPr="00E95745">
              <w:rPr>
                <w:rFonts w:ascii="Calibri" w:hAnsi="Calibri"/>
                <w:b/>
                <w:bCs/>
                <w:color w:val="FFFFFF"/>
              </w:rPr>
              <w:t>Total</w:t>
            </w:r>
          </w:p>
        </w:tc>
      </w:tr>
      <w:tr w:rsidR="003F6625" w:rsidRPr="00E95745" w14:paraId="34BFC214" w14:textId="77777777" w:rsidTr="00930407">
        <w:trPr>
          <w:trHeight w:val="300"/>
        </w:trPr>
        <w:tc>
          <w:tcPr>
            <w:tcW w:w="5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ABDF6" w14:textId="77777777" w:rsidR="003F6625" w:rsidRPr="00E95745" w:rsidRDefault="003F6625" w:rsidP="00D3615D">
            <w:pPr>
              <w:spacing w:after="80"/>
              <w:rPr>
                <w:rFonts w:ascii="Calibri" w:hAnsi="Calibri"/>
                <w:color w:val="000000"/>
              </w:rPr>
            </w:pPr>
            <w:r w:rsidRPr="00E95745">
              <w:rPr>
                <w:rFonts w:ascii="Calibri" w:hAnsi="Calibri"/>
                <w:color w:val="000000"/>
              </w:rPr>
              <w:t>Equity Position Risk</w:t>
            </w:r>
          </w:p>
        </w:tc>
        <w:tc>
          <w:tcPr>
            <w:tcW w:w="1968" w:type="dxa"/>
            <w:tcBorders>
              <w:top w:val="single" w:sz="4" w:space="0" w:color="auto"/>
              <w:left w:val="single" w:sz="4" w:space="0" w:color="auto"/>
              <w:bottom w:val="single" w:sz="4" w:space="0" w:color="auto"/>
              <w:right w:val="single" w:sz="4" w:space="0" w:color="auto"/>
            </w:tcBorders>
            <w:shd w:val="clear" w:color="auto" w:fill="auto"/>
            <w:noWrap/>
          </w:tcPr>
          <w:p w14:paraId="0746733E" w14:textId="6373FAB2" w:rsidR="003F6625" w:rsidRPr="00E95745" w:rsidRDefault="003F6625" w:rsidP="00D3615D">
            <w:pPr>
              <w:spacing w:after="80"/>
              <w:rPr>
                <w:rFonts w:ascii="Calibri" w:hAnsi="Calibri"/>
                <w:b/>
                <w:bCs/>
                <w:color w:val="FA7D00"/>
              </w:rPr>
            </w:pPr>
          </w:p>
        </w:tc>
      </w:tr>
      <w:tr w:rsidR="003F6625" w:rsidRPr="00E95745" w14:paraId="0E33DCB2" w14:textId="77777777" w:rsidTr="00930407">
        <w:trPr>
          <w:trHeight w:val="300"/>
        </w:trPr>
        <w:tc>
          <w:tcPr>
            <w:tcW w:w="5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547B7" w14:textId="77777777" w:rsidR="003F6625" w:rsidRPr="00E95745" w:rsidRDefault="003F6625" w:rsidP="00D3615D">
            <w:pPr>
              <w:spacing w:after="80"/>
              <w:rPr>
                <w:rFonts w:ascii="Calibri" w:hAnsi="Calibri"/>
                <w:color w:val="000000"/>
              </w:rPr>
            </w:pPr>
            <w:r w:rsidRPr="00E95745">
              <w:rPr>
                <w:rFonts w:ascii="Calibri" w:hAnsi="Calibri"/>
                <w:color w:val="000000"/>
              </w:rPr>
              <w:t>Debt Position Risk</w:t>
            </w:r>
          </w:p>
        </w:tc>
        <w:tc>
          <w:tcPr>
            <w:tcW w:w="1968" w:type="dxa"/>
            <w:tcBorders>
              <w:top w:val="single" w:sz="4" w:space="0" w:color="auto"/>
              <w:left w:val="single" w:sz="4" w:space="0" w:color="auto"/>
              <w:bottom w:val="single" w:sz="4" w:space="0" w:color="auto"/>
              <w:right w:val="single" w:sz="4" w:space="0" w:color="auto"/>
            </w:tcBorders>
            <w:shd w:val="clear" w:color="auto" w:fill="auto"/>
            <w:noWrap/>
          </w:tcPr>
          <w:p w14:paraId="031D1824" w14:textId="164E0D02" w:rsidR="003F6625" w:rsidRPr="00E95745" w:rsidRDefault="003F6625" w:rsidP="00D3615D">
            <w:pPr>
              <w:spacing w:after="80"/>
              <w:rPr>
                <w:rFonts w:ascii="Calibri" w:hAnsi="Calibri"/>
                <w:b/>
                <w:bCs/>
                <w:color w:val="FA7D00"/>
              </w:rPr>
            </w:pPr>
          </w:p>
        </w:tc>
      </w:tr>
      <w:tr w:rsidR="003F6625" w:rsidRPr="00E95745" w14:paraId="3EE677AB" w14:textId="77777777" w:rsidTr="00930407">
        <w:trPr>
          <w:trHeight w:val="300"/>
        </w:trPr>
        <w:tc>
          <w:tcPr>
            <w:tcW w:w="55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A6544E" w14:textId="57859D57" w:rsidR="003F6625" w:rsidRPr="00E95745" w:rsidRDefault="003F6625" w:rsidP="00D3615D">
            <w:pPr>
              <w:spacing w:after="80"/>
              <w:rPr>
                <w:rFonts w:ascii="Calibri" w:hAnsi="Calibri"/>
                <w:color w:val="000000"/>
              </w:rPr>
            </w:pPr>
            <w:r w:rsidRPr="00E95745">
              <w:rPr>
                <w:rFonts w:ascii="Calibri" w:hAnsi="Calibri"/>
                <w:color w:val="000000"/>
              </w:rPr>
              <w:t xml:space="preserve">Foreign </w:t>
            </w:r>
            <w:r w:rsidR="00950A68">
              <w:rPr>
                <w:rFonts w:ascii="Calibri" w:hAnsi="Calibri"/>
                <w:color w:val="000000"/>
              </w:rPr>
              <w:t>E</w:t>
            </w:r>
            <w:r w:rsidRPr="00E95745">
              <w:rPr>
                <w:rFonts w:ascii="Calibri" w:hAnsi="Calibri"/>
                <w:color w:val="000000"/>
              </w:rPr>
              <w:t xml:space="preserve">xchange </w:t>
            </w:r>
            <w:r>
              <w:rPr>
                <w:rFonts w:ascii="Calibri" w:hAnsi="Calibri"/>
                <w:color w:val="000000"/>
              </w:rPr>
              <w:t>p</w:t>
            </w:r>
            <w:r w:rsidRPr="00E95745">
              <w:rPr>
                <w:rFonts w:ascii="Calibri" w:hAnsi="Calibri"/>
                <w:color w:val="000000"/>
              </w:rPr>
              <w:t xml:space="preserve">osition </w:t>
            </w:r>
            <w:r>
              <w:rPr>
                <w:rFonts w:ascii="Calibri" w:hAnsi="Calibri"/>
                <w:color w:val="000000"/>
              </w:rPr>
              <w:t>r</w:t>
            </w:r>
            <w:r w:rsidRPr="00E95745">
              <w:rPr>
                <w:rFonts w:ascii="Calibri" w:hAnsi="Calibri"/>
                <w:color w:val="000000"/>
              </w:rPr>
              <w:t>isk</w:t>
            </w:r>
          </w:p>
        </w:tc>
        <w:tc>
          <w:tcPr>
            <w:tcW w:w="1968" w:type="dxa"/>
            <w:tcBorders>
              <w:top w:val="single" w:sz="4" w:space="0" w:color="auto"/>
              <w:left w:val="single" w:sz="4" w:space="0" w:color="auto"/>
              <w:bottom w:val="single" w:sz="4" w:space="0" w:color="auto"/>
              <w:right w:val="single" w:sz="4" w:space="0" w:color="auto"/>
            </w:tcBorders>
            <w:shd w:val="clear" w:color="auto" w:fill="auto"/>
            <w:noWrap/>
          </w:tcPr>
          <w:p w14:paraId="65FD3BA8" w14:textId="31CE9BA7" w:rsidR="003F6625" w:rsidRPr="00E95745" w:rsidRDefault="003F6625" w:rsidP="00D3615D">
            <w:pPr>
              <w:spacing w:after="80"/>
              <w:rPr>
                <w:rFonts w:ascii="Calibri" w:hAnsi="Calibri"/>
                <w:b/>
                <w:bCs/>
                <w:color w:val="FA7D00"/>
              </w:rPr>
            </w:pPr>
          </w:p>
        </w:tc>
      </w:tr>
      <w:tr w:rsidR="003F6625" w:rsidRPr="00E95745" w14:paraId="06B845D3" w14:textId="77777777" w:rsidTr="00930407">
        <w:trPr>
          <w:trHeight w:val="300"/>
        </w:trPr>
        <w:tc>
          <w:tcPr>
            <w:tcW w:w="5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9BA95" w14:textId="77777777" w:rsidR="003F6625" w:rsidRPr="00E95745" w:rsidRDefault="003F6625" w:rsidP="00D3615D">
            <w:pPr>
              <w:spacing w:after="80"/>
              <w:rPr>
                <w:rFonts w:ascii="Calibri" w:hAnsi="Calibri"/>
                <w:color w:val="000000"/>
              </w:rPr>
            </w:pPr>
            <w:r w:rsidRPr="00E95745">
              <w:rPr>
                <w:rFonts w:ascii="Calibri" w:hAnsi="Calibri"/>
                <w:color w:val="000000"/>
              </w:rPr>
              <w:t xml:space="preserve">Commodity </w:t>
            </w:r>
            <w:r>
              <w:rPr>
                <w:rFonts w:ascii="Calibri" w:hAnsi="Calibri"/>
                <w:color w:val="000000"/>
              </w:rPr>
              <w:t>p</w:t>
            </w:r>
            <w:r w:rsidRPr="00E95745">
              <w:rPr>
                <w:rFonts w:ascii="Calibri" w:hAnsi="Calibri"/>
                <w:color w:val="000000"/>
              </w:rPr>
              <w:t xml:space="preserve">osition </w:t>
            </w:r>
            <w:r>
              <w:rPr>
                <w:rFonts w:ascii="Calibri" w:hAnsi="Calibri"/>
                <w:color w:val="000000"/>
              </w:rPr>
              <w:t>r</w:t>
            </w:r>
            <w:r w:rsidRPr="00E95745">
              <w:rPr>
                <w:rFonts w:ascii="Calibri" w:hAnsi="Calibri"/>
                <w:color w:val="000000"/>
              </w:rPr>
              <w:t>isk</w:t>
            </w:r>
          </w:p>
        </w:tc>
        <w:tc>
          <w:tcPr>
            <w:tcW w:w="1968" w:type="dxa"/>
            <w:tcBorders>
              <w:top w:val="single" w:sz="4" w:space="0" w:color="auto"/>
              <w:left w:val="single" w:sz="4" w:space="0" w:color="auto"/>
              <w:bottom w:val="single" w:sz="4" w:space="0" w:color="auto"/>
              <w:right w:val="single" w:sz="4" w:space="0" w:color="auto"/>
            </w:tcBorders>
            <w:shd w:val="clear" w:color="auto" w:fill="auto"/>
            <w:noWrap/>
          </w:tcPr>
          <w:p w14:paraId="00C7A958" w14:textId="5C2609CC" w:rsidR="003F6625" w:rsidRPr="00E95745" w:rsidRDefault="003F6625" w:rsidP="00D3615D">
            <w:pPr>
              <w:spacing w:after="80"/>
              <w:rPr>
                <w:rFonts w:ascii="Calibri" w:hAnsi="Calibri"/>
                <w:b/>
                <w:bCs/>
                <w:color w:val="FA7D00"/>
              </w:rPr>
            </w:pPr>
          </w:p>
        </w:tc>
      </w:tr>
      <w:tr w:rsidR="003F6625" w:rsidRPr="00E95745" w14:paraId="0C9FFAD8" w14:textId="77777777" w:rsidTr="00930407">
        <w:trPr>
          <w:trHeight w:val="315"/>
        </w:trPr>
        <w:tc>
          <w:tcPr>
            <w:tcW w:w="55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5B739D" w14:textId="77777777" w:rsidR="003F6625" w:rsidRPr="00E95745" w:rsidRDefault="003F6625" w:rsidP="00D3615D">
            <w:pPr>
              <w:spacing w:after="80"/>
              <w:rPr>
                <w:rFonts w:ascii="Calibri" w:hAnsi="Calibri"/>
                <w:b/>
                <w:color w:val="000000"/>
              </w:rPr>
            </w:pPr>
            <w:r w:rsidRPr="00E95745">
              <w:rPr>
                <w:rFonts w:ascii="Calibri" w:hAnsi="Calibri"/>
                <w:b/>
                <w:color w:val="000000"/>
              </w:rPr>
              <w:t>Total Position Risk Requirement</w:t>
            </w:r>
          </w:p>
        </w:tc>
        <w:tc>
          <w:tcPr>
            <w:tcW w:w="1968" w:type="dxa"/>
            <w:tcBorders>
              <w:top w:val="single" w:sz="4" w:space="0" w:color="auto"/>
              <w:left w:val="single" w:sz="4" w:space="0" w:color="auto"/>
              <w:bottom w:val="single" w:sz="4" w:space="0" w:color="auto"/>
              <w:right w:val="single" w:sz="4" w:space="0" w:color="auto"/>
            </w:tcBorders>
            <w:shd w:val="clear" w:color="auto" w:fill="auto"/>
            <w:noWrap/>
          </w:tcPr>
          <w:p w14:paraId="5D6F29B5" w14:textId="15EA3772" w:rsidR="003F6625" w:rsidRPr="00E95745" w:rsidRDefault="003F6625" w:rsidP="00D3615D">
            <w:pPr>
              <w:spacing w:after="80"/>
              <w:rPr>
                <w:rFonts w:ascii="Calibri" w:hAnsi="Calibri"/>
                <w:b/>
                <w:bCs/>
                <w:color w:val="FA7D00"/>
              </w:rPr>
            </w:pPr>
          </w:p>
        </w:tc>
      </w:tr>
    </w:tbl>
    <w:p w14:paraId="219C0C4B" w14:textId="23148CD3" w:rsidR="003F6625" w:rsidRPr="00930407" w:rsidRDefault="00156169" w:rsidP="00D3615D">
      <w:pPr>
        <w:spacing w:before="360" w:after="120"/>
        <w:outlineLvl w:val="3"/>
        <w:rPr>
          <w:rFonts w:ascii="Calibri" w:hAnsi="Calibri"/>
          <w:b/>
          <w:bCs/>
          <w:color w:val="0070C0"/>
          <w:sz w:val="32"/>
          <w:szCs w:val="32"/>
        </w:rPr>
      </w:pPr>
      <w:r w:rsidRPr="00930407">
        <w:rPr>
          <w:rFonts w:ascii="Calibri" w:hAnsi="Calibri"/>
          <w:b/>
          <w:bCs/>
          <w:color w:val="0070C0"/>
          <w:sz w:val="32"/>
          <w:szCs w:val="32"/>
        </w:rPr>
        <w:lastRenderedPageBreak/>
        <w:t>Underwriting and Sub Underwriting Risk Requirement</w:t>
      </w:r>
    </w:p>
    <w:tbl>
      <w:tblPr>
        <w:tblW w:w="14029" w:type="dxa"/>
        <w:tblLayout w:type="fixed"/>
        <w:tblLook w:val="04A0" w:firstRow="1" w:lastRow="0" w:firstColumn="1" w:lastColumn="0" w:noHBand="0" w:noVBand="1"/>
      </w:tblPr>
      <w:tblGrid>
        <w:gridCol w:w="3681"/>
        <w:gridCol w:w="1724"/>
        <w:gridCol w:w="1725"/>
        <w:gridCol w:w="1725"/>
        <w:gridCol w:w="1724"/>
        <w:gridCol w:w="1725"/>
        <w:gridCol w:w="1725"/>
      </w:tblGrid>
      <w:tr w:rsidR="00156169" w:rsidRPr="00807D2E" w14:paraId="557EDEE6" w14:textId="77777777" w:rsidTr="00D3615D">
        <w:trPr>
          <w:trHeight w:val="383"/>
        </w:trPr>
        <w:tc>
          <w:tcPr>
            <w:tcW w:w="3681" w:type="dxa"/>
            <w:tcBorders>
              <w:top w:val="single" w:sz="4" w:space="0" w:color="auto"/>
              <w:left w:val="single" w:sz="4" w:space="0" w:color="auto"/>
              <w:bottom w:val="single" w:sz="4" w:space="0" w:color="auto"/>
              <w:right w:val="single" w:sz="4" w:space="0" w:color="auto"/>
            </w:tcBorders>
            <w:shd w:val="clear" w:color="auto" w:fill="0070C0"/>
            <w:noWrap/>
            <w:hideMark/>
          </w:tcPr>
          <w:p w14:paraId="77ED8418" w14:textId="28709EDF" w:rsidR="00156169" w:rsidRPr="00D3615D" w:rsidRDefault="00156169" w:rsidP="00D73991">
            <w:pPr>
              <w:spacing w:after="0"/>
              <w:rPr>
                <w:rFonts w:ascii="Calibri" w:hAnsi="Calibri"/>
                <w:b/>
                <w:bCs/>
                <w:color w:val="FFFFFF"/>
                <w:spacing w:val="-4"/>
              </w:rPr>
            </w:pPr>
            <w:r w:rsidRPr="00D3615D">
              <w:rPr>
                <w:rFonts w:ascii="Calibri" w:hAnsi="Calibri"/>
                <w:b/>
                <w:bCs/>
                <w:color w:val="FFFFFF"/>
                <w:spacing w:val="-4"/>
              </w:rPr>
              <w:t>Relevant Commitment</w:t>
            </w:r>
          </w:p>
        </w:tc>
        <w:tc>
          <w:tcPr>
            <w:tcW w:w="1724" w:type="dxa"/>
            <w:tcBorders>
              <w:top w:val="single" w:sz="4" w:space="0" w:color="auto"/>
              <w:left w:val="single" w:sz="4" w:space="0" w:color="auto"/>
              <w:bottom w:val="single" w:sz="4" w:space="0" w:color="auto"/>
              <w:right w:val="single" w:sz="4" w:space="0" w:color="auto"/>
            </w:tcBorders>
            <w:shd w:val="clear" w:color="auto" w:fill="0070C0"/>
            <w:hideMark/>
          </w:tcPr>
          <w:p w14:paraId="6DF18414" w14:textId="1A769666" w:rsidR="00156169" w:rsidRPr="00D3615D" w:rsidRDefault="00156169" w:rsidP="00D73991">
            <w:pPr>
              <w:spacing w:after="0"/>
              <w:rPr>
                <w:rFonts w:ascii="Calibri" w:hAnsi="Calibri"/>
                <w:b/>
                <w:bCs/>
                <w:color w:val="FFFFFF"/>
                <w:spacing w:val="-4"/>
              </w:rPr>
            </w:pPr>
            <w:r w:rsidRPr="00D3615D">
              <w:rPr>
                <w:rFonts w:ascii="Calibri" w:hAnsi="Calibri"/>
                <w:b/>
                <w:bCs/>
                <w:color w:val="FFFFFF"/>
                <w:spacing w:val="-4"/>
              </w:rPr>
              <w:t>Gross amount underwritten or sub underwritten</w:t>
            </w:r>
          </w:p>
        </w:tc>
        <w:tc>
          <w:tcPr>
            <w:tcW w:w="1725" w:type="dxa"/>
            <w:tcBorders>
              <w:top w:val="single" w:sz="4" w:space="0" w:color="auto"/>
              <w:left w:val="single" w:sz="4" w:space="0" w:color="auto"/>
              <w:bottom w:val="single" w:sz="4" w:space="0" w:color="auto"/>
              <w:right w:val="single" w:sz="4" w:space="0" w:color="auto"/>
            </w:tcBorders>
            <w:shd w:val="clear" w:color="auto" w:fill="0070C0"/>
            <w:hideMark/>
          </w:tcPr>
          <w:p w14:paraId="6564DABD" w14:textId="77777777" w:rsidR="00156169" w:rsidRPr="00D3615D" w:rsidRDefault="00156169" w:rsidP="00D73991">
            <w:pPr>
              <w:spacing w:after="0"/>
              <w:rPr>
                <w:rFonts w:ascii="Calibri" w:hAnsi="Calibri"/>
                <w:b/>
                <w:bCs/>
                <w:color w:val="FFFFFF"/>
                <w:spacing w:val="-4"/>
              </w:rPr>
            </w:pPr>
            <w:r w:rsidRPr="00D3615D">
              <w:rPr>
                <w:rFonts w:ascii="Calibri" w:hAnsi="Calibri"/>
                <w:b/>
                <w:bCs/>
                <w:color w:val="FFFFFF"/>
                <w:spacing w:val="-4"/>
              </w:rPr>
              <w:t>Less amount sub underwritten or received under a client placement</w:t>
            </w:r>
          </w:p>
        </w:tc>
        <w:tc>
          <w:tcPr>
            <w:tcW w:w="1725" w:type="dxa"/>
            <w:tcBorders>
              <w:top w:val="single" w:sz="4" w:space="0" w:color="auto"/>
              <w:left w:val="single" w:sz="4" w:space="0" w:color="auto"/>
              <w:bottom w:val="single" w:sz="4" w:space="0" w:color="auto"/>
              <w:right w:val="single" w:sz="4" w:space="0" w:color="auto"/>
            </w:tcBorders>
            <w:shd w:val="clear" w:color="auto" w:fill="0070C0"/>
            <w:hideMark/>
          </w:tcPr>
          <w:p w14:paraId="69287F04" w14:textId="77777777" w:rsidR="00156169" w:rsidRPr="00D3615D" w:rsidRDefault="00156169" w:rsidP="00D73991">
            <w:pPr>
              <w:spacing w:after="0"/>
              <w:rPr>
                <w:rFonts w:ascii="Calibri" w:hAnsi="Calibri"/>
                <w:b/>
                <w:bCs/>
                <w:color w:val="FFFFFF"/>
                <w:spacing w:val="-4"/>
              </w:rPr>
            </w:pPr>
            <w:r w:rsidRPr="00D3615D">
              <w:rPr>
                <w:rFonts w:ascii="Calibri" w:hAnsi="Calibri"/>
                <w:b/>
                <w:bCs/>
                <w:color w:val="FFFFFF"/>
                <w:spacing w:val="-4"/>
              </w:rPr>
              <w:t>Net underwriting exposure</w:t>
            </w:r>
          </w:p>
        </w:tc>
        <w:tc>
          <w:tcPr>
            <w:tcW w:w="1724" w:type="dxa"/>
            <w:tcBorders>
              <w:top w:val="single" w:sz="4" w:space="0" w:color="auto"/>
              <w:left w:val="single" w:sz="4" w:space="0" w:color="auto"/>
              <w:bottom w:val="single" w:sz="4" w:space="0" w:color="auto"/>
              <w:right w:val="single" w:sz="4" w:space="0" w:color="auto"/>
            </w:tcBorders>
            <w:shd w:val="clear" w:color="auto" w:fill="0070C0"/>
            <w:hideMark/>
          </w:tcPr>
          <w:p w14:paraId="519DAE0B" w14:textId="5E3BDAEF" w:rsidR="00156169" w:rsidRPr="00D3615D" w:rsidRDefault="00156169" w:rsidP="00D73991">
            <w:pPr>
              <w:spacing w:after="0"/>
              <w:rPr>
                <w:rFonts w:ascii="Calibri" w:hAnsi="Calibri"/>
                <w:b/>
                <w:bCs/>
                <w:color w:val="FFFFFF"/>
                <w:spacing w:val="-4"/>
              </w:rPr>
            </w:pPr>
            <w:r w:rsidRPr="00D3615D">
              <w:rPr>
                <w:rFonts w:ascii="Calibri" w:hAnsi="Calibri"/>
                <w:b/>
                <w:bCs/>
                <w:color w:val="FFFFFF"/>
                <w:spacing w:val="-4"/>
              </w:rPr>
              <w:t>Underwriting risk factor</w:t>
            </w:r>
            <w:r w:rsidR="004601E3">
              <w:rPr>
                <w:rFonts w:ascii="Calibri" w:hAnsi="Calibri"/>
                <w:b/>
                <w:bCs/>
                <w:color w:val="FFFFFF"/>
                <w:spacing w:val="-4"/>
              </w:rPr>
              <w:t xml:space="preserve"> %</w:t>
            </w:r>
          </w:p>
        </w:tc>
        <w:tc>
          <w:tcPr>
            <w:tcW w:w="1725" w:type="dxa"/>
            <w:tcBorders>
              <w:top w:val="single" w:sz="4" w:space="0" w:color="auto"/>
              <w:left w:val="single" w:sz="4" w:space="0" w:color="auto"/>
              <w:bottom w:val="single" w:sz="4" w:space="0" w:color="auto"/>
            </w:tcBorders>
            <w:shd w:val="clear" w:color="auto" w:fill="0070C0"/>
          </w:tcPr>
          <w:p w14:paraId="292AC3EC" w14:textId="29A4E634" w:rsidR="00156169" w:rsidRPr="00D3615D" w:rsidRDefault="00156169" w:rsidP="00D73991">
            <w:pPr>
              <w:spacing w:after="0"/>
              <w:rPr>
                <w:rFonts w:ascii="Calibri" w:hAnsi="Calibri"/>
                <w:b/>
                <w:bCs/>
                <w:color w:val="FFFFFF"/>
                <w:spacing w:val="-4"/>
              </w:rPr>
            </w:pPr>
            <w:r w:rsidRPr="00D3615D">
              <w:rPr>
                <w:rFonts w:ascii="Calibri" w:hAnsi="Calibri"/>
                <w:b/>
                <w:bCs/>
                <w:color w:val="FFFFFF"/>
                <w:spacing w:val="-4"/>
              </w:rPr>
              <w:t>Position Risk Factor</w:t>
            </w:r>
            <w:r w:rsidR="00B10248" w:rsidRPr="00D3615D">
              <w:rPr>
                <w:rFonts w:ascii="Calibri" w:hAnsi="Calibri"/>
                <w:b/>
                <w:bCs/>
                <w:color w:val="FFFFFF"/>
                <w:spacing w:val="-4"/>
              </w:rPr>
              <w:t xml:space="preserve"> %</w:t>
            </w:r>
          </w:p>
        </w:tc>
        <w:tc>
          <w:tcPr>
            <w:tcW w:w="1725" w:type="dxa"/>
            <w:tcBorders>
              <w:top w:val="single" w:sz="4" w:space="0" w:color="auto"/>
              <w:left w:val="single" w:sz="4" w:space="0" w:color="auto"/>
              <w:bottom w:val="single" w:sz="4" w:space="0" w:color="auto"/>
              <w:right w:val="single" w:sz="4" w:space="0" w:color="auto"/>
            </w:tcBorders>
            <w:shd w:val="clear" w:color="auto" w:fill="0070C0"/>
          </w:tcPr>
          <w:p w14:paraId="68AB0C19" w14:textId="77777777" w:rsidR="00156169" w:rsidRPr="00D3615D" w:rsidRDefault="00156169" w:rsidP="00D73991">
            <w:pPr>
              <w:spacing w:after="0"/>
              <w:rPr>
                <w:rFonts w:ascii="Calibri" w:hAnsi="Calibri"/>
                <w:b/>
                <w:bCs/>
                <w:color w:val="FFFFFF"/>
                <w:spacing w:val="-4"/>
              </w:rPr>
            </w:pPr>
            <w:r w:rsidRPr="00D3615D">
              <w:rPr>
                <w:rFonts w:ascii="Calibri" w:hAnsi="Calibri"/>
                <w:b/>
                <w:bCs/>
                <w:color w:val="FFFFFF"/>
                <w:spacing w:val="-4"/>
              </w:rPr>
              <w:t>Total risk amount</w:t>
            </w:r>
          </w:p>
        </w:tc>
      </w:tr>
      <w:tr w:rsidR="00156169" w:rsidRPr="00807D2E" w14:paraId="1B95AF58" w14:textId="77777777" w:rsidTr="00D3615D">
        <w:trPr>
          <w:trHeight w:val="523"/>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A05C7" w14:textId="6DF8FFA1" w:rsidR="00156169" w:rsidRPr="00807D2E" w:rsidRDefault="00156169" w:rsidP="00D3615D">
            <w:pPr>
              <w:spacing w:after="120"/>
              <w:rPr>
                <w:rFonts w:ascii="Calibri" w:hAnsi="Calibri"/>
                <w:color w:val="FF0000"/>
              </w:rPr>
            </w:pPr>
          </w:p>
        </w:tc>
        <w:tc>
          <w:tcPr>
            <w:tcW w:w="17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C9688" w14:textId="0A6F6EF6" w:rsidR="00156169" w:rsidRPr="00807D2E" w:rsidRDefault="00156169" w:rsidP="00D3615D">
            <w:pPr>
              <w:spacing w:after="120"/>
              <w:rPr>
                <w:rFonts w:ascii="Calibri" w:hAnsi="Calibri"/>
              </w:rPr>
            </w:pPr>
          </w:p>
        </w:tc>
        <w:tc>
          <w:tcPr>
            <w:tcW w:w="17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27C755" w14:textId="2D149A47" w:rsidR="00156169" w:rsidRPr="00807D2E" w:rsidRDefault="00156169" w:rsidP="00D3615D">
            <w:pPr>
              <w:spacing w:after="120"/>
              <w:rPr>
                <w:rFonts w:ascii="Calibri" w:hAnsi="Calibri"/>
              </w:rPr>
            </w:pPr>
          </w:p>
        </w:tc>
        <w:tc>
          <w:tcPr>
            <w:tcW w:w="17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6DF52" w14:textId="215DF88A" w:rsidR="00156169" w:rsidRPr="00807D2E" w:rsidRDefault="00156169" w:rsidP="00D3615D">
            <w:pPr>
              <w:spacing w:after="120"/>
              <w:rPr>
                <w:rFonts w:ascii="Calibri" w:hAnsi="Calibri"/>
              </w:rPr>
            </w:pPr>
          </w:p>
        </w:tc>
        <w:tc>
          <w:tcPr>
            <w:tcW w:w="1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225A8" w14:textId="270A5232" w:rsidR="00156169" w:rsidRPr="00D3615D" w:rsidRDefault="00156169" w:rsidP="00D3615D">
            <w:pPr>
              <w:spacing w:after="120"/>
              <w:rPr>
                <w:rFonts w:asciiTheme="minorHAnsi" w:hAnsiTheme="minorHAnsi"/>
                <w:b/>
                <w:bCs/>
                <w:szCs w:val="22"/>
              </w:rPr>
            </w:pPr>
            <w:r w:rsidRPr="00807D2E">
              <w:rPr>
                <w:rFonts w:ascii="Calibri" w:hAnsi="Calibri"/>
              </w:rPr>
              <w:t> </w:t>
            </w:r>
          </w:p>
        </w:tc>
        <w:tc>
          <w:tcPr>
            <w:tcW w:w="1725" w:type="dxa"/>
            <w:tcBorders>
              <w:top w:val="single" w:sz="4" w:space="0" w:color="auto"/>
              <w:left w:val="single" w:sz="4" w:space="0" w:color="auto"/>
              <w:bottom w:val="single" w:sz="4" w:space="0" w:color="auto"/>
            </w:tcBorders>
            <w:shd w:val="clear" w:color="auto" w:fill="auto"/>
            <w:vAlign w:val="bottom"/>
          </w:tcPr>
          <w:p w14:paraId="44EB61D7" w14:textId="51AAC255" w:rsidR="00156169" w:rsidRPr="00807D2E" w:rsidRDefault="00156169" w:rsidP="00D3615D">
            <w:pPr>
              <w:spacing w:after="120"/>
              <w:rPr>
                <w:rFonts w:ascii="Calibri" w:hAnsi="Calibri"/>
              </w:rPr>
            </w:pPr>
            <w:r w:rsidRPr="00807D2E">
              <w:rPr>
                <w:rFonts w:ascii="Calibri" w:hAnsi="Calibri"/>
              </w:rPr>
              <w:t> </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bottom"/>
          </w:tcPr>
          <w:p w14:paraId="15155DB5" w14:textId="39928A5C" w:rsidR="00156169" w:rsidRPr="00807D2E" w:rsidRDefault="00156169" w:rsidP="00D3615D">
            <w:pPr>
              <w:spacing w:after="120"/>
              <w:rPr>
                <w:rFonts w:ascii="Calibri" w:eastAsia="Calibri" w:hAnsi="Calibri"/>
                <w:noProof/>
              </w:rPr>
            </w:pPr>
          </w:p>
        </w:tc>
      </w:tr>
      <w:tr w:rsidR="00156169" w:rsidRPr="00807D2E" w14:paraId="76BF5DBC" w14:textId="77777777" w:rsidTr="00D3615D">
        <w:trPr>
          <w:trHeight w:val="131"/>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57279" w14:textId="77777777" w:rsidR="00156169" w:rsidRPr="00807D2E" w:rsidRDefault="00156169" w:rsidP="00D3615D">
            <w:pPr>
              <w:spacing w:after="120"/>
              <w:rPr>
                <w:rFonts w:ascii="Calibri" w:hAnsi="Calibri"/>
                <w:b/>
                <w:color w:val="000000"/>
              </w:rPr>
            </w:pPr>
            <w:r w:rsidRPr="00807D2E">
              <w:rPr>
                <w:rFonts w:ascii="Calibri" w:hAnsi="Calibri"/>
                <w:b/>
                <w:color w:val="000000"/>
              </w:rPr>
              <w:t>Total Underwriting and Sub Underwriting Risk Requirement</w:t>
            </w:r>
          </w:p>
        </w:tc>
        <w:tc>
          <w:tcPr>
            <w:tcW w:w="1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55790" w14:textId="35DDA166" w:rsidR="00156169" w:rsidRPr="00807D2E" w:rsidRDefault="00156169" w:rsidP="00D3615D">
            <w:pPr>
              <w:spacing w:after="120"/>
              <w:rPr>
                <w:rFonts w:ascii="Calibri" w:hAnsi="Calibri"/>
                <w:b/>
                <w:bCs/>
              </w:rPr>
            </w:pPr>
          </w:p>
        </w:tc>
        <w:tc>
          <w:tcPr>
            <w:tcW w:w="1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CED5B" w14:textId="77777777" w:rsidR="00156169" w:rsidRPr="00807D2E" w:rsidRDefault="00156169" w:rsidP="00D3615D">
            <w:pPr>
              <w:spacing w:after="120"/>
              <w:rPr>
                <w:rFonts w:ascii="Calibri" w:hAnsi="Calibri"/>
                <w:b/>
              </w:rPr>
            </w:pPr>
            <w:r w:rsidRPr="00807D2E">
              <w:rPr>
                <w:rFonts w:ascii="Calibri" w:hAnsi="Calibri"/>
                <w:b/>
              </w:rPr>
              <w:t> </w:t>
            </w:r>
          </w:p>
        </w:tc>
        <w:tc>
          <w:tcPr>
            <w:tcW w:w="1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A7ED2" w14:textId="77777777" w:rsidR="00156169" w:rsidRPr="00807D2E" w:rsidRDefault="00156169" w:rsidP="00D3615D">
            <w:pPr>
              <w:spacing w:after="120"/>
              <w:rPr>
                <w:rFonts w:ascii="Calibri" w:hAnsi="Calibri"/>
                <w:b/>
              </w:rPr>
            </w:pPr>
            <w:r w:rsidRPr="00807D2E">
              <w:rPr>
                <w:rFonts w:ascii="Calibri" w:hAnsi="Calibri"/>
                <w:b/>
              </w:rPr>
              <w:t> </w:t>
            </w:r>
          </w:p>
        </w:tc>
        <w:tc>
          <w:tcPr>
            <w:tcW w:w="1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0290F" w14:textId="77777777" w:rsidR="00156169" w:rsidRPr="00807D2E" w:rsidRDefault="00156169" w:rsidP="00D3615D">
            <w:pPr>
              <w:spacing w:after="120"/>
              <w:rPr>
                <w:rFonts w:ascii="Calibri" w:hAnsi="Calibri"/>
                <w:b/>
              </w:rPr>
            </w:pPr>
            <w:r w:rsidRPr="00807D2E">
              <w:rPr>
                <w:rFonts w:ascii="Calibri" w:hAnsi="Calibri"/>
                <w:b/>
              </w:rPr>
              <w:t> </w:t>
            </w:r>
          </w:p>
        </w:tc>
        <w:tc>
          <w:tcPr>
            <w:tcW w:w="1725" w:type="dxa"/>
            <w:tcBorders>
              <w:top w:val="single" w:sz="4" w:space="0" w:color="auto"/>
              <w:left w:val="single" w:sz="4" w:space="0" w:color="auto"/>
              <w:bottom w:val="single" w:sz="4" w:space="0" w:color="auto"/>
            </w:tcBorders>
            <w:shd w:val="clear" w:color="auto" w:fill="auto"/>
            <w:vAlign w:val="bottom"/>
          </w:tcPr>
          <w:p w14:paraId="29F3F081" w14:textId="77777777" w:rsidR="00156169" w:rsidRPr="00807D2E" w:rsidRDefault="00156169" w:rsidP="00D3615D">
            <w:pPr>
              <w:spacing w:after="120"/>
              <w:rPr>
                <w:rFonts w:ascii="Calibri" w:hAnsi="Calibri"/>
                <w:b/>
              </w:rPr>
            </w:pPr>
            <w:r w:rsidRPr="00807D2E">
              <w:rPr>
                <w:rFonts w:ascii="Calibri" w:hAnsi="Calibri"/>
                <w:b/>
              </w:rPr>
              <w:t> </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bottom"/>
          </w:tcPr>
          <w:p w14:paraId="0E5E465B" w14:textId="77777777" w:rsidR="00156169" w:rsidRPr="00807D2E" w:rsidRDefault="00156169" w:rsidP="00D3615D">
            <w:pPr>
              <w:spacing w:after="120"/>
              <w:rPr>
                <w:rFonts w:ascii="Calibri" w:hAnsi="Calibri"/>
                <w:b/>
              </w:rPr>
            </w:pPr>
            <w:r w:rsidRPr="00807D2E">
              <w:rPr>
                <w:rFonts w:ascii="Calibri" w:hAnsi="Calibri"/>
                <w:b/>
              </w:rPr>
              <w:t> </w:t>
            </w:r>
          </w:p>
        </w:tc>
      </w:tr>
    </w:tbl>
    <w:p w14:paraId="2141BB4C" w14:textId="52A2F1FF" w:rsidR="00156169" w:rsidRPr="00930407" w:rsidRDefault="00156169" w:rsidP="00D3615D">
      <w:pPr>
        <w:spacing w:before="480" w:after="120"/>
        <w:outlineLvl w:val="3"/>
        <w:rPr>
          <w:rFonts w:ascii="Calibri" w:hAnsi="Calibri"/>
          <w:b/>
          <w:bCs/>
          <w:color w:val="0070C0"/>
          <w:sz w:val="32"/>
          <w:szCs w:val="32"/>
        </w:rPr>
      </w:pPr>
      <w:r w:rsidRPr="00930407">
        <w:rPr>
          <w:rFonts w:ascii="Calibri" w:hAnsi="Calibri"/>
          <w:b/>
          <w:bCs/>
          <w:color w:val="0070C0"/>
          <w:sz w:val="32"/>
          <w:szCs w:val="32"/>
        </w:rPr>
        <w:t>Non-</w:t>
      </w:r>
      <w:r w:rsidR="00F42B39">
        <w:rPr>
          <w:rFonts w:ascii="Calibri" w:hAnsi="Calibri"/>
          <w:b/>
          <w:bCs/>
          <w:color w:val="0070C0"/>
          <w:sz w:val="32"/>
          <w:szCs w:val="32"/>
        </w:rPr>
        <w:t>S</w:t>
      </w:r>
      <w:r w:rsidRPr="00930407">
        <w:rPr>
          <w:rFonts w:ascii="Calibri" w:hAnsi="Calibri"/>
          <w:b/>
          <w:bCs/>
          <w:color w:val="0070C0"/>
          <w:sz w:val="32"/>
          <w:szCs w:val="32"/>
        </w:rPr>
        <w:t>tandard Risk Requirement</w:t>
      </w:r>
    </w:p>
    <w:tbl>
      <w:tblPr>
        <w:tblW w:w="12186" w:type="dxa"/>
        <w:tblLayout w:type="fixed"/>
        <w:tblLook w:val="04A0" w:firstRow="1" w:lastRow="0" w:firstColumn="1" w:lastColumn="0" w:noHBand="0" w:noVBand="1"/>
      </w:tblPr>
      <w:tblGrid>
        <w:gridCol w:w="3823"/>
        <w:gridCol w:w="2787"/>
        <w:gridCol w:w="2788"/>
        <w:gridCol w:w="2788"/>
      </w:tblGrid>
      <w:tr w:rsidR="00156169" w:rsidRPr="00807D2E" w14:paraId="5A47D30B" w14:textId="77777777" w:rsidTr="00D3615D">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CB7583D" w14:textId="5AE8060D" w:rsidR="00156169" w:rsidRPr="00807D2E" w:rsidRDefault="00156169" w:rsidP="00D3615D">
            <w:pPr>
              <w:spacing w:before="40" w:after="120"/>
              <w:rPr>
                <w:rFonts w:ascii="Calibri" w:hAnsi="Calibri"/>
                <w:b/>
                <w:bCs/>
                <w:color w:val="FFFFFF"/>
              </w:rPr>
            </w:pPr>
            <w:r w:rsidRPr="00807D2E">
              <w:rPr>
                <w:rFonts w:ascii="Calibri" w:hAnsi="Calibri"/>
                <w:b/>
                <w:bCs/>
                <w:color w:val="FFFFFF"/>
              </w:rPr>
              <w:t>Exposure</w:t>
            </w:r>
          </w:p>
        </w:tc>
        <w:tc>
          <w:tcPr>
            <w:tcW w:w="278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0C1177F" w14:textId="398D4EE1" w:rsidR="00156169" w:rsidRPr="00807D2E" w:rsidRDefault="00156169" w:rsidP="00D3615D">
            <w:pPr>
              <w:spacing w:before="40" w:after="120"/>
              <w:rPr>
                <w:rFonts w:ascii="Calibri" w:hAnsi="Calibri"/>
                <w:b/>
                <w:bCs/>
                <w:color w:val="FFFFFF"/>
              </w:rPr>
            </w:pPr>
            <w:r w:rsidRPr="00807D2E">
              <w:rPr>
                <w:rFonts w:ascii="Calibri" w:hAnsi="Calibri"/>
                <w:b/>
                <w:bCs/>
                <w:color w:val="FFFFFF"/>
              </w:rPr>
              <w:t>Risk calculation used</w:t>
            </w:r>
          </w:p>
        </w:tc>
        <w:tc>
          <w:tcPr>
            <w:tcW w:w="2788"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AAF1604" w14:textId="26ECE88D" w:rsidR="00156169" w:rsidRPr="00807D2E" w:rsidRDefault="00156169" w:rsidP="00D3615D">
            <w:pPr>
              <w:spacing w:before="40" w:after="120"/>
              <w:rPr>
                <w:rFonts w:ascii="Calibri" w:hAnsi="Calibri"/>
                <w:b/>
                <w:bCs/>
                <w:color w:val="FFFFFF"/>
              </w:rPr>
            </w:pPr>
            <w:r w:rsidRPr="00807D2E">
              <w:rPr>
                <w:rFonts w:ascii="Calibri" w:hAnsi="Calibri"/>
                <w:b/>
                <w:bCs/>
                <w:color w:val="FFFFFF"/>
              </w:rPr>
              <w:t>Risk Amount</w:t>
            </w:r>
          </w:p>
        </w:tc>
        <w:tc>
          <w:tcPr>
            <w:tcW w:w="2788" w:type="dxa"/>
            <w:tcBorders>
              <w:top w:val="single" w:sz="4" w:space="0" w:color="auto"/>
              <w:left w:val="single" w:sz="4" w:space="0" w:color="auto"/>
              <w:bottom w:val="single" w:sz="4" w:space="0" w:color="auto"/>
              <w:right w:val="single" w:sz="4" w:space="0" w:color="auto"/>
            </w:tcBorders>
            <w:shd w:val="clear" w:color="auto" w:fill="0070C0"/>
          </w:tcPr>
          <w:p w14:paraId="19EC57BF" w14:textId="5A5CED5A" w:rsidR="00156169" w:rsidRPr="00807D2E" w:rsidRDefault="00156169" w:rsidP="00D3615D">
            <w:pPr>
              <w:spacing w:before="40" w:after="120"/>
              <w:rPr>
                <w:rFonts w:ascii="Calibri" w:hAnsi="Calibri"/>
                <w:b/>
                <w:bCs/>
                <w:color w:val="BFBFBF"/>
              </w:rPr>
            </w:pPr>
            <w:r w:rsidRPr="00807D2E">
              <w:rPr>
                <w:rFonts w:ascii="Calibri" w:hAnsi="Calibri"/>
                <w:b/>
                <w:bCs/>
                <w:color w:val="FFFFFF"/>
              </w:rPr>
              <w:t>Additional comments</w:t>
            </w:r>
          </w:p>
        </w:tc>
      </w:tr>
      <w:tr w:rsidR="00156169" w:rsidRPr="00807D2E" w14:paraId="1EEB3BE0" w14:textId="77777777" w:rsidTr="00D3615D">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834ED" w14:textId="419DF73F" w:rsidR="00156169" w:rsidRPr="00807D2E" w:rsidRDefault="00156169" w:rsidP="00D3615D">
            <w:pPr>
              <w:spacing w:after="120"/>
              <w:rPr>
                <w:rFonts w:ascii="Calibri" w:hAnsi="Calibri"/>
                <w:color w:val="3F3F76"/>
              </w:rPr>
            </w:pPr>
            <w:r w:rsidRPr="00807D2E">
              <w:rPr>
                <w:rFonts w:ascii="Calibri" w:hAnsi="Calibri"/>
                <w:color w:val="3F3F76"/>
              </w:rPr>
              <w:t> </w:t>
            </w:r>
          </w:p>
        </w:tc>
        <w:tc>
          <w:tcPr>
            <w:tcW w:w="2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A13F9" w14:textId="77777777" w:rsidR="00156169" w:rsidRPr="00807D2E" w:rsidRDefault="00156169" w:rsidP="00D3615D">
            <w:pPr>
              <w:spacing w:after="120"/>
              <w:rPr>
                <w:rFonts w:ascii="Calibri" w:hAnsi="Calibri"/>
                <w:color w:val="000000"/>
              </w:rPr>
            </w:pPr>
          </w:p>
        </w:tc>
        <w:tc>
          <w:tcPr>
            <w:tcW w:w="2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D26A7" w14:textId="092239D5" w:rsidR="00156169" w:rsidRPr="00807D2E" w:rsidRDefault="00156169" w:rsidP="00D3615D">
            <w:pPr>
              <w:spacing w:after="120" w:line="276" w:lineRule="auto"/>
              <w:rPr>
                <w:rFonts w:ascii="Calibri" w:eastAsia="Calibri" w:hAnsi="Calibri"/>
              </w:rPr>
            </w:pPr>
            <w:r w:rsidRPr="00807D2E">
              <w:rPr>
                <w:rFonts w:ascii="Calibri" w:eastAsia="Calibri" w:hAnsi="Calibri"/>
              </w:rPr>
              <w:t> </w:t>
            </w:r>
          </w:p>
        </w:tc>
        <w:tc>
          <w:tcPr>
            <w:tcW w:w="2788" w:type="dxa"/>
            <w:tcBorders>
              <w:top w:val="single" w:sz="4" w:space="0" w:color="auto"/>
              <w:left w:val="single" w:sz="4" w:space="0" w:color="auto"/>
              <w:bottom w:val="single" w:sz="4" w:space="0" w:color="auto"/>
              <w:right w:val="single" w:sz="4" w:space="0" w:color="auto"/>
            </w:tcBorders>
            <w:vAlign w:val="center"/>
          </w:tcPr>
          <w:p w14:paraId="2DF09D6D" w14:textId="72AAA629" w:rsidR="00156169" w:rsidRPr="00807D2E" w:rsidRDefault="00156169" w:rsidP="00D3615D">
            <w:pPr>
              <w:spacing w:after="120"/>
              <w:rPr>
                <w:rFonts w:ascii="Calibri" w:hAnsi="Calibri"/>
                <w:b/>
                <w:bCs/>
                <w:color w:val="BFBFBF"/>
              </w:rPr>
            </w:pPr>
          </w:p>
        </w:tc>
      </w:tr>
      <w:tr w:rsidR="00156169" w:rsidRPr="00807D2E" w14:paraId="79E1EA34" w14:textId="77777777" w:rsidTr="00D3615D">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6DA09" w14:textId="77777777" w:rsidR="00156169" w:rsidRPr="00807D2E" w:rsidRDefault="00156169" w:rsidP="0015307E">
            <w:pPr>
              <w:spacing w:after="0"/>
              <w:rPr>
                <w:rFonts w:ascii="Calibri" w:hAnsi="Calibri"/>
                <w:b/>
                <w:color w:val="000000"/>
              </w:rPr>
            </w:pPr>
            <w:r w:rsidRPr="00807D2E">
              <w:rPr>
                <w:rFonts w:ascii="Calibri" w:hAnsi="Calibri"/>
                <w:b/>
                <w:color w:val="000000"/>
              </w:rPr>
              <w:t>Total Non-</w:t>
            </w:r>
            <w:r>
              <w:rPr>
                <w:rFonts w:ascii="Calibri" w:hAnsi="Calibri"/>
                <w:b/>
                <w:color w:val="000000"/>
              </w:rPr>
              <w:t>S</w:t>
            </w:r>
            <w:r w:rsidRPr="00807D2E">
              <w:rPr>
                <w:rFonts w:ascii="Calibri" w:hAnsi="Calibri"/>
                <w:b/>
                <w:color w:val="000000"/>
              </w:rPr>
              <w:t>tandard Risk Requirement</w:t>
            </w:r>
          </w:p>
        </w:tc>
        <w:tc>
          <w:tcPr>
            <w:tcW w:w="2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76E2C" w14:textId="77777777" w:rsidR="00156169" w:rsidRPr="00807D2E" w:rsidRDefault="00156169" w:rsidP="00D3615D">
            <w:pPr>
              <w:spacing w:after="120" w:line="276" w:lineRule="auto"/>
              <w:rPr>
                <w:rFonts w:ascii="Calibri" w:eastAsia="Calibri" w:hAnsi="Calibri"/>
                <w:b/>
              </w:rPr>
            </w:pPr>
          </w:p>
        </w:tc>
        <w:tc>
          <w:tcPr>
            <w:tcW w:w="2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A8531" w14:textId="77777777" w:rsidR="00156169" w:rsidRPr="00807D2E" w:rsidRDefault="00156169" w:rsidP="00D3615D">
            <w:pPr>
              <w:spacing w:after="120"/>
              <w:rPr>
                <w:rFonts w:ascii="Calibri" w:hAnsi="Calibri"/>
                <w:color w:val="000000"/>
              </w:rPr>
            </w:pPr>
            <w:r w:rsidRPr="00807D2E">
              <w:rPr>
                <w:rFonts w:ascii="Calibri" w:hAnsi="Calibri"/>
                <w:color w:val="000000"/>
              </w:rPr>
              <w:t> </w:t>
            </w:r>
          </w:p>
        </w:tc>
        <w:tc>
          <w:tcPr>
            <w:tcW w:w="2788" w:type="dxa"/>
            <w:tcBorders>
              <w:top w:val="single" w:sz="4" w:space="0" w:color="auto"/>
              <w:left w:val="single" w:sz="4" w:space="0" w:color="auto"/>
              <w:bottom w:val="single" w:sz="4" w:space="0" w:color="auto"/>
              <w:right w:val="single" w:sz="4" w:space="0" w:color="auto"/>
            </w:tcBorders>
            <w:vAlign w:val="center"/>
          </w:tcPr>
          <w:p w14:paraId="0844A8A2" w14:textId="77777777" w:rsidR="00156169" w:rsidRPr="00807D2E" w:rsidRDefault="00156169" w:rsidP="00D3615D">
            <w:pPr>
              <w:spacing w:after="120"/>
              <w:rPr>
                <w:rFonts w:ascii="Calibri" w:hAnsi="Calibri"/>
                <w:b/>
                <w:bCs/>
                <w:color w:val="BFBFBF"/>
              </w:rPr>
            </w:pPr>
          </w:p>
        </w:tc>
      </w:tr>
    </w:tbl>
    <w:p w14:paraId="3CDDC34D" w14:textId="77777777" w:rsidR="00D73991" w:rsidRPr="00D3615D" w:rsidRDefault="00D73991" w:rsidP="00D3615D">
      <w:pPr>
        <w:spacing w:after="0"/>
        <w:rPr>
          <w:rFonts w:ascii="Calibri" w:hAnsi="Calibri"/>
          <w:color w:val="000000"/>
          <w:sz w:val="16"/>
          <w:szCs w:val="16"/>
        </w:rPr>
      </w:pPr>
    </w:p>
    <w:p w14:paraId="7FD5F2DC" w14:textId="02A653F7" w:rsidR="003C08E2" w:rsidRPr="001A4322" w:rsidRDefault="003C08E2" w:rsidP="001A4322">
      <w:pPr>
        <w:pStyle w:val="ListParagraph"/>
        <w:numPr>
          <w:ilvl w:val="0"/>
          <w:numId w:val="76"/>
        </w:numPr>
        <w:spacing w:after="200" w:line="276" w:lineRule="auto"/>
        <w:rPr>
          <w:rFonts w:ascii="Calibri" w:hAnsi="Calibri"/>
          <w:color w:val="000000"/>
          <w:sz w:val="24"/>
          <w:szCs w:val="24"/>
        </w:rPr>
      </w:pPr>
      <w:r>
        <w:rPr>
          <w:rFonts w:ascii="Calibri" w:hAnsi="Calibri"/>
          <w:color w:val="000000"/>
          <w:sz w:val="24"/>
          <w:szCs w:val="24"/>
        </w:rPr>
        <w:t>You must disclose the ‘Risk Amount’ or exposure in AUD equivalent</w:t>
      </w:r>
      <w:r w:rsidR="00236DAA">
        <w:rPr>
          <w:rFonts w:ascii="Calibri" w:hAnsi="Calibri"/>
          <w:color w:val="000000"/>
          <w:sz w:val="24"/>
          <w:szCs w:val="24"/>
        </w:rPr>
        <w:t>.</w:t>
      </w:r>
    </w:p>
    <w:p w14:paraId="482C4B88" w14:textId="1CDD1577" w:rsidR="00156169" w:rsidRPr="001A4322" w:rsidRDefault="0055433D" w:rsidP="001A4322">
      <w:pPr>
        <w:pStyle w:val="ListParagraph"/>
        <w:numPr>
          <w:ilvl w:val="0"/>
          <w:numId w:val="76"/>
        </w:numPr>
        <w:spacing w:after="200" w:line="276" w:lineRule="auto"/>
        <w:rPr>
          <w:rFonts w:ascii="Calibri" w:hAnsi="Calibri"/>
          <w:color w:val="000000"/>
          <w:sz w:val="24"/>
          <w:szCs w:val="24"/>
        </w:rPr>
      </w:pPr>
      <w:r>
        <w:rPr>
          <w:rFonts w:ascii="Calibri" w:hAnsi="Calibri"/>
          <w:color w:val="000000"/>
          <w:sz w:val="24"/>
          <w:szCs w:val="24"/>
        </w:rPr>
        <w:t xml:space="preserve">Use </w:t>
      </w:r>
      <w:r w:rsidR="003C08E2">
        <w:rPr>
          <w:rFonts w:ascii="Calibri" w:hAnsi="Calibri"/>
          <w:color w:val="000000"/>
          <w:sz w:val="24"/>
          <w:szCs w:val="24"/>
        </w:rPr>
        <w:t xml:space="preserve">the </w:t>
      </w:r>
      <w:r>
        <w:rPr>
          <w:rFonts w:ascii="Calibri" w:hAnsi="Calibri"/>
          <w:color w:val="000000"/>
          <w:sz w:val="24"/>
          <w:szCs w:val="24"/>
        </w:rPr>
        <w:t>additional comment box to provide details on the exposure including whether the exposure is in another currency.</w:t>
      </w:r>
    </w:p>
    <w:p w14:paraId="31C4F60E" w14:textId="791FDD5A" w:rsidR="003A1BE7" w:rsidRPr="00930407" w:rsidRDefault="003A1BE7" w:rsidP="00D3615D">
      <w:pPr>
        <w:spacing w:before="480" w:after="120"/>
        <w:outlineLvl w:val="3"/>
        <w:rPr>
          <w:rFonts w:ascii="Calibri" w:hAnsi="Calibri"/>
          <w:b/>
          <w:bCs/>
          <w:color w:val="0070C0"/>
          <w:sz w:val="32"/>
          <w:szCs w:val="32"/>
        </w:rPr>
      </w:pPr>
      <w:r w:rsidRPr="00930407">
        <w:rPr>
          <w:rFonts w:ascii="Calibri" w:hAnsi="Calibri"/>
          <w:b/>
          <w:bCs/>
          <w:color w:val="0070C0"/>
          <w:sz w:val="32"/>
          <w:szCs w:val="32"/>
        </w:rPr>
        <w:t>Operational Risk Requirement</w:t>
      </w:r>
    </w:p>
    <w:tbl>
      <w:tblPr>
        <w:tblStyle w:val="TableGrid6"/>
        <w:tblW w:w="0" w:type="auto"/>
        <w:tblLook w:val="04A0" w:firstRow="1" w:lastRow="0" w:firstColumn="1" w:lastColumn="0" w:noHBand="0" w:noVBand="1"/>
      </w:tblPr>
      <w:tblGrid>
        <w:gridCol w:w="6052"/>
        <w:gridCol w:w="3949"/>
        <w:gridCol w:w="3949"/>
      </w:tblGrid>
      <w:tr w:rsidR="00320099" w:rsidRPr="00807D2E" w14:paraId="58C07996" w14:textId="77777777" w:rsidTr="00D3615D">
        <w:trPr>
          <w:trHeight w:val="528"/>
        </w:trPr>
        <w:tc>
          <w:tcPr>
            <w:tcW w:w="633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65BB583" w14:textId="77777777" w:rsidR="00320099" w:rsidRPr="00807D2E" w:rsidRDefault="00320099" w:rsidP="00D3615D">
            <w:pPr>
              <w:spacing w:before="40" w:after="120"/>
              <w:rPr>
                <w:rFonts w:ascii="Calibri" w:eastAsia="Calibri" w:hAnsi="Calibri" w:cs="Times New Roman"/>
                <w:b/>
                <w:color w:val="FFFFFF"/>
                <w:lang w:val="en" w:eastAsia="en-AU"/>
              </w:rPr>
            </w:pPr>
            <w:r w:rsidRPr="00807D2E">
              <w:rPr>
                <w:rFonts w:ascii="Calibri" w:eastAsia="Calibri" w:hAnsi="Calibri" w:cs="Times New Roman"/>
                <w:b/>
                <w:color w:val="FFFFFF"/>
                <w:lang w:val="en" w:eastAsia="en-AU"/>
              </w:rPr>
              <w:t>Minimum amount</w:t>
            </w:r>
          </w:p>
        </w:tc>
        <w:tc>
          <w:tcPr>
            <w:tcW w:w="4176" w:type="dxa"/>
            <w:tcBorders>
              <w:top w:val="single" w:sz="4" w:space="0" w:color="auto"/>
              <w:left w:val="single" w:sz="4" w:space="0" w:color="auto"/>
              <w:bottom w:val="single" w:sz="4" w:space="0" w:color="auto"/>
              <w:right w:val="single" w:sz="4" w:space="0" w:color="auto"/>
            </w:tcBorders>
            <w:vAlign w:val="center"/>
            <w:hideMark/>
          </w:tcPr>
          <w:p w14:paraId="374F59E0" w14:textId="77777777" w:rsidR="00320099" w:rsidRPr="00807D2E" w:rsidRDefault="00320099" w:rsidP="00D3615D">
            <w:pPr>
              <w:spacing w:before="40" w:after="120"/>
              <w:rPr>
                <w:rFonts w:ascii="Calibri" w:eastAsia="Calibri" w:hAnsi="Calibri" w:cs="Times New Roman"/>
                <w:b/>
                <w:lang w:val="en" w:eastAsia="en-AU"/>
              </w:rPr>
            </w:pPr>
          </w:p>
        </w:tc>
        <w:tc>
          <w:tcPr>
            <w:tcW w:w="4176" w:type="dxa"/>
            <w:tcBorders>
              <w:top w:val="single" w:sz="4" w:space="0" w:color="auto"/>
              <w:left w:val="single" w:sz="4" w:space="0" w:color="auto"/>
              <w:bottom w:val="single" w:sz="4" w:space="0" w:color="auto"/>
              <w:right w:val="single" w:sz="4" w:space="0" w:color="auto"/>
            </w:tcBorders>
          </w:tcPr>
          <w:p w14:paraId="48D2C445" w14:textId="688D3FA8" w:rsidR="00320099" w:rsidRPr="00807D2E" w:rsidRDefault="00320099" w:rsidP="00D3615D">
            <w:pPr>
              <w:spacing w:before="40" w:after="120"/>
              <w:rPr>
                <w:rFonts w:ascii="Calibri" w:eastAsia="Calibri" w:hAnsi="Calibri" w:cs="Times New Roman"/>
                <w:b/>
                <w:lang w:val="en" w:eastAsia="en-AU"/>
              </w:rPr>
            </w:pPr>
          </w:p>
        </w:tc>
      </w:tr>
      <w:tr w:rsidR="00320099" w:rsidRPr="00807D2E" w14:paraId="746B19D1" w14:textId="77777777" w:rsidTr="00D3615D">
        <w:trPr>
          <w:trHeight w:val="553"/>
        </w:trPr>
        <w:tc>
          <w:tcPr>
            <w:tcW w:w="6332" w:type="dxa"/>
            <w:tcBorders>
              <w:top w:val="single" w:sz="4" w:space="0" w:color="auto"/>
              <w:left w:val="single" w:sz="4" w:space="0" w:color="auto"/>
              <w:bottom w:val="single" w:sz="4" w:space="0" w:color="auto"/>
              <w:right w:val="single" w:sz="4" w:space="0" w:color="auto"/>
            </w:tcBorders>
            <w:shd w:val="clear" w:color="auto" w:fill="0070C0"/>
            <w:vAlign w:val="center"/>
          </w:tcPr>
          <w:p w14:paraId="6B054642" w14:textId="0DD01089" w:rsidR="00320099" w:rsidRPr="00807D2E" w:rsidRDefault="00320099" w:rsidP="00D3615D">
            <w:pPr>
              <w:spacing w:before="40" w:after="120"/>
              <w:rPr>
                <w:rFonts w:ascii="Calibri" w:eastAsia="Calibri" w:hAnsi="Calibri" w:cs="Times New Roman"/>
                <w:b/>
                <w:color w:val="FFFFFF"/>
                <w:lang w:val="en" w:eastAsia="en-AU"/>
              </w:rPr>
            </w:pPr>
            <w:r w:rsidRPr="00807D2E">
              <w:rPr>
                <w:rFonts w:ascii="Calibri" w:eastAsia="Calibri" w:hAnsi="Calibri" w:cs="Times New Roman"/>
                <w:b/>
                <w:color w:val="FFFFFF"/>
                <w:lang w:val="en" w:eastAsia="en-AU"/>
              </w:rPr>
              <w:t xml:space="preserve">Add: </w:t>
            </w:r>
            <w:r w:rsidR="00B10248">
              <w:rPr>
                <w:rFonts w:ascii="Calibri" w:eastAsia="Calibri" w:hAnsi="Calibri" w:cs="Times New Roman"/>
                <w:b/>
                <w:color w:val="FFFFFF"/>
                <w:lang w:val="en" w:eastAsia="en-AU"/>
              </w:rPr>
              <w:t>V</w:t>
            </w:r>
            <w:r w:rsidRPr="00807D2E">
              <w:rPr>
                <w:rFonts w:ascii="Calibri" w:eastAsia="Calibri" w:hAnsi="Calibri" w:cs="Times New Roman"/>
                <w:b/>
                <w:color w:val="FFFFFF"/>
                <w:lang w:val="en" w:eastAsia="en-AU"/>
              </w:rPr>
              <w:t>ariable amount</w:t>
            </w:r>
          </w:p>
        </w:tc>
        <w:tc>
          <w:tcPr>
            <w:tcW w:w="4176" w:type="dxa"/>
            <w:tcBorders>
              <w:top w:val="single" w:sz="4" w:space="0" w:color="auto"/>
              <w:left w:val="single" w:sz="4" w:space="0" w:color="auto"/>
              <w:bottom w:val="single" w:sz="4" w:space="0" w:color="auto"/>
              <w:right w:val="single" w:sz="4" w:space="0" w:color="auto"/>
            </w:tcBorders>
            <w:vAlign w:val="center"/>
          </w:tcPr>
          <w:p w14:paraId="446538DA" w14:textId="77777777" w:rsidR="00320099" w:rsidRPr="00807D2E" w:rsidRDefault="00320099" w:rsidP="00D3615D">
            <w:pPr>
              <w:spacing w:after="120"/>
              <w:rPr>
                <w:rFonts w:ascii="Calibri" w:eastAsia="Calibri" w:hAnsi="Calibri" w:cs="Times New Roman"/>
                <w:b/>
                <w:lang w:val="en" w:eastAsia="en-AU"/>
              </w:rPr>
            </w:pPr>
          </w:p>
        </w:tc>
        <w:tc>
          <w:tcPr>
            <w:tcW w:w="4176" w:type="dxa"/>
            <w:tcBorders>
              <w:top w:val="single" w:sz="4" w:space="0" w:color="auto"/>
              <w:left w:val="single" w:sz="4" w:space="0" w:color="auto"/>
              <w:bottom w:val="single" w:sz="4" w:space="0" w:color="auto"/>
              <w:right w:val="single" w:sz="4" w:space="0" w:color="auto"/>
            </w:tcBorders>
          </w:tcPr>
          <w:p w14:paraId="7A42EC2B" w14:textId="77777777" w:rsidR="00320099" w:rsidRPr="00807D2E" w:rsidRDefault="00320099" w:rsidP="00D3615D">
            <w:pPr>
              <w:spacing w:after="120"/>
              <w:rPr>
                <w:rFonts w:ascii="Calibri" w:eastAsia="Calibri" w:hAnsi="Calibri" w:cs="Times New Roman"/>
              </w:rPr>
            </w:pPr>
          </w:p>
        </w:tc>
      </w:tr>
      <w:tr w:rsidR="00320099" w:rsidRPr="00807D2E" w14:paraId="134ADD88" w14:textId="77777777" w:rsidTr="00D3615D">
        <w:trPr>
          <w:trHeight w:val="553"/>
        </w:trPr>
        <w:tc>
          <w:tcPr>
            <w:tcW w:w="6332" w:type="dxa"/>
            <w:tcBorders>
              <w:top w:val="single" w:sz="4" w:space="0" w:color="auto"/>
              <w:left w:val="single" w:sz="4" w:space="0" w:color="auto"/>
              <w:bottom w:val="single" w:sz="4" w:space="0" w:color="auto"/>
              <w:right w:val="single" w:sz="4" w:space="0" w:color="auto"/>
            </w:tcBorders>
            <w:shd w:val="clear" w:color="auto" w:fill="0070C0"/>
            <w:vAlign w:val="center"/>
          </w:tcPr>
          <w:p w14:paraId="4BCA4BDB" w14:textId="77777777" w:rsidR="00320099" w:rsidRPr="00807D2E" w:rsidRDefault="00320099" w:rsidP="00D3615D">
            <w:pPr>
              <w:spacing w:after="120"/>
              <w:rPr>
                <w:rFonts w:ascii="Calibri" w:eastAsia="Calibri" w:hAnsi="Calibri" w:cs="Times New Roman"/>
                <w:b/>
                <w:color w:val="FFFFFF"/>
                <w:lang w:val="en" w:eastAsia="en-AU"/>
              </w:rPr>
            </w:pPr>
            <w:r w:rsidRPr="00807D2E">
              <w:rPr>
                <w:rFonts w:ascii="Calibri" w:eastAsia="Calibri" w:hAnsi="Calibri" w:cs="Times New Roman"/>
                <w:b/>
                <w:color w:val="FFFFFF"/>
                <w:lang w:val="en" w:eastAsia="en-AU"/>
              </w:rPr>
              <w:t>Counterparty Risk Requirement (a)</w:t>
            </w:r>
          </w:p>
        </w:tc>
        <w:tc>
          <w:tcPr>
            <w:tcW w:w="4176" w:type="dxa"/>
            <w:tcBorders>
              <w:top w:val="single" w:sz="4" w:space="0" w:color="auto"/>
              <w:left w:val="single" w:sz="4" w:space="0" w:color="auto"/>
              <w:bottom w:val="single" w:sz="4" w:space="0" w:color="auto"/>
              <w:right w:val="single" w:sz="4" w:space="0" w:color="auto"/>
            </w:tcBorders>
            <w:vAlign w:val="center"/>
          </w:tcPr>
          <w:p w14:paraId="10663275" w14:textId="0C2C0B10" w:rsidR="00320099" w:rsidRPr="00807D2E" w:rsidRDefault="00320099" w:rsidP="00D3615D">
            <w:pPr>
              <w:spacing w:after="120"/>
              <w:rPr>
                <w:rFonts w:ascii="Calibri" w:eastAsia="Calibri" w:hAnsi="Calibri" w:cs="Times New Roman"/>
                <w:b/>
                <w:lang w:val="en" w:eastAsia="en-AU"/>
              </w:rPr>
            </w:pPr>
          </w:p>
        </w:tc>
        <w:tc>
          <w:tcPr>
            <w:tcW w:w="4176" w:type="dxa"/>
            <w:tcBorders>
              <w:top w:val="single" w:sz="4" w:space="0" w:color="auto"/>
              <w:left w:val="single" w:sz="4" w:space="0" w:color="auto"/>
              <w:bottom w:val="single" w:sz="4" w:space="0" w:color="auto"/>
              <w:right w:val="single" w:sz="4" w:space="0" w:color="auto"/>
            </w:tcBorders>
          </w:tcPr>
          <w:p w14:paraId="3BAA6754" w14:textId="77777777" w:rsidR="00320099" w:rsidRPr="00807D2E" w:rsidRDefault="00320099" w:rsidP="00D3615D">
            <w:pPr>
              <w:spacing w:after="120"/>
              <w:rPr>
                <w:rFonts w:ascii="Calibri" w:eastAsia="Calibri" w:hAnsi="Calibri" w:cs="Times New Roman"/>
              </w:rPr>
            </w:pPr>
          </w:p>
        </w:tc>
      </w:tr>
      <w:tr w:rsidR="00320099" w:rsidRPr="00807D2E" w14:paraId="192F708A" w14:textId="77777777" w:rsidTr="00D3615D">
        <w:trPr>
          <w:trHeight w:val="558"/>
        </w:trPr>
        <w:tc>
          <w:tcPr>
            <w:tcW w:w="6332" w:type="dxa"/>
            <w:tcBorders>
              <w:top w:val="single" w:sz="4" w:space="0" w:color="auto"/>
              <w:left w:val="single" w:sz="4" w:space="0" w:color="auto"/>
              <w:bottom w:val="single" w:sz="4" w:space="0" w:color="auto"/>
              <w:right w:val="single" w:sz="4" w:space="0" w:color="auto"/>
            </w:tcBorders>
            <w:shd w:val="clear" w:color="auto" w:fill="0070C0"/>
            <w:vAlign w:val="center"/>
          </w:tcPr>
          <w:p w14:paraId="3A215FFB" w14:textId="77777777" w:rsidR="00320099" w:rsidRPr="00807D2E" w:rsidRDefault="00320099" w:rsidP="00D3615D">
            <w:pPr>
              <w:spacing w:after="120"/>
              <w:rPr>
                <w:rFonts w:ascii="Calibri" w:eastAsia="Calibri" w:hAnsi="Calibri" w:cs="Times New Roman"/>
                <w:b/>
                <w:color w:val="FFFFFF"/>
                <w:lang w:val="en" w:eastAsia="en-AU"/>
              </w:rPr>
            </w:pPr>
            <w:r w:rsidRPr="00807D2E">
              <w:rPr>
                <w:rFonts w:ascii="Calibri" w:eastAsia="Calibri" w:hAnsi="Calibri" w:cs="Times New Roman"/>
                <w:b/>
                <w:color w:val="FFFFFF"/>
                <w:lang w:val="en" w:eastAsia="en-AU"/>
              </w:rPr>
              <w:lastRenderedPageBreak/>
              <w:t>Position Risk Requirement (b)</w:t>
            </w:r>
          </w:p>
        </w:tc>
        <w:tc>
          <w:tcPr>
            <w:tcW w:w="4176" w:type="dxa"/>
            <w:tcBorders>
              <w:top w:val="single" w:sz="4" w:space="0" w:color="auto"/>
              <w:left w:val="single" w:sz="4" w:space="0" w:color="auto"/>
              <w:bottom w:val="single" w:sz="4" w:space="0" w:color="auto"/>
              <w:right w:val="single" w:sz="4" w:space="0" w:color="auto"/>
            </w:tcBorders>
            <w:vAlign w:val="center"/>
          </w:tcPr>
          <w:p w14:paraId="21A8B243" w14:textId="5B49079E" w:rsidR="00320099" w:rsidRPr="00807D2E" w:rsidRDefault="00320099" w:rsidP="00D3615D">
            <w:pPr>
              <w:spacing w:after="120"/>
              <w:rPr>
                <w:rFonts w:ascii="Calibri" w:eastAsia="Calibri" w:hAnsi="Calibri" w:cs="Times New Roman"/>
                <w:b/>
                <w:lang w:val="en" w:eastAsia="en-AU"/>
              </w:rPr>
            </w:pPr>
          </w:p>
        </w:tc>
        <w:tc>
          <w:tcPr>
            <w:tcW w:w="4176" w:type="dxa"/>
            <w:tcBorders>
              <w:top w:val="single" w:sz="4" w:space="0" w:color="auto"/>
              <w:left w:val="single" w:sz="4" w:space="0" w:color="auto"/>
              <w:bottom w:val="single" w:sz="4" w:space="0" w:color="auto"/>
              <w:right w:val="single" w:sz="4" w:space="0" w:color="auto"/>
            </w:tcBorders>
          </w:tcPr>
          <w:p w14:paraId="5FCB66B1" w14:textId="77777777" w:rsidR="00320099" w:rsidRPr="00807D2E" w:rsidRDefault="00320099" w:rsidP="00D3615D">
            <w:pPr>
              <w:spacing w:after="120"/>
              <w:rPr>
                <w:rFonts w:ascii="Calibri" w:eastAsia="Calibri" w:hAnsi="Calibri" w:cs="Times New Roman"/>
              </w:rPr>
            </w:pPr>
          </w:p>
        </w:tc>
      </w:tr>
      <w:tr w:rsidR="00320099" w:rsidRPr="00807D2E" w14:paraId="1067B958" w14:textId="77777777" w:rsidTr="00D3615D">
        <w:trPr>
          <w:trHeight w:val="552"/>
        </w:trPr>
        <w:tc>
          <w:tcPr>
            <w:tcW w:w="6332" w:type="dxa"/>
            <w:tcBorders>
              <w:top w:val="single" w:sz="4" w:space="0" w:color="auto"/>
              <w:left w:val="single" w:sz="4" w:space="0" w:color="auto"/>
              <w:bottom w:val="single" w:sz="4" w:space="0" w:color="auto"/>
              <w:right w:val="single" w:sz="4" w:space="0" w:color="auto"/>
            </w:tcBorders>
            <w:shd w:val="clear" w:color="auto" w:fill="0070C0"/>
            <w:vAlign w:val="center"/>
          </w:tcPr>
          <w:p w14:paraId="4BFD289C" w14:textId="77777777" w:rsidR="00320099" w:rsidRPr="00807D2E" w:rsidRDefault="00320099" w:rsidP="00D3615D">
            <w:pPr>
              <w:spacing w:after="120"/>
              <w:rPr>
                <w:rFonts w:ascii="Calibri" w:eastAsia="Calibri" w:hAnsi="Calibri" w:cs="Times New Roman"/>
                <w:b/>
                <w:color w:val="FFFFFF"/>
                <w:lang w:val="en" w:eastAsia="en-AU"/>
              </w:rPr>
            </w:pPr>
            <w:r w:rsidRPr="00807D2E">
              <w:rPr>
                <w:rFonts w:ascii="Calibri" w:eastAsia="Calibri" w:hAnsi="Calibri" w:cs="Times New Roman"/>
                <w:b/>
                <w:color w:val="FFFFFF"/>
                <w:lang w:val="en" w:eastAsia="en-AU"/>
              </w:rPr>
              <w:t>Underwriting and Sub Underwriting Risk Requirement (c)</w:t>
            </w:r>
          </w:p>
        </w:tc>
        <w:tc>
          <w:tcPr>
            <w:tcW w:w="4176" w:type="dxa"/>
            <w:tcBorders>
              <w:top w:val="single" w:sz="4" w:space="0" w:color="auto"/>
              <w:left w:val="single" w:sz="4" w:space="0" w:color="auto"/>
              <w:bottom w:val="single" w:sz="4" w:space="0" w:color="auto"/>
              <w:right w:val="single" w:sz="4" w:space="0" w:color="auto"/>
            </w:tcBorders>
            <w:vAlign w:val="center"/>
          </w:tcPr>
          <w:p w14:paraId="435C88CB" w14:textId="6D3C826E" w:rsidR="00320099" w:rsidRPr="00807D2E" w:rsidRDefault="00320099" w:rsidP="00D3615D">
            <w:pPr>
              <w:spacing w:after="120"/>
              <w:rPr>
                <w:rFonts w:ascii="Calibri" w:eastAsia="Calibri" w:hAnsi="Calibri" w:cs="Times New Roman"/>
                <w:b/>
                <w:lang w:val="en" w:eastAsia="en-AU"/>
              </w:rPr>
            </w:pPr>
            <w:r w:rsidRPr="00807D2E">
              <w:rPr>
                <w:rFonts w:ascii="Calibri" w:eastAsia="Calibri" w:hAnsi="Calibri" w:cs="Times New Roman"/>
                <w:b/>
                <w:bCs/>
                <w:i/>
                <w:iCs/>
                <w:color w:val="8064A2"/>
              </w:rPr>
              <w:t xml:space="preserve"> </w:t>
            </w:r>
          </w:p>
        </w:tc>
        <w:tc>
          <w:tcPr>
            <w:tcW w:w="4176" w:type="dxa"/>
            <w:tcBorders>
              <w:top w:val="single" w:sz="4" w:space="0" w:color="auto"/>
              <w:left w:val="single" w:sz="4" w:space="0" w:color="auto"/>
              <w:bottom w:val="single" w:sz="4" w:space="0" w:color="auto"/>
              <w:right w:val="single" w:sz="4" w:space="0" w:color="auto"/>
            </w:tcBorders>
          </w:tcPr>
          <w:p w14:paraId="4FF8A1E5" w14:textId="77777777" w:rsidR="00320099" w:rsidRPr="00807D2E" w:rsidRDefault="00320099" w:rsidP="00D3615D">
            <w:pPr>
              <w:spacing w:after="120"/>
              <w:rPr>
                <w:rFonts w:ascii="Calibri" w:eastAsia="Calibri" w:hAnsi="Calibri" w:cs="Times New Roman"/>
              </w:rPr>
            </w:pPr>
          </w:p>
        </w:tc>
      </w:tr>
      <w:tr w:rsidR="00320099" w:rsidRPr="00807D2E" w14:paraId="3E6EC3F3" w14:textId="77777777" w:rsidTr="00D3615D">
        <w:trPr>
          <w:trHeight w:val="560"/>
        </w:trPr>
        <w:tc>
          <w:tcPr>
            <w:tcW w:w="6332" w:type="dxa"/>
            <w:tcBorders>
              <w:top w:val="single" w:sz="4" w:space="0" w:color="auto"/>
              <w:left w:val="single" w:sz="4" w:space="0" w:color="auto"/>
              <w:bottom w:val="single" w:sz="4" w:space="0" w:color="auto"/>
              <w:right w:val="single" w:sz="4" w:space="0" w:color="auto"/>
            </w:tcBorders>
            <w:shd w:val="clear" w:color="auto" w:fill="0070C0"/>
            <w:vAlign w:val="center"/>
          </w:tcPr>
          <w:p w14:paraId="763E0EB3" w14:textId="77777777" w:rsidR="00320099" w:rsidRPr="00807D2E" w:rsidRDefault="00320099" w:rsidP="00D3615D">
            <w:pPr>
              <w:spacing w:after="120"/>
              <w:rPr>
                <w:rFonts w:ascii="Calibri" w:eastAsia="Calibri" w:hAnsi="Calibri" w:cs="Times New Roman"/>
                <w:b/>
                <w:color w:val="FFFFFF"/>
                <w:lang w:val="en" w:eastAsia="en-AU"/>
              </w:rPr>
            </w:pPr>
            <w:r w:rsidRPr="00807D2E">
              <w:rPr>
                <w:rFonts w:ascii="Calibri" w:eastAsia="Calibri" w:hAnsi="Calibri" w:cs="Times New Roman"/>
                <w:b/>
                <w:color w:val="FFFFFF"/>
                <w:lang w:val="en" w:eastAsia="en-AU"/>
              </w:rPr>
              <w:t>Subtotal = [(a) +(b)+(c)] * 8%</w:t>
            </w:r>
          </w:p>
        </w:tc>
        <w:tc>
          <w:tcPr>
            <w:tcW w:w="4176" w:type="dxa"/>
            <w:tcBorders>
              <w:top w:val="single" w:sz="4" w:space="0" w:color="auto"/>
              <w:left w:val="single" w:sz="4" w:space="0" w:color="auto"/>
              <w:bottom w:val="single" w:sz="4" w:space="0" w:color="auto"/>
              <w:right w:val="single" w:sz="4" w:space="0" w:color="auto"/>
            </w:tcBorders>
            <w:vAlign w:val="center"/>
          </w:tcPr>
          <w:p w14:paraId="45C6EFE6" w14:textId="77777777" w:rsidR="00320099" w:rsidRPr="00807D2E" w:rsidRDefault="00320099" w:rsidP="00D3615D">
            <w:pPr>
              <w:spacing w:after="120"/>
              <w:rPr>
                <w:rFonts w:ascii="Calibri" w:eastAsia="Calibri" w:hAnsi="Calibri" w:cs="Times New Roman"/>
                <w:b/>
                <w:lang w:val="en" w:eastAsia="en-AU"/>
              </w:rPr>
            </w:pPr>
            <w:r w:rsidRPr="00807D2E">
              <w:rPr>
                <w:rFonts w:ascii="Calibri" w:eastAsia="Calibri" w:hAnsi="Calibri" w:cs="Times New Roman"/>
                <w:b/>
                <w:bCs/>
                <w:i/>
                <w:iCs/>
                <w:color w:val="8064A2"/>
              </w:rPr>
              <w:t xml:space="preserve"> </w:t>
            </w:r>
          </w:p>
        </w:tc>
        <w:tc>
          <w:tcPr>
            <w:tcW w:w="4176" w:type="dxa"/>
            <w:tcBorders>
              <w:top w:val="single" w:sz="4" w:space="0" w:color="auto"/>
              <w:left w:val="single" w:sz="4" w:space="0" w:color="auto"/>
              <w:bottom w:val="single" w:sz="4" w:space="0" w:color="auto"/>
              <w:right w:val="single" w:sz="4" w:space="0" w:color="auto"/>
            </w:tcBorders>
          </w:tcPr>
          <w:p w14:paraId="79B20B77" w14:textId="13A483EB" w:rsidR="00320099" w:rsidRPr="00807D2E" w:rsidRDefault="00320099" w:rsidP="00D3615D">
            <w:pPr>
              <w:spacing w:after="120"/>
              <w:rPr>
                <w:rFonts w:ascii="Calibri" w:eastAsia="Calibri" w:hAnsi="Calibri" w:cs="Times New Roman"/>
              </w:rPr>
            </w:pPr>
            <w:r w:rsidRPr="00807D2E">
              <w:rPr>
                <w:rFonts w:ascii="Calibri" w:eastAsia="Calibri" w:hAnsi="Calibri" w:cs="Times New Roman"/>
                <w:b/>
                <w:bCs/>
                <w:i/>
                <w:iCs/>
                <w:color w:val="8064A2"/>
              </w:rPr>
              <w:t xml:space="preserve"> </w:t>
            </w:r>
          </w:p>
        </w:tc>
      </w:tr>
      <w:tr w:rsidR="00320099" w:rsidRPr="00807D2E" w14:paraId="6F297BB7" w14:textId="77777777" w:rsidTr="00D3615D">
        <w:trPr>
          <w:trHeight w:val="552"/>
        </w:trPr>
        <w:tc>
          <w:tcPr>
            <w:tcW w:w="6332" w:type="dxa"/>
            <w:tcBorders>
              <w:top w:val="single" w:sz="4" w:space="0" w:color="auto"/>
              <w:left w:val="single" w:sz="4" w:space="0" w:color="auto"/>
              <w:bottom w:val="single" w:sz="4" w:space="0" w:color="auto"/>
              <w:right w:val="single" w:sz="4" w:space="0" w:color="auto"/>
            </w:tcBorders>
            <w:shd w:val="clear" w:color="auto" w:fill="0070C0"/>
            <w:vAlign w:val="center"/>
          </w:tcPr>
          <w:p w14:paraId="3A601486" w14:textId="77777777" w:rsidR="00320099" w:rsidRPr="00807D2E" w:rsidRDefault="00320099" w:rsidP="00D3615D">
            <w:pPr>
              <w:spacing w:after="120"/>
              <w:rPr>
                <w:rFonts w:ascii="Calibri" w:eastAsia="Calibri" w:hAnsi="Calibri" w:cs="Times New Roman"/>
                <w:b/>
                <w:color w:val="FFFFFF"/>
                <w:lang w:val="en" w:eastAsia="en-AU"/>
              </w:rPr>
            </w:pPr>
            <w:r w:rsidRPr="00807D2E">
              <w:rPr>
                <w:rFonts w:ascii="Calibri" w:eastAsia="Calibri" w:hAnsi="Calibri" w:cs="Times New Roman"/>
                <w:b/>
                <w:color w:val="FFFFFF"/>
                <w:lang w:val="en" w:eastAsia="en-AU"/>
              </w:rPr>
              <w:t>Total Operational Risk</w:t>
            </w:r>
            <w:r>
              <w:rPr>
                <w:rFonts w:ascii="Calibri" w:eastAsia="Calibri" w:hAnsi="Calibri" w:cs="Times New Roman"/>
                <w:b/>
                <w:color w:val="FFFFFF"/>
                <w:lang w:val="en" w:eastAsia="en-AU"/>
              </w:rPr>
              <w:t xml:space="preserve"> Requirement</w:t>
            </w:r>
          </w:p>
        </w:tc>
        <w:tc>
          <w:tcPr>
            <w:tcW w:w="4176" w:type="dxa"/>
            <w:tcBorders>
              <w:top w:val="single" w:sz="4" w:space="0" w:color="auto"/>
              <w:left w:val="single" w:sz="4" w:space="0" w:color="auto"/>
              <w:bottom w:val="single" w:sz="4" w:space="0" w:color="auto"/>
              <w:right w:val="single" w:sz="4" w:space="0" w:color="auto"/>
            </w:tcBorders>
            <w:vAlign w:val="center"/>
          </w:tcPr>
          <w:p w14:paraId="13002AF4" w14:textId="77777777" w:rsidR="00320099" w:rsidRPr="00807D2E" w:rsidRDefault="00320099" w:rsidP="00D3615D">
            <w:pPr>
              <w:spacing w:after="120"/>
              <w:rPr>
                <w:rFonts w:ascii="Calibri" w:eastAsia="Calibri" w:hAnsi="Calibri" w:cs="Times New Roman"/>
                <w:b/>
                <w:lang w:val="en" w:eastAsia="en-AU"/>
              </w:rPr>
            </w:pPr>
          </w:p>
        </w:tc>
        <w:tc>
          <w:tcPr>
            <w:tcW w:w="4176" w:type="dxa"/>
            <w:tcBorders>
              <w:top w:val="single" w:sz="4" w:space="0" w:color="auto"/>
              <w:left w:val="single" w:sz="4" w:space="0" w:color="auto"/>
              <w:bottom w:val="single" w:sz="4" w:space="0" w:color="auto"/>
              <w:right w:val="single" w:sz="4" w:space="0" w:color="auto"/>
            </w:tcBorders>
          </w:tcPr>
          <w:p w14:paraId="2EBBA158" w14:textId="1E00FFAE" w:rsidR="00320099" w:rsidRPr="00807D2E" w:rsidRDefault="00320099" w:rsidP="00D3615D">
            <w:pPr>
              <w:spacing w:after="120"/>
              <w:rPr>
                <w:rFonts w:ascii="Calibri" w:eastAsia="Calibri" w:hAnsi="Calibri" w:cs="Times New Roman"/>
              </w:rPr>
            </w:pPr>
          </w:p>
        </w:tc>
      </w:tr>
    </w:tbl>
    <w:p w14:paraId="47935049" w14:textId="3C7D5CCA" w:rsidR="003A1BE7" w:rsidRPr="00930407" w:rsidRDefault="007527AD" w:rsidP="00D3615D">
      <w:pPr>
        <w:spacing w:before="480" w:after="120"/>
        <w:outlineLvl w:val="3"/>
        <w:rPr>
          <w:rFonts w:ascii="Calibri" w:hAnsi="Calibri"/>
          <w:b/>
          <w:bCs/>
          <w:color w:val="0070C0"/>
          <w:sz w:val="32"/>
          <w:szCs w:val="32"/>
        </w:rPr>
      </w:pPr>
      <w:r>
        <w:rPr>
          <w:rFonts w:ascii="Calibri" w:hAnsi="Calibri"/>
          <w:b/>
          <w:bCs/>
          <w:color w:val="0070C0"/>
          <w:sz w:val="32"/>
          <w:szCs w:val="32"/>
        </w:rPr>
        <w:t>Income Statement</w:t>
      </w:r>
    </w:p>
    <w:p w14:paraId="6C9A4DCE" w14:textId="45BBCEB7" w:rsidR="00320099" w:rsidRDefault="0091670F" w:rsidP="00D3615D">
      <w:pPr>
        <w:keepNext/>
        <w:spacing w:before="240" w:after="0"/>
        <w:outlineLvl w:val="3"/>
        <w:rPr>
          <w:rFonts w:ascii="Calibri" w:hAnsi="Calibri" w:cs="Helvetica"/>
          <w:b/>
          <w:sz w:val="24"/>
          <w:szCs w:val="24"/>
          <w:lang w:val="en"/>
        </w:rPr>
      </w:pPr>
      <w:r w:rsidRPr="00930407">
        <w:rPr>
          <w:rFonts w:ascii="Calibri" w:hAnsi="Calibri" w:cs="Helvetica"/>
          <w:b/>
          <w:sz w:val="24"/>
          <w:szCs w:val="24"/>
          <w:lang w:val="en"/>
        </w:rPr>
        <w:t>Revenue</w:t>
      </w:r>
    </w:p>
    <w:p w14:paraId="1138A919" w14:textId="77777777" w:rsidR="00B10248" w:rsidRPr="00B22F71" w:rsidRDefault="00B10248" w:rsidP="00D3615D">
      <w:pPr>
        <w:spacing w:after="120"/>
        <w:outlineLvl w:val="3"/>
        <w:rPr>
          <w:rFonts w:ascii="Calibri" w:hAnsi="Calibri" w:cs="Helvetica"/>
          <w:szCs w:val="22"/>
          <w:lang w:val="en"/>
        </w:rPr>
      </w:pPr>
      <w:r w:rsidRPr="00B22F71">
        <w:rPr>
          <w:rFonts w:ascii="Calibri" w:hAnsi="Calibri" w:cs="Helvetica"/>
          <w:szCs w:val="22"/>
          <w:lang w:val="en"/>
        </w:rPr>
        <w:t>Insert year to date amounts</w:t>
      </w:r>
    </w:p>
    <w:tbl>
      <w:tblPr>
        <w:tblStyle w:val="TableGrid8"/>
        <w:tblW w:w="10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9"/>
        <w:gridCol w:w="3534"/>
        <w:gridCol w:w="3534"/>
      </w:tblGrid>
      <w:tr w:rsidR="0091670F" w:rsidRPr="00FB7590" w14:paraId="465BEB16" w14:textId="77777777" w:rsidTr="00930407">
        <w:trPr>
          <w:trHeight w:val="258"/>
        </w:trPr>
        <w:tc>
          <w:tcPr>
            <w:tcW w:w="3799" w:type="dxa"/>
            <w:tcBorders>
              <w:top w:val="single" w:sz="4" w:space="0" w:color="auto"/>
              <w:left w:val="single" w:sz="4" w:space="0" w:color="auto"/>
              <w:bottom w:val="single" w:sz="4" w:space="0" w:color="auto"/>
              <w:right w:val="single" w:sz="4" w:space="0" w:color="auto"/>
            </w:tcBorders>
            <w:shd w:val="clear" w:color="auto" w:fill="0070C0"/>
          </w:tcPr>
          <w:p w14:paraId="78F4FBFC" w14:textId="77777777" w:rsidR="0091670F" w:rsidRPr="00FB7590" w:rsidRDefault="0091670F" w:rsidP="00D3615D">
            <w:pPr>
              <w:spacing w:before="40" w:after="120"/>
              <w:rPr>
                <w:rFonts w:ascii="Calibri" w:eastAsia="Calibri" w:hAnsi="Calibri" w:cs="Times New Roman"/>
                <w:b/>
                <w:color w:val="FFFFFF"/>
                <w:lang w:val="en" w:eastAsia="en-AU"/>
              </w:rPr>
            </w:pPr>
          </w:p>
        </w:tc>
        <w:tc>
          <w:tcPr>
            <w:tcW w:w="3534" w:type="dxa"/>
            <w:tcBorders>
              <w:top w:val="single" w:sz="4" w:space="0" w:color="auto"/>
              <w:left w:val="single" w:sz="4" w:space="0" w:color="auto"/>
              <w:bottom w:val="single" w:sz="4" w:space="0" w:color="auto"/>
              <w:right w:val="single" w:sz="4" w:space="0" w:color="auto"/>
            </w:tcBorders>
            <w:shd w:val="clear" w:color="auto" w:fill="0070C0"/>
          </w:tcPr>
          <w:p w14:paraId="6973EC14" w14:textId="77777777" w:rsidR="0091670F" w:rsidRPr="00FB7590" w:rsidRDefault="0091670F" w:rsidP="00D3615D">
            <w:pPr>
              <w:spacing w:before="40" w:after="120"/>
              <w:rPr>
                <w:rFonts w:ascii="Calibri" w:eastAsia="Calibri" w:hAnsi="Calibri" w:cs="Times New Roman"/>
                <w:color w:val="FFFFFF"/>
                <w:lang w:val="en" w:eastAsia="en-AU"/>
              </w:rPr>
            </w:pPr>
            <w:r w:rsidRPr="00FB7590">
              <w:rPr>
                <w:rFonts w:ascii="Calibri" w:eastAsia="Calibri" w:hAnsi="Calibri" w:cs="Times New Roman"/>
                <w:b/>
                <w:color w:val="FFFFFF"/>
                <w:lang w:val="en" w:eastAsia="en-AU"/>
              </w:rPr>
              <w:t>Current</w:t>
            </w:r>
          </w:p>
        </w:tc>
        <w:tc>
          <w:tcPr>
            <w:tcW w:w="3534" w:type="dxa"/>
            <w:tcBorders>
              <w:top w:val="single" w:sz="4" w:space="0" w:color="auto"/>
              <w:left w:val="single" w:sz="4" w:space="0" w:color="auto"/>
              <w:bottom w:val="single" w:sz="4" w:space="0" w:color="auto"/>
              <w:right w:val="single" w:sz="4" w:space="0" w:color="auto"/>
            </w:tcBorders>
            <w:shd w:val="clear" w:color="auto" w:fill="0070C0"/>
          </w:tcPr>
          <w:p w14:paraId="1F34AD16" w14:textId="2BFE0585" w:rsidR="0091670F" w:rsidRPr="00FB7590" w:rsidRDefault="0091670F" w:rsidP="00D3615D">
            <w:pPr>
              <w:spacing w:before="40" w:after="120"/>
              <w:rPr>
                <w:rFonts w:ascii="Calibri" w:eastAsia="Calibri" w:hAnsi="Calibri" w:cs="Times New Roman"/>
                <w:color w:val="FFFFFF"/>
                <w:lang w:val="en" w:eastAsia="en-AU"/>
              </w:rPr>
            </w:pPr>
            <w:r w:rsidRPr="00FB7590">
              <w:rPr>
                <w:rFonts w:ascii="Calibri" w:eastAsia="Calibri" w:hAnsi="Calibri" w:cs="Times New Roman"/>
                <w:b/>
                <w:color w:val="FFFFFF"/>
                <w:lang w:val="en" w:eastAsia="en-AU"/>
              </w:rPr>
              <w:t>Prior</w:t>
            </w:r>
            <w:r w:rsidR="00135CC1">
              <w:rPr>
                <w:rFonts w:ascii="Calibri" w:eastAsia="Calibri" w:hAnsi="Calibri" w:cs="Times New Roman"/>
                <w:b/>
                <w:color w:val="FFFFFF"/>
                <w:lang w:val="en" w:eastAsia="en-AU"/>
              </w:rPr>
              <w:t>*</w:t>
            </w:r>
          </w:p>
        </w:tc>
      </w:tr>
      <w:tr w:rsidR="0091670F" w:rsidRPr="00FB7590" w14:paraId="575BE503" w14:textId="77777777" w:rsidTr="00930407">
        <w:trPr>
          <w:trHeight w:val="568"/>
        </w:trPr>
        <w:tc>
          <w:tcPr>
            <w:tcW w:w="3799" w:type="dxa"/>
            <w:tcBorders>
              <w:top w:val="single" w:sz="4" w:space="0" w:color="auto"/>
              <w:left w:val="single" w:sz="4" w:space="0" w:color="auto"/>
              <w:bottom w:val="single" w:sz="4" w:space="0" w:color="auto"/>
              <w:right w:val="single" w:sz="4" w:space="0" w:color="auto"/>
            </w:tcBorders>
          </w:tcPr>
          <w:p w14:paraId="4F567E03" w14:textId="77777777" w:rsidR="0091670F" w:rsidRPr="00FB7590" w:rsidRDefault="0091670F" w:rsidP="00D3615D">
            <w:pPr>
              <w:spacing w:after="120"/>
              <w:rPr>
                <w:rFonts w:ascii="Calibri" w:eastAsia="Calibri" w:hAnsi="Calibri" w:cs="Times New Roman"/>
                <w:lang w:val="en" w:eastAsia="en-AU"/>
              </w:rPr>
            </w:pPr>
            <w:r w:rsidRPr="00FB7590">
              <w:rPr>
                <w:rFonts w:ascii="Calibri" w:eastAsia="Calibri" w:hAnsi="Calibri" w:cs="Times New Roman"/>
                <w:lang w:val="en" w:eastAsia="en-AU"/>
              </w:rPr>
              <w:t>Profits (Losses) from trading in securities/derivatives: Realised</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442D1CD2" w14:textId="086D952F" w:rsidR="0091670F" w:rsidRPr="00FB7590" w:rsidRDefault="0091670F" w:rsidP="00D3615D">
            <w:pPr>
              <w:spacing w:after="120"/>
              <w:rPr>
                <w:rFonts w:ascii="Calibri" w:eastAsia="Calibri" w:hAnsi="Calibri" w:cs="Times New Roman"/>
                <w:lang w:val="en" w:eastAsia="en-AU"/>
              </w:rPr>
            </w:pP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11B77511" w14:textId="35E40A58" w:rsidR="0091670F" w:rsidRPr="00FB7590" w:rsidRDefault="0091670F" w:rsidP="00D3615D">
            <w:pPr>
              <w:spacing w:after="120"/>
              <w:rPr>
                <w:rFonts w:ascii="Calibri" w:eastAsia="Calibri" w:hAnsi="Calibri" w:cs="Times New Roman"/>
                <w:lang w:val="en" w:eastAsia="en-AU"/>
              </w:rPr>
            </w:pPr>
          </w:p>
        </w:tc>
      </w:tr>
      <w:tr w:rsidR="0091670F" w:rsidRPr="00FB7590" w14:paraId="298DCD33" w14:textId="77777777" w:rsidTr="00930407">
        <w:trPr>
          <w:trHeight w:val="137"/>
        </w:trPr>
        <w:tc>
          <w:tcPr>
            <w:tcW w:w="3799" w:type="dxa"/>
            <w:tcBorders>
              <w:top w:val="single" w:sz="4" w:space="0" w:color="auto"/>
              <w:left w:val="single" w:sz="4" w:space="0" w:color="auto"/>
              <w:bottom w:val="single" w:sz="4" w:space="0" w:color="auto"/>
              <w:right w:val="single" w:sz="4" w:space="0" w:color="auto"/>
            </w:tcBorders>
          </w:tcPr>
          <w:p w14:paraId="7B6D91B5" w14:textId="77777777" w:rsidR="0091670F" w:rsidRPr="00FB7590" w:rsidRDefault="0091670F" w:rsidP="00D3615D">
            <w:pPr>
              <w:spacing w:after="120"/>
              <w:rPr>
                <w:rFonts w:ascii="Calibri" w:eastAsia="Calibri" w:hAnsi="Calibri" w:cs="Times New Roman"/>
                <w:lang w:val="en" w:eastAsia="en-AU"/>
              </w:rPr>
            </w:pPr>
            <w:r w:rsidRPr="00FB7590">
              <w:rPr>
                <w:rFonts w:ascii="Calibri" w:eastAsia="Calibri" w:hAnsi="Calibri" w:cs="Times New Roman"/>
                <w:lang w:val="en" w:eastAsia="en-AU"/>
              </w:rPr>
              <w:t>Unrealised</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357BC2FE" w14:textId="0F285A6D" w:rsidR="0091670F" w:rsidRPr="00FB7590" w:rsidRDefault="0091670F" w:rsidP="00D3615D">
            <w:pPr>
              <w:spacing w:after="120"/>
              <w:rPr>
                <w:rFonts w:ascii="Calibri" w:eastAsia="Calibri" w:hAnsi="Calibri" w:cs="Times New Roman"/>
                <w:lang w:val="en" w:eastAsia="en-AU"/>
              </w:rPr>
            </w:pP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67F45606" w14:textId="6F00DCED" w:rsidR="0091670F" w:rsidRPr="00FB7590" w:rsidRDefault="0091670F" w:rsidP="00D3615D">
            <w:pPr>
              <w:spacing w:after="120"/>
              <w:rPr>
                <w:rFonts w:ascii="Calibri" w:eastAsia="Calibri" w:hAnsi="Calibri" w:cs="Times New Roman"/>
                <w:lang w:val="en" w:eastAsia="en-AU"/>
              </w:rPr>
            </w:pPr>
          </w:p>
        </w:tc>
      </w:tr>
      <w:tr w:rsidR="0091670F" w:rsidRPr="00FB7590" w14:paraId="5FDE593D" w14:textId="77777777" w:rsidTr="00930407">
        <w:trPr>
          <w:trHeight w:val="141"/>
        </w:trPr>
        <w:tc>
          <w:tcPr>
            <w:tcW w:w="3799" w:type="dxa"/>
            <w:tcBorders>
              <w:top w:val="single" w:sz="4" w:space="0" w:color="auto"/>
              <w:left w:val="single" w:sz="4" w:space="0" w:color="auto"/>
              <w:bottom w:val="single" w:sz="4" w:space="0" w:color="auto"/>
              <w:right w:val="single" w:sz="4" w:space="0" w:color="auto"/>
            </w:tcBorders>
          </w:tcPr>
          <w:p w14:paraId="4005F20C" w14:textId="77777777" w:rsidR="0091670F" w:rsidRPr="00FB7590" w:rsidRDefault="0091670F" w:rsidP="00D3615D">
            <w:pPr>
              <w:spacing w:after="120"/>
              <w:rPr>
                <w:rFonts w:ascii="Calibri" w:eastAsia="Calibri" w:hAnsi="Calibri" w:cs="Times New Roman"/>
                <w:lang w:val="en" w:eastAsia="en-AU"/>
              </w:rPr>
            </w:pPr>
            <w:r w:rsidRPr="00FB7590">
              <w:rPr>
                <w:rFonts w:ascii="Calibri" w:eastAsia="Calibri" w:hAnsi="Calibri" w:cs="Times New Roman"/>
                <w:lang w:val="en" w:eastAsia="en-AU"/>
              </w:rPr>
              <w:t>Brokerage: Equities</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3F238C01" w14:textId="19A2AA21" w:rsidR="0091670F" w:rsidRPr="00FB7590" w:rsidRDefault="0091670F" w:rsidP="00D3615D">
            <w:pPr>
              <w:spacing w:after="120"/>
              <w:rPr>
                <w:rFonts w:ascii="Calibri" w:eastAsia="Calibri" w:hAnsi="Calibri" w:cs="Times New Roman"/>
                <w:lang w:val="en" w:eastAsia="en-AU"/>
              </w:rPr>
            </w:pP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51BECD71" w14:textId="1A21B17C" w:rsidR="0091670F" w:rsidRPr="00FB7590" w:rsidRDefault="0091670F" w:rsidP="00D3615D">
            <w:pPr>
              <w:spacing w:after="120"/>
              <w:rPr>
                <w:rFonts w:ascii="Calibri" w:eastAsia="Calibri" w:hAnsi="Calibri" w:cs="Times New Roman"/>
                <w:lang w:val="en" w:eastAsia="en-AU"/>
              </w:rPr>
            </w:pPr>
          </w:p>
        </w:tc>
      </w:tr>
      <w:tr w:rsidR="0091670F" w:rsidRPr="00FB7590" w14:paraId="7C090B99" w14:textId="77777777" w:rsidTr="00930407">
        <w:trPr>
          <w:trHeight w:val="159"/>
        </w:trPr>
        <w:tc>
          <w:tcPr>
            <w:tcW w:w="3799" w:type="dxa"/>
            <w:tcBorders>
              <w:top w:val="single" w:sz="4" w:space="0" w:color="auto"/>
              <w:left w:val="single" w:sz="4" w:space="0" w:color="auto"/>
              <w:bottom w:val="single" w:sz="4" w:space="0" w:color="auto"/>
              <w:right w:val="single" w:sz="4" w:space="0" w:color="auto"/>
            </w:tcBorders>
          </w:tcPr>
          <w:p w14:paraId="701270AB" w14:textId="77777777" w:rsidR="0091670F" w:rsidRPr="00FB7590" w:rsidRDefault="0091670F" w:rsidP="00D3615D">
            <w:pPr>
              <w:spacing w:after="120"/>
              <w:rPr>
                <w:rFonts w:ascii="Calibri" w:eastAsia="Calibri" w:hAnsi="Calibri" w:cs="Times New Roman"/>
                <w:lang w:val="en" w:eastAsia="en-AU"/>
              </w:rPr>
            </w:pPr>
            <w:r w:rsidRPr="00FB7590">
              <w:rPr>
                <w:rFonts w:ascii="Calibri" w:eastAsia="Calibri" w:hAnsi="Calibri" w:cs="Times New Roman"/>
                <w:lang w:val="en" w:eastAsia="en-AU"/>
              </w:rPr>
              <w:t>Warrants</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0E794576" w14:textId="217DA105" w:rsidR="0091670F" w:rsidRPr="00FB7590" w:rsidRDefault="0091670F" w:rsidP="00D3615D">
            <w:pPr>
              <w:spacing w:after="120"/>
              <w:rPr>
                <w:rFonts w:ascii="Calibri" w:eastAsia="Calibri" w:hAnsi="Calibri" w:cs="Times New Roman"/>
                <w:lang w:val="en" w:eastAsia="en-AU"/>
              </w:rPr>
            </w:pP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5D6A84BA" w14:textId="106583CA" w:rsidR="0091670F" w:rsidRPr="00FB7590" w:rsidRDefault="0091670F" w:rsidP="00D3615D">
            <w:pPr>
              <w:spacing w:after="120"/>
              <w:rPr>
                <w:rFonts w:ascii="Calibri" w:eastAsia="Calibri" w:hAnsi="Calibri" w:cs="Times New Roman"/>
                <w:lang w:val="en" w:eastAsia="en-AU"/>
              </w:rPr>
            </w:pPr>
          </w:p>
        </w:tc>
      </w:tr>
      <w:tr w:rsidR="0091670F" w:rsidRPr="00FB7590" w14:paraId="2AEAFA15" w14:textId="77777777" w:rsidTr="00930407">
        <w:trPr>
          <w:trHeight w:val="149"/>
        </w:trPr>
        <w:tc>
          <w:tcPr>
            <w:tcW w:w="3799" w:type="dxa"/>
            <w:tcBorders>
              <w:top w:val="single" w:sz="4" w:space="0" w:color="auto"/>
              <w:left w:val="single" w:sz="4" w:space="0" w:color="auto"/>
              <w:bottom w:val="single" w:sz="4" w:space="0" w:color="auto"/>
              <w:right w:val="single" w:sz="4" w:space="0" w:color="auto"/>
            </w:tcBorders>
          </w:tcPr>
          <w:p w14:paraId="020EEB5D" w14:textId="77777777" w:rsidR="0091670F" w:rsidRPr="00FB7590" w:rsidRDefault="0091670F" w:rsidP="00D3615D">
            <w:pPr>
              <w:spacing w:after="120"/>
              <w:rPr>
                <w:rFonts w:ascii="Calibri" w:eastAsia="Calibri" w:hAnsi="Calibri" w:cs="Times New Roman"/>
                <w:lang w:val="en" w:eastAsia="en-AU"/>
              </w:rPr>
            </w:pPr>
            <w:r w:rsidRPr="00FB7590">
              <w:rPr>
                <w:rFonts w:ascii="Calibri" w:eastAsia="Calibri" w:hAnsi="Calibri" w:cs="Times New Roman"/>
                <w:lang w:val="en" w:eastAsia="en-AU"/>
              </w:rPr>
              <w:t>Futures/Exchange Traded Options</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11680F27" w14:textId="1AC0A593" w:rsidR="0091670F" w:rsidRPr="00FB7590" w:rsidRDefault="0091670F" w:rsidP="00D3615D">
            <w:pPr>
              <w:spacing w:after="120"/>
              <w:rPr>
                <w:rFonts w:ascii="Calibri" w:eastAsia="Calibri" w:hAnsi="Calibri" w:cs="Times New Roman"/>
                <w:noProof/>
              </w:rPr>
            </w:pP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6019FFC5" w14:textId="6B96FEFA" w:rsidR="0091670F" w:rsidRPr="00FB7590" w:rsidRDefault="0091670F" w:rsidP="00D3615D">
            <w:pPr>
              <w:spacing w:after="120"/>
              <w:rPr>
                <w:rFonts w:ascii="Calibri" w:eastAsia="Calibri" w:hAnsi="Calibri" w:cs="Times New Roman"/>
                <w:lang w:val="en" w:eastAsia="en-AU"/>
              </w:rPr>
            </w:pPr>
          </w:p>
        </w:tc>
      </w:tr>
      <w:tr w:rsidR="0091670F" w:rsidRPr="00FB7590" w14:paraId="00F4A437" w14:textId="77777777" w:rsidTr="00930407">
        <w:trPr>
          <w:trHeight w:val="167"/>
        </w:trPr>
        <w:tc>
          <w:tcPr>
            <w:tcW w:w="3799" w:type="dxa"/>
            <w:tcBorders>
              <w:top w:val="single" w:sz="4" w:space="0" w:color="auto"/>
              <w:left w:val="single" w:sz="4" w:space="0" w:color="auto"/>
              <w:bottom w:val="single" w:sz="4" w:space="0" w:color="auto"/>
              <w:right w:val="single" w:sz="4" w:space="0" w:color="auto"/>
            </w:tcBorders>
          </w:tcPr>
          <w:p w14:paraId="1388CC4D" w14:textId="77777777" w:rsidR="0091670F" w:rsidRPr="00FB7590" w:rsidRDefault="0091670F" w:rsidP="00D3615D">
            <w:pPr>
              <w:spacing w:after="120"/>
              <w:rPr>
                <w:rFonts w:ascii="Calibri" w:eastAsia="Calibri" w:hAnsi="Calibri" w:cs="Times New Roman"/>
                <w:lang w:val="en" w:eastAsia="en-AU"/>
              </w:rPr>
            </w:pPr>
            <w:r w:rsidRPr="00FB7590">
              <w:rPr>
                <w:rFonts w:ascii="Calibri" w:eastAsia="Calibri" w:hAnsi="Calibri" w:cs="Times New Roman"/>
                <w:lang w:val="en" w:eastAsia="en-AU"/>
              </w:rPr>
              <w:t>Debt</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02126331" w14:textId="741EAC8C" w:rsidR="0091670F" w:rsidRPr="00FB7590" w:rsidRDefault="0091670F" w:rsidP="00D3615D">
            <w:pPr>
              <w:spacing w:after="120"/>
              <w:rPr>
                <w:rFonts w:ascii="Calibri" w:eastAsia="Calibri" w:hAnsi="Calibri" w:cs="Times New Roman"/>
                <w:noProof/>
              </w:rPr>
            </w:pP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167411A4" w14:textId="6B9CA97A" w:rsidR="0091670F" w:rsidRPr="00FB7590" w:rsidRDefault="0091670F" w:rsidP="00D3615D">
            <w:pPr>
              <w:spacing w:after="120"/>
              <w:rPr>
                <w:rFonts w:ascii="Calibri" w:eastAsia="Calibri" w:hAnsi="Calibri" w:cs="Times New Roman"/>
                <w:lang w:val="en" w:eastAsia="en-AU"/>
              </w:rPr>
            </w:pPr>
          </w:p>
        </w:tc>
      </w:tr>
      <w:tr w:rsidR="0091670F" w:rsidRPr="00FB7590" w14:paraId="5D8E1C62" w14:textId="77777777" w:rsidTr="00930407">
        <w:trPr>
          <w:trHeight w:val="70"/>
        </w:trPr>
        <w:tc>
          <w:tcPr>
            <w:tcW w:w="3799" w:type="dxa"/>
            <w:tcBorders>
              <w:top w:val="single" w:sz="4" w:space="0" w:color="auto"/>
              <w:left w:val="single" w:sz="4" w:space="0" w:color="auto"/>
              <w:bottom w:val="single" w:sz="4" w:space="0" w:color="auto"/>
              <w:right w:val="single" w:sz="4" w:space="0" w:color="auto"/>
            </w:tcBorders>
          </w:tcPr>
          <w:p w14:paraId="444C70ED" w14:textId="77777777" w:rsidR="0091670F" w:rsidRPr="00FB7590" w:rsidRDefault="0091670F" w:rsidP="00D3615D">
            <w:pPr>
              <w:spacing w:after="120"/>
              <w:rPr>
                <w:rFonts w:ascii="Calibri" w:eastAsia="Calibri" w:hAnsi="Calibri" w:cs="Times New Roman"/>
                <w:lang w:val="en" w:eastAsia="en-AU"/>
              </w:rPr>
            </w:pPr>
            <w:r w:rsidRPr="00FB7590">
              <w:rPr>
                <w:rFonts w:ascii="Calibri" w:eastAsia="Calibri" w:hAnsi="Calibri" w:cs="Times New Roman"/>
                <w:lang w:val="en" w:eastAsia="en-AU"/>
              </w:rPr>
              <w:t>Other</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43950E9D" w14:textId="23731853" w:rsidR="0091670F" w:rsidRPr="00FB7590" w:rsidRDefault="0091670F" w:rsidP="00D3615D">
            <w:pPr>
              <w:spacing w:after="120"/>
              <w:rPr>
                <w:rFonts w:ascii="Calibri" w:eastAsia="Calibri" w:hAnsi="Calibri" w:cs="Times New Roman"/>
                <w:noProof/>
              </w:rPr>
            </w:pP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485E6C29" w14:textId="57CE612E" w:rsidR="0091670F" w:rsidRPr="00FB7590" w:rsidRDefault="0091670F" w:rsidP="00D3615D">
            <w:pPr>
              <w:spacing w:after="120"/>
              <w:rPr>
                <w:rFonts w:ascii="Calibri" w:eastAsia="Calibri" w:hAnsi="Calibri" w:cs="Times New Roman"/>
                <w:lang w:val="en" w:eastAsia="en-AU"/>
              </w:rPr>
            </w:pPr>
          </w:p>
        </w:tc>
      </w:tr>
      <w:tr w:rsidR="0091670F" w:rsidRPr="00FB7590" w14:paraId="529D75ED" w14:textId="77777777" w:rsidTr="00930407">
        <w:trPr>
          <w:trHeight w:val="517"/>
        </w:trPr>
        <w:tc>
          <w:tcPr>
            <w:tcW w:w="3799" w:type="dxa"/>
            <w:tcBorders>
              <w:top w:val="single" w:sz="4" w:space="0" w:color="auto"/>
              <w:left w:val="single" w:sz="4" w:space="0" w:color="auto"/>
              <w:bottom w:val="single" w:sz="4" w:space="0" w:color="auto"/>
              <w:right w:val="single" w:sz="4" w:space="0" w:color="auto"/>
            </w:tcBorders>
          </w:tcPr>
          <w:p w14:paraId="2FE3C0FB" w14:textId="77777777" w:rsidR="0091670F" w:rsidRPr="00FB7590" w:rsidRDefault="0091670F" w:rsidP="00D3615D">
            <w:pPr>
              <w:spacing w:after="120"/>
              <w:rPr>
                <w:rFonts w:ascii="Calibri" w:eastAsia="Calibri" w:hAnsi="Calibri" w:cs="Times New Roman"/>
                <w:lang w:val="en" w:eastAsia="en-AU"/>
              </w:rPr>
            </w:pPr>
            <w:r w:rsidRPr="00FB7590">
              <w:rPr>
                <w:rFonts w:ascii="Calibri" w:eastAsia="Calibri" w:hAnsi="Calibri" w:cs="Times New Roman"/>
                <w:lang w:val="en" w:eastAsia="en-AU"/>
              </w:rPr>
              <w:t>Underwriting commission (less sub</w:t>
            </w:r>
            <w:r>
              <w:rPr>
                <w:rFonts w:ascii="Calibri" w:eastAsia="Calibri" w:hAnsi="Calibri" w:cs="Times New Roman"/>
                <w:lang w:val="en" w:eastAsia="en-AU"/>
              </w:rPr>
              <w:t xml:space="preserve"> </w:t>
            </w:r>
            <w:r w:rsidRPr="00FB7590">
              <w:rPr>
                <w:rFonts w:ascii="Calibri" w:eastAsia="Calibri" w:hAnsi="Calibri" w:cs="Times New Roman"/>
                <w:lang w:val="en" w:eastAsia="en-AU"/>
              </w:rPr>
              <w:t>underwriting commission paid)</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4F6F2DCE" w14:textId="67A4FD98" w:rsidR="0091670F" w:rsidRPr="00FB7590" w:rsidRDefault="0091670F" w:rsidP="00D3615D">
            <w:pPr>
              <w:spacing w:after="120"/>
              <w:rPr>
                <w:rFonts w:ascii="Calibri" w:eastAsia="Calibri" w:hAnsi="Calibri" w:cs="Times New Roman"/>
                <w:noProof/>
              </w:rPr>
            </w:pP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773D22C1" w14:textId="1178F03D" w:rsidR="0091670F" w:rsidRPr="00FB7590" w:rsidRDefault="0091670F" w:rsidP="00D3615D">
            <w:pPr>
              <w:spacing w:after="120"/>
              <w:rPr>
                <w:rFonts w:ascii="Calibri" w:eastAsia="Calibri" w:hAnsi="Calibri" w:cs="Times New Roman"/>
                <w:lang w:val="en" w:eastAsia="en-AU"/>
              </w:rPr>
            </w:pPr>
          </w:p>
        </w:tc>
      </w:tr>
      <w:tr w:rsidR="0091670F" w:rsidRPr="00FB7590" w14:paraId="53D7372D" w14:textId="77777777" w:rsidTr="00930407">
        <w:trPr>
          <w:trHeight w:val="183"/>
        </w:trPr>
        <w:tc>
          <w:tcPr>
            <w:tcW w:w="3799" w:type="dxa"/>
            <w:tcBorders>
              <w:top w:val="single" w:sz="4" w:space="0" w:color="auto"/>
              <w:left w:val="single" w:sz="4" w:space="0" w:color="auto"/>
              <w:bottom w:val="single" w:sz="4" w:space="0" w:color="auto"/>
              <w:right w:val="single" w:sz="4" w:space="0" w:color="auto"/>
            </w:tcBorders>
          </w:tcPr>
          <w:p w14:paraId="7DC1EA06" w14:textId="77777777" w:rsidR="0091670F" w:rsidRPr="00FB7590" w:rsidRDefault="0091670F" w:rsidP="00D3615D">
            <w:pPr>
              <w:spacing w:after="120"/>
              <w:rPr>
                <w:rFonts w:ascii="Calibri" w:eastAsia="Calibri" w:hAnsi="Calibri" w:cs="Times New Roman"/>
                <w:lang w:val="en" w:eastAsia="en-AU"/>
              </w:rPr>
            </w:pPr>
            <w:r>
              <w:rPr>
                <w:rFonts w:ascii="Calibri" w:eastAsia="Calibri" w:hAnsi="Calibri" w:cs="Times New Roman"/>
                <w:lang w:val="en" w:eastAsia="en-AU"/>
              </w:rPr>
              <w:t xml:space="preserve">Sub </w:t>
            </w:r>
            <w:r w:rsidRPr="00FB7590">
              <w:rPr>
                <w:rFonts w:ascii="Calibri" w:eastAsia="Calibri" w:hAnsi="Calibri" w:cs="Times New Roman"/>
                <w:lang w:val="en" w:eastAsia="en-AU"/>
              </w:rPr>
              <w:t>underwriting commission</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133BDBB9" w14:textId="35CC7582" w:rsidR="0091670F" w:rsidRPr="00FB7590" w:rsidRDefault="0091670F" w:rsidP="00D3615D">
            <w:pPr>
              <w:spacing w:after="120"/>
              <w:rPr>
                <w:rFonts w:ascii="Calibri" w:eastAsia="Calibri" w:hAnsi="Calibri" w:cs="Times New Roman"/>
                <w:noProof/>
              </w:rPr>
            </w:pP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7A68FF47" w14:textId="3FA19B37" w:rsidR="0091670F" w:rsidRPr="00FB7590" w:rsidRDefault="0091670F" w:rsidP="00D3615D">
            <w:pPr>
              <w:spacing w:after="120"/>
              <w:rPr>
                <w:rFonts w:ascii="Calibri" w:eastAsia="Calibri" w:hAnsi="Calibri" w:cs="Times New Roman"/>
                <w:lang w:val="en" w:eastAsia="en-AU"/>
              </w:rPr>
            </w:pPr>
          </w:p>
        </w:tc>
      </w:tr>
      <w:tr w:rsidR="0091670F" w:rsidRPr="00FB7590" w14:paraId="4FE73E2E" w14:textId="77777777" w:rsidTr="00930407">
        <w:trPr>
          <w:trHeight w:val="187"/>
        </w:trPr>
        <w:tc>
          <w:tcPr>
            <w:tcW w:w="3799" w:type="dxa"/>
            <w:tcBorders>
              <w:top w:val="single" w:sz="4" w:space="0" w:color="auto"/>
              <w:left w:val="single" w:sz="4" w:space="0" w:color="auto"/>
              <w:bottom w:val="single" w:sz="4" w:space="0" w:color="auto"/>
              <w:right w:val="single" w:sz="4" w:space="0" w:color="auto"/>
            </w:tcBorders>
          </w:tcPr>
          <w:p w14:paraId="026CA77F" w14:textId="77777777" w:rsidR="0091670F" w:rsidRPr="00FB7590" w:rsidRDefault="0091670F" w:rsidP="00D3615D">
            <w:pPr>
              <w:spacing w:after="120"/>
              <w:rPr>
                <w:rFonts w:ascii="Calibri" w:eastAsia="Calibri" w:hAnsi="Calibri" w:cs="Times New Roman"/>
                <w:lang w:val="en" w:eastAsia="en-AU"/>
              </w:rPr>
            </w:pPr>
            <w:r w:rsidRPr="00FB7590">
              <w:rPr>
                <w:rFonts w:ascii="Calibri" w:eastAsia="Calibri" w:hAnsi="Calibri" w:cs="Times New Roman"/>
                <w:lang w:val="en" w:eastAsia="en-AU"/>
              </w:rPr>
              <w:t>Dividends</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1D626711" w14:textId="39D16454" w:rsidR="0091670F" w:rsidRPr="00FB7590" w:rsidRDefault="0091670F" w:rsidP="00D3615D">
            <w:pPr>
              <w:spacing w:after="120"/>
              <w:rPr>
                <w:rFonts w:ascii="Calibri" w:eastAsia="Calibri" w:hAnsi="Calibri" w:cs="Times New Roman"/>
                <w:noProof/>
              </w:rPr>
            </w:pP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6318A5EE" w14:textId="7FC4BE9C" w:rsidR="0091670F" w:rsidRPr="00FB7590" w:rsidRDefault="0091670F" w:rsidP="00D3615D">
            <w:pPr>
              <w:spacing w:after="120"/>
              <w:rPr>
                <w:rFonts w:ascii="Calibri" w:eastAsia="Calibri" w:hAnsi="Calibri" w:cs="Times New Roman"/>
                <w:lang w:val="en" w:eastAsia="en-AU"/>
              </w:rPr>
            </w:pPr>
          </w:p>
        </w:tc>
      </w:tr>
      <w:tr w:rsidR="0091670F" w:rsidRPr="00FB7590" w14:paraId="396D0142" w14:textId="77777777" w:rsidTr="00930407">
        <w:trPr>
          <w:trHeight w:val="205"/>
        </w:trPr>
        <w:tc>
          <w:tcPr>
            <w:tcW w:w="3799" w:type="dxa"/>
            <w:tcBorders>
              <w:top w:val="single" w:sz="4" w:space="0" w:color="auto"/>
              <w:left w:val="single" w:sz="4" w:space="0" w:color="auto"/>
              <w:bottom w:val="single" w:sz="4" w:space="0" w:color="auto"/>
              <w:right w:val="single" w:sz="4" w:space="0" w:color="auto"/>
            </w:tcBorders>
          </w:tcPr>
          <w:p w14:paraId="75494885" w14:textId="77777777" w:rsidR="0091670F" w:rsidRPr="00FB7590" w:rsidRDefault="0091670F" w:rsidP="00D3615D">
            <w:pPr>
              <w:spacing w:after="120"/>
              <w:rPr>
                <w:rFonts w:ascii="Calibri" w:eastAsia="Calibri" w:hAnsi="Calibri" w:cs="Times New Roman"/>
                <w:lang w:val="en" w:eastAsia="en-AU"/>
              </w:rPr>
            </w:pPr>
            <w:r w:rsidRPr="00FB7590">
              <w:rPr>
                <w:rFonts w:ascii="Calibri" w:eastAsia="Calibri" w:hAnsi="Calibri" w:cs="Times New Roman"/>
                <w:lang w:val="en" w:eastAsia="en-AU"/>
              </w:rPr>
              <w:lastRenderedPageBreak/>
              <w:t>Interest</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1770000B" w14:textId="4FFA8256" w:rsidR="0091670F" w:rsidRPr="00FB7590" w:rsidRDefault="0091670F" w:rsidP="00D3615D">
            <w:pPr>
              <w:spacing w:after="120"/>
              <w:rPr>
                <w:rFonts w:ascii="Calibri" w:eastAsia="Calibri" w:hAnsi="Calibri" w:cs="Times New Roman"/>
                <w:lang w:val="en" w:eastAsia="en-AU"/>
              </w:rPr>
            </w:pP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3EBE64DD" w14:textId="3102B585" w:rsidR="0091670F" w:rsidRPr="00FB7590" w:rsidRDefault="0091670F" w:rsidP="00D3615D">
            <w:pPr>
              <w:spacing w:after="120"/>
              <w:rPr>
                <w:rFonts w:ascii="Calibri" w:eastAsia="Calibri" w:hAnsi="Calibri" w:cs="Times New Roman"/>
                <w:lang w:val="en" w:eastAsia="en-AU"/>
              </w:rPr>
            </w:pPr>
          </w:p>
        </w:tc>
      </w:tr>
      <w:tr w:rsidR="0091670F" w:rsidRPr="00FB7590" w14:paraId="6BF887A4" w14:textId="77777777" w:rsidTr="00930407">
        <w:trPr>
          <w:trHeight w:val="479"/>
        </w:trPr>
        <w:tc>
          <w:tcPr>
            <w:tcW w:w="3799" w:type="dxa"/>
            <w:tcBorders>
              <w:top w:val="single" w:sz="4" w:space="0" w:color="auto"/>
              <w:left w:val="single" w:sz="4" w:space="0" w:color="auto"/>
              <w:bottom w:val="single" w:sz="4" w:space="0" w:color="auto"/>
              <w:right w:val="single" w:sz="4" w:space="0" w:color="auto"/>
            </w:tcBorders>
          </w:tcPr>
          <w:p w14:paraId="25D621C9" w14:textId="77777777" w:rsidR="0091670F" w:rsidRPr="00FB7590" w:rsidRDefault="0091670F" w:rsidP="00D3615D">
            <w:pPr>
              <w:spacing w:after="120"/>
              <w:rPr>
                <w:rFonts w:ascii="Calibri" w:eastAsia="Calibri" w:hAnsi="Calibri" w:cs="Times New Roman"/>
                <w:lang w:val="en" w:eastAsia="en-AU"/>
              </w:rPr>
            </w:pPr>
            <w:r w:rsidRPr="00FB7590">
              <w:rPr>
                <w:rFonts w:ascii="Calibri" w:eastAsia="Calibri" w:hAnsi="Calibri" w:cs="Times New Roman"/>
                <w:lang w:val="en" w:eastAsia="en-AU"/>
              </w:rPr>
              <w:t>Bad debts recovered and provision for doubtful debts no longer required</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22DAE993" w14:textId="01AB927A" w:rsidR="0091670F" w:rsidRPr="00FB7590" w:rsidRDefault="0091670F" w:rsidP="00D3615D">
            <w:pPr>
              <w:spacing w:after="120"/>
              <w:rPr>
                <w:rFonts w:ascii="Calibri" w:eastAsia="Calibri" w:hAnsi="Calibri" w:cs="Times New Roman"/>
                <w:noProof/>
              </w:rPr>
            </w:pP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433F5FCE" w14:textId="0668E87C" w:rsidR="0091670F" w:rsidRPr="00FB7590" w:rsidRDefault="0091670F" w:rsidP="00D3615D">
            <w:pPr>
              <w:spacing w:after="120"/>
              <w:rPr>
                <w:rFonts w:ascii="Calibri" w:eastAsia="Calibri" w:hAnsi="Calibri" w:cs="Times New Roman"/>
                <w:lang w:val="en" w:eastAsia="en-AU"/>
              </w:rPr>
            </w:pPr>
          </w:p>
        </w:tc>
      </w:tr>
      <w:tr w:rsidR="0091670F" w:rsidRPr="00FB7590" w14:paraId="1E761D25" w14:textId="77777777" w:rsidTr="00930407">
        <w:trPr>
          <w:trHeight w:val="231"/>
        </w:trPr>
        <w:tc>
          <w:tcPr>
            <w:tcW w:w="3799" w:type="dxa"/>
            <w:tcBorders>
              <w:top w:val="single" w:sz="4" w:space="0" w:color="auto"/>
              <w:left w:val="single" w:sz="4" w:space="0" w:color="auto"/>
              <w:bottom w:val="single" w:sz="4" w:space="0" w:color="auto"/>
              <w:right w:val="single" w:sz="4" w:space="0" w:color="auto"/>
            </w:tcBorders>
          </w:tcPr>
          <w:p w14:paraId="387892CB" w14:textId="77777777" w:rsidR="0091670F" w:rsidRPr="00FB7590" w:rsidRDefault="0091670F" w:rsidP="00D3615D">
            <w:pPr>
              <w:spacing w:after="120"/>
              <w:rPr>
                <w:rFonts w:ascii="Calibri" w:eastAsia="Calibri" w:hAnsi="Calibri" w:cs="Times New Roman"/>
                <w:lang w:val="en" w:eastAsia="en-AU"/>
              </w:rPr>
            </w:pPr>
            <w:r w:rsidRPr="00FB7590">
              <w:rPr>
                <w:rFonts w:ascii="Calibri" w:eastAsia="Calibri" w:hAnsi="Calibri" w:cs="Times New Roman"/>
                <w:lang w:val="en" w:eastAsia="en-AU"/>
              </w:rPr>
              <w:t>Directors’ fees</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04A44519" w14:textId="745CB53E" w:rsidR="0091670F" w:rsidRPr="00FB7590" w:rsidRDefault="0091670F" w:rsidP="00D3615D">
            <w:pPr>
              <w:spacing w:after="120"/>
              <w:rPr>
                <w:rFonts w:ascii="Calibri" w:eastAsia="Calibri" w:hAnsi="Calibri" w:cs="Times New Roman"/>
                <w:noProof/>
              </w:rPr>
            </w:pP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2CFB9145" w14:textId="2E1EF2FE" w:rsidR="0091670F" w:rsidRPr="00FB7590" w:rsidRDefault="0091670F" w:rsidP="00D3615D">
            <w:pPr>
              <w:spacing w:after="120"/>
              <w:rPr>
                <w:rFonts w:ascii="Calibri" w:eastAsia="Calibri" w:hAnsi="Calibri" w:cs="Times New Roman"/>
                <w:lang w:val="en" w:eastAsia="en-AU"/>
              </w:rPr>
            </w:pPr>
          </w:p>
        </w:tc>
      </w:tr>
      <w:tr w:rsidR="0091670F" w:rsidRPr="00FB7590" w14:paraId="7EDFB610" w14:textId="77777777" w:rsidTr="00930407">
        <w:trPr>
          <w:trHeight w:val="221"/>
        </w:trPr>
        <w:tc>
          <w:tcPr>
            <w:tcW w:w="3799" w:type="dxa"/>
            <w:tcBorders>
              <w:top w:val="single" w:sz="4" w:space="0" w:color="auto"/>
              <w:left w:val="single" w:sz="4" w:space="0" w:color="auto"/>
              <w:bottom w:val="single" w:sz="4" w:space="0" w:color="auto"/>
              <w:right w:val="single" w:sz="4" w:space="0" w:color="auto"/>
            </w:tcBorders>
          </w:tcPr>
          <w:p w14:paraId="3448DA80" w14:textId="77777777" w:rsidR="0091670F" w:rsidRPr="00FB7590" w:rsidRDefault="0091670F" w:rsidP="00D3615D">
            <w:pPr>
              <w:spacing w:after="120"/>
              <w:rPr>
                <w:rFonts w:ascii="Calibri" w:eastAsia="Calibri" w:hAnsi="Calibri" w:cs="Times New Roman"/>
                <w:lang w:val="en" w:eastAsia="en-AU"/>
              </w:rPr>
            </w:pPr>
            <w:r w:rsidRPr="00FB7590">
              <w:rPr>
                <w:rFonts w:ascii="Calibri" w:eastAsia="Calibri" w:hAnsi="Calibri" w:cs="Times New Roman"/>
                <w:lang w:val="en" w:eastAsia="en-AU"/>
              </w:rPr>
              <w:t>Handling fees</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69F333F8" w14:textId="18138E11" w:rsidR="0091670F" w:rsidRPr="00FB7590" w:rsidRDefault="0091670F" w:rsidP="00D3615D">
            <w:pPr>
              <w:spacing w:after="120"/>
              <w:rPr>
                <w:rFonts w:ascii="Calibri" w:eastAsia="Calibri" w:hAnsi="Calibri" w:cs="Times New Roman"/>
                <w:noProof/>
              </w:rPr>
            </w:pP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321D9845" w14:textId="23A1FA7F" w:rsidR="0091670F" w:rsidRPr="00FB7590" w:rsidRDefault="0091670F" w:rsidP="00D3615D">
            <w:pPr>
              <w:spacing w:after="120"/>
              <w:rPr>
                <w:rFonts w:ascii="Calibri" w:eastAsia="Calibri" w:hAnsi="Calibri" w:cs="Times New Roman"/>
                <w:lang w:val="en" w:eastAsia="en-AU"/>
              </w:rPr>
            </w:pPr>
          </w:p>
        </w:tc>
      </w:tr>
      <w:tr w:rsidR="0091670F" w:rsidRPr="00FB7590" w14:paraId="0A3B30BC" w14:textId="77777777" w:rsidTr="00930407">
        <w:trPr>
          <w:trHeight w:val="240"/>
        </w:trPr>
        <w:tc>
          <w:tcPr>
            <w:tcW w:w="3799" w:type="dxa"/>
            <w:tcBorders>
              <w:top w:val="single" w:sz="4" w:space="0" w:color="auto"/>
              <w:left w:val="single" w:sz="4" w:space="0" w:color="auto"/>
              <w:bottom w:val="single" w:sz="4" w:space="0" w:color="auto"/>
              <w:right w:val="single" w:sz="4" w:space="0" w:color="auto"/>
            </w:tcBorders>
          </w:tcPr>
          <w:p w14:paraId="67586E5C" w14:textId="77777777" w:rsidR="0091670F" w:rsidRPr="00FB7590" w:rsidRDefault="0091670F" w:rsidP="00D3615D">
            <w:pPr>
              <w:spacing w:after="120"/>
              <w:rPr>
                <w:rFonts w:ascii="Calibri" w:eastAsia="Calibri" w:hAnsi="Calibri" w:cs="Times New Roman"/>
                <w:lang w:val="en" w:eastAsia="en-AU"/>
              </w:rPr>
            </w:pPr>
            <w:r w:rsidRPr="00FB7590">
              <w:rPr>
                <w:rFonts w:ascii="Calibri" w:eastAsia="Calibri" w:hAnsi="Calibri" w:cs="Times New Roman"/>
                <w:lang w:val="en" w:eastAsia="en-AU"/>
              </w:rPr>
              <w:t>Corporate Advisory fees</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468EA4A6" w14:textId="7B85217C" w:rsidR="0091670F" w:rsidRPr="00FB7590" w:rsidRDefault="0091670F" w:rsidP="00D3615D">
            <w:pPr>
              <w:spacing w:after="120"/>
              <w:rPr>
                <w:rFonts w:ascii="Calibri" w:eastAsia="Calibri" w:hAnsi="Calibri" w:cs="Times New Roman"/>
                <w:noProof/>
              </w:rPr>
            </w:pP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694F5D5A" w14:textId="413DD0EE" w:rsidR="0091670F" w:rsidRPr="00FB7590" w:rsidRDefault="0091670F" w:rsidP="00D3615D">
            <w:pPr>
              <w:spacing w:after="120"/>
              <w:rPr>
                <w:rFonts w:ascii="Calibri" w:eastAsia="Calibri" w:hAnsi="Calibri" w:cs="Times New Roman"/>
                <w:lang w:val="en" w:eastAsia="en-AU"/>
              </w:rPr>
            </w:pPr>
          </w:p>
        </w:tc>
      </w:tr>
      <w:tr w:rsidR="0091670F" w:rsidRPr="00FB7590" w14:paraId="7B7D20D4" w14:textId="77777777" w:rsidTr="00930407">
        <w:trPr>
          <w:trHeight w:val="517"/>
        </w:trPr>
        <w:tc>
          <w:tcPr>
            <w:tcW w:w="3799" w:type="dxa"/>
            <w:tcBorders>
              <w:top w:val="single" w:sz="4" w:space="0" w:color="auto"/>
              <w:left w:val="single" w:sz="4" w:space="0" w:color="auto"/>
              <w:bottom w:val="single" w:sz="4" w:space="0" w:color="auto"/>
              <w:right w:val="single" w:sz="4" w:space="0" w:color="auto"/>
            </w:tcBorders>
          </w:tcPr>
          <w:p w14:paraId="1BC9437D" w14:textId="77777777" w:rsidR="0091670F" w:rsidRPr="00FB7590" w:rsidRDefault="0091670F" w:rsidP="00D3615D">
            <w:pPr>
              <w:spacing w:after="120"/>
              <w:rPr>
                <w:rFonts w:ascii="Calibri" w:eastAsia="Calibri" w:hAnsi="Calibri" w:cs="Times New Roman"/>
                <w:lang w:val="en" w:eastAsia="en-AU"/>
              </w:rPr>
            </w:pPr>
            <w:r w:rsidRPr="00FB7590">
              <w:rPr>
                <w:rFonts w:ascii="Calibri" w:eastAsia="Calibri" w:hAnsi="Calibri" w:cs="Times New Roman"/>
                <w:lang w:val="en" w:eastAsia="en-AU"/>
              </w:rPr>
              <w:t>Financial planning/Portfolio Management fees</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132EC5D0" w14:textId="082A233E" w:rsidR="0091670F" w:rsidRPr="00FB7590" w:rsidRDefault="0091670F" w:rsidP="00D3615D">
            <w:pPr>
              <w:spacing w:after="120"/>
              <w:rPr>
                <w:rFonts w:ascii="Calibri" w:eastAsia="Calibri" w:hAnsi="Calibri" w:cs="Times New Roman"/>
                <w:noProof/>
              </w:rPr>
            </w:pP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04678745" w14:textId="3D6288E2" w:rsidR="0091670F" w:rsidRPr="00FB7590" w:rsidRDefault="0091670F" w:rsidP="00D3615D">
            <w:pPr>
              <w:spacing w:after="120"/>
              <w:rPr>
                <w:rFonts w:ascii="Calibri" w:eastAsia="Calibri" w:hAnsi="Calibri" w:cs="Times New Roman"/>
                <w:lang w:val="en" w:eastAsia="en-AU"/>
              </w:rPr>
            </w:pPr>
          </w:p>
        </w:tc>
      </w:tr>
      <w:tr w:rsidR="0091670F" w:rsidRPr="00FB7590" w14:paraId="2C937ACC" w14:textId="77777777" w:rsidTr="00930407">
        <w:trPr>
          <w:trHeight w:val="265"/>
        </w:trPr>
        <w:tc>
          <w:tcPr>
            <w:tcW w:w="3799" w:type="dxa"/>
            <w:tcBorders>
              <w:top w:val="single" w:sz="4" w:space="0" w:color="auto"/>
              <w:left w:val="single" w:sz="4" w:space="0" w:color="auto"/>
              <w:bottom w:val="single" w:sz="4" w:space="0" w:color="auto"/>
              <w:right w:val="single" w:sz="4" w:space="0" w:color="auto"/>
            </w:tcBorders>
          </w:tcPr>
          <w:p w14:paraId="0A615AA8" w14:textId="77777777" w:rsidR="0091670F" w:rsidRPr="00FB7590" w:rsidRDefault="0091670F" w:rsidP="00D3615D">
            <w:pPr>
              <w:spacing w:after="120"/>
              <w:rPr>
                <w:rFonts w:ascii="Calibri" w:eastAsia="Calibri" w:hAnsi="Calibri" w:cs="Times New Roman"/>
                <w:lang w:val="en" w:eastAsia="en-AU"/>
              </w:rPr>
            </w:pPr>
            <w:r w:rsidRPr="00FB7590">
              <w:rPr>
                <w:rFonts w:ascii="Calibri" w:eastAsia="Calibri" w:hAnsi="Calibri" w:cs="Times New Roman"/>
                <w:lang w:val="en" w:eastAsia="en-AU"/>
              </w:rPr>
              <w:t>Management fees</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53DF9966" w14:textId="5665C149" w:rsidR="0091670F" w:rsidRPr="00FB7590" w:rsidRDefault="0091670F" w:rsidP="00D3615D">
            <w:pPr>
              <w:spacing w:after="120"/>
              <w:rPr>
                <w:rFonts w:ascii="Calibri" w:eastAsia="Calibri" w:hAnsi="Calibri" w:cs="Times New Roman"/>
                <w:lang w:val="en" w:eastAsia="en-AU"/>
              </w:rPr>
            </w:pP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440CCB00" w14:textId="5396AC88" w:rsidR="0091670F" w:rsidRPr="00FB7590" w:rsidRDefault="0091670F" w:rsidP="00D3615D">
            <w:pPr>
              <w:spacing w:after="120"/>
              <w:rPr>
                <w:rFonts w:ascii="Calibri" w:eastAsia="Calibri" w:hAnsi="Calibri" w:cs="Times New Roman"/>
                <w:lang w:val="en" w:eastAsia="en-AU"/>
              </w:rPr>
            </w:pPr>
          </w:p>
        </w:tc>
      </w:tr>
      <w:tr w:rsidR="0091670F" w:rsidRPr="00FB7590" w14:paraId="3FD82D95" w14:textId="77777777" w:rsidTr="00930407">
        <w:trPr>
          <w:trHeight w:val="517"/>
        </w:trPr>
        <w:tc>
          <w:tcPr>
            <w:tcW w:w="3799" w:type="dxa"/>
            <w:tcBorders>
              <w:top w:val="single" w:sz="4" w:space="0" w:color="auto"/>
              <w:left w:val="single" w:sz="4" w:space="0" w:color="auto"/>
              <w:bottom w:val="single" w:sz="4" w:space="0" w:color="auto"/>
              <w:right w:val="single" w:sz="4" w:space="0" w:color="auto"/>
            </w:tcBorders>
          </w:tcPr>
          <w:p w14:paraId="30DA9EC8" w14:textId="77777777" w:rsidR="0091670F" w:rsidRPr="00FB7590" w:rsidRDefault="0091670F" w:rsidP="00D3615D">
            <w:pPr>
              <w:spacing w:after="120"/>
              <w:rPr>
                <w:rFonts w:ascii="Calibri" w:eastAsia="Calibri" w:hAnsi="Calibri" w:cs="Times New Roman"/>
                <w:lang w:val="en" w:eastAsia="en-AU"/>
              </w:rPr>
            </w:pPr>
            <w:r w:rsidRPr="00FB7590">
              <w:rPr>
                <w:rFonts w:ascii="Calibri" w:eastAsia="Calibri" w:hAnsi="Calibri" w:cs="Times New Roman"/>
                <w:lang w:val="en" w:eastAsia="en-AU"/>
              </w:rPr>
              <w:t>Other fees received from associated entities</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4E0A1AC0" w14:textId="6FD75DAF" w:rsidR="0091670F" w:rsidRPr="00FB7590" w:rsidRDefault="0091670F" w:rsidP="00D3615D">
            <w:pPr>
              <w:spacing w:after="120"/>
              <w:rPr>
                <w:rFonts w:ascii="Calibri" w:eastAsia="Calibri" w:hAnsi="Calibri" w:cs="Times New Roman"/>
                <w:noProof/>
              </w:rPr>
            </w:pP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74B10526" w14:textId="18B4EC3B" w:rsidR="0091670F" w:rsidRPr="00FB7590" w:rsidRDefault="0091670F" w:rsidP="00D3615D">
            <w:pPr>
              <w:spacing w:after="120"/>
              <w:rPr>
                <w:rFonts w:ascii="Calibri" w:eastAsia="Calibri" w:hAnsi="Calibri" w:cs="Times New Roman"/>
                <w:lang w:val="en" w:eastAsia="en-AU"/>
              </w:rPr>
            </w:pPr>
          </w:p>
        </w:tc>
      </w:tr>
      <w:tr w:rsidR="0091670F" w:rsidRPr="00FB7590" w14:paraId="1766D65B" w14:textId="77777777" w:rsidTr="00930407">
        <w:trPr>
          <w:trHeight w:val="352"/>
        </w:trPr>
        <w:tc>
          <w:tcPr>
            <w:tcW w:w="10867" w:type="dxa"/>
            <w:gridSpan w:val="3"/>
            <w:tcBorders>
              <w:top w:val="single" w:sz="4" w:space="0" w:color="auto"/>
              <w:left w:val="single" w:sz="4" w:space="0" w:color="auto"/>
              <w:bottom w:val="single" w:sz="4" w:space="0" w:color="auto"/>
              <w:right w:val="single" w:sz="4" w:space="0" w:color="auto"/>
            </w:tcBorders>
          </w:tcPr>
          <w:p w14:paraId="7D0BC4B8" w14:textId="09E893BC" w:rsidR="0091670F" w:rsidRPr="00FB7590" w:rsidRDefault="0091670F" w:rsidP="00D3615D">
            <w:pPr>
              <w:spacing w:after="120"/>
              <w:rPr>
                <w:rFonts w:ascii="Calibri" w:eastAsia="Calibri" w:hAnsi="Calibri" w:cs="Times New Roman"/>
                <w:lang w:val="en" w:eastAsia="en-AU"/>
              </w:rPr>
            </w:pPr>
            <w:r w:rsidRPr="00FB7590">
              <w:rPr>
                <w:rFonts w:ascii="Calibri" w:eastAsia="Calibri" w:hAnsi="Calibri" w:cs="Times New Roman"/>
              </w:rPr>
              <w:t>Other revenue</w:t>
            </w:r>
          </w:p>
        </w:tc>
      </w:tr>
      <w:tr w:rsidR="0091670F" w:rsidRPr="00FB7590" w14:paraId="0E1CA250" w14:textId="77777777" w:rsidTr="00930407">
        <w:trPr>
          <w:trHeight w:val="408"/>
        </w:trPr>
        <w:tc>
          <w:tcPr>
            <w:tcW w:w="3799" w:type="dxa"/>
            <w:tcBorders>
              <w:top w:val="single" w:sz="4" w:space="0" w:color="auto"/>
              <w:left w:val="single" w:sz="4" w:space="0" w:color="auto"/>
              <w:bottom w:val="single" w:sz="4" w:space="0" w:color="auto"/>
              <w:right w:val="single" w:sz="4" w:space="0" w:color="auto"/>
            </w:tcBorders>
          </w:tcPr>
          <w:p w14:paraId="5F3A168E" w14:textId="0124CB83" w:rsidR="0091670F" w:rsidRPr="00FB7590" w:rsidRDefault="0091670F" w:rsidP="00D3615D">
            <w:pPr>
              <w:spacing w:after="120"/>
              <w:rPr>
                <w:rFonts w:ascii="Calibri" w:eastAsia="Calibri" w:hAnsi="Calibri" w:cs="Times New Roman"/>
                <w:lang w:val="en" w:eastAsia="en-AU"/>
              </w:rPr>
            </w:pP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528039F3" w14:textId="3A79D4FE" w:rsidR="0091670F" w:rsidRPr="00FB7590" w:rsidRDefault="0091670F" w:rsidP="00D3615D">
            <w:pPr>
              <w:spacing w:after="120"/>
              <w:rPr>
                <w:rFonts w:ascii="Calibri" w:eastAsia="Calibri" w:hAnsi="Calibri" w:cs="Times New Roman"/>
                <w:noProof/>
              </w:rPr>
            </w:pP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1C3BFC7E" w14:textId="15DF818E" w:rsidR="0091670F" w:rsidRPr="00FB7590" w:rsidRDefault="0091670F" w:rsidP="00D3615D">
            <w:pPr>
              <w:spacing w:after="120"/>
              <w:rPr>
                <w:rFonts w:ascii="Calibri" w:eastAsia="Calibri" w:hAnsi="Calibri" w:cs="Times New Roman"/>
                <w:strike/>
                <w:lang w:val="en" w:eastAsia="en-AU"/>
              </w:rPr>
            </w:pPr>
          </w:p>
        </w:tc>
      </w:tr>
      <w:tr w:rsidR="0091670F" w:rsidRPr="00FB7590" w14:paraId="3DFC8F16" w14:textId="77777777" w:rsidTr="00930407">
        <w:trPr>
          <w:trHeight w:val="286"/>
        </w:trPr>
        <w:tc>
          <w:tcPr>
            <w:tcW w:w="3799" w:type="dxa"/>
            <w:tcBorders>
              <w:top w:val="single" w:sz="4" w:space="0" w:color="auto"/>
              <w:left w:val="single" w:sz="4" w:space="0" w:color="auto"/>
              <w:bottom w:val="single" w:sz="4" w:space="0" w:color="auto"/>
              <w:right w:val="single" w:sz="4" w:space="0" w:color="auto"/>
            </w:tcBorders>
            <w:shd w:val="clear" w:color="auto" w:fill="auto"/>
          </w:tcPr>
          <w:p w14:paraId="7B8B9DCB" w14:textId="77777777" w:rsidR="0091670F" w:rsidRPr="00FB7590" w:rsidRDefault="0091670F" w:rsidP="00D3615D">
            <w:pPr>
              <w:spacing w:after="120"/>
              <w:rPr>
                <w:rFonts w:ascii="Calibri" w:eastAsia="Calibri" w:hAnsi="Calibri" w:cs="Times New Roman"/>
                <w:b/>
                <w:lang w:val="en" w:eastAsia="en-AU"/>
              </w:rPr>
            </w:pPr>
            <w:r w:rsidRPr="00FB7590">
              <w:rPr>
                <w:rFonts w:ascii="Calibri" w:eastAsia="Calibri" w:hAnsi="Calibri" w:cs="Times New Roman"/>
                <w:b/>
                <w:lang w:val="en" w:eastAsia="en-AU"/>
              </w:rPr>
              <w:t>Total Revenue</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36316092" w14:textId="0EAC0BEC" w:rsidR="0091670F" w:rsidRPr="00FB7590" w:rsidRDefault="0091670F" w:rsidP="00D3615D">
            <w:pPr>
              <w:spacing w:after="120"/>
              <w:rPr>
                <w:rFonts w:ascii="Calibri" w:eastAsia="Calibri" w:hAnsi="Calibri" w:cs="Times New Roman"/>
                <w:b/>
              </w:rPr>
            </w:pP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1F528334" w14:textId="6EECD4C9" w:rsidR="0091670F" w:rsidRPr="00FB7590" w:rsidRDefault="0091670F" w:rsidP="00D3615D">
            <w:pPr>
              <w:spacing w:after="120"/>
              <w:rPr>
                <w:rFonts w:ascii="Calibri" w:eastAsia="Calibri" w:hAnsi="Calibri" w:cs="Times New Roman"/>
                <w:b/>
                <w:lang w:val="en" w:eastAsia="en-AU"/>
              </w:rPr>
            </w:pPr>
          </w:p>
        </w:tc>
      </w:tr>
    </w:tbl>
    <w:p w14:paraId="50A7086E" w14:textId="5474AC95" w:rsidR="003A1BE7" w:rsidRDefault="0091670F" w:rsidP="00D3615D">
      <w:pPr>
        <w:keepNext/>
        <w:spacing w:before="240" w:after="120"/>
        <w:outlineLvl w:val="3"/>
        <w:rPr>
          <w:rFonts w:ascii="Calibri" w:hAnsi="Calibri" w:cs="Helvetica"/>
          <w:b/>
          <w:sz w:val="24"/>
          <w:szCs w:val="24"/>
          <w:lang w:val="en"/>
        </w:rPr>
      </w:pPr>
      <w:r w:rsidRPr="00930407">
        <w:rPr>
          <w:rFonts w:ascii="Calibri" w:hAnsi="Calibri" w:cs="Helvetica"/>
          <w:b/>
          <w:sz w:val="24"/>
          <w:szCs w:val="24"/>
          <w:lang w:val="en"/>
        </w:rPr>
        <w:t>Expenses</w:t>
      </w:r>
    </w:p>
    <w:p w14:paraId="68886AC3" w14:textId="77777777" w:rsidR="009E5009" w:rsidRPr="00930407" w:rsidRDefault="009E5009" w:rsidP="00D3615D">
      <w:pPr>
        <w:spacing w:after="120"/>
        <w:outlineLvl w:val="3"/>
        <w:rPr>
          <w:rFonts w:ascii="Calibri" w:hAnsi="Calibri" w:cs="Helvetica"/>
          <w:b/>
          <w:sz w:val="24"/>
          <w:szCs w:val="24"/>
          <w:lang w:val="en"/>
        </w:rPr>
      </w:pPr>
      <w:r w:rsidRPr="00F204E1">
        <w:rPr>
          <w:rFonts w:ascii="Calibri" w:hAnsi="Calibri" w:cs="Helvetica"/>
          <w:szCs w:val="22"/>
          <w:lang w:val="en"/>
        </w:rPr>
        <w:t>Insert year to date amounts</w:t>
      </w:r>
    </w:p>
    <w:tbl>
      <w:tblPr>
        <w:tblStyle w:val="TableGrid8"/>
        <w:tblW w:w="1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4"/>
        <w:gridCol w:w="3453"/>
        <w:gridCol w:w="3453"/>
      </w:tblGrid>
      <w:tr w:rsidR="0091670F" w:rsidRPr="00FB7590" w14:paraId="6AF660E9" w14:textId="77777777" w:rsidTr="00930407">
        <w:trPr>
          <w:trHeight w:val="250"/>
        </w:trPr>
        <w:tc>
          <w:tcPr>
            <w:tcW w:w="5504" w:type="dxa"/>
            <w:tcBorders>
              <w:top w:val="single" w:sz="4" w:space="0" w:color="auto"/>
              <w:left w:val="single" w:sz="4" w:space="0" w:color="auto"/>
              <w:bottom w:val="single" w:sz="4" w:space="0" w:color="auto"/>
              <w:right w:val="single" w:sz="4" w:space="0" w:color="auto"/>
            </w:tcBorders>
            <w:shd w:val="clear" w:color="auto" w:fill="0070C0"/>
          </w:tcPr>
          <w:p w14:paraId="1761981A" w14:textId="77777777" w:rsidR="0091670F" w:rsidRPr="00FB7590" w:rsidRDefault="0091670F" w:rsidP="00D3615D">
            <w:pPr>
              <w:spacing w:before="40" w:after="120"/>
              <w:rPr>
                <w:rFonts w:ascii="Calibri" w:eastAsia="Calibri" w:hAnsi="Calibri" w:cs="Times New Roman"/>
                <w:b/>
                <w:color w:val="FFFFFF"/>
                <w:lang w:val="en" w:eastAsia="en-AU"/>
              </w:rPr>
            </w:pPr>
          </w:p>
        </w:tc>
        <w:tc>
          <w:tcPr>
            <w:tcW w:w="3453" w:type="dxa"/>
            <w:tcBorders>
              <w:top w:val="single" w:sz="4" w:space="0" w:color="auto"/>
              <w:left w:val="single" w:sz="4" w:space="0" w:color="auto"/>
              <w:bottom w:val="single" w:sz="4" w:space="0" w:color="auto"/>
              <w:right w:val="single" w:sz="4" w:space="0" w:color="auto"/>
            </w:tcBorders>
            <w:shd w:val="clear" w:color="auto" w:fill="0070C0"/>
          </w:tcPr>
          <w:p w14:paraId="1614EEBF" w14:textId="77777777" w:rsidR="0091670F" w:rsidRPr="00FB7590" w:rsidRDefault="0091670F" w:rsidP="00D3615D">
            <w:pPr>
              <w:spacing w:before="40" w:after="120"/>
              <w:rPr>
                <w:rFonts w:ascii="Calibri" w:eastAsia="Calibri" w:hAnsi="Calibri" w:cs="Times New Roman"/>
                <w:color w:val="FFFFFF"/>
                <w:lang w:val="en" w:eastAsia="en-AU"/>
              </w:rPr>
            </w:pPr>
            <w:r w:rsidRPr="00FB7590">
              <w:rPr>
                <w:rFonts w:ascii="Calibri" w:eastAsia="Calibri" w:hAnsi="Calibri" w:cs="Times New Roman"/>
                <w:b/>
                <w:color w:val="FFFFFF"/>
                <w:lang w:val="en" w:eastAsia="en-AU"/>
              </w:rPr>
              <w:t>Current</w:t>
            </w:r>
          </w:p>
        </w:tc>
        <w:tc>
          <w:tcPr>
            <w:tcW w:w="3453" w:type="dxa"/>
            <w:tcBorders>
              <w:top w:val="single" w:sz="4" w:space="0" w:color="auto"/>
              <w:left w:val="single" w:sz="4" w:space="0" w:color="auto"/>
              <w:bottom w:val="single" w:sz="4" w:space="0" w:color="auto"/>
              <w:right w:val="single" w:sz="4" w:space="0" w:color="auto"/>
            </w:tcBorders>
            <w:shd w:val="clear" w:color="auto" w:fill="0070C0"/>
          </w:tcPr>
          <w:p w14:paraId="3C17CBEF" w14:textId="77777777" w:rsidR="0091670F" w:rsidRPr="00FB7590" w:rsidRDefault="0091670F" w:rsidP="00D3615D">
            <w:pPr>
              <w:spacing w:before="40" w:after="120"/>
              <w:rPr>
                <w:rFonts w:ascii="Calibri" w:eastAsia="Calibri" w:hAnsi="Calibri" w:cs="Times New Roman"/>
                <w:b/>
                <w:color w:val="FFFFFF"/>
                <w:lang w:val="en" w:eastAsia="en-AU"/>
              </w:rPr>
            </w:pPr>
            <w:r w:rsidRPr="00FB7590">
              <w:rPr>
                <w:rFonts w:ascii="Calibri" w:eastAsia="Calibri" w:hAnsi="Calibri" w:cs="Times New Roman"/>
                <w:b/>
                <w:color w:val="FFFFFF"/>
                <w:lang w:val="en" w:eastAsia="en-AU"/>
              </w:rPr>
              <w:t>Prior</w:t>
            </w:r>
          </w:p>
        </w:tc>
      </w:tr>
      <w:tr w:rsidR="0091670F" w:rsidRPr="00FB7590" w14:paraId="08708B54" w14:textId="77777777" w:rsidTr="00930407">
        <w:trPr>
          <w:trHeight w:val="510"/>
        </w:trPr>
        <w:tc>
          <w:tcPr>
            <w:tcW w:w="5504" w:type="dxa"/>
            <w:tcBorders>
              <w:top w:val="single" w:sz="4" w:space="0" w:color="auto"/>
              <w:left w:val="single" w:sz="4" w:space="0" w:color="auto"/>
              <w:bottom w:val="single" w:sz="4" w:space="0" w:color="auto"/>
              <w:right w:val="single" w:sz="4" w:space="0" w:color="auto"/>
            </w:tcBorders>
          </w:tcPr>
          <w:p w14:paraId="08F0A862" w14:textId="77777777" w:rsidR="0091670F" w:rsidRPr="00FB7590" w:rsidRDefault="0091670F" w:rsidP="00D3615D">
            <w:pPr>
              <w:spacing w:after="80"/>
              <w:rPr>
                <w:rFonts w:ascii="Calibri" w:eastAsia="Calibri" w:hAnsi="Calibri" w:cs="Times New Roman"/>
                <w:lang w:val="en" w:eastAsia="en-AU"/>
              </w:rPr>
            </w:pPr>
            <w:r w:rsidRPr="00FB7590">
              <w:rPr>
                <w:rFonts w:ascii="Calibri" w:eastAsia="Calibri" w:hAnsi="Calibri" w:cs="Times New Roman"/>
                <w:lang w:val="en" w:eastAsia="en-AU"/>
              </w:rPr>
              <w:t>Salaries (excluding partners, directors and research salaries)</w:t>
            </w: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13787412" w14:textId="26A1AF21" w:rsidR="0091670F" w:rsidRPr="00FB7590" w:rsidRDefault="0091670F" w:rsidP="00D3615D">
            <w:pPr>
              <w:spacing w:after="80"/>
              <w:rPr>
                <w:rFonts w:ascii="Calibri" w:eastAsia="Calibri" w:hAnsi="Calibri" w:cs="Times New Roman"/>
                <w:lang w:val="en" w:eastAsia="en-AU"/>
              </w:rPr>
            </w:pP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0F09A06C" w14:textId="1CB353C7" w:rsidR="0091670F" w:rsidRPr="00FB7590" w:rsidRDefault="0091670F" w:rsidP="00D3615D">
            <w:pPr>
              <w:spacing w:after="80"/>
              <w:rPr>
                <w:rFonts w:ascii="Calibri" w:eastAsia="Calibri" w:hAnsi="Calibri" w:cs="Times New Roman"/>
                <w:lang w:val="en" w:eastAsia="en-AU"/>
              </w:rPr>
            </w:pPr>
          </w:p>
        </w:tc>
      </w:tr>
      <w:tr w:rsidR="0091670F" w:rsidRPr="00FB7590" w14:paraId="589EB3BE" w14:textId="77777777" w:rsidTr="00930407">
        <w:trPr>
          <w:trHeight w:val="483"/>
        </w:trPr>
        <w:tc>
          <w:tcPr>
            <w:tcW w:w="5504" w:type="dxa"/>
            <w:tcBorders>
              <w:top w:val="single" w:sz="4" w:space="0" w:color="auto"/>
              <w:left w:val="single" w:sz="4" w:space="0" w:color="auto"/>
              <w:bottom w:val="single" w:sz="4" w:space="0" w:color="auto"/>
              <w:right w:val="single" w:sz="4" w:space="0" w:color="auto"/>
            </w:tcBorders>
          </w:tcPr>
          <w:p w14:paraId="609DBA4E" w14:textId="77777777" w:rsidR="0091670F" w:rsidRPr="00FB7590" w:rsidRDefault="0091670F" w:rsidP="00D3615D">
            <w:pPr>
              <w:spacing w:after="80"/>
              <w:rPr>
                <w:rFonts w:ascii="Calibri" w:eastAsia="Calibri" w:hAnsi="Calibri" w:cs="Times New Roman"/>
                <w:lang w:val="en" w:eastAsia="en-AU"/>
              </w:rPr>
            </w:pPr>
            <w:r w:rsidRPr="00FB7590">
              <w:rPr>
                <w:rFonts w:ascii="Calibri" w:eastAsia="Calibri" w:hAnsi="Calibri" w:cs="Times New Roman"/>
                <w:lang w:val="en" w:eastAsia="en-AU"/>
              </w:rPr>
              <w:t>Directors’/Partners’ salaries</w:t>
            </w: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1E01234C" w14:textId="58F7AC1B" w:rsidR="0091670F" w:rsidRPr="00FB7590" w:rsidRDefault="0091670F" w:rsidP="00D3615D">
            <w:pPr>
              <w:spacing w:after="80"/>
              <w:rPr>
                <w:rFonts w:ascii="Calibri" w:eastAsia="Calibri" w:hAnsi="Calibri" w:cs="Times New Roman"/>
                <w:noProof/>
              </w:rPr>
            </w:pP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2CB3CFBC" w14:textId="23C85F2B" w:rsidR="0091670F" w:rsidRPr="00FB7590" w:rsidRDefault="0091670F" w:rsidP="00D3615D">
            <w:pPr>
              <w:spacing w:after="80"/>
              <w:rPr>
                <w:rFonts w:ascii="Calibri" w:eastAsia="Calibri" w:hAnsi="Calibri" w:cs="Times New Roman"/>
                <w:lang w:val="en" w:eastAsia="en-AU"/>
              </w:rPr>
            </w:pPr>
          </w:p>
        </w:tc>
      </w:tr>
      <w:tr w:rsidR="0091670F" w:rsidRPr="00FB7590" w14:paraId="05A1BB86" w14:textId="77777777" w:rsidTr="00930407">
        <w:trPr>
          <w:trHeight w:val="501"/>
        </w:trPr>
        <w:tc>
          <w:tcPr>
            <w:tcW w:w="5504" w:type="dxa"/>
            <w:tcBorders>
              <w:top w:val="single" w:sz="4" w:space="0" w:color="auto"/>
              <w:left w:val="single" w:sz="4" w:space="0" w:color="auto"/>
              <w:bottom w:val="single" w:sz="4" w:space="0" w:color="auto"/>
              <w:right w:val="single" w:sz="4" w:space="0" w:color="auto"/>
            </w:tcBorders>
          </w:tcPr>
          <w:p w14:paraId="5B62567D" w14:textId="77777777" w:rsidR="0091670F" w:rsidRPr="00FB7590" w:rsidRDefault="0091670F" w:rsidP="00D3615D">
            <w:pPr>
              <w:spacing w:after="80"/>
              <w:rPr>
                <w:rFonts w:ascii="Calibri" w:eastAsia="Calibri" w:hAnsi="Calibri" w:cs="Times New Roman"/>
                <w:lang w:val="en" w:eastAsia="en-AU"/>
              </w:rPr>
            </w:pPr>
            <w:r w:rsidRPr="00FB7590">
              <w:rPr>
                <w:rFonts w:ascii="Calibri" w:eastAsia="Calibri" w:hAnsi="Calibri" w:cs="Times New Roman"/>
                <w:lang w:val="en" w:eastAsia="en-AU"/>
              </w:rPr>
              <w:t xml:space="preserve">Commissions paid to </w:t>
            </w:r>
            <w:r>
              <w:rPr>
                <w:rFonts w:ascii="Calibri" w:eastAsia="Calibri" w:hAnsi="Calibri" w:cs="Times New Roman"/>
                <w:lang w:val="en" w:eastAsia="en-AU"/>
              </w:rPr>
              <w:t>t</w:t>
            </w:r>
            <w:r w:rsidRPr="00FB7590">
              <w:rPr>
                <w:rFonts w:ascii="Calibri" w:eastAsia="Calibri" w:hAnsi="Calibri" w:cs="Times New Roman"/>
                <w:lang w:val="en" w:eastAsia="en-AU"/>
              </w:rPr>
              <w:t>raders/</w:t>
            </w:r>
            <w:r>
              <w:rPr>
                <w:rFonts w:ascii="Calibri" w:eastAsia="Calibri" w:hAnsi="Calibri" w:cs="Times New Roman"/>
                <w:lang w:val="en" w:eastAsia="en-AU"/>
              </w:rPr>
              <w:t>c</w:t>
            </w:r>
            <w:r w:rsidRPr="00FB7590">
              <w:rPr>
                <w:rFonts w:ascii="Calibri" w:eastAsia="Calibri" w:hAnsi="Calibri" w:cs="Times New Roman"/>
                <w:lang w:val="en" w:eastAsia="en-AU"/>
              </w:rPr>
              <w:t>onsultants</w:t>
            </w: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669CEAC6" w14:textId="7AC01E9D" w:rsidR="0091670F" w:rsidRPr="00FB7590" w:rsidRDefault="0091670F" w:rsidP="00D3615D">
            <w:pPr>
              <w:spacing w:after="80"/>
              <w:rPr>
                <w:rFonts w:ascii="Calibri" w:eastAsia="Calibri" w:hAnsi="Calibri" w:cs="Times New Roman"/>
                <w:noProof/>
              </w:rPr>
            </w:pP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2CE7A751" w14:textId="309261D6" w:rsidR="0091670F" w:rsidRPr="00FB7590" w:rsidRDefault="0091670F" w:rsidP="00D3615D">
            <w:pPr>
              <w:spacing w:after="80"/>
              <w:rPr>
                <w:rFonts w:ascii="Calibri" w:eastAsia="Calibri" w:hAnsi="Calibri" w:cs="Times New Roman"/>
                <w:lang w:val="en" w:eastAsia="en-AU"/>
              </w:rPr>
            </w:pPr>
          </w:p>
        </w:tc>
      </w:tr>
      <w:tr w:rsidR="0091670F" w:rsidRPr="00FB7590" w14:paraId="5C1B7C31" w14:textId="77777777" w:rsidTr="00930407">
        <w:trPr>
          <w:trHeight w:val="483"/>
        </w:trPr>
        <w:tc>
          <w:tcPr>
            <w:tcW w:w="5504" w:type="dxa"/>
            <w:tcBorders>
              <w:top w:val="single" w:sz="4" w:space="0" w:color="auto"/>
              <w:left w:val="single" w:sz="4" w:space="0" w:color="auto"/>
              <w:bottom w:val="single" w:sz="4" w:space="0" w:color="auto"/>
              <w:right w:val="single" w:sz="4" w:space="0" w:color="auto"/>
            </w:tcBorders>
          </w:tcPr>
          <w:p w14:paraId="28A3AFD0" w14:textId="77777777" w:rsidR="0091670F" w:rsidRPr="00FB7590" w:rsidRDefault="0091670F" w:rsidP="00D3615D">
            <w:pPr>
              <w:spacing w:after="80"/>
              <w:rPr>
                <w:rFonts w:ascii="Calibri" w:eastAsia="Calibri" w:hAnsi="Calibri" w:cs="Times New Roman"/>
                <w:lang w:val="en" w:eastAsia="en-AU"/>
              </w:rPr>
            </w:pPr>
            <w:r w:rsidRPr="00FB7590">
              <w:rPr>
                <w:rFonts w:ascii="Calibri" w:eastAsia="Calibri" w:hAnsi="Calibri" w:cs="Times New Roman"/>
                <w:lang w:val="en" w:eastAsia="en-AU"/>
              </w:rPr>
              <w:t>Other salary costs</w:t>
            </w: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2A9C97E1" w14:textId="7A40677A" w:rsidR="0091670F" w:rsidRPr="00FB7590" w:rsidRDefault="0091670F" w:rsidP="00D3615D">
            <w:pPr>
              <w:spacing w:after="80"/>
              <w:rPr>
                <w:rFonts w:ascii="Calibri" w:eastAsia="Calibri" w:hAnsi="Calibri" w:cs="Times New Roman"/>
                <w:noProof/>
              </w:rPr>
            </w:pP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547B59FF" w14:textId="37635F00" w:rsidR="0091670F" w:rsidRPr="00FB7590" w:rsidRDefault="0091670F" w:rsidP="00D3615D">
            <w:pPr>
              <w:spacing w:after="80"/>
              <w:rPr>
                <w:rFonts w:ascii="Calibri" w:eastAsia="Calibri" w:hAnsi="Calibri" w:cs="Times New Roman"/>
                <w:lang w:val="en" w:eastAsia="en-AU"/>
              </w:rPr>
            </w:pPr>
          </w:p>
        </w:tc>
      </w:tr>
      <w:tr w:rsidR="0091670F" w:rsidRPr="00FB7590" w14:paraId="25623CB2" w14:textId="77777777" w:rsidTr="00930407">
        <w:trPr>
          <w:trHeight w:val="501"/>
        </w:trPr>
        <w:tc>
          <w:tcPr>
            <w:tcW w:w="5504" w:type="dxa"/>
            <w:tcBorders>
              <w:top w:val="single" w:sz="4" w:space="0" w:color="auto"/>
              <w:left w:val="single" w:sz="4" w:space="0" w:color="auto"/>
              <w:bottom w:val="single" w:sz="4" w:space="0" w:color="auto"/>
              <w:right w:val="single" w:sz="4" w:space="0" w:color="auto"/>
            </w:tcBorders>
          </w:tcPr>
          <w:p w14:paraId="25784835" w14:textId="77777777" w:rsidR="0091670F" w:rsidRPr="00FB7590" w:rsidRDefault="0091670F" w:rsidP="00D3615D">
            <w:pPr>
              <w:spacing w:after="80"/>
              <w:rPr>
                <w:rFonts w:ascii="Calibri" w:eastAsia="Calibri" w:hAnsi="Calibri" w:cs="Times New Roman"/>
                <w:lang w:val="en" w:eastAsia="en-AU"/>
              </w:rPr>
            </w:pPr>
            <w:r w:rsidRPr="00FB7590">
              <w:rPr>
                <w:rFonts w:ascii="Calibri" w:eastAsia="Calibri" w:hAnsi="Calibri" w:cs="Times New Roman"/>
                <w:lang w:val="en" w:eastAsia="en-AU"/>
              </w:rPr>
              <w:lastRenderedPageBreak/>
              <w:t>Occupancy costs</w:t>
            </w: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1276DC05" w14:textId="795FE927" w:rsidR="0091670F" w:rsidRPr="00FB7590" w:rsidRDefault="0091670F" w:rsidP="00D3615D">
            <w:pPr>
              <w:spacing w:after="80"/>
              <w:rPr>
                <w:rFonts w:ascii="Calibri" w:eastAsia="Calibri" w:hAnsi="Calibri" w:cs="Times New Roman"/>
                <w:noProof/>
              </w:rPr>
            </w:pP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74E35938" w14:textId="13CEA36B" w:rsidR="0091670F" w:rsidRPr="00FB7590" w:rsidRDefault="0091670F" w:rsidP="00D3615D">
            <w:pPr>
              <w:spacing w:after="80"/>
              <w:rPr>
                <w:rFonts w:ascii="Calibri" w:eastAsia="Calibri" w:hAnsi="Calibri" w:cs="Times New Roman"/>
                <w:lang w:val="en" w:eastAsia="en-AU"/>
              </w:rPr>
            </w:pPr>
          </w:p>
        </w:tc>
      </w:tr>
      <w:tr w:rsidR="0091670F" w:rsidRPr="00FB7590" w14:paraId="4BF56F82" w14:textId="77777777" w:rsidTr="00930407">
        <w:trPr>
          <w:trHeight w:val="501"/>
        </w:trPr>
        <w:tc>
          <w:tcPr>
            <w:tcW w:w="5504" w:type="dxa"/>
            <w:tcBorders>
              <w:top w:val="single" w:sz="4" w:space="0" w:color="auto"/>
              <w:left w:val="single" w:sz="4" w:space="0" w:color="auto"/>
              <w:bottom w:val="single" w:sz="4" w:space="0" w:color="auto"/>
              <w:right w:val="single" w:sz="4" w:space="0" w:color="auto"/>
            </w:tcBorders>
          </w:tcPr>
          <w:p w14:paraId="44BF2F83" w14:textId="77777777" w:rsidR="0091670F" w:rsidRPr="00FB7590" w:rsidRDefault="0091670F" w:rsidP="00D3615D">
            <w:pPr>
              <w:spacing w:after="80"/>
              <w:rPr>
                <w:rFonts w:ascii="Calibri" w:eastAsia="Calibri" w:hAnsi="Calibri" w:cs="Times New Roman"/>
                <w:lang w:val="en" w:eastAsia="en-AU"/>
              </w:rPr>
            </w:pPr>
            <w:r w:rsidRPr="00FB7590">
              <w:rPr>
                <w:rFonts w:ascii="Calibri" w:eastAsia="Calibri" w:hAnsi="Calibri" w:cs="Times New Roman"/>
                <w:lang w:val="en" w:eastAsia="en-AU"/>
              </w:rPr>
              <w:t>Interest paid</w:t>
            </w: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758E8CED" w14:textId="2FD211C6" w:rsidR="0091670F" w:rsidRPr="00FB7590" w:rsidRDefault="0091670F" w:rsidP="00D3615D">
            <w:pPr>
              <w:spacing w:after="80"/>
              <w:rPr>
                <w:rFonts w:ascii="Calibri" w:eastAsia="Calibri" w:hAnsi="Calibri" w:cs="Times New Roman"/>
                <w:noProof/>
              </w:rPr>
            </w:pP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78C16637" w14:textId="6F808097" w:rsidR="0091670F" w:rsidRPr="00FB7590" w:rsidRDefault="0091670F" w:rsidP="00D3615D">
            <w:pPr>
              <w:spacing w:after="80"/>
              <w:rPr>
                <w:rFonts w:ascii="Calibri" w:eastAsia="Calibri" w:hAnsi="Calibri" w:cs="Times New Roman"/>
                <w:lang w:val="en" w:eastAsia="en-AU"/>
              </w:rPr>
            </w:pPr>
          </w:p>
        </w:tc>
      </w:tr>
      <w:tr w:rsidR="0091670F" w:rsidRPr="00FB7590" w14:paraId="526AF6DD" w14:textId="77777777" w:rsidTr="00930407">
        <w:trPr>
          <w:trHeight w:val="483"/>
        </w:trPr>
        <w:tc>
          <w:tcPr>
            <w:tcW w:w="5504" w:type="dxa"/>
            <w:tcBorders>
              <w:top w:val="single" w:sz="4" w:space="0" w:color="auto"/>
              <w:left w:val="single" w:sz="4" w:space="0" w:color="auto"/>
              <w:bottom w:val="single" w:sz="4" w:space="0" w:color="auto"/>
              <w:right w:val="single" w:sz="4" w:space="0" w:color="auto"/>
            </w:tcBorders>
          </w:tcPr>
          <w:p w14:paraId="21C3B8C7" w14:textId="77777777" w:rsidR="0091670F" w:rsidRPr="00FB7590" w:rsidRDefault="0091670F" w:rsidP="00D3615D">
            <w:pPr>
              <w:spacing w:after="80"/>
              <w:rPr>
                <w:rFonts w:ascii="Calibri" w:eastAsia="Calibri" w:hAnsi="Calibri" w:cs="Times New Roman"/>
                <w:lang w:val="en" w:eastAsia="en-AU"/>
              </w:rPr>
            </w:pPr>
            <w:r w:rsidRPr="00FB7590">
              <w:rPr>
                <w:rFonts w:ascii="Calibri" w:eastAsia="Calibri" w:hAnsi="Calibri" w:cs="Times New Roman"/>
                <w:lang w:val="en" w:eastAsia="en-AU"/>
              </w:rPr>
              <w:t xml:space="preserve">Travel, </w:t>
            </w:r>
            <w:r>
              <w:rPr>
                <w:rFonts w:ascii="Calibri" w:eastAsia="Calibri" w:hAnsi="Calibri" w:cs="Times New Roman"/>
                <w:lang w:val="en" w:eastAsia="en-AU"/>
              </w:rPr>
              <w:t>p</w:t>
            </w:r>
            <w:r w:rsidRPr="00FB7590">
              <w:rPr>
                <w:rFonts w:ascii="Calibri" w:eastAsia="Calibri" w:hAnsi="Calibri" w:cs="Times New Roman"/>
                <w:lang w:val="en" w:eastAsia="en-AU"/>
              </w:rPr>
              <w:t xml:space="preserve">ublic </w:t>
            </w:r>
            <w:r>
              <w:rPr>
                <w:rFonts w:ascii="Calibri" w:eastAsia="Calibri" w:hAnsi="Calibri" w:cs="Times New Roman"/>
                <w:lang w:val="en" w:eastAsia="en-AU"/>
              </w:rPr>
              <w:t>r</w:t>
            </w:r>
            <w:r w:rsidRPr="00FB7590">
              <w:rPr>
                <w:rFonts w:ascii="Calibri" w:eastAsia="Calibri" w:hAnsi="Calibri" w:cs="Times New Roman"/>
                <w:lang w:val="en" w:eastAsia="en-AU"/>
              </w:rPr>
              <w:t xml:space="preserve">elations and </w:t>
            </w:r>
            <w:r>
              <w:rPr>
                <w:rFonts w:ascii="Calibri" w:eastAsia="Calibri" w:hAnsi="Calibri" w:cs="Times New Roman"/>
                <w:lang w:val="en" w:eastAsia="en-AU"/>
              </w:rPr>
              <w:t>a</w:t>
            </w:r>
            <w:r w:rsidRPr="00FB7590">
              <w:rPr>
                <w:rFonts w:ascii="Calibri" w:eastAsia="Calibri" w:hAnsi="Calibri" w:cs="Times New Roman"/>
                <w:lang w:val="en" w:eastAsia="en-AU"/>
              </w:rPr>
              <w:t>dvertising</w:t>
            </w: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6C946901" w14:textId="195012D4" w:rsidR="0091670F" w:rsidRPr="00FB7590" w:rsidRDefault="0091670F" w:rsidP="00D3615D">
            <w:pPr>
              <w:spacing w:after="80"/>
              <w:rPr>
                <w:rFonts w:ascii="Calibri" w:eastAsia="Calibri" w:hAnsi="Calibri" w:cs="Times New Roman"/>
                <w:noProof/>
              </w:rPr>
            </w:pP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148D4CD8" w14:textId="2900A895" w:rsidR="0091670F" w:rsidRPr="00FB7590" w:rsidRDefault="0091670F" w:rsidP="00D3615D">
            <w:pPr>
              <w:spacing w:after="80"/>
              <w:rPr>
                <w:rFonts w:ascii="Calibri" w:eastAsia="Calibri" w:hAnsi="Calibri" w:cs="Times New Roman"/>
                <w:lang w:val="en" w:eastAsia="en-AU"/>
              </w:rPr>
            </w:pPr>
          </w:p>
        </w:tc>
      </w:tr>
      <w:tr w:rsidR="0091670F" w:rsidRPr="00FB7590" w14:paraId="21639AFF" w14:textId="77777777" w:rsidTr="00930407">
        <w:trPr>
          <w:trHeight w:val="501"/>
        </w:trPr>
        <w:tc>
          <w:tcPr>
            <w:tcW w:w="5504" w:type="dxa"/>
            <w:tcBorders>
              <w:top w:val="single" w:sz="4" w:space="0" w:color="auto"/>
              <w:left w:val="single" w:sz="4" w:space="0" w:color="auto"/>
              <w:bottom w:val="single" w:sz="4" w:space="0" w:color="auto"/>
              <w:right w:val="single" w:sz="4" w:space="0" w:color="auto"/>
            </w:tcBorders>
          </w:tcPr>
          <w:p w14:paraId="6C8D50E0" w14:textId="77777777" w:rsidR="0091670F" w:rsidRPr="00FB7590" w:rsidRDefault="0091670F" w:rsidP="00D3615D">
            <w:pPr>
              <w:spacing w:after="80"/>
              <w:rPr>
                <w:rFonts w:ascii="Calibri" w:eastAsia="Calibri" w:hAnsi="Calibri" w:cs="Times New Roman"/>
                <w:lang w:val="en" w:eastAsia="en-AU"/>
              </w:rPr>
            </w:pPr>
            <w:r w:rsidRPr="00FB7590">
              <w:rPr>
                <w:rFonts w:ascii="Calibri" w:eastAsia="Calibri" w:hAnsi="Calibri" w:cs="Times New Roman"/>
                <w:lang w:val="en" w:eastAsia="en-AU"/>
              </w:rPr>
              <w:t>Research (including research salaries)</w:t>
            </w: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0464A45B" w14:textId="02AF05E0" w:rsidR="0091670F" w:rsidRPr="00FB7590" w:rsidRDefault="0091670F" w:rsidP="00D3615D">
            <w:pPr>
              <w:spacing w:after="80"/>
              <w:rPr>
                <w:rFonts w:ascii="Calibri" w:eastAsia="Calibri" w:hAnsi="Calibri" w:cs="Times New Roman"/>
                <w:noProof/>
              </w:rPr>
            </w:pP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2401D7A8" w14:textId="2FEF196C" w:rsidR="0091670F" w:rsidRPr="00FB7590" w:rsidRDefault="0091670F" w:rsidP="00D3615D">
            <w:pPr>
              <w:spacing w:after="80"/>
              <w:rPr>
                <w:rFonts w:ascii="Calibri" w:eastAsia="Calibri" w:hAnsi="Calibri" w:cs="Times New Roman"/>
                <w:lang w:val="en" w:eastAsia="en-AU"/>
              </w:rPr>
            </w:pPr>
          </w:p>
        </w:tc>
      </w:tr>
      <w:tr w:rsidR="0091670F" w:rsidRPr="00FB7590" w14:paraId="3E2B508B" w14:textId="77777777" w:rsidTr="00930407">
        <w:trPr>
          <w:trHeight w:val="483"/>
        </w:trPr>
        <w:tc>
          <w:tcPr>
            <w:tcW w:w="5504" w:type="dxa"/>
            <w:tcBorders>
              <w:top w:val="single" w:sz="4" w:space="0" w:color="auto"/>
              <w:left w:val="single" w:sz="4" w:space="0" w:color="auto"/>
              <w:bottom w:val="single" w:sz="4" w:space="0" w:color="auto"/>
              <w:right w:val="single" w:sz="4" w:space="0" w:color="auto"/>
            </w:tcBorders>
          </w:tcPr>
          <w:p w14:paraId="053DE542" w14:textId="77777777" w:rsidR="0091670F" w:rsidRPr="00FB7590" w:rsidRDefault="0091670F" w:rsidP="00D3615D">
            <w:pPr>
              <w:spacing w:after="80"/>
              <w:rPr>
                <w:rFonts w:ascii="Calibri" w:eastAsia="Calibri" w:hAnsi="Calibri" w:cs="Times New Roman"/>
                <w:lang w:val="en" w:eastAsia="en-AU"/>
              </w:rPr>
            </w:pPr>
            <w:r w:rsidRPr="00FB7590">
              <w:rPr>
                <w:rFonts w:ascii="Calibri" w:eastAsia="Calibri" w:hAnsi="Calibri" w:cs="Times New Roman"/>
                <w:lang w:val="en" w:eastAsia="en-AU"/>
              </w:rPr>
              <w:t>Bad and doubtful debts written off/provided for</w:t>
            </w: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3290C66E" w14:textId="66DC961C" w:rsidR="0091670F" w:rsidRPr="00FB7590" w:rsidRDefault="0091670F" w:rsidP="00D3615D">
            <w:pPr>
              <w:spacing w:after="80"/>
              <w:rPr>
                <w:rFonts w:ascii="Calibri" w:eastAsia="Calibri" w:hAnsi="Calibri" w:cs="Times New Roman"/>
                <w:noProof/>
              </w:rPr>
            </w:pP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77193F4D" w14:textId="0F811A5A" w:rsidR="0091670F" w:rsidRPr="00FB7590" w:rsidRDefault="0091670F" w:rsidP="00D3615D">
            <w:pPr>
              <w:spacing w:after="80"/>
              <w:rPr>
                <w:rFonts w:ascii="Calibri" w:eastAsia="Calibri" w:hAnsi="Calibri" w:cs="Times New Roman"/>
                <w:lang w:val="en" w:eastAsia="en-AU"/>
              </w:rPr>
            </w:pPr>
          </w:p>
        </w:tc>
      </w:tr>
      <w:tr w:rsidR="0091670F" w:rsidRPr="00FB7590" w14:paraId="1F8EFEA7" w14:textId="77777777" w:rsidTr="00930407">
        <w:trPr>
          <w:trHeight w:val="501"/>
        </w:trPr>
        <w:tc>
          <w:tcPr>
            <w:tcW w:w="5504" w:type="dxa"/>
            <w:tcBorders>
              <w:top w:val="single" w:sz="4" w:space="0" w:color="auto"/>
              <w:left w:val="single" w:sz="4" w:space="0" w:color="auto"/>
              <w:bottom w:val="single" w:sz="4" w:space="0" w:color="auto"/>
              <w:right w:val="single" w:sz="4" w:space="0" w:color="auto"/>
            </w:tcBorders>
          </w:tcPr>
          <w:p w14:paraId="1EBDAA2F" w14:textId="77777777" w:rsidR="0091670F" w:rsidRPr="00FB7590" w:rsidRDefault="0091670F" w:rsidP="00D3615D">
            <w:pPr>
              <w:spacing w:after="80"/>
              <w:rPr>
                <w:rFonts w:ascii="Calibri" w:eastAsia="Calibri" w:hAnsi="Calibri" w:cs="Times New Roman"/>
                <w:lang w:val="en" w:eastAsia="en-AU"/>
              </w:rPr>
            </w:pPr>
            <w:r w:rsidRPr="00FB7590">
              <w:rPr>
                <w:rFonts w:ascii="Calibri" w:eastAsia="Calibri" w:hAnsi="Calibri" w:cs="Times New Roman"/>
                <w:lang w:val="en" w:eastAsia="en-AU"/>
              </w:rPr>
              <w:t>Audit fees</w:t>
            </w: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6D367DB3" w14:textId="00C83D53" w:rsidR="0091670F" w:rsidRPr="00FB7590" w:rsidRDefault="0091670F" w:rsidP="00D3615D">
            <w:pPr>
              <w:spacing w:after="80"/>
              <w:rPr>
                <w:rFonts w:ascii="Calibri" w:eastAsia="Calibri" w:hAnsi="Calibri" w:cs="Times New Roman"/>
                <w:noProof/>
              </w:rPr>
            </w:pP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5E8137CF" w14:textId="37778F7B" w:rsidR="0091670F" w:rsidRPr="00FB7590" w:rsidRDefault="0091670F" w:rsidP="00D3615D">
            <w:pPr>
              <w:spacing w:after="80"/>
              <w:rPr>
                <w:rFonts w:ascii="Calibri" w:eastAsia="Calibri" w:hAnsi="Calibri" w:cs="Times New Roman"/>
                <w:lang w:val="en" w:eastAsia="en-AU"/>
              </w:rPr>
            </w:pPr>
          </w:p>
        </w:tc>
      </w:tr>
      <w:tr w:rsidR="0091670F" w:rsidRPr="00647606" w14:paraId="400658BA" w14:textId="77777777" w:rsidTr="00930407">
        <w:trPr>
          <w:trHeight w:val="501"/>
        </w:trPr>
        <w:tc>
          <w:tcPr>
            <w:tcW w:w="5504" w:type="dxa"/>
            <w:tcBorders>
              <w:top w:val="single" w:sz="4" w:space="0" w:color="auto"/>
              <w:left w:val="single" w:sz="4" w:space="0" w:color="auto"/>
              <w:bottom w:val="single" w:sz="4" w:space="0" w:color="auto"/>
              <w:right w:val="single" w:sz="4" w:space="0" w:color="auto"/>
            </w:tcBorders>
          </w:tcPr>
          <w:p w14:paraId="4BCC04CA" w14:textId="77777777" w:rsidR="0091670F" w:rsidRPr="00FB4E7C" w:rsidRDefault="0091670F" w:rsidP="00D3615D">
            <w:pPr>
              <w:spacing w:after="80"/>
              <w:rPr>
                <w:rFonts w:ascii="Calibri" w:eastAsia="Calibri" w:hAnsi="Calibri" w:cs="Times New Roman"/>
                <w:lang w:val="fr-FR" w:eastAsia="en-AU"/>
              </w:rPr>
            </w:pPr>
            <w:r w:rsidRPr="00FB4E7C">
              <w:rPr>
                <w:rFonts w:ascii="Calibri" w:eastAsia="Calibri" w:hAnsi="Calibri"/>
                <w:lang w:val="fr-FR"/>
              </w:rPr>
              <w:t>Administration costs (postage, fax, phone etc.)</w:t>
            </w: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6CE09518" w14:textId="24912477" w:rsidR="0091670F" w:rsidRPr="00FB4E7C" w:rsidRDefault="0091670F" w:rsidP="00D3615D">
            <w:pPr>
              <w:spacing w:after="80"/>
              <w:rPr>
                <w:rFonts w:ascii="Calibri" w:eastAsia="Calibri" w:hAnsi="Calibri" w:cs="Times New Roman"/>
                <w:noProof/>
                <w:lang w:val="fr-FR"/>
              </w:rPr>
            </w:pP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7EC4A024" w14:textId="1CE55240" w:rsidR="0091670F" w:rsidRPr="00FB4E7C" w:rsidRDefault="0091670F" w:rsidP="00D3615D">
            <w:pPr>
              <w:spacing w:after="80"/>
              <w:rPr>
                <w:rFonts w:ascii="Calibri" w:eastAsia="Calibri" w:hAnsi="Calibri" w:cs="Times New Roman"/>
                <w:lang w:val="fr-FR" w:eastAsia="en-AU"/>
              </w:rPr>
            </w:pPr>
          </w:p>
        </w:tc>
      </w:tr>
      <w:tr w:rsidR="0091670F" w:rsidRPr="00FB7590" w14:paraId="1DDDE748" w14:textId="77777777" w:rsidTr="00930407">
        <w:trPr>
          <w:trHeight w:val="483"/>
        </w:trPr>
        <w:tc>
          <w:tcPr>
            <w:tcW w:w="5504" w:type="dxa"/>
            <w:tcBorders>
              <w:top w:val="single" w:sz="4" w:space="0" w:color="auto"/>
              <w:left w:val="single" w:sz="4" w:space="0" w:color="auto"/>
              <w:bottom w:val="single" w:sz="4" w:space="0" w:color="auto"/>
              <w:right w:val="single" w:sz="4" w:space="0" w:color="auto"/>
            </w:tcBorders>
          </w:tcPr>
          <w:p w14:paraId="4E86C138" w14:textId="77777777" w:rsidR="0091670F" w:rsidRPr="00FB7590" w:rsidRDefault="0091670F" w:rsidP="00D3615D">
            <w:pPr>
              <w:spacing w:after="80"/>
              <w:rPr>
                <w:rFonts w:ascii="Calibri" w:eastAsia="Calibri" w:hAnsi="Calibri" w:cs="Times New Roman"/>
                <w:lang w:val="en" w:eastAsia="en-AU"/>
              </w:rPr>
            </w:pPr>
            <w:r w:rsidRPr="00FB7590">
              <w:rPr>
                <w:rFonts w:ascii="Calibri" w:eastAsia="Calibri" w:hAnsi="Calibri" w:cs="Times New Roman"/>
                <w:lang w:val="en" w:eastAsia="en-AU"/>
              </w:rPr>
              <w:t>Professional indemnity insurance</w:t>
            </w: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22AF5F88" w14:textId="42AA68AB" w:rsidR="0091670F" w:rsidRPr="00FB7590" w:rsidRDefault="0091670F" w:rsidP="00D3615D">
            <w:pPr>
              <w:spacing w:after="80"/>
              <w:rPr>
                <w:rFonts w:ascii="Calibri" w:eastAsia="Calibri" w:hAnsi="Calibri" w:cs="Times New Roman"/>
                <w:noProof/>
              </w:rPr>
            </w:pP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3CF0A43F" w14:textId="5565EFB9" w:rsidR="0091670F" w:rsidRPr="00FB7590" w:rsidRDefault="0091670F" w:rsidP="00D3615D">
            <w:pPr>
              <w:spacing w:after="80"/>
              <w:rPr>
                <w:rFonts w:ascii="Calibri" w:eastAsia="Calibri" w:hAnsi="Calibri" w:cs="Times New Roman"/>
                <w:lang w:val="en" w:eastAsia="en-AU"/>
              </w:rPr>
            </w:pPr>
          </w:p>
        </w:tc>
      </w:tr>
      <w:tr w:rsidR="0091670F" w:rsidRPr="00FB7590" w14:paraId="29E783FF" w14:textId="77777777" w:rsidTr="00930407">
        <w:trPr>
          <w:trHeight w:val="501"/>
        </w:trPr>
        <w:tc>
          <w:tcPr>
            <w:tcW w:w="5504" w:type="dxa"/>
            <w:tcBorders>
              <w:top w:val="single" w:sz="4" w:space="0" w:color="auto"/>
              <w:left w:val="single" w:sz="4" w:space="0" w:color="auto"/>
              <w:bottom w:val="single" w:sz="4" w:space="0" w:color="auto"/>
              <w:right w:val="single" w:sz="4" w:space="0" w:color="auto"/>
            </w:tcBorders>
          </w:tcPr>
          <w:p w14:paraId="64FE749E" w14:textId="77777777" w:rsidR="0091670F" w:rsidRPr="00FB7590" w:rsidRDefault="0091670F" w:rsidP="00D3615D">
            <w:pPr>
              <w:spacing w:after="80"/>
              <w:rPr>
                <w:rFonts w:ascii="Calibri" w:eastAsia="Calibri" w:hAnsi="Calibri" w:cs="Times New Roman"/>
                <w:lang w:val="en" w:eastAsia="en-AU"/>
              </w:rPr>
            </w:pPr>
            <w:r w:rsidRPr="00FB7590">
              <w:rPr>
                <w:rFonts w:ascii="Calibri" w:eastAsia="Calibri" w:hAnsi="Calibri" w:cs="Times New Roman"/>
                <w:lang w:val="en" w:eastAsia="en-AU"/>
              </w:rPr>
              <w:t>Other insurance costs</w:t>
            </w: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10CCCBD6" w14:textId="6D8A0277" w:rsidR="0091670F" w:rsidRPr="00FB7590" w:rsidRDefault="0091670F" w:rsidP="00D3615D">
            <w:pPr>
              <w:spacing w:after="80"/>
              <w:rPr>
                <w:rFonts w:ascii="Calibri" w:eastAsia="Calibri" w:hAnsi="Calibri" w:cs="Times New Roman"/>
                <w:noProof/>
              </w:rPr>
            </w:pP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1BB47C94" w14:textId="1E7E4782" w:rsidR="0091670F" w:rsidRPr="00FB7590" w:rsidRDefault="0091670F" w:rsidP="00D3615D">
            <w:pPr>
              <w:spacing w:after="80"/>
              <w:rPr>
                <w:rFonts w:ascii="Calibri" w:eastAsia="Calibri" w:hAnsi="Calibri" w:cs="Times New Roman"/>
                <w:lang w:val="en" w:eastAsia="en-AU"/>
              </w:rPr>
            </w:pPr>
          </w:p>
        </w:tc>
      </w:tr>
      <w:tr w:rsidR="0091670F" w:rsidRPr="00FB7590" w14:paraId="06EE3F37" w14:textId="77777777" w:rsidTr="00930407">
        <w:trPr>
          <w:trHeight w:val="501"/>
        </w:trPr>
        <w:tc>
          <w:tcPr>
            <w:tcW w:w="5504" w:type="dxa"/>
            <w:tcBorders>
              <w:top w:val="single" w:sz="4" w:space="0" w:color="auto"/>
              <w:left w:val="single" w:sz="4" w:space="0" w:color="auto"/>
              <w:bottom w:val="single" w:sz="4" w:space="0" w:color="auto"/>
              <w:right w:val="single" w:sz="4" w:space="0" w:color="auto"/>
            </w:tcBorders>
          </w:tcPr>
          <w:p w14:paraId="31BF9C16" w14:textId="77777777" w:rsidR="0091670F" w:rsidRPr="00FB7590" w:rsidRDefault="0091670F" w:rsidP="00D3615D">
            <w:pPr>
              <w:spacing w:after="80"/>
              <w:rPr>
                <w:rFonts w:ascii="Calibri" w:eastAsia="Calibri" w:hAnsi="Calibri" w:cs="Times New Roman"/>
                <w:lang w:val="en" w:eastAsia="en-AU"/>
              </w:rPr>
            </w:pPr>
            <w:r w:rsidRPr="00FB7590">
              <w:rPr>
                <w:rFonts w:ascii="Calibri" w:eastAsia="Calibri" w:hAnsi="Calibri" w:cs="Times New Roman"/>
                <w:lang w:val="en" w:eastAsia="en-AU"/>
              </w:rPr>
              <w:t>All management/service fees paid to associated entities</w:t>
            </w: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1ED3D8A7" w14:textId="6BFDE47B" w:rsidR="0091670F" w:rsidRPr="00FB7590" w:rsidRDefault="0091670F" w:rsidP="00D3615D">
            <w:pPr>
              <w:spacing w:after="80"/>
              <w:rPr>
                <w:rFonts w:ascii="Calibri" w:eastAsia="Calibri" w:hAnsi="Calibri" w:cs="Times New Roman"/>
                <w:noProof/>
              </w:rPr>
            </w:pP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402B3E48" w14:textId="628D90EE" w:rsidR="0091670F" w:rsidRPr="00FB7590" w:rsidRDefault="0091670F" w:rsidP="00D3615D">
            <w:pPr>
              <w:spacing w:after="80"/>
              <w:rPr>
                <w:rFonts w:ascii="Calibri" w:eastAsia="Calibri" w:hAnsi="Calibri" w:cs="Times New Roman"/>
                <w:lang w:val="en" w:eastAsia="en-AU"/>
              </w:rPr>
            </w:pPr>
          </w:p>
        </w:tc>
      </w:tr>
      <w:tr w:rsidR="0091670F" w:rsidRPr="00FB7590" w14:paraId="5FA68CDF" w14:textId="77777777" w:rsidTr="00930407">
        <w:trPr>
          <w:trHeight w:val="483"/>
        </w:trPr>
        <w:tc>
          <w:tcPr>
            <w:tcW w:w="5504" w:type="dxa"/>
            <w:tcBorders>
              <w:top w:val="single" w:sz="4" w:space="0" w:color="auto"/>
              <w:left w:val="single" w:sz="4" w:space="0" w:color="auto"/>
              <w:bottom w:val="single" w:sz="4" w:space="0" w:color="auto"/>
              <w:right w:val="single" w:sz="4" w:space="0" w:color="auto"/>
            </w:tcBorders>
          </w:tcPr>
          <w:p w14:paraId="7CFBDF2B" w14:textId="77777777" w:rsidR="0091670F" w:rsidRPr="00FB7590" w:rsidRDefault="0091670F" w:rsidP="00D3615D">
            <w:pPr>
              <w:spacing w:after="80"/>
              <w:rPr>
                <w:rFonts w:ascii="Calibri" w:eastAsia="Calibri" w:hAnsi="Calibri" w:cs="Times New Roman"/>
                <w:lang w:val="en" w:eastAsia="en-AU"/>
              </w:rPr>
            </w:pPr>
            <w:r w:rsidRPr="00FB7590">
              <w:rPr>
                <w:rFonts w:ascii="Calibri" w:eastAsia="Calibri" w:hAnsi="Calibri" w:cs="Times New Roman"/>
                <w:lang w:val="en" w:eastAsia="en-AU"/>
              </w:rPr>
              <w:t>Depreciation/</w:t>
            </w:r>
            <w:r>
              <w:rPr>
                <w:rFonts w:ascii="Calibri" w:eastAsia="Calibri" w:hAnsi="Calibri" w:cs="Times New Roman"/>
                <w:lang w:val="en" w:eastAsia="en-AU"/>
              </w:rPr>
              <w:t>a</w:t>
            </w:r>
            <w:r w:rsidRPr="00FB7590">
              <w:rPr>
                <w:rFonts w:ascii="Calibri" w:eastAsia="Calibri" w:hAnsi="Calibri" w:cs="Times New Roman"/>
                <w:lang w:val="en" w:eastAsia="en-AU"/>
              </w:rPr>
              <w:t>mortisation of fixed and intangible assets</w:t>
            </w: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65AD6BAE" w14:textId="77B96EDC" w:rsidR="0091670F" w:rsidRPr="00FB7590" w:rsidRDefault="0091670F" w:rsidP="00D3615D">
            <w:pPr>
              <w:spacing w:after="80"/>
              <w:rPr>
                <w:rFonts w:ascii="Calibri" w:eastAsia="Calibri" w:hAnsi="Calibri" w:cs="Times New Roman"/>
                <w:noProof/>
              </w:rPr>
            </w:pP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4908E42D" w14:textId="063343B7" w:rsidR="0091670F" w:rsidRPr="00FB7590" w:rsidRDefault="0091670F" w:rsidP="00D3615D">
            <w:pPr>
              <w:spacing w:after="80"/>
              <w:rPr>
                <w:rFonts w:ascii="Calibri" w:eastAsia="Calibri" w:hAnsi="Calibri" w:cs="Times New Roman"/>
                <w:lang w:val="en" w:eastAsia="en-AU"/>
              </w:rPr>
            </w:pPr>
          </w:p>
        </w:tc>
      </w:tr>
      <w:tr w:rsidR="0091670F" w:rsidRPr="00FB7590" w14:paraId="1A794615" w14:textId="77777777" w:rsidTr="00930407">
        <w:trPr>
          <w:trHeight w:val="501"/>
        </w:trPr>
        <w:tc>
          <w:tcPr>
            <w:tcW w:w="5504" w:type="dxa"/>
            <w:tcBorders>
              <w:top w:val="single" w:sz="4" w:space="0" w:color="auto"/>
              <w:left w:val="single" w:sz="4" w:space="0" w:color="auto"/>
              <w:bottom w:val="single" w:sz="4" w:space="0" w:color="auto"/>
              <w:right w:val="single" w:sz="4" w:space="0" w:color="auto"/>
            </w:tcBorders>
          </w:tcPr>
          <w:p w14:paraId="13774139" w14:textId="77777777" w:rsidR="0091670F" w:rsidRPr="00FB7590" w:rsidRDefault="0091670F" w:rsidP="00D3615D">
            <w:pPr>
              <w:spacing w:after="80"/>
              <w:rPr>
                <w:rFonts w:ascii="Calibri" w:eastAsia="Calibri" w:hAnsi="Calibri" w:cs="Times New Roman"/>
                <w:lang w:val="en" w:eastAsia="en-AU"/>
              </w:rPr>
            </w:pPr>
            <w:r w:rsidRPr="00FB7590">
              <w:rPr>
                <w:rFonts w:ascii="Calibri" w:eastAsia="Calibri" w:hAnsi="Calibri" w:cs="Times New Roman"/>
                <w:lang w:val="en" w:eastAsia="en-AU"/>
              </w:rPr>
              <w:t>Finance lease payments</w:t>
            </w: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610DE4FF" w14:textId="475C2832" w:rsidR="0091670F" w:rsidRPr="00FB7590" w:rsidRDefault="0091670F" w:rsidP="00D3615D">
            <w:pPr>
              <w:spacing w:after="80"/>
              <w:rPr>
                <w:rFonts w:ascii="Calibri" w:eastAsia="Calibri" w:hAnsi="Calibri" w:cs="Times New Roman"/>
                <w:noProof/>
              </w:rPr>
            </w:pP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6D16FACD" w14:textId="1FDEF4A5" w:rsidR="0091670F" w:rsidRPr="00FB7590" w:rsidRDefault="0091670F" w:rsidP="00D3615D">
            <w:pPr>
              <w:spacing w:after="80"/>
              <w:rPr>
                <w:rFonts w:ascii="Calibri" w:eastAsia="Calibri" w:hAnsi="Calibri" w:cs="Times New Roman"/>
                <w:lang w:val="en" w:eastAsia="en-AU"/>
              </w:rPr>
            </w:pPr>
          </w:p>
        </w:tc>
      </w:tr>
      <w:tr w:rsidR="0091670F" w:rsidRPr="00FB7590" w14:paraId="0491DC81" w14:textId="77777777" w:rsidTr="00930407">
        <w:trPr>
          <w:trHeight w:val="483"/>
        </w:trPr>
        <w:tc>
          <w:tcPr>
            <w:tcW w:w="5504" w:type="dxa"/>
            <w:tcBorders>
              <w:top w:val="single" w:sz="4" w:space="0" w:color="auto"/>
              <w:left w:val="single" w:sz="4" w:space="0" w:color="auto"/>
              <w:bottom w:val="single" w:sz="4" w:space="0" w:color="auto"/>
              <w:right w:val="single" w:sz="4" w:space="0" w:color="auto"/>
            </w:tcBorders>
          </w:tcPr>
          <w:p w14:paraId="39825E68" w14:textId="77777777" w:rsidR="0091670F" w:rsidRPr="00FB7590" w:rsidRDefault="0091670F" w:rsidP="00D3615D">
            <w:pPr>
              <w:spacing w:after="80"/>
              <w:rPr>
                <w:rFonts w:ascii="Calibri" w:eastAsia="Calibri" w:hAnsi="Calibri" w:cs="Times New Roman"/>
                <w:lang w:val="en" w:eastAsia="en-AU"/>
              </w:rPr>
            </w:pPr>
            <w:r w:rsidRPr="00FB7590">
              <w:rPr>
                <w:rFonts w:ascii="Calibri" w:eastAsia="Calibri" w:hAnsi="Calibri" w:cs="Times New Roman"/>
                <w:lang w:val="en" w:eastAsia="en-AU"/>
              </w:rPr>
              <w:t>Operating lease payments (other than occupancy)</w:t>
            </w: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596CA042" w14:textId="5F6CF7A5" w:rsidR="0091670F" w:rsidRPr="00FB7590" w:rsidRDefault="0091670F" w:rsidP="00D3615D">
            <w:pPr>
              <w:spacing w:after="80"/>
              <w:rPr>
                <w:rFonts w:ascii="Calibri" w:eastAsia="Calibri" w:hAnsi="Calibri" w:cs="Times New Roman"/>
                <w:lang w:val="en" w:eastAsia="en-AU"/>
              </w:rPr>
            </w:pP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374CF412" w14:textId="357EE03B" w:rsidR="0091670F" w:rsidRPr="00FB7590" w:rsidRDefault="0091670F" w:rsidP="00D3615D">
            <w:pPr>
              <w:spacing w:after="80"/>
              <w:rPr>
                <w:rFonts w:ascii="Calibri" w:eastAsia="Calibri" w:hAnsi="Calibri" w:cs="Times New Roman"/>
                <w:sz w:val="20"/>
                <w:szCs w:val="20"/>
                <w:lang w:val="en" w:eastAsia="en-AU"/>
              </w:rPr>
            </w:pPr>
          </w:p>
        </w:tc>
      </w:tr>
      <w:tr w:rsidR="0091670F" w:rsidRPr="00FB7590" w14:paraId="1B366F88" w14:textId="77777777" w:rsidTr="00930407">
        <w:trPr>
          <w:trHeight w:val="339"/>
        </w:trPr>
        <w:tc>
          <w:tcPr>
            <w:tcW w:w="12410" w:type="dxa"/>
            <w:gridSpan w:val="3"/>
            <w:tcBorders>
              <w:top w:val="single" w:sz="4" w:space="0" w:color="auto"/>
              <w:left w:val="single" w:sz="4" w:space="0" w:color="auto"/>
              <w:bottom w:val="single" w:sz="4" w:space="0" w:color="auto"/>
              <w:right w:val="single" w:sz="4" w:space="0" w:color="auto"/>
            </w:tcBorders>
            <w:shd w:val="clear" w:color="auto" w:fill="auto"/>
          </w:tcPr>
          <w:p w14:paraId="6AC4E4E7" w14:textId="77777777" w:rsidR="0091670F" w:rsidRPr="00FB7590" w:rsidRDefault="0091670F" w:rsidP="00D3615D">
            <w:pPr>
              <w:spacing w:after="80"/>
              <w:rPr>
                <w:rFonts w:ascii="Calibri" w:eastAsia="Calibri" w:hAnsi="Calibri" w:cs="Times New Roman"/>
                <w:lang w:val="en" w:eastAsia="en-AU"/>
              </w:rPr>
            </w:pPr>
            <w:r w:rsidRPr="00FB7590">
              <w:rPr>
                <w:rFonts w:ascii="Calibri" w:eastAsia="Calibri" w:hAnsi="Calibri" w:cs="Times New Roman"/>
                <w:lang w:val="en" w:eastAsia="en-AU"/>
              </w:rPr>
              <w:t>Other expenses</w:t>
            </w:r>
          </w:p>
          <w:p w14:paraId="1E8E59EC" w14:textId="77777777" w:rsidR="0091670F" w:rsidRPr="00FB7590" w:rsidRDefault="0091670F" w:rsidP="00D3615D">
            <w:pPr>
              <w:spacing w:after="80"/>
              <w:rPr>
                <w:rFonts w:ascii="Calibri" w:eastAsia="Calibri" w:hAnsi="Calibri" w:cs="Times New Roman"/>
                <w:sz w:val="20"/>
                <w:szCs w:val="20"/>
                <w:lang w:val="en" w:eastAsia="en-AU"/>
              </w:rPr>
            </w:pPr>
          </w:p>
        </w:tc>
      </w:tr>
      <w:tr w:rsidR="0091670F" w:rsidRPr="00FB7590" w14:paraId="067BC13A" w14:textId="77777777" w:rsidTr="00930407">
        <w:trPr>
          <w:trHeight w:val="459"/>
        </w:trPr>
        <w:tc>
          <w:tcPr>
            <w:tcW w:w="5504" w:type="dxa"/>
            <w:tcBorders>
              <w:top w:val="single" w:sz="4" w:space="0" w:color="auto"/>
              <w:left w:val="single" w:sz="4" w:space="0" w:color="auto"/>
              <w:bottom w:val="single" w:sz="4" w:space="0" w:color="auto"/>
              <w:right w:val="single" w:sz="4" w:space="0" w:color="auto"/>
            </w:tcBorders>
          </w:tcPr>
          <w:p w14:paraId="12617CB7" w14:textId="63FBA7C8" w:rsidR="0091670F" w:rsidRPr="00FB7590" w:rsidRDefault="0091670F" w:rsidP="00D3615D">
            <w:pPr>
              <w:spacing w:after="80"/>
              <w:rPr>
                <w:rFonts w:ascii="Calibri" w:eastAsia="Calibri" w:hAnsi="Calibri" w:cs="Times New Roman"/>
                <w:lang w:val="en" w:eastAsia="en-AU"/>
              </w:rPr>
            </w:pP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40FA36D2" w14:textId="0E3738B1" w:rsidR="0091670F" w:rsidRPr="00FB7590" w:rsidRDefault="0091670F" w:rsidP="00D3615D">
            <w:pPr>
              <w:spacing w:after="80"/>
              <w:rPr>
                <w:rFonts w:ascii="Calibri" w:eastAsia="Calibri" w:hAnsi="Calibri" w:cs="Times New Roman"/>
                <w:noProof/>
              </w:rPr>
            </w:pP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5A15F4EC" w14:textId="60FABD26" w:rsidR="0091670F" w:rsidRPr="00FB7590" w:rsidRDefault="0091670F" w:rsidP="00D3615D">
            <w:pPr>
              <w:spacing w:after="80"/>
              <w:rPr>
                <w:rFonts w:ascii="Calibri" w:eastAsia="Calibri" w:hAnsi="Calibri" w:cs="Times New Roman"/>
                <w:b/>
                <w:i/>
                <w:strike/>
                <w:color w:val="8064A2"/>
              </w:rPr>
            </w:pPr>
          </w:p>
        </w:tc>
      </w:tr>
      <w:tr w:rsidR="0091670F" w:rsidRPr="00FB7590" w14:paraId="2A25143E" w14:textId="77777777" w:rsidTr="00930407">
        <w:trPr>
          <w:trHeight w:val="523"/>
        </w:trPr>
        <w:tc>
          <w:tcPr>
            <w:tcW w:w="5504" w:type="dxa"/>
            <w:tcBorders>
              <w:top w:val="single" w:sz="4" w:space="0" w:color="auto"/>
              <w:left w:val="single" w:sz="4" w:space="0" w:color="auto"/>
              <w:bottom w:val="single" w:sz="4" w:space="0" w:color="auto"/>
              <w:right w:val="single" w:sz="4" w:space="0" w:color="auto"/>
            </w:tcBorders>
            <w:shd w:val="clear" w:color="auto" w:fill="auto"/>
          </w:tcPr>
          <w:p w14:paraId="54B07841" w14:textId="77777777" w:rsidR="0091670F" w:rsidRPr="00FB7590" w:rsidRDefault="0091670F" w:rsidP="00D3615D">
            <w:pPr>
              <w:spacing w:after="80"/>
              <w:rPr>
                <w:rFonts w:ascii="Calibri" w:eastAsia="Calibri" w:hAnsi="Calibri" w:cs="Times New Roman"/>
                <w:b/>
                <w:lang w:val="en" w:eastAsia="en-AU"/>
              </w:rPr>
            </w:pPr>
            <w:r w:rsidRPr="00FB7590">
              <w:rPr>
                <w:rFonts w:ascii="Calibri" w:eastAsia="Calibri" w:hAnsi="Calibri" w:cs="Times New Roman"/>
                <w:b/>
                <w:lang w:val="en" w:eastAsia="en-AU"/>
              </w:rPr>
              <w:t xml:space="preserve">Total </w:t>
            </w:r>
            <w:r>
              <w:rPr>
                <w:rFonts w:ascii="Calibri" w:eastAsia="Calibri" w:hAnsi="Calibri" w:cs="Times New Roman"/>
                <w:b/>
                <w:lang w:val="en" w:eastAsia="en-AU"/>
              </w:rPr>
              <w:t>e</w:t>
            </w:r>
            <w:r w:rsidRPr="00FB7590">
              <w:rPr>
                <w:rFonts w:ascii="Calibri" w:eastAsia="Calibri" w:hAnsi="Calibri" w:cs="Times New Roman"/>
                <w:b/>
                <w:lang w:val="en" w:eastAsia="en-AU"/>
              </w:rPr>
              <w:t>xpenses</w:t>
            </w: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11023992" w14:textId="04000986" w:rsidR="0091670F" w:rsidRPr="00FB7590" w:rsidRDefault="0091670F" w:rsidP="00D3615D">
            <w:pPr>
              <w:spacing w:after="80"/>
              <w:rPr>
                <w:rFonts w:ascii="Calibri" w:eastAsia="Calibri" w:hAnsi="Calibri" w:cs="Times New Roman"/>
                <w:b/>
              </w:rPr>
            </w:pPr>
          </w:p>
        </w:tc>
        <w:tc>
          <w:tcPr>
            <w:tcW w:w="3453" w:type="dxa"/>
            <w:tcBorders>
              <w:top w:val="single" w:sz="4" w:space="0" w:color="auto"/>
              <w:left w:val="single" w:sz="4" w:space="0" w:color="auto"/>
              <w:bottom w:val="single" w:sz="4" w:space="0" w:color="auto"/>
              <w:right w:val="single" w:sz="4" w:space="0" w:color="auto"/>
            </w:tcBorders>
            <w:shd w:val="clear" w:color="auto" w:fill="auto"/>
          </w:tcPr>
          <w:p w14:paraId="1D67555B" w14:textId="7786A8A0" w:rsidR="0091670F" w:rsidRPr="00FB7590" w:rsidRDefault="0091670F" w:rsidP="00D3615D">
            <w:pPr>
              <w:spacing w:after="80"/>
              <w:rPr>
                <w:rFonts w:ascii="Calibri" w:eastAsia="Calibri" w:hAnsi="Calibri" w:cs="Times New Roman"/>
                <w:b/>
                <w:lang w:val="en" w:eastAsia="en-AU"/>
              </w:rPr>
            </w:pPr>
          </w:p>
        </w:tc>
      </w:tr>
    </w:tbl>
    <w:p w14:paraId="757FAFED" w14:textId="7D69A3EE" w:rsidR="003A1BE7" w:rsidRPr="00930407" w:rsidRDefault="0091670F" w:rsidP="00D3615D">
      <w:pPr>
        <w:keepNext/>
        <w:spacing w:before="240" w:after="120"/>
        <w:outlineLvl w:val="3"/>
        <w:rPr>
          <w:rFonts w:ascii="Calibri" w:hAnsi="Calibri" w:cs="Helvetica"/>
          <w:b/>
          <w:sz w:val="24"/>
          <w:szCs w:val="24"/>
          <w:lang w:val="en"/>
        </w:rPr>
      </w:pPr>
      <w:r w:rsidRPr="00930407">
        <w:rPr>
          <w:rFonts w:ascii="Calibri" w:hAnsi="Calibri" w:cs="Helvetica"/>
          <w:b/>
          <w:sz w:val="24"/>
          <w:szCs w:val="24"/>
          <w:lang w:val="en"/>
        </w:rPr>
        <w:lastRenderedPageBreak/>
        <w:t>Net profit/(loss)</w:t>
      </w:r>
    </w:p>
    <w:tbl>
      <w:tblPr>
        <w:tblStyle w:val="TableGrid8"/>
        <w:tblW w:w="12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4210"/>
        <w:gridCol w:w="3448"/>
      </w:tblGrid>
      <w:tr w:rsidR="0091670F" w:rsidRPr="00FB7590" w14:paraId="145A7DCF" w14:textId="77777777" w:rsidTr="00930407">
        <w:tc>
          <w:tcPr>
            <w:tcW w:w="5154" w:type="dxa"/>
            <w:tcBorders>
              <w:top w:val="single" w:sz="4" w:space="0" w:color="auto"/>
              <w:left w:val="single" w:sz="4" w:space="0" w:color="auto"/>
              <w:bottom w:val="single" w:sz="4" w:space="0" w:color="auto"/>
              <w:right w:val="single" w:sz="4" w:space="0" w:color="auto"/>
            </w:tcBorders>
            <w:shd w:val="clear" w:color="auto" w:fill="0070C0"/>
          </w:tcPr>
          <w:p w14:paraId="5B65AC27" w14:textId="77777777" w:rsidR="0091670F" w:rsidRPr="00FB7590" w:rsidRDefault="0091670F" w:rsidP="00D3615D">
            <w:pPr>
              <w:spacing w:before="40" w:after="120"/>
              <w:rPr>
                <w:rFonts w:ascii="Calibri" w:eastAsia="Calibri" w:hAnsi="Calibri" w:cs="Times New Roman"/>
                <w:b/>
                <w:color w:val="FFFFFF"/>
                <w:lang w:val="en" w:eastAsia="en-AU"/>
              </w:rPr>
            </w:pPr>
          </w:p>
        </w:tc>
        <w:tc>
          <w:tcPr>
            <w:tcW w:w="4210" w:type="dxa"/>
            <w:tcBorders>
              <w:top w:val="single" w:sz="4" w:space="0" w:color="auto"/>
              <w:left w:val="single" w:sz="4" w:space="0" w:color="auto"/>
              <w:bottom w:val="single" w:sz="4" w:space="0" w:color="auto"/>
              <w:right w:val="single" w:sz="4" w:space="0" w:color="auto"/>
            </w:tcBorders>
            <w:shd w:val="clear" w:color="auto" w:fill="0070C0"/>
          </w:tcPr>
          <w:p w14:paraId="668A3280" w14:textId="77777777" w:rsidR="0091670F" w:rsidRPr="00FB7590" w:rsidRDefault="0091670F" w:rsidP="00D3615D">
            <w:pPr>
              <w:spacing w:before="40" w:after="120"/>
              <w:rPr>
                <w:rFonts w:ascii="Calibri" w:eastAsia="Calibri" w:hAnsi="Calibri" w:cs="Times New Roman"/>
                <w:b/>
                <w:color w:val="FFFFFF"/>
                <w:lang w:val="en" w:eastAsia="en-AU"/>
              </w:rPr>
            </w:pPr>
            <w:r w:rsidRPr="00FB7590">
              <w:rPr>
                <w:rFonts w:ascii="Calibri" w:eastAsia="Calibri" w:hAnsi="Calibri" w:cs="Times New Roman"/>
                <w:b/>
                <w:color w:val="FFFFFF"/>
                <w:lang w:val="en" w:eastAsia="en-AU"/>
              </w:rPr>
              <w:t>Current</w:t>
            </w:r>
          </w:p>
        </w:tc>
        <w:tc>
          <w:tcPr>
            <w:tcW w:w="3448" w:type="dxa"/>
            <w:tcBorders>
              <w:top w:val="single" w:sz="4" w:space="0" w:color="auto"/>
              <w:left w:val="single" w:sz="4" w:space="0" w:color="auto"/>
              <w:bottom w:val="single" w:sz="4" w:space="0" w:color="auto"/>
              <w:right w:val="single" w:sz="4" w:space="0" w:color="auto"/>
            </w:tcBorders>
            <w:shd w:val="clear" w:color="auto" w:fill="0070C0"/>
          </w:tcPr>
          <w:p w14:paraId="5EC04CA3" w14:textId="77777777" w:rsidR="0091670F" w:rsidRPr="00FB7590" w:rsidRDefault="0091670F" w:rsidP="00D3615D">
            <w:pPr>
              <w:spacing w:before="40" w:after="120"/>
              <w:rPr>
                <w:rFonts w:ascii="Calibri" w:eastAsia="Calibri" w:hAnsi="Calibri" w:cs="Times New Roman"/>
                <w:b/>
                <w:color w:val="FFFFFF"/>
                <w:lang w:val="en" w:eastAsia="en-AU"/>
              </w:rPr>
            </w:pPr>
            <w:r w:rsidRPr="00FB7590">
              <w:rPr>
                <w:rFonts w:ascii="Calibri" w:eastAsia="Calibri" w:hAnsi="Calibri" w:cs="Times New Roman"/>
                <w:b/>
                <w:color w:val="FFFFFF"/>
                <w:lang w:val="en" w:eastAsia="en-AU"/>
              </w:rPr>
              <w:t>Prior</w:t>
            </w:r>
          </w:p>
        </w:tc>
      </w:tr>
      <w:tr w:rsidR="0091670F" w:rsidRPr="00FB7590" w14:paraId="11769AC4" w14:textId="77777777" w:rsidTr="00930407">
        <w:tc>
          <w:tcPr>
            <w:tcW w:w="5154" w:type="dxa"/>
            <w:tcBorders>
              <w:top w:val="single" w:sz="4" w:space="0" w:color="auto"/>
              <w:left w:val="single" w:sz="4" w:space="0" w:color="auto"/>
              <w:bottom w:val="single" w:sz="4" w:space="0" w:color="auto"/>
              <w:right w:val="single" w:sz="4" w:space="0" w:color="auto"/>
            </w:tcBorders>
          </w:tcPr>
          <w:p w14:paraId="6E992678" w14:textId="77777777" w:rsidR="0091670F" w:rsidRPr="00FB7590" w:rsidRDefault="0091670F" w:rsidP="00D3615D">
            <w:pPr>
              <w:spacing w:after="120"/>
              <w:rPr>
                <w:rFonts w:ascii="Calibri" w:eastAsia="Calibri" w:hAnsi="Calibri" w:cs="Times New Roman"/>
                <w:lang w:val="en" w:eastAsia="en-AU"/>
              </w:rPr>
            </w:pPr>
            <w:r w:rsidRPr="00FB7590">
              <w:rPr>
                <w:rFonts w:ascii="Calibri" w:eastAsia="Calibri" w:hAnsi="Calibri" w:cs="Times New Roman"/>
                <w:lang w:val="en" w:eastAsia="en-AU"/>
              </w:rPr>
              <w:t>Profit before income tax</w:t>
            </w:r>
          </w:p>
        </w:tc>
        <w:tc>
          <w:tcPr>
            <w:tcW w:w="4210" w:type="dxa"/>
            <w:tcBorders>
              <w:top w:val="single" w:sz="4" w:space="0" w:color="auto"/>
              <w:left w:val="single" w:sz="4" w:space="0" w:color="auto"/>
              <w:bottom w:val="single" w:sz="4" w:space="0" w:color="auto"/>
              <w:right w:val="single" w:sz="4" w:space="0" w:color="auto"/>
            </w:tcBorders>
            <w:shd w:val="clear" w:color="auto" w:fill="auto"/>
          </w:tcPr>
          <w:p w14:paraId="522AD8B2" w14:textId="77777777" w:rsidR="0091670F" w:rsidRPr="00FB7590" w:rsidRDefault="0091670F" w:rsidP="00D3615D">
            <w:pPr>
              <w:spacing w:after="120"/>
              <w:rPr>
                <w:rFonts w:ascii="Calibri" w:eastAsia="Calibri" w:hAnsi="Calibri" w:cs="Times New Roman"/>
              </w:rPr>
            </w:pP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50C81355" w14:textId="591B05ED" w:rsidR="0091670F" w:rsidRPr="00FB7590" w:rsidRDefault="0091670F" w:rsidP="00D3615D">
            <w:pPr>
              <w:spacing w:after="120"/>
              <w:rPr>
                <w:rFonts w:ascii="Calibri" w:eastAsia="Calibri" w:hAnsi="Calibri" w:cs="Times New Roman"/>
                <w:lang w:val="en" w:eastAsia="en-AU"/>
              </w:rPr>
            </w:pPr>
          </w:p>
        </w:tc>
      </w:tr>
      <w:tr w:rsidR="0091670F" w:rsidRPr="00FB7590" w14:paraId="1E67A59D" w14:textId="77777777" w:rsidTr="00930407">
        <w:tc>
          <w:tcPr>
            <w:tcW w:w="5154" w:type="dxa"/>
            <w:tcBorders>
              <w:top w:val="single" w:sz="4" w:space="0" w:color="auto"/>
              <w:left w:val="single" w:sz="4" w:space="0" w:color="auto"/>
              <w:bottom w:val="single" w:sz="4" w:space="0" w:color="auto"/>
              <w:right w:val="single" w:sz="4" w:space="0" w:color="auto"/>
            </w:tcBorders>
          </w:tcPr>
          <w:p w14:paraId="0E1C147E" w14:textId="77777777" w:rsidR="0091670F" w:rsidRPr="00FB7590" w:rsidRDefault="0091670F" w:rsidP="00D3615D">
            <w:pPr>
              <w:spacing w:after="120"/>
              <w:rPr>
                <w:rFonts w:ascii="Calibri" w:eastAsia="Calibri" w:hAnsi="Calibri" w:cs="Times New Roman"/>
                <w:lang w:val="en" w:eastAsia="en-AU"/>
              </w:rPr>
            </w:pPr>
            <w:r w:rsidRPr="00FB7590">
              <w:rPr>
                <w:rFonts w:ascii="Calibri" w:eastAsia="Calibri" w:hAnsi="Calibri" w:cs="Times New Roman"/>
                <w:lang w:val="en" w:eastAsia="en-AU"/>
              </w:rPr>
              <w:t>Income tax - expense</w:t>
            </w:r>
          </w:p>
        </w:tc>
        <w:tc>
          <w:tcPr>
            <w:tcW w:w="4210" w:type="dxa"/>
            <w:tcBorders>
              <w:top w:val="single" w:sz="4" w:space="0" w:color="auto"/>
              <w:left w:val="single" w:sz="4" w:space="0" w:color="auto"/>
              <w:bottom w:val="single" w:sz="4" w:space="0" w:color="auto"/>
              <w:right w:val="single" w:sz="4" w:space="0" w:color="auto"/>
            </w:tcBorders>
            <w:shd w:val="clear" w:color="auto" w:fill="auto"/>
          </w:tcPr>
          <w:p w14:paraId="664ADD98" w14:textId="43839302" w:rsidR="0091670F" w:rsidRPr="00FB7590" w:rsidRDefault="0091670F" w:rsidP="00D3615D">
            <w:pPr>
              <w:spacing w:after="120"/>
              <w:rPr>
                <w:rFonts w:ascii="Calibri" w:eastAsia="Calibri" w:hAnsi="Calibri" w:cs="Times New Roman"/>
                <w:noProof/>
              </w:rPr>
            </w:pP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6123F66B" w14:textId="7C82DDCA" w:rsidR="0091670F" w:rsidRPr="00FB7590" w:rsidRDefault="0091670F" w:rsidP="00D3615D">
            <w:pPr>
              <w:spacing w:after="120"/>
              <w:rPr>
                <w:rFonts w:ascii="Calibri" w:eastAsia="Calibri" w:hAnsi="Calibri" w:cs="Times New Roman"/>
                <w:lang w:val="en" w:eastAsia="en-AU"/>
              </w:rPr>
            </w:pPr>
          </w:p>
        </w:tc>
      </w:tr>
      <w:tr w:rsidR="0091670F" w:rsidRPr="00FB7590" w14:paraId="3734BC80" w14:textId="77777777" w:rsidTr="00930407">
        <w:tc>
          <w:tcPr>
            <w:tcW w:w="5154" w:type="dxa"/>
            <w:tcBorders>
              <w:top w:val="single" w:sz="4" w:space="0" w:color="auto"/>
              <w:left w:val="single" w:sz="4" w:space="0" w:color="auto"/>
              <w:bottom w:val="single" w:sz="4" w:space="0" w:color="auto"/>
              <w:right w:val="single" w:sz="4" w:space="0" w:color="auto"/>
            </w:tcBorders>
          </w:tcPr>
          <w:p w14:paraId="0949375A" w14:textId="77777777" w:rsidR="0091670F" w:rsidRPr="00FB7590" w:rsidRDefault="0091670F" w:rsidP="00D3615D">
            <w:pPr>
              <w:spacing w:after="120"/>
              <w:rPr>
                <w:rFonts w:ascii="Calibri" w:eastAsia="Calibri" w:hAnsi="Calibri" w:cs="Times New Roman"/>
                <w:lang w:val="en" w:eastAsia="en-AU"/>
              </w:rPr>
            </w:pPr>
            <w:r w:rsidRPr="00FB7590">
              <w:rPr>
                <w:rFonts w:ascii="Calibri" w:eastAsia="Calibri" w:hAnsi="Calibri" w:cs="Times New Roman"/>
                <w:lang w:val="en" w:eastAsia="en-AU"/>
              </w:rPr>
              <w:t>Profit/(loss) after tax before discontinued operations</w:t>
            </w:r>
          </w:p>
        </w:tc>
        <w:tc>
          <w:tcPr>
            <w:tcW w:w="4210" w:type="dxa"/>
            <w:tcBorders>
              <w:top w:val="single" w:sz="4" w:space="0" w:color="auto"/>
              <w:left w:val="single" w:sz="4" w:space="0" w:color="auto"/>
              <w:bottom w:val="single" w:sz="4" w:space="0" w:color="auto"/>
              <w:right w:val="single" w:sz="4" w:space="0" w:color="auto"/>
            </w:tcBorders>
            <w:shd w:val="clear" w:color="auto" w:fill="auto"/>
          </w:tcPr>
          <w:p w14:paraId="3A99C874" w14:textId="1BE98447" w:rsidR="0091670F" w:rsidRPr="00FB7590" w:rsidRDefault="0091670F" w:rsidP="00D3615D">
            <w:pPr>
              <w:spacing w:after="120"/>
              <w:rPr>
                <w:rFonts w:ascii="Calibri" w:eastAsia="Calibri" w:hAnsi="Calibri" w:cs="Times New Roman"/>
              </w:rPr>
            </w:pP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38ABED32" w14:textId="29AB7AAF" w:rsidR="0091670F" w:rsidRPr="00FB7590" w:rsidRDefault="0091670F" w:rsidP="00D3615D">
            <w:pPr>
              <w:spacing w:after="120"/>
              <w:rPr>
                <w:rFonts w:ascii="Calibri" w:eastAsia="Calibri" w:hAnsi="Calibri" w:cs="Times New Roman"/>
                <w:lang w:val="en" w:eastAsia="en-AU"/>
              </w:rPr>
            </w:pPr>
          </w:p>
        </w:tc>
      </w:tr>
      <w:tr w:rsidR="0091670F" w:rsidRPr="00FB7590" w14:paraId="08A67E06" w14:textId="77777777" w:rsidTr="00930407">
        <w:tc>
          <w:tcPr>
            <w:tcW w:w="12812" w:type="dxa"/>
            <w:gridSpan w:val="3"/>
            <w:tcBorders>
              <w:top w:val="single" w:sz="4" w:space="0" w:color="auto"/>
              <w:left w:val="single" w:sz="4" w:space="0" w:color="auto"/>
              <w:bottom w:val="single" w:sz="4" w:space="0" w:color="auto"/>
              <w:right w:val="single" w:sz="4" w:space="0" w:color="auto"/>
            </w:tcBorders>
          </w:tcPr>
          <w:p w14:paraId="7D305070" w14:textId="76697ED3" w:rsidR="0091670F" w:rsidRPr="001A4322" w:rsidRDefault="0091670F" w:rsidP="00D3615D">
            <w:pPr>
              <w:spacing w:after="120"/>
              <w:rPr>
                <w:rFonts w:ascii="Calibri" w:eastAsia="Calibri" w:hAnsi="Calibri" w:cs="Times New Roman"/>
                <w:vertAlign w:val="superscript"/>
                <w:lang w:val="en" w:eastAsia="en-AU"/>
              </w:rPr>
            </w:pPr>
            <w:r w:rsidRPr="00FB7590">
              <w:rPr>
                <w:rFonts w:ascii="Calibri" w:eastAsia="Calibri" w:hAnsi="Calibri" w:cs="Times New Roman"/>
                <w:lang w:val="en" w:eastAsia="en-AU"/>
              </w:rPr>
              <w:t>Profit/(loss) from discontinued operations (detail below)</w:t>
            </w:r>
            <w:r w:rsidR="009E5009">
              <w:rPr>
                <w:rFonts w:ascii="Calibri" w:eastAsia="Calibri" w:hAnsi="Calibri" w:cs="Times New Roman"/>
                <w:vertAlign w:val="superscript"/>
                <w:lang w:val="en" w:eastAsia="en-AU"/>
              </w:rPr>
              <w:t>1</w:t>
            </w:r>
          </w:p>
        </w:tc>
      </w:tr>
      <w:tr w:rsidR="0091670F" w:rsidRPr="00FB7590" w14:paraId="6351C13E" w14:textId="77777777" w:rsidTr="00930407">
        <w:tc>
          <w:tcPr>
            <w:tcW w:w="5154" w:type="dxa"/>
            <w:tcBorders>
              <w:top w:val="single" w:sz="4" w:space="0" w:color="auto"/>
              <w:left w:val="single" w:sz="4" w:space="0" w:color="auto"/>
              <w:bottom w:val="single" w:sz="4" w:space="0" w:color="auto"/>
              <w:right w:val="single" w:sz="4" w:space="0" w:color="auto"/>
            </w:tcBorders>
          </w:tcPr>
          <w:p w14:paraId="763D4E7E" w14:textId="34A797CE" w:rsidR="0091670F" w:rsidRPr="00FB7590" w:rsidRDefault="0091670F" w:rsidP="00D3615D">
            <w:pPr>
              <w:spacing w:after="120"/>
              <w:rPr>
                <w:rFonts w:ascii="Calibri" w:eastAsia="Calibri" w:hAnsi="Calibri" w:cs="Times New Roman"/>
                <w:lang w:val="en" w:eastAsia="en-AU"/>
              </w:rPr>
            </w:pPr>
          </w:p>
        </w:tc>
        <w:tc>
          <w:tcPr>
            <w:tcW w:w="4210" w:type="dxa"/>
            <w:tcBorders>
              <w:top w:val="single" w:sz="4" w:space="0" w:color="auto"/>
              <w:left w:val="single" w:sz="4" w:space="0" w:color="auto"/>
              <w:bottom w:val="single" w:sz="4" w:space="0" w:color="auto"/>
              <w:right w:val="single" w:sz="4" w:space="0" w:color="auto"/>
            </w:tcBorders>
            <w:shd w:val="clear" w:color="auto" w:fill="auto"/>
          </w:tcPr>
          <w:p w14:paraId="28F93F52" w14:textId="610F7079" w:rsidR="0091670F" w:rsidRPr="00FB7590" w:rsidRDefault="0091670F" w:rsidP="00D3615D">
            <w:pPr>
              <w:spacing w:after="120"/>
              <w:rPr>
                <w:rFonts w:ascii="Calibri" w:eastAsia="Calibri" w:hAnsi="Calibri" w:cs="Times New Roman"/>
                <w:lang w:val="en" w:eastAsia="en-AU"/>
              </w:rPr>
            </w:pP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7CFEF6E4" w14:textId="714AE3BB" w:rsidR="0091670F" w:rsidRPr="00FB7590" w:rsidRDefault="0091670F" w:rsidP="00D3615D">
            <w:pPr>
              <w:spacing w:after="120"/>
              <w:rPr>
                <w:rFonts w:ascii="Calibri" w:eastAsia="Calibri" w:hAnsi="Calibri" w:cs="Times New Roman"/>
                <w:lang w:val="en" w:eastAsia="en-AU"/>
              </w:rPr>
            </w:pPr>
          </w:p>
        </w:tc>
      </w:tr>
      <w:tr w:rsidR="0091670F" w:rsidRPr="00FB7590" w14:paraId="548B8DC3" w14:textId="77777777" w:rsidTr="00930407">
        <w:tc>
          <w:tcPr>
            <w:tcW w:w="5154" w:type="dxa"/>
            <w:tcBorders>
              <w:top w:val="single" w:sz="4" w:space="0" w:color="auto"/>
              <w:left w:val="single" w:sz="4" w:space="0" w:color="auto"/>
              <w:bottom w:val="single" w:sz="4" w:space="0" w:color="auto"/>
              <w:right w:val="single" w:sz="4" w:space="0" w:color="auto"/>
            </w:tcBorders>
            <w:shd w:val="clear" w:color="auto" w:fill="auto"/>
          </w:tcPr>
          <w:p w14:paraId="526F5A2A" w14:textId="77777777" w:rsidR="0091670F" w:rsidRPr="00FB7590" w:rsidRDefault="0091670F" w:rsidP="00D3615D">
            <w:pPr>
              <w:spacing w:after="120"/>
              <w:rPr>
                <w:rFonts w:ascii="Calibri" w:eastAsia="Calibri" w:hAnsi="Calibri" w:cs="Times New Roman"/>
                <w:b/>
                <w:lang w:val="en" w:eastAsia="en-AU"/>
              </w:rPr>
            </w:pPr>
            <w:r w:rsidRPr="00FB7590">
              <w:rPr>
                <w:rFonts w:ascii="Calibri" w:eastAsia="Calibri" w:hAnsi="Calibri" w:cs="Times New Roman"/>
                <w:b/>
                <w:lang w:val="en" w:eastAsia="en-AU"/>
              </w:rPr>
              <w:t>Net profit/(loss) for the period</w:t>
            </w:r>
          </w:p>
        </w:tc>
        <w:tc>
          <w:tcPr>
            <w:tcW w:w="4210" w:type="dxa"/>
            <w:tcBorders>
              <w:top w:val="single" w:sz="4" w:space="0" w:color="auto"/>
              <w:left w:val="single" w:sz="4" w:space="0" w:color="auto"/>
              <w:bottom w:val="single" w:sz="4" w:space="0" w:color="auto"/>
              <w:right w:val="single" w:sz="4" w:space="0" w:color="auto"/>
            </w:tcBorders>
            <w:shd w:val="clear" w:color="auto" w:fill="auto"/>
          </w:tcPr>
          <w:p w14:paraId="14E2D3A7" w14:textId="3A077C93" w:rsidR="0091670F" w:rsidRPr="00FB7590" w:rsidRDefault="0091670F" w:rsidP="00D3615D">
            <w:pPr>
              <w:spacing w:after="120"/>
              <w:rPr>
                <w:rFonts w:ascii="Calibri" w:eastAsia="Calibri" w:hAnsi="Calibri" w:cs="Times New Roman"/>
                <w:lang w:val="en" w:eastAsia="en-AU"/>
              </w:rPr>
            </w:pP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5CDE71B4" w14:textId="285AAF65" w:rsidR="0091670F" w:rsidRPr="00FB7590" w:rsidRDefault="0091670F" w:rsidP="00D3615D">
            <w:pPr>
              <w:spacing w:after="120"/>
              <w:rPr>
                <w:rFonts w:ascii="Calibri" w:eastAsia="Calibri" w:hAnsi="Calibri" w:cs="Times New Roman"/>
                <w:lang w:val="en" w:eastAsia="en-AU"/>
              </w:rPr>
            </w:pPr>
          </w:p>
        </w:tc>
      </w:tr>
    </w:tbl>
    <w:p w14:paraId="0C4E00C5" w14:textId="0EE0F4C3" w:rsidR="009E5009" w:rsidRPr="00236DAA" w:rsidRDefault="00236DAA" w:rsidP="00236DAA">
      <w:pPr>
        <w:pStyle w:val="ListParagraph"/>
        <w:numPr>
          <w:ilvl w:val="0"/>
          <w:numId w:val="96"/>
        </w:numPr>
        <w:spacing w:before="120" w:after="360" w:line="276" w:lineRule="auto"/>
        <w:ind w:left="0"/>
        <w:rPr>
          <w:rFonts w:ascii="Calibri" w:hAnsi="Calibri"/>
          <w:color w:val="000000"/>
        </w:rPr>
      </w:pPr>
      <w:r>
        <w:rPr>
          <w:rFonts w:ascii="Calibri" w:hAnsi="Calibri"/>
          <w:color w:val="000000"/>
        </w:rPr>
        <w:t xml:space="preserve">1. </w:t>
      </w:r>
      <w:r w:rsidR="009E5009" w:rsidRPr="00236DAA">
        <w:rPr>
          <w:rFonts w:ascii="Calibri" w:hAnsi="Calibri"/>
          <w:color w:val="000000"/>
        </w:rPr>
        <w:t>Input losses from discontinued operations as negative numbers</w:t>
      </w:r>
      <w:r>
        <w:rPr>
          <w:rFonts w:ascii="Calibri" w:hAnsi="Calibri"/>
          <w:color w:val="000000"/>
        </w:rPr>
        <w:t>.</w:t>
      </w:r>
      <w:r w:rsidR="009E5009" w:rsidRPr="00236DAA">
        <w:rPr>
          <w:rFonts w:ascii="Calibri" w:hAnsi="Calibri"/>
          <w:color w:val="000000"/>
        </w:rPr>
        <w:t xml:space="preserve"> </w:t>
      </w:r>
    </w:p>
    <w:tbl>
      <w:tblPr>
        <w:tblStyle w:val="TableGrid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tblGrid>
      <w:tr w:rsidR="0091670F" w:rsidRPr="00FB7590" w14:paraId="5AB1FC7E" w14:textId="77777777" w:rsidTr="007B3931">
        <w:tc>
          <w:tcPr>
            <w:tcW w:w="6101" w:type="dxa"/>
            <w:tcBorders>
              <w:top w:val="single" w:sz="4" w:space="0" w:color="auto"/>
              <w:left w:val="single" w:sz="4" w:space="0" w:color="auto"/>
              <w:bottom w:val="single" w:sz="4" w:space="0" w:color="auto"/>
              <w:right w:val="single" w:sz="4" w:space="0" w:color="auto"/>
            </w:tcBorders>
            <w:shd w:val="clear" w:color="auto" w:fill="0070C0"/>
          </w:tcPr>
          <w:p w14:paraId="01BA1486" w14:textId="77777777" w:rsidR="0091670F" w:rsidRPr="00FB7590" w:rsidRDefault="0091670F" w:rsidP="007B3931">
            <w:pPr>
              <w:rPr>
                <w:rFonts w:ascii="Calibri" w:eastAsia="Calibri" w:hAnsi="Calibri" w:cs="Times New Roman"/>
                <w:b/>
                <w:bCs/>
                <w:iCs/>
                <w:color w:val="FFFFFF"/>
              </w:rPr>
            </w:pPr>
            <w:r>
              <w:rPr>
                <w:rFonts w:ascii="Calibri" w:eastAsia="Calibri" w:hAnsi="Calibri" w:cs="Times New Roman"/>
                <w:b/>
                <w:bCs/>
                <w:iCs/>
                <w:color w:val="FFFFFF"/>
              </w:rPr>
              <w:t>If the entity has made a profit but no tax provision raised, you must enter a reason for not providing for tax below</w:t>
            </w:r>
          </w:p>
        </w:tc>
      </w:tr>
      <w:tr w:rsidR="0091670F" w:rsidRPr="00FB7590" w14:paraId="50F54422" w14:textId="77777777" w:rsidTr="007B3931">
        <w:tc>
          <w:tcPr>
            <w:tcW w:w="6101" w:type="dxa"/>
            <w:tcBorders>
              <w:top w:val="single" w:sz="4" w:space="0" w:color="auto"/>
              <w:left w:val="single" w:sz="4" w:space="0" w:color="auto"/>
              <w:bottom w:val="single" w:sz="4" w:space="0" w:color="auto"/>
              <w:right w:val="single" w:sz="4" w:space="0" w:color="auto"/>
            </w:tcBorders>
          </w:tcPr>
          <w:p w14:paraId="7930673B" w14:textId="41E4CF71" w:rsidR="0091670F" w:rsidRPr="00FB7590" w:rsidRDefault="0091670F" w:rsidP="007B3931">
            <w:pPr>
              <w:rPr>
                <w:rFonts w:ascii="Calibri" w:eastAsia="Calibri" w:hAnsi="Calibri" w:cs="Times New Roman"/>
                <w:b/>
                <w:bCs/>
                <w:iCs/>
              </w:rPr>
            </w:pPr>
            <w:r w:rsidRPr="00FB7590">
              <w:rPr>
                <w:rFonts w:ascii="Calibri" w:eastAsia="Calibri" w:hAnsi="Calibri"/>
                <w:noProof/>
                <w:color w:val="984806"/>
              </w:rPr>
              <w:drawing>
                <wp:inline distT="0" distB="0" distL="0" distR="0" wp14:anchorId="479C8EE1" wp14:editId="0503EDD4">
                  <wp:extent cx="3590925" cy="1535634"/>
                  <wp:effectExtent l="0" t="0" r="0" b="762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630047" cy="1552364"/>
                          </a:xfrm>
                          <a:prstGeom prst="rect">
                            <a:avLst/>
                          </a:prstGeom>
                          <a:noFill/>
                          <a:ln>
                            <a:noFill/>
                          </a:ln>
                        </pic:spPr>
                      </pic:pic>
                    </a:graphicData>
                  </a:graphic>
                </wp:inline>
              </w:drawing>
            </w:r>
          </w:p>
        </w:tc>
      </w:tr>
    </w:tbl>
    <w:p w14:paraId="3C6DC2C9" w14:textId="3305840E" w:rsidR="003A1BE7" w:rsidRPr="00930407" w:rsidRDefault="0091670F" w:rsidP="00D3615D">
      <w:pPr>
        <w:keepNext/>
        <w:spacing w:before="240" w:after="120"/>
        <w:outlineLvl w:val="3"/>
        <w:rPr>
          <w:rFonts w:ascii="Calibri" w:hAnsi="Calibri" w:cs="Helvetica"/>
          <w:b/>
          <w:sz w:val="24"/>
          <w:szCs w:val="24"/>
          <w:lang w:val="en"/>
        </w:rPr>
      </w:pPr>
      <w:r w:rsidRPr="00930407">
        <w:rPr>
          <w:rFonts w:ascii="Calibri" w:hAnsi="Calibri" w:cs="Helvetica"/>
          <w:b/>
          <w:sz w:val="24"/>
          <w:szCs w:val="24"/>
          <w:lang w:val="en"/>
        </w:rPr>
        <w:lastRenderedPageBreak/>
        <w:t>Retained earnings</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2993"/>
        <w:gridCol w:w="2773"/>
      </w:tblGrid>
      <w:tr w:rsidR="0091670F" w:rsidRPr="00FB7590" w14:paraId="0E3244D3" w14:textId="77777777" w:rsidTr="00930407">
        <w:tc>
          <w:tcPr>
            <w:tcW w:w="5276" w:type="dxa"/>
            <w:tcBorders>
              <w:top w:val="single" w:sz="4" w:space="0" w:color="auto"/>
              <w:left w:val="single" w:sz="4" w:space="0" w:color="auto"/>
              <w:bottom w:val="single" w:sz="4" w:space="0" w:color="auto"/>
            </w:tcBorders>
            <w:shd w:val="clear" w:color="auto" w:fill="0070C0"/>
          </w:tcPr>
          <w:p w14:paraId="064CCF3E" w14:textId="77777777" w:rsidR="0091670F" w:rsidRPr="00FB7590" w:rsidRDefault="0091670F" w:rsidP="00D3615D">
            <w:pPr>
              <w:keepNext/>
              <w:spacing w:before="40" w:after="120"/>
              <w:rPr>
                <w:rFonts w:ascii="Calibri" w:eastAsia="Calibri" w:hAnsi="Calibri" w:cs="Times New Roman"/>
                <w:color w:val="FFFFFF"/>
                <w:lang w:val="en" w:eastAsia="en-AU"/>
              </w:rPr>
            </w:pPr>
          </w:p>
        </w:tc>
        <w:tc>
          <w:tcPr>
            <w:tcW w:w="2993" w:type="dxa"/>
            <w:tcBorders>
              <w:top w:val="single" w:sz="4" w:space="0" w:color="auto"/>
              <w:bottom w:val="single" w:sz="4" w:space="0" w:color="auto"/>
            </w:tcBorders>
            <w:shd w:val="clear" w:color="auto" w:fill="0070C0"/>
          </w:tcPr>
          <w:p w14:paraId="4BB726BC" w14:textId="77777777" w:rsidR="0091670F" w:rsidRPr="00FB7590" w:rsidRDefault="0091670F" w:rsidP="00D3615D">
            <w:pPr>
              <w:keepNext/>
              <w:spacing w:before="40" w:after="120"/>
              <w:rPr>
                <w:rFonts w:ascii="Calibri" w:eastAsia="Calibri" w:hAnsi="Calibri" w:cs="Times New Roman"/>
                <w:b/>
                <w:color w:val="FFFFFF"/>
                <w:lang w:val="en" w:eastAsia="en-AU"/>
              </w:rPr>
            </w:pPr>
            <w:r w:rsidRPr="00FB7590">
              <w:rPr>
                <w:rFonts w:ascii="Calibri" w:eastAsia="Calibri" w:hAnsi="Calibri" w:cs="Times New Roman"/>
                <w:b/>
                <w:color w:val="FFFFFF"/>
                <w:lang w:val="en" w:eastAsia="en-AU"/>
              </w:rPr>
              <w:t>Current</w:t>
            </w:r>
          </w:p>
        </w:tc>
        <w:tc>
          <w:tcPr>
            <w:tcW w:w="2773" w:type="dxa"/>
            <w:tcBorders>
              <w:top w:val="single" w:sz="4" w:space="0" w:color="auto"/>
              <w:bottom w:val="single" w:sz="4" w:space="0" w:color="auto"/>
              <w:right w:val="single" w:sz="4" w:space="0" w:color="auto"/>
            </w:tcBorders>
            <w:shd w:val="clear" w:color="auto" w:fill="0070C0"/>
          </w:tcPr>
          <w:p w14:paraId="4C55D064" w14:textId="77777777" w:rsidR="0091670F" w:rsidRPr="00FB7590" w:rsidRDefault="0091670F" w:rsidP="00D3615D">
            <w:pPr>
              <w:keepNext/>
              <w:spacing w:before="40" w:after="120"/>
              <w:rPr>
                <w:rFonts w:ascii="Calibri" w:eastAsia="Calibri" w:hAnsi="Calibri" w:cs="Times New Roman"/>
                <w:b/>
                <w:color w:val="FFFFFF"/>
                <w:lang w:val="en" w:eastAsia="en-AU"/>
              </w:rPr>
            </w:pPr>
            <w:r w:rsidRPr="00FB7590">
              <w:rPr>
                <w:rFonts w:ascii="Calibri" w:eastAsia="Calibri" w:hAnsi="Calibri" w:cs="Times New Roman"/>
                <w:b/>
                <w:color w:val="FFFFFF"/>
                <w:lang w:val="en" w:eastAsia="en-AU"/>
              </w:rPr>
              <w:t>Prior</w:t>
            </w:r>
          </w:p>
        </w:tc>
      </w:tr>
      <w:tr w:rsidR="0091670F" w:rsidRPr="00FB7590" w14:paraId="160BB47E" w14:textId="77777777" w:rsidTr="0091670F">
        <w:tc>
          <w:tcPr>
            <w:tcW w:w="5276" w:type="dxa"/>
            <w:tcBorders>
              <w:top w:val="single" w:sz="4" w:space="0" w:color="auto"/>
              <w:left w:val="single" w:sz="4" w:space="0" w:color="auto"/>
              <w:bottom w:val="single" w:sz="4" w:space="0" w:color="auto"/>
              <w:right w:val="single" w:sz="4" w:space="0" w:color="auto"/>
            </w:tcBorders>
          </w:tcPr>
          <w:p w14:paraId="39870E25" w14:textId="77777777" w:rsidR="0091670F" w:rsidRPr="00FB7590" w:rsidRDefault="0091670F" w:rsidP="00D3615D">
            <w:pPr>
              <w:keepNext/>
              <w:spacing w:after="120"/>
              <w:rPr>
                <w:rFonts w:ascii="Calibri" w:eastAsia="Calibri" w:hAnsi="Calibri" w:cs="Times New Roman"/>
                <w:lang w:val="en" w:eastAsia="en-AU"/>
              </w:rPr>
            </w:pPr>
            <w:r w:rsidRPr="00FB7590">
              <w:rPr>
                <w:rFonts w:ascii="Calibri" w:eastAsia="Calibri" w:hAnsi="Calibri" w:cs="Times New Roman"/>
                <w:lang w:val="en" w:eastAsia="en-AU"/>
              </w:rPr>
              <w:t xml:space="preserve">Opening Retained Earnings </w:t>
            </w:r>
            <w:r w:rsidRPr="00FB7590">
              <w:rPr>
                <w:rFonts w:ascii="Calibri" w:eastAsia="Calibri" w:hAnsi="Calibri" w:cs="Times New Roman"/>
                <w:vertAlign w:val="superscript"/>
                <w:lang w:val="en" w:eastAsia="en-AU"/>
              </w:rPr>
              <w:t>1</w:t>
            </w: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F6BFC15" w14:textId="65158229" w:rsidR="0091670F" w:rsidRPr="00FB7590" w:rsidRDefault="0091670F" w:rsidP="00D3615D">
            <w:pPr>
              <w:keepNext/>
              <w:spacing w:after="120"/>
              <w:rPr>
                <w:rFonts w:ascii="Calibri" w:eastAsia="Calibri" w:hAnsi="Calibri" w:cs="Times New Roman"/>
                <w:lang w:val="en" w:eastAsia="en-AU"/>
              </w:rPr>
            </w:pPr>
          </w:p>
        </w:tc>
        <w:tc>
          <w:tcPr>
            <w:tcW w:w="2773" w:type="dxa"/>
            <w:tcBorders>
              <w:top w:val="single" w:sz="4" w:space="0" w:color="auto"/>
              <w:left w:val="single" w:sz="4" w:space="0" w:color="auto"/>
              <w:bottom w:val="single" w:sz="4" w:space="0" w:color="auto"/>
              <w:right w:val="single" w:sz="4" w:space="0" w:color="auto"/>
            </w:tcBorders>
            <w:shd w:val="clear" w:color="auto" w:fill="auto"/>
          </w:tcPr>
          <w:p w14:paraId="6CB2A7F0" w14:textId="3C58D9E7" w:rsidR="0091670F" w:rsidRPr="00FB7590" w:rsidRDefault="0091670F" w:rsidP="00D3615D">
            <w:pPr>
              <w:keepNext/>
              <w:spacing w:after="120"/>
              <w:rPr>
                <w:rFonts w:ascii="Calibri" w:eastAsia="Calibri" w:hAnsi="Calibri" w:cs="Times New Roman"/>
                <w:color w:val="FF0000"/>
                <w:lang w:val="en" w:eastAsia="en-AU"/>
              </w:rPr>
            </w:pPr>
          </w:p>
        </w:tc>
      </w:tr>
      <w:tr w:rsidR="0091670F" w:rsidRPr="00FB7590" w14:paraId="625BAB1E" w14:textId="77777777" w:rsidTr="0091670F">
        <w:tc>
          <w:tcPr>
            <w:tcW w:w="11042" w:type="dxa"/>
            <w:gridSpan w:val="3"/>
            <w:tcBorders>
              <w:top w:val="single" w:sz="4" w:space="0" w:color="auto"/>
              <w:left w:val="single" w:sz="4" w:space="0" w:color="auto"/>
              <w:bottom w:val="single" w:sz="4" w:space="0" w:color="auto"/>
              <w:right w:val="single" w:sz="4" w:space="0" w:color="auto"/>
            </w:tcBorders>
          </w:tcPr>
          <w:p w14:paraId="5A180BC1" w14:textId="77777777" w:rsidR="0091670F" w:rsidRPr="00FB7590" w:rsidRDefault="0091670F" w:rsidP="00D3615D">
            <w:pPr>
              <w:spacing w:after="120"/>
              <w:rPr>
                <w:rFonts w:ascii="Calibri" w:eastAsia="Calibri" w:hAnsi="Calibri" w:cs="Times New Roman"/>
                <w:lang w:val="en" w:eastAsia="en-AU"/>
              </w:rPr>
            </w:pPr>
            <w:r w:rsidRPr="00FB7590">
              <w:rPr>
                <w:rFonts w:ascii="Calibri" w:eastAsia="Calibri" w:hAnsi="Calibri" w:cs="Times New Roman"/>
                <w:lang w:val="en" w:eastAsia="en-AU"/>
              </w:rPr>
              <w:t>Adjustments to retained earnings (detail) – increases</w:t>
            </w:r>
          </w:p>
        </w:tc>
      </w:tr>
      <w:tr w:rsidR="0091670F" w:rsidRPr="00FB7590" w14:paraId="4C7F19D4" w14:textId="77777777" w:rsidTr="0091670F">
        <w:tc>
          <w:tcPr>
            <w:tcW w:w="5276" w:type="dxa"/>
            <w:tcBorders>
              <w:top w:val="single" w:sz="4" w:space="0" w:color="auto"/>
              <w:left w:val="single" w:sz="4" w:space="0" w:color="auto"/>
              <w:bottom w:val="single" w:sz="4" w:space="0" w:color="auto"/>
              <w:right w:val="single" w:sz="4" w:space="0" w:color="auto"/>
            </w:tcBorders>
          </w:tcPr>
          <w:p w14:paraId="71C07BEE" w14:textId="33396A24" w:rsidR="0091670F" w:rsidRPr="00FB7590" w:rsidRDefault="0091670F" w:rsidP="00D3615D">
            <w:pPr>
              <w:spacing w:after="120"/>
              <w:rPr>
                <w:rFonts w:ascii="Calibri" w:eastAsia="Calibri" w:hAnsi="Calibri" w:cs="Times New Roman"/>
                <w:lang w:val="en" w:eastAsia="en-AU"/>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05F5818" w14:textId="2E9B3377" w:rsidR="0091670F" w:rsidRPr="00FB7590" w:rsidRDefault="0091670F" w:rsidP="00D3615D">
            <w:pPr>
              <w:spacing w:after="120"/>
              <w:rPr>
                <w:rFonts w:ascii="Calibri" w:eastAsia="Calibri" w:hAnsi="Calibri" w:cs="Times New Roman"/>
                <w:lang w:val="en" w:eastAsia="en-AU"/>
              </w:rPr>
            </w:pPr>
          </w:p>
        </w:tc>
        <w:tc>
          <w:tcPr>
            <w:tcW w:w="2773" w:type="dxa"/>
            <w:tcBorders>
              <w:top w:val="single" w:sz="4" w:space="0" w:color="auto"/>
              <w:left w:val="single" w:sz="4" w:space="0" w:color="auto"/>
              <w:bottom w:val="single" w:sz="4" w:space="0" w:color="auto"/>
              <w:right w:val="single" w:sz="4" w:space="0" w:color="auto"/>
            </w:tcBorders>
            <w:shd w:val="clear" w:color="auto" w:fill="auto"/>
          </w:tcPr>
          <w:p w14:paraId="64C3434B" w14:textId="59A1C8A4" w:rsidR="0091670F" w:rsidRPr="00FB7590" w:rsidRDefault="0091670F" w:rsidP="00D3615D">
            <w:pPr>
              <w:spacing w:after="120"/>
              <w:rPr>
                <w:rFonts w:ascii="Calibri" w:eastAsia="Calibri" w:hAnsi="Calibri" w:cs="Times New Roman"/>
                <w:lang w:val="en" w:eastAsia="en-AU"/>
              </w:rPr>
            </w:pPr>
          </w:p>
        </w:tc>
      </w:tr>
      <w:tr w:rsidR="0091670F" w:rsidRPr="00FB7590" w14:paraId="250E6C9F" w14:textId="77777777" w:rsidTr="0091670F">
        <w:tc>
          <w:tcPr>
            <w:tcW w:w="5276" w:type="dxa"/>
            <w:tcBorders>
              <w:top w:val="single" w:sz="4" w:space="0" w:color="auto"/>
              <w:left w:val="single" w:sz="4" w:space="0" w:color="auto"/>
              <w:bottom w:val="single" w:sz="4" w:space="0" w:color="auto"/>
              <w:right w:val="single" w:sz="4" w:space="0" w:color="auto"/>
            </w:tcBorders>
          </w:tcPr>
          <w:p w14:paraId="430EC550" w14:textId="77777777" w:rsidR="0091670F" w:rsidRPr="00FB7590" w:rsidRDefault="0091670F" w:rsidP="00D3615D">
            <w:pPr>
              <w:spacing w:after="120"/>
              <w:rPr>
                <w:rFonts w:ascii="Calibri" w:eastAsia="Calibri" w:hAnsi="Calibri" w:cs="Times New Roman"/>
                <w:b/>
                <w:lang w:val="en" w:eastAsia="en-AU"/>
              </w:rPr>
            </w:pPr>
            <w:r w:rsidRPr="00FB7590">
              <w:rPr>
                <w:rFonts w:ascii="Calibri" w:eastAsia="Calibri" w:hAnsi="Calibri" w:cs="Times New Roman"/>
                <w:b/>
                <w:lang w:val="en" w:eastAsia="en-AU"/>
              </w:rPr>
              <w:t>Total</w:t>
            </w: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23EFD620" w14:textId="77777777" w:rsidR="0091670F" w:rsidRPr="00FB7590" w:rsidRDefault="0091670F" w:rsidP="00D3615D">
            <w:pPr>
              <w:spacing w:after="120"/>
              <w:rPr>
                <w:rFonts w:ascii="Calibri" w:eastAsia="Calibri" w:hAnsi="Calibri" w:cs="Times New Roman"/>
                <w:b/>
                <w:lang w:val="en" w:eastAsia="en-AU"/>
              </w:rPr>
            </w:pPr>
          </w:p>
        </w:tc>
        <w:tc>
          <w:tcPr>
            <w:tcW w:w="2773" w:type="dxa"/>
            <w:tcBorders>
              <w:top w:val="single" w:sz="4" w:space="0" w:color="auto"/>
              <w:left w:val="single" w:sz="4" w:space="0" w:color="auto"/>
              <w:bottom w:val="single" w:sz="4" w:space="0" w:color="auto"/>
              <w:right w:val="single" w:sz="4" w:space="0" w:color="auto"/>
            </w:tcBorders>
            <w:shd w:val="clear" w:color="auto" w:fill="auto"/>
          </w:tcPr>
          <w:p w14:paraId="42F64678" w14:textId="131227B0" w:rsidR="0091670F" w:rsidRPr="00FB7590" w:rsidRDefault="0091670F" w:rsidP="00D3615D">
            <w:pPr>
              <w:spacing w:after="120"/>
              <w:rPr>
                <w:rFonts w:ascii="Calibri" w:eastAsia="Calibri" w:hAnsi="Calibri" w:cs="Times New Roman"/>
                <w:b/>
                <w:lang w:val="en" w:eastAsia="en-AU"/>
              </w:rPr>
            </w:pPr>
          </w:p>
        </w:tc>
      </w:tr>
      <w:tr w:rsidR="0091670F" w:rsidRPr="00FB7590" w14:paraId="3FE754AA" w14:textId="77777777" w:rsidTr="0091670F">
        <w:tc>
          <w:tcPr>
            <w:tcW w:w="5276" w:type="dxa"/>
            <w:tcBorders>
              <w:top w:val="single" w:sz="4" w:space="0" w:color="auto"/>
              <w:left w:val="single" w:sz="4" w:space="0" w:color="auto"/>
              <w:bottom w:val="single" w:sz="4" w:space="0" w:color="auto"/>
              <w:right w:val="single" w:sz="4" w:space="0" w:color="auto"/>
            </w:tcBorders>
          </w:tcPr>
          <w:p w14:paraId="3569E69B" w14:textId="77777777" w:rsidR="0091670F" w:rsidRPr="00FB7590" w:rsidRDefault="0091670F" w:rsidP="00D3615D">
            <w:pPr>
              <w:spacing w:after="120"/>
              <w:rPr>
                <w:rFonts w:ascii="Calibri" w:eastAsia="Calibri" w:hAnsi="Calibri" w:cs="Times New Roman"/>
                <w:lang w:val="en" w:eastAsia="en-AU"/>
              </w:rPr>
            </w:pPr>
            <w:r w:rsidRPr="00FB7590">
              <w:rPr>
                <w:rFonts w:ascii="Calibri" w:eastAsia="Calibri" w:hAnsi="Calibri" w:cs="Times New Roman"/>
                <w:lang w:val="en" w:eastAsia="en-AU"/>
              </w:rPr>
              <w:t>Dividends</w:t>
            </w: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AC08FCA" w14:textId="08922A8D" w:rsidR="0091670F" w:rsidRPr="00FB7590" w:rsidRDefault="0091670F" w:rsidP="00D3615D">
            <w:pPr>
              <w:spacing w:after="120"/>
              <w:rPr>
                <w:rFonts w:ascii="Calibri" w:eastAsia="Calibri" w:hAnsi="Calibri" w:cs="Times New Roman"/>
                <w:lang w:val="en" w:eastAsia="en-AU"/>
              </w:rPr>
            </w:pPr>
          </w:p>
        </w:tc>
        <w:tc>
          <w:tcPr>
            <w:tcW w:w="2773" w:type="dxa"/>
            <w:tcBorders>
              <w:top w:val="single" w:sz="4" w:space="0" w:color="auto"/>
              <w:left w:val="single" w:sz="4" w:space="0" w:color="auto"/>
              <w:bottom w:val="single" w:sz="4" w:space="0" w:color="auto"/>
              <w:right w:val="single" w:sz="4" w:space="0" w:color="auto"/>
            </w:tcBorders>
            <w:shd w:val="clear" w:color="auto" w:fill="auto"/>
          </w:tcPr>
          <w:p w14:paraId="08591D2A" w14:textId="5F603305" w:rsidR="0091670F" w:rsidRPr="00FB7590" w:rsidRDefault="0091670F" w:rsidP="00D3615D">
            <w:pPr>
              <w:spacing w:after="120"/>
              <w:rPr>
                <w:rFonts w:ascii="Calibri" w:eastAsia="Calibri" w:hAnsi="Calibri" w:cs="Times New Roman"/>
                <w:lang w:val="en" w:eastAsia="en-AU"/>
              </w:rPr>
            </w:pPr>
          </w:p>
        </w:tc>
      </w:tr>
      <w:tr w:rsidR="0091670F" w:rsidRPr="00FB7590" w14:paraId="2743D81E" w14:textId="77777777" w:rsidTr="0091670F">
        <w:tc>
          <w:tcPr>
            <w:tcW w:w="11042" w:type="dxa"/>
            <w:gridSpan w:val="3"/>
            <w:tcBorders>
              <w:top w:val="single" w:sz="4" w:space="0" w:color="auto"/>
              <w:left w:val="single" w:sz="4" w:space="0" w:color="auto"/>
              <w:bottom w:val="single" w:sz="4" w:space="0" w:color="auto"/>
              <w:right w:val="single" w:sz="4" w:space="0" w:color="auto"/>
            </w:tcBorders>
          </w:tcPr>
          <w:p w14:paraId="28A7DC52" w14:textId="77777777" w:rsidR="0091670F" w:rsidRPr="00FB7590" w:rsidRDefault="0091670F" w:rsidP="00D3615D">
            <w:pPr>
              <w:spacing w:after="120"/>
              <w:rPr>
                <w:rFonts w:ascii="Calibri" w:eastAsia="Calibri" w:hAnsi="Calibri" w:cs="Times New Roman"/>
                <w:lang w:val="en" w:eastAsia="en-AU"/>
              </w:rPr>
            </w:pPr>
            <w:r w:rsidRPr="00FB7590">
              <w:rPr>
                <w:rFonts w:ascii="Calibri" w:eastAsia="Calibri" w:hAnsi="Calibri" w:cs="Times New Roman"/>
                <w:lang w:val="en" w:eastAsia="en-AU"/>
              </w:rPr>
              <w:t>Adjustments from retained earnings (detail) – decreases</w:t>
            </w:r>
          </w:p>
        </w:tc>
      </w:tr>
      <w:tr w:rsidR="0091670F" w:rsidRPr="00FB7590" w14:paraId="1E25760C" w14:textId="77777777" w:rsidTr="0091670F">
        <w:tc>
          <w:tcPr>
            <w:tcW w:w="5276" w:type="dxa"/>
            <w:tcBorders>
              <w:top w:val="single" w:sz="4" w:space="0" w:color="auto"/>
              <w:left w:val="single" w:sz="4" w:space="0" w:color="auto"/>
              <w:bottom w:val="single" w:sz="4" w:space="0" w:color="auto"/>
              <w:right w:val="single" w:sz="4" w:space="0" w:color="auto"/>
            </w:tcBorders>
          </w:tcPr>
          <w:p w14:paraId="70C6B65C" w14:textId="085E3D63" w:rsidR="0091670F" w:rsidRPr="00FB7590" w:rsidRDefault="0091670F" w:rsidP="00D3615D">
            <w:pPr>
              <w:spacing w:after="120"/>
              <w:rPr>
                <w:rFonts w:ascii="Calibri" w:eastAsia="Calibri" w:hAnsi="Calibri" w:cs="Times New Roman"/>
                <w:lang w:val="en" w:eastAsia="en-AU"/>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24EE1DC" w14:textId="48DDF1C4" w:rsidR="0091670F" w:rsidRPr="00FB7590" w:rsidRDefault="0091670F" w:rsidP="00D3615D">
            <w:pPr>
              <w:spacing w:after="120"/>
              <w:rPr>
                <w:rFonts w:ascii="Calibri" w:eastAsia="Calibri" w:hAnsi="Calibri" w:cs="Times New Roman"/>
                <w:lang w:val="en" w:eastAsia="en-AU"/>
              </w:rPr>
            </w:pPr>
          </w:p>
        </w:tc>
        <w:tc>
          <w:tcPr>
            <w:tcW w:w="2773" w:type="dxa"/>
            <w:tcBorders>
              <w:top w:val="single" w:sz="4" w:space="0" w:color="auto"/>
              <w:left w:val="single" w:sz="4" w:space="0" w:color="auto"/>
              <w:bottom w:val="single" w:sz="4" w:space="0" w:color="auto"/>
              <w:right w:val="single" w:sz="4" w:space="0" w:color="auto"/>
            </w:tcBorders>
            <w:shd w:val="clear" w:color="auto" w:fill="auto"/>
          </w:tcPr>
          <w:p w14:paraId="773B60E7" w14:textId="48859CD2" w:rsidR="0091670F" w:rsidRPr="00FB7590" w:rsidRDefault="0091670F" w:rsidP="00D3615D">
            <w:pPr>
              <w:spacing w:after="120"/>
              <w:rPr>
                <w:rFonts w:ascii="Calibri" w:eastAsia="Calibri" w:hAnsi="Calibri" w:cs="Times New Roman"/>
                <w:lang w:val="en" w:eastAsia="en-AU"/>
              </w:rPr>
            </w:pPr>
          </w:p>
        </w:tc>
      </w:tr>
      <w:tr w:rsidR="0091670F" w:rsidRPr="00FB7590" w14:paraId="21D618F9" w14:textId="77777777" w:rsidTr="0091670F">
        <w:tc>
          <w:tcPr>
            <w:tcW w:w="5276" w:type="dxa"/>
            <w:tcBorders>
              <w:top w:val="single" w:sz="4" w:space="0" w:color="auto"/>
              <w:left w:val="single" w:sz="4" w:space="0" w:color="auto"/>
              <w:bottom w:val="single" w:sz="4" w:space="0" w:color="auto"/>
              <w:right w:val="single" w:sz="4" w:space="0" w:color="auto"/>
            </w:tcBorders>
          </w:tcPr>
          <w:p w14:paraId="1E2E610F" w14:textId="77777777" w:rsidR="0091670F" w:rsidRPr="00FB7590" w:rsidRDefault="0091670F" w:rsidP="00D3615D">
            <w:pPr>
              <w:spacing w:after="120"/>
              <w:rPr>
                <w:rFonts w:ascii="Calibri" w:eastAsia="Calibri" w:hAnsi="Calibri" w:cs="Times New Roman"/>
                <w:b/>
                <w:lang w:val="en" w:eastAsia="en-AU"/>
              </w:rPr>
            </w:pPr>
            <w:r w:rsidRPr="00FB7590">
              <w:rPr>
                <w:rFonts w:ascii="Calibri" w:eastAsia="Calibri" w:hAnsi="Calibri" w:cs="Times New Roman"/>
                <w:b/>
                <w:lang w:val="en" w:eastAsia="en-AU"/>
              </w:rPr>
              <w:t>Total</w:t>
            </w: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A010131" w14:textId="15C53EC2" w:rsidR="0091670F" w:rsidRPr="00FB7590" w:rsidRDefault="0091670F" w:rsidP="00D3615D">
            <w:pPr>
              <w:spacing w:after="120"/>
              <w:rPr>
                <w:rFonts w:ascii="Calibri" w:eastAsia="Calibri" w:hAnsi="Calibri" w:cs="Times New Roman"/>
                <w:b/>
                <w:lang w:val="en" w:eastAsia="en-AU"/>
              </w:rPr>
            </w:pPr>
          </w:p>
        </w:tc>
        <w:tc>
          <w:tcPr>
            <w:tcW w:w="2773" w:type="dxa"/>
            <w:tcBorders>
              <w:top w:val="single" w:sz="4" w:space="0" w:color="auto"/>
              <w:left w:val="single" w:sz="4" w:space="0" w:color="auto"/>
              <w:bottom w:val="single" w:sz="4" w:space="0" w:color="auto"/>
              <w:right w:val="single" w:sz="4" w:space="0" w:color="auto"/>
            </w:tcBorders>
            <w:shd w:val="clear" w:color="auto" w:fill="auto"/>
          </w:tcPr>
          <w:p w14:paraId="1397B980" w14:textId="0590BF01" w:rsidR="0091670F" w:rsidRPr="00FB7590" w:rsidRDefault="0091670F" w:rsidP="00D3615D">
            <w:pPr>
              <w:spacing w:after="120"/>
              <w:rPr>
                <w:rFonts w:ascii="Calibri" w:eastAsia="Calibri" w:hAnsi="Calibri" w:cs="Times New Roman"/>
                <w:b/>
                <w:lang w:val="en" w:eastAsia="en-AU"/>
              </w:rPr>
            </w:pPr>
          </w:p>
        </w:tc>
      </w:tr>
      <w:tr w:rsidR="0091670F" w:rsidRPr="00FB7590" w14:paraId="3001C8B0" w14:textId="77777777" w:rsidTr="0091670F">
        <w:trPr>
          <w:trHeight w:val="396"/>
        </w:trPr>
        <w:tc>
          <w:tcPr>
            <w:tcW w:w="11042" w:type="dxa"/>
            <w:gridSpan w:val="3"/>
            <w:tcBorders>
              <w:top w:val="single" w:sz="4" w:space="0" w:color="auto"/>
              <w:left w:val="single" w:sz="4" w:space="0" w:color="auto"/>
              <w:bottom w:val="single" w:sz="4" w:space="0" w:color="auto"/>
              <w:right w:val="single" w:sz="4" w:space="0" w:color="auto"/>
            </w:tcBorders>
          </w:tcPr>
          <w:p w14:paraId="2D88C2AE" w14:textId="77777777" w:rsidR="0091670F" w:rsidRPr="00FB7590" w:rsidRDefault="0091670F" w:rsidP="00D3615D">
            <w:pPr>
              <w:spacing w:after="120"/>
              <w:rPr>
                <w:rFonts w:ascii="Calibri" w:eastAsia="Calibri" w:hAnsi="Calibri" w:cs="Times New Roman"/>
                <w:lang w:val="en" w:eastAsia="en-AU"/>
              </w:rPr>
            </w:pPr>
            <w:r w:rsidRPr="00FB7590">
              <w:rPr>
                <w:rFonts w:ascii="Calibri" w:eastAsia="Calibri" w:hAnsi="Calibri" w:cs="Times New Roman"/>
                <w:lang w:val="en" w:eastAsia="en-AU"/>
              </w:rPr>
              <w:t>Other adjustments to/(from) retained earnings (detail)</w:t>
            </w:r>
            <w:r w:rsidRPr="00FB7590">
              <w:rPr>
                <w:rFonts w:ascii="Calibri" w:eastAsia="Calibri" w:hAnsi="Calibri" w:cs="Times New Roman"/>
                <w:vertAlign w:val="superscript"/>
                <w:lang w:val="en" w:eastAsia="en-AU"/>
              </w:rPr>
              <w:t>2</w:t>
            </w:r>
          </w:p>
        </w:tc>
      </w:tr>
      <w:tr w:rsidR="0091670F" w:rsidRPr="00FB7590" w14:paraId="70CA1276" w14:textId="77777777" w:rsidTr="0091670F">
        <w:tc>
          <w:tcPr>
            <w:tcW w:w="5276" w:type="dxa"/>
            <w:tcBorders>
              <w:top w:val="single" w:sz="4" w:space="0" w:color="auto"/>
              <w:left w:val="single" w:sz="4" w:space="0" w:color="auto"/>
              <w:bottom w:val="single" w:sz="4" w:space="0" w:color="auto"/>
              <w:right w:val="single" w:sz="4" w:space="0" w:color="auto"/>
            </w:tcBorders>
          </w:tcPr>
          <w:p w14:paraId="4F7CD197" w14:textId="5ABD30C8" w:rsidR="0091670F" w:rsidRPr="00FB7590" w:rsidRDefault="0091670F" w:rsidP="00D3615D">
            <w:pPr>
              <w:spacing w:after="120"/>
              <w:rPr>
                <w:rFonts w:ascii="Calibri" w:eastAsia="Calibri" w:hAnsi="Calibri" w:cs="Times New Roman"/>
                <w:lang w:val="en" w:eastAsia="en-AU"/>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2817CE7" w14:textId="409A610B" w:rsidR="0091670F" w:rsidRPr="00FB7590" w:rsidRDefault="0091670F" w:rsidP="00D3615D">
            <w:pPr>
              <w:spacing w:after="120"/>
              <w:rPr>
                <w:rFonts w:ascii="Calibri" w:eastAsia="Calibri" w:hAnsi="Calibri" w:cs="Times New Roman"/>
                <w:lang w:val="en" w:eastAsia="en-AU"/>
              </w:rPr>
            </w:pPr>
          </w:p>
        </w:tc>
        <w:tc>
          <w:tcPr>
            <w:tcW w:w="2773" w:type="dxa"/>
            <w:tcBorders>
              <w:top w:val="single" w:sz="4" w:space="0" w:color="auto"/>
              <w:left w:val="single" w:sz="4" w:space="0" w:color="auto"/>
              <w:bottom w:val="single" w:sz="4" w:space="0" w:color="auto"/>
              <w:right w:val="single" w:sz="4" w:space="0" w:color="auto"/>
            </w:tcBorders>
            <w:shd w:val="clear" w:color="auto" w:fill="auto"/>
          </w:tcPr>
          <w:p w14:paraId="3CA164BD" w14:textId="08A1C1F4" w:rsidR="0091670F" w:rsidRPr="00FB7590" w:rsidRDefault="0091670F" w:rsidP="00D3615D">
            <w:pPr>
              <w:spacing w:after="120"/>
              <w:rPr>
                <w:rFonts w:ascii="Calibri" w:eastAsia="Calibri" w:hAnsi="Calibri" w:cs="Times New Roman"/>
                <w:lang w:val="en" w:eastAsia="en-AU"/>
              </w:rPr>
            </w:pPr>
          </w:p>
        </w:tc>
      </w:tr>
      <w:tr w:rsidR="0091670F" w:rsidRPr="00FB7590" w14:paraId="5D83F7EB" w14:textId="77777777" w:rsidTr="0091670F">
        <w:tc>
          <w:tcPr>
            <w:tcW w:w="5276" w:type="dxa"/>
            <w:tcBorders>
              <w:top w:val="single" w:sz="4" w:space="0" w:color="auto"/>
              <w:left w:val="single" w:sz="4" w:space="0" w:color="auto"/>
              <w:bottom w:val="single" w:sz="4" w:space="0" w:color="auto"/>
              <w:right w:val="single" w:sz="4" w:space="0" w:color="auto"/>
            </w:tcBorders>
          </w:tcPr>
          <w:p w14:paraId="133322BE" w14:textId="77777777" w:rsidR="0091670F" w:rsidRPr="00FB7590" w:rsidRDefault="0091670F" w:rsidP="00D3615D">
            <w:pPr>
              <w:spacing w:after="120"/>
              <w:rPr>
                <w:rFonts w:ascii="Calibri" w:eastAsia="Calibri" w:hAnsi="Calibri" w:cs="Times New Roman"/>
                <w:b/>
                <w:lang w:val="en" w:eastAsia="en-AU"/>
              </w:rPr>
            </w:pPr>
            <w:r w:rsidRPr="00FB7590">
              <w:rPr>
                <w:rFonts w:ascii="Calibri" w:eastAsia="Calibri" w:hAnsi="Calibri" w:cs="Times New Roman"/>
                <w:b/>
                <w:lang w:val="en" w:eastAsia="en-AU"/>
              </w:rPr>
              <w:t>Total</w:t>
            </w: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4AA84276" w14:textId="257E40FC" w:rsidR="0091670F" w:rsidRPr="00FB7590" w:rsidRDefault="0091670F" w:rsidP="00D3615D">
            <w:pPr>
              <w:spacing w:after="120"/>
              <w:rPr>
                <w:rFonts w:ascii="Calibri" w:eastAsia="Calibri" w:hAnsi="Calibri" w:cs="Times New Roman"/>
                <w:lang w:val="en" w:eastAsia="en-AU"/>
              </w:rPr>
            </w:pPr>
          </w:p>
        </w:tc>
        <w:tc>
          <w:tcPr>
            <w:tcW w:w="2773" w:type="dxa"/>
            <w:tcBorders>
              <w:top w:val="single" w:sz="4" w:space="0" w:color="auto"/>
              <w:left w:val="single" w:sz="4" w:space="0" w:color="auto"/>
              <w:bottom w:val="single" w:sz="4" w:space="0" w:color="auto"/>
              <w:right w:val="single" w:sz="4" w:space="0" w:color="auto"/>
            </w:tcBorders>
            <w:shd w:val="clear" w:color="auto" w:fill="auto"/>
          </w:tcPr>
          <w:p w14:paraId="340A766B" w14:textId="7D89ADB2" w:rsidR="0091670F" w:rsidRPr="00FB7590" w:rsidRDefault="0091670F" w:rsidP="00D3615D">
            <w:pPr>
              <w:spacing w:after="120"/>
              <w:rPr>
                <w:rFonts w:ascii="Calibri" w:eastAsia="Calibri" w:hAnsi="Calibri" w:cs="Times New Roman"/>
                <w:lang w:val="en" w:eastAsia="en-AU"/>
              </w:rPr>
            </w:pPr>
          </w:p>
        </w:tc>
      </w:tr>
      <w:tr w:rsidR="0091670F" w:rsidRPr="00FB7590" w14:paraId="1E97F9DE" w14:textId="77777777" w:rsidTr="0091670F">
        <w:tc>
          <w:tcPr>
            <w:tcW w:w="5276" w:type="dxa"/>
            <w:tcBorders>
              <w:top w:val="single" w:sz="4" w:space="0" w:color="auto"/>
              <w:left w:val="single" w:sz="4" w:space="0" w:color="auto"/>
              <w:bottom w:val="single" w:sz="4" w:space="0" w:color="auto"/>
              <w:right w:val="single" w:sz="4" w:space="0" w:color="auto"/>
            </w:tcBorders>
          </w:tcPr>
          <w:p w14:paraId="2ACACFE2" w14:textId="77777777" w:rsidR="0091670F" w:rsidRPr="00FB7590" w:rsidRDefault="0091670F" w:rsidP="00D3615D">
            <w:pPr>
              <w:spacing w:after="120"/>
              <w:rPr>
                <w:rFonts w:ascii="Calibri" w:eastAsia="Calibri" w:hAnsi="Calibri" w:cs="Times New Roman"/>
                <w:b/>
                <w:lang w:val="en" w:eastAsia="en-AU"/>
              </w:rPr>
            </w:pPr>
            <w:r w:rsidRPr="00FB7590">
              <w:rPr>
                <w:rFonts w:ascii="Calibri" w:eastAsia="Calibri" w:hAnsi="Calibri" w:cs="Times New Roman"/>
                <w:b/>
                <w:lang w:val="en" w:eastAsia="en-AU"/>
              </w:rPr>
              <w:t xml:space="preserve">Closing Retained Earnings </w:t>
            </w: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4195DEF4" w14:textId="6397A2DF" w:rsidR="0091670F" w:rsidRPr="00FB7590" w:rsidRDefault="0091670F" w:rsidP="00D3615D">
            <w:pPr>
              <w:spacing w:after="120"/>
              <w:rPr>
                <w:rFonts w:ascii="Calibri" w:eastAsia="Calibri" w:hAnsi="Calibri" w:cs="Times New Roman"/>
                <w:lang w:val="en" w:eastAsia="en-AU"/>
              </w:rPr>
            </w:pPr>
          </w:p>
        </w:tc>
        <w:tc>
          <w:tcPr>
            <w:tcW w:w="2773" w:type="dxa"/>
            <w:tcBorders>
              <w:top w:val="single" w:sz="4" w:space="0" w:color="auto"/>
              <w:left w:val="single" w:sz="4" w:space="0" w:color="auto"/>
              <w:bottom w:val="single" w:sz="4" w:space="0" w:color="auto"/>
              <w:right w:val="single" w:sz="4" w:space="0" w:color="auto"/>
            </w:tcBorders>
            <w:shd w:val="clear" w:color="auto" w:fill="auto"/>
          </w:tcPr>
          <w:p w14:paraId="2D9705EB" w14:textId="778FD2D1" w:rsidR="0091670F" w:rsidRPr="00FB7590" w:rsidRDefault="0091670F" w:rsidP="00D3615D">
            <w:pPr>
              <w:spacing w:after="120"/>
              <w:rPr>
                <w:rFonts w:ascii="Calibri" w:eastAsia="Calibri" w:hAnsi="Calibri" w:cs="Times New Roman"/>
                <w:lang w:val="en" w:eastAsia="en-AU"/>
              </w:rPr>
            </w:pPr>
          </w:p>
        </w:tc>
      </w:tr>
    </w:tbl>
    <w:p w14:paraId="690D3307" w14:textId="326BF7E8" w:rsidR="0091670F" w:rsidRPr="000B21CF" w:rsidRDefault="0091670F" w:rsidP="00D3615D">
      <w:pPr>
        <w:spacing w:before="240" w:after="0"/>
        <w:rPr>
          <w:rFonts w:ascii="Calibri" w:eastAsia="Calibri" w:hAnsi="Calibri"/>
          <w:lang w:val="en"/>
        </w:rPr>
      </w:pPr>
      <w:r w:rsidRPr="000B21CF">
        <w:rPr>
          <w:rFonts w:ascii="Calibri" w:eastAsia="Calibri" w:hAnsi="Calibri"/>
          <w:lang w:val="en"/>
        </w:rPr>
        <w:t>1. Input increases and decreases to retained earnings and dividends as positive numbers</w:t>
      </w:r>
      <w:r>
        <w:rPr>
          <w:rFonts w:ascii="Calibri" w:eastAsia="Calibri" w:hAnsi="Calibri"/>
          <w:lang w:val="en"/>
        </w:rPr>
        <w:t>.</w:t>
      </w:r>
      <w:r w:rsidRPr="000B21CF">
        <w:rPr>
          <w:rFonts w:ascii="Calibri" w:eastAsia="Calibri" w:hAnsi="Calibri"/>
          <w:lang w:val="en"/>
        </w:rPr>
        <w:t xml:space="preserve"> </w:t>
      </w:r>
    </w:p>
    <w:p w14:paraId="75A7DBAF" w14:textId="6C84F815" w:rsidR="0091670F" w:rsidRDefault="0091670F" w:rsidP="00685416">
      <w:pPr>
        <w:spacing w:before="240" w:after="360" w:line="276" w:lineRule="auto"/>
        <w:contextualSpacing/>
        <w:rPr>
          <w:rFonts w:ascii="Calibri" w:eastAsia="Calibri" w:hAnsi="Calibri"/>
          <w:lang w:val="en"/>
        </w:rPr>
      </w:pPr>
      <w:r w:rsidRPr="000B21CF">
        <w:rPr>
          <w:rFonts w:ascii="Calibri" w:eastAsia="Calibri" w:hAnsi="Calibri"/>
          <w:lang w:val="en"/>
        </w:rPr>
        <w:t xml:space="preserve">2. </w:t>
      </w:r>
      <w:r>
        <w:rPr>
          <w:rFonts w:ascii="Calibri" w:eastAsia="Calibri" w:hAnsi="Calibri"/>
          <w:lang w:val="en"/>
        </w:rPr>
        <w:t>I</w:t>
      </w:r>
      <w:r w:rsidRPr="000B21CF">
        <w:rPr>
          <w:rFonts w:ascii="Calibri" w:eastAsia="Calibri" w:hAnsi="Calibri"/>
          <w:lang w:val="en"/>
        </w:rPr>
        <w:t>nput 'to' amounts as positive numbers and 'from' amounts as negative numbers</w:t>
      </w:r>
      <w:r>
        <w:rPr>
          <w:rFonts w:ascii="Calibri" w:eastAsia="Calibri" w:hAnsi="Calibri"/>
          <w:lang w:val="en"/>
        </w:rPr>
        <w:t>.</w:t>
      </w:r>
    </w:p>
    <w:p w14:paraId="442E3AC2" w14:textId="77777777" w:rsidR="00685416" w:rsidRDefault="00685416" w:rsidP="00D3615D">
      <w:pPr>
        <w:spacing w:before="240" w:after="360" w:line="276" w:lineRule="auto"/>
        <w:contextualSpacing/>
        <w:rPr>
          <w:rFonts w:ascii="Calibri" w:hAnsi="Calibri"/>
          <w:color w:val="000000"/>
        </w:rPr>
      </w:pPr>
    </w:p>
    <w:tbl>
      <w:tblPr>
        <w:tblStyle w:val="TableGrid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tblGrid>
      <w:tr w:rsidR="00F42B39" w:rsidRPr="00FB7590" w14:paraId="5BDF9879" w14:textId="77777777" w:rsidTr="007B3931">
        <w:tc>
          <w:tcPr>
            <w:tcW w:w="6101" w:type="dxa"/>
            <w:tcBorders>
              <w:top w:val="single" w:sz="4" w:space="0" w:color="auto"/>
              <w:left w:val="single" w:sz="4" w:space="0" w:color="auto"/>
              <w:bottom w:val="single" w:sz="4" w:space="0" w:color="auto"/>
              <w:right w:val="single" w:sz="4" w:space="0" w:color="auto"/>
            </w:tcBorders>
            <w:shd w:val="clear" w:color="auto" w:fill="0070C0"/>
          </w:tcPr>
          <w:p w14:paraId="23C51C68" w14:textId="7B851B30" w:rsidR="00F42B39" w:rsidRPr="00FB7590" w:rsidRDefault="009E5009" w:rsidP="00F42B39">
            <w:pPr>
              <w:rPr>
                <w:rFonts w:ascii="Calibri" w:eastAsia="Calibri" w:hAnsi="Calibri" w:cs="Times New Roman"/>
                <w:b/>
                <w:bCs/>
                <w:iCs/>
                <w:color w:val="FFFFFF"/>
              </w:rPr>
            </w:pPr>
            <w:r>
              <w:rPr>
                <w:b/>
                <w:color w:val="FFFFFF" w:themeColor="background1"/>
              </w:rPr>
              <w:t>Additional comments</w:t>
            </w:r>
          </w:p>
        </w:tc>
      </w:tr>
      <w:tr w:rsidR="00F42B39" w:rsidRPr="00FB7590" w14:paraId="2D5DC04F" w14:textId="77777777" w:rsidTr="00D3615D">
        <w:trPr>
          <w:trHeight w:val="1625"/>
        </w:trPr>
        <w:tc>
          <w:tcPr>
            <w:tcW w:w="6101" w:type="dxa"/>
            <w:tcBorders>
              <w:top w:val="single" w:sz="4" w:space="0" w:color="auto"/>
              <w:left w:val="single" w:sz="4" w:space="0" w:color="auto"/>
              <w:bottom w:val="single" w:sz="4" w:space="0" w:color="auto"/>
              <w:right w:val="single" w:sz="4" w:space="0" w:color="auto"/>
            </w:tcBorders>
          </w:tcPr>
          <w:p w14:paraId="2BE939DE" w14:textId="1B17396D" w:rsidR="00F42B39" w:rsidRPr="00FB7590" w:rsidRDefault="00F42B39" w:rsidP="00F42B39">
            <w:pPr>
              <w:rPr>
                <w:rFonts w:ascii="Calibri" w:eastAsia="Calibri" w:hAnsi="Calibri" w:cs="Times New Roman"/>
                <w:b/>
                <w:bCs/>
                <w:iCs/>
              </w:rPr>
            </w:pPr>
          </w:p>
        </w:tc>
      </w:tr>
    </w:tbl>
    <w:p w14:paraId="6189D1A2" w14:textId="7D768F13" w:rsidR="002552E9" w:rsidRPr="00930407" w:rsidRDefault="002552E9" w:rsidP="00930407">
      <w:pPr>
        <w:spacing w:after="0"/>
        <w:outlineLvl w:val="3"/>
        <w:rPr>
          <w:rFonts w:ascii="Calibri" w:hAnsi="Calibri"/>
          <w:b/>
          <w:bCs/>
          <w:color w:val="0070C0"/>
          <w:sz w:val="32"/>
          <w:szCs w:val="32"/>
        </w:rPr>
      </w:pPr>
      <w:r w:rsidRPr="00930407">
        <w:rPr>
          <w:rFonts w:ascii="Calibri" w:hAnsi="Calibri"/>
          <w:b/>
          <w:bCs/>
          <w:color w:val="0070C0"/>
          <w:sz w:val="32"/>
          <w:szCs w:val="32"/>
        </w:rPr>
        <w:lastRenderedPageBreak/>
        <w:t>Balance sheet</w:t>
      </w:r>
    </w:p>
    <w:p w14:paraId="49BC4D46" w14:textId="6153FEF0" w:rsidR="002552E9" w:rsidRPr="00930407" w:rsidRDefault="00753227" w:rsidP="00D3615D">
      <w:pPr>
        <w:keepNext/>
        <w:spacing w:before="240" w:after="120"/>
        <w:outlineLvl w:val="3"/>
        <w:rPr>
          <w:rFonts w:ascii="Calibri" w:hAnsi="Calibri" w:cs="Helvetica"/>
          <w:b/>
          <w:sz w:val="24"/>
          <w:szCs w:val="24"/>
          <w:lang w:val="en"/>
        </w:rPr>
      </w:pPr>
      <w:r>
        <w:rPr>
          <w:rFonts w:ascii="Calibri" w:hAnsi="Calibri" w:cs="Helvetica"/>
          <w:b/>
          <w:sz w:val="24"/>
          <w:szCs w:val="24"/>
          <w:lang w:val="en"/>
        </w:rPr>
        <w:t xml:space="preserve">Current </w:t>
      </w:r>
      <w:r w:rsidRPr="00753227">
        <w:rPr>
          <w:rFonts w:ascii="Calibri" w:hAnsi="Calibri" w:cs="Helvetica"/>
          <w:b/>
          <w:sz w:val="24"/>
          <w:szCs w:val="24"/>
          <w:lang w:val="en"/>
        </w:rPr>
        <w:t>a</w:t>
      </w:r>
      <w:r w:rsidR="002552E9" w:rsidRPr="00930407">
        <w:rPr>
          <w:rFonts w:ascii="Calibri" w:hAnsi="Calibri" w:cs="Helvetica"/>
          <w:b/>
          <w:sz w:val="24"/>
          <w:szCs w:val="24"/>
          <w:lang w:val="en"/>
        </w:rPr>
        <w:t>ssets</w:t>
      </w:r>
      <w:r w:rsidR="009E5009">
        <w:rPr>
          <w:rFonts w:ascii="Calibri" w:hAnsi="Calibri" w:cs="Helvetica"/>
          <w:b/>
          <w:sz w:val="24"/>
          <w:szCs w:val="24"/>
          <w:lang w:val="en"/>
        </w:rPr>
        <w:t xml:space="preserve"> held</w:t>
      </w:r>
    </w:p>
    <w:tbl>
      <w:tblPr>
        <w:tblStyle w:val="TableGrid7"/>
        <w:tblW w:w="10181" w:type="dxa"/>
        <w:tblLook w:val="04A0" w:firstRow="1" w:lastRow="0" w:firstColumn="1" w:lastColumn="0" w:noHBand="0" w:noVBand="1"/>
      </w:tblPr>
      <w:tblGrid>
        <w:gridCol w:w="3823"/>
        <w:gridCol w:w="3179"/>
        <w:gridCol w:w="3179"/>
      </w:tblGrid>
      <w:tr w:rsidR="002552E9" w:rsidRPr="00C31440" w14:paraId="3B0A7ABD" w14:textId="77777777" w:rsidTr="00D3615D">
        <w:trPr>
          <w:trHeight w:val="242"/>
        </w:trPr>
        <w:tc>
          <w:tcPr>
            <w:tcW w:w="3823" w:type="dxa"/>
            <w:tcBorders>
              <w:top w:val="single" w:sz="4" w:space="0" w:color="auto"/>
              <w:left w:val="single" w:sz="4" w:space="0" w:color="auto"/>
              <w:bottom w:val="single" w:sz="4" w:space="0" w:color="auto"/>
            </w:tcBorders>
            <w:shd w:val="clear" w:color="auto" w:fill="0070C0"/>
          </w:tcPr>
          <w:p w14:paraId="448D54EE" w14:textId="77777777" w:rsidR="002552E9" w:rsidRPr="00C31440" w:rsidRDefault="002552E9" w:rsidP="00D3615D">
            <w:pPr>
              <w:spacing w:before="40" w:after="120"/>
              <w:rPr>
                <w:rFonts w:ascii="Calibri" w:eastAsia="Calibri" w:hAnsi="Calibri" w:cs="Times New Roman"/>
                <w:b/>
                <w:color w:val="FFFFFF"/>
                <w:lang w:val="en" w:eastAsia="en-AU"/>
              </w:rPr>
            </w:pPr>
            <w:r w:rsidRPr="00C31440">
              <w:rPr>
                <w:rFonts w:ascii="Calibri" w:eastAsia="Calibri" w:hAnsi="Calibri" w:cs="Times New Roman"/>
                <w:b/>
                <w:color w:val="FFFFFF"/>
                <w:lang w:val="en" w:eastAsia="en-AU"/>
              </w:rPr>
              <w:t>Current Assets</w:t>
            </w:r>
          </w:p>
        </w:tc>
        <w:tc>
          <w:tcPr>
            <w:tcW w:w="3179" w:type="dxa"/>
            <w:tcBorders>
              <w:top w:val="single" w:sz="4" w:space="0" w:color="auto"/>
            </w:tcBorders>
            <w:shd w:val="clear" w:color="auto" w:fill="0070C0"/>
          </w:tcPr>
          <w:p w14:paraId="7D001316" w14:textId="77777777" w:rsidR="002552E9" w:rsidRPr="00C31440" w:rsidRDefault="002552E9" w:rsidP="00D3615D">
            <w:pPr>
              <w:spacing w:before="40" w:after="120"/>
              <w:rPr>
                <w:rFonts w:ascii="Calibri" w:eastAsia="Calibri" w:hAnsi="Calibri" w:cs="Times New Roman"/>
                <w:b/>
                <w:color w:val="FFFFFF"/>
                <w:lang w:val="en" w:eastAsia="en-AU"/>
              </w:rPr>
            </w:pPr>
            <w:r w:rsidRPr="00C31440">
              <w:rPr>
                <w:rFonts w:ascii="Calibri" w:eastAsia="Calibri" w:hAnsi="Calibri" w:cs="Times New Roman"/>
                <w:b/>
                <w:color w:val="FFFFFF"/>
                <w:lang w:val="en" w:eastAsia="en-AU"/>
              </w:rPr>
              <w:t>Current</w:t>
            </w:r>
          </w:p>
        </w:tc>
        <w:tc>
          <w:tcPr>
            <w:tcW w:w="3179" w:type="dxa"/>
            <w:tcBorders>
              <w:top w:val="single" w:sz="4" w:space="0" w:color="auto"/>
            </w:tcBorders>
            <w:shd w:val="clear" w:color="auto" w:fill="0070C0"/>
          </w:tcPr>
          <w:p w14:paraId="06E93107" w14:textId="77777777" w:rsidR="002552E9" w:rsidRPr="00C31440" w:rsidRDefault="002552E9" w:rsidP="00D3615D">
            <w:pPr>
              <w:spacing w:before="40" w:after="120"/>
              <w:rPr>
                <w:rFonts w:ascii="Calibri" w:eastAsia="Calibri" w:hAnsi="Calibri" w:cs="Times New Roman"/>
                <w:b/>
                <w:color w:val="FFFFFF"/>
                <w:lang w:val="en" w:eastAsia="en-AU"/>
              </w:rPr>
            </w:pPr>
            <w:r w:rsidRPr="00C31440">
              <w:rPr>
                <w:rFonts w:ascii="Calibri" w:eastAsia="Calibri" w:hAnsi="Calibri" w:cs="Times New Roman"/>
                <w:b/>
                <w:color w:val="FFFFFF"/>
                <w:lang w:val="en" w:eastAsia="en-AU"/>
              </w:rPr>
              <w:t>Prior</w:t>
            </w:r>
          </w:p>
        </w:tc>
      </w:tr>
      <w:tr w:rsidR="002552E9" w:rsidRPr="00C31440" w14:paraId="5C812CBE" w14:textId="77777777" w:rsidTr="00D3615D">
        <w:trPr>
          <w:trHeight w:val="642"/>
        </w:trPr>
        <w:tc>
          <w:tcPr>
            <w:tcW w:w="3823" w:type="dxa"/>
            <w:tcBorders>
              <w:left w:val="single" w:sz="4" w:space="0" w:color="auto"/>
            </w:tcBorders>
          </w:tcPr>
          <w:p w14:paraId="1C136A0C" w14:textId="77777777" w:rsidR="002552E9" w:rsidRPr="00C31440" w:rsidRDefault="002552E9"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Trade receivables</w:t>
            </w:r>
            <w:r w:rsidRPr="00C31440">
              <w:rPr>
                <w:rFonts w:ascii="Calibri" w:eastAsia="Calibri" w:hAnsi="Calibri" w:cs="Times New Roman"/>
                <w:vertAlign w:val="superscript"/>
                <w:lang w:val="en" w:eastAsia="en-AU"/>
              </w:rPr>
              <w:t xml:space="preserve"> 1</w:t>
            </w:r>
          </w:p>
        </w:tc>
        <w:tc>
          <w:tcPr>
            <w:tcW w:w="3179" w:type="dxa"/>
          </w:tcPr>
          <w:p w14:paraId="2FD8097B" w14:textId="368615CE" w:rsidR="002552E9" w:rsidRPr="00C31440" w:rsidRDefault="002552E9" w:rsidP="00D3615D">
            <w:pPr>
              <w:spacing w:after="120"/>
              <w:rPr>
                <w:rFonts w:ascii="Calibri" w:eastAsia="Calibri" w:hAnsi="Calibri" w:cs="Times New Roman"/>
              </w:rPr>
            </w:pPr>
          </w:p>
        </w:tc>
        <w:tc>
          <w:tcPr>
            <w:tcW w:w="3179" w:type="dxa"/>
          </w:tcPr>
          <w:p w14:paraId="0DF0733A" w14:textId="12C1F94F" w:rsidR="002552E9" w:rsidRPr="00C31440" w:rsidRDefault="002552E9" w:rsidP="00D3615D">
            <w:pPr>
              <w:spacing w:after="120"/>
              <w:rPr>
                <w:rFonts w:ascii="Calibri" w:eastAsia="Calibri" w:hAnsi="Calibri" w:cs="Times New Roman"/>
                <w:lang w:val="en" w:eastAsia="en-AU"/>
              </w:rPr>
            </w:pPr>
          </w:p>
        </w:tc>
      </w:tr>
      <w:tr w:rsidR="002552E9" w:rsidRPr="00C31440" w14:paraId="5FDBA5E6" w14:textId="77777777" w:rsidTr="00D3615D">
        <w:trPr>
          <w:trHeight w:val="396"/>
        </w:trPr>
        <w:tc>
          <w:tcPr>
            <w:tcW w:w="3823" w:type="dxa"/>
            <w:tcBorders>
              <w:left w:val="single" w:sz="4" w:space="0" w:color="auto"/>
            </w:tcBorders>
          </w:tcPr>
          <w:p w14:paraId="629E6976" w14:textId="77777777" w:rsidR="002552E9" w:rsidRPr="00C31440" w:rsidRDefault="002552E9" w:rsidP="00D3615D">
            <w:pPr>
              <w:spacing w:after="120"/>
              <w:rPr>
                <w:rFonts w:ascii="Calibri" w:eastAsia="Calibri" w:hAnsi="Calibri" w:cs="Times New Roman"/>
                <w:lang w:val="en" w:eastAsia="en-AU"/>
              </w:rPr>
            </w:pPr>
            <w:r w:rsidRPr="00C31440">
              <w:rPr>
                <w:rFonts w:ascii="Calibri" w:eastAsia="Calibri" w:hAnsi="Calibri" w:cs="Times New Roman"/>
                <w:i/>
                <w:lang w:val="en" w:eastAsia="en-AU"/>
              </w:rPr>
              <w:t>Less</w:t>
            </w:r>
            <w:r w:rsidRPr="00C31440">
              <w:rPr>
                <w:rFonts w:ascii="Calibri" w:eastAsia="Calibri" w:hAnsi="Calibri" w:cs="Times New Roman"/>
                <w:lang w:val="en" w:eastAsia="en-AU"/>
              </w:rPr>
              <w:t xml:space="preserve"> provision for doubtful debts</w:t>
            </w:r>
          </w:p>
        </w:tc>
        <w:tc>
          <w:tcPr>
            <w:tcW w:w="3179" w:type="dxa"/>
          </w:tcPr>
          <w:p w14:paraId="7240B80B" w14:textId="6D120B2F" w:rsidR="002552E9" w:rsidRPr="00C31440" w:rsidRDefault="002552E9" w:rsidP="00D3615D">
            <w:pPr>
              <w:spacing w:after="120"/>
              <w:rPr>
                <w:rFonts w:ascii="Calibri" w:eastAsia="Calibri" w:hAnsi="Calibri" w:cs="Times New Roman"/>
                <w:noProof/>
              </w:rPr>
            </w:pPr>
          </w:p>
        </w:tc>
        <w:tc>
          <w:tcPr>
            <w:tcW w:w="3179" w:type="dxa"/>
          </w:tcPr>
          <w:p w14:paraId="37E17894" w14:textId="50FF4BF6" w:rsidR="002552E9" w:rsidRPr="00C31440" w:rsidRDefault="002552E9" w:rsidP="00D3615D">
            <w:pPr>
              <w:spacing w:after="120"/>
              <w:rPr>
                <w:rFonts w:ascii="Calibri" w:eastAsia="Calibri" w:hAnsi="Calibri" w:cs="Times New Roman"/>
              </w:rPr>
            </w:pPr>
          </w:p>
        </w:tc>
      </w:tr>
      <w:tr w:rsidR="002552E9" w:rsidRPr="00C31440" w14:paraId="357FA43D" w14:textId="77777777" w:rsidTr="00D3615D">
        <w:trPr>
          <w:trHeight w:val="396"/>
        </w:trPr>
        <w:tc>
          <w:tcPr>
            <w:tcW w:w="3823" w:type="dxa"/>
            <w:tcBorders>
              <w:left w:val="single" w:sz="4" w:space="0" w:color="auto"/>
            </w:tcBorders>
          </w:tcPr>
          <w:p w14:paraId="0878441F" w14:textId="77777777" w:rsidR="002552E9" w:rsidRPr="00C31440" w:rsidRDefault="002552E9"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 xml:space="preserve">Net </w:t>
            </w:r>
            <w:r>
              <w:rPr>
                <w:rFonts w:ascii="Calibri" w:eastAsia="Calibri" w:hAnsi="Calibri" w:cs="Times New Roman"/>
                <w:lang w:val="en" w:eastAsia="en-AU"/>
              </w:rPr>
              <w:t>t</w:t>
            </w:r>
            <w:r w:rsidRPr="00C31440">
              <w:rPr>
                <w:rFonts w:ascii="Calibri" w:eastAsia="Calibri" w:hAnsi="Calibri" w:cs="Times New Roman"/>
                <w:lang w:val="en" w:eastAsia="en-AU"/>
              </w:rPr>
              <w:t>rade receivables</w:t>
            </w:r>
          </w:p>
        </w:tc>
        <w:tc>
          <w:tcPr>
            <w:tcW w:w="3179" w:type="dxa"/>
          </w:tcPr>
          <w:p w14:paraId="08DA0B64" w14:textId="1342CF07" w:rsidR="002552E9" w:rsidRPr="00C31440" w:rsidRDefault="002552E9" w:rsidP="00D3615D">
            <w:pPr>
              <w:spacing w:after="120"/>
              <w:rPr>
                <w:rFonts w:ascii="Calibri" w:eastAsia="Calibri" w:hAnsi="Calibri" w:cs="Times New Roman"/>
                <w:noProof/>
              </w:rPr>
            </w:pPr>
          </w:p>
        </w:tc>
        <w:tc>
          <w:tcPr>
            <w:tcW w:w="3179" w:type="dxa"/>
          </w:tcPr>
          <w:p w14:paraId="2FF3C2A9" w14:textId="6843FCB6" w:rsidR="002552E9" w:rsidRPr="00C31440" w:rsidRDefault="002552E9" w:rsidP="00D3615D">
            <w:pPr>
              <w:spacing w:after="120"/>
              <w:rPr>
                <w:rFonts w:ascii="Calibri" w:eastAsia="Calibri" w:hAnsi="Calibri" w:cs="Times New Roman"/>
              </w:rPr>
            </w:pPr>
          </w:p>
        </w:tc>
      </w:tr>
      <w:tr w:rsidR="002552E9" w:rsidRPr="00C31440" w14:paraId="463633CB" w14:textId="77777777" w:rsidTr="00D3615D">
        <w:trPr>
          <w:trHeight w:val="591"/>
        </w:trPr>
        <w:tc>
          <w:tcPr>
            <w:tcW w:w="3823" w:type="dxa"/>
            <w:tcBorders>
              <w:left w:val="single" w:sz="4" w:space="0" w:color="auto"/>
            </w:tcBorders>
          </w:tcPr>
          <w:p w14:paraId="7CCC7FA3" w14:textId="77777777" w:rsidR="002552E9" w:rsidRPr="00C31440" w:rsidRDefault="002552E9" w:rsidP="00D3615D">
            <w:pPr>
              <w:spacing w:after="120"/>
              <w:rPr>
                <w:rFonts w:ascii="Calibri" w:eastAsia="Calibri" w:hAnsi="Calibri" w:cs="Times New Roman"/>
                <w:vertAlign w:val="superscript"/>
                <w:lang w:val="en" w:eastAsia="en-AU"/>
              </w:rPr>
            </w:pPr>
            <w:r w:rsidRPr="00C31440">
              <w:rPr>
                <w:rFonts w:ascii="Calibri" w:eastAsia="Calibri" w:hAnsi="Calibri" w:cs="Times New Roman"/>
                <w:lang w:val="en" w:eastAsia="en-AU"/>
              </w:rPr>
              <w:t>Securities borrowings</w:t>
            </w:r>
            <w:r w:rsidRPr="00C31440">
              <w:rPr>
                <w:rFonts w:ascii="Calibri" w:eastAsia="Calibri" w:hAnsi="Calibri" w:cs="Times New Roman"/>
                <w:vertAlign w:val="superscript"/>
                <w:lang w:val="en" w:eastAsia="en-AU"/>
              </w:rPr>
              <w:t xml:space="preserve"> 2</w:t>
            </w:r>
          </w:p>
        </w:tc>
        <w:tc>
          <w:tcPr>
            <w:tcW w:w="3179" w:type="dxa"/>
          </w:tcPr>
          <w:p w14:paraId="4C499B5B" w14:textId="5BA60611" w:rsidR="002552E9" w:rsidRPr="00C31440" w:rsidRDefault="002552E9" w:rsidP="00D3615D">
            <w:pPr>
              <w:spacing w:after="120"/>
              <w:rPr>
                <w:rFonts w:ascii="Calibri" w:eastAsia="Calibri" w:hAnsi="Calibri" w:cs="Times New Roman"/>
                <w:noProof/>
              </w:rPr>
            </w:pPr>
          </w:p>
        </w:tc>
        <w:tc>
          <w:tcPr>
            <w:tcW w:w="3179" w:type="dxa"/>
          </w:tcPr>
          <w:p w14:paraId="3ED9D7BD" w14:textId="050CEB28" w:rsidR="002552E9" w:rsidRPr="00C31440" w:rsidRDefault="002552E9" w:rsidP="00D3615D">
            <w:pPr>
              <w:spacing w:after="120"/>
              <w:rPr>
                <w:rFonts w:ascii="Calibri" w:eastAsia="Calibri" w:hAnsi="Calibri" w:cs="Times New Roman"/>
                <w:lang w:val="en" w:eastAsia="en-AU"/>
              </w:rPr>
            </w:pPr>
          </w:p>
        </w:tc>
      </w:tr>
      <w:tr w:rsidR="002552E9" w:rsidRPr="00C31440" w14:paraId="2A2BEC27" w14:textId="77777777" w:rsidTr="00D3615D">
        <w:trPr>
          <w:trHeight w:val="652"/>
        </w:trPr>
        <w:tc>
          <w:tcPr>
            <w:tcW w:w="3823" w:type="dxa"/>
            <w:tcBorders>
              <w:left w:val="single" w:sz="4" w:space="0" w:color="auto"/>
            </w:tcBorders>
          </w:tcPr>
          <w:p w14:paraId="286DCD30" w14:textId="77777777" w:rsidR="002552E9" w:rsidRPr="00C31440" w:rsidRDefault="002552E9"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Financial assets</w:t>
            </w:r>
            <w:r w:rsidRPr="00C31440">
              <w:rPr>
                <w:rFonts w:ascii="Calibri" w:eastAsia="Calibri" w:hAnsi="Calibri" w:cs="Times New Roman"/>
                <w:vertAlign w:val="superscript"/>
                <w:lang w:val="en" w:eastAsia="en-AU"/>
              </w:rPr>
              <w:t xml:space="preserve"> 3</w:t>
            </w:r>
          </w:p>
        </w:tc>
        <w:tc>
          <w:tcPr>
            <w:tcW w:w="3179" w:type="dxa"/>
          </w:tcPr>
          <w:p w14:paraId="17656722" w14:textId="3C1BFD68" w:rsidR="002552E9" w:rsidRPr="00C31440" w:rsidRDefault="002552E9" w:rsidP="00D3615D">
            <w:pPr>
              <w:spacing w:after="120"/>
              <w:rPr>
                <w:rFonts w:ascii="Calibri" w:eastAsia="Calibri" w:hAnsi="Calibri" w:cs="Times New Roman"/>
                <w:noProof/>
              </w:rPr>
            </w:pPr>
          </w:p>
        </w:tc>
        <w:tc>
          <w:tcPr>
            <w:tcW w:w="3179" w:type="dxa"/>
          </w:tcPr>
          <w:p w14:paraId="28323BC6" w14:textId="0B439E49" w:rsidR="002552E9" w:rsidRPr="00C31440" w:rsidRDefault="002552E9" w:rsidP="00D3615D">
            <w:pPr>
              <w:spacing w:after="120"/>
              <w:rPr>
                <w:rFonts w:ascii="Calibri" w:eastAsia="Calibri" w:hAnsi="Calibri" w:cs="Times New Roman"/>
              </w:rPr>
            </w:pPr>
          </w:p>
        </w:tc>
      </w:tr>
      <w:tr w:rsidR="002552E9" w:rsidRPr="00C31440" w14:paraId="69510112" w14:textId="77777777" w:rsidTr="00D3615D">
        <w:trPr>
          <w:trHeight w:val="557"/>
        </w:trPr>
        <w:tc>
          <w:tcPr>
            <w:tcW w:w="3823" w:type="dxa"/>
            <w:tcBorders>
              <w:left w:val="single" w:sz="4" w:space="0" w:color="auto"/>
            </w:tcBorders>
          </w:tcPr>
          <w:p w14:paraId="720F6A1C" w14:textId="77777777" w:rsidR="002552E9" w:rsidRPr="00C31440" w:rsidRDefault="002552E9" w:rsidP="00D3615D">
            <w:pPr>
              <w:spacing w:after="120"/>
              <w:rPr>
                <w:rFonts w:ascii="Calibri" w:eastAsia="Calibri" w:hAnsi="Calibri" w:cs="Times New Roman"/>
                <w:vertAlign w:val="superscript"/>
                <w:lang w:val="en" w:eastAsia="en-AU"/>
              </w:rPr>
            </w:pPr>
            <w:r w:rsidRPr="00C31440">
              <w:rPr>
                <w:rFonts w:ascii="Calibri" w:eastAsia="Calibri" w:hAnsi="Calibri" w:cs="Times New Roman"/>
                <w:lang w:val="en" w:eastAsia="en-AU"/>
              </w:rPr>
              <w:t>Cash and cash equivalents</w:t>
            </w:r>
            <w:r w:rsidRPr="00C31440">
              <w:rPr>
                <w:rFonts w:ascii="Calibri" w:eastAsia="Calibri" w:hAnsi="Calibri" w:cs="Times New Roman"/>
                <w:vertAlign w:val="superscript"/>
                <w:lang w:val="en" w:eastAsia="en-AU"/>
              </w:rPr>
              <w:t xml:space="preserve"> 4</w:t>
            </w:r>
          </w:p>
        </w:tc>
        <w:tc>
          <w:tcPr>
            <w:tcW w:w="3179" w:type="dxa"/>
          </w:tcPr>
          <w:p w14:paraId="7F59E447" w14:textId="77777777" w:rsidR="002552E9" w:rsidRPr="00C31440" w:rsidRDefault="002552E9" w:rsidP="00D3615D">
            <w:pPr>
              <w:spacing w:after="120"/>
              <w:rPr>
                <w:rFonts w:ascii="Calibri" w:eastAsia="Calibri" w:hAnsi="Calibri" w:cs="Times New Roman"/>
                <w:noProof/>
              </w:rPr>
            </w:pPr>
          </w:p>
        </w:tc>
        <w:tc>
          <w:tcPr>
            <w:tcW w:w="3179" w:type="dxa"/>
          </w:tcPr>
          <w:p w14:paraId="369766D6" w14:textId="18D5630A" w:rsidR="002552E9" w:rsidRPr="00C31440" w:rsidRDefault="002552E9" w:rsidP="00D3615D">
            <w:pPr>
              <w:spacing w:after="120"/>
              <w:rPr>
                <w:rFonts w:ascii="Calibri" w:eastAsia="Calibri" w:hAnsi="Calibri" w:cs="Times New Roman"/>
                <w:lang w:val="en" w:eastAsia="en-AU"/>
              </w:rPr>
            </w:pPr>
          </w:p>
        </w:tc>
      </w:tr>
      <w:tr w:rsidR="002552E9" w:rsidRPr="00C31440" w14:paraId="3BC1C35B" w14:textId="77777777" w:rsidTr="00D3615D">
        <w:trPr>
          <w:trHeight w:val="569"/>
        </w:trPr>
        <w:tc>
          <w:tcPr>
            <w:tcW w:w="3823" w:type="dxa"/>
            <w:tcBorders>
              <w:left w:val="single" w:sz="4" w:space="0" w:color="auto"/>
            </w:tcBorders>
          </w:tcPr>
          <w:p w14:paraId="0157E0EF" w14:textId="77DC1050" w:rsidR="002552E9" w:rsidRPr="00C31440" w:rsidRDefault="002552E9"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Related/Associated Persons</w:t>
            </w:r>
          </w:p>
        </w:tc>
        <w:tc>
          <w:tcPr>
            <w:tcW w:w="3179" w:type="dxa"/>
          </w:tcPr>
          <w:p w14:paraId="3BCF253E" w14:textId="77777777" w:rsidR="002552E9" w:rsidRPr="00C31440" w:rsidRDefault="002552E9" w:rsidP="00D3615D">
            <w:pPr>
              <w:spacing w:after="120"/>
              <w:rPr>
                <w:rFonts w:ascii="Calibri" w:eastAsia="Calibri" w:hAnsi="Calibri" w:cs="Times New Roman"/>
                <w:noProof/>
              </w:rPr>
            </w:pPr>
          </w:p>
        </w:tc>
        <w:tc>
          <w:tcPr>
            <w:tcW w:w="3179" w:type="dxa"/>
          </w:tcPr>
          <w:p w14:paraId="14D49E18" w14:textId="71A10383" w:rsidR="002552E9" w:rsidRPr="00C31440" w:rsidRDefault="002552E9" w:rsidP="00D3615D">
            <w:pPr>
              <w:spacing w:after="120"/>
              <w:rPr>
                <w:rFonts w:ascii="Calibri" w:eastAsia="Calibri" w:hAnsi="Calibri" w:cs="Times New Roman"/>
                <w:lang w:val="en" w:eastAsia="en-AU"/>
              </w:rPr>
            </w:pPr>
          </w:p>
        </w:tc>
      </w:tr>
      <w:tr w:rsidR="002552E9" w:rsidRPr="00C31440" w14:paraId="55498F04" w14:textId="77777777" w:rsidTr="00D3615D">
        <w:trPr>
          <w:trHeight w:val="569"/>
        </w:trPr>
        <w:tc>
          <w:tcPr>
            <w:tcW w:w="3823" w:type="dxa"/>
            <w:tcBorders>
              <w:left w:val="single" w:sz="4" w:space="0" w:color="auto"/>
            </w:tcBorders>
          </w:tcPr>
          <w:p w14:paraId="13703C39" w14:textId="77777777" w:rsidR="002552E9" w:rsidRPr="00C31440" w:rsidRDefault="002552E9"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 xml:space="preserve">Client trust and segregated accounts </w:t>
            </w:r>
          </w:p>
        </w:tc>
        <w:tc>
          <w:tcPr>
            <w:tcW w:w="3179" w:type="dxa"/>
          </w:tcPr>
          <w:p w14:paraId="53C31918" w14:textId="728EF811" w:rsidR="002552E9" w:rsidRPr="00C31440" w:rsidRDefault="002552E9" w:rsidP="00D3615D">
            <w:pPr>
              <w:spacing w:after="120"/>
              <w:rPr>
                <w:rFonts w:ascii="Calibri" w:eastAsia="Calibri" w:hAnsi="Calibri" w:cs="Times New Roman"/>
                <w:noProof/>
              </w:rPr>
            </w:pPr>
          </w:p>
        </w:tc>
        <w:tc>
          <w:tcPr>
            <w:tcW w:w="3179" w:type="dxa"/>
          </w:tcPr>
          <w:p w14:paraId="7EA68502" w14:textId="21DE91E0" w:rsidR="002552E9" w:rsidRPr="00C31440" w:rsidRDefault="002552E9" w:rsidP="00D3615D">
            <w:pPr>
              <w:spacing w:after="120"/>
              <w:rPr>
                <w:rFonts w:ascii="Calibri" w:eastAsia="Calibri" w:hAnsi="Calibri" w:cs="Times New Roman"/>
                <w:lang w:val="en" w:eastAsia="en-AU"/>
              </w:rPr>
            </w:pPr>
          </w:p>
        </w:tc>
      </w:tr>
      <w:tr w:rsidR="002552E9" w:rsidRPr="00C31440" w14:paraId="3DB1AC93" w14:textId="77777777" w:rsidTr="00D3615D">
        <w:trPr>
          <w:trHeight w:val="569"/>
        </w:trPr>
        <w:tc>
          <w:tcPr>
            <w:tcW w:w="3823" w:type="dxa"/>
            <w:tcBorders>
              <w:left w:val="single" w:sz="4" w:space="0" w:color="auto"/>
            </w:tcBorders>
          </w:tcPr>
          <w:p w14:paraId="02007EDF" w14:textId="77777777" w:rsidR="002552E9" w:rsidRPr="00C31440" w:rsidRDefault="002552E9"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Deposits at clearing houses</w:t>
            </w:r>
          </w:p>
        </w:tc>
        <w:tc>
          <w:tcPr>
            <w:tcW w:w="3179" w:type="dxa"/>
          </w:tcPr>
          <w:p w14:paraId="680FF27F" w14:textId="4518B80A" w:rsidR="002552E9" w:rsidRPr="00C31440" w:rsidRDefault="002552E9" w:rsidP="00D3615D">
            <w:pPr>
              <w:spacing w:after="120"/>
              <w:rPr>
                <w:rFonts w:ascii="Calibri" w:eastAsia="Calibri" w:hAnsi="Calibri" w:cs="Times New Roman"/>
                <w:noProof/>
              </w:rPr>
            </w:pPr>
          </w:p>
        </w:tc>
        <w:tc>
          <w:tcPr>
            <w:tcW w:w="3179" w:type="dxa"/>
          </w:tcPr>
          <w:p w14:paraId="46D6E8E6" w14:textId="71CF9F21" w:rsidR="002552E9" w:rsidRPr="00C31440" w:rsidRDefault="002552E9" w:rsidP="00D3615D">
            <w:pPr>
              <w:spacing w:after="120"/>
              <w:rPr>
                <w:rFonts w:ascii="Calibri" w:eastAsia="Calibri" w:hAnsi="Calibri" w:cs="Times New Roman"/>
                <w:lang w:val="en" w:eastAsia="en-AU"/>
              </w:rPr>
            </w:pPr>
          </w:p>
        </w:tc>
      </w:tr>
      <w:tr w:rsidR="002552E9" w:rsidRPr="00C31440" w14:paraId="6B018B9E" w14:textId="77777777" w:rsidTr="00D3615D">
        <w:trPr>
          <w:trHeight w:val="555"/>
        </w:trPr>
        <w:tc>
          <w:tcPr>
            <w:tcW w:w="3823" w:type="dxa"/>
            <w:tcBorders>
              <w:left w:val="single" w:sz="4" w:space="0" w:color="auto"/>
            </w:tcBorders>
          </w:tcPr>
          <w:p w14:paraId="64366841" w14:textId="77777777" w:rsidR="002552E9" w:rsidRPr="00C31440" w:rsidRDefault="002552E9"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Right-of-</w:t>
            </w:r>
            <w:r>
              <w:rPr>
                <w:rFonts w:ascii="Calibri" w:eastAsia="Calibri" w:hAnsi="Calibri" w:cs="Times New Roman"/>
                <w:lang w:val="en" w:eastAsia="en-AU"/>
              </w:rPr>
              <w:t>u</w:t>
            </w:r>
            <w:r w:rsidRPr="00C31440">
              <w:rPr>
                <w:rFonts w:ascii="Calibri" w:eastAsia="Calibri" w:hAnsi="Calibri" w:cs="Times New Roman"/>
                <w:lang w:val="en" w:eastAsia="en-AU"/>
              </w:rPr>
              <w:t xml:space="preserve">se </w:t>
            </w:r>
            <w:r>
              <w:rPr>
                <w:rFonts w:ascii="Calibri" w:eastAsia="Calibri" w:hAnsi="Calibri" w:cs="Times New Roman"/>
                <w:lang w:val="en" w:eastAsia="en-AU"/>
              </w:rPr>
              <w:t>a</w:t>
            </w:r>
            <w:r w:rsidRPr="00C31440">
              <w:rPr>
                <w:rFonts w:ascii="Calibri" w:eastAsia="Calibri" w:hAnsi="Calibri" w:cs="Times New Roman"/>
                <w:lang w:val="en" w:eastAsia="en-AU"/>
              </w:rPr>
              <w:t>ssets</w:t>
            </w:r>
          </w:p>
        </w:tc>
        <w:tc>
          <w:tcPr>
            <w:tcW w:w="3179" w:type="dxa"/>
          </w:tcPr>
          <w:p w14:paraId="164A7230" w14:textId="57059510" w:rsidR="002552E9" w:rsidRPr="00C31440" w:rsidRDefault="002552E9" w:rsidP="00D3615D">
            <w:pPr>
              <w:spacing w:after="120"/>
              <w:rPr>
                <w:rFonts w:ascii="Calibri" w:eastAsia="Calibri" w:hAnsi="Calibri" w:cs="Times New Roman"/>
                <w:noProof/>
              </w:rPr>
            </w:pPr>
          </w:p>
        </w:tc>
        <w:tc>
          <w:tcPr>
            <w:tcW w:w="3179" w:type="dxa"/>
          </w:tcPr>
          <w:p w14:paraId="410B567B" w14:textId="605925A2" w:rsidR="002552E9" w:rsidRPr="00C31440" w:rsidRDefault="002552E9" w:rsidP="00D3615D">
            <w:pPr>
              <w:spacing w:after="120"/>
              <w:rPr>
                <w:rFonts w:ascii="Calibri" w:eastAsia="Calibri" w:hAnsi="Calibri" w:cs="Times New Roman"/>
              </w:rPr>
            </w:pPr>
          </w:p>
        </w:tc>
      </w:tr>
      <w:tr w:rsidR="002552E9" w:rsidRPr="00C31440" w14:paraId="43664D1A" w14:textId="77777777" w:rsidTr="00D3615D">
        <w:trPr>
          <w:trHeight w:val="449"/>
        </w:trPr>
        <w:tc>
          <w:tcPr>
            <w:tcW w:w="3823" w:type="dxa"/>
            <w:tcBorders>
              <w:left w:val="single" w:sz="4" w:space="0" w:color="auto"/>
            </w:tcBorders>
          </w:tcPr>
          <w:p w14:paraId="35560B8F" w14:textId="77777777" w:rsidR="002552E9" w:rsidRPr="00C31440" w:rsidRDefault="002552E9"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Other current assets</w:t>
            </w:r>
            <w:r w:rsidRPr="00C31440">
              <w:rPr>
                <w:rFonts w:ascii="Calibri" w:eastAsia="Calibri" w:hAnsi="Calibri" w:cs="Times New Roman"/>
                <w:vertAlign w:val="superscript"/>
                <w:lang w:val="en" w:eastAsia="en-AU"/>
              </w:rPr>
              <w:t>5</w:t>
            </w:r>
          </w:p>
        </w:tc>
        <w:tc>
          <w:tcPr>
            <w:tcW w:w="3179" w:type="dxa"/>
          </w:tcPr>
          <w:p w14:paraId="270A99C0" w14:textId="77777777" w:rsidR="002552E9" w:rsidRPr="00C31440" w:rsidRDefault="002552E9" w:rsidP="00D3615D">
            <w:pPr>
              <w:spacing w:after="120"/>
              <w:rPr>
                <w:rFonts w:ascii="Calibri" w:eastAsia="Calibri" w:hAnsi="Calibri" w:cs="Times New Roman"/>
                <w:noProof/>
              </w:rPr>
            </w:pPr>
          </w:p>
        </w:tc>
        <w:tc>
          <w:tcPr>
            <w:tcW w:w="3179" w:type="dxa"/>
          </w:tcPr>
          <w:p w14:paraId="5CB914F8" w14:textId="0C345F28" w:rsidR="002552E9" w:rsidRPr="00C31440" w:rsidRDefault="002552E9" w:rsidP="00D3615D">
            <w:pPr>
              <w:spacing w:after="120"/>
              <w:rPr>
                <w:rFonts w:ascii="Calibri" w:eastAsia="Calibri" w:hAnsi="Calibri" w:cs="Times New Roman"/>
                <w:lang w:val="en" w:eastAsia="en-AU"/>
              </w:rPr>
            </w:pPr>
          </w:p>
        </w:tc>
      </w:tr>
      <w:tr w:rsidR="002552E9" w:rsidRPr="00C31440" w14:paraId="5B050951" w14:textId="77777777" w:rsidTr="00D3615D">
        <w:trPr>
          <w:trHeight w:val="446"/>
        </w:trPr>
        <w:tc>
          <w:tcPr>
            <w:tcW w:w="3823" w:type="dxa"/>
            <w:tcBorders>
              <w:left w:val="single" w:sz="4" w:space="0" w:color="auto"/>
            </w:tcBorders>
          </w:tcPr>
          <w:p w14:paraId="46A8C493" w14:textId="77777777" w:rsidR="002552E9" w:rsidRPr="00C31440" w:rsidRDefault="002552E9" w:rsidP="00D3615D">
            <w:pPr>
              <w:spacing w:after="120"/>
              <w:rPr>
                <w:rFonts w:ascii="Calibri" w:eastAsia="Calibri" w:hAnsi="Calibri" w:cs="Times New Roman"/>
                <w:b/>
                <w:lang w:val="en" w:eastAsia="en-AU"/>
              </w:rPr>
            </w:pPr>
            <w:r w:rsidRPr="00C31440">
              <w:rPr>
                <w:rFonts w:ascii="Calibri" w:eastAsia="Calibri" w:hAnsi="Calibri" w:cs="Times New Roman"/>
                <w:b/>
                <w:lang w:val="en" w:eastAsia="en-AU"/>
              </w:rPr>
              <w:t xml:space="preserve"> Total current assets</w:t>
            </w:r>
          </w:p>
        </w:tc>
        <w:tc>
          <w:tcPr>
            <w:tcW w:w="3179" w:type="dxa"/>
          </w:tcPr>
          <w:p w14:paraId="70EDF942" w14:textId="3855817F" w:rsidR="002552E9" w:rsidRPr="00C31440" w:rsidRDefault="002552E9" w:rsidP="00D3615D">
            <w:pPr>
              <w:spacing w:after="120"/>
              <w:rPr>
                <w:rFonts w:ascii="Calibri" w:eastAsia="Calibri" w:hAnsi="Calibri" w:cs="Times New Roman"/>
                <w:noProof/>
              </w:rPr>
            </w:pPr>
          </w:p>
        </w:tc>
        <w:tc>
          <w:tcPr>
            <w:tcW w:w="3179" w:type="dxa"/>
          </w:tcPr>
          <w:p w14:paraId="76E219CF" w14:textId="3A6452CF" w:rsidR="002552E9" w:rsidRPr="00C31440" w:rsidRDefault="002552E9" w:rsidP="00D3615D">
            <w:pPr>
              <w:spacing w:after="120"/>
              <w:rPr>
                <w:rFonts w:ascii="Calibri" w:eastAsia="Calibri" w:hAnsi="Calibri" w:cs="Times New Roman"/>
                <w:lang w:val="en" w:eastAsia="en-AU"/>
              </w:rPr>
            </w:pPr>
          </w:p>
        </w:tc>
      </w:tr>
    </w:tbl>
    <w:p w14:paraId="6971EB14" w14:textId="77777777" w:rsidR="00685416" w:rsidRPr="00511FAF" w:rsidRDefault="00685416" w:rsidP="00685416">
      <w:pPr>
        <w:spacing w:after="0"/>
        <w:rPr>
          <w:rFonts w:ascii="Calibri" w:hAnsi="Calibri"/>
          <w:color w:val="000000"/>
          <w:sz w:val="16"/>
          <w:szCs w:val="16"/>
        </w:rPr>
      </w:pPr>
    </w:p>
    <w:p w14:paraId="0E168A04" w14:textId="2B17B0D0" w:rsidR="002552E9" w:rsidRPr="00D3615D" w:rsidRDefault="002552E9" w:rsidP="00914FEE">
      <w:pPr>
        <w:spacing w:after="120"/>
        <w:ind w:left="360"/>
        <w:rPr>
          <w:rFonts w:ascii="Calibri" w:hAnsi="Calibri"/>
          <w:szCs w:val="22"/>
        </w:rPr>
      </w:pPr>
      <w:r w:rsidRPr="00914FEE">
        <w:rPr>
          <w:rFonts w:ascii="Calibri" w:hAnsi="Calibri"/>
          <w:szCs w:val="22"/>
        </w:rPr>
        <w:t>1</w:t>
      </w:r>
      <w:r w:rsidRPr="00D3615D">
        <w:rPr>
          <w:rFonts w:ascii="Calibri" w:hAnsi="Calibri"/>
          <w:szCs w:val="22"/>
        </w:rPr>
        <w:t>. Client and trade receivables only. (</w:t>
      </w:r>
      <w:r w:rsidRPr="00914FEE">
        <w:rPr>
          <w:rFonts w:ascii="Calibri" w:hAnsi="Calibri"/>
          <w:szCs w:val="22"/>
        </w:rPr>
        <w:t>Note</w:t>
      </w:r>
      <w:r w:rsidRPr="00D3615D">
        <w:rPr>
          <w:rFonts w:ascii="Calibri" w:hAnsi="Calibri"/>
          <w:szCs w:val="22"/>
        </w:rPr>
        <w:t>: You should include Trade Related/Associated Person amounts here – refer ‘Related/Associated Person Balance’ definition.)</w:t>
      </w:r>
    </w:p>
    <w:p w14:paraId="11B96EA2" w14:textId="6132735B" w:rsidR="002552E9" w:rsidRPr="00D3615D" w:rsidRDefault="002552E9" w:rsidP="00D3615D">
      <w:pPr>
        <w:spacing w:after="120"/>
        <w:ind w:left="360"/>
        <w:rPr>
          <w:rFonts w:ascii="Calibri" w:hAnsi="Calibri"/>
          <w:szCs w:val="22"/>
        </w:rPr>
      </w:pPr>
      <w:r w:rsidRPr="00D3615D">
        <w:rPr>
          <w:rFonts w:ascii="Calibri" w:hAnsi="Calibri"/>
          <w:szCs w:val="22"/>
        </w:rPr>
        <w:lastRenderedPageBreak/>
        <w:t>2. Only include cash paid for securities borrowings.</w:t>
      </w:r>
    </w:p>
    <w:p w14:paraId="11D5F2A7" w14:textId="562ED448" w:rsidR="002552E9" w:rsidRPr="00D3615D" w:rsidRDefault="002552E9" w:rsidP="00D3615D">
      <w:pPr>
        <w:spacing w:after="120"/>
        <w:ind w:left="360"/>
        <w:rPr>
          <w:rFonts w:ascii="Calibri" w:hAnsi="Calibri"/>
          <w:szCs w:val="22"/>
        </w:rPr>
      </w:pPr>
      <w:r w:rsidRPr="00D3615D">
        <w:rPr>
          <w:rFonts w:ascii="Calibri" w:hAnsi="Calibri"/>
          <w:szCs w:val="22"/>
        </w:rPr>
        <w:t>3. All equity, debt and similar instruments at market value.</w:t>
      </w:r>
    </w:p>
    <w:p w14:paraId="57CAB42D" w14:textId="3F61B456" w:rsidR="002552E9" w:rsidRPr="00D3615D" w:rsidRDefault="002552E9" w:rsidP="00D3615D">
      <w:pPr>
        <w:spacing w:after="120"/>
        <w:ind w:left="360"/>
        <w:rPr>
          <w:rFonts w:ascii="Calibri" w:hAnsi="Calibri"/>
          <w:szCs w:val="22"/>
        </w:rPr>
      </w:pPr>
      <w:r w:rsidRPr="00D3615D">
        <w:rPr>
          <w:rFonts w:ascii="Calibri" w:hAnsi="Calibri"/>
          <w:szCs w:val="22"/>
        </w:rPr>
        <w:t>4. Cash at bank, cash on hand and other deposits other than client trust and segregated accounts.</w:t>
      </w:r>
    </w:p>
    <w:p w14:paraId="166F1571" w14:textId="04B0E917" w:rsidR="002552E9" w:rsidRPr="00D3615D" w:rsidRDefault="002552E9" w:rsidP="00D3615D">
      <w:pPr>
        <w:spacing w:after="120"/>
        <w:ind w:left="360"/>
        <w:rPr>
          <w:rFonts w:ascii="Calibri" w:hAnsi="Calibri"/>
          <w:szCs w:val="22"/>
        </w:rPr>
      </w:pPr>
      <w:r w:rsidRPr="00D3615D">
        <w:rPr>
          <w:rFonts w:ascii="Calibri" w:hAnsi="Calibri"/>
          <w:szCs w:val="22"/>
        </w:rPr>
        <w:t>5. Other balances not included above.</w:t>
      </w:r>
    </w:p>
    <w:p w14:paraId="6BA5D25F" w14:textId="2002011A" w:rsidR="003A1BE7" w:rsidRPr="00D3615D" w:rsidRDefault="00753227" w:rsidP="00D3615D">
      <w:pPr>
        <w:keepNext/>
        <w:spacing w:before="240" w:after="120"/>
        <w:outlineLvl w:val="3"/>
        <w:rPr>
          <w:rFonts w:ascii="Calibri" w:hAnsi="Calibri" w:cs="Helvetica"/>
          <w:b/>
          <w:sz w:val="24"/>
          <w:szCs w:val="24"/>
          <w:lang w:val="en"/>
        </w:rPr>
      </w:pPr>
      <w:r w:rsidRPr="00D3615D">
        <w:rPr>
          <w:rFonts w:ascii="Calibri" w:hAnsi="Calibri" w:cs="Helvetica"/>
          <w:b/>
          <w:sz w:val="24"/>
          <w:szCs w:val="24"/>
          <w:lang w:val="en"/>
        </w:rPr>
        <w:t>Non-current assets</w:t>
      </w:r>
      <w:r w:rsidR="009E5009" w:rsidRPr="00D3615D">
        <w:rPr>
          <w:rFonts w:ascii="Calibri" w:hAnsi="Calibri" w:cs="Helvetica"/>
          <w:b/>
          <w:sz w:val="24"/>
          <w:szCs w:val="24"/>
          <w:lang w:val="en"/>
        </w:rPr>
        <w:t xml:space="preserve"> held</w:t>
      </w:r>
    </w:p>
    <w:tbl>
      <w:tblPr>
        <w:tblStyle w:val="TableGrid7"/>
        <w:tblW w:w="10201" w:type="dxa"/>
        <w:tblLook w:val="04A0" w:firstRow="1" w:lastRow="0" w:firstColumn="1" w:lastColumn="0" w:noHBand="0" w:noVBand="1"/>
      </w:tblPr>
      <w:tblGrid>
        <w:gridCol w:w="2830"/>
        <w:gridCol w:w="3828"/>
        <w:gridCol w:w="3543"/>
      </w:tblGrid>
      <w:tr w:rsidR="00753227" w:rsidRPr="00C31440" w14:paraId="0349543C" w14:textId="77777777" w:rsidTr="00930407">
        <w:tc>
          <w:tcPr>
            <w:tcW w:w="2830" w:type="dxa"/>
            <w:tcBorders>
              <w:top w:val="single" w:sz="4" w:space="0" w:color="auto"/>
              <w:left w:val="single" w:sz="4" w:space="0" w:color="auto"/>
            </w:tcBorders>
            <w:shd w:val="clear" w:color="auto" w:fill="0070C0"/>
          </w:tcPr>
          <w:p w14:paraId="34AD76F0" w14:textId="77777777" w:rsidR="00753227" w:rsidRPr="00C31440" w:rsidRDefault="00753227" w:rsidP="00D3615D">
            <w:pPr>
              <w:spacing w:before="40" w:after="120"/>
              <w:rPr>
                <w:rFonts w:ascii="Calibri" w:eastAsia="Calibri" w:hAnsi="Calibri" w:cs="Times New Roman"/>
                <w:b/>
                <w:color w:val="FFFFFF"/>
                <w:lang w:val="en" w:eastAsia="en-AU"/>
              </w:rPr>
            </w:pPr>
            <w:r w:rsidRPr="00C31440">
              <w:rPr>
                <w:rFonts w:ascii="Calibri" w:eastAsia="Calibri" w:hAnsi="Calibri" w:cs="Times New Roman"/>
                <w:b/>
                <w:color w:val="FFFFFF"/>
                <w:lang w:val="en" w:eastAsia="en-AU"/>
              </w:rPr>
              <w:t>Non</w:t>
            </w:r>
            <w:r>
              <w:rPr>
                <w:rFonts w:ascii="Calibri" w:eastAsia="Calibri" w:hAnsi="Calibri" w:cs="Times New Roman"/>
                <w:b/>
                <w:color w:val="FFFFFF"/>
                <w:lang w:val="en" w:eastAsia="en-AU"/>
              </w:rPr>
              <w:t>-</w:t>
            </w:r>
            <w:r w:rsidRPr="00C31440">
              <w:rPr>
                <w:rFonts w:ascii="Calibri" w:eastAsia="Calibri" w:hAnsi="Calibri" w:cs="Times New Roman"/>
                <w:b/>
                <w:color w:val="FFFFFF"/>
                <w:lang w:val="en" w:eastAsia="en-AU"/>
              </w:rPr>
              <w:t>current assets</w:t>
            </w:r>
          </w:p>
        </w:tc>
        <w:tc>
          <w:tcPr>
            <w:tcW w:w="3828" w:type="dxa"/>
            <w:tcBorders>
              <w:top w:val="single" w:sz="4" w:space="0" w:color="auto"/>
            </w:tcBorders>
            <w:shd w:val="clear" w:color="auto" w:fill="0070C0"/>
          </w:tcPr>
          <w:p w14:paraId="7DB897DF" w14:textId="77777777" w:rsidR="00753227" w:rsidRPr="00C31440" w:rsidRDefault="00753227" w:rsidP="00D3615D">
            <w:pPr>
              <w:spacing w:before="40" w:after="120"/>
              <w:rPr>
                <w:rFonts w:ascii="Calibri" w:eastAsia="Calibri" w:hAnsi="Calibri" w:cs="Times New Roman"/>
                <w:b/>
                <w:color w:val="FFFFFF"/>
                <w:lang w:val="en" w:eastAsia="en-AU"/>
              </w:rPr>
            </w:pPr>
            <w:r w:rsidRPr="00C31440">
              <w:rPr>
                <w:rFonts w:ascii="Calibri" w:eastAsia="Calibri" w:hAnsi="Calibri" w:cs="Times New Roman"/>
                <w:b/>
                <w:color w:val="FFFFFF"/>
                <w:lang w:val="en" w:eastAsia="en-AU"/>
              </w:rPr>
              <w:t>Current</w:t>
            </w:r>
          </w:p>
        </w:tc>
        <w:tc>
          <w:tcPr>
            <w:tcW w:w="3543" w:type="dxa"/>
            <w:tcBorders>
              <w:top w:val="single" w:sz="4" w:space="0" w:color="auto"/>
            </w:tcBorders>
            <w:shd w:val="clear" w:color="auto" w:fill="0070C0"/>
          </w:tcPr>
          <w:p w14:paraId="2DA7392E" w14:textId="77777777" w:rsidR="00753227" w:rsidRPr="00C31440" w:rsidRDefault="00753227" w:rsidP="00D3615D">
            <w:pPr>
              <w:spacing w:before="40" w:after="120"/>
              <w:rPr>
                <w:rFonts w:ascii="Calibri" w:eastAsia="Calibri" w:hAnsi="Calibri" w:cs="Times New Roman"/>
                <w:b/>
                <w:color w:val="FFFFFF"/>
                <w:lang w:val="en" w:eastAsia="en-AU"/>
              </w:rPr>
            </w:pPr>
            <w:r w:rsidRPr="00C31440">
              <w:rPr>
                <w:rFonts w:ascii="Calibri" w:eastAsia="Calibri" w:hAnsi="Calibri" w:cs="Times New Roman"/>
                <w:b/>
                <w:color w:val="FFFFFF"/>
                <w:lang w:val="en" w:eastAsia="en-AU"/>
              </w:rPr>
              <w:t>Prior</w:t>
            </w:r>
          </w:p>
        </w:tc>
      </w:tr>
      <w:tr w:rsidR="00753227" w:rsidRPr="00C31440" w14:paraId="7DBC2FDD" w14:textId="77777777" w:rsidTr="00930407">
        <w:tc>
          <w:tcPr>
            <w:tcW w:w="2830" w:type="dxa"/>
            <w:tcBorders>
              <w:left w:val="single" w:sz="4" w:space="0" w:color="auto"/>
            </w:tcBorders>
          </w:tcPr>
          <w:p w14:paraId="2F312FF4" w14:textId="77777777" w:rsidR="00753227" w:rsidRPr="00C31440" w:rsidRDefault="00753227"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Trade receivables</w:t>
            </w:r>
            <w:r w:rsidRPr="00C31440">
              <w:rPr>
                <w:rFonts w:ascii="Calibri" w:eastAsia="Calibri" w:hAnsi="Calibri" w:cs="Times New Roman"/>
                <w:vertAlign w:val="superscript"/>
                <w:lang w:val="en" w:eastAsia="en-AU"/>
              </w:rPr>
              <w:t xml:space="preserve"> 1</w:t>
            </w:r>
          </w:p>
        </w:tc>
        <w:tc>
          <w:tcPr>
            <w:tcW w:w="3828" w:type="dxa"/>
          </w:tcPr>
          <w:p w14:paraId="0D09794A" w14:textId="468334BE" w:rsidR="00753227" w:rsidRPr="00C31440" w:rsidRDefault="00753227" w:rsidP="00D3615D">
            <w:pPr>
              <w:spacing w:after="120"/>
              <w:rPr>
                <w:rFonts w:ascii="Calibri" w:eastAsia="Calibri" w:hAnsi="Calibri" w:cs="Times New Roman"/>
                <w:lang w:val="en" w:eastAsia="en-AU"/>
              </w:rPr>
            </w:pPr>
          </w:p>
        </w:tc>
        <w:tc>
          <w:tcPr>
            <w:tcW w:w="3543" w:type="dxa"/>
          </w:tcPr>
          <w:p w14:paraId="3F7EC79A" w14:textId="595900DE" w:rsidR="00753227" w:rsidRPr="00C31440" w:rsidRDefault="00753227" w:rsidP="00D3615D">
            <w:pPr>
              <w:spacing w:after="120"/>
              <w:rPr>
                <w:rFonts w:ascii="Calibri" w:eastAsia="Calibri" w:hAnsi="Calibri" w:cs="Times New Roman"/>
                <w:lang w:val="en" w:eastAsia="en-AU"/>
              </w:rPr>
            </w:pPr>
          </w:p>
        </w:tc>
      </w:tr>
      <w:tr w:rsidR="00753227" w:rsidRPr="00C31440" w14:paraId="30F9D6C7" w14:textId="77777777" w:rsidTr="00930407">
        <w:tc>
          <w:tcPr>
            <w:tcW w:w="2830" w:type="dxa"/>
            <w:tcBorders>
              <w:left w:val="single" w:sz="4" w:space="0" w:color="auto"/>
            </w:tcBorders>
          </w:tcPr>
          <w:p w14:paraId="37853815" w14:textId="77777777" w:rsidR="00753227" w:rsidRPr="00C31440" w:rsidRDefault="00753227"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 xml:space="preserve">Financial assets </w:t>
            </w:r>
            <w:r w:rsidRPr="00C31440">
              <w:rPr>
                <w:rFonts w:ascii="Calibri" w:eastAsia="Calibri" w:hAnsi="Calibri" w:cs="Times New Roman"/>
                <w:vertAlign w:val="superscript"/>
                <w:lang w:val="en" w:eastAsia="en-AU"/>
              </w:rPr>
              <w:t>2</w:t>
            </w:r>
          </w:p>
        </w:tc>
        <w:tc>
          <w:tcPr>
            <w:tcW w:w="3828" w:type="dxa"/>
          </w:tcPr>
          <w:p w14:paraId="0CC54EC8" w14:textId="203D9F8C" w:rsidR="00753227" w:rsidRPr="00C31440" w:rsidRDefault="00753227" w:rsidP="00D3615D">
            <w:pPr>
              <w:spacing w:after="120"/>
              <w:rPr>
                <w:rFonts w:ascii="Calibri" w:eastAsia="Calibri" w:hAnsi="Calibri" w:cs="Times New Roman"/>
                <w:noProof/>
              </w:rPr>
            </w:pPr>
          </w:p>
        </w:tc>
        <w:tc>
          <w:tcPr>
            <w:tcW w:w="3543" w:type="dxa"/>
          </w:tcPr>
          <w:p w14:paraId="086BF745" w14:textId="328B2CAC" w:rsidR="00753227" w:rsidRPr="00C31440" w:rsidRDefault="00753227" w:rsidP="00D3615D">
            <w:pPr>
              <w:spacing w:after="120"/>
              <w:rPr>
                <w:rFonts w:ascii="Calibri" w:eastAsia="Calibri" w:hAnsi="Calibri" w:cs="Times New Roman"/>
              </w:rPr>
            </w:pPr>
          </w:p>
        </w:tc>
      </w:tr>
      <w:tr w:rsidR="00753227" w:rsidRPr="00C31440" w14:paraId="0E1DE0EC" w14:textId="77777777" w:rsidTr="00930407">
        <w:tc>
          <w:tcPr>
            <w:tcW w:w="2830" w:type="dxa"/>
            <w:tcBorders>
              <w:left w:val="single" w:sz="4" w:space="0" w:color="auto"/>
            </w:tcBorders>
          </w:tcPr>
          <w:p w14:paraId="7BB1596B" w14:textId="77777777" w:rsidR="00753227" w:rsidRPr="00C31440" w:rsidRDefault="00753227" w:rsidP="00D3615D">
            <w:pPr>
              <w:spacing w:after="120"/>
              <w:rPr>
                <w:rFonts w:ascii="Calibri" w:eastAsia="Calibri" w:hAnsi="Calibri" w:cs="Times New Roman"/>
                <w:vertAlign w:val="superscript"/>
                <w:lang w:val="en" w:eastAsia="en-AU"/>
              </w:rPr>
            </w:pPr>
            <w:r w:rsidRPr="00C31440">
              <w:rPr>
                <w:rFonts w:ascii="Calibri" w:eastAsia="Calibri" w:hAnsi="Calibri" w:cs="Times New Roman"/>
                <w:lang w:val="en" w:eastAsia="en-AU"/>
              </w:rPr>
              <w:t xml:space="preserve">Loans and deposits </w:t>
            </w:r>
            <w:r w:rsidRPr="00C31440">
              <w:rPr>
                <w:rFonts w:ascii="Calibri" w:eastAsia="Calibri" w:hAnsi="Calibri" w:cs="Times New Roman"/>
                <w:vertAlign w:val="superscript"/>
                <w:lang w:val="en" w:eastAsia="en-AU"/>
              </w:rPr>
              <w:t>3</w:t>
            </w:r>
          </w:p>
        </w:tc>
        <w:tc>
          <w:tcPr>
            <w:tcW w:w="3828" w:type="dxa"/>
          </w:tcPr>
          <w:p w14:paraId="5DC068DD" w14:textId="695E5A57" w:rsidR="00753227" w:rsidRPr="00C31440" w:rsidRDefault="00753227" w:rsidP="00D3615D">
            <w:pPr>
              <w:spacing w:after="120"/>
              <w:rPr>
                <w:rFonts w:ascii="Calibri" w:eastAsia="Calibri" w:hAnsi="Calibri" w:cs="Times New Roman"/>
                <w:noProof/>
              </w:rPr>
            </w:pPr>
          </w:p>
        </w:tc>
        <w:tc>
          <w:tcPr>
            <w:tcW w:w="3543" w:type="dxa"/>
          </w:tcPr>
          <w:p w14:paraId="3983BE07" w14:textId="771E8843" w:rsidR="00753227" w:rsidRPr="00C31440" w:rsidRDefault="00753227" w:rsidP="00D3615D">
            <w:pPr>
              <w:spacing w:after="120"/>
              <w:rPr>
                <w:rFonts w:ascii="Calibri" w:eastAsia="Calibri" w:hAnsi="Calibri" w:cs="Times New Roman"/>
                <w:lang w:val="en" w:eastAsia="en-AU"/>
              </w:rPr>
            </w:pPr>
          </w:p>
        </w:tc>
      </w:tr>
      <w:tr w:rsidR="00753227" w:rsidRPr="00C31440" w14:paraId="27FD0140" w14:textId="77777777" w:rsidTr="00930407">
        <w:tc>
          <w:tcPr>
            <w:tcW w:w="2830" w:type="dxa"/>
            <w:tcBorders>
              <w:left w:val="single" w:sz="4" w:space="0" w:color="auto"/>
            </w:tcBorders>
          </w:tcPr>
          <w:p w14:paraId="2B4A7110" w14:textId="77777777" w:rsidR="00753227" w:rsidRPr="00C31440" w:rsidRDefault="00753227" w:rsidP="00D3615D">
            <w:pPr>
              <w:spacing w:after="120"/>
              <w:rPr>
                <w:rFonts w:ascii="Calibri" w:eastAsia="Calibri" w:hAnsi="Calibri" w:cs="Times New Roman"/>
                <w:vertAlign w:val="superscript"/>
                <w:lang w:val="en" w:eastAsia="en-AU"/>
              </w:rPr>
            </w:pPr>
            <w:r w:rsidRPr="00C31440">
              <w:rPr>
                <w:rFonts w:ascii="Calibri" w:eastAsia="Calibri" w:hAnsi="Calibri" w:cs="Times New Roman"/>
                <w:lang w:val="en" w:eastAsia="en-AU"/>
              </w:rPr>
              <w:t>Related/Associated Persons</w:t>
            </w:r>
          </w:p>
        </w:tc>
        <w:tc>
          <w:tcPr>
            <w:tcW w:w="3828" w:type="dxa"/>
          </w:tcPr>
          <w:p w14:paraId="61E0368C" w14:textId="556A8053" w:rsidR="00753227" w:rsidRPr="00C31440" w:rsidRDefault="00753227" w:rsidP="00D3615D">
            <w:pPr>
              <w:spacing w:after="120"/>
              <w:rPr>
                <w:rFonts w:ascii="Calibri" w:eastAsia="Calibri" w:hAnsi="Calibri" w:cs="Times New Roman"/>
                <w:noProof/>
              </w:rPr>
            </w:pPr>
          </w:p>
        </w:tc>
        <w:tc>
          <w:tcPr>
            <w:tcW w:w="3543" w:type="dxa"/>
          </w:tcPr>
          <w:p w14:paraId="71997A7D" w14:textId="63BC99F0" w:rsidR="00753227" w:rsidRPr="00C31440" w:rsidRDefault="00753227" w:rsidP="00D3615D">
            <w:pPr>
              <w:spacing w:after="120"/>
              <w:rPr>
                <w:rFonts w:ascii="Calibri" w:eastAsia="Calibri" w:hAnsi="Calibri" w:cs="Times New Roman"/>
                <w:lang w:val="en" w:eastAsia="en-AU"/>
              </w:rPr>
            </w:pPr>
          </w:p>
        </w:tc>
      </w:tr>
      <w:tr w:rsidR="00753227" w:rsidRPr="00C31440" w14:paraId="11746766" w14:textId="77777777" w:rsidTr="00930407">
        <w:tc>
          <w:tcPr>
            <w:tcW w:w="2830" w:type="dxa"/>
            <w:tcBorders>
              <w:left w:val="single" w:sz="4" w:space="0" w:color="auto"/>
            </w:tcBorders>
          </w:tcPr>
          <w:p w14:paraId="3025C732" w14:textId="77777777" w:rsidR="00753227" w:rsidRPr="00C31440" w:rsidRDefault="00753227"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Property</w:t>
            </w:r>
            <w:r w:rsidRPr="00753227">
              <w:rPr>
                <w:rFonts w:ascii="Calibri" w:eastAsia="Calibri" w:hAnsi="Calibri" w:cs="Times New Roman"/>
                <w:lang w:val="en" w:eastAsia="en-AU"/>
              </w:rPr>
              <w:t xml:space="preserve">, </w:t>
            </w:r>
            <w:r w:rsidRPr="00930407">
              <w:rPr>
                <w:rFonts w:ascii="Calibri" w:eastAsia="Calibri" w:hAnsi="Calibri" w:cs="Times New Roman"/>
                <w:lang w:val="en" w:eastAsia="en-AU"/>
              </w:rPr>
              <w:t>p</w:t>
            </w:r>
            <w:r w:rsidRPr="00753227">
              <w:rPr>
                <w:rFonts w:ascii="Calibri" w:eastAsia="Calibri" w:hAnsi="Calibri" w:cs="Times New Roman"/>
                <w:lang w:val="en" w:eastAsia="en-AU"/>
              </w:rPr>
              <w:t xml:space="preserve">lant </w:t>
            </w:r>
            <w:r w:rsidRPr="00930407">
              <w:rPr>
                <w:rFonts w:ascii="Calibri" w:eastAsia="Calibri" w:hAnsi="Calibri" w:cs="Times New Roman"/>
                <w:lang w:val="en" w:eastAsia="en-AU"/>
              </w:rPr>
              <w:t>and</w:t>
            </w:r>
            <w:r w:rsidRPr="00753227">
              <w:rPr>
                <w:rFonts w:ascii="Calibri" w:eastAsia="Calibri" w:hAnsi="Calibri" w:cs="Times New Roman"/>
                <w:lang w:val="en" w:eastAsia="en-AU"/>
              </w:rPr>
              <w:t xml:space="preserve"> </w:t>
            </w:r>
            <w:r w:rsidRPr="00930407">
              <w:rPr>
                <w:rFonts w:ascii="Calibri" w:eastAsia="Calibri" w:hAnsi="Calibri" w:cs="Times New Roman"/>
                <w:lang w:val="en" w:eastAsia="en-AU"/>
              </w:rPr>
              <w:t>e</w:t>
            </w:r>
            <w:r w:rsidRPr="00753227">
              <w:rPr>
                <w:rFonts w:ascii="Calibri" w:eastAsia="Calibri" w:hAnsi="Calibri" w:cs="Times New Roman"/>
                <w:lang w:val="en" w:eastAsia="en-AU"/>
              </w:rPr>
              <w:t xml:space="preserve">quipment </w:t>
            </w:r>
            <w:r w:rsidRPr="00753227">
              <w:rPr>
                <w:rFonts w:ascii="Calibri" w:eastAsia="Calibri" w:hAnsi="Calibri" w:cs="Times New Roman"/>
                <w:vertAlign w:val="superscript"/>
                <w:lang w:val="en" w:eastAsia="en-AU"/>
              </w:rPr>
              <w:t>4</w:t>
            </w:r>
          </w:p>
        </w:tc>
        <w:tc>
          <w:tcPr>
            <w:tcW w:w="3828" w:type="dxa"/>
          </w:tcPr>
          <w:p w14:paraId="3457A5ED" w14:textId="687602FE" w:rsidR="00753227" w:rsidRPr="00C31440" w:rsidRDefault="00753227" w:rsidP="00D3615D">
            <w:pPr>
              <w:spacing w:after="120"/>
              <w:rPr>
                <w:rFonts w:ascii="Calibri" w:eastAsia="Calibri" w:hAnsi="Calibri" w:cs="Times New Roman"/>
                <w:noProof/>
              </w:rPr>
            </w:pPr>
          </w:p>
        </w:tc>
        <w:tc>
          <w:tcPr>
            <w:tcW w:w="3543" w:type="dxa"/>
          </w:tcPr>
          <w:p w14:paraId="218549FE" w14:textId="71C9DED2" w:rsidR="00753227" w:rsidRPr="00C31440" w:rsidRDefault="00753227" w:rsidP="00D3615D">
            <w:pPr>
              <w:spacing w:after="120"/>
              <w:rPr>
                <w:rFonts w:ascii="Calibri" w:eastAsia="Calibri" w:hAnsi="Calibri" w:cs="Times New Roman"/>
                <w:lang w:val="en" w:eastAsia="en-AU"/>
              </w:rPr>
            </w:pPr>
          </w:p>
        </w:tc>
      </w:tr>
      <w:tr w:rsidR="00753227" w:rsidRPr="00C31440" w14:paraId="3881095E" w14:textId="77777777" w:rsidTr="00930407">
        <w:tc>
          <w:tcPr>
            <w:tcW w:w="2830" w:type="dxa"/>
            <w:tcBorders>
              <w:left w:val="single" w:sz="4" w:space="0" w:color="auto"/>
            </w:tcBorders>
          </w:tcPr>
          <w:p w14:paraId="39AF6A87" w14:textId="77777777" w:rsidR="00753227" w:rsidRPr="00C31440" w:rsidRDefault="00753227"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Right-of-</w:t>
            </w:r>
            <w:r>
              <w:rPr>
                <w:rFonts w:ascii="Calibri" w:eastAsia="Calibri" w:hAnsi="Calibri" w:cs="Times New Roman"/>
                <w:lang w:val="en" w:eastAsia="en-AU"/>
              </w:rPr>
              <w:t>u</w:t>
            </w:r>
            <w:r w:rsidRPr="00C31440">
              <w:rPr>
                <w:rFonts w:ascii="Calibri" w:eastAsia="Calibri" w:hAnsi="Calibri" w:cs="Times New Roman"/>
                <w:lang w:val="en" w:eastAsia="en-AU"/>
              </w:rPr>
              <w:t xml:space="preserve">se </w:t>
            </w:r>
            <w:r>
              <w:rPr>
                <w:rFonts w:ascii="Calibri" w:eastAsia="Calibri" w:hAnsi="Calibri" w:cs="Times New Roman"/>
                <w:lang w:val="en" w:eastAsia="en-AU"/>
              </w:rPr>
              <w:t>a</w:t>
            </w:r>
            <w:r w:rsidRPr="00C31440">
              <w:rPr>
                <w:rFonts w:ascii="Calibri" w:eastAsia="Calibri" w:hAnsi="Calibri" w:cs="Times New Roman"/>
                <w:lang w:val="en" w:eastAsia="en-AU"/>
              </w:rPr>
              <w:t>ssets</w:t>
            </w:r>
          </w:p>
        </w:tc>
        <w:tc>
          <w:tcPr>
            <w:tcW w:w="3828" w:type="dxa"/>
          </w:tcPr>
          <w:p w14:paraId="199698E8" w14:textId="2E25B5EE" w:rsidR="00753227" w:rsidRPr="00C31440" w:rsidRDefault="00753227" w:rsidP="00D3615D">
            <w:pPr>
              <w:spacing w:after="120"/>
              <w:rPr>
                <w:rFonts w:ascii="Calibri" w:eastAsia="Calibri" w:hAnsi="Calibri" w:cs="Times New Roman"/>
                <w:noProof/>
              </w:rPr>
            </w:pPr>
          </w:p>
        </w:tc>
        <w:tc>
          <w:tcPr>
            <w:tcW w:w="3543" w:type="dxa"/>
          </w:tcPr>
          <w:p w14:paraId="4174CA48" w14:textId="125DA8E9" w:rsidR="00753227" w:rsidRPr="00C31440" w:rsidRDefault="00753227" w:rsidP="00D3615D">
            <w:pPr>
              <w:spacing w:after="120"/>
              <w:rPr>
                <w:rFonts w:ascii="Calibri" w:eastAsia="Calibri" w:hAnsi="Calibri" w:cs="Times New Roman"/>
              </w:rPr>
            </w:pPr>
          </w:p>
        </w:tc>
      </w:tr>
      <w:tr w:rsidR="00753227" w:rsidRPr="00C31440" w14:paraId="7CB9A87C" w14:textId="77777777" w:rsidTr="00930407">
        <w:tc>
          <w:tcPr>
            <w:tcW w:w="2830" w:type="dxa"/>
            <w:tcBorders>
              <w:left w:val="single" w:sz="4" w:space="0" w:color="auto"/>
            </w:tcBorders>
          </w:tcPr>
          <w:p w14:paraId="4951337D" w14:textId="77777777" w:rsidR="00753227" w:rsidRPr="00C31440" w:rsidRDefault="00753227"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Intangible assets</w:t>
            </w:r>
          </w:p>
        </w:tc>
        <w:tc>
          <w:tcPr>
            <w:tcW w:w="3828" w:type="dxa"/>
          </w:tcPr>
          <w:p w14:paraId="4B31222B" w14:textId="4D332525" w:rsidR="00753227" w:rsidRPr="00C31440" w:rsidRDefault="00753227" w:rsidP="00D3615D">
            <w:pPr>
              <w:spacing w:after="120"/>
              <w:rPr>
                <w:rFonts w:ascii="Calibri" w:eastAsia="Calibri" w:hAnsi="Calibri" w:cs="Times New Roman"/>
                <w:noProof/>
              </w:rPr>
            </w:pPr>
          </w:p>
        </w:tc>
        <w:tc>
          <w:tcPr>
            <w:tcW w:w="3543" w:type="dxa"/>
          </w:tcPr>
          <w:p w14:paraId="36F8AAB5" w14:textId="77C149A5" w:rsidR="00753227" w:rsidRPr="00C31440" w:rsidRDefault="00753227" w:rsidP="00D3615D">
            <w:pPr>
              <w:spacing w:after="120"/>
              <w:rPr>
                <w:rFonts w:ascii="Calibri" w:eastAsia="Calibri" w:hAnsi="Calibri" w:cs="Times New Roman"/>
                <w:lang w:val="en" w:eastAsia="en-AU"/>
              </w:rPr>
            </w:pPr>
          </w:p>
        </w:tc>
      </w:tr>
      <w:tr w:rsidR="00753227" w:rsidRPr="00C31440" w14:paraId="0183608A" w14:textId="77777777" w:rsidTr="00930407">
        <w:tc>
          <w:tcPr>
            <w:tcW w:w="2830" w:type="dxa"/>
            <w:tcBorders>
              <w:left w:val="single" w:sz="4" w:space="0" w:color="auto"/>
            </w:tcBorders>
          </w:tcPr>
          <w:p w14:paraId="798188DE" w14:textId="77777777" w:rsidR="00753227" w:rsidRPr="00C31440" w:rsidRDefault="00753227"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 xml:space="preserve">Deferred tax assets </w:t>
            </w:r>
          </w:p>
        </w:tc>
        <w:tc>
          <w:tcPr>
            <w:tcW w:w="3828" w:type="dxa"/>
          </w:tcPr>
          <w:p w14:paraId="796C952C" w14:textId="24D8E9DE" w:rsidR="00753227" w:rsidRPr="00C31440" w:rsidRDefault="00753227" w:rsidP="00D3615D">
            <w:pPr>
              <w:spacing w:after="120"/>
              <w:rPr>
                <w:rFonts w:ascii="Calibri" w:eastAsia="Calibri" w:hAnsi="Calibri" w:cs="Times New Roman"/>
                <w:noProof/>
              </w:rPr>
            </w:pPr>
          </w:p>
        </w:tc>
        <w:tc>
          <w:tcPr>
            <w:tcW w:w="3543" w:type="dxa"/>
          </w:tcPr>
          <w:p w14:paraId="55A3A1CF" w14:textId="3E24CCFD" w:rsidR="00753227" w:rsidRPr="00C31440" w:rsidRDefault="00753227" w:rsidP="00D3615D">
            <w:pPr>
              <w:spacing w:after="120"/>
              <w:rPr>
                <w:rFonts w:ascii="Calibri" w:eastAsia="Calibri" w:hAnsi="Calibri" w:cs="Times New Roman"/>
                <w:lang w:val="en" w:eastAsia="en-AU"/>
              </w:rPr>
            </w:pPr>
          </w:p>
        </w:tc>
      </w:tr>
      <w:tr w:rsidR="00753227" w:rsidRPr="00C31440" w14:paraId="6B8A3EEE" w14:textId="77777777" w:rsidTr="00930407">
        <w:tc>
          <w:tcPr>
            <w:tcW w:w="2830" w:type="dxa"/>
            <w:tcBorders>
              <w:left w:val="single" w:sz="4" w:space="0" w:color="auto"/>
            </w:tcBorders>
          </w:tcPr>
          <w:p w14:paraId="281B358C" w14:textId="77777777" w:rsidR="00753227" w:rsidRPr="00C31440" w:rsidRDefault="00753227"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Other non</w:t>
            </w:r>
            <w:r>
              <w:rPr>
                <w:rFonts w:ascii="Calibri" w:eastAsia="Calibri" w:hAnsi="Calibri" w:cs="Times New Roman"/>
                <w:lang w:val="en" w:eastAsia="en-AU"/>
              </w:rPr>
              <w:t>-</w:t>
            </w:r>
            <w:r w:rsidRPr="00C31440">
              <w:rPr>
                <w:rFonts w:ascii="Calibri" w:eastAsia="Calibri" w:hAnsi="Calibri" w:cs="Times New Roman"/>
                <w:lang w:val="en" w:eastAsia="en-AU"/>
              </w:rPr>
              <w:t>current assets</w:t>
            </w:r>
            <w:r w:rsidRPr="00C31440">
              <w:rPr>
                <w:rFonts w:ascii="Calibri" w:eastAsia="Calibri" w:hAnsi="Calibri" w:cs="Times New Roman"/>
                <w:vertAlign w:val="superscript"/>
                <w:lang w:val="en" w:eastAsia="en-AU"/>
              </w:rPr>
              <w:t>5</w:t>
            </w:r>
          </w:p>
        </w:tc>
        <w:tc>
          <w:tcPr>
            <w:tcW w:w="3828" w:type="dxa"/>
          </w:tcPr>
          <w:p w14:paraId="17C6AF77" w14:textId="77777777" w:rsidR="00753227" w:rsidRPr="00C31440" w:rsidRDefault="00753227" w:rsidP="00D3615D">
            <w:pPr>
              <w:spacing w:after="120"/>
              <w:rPr>
                <w:rFonts w:ascii="Calibri" w:eastAsia="Calibri" w:hAnsi="Calibri" w:cs="Times New Roman"/>
                <w:noProof/>
              </w:rPr>
            </w:pPr>
          </w:p>
        </w:tc>
        <w:tc>
          <w:tcPr>
            <w:tcW w:w="3543" w:type="dxa"/>
          </w:tcPr>
          <w:p w14:paraId="3C462F1D" w14:textId="3090A8F7" w:rsidR="00753227" w:rsidRPr="00C31440" w:rsidRDefault="00753227" w:rsidP="00D3615D">
            <w:pPr>
              <w:spacing w:after="120"/>
              <w:rPr>
                <w:rFonts w:ascii="Calibri" w:eastAsia="Calibri" w:hAnsi="Calibri" w:cs="Times New Roman"/>
                <w:lang w:val="en" w:eastAsia="en-AU"/>
              </w:rPr>
            </w:pPr>
          </w:p>
        </w:tc>
      </w:tr>
      <w:tr w:rsidR="00753227" w:rsidRPr="00C31440" w14:paraId="1326151F" w14:textId="77777777" w:rsidTr="00930407">
        <w:tc>
          <w:tcPr>
            <w:tcW w:w="2830" w:type="dxa"/>
            <w:tcBorders>
              <w:left w:val="single" w:sz="4" w:space="0" w:color="auto"/>
            </w:tcBorders>
          </w:tcPr>
          <w:p w14:paraId="319D10AC" w14:textId="77777777" w:rsidR="00753227" w:rsidRPr="00C31440" w:rsidRDefault="00753227" w:rsidP="00D3615D">
            <w:pPr>
              <w:spacing w:after="120"/>
              <w:rPr>
                <w:rFonts w:ascii="Calibri" w:eastAsia="Calibri" w:hAnsi="Calibri" w:cs="Times New Roman"/>
                <w:b/>
                <w:lang w:val="en" w:eastAsia="en-AU"/>
              </w:rPr>
            </w:pPr>
            <w:r w:rsidRPr="00C31440">
              <w:rPr>
                <w:rFonts w:ascii="Calibri" w:eastAsia="Calibri" w:hAnsi="Calibri" w:cs="Times New Roman"/>
                <w:b/>
                <w:lang w:val="en" w:eastAsia="en-AU"/>
              </w:rPr>
              <w:t>Total non</w:t>
            </w:r>
            <w:r>
              <w:rPr>
                <w:rFonts w:ascii="Calibri" w:eastAsia="Calibri" w:hAnsi="Calibri" w:cs="Times New Roman"/>
                <w:b/>
                <w:lang w:val="en" w:eastAsia="en-AU"/>
              </w:rPr>
              <w:t>-</w:t>
            </w:r>
            <w:r w:rsidRPr="00C31440">
              <w:rPr>
                <w:rFonts w:ascii="Calibri" w:eastAsia="Calibri" w:hAnsi="Calibri" w:cs="Times New Roman"/>
                <w:b/>
                <w:lang w:val="en" w:eastAsia="en-AU"/>
              </w:rPr>
              <w:t xml:space="preserve">current assets </w:t>
            </w:r>
          </w:p>
        </w:tc>
        <w:tc>
          <w:tcPr>
            <w:tcW w:w="3828" w:type="dxa"/>
          </w:tcPr>
          <w:p w14:paraId="0890A50A" w14:textId="020AF8C7" w:rsidR="00753227" w:rsidRPr="00C31440" w:rsidRDefault="00753227" w:rsidP="00D3615D">
            <w:pPr>
              <w:spacing w:after="120"/>
              <w:rPr>
                <w:rFonts w:ascii="Calibri" w:eastAsia="Calibri" w:hAnsi="Calibri" w:cs="Times New Roman"/>
                <w:noProof/>
              </w:rPr>
            </w:pPr>
          </w:p>
        </w:tc>
        <w:tc>
          <w:tcPr>
            <w:tcW w:w="3543" w:type="dxa"/>
          </w:tcPr>
          <w:p w14:paraId="2C3BF4AB" w14:textId="40E16220" w:rsidR="00753227" w:rsidRPr="00C31440" w:rsidRDefault="00753227" w:rsidP="00D3615D">
            <w:pPr>
              <w:spacing w:after="120"/>
              <w:rPr>
                <w:rFonts w:ascii="Calibri" w:eastAsia="Calibri" w:hAnsi="Calibri" w:cs="Times New Roman"/>
                <w:lang w:val="en" w:eastAsia="en-AU"/>
              </w:rPr>
            </w:pPr>
          </w:p>
        </w:tc>
      </w:tr>
    </w:tbl>
    <w:p w14:paraId="406C5E4E" w14:textId="0DB032EC" w:rsidR="00753227" w:rsidRPr="00D3615D" w:rsidRDefault="00753227" w:rsidP="00D3615D">
      <w:pPr>
        <w:spacing w:before="120" w:after="120"/>
        <w:ind w:left="357"/>
        <w:rPr>
          <w:rFonts w:ascii="Calibri" w:hAnsi="Calibri"/>
          <w:szCs w:val="22"/>
        </w:rPr>
      </w:pPr>
      <w:r w:rsidRPr="00C31440">
        <w:rPr>
          <w:rFonts w:ascii="Calibri" w:hAnsi="Calibri"/>
          <w:sz w:val="24"/>
          <w:szCs w:val="24"/>
        </w:rPr>
        <w:t xml:space="preserve">1. </w:t>
      </w:r>
      <w:r w:rsidRPr="00D3615D">
        <w:rPr>
          <w:rFonts w:ascii="Calibri" w:hAnsi="Calibri"/>
          <w:szCs w:val="22"/>
        </w:rPr>
        <w:t>Client and trade receivables only. (</w:t>
      </w:r>
      <w:r w:rsidRPr="00D3615D">
        <w:rPr>
          <w:rFonts w:ascii="Calibri" w:hAnsi="Calibri"/>
          <w:b/>
          <w:i/>
          <w:szCs w:val="22"/>
        </w:rPr>
        <w:t>Note</w:t>
      </w:r>
      <w:r w:rsidRPr="00D3615D">
        <w:rPr>
          <w:rFonts w:ascii="Calibri" w:hAnsi="Calibri"/>
          <w:szCs w:val="22"/>
        </w:rPr>
        <w:t>: You should include Trade Related/Associated Person amounts here – refer ‘Related/Associated Person Balance’ definition.)</w:t>
      </w:r>
    </w:p>
    <w:p w14:paraId="186AB2E0" w14:textId="086D9B70" w:rsidR="00753227" w:rsidRPr="00D3615D" w:rsidRDefault="00753227" w:rsidP="00D3615D">
      <w:pPr>
        <w:spacing w:after="120"/>
        <w:ind w:left="360"/>
        <w:rPr>
          <w:rFonts w:ascii="Calibri" w:hAnsi="Calibri"/>
          <w:szCs w:val="22"/>
        </w:rPr>
      </w:pPr>
      <w:r w:rsidRPr="00D3615D">
        <w:rPr>
          <w:rFonts w:ascii="Calibri" w:hAnsi="Calibri"/>
          <w:szCs w:val="22"/>
        </w:rPr>
        <w:t>2. All equity, debt and similar instruments at market value.</w:t>
      </w:r>
    </w:p>
    <w:p w14:paraId="505CFB5D" w14:textId="448CADAA" w:rsidR="00753227" w:rsidRPr="00D3615D" w:rsidRDefault="00753227" w:rsidP="00D3615D">
      <w:pPr>
        <w:spacing w:after="120"/>
        <w:ind w:left="360"/>
        <w:rPr>
          <w:rFonts w:ascii="Calibri" w:hAnsi="Calibri"/>
          <w:szCs w:val="22"/>
        </w:rPr>
      </w:pPr>
      <w:r w:rsidRPr="00D3615D">
        <w:rPr>
          <w:rFonts w:ascii="Calibri" w:hAnsi="Calibri"/>
          <w:szCs w:val="22"/>
        </w:rPr>
        <w:t>3. Cash at bank, cash on hand and other deposits other than client trust and segregated accounts.</w:t>
      </w:r>
    </w:p>
    <w:p w14:paraId="1A23FD46" w14:textId="5C3532A4" w:rsidR="00753227" w:rsidRPr="00D3615D" w:rsidRDefault="00753227" w:rsidP="00D3615D">
      <w:pPr>
        <w:spacing w:after="120"/>
        <w:ind w:left="360"/>
        <w:rPr>
          <w:rFonts w:ascii="Calibri" w:hAnsi="Calibri"/>
          <w:szCs w:val="22"/>
        </w:rPr>
      </w:pPr>
      <w:r w:rsidRPr="00D3615D">
        <w:rPr>
          <w:rFonts w:ascii="Calibri" w:hAnsi="Calibri"/>
          <w:szCs w:val="22"/>
        </w:rPr>
        <w:t>4. Property, plant and equipment excluding Right-of-use assets.</w:t>
      </w:r>
    </w:p>
    <w:p w14:paraId="2234B359" w14:textId="039C86FD" w:rsidR="00753227" w:rsidRPr="00685416" w:rsidRDefault="00753227" w:rsidP="00D3615D">
      <w:pPr>
        <w:spacing w:after="120"/>
        <w:ind w:left="360"/>
        <w:rPr>
          <w:rFonts w:ascii="Calibri" w:hAnsi="Calibri"/>
          <w:color w:val="000000"/>
          <w:szCs w:val="22"/>
        </w:rPr>
      </w:pPr>
      <w:r w:rsidRPr="00D3615D">
        <w:rPr>
          <w:rFonts w:ascii="Calibri" w:hAnsi="Calibri"/>
          <w:szCs w:val="22"/>
        </w:rPr>
        <w:t>5. Other balances not included above.</w:t>
      </w:r>
    </w:p>
    <w:p w14:paraId="1402109A" w14:textId="71E55159" w:rsidR="003A1BE7" w:rsidRPr="00D3615D" w:rsidRDefault="00753227" w:rsidP="00D3615D">
      <w:pPr>
        <w:keepNext/>
        <w:spacing w:before="240" w:after="120"/>
        <w:outlineLvl w:val="3"/>
        <w:rPr>
          <w:rFonts w:ascii="Calibri" w:hAnsi="Calibri" w:cs="Helvetica"/>
          <w:b/>
          <w:sz w:val="24"/>
          <w:szCs w:val="24"/>
          <w:lang w:val="en"/>
        </w:rPr>
      </w:pPr>
      <w:r w:rsidRPr="00D3615D">
        <w:rPr>
          <w:rFonts w:ascii="Calibri" w:hAnsi="Calibri" w:cs="Helvetica"/>
          <w:b/>
          <w:sz w:val="24"/>
          <w:szCs w:val="24"/>
          <w:lang w:val="en"/>
        </w:rPr>
        <w:lastRenderedPageBreak/>
        <w:t>Total assets</w:t>
      </w:r>
    </w:p>
    <w:tbl>
      <w:tblPr>
        <w:tblStyle w:val="TableGrid7"/>
        <w:tblW w:w="10263" w:type="dxa"/>
        <w:tblLook w:val="04A0" w:firstRow="1" w:lastRow="0" w:firstColumn="1" w:lastColumn="0" w:noHBand="0" w:noVBand="1"/>
      </w:tblPr>
      <w:tblGrid>
        <w:gridCol w:w="2681"/>
        <w:gridCol w:w="4266"/>
        <w:gridCol w:w="3316"/>
      </w:tblGrid>
      <w:tr w:rsidR="00753227" w:rsidRPr="00C31440" w14:paraId="1C2512A8" w14:textId="77777777" w:rsidTr="007B3931">
        <w:tc>
          <w:tcPr>
            <w:tcW w:w="2681" w:type="dxa"/>
            <w:shd w:val="clear" w:color="auto" w:fill="0070C0"/>
          </w:tcPr>
          <w:p w14:paraId="0382639A" w14:textId="77777777" w:rsidR="00753227" w:rsidRPr="00C31440" w:rsidRDefault="00753227" w:rsidP="00D3615D">
            <w:pPr>
              <w:spacing w:before="40" w:after="120"/>
              <w:rPr>
                <w:rFonts w:ascii="Calibri" w:eastAsia="Calibri" w:hAnsi="Calibri" w:cs="Times New Roman"/>
                <w:b/>
                <w:color w:val="FFFFFF"/>
                <w:lang w:val="en" w:eastAsia="en-AU"/>
              </w:rPr>
            </w:pPr>
            <w:r w:rsidRPr="00C31440">
              <w:rPr>
                <w:rFonts w:ascii="Calibri" w:eastAsia="Calibri" w:hAnsi="Calibri" w:cs="Times New Roman"/>
                <w:b/>
                <w:color w:val="FFFFFF"/>
                <w:lang w:val="en" w:eastAsia="en-AU"/>
              </w:rPr>
              <w:t>Assets</w:t>
            </w:r>
          </w:p>
        </w:tc>
        <w:tc>
          <w:tcPr>
            <w:tcW w:w="4266" w:type="dxa"/>
            <w:shd w:val="clear" w:color="auto" w:fill="0070C0"/>
          </w:tcPr>
          <w:p w14:paraId="3C33BDBF" w14:textId="77777777" w:rsidR="00753227" w:rsidRPr="00C31440" w:rsidRDefault="00753227" w:rsidP="00D3615D">
            <w:pPr>
              <w:spacing w:before="40" w:after="120"/>
              <w:rPr>
                <w:rFonts w:ascii="Calibri" w:eastAsia="Calibri" w:hAnsi="Calibri" w:cs="Times New Roman"/>
                <w:b/>
                <w:color w:val="FFFFFF"/>
              </w:rPr>
            </w:pPr>
            <w:r w:rsidRPr="00C31440">
              <w:rPr>
                <w:rFonts w:ascii="Calibri" w:eastAsia="Calibri" w:hAnsi="Calibri" w:cs="Times New Roman"/>
                <w:b/>
                <w:color w:val="FFFFFF"/>
              </w:rPr>
              <w:t>Current</w:t>
            </w:r>
          </w:p>
        </w:tc>
        <w:tc>
          <w:tcPr>
            <w:tcW w:w="3316" w:type="dxa"/>
            <w:shd w:val="clear" w:color="auto" w:fill="0070C0"/>
          </w:tcPr>
          <w:p w14:paraId="28032812" w14:textId="77777777" w:rsidR="00753227" w:rsidRPr="00C31440" w:rsidRDefault="00753227" w:rsidP="00D3615D">
            <w:pPr>
              <w:spacing w:before="40" w:after="120"/>
              <w:rPr>
                <w:rFonts w:ascii="Calibri" w:eastAsia="Calibri" w:hAnsi="Calibri" w:cs="Times New Roman"/>
                <w:b/>
                <w:color w:val="FFFFFF"/>
              </w:rPr>
            </w:pPr>
            <w:r w:rsidRPr="00C31440">
              <w:rPr>
                <w:rFonts w:ascii="Calibri" w:eastAsia="Calibri" w:hAnsi="Calibri" w:cs="Times New Roman"/>
                <w:b/>
                <w:color w:val="FFFFFF"/>
              </w:rPr>
              <w:t>Prior</w:t>
            </w:r>
          </w:p>
        </w:tc>
      </w:tr>
      <w:tr w:rsidR="00753227" w:rsidRPr="00C31440" w14:paraId="20651999" w14:textId="77777777" w:rsidTr="007B3931">
        <w:tc>
          <w:tcPr>
            <w:tcW w:w="2681" w:type="dxa"/>
          </w:tcPr>
          <w:p w14:paraId="554981E2" w14:textId="77777777" w:rsidR="00753227" w:rsidRPr="00C31440" w:rsidRDefault="00753227"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Total assets</w:t>
            </w:r>
          </w:p>
        </w:tc>
        <w:tc>
          <w:tcPr>
            <w:tcW w:w="4266" w:type="dxa"/>
          </w:tcPr>
          <w:p w14:paraId="66EA34D4" w14:textId="5FB9605F" w:rsidR="00753227" w:rsidRPr="00C31440" w:rsidRDefault="00753227" w:rsidP="00D3615D">
            <w:pPr>
              <w:spacing w:after="120"/>
              <w:rPr>
                <w:rFonts w:ascii="Calibri" w:eastAsia="Calibri" w:hAnsi="Calibri" w:cs="Times New Roman"/>
                <w:noProof/>
              </w:rPr>
            </w:pPr>
          </w:p>
        </w:tc>
        <w:tc>
          <w:tcPr>
            <w:tcW w:w="3316" w:type="dxa"/>
          </w:tcPr>
          <w:p w14:paraId="41F99F67" w14:textId="1838F6BB" w:rsidR="00753227" w:rsidRPr="00C31440" w:rsidRDefault="00753227" w:rsidP="00D3615D">
            <w:pPr>
              <w:spacing w:after="120"/>
              <w:rPr>
                <w:rFonts w:ascii="Calibri" w:eastAsia="Calibri" w:hAnsi="Calibri" w:cs="Times New Roman"/>
                <w:lang w:val="en" w:eastAsia="en-AU"/>
              </w:rPr>
            </w:pPr>
          </w:p>
        </w:tc>
      </w:tr>
    </w:tbl>
    <w:p w14:paraId="1C88B3B8" w14:textId="24A3EF77" w:rsidR="003A1BE7" w:rsidRPr="00D3615D" w:rsidRDefault="00753227" w:rsidP="00D3615D">
      <w:pPr>
        <w:keepNext/>
        <w:spacing w:before="240" w:after="120"/>
        <w:outlineLvl w:val="3"/>
        <w:rPr>
          <w:rFonts w:ascii="Calibri" w:hAnsi="Calibri" w:cs="Helvetica"/>
          <w:b/>
          <w:sz w:val="24"/>
          <w:szCs w:val="24"/>
          <w:lang w:val="en"/>
        </w:rPr>
      </w:pPr>
      <w:r w:rsidRPr="00D3615D">
        <w:rPr>
          <w:rFonts w:ascii="Calibri" w:hAnsi="Calibri" w:cs="Helvetica"/>
          <w:b/>
          <w:sz w:val="24"/>
          <w:szCs w:val="24"/>
          <w:lang w:val="en"/>
        </w:rPr>
        <w:t xml:space="preserve">Current liabilities </w:t>
      </w:r>
    </w:p>
    <w:tbl>
      <w:tblPr>
        <w:tblStyle w:val="TableGrid7"/>
        <w:tblW w:w="12191" w:type="dxa"/>
        <w:tblLook w:val="04A0" w:firstRow="1" w:lastRow="0" w:firstColumn="1" w:lastColumn="0" w:noHBand="0" w:noVBand="1"/>
      </w:tblPr>
      <w:tblGrid>
        <w:gridCol w:w="3864"/>
        <w:gridCol w:w="3868"/>
        <w:gridCol w:w="4459"/>
      </w:tblGrid>
      <w:tr w:rsidR="00753227" w:rsidRPr="00C31440" w14:paraId="32615EE4" w14:textId="77777777" w:rsidTr="007B3931">
        <w:tc>
          <w:tcPr>
            <w:tcW w:w="3864" w:type="dxa"/>
            <w:tcBorders>
              <w:top w:val="single" w:sz="4" w:space="0" w:color="auto"/>
              <w:left w:val="single" w:sz="4" w:space="0" w:color="auto"/>
            </w:tcBorders>
            <w:shd w:val="clear" w:color="auto" w:fill="0070C0"/>
          </w:tcPr>
          <w:p w14:paraId="54D74702" w14:textId="77777777" w:rsidR="00753227" w:rsidRPr="00C31440" w:rsidRDefault="00753227" w:rsidP="00D3615D">
            <w:pPr>
              <w:spacing w:before="40" w:after="120"/>
              <w:rPr>
                <w:rFonts w:ascii="Calibri" w:eastAsia="Calibri" w:hAnsi="Calibri" w:cs="Times New Roman"/>
                <w:b/>
                <w:color w:val="FFFFFF"/>
                <w:lang w:val="en" w:eastAsia="en-AU"/>
              </w:rPr>
            </w:pPr>
            <w:r w:rsidRPr="00C31440">
              <w:rPr>
                <w:rFonts w:ascii="Calibri" w:eastAsia="Calibri" w:hAnsi="Calibri" w:cs="Times New Roman"/>
                <w:b/>
                <w:color w:val="FFFFFF"/>
                <w:lang w:val="en" w:eastAsia="en-AU"/>
              </w:rPr>
              <w:t>Current liabilities</w:t>
            </w:r>
          </w:p>
        </w:tc>
        <w:tc>
          <w:tcPr>
            <w:tcW w:w="3868" w:type="dxa"/>
            <w:tcBorders>
              <w:top w:val="single" w:sz="4" w:space="0" w:color="auto"/>
            </w:tcBorders>
            <w:shd w:val="clear" w:color="auto" w:fill="0070C0"/>
          </w:tcPr>
          <w:p w14:paraId="61CBF456" w14:textId="77777777" w:rsidR="00753227" w:rsidRPr="00C31440" w:rsidRDefault="00753227" w:rsidP="00D3615D">
            <w:pPr>
              <w:spacing w:before="40" w:after="120"/>
              <w:rPr>
                <w:rFonts w:ascii="Calibri" w:eastAsia="Calibri" w:hAnsi="Calibri" w:cs="Times New Roman"/>
                <w:b/>
                <w:color w:val="FFFFFF"/>
                <w:lang w:val="en" w:eastAsia="en-AU"/>
              </w:rPr>
            </w:pPr>
            <w:r w:rsidRPr="00C31440">
              <w:rPr>
                <w:rFonts w:ascii="Calibri" w:eastAsia="Calibri" w:hAnsi="Calibri" w:cs="Times New Roman"/>
                <w:b/>
                <w:color w:val="FFFFFF"/>
                <w:lang w:val="en" w:eastAsia="en-AU"/>
              </w:rPr>
              <w:t>Current</w:t>
            </w:r>
          </w:p>
        </w:tc>
        <w:tc>
          <w:tcPr>
            <w:tcW w:w="4459" w:type="dxa"/>
            <w:tcBorders>
              <w:top w:val="single" w:sz="4" w:space="0" w:color="auto"/>
            </w:tcBorders>
            <w:shd w:val="clear" w:color="auto" w:fill="0070C0"/>
          </w:tcPr>
          <w:p w14:paraId="68698006" w14:textId="77777777" w:rsidR="00753227" w:rsidRPr="00C31440" w:rsidRDefault="00753227" w:rsidP="00D3615D">
            <w:pPr>
              <w:spacing w:before="40" w:after="120"/>
              <w:rPr>
                <w:rFonts w:ascii="Calibri" w:eastAsia="Calibri" w:hAnsi="Calibri" w:cs="Times New Roman"/>
                <w:b/>
                <w:color w:val="FFFFFF"/>
                <w:lang w:val="en" w:eastAsia="en-AU"/>
              </w:rPr>
            </w:pPr>
            <w:r w:rsidRPr="00C31440">
              <w:rPr>
                <w:rFonts w:ascii="Calibri" w:eastAsia="Calibri" w:hAnsi="Calibri" w:cs="Times New Roman"/>
                <w:b/>
                <w:color w:val="FFFFFF"/>
                <w:lang w:val="en" w:eastAsia="en-AU"/>
              </w:rPr>
              <w:t>Prior</w:t>
            </w:r>
          </w:p>
        </w:tc>
      </w:tr>
      <w:tr w:rsidR="00753227" w:rsidRPr="00C31440" w14:paraId="087631CF" w14:textId="77777777" w:rsidTr="007B3931">
        <w:tc>
          <w:tcPr>
            <w:tcW w:w="3864" w:type="dxa"/>
            <w:tcBorders>
              <w:left w:val="single" w:sz="4" w:space="0" w:color="auto"/>
            </w:tcBorders>
          </w:tcPr>
          <w:p w14:paraId="5C821C34" w14:textId="77777777" w:rsidR="00753227" w:rsidRPr="00C31440" w:rsidRDefault="00753227"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 xml:space="preserve">Trade payables </w:t>
            </w:r>
            <w:r w:rsidRPr="0038469E">
              <w:rPr>
                <w:rFonts w:ascii="Calibri" w:eastAsia="Calibri" w:hAnsi="Calibri" w:cs="Times New Roman"/>
                <w:vertAlign w:val="superscript"/>
                <w:lang w:val="en" w:eastAsia="en-AU"/>
              </w:rPr>
              <w:t>1</w:t>
            </w:r>
          </w:p>
        </w:tc>
        <w:tc>
          <w:tcPr>
            <w:tcW w:w="3868" w:type="dxa"/>
          </w:tcPr>
          <w:p w14:paraId="0680ECC2" w14:textId="0DE50BDE" w:rsidR="00753227" w:rsidRPr="00C31440" w:rsidRDefault="00753227" w:rsidP="00D3615D">
            <w:pPr>
              <w:spacing w:after="120"/>
              <w:rPr>
                <w:rFonts w:ascii="Calibri" w:eastAsia="Calibri" w:hAnsi="Calibri" w:cs="Times New Roman"/>
                <w:lang w:val="en" w:eastAsia="en-AU"/>
              </w:rPr>
            </w:pPr>
          </w:p>
        </w:tc>
        <w:tc>
          <w:tcPr>
            <w:tcW w:w="4459" w:type="dxa"/>
          </w:tcPr>
          <w:p w14:paraId="1B07773D" w14:textId="738D46E1" w:rsidR="00753227" w:rsidRPr="00C31440" w:rsidRDefault="00753227" w:rsidP="00D3615D">
            <w:pPr>
              <w:spacing w:after="120"/>
              <w:rPr>
                <w:rFonts w:ascii="Calibri" w:eastAsia="Calibri" w:hAnsi="Calibri" w:cs="Times New Roman"/>
                <w:lang w:val="en" w:eastAsia="en-AU"/>
              </w:rPr>
            </w:pPr>
          </w:p>
        </w:tc>
      </w:tr>
      <w:tr w:rsidR="00753227" w:rsidRPr="00C31440" w14:paraId="3D771446" w14:textId="77777777" w:rsidTr="007B3931">
        <w:tc>
          <w:tcPr>
            <w:tcW w:w="3864" w:type="dxa"/>
            <w:tcBorders>
              <w:left w:val="single" w:sz="4" w:space="0" w:color="auto"/>
            </w:tcBorders>
          </w:tcPr>
          <w:p w14:paraId="39619316" w14:textId="77777777" w:rsidR="00753227" w:rsidRPr="00C31440" w:rsidRDefault="00753227"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 xml:space="preserve">Securities lending </w:t>
            </w:r>
            <w:r w:rsidRPr="0038469E">
              <w:rPr>
                <w:rFonts w:ascii="Calibri" w:eastAsia="Calibri" w:hAnsi="Calibri" w:cs="Times New Roman"/>
                <w:vertAlign w:val="superscript"/>
                <w:lang w:val="en" w:eastAsia="en-AU"/>
              </w:rPr>
              <w:t>2</w:t>
            </w:r>
          </w:p>
        </w:tc>
        <w:tc>
          <w:tcPr>
            <w:tcW w:w="3868" w:type="dxa"/>
          </w:tcPr>
          <w:p w14:paraId="6F54985E" w14:textId="07DC3205" w:rsidR="00753227" w:rsidRPr="00C31440" w:rsidRDefault="00753227" w:rsidP="00D3615D">
            <w:pPr>
              <w:spacing w:after="120"/>
              <w:rPr>
                <w:rFonts w:ascii="Calibri" w:eastAsia="Calibri" w:hAnsi="Calibri" w:cs="Times New Roman"/>
                <w:noProof/>
              </w:rPr>
            </w:pPr>
          </w:p>
        </w:tc>
        <w:tc>
          <w:tcPr>
            <w:tcW w:w="4459" w:type="dxa"/>
          </w:tcPr>
          <w:p w14:paraId="1B664523" w14:textId="27050D4E" w:rsidR="00753227" w:rsidRPr="00C31440" w:rsidRDefault="00753227" w:rsidP="00D3615D">
            <w:pPr>
              <w:spacing w:after="120"/>
              <w:rPr>
                <w:rFonts w:ascii="Calibri" w:eastAsia="Calibri" w:hAnsi="Calibri" w:cs="Times New Roman"/>
              </w:rPr>
            </w:pPr>
          </w:p>
        </w:tc>
      </w:tr>
      <w:tr w:rsidR="00753227" w:rsidRPr="00C31440" w14:paraId="2EA670D6" w14:textId="77777777" w:rsidTr="007B3931">
        <w:tc>
          <w:tcPr>
            <w:tcW w:w="3864" w:type="dxa"/>
            <w:tcBorders>
              <w:left w:val="single" w:sz="4" w:space="0" w:color="auto"/>
            </w:tcBorders>
          </w:tcPr>
          <w:p w14:paraId="1C51A2FD" w14:textId="77777777" w:rsidR="00753227" w:rsidRPr="00C31440" w:rsidRDefault="00753227" w:rsidP="00D3615D">
            <w:pPr>
              <w:spacing w:after="120"/>
              <w:rPr>
                <w:rFonts w:ascii="Calibri" w:eastAsia="Calibri" w:hAnsi="Calibri" w:cs="Times New Roman"/>
                <w:vertAlign w:val="superscript"/>
                <w:lang w:val="en" w:eastAsia="en-AU"/>
              </w:rPr>
            </w:pPr>
            <w:r w:rsidRPr="00C31440">
              <w:rPr>
                <w:rFonts w:ascii="Calibri" w:eastAsia="Calibri" w:hAnsi="Calibri" w:cs="Times New Roman"/>
                <w:lang w:val="en" w:eastAsia="en-AU"/>
              </w:rPr>
              <w:t xml:space="preserve">Financial liabilities </w:t>
            </w:r>
            <w:r w:rsidRPr="0038469E">
              <w:rPr>
                <w:rFonts w:ascii="Calibri" w:eastAsia="Calibri" w:hAnsi="Calibri" w:cs="Times New Roman"/>
                <w:vertAlign w:val="superscript"/>
                <w:lang w:val="en" w:eastAsia="en-AU"/>
              </w:rPr>
              <w:t>3</w:t>
            </w:r>
          </w:p>
        </w:tc>
        <w:tc>
          <w:tcPr>
            <w:tcW w:w="3868" w:type="dxa"/>
          </w:tcPr>
          <w:p w14:paraId="02E68A6C" w14:textId="79F3CB3E" w:rsidR="00753227" w:rsidRPr="00C31440" w:rsidRDefault="00753227" w:rsidP="00D3615D">
            <w:pPr>
              <w:spacing w:after="120"/>
              <w:rPr>
                <w:rFonts w:ascii="Calibri" w:eastAsia="Calibri" w:hAnsi="Calibri" w:cs="Times New Roman"/>
                <w:noProof/>
              </w:rPr>
            </w:pPr>
          </w:p>
        </w:tc>
        <w:tc>
          <w:tcPr>
            <w:tcW w:w="4459" w:type="dxa"/>
          </w:tcPr>
          <w:p w14:paraId="615901C9" w14:textId="2577A4A3" w:rsidR="00753227" w:rsidRPr="00C31440" w:rsidRDefault="00753227" w:rsidP="00D3615D">
            <w:pPr>
              <w:spacing w:after="120"/>
              <w:rPr>
                <w:rFonts w:ascii="Calibri" w:eastAsia="Calibri" w:hAnsi="Calibri" w:cs="Times New Roman"/>
                <w:lang w:val="en" w:eastAsia="en-AU"/>
              </w:rPr>
            </w:pPr>
          </w:p>
        </w:tc>
      </w:tr>
      <w:tr w:rsidR="00753227" w:rsidRPr="00C31440" w14:paraId="32DEF665" w14:textId="77777777" w:rsidTr="007B3931">
        <w:tc>
          <w:tcPr>
            <w:tcW w:w="3864" w:type="dxa"/>
            <w:tcBorders>
              <w:left w:val="single" w:sz="4" w:space="0" w:color="auto"/>
            </w:tcBorders>
          </w:tcPr>
          <w:p w14:paraId="4243930A" w14:textId="77777777" w:rsidR="00753227" w:rsidRPr="00C31440" w:rsidRDefault="00753227" w:rsidP="00D3615D">
            <w:pPr>
              <w:spacing w:after="120"/>
              <w:rPr>
                <w:rFonts w:ascii="Calibri" w:eastAsia="Calibri" w:hAnsi="Calibri" w:cs="Times New Roman"/>
                <w:vertAlign w:val="superscript"/>
                <w:lang w:val="en" w:eastAsia="en-AU"/>
              </w:rPr>
            </w:pPr>
            <w:r w:rsidRPr="00C31440">
              <w:rPr>
                <w:rFonts w:ascii="Calibri" w:eastAsia="Calibri" w:hAnsi="Calibri" w:cs="Times New Roman"/>
                <w:lang w:val="en" w:eastAsia="en-AU"/>
              </w:rPr>
              <w:t>Short term borrowings</w:t>
            </w:r>
          </w:p>
        </w:tc>
        <w:tc>
          <w:tcPr>
            <w:tcW w:w="3868" w:type="dxa"/>
          </w:tcPr>
          <w:p w14:paraId="356CC38B" w14:textId="706D9A02" w:rsidR="00753227" w:rsidRPr="00C31440" w:rsidRDefault="00753227" w:rsidP="00D3615D">
            <w:pPr>
              <w:spacing w:after="120"/>
              <w:rPr>
                <w:rFonts w:ascii="Calibri" w:eastAsia="Calibri" w:hAnsi="Calibri" w:cs="Times New Roman"/>
                <w:noProof/>
              </w:rPr>
            </w:pPr>
          </w:p>
        </w:tc>
        <w:tc>
          <w:tcPr>
            <w:tcW w:w="4459" w:type="dxa"/>
          </w:tcPr>
          <w:p w14:paraId="28968E54" w14:textId="18C8F50C" w:rsidR="00753227" w:rsidRPr="00C31440" w:rsidRDefault="00753227" w:rsidP="00D3615D">
            <w:pPr>
              <w:spacing w:after="120"/>
              <w:rPr>
                <w:rFonts w:ascii="Calibri" w:eastAsia="Calibri" w:hAnsi="Calibri" w:cs="Times New Roman"/>
                <w:lang w:val="en" w:eastAsia="en-AU"/>
              </w:rPr>
            </w:pPr>
          </w:p>
        </w:tc>
      </w:tr>
      <w:tr w:rsidR="00753227" w:rsidRPr="00C31440" w14:paraId="6103EA65" w14:textId="77777777" w:rsidTr="007B3931">
        <w:tc>
          <w:tcPr>
            <w:tcW w:w="3864" w:type="dxa"/>
            <w:tcBorders>
              <w:left w:val="single" w:sz="4" w:space="0" w:color="auto"/>
            </w:tcBorders>
          </w:tcPr>
          <w:p w14:paraId="2E9F5E47" w14:textId="77777777" w:rsidR="00753227" w:rsidRPr="00C31440" w:rsidRDefault="00753227"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Income tax payable</w:t>
            </w:r>
          </w:p>
        </w:tc>
        <w:tc>
          <w:tcPr>
            <w:tcW w:w="3868" w:type="dxa"/>
          </w:tcPr>
          <w:p w14:paraId="32F09E9D" w14:textId="7E01AE4E" w:rsidR="00753227" w:rsidRPr="00C31440" w:rsidRDefault="00753227" w:rsidP="00D3615D">
            <w:pPr>
              <w:spacing w:after="120"/>
              <w:rPr>
                <w:rFonts w:ascii="Calibri" w:eastAsia="Calibri" w:hAnsi="Calibri" w:cs="Times New Roman"/>
                <w:noProof/>
              </w:rPr>
            </w:pPr>
          </w:p>
        </w:tc>
        <w:tc>
          <w:tcPr>
            <w:tcW w:w="4459" w:type="dxa"/>
          </w:tcPr>
          <w:p w14:paraId="5401B830" w14:textId="37BA37F6" w:rsidR="00753227" w:rsidRPr="00C31440" w:rsidRDefault="00753227" w:rsidP="00D3615D">
            <w:pPr>
              <w:spacing w:after="120"/>
              <w:rPr>
                <w:rFonts w:ascii="Calibri" w:eastAsia="Calibri" w:hAnsi="Calibri" w:cs="Times New Roman"/>
                <w:lang w:val="en" w:eastAsia="en-AU"/>
              </w:rPr>
            </w:pPr>
          </w:p>
        </w:tc>
      </w:tr>
      <w:tr w:rsidR="00753227" w:rsidRPr="00C31440" w14:paraId="0F0258B8" w14:textId="77777777" w:rsidTr="007B3931">
        <w:tc>
          <w:tcPr>
            <w:tcW w:w="3864" w:type="dxa"/>
            <w:tcBorders>
              <w:left w:val="single" w:sz="4" w:space="0" w:color="auto"/>
            </w:tcBorders>
          </w:tcPr>
          <w:p w14:paraId="6E44002D" w14:textId="77777777" w:rsidR="00753227" w:rsidRPr="00C31440" w:rsidRDefault="00753227"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Approved Subordinated Debt</w:t>
            </w:r>
          </w:p>
        </w:tc>
        <w:tc>
          <w:tcPr>
            <w:tcW w:w="3868" w:type="dxa"/>
          </w:tcPr>
          <w:p w14:paraId="41C7B63C" w14:textId="1DF81753" w:rsidR="00753227" w:rsidRPr="00C31440" w:rsidRDefault="00753227" w:rsidP="00D3615D">
            <w:pPr>
              <w:spacing w:after="120"/>
              <w:rPr>
                <w:rFonts w:ascii="Calibri" w:eastAsia="Calibri" w:hAnsi="Calibri" w:cs="Times New Roman"/>
                <w:noProof/>
              </w:rPr>
            </w:pPr>
          </w:p>
        </w:tc>
        <w:tc>
          <w:tcPr>
            <w:tcW w:w="4459" w:type="dxa"/>
          </w:tcPr>
          <w:p w14:paraId="25A6E740" w14:textId="2188F3A7" w:rsidR="00753227" w:rsidRPr="00C31440" w:rsidRDefault="00753227" w:rsidP="00D3615D">
            <w:pPr>
              <w:spacing w:after="120"/>
              <w:rPr>
                <w:rFonts w:ascii="Calibri" w:eastAsia="Calibri" w:hAnsi="Calibri" w:cs="Times New Roman"/>
                <w:lang w:val="en" w:eastAsia="en-AU"/>
              </w:rPr>
            </w:pPr>
          </w:p>
        </w:tc>
      </w:tr>
      <w:tr w:rsidR="00753227" w:rsidRPr="00C31440" w14:paraId="6068E2DE" w14:textId="77777777" w:rsidTr="007B3931">
        <w:tc>
          <w:tcPr>
            <w:tcW w:w="3864" w:type="dxa"/>
            <w:tcBorders>
              <w:left w:val="single" w:sz="4" w:space="0" w:color="auto"/>
            </w:tcBorders>
          </w:tcPr>
          <w:p w14:paraId="681255D8" w14:textId="77777777" w:rsidR="00753227" w:rsidRPr="00C31440" w:rsidRDefault="00753227"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 xml:space="preserve">Lease </w:t>
            </w:r>
            <w:r>
              <w:rPr>
                <w:rFonts w:ascii="Calibri" w:eastAsia="Calibri" w:hAnsi="Calibri" w:cs="Times New Roman"/>
                <w:lang w:val="en" w:eastAsia="en-AU"/>
              </w:rPr>
              <w:t>l</w:t>
            </w:r>
            <w:r w:rsidRPr="00C31440">
              <w:rPr>
                <w:rFonts w:ascii="Calibri" w:eastAsia="Calibri" w:hAnsi="Calibri" w:cs="Times New Roman"/>
                <w:lang w:val="en" w:eastAsia="en-AU"/>
              </w:rPr>
              <w:t>iabilities</w:t>
            </w:r>
          </w:p>
        </w:tc>
        <w:tc>
          <w:tcPr>
            <w:tcW w:w="3868" w:type="dxa"/>
          </w:tcPr>
          <w:p w14:paraId="227438DB" w14:textId="0B6B3390" w:rsidR="00753227" w:rsidRPr="00C31440" w:rsidRDefault="00753227" w:rsidP="00D3615D">
            <w:pPr>
              <w:spacing w:after="120"/>
              <w:rPr>
                <w:rFonts w:ascii="Calibri" w:eastAsia="Calibri" w:hAnsi="Calibri" w:cs="Times New Roman"/>
                <w:noProof/>
              </w:rPr>
            </w:pPr>
          </w:p>
        </w:tc>
        <w:tc>
          <w:tcPr>
            <w:tcW w:w="4459" w:type="dxa"/>
          </w:tcPr>
          <w:p w14:paraId="5FB5E6EC" w14:textId="51A393D5" w:rsidR="00753227" w:rsidRPr="00C31440" w:rsidRDefault="00753227" w:rsidP="00D3615D">
            <w:pPr>
              <w:spacing w:after="120"/>
              <w:rPr>
                <w:rFonts w:ascii="Calibri" w:eastAsia="Calibri" w:hAnsi="Calibri" w:cs="Times New Roman"/>
              </w:rPr>
            </w:pPr>
          </w:p>
        </w:tc>
      </w:tr>
      <w:tr w:rsidR="00753227" w:rsidRPr="00C31440" w14:paraId="60E4B1FC" w14:textId="77777777" w:rsidTr="007B3931">
        <w:tc>
          <w:tcPr>
            <w:tcW w:w="3864" w:type="dxa"/>
            <w:tcBorders>
              <w:left w:val="single" w:sz="4" w:space="0" w:color="auto"/>
            </w:tcBorders>
          </w:tcPr>
          <w:p w14:paraId="32D45782" w14:textId="77777777" w:rsidR="00753227" w:rsidRPr="00C31440" w:rsidRDefault="00753227"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 xml:space="preserve">Other current liabilities </w:t>
            </w:r>
            <w:r w:rsidRPr="0038469E">
              <w:rPr>
                <w:rFonts w:ascii="Calibri" w:eastAsia="Calibri" w:hAnsi="Calibri" w:cs="Times New Roman"/>
                <w:vertAlign w:val="superscript"/>
                <w:lang w:val="en" w:eastAsia="en-AU"/>
              </w:rPr>
              <w:t>4</w:t>
            </w:r>
          </w:p>
        </w:tc>
        <w:tc>
          <w:tcPr>
            <w:tcW w:w="3868" w:type="dxa"/>
          </w:tcPr>
          <w:p w14:paraId="172DEF8B" w14:textId="395C2621" w:rsidR="00753227" w:rsidRPr="00C31440" w:rsidRDefault="00753227" w:rsidP="00D3615D">
            <w:pPr>
              <w:spacing w:after="120"/>
              <w:rPr>
                <w:rFonts w:ascii="Calibri" w:eastAsia="Calibri" w:hAnsi="Calibri" w:cs="Times New Roman"/>
                <w:noProof/>
              </w:rPr>
            </w:pPr>
          </w:p>
        </w:tc>
        <w:tc>
          <w:tcPr>
            <w:tcW w:w="4459" w:type="dxa"/>
          </w:tcPr>
          <w:p w14:paraId="584B6EC0" w14:textId="2AA5E558" w:rsidR="00753227" w:rsidRPr="00C31440" w:rsidRDefault="00753227" w:rsidP="00D3615D">
            <w:pPr>
              <w:spacing w:after="120"/>
              <w:rPr>
                <w:rFonts w:ascii="Calibri" w:eastAsia="Calibri" w:hAnsi="Calibri" w:cs="Times New Roman"/>
                <w:lang w:val="en" w:eastAsia="en-AU"/>
              </w:rPr>
            </w:pPr>
          </w:p>
        </w:tc>
      </w:tr>
      <w:tr w:rsidR="00753227" w:rsidRPr="00C31440" w14:paraId="0D22386D" w14:textId="77777777" w:rsidTr="007B3931">
        <w:tc>
          <w:tcPr>
            <w:tcW w:w="3864" w:type="dxa"/>
            <w:tcBorders>
              <w:left w:val="single" w:sz="4" w:space="0" w:color="auto"/>
              <w:bottom w:val="single" w:sz="4" w:space="0" w:color="auto"/>
            </w:tcBorders>
          </w:tcPr>
          <w:p w14:paraId="408D0283" w14:textId="77777777" w:rsidR="00753227" w:rsidRPr="00C31440" w:rsidRDefault="00753227" w:rsidP="00D3615D">
            <w:pPr>
              <w:spacing w:after="120"/>
              <w:rPr>
                <w:rFonts w:ascii="Calibri" w:eastAsia="Calibri" w:hAnsi="Calibri" w:cs="Times New Roman"/>
                <w:b/>
                <w:lang w:val="en" w:eastAsia="en-AU"/>
              </w:rPr>
            </w:pPr>
            <w:r w:rsidRPr="00C31440">
              <w:rPr>
                <w:rFonts w:ascii="Calibri" w:eastAsia="Calibri" w:hAnsi="Calibri" w:cs="Times New Roman"/>
                <w:b/>
                <w:lang w:val="en" w:eastAsia="en-AU"/>
              </w:rPr>
              <w:t>Total current liabilities</w:t>
            </w:r>
          </w:p>
        </w:tc>
        <w:tc>
          <w:tcPr>
            <w:tcW w:w="3868" w:type="dxa"/>
            <w:tcBorders>
              <w:bottom w:val="single" w:sz="4" w:space="0" w:color="auto"/>
            </w:tcBorders>
          </w:tcPr>
          <w:p w14:paraId="10F1DC67" w14:textId="144168DB" w:rsidR="00753227" w:rsidRPr="00C31440" w:rsidRDefault="00753227" w:rsidP="00D3615D">
            <w:pPr>
              <w:spacing w:after="120"/>
              <w:rPr>
                <w:rFonts w:ascii="Calibri" w:eastAsia="Calibri" w:hAnsi="Calibri" w:cs="Times New Roman"/>
                <w:noProof/>
              </w:rPr>
            </w:pPr>
          </w:p>
        </w:tc>
        <w:tc>
          <w:tcPr>
            <w:tcW w:w="4459" w:type="dxa"/>
            <w:tcBorders>
              <w:bottom w:val="single" w:sz="4" w:space="0" w:color="auto"/>
            </w:tcBorders>
          </w:tcPr>
          <w:p w14:paraId="21DF4336" w14:textId="7E306293" w:rsidR="00753227" w:rsidRPr="00C31440" w:rsidRDefault="00753227" w:rsidP="00D3615D">
            <w:pPr>
              <w:spacing w:after="120"/>
              <w:rPr>
                <w:rFonts w:ascii="Calibri" w:eastAsia="Calibri" w:hAnsi="Calibri" w:cs="Times New Roman"/>
                <w:lang w:val="en" w:eastAsia="en-AU"/>
              </w:rPr>
            </w:pPr>
          </w:p>
        </w:tc>
      </w:tr>
    </w:tbl>
    <w:p w14:paraId="5E8E1769" w14:textId="42B970A8" w:rsidR="007B3931" w:rsidRPr="00D3615D" w:rsidRDefault="007B3931" w:rsidP="00D3615D">
      <w:pPr>
        <w:spacing w:before="120" w:after="120"/>
        <w:rPr>
          <w:rFonts w:ascii="Calibri" w:hAnsi="Calibri"/>
          <w:szCs w:val="22"/>
        </w:rPr>
      </w:pPr>
      <w:r w:rsidRPr="00D3615D">
        <w:rPr>
          <w:rFonts w:ascii="Calibri" w:hAnsi="Calibri"/>
          <w:szCs w:val="22"/>
        </w:rPr>
        <w:t>1. Client and trade payables only (</w:t>
      </w:r>
      <w:r w:rsidRPr="00D3615D">
        <w:rPr>
          <w:rFonts w:ascii="Calibri" w:hAnsi="Calibri"/>
          <w:b/>
          <w:i/>
          <w:szCs w:val="22"/>
        </w:rPr>
        <w:t>Note</w:t>
      </w:r>
      <w:r w:rsidRPr="00D3615D">
        <w:rPr>
          <w:rFonts w:ascii="Calibri" w:hAnsi="Calibri"/>
          <w:szCs w:val="22"/>
        </w:rPr>
        <w:t>: You should include Trade Related/Associated Person amounts here – refer ‘Related/Associated Person Balance’ definition.)</w:t>
      </w:r>
    </w:p>
    <w:p w14:paraId="0C24FDE0" w14:textId="78EAE32F" w:rsidR="007B3931" w:rsidRPr="00D3615D" w:rsidRDefault="007B3931" w:rsidP="00D3615D">
      <w:pPr>
        <w:spacing w:after="120"/>
        <w:rPr>
          <w:rFonts w:ascii="Calibri" w:hAnsi="Calibri"/>
          <w:szCs w:val="22"/>
        </w:rPr>
      </w:pPr>
      <w:r w:rsidRPr="00D3615D">
        <w:rPr>
          <w:rFonts w:ascii="Calibri" w:hAnsi="Calibri"/>
          <w:szCs w:val="22"/>
        </w:rPr>
        <w:t>2. Only include cash received from securities lending.</w:t>
      </w:r>
    </w:p>
    <w:p w14:paraId="022C2EFB" w14:textId="26E83D6E" w:rsidR="007B3931" w:rsidRPr="00D3615D" w:rsidRDefault="007B3931" w:rsidP="00D3615D">
      <w:pPr>
        <w:spacing w:after="120"/>
        <w:rPr>
          <w:rFonts w:ascii="Calibri" w:hAnsi="Calibri"/>
          <w:szCs w:val="22"/>
        </w:rPr>
      </w:pPr>
      <w:r w:rsidRPr="00D3615D">
        <w:rPr>
          <w:rFonts w:ascii="Calibri" w:hAnsi="Calibri"/>
          <w:szCs w:val="22"/>
        </w:rPr>
        <w:t>3. All equity, debt and similar instruments at market value.</w:t>
      </w:r>
    </w:p>
    <w:p w14:paraId="7412F3ED" w14:textId="47142379" w:rsidR="007B3931" w:rsidRPr="00D3615D" w:rsidRDefault="007B3931" w:rsidP="00D3615D">
      <w:pPr>
        <w:spacing w:after="120"/>
        <w:rPr>
          <w:rFonts w:ascii="Calibri" w:hAnsi="Calibri"/>
          <w:szCs w:val="22"/>
        </w:rPr>
      </w:pPr>
      <w:r w:rsidRPr="00D3615D">
        <w:rPr>
          <w:rFonts w:ascii="Calibri" w:hAnsi="Calibri"/>
          <w:szCs w:val="22"/>
        </w:rPr>
        <w:t>4. Other balances not included above.</w:t>
      </w:r>
    </w:p>
    <w:p w14:paraId="02AE2CF0" w14:textId="690DC33A" w:rsidR="003A1BE7" w:rsidRPr="00D3615D" w:rsidRDefault="007B3931" w:rsidP="00D3615D">
      <w:pPr>
        <w:keepNext/>
        <w:spacing w:before="240" w:after="120"/>
        <w:outlineLvl w:val="3"/>
        <w:rPr>
          <w:rFonts w:ascii="Calibri" w:hAnsi="Calibri" w:cs="Helvetica"/>
          <w:b/>
          <w:sz w:val="24"/>
          <w:szCs w:val="24"/>
          <w:lang w:val="en"/>
        </w:rPr>
      </w:pPr>
      <w:r w:rsidRPr="00D3615D">
        <w:rPr>
          <w:rFonts w:ascii="Calibri" w:hAnsi="Calibri" w:cs="Helvetica"/>
          <w:b/>
          <w:sz w:val="24"/>
          <w:szCs w:val="24"/>
          <w:lang w:val="en"/>
        </w:rPr>
        <w:lastRenderedPageBreak/>
        <w:t>Non-current liabilities</w:t>
      </w:r>
    </w:p>
    <w:tbl>
      <w:tblPr>
        <w:tblStyle w:val="TableGrid7"/>
        <w:tblW w:w="12895" w:type="dxa"/>
        <w:tblLook w:val="04A0" w:firstRow="1" w:lastRow="0" w:firstColumn="1" w:lastColumn="0" w:noHBand="0" w:noVBand="1"/>
      </w:tblPr>
      <w:tblGrid>
        <w:gridCol w:w="3397"/>
        <w:gridCol w:w="4749"/>
        <w:gridCol w:w="4749"/>
      </w:tblGrid>
      <w:tr w:rsidR="007B3931" w:rsidRPr="00C31440" w14:paraId="303AC579" w14:textId="77777777" w:rsidTr="00D3615D">
        <w:tc>
          <w:tcPr>
            <w:tcW w:w="3397" w:type="dxa"/>
            <w:shd w:val="clear" w:color="auto" w:fill="0070C0"/>
          </w:tcPr>
          <w:p w14:paraId="6514A0D4" w14:textId="2E0825F3" w:rsidR="007B3931" w:rsidRPr="00C31440" w:rsidRDefault="0046161E" w:rsidP="00D3615D">
            <w:pPr>
              <w:keepNext/>
              <w:spacing w:before="40" w:after="120"/>
              <w:rPr>
                <w:rFonts w:ascii="Calibri" w:eastAsia="Calibri" w:hAnsi="Calibri" w:cs="Times New Roman"/>
                <w:b/>
                <w:color w:val="FFFFFF"/>
                <w:lang w:val="en" w:eastAsia="en-AU"/>
              </w:rPr>
            </w:pPr>
            <w:r>
              <w:rPr>
                <w:rFonts w:ascii="Calibri" w:eastAsia="Calibri" w:hAnsi="Calibri" w:cs="Times New Roman"/>
                <w:b/>
                <w:color w:val="FFFFFF"/>
                <w:lang w:val="en" w:eastAsia="en-AU"/>
              </w:rPr>
              <w:t>Non-current</w:t>
            </w:r>
            <w:r w:rsidRPr="00C31440">
              <w:rPr>
                <w:rFonts w:ascii="Calibri" w:eastAsia="Calibri" w:hAnsi="Calibri" w:cs="Times New Roman"/>
                <w:b/>
                <w:color w:val="FFFFFF"/>
                <w:lang w:val="en" w:eastAsia="en-AU"/>
              </w:rPr>
              <w:t xml:space="preserve"> </w:t>
            </w:r>
            <w:r w:rsidR="007B3931" w:rsidRPr="00C31440">
              <w:rPr>
                <w:rFonts w:ascii="Calibri" w:eastAsia="Calibri" w:hAnsi="Calibri" w:cs="Times New Roman"/>
                <w:b/>
                <w:color w:val="FFFFFF"/>
                <w:lang w:val="en" w:eastAsia="en-AU"/>
              </w:rPr>
              <w:t>liabilities</w:t>
            </w:r>
          </w:p>
        </w:tc>
        <w:tc>
          <w:tcPr>
            <w:tcW w:w="4749" w:type="dxa"/>
            <w:shd w:val="clear" w:color="auto" w:fill="0070C0"/>
          </w:tcPr>
          <w:p w14:paraId="636AD0E9" w14:textId="77777777" w:rsidR="007B3931" w:rsidRPr="00C31440" w:rsidRDefault="007B3931" w:rsidP="00D3615D">
            <w:pPr>
              <w:keepNext/>
              <w:spacing w:before="40" w:after="120"/>
              <w:rPr>
                <w:rFonts w:ascii="Calibri" w:eastAsia="Calibri" w:hAnsi="Calibri" w:cs="Times New Roman"/>
                <w:b/>
                <w:color w:val="FFFFFF"/>
                <w:lang w:val="en" w:eastAsia="en-AU"/>
              </w:rPr>
            </w:pPr>
            <w:r w:rsidRPr="00C31440">
              <w:rPr>
                <w:rFonts w:ascii="Calibri" w:eastAsia="Calibri" w:hAnsi="Calibri" w:cs="Times New Roman"/>
                <w:b/>
                <w:color w:val="FFFFFF"/>
                <w:lang w:val="en" w:eastAsia="en-AU"/>
              </w:rPr>
              <w:t>Current</w:t>
            </w:r>
          </w:p>
        </w:tc>
        <w:tc>
          <w:tcPr>
            <w:tcW w:w="4749" w:type="dxa"/>
            <w:shd w:val="clear" w:color="auto" w:fill="0070C0"/>
          </w:tcPr>
          <w:p w14:paraId="13DD6A11" w14:textId="77777777" w:rsidR="007B3931" w:rsidRPr="00C31440" w:rsidRDefault="007B3931" w:rsidP="00D3615D">
            <w:pPr>
              <w:keepNext/>
              <w:spacing w:before="40" w:after="120"/>
              <w:rPr>
                <w:rFonts w:ascii="Calibri" w:eastAsia="Calibri" w:hAnsi="Calibri" w:cs="Times New Roman"/>
                <w:b/>
                <w:color w:val="FFFFFF"/>
                <w:lang w:val="en" w:eastAsia="en-AU"/>
              </w:rPr>
            </w:pPr>
            <w:r w:rsidRPr="00C31440">
              <w:rPr>
                <w:rFonts w:ascii="Calibri" w:eastAsia="Calibri" w:hAnsi="Calibri" w:cs="Times New Roman"/>
                <w:b/>
                <w:color w:val="FFFFFF"/>
                <w:lang w:val="en" w:eastAsia="en-AU"/>
              </w:rPr>
              <w:t>Prior</w:t>
            </w:r>
          </w:p>
        </w:tc>
      </w:tr>
      <w:tr w:rsidR="007B3931" w:rsidRPr="00C31440" w14:paraId="26A180DC" w14:textId="77777777" w:rsidTr="00D3615D">
        <w:tc>
          <w:tcPr>
            <w:tcW w:w="3397" w:type="dxa"/>
          </w:tcPr>
          <w:p w14:paraId="59B68EBE" w14:textId="77777777" w:rsidR="007B3931" w:rsidRPr="00C31440" w:rsidRDefault="007B3931"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Long term borrowings</w:t>
            </w:r>
          </w:p>
        </w:tc>
        <w:tc>
          <w:tcPr>
            <w:tcW w:w="4749" w:type="dxa"/>
          </w:tcPr>
          <w:p w14:paraId="4B8EFC6B" w14:textId="3F23B060" w:rsidR="007B3931" w:rsidRPr="00C31440" w:rsidRDefault="007B3931" w:rsidP="00D3615D">
            <w:pPr>
              <w:spacing w:after="120"/>
              <w:rPr>
                <w:rFonts w:ascii="Calibri" w:eastAsia="Calibri" w:hAnsi="Calibri" w:cs="Times New Roman"/>
              </w:rPr>
            </w:pPr>
          </w:p>
        </w:tc>
        <w:tc>
          <w:tcPr>
            <w:tcW w:w="4749" w:type="dxa"/>
          </w:tcPr>
          <w:p w14:paraId="47767634" w14:textId="569577D9" w:rsidR="007B3931" w:rsidRPr="00C31440" w:rsidRDefault="007B3931" w:rsidP="00D3615D">
            <w:pPr>
              <w:spacing w:after="120"/>
              <w:rPr>
                <w:rFonts w:ascii="Calibri" w:eastAsia="Calibri" w:hAnsi="Calibri" w:cs="Times New Roman"/>
                <w:lang w:val="en" w:eastAsia="en-AU"/>
              </w:rPr>
            </w:pPr>
          </w:p>
        </w:tc>
      </w:tr>
      <w:tr w:rsidR="007B3931" w:rsidRPr="00C31440" w14:paraId="3CF43E24" w14:textId="77777777" w:rsidTr="00D3615D">
        <w:tc>
          <w:tcPr>
            <w:tcW w:w="3397" w:type="dxa"/>
          </w:tcPr>
          <w:p w14:paraId="1CD934D7" w14:textId="77777777" w:rsidR="007B3931" w:rsidRPr="00C31440" w:rsidRDefault="007B3931"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Deferred income tax</w:t>
            </w:r>
          </w:p>
        </w:tc>
        <w:tc>
          <w:tcPr>
            <w:tcW w:w="4749" w:type="dxa"/>
          </w:tcPr>
          <w:p w14:paraId="53CCE96E" w14:textId="39E785CB" w:rsidR="007B3931" w:rsidRPr="00C31440" w:rsidRDefault="007B3931" w:rsidP="00D3615D">
            <w:pPr>
              <w:spacing w:after="120"/>
              <w:rPr>
                <w:rFonts w:ascii="Calibri" w:eastAsia="Calibri" w:hAnsi="Calibri" w:cs="Times New Roman"/>
                <w:noProof/>
              </w:rPr>
            </w:pPr>
          </w:p>
        </w:tc>
        <w:tc>
          <w:tcPr>
            <w:tcW w:w="4749" w:type="dxa"/>
          </w:tcPr>
          <w:p w14:paraId="77240C2E" w14:textId="573225F8" w:rsidR="007B3931" w:rsidRPr="00C31440" w:rsidRDefault="007B3931" w:rsidP="00D3615D">
            <w:pPr>
              <w:spacing w:after="120"/>
              <w:rPr>
                <w:rFonts w:ascii="Calibri" w:eastAsia="Calibri" w:hAnsi="Calibri" w:cs="Times New Roman"/>
              </w:rPr>
            </w:pPr>
          </w:p>
        </w:tc>
      </w:tr>
      <w:tr w:rsidR="007B3931" w:rsidRPr="00C31440" w14:paraId="3D74FEFE" w14:textId="77777777" w:rsidTr="00D3615D">
        <w:tc>
          <w:tcPr>
            <w:tcW w:w="3397" w:type="dxa"/>
          </w:tcPr>
          <w:p w14:paraId="0100C79E" w14:textId="77777777" w:rsidR="007B3931" w:rsidRPr="00C31440" w:rsidRDefault="007B3931" w:rsidP="00D3615D">
            <w:pPr>
              <w:spacing w:after="120"/>
              <w:rPr>
                <w:rFonts w:ascii="Calibri" w:eastAsia="Calibri" w:hAnsi="Calibri" w:cs="Times New Roman"/>
                <w:vertAlign w:val="superscript"/>
                <w:lang w:val="en" w:eastAsia="en-AU"/>
              </w:rPr>
            </w:pPr>
            <w:r w:rsidRPr="00C31440">
              <w:rPr>
                <w:rFonts w:ascii="Calibri" w:eastAsia="Calibri" w:hAnsi="Calibri" w:cs="Times New Roman"/>
                <w:lang w:val="en" w:eastAsia="en-AU"/>
              </w:rPr>
              <w:t>Approved Subordinated Debt</w:t>
            </w:r>
          </w:p>
        </w:tc>
        <w:tc>
          <w:tcPr>
            <w:tcW w:w="4749" w:type="dxa"/>
          </w:tcPr>
          <w:p w14:paraId="15F6B864" w14:textId="0317E0EE" w:rsidR="007B3931" w:rsidRPr="00C31440" w:rsidRDefault="007B3931" w:rsidP="00D3615D">
            <w:pPr>
              <w:spacing w:after="120"/>
              <w:rPr>
                <w:rFonts w:ascii="Calibri" w:eastAsia="Calibri" w:hAnsi="Calibri" w:cs="Times New Roman"/>
                <w:noProof/>
              </w:rPr>
            </w:pPr>
          </w:p>
        </w:tc>
        <w:tc>
          <w:tcPr>
            <w:tcW w:w="4749" w:type="dxa"/>
          </w:tcPr>
          <w:p w14:paraId="350C8C74" w14:textId="02048967" w:rsidR="007B3931" w:rsidRPr="00C31440" w:rsidRDefault="007B3931" w:rsidP="00D3615D">
            <w:pPr>
              <w:spacing w:after="120"/>
              <w:rPr>
                <w:rFonts w:ascii="Calibri" w:eastAsia="Calibri" w:hAnsi="Calibri" w:cs="Times New Roman"/>
                <w:lang w:val="en" w:eastAsia="en-AU"/>
              </w:rPr>
            </w:pPr>
          </w:p>
        </w:tc>
      </w:tr>
      <w:tr w:rsidR="007B3931" w:rsidRPr="00C31440" w14:paraId="030D8301" w14:textId="77777777" w:rsidTr="00D3615D">
        <w:tc>
          <w:tcPr>
            <w:tcW w:w="3397" w:type="dxa"/>
          </w:tcPr>
          <w:p w14:paraId="4C6724FC" w14:textId="77777777" w:rsidR="007B3931" w:rsidRPr="00C31440" w:rsidRDefault="007B3931"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 xml:space="preserve">Lease </w:t>
            </w:r>
            <w:r>
              <w:rPr>
                <w:rFonts w:ascii="Calibri" w:eastAsia="Calibri" w:hAnsi="Calibri" w:cs="Times New Roman"/>
                <w:lang w:val="en" w:eastAsia="en-AU"/>
              </w:rPr>
              <w:t>l</w:t>
            </w:r>
            <w:r w:rsidRPr="00C31440">
              <w:rPr>
                <w:rFonts w:ascii="Calibri" w:eastAsia="Calibri" w:hAnsi="Calibri" w:cs="Times New Roman"/>
                <w:lang w:val="en" w:eastAsia="en-AU"/>
              </w:rPr>
              <w:t>iabilities</w:t>
            </w:r>
          </w:p>
        </w:tc>
        <w:tc>
          <w:tcPr>
            <w:tcW w:w="4749" w:type="dxa"/>
          </w:tcPr>
          <w:p w14:paraId="2C02BD73" w14:textId="57144FD7" w:rsidR="007B3931" w:rsidRPr="00C31440" w:rsidRDefault="007B3931" w:rsidP="00D3615D">
            <w:pPr>
              <w:spacing w:after="120"/>
              <w:rPr>
                <w:rFonts w:ascii="Calibri" w:eastAsia="Calibri" w:hAnsi="Calibri" w:cs="Times New Roman"/>
                <w:noProof/>
              </w:rPr>
            </w:pPr>
          </w:p>
        </w:tc>
        <w:tc>
          <w:tcPr>
            <w:tcW w:w="4749" w:type="dxa"/>
          </w:tcPr>
          <w:p w14:paraId="002ABFD2" w14:textId="461CB9E5" w:rsidR="007B3931" w:rsidRPr="00C31440" w:rsidRDefault="007B3931" w:rsidP="00D3615D">
            <w:pPr>
              <w:spacing w:after="120"/>
              <w:rPr>
                <w:rFonts w:ascii="Calibri" w:eastAsia="Calibri" w:hAnsi="Calibri" w:cs="Times New Roman"/>
              </w:rPr>
            </w:pPr>
          </w:p>
        </w:tc>
      </w:tr>
      <w:tr w:rsidR="007B3931" w:rsidRPr="00C31440" w14:paraId="4045B54E" w14:textId="77777777" w:rsidTr="00D3615D">
        <w:tc>
          <w:tcPr>
            <w:tcW w:w="3397" w:type="dxa"/>
          </w:tcPr>
          <w:p w14:paraId="38677B2E" w14:textId="77777777" w:rsidR="007B3931" w:rsidRPr="00C31440" w:rsidRDefault="007B3931" w:rsidP="00D3615D">
            <w:pPr>
              <w:spacing w:after="120"/>
              <w:rPr>
                <w:rFonts w:ascii="Calibri" w:eastAsia="Calibri" w:hAnsi="Calibri" w:cs="Times New Roman"/>
                <w:vertAlign w:val="superscript"/>
                <w:lang w:val="en" w:eastAsia="en-AU"/>
              </w:rPr>
            </w:pPr>
            <w:r w:rsidRPr="00C31440">
              <w:rPr>
                <w:rFonts w:ascii="Calibri" w:eastAsia="Calibri" w:hAnsi="Calibri" w:cs="Times New Roman"/>
                <w:lang w:val="en" w:eastAsia="en-AU"/>
              </w:rPr>
              <w:t>Other non</w:t>
            </w:r>
            <w:r>
              <w:rPr>
                <w:rFonts w:ascii="Calibri" w:eastAsia="Calibri" w:hAnsi="Calibri" w:cs="Times New Roman"/>
                <w:lang w:val="en" w:eastAsia="en-AU"/>
              </w:rPr>
              <w:t>-</w:t>
            </w:r>
            <w:r w:rsidRPr="00C31440">
              <w:rPr>
                <w:rFonts w:ascii="Calibri" w:eastAsia="Calibri" w:hAnsi="Calibri" w:cs="Times New Roman"/>
                <w:lang w:val="en" w:eastAsia="en-AU"/>
              </w:rPr>
              <w:t>current liabilities</w:t>
            </w:r>
            <w:r w:rsidRPr="00C31440">
              <w:rPr>
                <w:rFonts w:ascii="Calibri" w:eastAsia="Calibri" w:hAnsi="Calibri" w:cs="Times New Roman"/>
                <w:vertAlign w:val="superscript"/>
                <w:lang w:val="en" w:eastAsia="en-AU"/>
              </w:rPr>
              <w:t xml:space="preserve"> 1</w:t>
            </w:r>
          </w:p>
        </w:tc>
        <w:tc>
          <w:tcPr>
            <w:tcW w:w="4749" w:type="dxa"/>
          </w:tcPr>
          <w:p w14:paraId="74ED764D" w14:textId="7B63922D" w:rsidR="007B3931" w:rsidRPr="00C31440" w:rsidRDefault="007B3931" w:rsidP="00D3615D">
            <w:pPr>
              <w:spacing w:after="120"/>
              <w:rPr>
                <w:rFonts w:ascii="Calibri" w:eastAsia="Calibri" w:hAnsi="Calibri" w:cs="Times New Roman"/>
                <w:noProof/>
              </w:rPr>
            </w:pPr>
          </w:p>
        </w:tc>
        <w:tc>
          <w:tcPr>
            <w:tcW w:w="4749" w:type="dxa"/>
          </w:tcPr>
          <w:p w14:paraId="54E069BF" w14:textId="4147D282" w:rsidR="007B3931" w:rsidRPr="00C31440" w:rsidRDefault="007B3931" w:rsidP="00D3615D">
            <w:pPr>
              <w:spacing w:after="120"/>
              <w:rPr>
                <w:rFonts w:ascii="Calibri" w:eastAsia="Calibri" w:hAnsi="Calibri" w:cs="Times New Roman"/>
                <w:lang w:val="en" w:eastAsia="en-AU"/>
              </w:rPr>
            </w:pPr>
          </w:p>
        </w:tc>
      </w:tr>
      <w:tr w:rsidR="007B3931" w:rsidRPr="00C31440" w14:paraId="0447CB7D" w14:textId="77777777" w:rsidTr="00D3615D">
        <w:tc>
          <w:tcPr>
            <w:tcW w:w="3397" w:type="dxa"/>
          </w:tcPr>
          <w:p w14:paraId="4D4940E9" w14:textId="77777777" w:rsidR="007B3931" w:rsidRPr="00C31440" w:rsidRDefault="007B3931" w:rsidP="00D3615D">
            <w:pPr>
              <w:spacing w:after="120"/>
              <w:rPr>
                <w:rFonts w:ascii="Calibri" w:eastAsia="Calibri" w:hAnsi="Calibri" w:cs="Times New Roman"/>
                <w:b/>
                <w:lang w:val="en" w:eastAsia="en-AU"/>
              </w:rPr>
            </w:pPr>
            <w:r w:rsidRPr="00C31440">
              <w:rPr>
                <w:rFonts w:ascii="Calibri" w:eastAsia="Calibri" w:hAnsi="Calibri" w:cs="Times New Roman"/>
                <w:b/>
                <w:lang w:val="en" w:eastAsia="en-AU"/>
              </w:rPr>
              <w:t>Total non</w:t>
            </w:r>
            <w:r>
              <w:rPr>
                <w:rFonts w:ascii="Calibri" w:eastAsia="Calibri" w:hAnsi="Calibri" w:cs="Times New Roman"/>
                <w:b/>
                <w:lang w:val="en" w:eastAsia="en-AU"/>
              </w:rPr>
              <w:t>-</w:t>
            </w:r>
            <w:r w:rsidRPr="00C31440">
              <w:rPr>
                <w:rFonts w:ascii="Calibri" w:eastAsia="Calibri" w:hAnsi="Calibri" w:cs="Times New Roman"/>
                <w:b/>
                <w:lang w:val="en" w:eastAsia="en-AU"/>
              </w:rPr>
              <w:t>current liabilities</w:t>
            </w:r>
          </w:p>
        </w:tc>
        <w:tc>
          <w:tcPr>
            <w:tcW w:w="4749" w:type="dxa"/>
          </w:tcPr>
          <w:p w14:paraId="14C52130" w14:textId="5CC522E4" w:rsidR="007B3931" w:rsidRPr="00C31440" w:rsidRDefault="007B3931" w:rsidP="00D3615D">
            <w:pPr>
              <w:spacing w:after="120"/>
              <w:rPr>
                <w:rFonts w:ascii="Calibri" w:eastAsia="Calibri" w:hAnsi="Calibri" w:cs="Times New Roman"/>
                <w:b/>
                <w:noProof/>
              </w:rPr>
            </w:pPr>
          </w:p>
        </w:tc>
        <w:tc>
          <w:tcPr>
            <w:tcW w:w="4749" w:type="dxa"/>
          </w:tcPr>
          <w:p w14:paraId="5E7687E2" w14:textId="2EDBD92E" w:rsidR="007B3931" w:rsidRPr="00C31440" w:rsidRDefault="007B3931" w:rsidP="00D3615D">
            <w:pPr>
              <w:spacing w:after="120"/>
              <w:rPr>
                <w:rFonts w:ascii="Calibri" w:eastAsia="Calibri" w:hAnsi="Calibri" w:cs="Times New Roman"/>
                <w:b/>
                <w:lang w:val="en" w:eastAsia="en-AU"/>
              </w:rPr>
            </w:pPr>
          </w:p>
        </w:tc>
      </w:tr>
    </w:tbl>
    <w:p w14:paraId="234E9C94" w14:textId="6AA1AE86" w:rsidR="007B3931" w:rsidRPr="00C31440" w:rsidRDefault="007B3931" w:rsidP="00D3615D">
      <w:pPr>
        <w:numPr>
          <w:ilvl w:val="0"/>
          <w:numId w:val="81"/>
        </w:numPr>
        <w:spacing w:before="120" w:after="120"/>
        <w:ind w:left="714" w:hanging="357"/>
        <w:contextualSpacing/>
        <w:rPr>
          <w:rFonts w:ascii="Calibri" w:eastAsia="Calibri" w:hAnsi="Calibri"/>
        </w:rPr>
      </w:pPr>
      <w:r w:rsidRPr="00C31440">
        <w:rPr>
          <w:rFonts w:ascii="Calibri" w:eastAsia="Calibri" w:hAnsi="Calibri"/>
        </w:rPr>
        <w:t>Other balances not included above</w:t>
      </w:r>
    </w:p>
    <w:p w14:paraId="38559011" w14:textId="31737152" w:rsidR="003A1BE7" w:rsidRPr="00D3615D" w:rsidRDefault="007B3931" w:rsidP="00D3615D">
      <w:pPr>
        <w:keepNext/>
        <w:spacing w:before="360" w:after="120"/>
        <w:outlineLvl w:val="3"/>
        <w:rPr>
          <w:rFonts w:ascii="Calibri" w:hAnsi="Calibri" w:cs="Helvetica"/>
          <w:b/>
          <w:sz w:val="24"/>
          <w:szCs w:val="24"/>
          <w:lang w:val="en"/>
        </w:rPr>
      </w:pPr>
      <w:r w:rsidRPr="00D3615D">
        <w:rPr>
          <w:rFonts w:ascii="Calibri" w:hAnsi="Calibri" w:cs="Helvetica"/>
          <w:b/>
          <w:sz w:val="24"/>
          <w:szCs w:val="24"/>
          <w:lang w:val="en"/>
        </w:rPr>
        <w:t>Total liabilities</w:t>
      </w:r>
    </w:p>
    <w:tbl>
      <w:tblPr>
        <w:tblStyle w:val="TableGrid7"/>
        <w:tblW w:w="10263" w:type="dxa"/>
        <w:tblLook w:val="04A0" w:firstRow="1" w:lastRow="0" w:firstColumn="1" w:lastColumn="0" w:noHBand="0" w:noVBand="1"/>
      </w:tblPr>
      <w:tblGrid>
        <w:gridCol w:w="2681"/>
        <w:gridCol w:w="4266"/>
        <w:gridCol w:w="3316"/>
      </w:tblGrid>
      <w:tr w:rsidR="007B3931" w:rsidRPr="00C31440" w14:paraId="620290F7" w14:textId="77777777" w:rsidTr="007B3931">
        <w:tc>
          <w:tcPr>
            <w:tcW w:w="2681" w:type="dxa"/>
            <w:shd w:val="clear" w:color="auto" w:fill="0070C0"/>
          </w:tcPr>
          <w:p w14:paraId="2A772472" w14:textId="77777777" w:rsidR="007B3931" w:rsidRPr="00C31440" w:rsidRDefault="007B3931" w:rsidP="00D3615D">
            <w:pPr>
              <w:spacing w:before="40" w:after="120"/>
              <w:rPr>
                <w:rFonts w:ascii="Calibri" w:eastAsia="Calibri" w:hAnsi="Calibri" w:cs="Times New Roman"/>
                <w:b/>
                <w:color w:val="FFFFFF"/>
                <w:lang w:val="en" w:eastAsia="en-AU"/>
              </w:rPr>
            </w:pPr>
            <w:r w:rsidRPr="00C31440">
              <w:rPr>
                <w:rFonts w:ascii="Calibri" w:eastAsia="Calibri" w:hAnsi="Calibri" w:cs="Times New Roman"/>
                <w:b/>
                <w:color w:val="FFFFFF"/>
                <w:lang w:val="en" w:eastAsia="en-AU"/>
              </w:rPr>
              <w:t>Liabilities</w:t>
            </w:r>
          </w:p>
        </w:tc>
        <w:tc>
          <w:tcPr>
            <w:tcW w:w="4266" w:type="dxa"/>
            <w:shd w:val="clear" w:color="auto" w:fill="0070C0"/>
          </w:tcPr>
          <w:p w14:paraId="37BDF791" w14:textId="77777777" w:rsidR="007B3931" w:rsidRPr="00C31440" w:rsidRDefault="007B3931" w:rsidP="00D3615D">
            <w:pPr>
              <w:spacing w:before="40" w:after="120"/>
              <w:rPr>
                <w:rFonts w:ascii="Calibri" w:eastAsia="Calibri" w:hAnsi="Calibri" w:cs="Times New Roman"/>
                <w:b/>
                <w:color w:val="FFFFFF"/>
              </w:rPr>
            </w:pPr>
            <w:r w:rsidRPr="00C31440">
              <w:rPr>
                <w:rFonts w:ascii="Calibri" w:eastAsia="Calibri" w:hAnsi="Calibri" w:cs="Times New Roman"/>
                <w:b/>
                <w:color w:val="FFFFFF"/>
              </w:rPr>
              <w:t>Current</w:t>
            </w:r>
          </w:p>
        </w:tc>
        <w:tc>
          <w:tcPr>
            <w:tcW w:w="3316" w:type="dxa"/>
            <w:shd w:val="clear" w:color="auto" w:fill="0070C0"/>
          </w:tcPr>
          <w:p w14:paraId="0DCF3A77" w14:textId="77777777" w:rsidR="007B3931" w:rsidRPr="00C31440" w:rsidRDefault="007B3931" w:rsidP="00D3615D">
            <w:pPr>
              <w:spacing w:before="40" w:after="120"/>
              <w:rPr>
                <w:rFonts w:ascii="Calibri" w:eastAsia="Calibri" w:hAnsi="Calibri" w:cs="Times New Roman"/>
                <w:b/>
                <w:color w:val="FFFFFF"/>
              </w:rPr>
            </w:pPr>
            <w:r w:rsidRPr="00C31440">
              <w:rPr>
                <w:rFonts w:ascii="Calibri" w:eastAsia="Calibri" w:hAnsi="Calibri" w:cs="Times New Roman"/>
                <w:b/>
                <w:color w:val="FFFFFF"/>
              </w:rPr>
              <w:t>Prior</w:t>
            </w:r>
          </w:p>
        </w:tc>
      </w:tr>
      <w:tr w:rsidR="007B3931" w:rsidRPr="00194B98" w14:paraId="5B7A20BB" w14:textId="77777777" w:rsidTr="007B3931">
        <w:tc>
          <w:tcPr>
            <w:tcW w:w="2681" w:type="dxa"/>
          </w:tcPr>
          <w:p w14:paraId="1780343E" w14:textId="77777777" w:rsidR="007B3931" w:rsidRPr="00C31440" w:rsidRDefault="007B3931"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Total liabilities</w:t>
            </w:r>
          </w:p>
        </w:tc>
        <w:tc>
          <w:tcPr>
            <w:tcW w:w="4266" w:type="dxa"/>
          </w:tcPr>
          <w:p w14:paraId="1B85EEC7" w14:textId="64FB23F3" w:rsidR="007B3931" w:rsidRPr="00D3615D" w:rsidRDefault="007B3931" w:rsidP="00D3615D">
            <w:pPr>
              <w:spacing w:after="120"/>
              <w:rPr>
                <w:rFonts w:ascii="Calibri" w:eastAsia="Calibri" w:hAnsi="Calibri" w:cs="Times New Roman"/>
                <w:lang w:val="en" w:eastAsia="en-AU"/>
              </w:rPr>
            </w:pPr>
          </w:p>
        </w:tc>
        <w:tc>
          <w:tcPr>
            <w:tcW w:w="3316" w:type="dxa"/>
          </w:tcPr>
          <w:p w14:paraId="7C26117F" w14:textId="0E3E7DDA" w:rsidR="007B3931" w:rsidRPr="00C31440" w:rsidRDefault="007B3931" w:rsidP="00D3615D">
            <w:pPr>
              <w:spacing w:after="120"/>
              <w:rPr>
                <w:rFonts w:ascii="Calibri" w:eastAsia="Calibri" w:hAnsi="Calibri" w:cs="Times New Roman"/>
                <w:lang w:val="en" w:eastAsia="en-AU"/>
              </w:rPr>
            </w:pPr>
          </w:p>
        </w:tc>
      </w:tr>
      <w:tr w:rsidR="007B3931" w:rsidRPr="00194B98" w14:paraId="3B830EEE" w14:textId="77777777" w:rsidTr="007B3931">
        <w:tc>
          <w:tcPr>
            <w:tcW w:w="2681" w:type="dxa"/>
          </w:tcPr>
          <w:p w14:paraId="77469FD7" w14:textId="77777777" w:rsidR="007B3931" w:rsidRPr="004C1E44" w:rsidRDefault="007B3931" w:rsidP="00D3615D">
            <w:pPr>
              <w:spacing w:after="120"/>
              <w:rPr>
                <w:rFonts w:ascii="Calibri" w:eastAsia="Calibri" w:hAnsi="Calibri" w:cs="Times New Roman"/>
                <w:b/>
                <w:bCs/>
                <w:lang w:val="en" w:eastAsia="en-AU"/>
              </w:rPr>
            </w:pPr>
            <w:r w:rsidRPr="004C1E44">
              <w:rPr>
                <w:rFonts w:ascii="Calibri" w:eastAsia="Calibri" w:hAnsi="Calibri"/>
                <w:b/>
                <w:bCs/>
                <w:lang w:val="en"/>
              </w:rPr>
              <w:t>Net assets</w:t>
            </w:r>
          </w:p>
        </w:tc>
        <w:tc>
          <w:tcPr>
            <w:tcW w:w="4266" w:type="dxa"/>
          </w:tcPr>
          <w:p w14:paraId="18F716B1" w14:textId="3594A9E6" w:rsidR="007B3931" w:rsidRPr="00D3615D" w:rsidRDefault="007B3931" w:rsidP="00D3615D">
            <w:pPr>
              <w:spacing w:after="120"/>
              <w:rPr>
                <w:rFonts w:ascii="Calibri" w:eastAsia="Calibri" w:hAnsi="Calibri" w:cs="Times New Roman"/>
                <w:lang w:val="en" w:eastAsia="en-AU"/>
              </w:rPr>
            </w:pPr>
          </w:p>
        </w:tc>
        <w:tc>
          <w:tcPr>
            <w:tcW w:w="3316" w:type="dxa"/>
          </w:tcPr>
          <w:p w14:paraId="5A2E4111" w14:textId="119F0383" w:rsidR="007B3931" w:rsidRPr="00D3615D" w:rsidRDefault="007B3931" w:rsidP="00D3615D">
            <w:pPr>
              <w:spacing w:after="120"/>
              <w:rPr>
                <w:rFonts w:ascii="Calibri" w:eastAsia="Calibri" w:hAnsi="Calibri" w:cs="Times New Roman"/>
                <w:lang w:val="en" w:eastAsia="en-AU"/>
              </w:rPr>
            </w:pPr>
          </w:p>
        </w:tc>
      </w:tr>
    </w:tbl>
    <w:p w14:paraId="50065BB2" w14:textId="178C68A7" w:rsidR="007B3931" w:rsidRPr="00D3615D" w:rsidRDefault="007B3931" w:rsidP="00D3615D">
      <w:pPr>
        <w:keepNext/>
        <w:spacing w:before="240" w:after="120"/>
        <w:outlineLvl w:val="3"/>
        <w:rPr>
          <w:rFonts w:ascii="Calibri" w:hAnsi="Calibri" w:cs="Helvetica"/>
          <w:b/>
          <w:sz w:val="24"/>
          <w:szCs w:val="24"/>
          <w:lang w:val="en"/>
        </w:rPr>
      </w:pPr>
      <w:r w:rsidRPr="00D3615D">
        <w:rPr>
          <w:rFonts w:ascii="Calibri" w:hAnsi="Calibri" w:cs="Helvetica"/>
          <w:b/>
          <w:sz w:val="24"/>
          <w:szCs w:val="24"/>
          <w:lang w:val="en"/>
        </w:rPr>
        <w:t>Equity</w:t>
      </w:r>
    </w:p>
    <w:tbl>
      <w:tblPr>
        <w:tblStyle w:val="TableGrid7"/>
        <w:tblW w:w="12940" w:type="dxa"/>
        <w:tblLook w:val="04A0" w:firstRow="1" w:lastRow="0" w:firstColumn="1" w:lastColumn="0" w:noHBand="0" w:noVBand="1"/>
      </w:tblPr>
      <w:tblGrid>
        <w:gridCol w:w="5009"/>
        <w:gridCol w:w="4458"/>
        <w:gridCol w:w="3473"/>
      </w:tblGrid>
      <w:tr w:rsidR="007B3931" w:rsidRPr="00C31440" w14:paraId="11F4327D" w14:textId="77777777" w:rsidTr="007B3931">
        <w:tc>
          <w:tcPr>
            <w:tcW w:w="4792" w:type="dxa"/>
            <w:tcBorders>
              <w:top w:val="single" w:sz="4" w:space="0" w:color="auto"/>
              <w:left w:val="single" w:sz="4" w:space="0" w:color="auto"/>
            </w:tcBorders>
            <w:shd w:val="clear" w:color="auto" w:fill="0070C0"/>
          </w:tcPr>
          <w:p w14:paraId="51A12797" w14:textId="77777777" w:rsidR="007B3931" w:rsidRPr="00C31440" w:rsidRDefault="007B3931" w:rsidP="00D3615D">
            <w:pPr>
              <w:spacing w:before="40" w:after="120"/>
              <w:rPr>
                <w:rFonts w:ascii="Calibri" w:eastAsia="Calibri" w:hAnsi="Calibri" w:cs="Times New Roman"/>
                <w:b/>
                <w:color w:val="FFFFFF"/>
                <w:lang w:val="en" w:eastAsia="en-AU"/>
              </w:rPr>
            </w:pPr>
            <w:r w:rsidRPr="00C31440">
              <w:rPr>
                <w:rFonts w:ascii="Calibri" w:eastAsia="Calibri" w:hAnsi="Calibri" w:cs="Times New Roman"/>
                <w:b/>
                <w:color w:val="FFFFFF"/>
                <w:lang w:val="en" w:eastAsia="en-AU"/>
              </w:rPr>
              <w:t>Equity</w:t>
            </w:r>
          </w:p>
        </w:tc>
        <w:tc>
          <w:tcPr>
            <w:tcW w:w="4264" w:type="dxa"/>
            <w:tcBorders>
              <w:top w:val="single" w:sz="4" w:space="0" w:color="auto"/>
            </w:tcBorders>
            <w:shd w:val="clear" w:color="auto" w:fill="0070C0"/>
          </w:tcPr>
          <w:p w14:paraId="2E78B6EE" w14:textId="77777777" w:rsidR="007B3931" w:rsidRPr="00C31440" w:rsidRDefault="007B3931" w:rsidP="00D3615D">
            <w:pPr>
              <w:spacing w:before="40" w:after="120"/>
              <w:rPr>
                <w:rFonts w:ascii="Calibri" w:eastAsia="Calibri" w:hAnsi="Calibri" w:cs="Times New Roman"/>
                <w:b/>
                <w:color w:val="FFFFFF"/>
                <w:lang w:val="en" w:eastAsia="en-AU"/>
              </w:rPr>
            </w:pPr>
            <w:r w:rsidRPr="00C31440">
              <w:rPr>
                <w:rFonts w:ascii="Calibri" w:eastAsia="Calibri" w:hAnsi="Calibri" w:cs="Times New Roman"/>
                <w:b/>
                <w:color w:val="FFFFFF"/>
                <w:lang w:val="en" w:eastAsia="en-AU"/>
              </w:rPr>
              <w:t>Current</w:t>
            </w:r>
          </w:p>
        </w:tc>
        <w:tc>
          <w:tcPr>
            <w:tcW w:w="3322" w:type="dxa"/>
            <w:tcBorders>
              <w:top w:val="single" w:sz="4" w:space="0" w:color="auto"/>
            </w:tcBorders>
            <w:shd w:val="clear" w:color="auto" w:fill="0070C0"/>
          </w:tcPr>
          <w:p w14:paraId="680E9197" w14:textId="77777777" w:rsidR="007B3931" w:rsidRPr="00C31440" w:rsidRDefault="007B3931" w:rsidP="00D3615D">
            <w:pPr>
              <w:spacing w:before="40" w:after="120"/>
              <w:rPr>
                <w:rFonts w:ascii="Calibri" w:eastAsia="Calibri" w:hAnsi="Calibri" w:cs="Times New Roman"/>
                <w:b/>
                <w:color w:val="FFFFFF"/>
                <w:lang w:val="en" w:eastAsia="en-AU"/>
              </w:rPr>
            </w:pPr>
            <w:r w:rsidRPr="00C31440">
              <w:rPr>
                <w:rFonts w:ascii="Calibri" w:eastAsia="Calibri" w:hAnsi="Calibri" w:cs="Times New Roman"/>
                <w:b/>
                <w:color w:val="FFFFFF"/>
                <w:lang w:val="en" w:eastAsia="en-AU"/>
              </w:rPr>
              <w:t>Prior</w:t>
            </w:r>
          </w:p>
        </w:tc>
      </w:tr>
      <w:tr w:rsidR="007B3931" w:rsidRPr="00C31440" w14:paraId="3E5A7A27" w14:textId="77777777" w:rsidTr="007B3931">
        <w:tc>
          <w:tcPr>
            <w:tcW w:w="4792" w:type="dxa"/>
            <w:tcBorders>
              <w:left w:val="single" w:sz="4" w:space="0" w:color="auto"/>
            </w:tcBorders>
          </w:tcPr>
          <w:p w14:paraId="604196B6" w14:textId="77777777" w:rsidR="007B3931" w:rsidRPr="00C31440" w:rsidRDefault="007B3931"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Ordinary issued and paid up shares</w:t>
            </w:r>
          </w:p>
        </w:tc>
        <w:tc>
          <w:tcPr>
            <w:tcW w:w="4264" w:type="dxa"/>
          </w:tcPr>
          <w:p w14:paraId="4F3FB1E3" w14:textId="65375E5A" w:rsidR="007B3931" w:rsidRPr="00C31440" w:rsidRDefault="007B3931" w:rsidP="00D3615D">
            <w:pPr>
              <w:spacing w:after="120"/>
              <w:rPr>
                <w:rFonts w:ascii="Calibri" w:eastAsia="Calibri" w:hAnsi="Calibri" w:cs="Times New Roman"/>
              </w:rPr>
            </w:pPr>
          </w:p>
        </w:tc>
        <w:tc>
          <w:tcPr>
            <w:tcW w:w="3322" w:type="dxa"/>
          </w:tcPr>
          <w:p w14:paraId="59982F46" w14:textId="33BC989C" w:rsidR="007B3931" w:rsidRPr="00C31440" w:rsidRDefault="007B3931" w:rsidP="00D3615D">
            <w:pPr>
              <w:spacing w:after="120"/>
              <w:rPr>
                <w:rFonts w:ascii="Calibri" w:eastAsia="Calibri" w:hAnsi="Calibri" w:cs="Times New Roman"/>
                <w:lang w:val="en" w:eastAsia="en-AU"/>
              </w:rPr>
            </w:pPr>
          </w:p>
        </w:tc>
      </w:tr>
      <w:tr w:rsidR="007B3931" w:rsidRPr="00C31440" w14:paraId="49392E42" w14:textId="77777777" w:rsidTr="007B3931">
        <w:tc>
          <w:tcPr>
            <w:tcW w:w="4792" w:type="dxa"/>
            <w:tcBorders>
              <w:left w:val="single" w:sz="4" w:space="0" w:color="auto"/>
            </w:tcBorders>
          </w:tcPr>
          <w:p w14:paraId="300D0F53" w14:textId="77777777" w:rsidR="007B3931" w:rsidRPr="00C31440" w:rsidRDefault="007B3931"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Non</w:t>
            </w:r>
            <w:r>
              <w:rPr>
                <w:rFonts w:ascii="Calibri" w:eastAsia="Calibri" w:hAnsi="Calibri" w:cs="Times New Roman"/>
                <w:lang w:val="en" w:eastAsia="en-AU"/>
              </w:rPr>
              <w:t>-</w:t>
            </w:r>
            <w:r w:rsidRPr="00C31440">
              <w:rPr>
                <w:rFonts w:ascii="Calibri" w:eastAsia="Calibri" w:hAnsi="Calibri" w:cs="Times New Roman"/>
                <w:lang w:val="en" w:eastAsia="en-AU"/>
              </w:rPr>
              <w:t xml:space="preserve">cumulative </w:t>
            </w:r>
            <w:r>
              <w:rPr>
                <w:rFonts w:ascii="Calibri" w:eastAsia="Calibri" w:hAnsi="Calibri" w:cs="Times New Roman"/>
                <w:lang w:val="en" w:eastAsia="en-AU"/>
              </w:rPr>
              <w:t>P</w:t>
            </w:r>
            <w:r w:rsidRPr="00C31440">
              <w:rPr>
                <w:rFonts w:ascii="Calibri" w:eastAsia="Calibri" w:hAnsi="Calibri" w:cs="Times New Roman"/>
                <w:lang w:val="en" w:eastAsia="en-AU"/>
              </w:rPr>
              <w:t xml:space="preserve">reference </w:t>
            </w:r>
            <w:r>
              <w:rPr>
                <w:rFonts w:ascii="Calibri" w:eastAsia="Calibri" w:hAnsi="Calibri" w:cs="Times New Roman"/>
                <w:lang w:val="en" w:eastAsia="en-AU"/>
              </w:rPr>
              <w:t>S</w:t>
            </w:r>
            <w:r w:rsidRPr="00C31440">
              <w:rPr>
                <w:rFonts w:ascii="Calibri" w:eastAsia="Calibri" w:hAnsi="Calibri" w:cs="Times New Roman"/>
                <w:lang w:val="en" w:eastAsia="en-AU"/>
              </w:rPr>
              <w:t>hares</w:t>
            </w:r>
          </w:p>
        </w:tc>
        <w:tc>
          <w:tcPr>
            <w:tcW w:w="4264" w:type="dxa"/>
          </w:tcPr>
          <w:p w14:paraId="00119EE0" w14:textId="5CA7E824" w:rsidR="007B3931" w:rsidRPr="00C31440" w:rsidRDefault="007B3931" w:rsidP="00D3615D">
            <w:pPr>
              <w:spacing w:after="120"/>
              <w:rPr>
                <w:rFonts w:ascii="Calibri" w:eastAsia="Calibri" w:hAnsi="Calibri" w:cs="Times New Roman"/>
                <w:noProof/>
              </w:rPr>
            </w:pPr>
          </w:p>
        </w:tc>
        <w:tc>
          <w:tcPr>
            <w:tcW w:w="3322" w:type="dxa"/>
          </w:tcPr>
          <w:p w14:paraId="3F08A1EF" w14:textId="182BA00E" w:rsidR="007B3931" w:rsidRPr="00C31440" w:rsidRDefault="007B3931" w:rsidP="00D3615D">
            <w:pPr>
              <w:spacing w:after="120"/>
              <w:rPr>
                <w:rFonts w:ascii="Calibri" w:eastAsia="Calibri" w:hAnsi="Calibri" w:cs="Times New Roman"/>
              </w:rPr>
            </w:pPr>
          </w:p>
        </w:tc>
      </w:tr>
      <w:tr w:rsidR="007B3931" w:rsidRPr="00194B98" w14:paraId="40BE23DD" w14:textId="77777777" w:rsidTr="00D3615D">
        <w:trPr>
          <w:trHeight w:val="349"/>
        </w:trPr>
        <w:tc>
          <w:tcPr>
            <w:tcW w:w="4792" w:type="dxa"/>
            <w:tcBorders>
              <w:left w:val="single" w:sz="4" w:space="0" w:color="auto"/>
            </w:tcBorders>
          </w:tcPr>
          <w:p w14:paraId="31B078B0" w14:textId="77777777" w:rsidR="007B3931" w:rsidRPr="00D3615D" w:rsidRDefault="007B3931"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Cumulative Preference Shares</w:t>
            </w:r>
          </w:p>
        </w:tc>
        <w:tc>
          <w:tcPr>
            <w:tcW w:w="4264" w:type="dxa"/>
          </w:tcPr>
          <w:p w14:paraId="5A12C231" w14:textId="74893262" w:rsidR="007B3931" w:rsidRPr="00D3615D" w:rsidRDefault="007B3931" w:rsidP="00D3615D">
            <w:pPr>
              <w:spacing w:after="120"/>
              <w:rPr>
                <w:rFonts w:ascii="Calibri" w:eastAsia="Calibri" w:hAnsi="Calibri" w:cs="Times New Roman"/>
                <w:lang w:val="en" w:eastAsia="en-AU"/>
              </w:rPr>
            </w:pPr>
          </w:p>
        </w:tc>
        <w:tc>
          <w:tcPr>
            <w:tcW w:w="3322" w:type="dxa"/>
          </w:tcPr>
          <w:p w14:paraId="1CB0ABDE" w14:textId="3081899E" w:rsidR="007B3931" w:rsidRPr="00C31440" w:rsidRDefault="007B3931" w:rsidP="00D3615D">
            <w:pPr>
              <w:spacing w:after="120"/>
              <w:rPr>
                <w:rFonts w:ascii="Calibri" w:eastAsia="Calibri" w:hAnsi="Calibri" w:cs="Times New Roman"/>
                <w:lang w:val="en" w:eastAsia="en-AU"/>
              </w:rPr>
            </w:pPr>
          </w:p>
        </w:tc>
      </w:tr>
      <w:tr w:rsidR="007B3931" w:rsidRPr="00C31440" w14:paraId="51A2148D" w14:textId="77777777" w:rsidTr="007B3931">
        <w:tc>
          <w:tcPr>
            <w:tcW w:w="4792" w:type="dxa"/>
            <w:tcBorders>
              <w:left w:val="single" w:sz="4" w:space="0" w:color="auto"/>
            </w:tcBorders>
          </w:tcPr>
          <w:p w14:paraId="5972A24F" w14:textId="77777777" w:rsidR="007B3931" w:rsidRPr="00C31440" w:rsidRDefault="007B3931" w:rsidP="00D3615D">
            <w:pPr>
              <w:spacing w:after="120"/>
              <w:rPr>
                <w:rFonts w:ascii="Calibri" w:eastAsia="Calibri" w:hAnsi="Calibri" w:cs="Times New Roman"/>
                <w:vertAlign w:val="superscript"/>
                <w:lang w:val="en" w:eastAsia="en-AU"/>
              </w:rPr>
            </w:pPr>
            <w:r w:rsidRPr="00C31440">
              <w:rPr>
                <w:rFonts w:ascii="Calibri" w:eastAsia="Calibri" w:hAnsi="Calibri" w:cs="Times New Roman"/>
                <w:lang w:val="en" w:eastAsia="en-AU"/>
              </w:rPr>
              <w:t xml:space="preserve">Other </w:t>
            </w:r>
          </w:p>
        </w:tc>
        <w:tc>
          <w:tcPr>
            <w:tcW w:w="4264" w:type="dxa"/>
          </w:tcPr>
          <w:p w14:paraId="1DC9A66A" w14:textId="20DD2AB6" w:rsidR="007B3931" w:rsidRPr="00C31440" w:rsidRDefault="007B3931" w:rsidP="00D3615D">
            <w:pPr>
              <w:spacing w:after="120"/>
              <w:rPr>
                <w:rFonts w:ascii="Calibri" w:eastAsia="Calibri" w:hAnsi="Calibri" w:cs="Times New Roman"/>
                <w:noProof/>
              </w:rPr>
            </w:pPr>
          </w:p>
        </w:tc>
        <w:tc>
          <w:tcPr>
            <w:tcW w:w="3322" w:type="dxa"/>
          </w:tcPr>
          <w:p w14:paraId="5C01F1B2" w14:textId="4E5EDE73" w:rsidR="007B3931" w:rsidRPr="00C31440" w:rsidRDefault="007B3931" w:rsidP="00D3615D">
            <w:pPr>
              <w:spacing w:after="120"/>
              <w:rPr>
                <w:rFonts w:ascii="Calibri" w:eastAsia="Calibri" w:hAnsi="Calibri" w:cs="Times New Roman"/>
                <w:lang w:val="en" w:eastAsia="en-AU"/>
              </w:rPr>
            </w:pPr>
          </w:p>
        </w:tc>
      </w:tr>
      <w:tr w:rsidR="007B3931" w:rsidRPr="00C31440" w14:paraId="6F00681E" w14:textId="77777777" w:rsidTr="007B3931">
        <w:tc>
          <w:tcPr>
            <w:tcW w:w="4792" w:type="dxa"/>
            <w:tcBorders>
              <w:left w:val="single" w:sz="4" w:space="0" w:color="auto"/>
            </w:tcBorders>
          </w:tcPr>
          <w:p w14:paraId="51FB4BB9" w14:textId="77777777" w:rsidR="007B3931" w:rsidRPr="00C31440" w:rsidRDefault="007B3931" w:rsidP="00D3615D">
            <w:pPr>
              <w:spacing w:after="120"/>
              <w:rPr>
                <w:rFonts w:ascii="Calibri" w:eastAsia="Calibri" w:hAnsi="Calibri" w:cs="Times New Roman"/>
                <w:b/>
                <w:lang w:val="en" w:eastAsia="en-AU"/>
              </w:rPr>
            </w:pPr>
            <w:r w:rsidRPr="00C31440">
              <w:rPr>
                <w:rFonts w:ascii="Calibri" w:eastAsia="Calibri" w:hAnsi="Calibri" w:cs="Times New Roman"/>
                <w:b/>
                <w:lang w:val="en" w:eastAsia="en-AU"/>
              </w:rPr>
              <w:t>Total equity</w:t>
            </w:r>
          </w:p>
        </w:tc>
        <w:tc>
          <w:tcPr>
            <w:tcW w:w="4264" w:type="dxa"/>
          </w:tcPr>
          <w:p w14:paraId="3094E4A1" w14:textId="1ACF3EB2" w:rsidR="007B3931" w:rsidRPr="00C31440" w:rsidRDefault="007B3931" w:rsidP="00D3615D">
            <w:pPr>
              <w:spacing w:after="120"/>
              <w:rPr>
                <w:rFonts w:ascii="Calibri" w:eastAsia="Calibri" w:hAnsi="Calibri" w:cs="Times New Roman"/>
                <w:b/>
                <w:bCs/>
                <w:i/>
                <w:iCs/>
                <w:color w:val="8064A2"/>
              </w:rPr>
            </w:pPr>
          </w:p>
        </w:tc>
        <w:tc>
          <w:tcPr>
            <w:tcW w:w="3322" w:type="dxa"/>
          </w:tcPr>
          <w:p w14:paraId="20EAE92F" w14:textId="54667AF5" w:rsidR="007B3931" w:rsidRPr="00C31440" w:rsidRDefault="007B3931" w:rsidP="00D3615D">
            <w:pPr>
              <w:spacing w:after="120"/>
              <w:rPr>
                <w:rFonts w:ascii="Calibri" w:eastAsia="Calibri" w:hAnsi="Calibri" w:cs="Times New Roman"/>
                <w:lang w:val="en" w:eastAsia="en-AU"/>
              </w:rPr>
            </w:pPr>
          </w:p>
        </w:tc>
      </w:tr>
    </w:tbl>
    <w:p w14:paraId="03ABFA07" w14:textId="7F9E47A6" w:rsidR="007B3931" w:rsidRDefault="007B3931" w:rsidP="00930407">
      <w:pPr>
        <w:spacing w:after="200" w:line="276" w:lineRule="auto"/>
        <w:contextualSpacing/>
        <w:rPr>
          <w:rFonts w:ascii="Calibri" w:hAnsi="Calibri"/>
          <w:color w:val="000000"/>
        </w:rPr>
      </w:pPr>
    </w:p>
    <w:p w14:paraId="762FA283" w14:textId="324F30D8" w:rsidR="007B3931" w:rsidRPr="00D3615D" w:rsidRDefault="009E5009" w:rsidP="00D3615D">
      <w:pPr>
        <w:keepNext/>
        <w:spacing w:before="240" w:after="120"/>
        <w:outlineLvl w:val="3"/>
        <w:rPr>
          <w:rFonts w:ascii="Calibri" w:hAnsi="Calibri" w:cs="Helvetica"/>
          <w:b/>
          <w:sz w:val="24"/>
          <w:szCs w:val="24"/>
          <w:lang w:val="en"/>
        </w:rPr>
      </w:pPr>
      <w:r w:rsidRPr="00D3615D">
        <w:rPr>
          <w:rFonts w:ascii="Calibri" w:hAnsi="Calibri" w:cs="Helvetica"/>
          <w:b/>
          <w:sz w:val="24"/>
          <w:szCs w:val="24"/>
          <w:lang w:val="en"/>
        </w:rPr>
        <w:lastRenderedPageBreak/>
        <w:t xml:space="preserve">Current </w:t>
      </w:r>
      <w:r w:rsidR="007B3931" w:rsidRPr="00D3615D">
        <w:rPr>
          <w:rFonts w:ascii="Calibri" w:hAnsi="Calibri" w:cs="Helvetica"/>
          <w:b/>
          <w:sz w:val="24"/>
          <w:szCs w:val="24"/>
          <w:lang w:val="en"/>
        </w:rPr>
        <w:t>Reserves</w:t>
      </w:r>
    </w:p>
    <w:tbl>
      <w:tblPr>
        <w:tblStyle w:val="TableGrid7"/>
        <w:tblW w:w="12940" w:type="dxa"/>
        <w:tblLook w:val="04A0" w:firstRow="1" w:lastRow="0" w:firstColumn="1" w:lastColumn="0" w:noHBand="0" w:noVBand="1"/>
      </w:tblPr>
      <w:tblGrid>
        <w:gridCol w:w="5009"/>
        <w:gridCol w:w="4458"/>
        <w:gridCol w:w="3473"/>
      </w:tblGrid>
      <w:tr w:rsidR="007B3931" w:rsidRPr="00194B98" w14:paraId="582615F0" w14:textId="77777777" w:rsidTr="007B3931">
        <w:tc>
          <w:tcPr>
            <w:tcW w:w="5009" w:type="dxa"/>
            <w:tcBorders>
              <w:top w:val="single" w:sz="4" w:space="0" w:color="auto"/>
              <w:left w:val="single" w:sz="4" w:space="0" w:color="auto"/>
            </w:tcBorders>
            <w:shd w:val="clear" w:color="auto" w:fill="0070C0"/>
          </w:tcPr>
          <w:p w14:paraId="62294BB5" w14:textId="77777777" w:rsidR="007B3931" w:rsidRPr="00C31440" w:rsidRDefault="007B3931" w:rsidP="00D3615D">
            <w:pPr>
              <w:spacing w:before="40" w:after="120"/>
              <w:rPr>
                <w:rFonts w:ascii="Calibri" w:eastAsia="Calibri" w:hAnsi="Calibri" w:cs="Times New Roman"/>
                <w:b/>
                <w:color w:val="FFFFFF"/>
                <w:lang w:val="en" w:eastAsia="en-AU"/>
              </w:rPr>
            </w:pPr>
            <w:r w:rsidRPr="00C31440">
              <w:rPr>
                <w:rFonts w:ascii="Calibri" w:eastAsia="Calibri" w:hAnsi="Calibri" w:cs="Times New Roman"/>
                <w:b/>
                <w:color w:val="FFFFFF"/>
                <w:lang w:val="en" w:eastAsia="en-AU"/>
              </w:rPr>
              <w:t>Reserves</w:t>
            </w:r>
          </w:p>
        </w:tc>
        <w:tc>
          <w:tcPr>
            <w:tcW w:w="4458" w:type="dxa"/>
            <w:tcBorders>
              <w:top w:val="single" w:sz="4" w:space="0" w:color="auto"/>
            </w:tcBorders>
            <w:shd w:val="clear" w:color="auto" w:fill="0070C0"/>
          </w:tcPr>
          <w:p w14:paraId="654A3FA2" w14:textId="77777777" w:rsidR="007B3931" w:rsidRPr="00C31440" w:rsidRDefault="007B3931" w:rsidP="00D3615D">
            <w:pPr>
              <w:spacing w:before="40" w:after="120"/>
              <w:rPr>
                <w:rFonts w:ascii="Calibri" w:eastAsia="Calibri" w:hAnsi="Calibri" w:cs="Times New Roman"/>
                <w:b/>
                <w:color w:val="FFFFFF"/>
                <w:lang w:val="en" w:eastAsia="en-AU"/>
              </w:rPr>
            </w:pPr>
            <w:r w:rsidRPr="00C31440">
              <w:rPr>
                <w:rFonts w:ascii="Calibri" w:eastAsia="Calibri" w:hAnsi="Calibri" w:cs="Times New Roman"/>
                <w:b/>
                <w:color w:val="FFFFFF"/>
                <w:lang w:val="en" w:eastAsia="en-AU"/>
              </w:rPr>
              <w:t>Current</w:t>
            </w:r>
          </w:p>
        </w:tc>
        <w:tc>
          <w:tcPr>
            <w:tcW w:w="3473" w:type="dxa"/>
            <w:tcBorders>
              <w:top w:val="single" w:sz="4" w:space="0" w:color="auto"/>
            </w:tcBorders>
            <w:shd w:val="clear" w:color="auto" w:fill="0070C0"/>
          </w:tcPr>
          <w:p w14:paraId="6C7824BB" w14:textId="77777777" w:rsidR="007B3931" w:rsidRPr="00C31440" w:rsidRDefault="007B3931" w:rsidP="00D3615D">
            <w:pPr>
              <w:spacing w:before="40" w:after="120"/>
              <w:rPr>
                <w:rFonts w:ascii="Calibri" w:eastAsia="Calibri" w:hAnsi="Calibri" w:cs="Times New Roman"/>
                <w:b/>
                <w:color w:val="FFFFFF"/>
                <w:lang w:val="en" w:eastAsia="en-AU"/>
              </w:rPr>
            </w:pPr>
            <w:r w:rsidRPr="00C31440">
              <w:rPr>
                <w:rFonts w:ascii="Calibri" w:eastAsia="Calibri" w:hAnsi="Calibri" w:cs="Times New Roman"/>
                <w:b/>
                <w:color w:val="FFFFFF"/>
                <w:lang w:val="en" w:eastAsia="en-AU"/>
              </w:rPr>
              <w:t>Prior</w:t>
            </w:r>
          </w:p>
        </w:tc>
      </w:tr>
      <w:tr w:rsidR="007B3931" w:rsidRPr="00C31440" w14:paraId="19F0EDD0" w14:textId="77777777" w:rsidTr="007B3931">
        <w:tc>
          <w:tcPr>
            <w:tcW w:w="5009" w:type="dxa"/>
            <w:tcBorders>
              <w:left w:val="single" w:sz="4" w:space="0" w:color="auto"/>
            </w:tcBorders>
          </w:tcPr>
          <w:p w14:paraId="482489B4" w14:textId="77777777" w:rsidR="007B3931" w:rsidRPr="00C31440" w:rsidRDefault="007B3931"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 xml:space="preserve">Revaluation </w:t>
            </w:r>
            <w:r>
              <w:rPr>
                <w:rFonts w:ascii="Calibri" w:eastAsia="Calibri" w:hAnsi="Calibri" w:cs="Times New Roman"/>
                <w:lang w:val="en" w:eastAsia="en-AU"/>
              </w:rPr>
              <w:t>r</w:t>
            </w:r>
            <w:r w:rsidRPr="00C31440">
              <w:rPr>
                <w:rFonts w:ascii="Calibri" w:eastAsia="Calibri" w:hAnsi="Calibri" w:cs="Times New Roman"/>
                <w:lang w:val="en" w:eastAsia="en-AU"/>
              </w:rPr>
              <w:t>eserves</w:t>
            </w:r>
          </w:p>
        </w:tc>
        <w:tc>
          <w:tcPr>
            <w:tcW w:w="4458" w:type="dxa"/>
          </w:tcPr>
          <w:p w14:paraId="3CC39F59" w14:textId="7F37DE79" w:rsidR="007B3931" w:rsidRPr="00C31440" w:rsidRDefault="007B3931" w:rsidP="00D3615D">
            <w:pPr>
              <w:spacing w:after="120"/>
              <w:rPr>
                <w:rFonts w:ascii="Calibri" w:eastAsia="Calibri" w:hAnsi="Calibri" w:cs="Times New Roman"/>
                <w:lang w:val="en" w:eastAsia="en-AU"/>
              </w:rPr>
            </w:pPr>
          </w:p>
        </w:tc>
        <w:tc>
          <w:tcPr>
            <w:tcW w:w="3473" w:type="dxa"/>
          </w:tcPr>
          <w:p w14:paraId="37C4F4D2" w14:textId="6979A277" w:rsidR="007B3931" w:rsidRPr="00C31440" w:rsidRDefault="007B3931" w:rsidP="00D3615D">
            <w:pPr>
              <w:spacing w:after="120"/>
              <w:rPr>
                <w:rFonts w:ascii="Calibri" w:eastAsia="Calibri" w:hAnsi="Calibri" w:cs="Times New Roman"/>
                <w:lang w:val="en" w:eastAsia="en-AU"/>
              </w:rPr>
            </w:pPr>
          </w:p>
        </w:tc>
      </w:tr>
      <w:tr w:rsidR="007B3931" w:rsidRPr="00C31440" w14:paraId="4DF724AE" w14:textId="77777777" w:rsidTr="007B3931">
        <w:tc>
          <w:tcPr>
            <w:tcW w:w="5009" w:type="dxa"/>
            <w:tcBorders>
              <w:left w:val="single" w:sz="4" w:space="0" w:color="auto"/>
            </w:tcBorders>
          </w:tcPr>
          <w:p w14:paraId="4AE01004" w14:textId="77777777" w:rsidR="007B3931" w:rsidRPr="00C31440" w:rsidRDefault="007B3931"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 xml:space="preserve">Other reserves </w:t>
            </w:r>
            <w:r w:rsidRPr="00C31440">
              <w:rPr>
                <w:rFonts w:ascii="Calibri" w:eastAsia="Calibri" w:hAnsi="Calibri" w:cs="Times New Roman"/>
                <w:vertAlign w:val="superscript"/>
                <w:lang w:val="en" w:eastAsia="en-AU"/>
              </w:rPr>
              <w:t>1</w:t>
            </w:r>
          </w:p>
        </w:tc>
        <w:tc>
          <w:tcPr>
            <w:tcW w:w="4458" w:type="dxa"/>
          </w:tcPr>
          <w:p w14:paraId="10D33FEC" w14:textId="611391C8" w:rsidR="007B3931" w:rsidRPr="00C31440" w:rsidRDefault="007B3931" w:rsidP="00D3615D">
            <w:pPr>
              <w:spacing w:after="120"/>
              <w:rPr>
                <w:rFonts w:ascii="Calibri" w:eastAsia="Calibri" w:hAnsi="Calibri" w:cs="Times New Roman"/>
                <w:noProof/>
              </w:rPr>
            </w:pPr>
          </w:p>
        </w:tc>
        <w:tc>
          <w:tcPr>
            <w:tcW w:w="3473" w:type="dxa"/>
          </w:tcPr>
          <w:p w14:paraId="13480BBE" w14:textId="1D5ECB02" w:rsidR="007B3931" w:rsidRPr="00C31440" w:rsidRDefault="007B3931" w:rsidP="00D3615D">
            <w:pPr>
              <w:spacing w:after="120"/>
              <w:rPr>
                <w:rFonts w:ascii="Calibri" w:eastAsia="Calibri" w:hAnsi="Calibri" w:cs="Times New Roman"/>
              </w:rPr>
            </w:pPr>
          </w:p>
        </w:tc>
      </w:tr>
      <w:tr w:rsidR="007B3931" w:rsidRPr="00C31440" w14:paraId="756DF9B0" w14:textId="77777777" w:rsidTr="007B3931">
        <w:tc>
          <w:tcPr>
            <w:tcW w:w="5009" w:type="dxa"/>
            <w:tcBorders>
              <w:left w:val="single" w:sz="4" w:space="0" w:color="auto"/>
            </w:tcBorders>
          </w:tcPr>
          <w:p w14:paraId="1D470AF1" w14:textId="77777777" w:rsidR="007B3931" w:rsidRPr="00C31440" w:rsidRDefault="007B3931" w:rsidP="00D3615D">
            <w:pPr>
              <w:spacing w:after="120"/>
              <w:rPr>
                <w:rFonts w:ascii="Calibri" w:eastAsia="Calibri" w:hAnsi="Calibri" w:cs="Times New Roman"/>
                <w:b/>
                <w:vertAlign w:val="superscript"/>
                <w:lang w:val="en" w:eastAsia="en-AU"/>
              </w:rPr>
            </w:pPr>
            <w:r w:rsidRPr="00C31440">
              <w:rPr>
                <w:rFonts w:ascii="Calibri" w:eastAsia="Calibri" w:hAnsi="Calibri" w:cs="Times New Roman"/>
                <w:b/>
                <w:lang w:val="en" w:eastAsia="en-AU"/>
              </w:rPr>
              <w:t>Total reserves</w:t>
            </w:r>
          </w:p>
        </w:tc>
        <w:tc>
          <w:tcPr>
            <w:tcW w:w="4458" w:type="dxa"/>
          </w:tcPr>
          <w:p w14:paraId="245C92A7" w14:textId="437DAD07" w:rsidR="007B3931" w:rsidRPr="00C31440" w:rsidRDefault="007B3931" w:rsidP="00D3615D">
            <w:pPr>
              <w:spacing w:after="120"/>
              <w:rPr>
                <w:rFonts w:ascii="Calibri" w:eastAsia="Calibri" w:hAnsi="Calibri" w:cs="Times New Roman"/>
                <w:b/>
                <w:noProof/>
              </w:rPr>
            </w:pPr>
          </w:p>
        </w:tc>
        <w:tc>
          <w:tcPr>
            <w:tcW w:w="3473" w:type="dxa"/>
          </w:tcPr>
          <w:p w14:paraId="63C77204" w14:textId="2E0A7F66" w:rsidR="007B3931" w:rsidRPr="00C31440" w:rsidRDefault="007B3931" w:rsidP="00D3615D">
            <w:pPr>
              <w:spacing w:after="120"/>
              <w:rPr>
                <w:rFonts w:ascii="Calibri" w:eastAsia="Calibri" w:hAnsi="Calibri" w:cs="Times New Roman"/>
                <w:b/>
                <w:lang w:val="en" w:eastAsia="en-AU"/>
              </w:rPr>
            </w:pPr>
          </w:p>
        </w:tc>
      </w:tr>
    </w:tbl>
    <w:p w14:paraId="1EAFBBE0" w14:textId="57B13527" w:rsidR="007B3931" w:rsidRPr="00C31440" w:rsidRDefault="007B3931" w:rsidP="00930407">
      <w:pPr>
        <w:spacing w:after="0"/>
        <w:rPr>
          <w:rFonts w:ascii="Calibri" w:eastAsia="Calibri" w:hAnsi="Calibri"/>
        </w:rPr>
      </w:pPr>
      <w:r w:rsidRPr="00C31440">
        <w:rPr>
          <w:rFonts w:ascii="Calibri" w:eastAsia="Calibri" w:hAnsi="Calibri"/>
        </w:rPr>
        <w:t>1. Includes those revaluation reserves eligible for inclusion in Core Capital.</w:t>
      </w:r>
    </w:p>
    <w:p w14:paraId="09A98A03" w14:textId="79352DAC" w:rsidR="003A1BE7" w:rsidRPr="00D3615D" w:rsidRDefault="007B3931" w:rsidP="00D3615D">
      <w:pPr>
        <w:keepNext/>
        <w:spacing w:before="240" w:after="120"/>
        <w:outlineLvl w:val="3"/>
        <w:rPr>
          <w:rFonts w:ascii="Calibri" w:hAnsi="Calibri" w:cs="Helvetica"/>
          <w:b/>
          <w:sz w:val="24"/>
          <w:szCs w:val="24"/>
          <w:lang w:val="en"/>
        </w:rPr>
      </w:pPr>
      <w:r w:rsidRPr="00D3615D">
        <w:rPr>
          <w:rFonts w:ascii="Calibri" w:hAnsi="Calibri" w:cs="Helvetica"/>
          <w:b/>
          <w:sz w:val="24"/>
          <w:szCs w:val="24"/>
          <w:lang w:val="en"/>
        </w:rPr>
        <w:t>Total equity</w:t>
      </w:r>
    </w:p>
    <w:tbl>
      <w:tblPr>
        <w:tblStyle w:val="TableGrid7"/>
        <w:tblW w:w="12941" w:type="dxa"/>
        <w:tblLook w:val="04A0" w:firstRow="1" w:lastRow="0" w:firstColumn="1" w:lastColumn="0" w:noHBand="0" w:noVBand="1"/>
      </w:tblPr>
      <w:tblGrid>
        <w:gridCol w:w="5011"/>
        <w:gridCol w:w="4457"/>
        <w:gridCol w:w="3473"/>
      </w:tblGrid>
      <w:tr w:rsidR="007B3931" w:rsidRPr="00194B98" w14:paraId="50433DEC" w14:textId="77777777" w:rsidTr="007B3931">
        <w:tc>
          <w:tcPr>
            <w:tcW w:w="4794" w:type="dxa"/>
            <w:tcBorders>
              <w:top w:val="single" w:sz="4" w:space="0" w:color="auto"/>
              <w:left w:val="single" w:sz="4" w:space="0" w:color="auto"/>
            </w:tcBorders>
            <w:shd w:val="clear" w:color="auto" w:fill="0070C0"/>
          </w:tcPr>
          <w:p w14:paraId="59C52CA8" w14:textId="77777777" w:rsidR="007B3931" w:rsidRPr="00C31440" w:rsidRDefault="007B3931" w:rsidP="00D3615D">
            <w:pPr>
              <w:spacing w:before="40" w:after="120"/>
              <w:rPr>
                <w:rFonts w:ascii="Calibri" w:eastAsia="Calibri" w:hAnsi="Calibri" w:cs="Times New Roman"/>
                <w:b/>
                <w:color w:val="FFFFFF"/>
                <w:lang w:val="en" w:eastAsia="en-AU"/>
              </w:rPr>
            </w:pPr>
          </w:p>
        </w:tc>
        <w:tc>
          <w:tcPr>
            <w:tcW w:w="4263" w:type="dxa"/>
            <w:tcBorders>
              <w:top w:val="single" w:sz="4" w:space="0" w:color="auto"/>
            </w:tcBorders>
            <w:shd w:val="clear" w:color="auto" w:fill="0070C0"/>
          </w:tcPr>
          <w:p w14:paraId="7C4EFF92" w14:textId="77777777" w:rsidR="007B3931" w:rsidRPr="00D3615D" w:rsidRDefault="007B3931" w:rsidP="00D3615D">
            <w:pPr>
              <w:spacing w:before="40" w:after="120"/>
              <w:rPr>
                <w:rFonts w:ascii="Calibri" w:eastAsia="Calibri" w:hAnsi="Calibri" w:cs="Times New Roman"/>
                <w:b/>
                <w:color w:val="FFFFFF"/>
                <w:lang w:val="en" w:eastAsia="en-AU"/>
              </w:rPr>
            </w:pPr>
            <w:r w:rsidRPr="00D3615D">
              <w:rPr>
                <w:rFonts w:ascii="Calibri" w:eastAsia="Calibri" w:hAnsi="Calibri"/>
                <w:b/>
                <w:color w:val="FFFFFF"/>
                <w:lang w:val="en"/>
              </w:rPr>
              <w:t>Current</w:t>
            </w:r>
          </w:p>
        </w:tc>
        <w:tc>
          <w:tcPr>
            <w:tcW w:w="3322" w:type="dxa"/>
            <w:tcBorders>
              <w:top w:val="single" w:sz="4" w:space="0" w:color="auto"/>
            </w:tcBorders>
            <w:shd w:val="clear" w:color="auto" w:fill="0070C0"/>
          </w:tcPr>
          <w:p w14:paraId="7DAF7C5F" w14:textId="77777777" w:rsidR="007B3931" w:rsidRPr="00D3615D" w:rsidRDefault="007B3931" w:rsidP="00D3615D">
            <w:pPr>
              <w:spacing w:before="40" w:after="120"/>
              <w:rPr>
                <w:rFonts w:ascii="Calibri" w:eastAsia="Calibri" w:hAnsi="Calibri" w:cs="Times New Roman"/>
                <w:b/>
                <w:color w:val="FFFFFF"/>
                <w:lang w:val="en" w:eastAsia="en-AU"/>
              </w:rPr>
            </w:pPr>
            <w:r w:rsidRPr="00D3615D">
              <w:rPr>
                <w:rFonts w:ascii="Calibri" w:eastAsia="Calibri" w:hAnsi="Calibri"/>
                <w:b/>
                <w:color w:val="FFFFFF"/>
                <w:lang w:val="en"/>
              </w:rPr>
              <w:t>Prior</w:t>
            </w:r>
          </w:p>
        </w:tc>
      </w:tr>
      <w:tr w:rsidR="007B3931" w:rsidRPr="00C31440" w14:paraId="4589DF44" w14:textId="77777777" w:rsidTr="007B3931">
        <w:tc>
          <w:tcPr>
            <w:tcW w:w="4794" w:type="dxa"/>
            <w:tcBorders>
              <w:left w:val="single" w:sz="4" w:space="0" w:color="auto"/>
            </w:tcBorders>
          </w:tcPr>
          <w:p w14:paraId="3EAB78DA" w14:textId="41116F7D" w:rsidR="007B3931" w:rsidRPr="00C31440" w:rsidRDefault="007B3931" w:rsidP="00D3615D">
            <w:pPr>
              <w:spacing w:after="120"/>
              <w:rPr>
                <w:rFonts w:ascii="Calibri" w:eastAsia="Calibri" w:hAnsi="Calibri" w:cs="Times New Roman"/>
                <w:lang w:val="en" w:eastAsia="en-AU"/>
              </w:rPr>
            </w:pPr>
            <w:r w:rsidRPr="00C31440">
              <w:rPr>
                <w:rFonts w:ascii="Calibri" w:eastAsia="Calibri" w:hAnsi="Calibri" w:cs="Times New Roman"/>
                <w:lang w:val="en" w:eastAsia="en-AU"/>
              </w:rPr>
              <w:t>Retained earnings / (</w:t>
            </w:r>
            <w:r w:rsidR="009E5009">
              <w:rPr>
                <w:rFonts w:ascii="Calibri" w:eastAsia="Calibri" w:hAnsi="Calibri" w:cs="Times New Roman"/>
                <w:lang w:val="en" w:eastAsia="en-AU"/>
              </w:rPr>
              <w:t>A</w:t>
            </w:r>
            <w:r w:rsidRPr="00C31440">
              <w:rPr>
                <w:rFonts w:ascii="Calibri" w:eastAsia="Calibri" w:hAnsi="Calibri" w:cs="Times New Roman"/>
                <w:lang w:val="en" w:eastAsia="en-AU"/>
              </w:rPr>
              <w:t xml:space="preserve">ccumulated </w:t>
            </w:r>
            <w:r>
              <w:rPr>
                <w:rFonts w:ascii="Calibri" w:eastAsia="Calibri" w:hAnsi="Calibri" w:cs="Times New Roman"/>
                <w:lang w:val="en" w:eastAsia="en-AU"/>
              </w:rPr>
              <w:t>l</w:t>
            </w:r>
            <w:r w:rsidRPr="00C31440">
              <w:rPr>
                <w:rFonts w:ascii="Calibri" w:eastAsia="Calibri" w:hAnsi="Calibri" w:cs="Times New Roman"/>
                <w:lang w:val="en" w:eastAsia="en-AU"/>
              </w:rPr>
              <w:t>osses)</w:t>
            </w:r>
          </w:p>
        </w:tc>
        <w:tc>
          <w:tcPr>
            <w:tcW w:w="4263" w:type="dxa"/>
          </w:tcPr>
          <w:p w14:paraId="0E7AEBDF" w14:textId="0B34AA3A" w:rsidR="007B3931" w:rsidRPr="00C31440" w:rsidRDefault="007B3931" w:rsidP="00D3615D">
            <w:pPr>
              <w:spacing w:after="120"/>
              <w:rPr>
                <w:rFonts w:ascii="Calibri" w:eastAsia="Calibri" w:hAnsi="Calibri" w:cs="Times New Roman"/>
                <w:noProof/>
              </w:rPr>
            </w:pPr>
          </w:p>
        </w:tc>
        <w:tc>
          <w:tcPr>
            <w:tcW w:w="3322" w:type="dxa"/>
          </w:tcPr>
          <w:p w14:paraId="1CB7782C" w14:textId="611420E9" w:rsidR="007B3931" w:rsidRPr="00C31440" w:rsidRDefault="007B3931" w:rsidP="00D3615D">
            <w:pPr>
              <w:spacing w:after="120"/>
              <w:rPr>
                <w:rFonts w:ascii="Calibri" w:eastAsia="Calibri" w:hAnsi="Calibri" w:cs="Times New Roman"/>
                <w:lang w:val="en" w:eastAsia="en-AU"/>
              </w:rPr>
            </w:pPr>
          </w:p>
        </w:tc>
      </w:tr>
      <w:tr w:rsidR="007B3931" w:rsidRPr="00C31440" w14:paraId="46DE161F" w14:textId="77777777" w:rsidTr="007B3931">
        <w:tc>
          <w:tcPr>
            <w:tcW w:w="4794" w:type="dxa"/>
            <w:tcBorders>
              <w:left w:val="single" w:sz="4" w:space="0" w:color="auto"/>
            </w:tcBorders>
          </w:tcPr>
          <w:p w14:paraId="5546FEC8" w14:textId="77777777" w:rsidR="007B3931" w:rsidRPr="00C31440" w:rsidRDefault="007B3931" w:rsidP="00D3615D">
            <w:pPr>
              <w:spacing w:after="120"/>
              <w:rPr>
                <w:rFonts w:ascii="Calibri" w:eastAsia="Calibri" w:hAnsi="Calibri" w:cs="Times New Roman"/>
                <w:b/>
                <w:lang w:val="en" w:eastAsia="en-AU"/>
              </w:rPr>
            </w:pPr>
            <w:r w:rsidRPr="00C31440">
              <w:rPr>
                <w:rFonts w:ascii="Calibri" w:eastAsia="Calibri" w:hAnsi="Calibri" w:cs="Times New Roman"/>
                <w:b/>
                <w:lang w:val="en" w:eastAsia="en-AU"/>
              </w:rPr>
              <w:t>Total equity</w:t>
            </w:r>
          </w:p>
        </w:tc>
        <w:tc>
          <w:tcPr>
            <w:tcW w:w="4263" w:type="dxa"/>
          </w:tcPr>
          <w:p w14:paraId="3523518D" w14:textId="27EDED97" w:rsidR="007B3931" w:rsidRPr="00C31440" w:rsidRDefault="007B3931" w:rsidP="00D3615D">
            <w:pPr>
              <w:spacing w:after="120"/>
              <w:rPr>
                <w:rFonts w:ascii="Calibri" w:eastAsia="Calibri" w:hAnsi="Calibri" w:cs="Times New Roman"/>
                <w:b/>
              </w:rPr>
            </w:pPr>
          </w:p>
        </w:tc>
        <w:tc>
          <w:tcPr>
            <w:tcW w:w="3322" w:type="dxa"/>
          </w:tcPr>
          <w:p w14:paraId="3AE38E7D" w14:textId="20E88E10" w:rsidR="007B3931" w:rsidRPr="00C31440" w:rsidRDefault="007B3931" w:rsidP="00D3615D">
            <w:pPr>
              <w:spacing w:after="120"/>
              <w:rPr>
                <w:rFonts w:ascii="Calibri" w:eastAsia="Calibri" w:hAnsi="Calibri" w:cs="Times New Roman"/>
                <w:b/>
              </w:rPr>
            </w:pPr>
          </w:p>
        </w:tc>
      </w:tr>
    </w:tbl>
    <w:p w14:paraId="3E50D96B" w14:textId="31B72909" w:rsidR="007B3931" w:rsidRPr="00930407" w:rsidRDefault="007B3931" w:rsidP="00D3615D">
      <w:pPr>
        <w:spacing w:before="480" w:after="0"/>
        <w:outlineLvl w:val="3"/>
        <w:rPr>
          <w:rFonts w:ascii="Calibri" w:hAnsi="Calibri"/>
          <w:b/>
          <w:bCs/>
          <w:color w:val="0070C0"/>
          <w:sz w:val="32"/>
          <w:szCs w:val="32"/>
        </w:rPr>
      </w:pPr>
      <w:r w:rsidRPr="00930407">
        <w:rPr>
          <w:rFonts w:ascii="Calibri" w:hAnsi="Calibri"/>
          <w:b/>
          <w:bCs/>
          <w:color w:val="0070C0"/>
          <w:sz w:val="32"/>
          <w:szCs w:val="32"/>
        </w:rPr>
        <w:t>Balance sheet details</w:t>
      </w:r>
    </w:p>
    <w:p w14:paraId="78E73B00" w14:textId="6B483CD1" w:rsidR="007B3931" w:rsidRPr="00D3615D" w:rsidRDefault="00DE3042" w:rsidP="00D3615D">
      <w:pPr>
        <w:keepNext/>
        <w:spacing w:before="240" w:after="120"/>
        <w:outlineLvl w:val="3"/>
        <w:rPr>
          <w:rFonts w:ascii="Calibri" w:hAnsi="Calibri" w:cs="Helvetica"/>
          <w:b/>
          <w:sz w:val="24"/>
          <w:szCs w:val="24"/>
          <w:lang w:val="en"/>
        </w:rPr>
      </w:pPr>
      <w:r w:rsidRPr="00D3615D">
        <w:rPr>
          <w:rFonts w:ascii="Calibri" w:hAnsi="Calibri" w:cs="Helvetica"/>
          <w:b/>
          <w:sz w:val="24"/>
          <w:szCs w:val="24"/>
          <w:lang w:val="en"/>
        </w:rPr>
        <w:t xml:space="preserve">Cash &amp; </w:t>
      </w:r>
      <w:r w:rsidR="009E5009" w:rsidRPr="00D3615D">
        <w:rPr>
          <w:rFonts w:ascii="Calibri" w:hAnsi="Calibri" w:cs="Helvetica"/>
          <w:b/>
          <w:sz w:val="24"/>
          <w:szCs w:val="24"/>
          <w:lang w:val="en"/>
        </w:rPr>
        <w:t>C</w:t>
      </w:r>
      <w:r w:rsidRPr="00D3615D">
        <w:rPr>
          <w:rFonts w:ascii="Calibri" w:hAnsi="Calibri" w:cs="Helvetica"/>
          <w:b/>
          <w:sz w:val="24"/>
          <w:szCs w:val="24"/>
          <w:lang w:val="en"/>
        </w:rPr>
        <w:t xml:space="preserve">ash </w:t>
      </w:r>
      <w:r w:rsidR="009E5009" w:rsidRPr="00D3615D">
        <w:rPr>
          <w:rFonts w:ascii="Calibri" w:hAnsi="Calibri" w:cs="Helvetica"/>
          <w:b/>
          <w:sz w:val="24"/>
          <w:szCs w:val="24"/>
          <w:lang w:val="en"/>
        </w:rPr>
        <w:t>E</w:t>
      </w:r>
      <w:r w:rsidRPr="00D3615D">
        <w:rPr>
          <w:rFonts w:ascii="Calibri" w:hAnsi="Calibri" w:cs="Helvetica"/>
          <w:b/>
          <w:sz w:val="24"/>
          <w:szCs w:val="24"/>
          <w:lang w:val="en"/>
        </w:rPr>
        <w:t>quivalents</w:t>
      </w:r>
    </w:p>
    <w:tbl>
      <w:tblPr>
        <w:tblStyle w:val="TableGrid9"/>
        <w:tblW w:w="13320" w:type="dxa"/>
        <w:tblLook w:val="04A0" w:firstRow="1" w:lastRow="0" w:firstColumn="1" w:lastColumn="0" w:noHBand="0" w:noVBand="1"/>
      </w:tblPr>
      <w:tblGrid>
        <w:gridCol w:w="4339"/>
        <w:gridCol w:w="2268"/>
        <w:gridCol w:w="2152"/>
        <w:gridCol w:w="2271"/>
        <w:gridCol w:w="2290"/>
      </w:tblGrid>
      <w:tr w:rsidR="0089156E" w:rsidRPr="000B21CF" w14:paraId="2A957C06" w14:textId="77777777" w:rsidTr="00D3615D">
        <w:tc>
          <w:tcPr>
            <w:tcW w:w="4339" w:type="dxa"/>
            <w:tcBorders>
              <w:top w:val="single" w:sz="4" w:space="0" w:color="auto"/>
              <w:left w:val="single" w:sz="4" w:space="0" w:color="auto"/>
            </w:tcBorders>
            <w:shd w:val="clear" w:color="auto" w:fill="0070C0"/>
          </w:tcPr>
          <w:p w14:paraId="575492B7" w14:textId="77777777" w:rsidR="0089156E" w:rsidRPr="000B21CF" w:rsidRDefault="0089156E" w:rsidP="00D3615D">
            <w:pPr>
              <w:spacing w:before="40" w:after="120"/>
              <w:rPr>
                <w:rFonts w:ascii="Calibri" w:eastAsia="Calibri" w:hAnsi="Calibri" w:cs="Times New Roman"/>
                <w:b/>
                <w:color w:val="FFFFFF"/>
                <w:lang w:val="en" w:eastAsia="en-AU"/>
              </w:rPr>
            </w:pPr>
          </w:p>
        </w:tc>
        <w:tc>
          <w:tcPr>
            <w:tcW w:w="4420" w:type="dxa"/>
            <w:gridSpan w:val="2"/>
            <w:tcBorders>
              <w:top w:val="single" w:sz="4" w:space="0" w:color="auto"/>
            </w:tcBorders>
            <w:shd w:val="clear" w:color="auto" w:fill="0070C0"/>
          </w:tcPr>
          <w:p w14:paraId="628D5BB5" w14:textId="77777777" w:rsidR="0089156E" w:rsidRPr="000B21CF" w:rsidRDefault="0089156E" w:rsidP="00D3615D">
            <w:pPr>
              <w:spacing w:before="40" w:after="120"/>
              <w:jc w:val="center"/>
              <w:rPr>
                <w:rFonts w:ascii="Calibri" w:eastAsia="Calibri" w:hAnsi="Calibri" w:cs="Times New Roman"/>
                <w:b/>
                <w:color w:val="FFFFFF"/>
                <w:lang w:val="en" w:eastAsia="en-AU"/>
              </w:rPr>
            </w:pPr>
            <w:r w:rsidRPr="000B21CF">
              <w:rPr>
                <w:rFonts w:ascii="Calibri" w:eastAsia="Calibri" w:hAnsi="Calibri" w:cs="Times New Roman"/>
                <w:b/>
                <w:color w:val="FFFFFF"/>
                <w:lang w:val="en" w:eastAsia="en-AU"/>
              </w:rPr>
              <w:t>Current</w:t>
            </w:r>
          </w:p>
        </w:tc>
        <w:tc>
          <w:tcPr>
            <w:tcW w:w="4561" w:type="dxa"/>
            <w:gridSpan w:val="2"/>
            <w:tcBorders>
              <w:top w:val="single" w:sz="4" w:space="0" w:color="auto"/>
              <w:right w:val="single" w:sz="4" w:space="0" w:color="auto"/>
            </w:tcBorders>
            <w:shd w:val="clear" w:color="auto" w:fill="0070C0"/>
          </w:tcPr>
          <w:p w14:paraId="640417CD" w14:textId="77777777" w:rsidR="0089156E" w:rsidRPr="000B21CF" w:rsidRDefault="0089156E" w:rsidP="00D3615D">
            <w:pPr>
              <w:spacing w:before="40" w:after="120"/>
              <w:jc w:val="center"/>
              <w:rPr>
                <w:rFonts w:ascii="Calibri" w:eastAsia="Calibri" w:hAnsi="Calibri" w:cs="Times New Roman"/>
                <w:b/>
                <w:color w:val="FFFFFF"/>
                <w:lang w:val="en" w:eastAsia="en-AU"/>
              </w:rPr>
            </w:pPr>
            <w:r w:rsidRPr="000B21CF">
              <w:rPr>
                <w:rFonts w:ascii="Calibri" w:eastAsia="Calibri" w:hAnsi="Calibri" w:cs="Times New Roman"/>
                <w:b/>
                <w:color w:val="FFFFFF"/>
                <w:lang w:val="en" w:eastAsia="en-AU"/>
              </w:rPr>
              <w:t>Non Current</w:t>
            </w:r>
          </w:p>
        </w:tc>
      </w:tr>
      <w:tr w:rsidR="0089156E" w:rsidRPr="000B21CF" w14:paraId="0103EB8F" w14:textId="77777777" w:rsidTr="00930407">
        <w:tc>
          <w:tcPr>
            <w:tcW w:w="4339" w:type="dxa"/>
            <w:tcBorders>
              <w:left w:val="single" w:sz="4" w:space="0" w:color="auto"/>
            </w:tcBorders>
            <w:shd w:val="clear" w:color="auto" w:fill="0070C0"/>
          </w:tcPr>
          <w:p w14:paraId="43C3BFBB" w14:textId="77777777" w:rsidR="0089156E" w:rsidRPr="000B21CF" w:rsidRDefault="0089156E" w:rsidP="00D3615D">
            <w:pPr>
              <w:spacing w:before="40" w:after="120"/>
              <w:rPr>
                <w:rFonts w:ascii="Calibri" w:eastAsia="Calibri" w:hAnsi="Calibri" w:cs="Times New Roman"/>
                <w:b/>
                <w:color w:val="FFFFFF"/>
                <w:lang w:val="en" w:eastAsia="en-AU"/>
              </w:rPr>
            </w:pPr>
            <w:r w:rsidRPr="000B21CF">
              <w:rPr>
                <w:rFonts w:ascii="Calibri" w:eastAsia="Calibri" w:hAnsi="Calibri" w:cs="Times New Roman"/>
                <w:b/>
                <w:color w:val="FFFFFF"/>
                <w:lang w:val="en" w:eastAsia="en-AU"/>
              </w:rPr>
              <w:t>Approved Deposit Taking Institution (ADTI)</w:t>
            </w:r>
          </w:p>
        </w:tc>
        <w:tc>
          <w:tcPr>
            <w:tcW w:w="2268" w:type="dxa"/>
            <w:shd w:val="clear" w:color="auto" w:fill="0070C0"/>
          </w:tcPr>
          <w:p w14:paraId="479F42B3" w14:textId="77777777" w:rsidR="0089156E" w:rsidRPr="000B21CF" w:rsidRDefault="0089156E" w:rsidP="00D3615D">
            <w:pPr>
              <w:spacing w:before="40" w:after="120"/>
              <w:rPr>
                <w:rFonts w:ascii="Calibri" w:eastAsia="Calibri" w:hAnsi="Calibri" w:cs="Times New Roman"/>
                <w:b/>
                <w:color w:val="FFFFFF"/>
                <w:lang w:val="en" w:eastAsia="en-AU"/>
              </w:rPr>
            </w:pPr>
            <w:r w:rsidRPr="000B21CF">
              <w:rPr>
                <w:rFonts w:ascii="Calibri" w:eastAsia="Calibri" w:hAnsi="Calibri" w:cs="Times New Roman"/>
                <w:b/>
                <w:color w:val="FFFFFF"/>
                <w:lang w:val="en" w:eastAsia="en-AU"/>
              </w:rPr>
              <w:t>Secured</w:t>
            </w:r>
          </w:p>
        </w:tc>
        <w:tc>
          <w:tcPr>
            <w:tcW w:w="2152" w:type="dxa"/>
            <w:shd w:val="clear" w:color="auto" w:fill="0070C0"/>
          </w:tcPr>
          <w:p w14:paraId="43CE97BB" w14:textId="77777777" w:rsidR="0089156E" w:rsidRPr="000B21CF" w:rsidRDefault="0089156E" w:rsidP="00D3615D">
            <w:pPr>
              <w:spacing w:before="40" w:after="120"/>
              <w:rPr>
                <w:rFonts w:ascii="Calibri" w:eastAsia="Calibri" w:hAnsi="Calibri" w:cs="Times New Roman"/>
                <w:b/>
                <w:color w:val="FFFFFF"/>
                <w:lang w:val="en" w:eastAsia="en-AU"/>
              </w:rPr>
            </w:pPr>
            <w:r w:rsidRPr="000B21CF">
              <w:rPr>
                <w:rFonts w:ascii="Calibri" w:eastAsia="Calibri" w:hAnsi="Calibri" w:cs="Times New Roman"/>
                <w:b/>
                <w:color w:val="FFFFFF"/>
                <w:lang w:val="en" w:eastAsia="en-AU"/>
              </w:rPr>
              <w:t>Unsecured</w:t>
            </w:r>
          </w:p>
        </w:tc>
        <w:tc>
          <w:tcPr>
            <w:tcW w:w="2271" w:type="dxa"/>
            <w:shd w:val="clear" w:color="auto" w:fill="0070C0"/>
          </w:tcPr>
          <w:p w14:paraId="679FBE71" w14:textId="77777777" w:rsidR="0089156E" w:rsidRPr="000B21CF" w:rsidRDefault="0089156E" w:rsidP="00D3615D">
            <w:pPr>
              <w:spacing w:before="40" w:after="120"/>
              <w:rPr>
                <w:rFonts w:ascii="Calibri" w:eastAsia="Calibri" w:hAnsi="Calibri" w:cs="Times New Roman"/>
                <w:b/>
                <w:color w:val="FFFFFF"/>
                <w:lang w:val="en" w:eastAsia="en-AU"/>
              </w:rPr>
            </w:pPr>
            <w:r w:rsidRPr="000B21CF">
              <w:rPr>
                <w:rFonts w:ascii="Calibri" w:eastAsia="Calibri" w:hAnsi="Calibri" w:cs="Times New Roman"/>
                <w:b/>
                <w:color w:val="FFFFFF"/>
                <w:lang w:val="en" w:eastAsia="en-AU"/>
              </w:rPr>
              <w:t>Secured</w:t>
            </w:r>
          </w:p>
        </w:tc>
        <w:tc>
          <w:tcPr>
            <w:tcW w:w="2290" w:type="dxa"/>
            <w:tcBorders>
              <w:bottom w:val="single" w:sz="4" w:space="0" w:color="auto"/>
              <w:right w:val="single" w:sz="4" w:space="0" w:color="auto"/>
            </w:tcBorders>
            <w:shd w:val="clear" w:color="auto" w:fill="0070C0"/>
          </w:tcPr>
          <w:p w14:paraId="7659E943" w14:textId="77777777" w:rsidR="0089156E" w:rsidRPr="000B21CF" w:rsidRDefault="0089156E" w:rsidP="00D3615D">
            <w:pPr>
              <w:spacing w:before="40" w:after="120"/>
              <w:rPr>
                <w:rFonts w:ascii="Calibri" w:eastAsia="Calibri" w:hAnsi="Calibri" w:cs="Times New Roman"/>
                <w:b/>
                <w:color w:val="FFFFFF"/>
                <w:lang w:val="en" w:eastAsia="en-AU"/>
              </w:rPr>
            </w:pPr>
            <w:r w:rsidRPr="000B21CF">
              <w:rPr>
                <w:rFonts w:ascii="Calibri" w:eastAsia="Calibri" w:hAnsi="Calibri" w:cs="Times New Roman"/>
                <w:b/>
                <w:color w:val="FFFFFF"/>
                <w:lang w:val="en" w:eastAsia="en-AU"/>
              </w:rPr>
              <w:t>Unsecured</w:t>
            </w:r>
          </w:p>
        </w:tc>
      </w:tr>
      <w:tr w:rsidR="0089156E" w:rsidRPr="000B21CF" w14:paraId="044A6313" w14:textId="77777777" w:rsidTr="00930407">
        <w:tc>
          <w:tcPr>
            <w:tcW w:w="4339" w:type="dxa"/>
            <w:tcBorders>
              <w:left w:val="single" w:sz="4" w:space="0" w:color="auto"/>
            </w:tcBorders>
          </w:tcPr>
          <w:p w14:paraId="0A1BC862" w14:textId="393F28FC" w:rsidR="0089156E" w:rsidRPr="000B21CF" w:rsidRDefault="0089156E" w:rsidP="00D3615D">
            <w:pPr>
              <w:spacing w:after="120"/>
              <w:rPr>
                <w:rFonts w:ascii="Calibri" w:eastAsia="Calibri" w:hAnsi="Calibri" w:cs="Times New Roman"/>
                <w:b/>
                <w:bCs/>
                <w:i/>
                <w:iCs/>
                <w:color w:val="8064A2"/>
              </w:rPr>
            </w:pPr>
          </w:p>
        </w:tc>
        <w:tc>
          <w:tcPr>
            <w:tcW w:w="2268" w:type="dxa"/>
          </w:tcPr>
          <w:p w14:paraId="66E302F2" w14:textId="2B9F0CAD" w:rsidR="0089156E" w:rsidRPr="000B21CF" w:rsidRDefault="0089156E" w:rsidP="00D3615D">
            <w:pPr>
              <w:spacing w:after="120"/>
              <w:rPr>
                <w:rFonts w:ascii="Calibri" w:eastAsia="Calibri" w:hAnsi="Calibri" w:cs="Times New Roman"/>
                <w:noProof/>
              </w:rPr>
            </w:pPr>
          </w:p>
        </w:tc>
        <w:tc>
          <w:tcPr>
            <w:tcW w:w="2152" w:type="dxa"/>
          </w:tcPr>
          <w:p w14:paraId="2DF4EDF9" w14:textId="0CEAED52" w:rsidR="0089156E" w:rsidRPr="000B21CF" w:rsidRDefault="0089156E" w:rsidP="00D3615D">
            <w:pPr>
              <w:spacing w:after="120"/>
              <w:rPr>
                <w:rFonts w:ascii="Calibri" w:eastAsia="Calibri" w:hAnsi="Calibri" w:cs="Times New Roman"/>
                <w:noProof/>
              </w:rPr>
            </w:pPr>
          </w:p>
        </w:tc>
        <w:tc>
          <w:tcPr>
            <w:tcW w:w="2271" w:type="dxa"/>
          </w:tcPr>
          <w:p w14:paraId="285A2268" w14:textId="7A223227" w:rsidR="0089156E" w:rsidRPr="000B21CF" w:rsidRDefault="0089156E" w:rsidP="00D3615D">
            <w:pPr>
              <w:spacing w:after="120"/>
              <w:rPr>
                <w:rFonts w:ascii="Calibri" w:eastAsia="Calibri" w:hAnsi="Calibri" w:cs="Times New Roman"/>
              </w:rPr>
            </w:pPr>
          </w:p>
        </w:tc>
        <w:tc>
          <w:tcPr>
            <w:tcW w:w="2290" w:type="dxa"/>
            <w:tcBorders>
              <w:right w:val="single" w:sz="4" w:space="0" w:color="auto"/>
            </w:tcBorders>
          </w:tcPr>
          <w:p w14:paraId="24E6A50F" w14:textId="2EAE91F5" w:rsidR="0089156E" w:rsidRPr="000B21CF" w:rsidRDefault="0089156E" w:rsidP="00D3615D">
            <w:pPr>
              <w:spacing w:after="120"/>
              <w:rPr>
                <w:rFonts w:ascii="Calibri" w:eastAsia="Calibri" w:hAnsi="Calibri" w:cs="Times New Roman"/>
              </w:rPr>
            </w:pPr>
          </w:p>
        </w:tc>
      </w:tr>
      <w:tr w:rsidR="0089156E" w:rsidRPr="000B21CF" w14:paraId="7FB63521" w14:textId="77777777" w:rsidTr="00930407">
        <w:tc>
          <w:tcPr>
            <w:tcW w:w="4339" w:type="dxa"/>
            <w:tcBorders>
              <w:left w:val="single" w:sz="4" w:space="0" w:color="auto"/>
            </w:tcBorders>
          </w:tcPr>
          <w:p w14:paraId="36343F0E" w14:textId="77777777" w:rsidR="0089156E" w:rsidRPr="000B21CF" w:rsidRDefault="0089156E" w:rsidP="00D3615D">
            <w:pPr>
              <w:spacing w:after="120"/>
              <w:rPr>
                <w:rFonts w:ascii="Calibri" w:eastAsia="Calibri" w:hAnsi="Calibri" w:cs="Times New Roman"/>
                <w:vertAlign w:val="superscript"/>
                <w:lang w:val="en" w:eastAsia="en-AU"/>
              </w:rPr>
            </w:pPr>
            <w:r w:rsidRPr="000B21CF">
              <w:rPr>
                <w:rFonts w:ascii="Calibri" w:eastAsia="Calibri" w:hAnsi="Calibri" w:cs="Times New Roman"/>
                <w:lang w:val="en" w:eastAsia="en-AU"/>
              </w:rPr>
              <w:t>Total ADTI</w:t>
            </w:r>
          </w:p>
        </w:tc>
        <w:tc>
          <w:tcPr>
            <w:tcW w:w="2268" w:type="dxa"/>
            <w:shd w:val="clear" w:color="auto" w:fill="auto"/>
          </w:tcPr>
          <w:p w14:paraId="49691E66" w14:textId="7D90A12D" w:rsidR="0089156E" w:rsidRPr="0089156E" w:rsidRDefault="0089156E" w:rsidP="00D3615D">
            <w:pPr>
              <w:spacing w:after="120"/>
              <w:rPr>
                <w:rFonts w:ascii="Calibri" w:eastAsia="Calibri" w:hAnsi="Calibri" w:cs="Times New Roman"/>
                <w:noProof/>
              </w:rPr>
            </w:pPr>
          </w:p>
        </w:tc>
        <w:tc>
          <w:tcPr>
            <w:tcW w:w="2152" w:type="dxa"/>
            <w:shd w:val="clear" w:color="auto" w:fill="auto"/>
          </w:tcPr>
          <w:p w14:paraId="44021544" w14:textId="5E83B3AB" w:rsidR="0089156E" w:rsidRPr="0089156E" w:rsidRDefault="0089156E" w:rsidP="00D3615D">
            <w:pPr>
              <w:spacing w:after="120"/>
              <w:rPr>
                <w:rFonts w:ascii="Calibri" w:eastAsia="Calibri" w:hAnsi="Calibri" w:cs="Times New Roman"/>
                <w:noProof/>
              </w:rPr>
            </w:pPr>
          </w:p>
        </w:tc>
        <w:tc>
          <w:tcPr>
            <w:tcW w:w="2271" w:type="dxa"/>
            <w:shd w:val="clear" w:color="auto" w:fill="auto"/>
          </w:tcPr>
          <w:p w14:paraId="7867A1EF" w14:textId="636CC30D" w:rsidR="0089156E" w:rsidRPr="0089156E" w:rsidRDefault="0089156E" w:rsidP="00D3615D">
            <w:pPr>
              <w:spacing w:after="120"/>
              <w:rPr>
                <w:rFonts w:ascii="Calibri" w:eastAsia="Calibri" w:hAnsi="Calibri" w:cs="Times New Roman"/>
                <w:lang w:val="en" w:eastAsia="en-AU"/>
              </w:rPr>
            </w:pPr>
          </w:p>
        </w:tc>
        <w:tc>
          <w:tcPr>
            <w:tcW w:w="2290" w:type="dxa"/>
            <w:tcBorders>
              <w:right w:val="single" w:sz="4" w:space="0" w:color="auto"/>
            </w:tcBorders>
            <w:shd w:val="clear" w:color="auto" w:fill="auto"/>
          </w:tcPr>
          <w:p w14:paraId="61080288" w14:textId="0BA8BD24" w:rsidR="0089156E" w:rsidRPr="0089156E" w:rsidRDefault="0089156E" w:rsidP="00D3615D">
            <w:pPr>
              <w:spacing w:after="120"/>
              <w:rPr>
                <w:rFonts w:ascii="Calibri" w:eastAsia="Calibri" w:hAnsi="Calibri" w:cs="Times New Roman"/>
                <w:lang w:val="en" w:eastAsia="en-AU"/>
              </w:rPr>
            </w:pPr>
          </w:p>
        </w:tc>
      </w:tr>
      <w:tr w:rsidR="0089156E" w:rsidRPr="000B21CF" w14:paraId="191374C4" w14:textId="77777777" w:rsidTr="00930407">
        <w:tc>
          <w:tcPr>
            <w:tcW w:w="4339" w:type="dxa"/>
            <w:tcBorders>
              <w:left w:val="single" w:sz="4" w:space="0" w:color="auto"/>
            </w:tcBorders>
          </w:tcPr>
          <w:p w14:paraId="0C211D17" w14:textId="77777777" w:rsidR="0089156E" w:rsidRPr="000B21CF" w:rsidRDefault="0089156E" w:rsidP="00D3615D">
            <w:pPr>
              <w:spacing w:after="120"/>
              <w:rPr>
                <w:rFonts w:ascii="Calibri" w:eastAsia="Calibri" w:hAnsi="Calibri" w:cs="Times New Roman"/>
                <w:lang w:val="en" w:eastAsia="en-AU"/>
              </w:rPr>
            </w:pPr>
            <w:r w:rsidRPr="000B21CF">
              <w:rPr>
                <w:rFonts w:ascii="Calibri" w:eastAsia="Calibri" w:hAnsi="Calibri" w:cs="Times New Roman"/>
                <w:lang w:val="en" w:eastAsia="en-AU"/>
              </w:rPr>
              <w:t>Petty Cash</w:t>
            </w:r>
          </w:p>
        </w:tc>
        <w:tc>
          <w:tcPr>
            <w:tcW w:w="2268" w:type="dxa"/>
          </w:tcPr>
          <w:p w14:paraId="6D65B69F" w14:textId="77777777" w:rsidR="0089156E" w:rsidRPr="000B21CF" w:rsidRDefault="0089156E" w:rsidP="00D3615D">
            <w:pPr>
              <w:spacing w:after="120"/>
              <w:rPr>
                <w:rFonts w:ascii="Calibri" w:eastAsia="Calibri" w:hAnsi="Calibri" w:cs="Times New Roman"/>
                <w:noProof/>
              </w:rPr>
            </w:pPr>
          </w:p>
        </w:tc>
        <w:tc>
          <w:tcPr>
            <w:tcW w:w="2152" w:type="dxa"/>
          </w:tcPr>
          <w:p w14:paraId="721BE599" w14:textId="200F04F4" w:rsidR="0089156E" w:rsidRPr="000B21CF" w:rsidRDefault="0089156E" w:rsidP="00D3615D">
            <w:pPr>
              <w:spacing w:after="120"/>
              <w:rPr>
                <w:rFonts w:ascii="Calibri" w:eastAsia="Calibri" w:hAnsi="Calibri" w:cs="Times New Roman"/>
                <w:noProof/>
              </w:rPr>
            </w:pPr>
          </w:p>
        </w:tc>
        <w:tc>
          <w:tcPr>
            <w:tcW w:w="2271" w:type="dxa"/>
          </w:tcPr>
          <w:p w14:paraId="334417E4" w14:textId="77777777" w:rsidR="0089156E" w:rsidRPr="000B21CF" w:rsidRDefault="0089156E" w:rsidP="00D3615D">
            <w:pPr>
              <w:spacing w:after="120"/>
              <w:rPr>
                <w:rFonts w:ascii="Calibri" w:eastAsia="Calibri" w:hAnsi="Calibri" w:cs="Times New Roman"/>
                <w:lang w:val="en" w:eastAsia="en-AU"/>
              </w:rPr>
            </w:pPr>
          </w:p>
        </w:tc>
        <w:tc>
          <w:tcPr>
            <w:tcW w:w="2290" w:type="dxa"/>
            <w:tcBorders>
              <w:right w:val="single" w:sz="4" w:space="0" w:color="auto"/>
            </w:tcBorders>
          </w:tcPr>
          <w:p w14:paraId="565562AA" w14:textId="77777777" w:rsidR="0089156E" w:rsidRPr="000B21CF" w:rsidRDefault="0089156E" w:rsidP="00D3615D">
            <w:pPr>
              <w:spacing w:after="120"/>
              <w:rPr>
                <w:rFonts w:ascii="Calibri" w:eastAsia="Calibri" w:hAnsi="Calibri" w:cs="Times New Roman"/>
                <w:lang w:val="en" w:eastAsia="en-AU"/>
              </w:rPr>
            </w:pPr>
          </w:p>
        </w:tc>
      </w:tr>
      <w:tr w:rsidR="0089156E" w:rsidRPr="000B21CF" w14:paraId="108C8631" w14:textId="77777777" w:rsidTr="00D3615D">
        <w:trPr>
          <w:trHeight w:val="385"/>
        </w:trPr>
        <w:tc>
          <w:tcPr>
            <w:tcW w:w="13320" w:type="dxa"/>
            <w:gridSpan w:val="5"/>
            <w:tcBorders>
              <w:left w:val="single" w:sz="4" w:space="0" w:color="auto"/>
              <w:right w:val="single" w:sz="4" w:space="0" w:color="auto"/>
            </w:tcBorders>
          </w:tcPr>
          <w:p w14:paraId="3A69D05C" w14:textId="34ED4F48" w:rsidR="0089156E" w:rsidRPr="000B21CF" w:rsidRDefault="0089156E" w:rsidP="00D3615D">
            <w:pPr>
              <w:spacing w:after="120"/>
              <w:rPr>
                <w:rFonts w:ascii="Calibri" w:eastAsia="Calibri" w:hAnsi="Calibri" w:cs="Times New Roman"/>
                <w:lang w:val="en" w:eastAsia="en-AU"/>
              </w:rPr>
            </w:pPr>
            <w:r>
              <w:rPr>
                <w:rFonts w:ascii="Calibri" w:eastAsia="Calibri" w:hAnsi="Calibri" w:cs="Times New Roman"/>
                <w:lang w:val="en" w:eastAsia="en-AU"/>
              </w:rPr>
              <w:t>Non ADTI and Other</w:t>
            </w:r>
          </w:p>
        </w:tc>
      </w:tr>
      <w:tr w:rsidR="0089156E" w:rsidRPr="000B21CF" w14:paraId="407D58A6" w14:textId="77777777" w:rsidTr="00930407">
        <w:tc>
          <w:tcPr>
            <w:tcW w:w="4339" w:type="dxa"/>
            <w:tcBorders>
              <w:left w:val="single" w:sz="4" w:space="0" w:color="auto"/>
            </w:tcBorders>
          </w:tcPr>
          <w:p w14:paraId="23755CC2" w14:textId="75B69E08" w:rsidR="0089156E" w:rsidRPr="000B21CF" w:rsidRDefault="0089156E" w:rsidP="00D3615D">
            <w:pPr>
              <w:spacing w:after="120"/>
              <w:rPr>
                <w:rFonts w:ascii="Calibri" w:eastAsia="Calibri" w:hAnsi="Calibri" w:cs="Times New Roman"/>
                <w:lang w:val="en" w:eastAsia="en-AU"/>
              </w:rPr>
            </w:pPr>
          </w:p>
        </w:tc>
        <w:tc>
          <w:tcPr>
            <w:tcW w:w="2268" w:type="dxa"/>
            <w:shd w:val="clear" w:color="auto" w:fill="auto"/>
          </w:tcPr>
          <w:p w14:paraId="5022877B" w14:textId="02C5164E" w:rsidR="0089156E" w:rsidRPr="000B21CF" w:rsidRDefault="0089156E" w:rsidP="00D3615D">
            <w:pPr>
              <w:spacing w:after="120"/>
              <w:rPr>
                <w:rFonts w:ascii="Calibri" w:eastAsia="Calibri" w:hAnsi="Calibri" w:cs="Times New Roman"/>
                <w:b/>
                <w:bCs/>
                <w:i/>
                <w:iCs/>
                <w:color w:val="8064A2"/>
              </w:rPr>
            </w:pPr>
          </w:p>
        </w:tc>
        <w:tc>
          <w:tcPr>
            <w:tcW w:w="2152" w:type="dxa"/>
            <w:shd w:val="clear" w:color="auto" w:fill="auto"/>
          </w:tcPr>
          <w:p w14:paraId="57B44FC6" w14:textId="7B01EACC" w:rsidR="0089156E" w:rsidRPr="000B21CF" w:rsidRDefault="0089156E" w:rsidP="00D3615D">
            <w:pPr>
              <w:spacing w:after="120"/>
              <w:rPr>
                <w:rFonts w:ascii="Calibri" w:eastAsia="Calibri" w:hAnsi="Calibri" w:cs="Times New Roman"/>
                <w:lang w:val="en" w:eastAsia="en-AU"/>
              </w:rPr>
            </w:pPr>
          </w:p>
        </w:tc>
        <w:tc>
          <w:tcPr>
            <w:tcW w:w="2271" w:type="dxa"/>
            <w:shd w:val="clear" w:color="auto" w:fill="auto"/>
          </w:tcPr>
          <w:p w14:paraId="3B6553D2" w14:textId="42315E78" w:rsidR="0089156E" w:rsidRPr="000B21CF" w:rsidRDefault="0089156E" w:rsidP="00D3615D">
            <w:pPr>
              <w:spacing w:after="120"/>
              <w:rPr>
                <w:rFonts w:ascii="Calibri" w:eastAsia="Calibri" w:hAnsi="Calibri" w:cs="Times New Roman"/>
                <w:lang w:val="en" w:eastAsia="en-AU"/>
              </w:rPr>
            </w:pPr>
          </w:p>
        </w:tc>
        <w:tc>
          <w:tcPr>
            <w:tcW w:w="2290" w:type="dxa"/>
            <w:tcBorders>
              <w:right w:val="single" w:sz="4" w:space="0" w:color="auto"/>
            </w:tcBorders>
            <w:shd w:val="clear" w:color="auto" w:fill="auto"/>
          </w:tcPr>
          <w:p w14:paraId="394D608D" w14:textId="3B6F9199" w:rsidR="0089156E" w:rsidRPr="000B21CF" w:rsidRDefault="0089156E" w:rsidP="00D3615D">
            <w:pPr>
              <w:spacing w:after="120"/>
              <w:rPr>
                <w:rFonts w:ascii="Calibri" w:eastAsia="Calibri" w:hAnsi="Calibri" w:cs="Times New Roman"/>
                <w:lang w:val="en" w:eastAsia="en-AU"/>
              </w:rPr>
            </w:pPr>
          </w:p>
        </w:tc>
      </w:tr>
      <w:tr w:rsidR="0089156E" w:rsidRPr="000B21CF" w14:paraId="18F86E6D" w14:textId="77777777" w:rsidTr="00930407">
        <w:tc>
          <w:tcPr>
            <w:tcW w:w="4339" w:type="dxa"/>
            <w:tcBorders>
              <w:left w:val="single" w:sz="4" w:space="0" w:color="auto"/>
            </w:tcBorders>
          </w:tcPr>
          <w:p w14:paraId="23BE9EBD" w14:textId="77777777" w:rsidR="0089156E" w:rsidRPr="000B21CF" w:rsidRDefault="0089156E" w:rsidP="00D3615D">
            <w:pPr>
              <w:spacing w:after="120"/>
              <w:rPr>
                <w:rFonts w:ascii="Calibri" w:eastAsia="Calibri" w:hAnsi="Calibri" w:cs="Times New Roman"/>
              </w:rPr>
            </w:pPr>
            <w:r w:rsidRPr="000B21CF">
              <w:rPr>
                <w:rFonts w:ascii="Calibri" w:eastAsia="Calibri" w:hAnsi="Calibri" w:cs="Times New Roman"/>
              </w:rPr>
              <w:t>Total Non ADTI and Other</w:t>
            </w:r>
          </w:p>
        </w:tc>
        <w:tc>
          <w:tcPr>
            <w:tcW w:w="2268" w:type="dxa"/>
            <w:shd w:val="clear" w:color="auto" w:fill="auto"/>
          </w:tcPr>
          <w:p w14:paraId="41719B3E" w14:textId="330A162B" w:rsidR="0089156E" w:rsidRPr="000B21CF" w:rsidRDefault="0089156E" w:rsidP="00D3615D">
            <w:pPr>
              <w:spacing w:after="120"/>
              <w:rPr>
                <w:rFonts w:ascii="Calibri" w:eastAsia="Calibri" w:hAnsi="Calibri" w:cs="Times New Roman"/>
                <w:lang w:val="en" w:eastAsia="en-AU"/>
              </w:rPr>
            </w:pPr>
          </w:p>
        </w:tc>
        <w:tc>
          <w:tcPr>
            <w:tcW w:w="2152" w:type="dxa"/>
            <w:shd w:val="clear" w:color="auto" w:fill="auto"/>
          </w:tcPr>
          <w:p w14:paraId="2316BD56" w14:textId="7E9B5089" w:rsidR="0089156E" w:rsidRPr="000B21CF" w:rsidRDefault="0089156E" w:rsidP="00D3615D">
            <w:pPr>
              <w:spacing w:after="120"/>
              <w:rPr>
                <w:rFonts w:ascii="Calibri" w:eastAsia="Calibri" w:hAnsi="Calibri" w:cs="Times New Roman"/>
                <w:lang w:val="en" w:eastAsia="en-AU"/>
              </w:rPr>
            </w:pPr>
          </w:p>
        </w:tc>
        <w:tc>
          <w:tcPr>
            <w:tcW w:w="2271" w:type="dxa"/>
            <w:shd w:val="clear" w:color="auto" w:fill="auto"/>
          </w:tcPr>
          <w:p w14:paraId="1D6B15DB" w14:textId="27017968" w:rsidR="0089156E" w:rsidRPr="000B21CF" w:rsidRDefault="0089156E" w:rsidP="00D3615D">
            <w:pPr>
              <w:spacing w:after="120"/>
              <w:rPr>
                <w:rFonts w:ascii="Calibri" w:eastAsia="Calibri" w:hAnsi="Calibri" w:cs="Times New Roman"/>
                <w:lang w:val="en" w:eastAsia="en-AU"/>
              </w:rPr>
            </w:pPr>
          </w:p>
        </w:tc>
        <w:tc>
          <w:tcPr>
            <w:tcW w:w="2290" w:type="dxa"/>
            <w:tcBorders>
              <w:right w:val="single" w:sz="4" w:space="0" w:color="auto"/>
            </w:tcBorders>
            <w:shd w:val="clear" w:color="auto" w:fill="auto"/>
          </w:tcPr>
          <w:p w14:paraId="1328880F" w14:textId="5DF54FC1" w:rsidR="0089156E" w:rsidRPr="000B21CF" w:rsidRDefault="0089156E" w:rsidP="00D3615D">
            <w:pPr>
              <w:spacing w:after="120"/>
              <w:rPr>
                <w:rFonts w:ascii="Calibri" w:eastAsia="Calibri" w:hAnsi="Calibri" w:cs="Times New Roman"/>
                <w:lang w:val="en" w:eastAsia="en-AU"/>
              </w:rPr>
            </w:pPr>
          </w:p>
        </w:tc>
      </w:tr>
      <w:tr w:rsidR="0089156E" w:rsidRPr="000B21CF" w14:paraId="1FD7B240" w14:textId="77777777" w:rsidTr="00930407">
        <w:tc>
          <w:tcPr>
            <w:tcW w:w="4339" w:type="dxa"/>
            <w:tcBorders>
              <w:left w:val="single" w:sz="4" w:space="0" w:color="auto"/>
            </w:tcBorders>
          </w:tcPr>
          <w:p w14:paraId="0DB0FC87" w14:textId="77777777" w:rsidR="0089156E" w:rsidRPr="000B21CF" w:rsidRDefault="0089156E" w:rsidP="00D3615D">
            <w:pPr>
              <w:spacing w:after="120"/>
              <w:rPr>
                <w:rFonts w:ascii="Calibri" w:eastAsia="Calibri" w:hAnsi="Calibri" w:cs="Times New Roman"/>
                <w:lang w:val="en" w:eastAsia="en-AU"/>
              </w:rPr>
            </w:pPr>
            <w:r w:rsidRPr="000B21CF">
              <w:rPr>
                <w:rFonts w:ascii="Calibri" w:eastAsia="Calibri" w:hAnsi="Calibri" w:cs="Times New Roman"/>
                <w:lang w:val="en" w:eastAsia="en-AU"/>
              </w:rPr>
              <w:lastRenderedPageBreak/>
              <w:t>Total Secured/Unsecured</w:t>
            </w:r>
          </w:p>
        </w:tc>
        <w:tc>
          <w:tcPr>
            <w:tcW w:w="2268" w:type="dxa"/>
            <w:shd w:val="clear" w:color="auto" w:fill="auto"/>
          </w:tcPr>
          <w:p w14:paraId="4AF0C982" w14:textId="1A957BCC" w:rsidR="0089156E" w:rsidRPr="000B21CF" w:rsidRDefault="0089156E" w:rsidP="00D3615D">
            <w:pPr>
              <w:spacing w:after="120"/>
              <w:rPr>
                <w:rFonts w:ascii="Calibri" w:eastAsia="Calibri" w:hAnsi="Calibri" w:cs="Times New Roman"/>
                <w:noProof/>
              </w:rPr>
            </w:pPr>
          </w:p>
        </w:tc>
        <w:tc>
          <w:tcPr>
            <w:tcW w:w="2152" w:type="dxa"/>
            <w:shd w:val="clear" w:color="auto" w:fill="auto"/>
          </w:tcPr>
          <w:p w14:paraId="56F897AA" w14:textId="16BE38CB" w:rsidR="0089156E" w:rsidRPr="000B21CF" w:rsidRDefault="0089156E" w:rsidP="00D3615D">
            <w:pPr>
              <w:spacing w:after="120"/>
              <w:rPr>
                <w:rFonts w:ascii="Calibri" w:eastAsia="Calibri" w:hAnsi="Calibri" w:cs="Times New Roman"/>
                <w:noProof/>
              </w:rPr>
            </w:pPr>
          </w:p>
        </w:tc>
        <w:tc>
          <w:tcPr>
            <w:tcW w:w="2271" w:type="dxa"/>
            <w:shd w:val="clear" w:color="auto" w:fill="auto"/>
          </w:tcPr>
          <w:p w14:paraId="19DF2AC7" w14:textId="77777777" w:rsidR="0089156E" w:rsidRPr="000B21CF" w:rsidRDefault="0089156E" w:rsidP="00D3615D">
            <w:pPr>
              <w:spacing w:after="120"/>
              <w:rPr>
                <w:rFonts w:ascii="Calibri" w:eastAsia="Calibri" w:hAnsi="Calibri" w:cs="Times New Roman"/>
                <w:lang w:val="en" w:eastAsia="en-AU"/>
              </w:rPr>
            </w:pPr>
          </w:p>
        </w:tc>
        <w:tc>
          <w:tcPr>
            <w:tcW w:w="2290" w:type="dxa"/>
            <w:tcBorders>
              <w:right w:val="single" w:sz="4" w:space="0" w:color="auto"/>
            </w:tcBorders>
            <w:shd w:val="clear" w:color="auto" w:fill="auto"/>
          </w:tcPr>
          <w:p w14:paraId="2178DBDA" w14:textId="77777777" w:rsidR="0089156E" w:rsidRPr="000B21CF" w:rsidRDefault="0089156E" w:rsidP="00D3615D">
            <w:pPr>
              <w:spacing w:after="120"/>
              <w:rPr>
                <w:rFonts w:ascii="Calibri" w:eastAsia="Calibri" w:hAnsi="Calibri" w:cs="Times New Roman"/>
                <w:lang w:val="en" w:eastAsia="en-AU"/>
              </w:rPr>
            </w:pPr>
          </w:p>
        </w:tc>
      </w:tr>
      <w:tr w:rsidR="0089156E" w:rsidRPr="000B21CF" w14:paraId="5619C450" w14:textId="77777777" w:rsidTr="00930407">
        <w:tc>
          <w:tcPr>
            <w:tcW w:w="4339" w:type="dxa"/>
            <w:tcBorders>
              <w:left w:val="single" w:sz="4" w:space="0" w:color="auto"/>
            </w:tcBorders>
          </w:tcPr>
          <w:p w14:paraId="30DE00CA" w14:textId="77777777" w:rsidR="0089156E" w:rsidRPr="000B21CF" w:rsidRDefault="0089156E" w:rsidP="00D3615D">
            <w:pPr>
              <w:spacing w:after="120"/>
              <w:rPr>
                <w:rFonts w:ascii="Calibri" w:eastAsia="Calibri" w:hAnsi="Calibri" w:cs="Times New Roman"/>
                <w:lang w:val="en" w:eastAsia="en-AU"/>
              </w:rPr>
            </w:pPr>
            <w:r w:rsidRPr="000B21CF">
              <w:rPr>
                <w:rFonts w:ascii="Calibri" w:eastAsia="Calibri" w:hAnsi="Calibri" w:cs="Times New Roman"/>
                <w:lang w:val="en" w:eastAsia="en-AU"/>
              </w:rPr>
              <w:t>Total Current/Non Current</w:t>
            </w:r>
          </w:p>
        </w:tc>
        <w:tc>
          <w:tcPr>
            <w:tcW w:w="2268" w:type="dxa"/>
            <w:shd w:val="clear" w:color="auto" w:fill="auto"/>
          </w:tcPr>
          <w:p w14:paraId="626762F5" w14:textId="658278F5" w:rsidR="0089156E" w:rsidRPr="000B21CF" w:rsidRDefault="0089156E" w:rsidP="00D3615D">
            <w:pPr>
              <w:spacing w:after="120"/>
              <w:rPr>
                <w:rFonts w:ascii="Calibri" w:eastAsia="Calibri" w:hAnsi="Calibri" w:cs="Times New Roman"/>
                <w:noProof/>
              </w:rPr>
            </w:pPr>
          </w:p>
        </w:tc>
        <w:tc>
          <w:tcPr>
            <w:tcW w:w="2152" w:type="dxa"/>
            <w:shd w:val="clear" w:color="auto" w:fill="auto"/>
          </w:tcPr>
          <w:p w14:paraId="36866749" w14:textId="77777777" w:rsidR="0089156E" w:rsidRPr="000B21CF" w:rsidRDefault="0089156E" w:rsidP="00D3615D">
            <w:pPr>
              <w:spacing w:after="120"/>
              <w:rPr>
                <w:rFonts w:ascii="Calibri" w:eastAsia="Calibri" w:hAnsi="Calibri" w:cs="Times New Roman"/>
                <w:noProof/>
              </w:rPr>
            </w:pPr>
          </w:p>
        </w:tc>
        <w:tc>
          <w:tcPr>
            <w:tcW w:w="2271" w:type="dxa"/>
            <w:shd w:val="clear" w:color="auto" w:fill="auto"/>
          </w:tcPr>
          <w:p w14:paraId="5D3522DA" w14:textId="77777777" w:rsidR="0089156E" w:rsidRPr="000B21CF" w:rsidRDefault="0089156E" w:rsidP="00D3615D">
            <w:pPr>
              <w:spacing w:after="120"/>
              <w:rPr>
                <w:rFonts w:ascii="Calibri" w:eastAsia="Calibri" w:hAnsi="Calibri" w:cs="Times New Roman"/>
              </w:rPr>
            </w:pPr>
          </w:p>
        </w:tc>
        <w:tc>
          <w:tcPr>
            <w:tcW w:w="2290" w:type="dxa"/>
            <w:tcBorders>
              <w:right w:val="single" w:sz="4" w:space="0" w:color="auto"/>
            </w:tcBorders>
            <w:shd w:val="clear" w:color="auto" w:fill="auto"/>
          </w:tcPr>
          <w:p w14:paraId="5A86DC09" w14:textId="77777777" w:rsidR="0089156E" w:rsidRPr="000B21CF" w:rsidRDefault="0089156E" w:rsidP="00D3615D">
            <w:pPr>
              <w:spacing w:after="120"/>
              <w:rPr>
                <w:rFonts w:ascii="Calibri" w:eastAsia="Calibri" w:hAnsi="Calibri" w:cs="Times New Roman"/>
              </w:rPr>
            </w:pPr>
          </w:p>
        </w:tc>
      </w:tr>
    </w:tbl>
    <w:p w14:paraId="76A17058" w14:textId="636DCCA7" w:rsidR="00DE3042" w:rsidRDefault="00DE3042" w:rsidP="00D3615D">
      <w:pPr>
        <w:spacing w:before="120"/>
        <w:contextualSpacing/>
        <w:rPr>
          <w:rFonts w:ascii="Calibri" w:eastAsia="Calibri" w:hAnsi="Calibri"/>
        </w:rPr>
      </w:pPr>
      <w:r w:rsidRPr="000B21CF">
        <w:rPr>
          <w:rFonts w:ascii="Calibri" w:eastAsia="Calibri" w:hAnsi="Calibri"/>
        </w:rPr>
        <w:t>If</w:t>
      </w:r>
      <w:r>
        <w:rPr>
          <w:rFonts w:ascii="Calibri" w:eastAsia="Calibri" w:hAnsi="Calibri"/>
        </w:rPr>
        <w:t xml:space="preserve"> you have entered</w:t>
      </w:r>
      <w:r w:rsidRPr="000B21CF">
        <w:rPr>
          <w:rFonts w:ascii="Calibri" w:eastAsia="Calibri" w:hAnsi="Calibri"/>
        </w:rPr>
        <w:t xml:space="preserve"> an amount </w:t>
      </w:r>
      <w:r>
        <w:rPr>
          <w:rFonts w:ascii="Calibri" w:eastAsia="Calibri" w:hAnsi="Calibri"/>
        </w:rPr>
        <w:t xml:space="preserve">in the current, secured, ‘Non </w:t>
      </w:r>
      <w:r w:rsidRPr="000B21CF">
        <w:rPr>
          <w:rFonts w:ascii="Calibri" w:eastAsia="Calibri" w:hAnsi="Calibri"/>
        </w:rPr>
        <w:t xml:space="preserve">ADTI and Other’ area, </w:t>
      </w:r>
      <w:r>
        <w:rPr>
          <w:rFonts w:ascii="Calibri" w:eastAsia="Calibri" w:hAnsi="Calibri"/>
        </w:rPr>
        <w:t>give</w:t>
      </w:r>
      <w:r w:rsidRPr="000B21CF">
        <w:rPr>
          <w:rFonts w:ascii="Calibri" w:eastAsia="Calibri" w:hAnsi="Calibri"/>
        </w:rPr>
        <w:t xml:space="preserve"> a description of the collateral used to secure the amount.</w:t>
      </w:r>
    </w:p>
    <w:p w14:paraId="71A9CD76" w14:textId="7C8D748B" w:rsidR="00DE3042" w:rsidRDefault="00DE3042" w:rsidP="00930407">
      <w:pPr>
        <w:spacing w:after="200" w:line="276" w:lineRule="auto"/>
        <w:contextualSpacing/>
        <w:rPr>
          <w:rFonts w:ascii="Calibri" w:eastAsia="Calibri" w:hAnsi="Calibri"/>
        </w:rPr>
      </w:pPr>
    </w:p>
    <w:tbl>
      <w:tblPr>
        <w:tblStyle w:val="TableGrid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tblGrid>
      <w:tr w:rsidR="00DE3042" w:rsidRPr="00FB7590" w14:paraId="6F0E58F2" w14:textId="77777777" w:rsidTr="00BF4557">
        <w:tc>
          <w:tcPr>
            <w:tcW w:w="6101" w:type="dxa"/>
            <w:tcBorders>
              <w:top w:val="single" w:sz="4" w:space="0" w:color="auto"/>
              <w:left w:val="single" w:sz="4" w:space="0" w:color="auto"/>
              <w:bottom w:val="single" w:sz="4" w:space="0" w:color="auto"/>
              <w:right w:val="single" w:sz="4" w:space="0" w:color="auto"/>
            </w:tcBorders>
            <w:shd w:val="clear" w:color="auto" w:fill="0070C0"/>
          </w:tcPr>
          <w:p w14:paraId="682859EA" w14:textId="5D0724DF" w:rsidR="00DE3042" w:rsidRPr="00FB7590" w:rsidRDefault="00DE3042" w:rsidP="00BF4557">
            <w:pPr>
              <w:rPr>
                <w:rFonts w:ascii="Calibri" w:eastAsia="Calibri" w:hAnsi="Calibri" w:cs="Times New Roman"/>
                <w:b/>
                <w:bCs/>
                <w:iCs/>
                <w:color w:val="FFFFFF"/>
              </w:rPr>
            </w:pPr>
            <w:r>
              <w:rPr>
                <w:rFonts w:ascii="Calibri" w:eastAsia="Calibri" w:hAnsi="Calibri" w:cs="Times New Roman"/>
                <w:b/>
                <w:bCs/>
                <w:iCs/>
                <w:color w:val="FFFFFF"/>
              </w:rPr>
              <w:t>Collateral comment</w:t>
            </w:r>
          </w:p>
        </w:tc>
      </w:tr>
      <w:tr w:rsidR="00DE3042" w:rsidRPr="00FB7590" w14:paraId="3B3374B3" w14:textId="77777777" w:rsidTr="00D3615D">
        <w:trPr>
          <w:trHeight w:val="1667"/>
        </w:trPr>
        <w:tc>
          <w:tcPr>
            <w:tcW w:w="6101" w:type="dxa"/>
            <w:tcBorders>
              <w:top w:val="single" w:sz="4" w:space="0" w:color="auto"/>
              <w:left w:val="single" w:sz="4" w:space="0" w:color="auto"/>
              <w:bottom w:val="single" w:sz="4" w:space="0" w:color="auto"/>
              <w:right w:val="single" w:sz="4" w:space="0" w:color="auto"/>
            </w:tcBorders>
          </w:tcPr>
          <w:p w14:paraId="14772E2F" w14:textId="0ECD638E" w:rsidR="00DE3042" w:rsidRPr="00FB7590" w:rsidRDefault="00DE3042" w:rsidP="00BF4557">
            <w:pPr>
              <w:rPr>
                <w:rFonts w:ascii="Calibri" w:eastAsia="Calibri" w:hAnsi="Calibri" w:cs="Times New Roman"/>
                <w:b/>
                <w:bCs/>
                <w:iCs/>
              </w:rPr>
            </w:pPr>
          </w:p>
        </w:tc>
      </w:tr>
    </w:tbl>
    <w:p w14:paraId="16C43DE2" w14:textId="6D9B9C3D" w:rsidR="003A1BE7" w:rsidRPr="00D3615D" w:rsidRDefault="00DE3042" w:rsidP="00D3615D">
      <w:pPr>
        <w:keepNext/>
        <w:spacing w:before="240" w:after="120"/>
        <w:outlineLvl w:val="3"/>
        <w:rPr>
          <w:rFonts w:ascii="Calibri" w:hAnsi="Calibri" w:cs="Helvetica"/>
          <w:b/>
          <w:sz w:val="24"/>
          <w:szCs w:val="24"/>
          <w:lang w:val="en"/>
        </w:rPr>
      </w:pPr>
      <w:r w:rsidRPr="00D3615D">
        <w:rPr>
          <w:rFonts w:ascii="Calibri" w:hAnsi="Calibri" w:cs="Helvetica"/>
          <w:b/>
          <w:sz w:val="24"/>
          <w:szCs w:val="24"/>
          <w:lang w:val="en"/>
        </w:rPr>
        <w:t>Related/</w:t>
      </w:r>
      <w:r w:rsidR="009E5009" w:rsidRPr="00D3615D">
        <w:rPr>
          <w:rFonts w:ascii="Calibri" w:hAnsi="Calibri" w:cs="Helvetica"/>
          <w:b/>
          <w:sz w:val="24"/>
          <w:szCs w:val="24"/>
          <w:lang w:val="en"/>
        </w:rPr>
        <w:t>A</w:t>
      </w:r>
      <w:r w:rsidRPr="00D3615D">
        <w:rPr>
          <w:rFonts w:ascii="Calibri" w:hAnsi="Calibri" w:cs="Helvetica"/>
          <w:b/>
          <w:sz w:val="24"/>
          <w:szCs w:val="24"/>
          <w:lang w:val="en"/>
        </w:rPr>
        <w:t xml:space="preserve">ssociated </w:t>
      </w:r>
      <w:r w:rsidR="009E5009" w:rsidRPr="00D3615D">
        <w:rPr>
          <w:rFonts w:ascii="Calibri" w:hAnsi="Calibri" w:cs="Helvetica"/>
          <w:b/>
          <w:sz w:val="24"/>
          <w:szCs w:val="24"/>
          <w:lang w:val="en"/>
        </w:rPr>
        <w:t>P</w:t>
      </w:r>
      <w:r w:rsidRPr="00D3615D">
        <w:rPr>
          <w:rFonts w:ascii="Calibri" w:hAnsi="Calibri" w:cs="Helvetica"/>
          <w:b/>
          <w:sz w:val="24"/>
          <w:szCs w:val="24"/>
          <w:lang w:val="en"/>
        </w:rPr>
        <w:t>ersons</w:t>
      </w:r>
    </w:p>
    <w:tbl>
      <w:tblPr>
        <w:tblStyle w:val="TableGrid9"/>
        <w:tblW w:w="13320" w:type="dxa"/>
        <w:tblLook w:val="04A0" w:firstRow="1" w:lastRow="0" w:firstColumn="1" w:lastColumn="0" w:noHBand="0" w:noVBand="1"/>
      </w:tblPr>
      <w:tblGrid>
        <w:gridCol w:w="4339"/>
        <w:gridCol w:w="2268"/>
        <w:gridCol w:w="2152"/>
        <w:gridCol w:w="2271"/>
        <w:gridCol w:w="2290"/>
      </w:tblGrid>
      <w:tr w:rsidR="00E429A3" w:rsidRPr="000B21CF" w14:paraId="6F05FDC0" w14:textId="77777777" w:rsidTr="00356C9C">
        <w:tc>
          <w:tcPr>
            <w:tcW w:w="4339" w:type="dxa"/>
            <w:tcBorders>
              <w:left w:val="single" w:sz="4" w:space="0" w:color="auto"/>
            </w:tcBorders>
            <w:shd w:val="clear" w:color="auto" w:fill="0070C0"/>
          </w:tcPr>
          <w:p w14:paraId="2B4934AD" w14:textId="77777777" w:rsidR="00E429A3" w:rsidRPr="000B21CF" w:rsidRDefault="00E429A3" w:rsidP="00BF4557">
            <w:pPr>
              <w:rPr>
                <w:rFonts w:ascii="Calibri" w:eastAsia="Calibri" w:hAnsi="Calibri"/>
                <w:b/>
                <w:color w:val="FFFFFF"/>
                <w:lang w:val="en"/>
              </w:rPr>
            </w:pPr>
          </w:p>
        </w:tc>
        <w:tc>
          <w:tcPr>
            <w:tcW w:w="4420" w:type="dxa"/>
            <w:gridSpan w:val="2"/>
            <w:shd w:val="clear" w:color="auto" w:fill="0070C0"/>
          </w:tcPr>
          <w:p w14:paraId="0B684BAB" w14:textId="283DF479" w:rsidR="00E429A3" w:rsidRPr="000B21CF" w:rsidRDefault="00E429A3" w:rsidP="00B97D44">
            <w:pPr>
              <w:jc w:val="center"/>
              <w:rPr>
                <w:rFonts w:ascii="Calibri" w:eastAsia="Calibri" w:hAnsi="Calibri"/>
                <w:b/>
                <w:color w:val="FFFFFF"/>
                <w:lang w:val="en"/>
              </w:rPr>
            </w:pPr>
            <w:r>
              <w:rPr>
                <w:rFonts w:ascii="Calibri" w:eastAsia="Calibri" w:hAnsi="Calibri"/>
                <w:b/>
                <w:color w:val="FFFFFF"/>
                <w:lang w:val="en"/>
              </w:rPr>
              <w:t>Current</w:t>
            </w:r>
          </w:p>
        </w:tc>
        <w:tc>
          <w:tcPr>
            <w:tcW w:w="4561" w:type="dxa"/>
            <w:gridSpan w:val="2"/>
            <w:tcBorders>
              <w:right w:val="single" w:sz="4" w:space="0" w:color="auto"/>
            </w:tcBorders>
            <w:shd w:val="clear" w:color="auto" w:fill="0070C0"/>
          </w:tcPr>
          <w:p w14:paraId="1175CB54" w14:textId="2D2A0977" w:rsidR="00E429A3" w:rsidRPr="000B21CF" w:rsidRDefault="00E429A3" w:rsidP="00B97D44">
            <w:pPr>
              <w:jc w:val="center"/>
              <w:rPr>
                <w:rFonts w:ascii="Calibri" w:eastAsia="Calibri" w:hAnsi="Calibri"/>
                <w:b/>
                <w:color w:val="FFFFFF"/>
                <w:lang w:val="en"/>
              </w:rPr>
            </w:pPr>
            <w:r>
              <w:rPr>
                <w:rFonts w:ascii="Calibri" w:eastAsia="Calibri" w:hAnsi="Calibri"/>
                <w:b/>
                <w:color w:val="FFFFFF"/>
                <w:lang w:val="en"/>
              </w:rPr>
              <w:t>Non Current</w:t>
            </w:r>
          </w:p>
        </w:tc>
      </w:tr>
      <w:tr w:rsidR="00520E06" w:rsidRPr="000B21CF" w14:paraId="482E0576" w14:textId="77777777" w:rsidTr="00930407">
        <w:tc>
          <w:tcPr>
            <w:tcW w:w="4339" w:type="dxa"/>
            <w:tcBorders>
              <w:left w:val="single" w:sz="4" w:space="0" w:color="auto"/>
            </w:tcBorders>
            <w:shd w:val="clear" w:color="auto" w:fill="0070C0"/>
          </w:tcPr>
          <w:p w14:paraId="167CB375" w14:textId="77777777" w:rsidR="00520E06" w:rsidRPr="000B21CF" w:rsidRDefault="00520E06" w:rsidP="00BF4557">
            <w:pPr>
              <w:rPr>
                <w:rFonts w:ascii="Calibri" w:eastAsia="Calibri" w:hAnsi="Calibri" w:cs="Times New Roman"/>
                <w:b/>
                <w:color w:val="FFFFFF"/>
                <w:lang w:val="en" w:eastAsia="en-AU"/>
              </w:rPr>
            </w:pPr>
            <w:r w:rsidRPr="000B21CF">
              <w:rPr>
                <w:rFonts w:ascii="Calibri" w:eastAsia="Calibri" w:hAnsi="Calibri" w:cs="Times New Roman"/>
                <w:b/>
                <w:color w:val="FFFFFF"/>
                <w:lang w:val="en" w:eastAsia="en-AU"/>
              </w:rPr>
              <w:t>Approved Deposit Taking Institution (ADTI)</w:t>
            </w:r>
          </w:p>
        </w:tc>
        <w:tc>
          <w:tcPr>
            <w:tcW w:w="2268" w:type="dxa"/>
            <w:shd w:val="clear" w:color="auto" w:fill="0070C0"/>
          </w:tcPr>
          <w:p w14:paraId="48FD47C6" w14:textId="77777777" w:rsidR="00520E06" w:rsidRPr="000B21CF" w:rsidRDefault="00520E06" w:rsidP="00BF4557">
            <w:pPr>
              <w:rPr>
                <w:rFonts w:ascii="Calibri" w:eastAsia="Calibri" w:hAnsi="Calibri" w:cs="Times New Roman"/>
                <w:b/>
                <w:color w:val="FFFFFF"/>
                <w:lang w:val="en" w:eastAsia="en-AU"/>
              </w:rPr>
            </w:pPr>
            <w:r w:rsidRPr="000B21CF">
              <w:rPr>
                <w:rFonts w:ascii="Calibri" w:eastAsia="Calibri" w:hAnsi="Calibri" w:cs="Times New Roman"/>
                <w:b/>
                <w:color w:val="FFFFFF"/>
                <w:lang w:val="en" w:eastAsia="en-AU"/>
              </w:rPr>
              <w:t>Secured</w:t>
            </w:r>
          </w:p>
        </w:tc>
        <w:tc>
          <w:tcPr>
            <w:tcW w:w="2152" w:type="dxa"/>
            <w:shd w:val="clear" w:color="auto" w:fill="0070C0"/>
          </w:tcPr>
          <w:p w14:paraId="37B76094" w14:textId="77777777" w:rsidR="00520E06" w:rsidRPr="000B21CF" w:rsidRDefault="00520E06" w:rsidP="00BF4557">
            <w:pPr>
              <w:rPr>
                <w:rFonts w:ascii="Calibri" w:eastAsia="Calibri" w:hAnsi="Calibri" w:cs="Times New Roman"/>
                <w:b/>
                <w:color w:val="FFFFFF"/>
                <w:lang w:val="en" w:eastAsia="en-AU"/>
              </w:rPr>
            </w:pPr>
            <w:r w:rsidRPr="000B21CF">
              <w:rPr>
                <w:rFonts w:ascii="Calibri" w:eastAsia="Calibri" w:hAnsi="Calibri" w:cs="Times New Roman"/>
                <w:b/>
                <w:color w:val="FFFFFF"/>
                <w:lang w:val="en" w:eastAsia="en-AU"/>
              </w:rPr>
              <w:t>Unsecured</w:t>
            </w:r>
          </w:p>
        </w:tc>
        <w:tc>
          <w:tcPr>
            <w:tcW w:w="2271" w:type="dxa"/>
            <w:shd w:val="clear" w:color="auto" w:fill="0070C0"/>
          </w:tcPr>
          <w:p w14:paraId="1100EBF4" w14:textId="77777777" w:rsidR="00520E06" w:rsidRPr="000B21CF" w:rsidRDefault="00520E06" w:rsidP="00BF4557">
            <w:pPr>
              <w:rPr>
                <w:rFonts w:ascii="Calibri" w:eastAsia="Calibri" w:hAnsi="Calibri" w:cs="Times New Roman"/>
                <w:b/>
                <w:color w:val="FFFFFF"/>
                <w:lang w:val="en" w:eastAsia="en-AU"/>
              </w:rPr>
            </w:pPr>
            <w:r w:rsidRPr="000B21CF">
              <w:rPr>
                <w:rFonts w:ascii="Calibri" w:eastAsia="Calibri" w:hAnsi="Calibri" w:cs="Times New Roman"/>
                <w:b/>
                <w:color w:val="FFFFFF"/>
                <w:lang w:val="en" w:eastAsia="en-AU"/>
              </w:rPr>
              <w:t>Secured</w:t>
            </w:r>
          </w:p>
        </w:tc>
        <w:tc>
          <w:tcPr>
            <w:tcW w:w="2290" w:type="dxa"/>
            <w:tcBorders>
              <w:bottom w:val="single" w:sz="4" w:space="0" w:color="auto"/>
              <w:right w:val="single" w:sz="4" w:space="0" w:color="auto"/>
            </w:tcBorders>
            <w:shd w:val="clear" w:color="auto" w:fill="0070C0"/>
          </w:tcPr>
          <w:p w14:paraId="6B68AF7A" w14:textId="77777777" w:rsidR="00520E06" w:rsidRPr="000B21CF" w:rsidRDefault="00520E06" w:rsidP="00BF4557">
            <w:pPr>
              <w:rPr>
                <w:rFonts w:ascii="Calibri" w:eastAsia="Calibri" w:hAnsi="Calibri" w:cs="Times New Roman"/>
                <w:b/>
                <w:color w:val="FFFFFF"/>
                <w:lang w:val="en" w:eastAsia="en-AU"/>
              </w:rPr>
            </w:pPr>
            <w:r w:rsidRPr="000B21CF">
              <w:rPr>
                <w:rFonts w:ascii="Calibri" w:eastAsia="Calibri" w:hAnsi="Calibri" w:cs="Times New Roman"/>
                <w:b/>
                <w:color w:val="FFFFFF"/>
                <w:lang w:val="en" w:eastAsia="en-AU"/>
              </w:rPr>
              <w:t>Unsecured</w:t>
            </w:r>
          </w:p>
        </w:tc>
      </w:tr>
      <w:tr w:rsidR="00520E06" w:rsidRPr="000B21CF" w14:paraId="2A83F0A3" w14:textId="77777777" w:rsidTr="00930407">
        <w:tc>
          <w:tcPr>
            <w:tcW w:w="4339" w:type="dxa"/>
            <w:tcBorders>
              <w:left w:val="single" w:sz="4" w:space="0" w:color="auto"/>
            </w:tcBorders>
          </w:tcPr>
          <w:p w14:paraId="0B50A068" w14:textId="77777777" w:rsidR="00520E06" w:rsidRPr="000B21CF" w:rsidRDefault="00520E06" w:rsidP="00BF4557">
            <w:pPr>
              <w:rPr>
                <w:rFonts w:ascii="Calibri" w:eastAsia="Calibri" w:hAnsi="Calibri" w:cs="Times New Roman"/>
                <w:vertAlign w:val="superscript"/>
                <w:lang w:val="en" w:eastAsia="en-AU"/>
              </w:rPr>
            </w:pPr>
          </w:p>
        </w:tc>
        <w:tc>
          <w:tcPr>
            <w:tcW w:w="2268" w:type="dxa"/>
            <w:shd w:val="clear" w:color="auto" w:fill="auto"/>
          </w:tcPr>
          <w:p w14:paraId="2F266596" w14:textId="77777777" w:rsidR="00520E06" w:rsidRPr="000B21CF" w:rsidRDefault="00520E06" w:rsidP="00BF4557">
            <w:pPr>
              <w:rPr>
                <w:rFonts w:ascii="Calibri" w:eastAsia="Calibri" w:hAnsi="Calibri" w:cs="Times New Roman"/>
                <w:noProof/>
              </w:rPr>
            </w:pPr>
          </w:p>
        </w:tc>
        <w:tc>
          <w:tcPr>
            <w:tcW w:w="2152" w:type="dxa"/>
            <w:shd w:val="clear" w:color="auto" w:fill="auto"/>
          </w:tcPr>
          <w:p w14:paraId="6F1400FC" w14:textId="77777777" w:rsidR="00520E06" w:rsidRPr="000B21CF" w:rsidRDefault="00520E06" w:rsidP="00BF4557">
            <w:pPr>
              <w:rPr>
                <w:rFonts w:ascii="Calibri" w:eastAsia="Calibri" w:hAnsi="Calibri" w:cs="Times New Roman"/>
                <w:noProof/>
              </w:rPr>
            </w:pPr>
          </w:p>
        </w:tc>
        <w:tc>
          <w:tcPr>
            <w:tcW w:w="2271" w:type="dxa"/>
            <w:shd w:val="clear" w:color="auto" w:fill="auto"/>
          </w:tcPr>
          <w:p w14:paraId="6D76A70D" w14:textId="77777777" w:rsidR="00520E06" w:rsidRPr="000B21CF" w:rsidRDefault="00520E06" w:rsidP="00BF4557">
            <w:pPr>
              <w:rPr>
                <w:rFonts w:ascii="Calibri" w:eastAsia="Calibri" w:hAnsi="Calibri" w:cs="Times New Roman"/>
                <w:lang w:val="en" w:eastAsia="en-AU"/>
              </w:rPr>
            </w:pPr>
          </w:p>
        </w:tc>
        <w:tc>
          <w:tcPr>
            <w:tcW w:w="2290" w:type="dxa"/>
            <w:tcBorders>
              <w:right w:val="single" w:sz="4" w:space="0" w:color="auto"/>
            </w:tcBorders>
            <w:shd w:val="clear" w:color="auto" w:fill="auto"/>
          </w:tcPr>
          <w:p w14:paraId="7BF37FF3" w14:textId="77777777" w:rsidR="00520E06" w:rsidRPr="000B21CF" w:rsidRDefault="00520E06" w:rsidP="00BF4557">
            <w:pPr>
              <w:rPr>
                <w:rFonts w:ascii="Calibri" w:eastAsia="Calibri" w:hAnsi="Calibri" w:cs="Times New Roman"/>
                <w:lang w:val="en" w:eastAsia="en-AU"/>
              </w:rPr>
            </w:pPr>
          </w:p>
        </w:tc>
      </w:tr>
      <w:tr w:rsidR="00520E06" w:rsidRPr="000B21CF" w14:paraId="0ECF2C50" w14:textId="77777777" w:rsidTr="00930407">
        <w:tc>
          <w:tcPr>
            <w:tcW w:w="4339" w:type="dxa"/>
            <w:tcBorders>
              <w:left w:val="single" w:sz="4" w:space="0" w:color="auto"/>
            </w:tcBorders>
          </w:tcPr>
          <w:p w14:paraId="22B371E3" w14:textId="77777777" w:rsidR="00520E06" w:rsidRPr="000B21CF" w:rsidRDefault="00520E06" w:rsidP="00BF4557">
            <w:pPr>
              <w:rPr>
                <w:rFonts w:ascii="Calibri" w:eastAsia="Calibri" w:hAnsi="Calibri" w:cs="Times New Roman"/>
                <w:vertAlign w:val="superscript"/>
                <w:lang w:val="en" w:eastAsia="en-AU"/>
              </w:rPr>
            </w:pPr>
            <w:r w:rsidRPr="000B21CF">
              <w:rPr>
                <w:rFonts w:ascii="Calibri" w:eastAsia="Calibri" w:hAnsi="Calibri" w:cs="Times New Roman"/>
                <w:lang w:val="en" w:eastAsia="en-AU"/>
              </w:rPr>
              <w:t>Total ADTI</w:t>
            </w:r>
          </w:p>
        </w:tc>
        <w:tc>
          <w:tcPr>
            <w:tcW w:w="2268" w:type="dxa"/>
            <w:shd w:val="clear" w:color="auto" w:fill="auto"/>
          </w:tcPr>
          <w:p w14:paraId="7419D268" w14:textId="47690AFF" w:rsidR="00520E06" w:rsidRPr="000B21CF" w:rsidRDefault="00520E06" w:rsidP="00BF4557">
            <w:pPr>
              <w:rPr>
                <w:rFonts w:ascii="Calibri" w:eastAsia="Calibri" w:hAnsi="Calibri" w:cs="Times New Roman"/>
                <w:noProof/>
              </w:rPr>
            </w:pPr>
          </w:p>
        </w:tc>
        <w:tc>
          <w:tcPr>
            <w:tcW w:w="2152" w:type="dxa"/>
            <w:shd w:val="clear" w:color="auto" w:fill="auto"/>
          </w:tcPr>
          <w:p w14:paraId="192516BF" w14:textId="2CF829D1" w:rsidR="00520E06" w:rsidRPr="000B21CF" w:rsidRDefault="00520E06" w:rsidP="00BF4557">
            <w:pPr>
              <w:rPr>
                <w:rFonts w:ascii="Calibri" w:eastAsia="Calibri" w:hAnsi="Calibri" w:cs="Times New Roman"/>
                <w:noProof/>
              </w:rPr>
            </w:pPr>
          </w:p>
        </w:tc>
        <w:tc>
          <w:tcPr>
            <w:tcW w:w="2271" w:type="dxa"/>
            <w:shd w:val="clear" w:color="auto" w:fill="auto"/>
          </w:tcPr>
          <w:p w14:paraId="2409A7D9" w14:textId="08367A22" w:rsidR="00520E06" w:rsidRPr="000B21CF" w:rsidRDefault="00520E06" w:rsidP="00BF4557">
            <w:pPr>
              <w:rPr>
                <w:rFonts w:ascii="Calibri" w:eastAsia="Calibri" w:hAnsi="Calibri" w:cs="Times New Roman"/>
                <w:lang w:val="en" w:eastAsia="en-AU"/>
              </w:rPr>
            </w:pPr>
          </w:p>
        </w:tc>
        <w:tc>
          <w:tcPr>
            <w:tcW w:w="2290" w:type="dxa"/>
            <w:tcBorders>
              <w:right w:val="single" w:sz="4" w:space="0" w:color="auto"/>
            </w:tcBorders>
            <w:shd w:val="clear" w:color="auto" w:fill="auto"/>
          </w:tcPr>
          <w:p w14:paraId="38D15B8C" w14:textId="3A5273EF" w:rsidR="00520E06" w:rsidRPr="000B21CF" w:rsidRDefault="00520E06" w:rsidP="00BF4557">
            <w:pPr>
              <w:rPr>
                <w:rFonts w:ascii="Calibri" w:eastAsia="Calibri" w:hAnsi="Calibri" w:cs="Times New Roman"/>
                <w:lang w:val="en" w:eastAsia="en-AU"/>
              </w:rPr>
            </w:pPr>
          </w:p>
        </w:tc>
      </w:tr>
      <w:tr w:rsidR="00520E06" w:rsidRPr="000B21CF" w14:paraId="3173D204" w14:textId="77777777" w:rsidTr="00D3615D">
        <w:trPr>
          <w:trHeight w:val="476"/>
        </w:trPr>
        <w:tc>
          <w:tcPr>
            <w:tcW w:w="13320" w:type="dxa"/>
            <w:gridSpan w:val="5"/>
            <w:tcBorders>
              <w:left w:val="single" w:sz="4" w:space="0" w:color="auto"/>
              <w:right w:val="single" w:sz="4" w:space="0" w:color="auto"/>
            </w:tcBorders>
          </w:tcPr>
          <w:p w14:paraId="6ED8071B" w14:textId="60544014" w:rsidR="00520E06" w:rsidRPr="000B21CF" w:rsidRDefault="00520E06" w:rsidP="00BF4557">
            <w:pPr>
              <w:rPr>
                <w:rFonts w:ascii="Calibri" w:eastAsia="Calibri" w:hAnsi="Calibri" w:cs="Times New Roman"/>
                <w:lang w:val="en" w:eastAsia="en-AU"/>
              </w:rPr>
            </w:pPr>
            <w:r>
              <w:rPr>
                <w:rFonts w:ascii="Calibri" w:eastAsia="Calibri" w:hAnsi="Calibri" w:cs="Times New Roman"/>
                <w:lang w:val="en" w:eastAsia="en-AU"/>
              </w:rPr>
              <w:t>Non ADTI and Other</w:t>
            </w:r>
          </w:p>
        </w:tc>
      </w:tr>
      <w:tr w:rsidR="00520E06" w:rsidRPr="000B21CF" w14:paraId="741F5AC5" w14:textId="77777777" w:rsidTr="00930407">
        <w:tc>
          <w:tcPr>
            <w:tcW w:w="4339" w:type="dxa"/>
            <w:tcBorders>
              <w:left w:val="single" w:sz="4" w:space="0" w:color="auto"/>
            </w:tcBorders>
          </w:tcPr>
          <w:p w14:paraId="712C41BE" w14:textId="73D7E41B" w:rsidR="00520E06" w:rsidRPr="000B21CF" w:rsidRDefault="00520E06" w:rsidP="00BF4557">
            <w:pPr>
              <w:rPr>
                <w:rFonts w:ascii="Calibri" w:eastAsia="Calibri" w:hAnsi="Calibri" w:cs="Times New Roman"/>
                <w:lang w:val="en" w:eastAsia="en-AU"/>
              </w:rPr>
            </w:pPr>
          </w:p>
        </w:tc>
        <w:tc>
          <w:tcPr>
            <w:tcW w:w="2268" w:type="dxa"/>
            <w:shd w:val="clear" w:color="auto" w:fill="auto"/>
          </w:tcPr>
          <w:p w14:paraId="49E31C12" w14:textId="190B9B98" w:rsidR="00520E06" w:rsidRPr="000B21CF" w:rsidRDefault="00520E06" w:rsidP="00BF4557">
            <w:pPr>
              <w:rPr>
                <w:rFonts w:ascii="Calibri" w:eastAsia="Calibri" w:hAnsi="Calibri" w:cs="Times New Roman"/>
                <w:lang w:val="en" w:eastAsia="en-AU"/>
              </w:rPr>
            </w:pPr>
          </w:p>
        </w:tc>
        <w:tc>
          <w:tcPr>
            <w:tcW w:w="2152" w:type="dxa"/>
            <w:shd w:val="clear" w:color="auto" w:fill="auto"/>
          </w:tcPr>
          <w:p w14:paraId="28B8B6BB" w14:textId="4253846A" w:rsidR="00520E06" w:rsidRPr="000B21CF" w:rsidRDefault="00520E06" w:rsidP="00BF4557">
            <w:pPr>
              <w:rPr>
                <w:rFonts w:ascii="Calibri" w:eastAsia="Calibri" w:hAnsi="Calibri" w:cs="Times New Roman"/>
                <w:lang w:val="en" w:eastAsia="en-AU"/>
              </w:rPr>
            </w:pPr>
          </w:p>
        </w:tc>
        <w:tc>
          <w:tcPr>
            <w:tcW w:w="2271" w:type="dxa"/>
            <w:shd w:val="clear" w:color="auto" w:fill="auto"/>
          </w:tcPr>
          <w:p w14:paraId="5146F5C1" w14:textId="188F08DB" w:rsidR="00520E06" w:rsidRPr="000B21CF" w:rsidRDefault="00520E06" w:rsidP="00BF4557">
            <w:pPr>
              <w:rPr>
                <w:rFonts w:ascii="Calibri" w:eastAsia="Calibri" w:hAnsi="Calibri" w:cs="Times New Roman"/>
                <w:lang w:val="en" w:eastAsia="en-AU"/>
              </w:rPr>
            </w:pPr>
          </w:p>
        </w:tc>
        <w:tc>
          <w:tcPr>
            <w:tcW w:w="2290" w:type="dxa"/>
            <w:tcBorders>
              <w:right w:val="single" w:sz="4" w:space="0" w:color="auto"/>
            </w:tcBorders>
            <w:shd w:val="clear" w:color="auto" w:fill="auto"/>
          </w:tcPr>
          <w:p w14:paraId="2A4ED471" w14:textId="7B9EDCF1" w:rsidR="00520E06" w:rsidRPr="000B21CF" w:rsidRDefault="00520E06" w:rsidP="00BF4557">
            <w:pPr>
              <w:rPr>
                <w:rFonts w:ascii="Calibri" w:eastAsia="Calibri" w:hAnsi="Calibri" w:cs="Times New Roman"/>
                <w:lang w:val="en" w:eastAsia="en-AU"/>
              </w:rPr>
            </w:pPr>
          </w:p>
        </w:tc>
      </w:tr>
      <w:tr w:rsidR="00520E06" w:rsidRPr="000B21CF" w14:paraId="3816D420" w14:textId="77777777" w:rsidTr="00930407">
        <w:tc>
          <w:tcPr>
            <w:tcW w:w="4339" w:type="dxa"/>
            <w:tcBorders>
              <w:left w:val="single" w:sz="4" w:space="0" w:color="auto"/>
            </w:tcBorders>
          </w:tcPr>
          <w:p w14:paraId="71EA22DC" w14:textId="37E0F46D" w:rsidR="00520E06" w:rsidRPr="000B21CF" w:rsidRDefault="00EB6CF4" w:rsidP="00BF4557">
            <w:pPr>
              <w:rPr>
                <w:rFonts w:ascii="Calibri" w:eastAsia="Calibri" w:hAnsi="Calibri" w:cs="Times New Roman"/>
              </w:rPr>
            </w:pPr>
            <w:r>
              <w:rPr>
                <w:rFonts w:ascii="Calibri" w:eastAsia="Calibri" w:hAnsi="Calibri" w:cs="Times New Roman"/>
              </w:rPr>
              <w:t xml:space="preserve">Total </w:t>
            </w:r>
            <w:r w:rsidR="00520E06" w:rsidRPr="000B21CF">
              <w:rPr>
                <w:rFonts w:ascii="Calibri" w:eastAsia="Calibri" w:hAnsi="Calibri" w:cs="Times New Roman"/>
              </w:rPr>
              <w:t xml:space="preserve">Non ADTI </w:t>
            </w:r>
            <w:r>
              <w:rPr>
                <w:rFonts w:ascii="Calibri" w:eastAsia="Calibri" w:hAnsi="Calibri" w:cs="Times New Roman"/>
              </w:rPr>
              <w:t>and Other</w:t>
            </w:r>
          </w:p>
        </w:tc>
        <w:tc>
          <w:tcPr>
            <w:tcW w:w="2268" w:type="dxa"/>
            <w:shd w:val="clear" w:color="auto" w:fill="auto"/>
          </w:tcPr>
          <w:p w14:paraId="6517CB9E" w14:textId="3449E851" w:rsidR="00520E06" w:rsidRPr="000B21CF" w:rsidRDefault="00520E06" w:rsidP="00BF4557">
            <w:pPr>
              <w:rPr>
                <w:rFonts w:ascii="Calibri" w:eastAsia="Calibri" w:hAnsi="Calibri" w:cs="Times New Roman"/>
                <w:b/>
                <w:bCs/>
                <w:i/>
                <w:iCs/>
                <w:color w:val="8064A2"/>
              </w:rPr>
            </w:pPr>
          </w:p>
        </w:tc>
        <w:tc>
          <w:tcPr>
            <w:tcW w:w="2152" w:type="dxa"/>
            <w:shd w:val="clear" w:color="auto" w:fill="auto"/>
          </w:tcPr>
          <w:p w14:paraId="4DEBCA8A" w14:textId="7A08A626" w:rsidR="00520E06" w:rsidRPr="000B21CF" w:rsidRDefault="00520E06" w:rsidP="00BF4557">
            <w:pPr>
              <w:rPr>
                <w:rFonts w:ascii="Calibri" w:eastAsia="Calibri" w:hAnsi="Calibri" w:cs="Times New Roman"/>
                <w:b/>
                <w:bCs/>
                <w:i/>
                <w:iCs/>
                <w:color w:val="8064A2"/>
              </w:rPr>
            </w:pPr>
          </w:p>
        </w:tc>
        <w:tc>
          <w:tcPr>
            <w:tcW w:w="2271" w:type="dxa"/>
            <w:shd w:val="clear" w:color="auto" w:fill="auto"/>
          </w:tcPr>
          <w:p w14:paraId="6AFB0C9D" w14:textId="2A6A0D26" w:rsidR="00520E06" w:rsidRPr="000B21CF" w:rsidRDefault="00520E06" w:rsidP="00BF4557">
            <w:pPr>
              <w:rPr>
                <w:rFonts w:ascii="Calibri" w:eastAsia="Calibri" w:hAnsi="Calibri" w:cs="Times New Roman"/>
                <w:b/>
                <w:bCs/>
                <w:i/>
                <w:iCs/>
                <w:color w:val="8064A2"/>
              </w:rPr>
            </w:pPr>
          </w:p>
        </w:tc>
        <w:tc>
          <w:tcPr>
            <w:tcW w:w="2290" w:type="dxa"/>
            <w:tcBorders>
              <w:right w:val="single" w:sz="4" w:space="0" w:color="auto"/>
            </w:tcBorders>
            <w:shd w:val="clear" w:color="auto" w:fill="auto"/>
          </w:tcPr>
          <w:p w14:paraId="2E2C8F2F" w14:textId="1E6A240B" w:rsidR="00520E06" w:rsidRPr="000B21CF" w:rsidRDefault="00520E06" w:rsidP="00BF4557">
            <w:pPr>
              <w:rPr>
                <w:rFonts w:ascii="Calibri" w:eastAsia="Calibri" w:hAnsi="Calibri" w:cs="Times New Roman"/>
                <w:b/>
                <w:bCs/>
                <w:i/>
                <w:iCs/>
                <w:color w:val="8064A2"/>
              </w:rPr>
            </w:pPr>
          </w:p>
        </w:tc>
      </w:tr>
      <w:tr w:rsidR="00520E06" w:rsidRPr="000B21CF" w14:paraId="788B1AEA" w14:textId="77777777" w:rsidTr="00930407">
        <w:tc>
          <w:tcPr>
            <w:tcW w:w="4339" w:type="dxa"/>
            <w:tcBorders>
              <w:left w:val="single" w:sz="4" w:space="0" w:color="auto"/>
            </w:tcBorders>
          </w:tcPr>
          <w:p w14:paraId="5ED4B1B4" w14:textId="77777777" w:rsidR="00520E06" w:rsidRPr="000B21CF" w:rsidRDefault="00520E06" w:rsidP="00BF4557">
            <w:pPr>
              <w:rPr>
                <w:rFonts w:ascii="Calibri" w:eastAsia="Calibri" w:hAnsi="Calibri" w:cs="Times New Roman"/>
                <w:lang w:val="en" w:eastAsia="en-AU"/>
              </w:rPr>
            </w:pPr>
            <w:r w:rsidRPr="000B21CF">
              <w:rPr>
                <w:rFonts w:ascii="Calibri" w:eastAsia="Calibri" w:hAnsi="Calibri" w:cs="Times New Roman"/>
                <w:lang w:val="en" w:eastAsia="en-AU"/>
              </w:rPr>
              <w:t>Total Secured/Unsecured</w:t>
            </w:r>
          </w:p>
        </w:tc>
        <w:tc>
          <w:tcPr>
            <w:tcW w:w="2268" w:type="dxa"/>
            <w:shd w:val="clear" w:color="auto" w:fill="auto"/>
          </w:tcPr>
          <w:p w14:paraId="70F4F647" w14:textId="5CAC6E88" w:rsidR="00520E06" w:rsidRPr="000B21CF" w:rsidRDefault="00520E06" w:rsidP="00BF4557">
            <w:pPr>
              <w:rPr>
                <w:rFonts w:ascii="Calibri" w:eastAsia="Calibri" w:hAnsi="Calibri" w:cs="Times New Roman"/>
                <w:noProof/>
              </w:rPr>
            </w:pPr>
          </w:p>
        </w:tc>
        <w:tc>
          <w:tcPr>
            <w:tcW w:w="2152" w:type="dxa"/>
            <w:shd w:val="clear" w:color="auto" w:fill="auto"/>
          </w:tcPr>
          <w:p w14:paraId="079E1498" w14:textId="12623588" w:rsidR="00520E06" w:rsidRPr="000B21CF" w:rsidRDefault="00520E06" w:rsidP="00BF4557">
            <w:pPr>
              <w:rPr>
                <w:rFonts w:ascii="Calibri" w:eastAsia="Calibri" w:hAnsi="Calibri" w:cs="Times New Roman"/>
                <w:noProof/>
              </w:rPr>
            </w:pPr>
          </w:p>
        </w:tc>
        <w:tc>
          <w:tcPr>
            <w:tcW w:w="2271" w:type="dxa"/>
            <w:shd w:val="clear" w:color="auto" w:fill="auto"/>
          </w:tcPr>
          <w:p w14:paraId="5688BB9F" w14:textId="77777777" w:rsidR="00520E06" w:rsidRPr="000B21CF" w:rsidRDefault="00520E06" w:rsidP="00BF4557">
            <w:pPr>
              <w:rPr>
                <w:rFonts w:ascii="Calibri" w:eastAsia="Calibri" w:hAnsi="Calibri" w:cs="Times New Roman"/>
                <w:lang w:val="en" w:eastAsia="en-AU"/>
              </w:rPr>
            </w:pPr>
          </w:p>
        </w:tc>
        <w:tc>
          <w:tcPr>
            <w:tcW w:w="2290" w:type="dxa"/>
            <w:tcBorders>
              <w:right w:val="single" w:sz="4" w:space="0" w:color="auto"/>
            </w:tcBorders>
            <w:shd w:val="clear" w:color="auto" w:fill="auto"/>
          </w:tcPr>
          <w:p w14:paraId="5692B524" w14:textId="77777777" w:rsidR="00520E06" w:rsidRPr="000B21CF" w:rsidRDefault="00520E06" w:rsidP="00BF4557">
            <w:pPr>
              <w:rPr>
                <w:rFonts w:ascii="Calibri" w:eastAsia="Calibri" w:hAnsi="Calibri" w:cs="Times New Roman"/>
                <w:lang w:val="en" w:eastAsia="en-AU"/>
              </w:rPr>
            </w:pPr>
          </w:p>
        </w:tc>
      </w:tr>
      <w:tr w:rsidR="00520E06" w:rsidRPr="000B21CF" w14:paraId="5D5038A0" w14:textId="77777777" w:rsidTr="00930407">
        <w:tc>
          <w:tcPr>
            <w:tcW w:w="4339" w:type="dxa"/>
            <w:tcBorders>
              <w:left w:val="single" w:sz="4" w:space="0" w:color="auto"/>
            </w:tcBorders>
          </w:tcPr>
          <w:p w14:paraId="0B9469F6" w14:textId="77777777" w:rsidR="00520E06" w:rsidRPr="000B21CF" w:rsidRDefault="00520E06" w:rsidP="00BF4557">
            <w:pPr>
              <w:rPr>
                <w:rFonts w:ascii="Calibri" w:eastAsia="Calibri" w:hAnsi="Calibri" w:cs="Times New Roman"/>
                <w:lang w:val="en" w:eastAsia="en-AU"/>
              </w:rPr>
            </w:pPr>
            <w:r w:rsidRPr="000B21CF">
              <w:rPr>
                <w:rFonts w:ascii="Calibri" w:eastAsia="Calibri" w:hAnsi="Calibri" w:cs="Times New Roman"/>
                <w:lang w:val="en" w:eastAsia="en-AU"/>
              </w:rPr>
              <w:t>Total Current/Non Current</w:t>
            </w:r>
          </w:p>
        </w:tc>
        <w:tc>
          <w:tcPr>
            <w:tcW w:w="2268" w:type="dxa"/>
            <w:shd w:val="clear" w:color="auto" w:fill="auto"/>
          </w:tcPr>
          <w:p w14:paraId="498CB144" w14:textId="0189229C" w:rsidR="00520E06" w:rsidRPr="000B21CF" w:rsidRDefault="00520E06" w:rsidP="00BF4557">
            <w:pPr>
              <w:rPr>
                <w:rFonts w:ascii="Calibri" w:eastAsia="Calibri" w:hAnsi="Calibri" w:cs="Times New Roman"/>
                <w:noProof/>
              </w:rPr>
            </w:pPr>
          </w:p>
        </w:tc>
        <w:tc>
          <w:tcPr>
            <w:tcW w:w="2152" w:type="dxa"/>
            <w:shd w:val="clear" w:color="auto" w:fill="auto"/>
          </w:tcPr>
          <w:p w14:paraId="4448CBDE" w14:textId="0AA7EB5A" w:rsidR="00520E06" w:rsidRPr="000B21CF" w:rsidRDefault="00520E06" w:rsidP="00BF4557">
            <w:pPr>
              <w:rPr>
                <w:rFonts w:ascii="Calibri" w:eastAsia="Calibri" w:hAnsi="Calibri" w:cs="Times New Roman"/>
                <w:noProof/>
              </w:rPr>
            </w:pPr>
          </w:p>
        </w:tc>
        <w:tc>
          <w:tcPr>
            <w:tcW w:w="2271" w:type="dxa"/>
            <w:shd w:val="clear" w:color="auto" w:fill="auto"/>
          </w:tcPr>
          <w:p w14:paraId="37C1D240" w14:textId="77777777" w:rsidR="00520E06" w:rsidRPr="000B21CF" w:rsidRDefault="00520E06" w:rsidP="00BF4557">
            <w:pPr>
              <w:rPr>
                <w:rFonts w:ascii="Calibri" w:eastAsia="Calibri" w:hAnsi="Calibri" w:cs="Times New Roman"/>
              </w:rPr>
            </w:pPr>
          </w:p>
        </w:tc>
        <w:tc>
          <w:tcPr>
            <w:tcW w:w="2290" w:type="dxa"/>
            <w:tcBorders>
              <w:right w:val="single" w:sz="4" w:space="0" w:color="auto"/>
            </w:tcBorders>
            <w:shd w:val="clear" w:color="auto" w:fill="auto"/>
          </w:tcPr>
          <w:p w14:paraId="21ABA97C" w14:textId="77777777" w:rsidR="00520E06" w:rsidRPr="000B21CF" w:rsidRDefault="00520E06" w:rsidP="00BF4557">
            <w:pPr>
              <w:rPr>
                <w:rFonts w:ascii="Calibri" w:eastAsia="Calibri" w:hAnsi="Calibri" w:cs="Times New Roman"/>
              </w:rPr>
            </w:pPr>
          </w:p>
        </w:tc>
      </w:tr>
    </w:tbl>
    <w:p w14:paraId="028D6E13" w14:textId="3D4CCAB7" w:rsidR="00DE3042" w:rsidRPr="000B21CF" w:rsidRDefault="00DE3042" w:rsidP="00D3615D">
      <w:pPr>
        <w:pStyle w:val="ListParagraph"/>
        <w:numPr>
          <w:ilvl w:val="0"/>
          <w:numId w:val="82"/>
        </w:numPr>
        <w:spacing w:after="120"/>
        <w:ind w:left="714" w:hanging="357"/>
        <w:rPr>
          <w:rFonts w:ascii="Calibri" w:eastAsia="Calibri" w:hAnsi="Calibri"/>
        </w:rPr>
      </w:pPr>
      <w:r w:rsidRPr="000B21CF">
        <w:rPr>
          <w:rFonts w:ascii="Calibri" w:eastAsia="Calibri" w:hAnsi="Calibri"/>
        </w:rPr>
        <w:lastRenderedPageBreak/>
        <w:t xml:space="preserve">Refer ‘Related/Associated Person Balance’ definition. </w:t>
      </w:r>
      <w:r>
        <w:rPr>
          <w:rFonts w:ascii="Calibri" w:eastAsia="Calibri" w:hAnsi="Calibri"/>
        </w:rPr>
        <w:t xml:space="preserve">You should only include </w:t>
      </w:r>
      <w:r w:rsidRPr="000B21CF">
        <w:rPr>
          <w:rFonts w:ascii="Calibri" w:eastAsia="Calibri" w:hAnsi="Calibri"/>
        </w:rPr>
        <w:t>non-trade amounts here unless otherwise advised</w:t>
      </w:r>
      <w:r>
        <w:rPr>
          <w:rFonts w:ascii="Calibri" w:eastAsia="Calibri" w:hAnsi="Calibri"/>
        </w:rPr>
        <w:t>.</w:t>
      </w:r>
    </w:p>
    <w:p w14:paraId="06C480CF" w14:textId="4381A359" w:rsidR="00DE3042" w:rsidRPr="000B21CF" w:rsidRDefault="00DE3042" w:rsidP="00D3615D">
      <w:pPr>
        <w:pStyle w:val="ListParagraph"/>
        <w:numPr>
          <w:ilvl w:val="0"/>
          <w:numId w:val="82"/>
        </w:numPr>
        <w:spacing w:after="120"/>
        <w:ind w:left="714" w:hanging="357"/>
        <w:rPr>
          <w:rFonts w:ascii="Calibri" w:eastAsia="Calibri" w:hAnsi="Calibri"/>
        </w:rPr>
      </w:pPr>
      <w:r w:rsidRPr="000B21CF">
        <w:rPr>
          <w:rFonts w:ascii="Calibri" w:eastAsia="Calibri" w:hAnsi="Calibri"/>
        </w:rPr>
        <w:t xml:space="preserve">Although amounts owing from an ADTI do not fall within the definition of ‘Related/Associated Person Balance’ in the Market Integrity Rules, </w:t>
      </w:r>
      <w:r>
        <w:rPr>
          <w:rFonts w:ascii="Calibri" w:eastAsia="Calibri" w:hAnsi="Calibri"/>
        </w:rPr>
        <w:t xml:space="preserve">you should report them in </w:t>
      </w:r>
      <w:r w:rsidRPr="000B21CF">
        <w:rPr>
          <w:rFonts w:ascii="Calibri" w:eastAsia="Calibri" w:hAnsi="Calibri"/>
        </w:rPr>
        <w:t>this section.</w:t>
      </w:r>
    </w:p>
    <w:p w14:paraId="060FDB52" w14:textId="32C52531" w:rsidR="00DE3042" w:rsidRDefault="00DE3042" w:rsidP="00D3615D">
      <w:pPr>
        <w:pStyle w:val="ListParagraph"/>
        <w:numPr>
          <w:ilvl w:val="0"/>
          <w:numId w:val="82"/>
        </w:numPr>
        <w:spacing w:after="120"/>
        <w:ind w:left="714" w:hanging="357"/>
        <w:rPr>
          <w:rFonts w:ascii="Calibri" w:eastAsia="Calibri" w:hAnsi="Calibri"/>
        </w:rPr>
      </w:pPr>
      <w:r>
        <w:rPr>
          <w:rFonts w:ascii="Calibri" w:eastAsia="Calibri" w:hAnsi="Calibri"/>
        </w:rPr>
        <w:t xml:space="preserve">You must report </w:t>
      </w:r>
      <w:r w:rsidRPr="000B21CF">
        <w:rPr>
          <w:rFonts w:ascii="Calibri" w:eastAsia="Calibri" w:hAnsi="Calibri"/>
        </w:rPr>
        <w:t>Related/Associated Person Balances (refer ‘Related/Associated Person Balance’ definition) that are not secured by liquid assets in the ‘unsecured’ column. If the Related/Associated Person is not an ADTI, this ‘unsecured’ asset must be treated as an ‘Excluded Asset’ and excluded from the liquid capital calculation</w:t>
      </w:r>
      <w:r>
        <w:rPr>
          <w:rFonts w:ascii="Calibri" w:eastAsia="Calibri" w:hAnsi="Calibri"/>
        </w:rPr>
        <w:t>.</w:t>
      </w:r>
    </w:p>
    <w:p w14:paraId="202CFCDD" w14:textId="124493D9" w:rsidR="00DE3042" w:rsidRPr="00930407" w:rsidRDefault="00DE3042" w:rsidP="00D3615D">
      <w:pPr>
        <w:pStyle w:val="ListParagraph"/>
        <w:numPr>
          <w:ilvl w:val="0"/>
          <w:numId w:val="82"/>
        </w:numPr>
        <w:spacing w:after="120"/>
        <w:ind w:left="714" w:hanging="357"/>
        <w:rPr>
          <w:rFonts w:ascii="Calibri" w:eastAsia="Calibri" w:hAnsi="Calibri"/>
        </w:rPr>
      </w:pPr>
      <w:r w:rsidRPr="00930407">
        <w:rPr>
          <w:rFonts w:ascii="Calibri" w:eastAsia="Calibri" w:hAnsi="Calibri"/>
        </w:rPr>
        <w:t xml:space="preserve">If you have entered an amount in the current, secured, ‘Non ADTI and Other’ area, use the comment </w:t>
      </w:r>
      <w:r w:rsidR="00FD64AD">
        <w:rPr>
          <w:rFonts w:ascii="Calibri" w:eastAsia="Calibri" w:hAnsi="Calibri"/>
        </w:rPr>
        <w:t>function</w:t>
      </w:r>
      <w:r w:rsidR="00FD64AD" w:rsidRPr="00930407">
        <w:rPr>
          <w:rFonts w:ascii="Calibri" w:eastAsia="Calibri" w:hAnsi="Calibri"/>
        </w:rPr>
        <w:t xml:space="preserve"> </w:t>
      </w:r>
      <w:r w:rsidRPr="00930407">
        <w:rPr>
          <w:rFonts w:ascii="Calibri" w:eastAsia="Calibri" w:hAnsi="Calibri"/>
        </w:rPr>
        <w:t>to provide a description of the collateral used to secure the amount.</w:t>
      </w:r>
    </w:p>
    <w:tbl>
      <w:tblPr>
        <w:tblStyle w:val="TableGrid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tblGrid>
      <w:tr w:rsidR="00DE3042" w:rsidRPr="00FB7590" w14:paraId="6CAAE19A" w14:textId="77777777" w:rsidTr="00BF4557">
        <w:tc>
          <w:tcPr>
            <w:tcW w:w="6101" w:type="dxa"/>
            <w:tcBorders>
              <w:top w:val="single" w:sz="4" w:space="0" w:color="auto"/>
              <w:left w:val="single" w:sz="4" w:space="0" w:color="auto"/>
              <w:bottom w:val="single" w:sz="4" w:space="0" w:color="auto"/>
              <w:right w:val="single" w:sz="4" w:space="0" w:color="auto"/>
            </w:tcBorders>
            <w:shd w:val="clear" w:color="auto" w:fill="0070C0"/>
          </w:tcPr>
          <w:p w14:paraId="560A855B" w14:textId="7E9C4618" w:rsidR="00DE3042" w:rsidRPr="00FB7590" w:rsidRDefault="00DE3042" w:rsidP="00BF4557">
            <w:pPr>
              <w:rPr>
                <w:rFonts w:ascii="Calibri" w:eastAsia="Calibri" w:hAnsi="Calibri" w:cs="Times New Roman"/>
                <w:b/>
                <w:bCs/>
                <w:iCs/>
                <w:color w:val="FFFFFF"/>
              </w:rPr>
            </w:pPr>
            <w:r>
              <w:rPr>
                <w:rFonts w:ascii="Calibri" w:eastAsia="Calibri" w:hAnsi="Calibri" w:cs="Times New Roman"/>
                <w:b/>
                <w:bCs/>
                <w:iCs/>
                <w:color w:val="FFFFFF"/>
              </w:rPr>
              <w:t>Collateral comment</w:t>
            </w:r>
          </w:p>
        </w:tc>
      </w:tr>
      <w:tr w:rsidR="00DE3042" w:rsidRPr="00FB7590" w14:paraId="28E3CDC8" w14:textId="77777777" w:rsidTr="00D3615D">
        <w:trPr>
          <w:trHeight w:val="1382"/>
        </w:trPr>
        <w:tc>
          <w:tcPr>
            <w:tcW w:w="6101" w:type="dxa"/>
            <w:tcBorders>
              <w:top w:val="single" w:sz="4" w:space="0" w:color="auto"/>
              <w:left w:val="single" w:sz="4" w:space="0" w:color="auto"/>
              <w:bottom w:val="single" w:sz="4" w:space="0" w:color="auto"/>
              <w:right w:val="single" w:sz="4" w:space="0" w:color="auto"/>
            </w:tcBorders>
          </w:tcPr>
          <w:p w14:paraId="729DC036" w14:textId="0891A914" w:rsidR="00DE3042" w:rsidRPr="00FB7590" w:rsidRDefault="00DE3042" w:rsidP="00BF4557">
            <w:pPr>
              <w:rPr>
                <w:rFonts w:ascii="Calibri" w:eastAsia="Calibri" w:hAnsi="Calibri" w:cs="Times New Roman"/>
                <w:b/>
                <w:bCs/>
                <w:iCs/>
              </w:rPr>
            </w:pPr>
          </w:p>
        </w:tc>
      </w:tr>
    </w:tbl>
    <w:p w14:paraId="1AEC2FA3" w14:textId="3E1893E7" w:rsidR="003A1BE7" w:rsidRPr="00D3615D" w:rsidRDefault="00DE3042" w:rsidP="00D3615D">
      <w:pPr>
        <w:keepNext/>
        <w:spacing w:before="240" w:after="120"/>
        <w:outlineLvl w:val="3"/>
        <w:rPr>
          <w:rFonts w:ascii="Calibri" w:hAnsi="Calibri" w:cs="Helvetica"/>
          <w:b/>
          <w:sz w:val="24"/>
          <w:szCs w:val="24"/>
          <w:lang w:val="en"/>
        </w:rPr>
      </w:pPr>
      <w:r w:rsidRPr="00D3615D">
        <w:rPr>
          <w:rFonts w:ascii="Calibri" w:hAnsi="Calibri" w:cs="Helvetica"/>
          <w:b/>
          <w:sz w:val="24"/>
          <w:szCs w:val="24"/>
          <w:lang w:val="en"/>
        </w:rPr>
        <w:t xml:space="preserve">Contingent </w:t>
      </w:r>
      <w:r w:rsidR="009E5009" w:rsidRPr="00D3615D">
        <w:rPr>
          <w:rFonts w:ascii="Calibri" w:hAnsi="Calibri" w:cs="Helvetica"/>
          <w:b/>
          <w:sz w:val="24"/>
          <w:szCs w:val="24"/>
          <w:lang w:val="en"/>
        </w:rPr>
        <w:t>L</w:t>
      </w:r>
      <w:r w:rsidRPr="00D3615D">
        <w:rPr>
          <w:rFonts w:ascii="Calibri" w:hAnsi="Calibri" w:cs="Helvetica"/>
          <w:b/>
          <w:sz w:val="24"/>
          <w:szCs w:val="24"/>
          <w:lang w:val="en"/>
        </w:rPr>
        <w:t>iabilities</w:t>
      </w:r>
    </w:p>
    <w:tbl>
      <w:tblPr>
        <w:tblStyle w:val="TableGrid9"/>
        <w:tblW w:w="9351" w:type="dxa"/>
        <w:tblLook w:val="04A0" w:firstRow="1" w:lastRow="0" w:firstColumn="1" w:lastColumn="0" w:noHBand="0" w:noVBand="1"/>
      </w:tblPr>
      <w:tblGrid>
        <w:gridCol w:w="4957"/>
        <w:gridCol w:w="4394"/>
      </w:tblGrid>
      <w:tr w:rsidR="00520E06" w:rsidRPr="000B21CF" w14:paraId="5C3E1A06" w14:textId="77777777" w:rsidTr="00D3615D">
        <w:tc>
          <w:tcPr>
            <w:tcW w:w="4957" w:type="dxa"/>
            <w:tcBorders>
              <w:left w:val="single" w:sz="4" w:space="0" w:color="auto"/>
            </w:tcBorders>
            <w:shd w:val="clear" w:color="auto" w:fill="0070C0"/>
          </w:tcPr>
          <w:p w14:paraId="5CE3CF5F" w14:textId="77777777" w:rsidR="00520E06" w:rsidRPr="000B21CF" w:rsidRDefault="00520E06" w:rsidP="00D3615D">
            <w:pPr>
              <w:spacing w:before="40"/>
              <w:rPr>
                <w:rFonts w:ascii="Calibri" w:eastAsia="Calibri" w:hAnsi="Calibri" w:cs="Times New Roman"/>
                <w:b/>
                <w:color w:val="FFFFFF"/>
                <w:lang w:val="en" w:eastAsia="en-AU"/>
              </w:rPr>
            </w:pPr>
            <w:r w:rsidRPr="000B21CF">
              <w:rPr>
                <w:rFonts w:ascii="Calibri" w:eastAsia="Calibri" w:hAnsi="Calibri" w:cs="Times New Roman"/>
                <w:b/>
                <w:color w:val="FFFFFF"/>
                <w:lang w:val="en" w:eastAsia="en-AU"/>
              </w:rPr>
              <w:t>Underwriting</w:t>
            </w:r>
          </w:p>
        </w:tc>
        <w:tc>
          <w:tcPr>
            <w:tcW w:w="4394" w:type="dxa"/>
            <w:shd w:val="clear" w:color="auto" w:fill="0070C0"/>
          </w:tcPr>
          <w:p w14:paraId="2A974B13" w14:textId="77777777" w:rsidR="00520E06" w:rsidRPr="000B21CF" w:rsidRDefault="00520E06" w:rsidP="00D3615D">
            <w:pPr>
              <w:spacing w:before="40"/>
              <w:rPr>
                <w:rFonts w:ascii="Calibri" w:eastAsia="Calibri" w:hAnsi="Calibri" w:cs="Times New Roman"/>
                <w:b/>
                <w:color w:val="FFFFFF"/>
                <w:lang w:val="en" w:eastAsia="en-AU"/>
              </w:rPr>
            </w:pPr>
          </w:p>
        </w:tc>
      </w:tr>
      <w:tr w:rsidR="00520E06" w:rsidRPr="000B21CF" w14:paraId="22D19597" w14:textId="77777777" w:rsidTr="00D3615D">
        <w:trPr>
          <w:trHeight w:val="392"/>
        </w:trPr>
        <w:tc>
          <w:tcPr>
            <w:tcW w:w="4957" w:type="dxa"/>
            <w:tcBorders>
              <w:left w:val="single" w:sz="4" w:space="0" w:color="auto"/>
            </w:tcBorders>
          </w:tcPr>
          <w:p w14:paraId="55792F05" w14:textId="77777777" w:rsidR="00520E06" w:rsidRPr="000B21CF" w:rsidRDefault="00520E06" w:rsidP="00D3615D">
            <w:pPr>
              <w:spacing w:after="120"/>
              <w:rPr>
                <w:rFonts w:ascii="Calibri" w:eastAsia="Calibri" w:hAnsi="Calibri" w:cs="Times New Roman"/>
                <w:lang w:val="en" w:eastAsia="en-AU"/>
              </w:rPr>
            </w:pPr>
            <w:r w:rsidRPr="000B21CF">
              <w:rPr>
                <w:rFonts w:ascii="Calibri" w:eastAsia="Calibri" w:hAnsi="Calibri" w:cs="Times New Roman"/>
                <w:lang w:val="en" w:eastAsia="en-AU"/>
              </w:rPr>
              <w:t>Gross Underwriting Commitments</w:t>
            </w:r>
          </w:p>
        </w:tc>
        <w:tc>
          <w:tcPr>
            <w:tcW w:w="4394" w:type="dxa"/>
            <w:shd w:val="clear" w:color="auto" w:fill="auto"/>
          </w:tcPr>
          <w:p w14:paraId="250DC0AA" w14:textId="499E8F72" w:rsidR="00520E06" w:rsidRPr="000B21CF" w:rsidRDefault="00520E06" w:rsidP="00D3615D">
            <w:pPr>
              <w:spacing w:after="120"/>
              <w:rPr>
                <w:rFonts w:ascii="Calibri" w:eastAsia="Calibri" w:hAnsi="Calibri" w:cs="Times New Roman"/>
                <w:lang w:val="en" w:eastAsia="en-AU"/>
              </w:rPr>
            </w:pPr>
          </w:p>
        </w:tc>
      </w:tr>
      <w:tr w:rsidR="00520E06" w:rsidRPr="000B21CF" w14:paraId="585DCDF7" w14:textId="77777777" w:rsidTr="00D3615D">
        <w:tc>
          <w:tcPr>
            <w:tcW w:w="4957" w:type="dxa"/>
            <w:tcBorders>
              <w:left w:val="single" w:sz="4" w:space="0" w:color="auto"/>
            </w:tcBorders>
          </w:tcPr>
          <w:p w14:paraId="5D648105" w14:textId="77777777" w:rsidR="00520E06" w:rsidRPr="000B21CF" w:rsidRDefault="00520E06" w:rsidP="00D3615D">
            <w:pPr>
              <w:spacing w:after="120"/>
              <w:rPr>
                <w:rFonts w:ascii="Calibri" w:eastAsia="Calibri" w:hAnsi="Calibri" w:cs="Times New Roman"/>
                <w:lang w:val="en" w:eastAsia="en-AU"/>
              </w:rPr>
            </w:pPr>
            <w:r w:rsidRPr="000B21CF">
              <w:rPr>
                <w:rFonts w:ascii="Calibri" w:eastAsia="Calibri" w:hAnsi="Calibri" w:cs="Times New Roman"/>
                <w:lang w:val="en" w:eastAsia="en-AU"/>
              </w:rPr>
              <w:t>Gross Sub Underwriting Commitments</w:t>
            </w:r>
          </w:p>
        </w:tc>
        <w:tc>
          <w:tcPr>
            <w:tcW w:w="4394" w:type="dxa"/>
            <w:shd w:val="clear" w:color="auto" w:fill="auto"/>
          </w:tcPr>
          <w:p w14:paraId="73B67B60" w14:textId="62F1D92F" w:rsidR="00520E06" w:rsidRPr="000B21CF" w:rsidRDefault="00520E06" w:rsidP="00D3615D">
            <w:pPr>
              <w:spacing w:after="120"/>
              <w:rPr>
                <w:rFonts w:ascii="Calibri" w:eastAsia="Calibri" w:hAnsi="Calibri" w:cs="Times New Roman"/>
                <w:lang w:val="en" w:eastAsia="en-AU"/>
              </w:rPr>
            </w:pPr>
          </w:p>
        </w:tc>
      </w:tr>
      <w:tr w:rsidR="00520E06" w:rsidRPr="000B21CF" w14:paraId="23CD51FE" w14:textId="77777777" w:rsidTr="00D3615D">
        <w:tc>
          <w:tcPr>
            <w:tcW w:w="4957" w:type="dxa"/>
            <w:tcBorders>
              <w:left w:val="single" w:sz="4" w:space="0" w:color="auto"/>
            </w:tcBorders>
          </w:tcPr>
          <w:p w14:paraId="21B36987" w14:textId="77777777" w:rsidR="00520E06" w:rsidRPr="000B21CF" w:rsidRDefault="00520E06" w:rsidP="00D3615D">
            <w:pPr>
              <w:spacing w:after="120"/>
              <w:rPr>
                <w:rFonts w:ascii="Calibri" w:eastAsia="Calibri" w:hAnsi="Calibri" w:cs="Times New Roman"/>
                <w:lang w:val="en" w:eastAsia="en-AU"/>
              </w:rPr>
            </w:pPr>
            <w:r w:rsidRPr="000B21CF">
              <w:rPr>
                <w:rFonts w:ascii="Calibri" w:eastAsia="Calibri" w:hAnsi="Calibri" w:cs="Times New Roman"/>
                <w:lang w:val="en" w:eastAsia="en-AU"/>
              </w:rPr>
              <w:t>Total</w:t>
            </w:r>
          </w:p>
        </w:tc>
        <w:tc>
          <w:tcPr>
            <w:tcW w:w="4394" w:type="dxa"/>
            <w:shd w:val="clear" w:color="auto" w:fill="auto"/>
          </w:tcPr>
          <w:p w14:paraId="1F11F5D9" w14:textId="7325D8EE" w:rsidR="00520E06" w:rsidRPr="000B21CF" w:rsidRDefault="00520E06" w:rsidP="00D3615D">
            <w:pPr>
              <w:spacing w:after="120"/>
              <w:rPr>
                <w:rFonts w:ascii="Calibri" w:eastAsia="Calibri" w:hAnsi="Calibri" w:cs="Times New Roman"/>
                <w:lang w:val="en" w:eastAsia="en-AU"/>
              </w:rPr>
            </w:pPr>
          </w:p>
        </w:tc>
      </w:tr>
      <w:tr w:rsidR="00520E06" w:rsidRPr="000B21CF" w14:paraId="5C3D06E8" w14:textId="77777777" w:rsidTr="00D3615D">
        <w:tc>
          <w:tcPr>
            <w:tcW w:w="4957" w:type="dxa"/>
            <w:tcBorders>
              <w:left w:val="single" w:sz="4" w:space="0" w:color="auto"/>
            </w:tcBorders>
          </w:tcPr>
          <w:p w14:paraId="16CF4548" w14:textId="77777777" w:rsidR="00520E06" w:rsidRPr="000B21CF" w:rsidRDefault="00520E06" w:rsidP="00D3615D">
            <w:pPr>
              <w:spacing w:after="120"/>
              <w:rPr>
                <w:rFonts w:ascii="Calibri" w:eastAsia="Calibri" w:hAnsi="Calibri" w:cs="Times New Roman"/>
                <w:lang w:val="en" w:eastAsia="en-AU"/>
              </w:rPr>
            </w:pPr>
            <w:r w:rsidRPr="000B21CF">
              <w:rPr>
                <w:rFonts w:ascii="Calibri" w:eastAsia="Calibri" w:hAnsi="Calibri" w:cs="Times New Roman"/>
              </w:rPr>
              <w:t>Reduce underwriting and sub underwriting commitments by sub underwritten amounts and/or amounts received from client placement</w:t>
            </w:r>
          </w:p>
        </w:tc>
        <w:tc>
          <w:tcPr>
            <w:tcW w:w="4394" w:type="dxa"/>
            <w:shd w:val="clear" w:color="auto" w:fill="auto"/>
          </w:tcPr>
          <w:p w14:paraId="28A1A3FD" w14:textId="0E002224" w:rsidR="00520E06" w:rsidRPr="000B21CF" w:rsidRDefault="00520E06" w:rsidP="00D3615D">
            <w:pPr>
              <w:spacing w:after="120"/>
              <w:rPr>
                <w:rFonts w:ascii="Calibri" w:eastAsia="Calibri" w:hAnsi="Calibri" w:cs="Times New Roman"/>
                <w:lang w:val="en" w:eastAsia="en-AU"/>
              </w:rPr>
            </w:pPr>
          </w:p>
        </w:tc>
      </w:tr>
      <w:tr w:rsidR="00520E06" w:rsidRPr="000B21CF" w14:paraId="5DA878C8" w14:textId="77777777" w:rsidTr="00D3615D">
        <w:tc>
          <w:tcPr>
            <w:tcW w:w="4957" w:type="dxa"/>
            <w:tcBorders>
              <w:left w:val="single" w:sz="4" w:space="0" w:color="auto"/>
            </w:tcBorders>
          </w:tcPr>
          <w:p w14:paraId="2C3EDE8E" w14:textId="77777777" w:rsidR="00520E06" w:rsidRPr="000B21CF" w:rsidRDefault="00520E06" w:rsidP="00D3615D">
            <w:pPr>
              <w:spacing w:after="120"/>
              <w:rPr>
                <w:rFonts w:ascii="Calibri" w:eastAsia="Calibri" w:hAnsi="Calibri" w:cs="Times New Roman"/>
                <w:lang w:val="en" w:eastAsia="en-AU"/>
              </w:rPr>
            </w:pPr>
            <w:r w:rsidRPr="000B21CF">
              <w:rPr>
                <w:rFonts w:ascii="Calibri" w:eastAsia="Calibri" w:hAnsi="Calibri" w:cs="Times New Roman"/>
                <w:lang w:val="en" w:eastAsia="en-AU"/>
              </w:rPr>
              <w:t>Net underwriting commitments</w:t>
            </w:r>
          </w:p>
        </w:tc>
        <w:tc>
          <w:tcPr>
            <w:tcW w:w="4394" w:type="dxa"/>
            <w:shd w:val="clear" w:color="auto" w:fill="auto"/>
          </w:tcPr>
          <w:p w14:paraId="4DA07551" w14:textId="362A8656" w:rsidR="00520E06" w:rsidRPr="000B21CF" w:rsidRDefault="00520E06" w:rsidP="00D3615D">
            <w:pPr>
              <w:spacing w:after="120"/>
              <w:rPr>
                <w:rFonts w:ascii="Calibri" w:eastAsia="Calibri" w:hAnsi="Calibri" w:cs="Times New Roman"/>
                <w:lang w:val="en" w:eastAsia="en-AU"/>
              </w:rPr>
            </w:pPr>
          </w:p>
        </w:tc>
      </w:tr>
    </w:tbl>
    <w:p w14:paraId="4DFF33FE" w14:textId="77777777" w:rsidR="00520E06" w:rsidRDefault="00520E06"/>
    <w:tbl>
      <w:tblPr>
        <w:tblStyle w:val="TableGrid9"/>
        <w:tblW w:w="9351" w:type="dxa"/>
        <w:tblLook w:val="04A0" w:firstRow="1" w:lastRow="0" w:firstColumn="1" w:lastColumn="0" w:noHBand="0" w:noVBand="1"/>
      </w:tblPr>
      <w:tblGrid>
        <w:gridCol w:w="4957"/>
        <w:gridCol w:w="4394"/>
      </w:tblGrid>
      <w:tr w:rsidR="00520E06" w:rsidRPr="000B21CF" w14:paraId="51B16478" w14:textId="77777777" w:rsidTr="00D3615D">
        <w:tc>
          <w:tcPr>
            <w:tcW w:w="4957" w:type="dxa"/>
            <w:tcBorders>
              <w:left w:val="single" w:sz="4" w:space="0" w:color="auto"/>
            </w:tcBorders>
            <w:shd w:val="clear" w:color="auto" w:fill="0070C0"/>
          </w:tcPr>
          <w:p w14:paraId="232E74FD" w14:textId="77777777" w:rsidR="00520E06" w:rsidRPr="000B21CF" w:rsidRDefault="00520E06" w:rsidP="00D3615D">
            <w:pPr>
              <w:keepNext/>
              <w:spacing w:before="40" w:after="120"/>
              <w:rPr>
                <w:rFonts w:ascii="Calibri" w:eastAsia="Calibri" w:hAnsi="Calibri" w:cs="Times New Roman"/>
                <w:b/>
                <w:color w:val="FFFFFF"/>
                <w:lang w:val="en" w:eastAsia="en-AU"/>
              </w:rPr>
            </w:pPr>
            <w:r w:rsidRPr="000B21CF">
              <w:rPr>
                <w:rFonts w:ascii="Calibri" w:eastAsia="Calibri" w:hAnsi="Calibri" w:cs="Times New Roman"/>
                <w:b/>
                <w:color w:val="FFFFFF"/>
                <w:lang w:val="en" w:eastAsia="en-AU"/>
              </w:rPr>
              <w:lastRenderedPageBreak/>
              <w:t>Guarantees</w:t>
            </w:r>
          </w:p>
        </w:tc>
        <w:tc>
          <w:tcPr>
            <w:tcW w:w="4394" w:type="dxa"/>
            <w:shd w:val="clear" w:color="auto" w:fill="0070C0"/>
          </w:tcPr>
          <w:p w14:paraId="484AC9B4" w14:textId="77777777" w:rsidR="00520E06" w:rsidRPr="000B21CF" w:rsidRDefault="00520E06" w:rsidP="00D3615D">
            <w:pPr>
              <w:keepNext/>
              <w:spacing w:before="40" w:after="120"/>
              <w:rPr>
                <w:rFonts w:ascii="Calibri" w:eastAsia="Calibri" w:hAnsi="Calibri" w:cs="Times New Roman"/>
                <w:b/>
                <w:color w:val="FFFFFF"/>
                <w:lang w:val="en" w:eastAsia="en-AU"/>
              </w:rPr>
            </w:pPr>
          </w:p>
        </w:tc>
      </w:tr>
      <w:tr w:rsidR="00520E06" w:rsidRPr="000B21CF" w14:paraId="32AEAC0F" w14:textId="77777777" w:rsidTr="00D3615D">
        <w:tc>
          <w:tcPr>
            <w:tcW w:w="4957" w:type="dxa"/>
            <w:tcBorders>
              <w:left w:val="single" w:sz="4" w:space="0" w:color="auto"/>
            </w:tcBorders>
          </w:tcPr>
          <w:p w14:paraId="1D68210B" w14:textId="77777777" w:rsidR="00520E06" w:rsidRPr="000B21CF" w:rsidRDefault="00520E06" w:rsidP="00D3615D">
            <w:pPr>
              <w:spacing w:after="120"/>
              <w:rPr>
                <w:rFonts w:ascii="Calibri" w:eastAsia="Calibri" w:hAnsi="Calibri" w:cs="Times New Roman"/>
                <w:lang w:val="en" w:eastAsia="en-AU"/>
              </w:rPr>
            </w:pPr>
            <w:r w:rsidRPr="000B21CF">
              <w:rPr>
                <w:rFonts w:ascii="Calibri" w:eastAsia="Calibri" w:hAnsi="Calibri" w:cs="Times New Roman"/>
                <w:lang w:val="en" w:eastAsia="en-AU"/>
              </w:rPr>
              <w:t>For the purpose of the Rules</w:t>
            </w:r>
          </w:p>
        </w:tc>
        <w:tc>
          <w:tcPr>
            <w:tcW w:w="4394" w:type="dxa"/>
            <w:shd w:val="clear" w:color="auto" w:fill="auto"/>
          </w:tcPr>
          <w:p w14:paraId="3EC8677B" w14:textId="3E6B4887" w:rsidR="00520E06" w:rsidRPr="000B21CF" w:rsidRDefault="00520E06" w:rsidP="00D3615D">
            <w:pPr>
              <w:spacing w:after="120"/>
              <w:rPr>
                <w:rFonts w:ascii="Calibri" w:eastAsia="Calibri" w:hAnsi="Calibri" w:cs="Times New Roman"/>
                <w:lang w:val="en" w:eastAsia="en-AU"/>
              </w:rPr>
            </w:pPr>
          </w:p>
        </w:tc>
      </w:tr>
      <w:tr w:rsidR="00520E06" w:rsidRPr="000B21CF" w14:paraId="0FEEECDE" w14:textId="77777777" w:rsidTr="00D3615D">
        <w:tc>
          <w:tcPr>
            <w:tcW w:w="4957" w:type="dxa"/>
            <w:tcBorders>
              <w:left w:val="single" w:sz="4" w:space="0" w:color="auto"/>
            </w:tcBorders>
          </w:tcPr>
          <w:p w14:paraId="720B91FD" w14:textId="77777777" w:rsidR="00520E06" w:rsidRPr="000B21CF" w:rsidRDefault="00520E06" w:rsidP="00D3615D">
            <w:pPr>
              <w:spacing w:after="120"/>
              <w:rPr>
                <w:rFonts w:ascii="Calibri" w:eastAsia="Calibri" w:hAnsi="Calibri" w:cs="Times New Roman"/>
                <w:lang w:val="en" w:eastAsia="en-AU"/>
              </w:rPr>
            </w:pPr>
            <w:r w:rsidRPr="000B21CF">
              <w:rPr>
                <w:rFonts w:ascii="Calibri" w:eastAsia="Calibri" w:hAnsi="Calibri" w:cs="Times New Roman"/>
                <w:lang w:val="en" w:eastAsia="en-AU"/>
              </w:rPr>
              <w:t>Ordinary course of business</w:t>
            </w:r>
          </w:p>
        </w:tc>
        <w:tc>
          <w:tcPr>
            <w:tcW w:w="4394" w:type="dxa"/>
            <w:shd w:val="clear" w:color="auto" w:fill="auto"/>
          </w:tcPr>
          <w:p w14:paraId="40EC8F3F" w14:textId="34CA34F1" w:rsidR="00520E06" w:rsidRPr="000B21CF" w:rsidRDefault="00520E06" w:rsidP="00D3615D">
            <w:pPr>
              <w:spacing w:after="120"/>
              <w:rPr>
                <w:rFonts w:ascii="Calibri" w:eastAsia="Calibri" w:hAnsi="Calibri" w:cs="Times New Roman"/>
                <w:lang w:val="en" w:eastAsia="en-AU"/>
              </w:rPr>
            </w:pPr>
          </w:p>
        </w:tc>
      </w:tr>
      <w:tr w:rsidR="00520E06" w:rsidRPr="000B21CF" w14:paraId="71100FAB" w14:textId="77777777" w:rsidTr="00D3615D">
        <w:tc>
          <w:tcPr>
            <w:tcW w:w="4957" w:type="dxa"/>
            <w:tcBorders>
              <w:left w:val="single" w:sz="4" w:space="0" w:color="auto"/>
            </w:tcBorders>
          </w:tcPr>
          <w:p w14:paraId="5C01C5A8" w14:textId="77777777" w:rsidR="00520E06" w:rsidRPr="000B21CF" w:rsidRDefault="00520E06" w:rsidP="00D3615D">
            <w:pPr>
              <w:spacing w:after="120"/>
              <w:rPr>
                <w:rFonts w:ascii="Calibri" w:eastAsia="Calibri" w:hAnsi="Calibri" w:cs="Times New Roman"/>
                <w:lang w:val="en" w:eastAsia="en-AU"/>
              </w:rPr>
            </w:pPr>
            <w:r w:rsidRPr="000B21CF">
              <w:rPr>
                <w:rFonts w:ascii="Calibri" w:eastAsia="Calibri" w:hAnsi="Calibri" w:cs="Times New Roman"/>
                <w:lang w:val="en" w:eastAsia="en-AU"/>
              </w:rPr>
              <w:t>To settle legal proceedings</w:t>
            </w:r>
          </w:p>
        </w:tc>
        <w:tc>
          <w:tcPr>
            <w:tcW w:w="4394" w:type="dxa"/>
            <w:shd w:val="clear" w:color="auto" w:fill="auto"/>
          </w:tcPr>
          <w:p w14:paraId="4B08A309" w14:textId="4C5DC97B" w:rsidR="00520E06" w:rsidRPr="000B21CF" w:rsidRDefault="00520E06" w:rsidP="00D3615D">
            <w:pPr>
              <w:spacing w:after="120"/>
              <w:rPr>
                <w:rFonts w:ascii="Calibri" w:eastAsia="Calibri" w:hAnsi="Calibri" w:cs="Times New Roman"/>
                <w:lang w:val="en" w:eastAsia="en-AU"/>
              </w:rPr>
            </w:pPr>
          </w:p>
        </w:tc>
      </w:tr>
      <w:tr w:rsidR="002B5C62" w:rsidRPr="000B21CF" w14:paraId="21E38967" w14:textId="77777777" w:rsidTr="00D3615D">
        <w:tc>
          <w:tcPr>
            <w:tcW w:w="4957" w:type="dxa"/>
            <w:tcBorders>
              <w:left w:val="single" w:sz="4" w:space="0" w:color="auto"/>
            </w:tcBorders>
          </w:tcPr>
          <w:p w14:paraId="1ADFF59F" w14:textId="554A5B26" w:rsidR="002B5C62" w:rsidRPr="000B21CF" w:rsidRDefault="002B5C62" w:rsidP="00D3615D">
            <w:pPr>
              <w:spacing w:after="120"/>
              <w:rPr>
                <w:rFonts w:ascii="Calibri" w:eastAsia="Calibri" w:hAnsi="Calibri"/>
                <w:lang w:val="en"/>
              </w:rPr>
            </w:pPr>
            <w:r>
              <w:rPr>
                <w:rFonts w:ascii="Calibri" w:eastAsia="Calibri" w:hAnsi="Calibri"/>
                <w:lang w:val="en"/>
              </w:rPr>
              <w:t>Subtotal</w:t>
            </w:r>
            <w:r w:rsidR="009E5009">
              <w:rPr>
                <w:rFonts w:ascii="Calibri" w:eastAsia="Calibri" w:hAnsi="Calibri"/>
                <w:lang w:val="en"/>
              </w:rPr>
              <w:t xml:space="preserve"> (Sum of all values above)</w:t>
            </w:r>
          </w:p>
        </w:tc>
        <w:tc>
          <w:tcPr>
            <w:tcW w:w="4394" w:type="dxa"/>
            <w:shd w:val="clear" w:color="auto" w:fill="auto"/>
          </w:tcPr>
          <w:p w14:paraId="1CDE9414" w14:textId="77777777" w:rsidR="002B5C62" w:rsidRPr="000B21CF" w:rsidRDefault="002B5C62" w:rsidP="00D3615D">
            <w:pPr>
              <w:spacing w:after="120"/>
              <w:rPr>
                <w:rFonts w:ascii="Calibri" w:eastAsia="Calibri" w:hAnsi="Calibri"/>
                <w:lang w:val="en"/>
              </w:rPr>
            </w:pPr>
          </w:p>
        </w:tc>
      </w:tr>
      <w:tr w:rsidR="00520E06" w:rsidRPr="000B21CF" w14:paraId="27444DEE" w14:textId="77777777" w:rsidTr="00D3615D">
        <w:tc>
          <w:tcPr>
            <w:tcW w:w="4957" w:type="dxa"/>
            <w:tcBorders>
              <w:left w:val="single" w:sz="4" w:space="0" w:color="auto"/>
            </w:tcBorders>
          </w:tcPr>
          <w:p w14:paraId="1036192C" w14:textId="4FEEEA25" w:rsidR="00520E06" w:rsidRPr="000B21CF" w:rsidRDefault="00520E06" w:rsidP="00D3615D">
            <w:pPr>
              <w:spacing w:after="120"/>
              <w:rPr>
                <w:rFonts w:ascii="Calibri" w:eastAsia="Calibri" w:hAnsi="Calibri" w:cs="Times New Roman"/>
                <w:lang w:val="en" w:eastAsia="en-AU"/>
              </w:rPr>
            </w:pPr>
            <w:r w:rsidRPr="000B21CF">
              <w:rPr>
                <w:rFonts w:ascii="Calibri" w:eastAsia="Calibri" w:hAnsi="Calibri" w:cs="Times New Roman"/>
                <w:lang w:val="en" w:eastAsia="en-AU"/>
              </w:rPr>
              <w:t>Related/Associated persons</w:t>
            </w:r>
          </w:p>
        </w:tc>
        <w:tc>
          <w:tcPr>
            <w:tcW w:w="4394" w:type="dxa"/>
            <w:shd w:val="clear" w:color="auto" w:fill="auto"/>
          </w:tcPr>
          <w:p w14:paraId="06705ED1" w14:textId="45075BE9" w:rsidR="00520E06" w:rsidRPr="000B21CF" w:rsidRDefault="00520E06" w:rsidP="00D3615D">
            <w:pPr>
              <w:spacing w:after="120"/>
              <w:rPr>
                <w:rFonts w:ascii="Calibri" w:eastAsia="Calibri" w:hAnsi="Calibri" w:cs="Times New Roman"/>
                <w:lang w:val="en" w:eastAsia="en-AU"/>
              </w:rPr>
            </w:pPr>
          </w:p>
        </w:tc>
      </w:tr>
      <w:tr w:rsidR="00520E06" w:rsidRPr="000B21CF" w14:paraId="2CB1E760" w14:textId="77777777" w:rsidTr="00D3615D">
        <w:tc>
          <w:tcPr>
            <w:tcW w:w="4957" w:type="dxa"/>
            <w:tcBorders>
              <w:left w:val="single" w:sz="4" w:space="0" w:color="auto"/>
            </w:tcBorders>
          </w:tcPr>
          <w:p w14:paraId="026E6973" w14:textId="77777777" w:rsidR="00520E06" w:rsidRPr="000B21CF" w:rsidRDefault="00520E06" w:rsidP="00D3615D">
            <w:pPr>
              <w:spacing w:after="120"/>
              <w:rPr>
                <w:rFonts w:ascii="Calibri" w:eastAsia="Calibri" w:hAnsi="Calibri" w:cs="Times New Roman"/>
                <w:lang w:val="en" w:eastAsia="en-AU"/>
              </w:rPr>
            </w:pPr>
            <w:r w:rsidRPr="000B21CF">
              <w:rPr>
                <w:rFonts w:ascii="Calibri" w:eastAsia="Calibri" w:hAnsi="Calibri" w:cs="Times New Roman"/>
                <w:lang w:val="en" w:eastAsia="en-AU"/>
              </w:rPr>
              <w:t>Other</w:t>
            </w:r>
          </w:p>
        </w:tc>
        <w:tc>
          <w:tcPr>
            <w:tcW w:w="4394" w:type="dxa"/>
            <w:shd w:val="clear" w:color="auto" w:fill="auto"/>
          </w:tcPr>
          <w:p w14:paraId="60D006EA" w14:textId="465DC685" w:rsidR="00520E06" w:rsidRPr="000B21CF" w:rsidRDefault="00520E06" w:rsidP="00D3615D">
            <w:pPr>
              <w:spacing w:after="120"/>
              <w:rPr>
                <w:rFonts w:ascii="Calibri" w:eastAsia="Calibri" w:hAnsi="Calibri" w:cs="Times New Roman"/>
                <w:lang w:val="en" w:eastAsia="en-AU"/>
              </w:rPr>
            </w:pPr>
          </w:p>
        </w:tc>
      </w:tr>
      <w:tr w:rsidR="00520E06" w:rsidRPr="000B21CF" w14:paraId="2C7DE5B4" w14:textId="77777777" w:rsidTr="00D3615D">
        <w:tc>
          <w:tcPr>
            <w:tcW w:w="4957" w:type="dxa"/>
            <w:tcBorders>
              <w:left w:val="single" w:sz="4" w:space="0" w:color="auto"/>
            </w:tcBorders>
          </w:tcPr>
          <w:p w14:paraId="40061D13" w14:textId="62F955D1" w:rsidR="00520E06" w:rsidRPr="000B21CF" w:rsidRDefault="002B5C62" w:rsidP="00D3615D">
            <w:pPr>
              <w:spacing w:after="120"/>
              <w:rPr>
                <w:rFonts w:ascii="Calibri" w:eastAsia="Calibri" w:hAnsi="Calibri" w:cs="Times New Roman"/>
                <w:lang w:val="en" w:eastAsia="en-AU"/>
              </w:rPr>
            </w:pPr>
            <w:r>
              <w:rPr>
                <w:rFonts w:ascii="Calibri" w:eastAsia="Calibri" w:hAnsi="Calibri" w:cs="Times New Roman"/>
                <w:lang w:val="en" w:eastAsia="en-AU"/>
              </w:rPr>
              <w:t xml:space="preserve">Other </w:t>
            </w:r>
            <w:r w:rsidR="00520E06" w:rsidRPr="000B21CF">
              <w:rPr>
                <w:rFonts w:ascii="Calibri" w:eastAsia="Calibri" w:hAnsi="Calibri" w:cs="Times New Roman"/>
                <w:lang w:val="en" w:eastAsia="en-AU"/>
              </w:rPr>
              <w:t>Guarantees total</w:t>
            </w:r>
          </w:p>
        </w:tc>
        <w:tc>
          <w:tcPr>
            <w:tcW w:w="4394" w:type="dxa"/>
            <w:shd w:val="clear" w:color="auto" w:fill="auto"/>
          </w:tcPr>
          <w:p w14:paraId="2F761A16" w14:textId="1695C418" w:rsidR="00520E06" w:rsidRPr="000B21CF" w:rsidRDefault="00520E06" w:rsidP="00D3615D">
            <w:pPr>
              <w:spacing w:after="120"/>
              <w:rPr>
                <w:rFonts w:ascii="Calibri" w:eastAsia="Calibri" w:hAnsi="Calibri" w:cs="Times New Roman"/>
                <w:lang w:val="en" w:eastAsia="en-AU"/>
              </w:rPr>
            </w:pPr>
          </w:p>
        </w:tc>
      </w:tr>
    </w:tbl>
    <w:p w14:paraId="0CD916E2" w14:textId="77777777" w:rsidR="00520E06" w:rsidRDefault="00520E06"/>
    <w:tbl>
      <w:tblPr>
        <w:tblStyle w:val="TableGrid9"/>
        <w:tblW w:w="9351" w:type="dxa"/>
        <w:tblLook w:val="04A0" w:firstRow="1" w:lastRow="0" w:firstColumn="1" w:lastColumn="0" w:noHBand="0" w:noVBand="1"/>
      </w:tblPr>
      <w:tblGrid>
        <w:gridCol w:w="4957"/>
        <w:gridCol w:w="4394"/>
      </w:tblGrid>
      <w:tr w:rsidR="00520E06" w:rsidRPr="00930407" w14:paraId="0880FD6A" w14:textId="77777777" w:rsidTr="00D3615D">
        <w:tc>
          <w:tcPr>
            <w:tcW w:w="9351" w:type="dxa"/>
            <w:gridSpan w:val="2"/>
            <w:tcBorders>
              <w:left w:val="single" w:sz="4" w:space="0" w:color="auto"/>
            </w:tcBorders>
            <w:shd w:val="clear" w:color="auto" w:fill="0070C0"/>
          </w:tcPr>
          <w:p w14:paraId="74E200B5" w14:textId="77777777" w:rsidR="00520E06" w:rsidRPr="00930407" w:rsidRDefault="00520E06" w:rsidP="00D3615D">
            <w:pPr>
              <w:spacing w:before="40" w:after="120"/>
              <w:rPr>
                <w:rFonts w:ascii="Calibri" w:eastAsia="Calibri" w:hAnsi="Calibri" w:cs="Times New Roman"/>
                <w:b/>
                <w:color w:val="FFFFFF"/>
                <w:lang w:val="en" w:eastAsia="en-AU"/>
              </w:rPr>
            </w:pPr>
            <w:r w:rsidRPr="00930407">
              <w:rPr>
                <w:rFonts w:ascii="Calibri" w:eastAsia="Calibri" w:hAnsi="Calibri" w:cs="Times New Roman"/>
                <w:b/>
                <w:color w:val="FFFFFF"/>
                <w:lang w:val="en" w:eastAsia="en-AU"/>
              </w:rPr>
              <w:t>Other Contingent Liabilities</w:t>
            </w:r>
          </w:p>
        </w:tc>
      </w:tr>
      <w:tr w:rsidR="00520E06" w:rsidRPr="000B21CF" w14:paraId="40CE3EC4" w14:textId="77777777" w:rsidTr="00D3615D">
        <w:tc>
          <w:tcPr>
            <w:tcW w:w="4957" w:type="dxa"/>
            <w:tcBorders>
              <w:left w:val="single" w:sz="4" w:space="0" w:color="auto"/>
            </w:tcBorders>
          </w:tcPr>
          <w:p w14:paraId="602C5F69" w14:textId="4F3EDE64" w:rsidR="00520E06" w:rsidRPr="000B21CF" w:rsidRDefault="00520E06" w:rsidP="00D3615D">
            <w:pPr>
              <w:spacing w:after="120"/>
              <w:rPr>
                <w:rFonts w:ascii="Calibri" w:eastAsia="Calibri" w:hAnsi="Calibri" w:cs="Times New Roman"/>
                <w:lang w:val="en" w:eastAsia="en-AU"/>
              </w:rPr>
            </w:pPr>
          </w:p>
        </w:tc>
        <w:tc>
          <w:tcPr>
            <w:tcW w:w="4394" w:type="dxa"/>
            <w:shd w:val="clear" w:color="auto" w:fill="auto"/>
          </w:tcPr>
          <w:p w14:paraId="21553B3A" w14:textId="41E0505A" w:rsidR="00520E06" w:rsidRPr="000B21CF" w:rsidRDefault="00520E06" w:rsidP="00D3615D">
            <w:pPr>
              <w:spacing w:after="120"/>
              <w:rPr>
                <w:rFonts w:ascii="Calibri" w:eastAsia="Calibri" w:hAnsi="Calibri" w:cs="Times New Roman"/>
                <w:lang w:val="en" w:eastAsia="en-AU"/>
              </w:rPr>
            </w:pPr>
          </w:p>
        </w:tc>
      </w:tr>
      <w:tr w:rsidR="00520E06" w:rsidRPr="000B21CF" w14:paraId="319CB016" w14:textId="77777777" w:rsidTr="00D3615D">
        <w:tc>
          <w:tcPr>
            <w:tcW w:w="4957" w:type="dxa"/>
            <w:tcBorders>
              <w:left w:val="single" w:sz="4" w:space="0" w:color="auto"/>
            </w:tcBorders>
          </w:tcPr>
          <w:p w14:paraId="434AC530" w14:textId="77777777" w:rsidR="00520E06" w:rsidRPr="000B21CF" w:rsidRDefault="00520E06" w:rsidP="00D3615D">
            <w:pPr>
              <w:spacing w:after="120"/>
              <w:rPr>
                <w:rFonts w:ascii="Calibri" w:eastAsia="Calibri" w:hAnsi="Calibri" w:cs="Times New Roman"/>
                <w:lang w:val="en" w:eastAsia="en-AU"/>
              </w:rPr>
            </w:pPr>
            <w:r w:rsidRPr="000B21CF">
              <w:rPr>
                <w:rFonts w:ascii="Calibri" w:eastAsia="Calibri" w:hAnsi="Calibri" w:cs="Times New Roman"/>
                <w:b/>
                <w:lang w:val="en" w:eastAsia="en-AU"/>
              </w:rPr>
              <w:t>Total Contingent Liabilities</w:t>
            </w:r>
          </w:p>
        </w:tc>
        <w:tc>
          <w:tcPr>
            <w:tcW w:w="4394" w:type="dxa"/>
            <w:shd w:val="clear" w:color="auto" w:fill="auto"/>
          </w:tcPr>
          <w:p w14:paraId="6D52968B" w14:textId="77777777" w:rsidR="00520E06" w:rsidRPr="000B21CF" w:rsidRDefault="00520E06" w:rsidP="00D3615D">
            <w:pPr>
              <w:spacing w:after="120"/>
              <w:rPr>
                <w:rFonts w:ascii="Calibri" w:eastAsia="Calibri" w:hAnsi="Calibri" w:cs="Times New Roman"/>
                <w:lang w:val="en" w:eastAsia="en-AU"/>
              </w:rPr>
            </w:pPr>
          </w:p>
        </w:tc>
      </w:tr>
    </w:tbl>
    <w:p w14:paraId="6EFBC17A" w14:textId="40A5EBA5" w:rsidR="00DE3042" w:rsidRPr="00D3615D" w:rsidRDefault="00DE3042" w:rsidP="00D3615D">
      <w:pPr>
        <w:keepNext/>
        <w:spacing w:before="240" w:after="120"/>
        <w:outlineLvl w:val="3"/>
        <w:rPr>
          <w:rFonts w:ascii="Calibri" w:hAnsi="Calibri" w:cs="Helvetica"/>
          <w:b/>
          <w:sz w:val="24"/>
          <w:szCs w:val="24"/>
          <w:lang w:val="en"/>
        </w:rPr>
      </w:pPr>
      <w:r w:rsidRPr="00D3615D">
        <w:rPr>
          <w:rFonts w:ascii="Calibri" w:hAnsi="Calibri" w:cs="Helvetica"/>
          <w:b/>
          <w:sz w:val="24"/>
          <w:szCs w:val="24"/>
          <w:lang w:val="en"/>
        </w:rPr>
        <w:t>Legal</w:t>
      </w:r>
      <w:r w:rsidR="00BF4557" w:rsidRPr="00D3615D">
        <w:rPr>
          <w:rFonts w:ascii="Calibri" w:hAnsi="Calibri" w:cs="Helvetica"/>
          <w:b/>
          <w:sz w:val="24"/>
          <w:szCs w:val="24"/>
          <w:lang w:val="en"/>
        </w:rPr>
        <w:t>/insurance/encumbrances</w:t>
      </w:r>
    </w:p>
    <w:p w14:paraId="4F291D9C" w14:textId="77777777" w:rsidR="00BF4557" w:rsidRPr="000B21CF" w:rsidRDefault="00BF4557" w:rsidP="00BF4557">
      <w:pPr>
        <w:spacing w:after="200" w:line="276" w:lineRule="auto"/>
        <w:rPr>
          <w:rFonts w:ascii="Calibri" w:eastAsia="Calibri" w:hAnsi="Calibri"/>
          <w:lang w:val="en"/>
        </w:rPr>
      </w:pPr>
      <w:r w:rsidRPr="000B21CF">
        <w:rPr>
          <w:rFonts w:ascii="Calibri" w:eastAsia="Calibri" w:hAnsi="Calibri"/>
          <w:lang w:val="en"/>
        </w:rPr>
        <w:t>Are there any actual/potential/legal proceedings and</w:t>
      </w:r>
      <w:r>
        <w:rPr>
          <w:rFonts w:ascii="Calibri" w:eastAsia="Calibri" w:hAnsi="Calibri"/>
          <w:lang w:val="en"/>
        </w:rPr>
        <w:t>/or i</w:t>
      </w:r>
      <w:r w:rsidRPr="000B21CF">
        <w:rPr>
          <w:rFonts w:ascii="Calibri" w:eastAsia="Calibri" w:hAnsi="Calibri"/>
          <w:lang w:val="en"/>
        </w:rPr>
        <w:t xml:space="preserve">nsurance </w:t>
      </w:r>
      <w:r>
        <w:rPr>
          <w:rFonts w:ascii="Calibri" w:eastAsia="Calibri" w:hAnsi="Calibri"/>
          <w:lang w:val="en"/>
        </w:rPr>
        <w:t>c</w:t>
      </w:r>
      <w:r w:rsidRPr="000B21CF">
        <w:rPr>
          <w:rFonts w:ascii="Calibri" w:eastAsia="Calibri" w:hAnsi="Calibri"/>
          <w:lang w:val="en"/>
        </w:rPr>
        <w:t>laims?</w:t>
      </w:r>
    </w:p>
    <w:p w14:paraId="0C63CB76" w14:textId="78D28450" w:rsidR="00BF4557" w:rsidRDefault="00114C8A" w:rsidP="00930407">
      <w:pPr>
        <w:spacing w:after="200" w:line="276" w:lineRule="auto"/>
        <w:contextualSpacing/>
        <w:rPr>
          <w:rFonts w:ascii="Calibri" w:eastAsia="Calibri" w:hAnsi="Calibri"/>
          <w:lang w:val="en" w:eastAsia="en-US"/>
        </w:rPr>
      </w:pPr>
      <w:r>
        <w:rPr>
          <w:noProof/>
        </w:rPr>
        <w:drawing>
          <wp:inline distT="0" distB="0" distL="0" distR="0" wp14:anchorId="706F8530" wp14:editId="0BFCB5AE">
            <wp:extent cx="1316355" cy="7340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4" r:link="rId85">
                      <a:extLst>
                        <a:ext uri="{28A0092B-C50C-407E-A947-70E740481C1C}">
                          <a14:useLocalDpi xmlns:a14="http://schemas.microsoft.com/office/drawing/2010/main" val="0"/>
                        </a:ext>
                      </a:extLst>
                    </a:blip>
                    <a:srcRect/>
                    <a:stretch>
                      <a:fillRect/>
                    </a:stretch>
                  </pic:blipFill>
                  <pic:spPr bwMode="auto">
                    <a:xfrm>
                      <a:off x="0" y="0"/>
                      <a:ext cx="1316355" cy="734060"/>
                    </a:xfrm>
                    <a:prstGeom prst="rect">
                      <a:avLst/>
                    </a:prstGeom>
                    <a:noFill/>
                    <a:ln>
                      <a:noFill/>
                    </a:ln>
                  </pic:spPr>
                </pic:pic>
              </a:graphicData>
            </a:graphic>
          </wp:inline>
        </w:drawing>
      </w:r>
    </w:p>
    <w:tbl>
      <w:tblPr>
        <w:tblStyle w:val="TableGrid9"/>
        <w:tblW w:w="10632" w:type="dxa"/>
        <w:tblLook w:val="04A0" w:firstRow="1" w:lastRow="0" w:firstColumn="1" w:lastColumn="0" w:noHBand="0" w:noVBand="1"/>
      </w:tblPr>
      <w:tblGrid>
        <w:gridCol w:w="4276"/>
        <w:gridCol w:w="6356"/>
      </w:tblGrid>
      <w:tr w:rsidR="00BF4557" w:rsidRPr="000B21CF" w14:paraId="351AB55E" w14:textId="77777777" w:rsidTr="00BF4557">
        <w:trPr>
          <w:trHeight w:val="724"/>
        </w:trPr>
        <w:tc>
          <w:tcPr>
            <w:tcW w:w="4276" w:type="dxa"/>
            <w:tcBorders>
              <w:left w:val="single" w:sz="4" w:space="0" w:color="auto"/>
            </w:tcBorders>
            <w:shd w:val="clear" w:color="auto" w:fill="auto"/>
          </w:tcPr>
          <w:p w14:paraId="441EB0DB" w14:textId="77777777" w:rsidR="00BF4557" w:rsidRPr="000B21CF" w:rsidRDefault="00BF4557" w:rsidP="00BF4557">
            <w:pPr>
              <w:rPr>
                <w:rFonts w:ascii="Calibri" w:eastAsia="Calibri" w:hAnsi="Calibri" w:cs="Times New Roman"/>
                <w:lang w:val="en" w:eastAsia="en-AU"/>
              </w:rPr>
            </w:pPr>
            <w:r w:rsidRPr="000B21CF">
              <w:rPr>
                <w:rFonts w:ascii="Calibri" w:eastAsia="Calibri" w:hAnsi="Calibri" w:cs="Times New Roman"/>
                <w:lang w:val="en" w:eastAsia="en-AU"/>
              </w:rPr>
              <w:t xml:space="preserve">Date </w:t>
            </w:r>
            <w:r>
              <w:rPr>
                <w:rFonts w:ascii="Calibri" w:eastAsia="Calibri" w:hAnsi="Calibri" w:cs="Times New Roman"/>
                <w:lang w:val="en" w:eastAsia="en-AU"/>
              </w:rPr>
              <w:t xml:space="preserve">you </w:t>
            </w:r>
            <w:r w:rsidRPr="000B21CF">
              <w:rPr>
                <w:rFonts w:ascii="Calibri" w:eastAsia="Calibri" w:hAnsi="Calibri" w:cs="Times New Roman"/>
                <w:lang w:val="en" w:eastAsia="en-AU"/>
              </w:rPr>
              <w:t xml:space="preserve">first </w:t>
            </w:r>
            <w:r>
              <w:rPr>
                <w:rFonts w:ascii="Calibri" w:eastAsia="Calibri" w:hAnsi="Calibri" w:cs="Times New Roman"/>
                <w:lang w:val="en" w:eastAsia="en-AU"/>
              </w:rPr>
              <w:t xml:space="preserve">became </w:t>
            </w:r>
            <w:r w:rsidRPr="000B21CF">
              <w:rPr>
                <w:rFonts w:ascii="Calibri" w:eastAsia="Calibri" w:hAnsi="Calibri" w:cs="Times New Roman"/>
                <w:lang w:val="en" w:eastAsia="en-AU"/>
              </w:rPr>
              <w:t>aware of potential circumstance</w:t>
            </w:r>
          </w:p>
        </w:tc>
        <w:tc>
          <w:tcPr>
            <w:tcW w:w="6356" w:type="dxa"/>
            <w:shd w:val="clear" w:color="auto" w:fill="auto"/>
          </w:tcPr>
          <w:p w14:paraId="687394A7" w14:textId="18E98A34" w:rsidR="00BF4557" w:rsidRPr="000B21CF" w:rsidRDefault="00BF4557" w:rsidP="00BF4557">
            <w:pPr>
              <w:rPr>
                <w:rFonts w:ascii="Calibri" w:eastAsia="Calibri" w:hAnsi="Calibri" w:cs="Times New Roman"/>
                <w:noProof/>
              </w:rPr>
            </w:pPr>
          </w:p>
        </w:tc>
      </w:tr>
      <w:tr w:rsidR="00BF4557" w:rsidRPr="000B21CF" w14:paraId="45707FC3" w14:textId="77777777" w:rsidTr="00BF4557">
        <w:trPr>
          <w:trHeight w:val="551"/>
        </w:trPr>
        <w:tc>
          <w:tcPr>
            <w:tcW w:w="4276" w:type="dxa"/>
            <w:tcBorders>
              <w:left w:val="single" w:sz="4" w:space="0" w:color="auto"/>
            </w:tcBorders>
            <w:shd w:val="clear" w:color="auto" w:fill="auto"/>
          </w:tcPr>
          <w:p w14:paraId="5CACA3CC" w14:textId="77777777" w:rsidR="00BF4557" w:rsidRPr="000B21CF" w:rsidRDefault="00BF4557" w:rsidP="00BF4557">
            <w:pPr>
              <w:rPr>
                <w:rFonts w:ascii="Calibri" w:eastAsia="Calibri" w:hAnsi="Calibri" w:cs="Times New Roman"/>
                <w:lang w:val="en" w:eastAsia="en-AU"/>
              </w:rPr>
            </w:pPr>
            <w:r w:rsidRPr="000B21CF">
              <w:rPr>
                <w:rFonts w:ascii="Calibri" w:eastAsia="Calibri" w:hAnsi="Calibri" w:cs="Times New Roman"/>
                <w:lang w:val="en" w:eastAsia="en-AU"/>
              </w:rPr>
              <w:t>Gross contingent liability</w:t>
            </w:r>
          </w:p>
        </w:tc>
        <w:tc>
          <w:tcPr>
            <w:tcW w:w="6356" w:type="dxa"/>
            <w:shd w:val="clear" w:color="auto" w:fill="auto"/>
          </w:tcPr>
          <w:p w14:paraId="6614C257" w14:textId="5267B301" w:rsidR="00BF4557" w:rsidRPr="000B21CF" w:rsidRDefault="00BF4557" w:rsidP="00BF4557">
            <w:pPr>
              <w:rPr>
                <w:rFonts w:ascii="Calibri" w:eastAsia="Calibri" w:hAnsi="Calibri" w:cs="Times New Roman"/>
                <w:lang w:val="en" w:eastAsia="en-AU"/>
              </w:rPr>
            </w:pPr>
          </w:p>
        </w:tc>
      </w:tr>
      <w:tr w:rsidR="00BF4557" w:rsidRPr="000B21CF" w14:paraId="3DDD9BB2" w14:textId="77777777" w:rsidTr="00BF4557">
        <w:trPr>
          <w:trHeight w:val="541"/>
        </w:trPr>
        <w:tc>
          <w:tcPr>
            <w:tcW w:w="4276" w:type="dxa"/>
            <w:tcBorders>
              <w:left w:val="single" w:sz="4" w:space="0" w:color="auto"/>
            </w:tcBorders>
            <w:shd w:val="clear" w:color="auto" w:fill="auto"/>
          </w:tcPr>
          <w:p w14:paraId="07E234DC" w14:textId="77777777" w:rsidR="00BF4557" w:rsidRPr="000B21CF" w:rsidRDefault="00BF4557" w:rsidP="00BF4557">
            <w:pPr>
              <w:rPr>
                <w:rFonts w:ascii="Calibri" w:eastAsia="Calibri" w:hAnsi="Calibri" w:cs="Times New Roman"/>
                <w:lang w:val="en" w:eastAsia="en-AU"/>
              </w:rPr>
            </w:pPr>
            <w:r w:rsidRPr="000B21CF">
              <w:rPr>
                <w:rFonts w:ascii="Calibri" w:eastAsia="Calibri" w:hAnsi="Calibri" w:cs="Times New Roman"/>
                <w:lang w:val="en" w:eastAsia="en-AU"/>
              </w:rPr>
              <w:lastRenderedPageBreak/>
              <w:t>Net contin</w:t>
            </w:r>
            <w:r>
              <w:rPr>
                <w:rFonts w:ascii="Calibri" w:eastAsia="Calibri" w:hAnsi="Calibri" w:cs="Times New Roman"/>
                <w:lang w:val="en" w:eastAsia="en-AU"/>
              </w:rPr>
              <w:t>g</w:t>
            </w:r>
            <w:r w:rsidRPr="000B21CF">
              <w:rPr>
                <w:rFonts w:ascii="Calibri" w:eastAsia="Calibri" w:hAnsi="Calibri" w:cs="Times New Roman"/>
                <w:lang w:val="en" w:eastAsia="en-AU"/>
              </w:rPr>
              <w:t>ent liability</w:t>
            </w:r>
          </w:p>
        </w:tc>
        <w:tc>
          <w:tcPr>
            <w:tcW w:w="6356" w:type="dxa"/>
            <w:shd w:val="clear" w:color="auto" w:fill="auto"/>
          </w:tcPr>
          <w:p w14:paraId="0C12874F" w14:textId="6F4B0FA6" w:rsidR="00BF4557" w:rsidRPr="000B21CF" w:rsidRDefault="00BF4557" w:rsidP="00BF4557">
            <w:pPr>
              <w:rPr>
                <w:rFonts w:ascii="Calibri" w:eastAsia="Calibri" w:hAnsi="Calibri" w:cs="Times New Roman"/>
                <w:lang w:val="en" w:eastAsia="en-AU"/>
              </w:rPr>
            </w:pPr>
          </w:p>
        </w:tc>
      </w:tr>
      <w:tr w:rsidR="00BF4557" w:rsidRPr="000B21CF" w14:paraId="4962D886" w14:textId="77777777" w:rsidTr="00BF4557">
        <w:trPr>
          <w:trHeight w:val="541"/>
        </w:trPr>
        <w:tc>
          <w:tcPr>
            <w:tcW w:w="4276" w:type="dxa"/>
            <w:tcBorders>
              <w:left w:val="single" w:sz="4" w:space="0" w:color="auto"/>
            </w:tcBorders>
            <w:shd w:val="clear" w:color="auto" w:fill="auto"/>
          </w:tcPr>
          <w:p w14:paraId="79AAC5C4" w14:textId="77777777" w:rsidR="00BF4557" w:rsidRPr="000B21CF" w:rsidRDefault="00BF4557" w:rsidP="00BF4557">
            <w:pPr>
              <w:rPr>
                <w:rFonts w:ascii="Calibri" w:eastAsia="Calibri" w:hAnsi="Calibri" w:cs="Times New Roman"/>
                <w:lang w:val="en" w:eastAsia="en-AU"/>
              </w:rPr>
            </w:pPr>
            <w:r w:rsidRPr="000B21CF">
              <w:rPr>
                <w:rFonts w:ascii="Calibri" w:eastAsia="Calibri" w:hAnsi="Calibri" w:cs="Times New Roman"/>
                <w:lang w:val="en" w:eastAsia="en-AU"/>
              </w:rPr>
              <w:t>Full name of cover provider</w:t>
            </w:r>
          </w:p>
        </w:tc>
        <w:tc>
          <w:tcPr>
            <w:tcW w:w="6356" w:type="dxa"/>
            <w:shd w:val="clear" w:color="auto" w:fill="auto"/>
          </w:tcPr>
          <w:p w14:paraId="7E096489" w14:textId="77777777" w:rsidR="00BF4557" w:rsidRPr="000B21CF" w:rsidRDefault="00BF4557" w:rsidP="00BF4557">
            <w:pPr>
              <w:rPr>
                <w:rFonts w:ascii="Calibri" w:eastAsia="Calibri" w:hAnsi="Calibri" w:cs="Times New Roman"/>
                <w:lang w:val="en" w:eastAsia="en-AU"/>
              </w:rPr>
            </w:pPr>
          </w:p>
        </w:tc>
      </w:tr>
      <w:tr w:rsidR="00BF4557" w:rsidRPr="000B21CF" w14:paraId="51C11007" w14:textId="77777777" w:rsidTr="00BF4557">
        <w:trPr>
          <w:trHeight w:val="918"/>
        </w:trPr>
        <w:tc>
          <w:tcPr>
            <w:tcW w:w="4276" w:type="dxa"/>
            <w:tcBorders>
              <w:left w:val="single" w:sz="4" w:space="0" w:color="auto"/>
            </w:tcBorders>
            <w:shd w:val="clear" w:color="auto" w:fill="auto"/>
          </w:tcPr>
          <w:p w14:paraId="70197726" w14:textId="1B99767E" w:rsidR="00BF4557" w:rsidRPr="000B21CF" w:rsidRDefault="00BF4557" w:rsidP="00BF4557">
            <w:pPr>
              <w:rPr>
                <w:rFonts w:ascii="Calibri" w:eastAsia="Calibri" w:hAnsi="Calibri" w:cs="Times New Roman"/>
                <w:lang w:val="en" w:eastAsia="en-AU"/>
              </w:rPr>
            </w:pPr>
            <w:r w:rsidRPr="000B21CF">
              <w:rPr>
                <w:rFonts w:ascii="Calibri" w:eastAsia="Calibri" w:hAnsi="Calibri" w:cs="Times New Roman"/>
                <w:lang w:val="en" w:eastAsia="en-AU"/>
              </w:rPr>
              <w:t xml:space="preserve">Date </w:t>
            </w:r>
            <w:r>
              <w:rPr>
                <w:rFonts w:ascii="Calibri" w:eastAsia="Calibri" w:hAnsi="Calibri" w:cs="Times New Roman"/>
                <w:lang w:val="en" w:eastAsia="en-AU"/>
              </w:rPr>
              <w:t xml:space="preserve">you or another person notified </w:t>
            </w:r>
            <w:r w:rsidRPr="000B21CF">
              <w:rPr>
                <w:rFonts w:ascii="Calibri" w:eastAsia="Calibri" w:hAnsi="Calibri" w:cs="Times New Roman"/>
                <w:lang w:val="en" w:eastAsia="en-AU"/>
              </w:rPr>
              <w:t>circumstance to cover provider</w:t>
            </w:r>
          </w:p>
        </w:tc>
        <w:tc>
          <w:tcPr>
            <w:tcW w:w="6356" w:type="dxa"/>
            <w:shd w:val="clear" w:color="auto" w:fill="auto"/>
          </w:tcPr>
          <w:p w14:paraId="1BFCF148" w14:textId="115E73D8" w:rsidR="00BF4557" w:rsidRPr="000B21CF" w:rsidRDefault="00BF4557" w:rsidP="00BF4557">
            <w:pPr>
              <w:rPr>
                <w:rFonts w:ascii="Calibri" w:eastAsia="Calibri" w:hAnsi="Calibri" w:cs="Times New Roman"/>
                <w:lang w:val="en" w:eastAsia="en-AU"/>
              </w:rPr>
            </w:pPr>
          </w:p>
        </w:tc>
      </w:tr>
      <w:tr w:rsidR="00BF4557" w:rsidRPr="000B21CF" w14:paraId="083D8F71" w14:textId="77777777" w:rsidTr="00BF4557">
        <w:trPr>
          <w:trHeight w:val="714"/>
        </w:trPr>
        <w:tc>
          <w:tcPr>
            <w:tcW w:w="4276" w:type="dxa"/>
            <w:tcBorders>
              <w:left w:val="single" w:sz="4" w:space="0" w:color="auto"/>
            </w:tcBorders>
            <w:shd w:val="clear" w:color="auto" w:fill="auto"/>
          </w:tcPr>
          <w:p w14:paraId="7690B135" w14:textId="77777777" w:rsidR="00BF4557" w:rsidRPr="000B21CF" w:rsidRDefault="00BF4557" w:rsidP="00BF4557">
            <w:pPr>
              <w:rPr>
                <w:rFonts w:ascii="Calibri" w:eastAsia="Calibri" w:hAnsi="Calibri" w:cs="Times New Roman"/>
                <w:lang w:val="en" w:eastAsia="en-AU"/>
              </w:rPr>
            </w:pPr>
            <w:r w:rsidRPr="000B21CF">
              <w:rPr>
                <w:rFonts w:ascii="Calibri" w:eastAsia="Calibri" w:hAnsi="Calibri" w:cs="Times New Roman"/>
                <w:lang w:val="en" w:eastAsia="en-AU"/>
              </w:rPr>
              <w:t>Date circumstance notified to the Exchange or Clearing House</w:t>
            </w:r>
          </w:p>
        </w:tc>
        <w:tc>
          <w:tcPr>
            <w:tcW w:w="6356" w:type="dxa"/>
            <w:shd w:val="clear" w:color="auto" w:fill="auto"/>
          </w:tcPr>
          <w:p w14:paraId="27EB4833" w14:textId="6F8EECF3" w:rsidR="00BF4557" w:rsidRPr="000B21CF" w:rsidRDefault="00BF4557" w:rsidP="00BF4557">
            <w:pPr>
              <w:rPr>
                <w:rFonts w:ascii="Calibri" w:eastAsia="Calibri" w:hAnsi="Calibri" w:cs="Times New Roman"/>
                <w:lang w:val="en" w:eastAsia="en-AU"/>
              </w:rPr>
            </w:pPr>
          </w:p>
        </w:tc>
      </w:tr>
      <w:tr w:rsidR="00BF4557" w:rsidRPr="000B21CF" w14:paraId="3F9D0D64" w14:textId="77777777" w:rsidTr="00BF4557">
        <w:trPr>
          <w:trHeight w:val="551"/>
        </w:trPr>
        <w:tc>
          <w:tcPr>
            <w:tcW w:w="4276" w:type="dxa"/>
            <w:tcBorders>
              <w:left w:val="single" w:sz="4" w:space="0" w:color="auto"/>
            </w:tcBorders>
            <w:shd w:val="clear" w:color="auto" w:fill="auto"/>
          </w:tcPr>
          <w:p w14:paraId="3CB49D65" w14:textId="77777777" w:rsidR="00BF4557" w:rsidRPr="000B21CF" w:rsidRDefault="00BF4557" w:rsidP="00BF4557">
            <w:pPr>
              <w:rPr>
                <w:rFonts w:ascii="Calibri" w:eastAsia="Calibri" w:hAnsi="Calibri" w:cs="Times New Roman"/>
                <w:color w:val="FFFFFF"/>
                <w:lang w:val="en" w:eastAsia="en-AU"/>
              </w:rPr>
            </w:pPr>
            <w:r w:rsidRPr="000B21CF">
              <w:rPr>
                <w:rFonts w:ascii="Calibri" w:eastAsia="Calibri" w:hAnsi="Calibri" w:cs="Times New Roman"/>
                <w:lang w:val="en" w:eastAsia="en-AU"/>
              </w:rPr>
              <w:t>Date circumstance settled/closed</w:t>
            </w:r>
          </w:p>
        </w:tc>
        <w:tc>
          <w:tcPr>
            <w:tcW w:w="6356" w:type="dxa"/>
            <w:shd w:val="clear" w:color="auto" w:fill="auto"/>
          </w:tcPr>
          <w:p w14:paraId="78070022" w14:textId="59250B0E" w:rsidR="00BF4557" w:rsidRPr="000B21CF" w:rsidRDefault="00BF4557" w:rsidP="00BF4557">
            <w:pPr>
              <w:rPr>
                <w:rFonts w:ascii="Calibri" w:eastAsia="Calibri" w:hAnsi="Calibri" w:cs="Times New Roman"/>
                <w:b/>
                <w:color w:val="FFFFFF"/>
                <w:lang w:val="en" w:eastAsia="en-AU"/>
              </w:rPr>
            </w:pPr>
          </w:p>
        </w:tc>
      </w:tr>
      <w:tr w:rsidR="00BF4557" w:rsidRPr="000B21CF" w14:paraId="1831C30E" w14:textId="77777777" w:rsidTr="00BF4557">
        <w:trPr>
          <w:trHeight w:val="1327"/>
        </w:trPr>
        <w:tc>
          <w:tcPr>
            <w:tcW w:w="4276" w:type="dxa"/>
            <w:tcBorders>
              <w:left w:val="single" w:sz="4" w:space="0" w:color="auto"/>
            </w:tcBorders>
            <w:shd w:val="clear" w:color="auto" w:fill="auto"/>
          </w:tcPr>
          <w:p w14:paraId="071784AE" w14:textId="42F2BF90" w:rsidR="00BF4557" w:rsidRPr="000B21CF" w:rsidRDefault="00BF4557" w:rsidP="00BF4557">
            <w:pPr>
              <w:rPr>
                <w:rFonts w:ascii="Calibri" w:eastAsia="Calibri" w:hAnsi="Calibri" w:cs="Times New Roman"/>
                <w:lang w:val="en" w:eastAsia="en-AU"/>
              </w:rPr>
            </w:pPr>
            <w:r w:rsidRPr="000B21CF">
              <w:rPr>
                <w:rFonts w:ascii="Calibri" w:eastAsia="Calibri" w:hAnsi="Calibri" w:cs="Times New Roman"/>
                <w:lang w:val="en" w:eastAsia="en-AU"/>
              </w:rPr>
              <w:t>Details of circumstance</w:t>
            </w:r>
          </w:p>
        </w:tc>
        <w:tc>
          <w:tcPr>
            <w:tcW w:w="6356" w:type="dxa"/>
            <w:shd w:val="clear" w:color="auto" w:fill="auto"/>
          </w:tcPr>
          <w:p w14:paraId="2599CBF2" w14:textId="5040CC15" w:rsidR="00BF4557" w:rsidRPr="000B21CF" w:rsidRDefault="00BF4557" w:rsidP="00930407">
            <w:pPr>
              <w:rPr>
                <w:rFonts w:ascii="Calibri" w:eastAsia="Calibri" w:hAnsi="Calibri" w:cs="Times New Roman"/>
                <w:lang w:val="en" w:eastAsia="en-AU"/>
              </w:rPr>
            </w:pPr>
            <w:r w:rsidRPr="000B21CF">
              <w:rPr>
                <w:rFonts w:ascii="Calibri" w:eastAsia="Calibri" w:hAnsi="Calibri"/>
                <w:noProof/>
                <w:color w:val="984806"/>
              </w:rPr>
              <w:drawing>
                <wp:inline distT="0" distB="0" distL="0" distR="0" wp14:anchorId="6CCD6AC5" wp14:editId="1F85F21E">
                  <wp:extent cx="3590925" cy="12287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619320" cy="1238441"/>
                          </a:xfrm>
                          <a:prstGeom prst="rect">
                            <a:avLst/>
                          </a:prstGeom>
                          <a:noFill/>
                          <a:ln>
                            <a:noFill/>
                          </a:ln>
                        </pic:spPr>
                      </pic:pic>
                    </a:graphicData>
                  </a:graphic>
                </wp:inline>
              </w:drawing>
            </w:r>
          </w:p>
        </w:tc>
      </w:tr>
      <w:tr w:rsidR="00BF4557" w:rsidRPr="000B21CF" w14:paraId="1FFA9FB3" w14:textId="77777777" w:rsidTr="00BF4557">
        <w:trPr>
          <w:trHeight w:val="1316"/>
        </w:trPr>
        <w:tc>
          <w:tcPr>
            <w:tcW w:w="4276" w:type="dxa"/>
            <w:tcBorders>
              <w:left w:val="single" w:sz="4" w:space="0" w:color="auto"/>
            </w:tcBorders>
            <w:shd w:val="clear" w:color="auto" w:fill="auto"/>
          </w:tcPr>
          <w:p w14:paraId="4814B625" w14:textId="77777777" w:rsidR="00BF4557" w:rsidRPr="000B21CF" w:rsidRDefault="00BF4557" w:rsidP="00BF4557">
            <w:pPr>
              <w:rPr>
                <w:rFonts w:ascii="Calibri" w:eastAsia="Calibri" w:hAnsi="Calibri" w:cs="Times New Roman"/>
                <w:lang w:val="en" w:eastAsia="en-AU"/>
              </w:rPr>
            </w:pPr>
            <w:r w:rsidRPr="000B21CF">
              <w:rPr>
                <w:rFonts w:ascii="Calibri" w:eastAsia="Calibri" w:hAnsi="Calibri" w:cs="Times New Roman"/>
                <w:lang w:val="en" w:eastAsia="en-AU"/>
              </w:rPr>
              <w:t>Nature of cover (if any)</w:t>
            </w:r>
          </w:p>
        </w:tc>
        <w:tc>
          <w:tcPr>
            <w:tcW w:w="6356" w:type="dxa"/>
            <w:shd w:val="clear" w:color="auto" w:fill="auto"/>
          </w:tcPr>
          <w:p w14:paraId="5770DDD2" w14:textId="38AF08DF" w:rsidR="00BF4557" w:rsidRPr="000B21CF" w:rsidRDefault="00BF4557" w:rsidP="00BF4557">
            <w:pPr>
              <w:rPr>
                <w:rFonts w:ascii="Calibri" w:eastAsia="Calibri" w:hAnsi="Calibri" w:cs="Times New Roman"/>
                <w:lang w:val="en" w:eastAsia="en-AU"/>
              </w:rPr>
            </w:pPr>
            <w:r w:rsidRPr="000B21CF">
              <w:rPr>
                <w:rFonts w:ascii="Calibri" w:eastAsia="Calibri" w:hAnsi="Calibri"/>
                <w:noProof/>
                <w:color w:val="984806"/>
              </w:rPr>
              <w:drawing>
                <wp:inline distT="0" distB="0" distL="0" distR="0" wp14:anchorId="70A627C3" wp14:editId="31504CE4">
                  <wp:extent cx="3590925" cy="1228725"/>
                  <wp:effectExtent l="0" t="0" r="9525" b="9525"/>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619320" cy="1238441"/>
                          </a:xfrm>
                          <a:prstGeom prst="rect">
                            <a:avLst/>
                          </a:prstGeom>
                          <a:noFill/>
                          <a:ln>
                            <a:noFill/>
                          </a:ln>
                        </pic:spPr>
                      </pic:pic>
                    </a:graphicData>
                  </a:graphic>
                </wp:inline>
              </w:drawing>
            </w:r>
          </w:p>
        </w:tc>
      </w:tr>
    </w:tbl>
    <w:p w14:paraId="6601D442" w14:textId="2EAE85D1" w:rsidR="00BF4557" w:rsidRDefault="00BF4557" w:rsidP="00930407">
      <w:pPr>
        <w:spacing w:after="200" w:line="276" w:lineRule="auto"/>
        <w:contextualSpacing/>
        <w:rPr>
          <w:rFonts w:ascii="Calibri" w:eastAsia="Calibri" w:hAnsi="Calibri"/>
        </w:rPr>
      </w:pPr>
      <w:r w:rsidRPr="000B21CF">
        <w:rPr>
          <w:rFonts w:ascii="Calibri" w:eastAsia="Calibri" w:hAnsi="Calibri"/>
        </w:rPr>
        <w:t>Where a legal proceeding</w:t>
      </w:r>
      <w:r>
        <w:rPr>
          <w:rFonts w:ascii="Calibri" w:eastAsia="Calibri" w:hAnsi="Calibri"/>
        </w:rPr>
        <w:t xml:space="preserve"> and/or an </w:t>
      </w:r>
      <w:r w:rsidRPr="000B21CF">
        <w:rPr>
          <w:rFonts w:ascii="Calibri" w:eastAsia="Calibri" w:hAnsi="Calibri"/>
        </w:rPr>
        <w:t xml:space="preserve">insurance claim has been settled or closed during the month, record the date this occurred in the ‘Date </w:t>
      </w:r>
      <w:r>
        <w:rPr>
          <w:rFonts w:ascii="Calibri" w:eastAsia="Calibri" w:hAnsi="Calibri"/>
        </w:rPr>
        <w:t>c</w:t>
      </w:r>
      <w:r w:rsidRPr="000B21CF">
        <w:rPr>
          <w:rFonts w:ascii="Calibri" w:eastAsia="Calibri" w:hAnsi="Calibri"/>
        </w:rPr>
        <w:t xml:space="preserve">ircumstance </w:t>
      </w:r>
      <w:r>
        <w:rPr>
          <w:rFonts w:ascii="Calibri" w:eastAsia="Calibri" w:hAnsi="Calibri"/>
        </w:rPr>
        <w:t>s</w:t>
      </w:r>
      <w:r w:rsidRPr="000B21CF">
        <w:rPr>
          <w:rFonts w:ascii="Calibri" w:eastAsia="Calibri" w:hAnsi="Calibri"/>
        </w:rPr>
        <w:t>ettled/</w:t>
      </w:r>
      <w:r>
        <w:rPr>
          <w:rFonts w:ascii="Calibri" w:eastAsia="Calibri" w:hAnsi="Calibri"/>
        </w:rPr>
        <w:t>c</w:t>
      </w:r>
      <w:r w:rsidRPr="000B21CF">
        <w:rPr>
          <w:rFonts w:ascii="Calibri" w:eastAsia="Calibri" w:hAnsi="Calibri"/>
        </w:rPr>
        <w:t xml:space="preserve">losed’ </w:t>
      </w:r>
      <w:r>
        <w:rPr>
          <w:rFonts w:ascii="Calibri" w:eastAsia="Calibri" w:hAnsi="Calibri"/>
        </w:rPr>
        <w:t>row</w:t>
      </w:r>
      <w:r w:rsidRPr="000B21CF">
        <w:rPr>
          <w:rFonts w:ascii="Calibri" w:eastAsia="Calibri" w:hAnsi="Calibri"/>
        </w:rPr>
        <w:t xml:space="preserve"> in the FIRST month this occurs. After </w:t>
      </w:r>
      <w:r>
        <w:rPr>
          <w:rFonts w:ascii="Calibri" w:eastAsia="Calibri" w:hAnsi="Calibri"/>
        </w:rPr>
        <w:t xml:space="preserve">you have reported </w:t>
      </w:r>
      <w:r w:rsidRPr="000B21CF">
        <w:rPr>
          <w:rFonts w:ascii="Calibri" w:eastAsia="Calibri" w:hAnsi="Calibri"/>
        </w:rPr>
        <w:t xml:space="preserve">this date, </w:t>
      </w:r>
      <w:r>
        <w:rPr>
          <w:rFonts w:ascii="Calibri" w:eastAsia="Calibri" w:hAnsi="Calibri"/>
        </w:rPr>
        <w:t xml:space="preserve">you can delete </w:t>
      </w:r>
      <w:r w:rsidRPr="000B21CF">
        <w:rPr>
          <w:rFonts w:ascii="Calibri" w:eastAsia="Calibri" w:hAnsi="Calibri"/>
        </w:rPr>
        <w:t>the item from future returns.</w:t>
      </w:r>
    </w:p>
    <w:p w14:paraId="4CF26159" w14:textId="71DC6171" w:rsidR="00BF4557" w:rsidRDefault="00BF4557" w:rsidP="00930407">
      <w:pPr>
        <w:spacing w:after="200" w:line="276" w:lineRule="auto"/>
        <w:contextualSpacing/>
        <w:rPr>
          <w:rFonts w:ascii="Calibri" w:eastAsia="Calibri" w:hAnsi="Calibri"/>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4779"/>
      </w:tblGrid>
      <w:tr w:rsidR="00BF4557" w:rsidRPr="000B21CF" w14:paraId="6BDECE59" w14:textId="77777777" w:rsidTr="00BF4557">
        <w:tc>
          <w:tcPr>
            <w:tcW w:w="9884" w:type="dxa"/>
            <w:gridSpan w:val="2"/>
            <w:tcBorders>
              <w:top w:val="single" w:sz="4" w:space="0" w:color="auto"/>
              <w:left w:val="single" w:sz="4" w:space="0" w:color="auto"/>
              <w:bottom w:val="single" w:sz="4" w:space="0" w:color="auto"/>
              <w:right w:val="single" w:sz="4" w:space="0" w:color="auto"/>
            </w:tcBorders>
            <w:shd w:val="clear" w:color="auto" w:fill="0070C0"/>
          </w:tcPr>
          <w:p w14:paraId="6DDA543E" w14:textId="77777777" w:rsidR="00BF4557" w:rsidRPr="000B21CF" w:rsidRDefault="00BF4557" w:rsidP="00114C8A">
            <w:pPr>
              <w:spacing w:after="200"/>
              <w:rPr>
                <w:rFonts w:ascii="Calibri" w:eastAsia="Calibri" w:hAnsi="Calibri" w:cs="Times New Roman"/>
                <w:b/>
                <w:bCs/>
                <w:iCs/>
                <w:color w:val="FFFFFF"/>
              </w:rPr>
            </w:pPr>
            <w:r w:rsidRPr="000B21CF">
              <w:rPr>
                <w:rFonts w:ascii="Calibri" w:eastAsia="Calibri" w:hAnsi="Calibri" w:cs="Times New Roman"/>
                <w:b/>
                <w:bCs/>
                <w:iCs/>
                <w:color w:val="FFFFFF"/>
              </w:rPr>
              <w:lastRenderedPageBreak/>
              <w:t xml:space="preserve">Total </w:t>
            </w:r>
            <w:r>
              <w:rPr>
                <w:rFonts w:ascii="Calibri" w:eastAsia="Calibri" w:hAnsi="Calibri" w:cs="Times New Roman"/>
                <w:b/>
                <w:bCs/>
                <w:iCs/>
                <w:color w:val="FFFFFF"/>
              </w:rPr>
              <w:t>l</w:t>
            </w:r>
            <w:r w:rsidRPr="000B21CF">
              <w:rPr>
                <w:rFonts w:ascii="Calibri" w:eastAsia="Calibri" w:hAnsi="Calibri" w:cs="Times New Roman"/>
                <w:b/>
                <w:bCs/>
                <w:iCs/>
                <w:color w:val="FFFFFF"/>
              </w:rPr>
              <w:t>egal/</w:t>
            </w:r>
            <w:r>
              <w:rPr>
                <w:rFonts w:ascii="Calibri" w:eastAsia="Calibri" w:hAnsi="Calibri" w:cs="Times New Roman"/>
                <w:b/>
                <w:bCs/>
                <w:iCs/>
                <w:color w:val="FFFFFF"/>
              </w:rPr>
              <w:t>i</w:t>
            </w:r>
            <w:r w:rsidRPr="000B21CF">
              <w:rPr>
                <w:rFonts w:ascii="Calibri" w:eastAsia="Calibri" w:hAnsi="Calibri" w:cs="Times New Roman"/>
                <w:b/>
                <w:bCs/>
                <w:iCs/>
                <w:color w:val="FFFFFF"/>
              </w:rPr>
              <w:t>nsurance</w:t>
            </w:r>
          </w:p>
        </w:tc>
      </w:tr>
      <w:tr w:rsidR="00BF4557" w:rsidRPr="000B21CF" w14:paraId="6A68B7DE" w14:textId="77777777" w:rsidTr="00BF4557">
        <w:tc>
          <w:tcPr>
            <w:tcW w:w="5105" w:type="dxa"/>
            <w:tcBorders>
              <w:top w:val="single" w:sz="4" w:space="0" w:color="auto"/>
              <w:left w:val="single" w:sz="4" w:space="0" w:color="auto"/>
              <w:bottom w:val="single" w:sz="4" w:space="0" w:color="auto"/>
              <w:right w:val="single" w:sz="4" w:space="0" w:color="auto"/>
            </w:tcBorders>
            <w:shd w:val="clear" w:color="auto" w:fill="auto"/>
          </w:tcPr>
          <w:p w14:paraId="5D9F280A" w14:textId="77777777" w:rsidR="00BF4557" w:rsidRPr="000B21CF" w:rsidRDefault="00BF4557" w:rsidP="00114C8A">
            <w:pPr>
              <w:spacing w:after="200"/>
              <w:rPr>
                <w:rFonts w:ascii="Calibri" w:eastAsia="Calibri" w:hAnsi="Calibri" w:cs="Times New Roman"/>
                <w:b/>
                <w:bCs/>
                <w:iCs/>
                <w:color w:val="FFFFFF"/>
              </w:rPr>
            </w:pPr>
            <w:r w:rsidRPr="000B21CF">
              <w:rPr>
                <w:rFonts w:ascii="Calibri" w:eastAsia="Calibri" w:hAnsi="Calibri" w:cs="Times New Roman"/>
                <w:b/>
                <w:bCs/>
                <w:iCs/>
              </w:rPr>
              <w:t xml:space="preserve"> Gross Contingent Liability</w:t>
            </w:r>
          </w:p>
        </w:tc>
        <w:tc>
          <w:tcPr>
            <w:tcW w:w="4779" w:type="dxa"/>
            <w:tcBorders>
              <w:top w:val="single" w:sz="4" w:space="0" w:color="auto"/>
              <w:left w:val="single" w:sz="4" w:space="0" w:color="auto"/>
              <w:bottom w:val="single" w:sz="4" w:space="0" w:color="auto"/>
              <w:right w:val="single" w:sz="4" w:space="0" w:color="auto"/>
            </w:tcBorders>
            <w:shd w:val="clear" w:color="auto" w:fill="FFFFFF"/>
          </w:tcPr>
          <w:p w14:paraId="3DCFDD47" w14:textId="77777777" w:rsidR="00BF4557" w:rsidRPr="000B21CF" w:rsidRDefault="00BF4557" w:rsidP="00114C8A">
            <w:pPr>
              <w:spacing w:after="200"/>
              <w:rPr>
                <w:rFonts w:ascii="Calibri" w:eastAsia="Calibri" w:hAnsi="Calibri" w:cs="Times New Roman"/>
                <w:b/>
                <w:bCs/>
                <w:iCs/>
                <w:color w:val="FFFFFF"/>
              </w:rPr>
            </w:pPr>
            <w:r w:rsidRPr="000B21CF">
              <w:rPr>
                <w:rFonts w:ascii="Calibri" w:eastAsia="Calibri" w:hAnsi="Calibri" w:cs="Times New Roman"/>
                <w:b/>
                <w:bCs/>
                <w:iCs/>
              </w:rPr>
              <w:t>Net Contingent Liability</w:t>
            </w:r>
          </w:p>
        </w:tc>
      </w:tr>
      <w:tr w:rsidR="00BF4557" w:rsidRPr="000B21CF" w14:paraId="3FA5546A" w14:textId="77777777" w:rsidTr="00930407">
        <w:tc>
          <w:tcPr>
            <w:tcW w:w="5105" w:type="dxa"/>
            <w:tcBorders>
              <w:top w:val="single" w:sz="4" w:space="0" w:color="auto"/>
              <w:left w:val="single" w:sz="4" w:space="0" w:color="auto"/>
              <w:bottom w:val="single" w:sz="4" w:space="0" w:color="auto"/>
              <w:right w:val="single" w:sz="4" w:space="0" w:color="auto"/>
            </w:tcBorders>
            <w:shd w:val="clear" w:color="auto" w:fill="auto"/>
          </w:tcPr>
          <w:p w14:paraId="3D6C9F9C" w14:textId="1E2B6B34" w:rsidR="00BF4557" w:rsidRPr="000B21CF" w:rsidRDefault="00BF4557" w:rsidP="00114C8A">
            <w:pPr>
              <w:spacing w:after="200"/>
              <w:rPr>
                <w:rFonts w:ascii="Calibri" w:eastAsia="Calibri" w:hAnsi="Calibri" w:cs="Times New Roman"/>
                <w:b/>
                <w:bCs/>
                <w:iCs/>
              </w:rPr>
            </w:pPr>
          </w:p>
        </w:tc>
        <w:tc>
          <w:tcPr>
            <w:tcW w:w="4779" w:type="dxa"/>
            <w:tcBorders>
              <w:top w:val="single" w:sz="4" w:space="0" w:color="auto"/>
              <w:left w:val="single" w:sz="4" w:space="0" w:color="auto"/>
              <w:bottom w:val="single" w:sz="4" w:space="0" w:color="auto"/>
              <w:right w:val="single" w:sz="4" w:space="0" w:color="auto"/>
            </w:tcBorders>
            <w:shd w:val="clear" w:color="auto" w:fill="auto"/>
          </w:tcPr>
          <w:p w14:paraId="6343EB43" w14:textId="14E19FBB" w:rsidR="00BF4557" w:rsidRPr="000B21CF" w:rsidRDefault="00BF4557" w:rsidP="00114C8A">
            <w:pPr>
              <w:shd w:val="clear" w:color="auto" w:fill="BFBFBF"/>
              <w:spacing w:after="200"/>
              <w:rPr>
                <w:rFonts w:ascii="Calibri" w:eastAsia="Calibri" w:hAnsi="Calibri" w:cs="Times New Roman"/>
                <w:b/>
                <w:bCs/>
                <w:iCs/>
              </w:rPr>
            </w:pPr>
          </w:p>
        </w:tc>
      </w:tr>
    </w:tbl>
    <w:p w14:paraId="2E93140D" w14:textId="77777777" w:rsidR="00BF4557" w:rsidRDefault="00BF4557" w:rsidP="00930407">
      <w:pPr>
        <w:spacing w:after="200" w:line="276" w:lineRule="auto"/>
        <w:contextualSpacing/>
        <w:rPr>
          <w:rFonts w:ascii="Calibri" w:hAnsi="Calibri"/>
          <w:color w:val="000000"/>
        </w:rPr>
      </w:pPr>
    </w:p>
    <w:p w14:paraId="2DF46387" w14:textId="77777777" w:rsidR="00BF4557" w:rsidRPr="000B21CF" w:rsidRDefault="00BF4557" w:rsidP="00114C8A">
      <w:pPr>
        <w:spacing w:after="180" w:line="274" w:lineRule="auto"/>
        <w:rPr>
          <w:rFonts w:ascii="Calibri" w:eastAsia="Calibri" w:hAnsi="Calibri"/>
          <w:lang w:val="en"/>
        </w:rPr>
      </w:pPr>
      <w:r w:rsidRPr="000B21CF">
        <w:rPr>
          <w:rFonts w:ascii="Calibri" w:eastAsia="Calibri" w:hAnsi="Calibri"/>
          <w:lang w:val="en"/>
        </w:rPr>
        <w:t>Is there any charge, pledge, or other encumbrance over any of the assets of the Market Participant?</w:t>
      </w:r>
    </w:p>
    <w:p w14:paraId="23D1B747" w14:textId="200DF67C" w:rsidR="003A1BE7" w:rsidRDefault="00114C8A" w:rsidP="00930407">
      <w:pPr>
        <w:spacing w:after="200" w:line="276" w:lineRule="auto"/>
        <w:contextualSpacing/>
        <w:rPr>
          <w:rFonts w:ascii="Calibri" w:hAnsi="Calibri"/>
          <w:color w:val="000000"/>
        </w:rPr>
      </w:pPr>
      <w:r>
        <w:rPr>
          <w:noProof/>
        </w:rPr>
        <w:drawing>
          <wp:inline distT="0" distB="0" distL="0" distR="0" wp14:anchorId="07EB6BCC" wp14:editId="2878096A">
            <wp:extent cx="1316355" cy="7340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4" r:link="rId85">
                      <a:extLst>
                        <a:ext uri="{28A0092B-C50C-407E-A947-70E740481C1C}">
                          <a14:useLocalDpi xmlns:a14="http://schemas.microsoft.com/office/drawing/2010/main" val="0"/>
                        </a:ext>
                      </a:extLst>
                    </a:blip>
                    <a:srcRect/>
                    <a:stretch>
                      <a:fillRect/>
                    </a:stretch>
                  </pic:blipFill>
                  <pic:spPr bwMode="auto">
                    <a:xfrm>
                      <a:off x="0" y="0"/>
                      <a:ext cx="1316355" cy="734060"/>
                    </a:xfrm>
                    <a:prstGeom prst="rect">
                      <a:avLst/>
                    </a:prstGeom>
                    <a:noFill/>
                    <a:ln>
                      <a:noFill/>
                    </a:ln>
                  </pic:spPr>
                </pic:pic>
              </a:graphicData>
            </a:graphic>
          </wp:inline>
        </w:drawing>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tblGrid>
      <w:tr w:rsidR="00BF4557" w:rsidRPr="000B21CF" w14:paraId="31E83895" w14:textId="77777777" w:rsidTr="00BF4557">
        <w:tc>
          <w:tcPr>
            <w:tcW w:w="6101" w:type="dxa"/>
            <w:tcBorders>
              <w:top w:val="single" w:sz="4" w:space="0" w:color="auto"/>
              <w:left w:val="single" w:sz="4" w:space="0" w:color="auto"/>
              <w:bottom w:val="single" w:sz="4" w:space="0" w:color="auto"/>
              <w:right w:val="single" w:sz="4" w:space="0" w:color="auto"/>
            </w:tcBorders>
            <w:shd w:val="clear" w:color="auto" w:fill="0070C0"/>
          </w:tcPr>
          <w:p w14:paraId="60442910" w14:textId="0FA8817A" w:rsidR="00BF4557" w:rsidRPr="000B21CF" w:rsidRDefault="00BF4557" w:rsidP="00114C8A">
            <w:pPr>
              <w:spacing w:after="200"/>
              <w:rPr>
                <w:rFonts w:ascii="Calibri" w:eastAsia="Calibri" w:hAnsi="Calibri" w:cs="Times New Roman"/>
                <w:b/>
                <w:bCs/>
                <w:iCs/>
                <w:color w:val="FFFFFF"/>
              </w:rPr>
            </w:pPr>
            <w:r>
              <w:rPr>
                <w:rFonts w:ascii="Calibri" w:eastAsia="Calibri" w:hAnsi="Calibri" w:cs="Times New Roman"/>
                <w:b/>
                <w:bCs/>
                <w:iCs/>
                <w:color w:val="FFFFFF"/>
              </w:rPr>
              <w:t>P</w:t>
            </w:r>
            <w:r w:rsidRPr="000B21CF">
              <w:rPr>
                <w:rFonts w:ascii="Calibri" w:eastAsia="Calibri" w:hAnsi="Calibri" w:cs="Times New Roman"/>
                <w:b/>
                <w:bCs/>
                <w:iCs/>
                <w:color w:val="FFFFFF"/>
              </w:rPr>
              <w:t>rovide details below of any encumbrance (or charge or pledge) over any of the assets of the Market Participant, including the nature of the encumbrance, and the maximum potential exposure</w:t>
            </w:r>
          </w:p>
        </w:tc>
      </w:tr>
      <w:tr w:rsidR="00BF4557" w:rsidRPr="000B21CF" w14:paraId="2348C0CD" w14:textId="77777777" w:rsidTr="00BF4557">
        <w:tc>
          <w:tcPr>
            <w:tcW w:w="6101" w:type="dxa"/>
            <w:tcBorders>
              <w:top w:val="single" w:sz="4" w:space="0" w:color="auto"/>
              <w:left w:val="single" w:sz="4" w:space="0" w:color="auto"/>
              <w:bottom w:val="single" w:sz="4" w:space="0" w:color="auto"/>
              <w:right w:val="single" w:sz="4" w:space="0" w:color="auto"/>
            </w:tcBorders>
          </w:tcPr>
          <w:p w14:paraId="18EBA5EA" w14:textId="06AF8606" w:rsidR="00BF4557" w:rsidRPr="000B21CF" w:rsidRDefault="00BF4557" w:rsidP="00BF4557">
            <w:pPr>
              <w:rPr>
                <w:rFonts w:ascii="Calibri" w:eastAsia="Calibri" w:hAnsi="Calibri" w:cs="Times New Roman"/>
                <w:b/>
                <w:bCs/>
                <w:iCs/>
              </w:rPr>
            </w:pPr>
            <w:r w:rsidRPr="000B21CF">
              <w:rPr>
                <w:rFonts w:ascii="Calibri" w:eastAsia="Calibri" w:hAnsi="Calibri"/>
                <w:noProof/>
                <w:color w:val="984806"/>
              </w:rPr>
              <w:drawing>
                <wp:inline distT="0" distB="0" distL="0" distR="0" wp14:anchorId="39193431" wp14:editId="16F40CBA">
                  <wp:extent cx="3590925" cy="1228725"/>
                  <wp:effectExtent l="0" t="0" r="9525" b="9525"/>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619320" cy="1238441"/>
                          </a:xfrm>
                          <a:prstGeom prst="rect">
                            <a:avLst/>
                          </a:prstGeom>
                          <a:noFill/>
                          <a:ln>
                            <a:noFill/>
                          </a:ln>
                        </pic:spPr>
                      </pic:pic>
                    </a:graphicData>
                  </a:graphic>
                </wp:inline>
              </w:drawing>
            </w:r>
          </w:p>
        </w:tc>
      </w:tr>
    </w:tbl>
    <w:p w14:paraId="17F7BD91" w14:textId="5E3726D4" w:rsidR="00BF4557" w:rsidRDefault="00BF4557" w:rsidP="00930407">
      <w:pPr>
        <w:spacing w:after="200" w:line="276" w:lineRule="auto"/>
        <w:contextualSpacing/>
        <w:rPr>
          <w:rFonts w:ascii="Calibri" w:hAnsi="Calibri"/>
          <w:color w:val="000000"/>
        </w:rPr>
      </w:pPr>
    </w:p>
    <w:p w14:paraId="22B7DC17" w14:textId="77777777" w:rsidR="00BF4557" w:rsidRPr="000B21CF" w:rsidRDefault="00BF4557" w:rsidP="00114C8A">
      <w:pPr>
        <w:spacing w:after="180" w:line="274" w:lineRule="auto"/>
        <w:rPr>
          <w:rFonts w:ascii="Calibri" w:eastAsia="Calibri" w:hAnsi="Calibri"/>
          <w:lang w:val="en"/>
        </w:rPr>
      </w:pPr>
      <w:r w:rsidRPr="000B21CF">
        <w:rPr>
          <w:rFonts w:ascii="Calibri" w:eastAsia="Calibri" w:hAnsi="Calibri"/>
          <w:lang w:val="en"/>
        </w:rPr>
        <w:t>Has the Market Participant granted any Credit Facilities to other persons or entities?</w:t>
      </w:r>
    </w:p>
    <w:p w14:paraId="04D975C6" w14:textId="503D20DB" w:rsidR="00BF4557" w:rsidRDefault="00114C8A" w:rsidP="00930407">
      <w:pPr>
        <w:spacing w:after="200" w:line="276" w:lineRule="auto"/>
        <w:contextualSpacing/>
        <w:rPr>
          <w:rFonts w:ascii="Calibri" w:eastAsia="Calibri" w:hAnsi="Calibri"/>
          <w:lang w:val="en" w:eastAsia="en-US"/>
        </w:rPr>
      </w:pPr>
      <w:r>
        <w:rPr>
          <w:noProof/>
        </w:rPr>
        <w:drawing>
          <wp:inline distT="0" distB="0" distL="0" distR="0" wp14:anchorId="6C87B930" wp14:editId="38C3F28F">
            <wp:extent cx="1316355" cy="7340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6" r:link="rId85" cstate="print">
                      <a:extLst>
                        <a:ext uri="{28A0092B-C50C-407E-A947-70E740481C1C}">
                          <a14:useLocalDpi xmlns:a14="http://schemas.microsoft.com/office/drawing/2010/main" val="0"/>
                        </a:ext>
                      </a:extLst>
                    </a:blip>
                    <a:srcRect/>
                    <a:stretch>
                      <a:fillRect/>
                    </a:stretch>
                  </pic:blipFill>
                  <pic:spPr bwMode="auto">
                    <a:xfrm>
                      <a:off x="0" y="0"/>
                      <a:ext cx="1316355" cy="734060"/>
                    </a:xfrm>
                    <a:prstGeom prst="rect">
                      <a:avLst/>
                    </a:prstGeom>
                    <a:noFill/>
                    <a:ln>
                      <a:noFill/>
                    </a:ln>
                  </pic:spPr>
                </pic:pic>
              </a:graphicData>
            </a:graphic>
          </wp:inline>
        </w:drawing>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tblGrid>
      <w:tr w:rsidR="00BF4557" w:rsidRPr="000B21CF" w14:paraId="3C2C4D48" w14:textId="77777777" w:rsidTr="00BF4557">
        <w:tc>
          <w:tcPr>
            <w:tcW w:w="6101" w:type="dxa"/>
            <w:tcBorders>
              <w:top w:val="single" w:sz="4" w:space="0" w:color="auto"/>
              <w:left w:val="single" w:sz="4" w:space="0" w:color="auto"/>
              <w:bottom w:val="single" w:sz="4" w:space="0" w:color="auto"/>
              <w:right w:val="single" w:sz="4" w:space="0" w:color="auto"/>
            </w:tcBorders>
            <w:shd w:val="clear" w:color="auto" w:fill="0070C0"/>
          </w:tcPr>
          <w:p w14:paraId="732A6331" w14:textId="511BB5CC" w:rsidR="00BF4557" w:rsidRPr="000B21CF" w:rsidRDefault="00BF4557" w:rsidP="00BF4557">
            <w:pPr>
              <w:rPr>
                <w:rFonts w:ascii="Calibri" w:eastAsia="Calibri" w:hAnsi="Calibri" w:cs="Times New Roman"/>
                <w:b/>
                <w:bCs/>
                <w:iCs/>
                <w:color w:val="FFFFFF"/>
              </w:rPr>
            </w:pPr>
            <w:r w:rsidRPr="000B21CF">
              <w:rPr>
                <w:rFonts w:ascii="Calibri" w:eastAsia="Calibri" w:hAnsi="Calibri" w:cs="Times New Roman"/>
                <w:b/>
                <w:bCs/>
                <w:iCs/>
                <w:color w:val="FFFFFF"/>
              </w:rPr>
              <w:lastRenderedPageBreak/>
              <w:t>Please provide details below of the Credit Facilities granted to other persons/entities</w:t>
            </w:r>
          </w:p>
        </w:tc>
      </w:tr>
      <w:tr w:rsidR="00BF4557" w:rsidRPr="000B21CF" w14:paraId="7EBB59F4" w14:textId="77777777" w:rsidTr="00BF4557">
        <w:tc>
          <w:tcPr>
            <w:tcW w:w="6101" w:type="dxa"/>
            <w:tcBorders>
              <w:top w:val="single" w:sz="4" w:space="0" w:color="auto"/>
              <w:left w:val="single" w:sz="4" w:space="0" w:color="auto"/>
              <w:bottom w:val="single" w:sz="4" w:space="0" w:color="auto"/>
              <w:right w:val="single" w:sz="4" w:space="0" w:color="auto"/>
            </w:tcBorders>
          </w:tcPr>
          <w:p w14:paraId="595DCE2C" w14:textId="46D03B30" w:rsidR="00BF4557" w:rsidRPr="000B21CF" w:rsidRDefault="00BF4557" w:rsidP="00BF4557">
            <w:pPr>
              <w:rPr>
                <w:rFonts w:ascii="Calibri" w:eastAsia="Calibri" w:hAnsi="Calibri" w:cs="Times New Roman"/>
                <w:b/>
                <w:bCs/>
                <w:iCs/>
              </w:rPr>
            </w:pPr>
            <w:r w:rsidRPr="000B21CF">
              <w:rPr>
                <w:rFonts w:ascii="Calibri" w:eastAsia="Calibri" w:hAnsi="Calibri"/>
                <w:noProof/>
                <w:color w:val="984806"/>
              </w:rPr>
              <w:drawing>
                <wp:inline distT="0" distB="0" distL="0" distR="0" wp14:anchorId="7476DC06" wp14:editId="0EE3D216">
                  <wp:extent cx="3590925" cy="1228725"/>
                  <wp:effectExtent l="0" t="0" r="9525" b="9525"/>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619320" cy="1238441"/>
                          </a:xfrm>
                          <a:prstGeom prst="rect">
                            <a:avLst/>
                          </a:prstGeom>
                          <a:noFill/>
                          <a:ln>
                            <a:noFill/>
                          </a:ln>
                        </pic:spPr>
                      </pic:pic>
                    </a:graphicData>
                  </a:graphic>
                </wp:inline>
              </w:drawing>
            </w:r>
          </w:p>
        </w:tc>
      </w:tr>
    </w:tbl>
    <w:p w14:paraId="15E249CB" w14:textId="10A27D65" w:rsidR="00BF4557" w:rsidRDefault="00BF4557" w:rsidP="00930407">
      <w:pPr>
        <w:spacing w:after="200" w:line="276" w:lineRule="auto"/>
        <w:contextualSpacing/>
        <w:rPr>
          <w:rFonts w:ascii="Calibri" w:hAnsi="Calibri"/>
          <w:color w:val="000000"/>
        </w:rPr>
      </w:pPr>
    </w:p>
    <w:p w14:paraId="44B141DD" w14:textId="367B2754" w:rsidR="00BF4557" w:rsidRPr="00D3615D" w:rsidRDefault="00BF4557" w:rsidP="00D3615D">
      <w:pPr>
        <w:keepNext/>
        <w:spacing w:before="240" w:after="120"/>
        <w:outlineLvl w:val="3"/>
        <w:rPr>
          <w:rFonts w:ascii="Calibri" w:hAnsi="Calibri" w:cs="Helvetica"/>
          <w:b/>
          <w:sz w:val="24"/>
          <w:szCs w:val="24"/>
          <w:lang w:val="en"/>
        </w:rPr>
      </w:pPr>
      <w:r w:rsidRPr="00D3615D">
        <w:rPr>
          <w:rFonts w:ascii="Calibri" w:hAnsi="Calibri" w:cs="Helvetica"/>
          <w:b/>
          <w:sz w:val="24"/>
          <w:szCs w:val="24"/>
          <w:lang w:val="en"/>
        </w:rPr>
        <w:t>Leases</w:t>
      </w:r>
    </w:p>
    <w:tbl>
      <w:tblPr>
        <w:tblStyle w:val="TableGrid9"/>
        <w:tblW w:w="9494" w:type="dxa"/>
        <w:tblLook w:val="04A0" w:firstRow="1" w:lastRow="0" w:firstColumn="1" w:lastColumn="0" w:noHBand="0" w:noVBand="1"/>
      </w:tblPr>
      <w:tblGrid>
        <w:gridCol w:w="3410"/>
        <w:gridCol w:w="1934"/>
        <w:gridCol w:w="2075"/>
        <w:gridCol w:w="2075"/>
      </w:tblGrid>
      <w:tr w:rsidR="00726E9C" w:rsidRPr="000B21CF" w14:paraId="024B7DF0" w14:textId="77777777" w:rsidTr="00930407">
        <w:tc>
          <w:tcPr>
            <w:tcW w:w="3410" w:type="dxa"/>
            <w:tcBorders>
              <w:left w:val="single" w:sz="4" w:space="0" w:color="auto"/>
            </w:tcBorders>
            <w:shd w:val="clear" w:color="auto" w:fill="0070C0"/>
          </w:tcPr>
          <w:p w14:paraId="7959488A" w14:textId="77777777" w:rsidR="00726E9C" w:rsidRPr="000B21CF" w:rsidDel="008977C3" w:rsidRDefault="00726E9C" w:rsidP="00BF4557">
            <w:pPr>
              <w:rPr>
                <w:rFonts w:ascii="Calibri" w:eastAsia="Calibri" w:hAnsi="Calibri" w:cs="Times New Roman"/>
                <w:color w:val="FFFFFF"/>
                <w:lang w:val="en" w:eastAsia="en-AU"/>
              </w:rPr>
            </w:pPr>
            <w:r w:rsidRPr="000B21CF">
              <w:rPr>
                <w:rFonts w:ascii="Calibri" w:eastAsia="Calibri" w:hAnsi="Calibri" w:cs="Times New Roman"/>
                <w:color w:val="FFFFFF"/>
                <w:lang w:val="en" w:eastAsia="en-AU"/>
              </w:rPr>
              <w:t>Description of the lease</w:t>
            </w:r>
          </w:p>
        </w:tc>
        <w:tc>
          <w:tcPr>
            <w:tcW w:w="1934" w:type="dxa"/>
            <w:shd w:val="clear" w:color="auto" w:fill="0070C0"/>
          </w:tcPr>
          <w:p w14:paraId="7140DD27" w14:textId="77777777" w:rsidR="00726E9C" w:rsidRPr="000B21CF" w:rsidRDefault="00726E9C" w:rsidP="00BF4557">
            <w:pPr>
              <w:rPr>
                <w:rFonts w:ascii="Calibri" w:eastAsia="Calibri" w:hAnsi="Calibri" w:cs="Times New Roman"/>
                <w:color w:val="FFFFFF"/>
                <w:lang w:val="en" w:eastAsia="en-AU"/>
              </w:rPr>
            </w:pPr>
            <w:r w:rsidRPr="000B21CF">
              <w:rPr>
                <w:rFonts w:ascii="Calibri" w:eastAsia="Calibri" w:hAnsi="Calibri" w:cs="Times New Roman"/>
                <w:color w:val="FFFFFF"/>
                <w:lang w:val="en" w:eastAsia="en-AU"/>
              </w:rPr>
              <w:t>Right-of-</w:t>
            </w:r>
            <w:r>
              <w:rPr>
                <w:rFonts w:ascii="Calibri" w:eastAsia="Calibri" w:hAnsi="Calibri" w:cs="Times New Roman"/>
                <w:color w:val="FFFFFF"/>
                <w:lang w:val="en" w:eastAsia="en-AU"/>
              </w:rPr>
              <w:t>u</w:t>
            </w:r>
            <w:r w:rsidRPr="000B21CF">
              <w:rPr>
                <w:rFonts w:ascii="Calibri" w:eastAsia="Calibri" w:hAnsi="Calibri" w:cs="Times New Roman"/>
                <w:color w:val="FFFFFF"/>
                <w:lang w:val="en" w:eastAsia="en-AU"/>
              </w:rPr>
              <w:t>se-</w:t>
            </w:r>
            <w:r>
              <w:rPr>
                <w:rFonts w:ascii="Calibri" w:eastAsia="Calibri" w:hAnsi="Calibri" w:cs="Times New Roman"/>
                <w:color w:val="FFFFFF"/>
                <w:lang w:val="en" w:eastAsia="en-AU"/>
              </w:rPr>
              <w:t>a</w:t>
            </w:r>
            <w:r w:rsidRPr="000B21CF">
              <w:rPr>
                <w:rFonts w:ascii="Calibri" w:eastAsia="Calibri" w:hAnsi="Calibri" w:cs="Times New Roman"/>
                <w:color w:val="FFFFFF"/>
                <w:lang w:val="en" w:eastAsia="en-AU"/>
              </w:rPr>
              <w:t xml:space="preserve">sset (ROU </w:t>
            </w:r>
            <w:r>
              <w:rPr>
                <w:rFonts w:ascii="Calibri" w:eastAsia="Calibri" w:hAnsi="Calibri" w:cs="Times New Roman"/>
                <w:color w:val="FFFFFF"/>
                <w:lang w:val="en" w:eastAsia="en-AU"/>
              </w:rPr>
              <w:t>a</w:t>
            </w:r>
            <w:r w:rsidRPr="000B21CF">
              <w:rPr>
                <w:rFonts w:ascii="Calibri" w:eastAsia="Calibri" w:hAnsi="Calibri" w:cs="Times New Roman"/>
                <w:color w:val="FFFFFF"/>
                <w:lang w:val="en" w:eastAsia="en-AU"/>
              </w:rPr>
              <w:t>sset) ($)</w:t>
            </w:r>
          </w:p>
        </w:tc>
        <w:tc>
          <w:tcPr>
            <w:tcW w:w="2075" w:type="dxa"/>
            <w:shd w:val="clear" w:color="auto" w:fill="0070C0"/>
          </w:tcPr>
          <w:p w14:paraId="6071074B" w14:textId="77777777" w:rsidR="00726E9C" w:rsidRPr="000B21CF" w:rsidRDefault="00726E9C" w:rsidP="00BF4557">
            <w:pPr>
              <w:rPr>
                <w:rFonts w:ascii="Calibri" w:eastAsia="Calibri" w:hAnsi="Calibri" w:cs="Times New Roman"/>
                <w:color w:val="FFFFFF"/>
                <w:lang w:val="en" w:eastAsia="en-AU"/>
              </w:rPr>
            </w:pPr>
            <w:r w:rsidRPr="000B21CF">
              <w:rPr>
                <w:rFonts w:ascii="Calibri" w:eastAsia="Calibri" w:hAnsi="Calibri" w:cs="Times New Roman"/>
                <w:color w:val="FFFFFF"/>
                <w:lang w:val="en" w:eastAsia="en-AU"/>
              </w:rPr>
              <w:t>Lease Liability (LL) ($)</w:t>
            </w:r>
          </w:p>
        </w:tc>
        <w:tc>
          <w:tcPr>
            <w:tcW w:w="2075" w:type="dxa"/>
            <w:tcBorders>
              <w:right w:val="single" w:sz="4" w:space="0" w:color="auto"/>
            </w:tcBorders>
            <w:shd w:val="clear" w:color="auto" w:fill="0070C0"/>
          </w:tcPr>
          <w:p w14:paraId="6B31B843" w14:textId="77777777" w:rsidR="00726E9C" w:rsidRPr="000B21CF" w:rsidRDefault="00726E9C" w:rsidP="00BF4557">
            <w:pPr>
              <w:rPr>
                <w:rFonts w:ascii="Calibri" w:eastAsia="Calibri" w:hAnsi="Calibri" w:cs="Times New Roman"/>
                <w:color w:val="FFFFFF"/>
                <w:lang w:val="en" w:eastAsia="en-AU"/>
              </w:rPr>
            </w:pPr>
            <w:r w:rsidRPr="000B21CF">
              <w:rPr>
                <w:rFonts w:ascii="Calibri" w:eastAsia="Calibri" w:hAnsi="Calibri" w:cs="Times New Roman"/>
                <w:color w:val="FFFFFF"/>
                <w:lang w:val="en" w:eastAsia="en-AU"/>
              </w:rPr>
              <w:t xml:space="preserve">Net of ROU </w:t>
            </w:r>
            <w:r>
              <w:rPr>
                <w:rFonts w:ascii="Calibri" w:eastAsia="Calibri" w:hAnsi="Calibri" w:cs="Times New Roman"/>
                <w:color w:val="FFFFFF"/>
                <w:lang w:val="en" w:eastAsia="en-AU"/>
              </w:rPr>
              <w:t>a</w:t>
            </w:r>
            <w:r w:rsidRPr="000B21CF">
              <w:rPr>
                <w:rFonts w:ascii="Calibri" w:eastAsia="Calibri" w:hAnsi="Calibri" w:cs="Times New Roman"/>
                <w:color w:val="FFFFFF"/>
                <w:lang w:val="en" w:eastAsia="en-AU"/>
              </w:rPr>
              <w:t>sset and LL ($)</w:t>
            </w:r>
          </w:p>
        </w:tc>
      </w:tr>
      <w:tr w:rsidR="00726E9C" w:rsidRPr="000B21CF" w14:paraId="1D52B0ED" w14:textId="77777777" w:rsidTr="00930407">
        <w:tc>
          <w:tcPr>
            <w:tcW w:w="3410" w:type="dxa"/>
            <w:tcBorders>
              <w:left w:val="single" w:sz="4" w:space="0" w:color="auto"/>
            </w:tcBorders>
          </w:tcPr>
          <w:p w14:paraId="252B11DE" w14:textId="77777777" w:rsidR="00726E9C" w:rsidRPr="000B21CF" w:rsidRDefault="00726E9C" w:rsidP="00BF4557">
            <w:pPr>
              <w:rPr>
                <w:rFonts w:ascii="Calibri" w:eastAsia="Calibri" w:hAnsi="Calibri" w:cs="Times New Roman"/>
                <w:lang w:val="en" w:eastAsia="en-AU"/>
              </w:rPr>
            </w:pPr>
            <w:r w:rsidRPr="000B21CF">
              <w:rPr>
                <w:rFonts w:ascii="Calibri" w:eastAsia="Calibri" w:hAnsi="Calibri" w:cs="Times New Roman"/>
                <w:lang w:val="en" w:eastAsia="en-AU"/>
              </w:rPr>
              <w:t>Current</w:t>
            </w:r>
          </w:p>
        </w:tc>
        <w:tc>
          <w:tcPr>
            <w:tcW w:w="1934" w:type="dxa"/>
          </w:tcPr>
          <w:p w14:paraId="0059358A" w14:textId="77777777" w:rsidR="00726E9C" w:rsidRPr="000B21CF" w:rsidRDefault="00726E9C" w:rsidP="00BF4557">
            <w:pPr>
              <w:rPr>
                <w:rFonts w:ascii="Calibri" w:eastAsia="Calibri" w:hAnsi="Calibri" w:cs="Times New Roman"/>
                <w:noProof/>
              </w:rPr>
            </w:pPr>
          </w:p>
        </w:tc>
        <w:tc>
          <w:tcPr>
            <w:tcW w:w="2075" w:type="dxa"/>
          </w:tcPr>
          <w:p w14:paraId="7967A8F9" w14:textId="77777777" w:rsidR="00726E9C" w:rsidRPr="000B21CF" w:rsidRDefault="00726E9C" w:rsidP="00BF4557">
            <w:pPr>
              <w:rPr>
                <w:rFonts w:ascii="Calibri" w:eastAsia="Calibri" w:hAnsi="Calibri" w:cs="Times New Roman"/>
                <w:lang w:val="en" w:eastAsia="en-AU"/>
              </w:rPr>
            </w:pPr>
          </w:p>
        </w:tc>
        <w:tc>
          <w:tcPr>
            <w:tcW w:w="2075" w:type="dxa"/>
            <w:tcBorders>
              <w:right w:val="single" w:sz="4" w:space="0" w:color="auto"/>
            </w:tcBorders>
          </w:tcPr>
          <w:p w14:paraId="18CA615B" w14:textId="77777777" w:rsidR="00726E9C" w:rsidRPr="000B21CF" w:rsidRDefault="00726E9C" w:rsidP="00BF4557">
            <w:pPr>
              <w:rPr>
                <w:rFonts w:ascii="Calibri" w:eastAsia="Calibri" w:hAnsi="Calibri" w:cs="Times New Roman"/>
                <w:lang w:val="en" w:eastAsia="en-AU"/>
              </w:rPr>
            </w:pPr>
          </w:p>
        </w:tc>
      </w:tr>
      <w:tr w:rsidR="00726E9C" w:rsidRPr="000B21CF" w14:paraId="591B8F9E" w14:textId="77777777" w:rsidTr="00930407">
        <w:tc>
          <w:tcPr>
            <w:tcW w:w="3410" w:type="dxa"/>
            <w:tcBorders>
              <w:left w:val="single" w:sz="4" w:space="0" w:color="auto"/>
            </w:tcBorders>
          </w:tcPr>
          <w:p w14:paraId="063CBD9D" w14:textId="30011CCE" w:rsidR="00726E9C" w:rsidRPr="000B21CF" w:rsidRDefault="00726E9C" w:rsidP="00BF4557">
            <w:pPr>
              <w:rPr>
                <w:rFonts w:ascii="Calibri" w:eastAsia="Calibri" w:hAnsi="Calibri" w:cs="Times New Roman"/>
                <w:lang w:val="en" w:eastAsia="en-AU"/>
              </w:rPr>
            </w:pPr>
          </w:p>
        </w:tc>
        <w:tc>
          <w:tcPr>
            <w:tcW w:w="1934" w:type="dxa"/>
            <w:shd w:val="clear" w:color="auto" w:fill="auto"/>
          </w:tcPr>
          <w:p w14:paraId="6342D4D3" w14:textId="2324A881" w:rsidR="00726E9C" w:rsidRPr="000B21CF" w:rsidRDefault="00726E9C" w:rsidP="00BF4557">
            <w:pPr>
              <w:rPr>
                <w:rFonts w:ascii="Calibri" w:eastAsia="Calibri" w:hAnsi="Calibri" w:cs="Times New Roman"/>
                <w:lang w:val="en" w:eastAsia="en-AU"/>
              </w:rPr>
            </w:pPr>
          </w:p>
        </w:tc>
        <w:tc>
          <w:tcPr>
            <w:tcW w:w="2075" w:type="dxa"/>
            <w:shd w:val="clear" w:color="auto" w:fill="auto"/>
          </w:tcPr>
          <w:p w14:paraId="15EB839D" w14:textId="041E8D70" w:rsidR="00726E9C" w:rsidRPr="000B21CF" w:rsidRDefault="00726E9C" w:rsidP="00BF4557">
            <w:pPr>
              <w:rPr>
                <w:rFonts w:ascii="Calibri" w:eastAsia="Calibri" w:hAnsi="Calibri" w:cs="Times New Roman"/>
                <w:lang w:val="en" w:eastAsia="en-AU"/>
              </w:rPr>
            </w:pPr>
          </w:p>
        </w:tc>
        <w:tc>
          <w:tcPr>
            <w:tcW w:w="2075" w:type="dxa"/>
            <w:tcBorders>
              <w:right w:val="single" w:sz="4" w:space="0" w:color="auto"/>
            </w:tcBorders>
            <w:shd w:val="clear" w:color="auto" w:fill="auto"/>
          </w:tcPr>
          <w:p w14:paraId="2AC59D6B" w14:textId="38BEA075" w:rsidR="00726E9C" w:rsidRPr="000B21CF" w:rsidRDefault="00726E9C" w:rsidP="00BF4557">
            <w:pPr>
              <w:rPr>
                <w:rFonts w:ascii="Calibri" w:eastAsia="Calibri" w:hAnsi="Calibri" w:cs="Times New Roman"/>
                <w:lang w:val="en" w:eastAsia="en-AU"/>
              </w:rPr>
            </w:pPr>
          </w:p>
        </w:tc>
      </w:tr>
      <w:tr w:rsidR="00726E9C" w:rsidRPr="000B21CF" w14:paraId="4ECDC156" w14:textId="77777777" w:rsidTr="00930407">
        <w:tc>
          <w:tcPr>
            <w:tcW w:w="3410" w:type="dxa"/>
            <w:tcBorders>
              <w:left w:val="single" w:sz="4" w:space="0" w:color="auto"/>
            </w:tcBorders>
          </w:tcPr>
          <w:p w14:paraId="116191EB" w14:textId="77777777" w:rsidR="00726E9C" w:rsidRPr="000B21CF" w:rsidRDefault="00726E9C" w:rsidP="00BF4557">
            <w:pPr>
              <w:rPr>
                <w:rFonts w:ascii="Calibri" w:eastAsia="Calibri" w:hAnsi="Calibri" w:cs="Times New Roman"/>
                <w:lang w:val="en" w:eastAsia="en-AU"/>
              </w:rPr>
            </w:pPr>
            <w:r w:rsidRPr="000B21CF">
              <w:rPr>
                <w:rFonts w:ascii="Calibri" w:eastAsia="Calibri" w:hAnsi="Calibri" w:cs="Times New Roman"/>
                <w:lang w:val="en" w:eastAsia="en-AU"/>
              </w:rPr>
              <w:t xml:space="preserve">Total </w:t>
            </w:r>
            <w:r>
              <w:rPr>
                <w:rFonts w:ascii="Calibri" w:eastAsia="Calibri" w:hAnsi="Calibri" w:cs="Times New Roman"/>
                <w:lang w:val="en" w:eastAsia="en-AU"/>
              </w:rPr>
              <w:t>c</w:t>
            </w:r>
            <w:r w:rsidRPr="000B21CF">
              <w:rPr>
                <w:rFonts w:ascii="Calibri" w:eastAsia="Calibri" w:hAnsi="Calibri" w:cs="Times New Roman"/>
                <w:lang w:val="en" w:eastAsia="en-AU"/>
              </w:rPr>
              <w:t>urrent</w:t>
            </w:r>
          </w:p>
        </w:tc>
        <w:tc>
          <w:tcPr>
            <w:tcW w:w="1934" w:type="dxa"/>
            <w:shd w:val="clear" w:color="auto" w:fill="auto"/>
          </w:tcPr>
          <w:p w14:paraId="760A4537" w14:textId="6041EEA0" w:rsidR="00726E9C" w:rsidRPr="000B21CF" w:rsidRDefault="00726E9C" w:rsidP="00BF4557">
            <w:pPr>
              <w:rPr>
                <w:rFonts w:ascii="Calibri" w:eastAsia="Calibri" w:hAnsi="Calibri" w:cs="Times New Roman"/>
                <w:lang w:val="en" w:eastAsia="en-AU"/>
              </w:rPr>
            </w:pPr>
          </w:p>
        </w:tc>
        <w:tc>
          <w:tcPr>
            <w:tcW w:w="2075" w:type="dxa"/>
            <w:shd w:val="clear" w:color="auto" w:fill="auto"/>
          </w:tcPr>
          <w:p w14:paraId="55C17E1A" w14:textId="4FAAA327" w:rsidR="00726E9C" w:rsidRPr="000B21CF" w:rsidRDefault="00726E9C" w:rsidP="00BF4557">
            <w:pPr>
              <w:rPr>
                <w:rFonts w:ascii="Calibri" w:eastAsia="Calibri" w:hAnsi="Calibri" w:cs="Times New Roman"/>
                <w:lang w:val="en" w:eastAsia="en-AU"/>
              </w:rPr>
            </w:pPr>
          </w:p>
        </w:tc>
        <w:tc>
          <w:tcPr>
            <w:tcW w:w="2075" w:type="dxa"/>
            <w:tcBorders>
              <w:right w:val="single" w:sz="4" w:space="0" w:color="auto"/>
            </w:tcBorders>
            <w:shd w:val="clear" w:color="auto" w:fill="auto"/>
          </w:tcPr>
          <w:p w14:paraId="1CF7D004" w14:textId="3740E554" w:rsidR="00726E9C" w:rsidRPr="000B21CF" w:rsidRDefault="00726E9C" w:rsidP="00BF4557">
            <w:pPr>
              <w:rPr>
                <w:rFonts w:ascii="Calibri" w:eastAsia="Calibri" w:hAnsi="Calibri" w:cs="Times New Roman"/>
                <w:lang w:val="en" w:eastAsia="en-AU"/>
              </w:rPr>
            </w:pPr>
          </w:p>
        </w:tc>
      </w:tr>
      <w:tr w:rsidR="00726E9C" w:rsidRPr="000B21CF" w14:paraId="577D63EF" w14:textId="77777777" w:rsidTr="00930407">
        <w:tc>
          <w:tcPr>
            <w:tcW w:w="3410" w:type="dxa"/>
            <w:tcBorders>
              <w:left w:val="single" w:sz="4" w:space="0" w:color="auto"/>
            </w:tcBorders>
          </w:tcPr>
          <w:p w14:paraId="467ED0F1" w14:textId="77777777" w:rsidR="00726E9C" w:rsidRPr="000B21CF" w:rsidRDefault="00726E9C" w:rsidP="00BF4557">
            <w:pPr>
              <w:rPr>
                <w:rFonts w:ascii="Calibri" w:eastAsia="Calibri" w:hAnsi="Calibri" w:cs="Times New Roman"/>
                <w:lang w:val="en" w:eastAsia="en-AU"/>
              </w:rPr>
            </w:pPr>
            <w:r w:rsidRPr="000B21CF">
              <w:rPr>
                <w:rFonts w:ascii="Calibri" w:eastAsia="Calibri" w:hAnsi="Calibri" w:cs="Times New Roman"/>
                <w:lang w:val="en" w:eastAsia="en-AU"/>
              </w:rPr>
              <w:t xml:space="preserve">Non </w:t>
            </w:r>
            <w:r>
              <w:rPr>
                <w:rFonts w:ascii="Calibri" w:eastAsia="Calibri" w:hAnsi="Calibri" w:cs="Times New Roman"/>
                <w:lang w:val="en" w:eastAsia="en-AU"/>
              </w:rPr>
              <w:t>c</w:t>
            </w:r>
            <w:r w:rsidRPr="000B21CF">
              <w:rPr>
                <w:rFonts w:ascii="Calibri" w:eastAsia="Calibri" w:hAnsi="Calibri" w:cs="Times New Roman"/>
                <w:lang w:val="en" w:eastAsia="en-AU"/>
              </w:rPr>
              <w:t>urrent</w:t>
            </w:r>
          </w:p>
        </w:tc>
        <w:tc>
          <w:tcPr>
            <w:tcW w:w="1934" w:type="dxa"/>
            <w:shd w:val="clear" w:color="auto" w:fill="auto"/>
          </w:tcPr>
          <w:p w14:paraId="0A227915" w14:textId="77777777" w:rsidR="00726E9C" w:rsidRPr="000B21CF" w:rsidRDefault="00726E9C" w:rsidP="00BF4557">
            <w:pPr>
              <w:rPr>
                <w:rFonts w:ascii="Calibri" w:eastAsia="Calibri" w:hAnsi="Calibri" w:cs="Times New Roman"/>
                <w:lang w:val="en" w:eastAsia="en-AU"/>
              </w:rPr>
            </w:pPr>
          </w:p>
        </w:tc>
        <w:tc>
          <w:tcPr>
            <w:tcW w:w="2075" w:type="dxa"/>
            <w:shd w:val="clear" w:color="auto" w:fill="auto"/>
          </w:tcPr>
          <w:p w14:paraId="678BD1B3" w14:textId="77777777" w:rsidR="00726E9C" w:rsidRPr="000B21CF" w:rsidRDefault="00726E9C" w:rsidP="00BF4557">
            <w:pPr>
              <w:rPr>
                <w:rFonts w:ascii="Calibri" w:eastAsia="Calibri" w:hAnsi="Calibri" w:cs="Times New Roman"/>
                <w:lang w:val="en" w:eastAsia="en-AU"/>
              </w:rPr>
            </w:pPr>
          </w:p>
        </w:tc>
        <w:tc>
          <w:tcPr>
            <w:tcW w:w="2075" w:type="dxa"/>
            <w:tcBorders>
              <w:right w:val="single" w:sz="4" w:space="0" w:color="auto"/>
            </w:tcBorders>
            <w:shd w:val="clear" w:color="auto" w:fill="auto"/>
          </w:tcPr>
          <w:p w14:paraId="79F8AD45" w14:textId="77777777" w:rsidR="00726E9C" w:rsidRPr="000B21CF" w:rsidRDefault="00726E9C" w:rsidP="00BF4557">
            <w:pPr>
              <w:rPr>
                <w:rFonts w:ascii="Calibri" w:eastAsia="Calibri" w:hAnsi="Calibri" w:cs="Times New Roman"/>
                <w:lang w:val="en" w:eastAsia="en-AU"/>
              </w:rPr>
            </w:pPr>
          </w:p>
        </w:tc>
      </w:tr>
      <w:tr w:rsidR="00726E9C" w:rsidRPr="000B21CF" w14:paraId="112F34A1" w14:textId="77777777" w:rsidTr="00930407">
        <w:tc>
          <w:tcPr>
            <w:tcW w:w="3410" w:type="dxa"/>
            <w:tcBorders>
              <w:left w:val="single" w:sz="4" w:space="0" w:color="auto"/>
            </w:tcBorders>
          </w:tcPr>
          <w:p w14:paraId="57F28D66" w14:textId="7A5D89B5" w:rsidR="00726E9C" w:rsidRPr="000B21CF" w:rsidRDefault="00726E9C" w:rsidP="00BF4557">
            <w:pPr>
              <w:rPr>
                <w:rFonts w:ascii="Calibri" w:eastAsia="Calibri" w:hAnsi="Calibri" w:cs="Times New Roman"/>
                <w:lang w:val="en" w:eastAsia="en-AU"/>
              </w:rPr>
            </w:pPr>
          </w:p>
        </w:tc>
        <w:tc>
          <w:tcPr>
            <w:tcW w:w="1934" w:type="dxa"/>
            <w:shd w:val="clear" w:color="auto" w:fill="auto"/>
          </w:tcPr>
          <w:p w14:paraId="0F277081" w14:textId="5181D7D9" w:rsidR="00726E9C" w:rsidRPr="000B21CF" w:rsidRDefault="00726E9C" w:rsidP="00BF4557">
            <w:pPr>
              <w:rPr>
                <w:rFonts w:ascii="Calibri" w:eastAsia="Calibri" w:hAnsi="Calibri" w:cs="Times New Roman"/>
                <w:lang w:val="en" w:eastAsia="en-AU"/>
              </w:rPr>
            </w:pPr>
          </w:p>
        </w:tc>
        <w:tc>
          <w:tcPr>
            <w:tcW w:w="2075" w:type="dxa"/>
            <w:shd w:val="clear" w:color="auto" w:fill="auto"/>
          </w:tcPr>
          <w:p w14:paraId="7713B9C2" w14:textId="43B9FF3E" w:rsidR="00726E9C" w:rsidRPr="000B21CF" w:rsidRDefault="00726E9C" w:rsidP="00BF4557">
            <w:pPr>
              <w:rPr>
                <w:rFonts w:ascii="Calibri" w:eastAsia="Calibri" w:hAnsi="Calibri" w:cs="Times New Roman"/>
                <w:lang w:val="en" w:eastAsia="en-AU"/>
              </w:rPr>
            </w:pPr>
          </w:p>
        </w:tc>
        <w:tc>
          <w:tcPr>
            <w:tcW w:w="2075" w:type="dxa"/>
            <w:tcBorders>
              <w:right w:val="single" w:sz="4" w:space="0" w:color="auto"/>
            </w:tcBorders>
            <w:shd w:val="clear" w:color="auto" w:fill="auto"/>
          </w:tcPr>
          <w:p w14:paraId="4E8B602E" w14:textId="5C6C59B3" w:rsidR="00726E9C" w:rsidRPr="000B21CF" w:rsidRDefault="00726E9C" w:rsidP="00BF4557">
            <w:pPr>
              <w:rPr>
                <w:rFonts w:ascii="Calibri" w:eastAsia="Calibri" w:hAnsi="Calibri" w:cs="Times New Roman"/>
                <w:lang w:val="en" w:eastAsia="en-AU"/>
              </w:rPr>
            </w:pPr>
          </w:p>
        </w:tc>
      </w:tr>
      <w:tr w:rsidR="00726E9C" w:rsidRPr="000B21CF" w14:paraId="6E37A2DE" w14:textId="77777777" w:rsidTr="00930407">
        <w:tc>
          <w:tcPr>
            <w:tcW w:w="3410" w:type="dxa"/>
            <w:tcBorders>
              <w:left w:val="single" w:sz="4" w:space="0" w:color="auto"/>
            </w:tcBorders>
          </w:tcPr>
          <w:p w14:paraId="5B02C8F9" w14:textId="77777777" w:rsidR="00726E9C" w:rsidRPr="000B21CF" w:rsidRDefault="00726E9C" w:rsidP="00BF4557">
            <w:pPr>
              <w:rPr>
                <w:rFonts w:ascii="Calibri" w:eastAsia="Calibri" w:hAnsi="Calibri" w:cs="Times New Roman"/>
                <w:lang w:val="en" w:eastAsia="en-AU"/>
              </w:rPr>
            </w:pPr>
            <w:r w:rsidRPr="000B21CF">
              <w:rPr>
                <w:rFonts w:ascii="Calibri" w:eastAsia="Calibri" w:hAnsi="Calibri" w:cs="Times New Roman"/>
                <w:lang w:val="en" w:eastAsia="en-AU"/>
              </w:rPr>
              <w:t xml:space="preserve">Total </w:t>
            </w:r>
            <w:r>
              <w:rPr>
                <w:rFonts w:ascii="Calibri" w:eastAsia="Calibri" w:hAnsi="Calibri" w:cs="Times New Roman"/>
                <w:lang w:val="en" w:eastAsia="en-AU"/>
              </w:rPr>
              <w:t>n</w:t>
            </w:r>
            <w:r w:rsidRPr="000B21CF">
              <w:rPr>
                <w:rFonts w:ascii="Calibri" w:eastAsia="Calibri" w:hAnsi="Calibri" w:cs="Times New Roman"/>
                <w:lang w:val="en" w:eastAsia="en-AU"/>
              </w:rPr>
              <w:t xml:space="preserve">on </w:t>
            </w:r>
            <w:r>
              <w:rPr>
                <w:rFonts w:ascii="Calibri" w:eastAsia="Calibri" w:hAnsi="Calibri" w:cs="Times New Roman"/>
                <w:lang w:val="en" w:eastAsia="en-AU"/>
              </w:rPr>
              <w:t>c</w:t>
            </w:r>
            <w:r w:rsidRPr="000B21CF">
              <w:rPr>
                <w:rFonts w:ascii="Calibri" w:eastAsia="Calibri" w:hAnsi="Calibri" w:cs="Times New Roman"/>
                <w:lang w:val="en" w:eastAsia="en-AU"/>
              </w:rPr>
              <w:t>urrent</w:t>
            </w:r>
          </w:p>
        </w:tc>
        <w:tc>
          <w:tcPr>
            <w:tcW w:w="1934" w:type="dxa"/>
            <w:shd w:val="clear" w:color="auto" w:fill="auto"/>
          </w:tcPr>
          <w:p w14:paraId="29813DFD" w14:textId="66DA71BF" w:rsidR="00726E9C" w:rsidRPr="000B21CF" w:rsidRDefault="00726E9C" w:rsidP="00BF4557">
            <w:pPr>
              <w:rPr>
                <w:rFonts w:ascii="Calibri" w:eastAsia="Calibri" w:hAnsi="Calibri" w:cs="Times New Roman"/>
                <w:lang w:val="en" w:eastAsia="en-AU"/>
              </w:rPr>
            </w:pPr>
          </w:p>
        </w:tc>
        <w:tc>
          <w:tcPr>
            <w:tcW w:w="2075" w:type="dxa"/>
            <w:shd w:val="clear" w:color="auto" w:fill="auto"/>
          </w:tcPr>
          <w:p w14:paraId="088FD91E" w14:textId="78CFBDD6" w:rsidR="00726E9C" w:rsidRPr="000B21CF" w:rsidRDefault="00726E9C" w:rsidP="00BF4557">
            <w:pPr>
              <w:rPr>
                <w:rFonts w:ascii="Calibri" w:eastAsia="Calibri" w:hAnsi="Calibri" w:cs="Times New Roman"/>
                <w:lang w:val="en" w:eastAsia="en-AU"/>
              </w:rPr>
            </w:pPr>
          </w:p>
        </w:tc>
        <w:tc>
          <w:tcPr>
            <w:tcW w:w="2075" w:type="dxa"/>
            <w:tcBorders>
              <w:right w:val="single" w:sz="4" w:space="0" w:color="auto"/>
            </w:tcBorders>
            <w:shd w:val="clear" w:color="auto" w:fill="auto"/>
          </w:tcPr>
          <w:p w14:paraId="4F49126E" w14:textId="7D427000" w:rsidR="00726E9C" w:rsidRPr="000B21CF" w:rsidRDefault="00726E9C" w:rsidP="00BF4557">
            <w:pPr>
              <w:rPr>
                <w:rFonts w:ascii="Calibri" w:eastAsia="Calibri" w:hAnsi="Calibri" w:cs="Times New Roman"/>
                <w:lang w:val="en" w:eastAsia="en-AU"/>
              </w:rPr>
            </w:pPr>
          </w:p>
        </w:tc>
      </w:tr>
      <w:tr w:rsidR="00726E9C" w:rsidRPr="000B21CF" w14:paraId="36F7F0D0" w14:textId="77777777" w:rsidTr="00930407">
        <w:tc>
          <w:tcPr>
            <w:tcW w:w="3410" w:type="dxa"/>
            <w:tcBorders>
              <w:left w:val="single" w:sz="4" w:space="0" w:color="auto"/>
            </w:tcBorders>
            <w:shd w:val="clear" w:color="auto" w:fill="auto"/>
          </w:tcPr>
          <w:p w14:paraId="67702033" w14:textId="77777777" w:rsidR="00726E9C" w:rsidRPr="000B21CF" w:rsidRDefault="00726E9C" w:rsidP="00BF4557">
            <w:pPr>
              <w:rPr>
                <w:rFonts w:ascii="Calibri" w:eastAsia="Calibri" w:hAnsi="Calibri" w:cs="Times New Roman"/>
                <w:lang w:val="en" w:eastAsia="en-AU"/>
              </w:rPr>
            </w:pPr>
            <w:r w:rsidRPr="000B21CF">
              <w:rPr>
                <w:rFonts w:ascii="Calibri" w:eastAsia="Calibri" w:hAnsi="Calibri" w:cs="Times New Roman"/>
                <w:lang w:val="en" w:eastAsia="en-AU"/>
              </w:rPr>
              <w:t xml:space="preserve">Total </w:t>
            </w:r>
          </w:p>
        </w:tc>
        <w:tc>
          <w:tcPr>
            <w:tcW w:w="1934" w:type="dxa"/>
            <w:shd w:val="clear" w:color="auto" w:fill="auto"/>
          </w:tcPr>
          <w:p w14:paraId="5B4009F0" w14:textId="3500FDB1" w:rsidR="00726E9C" w:rsidRPr="000B21CF" w:rsidRDefault="00726E9C" w:rsidP="00BF4557">
            <w:pPr>
              <w:rPr>
                <w:rFonts w:ascii="Calibri" w:eastAsia="Calibri" w:hAnsi="Calibri" w:cs="Times New Roman"/>
                <w:color w:val="FFFFFF"/>
                <w:lang w:val="en" w:eastAsia="en-AU"/>
              </w:rPr>
            </w:pPr>
          </w:p>
        </w:tc>
        <w:tc>
          <w:tcPr>
            <w:tcW w:w="2075" w:type="dxa"/>
            <w:shd w:val="clear" w:color="auto" w:fill="auto"/>
          </w:tcPr>
          <w:p w14:paraId="6222A984" w14:textId="7A33EC66" w:rsidR="00726E9C" w:rsidRPr="000B21CF" w:rsidRDefault="00726E9C" w:rsidP="00BF4557">
            <w:pPr>
              <w:rPr>
                <w:rFonts w:ascii="Calibri" w:eastAsia="Calibri" w:hAnsi="Calibri" w:cs="Times New Roman"/>
                <w:lang w:val="en" w:eastAsia="en-AU"/>
              </w:rPr>
            </w:pPr>
          </w:p>
        </w:tc>
        <w:tc>
          <w:tcPr>
            <w:tcW w:w="2075" w:type="dxa"/>
            <w:tcBorders>
              <w:right w:val="single" w:sz="4" w:space="0" w:color="auto"/>
            </w:tcBorders>
            <w:shd w:val="clear" w:color="auto" w:fill="auto"/>
          </w:tcPr>
          <w:p w14:paraId="0DF4F13A" w14:textId="654A9B47" w:rsidR="00726E9C" w:rsidRPr="000B21CF" w:rsidRDefault="00726E9C" w:rsidP="00BF4557">
            <w:pPr>
              <w:rPr>
                <w:rFonts w:ascii="Calibri" w:eastAsia="Calibri" w:hAnsi="Calibri" w:cs="Times New Roman"/>
                <w:lang w:val="en" w:eastAsia="en-AU"/>
              </w:rPr>
            </w:pPr>
          </w:p>
        </w:tc>
      </w:tr>
    </w:tbl>
    <w:p w14:paraId="2DA09D14" w14:textId="77777777" w:rsidR="00BF4557" w:rsidRDefault="00BF4557" w:rsidP="00930407">
      <w:pPr>
        <w:spacing w:after="200" w:line="276" w:lineRule="auto"/>
        <w:contextualSpacing/>
        <w:rPr>
          <w:rFonts w:ascii="Calibri" w:hAnsi="Calibri"/>
          <w:color w:val="000000"/>
        </w:rPr>
      </w:pPr>
    </w:p>
    <w:p w14:paraId="665C3171" w14:textId="79E1B8F4" w:rsidR="003A1BE7" w:rsidRDefault="003A1BE7" w:rsidP="00930407">
      <w:pPr>
        <w:spacing w:after="200" w:line="276" w:lineRule="auto"/>
        <w:contextualSpacing/>
        <w:rPr>
          <w:rFonts w:ascii="Calibri" w:hAnsi="Calibri"/>
          <w:color w:val="000000"/>
        </w:rPr>
      </w:pPr>
    </w:p>
    <w:p w14:paraId="638160F9" w14:textId="581C40F8" w:rsidR="003A1BE7" w:rsidRPr="00D3615D" w:rsidRDefault="00BF4557" w:rsidP="00D3615D">
      <w:pPr>
        <w:keepNext/>
        <w:spacing w:before="240" w:after="120"/>
        <w:outlineLvl w:val="3"/>
        <w:rPr>
          <w:rFonts w:ascii="Calibri" w:hAnsi="Calibri" w:cs="Helvetica"/>
          <w:b/>
          <w:sz w:val="24"/>
          <w:szCs w:val="24"/>
          <w:lang w:val="en"/>
        </w:rPr>
      </w:pPr>
      <w:r w:rsidRPr="00D3615D">
        <w:rPr>
          <w:rFonts w:ascii="Calibri" w:hAnsi="Calibri" w:cs="Helvetica"/>
          <w:b/>
          <w:sz w:val="24"/>
          <w:szCs w:val="24"/>
          <w:lang w:val="en"/>
        </w:rPr>
        <w:lastRenderedPageBreak/>
        <w:t>Other assets</w:t>
      </w:r>
    </w:p>
    <w:tbl>
      <w:tblPr>
        <w:tblStyle w:val="TableGrid9"/>
        <w:tblW w:w="5490" w:type="dxa"/>
        <w:tblLook w:val="04A0" w:firstRow="1" w:lastRow="0" w:firstColumn="1" w:lastColumn="0" w:noHBand="0" w:noVBand="1"/>
      </w:tblPr>
      <w:tblGrid>
        <w:gridCol w:w="3597"/>
        <w:gridCol w:w="1893"/>
      </w:tblGrid>
      <w:tr w:rsidR="00726E9C" w:rsidRPr="000B21CF" w14:paraId="559156B9" w14:textId="77777777" w:rsidTr="00930407">
        <w:tc>
          <w:tcPr>
            <w:tcW w:w="3597" w:type="dxa"/>
            <w:tcBorders>
              <w:left w:val="single" w:sz="4" w:space="0" w:color="auto"/>
            </w:tcBorders>
            <w:shd w:val="clear" w:color="auto" w:fill="0070C0"/>
          </w:tcPr>
          <w:p w14:paraId="777C5BC3" w14:textId="6D9C1017" w:rsidR="00726E9C" w:rsidRPr="000B21CF" w:rsidRDefault="009E5009" w:rsidP="00BF4557">
            <w:pPr>
              <w:rPr>
                <w:rFonts w:ascii="Calibri" w:eastAsia="Calibri" w:hAnsi="Calibri" w:cs="Times New Roman"/>
                <w:b/>
                <w:color w:val="FFFFFF"/>
                <w:lang w:val="en" w:eastAsia="en-AU"/>
              </w:rPr>
            </w:pPr>
            <w:r>
              <w:rPr>
                <w:rFonts w:ascii="Calibri" w:eastAsia="Calibri" w:hAnsi="Calibri" w:cs="Times New Roman"/>
                <w:b/>
                <w:color w:val="FFFFFF"/>
                <w:lang w:val="en" w:eastAsia="en-AU"/>
              </w:rPr>
              <w:t xml:space="preserve">Other </w:t>
            </w:r>
            <w:r w:rsidR="00A21922">
              <w:rPr>
                <w:rFonts w:ascii="Calibri" w:eastAsia="Calibri" w:hAnsi="Calibri" w:cs="Times New Roman"/>
                <w:b/>
                <w:color w:val="FFFFFF"/>
                <w:lang w:val="en" w:eastAsia="en-AU"/>
              </w:rPr>
              <w:t>c</w:t>
            </w:r>
            <w:r w:rsidR="00726E9C" w:rsidRPr="000B21CF">
              <w:rPr>
                <w:rFonts w:ascii="Calibri" w:eastAsia="Calibri" w:hAnsi="Calibri" w:cs="Times New Roman"/>
                <w:b/>
                <w:color w:val="FFFFFF"/>
                <w:lang w:val="en" w:eastAsia="en-AU"/>
              </w:rPr>
              <w:t xml:space="preserve">urrent </w:t>
            </w:r>
            <w:r w:rsidR="00726E9C">
              <w:rPr>
                <w:rFonts w:ascii="Calibri" w:eastAsia="Calibri" w:hAnsi="Calibri" w:cs="Times New Roman"/>
                <w:b/>
                <w:color w:val="FFFFFF"/>
                <w:lang w:val="en" w:eastAsia="en-AU"/>
              </w:rPr>
              <w:t>a</w:t>
            </w:r>
            <w:r w:rsidR="00726E9C" w:rsidRPr="000B21CF">
              <w:rPr>
                <w:rFonts w:ascii="Calibri" w:eastAsia="Calibri" w:hAnsi="Calibri" w:cs="Times New Roman"/>
                <w:b/>
                <w:color w:val="FFFFFF"/>
                <w:lang w:val="en" w:eastAsia="en-AU"/>
              </w:rPr>
              <w:t>ssets</w:t>
            </w:r>
          </w:p>
        </w:tc>
        <w:tc>
          <w:tcPr>
            <w:tcW w:w="1893" w:type="dxa"/>
            <w:shd w:val="clear" w:color="auto" w:fill="0070C0"/>
          </w:tcPr>
          <w:p w14:paraId="78D92DD0" w14:textId="77777777" w:rsidR="00726E9C" w:rsidRPr="000B21CF" w:rsidRDefault="00726E9C" w:rsidP="00BF4557">
            <w:pPr>
              <w:rPr>
                <w:rFonts w:ascii="Calibri" w:eastAsia="Calibri" w:hAnsi="Calibri" w:cs="Times New Roman"/>
                <w:b/>
                <w:color w:val="FFFFFF"/>
                <w:lang w:val="en" w:eastAsia="en-AU"/>
              </w:rPr>
            </w:pPr>
            <w:r w:rsidRPr="000B21CF">
              <w:rPr>
                <w:rFonts w:ascii="Calibri" w:eastAsia="Calibri" w:hAnsi="Calibri" w:cs="Times New Roman"/>
                <w:b/>
                <w:color w:val="FFFFFF"/>
                <w:lang w:val="en" w:eastAsia="en-AU"/>
              </w:rPr>
              <w:t>Amount</w:t>
            </w:r>
          </w:p>
        </w:tc>
      </w:tr>
      <w:tr w:rsidR="00726E9C" w:rsidRPr="000B21CF" w14:paraId="1B6F9B2F" w14:textId="77777777" w:rsidTr="00930407">
        <w:tc>
          <w:tcPr>
            <w:tcW w:w="3597" w:type="dxa"/>
            <w:tcBorders>
              <w:left w:val="single" w:sz="4" w:space="0" w:color="auto"/>
            </w:tcBorders>
          </w:tcPr>
          <w:p w14:paraId="20036982" w14:textId="7BAF4503" w:rsidR="00726E9C" w:rsidRPr="000B21CF" w:rsidRDefault="00726E9C" w:rsidP="00BF4557">
            <w:pPr>
              <w:rPr>
                <w:rFonts w:ascii="Calibri" w:eastAsia="Calibri" w:hAnsi="Calibri" w:cs="Times New Roman"/>
                <w:lang w:val="en" w:eastAsia="en-AU"/>
              </w:rPr>
            </w:pPr>
          </w:p>
        </w:tc>
        <w:tc>
          <w:tcPr>
            <w:tcW w:w="1893" w:type="dxa"/>
            <w:shd w:val="clear" w:color="auto" w:fill="auto"/>
          </w:tcPr>
          <w:p w14:paraId="3DF36589" w14:textId="21547004" w:rsidR="00726E9C" w:rsidRPr="000B21CF" w:rsidRDefault="00726E9C" w:rsidP="00BF4557">
            <w:pPr>
              <w:rPr>
                <w:rFonts w:ascii="Calibri" w:eastAsia="Calibri" w:hAnsi="Calibri" w:cs="Times New Roman"/>
                <w:noProof/>
              </w:rPr>
            </w:pPr>
          </w:p>
        </w:tc>
      </w:tr>
      <w:tr w:rsidR="00726E9C" w:rsidRPr="000B21CF" w14:paraId="31B52CCA" w14:textId="77777777" w:rsidTr="00930407">
        <w:tc>
          <w:tcPr>
            <w:tcW w:w="3597" w:type="dxa"/>
            <w:tcBorders>
              <w:left w:val="single" w:sz="4" w:space="0" w:color="auto"/>
            </w:tcBorders>
          </w:tcPr>
          <w:p w14:paraId="23A10E60" w14:textId="17222DCE" w:rsidR="00726E9C" w:rsidRPr="000B21CF" w:rsidRDefault="00A21922" w:rsidP="00BF4557">
            <w:pPr>
              <w:rPr>
                <w:rFonts w:ascii="Calibri" w:eastAsia="Calibri" w:hAnsi="Calibri" w:cs="Times New Roman"/>
                <w:lang w:val="en" w:eastAsia="en-AU"/>
              </w:rPr>
            </w:pPr>
            <w:r>
              <w:rPr>
                <w:rFonts w:ascii="Calibri" w:eastAsia="Calibri" w:hAnsi="Calibri" w:cs="Times New Roman"/>
                <w:lang w:val="en" w:eastAsia="en-AU"/>
              </w:rPr>
              <w:t>Other c</w:t>
            </w:r>
            <w:r w:rsidR="00726E9C" w:rsidRPr="000B21CF">
              <w:rPr>
                <w:rFonts w:ascii="Calibri" w:eastAsia="Calibri" w:hAnsi="Calibri" w:cs="Times New Roman"/>
                <w:lang w:val="en" w:eastAsia="en-AU"/>
              </w:rPr>
              <w:t xml:space="preserve">urrent </w:t>
            </w:r>
            <w:r w:rsidR="00726E9C">
              <w:rPr>
                <w:rFonts w:ascii="Calibri" w:eastAsia="Calibri" w:hAnsi="Calibri" w:cs="Times New Roman"/>
                <w:lang w:val="en" w:eastAsia="en-AU"/>
              </w:rPr>
              <w:t>a</w:t>
            </w:r>
            <w:r w:rsidR="00726E9C" w:rsidRPr="000B21CF">
              <w:rPr>
                <w:rFonts w:ascii="Calibri" w:eastAsia="Calibri" w:hAnsi="Calibri" w:cs="Times New Roman"/>
                <w:lang w:val="en" w:eastAsia="en-AU"/>
              </w:rPr>
              <w:t xml:space="preserve">sset </w:t>
            </w:r>
            <w:r w:rsidR="00726E9C">
              <w:rPr>
                <w:rFonts w:ascii="Calibri" w:eastAsia="Calibri" w:hAnsi="Calibri" w:cs="Times New Roman"/>
                <w:lang w:val="en" w:eastAsia="en-AU"/>
              </w:rPr>
              <w:t>a</w:t>
            </w:r>
            <w:r w:rsidR="00726E9C" w:rsidRPr="000B21CF">
              <w:rPr>
                <w:rFonts w:ascii="Calibri" w:eastAsia="Calibri" w:hAnsi="Calibri" w:cs="Times New Roman"/>
                <w:lang w:val="en" w:eastAsia="en-AU"/>
              </w:rPr>
              <w:t xml:space="preserve">mount </w:t>
            </w:r>
            <w:r w:rsidR="00726E9C">
              <w:rPr>
                <w:rFonts w:ascii="Calibri" w:eastAsia="Calibri" w:hAnsi="Calibri" w:cs="Times New Roman"/>
                <w:lang w:val="en" w:eastAsia="en-AU"/>
              </w:rPr>
              <w:t>t</w:t>
            </w:r>
            <w:r w:rsidR="00726E9C" w:rsidRPr="000B21CF">
              <w:rPr>
                <w:rFonts w:ascii="Calibri" w:eastAsia="Calibri" w:hAnsi="Calibri" w:cs="Times New Roman"/>
                <w:lang w:val="en" w:eastAsia="en-AU"/>
              </w:rPr>
              <w:t>otal</w:t>
            </w:r>
          </w:p>
        </w:tc>
        <w:tc>
          <w:tcPr>
            <w:tcW w:w="1893" w:type="dxa"/>
            <w:shd w:val="clear" w:color="auto" w:fill="auto"/>
          </w:tcPr>
          <w:p w14:paraId="7C4D5ADE" w14:textId="7B9F18BD" w:rsidR="00726E9C" w:rsidRPr="000B21CF" w:rsidRDefault="00726E9C" w:rsidP="00BF4557">
            <w:pPr>
              <w:rPr>
                <w:rFonts w:ascii="Calibri" w:eastAsia="Calibri" w:hAnsi="Calibri" w:cs="Times New Roman"/>
                <w:lang w:val="en" w:eastAsia="en-AU"/>
              </w:rPr>
            </w:pPr>
          </w:p>
        </w:tc>
      </w:tr>
      <w:tr w:rsidR="00726E9C" w:rsidRPr="000B21CF" w14:paraId="661C5B41" w14:textId="77777777" w:rsidTr="00930407">
        <w:tc>
          <w:tcPr>
            <w:tcW w:w="3597" w:type="dxa"/>
            <w:tcBorders>
              <w:left w:val="single" w:sz="4" w:space="0" w:color="auto"/>
            </w:tcBorders>
            <w:shd w:val="clear" w:color="auto" w:fill="0070C0"/>
          </w:tcPr>
          <w:p w14:paraId="0E841B00" w14:textId="1543FD99" w:rsidR="00726E9C" w:rsidRPr="000B21CF" w:rsidRDefault="00A21922" w:rsidP="00BF4557">
            <w:pPr>
              <w:rPr>
                <w:rFonts w:ascii="Calibri" w:eastAsia="Calibri" w:hAnsi="Calibri" w:cs="Times New Roman"/>
                <w:b/>
                <w:color w:val="FFFFFF"/>
                <w:lang w:val="en" w:eastAsia="en-AU"/>
              </w:rPr>
            </w:pPr>
            <w:r>
              <w:rPr>
                <w:rFonts w:ascii="Calibri" w:eastAsia="Calibri" w:hAnsi="Calibri" w:cs="Times New Roman"/>
                <w:b/>
                <w:color w:val="FFFFFF"/>
                <w:lang w:val="en" w:eastAsia="en-AU"/>
              </w:rPr>
              <w:t>Other n</w:t>
            </w:r>
            <w:r w:rsidR="00726E9C" w:rsidRPr="000B21CF">
              <w:rPr>
                <w:rFonts w:ascii="Calibri" w:eastAsia="Calibri" w:hAnsi="Calibri" w:cs="Times New Roman"/>
                <w:b/>
                <w:color w:val="FFFFFF"/>
                <w:lang w:val="en" w:eastAsia="en-AU"/>
              </w:rPr>
              <w:t>on</w:t>
            </w:r>
            <w:r w:rsidR="00726E9C">
              <w:rPr>
                <w:rFonts w:ascii="Calibri" w:eastAsia="Calibri" w:hAnsi="Calibri" w:cs="Times New Roman"/>
                <w:b/>
                <w:color w:val="FFFFFF"/>
                <w:lang w:val="en" w:eastAsia="en-AU"/>
              </w:rPr>
              <w:t>-c</w:t>
            </w:r>
            <w:r w:rsidR="00726E9C" w:rsidRPr="000B21CF">
              <w:rPr>
                <w:rFonts w:ascii="Calibri" w:eastAsia="Calibri" w:hAnsi="Calibri" w:cs="Times New Roman"/>
                <w:b/>
                <w:color w:val="FFFFFF"/>
                <w:lang w:val="en" w:eastAsia="en-AU"/>
              </w:rPr>
              <w:t xml:space="preserve">urrent </w:t>
            </w:r>
            <w:r w:rsidR="00726E9C">
              <w:rPr>
                <w:rFonts w:ascii="Calibri" w:eastAsia="Calibri" w:hAnsi="Calibri" w:cs="Times New Roman"/>
                <w:b/>
                <w:color w:val="FFFFFF"/>
                <w:lang w:val="en" w:eastAsia="en-AU"/>
              </w:rPr>
              <w:t>a</w:t>
            </w:r>
            <w:r w:rsidR="00726E9C" w:rsidRPr="000B21CF">
              <w:rPr>
                <w:rFonts w:ascii="Calibri" w:eastAsia="Calibri" w:hAnsi="Calibri" w:cs="Times New Roman"/>
                <w:b/>
                <w:color w:val="FFFFFF"/>
                <w:lang w:val="en" w:eastAsia="en-AU"/>
              </w:rPr>
              <w:t>ssets</w:t>
            </w:r>
          </w:p>
        </w:tc>
        <w:tc>
          <w:tcPr>
            <w:tcW w:w="1893" w:type="dxa"/>
            <w:shd w:val="clear" w:color="auto" w:fill="0070C0"/>
          </w:tcPr>
          <w:p w14:paraId="7D0C8BC3" w14:textId="77777777" w:rsidR="00726E9C" w:rsidRPr="000B21CF" w:rsidRDefault="00726E9C" w:rsidP="00BF4557">
            <w:pPr>
              <w:rPr>
                <w:rFonts w:ascii="Calibri" w:eastAsia="Calibri" w:hAnsi="Calibri" w:cs="Times New Roman"/>
                <w:b/>
                <w:color w:val="FFFFFF"/>
                <w:lang w:val="en" w:eastAsia="en-AU"/>
              </w:rPr>
            </w:pPr>
            <w:r w:rsidRPr="000B21CF">
              <w:rPr>
                <w:rFonts w:ascii="Calibri" w:eastAsia="Calibri" w:hAnsi="Calibri" w:cs="Times New Roman"/>
                <w:b/>
                <w:color w:val="FFFFFF"/>
                <w:lang w:val="en" w:eastAsia="en-AU"/>
              </w:rPr>
              <w:t>Amount</w:t>
            </w:r>
          </w:p>
        </w:tc>
      </w:tr>
      <w:tr w:rsidR="00726E9C" w:rsidRPr="000B21CF" w14:paraId="2B9ECFB1" w14:textId="77777777" w:rsidTr="00930407">
        <w:tc>
          <w:tcPr>
            <w:tcW w:w="3597" w:type="dxa"/>
            <w:tcBorders>
              <w:left w:val="single" w:sz="4" w:space="0" w:color="auto"/>
            </w:tcBorders>
          </w:tcPr>
          <w:p w14:paraId="4EBF0FD6" w14:textId="320F7B73" w:rsidR="00726E9C" w:rsidRPr="000B21CF" w:rsidRDefault="00726E9C" w:rsidP="00BF4557">
            <w:pPr>
              <w:rPr>
                <w:rFonts w:ascii="Calibri" w:eastAsia="Calibri" w:hAnsi="Calibri" w:cs="Times New Roman"/>
                <w:lang w:val="en" w:eastAsia="en-AU"/>
              </w:rPr>
            </w:pPr>
          </w:p>
        </w:tc>
        <w:tc>
          <w:tcPr>
            <w:tcW w:w="1893" w:type="dxa"/>
            <w:shd w:val="clear" w:color="auto" w:fill="auto"/>
          </w:tcPr>
          <w:p w14:paraId="12CF60C2" w14:textId="375AEDD4" w:rsidR="00726E9C" w:rsidRPr="000B21CF" w:rsidRDefault="00726E9C" w:rsidP="00BF4557">
            <w:pPr>
              <w:rPr>
                <w:rFonts w:ascii="Calibri" w:eastAsia="Calibri" w:hAnsi="Calibri" w:cs="Times New Roman"/>
                <w:lang w:val="en" w:eastAsia="en-AU"/>
              </w:rPr>
            </w:pPr>
          </w:p>
        </w:tc>
      </w:tr>
      <w:tr w:rsidR="00726E9C" w:rsidRPr="000B21CF" w14:paraId="3A952538" w14:textId="77777777" w:rsidTr="00930407">
        <w:tc>
          <w:tcPr>
            <w:tcW w:w="3597" w:type="dxa"/>
            <w:tcBorders>
              <w:left w:val="single" w:sz="4" w:space="0" w:color="auto"/>
            </w:tcBorders>
          </w:tcPr>
          <w:p w14:paraId="06929265" w14:textId="77777777" w:rsidR="00726E9C" w:rsidRPr="000B21CF" w:rsidRDefault="00726E9C" w:rsidP="00BF4557">
            <w:pPr>
              <w:rPr>
                <w:rFonts w:ascii="Calibri" w:eastAsia="Calibri" w:hAnsi="Calibri" w:cs="Times New Roman"/>
                <w:lang w:val="en" w:eastAsia="en-AU"/>
              </w:rPr>
            </w:pPr>
            <w:r w:rsidRPr="000B21CF">
              <w:rPr>
                <w:rFonts w:ascii="Calibri" w:eastAsia="Calibri" w:hAnsi="Calibri" w:cs="Times New Roman"/>
                <w:lang w:val="en" w:eastAsia="en-AU"/>
              </w:rPr>
              <w:t>Non</w:t>
            </w:r>
            <w:r>
              <w:rPr>
                <w:rFonts w:ascii="Calibri" w:eastAsia="Calibri" w:hAnsi="Calibri" w:cs="Times New Roman"/>
                <w:lang w:val="en" w:eastAsia="en-AU"/>
              </w:rPr>
              <w:t>-c</w:t>
            </w:r>
            <w:r w:rsidRPr="000B21CF">
              <w:rPr>
                <w:rFonts w:ascii="Calibri" w:eastAsia="Calibri" w:hAnsi="Calibri" w:cs="Times New Roman"/>
                <w:lang w:val="en" w:eastAsia="en-AU"/>
              </w:rPr>
              <w:t xml:space="preserve">urrent </w:t>
            </w:r>
            <w:r>
              <w:rPr>
                <w:rFonts w:ascii="Calibri" w:eastAsia="Calibri" w:hAnsi="Calibri" w:cs="Times New Roman"/>
                <w:lang w:val="en" w:eastAsia="en-AU"/>
              </w:rPr>
              <w:t>a</w:t>
            </w:r>
            <w:r w:rsidRPr="000B21CF">
              <w:rPr>
                <w:rFonts w:ascii="Calibri" w:eastAsia="Calibri" w:hAnsi="Calibri" w:cs="Times New Roman"/>
                <w:lang w:val="en" w:eastAsia="en-AU"/>
              </w:rPr>
              <w:t xml:space="preserve">ssets </w:t>
            </w:r>
            <w:r>
              <w:rPr>
                <w:rFonts w:ascii="Calibri" w:eastAsia="Calibri" w:hAnsi="Calibri" w:cs="Times New Roman"/>
                <w:lang w:val="en" w:eastAsia="en-AU"/>
              </w:rPr>
              <w:t>a</w:t>
            </w:r>
            <w:r w:rsidRPr="000B21CF">
              <w:rPr>
                <w:rFonts w:ascii="Calibri" w:eastAsia="Calibri" w:hAnsi="Calibri" w:cs="Times New Roman"/>
                <w:lang w:val="en" w:eastAsia="en-AU"/>
              </w:rPr>
              <w:t xml:space="preserve">mount </w:t>
            </w:r>
            <w:r>
              <w:rPr>
                <w:rFonts w:ascii="Calibri" w:eastAsia="Calibri" w:hAnsi="Calibri" w:cs="Times New Roman"/>
                <w:lang w:val="en" w:eastAsia="en-AU"/>
              </w:rPr>
              <w:t>t</w:t>
            </w:r>
            <w:r w:rsidRPr="000B21CF">
              <w:rPr>
                <w:rFonts w:ascii="Calibri" w:eastAsia="Calibri" w:hAnsi="Calibri" w:cs="Times New Roman"/>
                <w:lang w:val="en" w:eastAsia="en-AU"/>
              </w:rPr>
              <w:t>otal</w:t>
            </w:r>
          </w:p>
        </w:tc>
        <w:tc>
          <w:tcPr>
            <w:tcW w:w="1893" w:type="dxa"/>
            <w:shd w:val="clear" w:color="auto" w:fill="auto"/>
          </w:tcPr>
          <w:p w14:paraId="0B698167" w14:textId="49729B86" w:rsidR="00726E9C" w:rsidRPr="000B21CF" w:rsidRDefault="00726E9C" w:rsidP="00BF4557">
            <w:pPr>
              <w:rPr>
                <w:rFonts w:ascii="Calibri" w:eastAsia="Calibri" w:hAnsi="Calibri" w:cs="Times New Roman"/>
                <w:lang w:val="en" w:eastAsia="en-AU"/>
              </w:rPr>
            </w:pPr>
          </w:p>
        </w:tc>
      </w:tr>
      <w:tr w:rsidR="00726E9C" w:rsidRPr="000B21CF" w14:paraId="30C3D662" w14:textId="77777777" w:rsidTr="00930407">
        <w:tc>
          <w:tcPr>
            <w:tcW w:w="3597" w:type="dxa"/>
            <w:tcBorders>
              <w:left w:val="single" w:sz="4" w:space="0" w:color="auto"/>
            </w:tcBorders>
          </w:tcPr>
          <w:p w14:paraId="06C19A22" w14:textId="77777777" w:rsidR="00726E9C" w:rsidRPr="000B21CF" w:rsidRDefault="00726E9C" w:rsidP="00BF4557">
            <w:pPr>
              <w:rPr>
                <w:rFonts w:ascii="Calibri" w:eastAsia="Calibri" w:hAnsi="Calibri" w:cs="Times New Roman"/>
                <w:lang w:val="en" w:eastAsia="en-AU"/>
              </w:rPr>
            </w:pPr>
            <w:r w:rsidRPr="000B21CF">
              <w:rPr>
                <w:rFonts w:ascii="Calibri" w:eastAsia="Calibri" w:hAnsi="Calibri" w:cs="Times New Roman"/>
                <w:lang w:val="en" w:eastAsia="en-AU"/>
              </w:rPr>
              <w:t xml:space="preserve">Other </w:t>
            </w:r>
            <w:r>
              <w:rPr>
                <w:rFonts w:ascii="Calibri" w:eastAsia="Calibri" w:hAnsi="Calibri" w:cs="Times New Roman"/>
                <w:lang w:val="en" w:eastAsia="en-AU"/>
              </w:rPr>
              <w:t>a</w:t>
            </w:r>
            <w:r w:rsidRPr="000B21CF">
              <w:rPr>
                <w:rFonts w:ascii="Calibri" w:eastAsia="Calibri" w:hAnsi="Calibri" w:cs="Times New Roman"/>
                <w:lang w:val="en" w:eastAsia="en-AU"/>
              </w:rPr>
              <w:t xml:space="preserve">ssets </w:t>
            </w:r>
            <w:r>
              <w:rPr>
                <w:rFonts w:ascii="Calibri" w:eastAsia="Calibri" w:hAnsi="Calibri" w:cs="Times New Roman"/>
                <w:lang w:val="en" w:eastAsia="en-AU"/>
              </w:rPr>
              <w:t>t</w:t>
            </w:r>
            <w:r w:rsidRPr="000B21CF">
              <w:rPr>
                <w:rFonts w:ascii="Calibri" w:eastAsia="Calibri" w:hAnsi="Calibri" w:cs="Times New Roman"/>
                <w:lang w:val="en" w:eastAsia="en-AU"/>
              </w:rPr>
              <w:t>otal</w:t>
            </w:r>
          </w:p>
        </w:tc>
        <w:tc>
          <w:tcPr>
            <w:tcW w:w="1893" w:type="dxa"/>
            <w:shd w:val="clear" w:color="auto" w:fill="auto"/>
          </w:tcPr>
          <w:p w14:paraId="36039080" w14:textId="21D22AC5" w:rsidR="00726E9C" w:rsidRPr="000B21CF" w:rsidRDefault="00726E9C" w:rsidP="00BF4557">
            <w:pPr>
              <w:rPr>
                <w:rFonts w:ascii="Calibri" w:eastAsia="Calibri" w:hAnsi="Calibri" w:cs="Times New Roman"/>
                <w:lang w:val="en" w:eastAsia="en-AU"/>
              </w:rPr>
            </w:pPr>
          </w:p>
        </w:tc>
      </w:tr>
    </w:tbl>
    <w:p w14:paraId="4EF549C7" w14:textId="1F973E00" w:rsidR="00BF4557" w:rsidRDefault="00BF4557" w:rsidP="00930407">
      <w:pPr>
        <w:spacing w:after="200" w:line="276" w:lineRule="auto"/>
        <w:contextualSpacing/>
        <w:rPr>
          <w:rFonts w:ascii="Calibri" w:hAnsi="Calibri"/>
          <w:color w:val="000000"/>
        </w:rPr>
      </w:pPr>
    </w:p>
    <w:p w14:paraId="0832482A" w14:textId="13F3C8E6" w:rsidR="00BF4557" w:rsidRDefault="00BF4557" w:rsidP="00930407">
      <w:pPr>
        <w:spacing w:after="200" w:line="276" w:lineRule="auto"/>
        <w:contextualSpacing/>
        <w:rPr>
          <w:rFonts w:ascii="Calibri" w:hAnsi="Calibri"/>
          <w:color w:val="000000"/>
        </w:rPr>
      </w:pPr>
    </w:p>
    <w:p w14:paraId="0A6EE192" w14:textId="3642B99C" w:rsidR="00BF4557" w:rsidRPr="00D3615D" w:rsidRDefault="00BF4557" w:rsidP="00D3615D">
      <w:pPr>
        <w:keepNext/>
        <w:spacing w:before="240" w:after="120"/>
        <w:outlineLvl w:val="3"/>
        <w:rPr>
          <w:rFonts w:ascii="Calibri" w:hAnsi="Calibri" w:cs="Helvetica"/>
          <w:b/>
          <w:sz w:val="24"/>
          <w:szCs w:val="24"/>
          <w:lang w:val="en"/>
        </w:rPr>
      </w:pPr>
      <w:r w:rsidRPr="00D3615D">
        <w:rPr>
          <w:rFonts w:ascii="Calibri" w:hAnsi="Calibri" w:cs="Helvetica"/>
          <w:b/>
          <w:sz w:val="24"/>
          <w:szCs w:val="24"/>
          <w:lang w:val="en"/>
        </w:rPr>
        <w:t>Receivables report</w:t>
      </w:r>
    </w:p>
    <w:tbl>
      <w:tblPr>
        <w:tblStyle w:val="TableGrid9"/>
        <w:tblW w:w="13352" w:type="dxa"/>
        <w:tblLook w:val="04A0" w:firstRow="1" w:lastRow="0" w:firstColumn="1" w:lastColumn="0" w:noHBand="0" w:noVBand="1"/>
      </w:tblPr>
      <w:tblGrid>
        <w:gridCol w:w="3444"/>
        <w:gridCol w:w="1827"/>
        <w:gridCol w:w="2020"/>
        <w:gridCol w:w="2020"/>
        <w:gridCol w:w="2021"/>
        <w:gridCol w:w="2020"/>
      </w:tblGrid>
      <w:tr w:rsidR="00726E9C" w:rsidRPr="000B21CF" w14:paraId="3CA3CC48" w14:textId="77777777" w:rsidTr="00930407">
        <w:tc>
          <w:tcPr>
            <w:tcW w:w="3444" w:type="dxa"/>
            <w:tcBorders>
              <w:left w:val="single" w:sz="4" w:space="0" w:color="auto"/>
            </w:tcBorders>
            <w:shd w:val="clear" w:color="auto" w:fill="0070C0"/>
          </w:tcPr>
          <w:p w14:paraId="1CE2FE22" w14:textId="4D4775B7" w:rsidR="00726E9C" w:rsidRPr="000B21CF" w:rsidRDefault="00726E9C" w:rsidP="00BF4557">
            <w:pPr>
              <w:rPr>
                <w:rFonts w:ascii="Calibri" w:eastAsia="Calibri" w:hAnsi="Calibri" w:cs="Times New Roman"/>
                <w:b/>
                <w:color w:val="FFFFFF"/>
                <w:lang w:val="en" w:eastAsia="en-AU"/>
              </w:rPr>
            </w:pPr>
            <w:r>
              <w:rPr>
                <w:rFonts w:ascii="Calibri" w:eastAsia="Calibri" w:hAnsi="Calibri" w:cs="Times New Roman"/>
                <w:b/>
                <w:color w:val="FFFFFF"/>
                <w:lang w:val="en" w:eastAsia="en-AU"/>
              </w:rPr>
              <w:t>Amount o</w:t>
            </w:r>
            <w:r w:rsidRPr="000B21CF">
              <w:rPr>
                <w:rFonts w:ascii="Calibri" w:eastAsia="Calibri" w:hAnsi="Calibri" w:cs="Times New Roman"/>
                <w:b/>
                <w:color w:val="FFFFFF"/>
                <w:lang w:val="en" w:eastAsia="en-AU"/>
              </w:rPr>
              <w:t>wed by</w:t>
            </w:r>
          </w:p>
        </w:tc>
        <w:tc>
          <w:tcPr>
            <w:tcW w:w="1827" w:type="dxa"/>
            <w:shd w:val="clear" w:color="auto" w:fill="0070C0"/>
          </w:tcPr>
          <w:p w14:paraId="4B3C14E6" w14:textId="77777777" w:rsidR="00726E9C" w:rsidRPr="000B21CF" w:rsidRDefault="00726E9C" w:rsidP="00BF4557">
            <w:pPr>
              <w:rPr>
                <w:rFonts w:ascii="Calibri" w:eastAsia="Calibri" w:hAnsi="Calibri" w:cs="Times New Roman"/>
                <w:b/>
                <w:color w:val="FFFFFF"/>
                <w:lang w:val="en" w:eastAsia="en-AU"/>
              </w:rPr>
            </w:pPr>
            <w:r w:rsidRPr="000B21CF">
              <w:rPr>
                <w:rFonts w:ascii="Calibri" w:eastAsia="Calibri" w:hAnsi="Calibri" w:cs="Times New Roman"/>
                <w:b/>
                <w:color w:val="FFFFFF"/>
                <w:lang w:val="en" w:eastAsia="en-AU"/>
              </w:rPr>
              <w:t>0-31</w:t>
            </w:r>
          </w:p>
        </w:tc>
        <w:tc>
          <w:tcPr>
            <w:tcW w:w="2020" w:type="dxa"/>
            <w:shd w:val="clear" w:color="auto" w:fill="0070C0"/>
          </w:tcPr>
          <w:p w14:paraId="5AFA9E62" w14:textId="77777777" w:rsidR="00726E9C" w:rsidRPr="000B21CF" w:rsidRDefault="00726E9C" w:rsidP="00BF4557">
            <w:pPr>
              <w:rPr>
                <w:rFonts w:ascii="Calibri" w:eastAsia="Calibri" w:hAnsi="Calibri" w:cs="Times New Roman"/>
                <w:b/>
                <w:color w:val="FFFFFF"/>
                <w:lang w:val="en" w:eastAsia="en-AU"/>
              </w:rPr>
            </w:pPr>
            <w:r w:rsidRPr="000B21CF">
              <w:rPr>
                <w:rFonts w:ascii="Calibri" w:eastAsia="Calibri" w:hAnsi="Calibri" w:cs="Times New Roman"/>
                <w:b/>
                <w:color w:val="FFFFFF"/>
                <w:lang w:val="en" w:eastAsia="en-AU"/>
              </w:rPr>
              <w:t>32-60</w:t>
            </w:r>
          </w:p>
        </w:tc>
        <w:tc>
          <w:tcPr>
            <w:tcW w:w="2020" w:type="dxa"/>
            <w:shd w:val="clear" w:color="auto" w:fill="0070C0"/>
          </w:tcPr>
          <w:p w14:paraId="5B9B05D8" w14:textId="77777777" w:rsidR="00726E9C" w:rsidRPr="000B21CF" w:rsidRDefault="00726E9C" w:rsidP="00BF4557">
            <w:pPr>
              <w:rPr>
                <w:rFonts w:ascii="Calibri" w:eastAsia="Calibri" w:hAnsi="Calibri" w:cs="Times New Roman"/>
                <w:b/>
                <w:color w:val="FFFFFF"/>
                <w:lang w:val="en" w:eastAsia="en-AU"/>
              </w:rPr>
            </w:pPr>
            <w:r w:rsidRPr="000B21CF">
              <w:rPr>
                <w:rFonts w:ascii="Calibri" w:eastAsia="Calibri" w:hAnsi="Calibri" w:cs="Times New Roman"/>
                <w:b/>
                <w:color w:val="FFFFFF"/>
                <w:lang w:val="en" w:eastAsia="en-AU"/>
              </w:rPr>
              <w:t>61-90</w:t>
            </w:r>
          </w:p>
        </w:tc>
        <w:tc>
          <w:tcPr>
            <w:tcW w:w="2021" w:type="dxa"/>
            <w:tcBorders>
              <w:right w:val="single" w:sz="4" w:space="0" w:color="auto"/>
            </w:tcBorders>
            <w:shd w:val="clear" w:color="auto" w:fill="0070C0"/>
          </w:tcPr>
          <w:p w14:paraId="653C0D0D" w14:textId="77777777" w:rsidR="00726E9C" w:rsidRPr="000B21CF" w:rsidRDefault="00726E9C" w:rsidP="00BF4557">
            <w:pPr>
              <w:rPr>
                <w:rFonts w:ascii="Calibri" w:eastAsia="Calibri" w:hAnsi="Calibri" w:cs="Times New Roman"/>
                <w:b/>
                <w:color w:val="FFFFFF"/>
                <w:lang w:val="en" w:eastAsia="en-AU"/>
              </w:rPr>
            </w:pPr>
            <w:r w:rsidRPr="000B21CF">
              <w:rPr>
                <w:rFonts w:ascii="Calibri" w:eastAsia="Calibri" w:hAnsi="Calibri" w:cs="Times New Roman"/>
                <w:b/>
                <w:color w:val="FFFFFF"/>
                <w:lang w:val="en" w:eastAsia="en-AU"/>
              </w:rPr>
              <w:t>90+</w:t>
            </w:r>
          </w:p>
        </w:tc>
        <w:tc>
          <w:tcPr>
            <w:tcW w:w="2020" w:type="dxa"/>
            <w:tcBorders>
              <w:right w:val="single" w:sz="4" w:space="0" w:color="auto"/>
            </w:tcBorders>
            <w:shd w:val="clear" w:color="auto" w:fill="0070C0"/>
          </w:tcPr>
          <w:p w14:paraId="4BCDA6E8" w14:textId="77777777" w:rsidR="00726E9C" w:rsidRPr="000B21CF" w:rsidRDefault="00726E9C" w:rsidP="00BF4557">
            <w:pPr>
              <w:rPr>
                <w:rFonts w:ascii="Calibri" w:eastAsia="Calibri" w:hAnsi="Calibri" w:cs="Times New Roman"/>
                <w:b/>
                <w:color w:val="FFFFFF"/>
                <w:lang w:val="en" w:eastAsia="en-AU"/>
              </w:rPr>
            </w:pPr>
            <w:r w:rsidRPr="000B21CF">
              <w:rPr>
                <w:rFonts w:ascii="Calibri" w:eastAsia="Calibri" w:hAnsi="Calibri" w:cs="Times New Roman"/>
                <w:b/>
                <w:color w:val="FFFFFF"/>
                <w:lang w:val="en" w:eastAsia="en-AU"/>
              </w:rPr>
              <w:t>Total Due</w:t>
            </w:r>
          </w:p>
        </w:tc>
      </w:tr>
      <w:tr w:rsidR="00726E9C" w:rsidRPr="000B21CF" w14:paraId="08056B5A" w14:textId="77777777" w:rsidTr="00930407">
        <w:tc>
          <w:tcPr>
            <w:tcW w:w="3444" w:type="dxa"/>
            <w:tcBorders>
              <w:left w:val="single" w:sz="4" w:space="0" w:color="auto"/>
            </w:tcBorders>
            <w:shd w:val="clear" w:color="auto" w:fill="auto"/>
          </w:tcPr>
          <w:p w14:paraId="72E0C1A4" w14:textId="1A8B8B2A" w:rsidR="00726E9C" w:rsidRPr="000B21CF" w:rsidRDefault="00726E9C" w:rsidP="00BF4557">
            <w:pPr>
              <w:rPr>
                <w:rFonts w:ascii="Calibri" w:eastAsia="Calibri" w:hAnsi="Calibri" w:cs="Times New Roman"/>
                <w:lang w:val="en" w:eastAsia="en-AU"/>
              </w:rPr>
            </w:pPr>
          </w:p>
        </w:tc>
        <w:tc>
          <w:tcPr>
            <w:tcW w:w="1827" w:type="dxa"/>
            <w:shd w:val="clear" w:color="auto" w:fill="auto"/>
          </w:tcPr>
          <w:p w14:paraId="3371A877" w14:textId="2FA7D6EB" w:rsidR="00726E9C" w:rsidRPr="000B21CF" w:rsidRDefault="00726E9C" w:rsidP="00BF4557">
            <w:pPr>
              <w:rPr>
                <w:rFonts w:ascii="Calibri" w:eastAsia="Calibri" w:hAnsi="Calibri" w:cs="Times New Roman"/>
                <w:noProof/>
              </w:rPr>
            </w:pPr>
          </w:p>
        </w:tc>
        <w:tc>
          <w:tcPr>
            <w:tcW w:w="2020" w:type="dxa"/>
            <w:shd w:val="clear" w:color="auto" w:fill="auto"/>
          </w:tcPr>
          <w:p w14:paraId="2A58A8AF" w14:textId="1C66D28B" w:rsidR="00726E9C" w:rsidRPr="000B21CF" w:rsidRDefault="00726E9C" w:rsidP="00BF4557">
            <w:pPr>
              <w:rPr>
                <w:rFonts w:ascii="Calibri" w:eastAsia="Calibri" w:hAnsi="Calibri" w:cs="Times New Roman"/>
                <w:lang w:val="en" w:eastAsia="en-AU"/>
              </w:rPr>
            </w:pPr>
          </w:p>
        </w:tc>
        <w:tc>
          <w:tcPr>
            <w:tcW w:w="2020" w:type="dxa"/>
            <w:shd w:val="clear" w:color="auto" w:fill="auto"/>
          </w:tcPr>
          <w:p w14:paraId="264C180B" w14:textId="7BA24CBC" w:rsidR="00726E9C" w:rsidRPr="000B21CF" w:rsidRDefault="00726E9C" w:rsidP="00BF4557">
            <w:pPr>
              <w:rPr>
                <w:rFonts w:ascii="Calibri" w:eastAsia="Calibri" w:hAnsi="Calibri" w:cs="Times New Roman"/>
                <w:lang w:val="en" w:eastAsia="en-AU"/>
              </w:rPr>
            </w:pPr>
          </w:p>
        </w:tc>
        <w:tc>
          <w:tcPr>
            <w:tcW w:w="2021" w:type="dxa"/>
            <w:tcBorders>
              <w:right w:val="single" w:sz="4" w:space="0" w:color="auto"/>
            </w:tcBorders>
            <w:shd w:val="clear" w:color="auto" w:fill="auto"/>
          </w:tcPr>
          <w:p w14:paraId="50432900" w14:textId="622D36F5" w:rsidR="00726E9C" w:rsidRPr="000B21CF" w:rsidRDefault="00726E9C" w:rsidP="00BF4557">
            <w:pPr>
              <w:rPr>
                <w:rFonts w:ascii="Calibri" w:eastAsia="Calibri" w:hAnsi="Calibri" w:cs="Times New Roman"/>
                <w:lang w:val="en" w:eastAsia="en-AU"/>
              </w:rPr>
            </w:pPr>
          </w:p>
        </w:tc>
        <w:tc>
          <w:tcPr>
            <w:tcW w:w="2020" w:type="dxa"/>
            <w:tcBorders>
              <w:right w:val="single" w:sz="4" w:space="0" w:color="auto"/>
            </w:tcBorders>
            <w:shd w:val="clear" w:color="auto" w:fill="auto"/>
          </w:tcPr>
          <w:p w14:paraId="07087B8D" w14:textId="495F2578" w:rsidR="00726E9C" w:rsidRPr="000B21CF" w:rsidRDefault="00726E9C" w:rsidP="00BF4557">
            <w:pPr>
              <w:rPr>
                <w:rFonts w:ascii="Calibri" w:eastAsia="Calibri" w:hAnsi="Calibri" w:cs="Times New Roman"/>
                <w:lang w:val="en" w:eastAsia="en-AU"/>
              </w:rPr>
            </w:pPr>
          </w:p>
        </w:tc>
      </w:tr>
      <w:tr w:rsidR="00726E9C" w:rsidRPr="000B21CF" w14:paraId="36CBA331" w14:textId="77777777" w:rsidTr="00930407">
        <w:tc>
          <w:tcPr>
            <w:tcW w:w="3444" w:type="dxa"/>
            <w:tcBorders>
              <w:left w:val="single" w:sz="4" w:space="0" w:color="auto"/>
            </w:tcBorders>
            <w:shd w:val="clear" w:color="auto" w:fill="auto"/>
          </w:tcPr>
          <w:p w14:paraId="136A22AB" w14:textId="6419B809" w:rsidR="00726E9C" w:rsidRPr="00930407" w:rsidRDefault="00726E9C" w:rsidP="00BF4557">
            <w:pPr>
              <w:rPr>
                <w:rFonts w:ascii="Calibri" w:eastAsia="Calibri" w:hAnsi="Calibri" w:cs="Times New Roman"/>
                <w:i/>
                <w:iCs/>
                <w:color w:val="000000"/>
              </w:rPr>
            </w:pPr>
            <w:r w:rsidRPr="000B21CF">
              <w:rPr>
                <w:rFonts w:ascii="Calibri" w:eastAsia="Calibri" w:hAnsi="Calibri" w:cs="Times New Roman"/>
                <w:i/>
                <w:iCs/>
                <w:color w:val="000000"/>
              </w:rPr>
              <w:t xml:space="preserve">Less </w:t>
            </w:r>
            <w:r w:rsidRPr="000B21CF">
              <w:rPr>
                <w:rFonts w:ascii="Calibri" w:eastAsia="Calibri" w:hAnsi="Calibri" w:cs="Times New Roman"/>
                <w:color w:val="000000"/>
              </w:rPr>
              <w:t>provision for doubtful debts</w:t>
            </w:r>
          </w:p>
        </w:tc>
        <w:tc>
          <w:tcPr>
            <w:tcW w:w="1827" w:type="dxa"/>
            <w:shd w:val="clear" w:color="auto" w:fill="auto"/>
          </w:tcPr>
          <w:p w14:paraId="69C0B623" w14:textId="0F034162" w:rsidR="00726E9C" w:rsidRPr="000B21CF" w:rsidRDefault="00726E9C" w:rsidP="00BF4557">
            <w:pPr>
              <w:rPr>
                <w:rFonts w:ascii="Calibri" w:eastAsia="Calibri" w:hAnsi="Calibri" w:cs="Times New Roman"/>
                <w:lang w:val="en" w:eastAsia="en-AU"/>
              </w:rPr>
            </w:pPr>
          </w:p>
        </w:tc>
        <w:tc>
          <w:tcPr>
            <w:tcW w:w="2020" w:type="dxa"/>
            <w:shd w:val="clear" w:color="auto" w:fill="auto"/>
          </w:tcPr>
          <w:p w14:paraId="21184983" w14:textId="14BC1877" w:rsidR="00726E9C" w:rsidRPr="000B21CF" w:rsidRDefault="00726E9C" w:rsidP="00BF4557">
            <w:pPr>
              <w:rPr>
                <w:rFonts w:ascii="Calibri" w:eastAsia="Calibri" w:hAnsi="Calibri" w:cs="Times New Roman"/>
                <w:lang w:val="en" w:eastAsia="en-AU"/>
              </w:rPr>
            </w:pPr>
          </w:p>
        </w:tc>
        <w:tc>
          <w:tcPr>
            <w:tcW w:w="2020" w:type="dxa"/>
            <w:shd w:val="clear" w:color="auto" w:fill="auto"/>
          </w:tcPr>
          <w:p w14:paraId="3BC8F68A" w14:textId="09DA3F53" w:rsidR="00726E9C" w:rsidRPr="000B21CF" w:rsidRDefault="00726E9C" w:rsidP="00BF4557">
            <w:pPr>
              <w:rPr>
                <w:rFonts w:ascii="Calibri" w:eastAsia="Calibri" w:hAnsi="Calibri" w:cs="Times New Roman"/>
                <w:lang w:val="en" w:eastAsia="en-AU"/>
              </w:rPr>
            </w:pPr>
          </w:p>
        </w:tc>
        <w:tc>
          <w:tcPr>
            <w:tcW w:w="2021" w:type="dxa"/>
            <w:tcBorders>
              <w:right w:val="single" w:sz="4" w:space="0" w:color="auto"/>
            </w:tcBorders>
            <w:shd w:val="clear" w:color="auto" w:fill="auto"/>
          </w:tcPr>
          <w:p w14:paraId="27A6DEB5" w14:textId="1721E1A5" w:rsidR="00726E9C" w:rsidRPr="000B21CF" w:rsidRDefault="00726E9C" w:rsidP="00BF4557">
            <w:pPr>
              <w:rPr>
                <w:rFonts w:ascii="Calibri" w:eastAsia="Calibri" w:hAnsi="Calibri" w:cs="Times New Roman"/>
                <w:lang w:val="en" w:eastAsia="en-AU"/>
              </w:rPr>
            </w:pPr>
          </w:p>
        </w:tc>
        <w:tc>
          <w:tcPr>
            <w:tcW w:w="2020" w:type="dxa"/>
            <w:tcBorders>
              <w:right w:val="single" w:sz="4" w:space="0" w:color="auto"/>
            </w:tcBorders>
            <w:shd w:val="clear" w:color="auto" w:fill="auto"/>
          </w:tcPr>
          <w:p w14:paraId="58C0D2FB" w14:textId="059A9A66" w:rsidR="00726E9C" w:rsidRPr="000B21CF" w:rsidRDefault="00726E9C" w:rsidP="00BF4557">
            <w:pPr>
              <w:rPr>
                <w:rFonts w:ascii="Calibri" w:eastAsia="Calibri" w:hAnsi="Calibri" w:cs="Times New Roman"/>
                <w:lang w:val="en" w:eastAsia="en-AU"/>
              </w:rPr>
            </w:pPr>
          </w:p>
        </w:tc>
      </w:tr>
      <w:tr w:rsidR="00726E9C" w:rsidRPr="000B21CF" w14:paraId="77D9EB2E" w14:textId="77777777" w:rsidTr="00930407">
        <w:tc>
          <w:tcPr>
            <w:tcW w:w="3444" w:type="dxa"/>
            <w:tcBorders>
              <w:left w:val="single" w:sz="4" w:space="0" w:color="auto"/>
            </w:tcBorders>
          </w:tcPr>
          <w:p w14:paraId="3D405EC0" w14:textId="77777777" w:rsidR="00726E9C" w:rsidRPr="000B21CF" w:rsidRDefault="00726E9C" w:rsidP="00BF4557">
            <w:pPr>
              <w:rPr>
                <w:rFonts w:ascii="Calibri" w:eastAsia="Calibri" w:hAnsi="Calibri" w:cs="Times New Roman"/>
                <w:lang w:val="en" w:eastAsia="en-AU"/>
              </w:rPr>
            </w:pPr>
            <w:r w:rsidRPr="000B21CF">
              <w:rPr>
                <w:rFonts w:ascii="Calibri" w:eastAsia="Calibri" w:hAnsi="Calibri" w:cs="Times New Roman"/>
              </w:rPr>
              <w:t>Total</w:t>
            </w:r>
          </w:p>
        </w:tc>
        <w:tc>
          <w:tcPr>
            <w:tcW w:w="1827" w:type="dxa"/>
            <w:shd w:val="clear" w:color="auto" w:fill="auto"/>
          </w:tcPr>
          <w:p w14:paraId="64B53012" w14:textId="62E04283" w:rsidR="00726E9C" w:rsidRPr="000B21CF" w:rsidRDefault="00726E9C" w:rsidP="00BF4557">
            <w:pPr>
              <w:rPr>
                <w:rFonts w:ascii="Calibri" w:eastAsia="Calibri" w:hAnsi="Calibri" w:cs="Times New Roman"/>
                <w:lang w:val="en" w:eastAsia="en-AU"/>
              </w:rPr>
            </w:pPr>
          </w:p>
        </w:tc>
        <w:tc>
          <w:tcPr>
            <w:tcW w:w="2020" w:type="dxa"/>
            <w:shd w:val="clear" w:color="auto" w:fill="auto"/>
          </w:tcPr>
          <w:p w14:paraId="6794ABE1" w14:textId="228222BB" w:rsidR="00726E9C" w:rsidRPr="000B21CF" w:rsidRDefault="00726E9C" w:rsidP="00BF4557">
            <w:pPr>
              <w:rPr>
                <w:rFonts w:ascii="Calibri" w:eastAsia="Calibri" w:hAnsi="Calibri" w:cs="Times New Roman"/>
                <w:lang w:val="en" w:eastAsia="en-AU"/>
              </w:rPr>
            </w:pPr>
          </w:p>
        </w:tc>
        <w:tc>
          <w:tcPr>
            <w:tcW w:w="2020" w:type="dxa"/>
            <w:shd w:val="clear" w:color="auto" w:fill="auto"/>
          </w:tcPr>
          <w:p w14:paraId="12A36BE0" w14:textId="1AA8B8F6" w:rsidR="00726E9C" w:rsidRPr="000B21CF" w:rsidRDefault="00726E9C" w:rsidP="00BF4557">
            <w:pPr>
              <w:rPr>
                <w:rFonts w:ascii="Calibri" w:eastAsia="Calibri" w:hAnsi="Calibri" w:cs="Times New Roman"/>
                <w:lang w:val="en" w:eastAsia="en-AU"/>
              </w:rPr>
            </w:pPr>
          </w:p>
        </w:tc>
        <w:tc>
          <w:tcPr>
            <w:tcW w:w="2021" w:type="dxa"/>
            <w:tcBorders>
              <w:right w:val="single" w:sz="4" w:space="0" w:color="auto"/>
            </w:tcBorders>
            <w:shd w:val="clear" w:color="auto" w:fill="auto"/>
          </w:tcPr>
          <w:p w14:paraId="78F47640" w14:textId="36ACB501" w:rsidR="00726E9C" w:rsidRPr="000B21CF" w:rsidRDefault="00726E9C" w:rsidP="00BF4557">
            <w:pPr>
              <w:rPr>
                <w:rFonts w:ascii="Calibri" w:eastAsia="Calibri" w:hAnsi="Calibri" w:cs="Times New Roman"/>
                <w:lang w:val="en" w:eastAsia="en-AU"/>
              </w:rPr>
            </w:pPr>
          </w:p>
        </w:tc>
        <w:tc>
          <w:tcPr>
            <w:tcW w:w="2020" w:type="dxa"/>
            <w:tcBorders>
              <w:right w:val="single" w:sz="4" w:space="0" w:color="auto"/>
            </w:tcBorders>
            <w:shd w:val="clear" w:color="auto" w:fill="auto"/>
          </w:tcPr>
          <w:p w14:paraId="4647FD71" w14:textId="0AF01044" w:rsidR="00726E9C" w:rsidRPr="000B21CF" w:rsidRDefault="00726E9C" w:rsidP="00BF4557">
            <w:pPr>
              <w:rPr>
                <w:rFonts w:ascii="Calibri" w:eastAsia="Calibri" w:hAnsi="Calibri" w:cs="Times New Roman"/>
                <w:lang w:val="en" w:eastAsia="en-AU"/>
              </w:rPr>
            </w:pPr>
          </w:p>
        </w:tc>
      </w:tr>
      <w:tr w:rsidR="00726E9C" w:rsidRPr="000B21CF" w14:paraId="7253B7DF" w14:textId="77777777" w:rsidTr="00930407">
        <w:tc>
          <w:tcPr>
            <w:tcW w:w="3444" w:type="dxa"/>
            <w:tcBorders>
              <w:left w:val="single" w:sz="4" w:space="0" w:color="auto"/>
            </w:tcBorders>
          </w:tcPr>
          <w:p w14:paraId="7E202C4F" w14:textId="77777777" w:rsidR="00726E9C" w:rsidRPr="000B21CF" w:rsidRDefault="00726E9C" w:rsidP="00BF4557">
            <w:pPr>
              <w:rPr>
                <w:rFonts w:ascii="Calibri" w:eastAsia="Calibri" w:hAnsi="Calibri" w:cs="Times New Roman"/>
                <w:lang w:val="en" w:eastAsia="en-AU"/>
              </w:rPr>
            </w:pPr>
            <w:r w:rsidRPr="000B21CF">
              <w:rPr>
                <w:rFonts w:ascii="Calibri" w:eastAsia="Calibri" w:hAnsi="Calibri" w:cs="Times New Roman"/>
                <w:lang w:val="en" w:eastAsia="en-AU"/>
              </w:rPr>
              <w:t>Aging Analysis Percent (%)</w:t>
            </w:r>
          </w:p>
        </w:tc>
        <w:tc>
          <w:tcPr>
            <w:tcW w:w="1827" w:type="dxa"/>
            <w:shd w:val="clear" w:color="auto" w:fill="auto"/>
          </w:tcPr>
          <w:p w14:paraId="3C3F561E" w14:textId="4E74E965" w:rsidR="00726E9C" w:rsidRPr="000B21CF" w:rsidRDefault="00726E9C" w:rsidP="00BF4557">
            <w:pPr>
              <w:rPr>
                <w:rFonts w:ascii="Calibri" w:eastAsia="Calibri" w:hAnsi="Calibri" w:cs="Times New Roman"/>
                <w:lang w:val="en" w:eastAsia="en-AU"/>
              </w:rPr>
            </w:pPr>
          </w:p>
        </w:tc>
        <w:tc>
          <w:tcPr>
            <w:tcW w:w="2020" w:type="dxa"/>
            <w:shd w:val="clear" w:color="auto" w:fill="auto"/>
          </w:tcPr>
          <w:p w14:paraId="3C9C4F65" w14:textId="4BA68624" w:rsidR="00726E9C" w:rsidRPr="000B21CF" w:rsidRDefault="00726E9C" w:rsidP="00BF4557">
            <w:pPr>
              <w:rPr>
                <w:rFonts w:ascii="Calibri" w:eastAsia="Calibri" w:hAnsi="Calibri" w:cs="Times New Roman"/>
                <w:lang w:val="en" w:eastAsia="en-AU"/>
              </w:rPr>
            </w:pPr>
          </w:p>
        </w:tc>
        <w:tc>
          <w:tcPr>
            <w:tcW w:w="2020" w:type="dxa"/>
            <w:shd w:val="clear" w:color="auto" w:fill="auto"/>
          </w:tcPr>
          <w:p w14:paraId="08D230D1" w14:textId="17A5B892" w:rsidR="00726E9C" w:rsidRPr="000B21CF" w:rsidRDefault="00726E9C" w:rsidP="00BF4557">
            <w:pPr>
              <w:rPr>
                <w:rFonts w:ascii="Calibri" w:eastAsia="Calibri" w:hAnsi="Calibri" w:cs="Times New Roman"/>
                <w:lang w:val="en" w:eastAsia="en-AU"/>
              </w:rPr>
            </w:pPr>
          </w:p>
        </w:tc>
        <w:tc>
          <w:tcPr>
            <w:tcW w:w="2021" w:type="dxa"/>
            <w:tcBorders>
              <w:right w:val="single" w:sz="4" w:space="0" w:color="auto"/>
            </w:tcBorders>
            <w:shd w:val="clear" w:color="auto" w:fill="auto"/>
          </w:tcPr>
          <w:p w14:paraId="6CC2E86D" w14:textId="50647534" w:rsidR="00726E9C" w:rsidRPr="000B21CF" w:rsidRDefault="00726E9C" w:rsidP="00BF4557">
            <w:pPr>
              <w:rPr>
                <w:rFonts w:ascii="Calibri" w:eastAsia="Calibri" w:hAnsi="Calibri" w:cs="Times New Roman"/>
                <w:lang w:val="en" w:eastAsia="en-AU"/>
              </w:rPr>
            </w:pPr>
          </w:p>
        </w:tc>
        <w:tc>
          <w:tcPr>
            <w:tcW w:w="2020" w:type="dxa"/>
            <w:tcBorders>
              <w:right w:val="single" w:sz="4" w:space="0" w:color="auto"/>
            </w:tcBorders>
            <w:shd w:val="clear" w:color="auto" w:fill="auto"/>
          </w:tcPr>
          <w:p w14:paraId="0C5B811C" w14:textId="77777777" w:rsidR="00726E9C" w:rsidRPr="000B21CF" w:rsidRDefault="00726E9C" w:rsidP="00BF4557">
            <w:pPr>
              <w:rPr>
                <w:rFonts w:ascii="Calibri" w:eastAsia="Calibri" w:hAnsi="Calibri" w:cs="Times New Roman"/>
                <w:lang w:val="en" w:eastAsia="en-AU"/>
              </w:rPr>
            </w:pPr>
          </w:p>
        </w:tc>
      </w:tr>
    </w:tbl>
    <w:p w14:paraId="38D7714F" w14:textId="1B19A1D1" w:rsidR="00BF4557" w:rsidRDefault="00BF4557" w:rsidP="00930407">
      <w:pPr>
        <w:spacing w:after="200" w:line="276" w:lineRule="auto"/>
        <w:contextualSpacing/>
        <w:rPr>
          <w:rFonts w:ascii="Calibri" w:hAnsi="Calibri"/>
          <w:color w:val="000000"/>
        </w:rPr>
      </w:pPr>
    </w:p>
    <w:p w14:paraId="41619C54" w14:textId="335B025C" w:rsidR="00BF4557" w:rsidRDefault="00BF4557" w:rsidP="00930407">
      <w:pPr>
        <w:spacing w:after="200" w:line="276" w:lineRule="auto"/>
        <w:contextualSpacing/>
        <w:rPr>
          <w:rFonts w:ascii="Calibri" w:hAnsi="Calibri"/>
          <w:color w:val="000000"/>
        </w:rPr>
      </w:pPr>
    </w:p>
    <w:p w14:paraId="45764B0E" w14:textId="206AE68A" w:rsidR="00BF4557" w:rsidRPr="00930407" w:rsidRDefault="00BF4557" w:rsidP="00930407">
      <w:pPr>
        <w:spacing w:after="0"/>
        <w:outlineLvl w:val="3"/>
        <w:rPr>
          <w:rFonts w:ascii="Calibri" w:hAnsi="Calibri"/>
          <w:b/>
          <w:bCs/>
          <w:color w:val="0070C0"/>
          <w:sz w:val="32"/>
          <w:szCs w:val="32"/>
        </w:rPr>
      </w:pPr>
      <w:r w:rsidRPr="00930407">
        <w:rPr>
          <w:rFonts w:ascii="Calibri" w:hAnsi="Calibri"/>
          <w:b/>
          <w:bCs/>
          <w:color w:val="0070C0"/>
          <w:sz w:val="32"/>
          <w:szCs w:val="32"/>
        </w:rPr>
        <w:t>Core capital, liquid capital, liquid margin and ratio</w:t>
      </w:r>
    </w:p>
    <w:p w14:paraId="401AF2D5" w14:textId="77777777" w:rsidR="00BF4557" w:rsidRDefault="00BF4557" w:rsidP="00930407">
      <w:pPr>
        <w:spacing w:after="200" w:line="276" w:lineRule="auto"/>
        <w:contextualSpacing/>
        <w:rPr>
          <w:rFonts w:ascii="Calibri" w:hAnsi="Calibri"/>
          <w:color w:val="000000"/>
        </w:rPr>
      </w:pPr>
    </w:p>
    <w:p w14:paraId="3723A7B1" w14:textId="0816EE8C" w:rsidR="003A1BE7" w:rsidRPr="00D3615D" w:rsidRDefault="001F0580" w:rsidP="00D3615D">
      <w:pPr>
        <w:keepNext/>
        <w:spacing w:before="240" w:after="120"/>
        <w:outlineLvl w:val="3"/>
        <w:rPr>
          <w:rFonts w:ascii="Calibri" w:hAnsi="Calibri" w:cs="Helvetica"/>
          <w:b/>
          <w:sz w:val="24"/>
          <w:szCs w:val="24"/>
          <w:lang w:val="en"/>
        </w:rPr>
      </w:pPr>
      <w:r w:rsidRPr="00D3615D">
        <w:rPr>
          <w:rFonts w:ascii="Calibri" w:hAnsi="Calibri" w:cs="Helvetica"/>
          <w:b/>
          <w:sz w:val="24"/>
          <w:szCs w:val="24"/>
          <w:lang w:val="en"/>
        </w:rPr>
        <w:lastRenderedPageBreak/>
        <w:t>Core C</w:t>
      </w:r>
      <w:r w:rsidR="00BF4557" w:rsidRPr="00D3615D">
        <w:rPr>
          <w:rFonts w:ascii="Calibri" w:hAnsi="Calibri" w:cs="Helvetica"/>
          <w:b/>
          <w:sz w:val="24"/>
          <w:szCs w:val="24"/>
          <w:lang w:val="en"/>
        </w:rPr>
        <w:t>apital</w:t>
      </w:r>
    </w:p>
    <w:tbl>
      <w:tblPr>
        <w:tblStyle w:val="TableGrid10"/>
        <w:tblW w:w="11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3"/>
        <w:gridCol w:w="3874"/>
        <w:gridCol w:w="3874"/>
      </w:tblGrid>
      <w:tr w:rsidR="00BF4557" w:rsidRPr="000F3DB6" w14:paraId="75D4D39C" w14:textId="77777777" w:rsidTr="00BF4557">
        <w:trPr>
          <w:trHeight w:val="225"/>
        </w:trPr>
        <w:tc>
          <w:tcPr>
            <w:tcW w:w="3853" w:type="dxa"/>
            <w:tcBorders>
              <w:top w:val="single" w:sz="4" w:space="0" w:color="auto"/>
              <w:left w:val="single" w:sz="4" w:space="0" w:color="auto"/>
              <w:bottom w:val="single" w:sz="4" w:space="0" w:color="auto"/>
              <w:right w:val="single" w:sz="4" w:space="0" w:color="auto"/>
            </w:tcBorders>
            <w:shd w:val="clear" w:color="auto" w:fill="0070C0"/>
          </w:tcPr>
          <w:p w14:paraId="2035543B" w14:textId="77777777" w:rsidR="00BF4557" w:rsidRPr="000F3DB6" w:rsidRDefault="00BF4557" w:rsidP="00BF4557">
            <w:pPr>
              <w:rPr>
                <w:rFonts w:ascii="Calibri" w:eastAsia="Calibri" w:hAnsi="Calibri" w:cs="Times New Roman"/>
                <w:b/>
                <w:color w:val="FFFFFF"/>
                <w:lang w:val="en" w:eastAsia="en-AU"/>
              </w:rPr>
            </w:pPr>
          </w:p>
        </w:tc>
        <w:tc>
          <w:tcPr>
            <w:tcW w:w="3874" w:type="dxa"/>
            <w:tcBorders>
              <w:top w:val="single" w:sz="4" w:space="0" w:color="auto"/>
              <w:left w:val="single" w:sz="4" w:space="0" w:color="auto"/>
              <w:bottom w:val="single" w:sz="4" w:space="0" w:color="auto"/>
              <w:right w:val="single" w:sz="4" w:space="0" w:color="auto"/>
            </w:tcBorders>
            <w:shd w:val="clear" w:color="auto" w:fill="0070C0"/>
          </w:tcPr>
          <w:p w14:paraId="38ED0FBC" w14:textId="77777777" w:rsidR="00BF4557" w:rsidRPr="000F3DB6" w:rsidRDefault="00BF4557" w:rsidP="00BF4557">
            <w:pPr>
              <w:rPr>
                <w:rFonts w:ascii="Calibri" w:eastAsia="Calibri" w:hAnsi="Calibri" w:cs="Times New Roman"/>
                <w:b/>
                <w:color w:val="FFFFFF"/>
                <w:lang w:val="en" w:eastAsia="en-AU"/>
              </w:rPr>
            </w:pPr>
            <w:r w:rsidRPr="000F3DB6">
              <w:rPr>
                <w:rFonts w:ascii="Calibri" w:eastAsia="Calibri" w:hAnsi="Calibri" w:cs="Times New Roman"/>
                <w:b/>
                <w:color w:val="FFFFFF"/>
                <w:lang w:val="en" w:eastAsia="en-AU"/>
              </w:rPr>
              <w:t>Current</w:t>
            </w:r>
          </w:p>
        </w:tc>
        <w:tc>
          <w:tcPr>
            <w:tcW w:w="3874" w:type="dxa"/>
            <w:tcBorders>
              <w:top w:val="single" w:sz="4" w:space="0" w:color="auto"/>
              <w:left w:val="single" w:sz="4" w:space="0" w:color="auto"/>
              <w:bottom w:val="single" w:sz="4" w:space="0" w:color="auto"/>
              <w:right w:val="single" w:sz="4" w:space="0" w:color="auto"/>
            </w:tcBorders>
            <w:shd w:val="clear" w:color="auto" w:fill="0070C0"/>
          </w:tcPr>
          <w:p w14:paraId="798170E4" w14:textId="77777777" w:rsidR="00BF4557" w:rsidRPr="000F3DB6" w:rsidRDefault="00BF4557" w:rsidP="00BF4557">
            <w:pPr>
              <w:rPr>
                <w:rFonts w:ascii="Calibri" w:eastAsia="Calibri" w:hAnsi="Calibri" w:cs="Times New Roman"/>
                <w:color w:val="FFFFFF"/>
                <w:lang w:val="en" w:eastAsia="en-AU"/>
              </w:rPr>
            </w:pPr>
            <w:r w:rsidRPr="000F3DB6">
              <w:rPr>
                <w:rFonts w:ascii="Calibri" w:eastAsia="Calibri" w:hAnsi="Calibri" w:cs="Times New Roman"/>
                <w:b/>
                <w:color w:val="FFFFFF"/>
                <w:lang w:val="en" w:eastAsia="en-AU"/>
              </w:rPr>
              <w:t>Prior</w:t>
            </w:r>
          </w:p>
        </w:tc>
      </w:tr>
      <w:tr w:rsidR="00BF4557" w:rsidRPr="000F3DB6" w14:paraId="0EB1276B" w14:textId="77777777" w:rsidTr="00930407">
        <w:trPr>
          <w:trHeight w:val="434"/>
        </w:trPr>
        <w:tc>
          <w:tcPr>
            <w:tcW w:w="3853" w:type="dxa"/>
            <w:tcBorders>
              <w:top w:val="single" w:sz="4" w:space="0" w:color="auto"/>
              <w:left w:val="single" w:sz="4" w:space="0" w:color="auto"/>
              <w:bottom w:val="single" w:sz="4" w:space="0" w:color="auto"/>
              <w:right w:val="single" w:sz="4" w:space="0" w:color="auto"/>
            </w:tcBorders>
          </w:tcPr>
          <w:p w14:paraId="00C70063" w14:textId="77777777" w:rsidR="00BF4557" w:rsidRPr="000F3DB6" w:rsidRDefault="00BF4557" w:rsidP="00BF4557">
            <w:pPr>
              <w:rPr>
                <w:rFonts w:ascii="Calibri" w:eastAsia="Calibri" w:hAnsi="Calibri" w:cs="Times New Roman"/>
                <w:lang w:val="en" w:eastAsia="en-AU"/>
              </w:rPr>
            </w:pPr>
            <w:r w:rsidRPr="000F3DB6">
              <w:rPr>
                <w:rFonts w:ascii="Calibri" w:eastAsia="Calibri" w:hAnsi="Calibri" w:cs="Times New Roman"/>
                <w:lang w:val="en" w:eastAsia="en-AU"/>
              </w:rPr>
              <w:t>Ordinary Issued and Paid-Up Shares</w:t>
            </w:r>
          </w:p>
        </w:tc>
        <w:tc>
          <w:tcPr>
            <w:tcW w:w="3874" w:type="dxa"/>
            <w:tcBorders>
              <w:top w:val="single" w:sz="4" w:space="0" w:color="auto"/>
              <w:left w:val="single" w:sz="4" w:space="0" w:color="auto"/>
              <w:bottom w:val="single" w:sz="4" w:space="0" w:color="auto"/>
              <w:right w:val="single" w:sz="4" w:space="0" w:color="auto"/>
            </w:tcBorders>
            <w:shd w:val="clear" w:color="auto" w:fill="auto"/>
          </w:tcPr>
          <w:p w14:paraId="7A4E8420" w14:textId="77777777" w:rsidR="00BF4557" w:rsidRPr="000F3DB6" w:rsidRDefault="00BF4557" w:rsidP="00BF4557">
            <w:pPr>
              <w:rPr>
                <w:rFonts w:ascii="Calibri" w:eastAsia="Calibri" w:hAnsi="Calibri" w:cs="Times New Roman"/>
                <w:lang w:val="en" w:eastAsia="en-AU"/>
              </w:rPr>
            </w:pPr>
          </w:p>
        </w:tc>
        <w:tc>
          <w:tcPr>
            <w:tcW w:w="3874" w:type="dxa"/>
            <w:tcBorders>
              <w:top w:val="single" w:sz="4" w:space="0" w:color="auto"/>
              <w:left w:val="single" w:sz="4" w:space="0" w:color="auto"/>
              <w:bottom w:val="single" w:sz="4" w:space="0" w:color="auto"/>
              <w:right w:val="single" w:sz="4" w:space="0" w:color="auto"/>
            </w:tcBorders>
            <w:shd w:val="clear" w:color="auto" w:fill="auto"/>
          </w:tcPr>
          <w:p w14:paraId="312FB7F6" w14:textId="0BBAA442" w:rsidR="00BF4557" w:rsidRPr="000F3DB6" w:rsidRDefault="00BF4557" w:rsidP="00BF4557">
            <w:pPr>
              <w:rPr>
                <w:rFonts w:ascii="Calibri" w:eastAsia="Calibri" w:hAnsi="Calibri" w:cs="Times New Roman"/>
                <w:lang w:val="en" w:eastAsia="en-AU"/>
              </w:rPr>
            </w:pPr>
          </w:p>
        </w:tc>
      </w:tr>
      <w:tr w:rsidR="00BF4557" w:rsidRPr="000F3DB6" w14:paraId="29C8E92E" w14:textId="77777777" w:rsidTr="00930407">
        <w:trPr>
          <w:trHeight w:val="626"/>
        </w:trPr>
        <w:tc>
          <w:tcPr>
            <w:tcW w:w="3853" w:type="dxa"/>
            <w:tcBorders>
              <w:top w:val="single" w:sz="4" w:space="0" w:color="auto"/>
              <w:left w:val="single" w:sz="4" w:space="0" w:color="auto"/>
              <w:bottom w:val="single" w:sz="4" w:space="0" w:color="auto"/>
              <w:right w:val="single" w:sz="4" w:space="0" w:color="auto"/>
            </w:tcBorders>
          </w:tcPr>
          <w:p w14:paraId="3D41FF8D" w14:textId="77777777" w:rsidR="00BF4557" w:rsidRPr="000F3DB6" w:rsidRDefault="00BF4557" w:rsidP="00BF4557">
            <w:pPr>
              <w:rPr>
                <w:rFonts w:ascii="Calibri" w:eastAsia="Calibri" w:hAnsi="Calibri" w:cs="Times New Roman"/>
                <w:lang w:val="en" w:eastAsia="en-AU"/>
              </w:rPr>
            </w:pPr>
            <w:r w:rsidRPr="000F3DB6">
              <w:rPr>
                <w:rFonts w:ascii="Calibri" w:eastAsia="Calibri" w:hAnsi="Calibri" w:cs="Times New Roman"/>
                <w:lang w:val="en" w:eastAsia="en-AU"/>
              </w:rPr>
              <w:t>Non-Cumulative Preference Shares</w:t>
            </w:r>
          </w:p>
        </w:tc>
        <w:tc>
          <w:tcPr>
            <w:tcW w:w="3874" w:type="dxa"/>
            <w:tcBorders>
              <w:top w:val="single" w:sz="4" w:space="0" w:color="auto"/>
              <w:left w:val="single" w:sz="4" w:space="0" w:color="auto"/>
              <w:bottom w:val="single" w:sz="4" w:space="0" w:color="auto"/>
              <w:right w:val="single" w:sz="4" w:space="0" w:color="auto"/>
            </w:tcBorders>
            <w:shd w:val="clear" w:color="auto" w:fill="auto"/>
          </w:tcPr>
          <w:p w14:paraId="08D879D6" w14:textId="77777777" w:rsidR="00BF4557" w:rsidRPr="000F3DB6" w:rsidRDefault="00BF4557" w:rsidP="00BF4557">
            <w:pPr>
              <w:rPr>
                <w:rFonts w:ascii="Calibri" w:eastAsia="Calibri" w:hAnsi="Calibri" w:cs="Times New Roman"/>
                <w:sz w:val="20"/>
                <w:szCs w:val="20"/>
                <w:lang w:val="en" w:eastAsia="en-AU"/>
              </w:rPr>
            </w:pPr>
          </w:p>
        </w:tc>
        <w:tc>
          <w:tcPr>
            <w:tcW w:w="3874" w:type="dxa"/>
            <w:tcBorders>
              <w:top w:val="single" w:sz="4" w:space="0" w:color="auto"/>
              <w:left w:val="single" w:sz="4" w:space="0" w:color="auto"/>
              <w:bottom w:val="single" w:sz="4" w:space="0" w:color="auto"/>
              <w:right w:val="single" w:sz="4" w:space="0" w:color="auto"/>
            </w:tcBorders>
            <w:shd w:val="clear" w:color="auto" w:fill="auto"/>
          </w:tcPr>
          <w:p w14:paraId="73C6B98A" w14:textId="2A9B5381" w:rsidR="00BF4557" w:rsidRPr="000F3DB6" w:rsidRDefault="00BF4557" w:rsidP="00BF4557">
            <w:pPr>
              <w:rPr>
                <w:rFonts w:ascii="Calibri" w:eastAsia="Calibri" w:hAnsi="Calibri" w:cs="Times New Roman"/>
                <w:lang w:val="en" w:eastAsia="en-AU"/>
              </w:rPr>
            </w:pPr>
          </w:p>
        </w:tc>
      </w:tr>
      <w:tr w:rsidR="00BF4557" w:rsidRPr="000F3DB6" w14:paraId="6CFAA165" w14:textId="77777777" w:rsidTr="00930407">
        <w:trPr>
          <w:trHeight w:val="417"/>
        </w:trPr>
        <w:tc>
          <w:tcPr>
            <w:tcW w:w="3853" w:type="dxa"/>
            <w:tcBorders>
              <w:top w:val="single" w:sz="4" w:space="0" w:color="auto"/>
              <w:left w:val="single" w:sz="4" w:space="0" w:color="auto"/>
              <w:bottom w:val="single" w:sz="4" w:space="0" w:color="auto"/>
              <w:right w:val="single" w:sz="4" w:space="0" w:color="auto"/>
            </w:tcBorders>
          </w:tcPr>
          <w:p w14:paraId="1BA661E7" w14:textId="6C648E2D" w:rsidR="00BF4557" w:rsidRPr="000F3DB6" w:rsidRDefault="00BF4557" w:rsidP="00BF4557">
            <w:pPr>
              <w:rPr>
                <w:rFonts w:ascii="Calibri" w:eastAsia="Calibri" w:hAnsi="Calibri" w:cs="Times New Roman"/>
                <w:lang w:val="en" w:eastAsia="en-AU"/>
              </w:rPr>
            </w:pPr>
            <w:r w:rsidRPr="000F3DB6">
              <w:rPr>
                <w:rFonts w:ascii="Calibri" w:eastAsia="Calibri" w:hAnsi="Calibri" w:cs="Times New Roman"/>
                <w:lang w:val="en" w:eastAsia="en-AU"/>
              </w:rPr>
              <w:t xml:space="preserve">All reserves Excluding Revaluation </w:t>
            </w:r>
            <w:r w:rsidR="00A21922">
              <w:rPr>
                <w:rFonts w:ascii="Calibri" w:eastAsia="Calibri" w:hAnsi="Calibri" w:cs="Times New Roman"/>
                <w:lang w:val="en" w:eastAsia="en-AU"/>
              </w:rPr>
              <w:t>r</w:t>
            </w:r>
            <w:r w:rsidRPr="000F3DB6">
              <w:rPr>
                <w:rFonts w:ascii="Calibri" w:eastAsia="Calibri" w:hAnsi="Calibri" w:cs="Times New Roman"/>
                <w:lang w:val="en" w:eastAsia="en-AU"/>
              </w:rPr>
              <w:t>eserves other than Financial Asset and Liability Revaluation Reserves</w:t>
            </w:r>
          </w:p>
        </w:tc>
        <w:tc>
          <w:tcPr>
            <w:tcW w:w="3874" w:type="dxa"/>
            <w:tcBorders>
              <w:top w:val="single" w:sz="4" w:space="0" w:color="auto"/>
              <w:left w:val="single" w:sz="4" w:space="0" w:color="auto"/>
              <w:bottom w:val="single" w:sz="4" w:space="0" w:color="auto"/>
              <w:right w:val="single" w:sz="4" w:space="0" w:color="auto"/>
            </w:tcBorders>
            <w:shd w:val="clear" w:color="auto" w:fill="auto"/>
          </w:tcPr>
          <w:p w14:paraId="3EDB70E5" w14:textId="77777777" w:rsidR="00BF4557" w:rsidRPr="000F3DB6" w:rsidRDefault="00BF4557" w:rsidP="00BF4557">
            <w:pPr>
              <w:rPr>
                <w:rFonts w:ascii="Calibri" w:eastAsia="Calibri" w:hAnsi="Calibri" w:cs="Times New Roman"/>
                <w:lang w:val="en" w:eastAsia="en-AU"/>
              </w:rPr>
            </w:pPr>
          </w:p>
        </w:tc>
        <w:tc>
          <w:tcPr>
            <w:tcW w:w="3874" w:type="dxa"/>
            <w:tcBorders>
              <w:top w:val="single" w:sz="4" w:space="0" w:color="auto"/>
              <w:left w:val="single" w:sz="4" w:space="0" w:color="auto"/>
              <w:bottom w:val="single" w:sz="4" w:space="0" w:color="auto"/>
              <w:right w:val="single" w:sz="4" w:space="0" w:color="auto"/>
            </w:tcBorders>
            <w:shd w:val="clear" w:color="auto" w:fill="auto"/>
          </w:tcPr>
          <w:p w14:paraId="6593AA56" w14:textId="77777777" w:rsidR="00BF4557" w:rsidRPr="000F3DB6" w:rsidRDefault="00BF4557" w:rsidP="00BF4557">
            <w:pPr>
              <w:jc w:val="center"/>
              <w:rPr>
                <w:rFonts w:ascii="Calibri" w:eastAsia="Calibri" w:hAnsi="Calibri" w:cs="Times New Roman"/>
                <w:lang w:val="en" w:eastAsia="en-AU"/>
              </w:rPr>
            </w:pPr>
          </w:p>
        </w:tc>
      </w:tr>
      <w:tr w:rsidR="00BF4557" w:rsidRPr="000F3DB6" w14:paraId="225167E9" w14:textId="77777777" w:rsidTr="00930407">
        <w:trPr>
          <w:trHeight w:val="870"/>
        </w:trPr>
        <w:tc>
          <w:tcPr>
            <w:tcW w:w="3853" w:type="dxa"/>
            <w:tcBorders>
              <w:top w:val="single" w:sz="4" w:space="0" w:color="auto"/>
              <w:left w:val="single" w:sz="4" w:space="0" w:color="auto"/>
              <w:bottom w:val="single" w:sz="4" w:space="0" w:color="auto"/>
              <w:right w:val="single" w:sz="4" w:space="0" w:color="auto"/>
            </w:tcBorders>
          </w:tcPr>
          <w:p w14:paraId="660E9F11" w14:textId="2803C5B7" w:rsidR="00BF4557" w:rsidRPr="000F3DB6" w:rsidRDefault="00BF4557" w:rsidP="00BF4557">
            <w:pPr>
              <w:rPr>
                <w:rFonts w:ascii="Calibri" w:eastAsia="Calibri" w:hAnsi="Calibri" w:cs="Times New Roman"/>
                <w:lang w:val="en" w:eastAsia="en-AU"/>
              </w:rPr>
            </w:pPr>
            <w:r w:rsidRPr="000F3DB6">
              <w:rPr>
                <w:rFonts w:ascii="Calibri" w:eastAsia="Calibri" w:hAnsi="Calibri" w:cs="Times New Roman"/>
                <w:lang w:val="en" w:eastAsia="en-AU"/>
              </w:rPr>
              <w:t>Opening Retained Earnings/Accumulated</w:t>
            </w:r>
            <w:r w:rsidR="00A21922">
              <w:rPr>
                <w:rFonts w:ascii="Calibri" w:eastAsia="Calibri" w:hAnsi="Calibri" w:cs="Times New Roman"/>
                <w:lang w:val="en" w:eastAsia="en-AU"/>
              </w:rPr>
              <w:t xml:space="preserve"> l</w:t>
            </w:r>
            <w:r w:rsidRPr="000F3DB6">
              <w:rPr>
                <w:rFonts w:ascii="Calibri" w:eastAsia="Calibri" w:hAnsi="Calibri" w:cs="Times New Roman"/>
                <w:lang w:val="en" w:eastAsia="en-AU"/>
              </w:rPr>
              <w:t>osses Adjusted for all Current Year Movements</w:t>
            </w:r>
          </w:p>
        </w:tc>
        <w:tc>
          <w:tcPr>
            <w:tcW w:w="3874" w:type="dxa"/>
            <w:tcBorders>
              <w:top w:val="single" w:sz="4" w:space="0" w:color="auto"/>
              <w:left w:val="single" w:sz="4" w:space="0" w:color="auto"/>
              <w:bottom w:val="single" w:sz="4" w:space="0" w:color="auto"/>
              <w:right w:val="single" w:sz="4" w:space="0" w:color="auto"/>
            </w:tcBorders>
            <w:shd w:val="clear" w:color="auto" w:fill="auto"/>
          </w:tcPr>
          <w:p w14:paraId="4C93480A" w14:textId="77777777" w:rsidR="00BF4557" w:rsidRPr="000F3DB6" w:rsidRDefault="00BF4557" w:rsidP="00BF4557">
            <w:pPr>
              <w:rPr>
                <w:rFonts w:ascii="Calibri" w:eastAsia="Calibri" w:hAnsi="Calibri" w:cs="Times New Roman"/>
                <w:lang w:val="en" w:eastAsia="en-AU"/>
              </w:rPr>
            </w:pPr>
          </w:p>
        </w:tc>
        <w:tc>
          <w:tcPr>
            <w:tcW w:w="3874" w:type="dxa"/>
            <w:tcBorders>
              <w:top w:val="single" w:sz="4" w:space="0" w:color="auto"/>
              <w:left w:val="single" w:sz="4" w:space="0" w:color="auto"/>
              <w:bottom w:val="single" w:sz="4" w:space="0" w:color="auto"/>
              <w:right w:val="single" w:sz="4" w:space="0" w:color="auto"/>
            </w:tcBorders>
            <w:shd w:val="clear" w:color="auto" w:fill="auto"/>
          </w:tcPr>
          <w:p w14:paraId="493F73FC" w14:textId="58108CB8" w:rsidR="00BF4557" w:rsidRPr="000F3DB6" w:rsidRDefault="00BF4557" w:rsidP="00BF4557">
            <w:pPr>
              <w:rPr>
                <w:rFonts w:ascii="Calibri" w:eastAsia="Calibri" w:hAnsi="Calibri" w:cs="Times New Roman"/>
                <w:lang w:val="en" w:eastAsia="en-AU"/>
              </w:rPr>
            </w:pPr>
          </w:p>
        </w:tc>
      </w:tr>
      <w:tr w:rsidR="00BF4557" w:rsidRPr="000F3DB6" w14:paraId="39DAF710" w14:textId="77777777" w:rsidTr="00930407">
        <w:trPr>
          <w:trHeight w:val="643"/>
        </w:trPr>
        <w:tc>
          <w:tcPr>
            <w:tcW w:w="3853" w:type="dxa"/>
            <w:tcBorders>
              <w:top w:val="single" w:sz="4" w:space="0" w:color="auto"/>
              <w:left w:val="single" w:sz="4" w:space="0" w:color="auto"/>
              <w:bottom w:val="single" w:sz="4" w:space="0" w:color="auto"/>
              <w:right w:val="single" w:sz="4" w:space="0" w:color="auto"/>
            </w:tcBorders>
          </w:tcPr>
          <w:p w14:paraId="280C158F" w14:textId="77777777" w:rsidR="00BF4557" w:rsidRPr="000F3DB6" w:rsidRDefault="00BF4557" w:rsidP="00BF4557">
            <w:pPr>
              <w:rPr>
                <w:rFonts w:ascii="Calibri" w:eastAsia="Calibri" w:hAnsi="Calibri" w:cs="Times New Roman"/>
                <w:lang w:val="en" w:eastAsia="en-AU"/>
              </w:rPr>
            </w:pPr>
            <w:r w:rsidRPr="000F3DB6">
              <w:rPr>
                <w:rFonts w:ascii="Calibri" w:eastAsia="Calibri" w:hAnsi="Calibri" w:cs="Times New Roman"/>
                <w:lang w:val="en" w:eastAsia="en-AU"/>
              </w:rPr>
              <w:t>Core Capital</w:t>
            </w:r>
          </w:p>
        </w:tc>
        <w:tc>
          <w:tcPr>
            <w:tcW w:w="3874" w:type="dxa"/>
            <w:tcBorders>
              <w:top w:val="single" w:sz="4" w:space="0" w:color="auto"/>
              <w:left w:val="single" w:sz="4" w:space="0" w:color="auto"/>
              <w:bottom w:val="single" w:sz="4" w:space="0" w:color="auto"/>
              <w:right w:val="single" w:sz="4" w:space="0" w:color="auto"/>
            </w:tcBorders>
            <w:shd w:val="clear" w:color="auto" w:fill="auto"/>
          </w:tcPr>
          <w:p w14:paraId="2192A2F1" w14:textId="77777777" w:rsidR="00BF4557" w:rsidRPr="000F3DB6" w:rsidRDefault="00BF4557" w:rsidP="00BF4557">
            <w:pPr>
              <w:rPr>
                <w:rFonts w:ascii="Calibri" w:eastAsia="Calibri" w:hAnsi="Calibri" w:cs="Times New Roman"/>
                <w:b/>
                <w:lang w:val="en" w:eastAsia="en-AU"/>
              </w:rPr>
            </w:pPr>
          </w:p>
        </w:tc>
        <w:tc>
          <w:tcPr>
            <w:tcW w:w="3874" w:type="dxa"/>
            <w:tcBorders>
              <w:top w:val="single" w:sz="4" w:space="0" w:color="auto"/>
              <w:left w:val="single" w:sz="4" w:space="0" w:color="auto"/>
              <w:bottom w:val="single" w:sz="4" w:space="0" w:color="auto"/>
              <w:right w:val="single" w:sz="4" w:space="0" w:color="auto"/>
            </w:tcBorders>
            <w:shd w:val="clear" w:color="auto" w:fill="auto"/>
          </w:tcPr>
          <w:p w14:paraId="1181C122" w14:textId="23000A88" w:rsidR="00BF4557" w:rsidRPr="000F3DB6" w:rsidRDefault="00BF4557" w:rsidP="00BF4557">
            <w:pPr>
              <w:rPr>
                <w:rFonts w:ascii="Calibri" w:eastAsia="Calibri" w:hAnsi="Calibri" w:cs="Times New Roman"/>
                <w:lang w:val="en" w:eastAsia="en-AU"/>
              </w:rPr>
            </w:pPr>
          </w:p>
        </w:tc>
      </w:tr>
    </w:tbl>
    <w:p w14:paraId="7A710136" w14:textId="067C9260" w:rsidR="00BF4557" w:rsidRDefault="00BF4557" w:rsidP="00930407">
      <w:pPr>
        <w:spacing w:after="200" w:line="276" w:lineRule="auto"/>
        <w:contextualSpacing/>
        <w:rPr>
          <w:rFonts w:ascii="Calibri" w:hAnsi="Calibri"/>
          <w:color w:val="000000"/>
        </w:rPr>
      </w:pPr>
      <w:r>
        <w:rPr>
          <w:rFonts w:ascii="Calibri" w:eastAsia="Calibri" w:hAnsi="Calibri"/>
        </w:rPr>
        <w:t>Core Capital must not be</w:t>
      </w:r>
      <w:r w:rsidRPr="000F3DB6">
        <w:rPr>
          <w:rFonts w:ascii="Calibri" w:eastAsia="Calibri" w:hAnsi="Calibri"/>
        </w:rPr>
        <w:t xml:space="preserve"> less than the amount specified in the Market Integrity Rules. Should it fall below this level</w:t>
      </w:r>
      <w:r>
        <w:rPr>
          <w:rFonts w:ascii="Calibri" w:eastAsia="Calibri" w:hAnsi="Calibri"/>
        </w:rPr>
        <w:t xml:space="preserve"> you must notify</w:t>
      </w:r>
      <w:r w:rsidRPr="000F3DB6">
        <w:rPr>
          <w:rFonts w:ascii="Calibri" w:eastAsia="Calibri" w:hAnsi="Calibri"/>
        </w:rPr>
        <w:t xml:space="preserve"> ASIC immediately</w:t>
      </w:r>
      <w:r>
        <w:rPr>
          <w:rFonts w:ascii="Calibri" w:eastAsia="Calibri" w:hAnsi="Calibri"/>
        </w:rPr>
        <w:t>.</w:t>
      </w:r>
    </w:p>
    <w:p w14:paraId="03CFD973" w14:textId="111D449F" w:rsidR="003A1BE7" w:rsidRDefault="003A1BE7" w:rsidP="00930407">
      <w:pPr>
        <w:spacing w:after="200" w:line="276" w:lineRule="auto"/>
        <w:contextualSpacing/>
        <w:rPr>
          <w:rFonts w:ascii="Calibri" w:hAnsi="Calibri"/>
          <w:color w:val="000000"/>
        </w:rPr>
      </w:pPr>
    </w:p>
    <w:p w14:paraId="2ADE4042" w14:textId="5BCCD1B4" w:rsidR="00BF4557" w:rsidRDefault="00BF4557" w:rsidP="00930407">
      <w:pPr>
        <w:spacing w:after="200" w:line="276" w:lineRule="auto"/>
        <w:contextualSpacing/>
        <w:rPr>
          <w:rFonts w:ascii="Calibri" w:hAnsi="Calibri"/>
          <w:color w:val="000000"/>
        </w:rPr>
      </w:pPr>
    </w:p>
    <w:p w14:paraId="5B95C34D" w14:textId="1B7243CE" w:rsidR="00BF02F8" w:rsidRDefault="00BF02F8" w:rsidP="00930407">
      <w:pPr>
        <w:spacing w:after="200" w:line="276" w:lineRule="auto"/>
        <w:contextualSpacing/>
        <w:rPr>
          <w:rFonts w:ascii="Calibri" w:hAnsi="Calibri"/>
          <w:color w:val="000000"/>
        </w:rPr>
      </w:pPr>
    </w:p>
    <w:p w14:paraId="099FFFB8" w14:textId="5A21ED11" w:rsidR="00BF02F8" w:rsidRDefault="00BF02F8" w:rsidP="00930407">
      <w:pPr>
        <w:spacing w:after="200" w:line="276" w:lineRule="auto"/>
        <w:contextualSpacing/>
        <w:rPr>
          <w:rFonts w:ascii="Calibri" w:hAnsi="Calibri"/>
          <w:color w:val="000000"/>
        </w:rPr>
      </w:pPr>
    </w:p>
    <w:p w14:paraId="629079FE" w14:textId="5BA4F6CA" w:rsidR="00BF02F8" w:rsidRDefault="00BF02F8" w:rsidP="00930407">
      <w:pPr>
        <w:spacing w:after="200" w:line="276" w:lineRule="auto"/>
        <w:contextualSpacing/>
        <w:rPr>
          <w:rFonts w:ascii="Calibri" w:hAnsi="Calibri"/>
          <w:color w:val="000000"/>
        </w:rPr>
      </w:pPr>
    </w:p>
    <w:p w14:paraId="629C8457" w14:textId="298DD918" w:rsidR="00BF02F8" w:rsidRDefault="00BF02F8" w:rsidP="00930407">
      <w:pPr>
        <w:spacing w:after="200" w:line="276" w:lineRule="auto"/>
        <w:contextualSpacing/>
        <w:rPr>
          <w:rFonts w:ascii="Calibri" w:hAnsi="Calibri"/>
          <w:color w:val="000000"/>
        </w:rPr>
      </w:pPr>
    </w:p>
    <w:p w14:paraId="41CE3F3E" w14:textId="77777777" w:rsidR="00BF02F8" w:rsidRDefault="00BF02F8" w:rsidP="00930407">
      <w:pPr>
        <w:spacing w:after="200" w:line="276" w:lineRule="auto"/>
        <w:contextualSpacing/>
        <w:rPr>
          <w:rFonts w:ascii="Calibri" w:hAnsi="Calibri"/>
          <w:color w:val="000000"/>
        </w:rPr>
      </w:pPr>
    </w:p>
    <w:p w14:paraId="6554F718" w14:textId="2337EB33" w:rsidR="00BF4557" w:rsidRPr="00930407" w:rsidRDefault="001F0580" w:rsidP="00D3615D">
      <w:pPr>
        <w:keepNext/>
        <w:spacing w:before="240" w:after="120"/>
        <w:outlineLvl w:val="3"/>
        <w:rPr>
          <w:rFonts w:ascii="Calibri" w:hAnsi="Calibri"/>
          <w:b/>
          <w:color w:val="000000"/>
          <w:sz w:val="24"/>
        </w:rPr>
      </w:pPr>
      <w:r w:rsidRPr="00930407">
        <w:rPr>
          <w:rFonts w:ascii="Calibri" w:hAnsi="Calibri"/>
          <w:b/>
          <w:color w:val="000000"/>
          <w:sz w:val="24"/>
        </w:rPr>
        <w:t>Liquid C</w:t>
      </w:r>
      <w:r w:rsidR="00BF4557" w:rsidRPr="00930407">
        <w:rPr>
          <w:rFonts w:ascii="Calibri" w:hAnsi="Calibri"/>
          <w:b/>
          <w:color w:val="000000"/>
          <w:sz w:val="24"/>
        </w:rPr>
        <w:t xml:space="preserve">apital </w:t>
      </w:r>
      <w:r w:rsidRPr="00930407">
        <w:rPr>
          <w:rFonts w:ascii="Calibri" w:hAnsi="Calibri"/>
          <w:b/>
          <w:color w:val="000000"/>
          <w:sz w:val="24"/>
        </w:rPr>
        <w:t>calculation</w:t>
      </w: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3641"/>
        <w:gridCol w:w="3730"/>
      </w:tblGrid>
      <w:tr w:rsidR="001F0580" w:rsidRPr="000F3DB6" w14:paraId="2BAC66B4" w14:textId="77777777" w:rsidTr="00D54AA0">
        <w:trPr>
          <w:trHeight w:val="226"/>
        </w:trPr>
        <w:tc>
          <w:tcPr>
            <w:tcW w:w="4539" w:type="dxa"/>
            <w:tcBorders>
              <w:top w:val="single" w:sz="4" w:space="0" w:color="auto"/>
              <w:left w:val="single" w:sz="4" w:space="0" w:color="auto"/>
              <w:bottom w:val="single" w:sz="4" w:space="0" w:color="auto"/>
              <w:right w:val="single" w:sz="4" w:space="0" w:color="auto"/>
            </w:tcBorders>
            <w:shd w:val="clear" w:color="auto" w:fill="0070C0"/>
          </w:tcPr>
          <w:p w14:paraId="0675AB24" w14:textId="77777777" w:rsidR="001F0580" w:rsidRPr="000F3DB6" w:rsidRDefault="001F0580" w:rsidP="00D54AA0">
            <w:pPr>
              <w:rPr>
                <w:rFonts w:ascii="Calibri" w:eastAsia="Calibri" w:hAnsi="Calibri" w:cs="Times New Roman"/>
                <w:b/>
                <w:color w:val="FFFFFF"/>
                <w:lang w:val="en" w:eastAsia="en-AU"/>
              </w:rPr>
            </w:pPr>
          </w:p>
        </w:tc>
        <w:tc>
          <w:tcPr>
            <w:tcW w:w="3641" w:type="dxa"/>
            <w:tcBorders>
              <w:top w:val="single" w:sz="4" w:space="0" w:color="auto"/>
              <w:left w:val="single" w:sz="4" w:space="0" w:color="auto"/>
              <w:bottom w:val="single" w:sz="4" w:space="0" w:color="auto"/>
              <w:right w:val="single" w:sz="4" w:space="0" w:color="auto"/>
            </w:tcBorders>
            <w:shd w:val="clear" w:color="auto" w:fill="0070C0"/>
          </w:tcPr>
          <w:p w14:paraId="6B332FD5" w14:textId="77777777" w:rsidR="001F0580" w:rsidRPr="000F3DB6" w:rsidRDefault="001F0580" w:rsidP="00D54AA0">
            <w:pPr>
              <w:rPr>
                <w:rFonts w:ascii="Calibri" w:eastAsia="Calibri" w:hAnsi="Calibri" w:cs="Times New Roman"/>
                <w:b/>
                <w:color w:val="FFFFFF"/>
                <w:lang w:val="en" w:eastAsia="en-AU"/>
              </w:rPr>
            </w:pPr>
            <w:r w:rsidRPr="000F3DB6">
              <w:rPr>
                <w:rFonts w:ascii="Calibri" w:eastAsia="Calibri" w:hAnsi="Calibri" w:cs="Times New Roman"/>
                <w:b/>
                <w:color w:val="FFFFFF"/>
                <w:lang w:val="en" w:eastAsia="en-AU"/>
              </w:rPr>
              <w:t>Current</w:t>
            </w:r>
          </w:p>
        </w:tc>
        <w:tc>
          <w:tcPr>
            <w:tcW w:w="3730" w:type="dxa"/>
            <w:tcBorders>
              <w:top w:val="single" w:sz="4" w:space="0" w:color="auto"/>
              <w:left w:val="single" w:sz="4" w:space="0" w:color="auto"/>
              <w:bottom w:val="single" w:sz="4" w:space="0" w:color="auto"/>
              <w:right w:val="single" w:sz="4" w:space="0" w:color="auto"/>
            </w:tcBorders>
            <w:shd w:val="clear" w:color="auto" w:fill="0070C0"/>
          </w:tcPr>
          <w:p w14:paraId="25BF0195" w14:textId="77777777" w:rsidR="001F0580" w:rsidRPr="000F3DB6" w:rsidRDefault="001F0580" w:rsidP="00D54AA0">
            <w:pPr>
              <w:rPr>
                <w:rFonts w:ascii="Calibri" w:eastAsia="Calibri" w:hAnsi="Calibri" w:cs="Times New Roman"/>
                <w:b/>
                <w:color w:val="FFFFFF"/>
                <w:lang w:val="en" w:eastAsia="en-AU"/>
              </w:rPr>
            </w:pPr>
            <w:r w:rsidRPr="000F3DB6">
              <w:rPr>
                <w:rFonts w:ascii="Calibri" w:eastAsia="Calibri" w:hAnsi="Calibri" w:cs="Times New Roman"/>
                <w:b/>
                <w:color w:val="FFFFFF"/>
                <w:lang w:val="en" w:eastAsia="en-AU"/>
              </w:rPr>
              <w:t>Prior</w:t>
            </w:r>
          </w:p>
        </w:tc>
      </w:tr>
      <w:tr w:rsidR="001F0580" w:rsidRPr="000F3DB6" w14:paraId="669D96DB" w14:textId="77777777" w:rsidTr="00930407">
        <w:trPr>
          <w:trHeight w:val="520"/>
        </w:trPr>
        <w:tc>
          <w:tcPr>
            <w:tcW w:w="4539" w:type="dxa"/>
            <w:tcBorders>
              <w:top w:val="single" w:sz="4" w:space="0" w:color="auto"/>
              <w:left w:val="single" w:sz="4" w:space="0" w:color="auto"/>
              <w:bottom w:val="single" w:sz="4" w:space="0" w:color="auto"/>
              <w:right w:val="single" w:sz="4" w:space="0" w:color="auto"/>
            </w:tcBorders>
          </w:tcPr>
          <w:p w14:paraId="0CCE8E84" w14:textId="65AA5007" w:rsidR="001F0580" w:rsidRPr="000F3DB6" w:rsidRDefault="001F0580" w:rsidP="00D54AA0">
            <w:pPr>
              <w:rPr>
                <w:rFonts w:ascii="Calibri" w:eastAsia="Calibri" w:hAnsi="Calibri" w:cs="Times New Roman"/>
                <w:lang w:val="en" w:eastAsia="en-AU"/>
              </w:rPr>
            </w:pPr>
            <w:r w:rsidRPr="000F3DB6">
              <w:rPr>
                <w:rFonts w:ascii="Calibri" w:eastAsia="Calibri" w:hAnsi="Calibri" w:cs="Times New Roman"/>
                <w:lang w:val="en" w:eastAsia="en-AU"/>
              </w:rPr>
              <w:t>Core Capital</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0D603DF6" w14:textId="77777777" w:rsidR="001F0580" w:rsidRPr="000F3DB6" w:rsidRDefault="001F0580" w:rsidP="00D54AA0">
            <w:pPr>
              <w:rPr>
                <w:rFonts w:ascii="Calibri" w:eastAsia="Calibri" w:hAnsi="Calibri" w:cs="Times New Roman"/>
                <w:lang w:val="en" w:eastAsia="en-AU"/>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4035AF94" w14:textId="7877D57E" w:rsidR="001F0580" w:rsidRPr="000F3DB6" w:rsidRDefault="001F0580" w:rsidP="00D54AA0">
            <w:pPr>
              <w:rPr>
                <w:rFonts w:ascii="Calibri" w:eastAsia="Calibri" w:hAnsi="Calibri" w:cs="Times New Roman"/>
                <w:lang w:val="en" w:eastAsia="en-AU"/>
              </w:rPr>
            </w:pPr>
          </w:p>
        </w:tc>
      </w:tr>
      <w:tr w:rsidR="001F0580" w:rsidRPr="000F3DB6" w14:paraId="0B4E89AA" w14:textId="77777777" w:rsidTr="00930407">
        <w:trPr>
          <w:trHeight w:val="570"/>
        </w:trPr>
        <w:tc>
          <w:tcPr>
            <w:tcW w:w="4539" w:type="dxa"/>
            <w:tcBorders>
              <w:top w:val="single" w:sz="4" w:space="0" w:color="auto"/>
              <w:left w:val="single" w:sz="4" w:space="0" w:color="auto"/>
              <w:bottom w:val="single" w:sz="4" w:space="0" w:color="auto"/>
              <w:right w:val="single" w:sz="4" w:space="0" w:color="auto"/>
            </w:tcBorders>
          </w:tcPr>
          <w:p w14:paraId="46B14472" w14:textId="77777777" w:rsidR="001F0580" w:rsidRPr="000F3DB6" w:rsidRDefault="001F0580" w:rsidP="00D54AA0">
            <w:pPr>
              <w:rPr>
                <w:rFonts w:ascii="Calibri" w:eastAsia="Calibri" w:hAnsi="Calibri" w:cs="Times New Roman"/>
                <w:lang w:val="en" w:eastAsia="en-AU"/>
              </w:rPr>
            </w:pPr>
            <w:r w:rsidRPr="000F3DB6">
              <w:rPr>
                <w:rFonts w:ascii="Calibri" w:eastAsia="Calibri" w:hAnsi="Calibri" w:cs="Times New Roman"/>
                <w:lang w:val="en" w:eastAsia="en-AU"/>
              </w:rPr>
              <w:lastRenderedPageBreak/>
              <w:t>Cumulative Preference Shares</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2DA9D3CB" w14:textId="77777777" w:rsidR="001F0580" w:rsidRPr="000F3DB6" w:rsidRDefault="001F0580" w:rsidP="00D54AA0">
            <w:pPr>
              <w:rPr>
                <w:rFonts w:ascii="Calibri" w:eastAsia="Calibri" w:hAnsi="Calibri" w:cs="Times New Roman"/>
                <w:lang w:val="en" w:eastAsia="en-AU"/>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672ED92D" w14:textId="0622E2DC" w:rsidR="001F0580" w:rsidRPr="000F3DB6" w:rsidRDefault="001F0580" w:rsidP="00D54AA0">
            <w:pPr>
              <w:rPr>
                <w:rFonts w:ascii="Calibri" w:eastAsia="Calibri" w:hAnsi="Calibri" w:cs="Times New Roman"/>
                <w:lang w:val="en" w:eastAsia="en-AU"/>
              </w:rPr>
            </w:pPr>
          </w:p>
        </w:tc>
      </w:tr>
      <w:tr w:rsidR="001F0580" w:rsidRPr="000F3DB6" w14:paraId="4B919AF7" w14:textId="77777777" w:rsidTr="00930407">
        <w:trPr>
          <w:trHeight w:val="550"/>
        </w:trPr>
        <w:tc>
          <w:tcPr>
            <w:tcW w:w="4539" w:type="dxa"/>
            <w:tcBorders>
              <w:top w:val="single" w:sz="4" w:space="0" w:color="auto"/>
              <w:left w:val="single" w:sz="4" w:space="0" w:color="auto"/>
              <w:bottom w:val="single" w:sz="4" w:space="0" w:color="auto"/>
              <w:right w:val="single" w:sz="4" w:space="0" w:color="auto"/>
            </w:tcBorders>
          </w:tcPr>
          <w:p w14:paraId="5F03EAF7" w14:textId="77777777" w:rsidR="001F0580" w:rsidRPr="000F3DB6" w:rsidRDefault="001F0580" w:rsidP="00D54AA0">
            <w:pPr>
              <w:rPr>
                <w:rFonts w:ascii="Calibri" w:eastAsia="Calibri" w:hAnsi="Calibri" w:cs="Times New Roman"/>
                <w:lang w:val="en" w:eastAsia="en-AU"/>
              </w:rPr>
            </w:pPr>
            <w:r w:rsidRPr="000F3DB6">
              <w:rPr>
                <w:rFonts w:ascii="Calibri" w:eastAsia="Calibri" w:hAnsi="Calibri" w:cs="Times New Roman"/>
                <w:lang w:val="en" w:eastAsia="en-AU"/>
              </w:rPr>
              <w:t>Approved Subordinated Debt</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77D9EA96" w14:textId="55986775" w:rsidR="001F0580" w:rsidRPr="000F3DB6" w:rsidRDefault="001F0580" w:rsidP="00D54AA0">
            <w:pPr>
              <w:rPr>
                <w:rFonts w:ascii="Calibri" w:eastAsia="Calibri" w:hAnsi="Calibri" w:cs="Times New Roman"/>
                <w:b/>
                <w:bCs/>
                <w:i/>
                <w:iCs/>
                <w:color w:val="8064A2"/>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7E09731A" w14:textId="5417E1F9" w:rsidR="001F0580" w:rsidRPr="000F3DB6" w:rsidRDefault="001F0580" w:rsidP="00D54AA0">
            <w:pPr>
              <w:rPr>
                <w:rFonts w:ascii="Calibri" w:eastAsia="Calibri" w:hAnsi="Calibri" w:cs="Times New Roman"/>
                <w:lang w:val="en" w:eastAsia="en-AU"/>
              </w:rPr>
            </w:pPr>
          </w:p>
        </w:tc>
      </w:tr>
      <w:tr w:rsidR="001F0580" w:rsidRPr="000F3DB6" w14:paraId="1531DC23" w14:textId="77777777" w:rsidTr="00930407">
        <w:trPr>
          <w:trHeight w:val="700"/>
        </w:trPr>
        <w:tc>
          <w:tcPr>
            <w:tcW w:w="4539" w:type="dxa"/>
            <w:tcBorders>
              <w:top w:val="single" w:sz="4" w:space="0" w:color="auto"/>
              <w:left w:val="single" w:sz="4" w:space="0" w:color="auto"/>
              <w:bottom w:val="single" w:sz="4" w:space="0" w:color="auto"/>
              <w:right w:val="single" w:sz="4" w:space="0" w:color="auto"/>
            </w:tcBorders>
          </w:tcPr>
          <w:p w14:paraId="2BF2CC93" w14:textId="33C4C0EB" w:rsidR="001F0580" w:rsidRPr="000F3DB6" w:rsidRDefault="001F0580" w:rsidP="00D54AA0">
            <w:pPr>
              <w:rPr>
                <w:rFonts w:ascii="Calibri" w:eastAsia="Calibri" w:hAnsi="Calibri" w:cs="Times New Roman"/>
                <w:lang w:val="en" w:eastAsia="en-AU"/>
              </w:rPr>
            </w:pPr>
            <w:r w:rsidRPr="000F3DB6">
              <w:rPr>
                <w:rFonts w:ascii="Calibri" w:eastAsia="Calibri" w:hAnsi="Calibri" w:cs="Times New Roman"/>
                <w:lang w:val="en" w:eastAsia="en-AU"/>
              </w:rPr>
              <w:t xml:space="preserve">Revaluation </w:t>
            </w:r>
            <w:r w:rsidR="00A21922">
              <w:rPr>
                <w:rFonts w:ascii="Calibri" w:eastAsia="Calibri" w:hAnsi="Calibri" w:cs="Times New Roman"/>
                <w:lang w:val="en" w:eastAsia="en-AU"/>
              </w:rPr>
              <w:t>r</w:t>
            </w:r>
            <w:r w:rsidRPr="000F3DB6">
              <w:rPr>
                <w:rFonts w:ascii="Calibri" w:eastAsia="Calibri" w:hAnsi="Calibri" w:cs="Times New Roman"/>
                <w:lang w:val="en" w:eastAsia="en-AU"/>
              </w:rPr>
              <w:t>eserves other than Financial Asset and Liability Revaluation Reserves</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17A5C4E2" w14:textId="5860F8DB" w:rsidR="001F0580" w:rsidRPr="000F3DB6" w:rsidRDefault="001F0580" w:rsidP="00D54AA0">
            <w:pPr>
              <w:rPr>
                <w:rFonts w:ascii="Calibri" w:eastAsia="Calibri" w:hAnsi="Calibri" w:cs="Times New Roman"/>
                <w:lang w:val="en" w:eastAsia="en-AU"/>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4D7ED157" w14:textId="785A4272" w:rsidR="001F0580" w:rsidRPr="000F3DB6" w:rsidRDefault="001F0580" w:rsidP="00D54AA0">
            <w:pPr>
              <w:rPr>
                <w:rFonts w:ascii="Calibri" w:eastAsia="Calibri" w:hAnsi="Calibri" w:cs="Times New Roman"/>
                <w:lang w:val="en" w:eastAsia="en-AU"/>
              </w:rPr>
            </w:pPr>
          </w:p>
        </w:tc>
      </w:tr>
      <w:tr w:rsidR="001F0580" w:rsidRPr="000F3DB6" w14:paraId="7A209754" w14:textId="77777777" w:rsidTr="00D54AA0">
        <w:trPr>
          <w:trHeight w:val="239"/>
        </w:trPr>
        <w:tc>
          <w:tcPr>
            <w:tcW w:w="11910" w:type="dxa"/>
            <w:gridSpan w:val="3"/>
            <w:tcBorders>
              <w:top w:val="single" w:sz="4" w:space="0" w:color="auto"/>
              <w:left w:val="single" w:sz="4" w:space="0" w:color="auto"/>
              <w:bottom w:val="single" w:sz="4" w:space="0" w:color="auto"/>
              <w:right w:val="single" w:sz="4" w:space="0" w:color="auto"/>
            </w:tcBorders>
          </w:tcPr>
          <w:p w14:paraId="53763D75" w14:textId="3331332B" w:rsidR="001F0580" w:rsidRPr="00930407" w:rsidRDefault="001F0580" w:rsidP="00D54AA0">
            <w:pPr>
              <w:rPr>
                <w:rFonts w:ascii="Calibri" w:eastAsia="Calibri" w:hAnsi="Calibri" w:cs="Times New Roman"/>
                <w:i/>
                <w:lang w:val="en" w:eastAsia="en-AU"/>
              </w:rPr>
            </w:pPr>
            <w:r w:rsidRPr="000F3DB6">
              <w:rPr>
                <w:rFonts w:ascii="Calibri" w:eastAsia="Calibri" w:hAnsi="Calibri" w:cs="Times New Roman"/>
                <w:i/>
                <w:lang w:val="en" w:eastAsia="en-AU"/>
              </w:rPr>
              <w:t>Less Excluded Assets</w:t>
            </w:r>
          </w:p>
        </w:tc>
      </w:tr>
      <w:tr w:rsidR="001F0580" w:rsidRPr="000F3DB6" w14:paraId="282406E9" w14:textId="77777777" w:rsidTr="00930407">
        <w:trPr>
          <w:trHeight w:val="226"/>
        </w:trPr>
        <w:tc>
          <w:tcPr>
            <w:tcW w:w="4539" w:type="dxa"/>
            <w:tcBorders>
              <w:top w:val="single" w:sz="4" w:space="0" w:color="auto"/>
              <w:left w:val="single" w:sz="4" w:space="0" w:color="auto"/>
              <w:bottom w:val="single" w:sz="4" w:space="0" w:color="auto"/>
              <w:right w:val="single" w:sz="4" w:space="0" w:color="auto"/>
            </w:tcBorders>
          </w:tcPr>
          <w:p w14:paraId="4F5A6BF3" w14:textId="424978F3" w:rsidR="001F0580" w:rsidRPr="000F3DB6" w:rsidRDefault="001F0580" w:rsidP="00D54AA0">
            <w:pPr>
              <w:rPr>
                <w:rFonts w:ascii="Calibri" w:eastAsia="Calibri" w:hAnsi="Calibri" w:cs="Times New Roman"/>
                <w:lang w:val="en" w:eastAsia="en-AU"/>
              </w:rPr>
            </w:pPr>
            <w:r w:rsidRPr="000F3DB6">
              <w:rPr>
                <w:rFonts w:ascii="Calibri" w:eastAsia="Calibri" w:hAnsi="Calibri" w:cs="Times New Roman"/>
                <w:lang w:val="en" w:eastAsia="en-AU"/>
              </w:rPr>
              <w:t xml:space="preserve">Property, </w:t>
            </w:r>
            <w:r w:rsidR="00A21922">
              <w:rPr>
                <w:rFonts w:ascii="Calibri" w:eastAsia="Calibri" w:hAnsi="Calibri" w:cs="Times New Roman"/>
                <w:lang w:val="en" w:eastAsia="en-AU"/>
              </w:rPr>
              <w:t>p</w:t>
            </w:r>
            <w:r w:rsidRPr="000F3DB6">
              <w:rPr>
                <w:rFonts w:ascii="Calibri" w:eastAsia="Calibri" w:hAnsi="Calibri" w:cs="Times New Roman"/>
                <w:lang w:val="en" w:eastAsia="en-AU"/>
              </w:rPr>
              <w:t xml:space="preserve">lant and </w:t>
            </w:r>
            <w:r w:rsidR="00A21922">
              <w:rPr>
                <w:rFonts w:ascii="Calibri" w:eastAsia="Calibri" w:hAnsi="Calibri" w:cs="Times New Roman"/>
                <w:lang w:val="en" w:eastAsia="en-AU"/>
              </w:rPr>
              <w:t>e</w:t>
            </w:r>
            <w:r w:rsidRPr="000F3DB6">
              <w:rPr>
                <w:rFonts w:ascii="Calibri" w:eastAsia="Calibri" w:hAnsi="Calibri" w:cs="Times New Roman"/>
                <w:lang w:val="en" w:eastAsia="en-AU"/>
              </w:rPr>
              <w:t>quipment</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2EEC9481" w14:textId="551E9E9A" w:rsidR="001F0580" w:rsidRPr="000F3DB6" w:rsidRDefault="001F0580" w:rsidP="00D54AA0">
            <w:pPr>
              <w:rPr>
                <w:rFonts w:ascii="Calibri" w:eastAsia="Calibri" w:hAnsi="Calibri" w:cs="Times New Roman"/>
                <w:b/>
                <w:bCs/>
                <w:i/>
                <w:iCs/>
                <w:color w:val="8064A2"/>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4509E85D" w14:textId="747AEE1C" w:rsidR="001F0580" w:rsidRPr="000F3DB6" w:rsidRDefault="001F0580" w:rsidP="00D54AA0">
            <w:pPr>
              <w:rPr>
                <w:rFonts w:ascii="Calibri" w:eastAsia="Calibri" w:hAnsi="Calibri" w:cs="Times New Roman"/>
                <w:lang w:val="en" w:eastAsia="en-AU"/>
              </w:rPr>
            </w:pPr>
          </w:p>
        </w:tc>
      </w:tr>
      <w:tr w:rsidR="001F0580" w:rsidRPr="000F3DB6" w14:paraId="4D336AC8" w14:textId="77777777" w:rsidTr="00930407">
        <w:trPr>
          <w:trHeight w:val="239"/>
        </w:trPr>
        <w:tc>
          <w:tcPr>
            <w:tcW w:w="4539" w:type="dxa"/>
            <w:tcBorders>
              <w:top w:val="single" w:sz="4" w:space="0" w:color="auto"/>
              <w:left w:val="single" w:sz="4" w:space="0" w:color="auto"/>
              <w:bottom w:val="single" w:sz="4" w:space="0" w:color="auto"/>
              <w:right w:val="single" w:sz="4" w:space="0" w:color="auto"/>
            </w:tcBorders>
          </w:tcPr>
          <w:p w14:paraId="0929EB4B" w14:textId="17B1D394" w:rsidR="001F0580" w:rsidRPr="000F3DB6" w:rsidRDefault="001F0580" w:rsidP="00D54AA0">
            <w:pPr>
              <w:rPr>
                <w:rFonts w:ascii="Calibri" w:eastAsia="Calibri" w:hAnsi="Calibri" w:cs="Times New Roman"/>
                <w:lang w:val="en" w:eastAsia="en-AU"/>
              </w:rPr>
            </w:pPr>
            <w:r w:rsidRPr="000F3DB6">
              <w:rPr>
                <w:rFonts w:ascii="Calibri" w:eastAsia="Calibri" w:hAnsi="Calibri" w:cs="Times New Roman"/>
                <w:lang w:val="en" w:eastAsia="en-AU"/>
              </w:rPr>
              <w:t xml:space="preserve">Intangible </w:t>
            </w:r>
            <w:r w:rsidR="00A21922">
              <w:rPr>
                <w:rFonts w:ascii="Calibri" w:eastAsia="Calibri" w:hAnsi="Calibri" w:cs="Times New Roman"/>
                <w:lang w:val="en" w:eastAsia="en-AU"/>
              </w:rPr>
              <w:t>a</w:t>
            </w:r>
            <w:r w:rsidRPr="000F3DB6">
              <w:rPr>
                <w:rFonts w:ascii="Calibri" w:eastAsia="Calibri" w:hAnsi="Calibri" w:cs="Times New Roman"/>
                <w:lang w:val="en" w:eastAsia="en-AU"/>
              </w:rPr>
              <w:t>ssets</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3905C48F" w14:textId="77777777" w:rsidR="001F0580" w:rsidRPr="000F3DB6" w:rsidRDefault="001F0580" w:rsidP="00D54AA0">
            <w:pPr>
              <w:rPr>
                <w:rFonts w:ascii="Calibri" w:eastAsia="Calibri" w:hAnsi="Calibri" w:cs="Times New Roman"/>
                <w:lang w:val="en" w:eastAsia="en-AU"/>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2D526683" w14:textId="12B74B19" w:rsidR="001F0580" w:rsidRPr="000F3DB6" w:rsidRDefault="001F0580" w:rsidP="00D54AA0">
            <w:pPr>
              <w:rPr>
                <w:rFonts w:ascii="Calibri" w:eastAsia="Calibri" w:hAnsi="Calibri" w:cs="Times New Roman"/>
                <w:lang w:val="en" w:eastAsia="en-AU"/>
              </w:rPr>
            </w:pPr>
          </w:p>
        </w:tc>
      </w:tr>
      <w:tr w:rsidR="001F0580" w:rsidRPr="000F3DB6" w14:paraId="01ABBBFD" w14:textId="77777777" w:rsidTr="00930407">
        <w:trPr>
          <w:trHeight w:val="226"/>
        </w:trPr>
        <w:tc>
          <w:tcPr>
            <w:tcW w:w="4539" w:type="dxa"/>
            <w:tcBorders>
              <w:top w:val="single" w:sz="4" w:space="0" w:color="auto"/>
              <w:left w:val="single" w:sz="4" w:space="0" w:color="auto"/>
              <w:bottom w:val="single" w:sz="4" w:space="0" w:color="auto"/>
              <w:right w:val="single" w:sz="4" w:space="0" w:color="auto"/>
            </w:tcBorders>
          </w:tcPr>
          <w:p w14:paraId="48946787" w14:textId="75035EE4" w:rsidR="001F0580" w:rsidRPr="000F3DB6" w:rsidRDefault="001F0580" w:rsidP="00D54AA0">
            <w:pPr>
              <w:rPr>
                <w:rFonts w:ascii="Calibri" w:eastAsia="Calibri" w:hAnsi="Calibri" w:cs="Times New Roman"/>
                <w:lang w:val="en" w:eastAsia="en-AU"/>
              </w:rPr>
            </w:pPr>
            <w:r w:rsidRPr="000F3DB6">
              <w:rPr>
                <w:rFonts w:ascii="Calibri" w:eastAsia="Calibri" w:hAnsi="Calibri" w:cs="Times New Roman"/>
                <w:lang w:val="en" w:eastAsia="en-AU"/>
              </w:rPr>
              <w:t xml:space="preserve">Deferred </w:t>
            </w:r>
            <w:r w:rsidR="00A21922">
              <w:rPr>
                <w:rFonts w:ascii="Calibri" w:eastAsia="Calibri" w:hAnsi="Calibri" w:cs="Times New Roman"/>
                <w:lang w:val="en" w:eastAsia="en-AU"/>
              </w:rPr>
              <w:t>t</w:t>
            </w:r>
            <w:r w:rsidRPr="000F3DB6">
              <w:rPr>
                <w:rFonts w:ascii="Calibri" w:eastAsia="Calibri" w:hAnsi="Calibri" w:cs="Times New Roman"/>
                <w:lang w:val="en" w:eastAsia="en-AU"/>
              </w:rPr>
              <w:t xml:space="preserve">ax </w:t>
            </w:r>
            <w:r w:rsidR="00A21922">
              <w:rPr>
                <w:rFonts w:ascii="Calibri" w:eastAsia="Calibri" w:hAnsi="Calibri" w:cs="Times New Roman"/>
                <w:lang w:val="en" w:eastAsia="en-AU"/>
              </w:rPr>
              <w:t>a</w:t>
            </w:r>
            <w:r w:rsidRPr="000F3DB6">
              <w:rPr>
                <w:rFonts w:ascii="Calibri" w:eastAsia="Calibri" w:hAnsi="Calibri" w:cs="Times New Roman"/>
                <w:lang w:val="en" w:eastAsia="en-AU"/>
              </w:rPr>
              <w:t>ssets</w:t>
            </w:r>
            <w:r w:rsidRPr="000F3DB6">
              <w:rPr>
                <w:rFonts w:ascii="Calibri" w:eastAsia="Calibri" w:hAnsi="Calibri" w:cs="Times New Roman"/>
                <w:vertAlign w:val="superscript"/>
                <w:lang w:val="en" w:eastAsia="en-AU"/>
              </w:rPr>
              <w:t>1</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017AAD97" w14:textId="77777777" w:rsidR="001F0580" w:rsidRPr="000F3DB6" w:rsidRDefault="001F0580" w:rsidP="00D54AA0">
            <w:pPr>
              <w:rPr>
                <w:rFonts w:ascii="Calibri" w:eastAsia="Calibri" w:hAnsi="Calibri" w:cs="Times New Roman"/>
                <w:lang w:val="en" w:eastAsia="en-AU"/>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5A62217E" w14:textId="7FE3D0F0" w:rsidR="001F0580" w:rsidRPr="000F3DB6" w:rsidRDefault="001F0580" w:rsidP="00D54AA0">
            <w:pPr>
              <w:rPr>
                <w:rFonts w:ascii="Calibri" w:eastAsia="Calibri" w:hAnsi="Calibri" w:cs="Times New Roman"/>
                <w:lang w:val="en" w:eastAsia="en-AU"/>
              </w:rPr>
            </w:pPr>
          </w:p>
        </w:tc>
      </w:tr>
      <w:tr w:rsidR="001F0580" w:rsidRPr="000F3DB6" w14:paraId="228948BD" w14:textId="77777777" w:rsidTr="00930407">
        <w:trPr>
          <w:trHeight w:val="670"/>
        </w:trPr>
        <w:tc>
          <w:tcPr>
            <w:tcW w:w="4539" w:type="dxa"/>
            <w:tcBorders>
              <w:top w:val="single" w:sz="4" w:space="0" w:color="auto"/>
              <w:left w:val="single" w:sz="4" w:space="0" w:color="auto"/>
              <w:bottom w:val="single" w:sz="4" w:space="0" w:color="auto"/>
              <w:right w:val="single" w:sz="4" w:space="0" w:color="auto"/>
            </w:tcBorders>
          </w:tcPr>
          <w:p w14:paraId="1F2FD271" w14:textId="77392D45" w:rsidR="001F0580" w:rsidRPr="000F3DB6" w:rsidRDefault="001F0580" w:rsidP="00D54AA0">
            <w:pPr>
              <w:rPr>
                <w:rFonts w:ascii="Calibri" w:eastAsia="Calibri" w:hAnsi="Calibri" w:cs="Times New Roman"/>
                <w:lang w:val="en" w:eastAsia="en-AU"/>
              </w:rPr>
            </w:pPr>
            <w:r w:rsidRPr="000F3DB6">
              <w:rPr>
                <w:rFonts w:ascii="Calibri" w:eastAsia="Calibri" w:hAnsi="Calibri" w:cs="Times New Roman"/>
                <w:lang w:val="en" w:eastAsia="en-AU"/>
              </w:rPr>
              <w:t xml:space="preserve">Other </w:t>
            </w:r>
            <w:r w:rsidR="00A21922">
              <w:rPr>
                <w:rFonts w:ascii="Calibri" w:eastAsia="Calibri" w:hAnsi="Calibri" w:cs="Times New Roman"/>
                <w:lang w:val="en" w:eastAsia="en-AU"/>
              </w:rPr>
              <w:t>n</w:t>
            </w:r>
            <w:r w:rsidRPr="000F3DB6">
              <w:rPr>
                <w:rFonts w:ascii="Calibri" w:eastAsia="Calibri" w:hAnsi="Calibri" w:cs="Times New Roman"/>
                <w:lang w:val="en" w:eastAsia="en-AU"/>
              </w:rPr>
              <w:t>on</w:t>
            </w:r>
            <w:r>
              <w:rPr>
                <w:rFonts w:ascii="Calibri" w:eastAsia="Calibri" w:hAnsi="Calibri" w:cs="Times New Roman"/>
                <w:lang w:val="en" w:eastAsia="en-AU"/>
              </w:rPr>
              <w:t>-c</w:t>
            </w:r>
            <w:r w:rsidRPr="000F3DB6">
              <w:rPr>
                <w:rFonts w:ascii="Calibri" w:eastAsia="Calibri" w:hAnsi="Calibri" w:cs="Times New Roman"/>
                <w:lang w:val="en" w:eastAsia="en-AU"/>
              </w:rPr>
              <w:t xml:space="preserve">urrent </w:t>
            </w:r>
            <w:r w:rsidR="00A21922">
              <w:rPr>
                <w:rFonts w:ascii="Calibri" w:eastAsia="Calibri" w:hAnsi="Calibri" w:cs="Times New Roman"/>
                <w:lang w:val="en" w:eastAsia="en-AU"/>
              </w:rPr>
              <w:t>a</w:t>
            </w:r>
            <w:r w:rsidRPr="000F3DB6">
              <w:rPr>
                <w:rFonts w:ascii="Calibri" w:eastAsia="Calibri" w:hAnsi="Calibri" w:cs="Times New Roman"/>
                <w:lang w:val="en" w:eastAsia="en-AU"/>
              </w:rPr>
              <w:t>ssets</w:t>
            </w:r>
            <w:r w:rsidRPr="000F3DB6">
              <w:rPr>
                <w:rFonts w:ascii="Calibri" w:eastAsia="Calibri" w:hAnsi="Calibri" w:cs="Times New Roman"/>
                <w:vertAlign w:val="superscript"/>
                <w:lang w:val="en" w:eastAsia="en-AU"/>
              </w:rPr>
              <w:t>2</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4B2AA108" w14:textId="77777777" w:rsidR="001F0580" w:rsidRPr="000F3DB6" w:rsidRDefault="001F0580" w:rsidP="00D54AA0">
            <w:pPr>
              <w:rPr>
                <w:rFonts w:ascii="Calibri" w:eastAsia="Calibri" w:hAnsi="Calibri" w:cs="Times New Roman"/>
                <w:lang w:val="en" w:eastAsia="en-AU"/>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3D709177" w14:textId="3CBC6EC5" w:rsidR="001F0580" w:rsidRPr="000F3DB6" w:rsidRDefault="001F0580" w:rsidP="00D54AA0">
            <w:pPr>
              <w:rPr>
                <w:rFonts w:ascii="Calibri" w:eastAsia="Calibri" w:hAnsi="Calibri" w:cs="Times New Roman"/>
                <w:lang w:val="en" w:eastAsia="en-AU"/>
              </w:rPr>
            </w:pPr>
          </w:p>
        </w:tc>
      </w:tr>
      <w:tr w:rsidR="001F0580" w:rsidRPr="000F3DB6" w14:paraId="487BFE27" w14:textId="77777777" w:rsidTr="00930407">
        <w:trPr>
          <w:trHeight w:val="239"/>
        </w:trPr>
        <w:tc>
          <w:tcPr>
            <w:tcW w:w="4539" w:type="dxa"/>
            <w:tcBorders>
              <w:top w:val="single" w:sz="4" w:space="0" w:color="auto"/>
              <w:left w:val="single" w:sz="4" w:space="0" w:color="auto"/>
              <w:bottom w:val="single" w:sz="4" w:space="0" w:color="auto"/>
              <w:right w:val="single" w:sz="4" w:space="0" w:color="auto"/>
            </w:tcBorders>
          </w:tcPr>
          <w:p w14:paraId="07B85195" w14:textId="77777777" w:rsidR="001F0580" w:rsidRPr="000F3DB6" w:rsidRDefault="001F0580" w:rsidP="00D54AA0">
            <w:pPr>
              <w:rPr>
                <w:rFonts w:ascii="Calibri" w:eastAsia="Calibri" w:hAnsi="Calibri" w:cs="Times New Roman"/>
                <w:lang w:val="en" w:eastAsia="en-AU"/>
              </w:rPr>
            </w:pPr>
            <w:r w:rsidRPr="000F3DB6">
              <w:rPr>
                <w:rFonts w:ascii="Calibri" w:eastAsia="Calibri" w:hAnsi="Calibri" w:cs="Times New Roman"/>
                <w:lang w:val="en" w:eastAsia="en-AU"/>
              </w:rPr>
              <w:t>Unsecured deposits/loans with non ADTI</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23AAAA32" w14:textId="77777777" w:rsidR="001F0580" w:rsidRPr="000F3DB6" w:rsidRDefault="001F0580" w:rsidP="00D54AA0">
            <w:pPr>
              <w:rPr>
                <w:rFonts w:ascii="Calibri" w:eastAsia="Calibri" w:hAnsi="Calibri" w:cs="Times New Roman"/>
                <w:b/>
                <w:bCs/>
                <w:i/>
                <w:iCs/>
                <w:color w:val="8064A2"/>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654FFBCE" w14:textId="037825A3" w:rsidR="001F0580" w:rsidRPr="000F3DB6" w:rsidRDefault="001F0580" w:rsidP="00D54AA0">
            <w:pPr>
              <w:rPr>
                <w:rFonts w:ascii="Calibri" w:eastAsia="Calibri" w:hAnsi="Calibri" w:cs="Times New Roman"/>
                <w:lang w:val="en" w:eastAsia="en-AU"/>
              </w:rPr>
            </w:pPr>
          </w:p>
        </w:tc>
      </w:tr>
      <w:tr w:rsidR="001F0580" w:rsidRPr="000F3DB6" w14:paraId="615E466C" w14:textId="77777777" w:rsidTr="00930407">
        <w:trPr>
          <w:trHeight w:val="558"/>
        </w:trPr>
        <w:tc>
          <w:tcPr>
            <w:tcW w:w="4539" w:type="dxa"/>
            <w:tcBorders>
              <w:top w:val="single" w:sz="4" w:space="0" w:color="auto"/>
              <w:left w:val="single" w:sz="4" w:space="0" w:color="auto"/>
              <w:bottom w:val="single" w:sz="4" w:space="0" w:color="auto"/>
              <w:right w:val="single" w:sz="4" w:space="0" w:color="auto"/>
            </w:tcBorders>
          </w:tcPr>
          <w:p w14:paraId="2EBF43E8" w14:textId="0E30A5D1" w:rsidR="001F0580" w:rsidRPr="000F3DB6" w:rsidRDefault="001F0580" w:rsidP="00D54AA0">
            <w:pPr>
              <w:rPr>
                <w:rFonts w:ascii="Calibri" w:eastAsia="Calibri" w:hAnsi="Calibri" w:cs="Times New Roman"/>
                <w:lang w:val="en" w:eastAsia="en-AU"/>
              </w:rPr>
            </w:pPr>
            <w:r w:rsidRPr="000F3DB6">
              <w:rPr>
                <w:rFonts w:ascii="Calibri" w:eastAsia="Calibri" w:hAnsi="Calibri" w:cs="Times New Roman"/>
                <w:lang w:val="en" w:eastAsia="en-AU"/>
              </w:rPr>
              <w:t>Unsecured non ADTI related/associated person balances</w:t>
            </w:r>
            <w:r w:rsidRPr="000F3DB6">
              <w:rPr>
                <w:rFonts w:ascii="Calibri" w:eastAsia="Calibri" w:hAnsi="Calibri" w:cs="Times New Roman"/>
                <w:vertAlign w:val="superscript"/>
                <w:lang w:val="en" w:eastAsia="en-AU"/>
              </w:rPr>
              <w:t>3</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704F70A2" w14:textId="6AF27872" w:rsidR="001F0580" w:rsidRPr="000F3DB6" w:rsidRDefault="001F0580" w:rsidP="00D54AA0">
            <w:pPr>
              <w:rPr>
                <w:rFonts w:ascii="Calibri" w:eastAsia="Calibri" w:hAnsi="Calibri" w:cs="Times New Roman"/>
                <w:b/>
                <w:bCs/>
                <w:i/>
                <w:iCs/>
                <w:color w:val="8064A2"/>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32A0E42C" w14:textId="4E052076" w:rsidR="001F0580" w:rsidRPr="000F3DB6" w:rsidRDefault="001F0580" w:rsidP="00D54AA0">
            <w:pPr>
              <w:rPr>
                <w:rFonts w:ascii="Calibri" w:eastAsia="Calibri" w:hAnsi="Calibri" w:cs="Times New Roman"/>
                <w:lang w:val="en" w:eastAsia="en-AU"/>
              </w:rPr>
            </w:pPr>
          </w:p>
        </w:tc>
      </w:tr>
      <w:tr w:rsidR="001F0580" w:rsidRPr="000F3DB6" w14:paraId="76CC0E7C" w14:textId="77777777" w:rsidTr="00930407">
        <w:trPr>
          <w:trHeight w:val="479"/>
        </w:trPr>
        <w:tc>
          <w:tcPr>
            <w:tcW w:w="4539" w:type="dxa"/>
            <w:tcBorders>
              <w:top w:val="single" w:sz="4" w:space="0" w:color="auto"/>
              <w:left w:val="single" w:sz="4" w:space="0" w:color="auto"/>
              <w:bottom w:val="single" w:sz="4" w:space="0" w:color="auto"/>
              <w:right w:val="single" w:sz="4" w:space="0" w:color="auto"/>
            </w:tcBorders>
          </w:tcPr>
          <w:p w14:paraId="78C08049" w14:textId="5BFA7476" w:rsidR="001F0580" w:rsidRPr="000F3DB6" w:rsidRDefault="001F0580" w:rsidP="00D54AA0">
            <w:pPr>
              <w:rPr>
                <w:rFonts w:ascii="Calibri" w:eastAsia="Calibri" w:hAnsi="Calibri" w:cs="Times New Roman"/>
                <w:lang w:val="en" w:eastAsia="en-AU"/>
              </w:rPr>
            </w:pPr>
            <w:r w:rsidRPr="000F3DB6">
              <w:rPr>
                <w:rFonts w:ascii="Calibri" w:eastAsia="Calibri" w:hAnsi="Calibri" w:cs="Times New Roman"/>
                <w:lang w:val="en" w:eastAsia="en-AU"/>
              </w:rPr>
              <w:t>Other trade</w:t>
            </w:r>
            <w:r w:rsidR="00871CF6">
              <w:rPr>
                <w:rFonts w:ascii="Calibri" w:eastAsia="Calibri" w:hAnsi="Calibri" w:cs="Times New Roman"/>
                <w:lang w:val="en" w:eastAsia="en-AU"/>
              </w:rPr>
              <w:t xml:space="preserve"> receivables realisable after 31</w:t>
            </w:r>
            <w:r w:rsidRPr="000F3DB6">
              <w:rPr>
                <w:rFonts w:ascii="Calibri" w:eastAsia="Calibri" w:hAnsi="Calibri" w:cs="Times New Roman"/>
                <w:lang w:val="en" w:eastAsia="en-AU"/>
              </w:rPr>
              <w:t xml:space="preserve"> days</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6EDCF26A" w14:textId="662AC311" w:rsidR="001F0580" w:rsidRPr="000F3DB6" w:rsidRDefault="001F0580" w:rsidP="00D54AA0">
            <w:pPr>
              <w:rPr>
                <w:rFonts w:ascii="Calibri" w:eastAsia="Calibri" w:hAnsi="Calibri" w:cs="Times New Roman"/>
                <w:lang w:val="en" w:eastAsia="en-AU"/>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2D4CCFC9" w14:textId="73039E1A" w:rsidR="001F0580" w:rsidRPr="000F3DB6" w:rsidRDefault="001F0580" w:rsidP="00D54AA0">
            <w:pPr>
              <w:rPr>
                <w:rFonts w:ascii="Calibri" w:eastAsia="Calibri" w:hAnsi="Calibri" w:cs="Times New Roman"/>
                <w:lang w:val="en" w:eastAsia="en-AU"/>
              </w:rPr>
            </w:pPr>
          </w:p>
        </w:tc>
      </w:tr>
      <w:tr w:rsidR="001F0580" w:rsidRPr="000F3DB6" w14:paraId="026CAC73" w14:textId="77777777" w:rsidTr="00930407">
        <w:trPr>
          <w:trHeight w:val="226"/>
        </w:trPr>
        <w:tc>
          <w:tcPr>
            <w:tcW w:w="4539" w:type="dxa"/>
            <w:tcBorders>
              <w:top w:val="single" w:sz="4" w:space="0" w:color="auto"/>
              <w:left w:val="single" w:sz="4" w:space="0" w:color="auto"/>
              <w:bottom w:val="single" w:sz="4" w:space="0" w:color="auto"/>
              <w:right w:val="single" w:sz="4" w:space="0" w:color="auto"/>
            </w:tcBorders>
          </w:tcPr>
          <w:p w14:paraId="0D549B4B" w14:textId="7584A3E8" w:rsidR="001F0580" w:rsidRPr="000F3DB6" w:rsidRDefault="00871CF6" w:rsidP="00D54AA0">
            <w:pPr>
              <w:rPr>
                <w:rFonts w:ascii="Calibri" w:eastAsia="Calibri" w:hAnsi="Calibri" w:cs="Times New Roman"/>
                <w:lang w:val="en" w:eastAsia="en-AU"/>
              </w:rPr>
            </w:pPr>
            <w:r>
              <w:rPr>
                <w:rFonts w:ascii="Calibri" w:eastAsia="Calibri" w:hAnsi="Calibri" w:cs="Times New Roman"/>
              </w:rPr>
              <w:t>Prepayments realisable after 31</w:t>
            </w:r>
            <w:r w:rsidR="001F0580" w:rsidRPr="000F3DB6">
              <w:rPr>
                <w:rFonts w:ascii="Calibri" w:eastAsia="Calibri" w:hAnsi="Calibri" w:cs="Times New Roman"/>
              </w:rPr>
              <w:t xml:space="preserve"> days</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01D6439F" w14:textId="037B2447" w:rsidR="001F0580" w:rsidRPr="000F3DB6" w:rsidRDefault="001F0580" w:rsidP="00D54AA0">
            <w:pPr>
              <w:rPr>
                <w:rFonts w:ascii="Calibri" w:eastAsia="Calibri" w:hAnsi="Calibri" w:cs="Times New Roman"/>
                <w:lang w:val="en" w:eastAsia="en-AU"/>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13ECE728" w14:textId="118A58BE" w:rsidR="001F0580" w:rsidRPr="000F3DB6" w:rsidRDefault="001F0580" w:rsidP="00D54AA0">
            <w:pPr>
              <w:rPr>
                <w:rFonts w:ascii="Calibri" w:eastAsia="Calibri" w:hAnsi="Calibri" w:cs="Times New Roman"/>
                <w:lang w:val="en" w:eastAsia="en-AU"/>
              </w:rPr>
            </w:pPr>
          </w:p>
        </w:tc>
      </w:tr>
      <w:tr w:rsidR="001F0580" w:rsidRPr="000F3DB6" w14:paraId="0C2FE14D" w14:textId="77777777" w:rsidTr="00930407">
        <w:trPr>
          <w:trHeight w:val="632"/>
        </w:trPr>
        <w:tc>
          <w:tcPr>
            <w:tcW w:w="4539" w:type="dxa"/>
            <w:tcBorders>
              <w:top w:val="single" w:sz="4" w:space="0" w:color="auto"/>
              <w:left w:val="single" w:sz="4" w:space="0" w:color="auto"/>
              <w:bottom w:val="single" w:sz="4" w:space="0" w:color="auto"/>
              <w:right w:val="single" w:sz="4" w:space="0" w:color="auto"/>
            </w:tcBorders>
          </w:tcPr>
          <w:p w14:paraId="5B9FFB38" w14:textId="2992C4D6" w:rsidR="001F0580" w:rsidRPr="000F3DB6" w:rsidRDefault="001F0580" w:rsidP="00D54AA0">
            <w:pPr>
              <w:rPr>
                <w:rFonts w:ascii="Calibri" w:eastAsia="Calibri" w:hAnsi="Calibri" w:cs="Times New Roman"/>
              </w:rPr>
            </w:pPr>
            <w:r w:rsidRPr="000F3DB6">
              <w:rPr>
                <w:rFonts w:ascii="Calibri" w:eastAsia="Calibri" w:hAnsi="Calibri" w:cs="Times New Roman"/>
              </w:rPr>
              <w:t xml:space="preserve">Other illiquid assets </w:t>
            </w:r>
            <w:r w:rsidRPr="000F3DB6">
              <w:rPr>
                <w:rFonts w:ascii="Calibri" w:eastAsia="Calibri" w:hAnsi="Calibri" w:cs="Times New Roman"/>
                <w:vertAlign w:val="superscript"/>
              </w:rPr>
              <w:t>4</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237579D9" w14:textId="6C2377B3" w:rsidR="001F0580" w:rsidRPr="000F3DB6" w:rsidRDefault="001F0580" w:rsidP="00D54AA0">
            <w:pPr>
              <w:rPr>
                <w:rFonts w:ascii="Calibri" w:eastAsia="Calibri" w:hAnsi="Calibri" w:cs="Times New Roman"/>
                <w:lang w:val="en" w:eastAsia="en-AU"/>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6CD03FE3" w14:textId="262B7490" w:rsidR="001F0580" w:rsidRPr="000F3DB6" w:rsidRDefault="001F0580" w:rsidP="00D54AA0">
            <w:pPr>
              <w:rPr>
                <w:rFonts w:ascii="Calibri" w:eastAsia="Calibri" w:hAnsi="Calibri" w:cs="Times New Roman"/>
                <w:lang w:val="en" w:eastAsia="en-AU"/>
              </w:rPr>
            </w:pPr>
          </w:p>
        </w:tc>
      </w:tr>
      <w:tr w:rsidR="001F0580" w:rsidRPr="000F3DB6" w14:paraId="7FB75C57" w14:textId="77777777" w:rsidTr="00930407">
        <w:trPr>
          <w:trHeight w:val="239"/>
        </w:trPr>
        <w:tc>
          <w:tcPr>
            <w:tcW w:w="4539" w:type="dxa"/>
            <w:tcBorders>
              <w:top w:val="single" w:sz="4" w:space="0" w:color="auto"/>
              <w:left w:val="single" w:sz="4" w:space="0" w:color="auto"/>
              <w:bottom w:val="single" w:sz="4" w:space="0" w:color="auto"/>
              <w:right w:val="single" w:sz="4" w:space="0" w:color="auto"/>
            </w:tcBorders>
          </w:tcPr>
          <w:p w14:paraId="23E307F0" w14:textId="77777777" w:rsidR="001F0580" w:rsidRPr="000F3DB6" w:rsidRDefault="001F0580" w:rsidP="00D54AA0">
            <w:pPr>
              <w:rPr>
                <w:rFonts w:ascii="Calibri" w:eastAsia="Calibri" w:hAnsi="Calibri" w:cs="Times New Roman"/>
              </w:rPr>
            </w:pPr>
            <w:r w:rsidRPr="000F3DB6">
              <w:rPr>
                <w:rFonts w:ascii="Calibri" w:eastAsia="Calibri" w:hAnsi="Calibri" w:cs="Times New Roman"/>
              </w:rPr>
              <w:t>Other charged assets</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57B4482B" w14:textId="3FAA152B" w:rsidR="001F0580" w:rsidRPr="000F3DB6" w:rsidRDefault="001F0580" w:rsidP="00D54AA0">
            <w:pPr>
              <w:rPr>
                <w:rFonts w:ascii="Calibri" w:eastAsia="Calibri" w:hAnsi="Calibri" w:cs="Times New Roman"/>
                <w:lang w:val="en" w:eastAsia="en-AU"/>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3A418C7D" w14:textId="27B4017E" w:rsidR="001F0580" w:rsidRPr="000F3DB6" w:rsidRDefault="001F0580" w:rsidP="00D54AA0">
            <w:pPr>
              <w:rPr>
                <w:rFonts w:ascii="Calibri" w:eastAsia="Calibri" w:hAnsi="Calibri" w:cs="Times New Roman"/>
                <w:lang w:val="en" w:eastAsia="en-AU"/>
              </w:rPr>
            </w:pPr>
          </w:p>
        </w:tc>
      </w:tr>
      <w:tr w:rsidR="001F0580" w:rsidRPr="000F3DB6" w14:paraId="30A435E4" w14:textId="77777777" w:rsidTr="00930407">
        <w:trPr>
          <w:trHeight w:val="499"/>
        </w:trPr>
        <w:tc>
          <w:tcPr>
            <w:tcW w:w="4539" w:type="dxa"/>
            <w:tcBorders>
              <w:top w:val="single" w:sz="4" w:space="0" w:color="auto"/>
              <w:left w:val="single" w:sz="4" w:space="0" w:color="auto"/>
              <w:bottom w:val="single" w:sz="4" w:space="0" w:color="auto"/>
              <w:right w:val="single" w:sz="4" w:space="0" w:color="auto"/>
            </w:tcBorders>
          </w:tcPr>
          <w:p w14:paraId="385E7A01" w14:textId="77777777" w:rsidR="001F0580" w:rsidRPr="000F3DB6" w:rsidRDefault="001F0580" w:rsidP="00D54AA0">
            <w:pPr>
              <w:rPr>
                <w:rFonts w:ascii="Calibri" w:eastAsia="Calibri" w:hAnsi="Calibri" w:cs="Times New Roman"/>
              </w:rPr>
            </w:pPr>
            <w:r w:rsidRPr="000F3DB6">
              <w:rPr>
                <w:rFonts w:ascii="Calibri" w:eastAsia="Calibri" w:hAnsi="Calibri" w:cs="Times New Roman"/>
              </w:rPr>
              <w:t xml:space="preserve">Other prescribed assets </w:t>
            </w:r>
            <w:r w:rsidRPr="000F3DB6">
              <w:rPr>
                <w:rFonts w:ascii="Calibri" w:eastAsia="Calibri" w:hAnsi="Calibri" w:cs="Times New Roman"/>
                <w:vertAlign w:val="superscript"/>
              </w:rPr>
              <w:t>5</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1B7B50B5" w14:textId="0409C22D" w:rsidR="001F0580" w:rsidRPr="000F3DB6" w:rsidRDefault="001F0580" w:rsidP="00D54AA0">
            <w:pPr>
              <w:rPr>
                <w:rFonts w:ascii="Calibri" w:eastAsia="Calibri" w:hAnsi="Calibri" w:cs="Times New Roman"/>
                <w:lang w:val="en" w:eastAsia="en-AU"/>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64D3E926" w14:textId="7AFAD6A7" w:rsidR="001F0580" w:rsidRPr="000F3DB6" w:rsidRDefault="001F0580" w:rsidP="00D54AA0">
            <w:pPr>
              <w:rPr>
                <w:rFonts w:ascii="Calibri" w:eastAsia="Calibri" w:hAnsi="Calibri" w:cs="Times New Roman"/>
                <w:lang w:val="en" w:eastAsia="en-AU"/>
              </w:rPr>
            </w:pPr>
          </w:p>
        </w:tc>
      </w:tr>
      <w:tr w:rsidR="001F0580" w:rsidRPr="000F3DB6" w14:paraId="6A0483C5" w14:textId="77777777" w:rsidTr="00D54AA0">
        <w:trPr>
          <w:trHeight w:val="239"/>
        </w:trPr>
        <w:tc>
          <w:tcPr>
            <w:tcW w:w="11910" w:type="dxa"/>
            <w:gridSpan w:val="3"/>
            <w:tcBorders>
              <w:top w:val="single" w:sz="4" w:space="0" w:color="auto"/>
              <w:left w:val="single" w:sz="4" w:space="0" w:color="auto"/>
              <w:bottom w:val="single" w:sz="4" w:space="0" w:color="auto"/>
              <w:right w:val="single" w:sz="4" w:space="0" w:color="auto"/>
            </w:tcBorders>
          </w:tcPr>
          <w:p w14:paraId="26B43290" w14:textId="77777777" w:rsidR="001F0580" w:rsidRPr="000F3DB6" w:rsidRDefault="001F0580" w:rsidP="00D54AA0">
            <w:pPr>
              <w:rPr>
                <w:rFonts w:ascii="Calibri" w:eastAsia="Calibri" w:hAnsi="Calibri" w:cs="Times New Roman"/>
                <w:lang w:val="en" w:eastAsia="en-AU"/>
              </w:rPr>
            </w:pPr>
            <w:r w:rsidRPr="000F3DB6">
              <w:rPr>
                <w:rFonts w:ascii="Calibri" w:eastAsia="Calibri" w:hAnsi="Calibri" w:cs="Times New Roman"/>
                <w:i/>
              </w:rPr>
              <w:lastRenderedPageBreak/>
              <w:t>Less Excluded Liabilities</w:t>
            </w:r>
          </w:p>
        </w:tc>
      </w:tr>
      <w:tr w:rsidR="001F0580" w:rsidRPr="000F3DB6" w14:paraId="48345E8F" w14:textId="77777777" w:rsidTr="00930407">
        <w:trPr>
          <w:trHeight w:val="226"/>
        </w:trPr>
        <w:tc>
          <w:tcPr>
            <w:tcW w:w="4539" w:type="dxa"/>
            <w:tcBorders>
              <w:top w:val="single" w:sz="4" w:space="0" w:color="auto"/>
              <w:left w:val="single" w:sz="4" w:space="0" w:color="auto"/>
              <w:bottom w:val="single" w:sz="4" w:space="0" w:color="auto"/>
              <w:right w:val="single" w:sz="4" w:space="0" w:color="auto"/>
            </w:tcBorders>
          </w:tcPr>
          <w:p w14:paraId="4A400504" w14:textId="77777777" w:rsidR="001F0580" w:rsidRPr="000F3DB6" w:rsidRDefault="001F0580" w:rsidP="00D54AA0">
            <w:pPr>
              <w:rPr>
                <w:rFonts w:ascii="Calibri" w:eastAsia="Calibri" w:hAnsi="Calibri" w:cs="Times New Roman"/>
              </w:rPr>
            </w:pPr>
            <w:r w:rsidRPr="000F3DB6">
              <w:rPr>
                <w:rFonts w:ascii="Calibri" w:eastAsia="Calibri" w:hAnsi="Calibri" w:cs="Times New Roman"/>
              </w:rPr>
              <w:t>Guarantees and Indemnities</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3A327536" w14:textId="5A9B1A18" w:rsidR="001F0580" w:rsidRPr="000F3DB6" w:rsidRDefault="001F0580" w:rsidP="00D54AA0">
            <w:pPr>
              <w:rPr>
                <w:rFonts w:ascii="Calibri" w:eastAsia="Calibri" w:hAnsi="Calibri" w:cs="Times New Roman"/>
                <w:lang w:val="en" w:eastAsia="en-AU"/>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3CC7632C" w14:textId="5821799F" w:rsidR="001F0580" w:rsidRPr="000F3DB6" w:rsidRDefault="001F0580" w:rsidP="00D54AA0">
            <w:pPr>
              <w:rPr>
                <w:rFonts w:ascii="Calibri" w:eastAsia="Calibri" w:hAnsi="Calibri" w:cs="Times New Roman"/>
                <w:lang w:val="en" w:eastAsia="en-AU"/>
              </w:rPr>
            </w:pPr>
          </w:p>
        </w:tc>
      </w:tr>
      <w:tr w:rsidR="001F0580" w:rsidRPr="000F3DB6" w14:paraId="69178668" w14:textId="77777777" w:rsidTr="00930407">
        <w:trPr>
          <w:trHeight w:val="239"/>
        </w:trPr>
        <w:tc>
          <w:tcPr>
            <w:tcW w:w="4539" w:type="dxa"/>
            <w:tcBorders>
              <w:top w:val="single" w:sz="4" w:space="0" w:color="auto"/>
              <w:left w:val="single" w:sz="4" w:space="0" w:color="auto"/>
              <w:bottom w:val="single" w:sz="4" w:space="0" w:color="auto"/>
              <w:right w:val="single" w:sz="4" w:space="0" w:color="auto"/>
            </w:tcBorders>
          </w:tcPr>
          <w:p w14:paraId="1C1C6A0B" w14:textId="77777777" w:rsidR="001F0580" w:rsidRPr="000F3DB6" w:rsidRDefault="001F0580" w:rsidP="00D54AA0">
            <w:pPr>
              <w:rPr>
                <w:rFonts w:ascii="Calibri" w:eastAsia="Calibri" w:hAnsi="Calibri" w:cs="Times New Roman"/>
              </w:rPr>
            </w:pPr>
            <w:r w:rsidRPr="000F3DB6">
              <w:rPr>
                <w:rFonts w:ascii="Calibri" w:eastAsia="Calibri" w:hAnsi="Calibri" w:cs="Times New Roman"/>
              </w:rPr>
              <w:t>Other prescribed liabilities</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091CF686" w14:textId="7198BEB9" w:rsidR="001F0580" w:rsidRPr="000F3DB6" w:rsidRDefault="001F0580" w:rsidP="00D54AA0">
            <w:pPr>
              <w:rPr>
                <w:rFonts w:ascii="Calibri" w:eastAsia="Calibri" w:hAnsi="Calibri" w:cs="Times New Roman"/>
                <w:lang w:val="en" w:eastAsia="en-AU"/>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372A33F1" w14:textId="0B450335" w:rsidR="001F0580" w:rsidRPr="000F3DB6" w:rsidRDefault="001F0580" w:rsidP="00D54AA0">
            <w:pPr>
              <w:rPr>
                <w:rFonts w:ascii="Calibri" w:eastAsia="Calibri" w:hAnsi="Calibri" w:cs="Times New Roman"/>
                <w:lang w:val="en" w:eastAsia="en-AU"/>
              </w:rPr>
            </w:pPr>
          </w:p>
        </w:tc>
      </w:tr>
      <w:tr w:rsidR="001F0580" w:rsidRPr="000F3DB6" w14:paraId="77A35EB8" w14:textId="77777777" w:rsidTr="00930407">
        <w:trPr>
          <w:trHeight w:val="226"/>
        </w:trPr>
        <w:tc>
          <w:tcPr>
            <w:tcW w:w="4539" w:type="dxa"/>
            <w:tcBorders>
              <w:top w:val="single" w:sz="4" w:space="0" w:color="auto"/>
              <w:left w:val="single" w:sz="4" w:space="0" w:color="auto"/>
              <w:bottom w:val="single" w:sz="4" w:space="0" w:color="auto"/>
              <w:right w:val="single" w:sz="4" w:space="0" w:color="auto"/>
            </w:tcBorders>
          </w:tcPr>
          <w:p w14:paraId="468C2629" w14:textId="77777777" w:rsidR="001F0580" w:rsidRPr="000F3DB6" w:rsidRDefault="001F0580" w:rsidP="00D54AA0">
            <w:pPr>
              <w:rPr>
                <w:rFonts w:ascii="Calibri" w:eastAsia="Calibri" w:hAnsi="Calibri" w:cs="Times New Roman"/>
              </w:rPr>
            </w:pPr>
            <w:r w:rsidRPr="000F3DB6">
              <w:rPr>
                <w:rFonts w:ascii="Calibri" w:eastAsia="Calibri" w:hAnsi="Calibri" w:cs="Times New Roman"/>
              </w:rPr>
              <w:t>Liquid Capital</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7BB2593F" w14:textId="63E6461A" w:rsidR="001F0580" w:rsidRPr="000F3DB6" w:rsidRDefault="001F0580" w:rsidP="00D54AA0">
            <w:pPr>
              <w:rPr>
                <w:rFonts w:ascii="Calibri" w:eastAsia="Calibri" w:hAnsi="Calibri" w:cs="Times New Roman"/>
                <w:b/>
                <w:bCs/>
                <w:i/>
                <w:iCs/>
                <w:color w:val="8064A2"/>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0416BED3" w14:textId="0BD9C170" w:rsidR="001F0580" w:rsidRPr="000F3DB6" w:rsidRDefault="001F0580" w:rsidP="00D54AA0">
            <w:pPr>
              <w:rPr>
                <w:rFonts w:ascii="Calibri" w:eastAsia="Calibri" w:hAnsi="Calibri" w:cs="Times New Roman"/>
                <w:lang w:val="en" w:eastAsia="en-AU"/>
              </w:rPr>
            </w:pPr>
          </w:p>
        </w:tc>
      </w:tr>
    </w:tbl>
    <w:p w14:paraId="293E1C68" w14:textId="25A73272" w:rsidR="001F0580" w:rsidRPr="000F3DB6" w:rsidRDefault="001F0580" w:rsidP="001F0580">
      <w:pPr>
        <w:pStyle w:val="ListParagraph"/>
        <w:numPr>
          <w:ilvl w:val="0"/>
          <w:numId w:val="83"/>
        </w:numPr>
        <w:tabs>
          <w:tab w:val="num" w:pos="720"/>
        </w:tabs>
        <w:spacing w:after="0"/>
        <w:rPr>
          <w:rFonts w:ascii="Calibri" w:eastAsia="Calibri" w:hAnsi="Calibri"/>
        </w:rPr>
      </w:pPr>
      <w:r w:rsidRPr="000F3DB6">
        <w:rPr>
          <w:rFonts w:ascii="Calibri" w:eastAsia="Calibri" w:hAnsi="Calibri"/>
        </w:rPr>
        <w:t>Includes future income tax benefits</w:t>
      </w:r>
      <w:r>
        <w:rPr>
          <w:rFonts w:ascii="Calibri" w:eastAsia="Calibri" w:hAnsi="Calibri"/>
        </w:rPr>
        <w:t>.</w:t>
      </w:r>
    </w:p>
    <w:p w14:paraId="4ED477F4" w14:textId="52D47B54" w:rsidR="001F0580" w:rsidRPr="000F3DB6" w:rsidRDefault="001F0580" w:rsidP="001F0580">
      <w:pPr>
        <w:pStyle w:val="ListParagraph"/>
        <w:numPr>
          <w:ilvl w:val="0"/>
          <w:numId w:val="83"/>
        </w:numPr>
        <w:tabs>
          <w:tab w:val="num" w:pos="720"/>
        </w:tabs>
        <w:spacing w:after="0"/>
        <w:rPr>
          <w:rFonts w:ascii="Calibri" w:eastAsia="Calibri" w:hAnsi="Calibri"/>
        </w:rPr>
      </w:pPr>
      <w:r w:rsidRPr="000F3DB6">
        <w:rPr>
          <w:rFonts w:ascii="Calibri" w:eastAsia="Calibri" w:hAnsi="Calibri"/>
        </w:rPr>
        <w:t>Includes non</w:t>
      </w:r>
      <w:r>
        <w:rPr>
          <w:rFonts w:ascii="Calibri" w:eastAsia="Calibri" w:hAnsi="Calibri"/>
        </w:rPr>
        <w:t>-</w:t>
      </w:r>
      <w:r w:rsidRPr="000F3DB6">
        <w:rPr>
          <w:rFonts w:ascii="Calibri" w:eastAsia="Calibri" w:hAnsi="Calibri"/>
        </w:rPr>
        <w:t>current trade receivables, financial a</w:t>
      </w:r>
      <w:r>
        <w:rPr>
          <w:rFonts w:ascii="Calibri" w:eastAsia="Calibri" w:hAnsi="Calibri"/>
        </w:rPr>
        <w:t>ssets, loans and deposits and non-</w:t>
      </w:r>
      <w:r w:rsidRPr="000F3DB6">
        <w:rPr>
          <w:rFonts w:ascii="Calibri" w:eastAsia="Calibri" w:hAnsi="Calibri"/>
        </w:rPr>
        <w:t>current Related/Associated Person Balances</w:t>
      </w:r>
      <w:r w:rsidR="00914FEE">
        <w:rPr>
          <w:rFonts w:ascii="Calibri" w:eastAsia="Calibri" w:hAnsi="Calibri"/>
        </w:rPr>
        <w:t>.</w:t>
      </w:r>
    </w:p>
    <w:p w14:paraId="480AB1FE" w14:textId="68A82C7C" w:rsidR="001F0580" w:rsidRPr="000F3DB6" w:rsidRDefault="001F0580" w:rsidP="001F0580">
      <w:pPr>
        <w:pStyle w:val="ListParagraph"/>
        <w:numPr>
          <w:ilvl w:val="0"/>
          <w:numId w:val="83"/>
        </w:numPr>
        <w:tabs>
          <w:tab w:val="num" w:pos="720"/>
        </w:tabs>
        <w:spacing w:after="0"/>
        <w:rPr>
          <w:rFonts w:ascii="Calibri" w:eastAsia="Calibri" w:hAnsi="Calibri"/>
        </w:rPr>
      </w:pPr>
      <w:r w:rsidRPr="000F3DB6">
        <w:rPr>
          <w:rFonts w:ascii="Calibri" w:eastAsia="Calibri" w:hAnsi="Calibri"/>
        </w:rPr>
        <w:t>Non</w:t>
      </w:r>
      <w:r>
        <w:rPr>
          <w:rFonts w:ascii="Calibri" w:eastAsia="Calibri" w:hAnsi="Calibri"/>
        </w:rPr>
        <w:t>-</w:t>
      </w:r>
      <w:r w:rsidRPr="000F3DB6">
        <w:rPr>
          <w:rFonts w:ascii="Calibri" w:eastAsia="Calibri" w:hAnsi="Calibri"/>
        </w:rPr>
        <w:t>current Related/Associated Person Bala</w:t>
      </w:r>
      <w:r>
        <w:rPr>
          <w:rFonts w:ascii="Calibri" w:eastAsia="Calibri" w:hAnsi="Calibri"/>
        </w:rPr>
        <w:t>nces are included in ‘Other Non-c</w:t>
      </w:r>
      <w:r w:rsidRPr="000F3DB6">
        <w:rPr>
          <w:rFonts w:ascii="Calibri" w:eastAsia="Calibri" w:hAnsi="Calibri"/>
        </w:rPr>
        <w:t>urrent assets’</w:t>
      </w:r>
      <w:r>
        <w:rPr>
          <w:rFonts w:ascii="Calibri" w:eastAsia="Calibri" w:hAnsi="Calibri"/>
        </w:rPr>
        <w:t>.</w:t>
      </w:r>
    </w:p>
    <w:p w14:paraId="2B8DE220" w14:textId="5D1F8679" w:rsidR="001F0580" w:rsidRDefault="001F0580" w:rsidP="00930407">
      <w:pPr>
        <w:pStyle w:val="ListParagraph"/>
        <w:numPr>
          <w:ilvl w:val="0"/>
          <w:numId w:val="83"/>
        </w:numPr>
        <w:tabs>
          <w:tab w:val="num" w:pos="720"/>
        </w:tabs>
        <w:spacing w:after="0"/>
        <w:rPr>
          <w:rFonts w:ascii="Calibri" w:eastAsia="Calibri" w:hAnsi="Calibri"/>
        </w:rPr>
      </w:pPr>
      <w:r w:rsidRPr="000F3DB6">
        <w:rPr>
          <w:rFonts w:ascii="Calibri" w:eastAsia="Calibri" w:hAnsi="Calibri"/>
        </w:rPr>
        <w:t xml:space="preserve">Use the </w:t>
      </w:r>
      <w:r w:rsidR="00A21922">
        <w:rPr>
          <w:rFonts w:ascii="Calibri" w:eastAsia="Calibri" w:hAnsi="Calibri"/>
        </w:rPr>
        <w:t xml:space="preserve">additional </w:t>
      </w:r>
      <w:r w:rsidRPr="000F3DB6">
        <w:rPr>
          <w:rFonts w:ascii="Calibri" w:eastAsia="Calibri" w:hAnsi="Calibri"/>
        </w:rPr>
        <w:t>comment</w:t>
      </w:r>
      <w:r w:rsidR="00A21922">
        <w:rPr>
          <w:rFonts w:ascii="Calibri" w:eastAsia="Calibri" w:hAnsi="Calibri"/>
        </w:rPr>
        <w:t>s</w:t>
      </w:r>
      <w:r w:rsidRPr="000F3DB6">
        <w:rPr>
          <w:rFonts w:ascii="Calibri" w:eastAsia="Calibri" w:hAnsi="Calibri"/>
        </w:rPr>
        <w:t xml:space="preserve"> </w:t>
      </w:r>
      <w:r w:rsidR="008132A4">
        <w:rPr>
          <w:rFonts w:ascii="Calibri" w:eastAsia="Calibri" w:hAnsi="Calibri"/>
        </w:rPr>
        <w:t>function</w:t>
      </w:r>
      <w:r w:rsidR="008132A4" w:rsidRPr="000F3DB6">
        <w:rPr>
          <w:rFonts w:ascii="Calibri" w:eastAsia="Calibri" w:hAnsi="Calibri"/>
        </w:rPr>
        <w:t xml:space="preserve"> </w:t>
      </w:r>
      <w:r w:rsidRPr="000F3DB6">
        <w:rPr>
          <w:rFonts w:ascii="Calibri" w:eastAsia="Calibri" w:hAnsi="Calibri"/>
        </w:rPr>
        <w:t xml:space="preserve">to provide a description of the illiquid assets </w:t>
      </w:r>
      <w:r>
        <w:rPr>
          <w:rFonts w:ascii="Calibri" w:eastAsia="Calibri" w:hAnsi="Calibri"/>
        </w:rPr>
        <w:t>you have reported</w:t>
      </w:r>
      <w:r w:rsidRPr="000F3DB6">
        <w:rPr>
          <w:rFonts w:ascii="Calibri" w:eastAsia="Calibri" w:hAnsi="Calibri"/>
        </w:rPr>
        <w:t xml:space="preserve">. </w:t>
      </w:r>
    </w:p>
    <w:p w14:paraId="3CC5DB15" w14:textId="1D76AAB3" w:rsidR="003A1BE7" w:rsidRPr="00930407" w:rsidRDefault="001F0580" w:rsidP="00930407">
      <w:pPr>
        <w:pStyle w:val="ListParagraph"/>
        <w:numPr>
          <w:ilvl w:val="0"/>
          <w:numId w:val="83"/>
        </w:numPr>
        <w:tabs>
          <w:tab w:val="num" w:pos="720"/>
        </w:tabs>
        <w:spacing w:after="0"/>
        <w:rPr>
          <w:rFonts w:ascii="Calibri" w:eastAsia="Calibri" w:hAnsi="Calibri"/>
        </w:rPr>
      </w:pPr>
      <w:r w:rsidRPr="00930407">
        <w:rPr>
          <w:rFonts w:ascii="Calibri" w:eastAsia="Calibri" w:hAnsi="Calibri"/>
        </w:rPr>
        <w:t xml:space="preserve">Use the </w:t>
      </w:r>
      <w:r w:rsidR="00A21922">
        <w:rPr>
          <w:rFonts w:ascii="Calibri" w:eastAsia="Calibri" w:hAnsi="Calibri"/>
        </w:rPr>
        <w:t xml:space="preserve">additional </w:t>
      </w:r>
      <w:r w:rsidRPr="00930407">
        <w:rPr>
          <w:rFonts w:ascii="Calibri" w:eastAsia="Calibri" w:hAnsi="Calibri"/>
        </w:rPr>
        <w:t>comment</w:t>
      </w:r>
      <w:r w:rsidR="00A21922">
        <w:rPr>
          <w:rFonts w:ascii="Calibri" w:eastAsia="Calibri" w:hAnsi="Calibri"/>
        </w:rPr>
        <w:t>s</w:t>
      </w:r>
      <w:r w:rsidRPr="00930407">
        <w:rPr>
          <w:rFonts w:ascii="Calibri" w:eastAsia="Calibri" w:hAnsi="Calibri"/>
        </w:rPr>
        <w:t xml:space="preserve"> </w:t>
      </w:r>
      <w:r w:rsidR="008132A4">
        <w:rPr>
          <w:rFonts w:ascii="Calibri" w:eastAsia="Calibri" w:hAnsi="Calibri"/>
        </w:rPr>
        <w:t xml:space="preserve">section </w:t>
      </w:r>
      <w:r w:rsidRPr="00930407">
        <w:rPr>
          <w:rFonts w:ascii="Calibri" w:eastAsia="Calibri" w:hAnsi="Calibri"/>
        </w:rPr>
        <w:t>to provide details of what these balances relate to.</w:t>
      </w:r>
    </w:p>
    <w:p w14:paraId="7D66338F" w14:textId="54D4E2DE" w:rsidR="003A1BE7" w:rsidRDefault="003A1BE7" w:rsidP="00930407">
      <w:pPr>
        <w:spacing w:after="200" w:line="276" w:lineRule="auto"/>
        <w:contextualSpacing/>
        <w:rPr>
          <w:rFonts w:ascii="Calibri" w:hAnsi="Calibri"/>
          <w:color w:val="000000"/>
        </w:rPr>
      </w:pPr>
    </w:p>
    <w:p w14:paraId="06104A79" w14:textId="3A05C60B" w:rsidR="003A1BE7" w:rsidRDefault="003A1BE7" w:rsidP="00930407">
      <w:pPr>
        <w:spacing w:after="200" w:line="276" w:lineRule="auto"/>
        <w:contextualSpacing/>
        <w:rPr>
          <w:rFonts w:ascii="Calibri" w:hAnsi="Calibri"/>
          <w:color w:val="000000"/>
        </w:rPr>
      </w:pPr>
    </w:p>
    <w:p w14:paraId="0A8B75C8" w14:textId="0B734958" w:rsidR="003A1BE7" w:rsidRPr="00930407" w:rsidRDefault="001F0580" w:rsidP="00D3615D">
      <w:pPr>
        <w:keepNext/>
        <w:spacing w:before="240" w:after="120"/>
        <w:outlineLvl w:val="3"/>
        <w:rPr>
          <w:rFonts w:ascii="Calibri" w:hAnsi="Calibri"/>
          <w:b/>
          <w:color w:val="000000"/>
          <w:sz w:val="24"/>
        </w:rPr>
      </w:pPr>
      <w:r w:rsidRPr="00930407">
        <w:rPr>
          <w:rFonts w:ascii="Calibri" w:hAnsi="Calibri"/>
          <w:b/>
          <w:color w:val="000000"/>
          <w:sz w:val="24"/>
        </w:rPr>
        <w:t>Liquid Margin calculation</w:t>
      </w: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3"/>
        <w:gridCol w:w="3641"/>
        <w:gridCol w:w="3730"/>
      </w:tblGrid>
      <w:tr w:rsidR="001F0580" w:rsidRPr="000F3DB6" w14:paraId="20EF7072" w14:textId="77777777" w:rsidTr="00D54AA0">
        <w:trPr>
          <w:trHeight w:val="226"/>
        </w:trPr>
        <w:tc>
          <w:tcPr>
            <w:tcW w:w="5143" w:type="dxa"/>
            <w:tcBorders>
              <w:top w:val="single" w:sz="4" w:space="0" w:color="auto"/>
              <w:left w:val="single" w:sz="4" w:space="0" w:color="auto"/>
              <w:bottom w:val="single" w:sz="4" w:space="0" w:color="auto"/>
              <w:right w:val="single" w:sz="4" w:space="0" w:color="auto"/>
            </w:tcBorders>
            <w:shd w:val="clear" w:color="auto" w:fill="0070C0"/>
          </w:tcPr>
          <w:p w14:paraId="41215BAC" w14:textId="77777777" w:rsidR="001F0580" w:rsidRPr="000F3DB6" w:rsidRDefault="001F0580" w:rsidP="00D54AA0">
            <w:pPr>
              <w:rPr>
                <w:rFonts w:ascii="Calibri" w:eastAsia="Calibri" w:hAnsi="Calibri" w:cs="Times New Roman"/>
                <w:b/>
                <w:color w:val="FFFFFF"/>
                <w:lang w:val="en" w:eastAsia="en-AU"/>
              </w:rPr>
            </w:pPr>
          </w:p>
        </w:tc>
        <w:tc>
          <w:tcPr>
            <w:tcW w:w="3641" w:type="dxa"/>
            <w:tcBorders>
              <w:top w:val="single" w:sz="4" w:space="0" w:color="auto"/>
              <w:left w:val="single" w:sz="4" w:space="0" w:color="auto"/>
              <w:bottom w:val="single" w:sz="4" w:space="0" w:color="auto"/>
              <w:right w:val="single" w:sz="4" w:space="0" w:color="auto"/>
            </w:tcBorders>
            <w:shd w:val="clear" w:color="auto" w:fill="0070C0"/>
          </w:tcPr>
          <w:p w14:paraId="37C6A416" w14:textId="77777777" w:rsidR="001F0580" w:rsidRPr="000F3DB6" w:rsidRDefault="001F0580" w:rsidP="00D54AA0">
            <w:pPr>
              <w:rPr>
                <w:rFonts w:ascii="Calibri" w:eastAsia="Calibri" w:hAnsi="Calibri" w:cs="Times New Roman"/>
                <w:b/>
                <w:color w:val="FFFFFF"/>
                <w:lang w:val="en" w:eastAsia="en-AU"/>
              </w:rPr>
            </w:pPr>
            <w:r w:rsidRPr="000F3DB6">
              <w:rPr>
                <w:rFonts w:ascii="Calibri" w:eastAsia="Calibri" w:hAnsi="Calibri" w:cs="Times New Roman"/>
                <w:b/>
                <w:color w:val="FFFFFF"/>
                <w:lang w:val="en" w:eastAsia="en-AU"/>
              </w:rPr>
              <w:t>Current</w:t>
            </w:r>
          </w:p>
        </w:tc>
        <w:tc>
          <w:tcPr>
            <w:tcW w:w="3730" w:type="dxa"/>
            <w:tcBorders>
              <w:top w:val="single" w:sz="4" w:space="0" w:color="auto"/>
              <w:left w:val="single" w:sz="4" w:space="0" w:color="auto"/>
              <w:bottom w:val="single" w:sz="4" w:space="0" w:color="auto"/>
              <w:right w:val="single" w:sz="4" w:space="0" w:color="auto"/>
            </w:tcBorders>
            <w:shd w:val="clear" w:color="auto" w:fill="0070C0"/>
          </w:tcPr>
          <w:p w14:paraId="5A91A839" w14:textId="77777777" w:rsidR="001F0580" w:rsidRPr="000F3DB6" w:rsidRDefault="001F0580" w:rsidP="00D54AA0">
            <w:pPr>
              <w:rPr>
                <w:rFonts w:ascii="Calibri" w:eastAsia="Calibri" w:hAnsi="Calibri" w:cs="Times New Roman"/>
                <w:b/>
                <w:color w:val="FFFFFF"/>
                <w:lang w:val="en" w:eastAsia="en-AU"/>
              </w:rPr>
            </w:pPr>
            <w:r w:rsidRPr="000F3DB6">
              <w:rPr>
                <w:rFonts w:ascii="Calibri" w:eastAsia="Calibri" w:hAnsi="Calibri" w:cs="Times New Roman"/>
                <w:b/>
                <w:color w:val="FFFFFF"/>
                <w:lang w:val="en" w:eastAsia="en-AU"/>
              </w:rPr>
              <w:t>Prior</w:t>
            </w:r>
          </w:p>
        </w:tc>
      </w:tr>
      <w:tr w:rsidR="001F0580" w:rsidRPr="000F3DB6" w14:paraId="36A7D9C0" w14:textId="77777777" w:rsidTr="00930407">
        <w:trPr>
          <w:trHeight w:val="645"/>
        </w:trPr>
        <w:tc>
          <w:tcPr>
            <w:tcW w:w="5143" w:type="dxa"/>
            <w:tcBorders>
              <w:top w:val="single" w:sz="4" w:space="0" w:color="auto"/>
              <w:left w:val="single" w:sz="4" w:space="0" w:color="auto"/>
              <w:bottom w:val="single" w:sz="4" w:space="0" w:color="auto"/>
              <w:right w:val="single" w:sz="4" w:space="0" w:color="auto"/>
            </w:tcBorders>
          </w:tcPr>
          <w:p w14:paraId="1CB981CF" w14:textId="77777777" w:rsidR="001F0580" w:rsidRPr="000F3DB6" w:rsidRDefault="001F0580" w:rsidP="00D54AA0">
            <w:pPr>
              <w:rPr>
                <w:rFonts w:ascii="Calibri" w:eastAsia="Calibri" w:hAnsi="Calibri" w:cs="Times New Roman"/>
                <w:lang w:val="en" w:eastAsia="en-AU"/>
              </w:rPr>
            </w:pPr>
            <w:r w:rsidRPr="000F3DB6">
              <w:rPr>
                <w:rFonts w:ascii="Calibri" w:eastAsia="Calibri" w:hAnsi="Calibri" w:cs="Times New Roman"/>
              </w:rPr>
              <w:t>Liquid Capital</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3A8C04E1" w14:textId="253E5E3A" w:rsidR="001F0580" w:rsidRPr="000F3DB6" w:rsidRDefault="001F0580" w:rsidP="00D54AA0">
            <w:pPr>
              <w:rPr>
                <w:rFonts w:ascii="Calibri" w:eastAsia="Calibri" w:hAnsi="Calibri" w:cs="Times New Roman"/>
                <w:b/>
                <w:lang w:val="en" w:eastAsia="en-AU"/>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28A4002F" w14:textId="15A7E8BE" w:rsidR="001F0580" w:rsidRPr="000F3DB6" w:rsidRDefault="001F0580" w:rsidP="00D54AA0">
            <w:pPr>
              <w:rPr>
                <w:rFonts w:ascii="Calibri" w:eastAsia="Calibri" w:hAnsi="Calibri" w:cs="Times New Roman"/>
                <w:b/>
                <w:lang w:val="en" w:eastAsia="en-AU"/>
              </w:rPr>
            </w:pPr>
          </w:p>
        </w:tc>
      </w:tr>
      <w:tr w:rsidR="001F0580" w:rsidRPr="000F3DB6" w14:paraId="206DC894" w14:textId="77777777" w:rsidTr="00930407">
        <w:trPr>
          <w:trHeight w:val="697"/>
        </w:trPr>
        <w:tc>
          <w:tcPr>
            <w:tcW w:w="5143" w:type="dxa"/>
            <w:tcBorders>
              <w:top w:val="single" w:sz="4" w:space="0" w:color="auto"/>
              <w:left w:val="single" w:sz="4" w:space="0" w:color="auto"/>
              <w:bottom w:val="single" w:sz="4" w:space="0" w:color="auto"/>
              <w:right w:val="single" w:sz="4" w:space="0" w:color="auto"/>
            </w:tcBorders>
          </w:tcPr>
          <w:p w14:paraId="605969F3" w14:textId="77777777" w:rsidR="001F0580" w:rsidRPr="000F3DB6" w:rsidRDefault="001F0580" w:rsidP="00D54AA0">
            <w:pPr>
              <w:rPr>
                <w:rFonts w:ascii="Calibri" w:eastAsia="Calibri" w:hAnsi="Calibri" w:cs="Times New Roman"/>
                <w:lang w:val="en" w:eastAsia="en-AU"/>
              </w:rPr>
            </w:pPr>
            <w:r w:rsidRPr="000F3DB6">
              <w:rPr>
                <w:rFonts w:ascii="Calibri" w:eastAsia="Calibri" w:hAnsi="Calibri" w:cs="Times New Roman"/>
              </w:rPr>
              <w:t>Operational Risk Requirement</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4BBED5F5" w14:textId="69919E2B" w:rsidR="001F0580" w:rsidRPr="000F3DB6" w:rsidRDefault="001F0580" w:rsidP="00D54AA0">
            <w:pPr>
              <w:rPr>
                <w:rFonts w:ascii="Calibri" w:eastAsia="Calibri" w:hAnsi="Calibri" w:cs="Times New Roman"/>
                <w:lang w:val="en" w:eastAsia="en-AU"/>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7322FDC1" w14:textId="64B18C58" w:rsidR="001F0580" w:rsidRPr="000F3DB6" w:rsidRDefault="001F0580" w:rsidP="00D54AA0">
            <w:pPr>
              <w:rPr>
                <w:rFonts w:ascii="Calibri" w:eastAsia="Calibri" w:hAnsi="Calibri" w:cs="Times New Roman"/>
                <w:b/>
                <w:lang w:val="en" w:eastAsia="en-AU"/>
              </w:rPr>
            </w:pPr>
          </w:p>
        </w:tc>
      </w:tr>
      <w:tr w:rsidR="001F0580" w:rsidRPr="000F3DB6" w14:paraId="0C785645" w14:textId="77777777" w:rsidTr="00930407">
        <w:trPr>
          <w:trHeight w:val="557"/>
        </w:trPr>
        <w:tc>
          <w:tcPr>
            <w:tcW w:w="5143" w:type="dxa"/>
            <w:tcBorders>
              <w:top w:val="single" w:sz="4" w:space="0" w:color="auto"/>
              <w:left w:val="single" w:sz="4" w:space="0" w:color="auto"/>
              <w:bottom w:val="single" w:sz="4" w:space="0" w:color="auto"/>
              <w:right w:val="single" w:sz="4" w:space="0" w:color="auto"/>
            </w:tcBorders>
          </w:tcPr>
          <w:p w14:paraId="2EB4AC29" w14:textId="77777777" w:rsidR="001F0580" w:rsidRPr="000F3DB6" w:rsidRDefault="001F0580" w:rsidP="00D54AA0">
            <w:pPr>
              <w:rPr>
                <w:rFonts w:ascii="Calibri" w:eastAsia="Calibri" w:hAnsi="Calibri" w:cs="Times New Roman"/>
                <w:lang w:val="en" w:eastAsia="en-AU"/>
              </w:rPr>
            </w:pPr>
            <w:r w:rsidRPr="000F3DB6">
              <w:rPr>
                <w:rFonts w:ascii="Calibri" w:eastAsia="Calibri" w:hAnsi="Calibri" w:cs="Times New Roman"/>
              </w:rPr>
              <w:t>Counterparty Risk Requirement</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2255D59B" w14:textId="566953A0" w:rsidR="001F0580" w:rsidRPr="000F3DB6" w:rsidRDefault="001F0580" w:rsidP="00D54AA0">
            <w:pPr>
              <w:rPr>
                <w:rFonts w:ascii="Calibri" w:eastAsia="Calibri" w:hAnsi="Calibri" w:cs="Times New Roman"/>
                <w:b/>
                <w:bCs/>
                <w:i/>
                <w:iCs/>
                <w:color w:val="8064A2"/>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51F0584D" w14:textId="126DD534" w:rsidR="001F0580" w:rsidRPr="000F3DB6" w:rsidRDefault="001F0580" w:rsidP="00D54AA0">
            <w:pPr>
              <w:rPr>
                <w:rFonts w:ascii="Calibri" w:eastAsia="Calibri" w:hAnsi="Calibri" w:cs="Times New Roman"/>
                <w:b/>
                <w:lang w:val="en" w:eastAsia="en-AU"/>
              </w:rPr>
            </w:pPr>
          </w:p>
        </w:tc>
      </w:tr>
      <w:tr w:rsidR="001F0580" w:rsidRPr="000F3DB6" w14:paraId="044CC763" w14:textId="77777777" w:rsidTr="00930407">
        <w:trPr>
          <w:trHeight w:val="560"/>
        </w:trPr>
        <w:tc>
          <w:tcPr>
            <w:tcW w:w="5143" w:type="dxa"/>
            <w:tcBorders>
              <w:top w:val="single" w:sz="4" w:space="0" w:color="auto"/>
              <w:left w:val="single" w:sz="4" w:space="0" w:color="auto"/>
              <w:bottom w:val="single" w:sz="4" w:space="0" w:color="auto"/>
              <w:right w:val="single" w:sz="4" w:space="0" w:color="auto"/>
            </w:tcBorders>
          </w:tcPr>
          <w:p w14:paraId="7F9255CD" w14:textId="77777777" w:rsidR="001F0580" w:rsidRPr="000F3DB6" w:rsidRDefault="001F0580" w:rsidP="00D54AA0">
            <w:pPr>
              <w:rPr>
                <w:rFonts w:ascii="Calibri" w:eastAsia="Calibri" w:hAnsi="Calibri" w:cs="Times New Roman"/>
                <w:lang w:val="en" w:eastAsia="en-AU"/>
              </w:rPr>
            </w:pPr>
            <w:r w:rsidRPr="000F3DB6">
              <w:rPr>
                <w:rFonts w:ascii="Calibri" w:eastAsia="Calibri" w:hAnsi="Calibri" w:cs="Times New Roman"/>
              </w:rPr>
              <w:t>Large Exposure Risk Requirement</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14A257BC" w14:textId="16F7B057" w:rsidR="001F0580" w:rsidRPr="000F3DB6" w:rsidRDefault="001F0580" w:rsidP="00D54AA0">
            <w:pPr>
              <w:rPr>
                <w:rFonts w:ascii="Calibri" w:eastAsia="Calibri" w:hAnsi="Calibri" w:cs="Times New Roman"/>
                <w:b/>
                <w:bCs/>
                <w:i/>
                <w:iCs/>
                <w:color w:val="8064A2"/>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330C9214" w14:textId="21B9F51F" w:rsidR="001F0580" w:rsidRPr="000F3DB6" w:rsidRDefault="001F0580" w:rsidP="00D54AA0">
            <w:pPr>
              <w:rPr>
                <w:rFonts w:ascii="Calibri" w:eastAsia="Calibri" w:hAnsi="Calibri" w:cs="Times New Roman"/>
                <w:b/>
                <w:lang w:val="en" w:eastAsia="en-AU"/>
              </w:rPr>
            </w:pPr>
          </w:p>
        </w:tc>
      </w:tr>
      <w:tr w:rsidR="001F0580" w:rsidRPr="000F3DB6" w14:paraId="62DF559E" w14:textId="77777777" w:rsidTr="00930407">
        <w:trPr>
          <w:trHeight w:val="565"/>
        </w:trPr>
        <w:tc>
          <w:tcPr>
            <w:tcW w:w="5143" w:type="dxa"/>
            <w:tcBorders>
              <w:top w:val="single" w:sz="4" w:space="0" w:color="auto"/>
              <w:left w:val="single" w:sz="4" w:space="0" w:color="auto"/>
              <w:bottom w:val="single" w:sz="4" w:space="0" w:color="auto"/>
              <w:right w:val="single" w:sz="4" w:space="0" w:color="auto"/>
            </w:tcBorders>
          </w:tcPr>
          <w:p w14:paraId="1089C456" w14:textId="77777777" w:rsidR="001F0580" w:rsidRPr="000F3DB6" w:rsidRDefault="001F0580" w:rsidP="00D54AA0">
            <w:pPr>
              <w:rPr>
                <w:rFonts w:ascii="Calibri" w:eastAsia="Calibri" w:hAnsi="Calibri" w:cs="Times New Roman"/>
                <w:lang w:val="en" w:eastAsia="en-AU"/>
              </w:rPr>
            </w:pPr>
            <w:r w:rsidRPr="000F3DB6">
              <w:rPr>
                <w:rFonts w:ascii="Calibri" w:eastAsia="Calibri" w:hAnsi="Calibri" w:cs="Times New Roman"/>
              </w:rPr>
              <w:t>Position Risk Requirement</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2C0FD81B" w14:textId="54D6B6DC" w:rsidR="001F0580" w:rsidRPr="000F3DB6" w:rsidRDefault="001F0580" w:rsidP="00D54AA0">
            <w:pPr>
              <w:rPr>
                <w:rFonts w:ascii="Calibri" w:eastAsia="Calibri" w:hAnsi="Calibri" w:cs="Times New Roman"/>
                <w:b/>
                <w:bCs/>
                <w:i/>
                <w:iCs/>
                <w:color w:val="8064A2"/>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76E24E36" w14:textId="3734AAAF" w:rsidR="001F0580" w:rsidRPr="000F3DB6" w:rsidRDefault="001F0580" w:rsidP="00D54AA0">
            <w:pPr>
              <w:rPr>
                <w:rFonts w:ascii="Calibri" w:eastAsia="Calibri" w:hAnsi="Calibri" w:cs="Times New Roman"/>
                <w:b/>
                <w:lang w:val="en" w:eastAsia="en-AU"/>
              </w:rPr>
            </w:pPr>
          </w:p>
        </w:tc>
      </w:tr>
      <w:tr w:rsidR="001F0580" w:rsidRPr="000F3DB6" w14:paraId="18906DA4" w14:textId="77777777" w:rsidTr="00930407">
        <w:trPr>
          <w:trHeight w:val="444"/>
        </w:trPr>
        <w:tc>
          <w:tcPr>
            <w:tcW w:w="5143" w:type="dxa"/>
            <w:tcBorders>
              <w:top w:val="single" w:sz="4" w:space="0" w:color="auto"/>
              <w:left w:val="single" w:sz="4" w:space="0" w:color="auto"/>
              <w:bottom w:val="single" w:sz="4" w:space="0" w:color="auto"/>
              <w:right w:val="single" w:sz="4" w:space="0" w:color="auto"/>
            </w:tcBorders>
          </w:tcPr>
          <w:p w14:paraId="2CE46CBC" w14:textId="77777777" w:rsidR="001F0580" w:rsidRPr="000F3DB6" w:rsidRDefault="001F0580" w:rsidP="00D54AA0">
            <w:pPr>
              <w:rPr>
                <w:rFonts w:ascii="Calibri" w:eastAsia="Calibri" w:hAnsi="Calibri" w:cs="Times New Roman"/>
                <w:lang w:val="en" w:eastAsia="en-AU"/>
              </w:rPr>
            </w:pPr>
            <w:r w:rsidRPr="000F3DB6">
              <w:rPr>
                <w:rFonts w:ascii="Calibri" w:eastAsia="Calibri" w:hAnsi="Calibri" w:cs="Times New Roman"/>
              </w:rPr>
              <w:t>Underwriting and Sub Underwriting Risk Requirement</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05233F36" w14:textId="02FFAA56" w:rsidR="001F0580" w:rsidRPr="000F3DB6" w:rsidRDefault="001F0580" w:rsidP="00D54AA0">
            <w:pPr>
              <w:rPr>
                <w:rFonts w:ascii="Calibri" w:eastAsia="Calibri" w:hAnsi="Calibri" w:cs="Times New Roman"/>
                <w:b/>
                <w:bCs/>
                <w:i/>
                <w:iCs/>
                <w:color w:val="8064A2"/>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343CB8F5" w14:textId="4C31FE99" w:rsidR="001F0580" w:rsidRPr="000F3DB6" w:rsidRDefault="001F0580" w:rsidP="00D54AA0">
            <w:pPr>
              <w:rPr>
                <w:rFonts w:ascii="Calibri" w:eastAsia="Calibri" w:hAnsi="Calibri" w:cs="Times New Roman"/>
                <w:b/>
                <w:lang w:val="en" w:eastAsia="en-AU"/>
              </w:rPr>
            </w:pPr>
          </w:p>
        </w:tc>
      </w:tr>
      <w:tr w:rsidR="001F0580" w:rsidRPr="000F3DB6" w14:paraId="4AB2C8E1" w14:textId="77777777" w:rsidTr="00930407">
        <w:trPr>
          <w:trHeight w:val="480"/>
        </w:trPr>
        <w:tc>
          <w:tcPr>
            <w:tcW w:w="5143" w:type="dxa"/>
            <w:tcBorders>
              <w:top w:val="single" w:sz="4" w:space="0" w:color="auto"/>
              <w:left w:val="single" w:sz="4" w:space="0" w:color="auto"/>
              <w:bottom w:val="single" w:sz="4" w:space="0" w:color="auto"/>
              <w:right w:val="single" w:sz="4" w:space="0" w:color="auto"/>
            </w:tcBorders>
          </w:tcPr>
          <w:p w14:paraId="77CAEFDC" w14:textId="64093089" w:rsidR="001F0580" w:rsidRPr="000F3DB6" w:rsidRDefault="001F0580" w:rsidP="00D54AA0">
            <w:pPr>
              <w:rPr>
                <w:rFonts w:ascii="Calibri" w:eastAsia="Calibri" w:hAnsi="Calibri" w:cs="Times New Roman"/>
                <w:lang w:val="en" w:eastAsia="en-AU"/>
              </w:rPr>
            </w:pPr>
            <w:r w:rsidRPr="000F3DB6">
              <w:rPr>
                <w:rFonts w:ascii="Calibri" w:eastAsia="Calibri" w:hAnsi="Calibri" w:cs="Times New Roman"/>
              </w:rPr>
              <w:lastRenderedPageBreak/>
              <w:t>Non</w:t>
            </w:r>
            <w:r w:rsidR="00137E05">
              <w:rPr>
                <w:rFonts w:ascii="Calibri" w:eastAsia="Calibri" w:hAnsi="Calibri" w:cs="Times New Roman"/>
              </w:rPr>
              <w:t>-S</w:t>
            </w:r>
            <w:r w:rsidRPr="000F3DB6">
              <w:rPr>
                <w:rFonts w:ascii="Calibri" w:eastAsia="Calibri" w:hAnsi="Calibri" w:cs="Times New Roman"/>
              </w:rPr>
              <w:t>tandard Risk Requirement</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000414E0" w14:textId="0C4BF704" w:rsidR="001F0580" w:rsidRPr="000F3DB6" w:rsidRDefault="001F0580" w:rsidP="00D54AA0">
            <w:pPr>
              <w:rPr>
                <w:rFonts w:ascii="Calibri" w:eastAsia="Calibri" w:hAnsi="Calibri" w:cs="Times New Roman"/>
                <w:b/>
                <w:bCs/>
                <w:i/>
                <w:iCs/>
                <w:color w:val="8064A2"/>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37A18687" w14:textId="25364A8F" w:rsidR="001F0580" w:rsidRPr="000F3DB6" w:rsidRDefault="001F0580" w:rsidP="00D54AA0">
            <w:pPr>
              <w:rPr>
                <w:rFonts w:ascii="Calibri" w:eastAsia="Calibri" w:hAnsi="Calibri" w:cs="Times New Roman"/>
                <w:b/>
                <w:lang w:val="en" w:eastAsia="en-AU"/>
              </w:rPr>
            </w:pPr>
          </w:p>
        </w:tc>
      </w:tr>
      <w:tr w:rsidR="001F0580" w:rsidRPr="000F3DB6" w14:paraId="0DC4E404" w14:textId="77777777" w:rsidTr="00930407">
        <w:trPr>
          <w:trHeight w:val="657"/>
        </w:trPr>
        <w:tc>
          <w:tcPr>
            <w:tcW w:w="5143" w:type="dxa"/>
            <w:tcBorders>
              <w:top w:val="single" w:sz="4" w:space="0" w:color="auto"/>
              <w:left w:val="single" w:sz="4" w:space="0" w:color="auto"/>
              <w:bottom w:val="single" w:sz="4" w:space="0" w:color="auto"/>
              <w:right w:val="single" w:sz="4" w:space="0" w:color="auto"/>
            </w:tcBorders>
          </w:tcPr>
          <w:p w14:paraId="47D12D4A" w14:textId="77777777" w:rsidR="001F0580" w:rsidRPr="000F3DB6" w:rsidRDefault="001F0580" w:rsidP="00D54AA0">
            <w:pPr>
              <w:rPr>
                <w:rFonts w:ascii="Calibri" w:eastAsia="Calibri" w:hAnsi="Calibri" w:cs="Times New Roman"/>
                <w:lang w:val="en" w:eastAsia="en-AU"/>
              </w:rPr>
            </w:pPr>
            <w:r w:rsidRPr="000F3DB6">
              <w:rPr>
                <w:rFonts w:ascii="Calibri" w:eastAsia="Calibri" w:hAnsi="Calibri" w:cs="Times New Roman"/>
              </w:rPr>
              <w:t>Total Risk Requirement</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64ED3002" w14:textId="3FE80048" w:rsidR="001F0580" w:rsidRPr="000F3DB6" w:rsidRDefault="001F0580" w:rsidP="00D54AA0">
            <w:pPr>
              <w:rPr>
                <w:rFonts w:ascii="Calibri" w:eastAsia="Calibri" w:hAnsi="Calibri" w:cs="Times New Roman"/>
                <w:b/>
                <w:bCs/>
                <w:i/>
                <w:iCs/>
                <w:color w:val="8064A2"/>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7A579A3C" w14:textId="594FF92B" w:rsidR="001F0580" w:rsidRPr="000F3DB6" w:rsidRDefault="001F0580" w:rsidP="00D54AA0">
            <w:pPr>
              <w:rPr>
                <w:rFonts w:ascii="Calibri" w:eastAsia="Calibri" w:hAnsi="Calibri" w:cs="Times New Roman"/>
                <w:b/>
                <w:lang w:val="en" w:eastAsia="en-AU"/>
              </w:rPr>
            </w:pPr>
          </w:p>
        </w:tc>
      </w:tr>
      <w:tr w:rsidR="001F0580" w:rsidRPr="000F3DB6" w14:paraId="127CA284" w14:textId="77777777" w:rsidTr="00930407">
        <w:trPr>
          <w:trHeight w:val="552"/>
        </w:trPr>
        <w:tc>
          <w:tcPr>
            <w:tcW w:w="5143" w:type="dxa"/>
            <w:tcBorders>
              <w:top w:val="single" w:sz="4" w:space="0" w:color="auto"/>
              <w:left w:val="single" w:sz="4" w:space="0" w:color="auto"/>
              <w:bottom w:val="single" w:sz="4" w:space="0" w:color="auto"/>
              <w:right w:val="single" w:sz="4" w:space="0" w:color="auto"/>
            </w:tcBorders>
          </w:tcPr>
          <w:p w14:paraId="2EA5AE3D" w14:textId="534D29E0" w:rsidR="001F0580" w:rsidRPr="00930407" w:rsidRDefault="001F0580" w:rsidP="00D54AA0">
            <w:pPr>
              <w:rPr>
                <w:rFonts w:ascii="Calibri" w:eastAsia="Calibri" w:hAnsi="Calibri" w:cs="Times New Roman"/>
              </w:rPr>
            </w:pPr>
            <w:r w:rsidRPr="000F3DB6">
              <w:rPr>
                <w:rFonts w:ascii="Calibri" w:eastAsia="Calibri" w:hAnsi="Calibri" w:cs="Times New Roman"/>
              </w:rPr>
              <w:t>Liquid Margin</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7971F3DC" w14:textId="7AC3500E" w:rsidR="001F0580" w:rsidRPr="000F3DB6" w:rsidRDefault="001F0580" w:rsidP="00D54AA0">
            <w:pPr>
              <w:rPr>
                <w:rFonts w:ascii="Calibri" w:eastAsia="Calibri" w:hAnsi="Calibri" w:cs="Times New Roman"/>
                <w:b/>
                <w:bCs/>
                <w:i/>
                <w:iCs/>
                <w:color w:val="8064A2"/>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23A52B58" w14:textId="425F9B4E" w:rsidR="001F0580" w:rsidRPr="000F3DB6" w:rsidRDefault="001F0580" w:rsidP="00D54AA0">
            <w:pPr>
              <w:rPr>
                <w:rFonts w:ascii="Calibri" w:eastAsia="Calibri" w:hAnsi="Calibri" w:cs="Times New Roman"/>
                <w:lang w:val="en" w:eastAsia="en-AU"/>
              </w:rPr>
            </w:pPr>
          </w:p>
        </w:tc>
      </w:tr>
    </w:tbl>
    <w:p w14:paraId="5736A04E" w14:textId="3C8C2F2A" w:rsidR="003A1BE7" w:rsidRDefault="00B41653" w:rsidP="00930407">
      <w:pPr>
        <w:spacing w:after="200" w:line="276" w:lineRule="auto"/>
        <w:contextualSpacing/>
        <w:rPr>
          <w:rFonts w:ascii="Calibri" w:hAnsi="Calibri"/>
          <w:color w:val="000000"/>
        </w:rPr>
      </w:pPr>
      <w:r>
        <w:rPr>
          <w:rFonts w:ascii="Calibri" w:eastAsia="Calibri" w:hAnsi="Calibri"/>
        </w:rPr>
        <w:t>Liquid Capital must always be greater than the Total Risk Requirement</w:t>
      </w:r>
      <w:r w:rsidR="00914FEE">
        <w:rPr>
          <w:rFonts w:ascii="Calibri" w:eastAsia="Calibri" w:hAnsi="Calibri"/>
        </w:rPr>
        <w:t>.</w:t>
      </w:r>
    </w:p>
    <w:p w14:paraId="74FFC8DE" w14:textId="70EEA741" w:rsidR="001F0580" w:rsidRDefault="001F0580" w:rsidP="00930407">
      <w:pPr>
        <w:spacing w:after="200" w:line="276" w:lineRule="auto"/>
        <w:contextualSpacing/>
        <w:rPr>
          <w:rFonts w:ascii="Calibri" w:hAnsi="Calibri"/>
          <w:color w:val="000000"/>
        </w:rPr>
      </w:pPr>
    </w:p>
    <w:p w14:paraId="0E936765" w14:textId="7C2F6DB4" w:rsidR="001F0580" w:rsidRPr="00930407" w:rsidRDefault="001F0580" w:rsidP="00D3615D">
      <w:pPr>
        <w:keepNext/>
        <w:spacing w:before="240" w:after="120"/>
        <w:outlineLvl w:val="3"/>
        <w:rPr>
          <w:rFonts w:ascii="Calibri" w:hAnsi="Calibri"/>
          <w:b/>
          <w:color w:val="000000"/>
          <w:sz w:val="24"/>
        </w:rPr>
      </w:pPr>
      <w:r w:rsidRPr="00930407">
        <w:rPr>
          <w:rFonts w:ascii="Calibri" w:hAnsi="Calibri"/>
          <w:b/>
          <w:color w:val="000000"/>
          <w:sz w:val="24"/>
        </w:rPr>
        <w:t>Capital Ratio</w:t>
      </w: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3"/>
        <w:gridCol w:w="3641"/>
        <w:gridCol w:w="3730"/>
      </w:tblGrid>
      <w:tr w:rsidR="001F0580" w:rsidRPr="000F3DB6" w14:paraId="6148C03A" w14:textId="77777777" w:rsidTr="00D54AA0">
        <w:trPr>
          <w:trHeight w:val="226"/>
        </w:trPr>
        <w:tc>
          <w:tcPr>
            <w:tcW w:w="5143" w:type="dxa"/>
            <w:tcBorders>
              <w:top w:val="single" w:sz="4" w:space="0" w:color="auto"/>
              <w:left w:val="single" w:sz="4" w:space="0" w:color="auto"/>
              <w:bottom w:val="single" w:sz="4" w:space="0" w:color="auto"/>
              <w:right w:val="single" w:sz="4" w:space="0" w:color="auto"/>
            </w:tcBorders>
            <w:shd w:val="clear" w:color="auto" w:fill="0070C0"/>
          </w:tcPr>
          <w:p w14:paraId="2BE8E1DC" w14:textId="77777777" w:rsidR="001F0580" w:rsidRPr="000F3DB6" w:rsidRDefault="001F0580" w:rsidP="00D54AA0">
            <w:pPr>
              <w:rPr>
                <w:rFonts w:ascii="Calibri" w:eastAsia="Calibri" w:hAnsi="Calibri" w:cs="Times New Roman"/>
                <w:b/>
                <w:color w:val="FFFFFF"/>
                <w:lang w:val="en" w:eastAsia="en-AU"/>
              </w:rPr>
            </w:pPr>
          </w:p>
        </w:tc>
        <w:tc>
          <w:tcPr>
            <w:tcW w:w="3641" w:type="dxa"/>
            <w:tcBorders>
              <w:top w:val="single" w:sz="4" w:space="0" w:color="auto"/>
              <w:left w:val="single" w:sz="4" w:space="0" w:color="auto"/>
              <w:bottom w:val="single" w:sz="4" w:space="0" w:color="auto"/>
              <w:right w:val="single" w:sz="4" w:space="0" w:color="auto"/>
            </w:tcBorders>
            <w:shd w:val="clear" w:color="auto" w:fill="0070C0"/>
          </w:tcPr>
          <w:p w14:paraId="202D8B2B" w14:textId="77777777" w:rsidR="001F0580" w:rsidRPr="000F3DB6" w:rsidRDefault="001F0580" w:rsidP="00D54AA0">
            <w:pPr>
              <w:rPr>
                <w:rFonts w:ascii="Calibri" w:eastAsia="Calibri" w:hAnsi="Calibri" w:cs="Times New Roman"/>
                <w:b/>
                <w:color w:val="FFFFFF"/>
                <w:lang w:val="en" w:eastAsia="en-AU"/>
              </w:rPr>
            </w:pPr>
            <w:r w:rsidRPr="000F3DB6">
              <w:rPr>
                <w:rFonts w:ascii="Calibri" w:eastAsia="Calibri" w:hAnsi="Calibri" w:cs="Times New Roman"/>
                <w:b/>
                <w:color w:val="FFFFFF"/>
                <w:lang w:val="en" w:eastAsia="en-AU"/>
              </w:rPr>
              <w:t>Current</w:t>
            </w:r>
          </w:p>
        </w:tc>
        <w:tc>
          <w:tcPr>
            <w:tcW w:w="3730" w:type="dxa"/>
            <w:tcBorders>
              <w:top w:val="single" w:sz="4" w:space="0" w:color="auto"/>
              <w:left w:val="single" w:sz="4" w:space="0" w:color="auto"/>
              <w:bottom w:val="single" w:sz="4" w:space="0" w:color="auto"/>
              <w:right w:val="single" w:sz="4" w:space="0" w:color="auto"/>
            </w:tcBorders>
            <w:shd w:val="clear" w:color="auto" w:fill="0070C0"/>
          </w:tcPr>
          <w:p w14:paraId="0E40A6B9" w14:textId="77777777" w:rsidR="001F0580" w:rsidRPr="000F3DB6" w:rsidRDefault="001F0580" w:rsidP="00D54AA0">
            <w:pPr>
              <w:rPr>
                <w:rFonts w:ascii="Calibri" w:eastAsia="Calibri" w:hAnsi="Calibri" w:cs="Times New Roman"/>
                <w:b/>
                <w:color w:val="FFFFFF"/>
                <w:lang w:val="en" w:eastAsia="en-AU"/>
              </w:rPr>
            </w:pPr>
            <w:r w:rsidRPr="000F3DB6">
              <w:rPr>
                <w:rFonts w:ascii="Calibri" w:eastAsia="Calibri" w:hAnsi="Calibri" w:cs="Times New Roman"/>
                <w:b/>
                <w:color w:val="FFFFFF"/>
                <w:lang w:val="en" w:eastAsia="en-AU"/>
              </w:rPr>
              <w:t>Prior</w:t>
            </w:r>
          </w:p>
        </w:tc>
      </w:tr>
      <w:tr w:rsidR="001F0580" w:rsidRPr="000F3DB6" w14:paraId="165063D6" w14:textId="77777777" w:rsidTr="00930407">
        <w:trPr>
          <w:trHeight w:val="645"/>
        </w:trPr>
        <w:tc>
          <w:tcPr>
            <w:tcW w:w="5143" w:type="dxa"/>
            <w:tcBorders>
              <w:top w:val="single" w:sz="4" w:space="0" w:color="auto"/>
              <w:left w:val="single" w:sz="4" w:space="0" w:color="auto"/>
              <w:bottom w:val="single" w:sz="4" w:space="0" w:color="auto"/>
              <w:right w:val="single" w:sz="4" w:space="0" w:color="auto"/>
            </w:tcBorders>
          </w:tcPr>
          <w:p w14:paraId="3F0353AD" w14:textId="77777777" w:rsidR="001F0580" w:rsidRPr="000F3DB6" w:rsidRDefault="001F0580" w:rsidP="00D54AA0">
            <w:pPr>
              <w:rPr>
                <w:rFonts w:ascii="Calibri" w:eastAsia="Calibri" w:hAnsi="Calibri" w:cs="Times New Roman"/>
                <w:lang w:val="en" w:eastAsia="en-AU"/>
              </w:rPr>
            </w:pPr>
            <w:r w:rsidRPr="000F3DB6">
              <w:rPr>
                <w:rFonts w:ascii="Calibri" w:eastAsia="Calibri" w:hAnsi="Calibri" w:cs="Times New Roman"/>
              </w:rPr>
              <w:t>Ratio of Liquid Capital to Total Risk Requirement</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14BDC807" w14:textId="75B86E68" w:rsidR="001F0580" w:rsidRPr="000F3DB6" w:rsidRDefault="001F0580" w:rsidP="00D54AA0">
            <w:pPr>
              <w:rPr>
                <w:rFonts w:ascii="Calibri" w:eastAsia="Calibri" w:hAnsi="Calibri" w:cs="Times New Roman"/>
                <w:b/>
                <w:lang w:val="en" w:eastAsia="en-AU"/>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4FAF6206" w14:textId="51A5F1A4" w:rsidR="001F0580" w:rsidRPr="000F3DB6" w:rsidRDefault="001F0580" w:rsidP="00D54AA0">
            <w:pPr>
              <w:rPr>
                <w:rFonts w:ascii="Calibri" w:eastAsia="Calibri" w:hAnsi="Calibri" w:cs="Times New Roman"/>
                <w:b/>
                <w:lang w:val="en" w:eastAsia="en-AU"/>
              </w:rPr>
            </w:pPr>
          </w:p>
        </w:tc>
      </w:tr>
    </w:tbl>
    <w:p w14:paraId="42907AD7" w14:textId="3A0B72A8" w:rsidR="001F0580" w:rsidRDefault="001F0580" w:rsidP="00930407">
      <w:pPr>
        <w:spacing w:after="200" w:line="276" w:lineRule="auto"/>
        <w:contextualSpacing/>
        <w:rPr>
          <w:rFonts w:ascii="Calibri" w:eastAsia="Calibri" w:hAnsi="Calibri"/>
        </w:rPr>
      </w:pPr>
      <w:r w:rsidRPr="0080534A">
        <w:rPr>
          <w:rFonts w:ascii="Calibri" w:eastAsia="Calibri" w:hAnsi="Calibri"/>
        </w:rPr>
        <w:t xml:space="preserve">Liquid Capital must always be greater than the Total Risk Requirement. Should the ratio of Liquid Capital to Total Risk Requirement fall to 1.2 or less, </w:t>
      </w:r>
      <w:r>
        <w:rPr>
          <w:rFonts w:ascii="Calibri" w:eastAsia="Calibri" w:hAnsi="Calibri"/>
        </w:rPr>
        <w:t xml:space="preserve">you must notify </w:t>
      </w:r>
      <w:r w:rsidRPr="0080534A">
        <w:rPr>
          <w:rFonts w:ascii="Calibri" w:eastAsia="Calibri" w:hAnsi="Calibri"/>
        </w:rPr>
        <w:t>ASIC immediately.</w:t>
      </w:r>
    </w:p>
    <w:p w14:paraId="17C845DB" w14:textId="2D0081B2" w:rsidR="001F0580" w:rsidRDefault="001F0580" w:rsidP="00930407">
      <w:pPr>
        <w:spacing w:after="200" w:line="276" w:lineRule="auto"/>
        <w:contextualSpacing/>
        <w:rPr>
          <w:rFonts w:ascii="Calibri" w:hAnsi="Calibri"/>
          <w:color w:val="000000"/>
        </w:rPr>
      </w:pPr>
    </w:p>
    <w:p w14:paraId="077C5A11" w14:textId="205CF8FA" w:rsidR="001F0580" w:rsidRDefault="001F0580" w:rsidP="00930407">
      <w:pPr>
        <w:spacing w:after="200" w:line="276" w:lineRule="auto"/>
        <w:contextualSpacing/>
        <w:rPr>
          <w:rFonts w:ascii="Calibri" w:hAnsi="Calibri"/>
          <w:color w:val="000000"/>
        </w:rPr>
      </w:pPr>
    </w:p>
    <w:p w14:paraId="29C8654A" w14:textId="07E292E4" w:rsidR="00BF02F8" w:rsidRDefault="00BF02F8" w:rsidP="00930407">
      <w:pPr>
        <w:spacing w:after="200" w:line="276" w:lineRule="auto"/>
        <w:contextualSpacing/>
        <w:rPr>
          <w:rFonts w:ascii="Calibri" w:hAnsi="Calibri"/>
          <w:color w:val="000000"/>
        </w:rPr>
      </w:pPr>
    </w:p>
    <w:p w14:paraId="1A29E17D" w14:textId="53BC35C7" w:rsidR="00BF02F8" w:rsidRDefault="00BF02F8" w:rsidP="00930407">
      <w:pPr>
        <w:spacing w:after="200" w:line="276" w:lineRule="auto"/>
        <w:contextualSpacing/>
        <w:rPr>
          <w:rFonts w:ascii="Calibri" w:hAnsi="Calibri"/>
          <w:color w:val="000000"/>
        </w:rPr>
      </w:pPr>
    </w:p>
    <w:p w14:paraId="7667E410" w14:textId="0AA532AD" w:rsidR="00BF02F8" w:rsidRDefault="00BF02F8" w:rsidP="00930407">
      <w:pPr>
        <w:spacing w:after="200" w:line="276" w:lineRule="auto"/>
        <w:contextualSpacing/>
        <w:rPr>
          <w:rFonts w:ascii="Calibri" w:hAnsi="Calibri"/>
          <w:color w:val="000000"/>
        </w:rPr>
      </w:pPr>
    </w:p>
    <w:p w14:paraId="7E95C9DF" w14:textId="536E6499" w:rsidR="00BF02F8" w:rsidRDefault="00BF02F8" w:rsidP="00930407">
      <w:pPr>
        <w:spacing w:after="200" w:line="276" w:lineRule="auto"/>
        <w:contextualSpacing/>
        <w:rPr>
          <w:rFonts w:ascii="Calibri" w:hAnsi="Calibri"/>
          <w:color w:val="000000"/>
        </w:rPr>
      </w:pPr>
    </w:p>
    <w:p w14:paraId="4D1633B3" w14:textId="67CA2601" w:rsidR="00BF02F8" w:rsidRDefault="00BF02F8" w:rsidP="00930407">
      <w:pPr>
        <w:spacing w:after="200" w:line="276" w:lineRule="auto"/>
        <w:contextualSpacing/>
        <w:rPr>
          <w:rFonts w:ascii="Calibri" w:hAnsi="Calibri"/>
          <w:color w:val="000000"/>
        </w:rPr>
      </w:pPr>
    </w:p>
    <w:p w14:paraId="5120D53F" w14:textId="77777777" w:rsidR="00BF02F8" w:rsidRDefault="00BF02F8" w:rsidP="00930407">
      <w:pPr>
        <w:spacing w:after="200" w:line="276" w:lineRule="auto"/>
        <w:contextualSpacing/>
        <w:rPr>
          <w:rFonts w:ascii="Calibri" w:hAnsi="Calibri"/>
          <w:color w:val="000000"/>
        </w:rPr>
      </w:pPr>
    </w:p>
    <w:p w14:paraId="49B34186" w14:textId="011B80B9" w:rsidR="003A1BE7" w:rsidRPr="00930407" w:rsidRDefault="001F0580" w:rsidP="00930407">
      <w:pPr>
        <w:spacing w:after="0"/>
        <w:outlineLvl w:val="3"/>
        <w:rPr>
          <w:rFonts w:ascii="Calibri" w:hAnsi="Calibri"/>
          <w:b/>
          <w:bCs/>
          <w:color w:val="0070C0"/>
          <w:sz w:val="32"/>
          <w:szCs w:val="32"/>
        </w:rPr>
      </w:pPr>
      <w:r w:rsidRPr="00930407">
        <w:rPr>
          <w:rFonts w:ascii="Calibri" w:hAnsi="Calibri"/>
          <w:b/>
          <w:bCs/>
          <w:color w:val="0070C0"/>
          <w:sz w:val="32"/>
          <w:szCs w:val="32"/>
        </w:rPr>
        <w:t>Credit facilities and overdraft</w:t>
      </w:r>
    </w:p>
    <w:p w14:paraId="1725E006" w14:textId="230FFD1B" w:rsidR="001F0580" w:rsidRDefault="001F0580" w:rsidP="00930407">
      <w:pPr>
        <w:spacing w:after="200" w:line="276" w:lineRule="auto"/>
        <w:contextualSpacing/>
        <w:rPr>
          <w:rFonts w:ascii="Calibri" w:hAnsi="Calibri"/>
          <w:color w:val="000000"/>
        </w:rPr>
      </w:pPr>
    </w:p>
    <w:tbl>
      <w:tblPr>
        <w:tblStyle w:val="TableGrid12"/>
        <w:tblW w:w="0" w:type="auto"/>
        <w:tblLook w:val="04A0" w:firstRow="1" w:lastRow="0" w:firstColumn="1" w:lastColumn="0" w:noHBand="0" w:noVBand="1"/>
      </w:tblPr>
      <w:tblGrid>
        <w:gridCol w:w="981"/>
        <w:gridCol w:w="3726"/>
        <w:gridCol w:w="2977"/>
        <w:gridCol w:w="4266"/>
      </w:tblGrid>
      <w:tr w:rsidR="00EB6CF4" w:rsidRPr="0080534A" w14:paraId="51A1E500" w14:textId="77777777" w:rsidTr="00356C9C">
        <w:tc>
          <w:tcPr>
            <w:tcW w:w="11950" w:type="dxa"/>
            <w:gridSpan w:val="4"/>
            <w:shd w:val="clear" w:color="auto" w:fill="0070C0"/>
          </w:tcPr>
          <w:p w14:paraId="75D39902" w14:textId="69D4CB18" w:rsidR="00EB6CF4" w:rsidRPr="0080534A" w:rsidRDefault="00EB6CF4" w:rsidP="00D54AA0">
            <w:pPr>
              <w:rPr>
                <w:rFonts w:ascii="Calibri" w:eastAsia="Calibri" w:hAnsi="Calibri"/>
                <w:b/>
                <w:color w:val="FFFFFF"/>
                <w:lang w:val="en"/>
              </w:rPr>
            </w:pPr>
            <w:r>
              <w:rPr>
                <w:rFonts w:ascii="Calibri" w:eastAsia="Calibri" w:hAnsi="Calibri"/>
                <w:b/>
                <w:color w:val="FFFFFF"/>
                <w:lang w:val="en"/>
              </w:rPr>
              <w:t>Standby credit facilities granted in favour of the Market Participant</w:t>
            </w:r>
          </w:p>
        </w:tc>
      </w:tr>
      <w:tr w:rsidR="00726E9C" w:rsidRPr="0080534A" w14:paraId="686CF479" w14:textId="77777777" w:rsidTr="00930407">
        <w:tc>
          <w:tcPr>
            <w:tcW w:w="981" w:type="dxa"/>
            <w:shd w:val="clear" w:color="auto" w:fill="0070C0"/>
          </w:tcPr>
          <w:p w14:paraId="64230397" w14:textId="77777777" w:rsidR="00726E9C" w:rsidRPr="0080534A" w:rsidRDefault="00726E9C" w:rsidP="00D54AA0">
            <w:pPr>
              <w:rPr>
                <w:rFonts w:ascii="Calibri" w:eastAsia="Calibri" w:hAnsi="Calibri" w:cs="Times New Roman"/>
                <w:b/>
                <w:color w:val="FFFFFF"/>
                <w:lang w:val="en" w:eastAsia="en-AU"/>
              </w:rPr>
            </w:pPr>
            <w:r w:rsidRPr="0080534A">
              <w:rPr>
                <w:rFonts w:ascii="Calibri" w:eastAsia="Calibri" w:hAnsi="Calibri" w:cs="Times New Roman"/>
                <w:b/>
                <w:color w:val="FFFFFF"/>
                <w:lang w:val="en" w:eastAsia="en-AU"/>
              </w:rPr>
              <w:t>Type</w:t>
            </w:r>
          </w:p>
        </w:tc>
        <w:tc>
          <w:tcPr>
            <w:tcW w:w="3726" w:type="dxa"/>
            <w:shd w:val="clear" w:color="auto" w:fill="0070C0"/>
          </w:tcPr>
          <w:p w14:paraId="2E4DA03B" w14:textId="77777777" w:rsidR="00726E9C" w:rsidRPr="0080534A" w:rsidRDefault="00726E9C" w:rsidP="00D54AA0">
            <w:pPr>
              <w:rPr>
                <w:rFonts w:ascii="Calibri" w:eastAsia="Calibri" w:hAnsi="Calibri" w:cs="Times New Roman"/>
                <w:b/>
                <w:color w:val="FFFFFF"/>
                <w:lang w:val="en" w:eastAsia="en-AU"/>
              </w:rPr>
            </w:pPr>
            <w:r w:rsidRPr="0080534A">
              <w:rPr>
                <w:rFonts w:ascii="Calibri" w:eastAsia="Calibri" w:hAnsi="Calibri" w:cs="Times New Roman"/>
                <w:b/>
                <w:color w:val="FFFFFF"/>
                <w:lang w:val="en" w:eastAsia="en-AU"/>
              </w:rPr>
              <w:t>Full name of provider</w:t>
            </w:r>
          </w:p>
        </w:tc>
        <w:tc>
          <w:tcPr>
            <w:tcW w:w="2977" w:type="dxa"/>
            <w:shd w:val="clear" w:color="auto" w:fill="0070C0"/>
          </w:tcPr>
          <w:p w14:paraId="7308D23E" w14:textId="77777777" w:rsidR="00726E9C" w:rsidRPr="0080534A" w:rsidRDefault="00726E9C" w:rsidP="00D54AA0">
            <w:pPr>
              <w:rPr>
                <w:rFonts w:ascii="Calibri" w:eastAsia="Calibri" w:hAnsi="Calibri" w:cs="Times New Roman"/>
                <w:b/>
                <w:color w:val="FFFFFF"/>
                <w:lang w:val="en" w:eastAsia="en-AU"/>
              </w:rPr>
            </w:pPr>
            <w:r w:rsidRPr="0080534A">
              <w:rPr>
                <w:rFonts w:ascii="Calibri" w:eastAsia="Calibri" w:hAnsi="Calibri" w:cs="Times New Roman"/>
                <w:b/>
                <w:color w:val="FFFFFF"/>
                <w:lang w:val="en" w:eastAsia="en-AU"/>
              </w:rPr>
              <w:t>Terms and availability</w:t>
            </w:r>
          </w:p>
        </w:tc>
        <w:tc>
          <w:tcPr>
            <w:tcW w:w="4266" w:type="dxa"/>
            <w:shd w:val="clear" w:color="auto" w:fill="0070C0"/>
          </w:tcPr>
          <w:p w14:paraId="34769A6C" w14:textId="77777777" w:rsidR="00726E9C" w:rsidRPr="0080534A" w:rsidRDefault="00726E9C" w:rsidP="00D54AA0">
            <w:pPr>
              <w:rPr>
                <w:rFonts w:ascii="Calibri" w:eastAsia="Calibri" w:hAnsi="Calibri" w:cs="Times New Roman"/>
                <w:b/>
                <w:color w:val="FFFFFF"/>
                <w:lang w:val="en" w:eastAsia="en-AU"/>
              </w:rPr>
            </w:pPr>
            <w:r w:rsidRPr="0080534A">
              <w:rPr>
                <w:rFonts w:ascii="Calibri" w:eastAsia="Calibri" w:hAnsi="Calibri" w:cs="Times New Roman"/>
                <w:b/>
                <w:color w:val="FFFFFF"/>
                <w:lang w:val="en" w:eastAsia="en-AU"/>
              </w:rPr>
              <w:t>Amount of limit</w:t>
            </w:r>
          </w:p>
        </w:tc>
      </w:tr>
      <w:tr w:rsidR="00726E9C" w:rsidRPr="0080534A" w14:paraId="7804D822" w14:textId="77777777" w:rsidTr="00930407">
        <w:tc>
          <w:tcPr>
            <w:tcW w:w="981" w:type="dxa"/>
          </w:tcPr>
          <w:p w14:paraId="5F671B79" w14:textId="124CEB4B" w:rsidR="00726E9C" w:rsidRPr="004C1E44" w:rsidRDefault="00726E9C" w:rsidP="00930407">
            <w:pPr>
              <w:spacing w:after="0"/>
              <w:contextualSpacing/>
              <w:rPr>
                <w:rFonts w:ascii="Calibri" w:eastAsia="Calibri" w:hAnsi="Calibri" w:cs="Times New Roman"/>
                <w:b/>
                <w:bCs/>
                <w:i/>
                <w:iCs/>
              </w:rPr>
            </w:pPr>
          </w:p>
        </w:tc>
        <w:tc>
          <w:tcPr>
            <w:tcW w:w="3726" w:type="dxa"/>
          </w:tcPr>
          <w:p w14:paraId="51D94A91" w14:textId="77777777" w:rsidR="00726E9C" w:rsidRPr="004C1E44" w:rsidRDefault="00726E9C" w:rsidP="00726E9C">
            <w:pPr>
              <w:rPr>
                <w:rFonts w:ascii="Calibri" w:eastAsia="Calibri" w:hAnsi="Calibri" w:cs="Times New Roman"/>
                <w:b/>
                <w:bCs/>
                <w:i/>
                <w:iCs/>
              </w:rPr>
            </w:pPr>
          </w:p>
        </w:tc>
        <w:tc>
          <w:tcPr>
            <w:tcW w:w="2977" w:type="dxa"/>
          </w:tcPr>
          <w:p w14:paraId="03D5687C" w14:textId="77777777" w:rsidR="00726E9C" w:rsidRPr="004C1E44" w:rsidRDefault="00726E9C" w:rsidP="00930407">
            <w:pPr>
              <w:spacing w:after="0"/>
              <w:contextualSpacing/>
              <w:rPr>
                <w:rFonts w:ascii="Calibri" w:eastAsia="Calibri" w:hAnsi="Calibri" w:cs="Times New Roman"/>
                <w:b/>
                <w:bCs/>
                <w:i/>
                <w:iCs/>
              </w:rPr>
            </w:pPr>
          </w:p>
        </w:tc>
        <w:tc>
          <w:tcPr>
            <w:tcW w:w="4266" w:type="dxa"/>
          </w:tcPr>
          <w:p w14:paraId="422E7A3B" w14:textId="33E3CE9D" w:rsidR="00726E9C" w:rsidRPr="004C1E44" w:rsidRDefault="00726E9C" w:rsidP="00D54AA0">
            <w:pPr>
              <w:rPr>
                <w:rFonts w:ascii="Calibri" w:eastAsia="Calibri" w:hAnsi="Calibri" w:cs="Times New Roman"/>
                <w:b/>
                <w:bCs/>
                <w:i/>
                <w:iCs/>
              </w:rPr>
            </w:pPr>
          </w:p>
        </w:tc>
      </w:tr>
      <w:tr w:rsidR="00726E9C" w:rsidRPr="0080534A" w14:paraId="0B23B826" w14:textId="77777777" w:rsidTr="00930407">
        <w:tc>
          <w:tcPr>
            <w:tcW w:w="981" w:type="dxa"/>
          </w:tcPr>
          <w:p w14:paraId="77DEE211" w14:textId="56440476" w:rsidR="00726E9C" w:rsidRPr="00852294" w:rsidRDefault="00726E9C" w:rsidP="00D54AA0">
            <w:pPr>
              <w:rPr>
                <w:rFonts w:ascii="Calibri" w:eastAsia="Calibri" w:hAnsi="Calibri" w:cs="Times New Roman"/>
                <w:b/>
                <w:lang w:val="en" w:eastAsia="en-AU"/>
              </w:rPr>
            </w:pPr>
            <w:r w:rsidRPr="00852294">
              <w:rPr>
                <w:rFonts w:ascii="Calibri" w:eastAsia="Calibri" w:hAnsi="Calibri" w:cs="Times New Roman"/>
                <w:b/>
                <w:lang w:val="en" w:eastAsia="en-AU"/>
              </w:rPr>
              <w:t>Total standby credit facilities</w:t>
            </w:r>
          </w:p>
        </w:tc>
        <w:tc>
          <w:tcPr>
            <w:tcW w:w="3726" w:type="dxa"/>
          </w:tcPr>
          <w:p w14:paraId="7508CF8B" w14:textId="410CBE0C" w:rsidR="00726E9C" w:rsidRPr="00852294" w:rsidRDefault="00726E9C" w:rsidP="00D54AA0">
            <w:pPr>
              <w:rPr>
                <w:rFonts w:ascii="Calibri" w:eastAsia="Calibri" w:hAnsi="Calibri" w:cs="Times New Roman"/>
                <w:lang w:val="en" w:eastAsia="en-AU"/>
              </w:rPr>
            </w:pPr>
          </w:p>
        </w:tc>
        <w:tc>
          <w:tcPr>
            <w:tcW w:w="2977" w:type="dxa"/>
          </w:tcPr>
          <w:p w14:paraId="6E0F01DA" w14:textId="77777777" w:rsidR="00726E9C" w:rsidRPr="00852294" w:rsidRDefault="00726E9C" w:rsidP="00D54AA0">
            <w:pPr>
              <w:rPr>
                <w:rFonts w:ascii="Calibri" w:eastAsia="Calibri" w:hAnsi="Calibri" w:cs="Times New Roman"/>
                <w:lang w:val="en" w:eastAsia="en-AU"/>
              </w:rPr>
            </w:pPr>
          </w:p>
          <w:p w14:paraId="50C6F9DC" w14:textId="77777777" w:rsidR="00726E9C" w:rsidRPr="004C1E44" w:rsidRDefault="00726E9C" w:rsidP="00D54AA0">
            <w:pPr>
              <w:rPr>
                <w:rFonts w:ascii="Calibri" w:eastAsia="Calibri" w:hAnsi="Calibri" w:cs="Times New Roman"/>
                <w:b/>
                <w:bCs/>
                <w:i/>
                <w:iCs/>
              </w:rPr>
            </w:pPr>
          </w:p>
        </w:tc>
        <w:tc>
          <w:tcPr>
            <w:tcW w:w="4266" w:type="dxa"/>
          </w:tcPr>
          <w:p w14:paraId="7C6C5BE3" w14:textId="77777777" w:rsidR="00726E9C" w:rsidRPr="004C1E44" w:rsidRDefault="00726E9C" w:rsidP="00D54AA0">
            <w:pPr>
              <w:rPr>
                <w:rFonts w:ascii="Calibri" w:eastAsia="Calibri" w:hAnsi="Calibri" w:cs="Times New Roman"/>
                <w:b/>
                <w:bCs/>
                <w:i/>
                <w:iCs/>
              </w:rPr>
            </w:pPr>
          </w:p>
        </w:tc>
      </w:tr>
    </w:tbl>
    <w:p w14:paraId="277C1FCF" w14:textId="2CBF90D5" w:rsidR="001F0580" w:rsidRPr="00930407" w:rsidRDefault="001F0580" w:rsidP="001A4322">
      <w:pPr>
        <w:pStyle w:val="ListParagraph"/>
        <w:numPr>
          <w:ilvl w:val="0"/>
          <w:numId w:val="82"/>
        </w:numPr>
        <w:spacing w:after="200" w:line="276" w:lineRule="auto"/>
        <w:rPr>
          <w:rFonts w:asciiTheme="minorHAnsi" w:hAnsiTheme="minorHAnsi"/>
          <w:color w:val="000000"/>
        </w:rPr>
      </w:pPr>
      <w:r w:rsidRPr="00930407">
        <w:rPr>
          <w:rFonts w:asciiTheme="minorHAnsi" w:hAnsiTheme="minorHAnsi"/>
        </w:rPr>
        <w:t xml:space="preserve">You can select more than one type of facility. </w:t>
      </w:r>
    </w:p>
    <w:p w14:paraId="376DB942" w14:textId="451BD4EF" w:rsidR="001F0580" w:rsidRPr="00930407" w:rsidRDefault="001F0580" w:rsidP="001A4322">
      <w:pPr>
        <w:pStyle w:val="ListParagraph"/>
        <w:numPr>
          <w:ilvl w:val="0"/>
          <w:numId w:val="82"/>
        </w:numPr>
        <w:spacing w:after="200" w:line="276" w:lineRule="auto"/>
        <w:rPr>
          <w:rFonts w:asciiTheme="minorHAnsi" w:hAnsiTheme="minorHAnsi"/>
          <w:color w:val="000000"/>
        </w:rPr>
      </w:pPr>
      <w:r w:rsidRPr="00930407">
        <w:rPr>
          <w:rFonts w:asciiTheme="minorHAnsi" w:hAnsiTheme="minorHAnsi"/>
        </w:rPr>
        <w:t>If a Participant has no credit/overdraft, enter 'No Facility' in ‘Type’, Nil in 'Full name of provider’, 'Terms and availability’, and $0 in ‘Amount’.</w:t>
      </w: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0"/>
      </w:tblGrid>
      <w:tr w:rsidR="001F0580" w:rsidRPr="0080534A" w14:paraId="27C5C628" w14:textId="77777777" w:rsidTr="00D54AA0">
        <w:trPr>
          <w:trHeight w:val="611"/>
        </w:trPr>
        <w:tc>
          <w:tcPr>
            <w:tcW w:w="8410" w:type="dxa"/>
            <w:tcBorders>
              <w:top w:val="single" w:sz="4" w:space="0" w:color="auto"/>
              <w:left w:val="single" w:sz="4" w:space="0" w:color="auto"/>
              <w:bottom w:val="single" w:sz="4" w:space="0" w:color="auto"/>
              <w:right w:val="single" w:sz="4" w:space="0" w:color="auto"/>
            </w:tcBorders>
            <w:shd w:val="clear" w:color="auto" w:fill="0070C0"/>
          </w:tcPr>
          <w:p w14:paraId="5B3F55A7" w14:textId="151C368A" w:rsidR="001F0580" w:rsidRPr="0080534A" w:rsidRDefault="001C79C2" w:rsidP="00D54AA0">
            <w:pPr>
              <w:rPr>
                <w:rFonts w:ascii="Calibri" w:eastAsia="Calibri" w:hAnsi="Calibri" w:cs="Times New Roman"/>
                <w:b/>
                <w:bCs/>
                <w:iCs/>
                <w:color w:val="FFFFFF"/>
              </w:rPr>
            </w:pPr>
            <w:r w:rsidRPr="001C79C2">
              <w:rPr>
                <w:rFonts w:ascii="Calibri" w:eastAsia="Calibri" w:hAnsi="Calibri" w:cs="Times New Roman"/>
                <w:b/>
                <w:bCs/>
                <w:iCs/>
                <w:color w:val="FFFFFF"/>
              </w:rPr>
              <w:t xml:space="preserve">Describe </w:t>
            </w:r>
            <w:r w:rsidR="00A21922">
              <w:rPr>
                <w:rFonts w:ascii="Calibri" w:eastAsia="Calibri" w:hAnsi="Calibri" w:cs="Times New Roman"/>
                <w:b/>
                <w:bCs/>
                <w:iCs/>
                <w:color w:val="FFFFFF"/>
              </w:rPr>
              <w:t>S</w:t>
            </w:r>
            <w:r w:rsidRPr="001C79C2">
              <w:rPr>
                <w:rFonts w:ascii="Calibri" w:eastAsia="Calibri" w:hAnsi="Calibri" w:cs="Times New Roman"/>
                <w:b/>
                <w:bCs/>
                <w:iCs/>
                <w:color w:val="FFFFFF"/>
              </w:rPr>
              <w:t xml:space="preserve">ecurity given to </w:t>
            </w:r>
            <w:r w:rsidR="00A21922">
              <w:rPr>
                <w:rFonts w:ascii="Calibri" w:eastAsia="Calibri" w:hAnsi="Calibri" w:cs="Times New Roman"/>
                <w:b/>
                <w:bCs/>
                <w:iCs/>
                <w:color w:val="FFFFFF"/>
              </w:rPr>
              <w:t>P</w:t>
            </w:r>
            <w:r w:rsidRPr="001C79C2">
              <w:rPr>
                <w:rFonts w:ascii="Calibri" w:eastAsia="Calibri" w:hAnsi="Calibri" w:cs="Times New Roman"/>
                <w:b/>
                <w:bCs/>
                <w:iCs/>
                <w:color w:val="FFFFFF"/>
              </w:rPr>
              <w:t>rovider(s), together with any other comments considered relevant</w:t>
            </w:r>
            <w:r w:rsidRPr="001C79C2" w:rsidDel="002B5C62">
              <w:rPr>
                <w:rFonts w:ascii="Calibri" w:eastAsia="Calibri" w:hAnsi="Calibri" w:cs="Times New Roman"/>
                <w:b/>
                <w:bCs/>
                <w:iCs/>
                <w:color w:val="FFFFFF"/>
              </w:rPr>
              <w:t xml:space="preserve"> </w:t>
            </w:r>
          </w:p>
        </w:tc>
      </w:tr>
      <w:tr w:rsidR="001F0580" w:rsidRPr="0080534A" w14:paraId="2F021B2B" w14:textId="77777777" w:rsidTr="00D54AA0">
        <w:trPr>
          <w:trHeight w:val="2197"/>
        </w:trPr>
        <w:tc>
          <w:tcPr>
            <w:tcW w:w="8410" w:type="dxa"/>
            <w:tcBorders>
              <w:top w:val="single" w:sz="4" w:space="0" w:color="auto"/>
              <w:left w:val="single" w:sz="4" w:space="0" w:color="auto"/>
              <w:bottom w:val="single" w:sz="4" w:space="0" w:color="auto"/>
              <w:right w:val="single" w:sz="4" w:space="0" w:color="auto"/>
            </w:tcBorders>
          </w:tcPr>
          <w:p w14:paraId="694FA1E1" w14:textId="76650ED1" w:rsidR="001F0580" w:rsidRPr="0080534A" w:rsidRDefault="001F0580" w:rsidP="00D54AA0">
            <w:pPr>
              <w:rPr>
                <w:rFonts w:ascii="Calibri" w:eastAsia="Calibri" w:hAnsi="Calibri" w:cs="Times New Roman"/>
                <w:b/>
                <w:bCs/>
                <w:iCs/>
              </w:rPr>
            </w:pPr>
          </w:p>
        </w:tc>
      </w:tr>
    </w:tbl>
    <w:p w14:paraId="0B743285" w14:textId="03C2D3E3" w:rsidR="003A1BE7" w:rsidRDefault="003A1BE7" w:rsidP="00930407">
      <w:pPr>
        <w:spacing w:after="200" w:line="276" w:lineRule="auto"/>
        <w:contextualSpacing/>
        <w:rPr>
          <w:rFonts w:ascii="Calibri" w:hAnsi="Calibri"/>
          <w:color w:val="000000"/>
        </w:rPr>
      </w:pPr>
    </w:p>
    <w:p w14:paraId="0788B6AE" w14:textId="6F54063D" w:rsidR="001F0580" w:rsidRDefault="001F0580" w:rsidP="001F0580">
      <w:pPr>
        <w:spacing w:after="200" w:line="276" w:lineRule="auto"/>
        <w:contextualSpacing/>
        <w:rPr>
          <w:rFonts w:ascii="Calibri" w:eastAsia="Calibri" w:hAnsi="Calibri"/>
        </w:rPr>
      </w:pPr>
    </w:p>
    <w:p w14:paraId="05804A0D" w14:textId="25A579D0" w:rsidR="00CB3EA5" w:rsidRDefault="00CB3EA5" w:rsidP="001F0580">
      <w:pPr>
        <w:spacing w:after="200" w:line="276" w:lineRule="auto"/>
        <w:contextualSpacing/>
        <w:rPr>
          <w:rFonts w:ascii="Calibri" w:eastAsia="Calibri" w:hAnsi="Calibri"/>
        </w:rPr>
      </w:pPr>
    </w:p>
    <w:p w14:paraId="583EF707" w14:textId="77777777" w:rsidR="00CB3EA5" w:rsidRDefault="00CB3EA5" w:rsidP="001F0580">
      <w:pPr>
        <w:spacing w:after="200" w:line="276" w:lineRule="auto"/>
        <w:contextualSpacing/>
        <w:rPr>
          <w:rFonts w:ascii="Calibri" w:eastAsia="Calibri" w:hAnsi="Calibri"/>
        </w:rPr>
      </w:pPr>
    </w:p>
    <w:p w14:paraId="22D4DB66" w14:textId="6CE583A9" w:rsidR="001F0580" w:rsidRDefault="001F0580" w:rsidP="00930407">
      <w:pPr>
        <w:spacing w:after="0"/>
        <w:outlineLvl w:val="3"/>
        <w:rPr>
          <w:rFonts w:ascii="Calibri" w:hAnsi="Calibri"/>
          <w:b/>
          <w:bCs/>
          <w:color w:val="0070C0"/>
          <w:sz w:val="32"/>
          <w:szCs w:val="32"/>
        </w:rPr>
      </w:pPr>
      <w:r w:rsidRPr="00930407">
        <w:rPr>
          <w:rFonts w:ascii="Calibri" w:hAnsi="Calibri"/>
          <w:b/>
          <w:bCs/>
          <w:color w:val="0070C0"/>
          <w:sz w:val="32"/>
          <w:szCs w:val="32"/>
        </w:rPr>
        <w:t>Additional comments</w:t>
      </w:r>
    </w:p>
    <w:p w14:paraId="3BF8D2EC" w14:textId="77777777" w:rsidR="005730B6" w:rsidRPr="00930407" w:rsidRDefault="005730B6" w:rsidP="00930407">
      <w:pPr>
        <w:spacing w:after="0"/>
        <w:outlineLvl w:val="3"/>
        <w:rPr>
          <w:rFonts w:ascii="Calibri" w:hAnsi="Calibri"/>
          <w:b/>
          <w:bCs/>
          <w:color w:val="0070C0"/>
          <w:sz w:val="32"/>
          <w:szCs w:val="32"/>
        </w:rPr>
      </w:pPr>
    </w:p>
    <w:tbl>
      <w:tblPr>
        <w:tblStyle w:val="TableGrid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2"/>
      </w:tblGrid>
      <w:tr w:rsidR="001F0580" w:rsidRPr="0063181D" w14:paraId="0106C0A0" w14:textId="77777777" w:rsidTr="00D54AA0">
        <w:trPr>
          <w:trHeight w:val="309"/>
        </w:trPr>
        <w:tc>
          <w:tcPr>
            <w:tcW w:w="6332" w:type="dxa"/>
            <w:tcBorders>
              <w:top w:val="single" w:sz="4" w:space="0" w:color="auto"/>
              <w:left w:val="single" w:sz="4" w:space="0" w:color="auto"/>
              <w:bottom w:val="single" w:sz="4" w:space="0" w:color="auto"/>
              <w:right w:val="single" w:sz="4" w:space="0" w:color="auto"/>
            </w:tcBorders>
            <w:shd w:val="clear" w:color="auto" w:fill="0070C0"/>
          </w:tcPr>
          <w:p w14:paraId="5AF195A5" w14:textId="77777777" w:rsidR="001F0580" w:rsidRPr="0063181D" w:rsidRDefault="001F0580" w:rsidP="00D54AA0">
            <w:pPr>
              <w:rPr>
                <w:rFonts w:ascii="Calibri" w:eastAsia="Calibri" w:hAnsi="Calibri" w:cs="Times New Roman"/>
                <w:b/>
                <w:bCs/>
                <w:iCs/>
                <w:color w:val="FFFFFF"/>
              </w:rPr>
            </w:pPr>
            <w:r w:rsidRPr="0038469E">
              <w:rPr>
                <w:rFonts w:ascii="Calibri" w:eastAsia="Calibri" w:hAnsi="Calibri" w:cs="Times New Roman"/>
                <w:b/>
                <w:bCs/>
                <w:iCs/>
                <w:color w:val="FFFFFF" w:themeColor="background1"/>
              </w:rPr>
              <w:t>Use this comment section to include any additional information you consider relevant for this return</w:t>
            </w:r>
          </w:p>
        </w:tc>
      </w:tr>
      <w:tr w:rsidR="001F0580" w:rsidRPr="000F3DB6" w14:paraId="703D80A1" w14:textId="77777777" w:rsidTr="00D54AA0">
        <w:trPr>
          <w:trHeight w:val="2223"/>
        </w:trPr>
        <w:tc>
          <w:tcPr>
            <w:tcW w:w="6332" w:type="dxa"/>
            <w:tcBorders>
              <w:top w:val="single" w:sz="4" w:space="0" w:color="auto"/>
              <w:left w:val="single" w:sz="4" w:space="0" w:color="auto"/>
              <w:bottom w:val="single" w:sz="4" w:space="0" w:color="auto"/>
              <w:right w:val="single" w:sz="4" w:space="0" w:color="auto"/>
            </w:tcBorders>
          </w:tcPr>
          <w:p w14:paraId="7B1859E4" w14:textId="5D62C4CF" w:rsidR="001F0580" w:rsidRPr="000F3DB6" w:rsidRDefault="001F0580" w:rsidP="00D54AA0">
            <w:pPr>
              <w:rPr>
                <w:rFonts w:ascii="Calibri" w:eastAsia="Calibri" w:hAnsi="Calibri" w:cs="Times New Roman"/>
                <w:b/>
                <w:bCs/>
                <w:iCs/>
              </w:rPr>
            </w:pPr>
            <w:r w:rsidRPr="000F3DB6">
              <w:rPr>
                <w:rFonts w:ascii="Calibri" w:eastAsia="Calibri" w:hAnsi="Calibri"/>
                <w:noProof/>
                <w:color w:val="984806"/>
              </w:rPr>
              <w:lastRenderedPageBreak/>
              <w:drawing>
                <wp:inline distT="0" distB="0" distL="0" distR="0" wp14:anchorId="027C8F29" wp14:editId="7F8CD64E">
                  <wp:extent cx="3590925" cy="1228725"/>
                  <wp:effectExtent l="0" t="0" r="9525" b="9525"/>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619320" cy="1238441"/>
                          </a:xfrm>
                          <a:prstGeom prst="rect">
                            <a:avLst/>
                          </a:prstGeom>
                          <a:noFill/>
                          <a:ln>
                            <a:noFill/>
                          </a:ln>
                        </pic:spPr>
                      </pic:pic>
                    </a:graphicData>
                  </a:graphic>
                </wp:inline>
              </w:drawing>
            </w:r>
          </w:p>
        </w:tc>
      </w:tr>
    </w:tbl>
    <w:p w14:paraId="78B4A476" w14:textId="45163848" w:rsidR="003A1BE7" w:rsidRDefault="003A1BE7" w:rsidP="00930407">
      <w:pPr>
        <w:spacing w:after="200" w:line="276" w:lineRule="auto"/>
        <w:contextualSpacing/>
        <w:rPr>
          <w:rFonts w:ascii="Calibri" w:hAnsi="Calibri"/>
          <w:color w:val="000000"/>
        </w:rPr>
      </w:pPr>
    </w:p>
    <w:p w14:paraId="30AF7CC7" w14:textId="3342CB4E" w:rsidR="00F40ADE" w:rsidRDefault="00F40ADE">
      <w:pPr>
        <w:spacing w:after="0"/>
        <w:rPr>
          <w:rFonts w:ascii="Arial" w:eastAsia="Arial Narrow" w:hAnsi="Arial" w:cs="Arial"/>
          <w:b/>
          <w:position w:val="-1"/>
          <w:sz w:val="26"/>
          <w:szCs w:val="26"/>
        </w:rPr>
        <w:sectPr w:rsidR="00F40ADE" w:rsidSect="00F40ADE">
          <w:headerReference w:type="even" r:id="rId87"/>
          <w:headerReference w:type="default" r:id="rId88"/>
          <w:footerReference w:type="default" r:id="rId89"/>
          <w:headerReference w:type="first" r:id="rId90"/>
          <w:type w:val="continuous"/>
          <w:pgSz w:w="16840" w:h="11920" w:orient="landscape"/>
          <w:pgMar w:top="1440" w:right="1440" w:bottom="1440" w:left="1440" w:header="567" w:footer="567" w:gutter="0"/>
          <w:cols w:space="720"/>
          <w:docGrid w:linePitch="299"/>
        </w:sectPr>
      </w:pPr>
    </w:p>
    <w:p w14:paraId="442F4741" w14:textId="5CA8AAA6" w:rsidR="002E03A9" w:rsidRPr="0033698E" w:rsidRDefault="002E03A9" w:rsidP="00081508">
      <w:pPr>
        <w:pStyle w:val="MIRHeading2Part"/>
        <w:spacing w:before="360"/>
        <w:rPr>
          <w:rFonts w:eastAsia="Arial"/>
        </w:rPr>
      </w:pPr>
      <w:bookmarkStart w:id="118" w:name="_Toc383357307"/>
      <w:bookmarkStart w:id="119" w:name="_Toc27492614"/>
      <w:r w:rsidRPr="0033698E">
        <w:rPr>
          <w:rFonts w:eastAsia="Arial"/>
        </w:rPr>
        <w:lastRenderedPageBreak/>
        <w:t>Schedu</w:t>
      </w:r>
      <w:r w:rsidRPr="00081508">
        <w:rPr>
          <w:rFonts w:eastAsia="Arial"/>
        </w:rPr>
        <w:t>l</w:t>
      </w:r>
      <w:r w:rsidRPr="0033698E">
        <w:rPr>
          <w:rFonts w:eastAsia="Arial"/>
        </w:rPr>
        <w:t>e</w:t>
      </w:r>
      <w:r w:rsidRPr="00081508">
        <w:rPr>
          <w:rFonts w:eastAsia="Arial"/>
        </w:rPr>
        <w:t xml:space="preserve"> </w:t>
      </w:r>
      <w:r w:rsidRPr="0033698E">
        <w:rPr>
          <w:rFonts w:eastAsia="Arial"/>
        </w:rPr>
        <w:t>1C</w:t>
      </w:r>
      <w:r w:rsidRPr="00081508">
        <w:rPr>
          <w:rFonts w:eastAsia="Arial"/>
        </w:rPr>
        <w:t xml:space="preserve"> </w:t>
      </w:r>
      <w:r w:rsidRPr="0033698E">
        <w:rPr>
          <w:rFonts w:eastAsia="Arial"/>
        </w:rPr>
        <w:t>Form</w:t>
      </w:r>
      <w:r w:rsidRPr="00081508">
        <w:rPr>
          <w:rFonts w:eastAsia="Arial"/>
        </w:rPr>
        <w:t xml:space="preserve"> </w:t>
      </w:r>
      <w:r w:rsidRPr="0033698E">
        <w:rPr>
          <w:rFonts w:eastAsia="Arial"/>
        </w:rPr>
        <w:t>5: Risk</w:t>
      </w:r>
      <w:r w:rsidR="00D973E2">
        <w:rPr>
          <w:rFonts w:eastAsia="Arial"/>
        </w:rPr>
        <w:t>-</w:t>
      </w:r>
      <w:r w:rsidRPr="0033698E">
        <w:rPr>
          <w:rFonts w:eastAsia="Arial"/>
        </w:rPr>
        <w:t>Bas</w:t>
      </w:r>
      <w:r w:rsidRPr="00081508">
        <w:rPr>
          <w:rFonts w:eastAsia="Arial"/>
        </w:rPr>
        <w:t>e</w:t>
      </w:r>
      <w:r w:rsidRPr="0033698E">
        <w:rPr>
          <w:rFonts w:eastAsia="Arial"/>
        </w:rPr>
        <w:t>d</w:t>
      </w:r>
      <w:r w:rsidRPr="00081508">
        <w:rPr>
          <w:rFonts w:eastAsia="Arial"/>
        </w:rPr>
        <w:t xml:space="preserve"> </w:t>
      </w:r>
      <w:r w:rsidRPr="0033698E">
        <w:rPr>
          <w:rFonts w:eastAsia="Arial"/>
        </w:rPr>
        <w:t>Cap</w:t>
      </w:r>
      <w:r w:rsidRPr="00081508">
        <w:rPr>
          <w:rFonts w:eastAsia="Arial"/>
        </w:rPr>
        <w:t>it</w:t>
      </w:r>
      <w:r w:rsidRPr="0033698E">
        <w:rPr>
          <w:rFonts w:eastAsia="Arial"/>
        </w:rPr>
        <w:t>al</w:t>
      </w:r>
      <w:r w:rsidRPr="00081508">
        <w:rPr>
          <w:rFonts w:eastAsia="Arial"/>
        </w:rPr>
        <w:t xml:space="preserve"> </w:t>
      </w:r>
      <w:r w:rsidRPr="0033698E">
        <w:rPr>
          <w:rFonts w:eastAsia="Arial"/>
        </w:rPr>
        <w:t>Requ</w:t>
      </w:r>
      <w:r w:rsidRPr="00081508">
        <w:rPr>
          <w:rFonts w:eastAsia="Arial"/>
        </w:rPr>
        <w:t>i</w:t>
      </w:r>
      <w:r w:rsidRPr="0033698E">
        <w:rPr>
          <w:rFonts w:eastAsia="Arial"/>
        </w:rPr>
        <w:t>rem</w:t>
      </w:r>
      <w:r w:rsidRPr="00081508">
        <w:rPr>
          <w:rFonts w:eastAsia="Arial"/>
        </w:rPr>
        <w:t>e</w:t>
      </w:r>
      <w:r w:rsidRPr="0033698E">
        <w:rPr>
          <w:rFonts w:eastAsia="Arial"/>
        </w:rPr>
        <w:t>nts</w:t>
      </w:r>
      <w:r w:rsidR="00BB486B" w:rsidRPr="00BB486B">
        <w:rPr>
          <w:rFonts w:eastAsia="Arial"/>
        </w:rPr>
        <w:t>—</w:t>
      </w:r>
      <w:r w:rsidRPr="00081508">
        <w:rPr>
          <w:rFonts w:eastAsia="Arial"/>
        </w:rPr>
        <w:t>Aud</w:t>
      </w:r>
      <w:r w:rsidRPr="0033698E">
        <w:rPr>
          <w:rFonts w:eastAsia="Arial"/>
        </w:rPr>
        <w:t>itor’s Report</w:t>
      </w:r>
      <w:bookmarkEnd w:id="118"/>
      <w:bookmarkEnd w:id="119"/>
    </w:p>
    <w:p w14:paraId="00EAC236" w14:textId="77777777" w:rsidR="002E03A9" w:rsidRPr="0033698E" w:rsidRDefault="002E03A9" w:rsidP="00081508">
      <w:pPr>
        <w:pStyle w:val="MIRHeading3"/>
        <w:spacing w:before="360"/>
      </w:pPr>
      <w:r w:rsidRPr="00203B23">
        <w:rPr>
          <w:spacing w:val="2"/>
        </w:rPr>
        <w:t>P</w:t>
      </w:r>
      <w:r w:rsidRPr="0033698E">
        <w:rPr>
          <w:bCs/>
          <w:spacing w:val="-1"/>
          <w:szCs w:val="22"/>
        </w:rPr>
        <w:t>R</w:t>
      </w:r>
      <w:r w:rsidRPr="0033698E">
        <w:rPr>
          <w:bCs/>
          <w:szCs w:val="22"/>
        </w:rPr>
        <w:t>O</w:t>
      </w:r>
      <w:r w:rsidRPr="0033698E">
        <w:rPr>
          <w:bCs/>
          <w:spacing w:val="-4"/>
          <w:szCs w:val="22"/>
        </w:rPr>
        <w:t xml:space="preserve"> </w:t>
      </w:r>
      <w:r w:rsidRPr="0033698E">
        <w:rPr>
          <w:bCs/>
          <w:spacing w:val="2"/>
          <w:szCs w:val="22"/>
        </w:rPr>
        <w:t>F</w:t>
      </w:r>
      <w:r w:rsidRPr="0033698E">
        <w:rPr>
          <w:bCs/>
          <w:spacing w:val="1"/>
          <w:szCs w:val="22"/>
        </w:rPr>
        <w:t>O</w:t>
      </w:r>
      <w:r w:rsidRPr="0033698E">
        <w:rPr>
          <w:bCs/>
          <w:spacing w:val="-3"/>
          <w:szCs w:val="22"/>
        </w:rPr>
        <w:t>R</w:t>
      </w:r>
      <w:r w:rsidRPr="0033698E">
        <w:rPr>
          <w:bCs/>
          <w:szCs w:val="22"/>
        </w:rPr>
        <w:t>MA</w:t>
      </w:r>
      <w:r w:rsidRPr="0033698E">
        <w:rPr>
          <w:bCs/>
          <w:spacing w:val="-1"/>
          <w:szCs w:val="22"/>
        </w:rPr>
        <w:t xml:space="preserve"> AUD</w:t>
      </w:r>
      <w:r w:rsidRPr="0033698E">
        <w:rPr>
          <w:bCs/>
          <w:szCs w:val="22"/>
        </w:rPr>
        <w:t>I</w:t>
      </w:r>
      <w:r w:rsidRPr="0033698E">
        <w:rPr>
          <w:bCs/>
          <w:spacing w:val="-1"/>
          <w:szCs w:val="22"/>
        </w:rPr>
        <w:t>T</w:t>
      </w:r>
      <w:r w:rsidRPr="0033698E">
        <w:rPr>
          <w:bCs/>
          <w:spacing w:val="1"/>
          <w:szCs w:val="22"/>
        </w:rPr>
        <w:t>O</w:t>
      </w:r>
      <w:r w:rsidRPr="0033698E">
        <w:rPr>
          <w:bCs/>
          <w:spacing w:val="-1"/>
          <w:szCs w:val="22"/>
        </w:rPr>
        <w:t>R</w:t>
      </w:r>
      <w:r w:rsidRPr="0033698E">
        <w:rPr>
          <w:bCs/>
          <w:spacing w:val="1"/>
          <w:szCs w:val="22"/>
        </w:rPr>
        <w:t>’</w:t>
      </w:r>
      <w:r w:rsidRPr="0033698E">
        <w:rPr>
          <w:bCs/>
          <w:szCs w:val="22"/>
        </w:rPr>
        <w:t xml:space="preserve">S </w:t>
      </w:r>
      <w:r w:rsidRPr="0033698E">
        <w:rPr>
          <w:bCs/>
          <w:spacing w:val="-1"/>
          <w:szCs w:val="22"/>
        </w:rPr>
        <w:t>RE</w:t>
      </w:r>
      <w:r w:rsidRPr="0033698E">
        <w:rPr>
          <w:bCs/>
          <w:szCs w:val="22"/>
        </w:rPr>
        <w:t>P</w:t>
      </w:r>
      <w:r w:rsidRPr="0033698E">
        <w:rPr>
          <w:bCs/>
          <w:spacing w:val="1"/>
          <w:szCs w:val="22"/>
        </w:rPr>
        <w:t>O</w:t>
      </w:r>
      <w:r w:rsidRPr="0033698E">
        <w:rPr>
          <w:bCs/>
          <w:spacing w:val="-1"/>
          <w:szCs w:val="22"/>
        </w:rPr>
        <w:t>R</w:t>
      </w:r>
      <w:r w:rsidRPr="0033698E">
        <w:rPr>
          <w:bCs/>
          <w:szCs w:val="22"/>
        </w:rPr>
        <w:t>T</w:t>
      </w:r>
      <w:r w:rsidRPr="0033698E">
        <w:rPr>
          <w:bCs/>
          <w:spacing w:val="-1"/>
          <w:szCs w:val="22"/>
        </w:rPr>
        <w:t xml:space="preserve"> </w:t>
      </w:r>
      <w:r w:rsidRPr="0033698E">
        <w:rPr>
          <w:bCs/>
          <w:spacing w:val="1"/>
          <w:szCs w:val="22"/>
        </w:rPr>
        <w:t>O</w:t>
      </w:r>
      <w:r w:rsidRPr="0033698E">
        <w:rPr>
          <w:bCs/>
          <w:szCs w:val="22"/>
        </w:rPr>
        <w:t>N</w:t>
      </w:r>
      <w:r w:rsidRPr="0033698E">
        <w:rPr>
          <w:bCs/>
          <w:spacing w:val="-3"/>
          <w:szCs w:val="22"/>
        </w:rPr>
        <w:t xml:space="preserve"> </w:t>
      </w:r>
      <w:r w:rsidRPr="0033698E">
        <w:rPr>
          <w:bCs/>
          <w:szCs w:val="22"/>
        </w:rPr>
        <w:t>FI</w:t>
      </w:r>
      <w:r w:rsidRPr="0033698E">
        <w:rPr>
          <w:bCs/>
          <w:spacing w:val="-1"/>
          <w:szCs w:val="22"/>
        </w:rPr>
        <w:t>NANC</w:t>
      </w:r>
      <w:r w:rsidRPr="0033698E">
        <w:rPr>
          <w:bCs/>
          <w:szCs w:val="22"/>
        </w:rPr>
        <w:t>I</w:t>
      </w:r>
      <w:r w:rsidRPr="0033698E">
        <w:rPr>
          <w:bCs/>
          <w:spacing w:val="-1"/>
          <w:szCs w:val="22"/>
        </w:rPr>
        <w:t>A</w:t>
      </w:r>
      <w:r w:rsidRPr="0033698E">
        <w:rPr>
          <w:bCs/>
          <w:szCs w:val="22"/>
        </w:rPr>
        <w:t>L</w:t>
      </w:r>
      <w:r w:rsidRPr="0033698E">
        <w:rPr>
          <w:bCs/>
          <w:spacing w:val="-1"/>
          <w:szCs w:val="22"/>
        </w:rPr>
        <w:t xml:space="preserve"> </w:t>
      </w:r>
      <w:r w:rsidRPr="0033698E">
        <w:rPr>
          <w:bCs/>
          <w:szCs w:val="22"/>
        </w:rPr>
        <w:t>I</w:t>
      </w:r>
      <w:r w:rsidRPr="0033698E">
        <w:rPr>
          <w:bCs/>
          <w:spacing w:val="-1"/>
          <w:szCs w:val="22"/>
        </w:rPr>
        <w:t>N</w:t>
      </w:r>
      <w:r w:rsidRPr="0033698E">
        <w:rPr>
          <w:bCs/>
          <w:szCs w:val="22"/>
        </w:rPr>
        <w:t>F</w:t>
      </w:r>
      <w:r w:rsidRPr="0033698E">
        <w:rPr>
          <w:bCs/>
          <w:spacing w:val="1"/>
          <w:szCs w:val="22"/>
        </w:rPr>
        <w:t>O</w:t>
      </w:r>
      <w:r w:rsidRPr="0033698E">
        <w:rPr>
          <w:bCs/>
          <w:spacing w:val="-1"/>
          <w:szCs w:val="22"/>
        </w:rPr>
        <w:t>R</w:t>
      </w:r>
      <w:r w:rsidRPr="0033698E">
        <w:rPr>
          <w:bCs/>
          <w:szCs w:val="22"/>
        </w:rPr>
        <w:t>M</w:t>
      </w:r>
      <w:r w:rsidRPr="0033698E">
        <w:rPr>
          <w:bCs/>
          <w:spacing w:val="-1"/>
          <w:szCs w:val="22"/>
        </w:rPr>
        <w:t>AT</w:t>
      </w:r>
      <w:r w:rsidRPr="0033698E">
        <w:rPr>
          <w:bCs/>
          <w:spacing w:val="-2"/>
          <w:szCs w:val="22"/>
        </w:rPr>
        <w:t>I</w:t>
      </w:r>
      <w:r w:rsidRPr="0033698E">
        <w:rPr>
          <w:bCs/>
          <w:spacing w:val="1"/>
          <w:szCs w:val="22"/>
        </w:rPr>
        <w:t>O</w:t>
      </w:r>
      <w:r w:rsidRPr="0033698E">
        <w:rPr>
          <w:bCs/>
          <w:szCs w:val="22"/>
        </w:rPr>
        <w:t>N</w:t>
      </w:r>
    </w:p>
    <w:p w14:paraId="4F049EA0" w14:textId="77777777" w:rsidR="002E03A9" w:rsidRPr="0033698E" w:rsidRDefault="002E03A9" w:rsidP="00081508">
      <w:pPr>
        <w:spacing w:before="200" w:after="0" w:line="280" w:lineRule="atLeast"/>
        <w:ind w:right="-23"/>
      </w:pPr>
      <w:r w:rsidRPr="0033698E">
        <w:rPr>
          <w:szCs w:val="22"/>
        </w:rPr>
        <w:t>P</w:t>
      </w:r>
      <w:r w:rsidRPr="0033698E">
        <w:rPr>
          <w:spacing w:val="1"/>
          <w:szCs w:val="22"/>
        </w:rPr>
        <w:t>r</w:t>
      </w:r>
      <w:r w:rsidRPr="0033698E">
        <w:rPr>
          <w:szCs w:val="22"/>
        </w:rPr>
        <w:t>o Fo</w:t>
      </w:r>
      <w:r w:rsidRPr="0033698E">
        <w:rPr>
          <w:spacing w:val="1"/>
          <w:szCs w:val="22"/>
        </w:rPr>
        <w:t>r</w:t>
      </w:r>
      <w:r w:rsidRPr="0033698E">
        <w:rPr>
          <w:spacing w:val="-4"/>
          <w:szCs w:val="22"/>
        </w:rPr>
        <w:t>m</w:t>
      </w:r>
      <w:r w:rsidRPr="0033698E">
        <w:rPr>
          <w:szCs w:val="22"/>
        </w:rPr>
        <w:t>a</w:t>
      </w:r>
      <w:r w:rsidRPr="0033698E">
        <w:rPr>
          <w:spacing w:val="1"/>
          <w:szCs w:val="22"/>
        </w:rPr>
        <w:t xml:space="preserve"> </w:t>
      </w:r>
      <w:r w:rsidRPr="0033698E">
        <w:rPr>
          <w:spacing w:val="-1"/>
          <w:szCs w:val="22"/>
        </w:rPr>
        <w:t>A</w:t>
      </w:r>
      <w:r w:rsidRPr="0033698E">
        <w:rPr>
          <w:szCs w:val="22"/>
        </w:rPr>
        <w:t>ud</w:t>
      </w:r>
      <w:r w:rsidRPr="0033698E">
        <w:rPr>
          <w:spacing w:val="-1"/>
          <w:szCs w:val="22"/>
        </w:rPr>
        <w:t>i</w:t>
      </w:r>
      <w:r w:rsidRPr="0033698E">
        <w:rPr>
          <w:spacing w:val="1"/>
          <w:szCs w:val="22"/>
        </w:rPr>
        <w:t>t</w:t>
      </w:r>
      <w:r w:rsidRPr="0033698E">
        <w:rPr>
          <w:szCs w:val="22"/>
        </w:rPr>
        <w:t>o</w:t>
      </w:r>
      <w:r w:rsidRPr="0033698E">
        <w:rPr>
          <w:spacing w:val="-2"/>
          <w:szCs w:val="22"/>
        </w:rPr>
        <w:t>r</w:t>
      </w:r>
      <w:r w:rsidRPr="0033698E">
        <w:rPr>
          <w:spacing w:val="1"/>
          <w:szCs w:val="22"/>
        </w:rPr>
        <w:t>’</w:t>
      </w:r>
      <w:r w:rsidRPr="0033698E">
        <w:rPr>
          <w:szCs w:val="22"/>
        </w:rPr>
        <w:t>s</w:t>
      </w:r>
      <w:r w:rsidRPr="0033698E">
        <w:rPr>
          <w:spacing w:val="1"/>
          <w:szCs w:val="22"/>
        </w:rPr>
        <w:t xml:space="preserve"> </w:t>
      </w:r>
      <w:r w:rsidRPr="0033698E">
        <w:rPr>
          <w:spacing w:val="-1"/>
          <w:szCs w:val="22"/>
        </w:rPr>
        <w:t>R</w:t>
      </w:r>
      <w:r w:rsidRPr="0033698E">
        <w:rPr>
          <w:szCs w:val="22"/>
        </w:rPr>
        <w:t>e</w:t>
      </w:r>
      <w:r w:rsidRPr="0033698E">
        <w:rPr>
          <w:spacing w:val="-2"/>
          <w:szCs w:val="22"/>
        </w:rPr>
        <w:t>p</w:t>
      </w:r>
      <w:r w:rsidRPr="0033698E">
        <w:rPr>
          <w:szCs w:val="22"/>
        </w:rPr>
        <w:t>o</w:t>
      </w:r>
      <w:r w:rsidRPr="0033698E">
        <w:rPr>
          <w:spacing w:val="-2"/>
          <w:szCs w:val="22"/>
        </w:rPr>
        <w:t>r</w:t>
      </w:r>
      <w:r w:rsidRPr="0033698E">
        <w:rPr>
          <w:szCs w:val="22"/>
        </w:rPr>
        <w:t>t</w:t>
      </w:r>
      <w:r w:rsidRPr="0033698E">
        <w:rPr>
          <w:spacing w:val="1"/>
          <w:szCs w:val="22"/>
        </w:rPr>
        <w:t xml:space="preserve"> </w:t>
      </w:r>
      <w:r w:rsidRPr="0033698E">
        <w:rPr>
          <w:szCs w:val="22"/>
        </w:rPr>
        <w:t xml:space="preserve">on </w:t>
      </w:r>
      <w:r w:rsidRPr="0033698E">
        <w:rPr>
          <w:spacing w:val="-3"/>
          <w:szCs w:val="22"/>
        </w:rPr>
        <w:t>F</w:t>
      </w:r>
      <w:r w:rsidRPr="0033698E">
        <w:rPr>
          <w:spacing w:val="1"/>
          <w:szCs w:val="22"/>
        </w:rPr>
        <w:t>i</w:t>
      </w:r>
      <w:r w:rsidRPr="0033698E">
        <w:rPr>
          <w:szCs w:val="22"/>
        </w:rPr>
        <w:t>na</w:t>
      </w:r>
      <w:r w:rsidRPr="0033698E">
        <w:rPr>
          <w:spacing w:val="-2"/>
          <w:szCs w:val="22"/>
        </w:rPr>
        <w:t>n</w:t>
      </w:r>
      <w:r w:rsidRPr="0033698E">
        <w:rPr>
          <w:szCs w:val="22"/>
        </w:rPr>
        <w:t>c</w:t>
      </w:r>
      <w:r w:rsidRPr="0033698E">
        <w:rPr>
          <w:spacing w:val="1"/>
          <w:szCs w:val="22"/>
        </w:rPr>
        <w:t>i</w:t>
      </w:r>
      <w:r w:rsidRPr="0033698E">
        <w:rPr>
          <w:spacing w:val="-2"/>
          <w:szCs w:val="22"/>
        </w:rPr>
        <w:t>a</w:t>
      </w:r>
      <w:r w:rsidRPr="0033698E">
        <w:rPr>
          <w:szCs w:val="22"/>
        </w:rPr>
        <w:t>l</w:t>
      </w:r>
      <w:r w:rsidRPr="0033698E">
        <w:rPr>
          <w:spacing w:val="1"/>
          <w:szCs w:val="22"/>
        </w:rPr>
        <w:t xml:space="preserve"> </w:t>
      </w:r>
      <w:r w:rsidRPr="0033698E">
        <w:rPr>
          <w:spacing w:val="-4"/>
          <w:szCs w:val="22"/>
        </w:rPr>
        <w:t>I</w:t>
      </w:r>
      <w:r w:rsidRPr="0033698E">
        <w:rPr>
          <w:szCs w:val="22"/>
        </w:rPr>
        <w:t>n</w:t>
      </w:r>
      <w:r w:rsidRPr="0033698E">
        <w:rPr>
          <w:spacing w:val="1"/>
          <w:szCs w:val="22"/>
        </w:rPr>
        <w:t>f</w:t>
      </w:r>
      <w:r w:rsidRPr="0033698E">
        <w:rPr>
          <w:szCs w:val="22"/>
        </w:rPr>
        <w:t>o</w:t>
      </w:r>
      <w:r w:rsidRPr="0033698E">
        <w:rPr>
          <w:spacing w:val="1"/>
          <w:szCs w:val="22"/>
        </w:rPr>
        <w:t>r</w:t>
      </w:r>
      <w:r w:rsidRPr="0033698E">
        <w:rPr>
          <w:spacing w:val="-4"/>
          <w:szCs w:val="22"/>
        </w:rPr>
        <w:t>m</w:t>
      </w:r>
      <w:r w:rsidRPr="0033698E">
        <w:rPr>
          <w:szCs w:val="22"/>
        </w:rPr>
        <w:t>a</w:t>
      </w:r>
      <w:r w:rsidRPr="0033698E">
        <w:rPr>
          <w:spacing w:val="1"/>
          <w:szCs w:val="22"/>
        </w:rPr>
        <w:t>ti</w:t>
      </w:r>
      <w:r w:rsidRPr="0033698E">
        <w:rPr>
          <w:szCs w:val="22"/>
        </w:rPr>
        <w:t>on</w:t>
      </w:r>
    </w:p>
    <w:p w14:paraId="44024C37" w14:textId="77777777" w:rsidR="002E03A9" w:rsidRPr="0033698E" w:rsidRDefault="002E03A9" w:rsidP="00081508">
      <w:pPr>
        <w:pStyle w:val="MIRHeading3"/>
        <w:spacing w:before="360"/>
      </w:pPr>
      <w:r w:rsidRPr="00203B23">
        <w:rPr>
          <w:spacing w:val="1"/>
        </w:rPr>
        <w:t>K</w:t>
      </w:r>
      <w:r w:rsidRPr="00081508">
        <w:t>EY</w:t>
      </w:r>
    </w:p>
    <w:p w14:paraId="2732A057" w14:textId="6CD5FFFA" w:rsidR="002E03A9" w:rsidRPr="0033698E" w:rsidRDefault="002E03A9" w:rsidP="00081508">
      <w:pPr>
        <w:spacing w:before="200" w:after="0" w:line="280" w:lineRule="atLeast"/>
        <w:ind w:right="-23"/>
      </w:pPr>
      <w:r w:rsidRPr="00081508">
        <w:t>T</w:t>
      </w:r>
      <w:r w:rsidRPr="0033698E">
        <w:rPr>
          <w:szCs w:val="22"/>
        </w:rPr>
        <w:t>he</w:t>
      </w:r>
      <w:r w:rsidRPr="00081508">
        <w:t xml:space="preserve"> foll</w:t>
      </w:r>
      <w:r w:rsidRPr="0033698E">
        <w:rPr>
          <w:szCs w:val="22"/>
        </w:rPr>
        <w:t>o</w:t>
      </w:r>
      <w:r w:rsidRPr="00081508">
        <w:t>wi</w:t>
      </w:r>
      <w:r w:rsidRPr="0033698E">
        <w:rPr>
          <w:szCs w:val="22"/>
        </w:rPr>
        <w:t>ng</w:t>
      </w:r>
      <w:r w:rsidRPr="00081508">
        <w:t xml:space="preserve"> k</w:t>
      </w:r>
      <w:r w:rsidRPr="0033698E">
        <w:rPr>
          <w:szCs w:val="22"/>
        </w:rPr>
        <w:t>ey</w:t>
      </w:r>
      <w:r w:rsidRPr="00081508">
        <w:t xml:space="preserve"> </w:t>
      </w:r>
      <w:r w:rsidRPr="0033698E">
        <w:rPr>
          <w:szCs w:val="22"/>
        </w:rPr>
        <w:t>app</w:t>
      </w:r>
      <w:r w:rsidRPr="00081508">
        <w:t>li</w:t>
      </w:r>
      <w:r w:rsidRPr="0033698E">
        <w:rPr>
          <w:szCs w:val="22"/>
        </w:rPr>
        <w:t>es</w:t>
      </w:r>
      <w:r w:rsidRPr="00081508">
        <w:t xml:space="preserve"> t</w:t>
      </w:r>
      <w:r w:rsidRPr="0033698E">
        <w:rPr>
          <w:szCs w:val="22"/>
        </w:rPr>
        <w:t>h</w:t>
      </w:r>
      <w:r w:rsidRPr="00081508">
        <w:t>r</w:t>
      </w:r>
      <w:r w:rsidRPr="0033698E">
        <w:rPr>
          <w:szCs w:val="22"/>
        </w:rPr>
        <w:t>ou</w:t>
      </w:r>
      <w:r w:rsidRPr="00081508">
        <w:t>g</w:t>
      </w:r>
      <w:r w:rsidRPr="0033698E">
        <w:rPr>
          <w:szCs w:val="22"/>
        </w:rPr>
        <w:t>hout</w:t>
      </w:r>
      <w:r w:rsidRPr="00081508">
        <w:t xml:space="preserve"> t</w:t>
      </w:r>
      <w:r w:rsidRPr="0033698E">
        <w:rPr>
          <w:szCs w:val="22"/>
        </w:rPr>
        <w:t>h</w:t>
      </w:r>
      <w:r w:rsidRPr="00081508">
        <w:t>i</w:t>
      </w:r>
      <w:r w:rsidRPr="0033698E">
        <w:rPr>
          <w:szCs w:val="22"/>
        </w:rPr>
        <w:t>s</w:t>
      </w:r>
      <w:r w:rsidRPr="00081508">
        <w:t xml:space="preserve"> </w:t>
      </w:r>
      <w:r w:rsidRPr="0033698E">
        <w:rPr>
          <w:szCs w:val="22"/>
        </w:rPr>
        <w:t>do</w:t>
      </w:r>
      <w:r w:rsidRPr="00081508">
        <w:t>c</w:t>
      </w:r>
      <w:r w:rsidRPr="0033698E">
        <w:rPr>
          <w:szCs w:val="22"/>
        </w:rPr>
        <w:t>u</w:t>
      </w:r>
      <w:r w:rsidRPr="00081508">
        <w:t>m</w:t>
      </w:r>
      <w:r w:rsidRPr="0033698E">
        <w:rPr>
          <w:szCs w:val="22"/>
        </w:rPr>
        <w:t>en</w:t>
      </w:r>
      <w:r w:rsidRPr="00081508">
        <w:t>t</w:t>
      </w:r>
      <w:r w:rsidRPr="0033698E">
        <w:rPr>
          <w:szCs w:val="22"/>
        </w:rPr>
        <w:t>.</w:t>
      </w:r>
    </w:p>
    <w:p w14:paraId="5C3DF296" w14:textId="0E7FC459" w:rsidR="002E03A9" w:rsidRPr="0033698E" w:rsidRDefault="002E03A9" w:rsidP="00081508">
      <w:pPr>
        <w:spacing w:before="200" w:after="0" w:line="280" w:lineRule="atLeast"/>
        <w:ind w:right="-23"/>
      </w:pPr>
      <w:r w:rsidRPr="0033698E">
        <w:rPr>
          <w:szCs w:val="22"/>
        </w:rPr>
        <w:t>* Wh</w:t>
      </w:r>
      <w:r w:rsidRPr="00081508">
        <w:t>er</w:t>
      </w:r>
      <w:r w:rsidRPr="0033698E">
        <w:rPr>
          <w:szCs w:val="22"/>
        </w:rPr>
        <w:t>e</w:t>
      </w:r>
      <w:r w:rsidRPr="00081508">
        <w:t xml:space="preserve"> t</w:t>
      </w:r>
      <w:r w:rsidRPr="0033698E">
        <w:rPr>
          <w:szCs w:val="22"/>
        </w:rPr>
        <w:t>he</w:t>
      </w:r>
      <w:r w:rsidRPr="00081508">
        <w:t xml:space="preserve"> </w:t>
      </w:r>
      <w:r w:rsidRPr="0033698E">
        <w:rPr>
          <w:szCs w:val="22"/>
        </w:rPr>
        <w:t>P</w:t>
      </w:r>
      <w:r w:rsidRPr="00081508">
        <w:t>artici</w:t>
      </w:r>
      <w:r w:rsidRPr="0033698E">
        <w:rPr>
          <w:szCs w:val="22"/>
        </w:rPr>
        <w:t>pa</w:t>
      </w:r>
      <w:r w:rsidRPr="00081508">
        <w:t>n</w:t>
      </w:r>
      <w:r w:rsidRPr="0033698E">
        <w:rPr>
          <w:szCs w:val="22"/>
        </w:rPr>
        <w:t>t</w:t>
      </w:r>
      <w:r w:rsidRPr="00081508">
        <w:t xml:space="preserve"> i</w:t>
      </w:r>
      <w:r w:rsidRPr="0033698E">
        <w:rPr>
          <w:szCs w:val="22"/>
        </w:rPr>
        <w:t>s</w:t>
      </w:r>
      <w:r w:rsidRPr="00081508">
        <w:t xml:space="preserve"> </w:t>
      </w:r>
      <w:r w:rsidRPr="0033698E">
        <w:rPr>
          <w:szCs w:val="22"/>
        </w:rPr>
        <w:t>a</w:t>
      </w:r>
      <w:r w:rsidRPr="00081508">
        <w:t xml:space="preserve"> </w:t>
      </w:r>
      <w:r w:rsidRPr="0033698E">
        <w:rPr>
          <w:szCs w:val="22"/>
        </w:rPr>
        <w:t>body</w:t>
      </w:r>
      <w:r w:rsidRPr="00081508">
        <w:t xml:space="preserve"> </w:t>
      </w:r>
      <w:r w:rsidRPr="0033698E">
        <w:rPr>
          <w:szCs w:val="22"/>
        </w:rPr>
        <w:t>co</w:t>
      </w:r>
      <w:r w:rsidRPr="00081508">
        <w:t>r</w:t>
      </w:r>
      <w:r w:rsidRPr="0033698E">
        <w:rPr>
          <w:szCs w:val="22"/>
        </w:rPr>
        <w:t>p</w:t>
      </w:r>
      <w:r w:rsidRPr="00081508">
        <w:t>or</w:t>
      </w:r>
      <w:r w:rsidRPr="0033698E">
        <w:rPr>
          <w:szCs w:val="22"/>
        </w:rPr>
        <w:t>a</w:t>
      </w:r>
      <w:r w:rsidRPr="00081508">
        <w:t>t</w:t>
      </w:r>
      <w:r w:rsidRPr="0033698E">
        <w:rPr>
          <w:szCs w:val="22"/>
        </w:rPr>
        <w:t>e</w:t>
      </w:r>
      <w:r w:rsidRPr="00081508">
        <w:t xml:space="preserve"> in</w:t>
      </w:r>
      <w:r w:rsidRPr="0033698E">
        <w:rPr>
          <w:szCs w:val="22"/>
        </w:rPr>
        <w:t>co</w:t>
      </w:r>
      <w:r w:rsidRPr="00081508">
        <w:t>r</w:t>
      </w:r>
      <w:r w:rsidRPr="0033698E">
        <w:rPr>
          <w:szCs w:val="22"/>
        </w:rPr>
        <w:t>po</w:t>
      </w:r>
      <w:r w:rsidRPr="00081508">
        <w:t>r</w:t>
      </w:r>
      <w:r w:rsidRPr="0033698E">
        <w:rPr>
          <w:szCs w:val="22"/>
        </w:rPr>
        <w:t>a</w:t>
      </w:r>
      <w:r w:rsidRPr="00081508">
        <w:t>te</w:t>
      </w:r>
      <w:r w:rsidRPr="0033698E">
        <w:rPr>
          <w:szCs w:val="22"/>
        </w:rPr>
        <w:t>d or</w:t>
      </w:r>
      <w:r w:rsidRPr="00081508">
        <w:t xml:space="preserve"> r</w:t>
      </w:r>
      <w:r w:rsidRPr="0033698E">
        <w:rPr>
          <w:szCs w:val="22"/>
        </w:rPr>
        <w:t>e</w:t>
      </w:r>
      <w:r w:rsidRPr="00081508">
        <w:t>si</w:t>
      </w:r>
      <w:r w:rsidRPr="0033698E">
        <w:rPr>
          <w:szCs w:val="22"/>
        </w:rPr>
        <w:t>de</w:t>
      </w:r>
      <w:r w:rsidRPr="00081508">
        <w:t>n</w:t>
      </w:r>
      <w:r w:rsidRPr="0033698E">
        <w:rPr>
          <w:szCs w:val="22"/>
        </w:rPr>
        <w:t>t</w:t>
      </w:r>
      <w:r w:rsidRPr="00081508">
        <w:t xml:space="preserve"> </w:t>
      </w:r>
      <w:r w:rsidRPr="0033698E">
        <w:rPr>
          <w:szCs w:val="22"/>
        </w:rPr>
        <w:t>o</w:t>
      </w:r>
      <w:r w:rsidRPr="00081508">
        <w:t>utsi</w:t>
      </w:r>
      <w:r w:rsidRPr="0033698E">
        <w:rPr>
          <w:szCs w:val="22"/>
        </w:rPr>
        <w:t>de</w:t>
      </w:r>
      <w:r w:rsidRPr="00081508">
        <w:t xml:space="preserve"> A</w:t>
      </w:r>
      <w:r w:rsidRPr="0033698E">
        <w:rPr>
          <w:szCs w:val="22"/>
        </w:rPr>
        <w:t>u</w:t>
      </w:r>
      <w:r w:rsidRPr="00081508">
        <w:t>strali</w:t>
      </w:r>
      <w:r w:rsidRPr="0033698E">
        <w:rPr>
          <w:szCs w:val="22"/>
        </w:rPr>
        <w:t>a ope</w:t>
      </w:r>
      <w:r w:rsidRPr="00081508">
        <w:t>rati</w:t>
      </w:r>
      <w:r w:rsidRPr="0033698E">
        <w:rPr>
          <w:szCs w:val="22"/>
        </w:rPr>
        <w:t>ng</w:t>
      </w:r>
      <w:r w:rsidRPr="00081508">
        <w:t xml:space="preserve"> </w:t>
      </w:r>
      <w:r w:rsidRPr="0033698E">
        <w:rPr>
          <w:szCs w:val="22"/>
        </w:rPr>
        <w:t>a</w:t>
      </w:r>
      <w:r w:rsidRPr="00081508">
        <w:t xml:space="preserve"> </w:t>
      </w:r>
      <w:r w:rsidRPr="0033698E">
        <w:rPr>
          <w:szCs w:val="22"/>
        </w:rPr>
        <w:t>b</w:t>
      </w:r>
      <w:r w:rsidRPr="00081508">
        <w:t>r</w:t>
      </w:r>
      <w:r w:rsidRPr="0033698E">
        <w:rPr>
          <w:szCs w:val="22"/>
        </w:rPr>
        <w:t>a</w:t>
      </w:r>
      <w:r w:rsidRPr="00081508">
        <w:t>n</w:t>
      </w:r>
      <w:r w:rsidRPr="0033698E">
        <w:rPr>
          <w:szCs w:val="22"/>
        </w:rPr>
        <w:t xml:space="preserve">ch </w:t>
      </w:r>
      <w:r w:rsidRPr="00081508">
        <w:t>i</w:t>
      </w:r>
      <w:r w:rsidRPr="0033698E">
        <w:rPr>
          <w:szCs w:val="22"/>
        </w:rPr>
        <w:t xml:space="preserve">n </w:t>
      </w:r>
      <w:r w:rsidRPr="00081508">
        <w:t>A</w:t>
      </w:r>
      <w:r w:rsidRPr="0033698E">
        <w:rPr>
          <w:szCs w:val="22"/>
        </w:rPr>
        <w:t>u</w:t>
      </w:r>
      <w:r w:rsidRPr="00081508">
        <w:t>str</w:t>
      </w:r>
      <w:r w:rsidRPr="0033698E">
        <w:rPr>
          <w:szCs w:val="22"/>
        </w:rPr>
        <w:t>a</w:t>
      </w:r>
      <w:r w:rsidRPr="00081508">
        <w:t>li</w:t>
      </w:r>
      <w:r w:rsidRPr="0033698E">
        <w:rPr>
          <w:szCs w:val="22"/>
        </w:rPr>
        <w:t xml:space="preserve">a, </w:t>
      </w:r>
      <w:r w:rsidRPr="00081508">
        <w:t>t</w:t>
      </w:r>
      <w:r w:rsidRPr="0033698E">
        <w:rPr>
          <w:szCs w:val="22"/>
        </w:rPr>
        <w:t>he</w:t>
      </w:r>
      <w:r w:rsidRPr="00081508">
        <w:t xml:space="preserve"> f</w:t>
      </w:r>
      <w:r w:rsidRPr="0033698E">
        <w:rPr>
          <w:szCs w:val="22"/>
        </w:rPr>
        <w:t>o</w:t>
      </w:r>
      <w:r w:rsidRPr="00081508">
        <w:t>ll</w:t>
      </w:r>
      <w:r w:rsidRPr="0033698E">
        <w:rPr>
          <w:szCs w:val="22"/>
        </w:rPr>
        <w:t>o</w:t>
      </w:r>
      <w:r w:rsidRPr="00081508">
        <w:t>wi</w:t>
      </w:r>
      <w:r w:rsidRPr="0033698E">
        <w:rPr>
          <w:szCs w:val="22"/>
        </w:rPr>
        <w:t>ng</w:t>
      </w:r>
      <w:r w:rsidRPr="00081508">
        <w:t xml:space="preserve"> w</w:t>
      </w:r>
      <w:r w:rsidRPr="0033698E">
        <w:rPr>
          <w:szCs w:val="22"/>
        </w:rPr>
        <w:t>o</w:t>
      </w:r>
      <w:r w:rsidRPr="00081508">
        <w:t>r</w:t>
      </w:r>
      <w:r w:rsidRPr="0033698E">
        <w:rPr>
          <w:szCs w:val="22"/>
        </w:rPr>
        <w:t>ds</w:t>
      </w:r>
      <w:r w:rsidRPr="00081508">
        <w:t xml:space="preserve"> m</w:t>
      </w:r>
      <w:r w:rsidRPr="0033698E">
        <w:rPr>
          <w:szCs w:val="22"/>
        </w:rPr>
        <w:t>ay</w:t>
      </w:r>
      <w:r w:rsidRPr="00081508">
        <w:t xml:space="preserve"> </w:t>
      </w:r>
      <w:r w:rsidRPr="0033698E">
        <w:rPr>
          <w:szCs w:val="22"/>
        </w:rPr>
        <w:t>be</w:t>
      </w:r>
      <w:r w:rsidRPr="00081508">
        <w:t xml:space="preserve"> i</w:t>
      </w:r>
      <w:r w:rsidRPr="0033698E">
        <w:rPr>
          <w:szCs w:val="22"/>
        </w:rPr>
        <w:t>ns</w:t>
      </w:r>
      <w:r w:rsidRPr="00081508">
        <w:t>ert</w:t>
      </w:r>
      <w:r w:rsidRPr="0033698E">
        <w:rPr>
          <w:szCs w:val="22"/>
        </w:rPr>
        <w:t>ed –</w:t>
      </w:r>
      <w:r w:rsidRPr="00081508">
        <w:t xml:space="preserve"> </w:t>
      </w:r>
      <w:r w:rsidRPr="0033698E">
        <w:rPr>
          <w:szCs w:val="22"/>
        </w:rPr>
        <w:t>“</w:t>
      </w:r>
      <w:r w:rsidRPr="00081508">
        <w:t>A</w:t>
      </w:r>
      <w:r w:rsidRPr="0033698E">
        <w:rPr>
          <w:szCs w:val="22"/>
        </w:rPr>
        <w:t>us</w:t>
      </w:r>
      <w:r w:rsidRPr="00081508">
        <w:t>trali</w:t>
      </w:r>
      <w:r w:rsidRPr="0033698E">
        <w:rPr>
          <w:szCs w:val="22"/>
        </w:rPr>
        <w:t>an</w:t>
      </w:r>
      <w:r w:rsidR="00975F52">
        <w:rPr>
          <w:szCs w:val="22"/>
        </w:rPr>
        <w:t xml:space="preserve"> </w:t>
      </w:r>
      <w:r w:rsidRPr="0033698E">
        <w:rPr>
          <w:szCs w:val="22"/>
        </w:rPr>
        <w:t>b</w:t>
      </w:r>
      <w:r w:rsidRPr="00081508">
        <w:t>r</w:t>
      </w:r>
      <w:r w:rsidRPr="0033698E">
        <w:rPr>
          <w:szCs w:val="22"/>
        </w:rPr>
        <w:t>an</w:t>
      </w:r>
      <w:r w:rsidRPr="00081508">
        <w:t>c</w:t>
      </w:r>
      <w:r w:rsidRPr="0033698E">
        <w:rPr>
          <w:szCs w:val="22"/>
        </w:rPr>
        <w:t>h”.</w:t>
      </w:r>
    </w:p>
    <w:p w14:paraId="6B3B59FB" w14:textId="77777777" w:rsidR="002E03A9" w:rsidRPr="0033698E" w:rsidRDefault="002E03A9" w:rsidP="00081508">
      <w:pPr>
        <w:spacing w:before="200" w:after="360" w:line="280" w:lineRule="atLeast"/>
        <w:ind w:right="-23"/>
      </w:pPr>
      <w:r w:rsidRPr="0033698E">
        <w:rPr>
          <w:szCs w:val="22"/>
        </w:rPr>
        <w:t>**</w:t>
      </w:r>
      <w:r w:rsidRPr="00081508">
        <w:t xml:space="preserve"> D</w:t>
      </w:r>
      <w:r w:rsidRPr="0033698E">
        <w:rPr>
          <w:szCs w:val="22"/>
        </w:rPr>
        <w:t>e</w:t>
      </w:r>
      <w:r w:rsidRPr="00081508">
        <w:t>let</w:t>
      </w:r>
      <w:r w:rsidRPr="0033698E">
        <w:rPr>
          <w:szCs w:val="22"/>
        </w:rPr>
        <w:t>e</w:t>
      </w:r>
      <w:r w:rsidRPr="00081508">
        <w:t xml:space="preserve"> </w:t>
      </w:r>
      <w:r w:rsidRPr="0033698E">
        <w:rPr>
          <w:szCs w:val="22"/>
        </w:rPr>
        <w:t>as</w:t>
      </w:r>
      <w:r w:rsidRPr="00081508">
        <w:t xml:space="preserve"> </w:t>
      </w:r>
      <w:r w:rsidRPr="0033698E">
        <w:rPr>
          <w:szCs w:val="22"/>
        </w:rPr>
        <w:t>a</w:t>
      </w:r>
      <w:r w:rsidRPr="00081508">
        <w:t>p</w:t>
      </w:r>
      <w:r w:rsidRPr="0033698E">
        <w:rPr>
          <w:szCs w:val="22"/>
        </w:rPr>
        <w:t>p</w:t>
      </w:r>
      <w:r w:rsidRPr="00081508">
        <w:t>li</w:t>
      </w:r>
      <w:r w:rsidRPr="0033698E">
        <w:rPr>
          <w:szCs w:val="22"/>
        </w:rPr>
        <w:t>ca</w:t>
      </w:r>
      <w:r w:rsidRPr="00081508">
        <w:t>bl</w:t>
      </w:r>
      <w:r w:rsidRPr="0033698E">
        <w:rPr>
          <w:szCs w:val="22"/>
        </w:rPr>
        <w:t>e.</w:t>
      </w:r>
    </w:p>
    <w:p w14:paraId="74EAEF76" w14:textId="70BA87A8" w:rsidR="002E03A9" w:rsidRPr="00081508" w:rsidRDefault="002E03A9" w:rsidP="00081508">
      <w:pPr>
        <w:pStyle w:val="MIRHeading3"/>
        <w:spacing w:before="0"/>
        <w:ind w:left="0" w:firstLine="0"/>
        <w:rPr>
          <w:b w:val="0"/>
          <w:spacing w:val="-2"/>
        </w:rPr>
      </w:pPr>
      <w:r w:rsidRPr="00081508">
        <w:rPr>
          <w:b w:val="0"/>
          <w:spacing w:val="-2"/>
        </w:rPr>
        <w:t>INDEPENDENT AUDITOR’S REPORT TO THE DIRECTORS/PARTNERS** OF</w:t>
      </w:r>
      <w:r w:rsidR="00DC100D">
        <w:rPr>
          <w:spacing w:val="-2"/>
        </w:rPr>
        <w:t xml:space="preserve"> </w:t>
      </w:r>
      <w:r w:rsidRPr="00081508">
        <w:rPr>
          <w:spacing w:val="-2"/>
        </w:rPr>
        <w:t>[PARTICIPANT_NAME]</w:t>
      </w:r>
    </w:p>
    <w:p w14:paraId="139BF857" w14:textId="38F8C327" w:rsidR="002E03A9" w:rsidRPr="0033698E" w:rsidRDefault="002E03A9" w:rsidP="00081508">
      <w:pPr>
        <w:spacing w:before="100" w:after="0" w:line="300" w:lineRule="atLeast"/>
        <w:ind w:right="-23"/>
      </w:pPr>
      <w:r w:rsidRPr="00081508">
        <w:t>To</w:t>
      </w:r>
      <w:r w:rsidRPr="0033698E">
        <w:rPr>
          <w:szCs w:val="22"/>
        </w:rPr>
        <w:t>:</w:t>
      </w:r>
      <w:r w:rsidRPr="00081508">
        <w:t xml:space="preserve"> Th</w:t>
      </w:r>
      <w:r w:rsidRPr="0033698E">
        <w:rPr>
          <w:szCs w:val="22"/>
        </w:rPr>
        <w:t xml:space="preserve">e </w:t>
      </w:r>
      <w:r w:rsidRPr="00081508">
        <w:rPr>
          <w:b/>
        </w:rPr>
        <w:t>Di</w:t>
      </w:r>
      <w:r w:rsidRPr="0033698E">
        <w:rPr>
          <w:b/>
          <w:bCs/>
          <w:szCs w:val="22"/>
        </w:rPr>
        <w:t>r</w:t>
      </w:r>
      <w:r w:rsidRPr="00081508">
        <w:rPr>
          <w:b/>
        </w:rPr>
        <w:t>e</w:t>
      </w:r>
      <w:r w:rsidRPr="0033698E">
        <w:rPr>
          <w:b/>
          <w:bCs/>
          <w:szCs w:val="22"/>
        </w:rPr>
        <w:t>c</w:t>
      </w:r>
      <w:r w:rsidRPr="00081508">
        <w:rPr>
          <w:b/>
        </w:rPr>
        <w:t>to</w:t>
      </w:r>
      <w:r w:rsidRPr="0033698E">
        <w:rPr>
          <w:b/>
          <w:bCs/>
          <w:szCs w:val="22"/>
        </w:rPr>
        <w:t>rs</w:t>
      </w:r>
      <w:r w:rsidRPr="00081508">
        <w:rPr>
          <w:b/>
        </w:rPr>
        <w:t>/</w:t>
      </w:r>
      <w:r w:rsidRPr="0033698E">
        <w:rPr>
          <w:b/>
          <w:bCs/>
          <w:szCs w:val="22"/>
        </w:rPr>
        <w:t>Par</w:t>
      </w:r>
      <w:r w:rsidRPr="00081508">
        <w:rPr>
          <w:b/>
        </w:rPr>
        <w:t>tn</w:t>
      </w:r>
      <w:r w:rsidRPr="0033698E">
        <w:rPr>
          <w:b/>
          <w:bCs/>
          <w:szCs w:val="22"/>
        </w:rPr>
        <w:t>e</w:t>
      </w:r>
      <w:r w:rsidRPr="00081508">
        <w:rPr>
          <w:b/>
        </w:rPr>
        <w:t>r</w:t>
      </w:r>
      <w:r w:rsidRPr="0033698E">
        <w:rPr>
          <w:b/>
          <w:bCs/>
          <w:szCs w:val="22"/>
        </w:rPr>
        <w:t>s**</w:t>
      </w:r>
      <w:r w:rsidRPr="0033698E">
        <w:rPr>
          <w:szCs w:val="22"/>
        </w:rPr>
        <w:t xml:space="preserve">, </w:t>
      </w:r>
      <w:r w:rsidRPr="00081508">
        <w:rPr>
          <w:b/>
        </w:rPr>
        <w:t>[Pa</w:t>
      </w:r>
      <w:r w:rsidRPr="0033698E">
        <w:rPr>
          <w:b/>
          <w:bCs/>
          <w:szCs w:val="22"/>
        </w:rPr>
        <w:t>r</w:t>
      </w:r>
      <w:r w:rsidRPr="00081508">
        <w:rPr>
          <w:b/>
        </w:rPr>
        <w:t>tici</w:t>
      </w:r>
      <w:r w:rsidRPr="0033698E">
        <w:rPr>
          <w:b/>
          <w:bCs/>
          <w:szCs w:val="22"/>
        </w:rPr>
        <w:t>pan</w:t>
      </w:r>
      <w:r w:rsidRPr="00081508">
        <w:rPr>
          <w:b/>
        </w:rPr>
        <w:t>t</w:t>
      </w:r>
      <w:r w:rsidRPr="0033698E">
        <w:rPr>
          <w:b/>
          <w:bCs/>
          <w:szCs w:val="22"/>
        </w:rPr>
        <w:t>_</w:t>
      </w:r>
      <w:r w:rsidRPr="00081508">
        <w:rPr>
          <w:b/>
        </w:rPr>
        <w:t>n</w:t>
      </w:r>
      <w:r w:rsidRPr="0033698E">
        <w:rPr>
          <w:b/>
          <w:bCs/>
          <w:szCs w:val="22"/>
        </w:rPr>
        <w:t>a</w:t>
      </w:r>
      <w:r w:rsidRPr="00081508">
        <w:rPr>
          <w:b/>
        </w:rPr>
        <w:t>m</w:t>
      </w:r>
      <w:r w:rsidRPr="0033698E">
        <w:rPr>
          <w:b/>
          <w:bCs/>
          <w:szCs w:val="22"/>
        </w:rPr>
        <w:t>e</w:t>
      </w:r>
      <w:r w:rsidRPr="00081508">
        <w:rPr>
          <w:b/>
        </w:rPr>
        <w:t>]</w:t>
      </w:r>
    </w:p>
    <w:p w14:paraId="5A58890A" w14:textId="77777777" w:rsidR="002E03A9" w:rsidRPr="0033698E" w:rsidRDefault="002E03A9" w:rsidP="00081508">
      <w:pPr>
        <w:pStyle w:val="MIRHeading3"/>
        <w:spacing w:before="360"/>
      </w:pPr>
      <w:r w:rsidRPr="00081508">
        <w:t>AUD</w:t>
      </w:r>
      <w:r w:rsidRPr="0033698E">
        <w:rPr>
          <w:bCs/>
          <w:szCs w:val="22"/>
        </w:rPr>
        <w:t>I</w:t>
      </w:r>
      <w:r w:rsidRPr="00081508">
        <w:t>T</w:t>
      </w:r>
      <w:r w:rsidRPr="0033698E">
        <w:rPr>
          <w:bCs/>
          <w:spacing w:val="1"/>
          <w:szCs w:val="22"/>
        </w:rPr>
        <w:t>O</w:t>
      </w:r>
      <w:r w:rsidRPr="00081508">
        <w:t>R</w:t>
      </w:r>
      <w:r w:rsidRPr="0033698E">
        <w:rPr>
          <w:bCs/>
          <w:spacing w:val="1"/>
          <w:szCs w:val="22"/>
        </w:rPr>
        <w:t>’</w:t>
      </w:r>
      <w:r w:rsidRPr="0033698E">
        <w:rPr>
          <w:bCs/>
          <w:szCs w:val="22"/>
        </w:rPr>
        <w:t xml:space="preserve">S </w:t>
      </w:r>
      <w:r w:rsidRPr="00081508">
        <w:t>RE</w:t>
      </w:r>
      <w:r w:rsidRPr="0033698E">
        <w:rPr>
          <w:bCs/>
          <w:szCs w:val="22"/>
        </w:rPr>
        <w:t>P</w:t>
      </w:r>
      <w:r w:rsidRPr="0033698E">
        <w:rPr>
          <w:bCs/>
          <w:spacing w:val="1"/>
          <w:szCs w:val="22"/>
        </w:rPr>
        <w:t>O</w:t>
      </w:r>
      <w:r w:rsidRPr="00081508">
        <w:t>R</w:t>
      </w:r>
      <w:r w:rsidRPr="0033698E">
        <w:rPr>
          <w:bCs/>
          <w:szCs w:val="22"/>
        </w:rPr>
        <w:t>T</w:t>
      </w:r>
      <w:r w:rsidRPr="00081508">
        <w:t xml:space="preserve"> O</w:t>
      </w:r>
      <w:r w:rsidRPr="0033698E">
        <w:rPr>
          <w:bCs/>
          <w:szCs w:val="22"/>
        </w:rPr>
        <w:t>N</w:t>
      </w:r>
      <w:r w:rsidRPr="00081508">
        <w:t xml:space="preserve"> T</w:t>
      </w:r>
      <w:r w:rsidRPr="0033698E">
        <w:rPr>
          <w:bCs/>
          <w:spacing w:val="1"/>
          <w:szCs w:val="22"/>
        </w:rPr>
        <w:t>H</w:t>
      </w:r>
      <w:r w:rsidRPr="0033698E">
        <w:rPr>
          <w:bCs/>
          <w:szCs w:val="22"/>
        </w:rPr>
        <w:t>E</w:t>
      </w:r>
      <w:r w:rsidRPr="00081508">
        <w:t xml:space="preserve"> RETURN</w:t>
      </w:r>
    </w:p>
    <w:p w14:paraId="15FFC4F1" w14:textId="3083B0E9" w:rsidR="002E03A9" w:rsidRDefault="002E03A9" w:rsidP="00081508">
      <w:pPr>
        <w:spacing w:before="200" w:after="0" w:line="300" w:lineRule="atLeast"/>
        <w:ind w:right="-23"/>
        <w:rPr>
          <w:szCs w:val="22"/>
        </w:rPr>
      </w:pPr>
      <w:r w:rsidRPr="0033698E">
        <w:rPr>
          <w:szCs w:val="22"/>
        </w:rPr>
        <w:t>We</w:t>
      </w:r>
      <w:r w:rsidRPr="00081508">
        <w:t xml:space="preserve"> </w:t>
      </w:r>
      <w:r w:rsidRPr="0033698E">
        <w:rPr>
          <w:szCs w:val="22"/>
        </w:rPr>
        <w:t>ha</w:t>
      </w:r>
      <w:r w:rsidRPr="00081508">
        <w:t>v</w:t>
      </w:r>
      <w:r w:rsidRPr="0033698E">
        <w:rPr>
          <w:szCs w:val="22"/>
        </w:rPr>
        <w:t>e</w:t>
      </w:r>
      <w:r w:rsidRPr="00081508">
        <w:t xml:space="preserve"> </w:t>
      </w:r>
      <w:r w:rsidRPr="0033698E">
        <w:rPr>
          <w:szCs w:val="22"/>
        </w:rPr>
        <w:t>a</w:t>
      </w:r>
      <w:r w:rsidRPr="00081508">
        <w:t>u</w:t>
      </w:r>
      <w:r w:rsidRPr="0033698E">
        <w:rPr>
          <w:szCs w:val="22"/>
        </w:rPr>
        <w:t>d</w:t>
      </w:r>
      <w:r w:rsidRPr="00081508">
        <w:t>it</w:t>
      </w:r>
      <w:r w:rsidRPr="0033698E">
        <w:rPr>
          <w:szCs w:val="22"/>
        </w:rPr>
        <w:t>ed</w:t>
      </w:r>
      <w:r w:rsidRPr="00081508">
        <w:t xml:space="preserve"> t</w:t>
      </w:r>
      <w:r w:rsidRPr="0033698E">
        <w:rPr>
          <w:szCs w:val="22"/>
        </w:rPr>
        <w:t>he</w:t>
      </w:r>
      <w:r w:rsidRPr="00081508">
        <w:t xml:space="preserve"> fin</w:t>
      </w:r>
      <w:r w:rsidRPr="0033698E">
        <w:rPr>
          <w:szCs w:val="22"/>
        </w:rPr>
        <w:t>an</w:t>
      </w:r>
      <w:r w:rsidRPr="00081508">
        <w:t>ci</w:t>
      </w:r>
      <w:r w:rsidRPr="0033698E">
        <w:rPr>
          <w:szCs w:val="22"/>
        </w:rPr>
        <w:t>al</w:t>
      </w:r>
      <w:r w:rsidRPr="00081508">
        <w:t xml:space="preserve"> inf</w:t>
      </w:r>
      <w:r w:rsidRPr="0033698E">
        <w:rPr>
          <w:szCs w:val="22"/>
        </w:rPr>
        <w:t>o</w:t>
      </w:r>
      <w:r w:rsidRPr="00081508">
        <w:t>rm</w:t>
      </w:r>
      <w:r w:rsidRPr="0033698E">
        <w:rPr>
          <w:szCs w:val="22"/>
        </w:rPr>
        <w:t>a</w:t>
      </w:r>
      <w:r w:rsidRPr="00081508">
        <w:t>tio</w:t>
      </w:r>
      <w:r w:rsidRPr="0033698E">
        <w:rPr>
          <w:szCs w:val="22"/>
        </w:rPr>
        <w:t>n</w:t>
      </w:r>
      <w:r w:rsidRPr="00081508">
        <w:t xml:space="preserve"> </w:t>
      </w:r>
      <w:r w:rsidRPr="0033698E">
        <w:rPr>
          <w:szCs w:val="22"/>
        </w:rPr>
        <w:t>s</w:t>
      </w:r>
      <w:r w:rsidRPr="00081508">
        <w:t>e</w:t>
      </w:r>
      <w:r w:rsidRPr="0033698E">
        <w:rPr>
          <w:szCs w:val="22"/>
        </w:rPr>
        <w:t>t</w:t>
      </w:r>
      <w:r w:rsidRPr="00081508">
        <w:t xml:space="preserve"> </w:t>
      </w:r>
      <w:r w:rsidRPr="0033698E">
        <w:rPr>
          <w:szCs w:val="22"/>
        </w:rPr>
        <w:t>o</w:t>
      </w:r>
      <w:r w:rsidRPr="00081508">
        <w:t>u</w:t>
      </w:r>
      <w:r w:rsidRPr="0033698E">
        <w:rPr>
          <w:szCs w:val="22"/>
        </w:rPr>
        <w:t>t</w:t>
      </w:r>
      <w:r w:rsidRPr="00081508">
        <w:t xml:space="preserve"> i</w:t>
      </w:r>
      <w:r w:rsidRPr="0033698E">
        <w:rPr>
          <w:szCs w:val="22"/>
        </w:rPr>
        <w:t>n</w:t>
      </w:r>
      <w:r w:rsidRPr="00081508">
        <w:t xml:space="preserve"> th</w:t>
      </w:r>
      <w:r w:rsidRPr="0033698E">
        <w:rPr>
          <w:szCs w:val="22"/>
        </w:rPr>
        <w:t>e</w:t>
      </w:r>
      <w:r w:rsidRPr="00081508">
        <w:t xml:space="preserve"> </w:t>
      </w:r>
      <w:r w:rsidRPr="0033698E">
        <w:rPr>
          <w:szCs w:val="22"/>
        </w:rPr>
        <w:t>a</w:t>
      </w:r>
      <w:r w:rsidRPr="00081508">
        <w:t>tt</w:t>
      </w:r>
      <w:r w:rsidRPr="0033698E">
        <w:rPr>
          <w:szCs w:val="22"/>
        </w:rPr>
        <w:t>a</w:t>
      </w:r>
      <w:r w:rsidRPr="00081508">
        <w:t>c</w:t>
      </w:r>
      <w:r w:rsidRPr="0033698E">
        <w:rPr>
          <w:szCs w:val="22"/>
        </w:rPr>
        <w:t>hed.</w:t>
      </w:r>
    </w:p>
    <w:p w14:paraId="2B76D80E" w14:textId="15787B9D" w:rsidR="002E03A9" w:rsidRPr="00081508" w:rsidRDefault="002E03A9" w:rsidP="00081508">
      <w:pPr>
        <w:spacing w:before="200" w:after="0" w:line="300" w:lineRule="atLeast"/>
        <w:ind w:right="-23"/>
        <w:rPr>
          <w:b/>
        </w:rPr>
      </w:pPr>
      <w:r w:rsidRPr="00081508">
        <w:rPr>
          <w:b/>
        </w:rPr>
        <w:t>A</w:t>
      </w:r>
      <w:r w:rsidRPr="0033698E">
        <w:rPr>
          <w:b/>
          <w:bCs/>
          <w:szCs w:val="22"/>
        </w:rPr>
        <w:t>nnual</w:t>
      </w:r>
      <w:r w:rsidRPr="00081508">
        <w:rPr>
          <w:b/>
        </w:rPr>
        <w:t xml:space="preserve"> </w:t>
      </w:r>
      <w:r w:rsidR="00552FA7" w:rsidRPr="00081508">
        <w:rPr>
          <w:b/>
        </w:rPr>
        <w:t xml:space="preserve">Risk-Based </w:t>
      </w:r>
      <w:r w:rsidRPr="00081508">
        <w:rPr>
          <w:b/>
        </w:rPr>
        <w:t>A</w:t>
      </w:r>
      <w:r w:rsidRPr="0033698E">
        <w:rPr>
          <w:b/>
          <w:bCs/>
          <w:szCs w:val="22"/>
        </w:rPr>
        <w:t>ud</w:t>
      </w:r>
      <w:r w:rsidRPr="00081508">
        <w:rPr>
          <w:b/>
        </w:rPr>
        <w:t>it</w:t>
      </w:r>
      <w:r w:rsidRPr="0033698E">
        <w:rPr>
          <w:b/>
          <w:bCs/>
          <w:szCs w:val="22"/>
        </w:rPr>
        <w:t xml:space="preserve">ed </w:t>
      </w:r>
      <w:r w:rsidRPr="00081508">
        <w:rPr>
          <w:b/>
        </w:rPr>
        <w:t>R</w:t>
      </w:r>
      <w:r w:rsidRPr="0033698E">
        <w:rPr>
          <w:b/>
          <w:bCs/>
          <w:szCs w:val="22"/>
        </w:rPr>
        <w:t>e</w:t>
      </w:r>
      <w:r w:rsidRPr="00081508">
        <w:rPr>
          <w:b/>
        </w:rPr>
        <w:t>tu</w:t>
      </w:r>
      <w:r w:rsidRPr="0033698E">
        <w:rPr>
          <w:b/>
          <w:bCs/>
          <w:szCs w:val="22"/>
        </w:rPr>
        <w:t xml:space="preserve">rn, </w:t>
      </w:r>
      <w:r w:rsidRPr="00081508">
        <w:rPr>
          <w:b/>
        </w:rPr>
        <w:t>ex</w:t>
      </w:r>
      <w:r w:rsidRPr="0033698E">
        <w:rPr>
          <w:b/>
          <w:bCs/>
          <w:szCs w:val="22"/>
        </w:rPr>
        <w:t>c</w:t>
      </w:r>
      <w:r w:rsidRPr="00081508">
        <w:rPr>
          <w:b/>
        </w:rPr>
        <w:t>l</w:t>
      </w:r>
      <w:r w:rsidRPr="0033698E">
        <w:rPr>
          <w:b/>
          <w:bCs/>
          <w:szCs w:val="22"/>
        </w:rPr>
        <w:t>ud</w:t>
      </w:r>
      <w:r w:rsidRPr="00081508">
        <w:rPr>
          <w:b/>
        </w:rPr>
        <w:t>i</w:t>
      </w:r>
      <w:r w:rsidRPr="0033698E">
        <w:rPr>
          <w:b/>
          <w:bCs/>
          <w:szCs w:val="22"/>
        </w:rPr>
        <w:t xml:space="preserve">ng </w:t>
      </w:r>
      <w:r w:rsidRPr="00081508">
        <w:rPr>
          <w:b/>
        </w:rPr>
        <w:t>th</w:t>
      </w:r>
      <w:r w:rsidRPr="0033698E">
        <w:rPr>
          <w:b/>
          <w:bCs/>
          <w:szCs w:val="22"/>
        </w:rPr>
        <w:t>e</w:t>
      </w:r>
      <w:r w:rsidRPr="00081508">
        <w:rPr>
          <w:b/>
        </w:rPr>
        <w:t xml:space="preserve"> Dir</w:t>
      </w:r>
      <w:r w:rsidRPr="0033698E">
        <w:rPr>
          <w:b/>
          <w:bCs/>
          <w:szCs w:val="22"/>
        </w:rPr>
        <w:t>ec</w:t>
      </w:r>
      <w:r w:rsidRPr="00081508">
        <w:rPr>
          <w:b/>
        </w:rPr>
        <w:t>t</w:t>
      </w:r>
      <w:r w:rsidRPr="0033698E">
        <w:rPr>
          <w:b/>
          <w:bCs/>
          <w:szCs w:val="22"/>
        </w:rPr>
        <w:t>or</w:t>
      </w:r>
      <w:r w:rsidRPr="00081508">
        <w:rPr>
          <w:b/>
        </w:rPr>
        <w:t>s</w:t>
      </w:r>
      <w:r w:rsidRPr="0033698E">
        <w:rPr>
          <w:b/>
          <w:bCs/>
          <w:szCs w:val="22"/>
        </w:rPr>
        <w:t>’/</w:t>
      </w:r>
      <w:r w:rsidRPr="00081508">
        <w:rPr>
          <w:b/>
        </w:rPr>
        <w:t>P</w:t>
      </w:r>
      <w:r w:rsidRPr="0033698E">
        <w:rPr>
          <w:b/>
          <w:bCs/>
          <w:szCs w:val="22"/>
        </w:rPr>
        <w:t>a</w:t>
      </w:r>
      <w:r w:rsidRPr="00081508">
        <w:rPr>
          <w:b/>
        </w:rPr>
        <w:t>rt</w:t>
      </w:r>
      <w:r w:rsidRPr="0033698E">
        <w:rPr>
          <w:b/>
          <w:bCs/>
          <w:szCs w:val="22"/>
        </w:rPr>
        <w:t>n</w:t>
      </w:r>
      <w:r w:rsidRPr="00081508">
        <w:rPr>
          <w:b/>
        </w:rPr>
        <w:t>e</w:t>
      </w:r>
      <w:r w:rsidRPr="0033698E">
        <w:rPr>
          <w:b/>
          <w:bCs/>
          <w:szCs w:val="22"/>
        </w:rPr>
        <w:t>rs’</w:t>
      </w:r>
      <w:r w:rsidRPr="00081508">
        <w:rPr>
          <w:b/>
        </w:rPr>
        <w:t xml:space="preserve"> </w:t>
      </w:r>
      <w:r w:rsidRPr="0033698E">
        <w:rPr>
          <w:b/>
          <w:bCs/>
          <w:szCs w:val="22"/>
        </w:rPr>
        <w:t>** S</w:t>
      </w:r>
      <w:r w:rsidRPr="00081508">
        <w:rPr>
          <w:b/>
        </w:rPr>
        <w:t>t</w:t>
      </w:r>
      <w:r w:rsidRPr="0033698E">
        <w:rPr>
          <w:b/>
          <w:bCs/>
          <w:szCs w:val="22"/>
        </w:rPr>
        <w:t>a</w:t>
      </w:r>
      <w:r w:rsidRPr="00081508">
        <w:rPr>
          <w:b/>
        </w:rPr>
        <w:t>tem</w:t>
      </w:r>
      <w:r w:rsidRPr="0033698E">
        <w:rPr>
          <w:b/>
          <w:bCs/>
          <w:szCs w:val="22"/>
        </w:rPr>
        <w:t>e</w:t>
      </w:r>
      <w:r w:rsidRPr="00081508">
        <w:rPr>
          <w:b/>
        </w:rPr>
        <w:t>n</w:t>
      </w:r>
      <w:r w:rsidRPr="0033698E">
        <w:rPr>
          <w:b/>
          <w:bCs/>
          <w:szCs w:val="22"/>
        </w:rPr>
        <w:t>t</w:t>
      </w:r>
      <w:r w:rsidRPr="00081508">
        <w:rPr>
          <w:b/>
        </w:rPr>
        <w:t xml:space="preserve"> R</w:t>
      </w:r>
      <w:r w:rsidRPr="0033698E">
        <w:rPr>
          <w:b/>
          <w:bCs/>
          <w:szCs w:val="22"/>
        </w:rPr>
        <w:t>e</w:t>
      </w:r>
      <w:r w:rsidRPr="00081508">
        <w:rPr>
          <w:b/>
        </w:rPr>
        <w:t>l</w:t>
      </w:r>
      <w:r w:rsidRPr="0033698E">
        <w:rPr>
          <w:b/>
          <w:bCs/>
          <w:szCs w:val="22"/>
        </w:rPr>
        <w:t>a</w:t>
      </w:r>
      <w:r w:rsidRPr="00081508">
        <w:rPr>
          <w:b/>
        </w:rPr>
        <w:t>ti</w:t>
      </w:r>
      <w:r w:rsidRPr="0033698E">
        <w:rPr>
          <w:b/>
          <w:bCs/>
          <w:szCs w:val="22"/>
        </w:rPr>
        <w:t>ng</w:t>
      </w:r>
      <w:r w:rsidRPr="00081508">
        <w:rPr>
          <w:b/>
        </w:rPr>
        <w:t xml:space="preserve"> t</w:t>
      </w:r>
      <w:r w:rsidRPr="0033698E">
        <w:rPr>
          <w:b/>
          <w:bCs/>
          <w:szCs w:val="22"/>
        </w:rPr>
        <w:t xml:space="preserve">o </w:t>
      </w:r>
      <w:r w:rsidRPr="00081508">
        <w:rPr>
          <w:b/>
        </w:rPr>
        <w:t>A</w:t>
      </w:r>
      <w:r w:rsidRPr="0033698E">
        <w:rPr>
          <w:b/>
          <w:bCs/>
          <w:szCs w:val="22"/>
        </w:rPr>
        <w:t>ccoun</w:t>
      </w:r>
      <w:r w:rsidRPr="00081508">
        <w:rPr>
          <w:b/>
        </w:rPr>
        <w:t>t</w:t>
      </w:r>
      <w:r w:rsidRPr="0033698E">
        <w:rPr>
          <w:b/>
          <w:bCs/>
          <w:szCs w:val="22"/>
        </w:rPr>
        <w:t>s</w:t>
      </w:r>
      <w:r w:rsidRPr="00081508">
        <w:rPr>
          <w:b/>
        </w:rPr>
        <w:t xml:space="preserve"> o</w:t>
      </w:r>
      <w:r w:rsidRPr="0033698E">
        <w:rPr>
          <w:b/>
          <w:bCs/>
          <w:szCs w:val="22"/>
        </w:rPr>
        <w:t>f</w:t>
      </w:r>
      <w:r w:rsidRPr="00081508">
        <w:rPr>
          <w:b/>
        </w:rPr>
        <w:t xml:space="preserve"> </w:t>
      </w:r>
      <w:r w:rsidRPr="0033698E">
        <w:rPr>
          <w:b/>
          <w:bCs/>
          <w:szCs w:val="22"/>
        </w:rPr>
        <w:t>a</w:t>
      </w:r>
      <w:r w:rsidRPr="00081508">
        <w:rPr>
          <w:b/>
        </w:rPr>
        <w:t xml:space="preserve"> </w:t>
      </w:r>
      <w:r w:rsidRPr="0033698E">
        <w:rPr>
          <w:b/>
          <w:bCs/>
          <w:szCs w:val="22"/>
        </w:rPr>
        <w:t>Par</w:t>
      </w:r>
      <w:r w:rsidRPr="00081508">
        <w:rPr>
          <w:b/>
        </w:rPr>
        <w:t>tici</w:t>
      </w:r>
      <w:r w:rsidRPr="0033698E">
        <w:rPr>
          <w:b/>
          <w:bCs/>
          <w:szCs w:val="22"/>
        </w:rPr>
        <w:t>pant</w:t>
      </w:r>
      <w:r w:rsidRPr="00081508">
        <w:rPr>
          <w:b/>
        </w:rPr>
        <w:t xml:space="preserve"> </w:t>
      </w:r>
      <w:r w:rsidRPr="0033698E">
        <w:rPr>
          <w:b/>
          <w:bCs/>
          <w:szCs w:val="22"/>
        </w:rPr>
        <w:t>and “Pr</w:t>
      </w:r>
      <w:r w:rsidRPr="00081508">
        <w:rPr>
          <w:b/>
        </w:rPr>
        <w:t>io</w:t>
      </w:r>
      <w:r w:rsidRPr="0033698E">
        <w:rPr>
          <w:b/>
          <w:bCs/>
          <w:szCs w:val="22"/>
        </w:rPr>
        <w:t>r</w:t>
      </w:r>
      <w:r w:rsidRPr="00081508">
        <w:rPr>
          <w:b/>
        </w:rPr>
        <w:t xml:space="preserve"> P</w:t>
      </w:r>
      <w:r w:rsidRPr="0033698E">
        <w:rPr>
          <w:b/>
          <w:bCs/>
          <w:szCs w:val="22"/>
        </w:rPr>
        <w:t>e</w:t>
      </w:r>
      <w:r w:rsidRPr="00081508">
        <w:rPr>
          <w:b/>
        </w:rPr>
        <w:t>ri</w:t>
      </w:r>
      <w:r w:rsidRPr="0033698E">
        <w:rPr>
          <w:b/>
          <w:bCs/>
          <w:szCs w:val="22"/>
        </w:rPr>
        <w:t xml:space="preserve">od” </w:t>
      </w:r>
      <w:r w:rsidRPr="00081508">
        <w:rPr>
          <w:b/>
        </w:rPr>
        <w:t>b</w:t>
      </w:r>
      <w:r w:rsidRPr="0033698E">
        <w:rPr>
          <w:b/>
          <w:bCs/>
          <w:szCs w:val="22"/>
        </w:rPr>
        <w:t>a</w:t>
      </w:r>
      <w:r w:rsidRPr="00081508">
        <w:rPr>
          <w:b/>
        </w:rPr>
        <w:t>l</w:t>
      </w:r>
      <w:r w:rsidRPr="0033698E">
        <w:rPr>
          <w:b/>
          <w:bCs/>
          <w:szCs w:val="22"/>
        </w:rPr>
        <w:t>a</w:t>
      </w:r>
      <w:r w:rsidRPr="00081508">
        <w:rPr>
          <w:b/>
        </w:rPr>
        <w:t>n</w:t>
      </w:r>
      <w:r w:rsidRPr="0033698E">
        <w:rPr>
          <w:b/>
          <w:bCs/>
          <w:szCs w:val="22"/>
        </w:rPr>
        <w:t>ces</w:t>
      </w:r>
      <w:r w:rsidRPr="00081508">
        <w:rPr>
          <w:b/>
        </w:rPr>
        <w:t xml:space="preserve"> a</w:t>
      </w:r>
      <w:r w:rsidRPr="0033698E">
        <w:rPr>
          <w:b/>
          <w:bCs/>
          <w:szCs w:val="22"/>
        </w:rPr>
        <w:t>s</w:t>
      </w:r>
      <w:r w:rsidRPr="00081508">
        <w:rPr>
          <w:b/>
        </w:rPr>
        <w:t xml:space="preserve"> </w:t>
      </w:r>
      <w:r w:rsidRPr="0033698E">
        <w:rPr>
          <w:b/>
          <w:bCs/>
          <w:szCs w:val="22"/>
        </w:rPr>
        <w:t>sh</w:t>
      </w:r>
      <w:r w:rsidRPr="00081508">
        <w:rPr>
          <w:b/>
        </w:rPr>
        <w:t>ow</w:t>
      </w:r>
      <w:r w:rsidRPr="0033698E">
        <w:rPr>
          <w:b/>
          <w:bCs/>
          <w:szCs w:val="22"/>
        </w:rPr>
        <w:t>n</w:t>
      </w:r>
      <w:r w:rsidRPr="00081508">
        <w:rPr>
          <w:b/>
        </w:rPr>
        <w:t xml:space="preserve"> i</w:t>
      </w:r>
      <w:r w:rsidRPr="0033698E">
        <w:rPr>
          <w:b/>
          <w:bCs/>
          <w:szCs w:val="22"/>
        </w:rPr>
        <w:t xml:space="preserve">n </w:t>
      </w:r>
      <w:r w:rsidRPr="00081508">
        <w:rPr>
          <w:b/>
        </w:rPr>
        <w:t>t</w:t>
      </w:r>
      <w:r w:rsidRPr="0033698E">
        <w:rPr>
          <w:b/>
          <w:bCs/>
          <w:szCs w:val="22"/>
        </w:rPr>
        <w:t>he</w:t>
      </w:r>
      <w:r w:rsidRPr="00081508">
        <w:rPr>
          <w:b/>
        </w:rPr>
        <w:t xml:space="preserve"> A</w:t>
      </w:r>
      <w:r w:rsidRPr="0033698E">
        <w:rPr>
          <w:b/>
          <w:bCs/>
          <w:szCs w:val="22"/>
        </w:rPr>
        <w:t>u</w:t>
      </w:r>
      <w:r w:rsidRPr="00081508">
        <w:rPr>
          <w:b/>
        </w:rPr>
        <w:t>dit</w:t>
      </w:r>
      <w:r w:rsidRPr="0033698E">
        <w:rPr>
          <w:b/>
          <w:bCs/>
          <w:szCs w:val="22"/>
        </w:rPr>
        <w:t xml:space="preserve">ed </w:t>
      </w:r>
      <w:r w:rsidR="00552FA7" w:rsidRPr="00244E73">
        <w:rPr>
          <w:b/>
          <w:bCs/>
          <w:szCs w:val="22"/>
        </w:rPr>
        <w:t>Risk-Based</w:t>
      </w:r>
      <w:r w:rsidR="00552FA7">
        <w:rPr>
          <w:b/>
          <w:bCs/>
          <w:szCs w:val="22"/>
        </w:rPr>
        <w:t xml:space="preserve"> </w:t>
      </w:r>
      <w:r w:rsidRPr="00081508">
        <w:rPr>
          <w:b/>
        </w:rPr>
        <w:t>R</w:t>
      </w:r>
      <w:r w:rsidRPr="0033698E">
        <w:rPr>
          <w:b/>
          <w:bCs/>
          <w:szCs w:val="22"/>
        </w:rPr>
        <w:t>e</w:t>
      </w:r>
      <w:r w:rsidRPr="00081508">
        <w:rPr>
          <w:b/>
        </w:rPr>
        <w:t>t</w:t>
      </w:r>
      <w:r w:rsidRPr="0033698E">
        <w:rPr>
          <w:b/>
          <w:bCs/>
          <w:szCs w:val="22"/>
        </w:rPr>
        <w:t xml:space="preserve">urn, </w:t>
      </w:r>
      <w:r w:rsidRPr="00081508">
        <w:rPr>
          <w:b/>
        </w:rPr>
        <w:t>(t</w:t>
      </w:r>
      <w:r w:rsidRPr="0033698E">
        <w:rPr>
          <w:b/>
          <w:bCs/>
          <w:szCs w:val="22"/>
        </w:rPr>
        <w:t>he</w:t>
      </w:r>
      <w:r w:rsidRPr="00081508">
        <w:rPr>
          <w:b/>
        </w:rPr>
        <w:t xml:space="preserve"> </w:t>
      </w:r>
      <w:r w:rsidRPr="0033698E">
        <w:rPr>
          <w:b/>
          <w:bCs/>
          <w:szCs w:val="22"/>
        </w:rPr>
        <w:t>“</w:t>
      </w:r>
      <w:r w:rsidRPr="00081508">
        <w:rPr>
          <w:b/>
        </w:rPr>
        <w:t>R</w:t>
      </w:r>
      <w:r w:rsidRPr="0033698E">
        <w:rPr>
          <w:b/>
          <w:bCs/>
          <w:szCs w:val="22"/>
        </w:rPr>
        <w:t>e</w:t>
      </w:r>
      <w:r w:rsidRPr="00081508">
        <w:rPr>
          <w:b/>
        </w:rPr>
        <w:t>t</w:t>
      </w:r>
      <w:r w:rsidRPr="0033698E">
        <w:rPr>
          <w:b/>
          <w:bCs/>
          <w:szCs w:val="22"/>
        </w:rPr>
        <w:t>ur</w:t>
      </w:r>
      <w:r w:rsidRPr="00081508">
        <w:rPr>
          <w:b/>
        </w:rPr>
        <w:t>n</w:t>
      </w:r>
      <w:r w:rsidRPr="0033698E">
        <w:rPr>
          <w:b/>
          <w:bCs/>
          <w:szCs w:val="22"/>
        </w:rPr>
        <w:t>”)</w:t>
      </w:r>
      <w:r w:rsidRPr="00081508">
        <w:rPr>
          <w:b/>
        </w:rPr>
        <w:t xml:space="preserve"> o</w:t>
      </w:r>
      <w:r w:rsidRPr="0033698E">
        <w:rPr>
          <w:b/>
          <w:bCs/>
          <w:szCs w:val="22"/>
        </w:rPr>
        <w:t>f</w:t>
      </w:r>
      <w:r w:rsidRPr="00081508">
        <w:rPr>
          <w:b/>
        </w:rPr>
        <w:t xml:space="preserve"> [</w:t>
      </w:r>
      <w:r w:rsidRPr="0033698E">
        <w:rPr>
          <w:b/>
          <w:bCs/>
          <w:szCs w:val="22"/>
        </w:rPr>
        <w:t>Par</w:t>
      </w:r>
      <w:r w:rsidRPr="00081508">
        <w:rPr>
          <w:b/>
        </w:rPr>
        <w:t>tici</w:t>
      </w:r>
      <w:r w:rsidRPr="0033698E">
        <w:rPr>
          <w:b/>
          <w:bCs/>
          <w:szCs w:val="22"/>
        </w:rPr>
        <w:t>pan</w:t>
      </w:r>
      <w:r w:rsidRPr="00081508">
        <w:rPr>
          <w:b/>
        </w:rPr>
        <w:t>t</w:t>
      </w:r>
      <w:r w:rsidRPr="0033698E">
        <w:rPr>
          <w:b/>
          <w:bCs/>
          <w:szCs w:val="22"/>
        </w:rPr>
        <w:t>_n</w:t>
      </w:r>
      <w:r w:rsidRPr="00081508">
        <w:rPr>
          <w:b/>
        </w:rPr>
        <w:t>am</w:t>
      </w:r>
      <w:r w:rsidRPr="0033698E">
        <w:rPr>
          <w:b/>
          <w:bCs/>
          <w:szCs w:val="22"/>
        </w:rPr>
        <w:t>e</w:t>
      </w:r>
      <w:r w:rsidRPr="00081508">
        <w:rPr>
          <w:b/>
        </w:rPr>
        <w:t>]</w:t>
      </w:r>
      <w:r w:rsidRPr="0033698E">
        <w:rPr>
          <w:b/>
          <w:bCs/>
          <w:szCs w:val="22"/>
        </w:rPr>
        <w:t xml:space="preserve">* </w:t>
      </w:r>
      <w:r w:rsidRPr="00081508">
        <w:rPr>
          <w:b/>
        </w:rPr>
        <w:t>(“t</w:t>
      </w:r>
      <w:r w:rsidRPr="0033698E">
        <w:rPr>
          <w:b/>
          <w:bCs/>
          <w:szCs w:val="22"/>
        </w:rPr>
        <w:t>he</w:t>
      </w:r>
      <w:r w:rsidRPr="00081508">
        <w:rPr>
          <w:b/>
        </w:rPr>
        <w:t xml:space="preserve"> Pa</w:t>
      </w:r>
      <w:r w:rsidRPr="0033698E">
        <w:rPr>
          <w:b/>
          <w:bCs/>
          <w:szCs w:val="22"/>
        </w:rPr>
        <w:t>r</w:t>
      </w:r>
      <w:r w:rsidRPr="00081508">
        <w:rPr>
          <w:b/>
        </w:rPr>
        <w:t>tici</w:t>
      </w:r>
      <w:r w:rsidRPr="0033698E">
        <w:rPr>
          <w:b/>
          <w:bCs/>
          <w:szCs w:val="22"/>
        </w:rPr>
        <w:t>pan</w:t>
      </w:r>
      <w:r w:rsidRPr="00081508">
        <w:rPr>
          <w:b/>
        </w:rPr>
        <w:t>t</w:t>
      </w:r>
      <w:r w:rsidRPr="0033698E">
        <w:rPr>
          <w:b/>
          <w:bCs/>
          <w:szCs w:val="22"/>
        </w:rPr>
        <w:t>”)</w:t>
      </w:r>
      <w:r w:rsidRPr="00081508">
        <w:rPr>
          <w:b/>
        </w:rPr>
        <w:t xml:space="preserve"> f</w:t>
      </w:r>
      <w:r w:rsidRPr="0033698E">
        <w:rPr>
          <w:b/>
          <w:bCs/>
          <w:szCs w:val="22"/>
        </w:rPr>
        <w:t>or</w:t>
      </w:r>
      <w:r w:rsidRPr="00081508">
        <w:rPr>
          <w:b/>
        </w:rPr>
        <w:t xml:space="preserve"> t</w:t>
      </w:r>
      <w:r w:rsidRPr="0033698E">
        <w:rPr>
          <w:b/>
          <w:bCs/>
          <w:szCs w:val="22"/>
        </w:rPr>
        <w:t>he</w:t>
      </w:r>
      <w:r w:rsidRPr="00081508">
        <w:rPr>
          <w:b/>
        </w:rPr>
        <w:t xml:space="preserve"> [</w:t>
      </w:r>
      <w:r w:rsidRPr="0033698E">
        <w:rPr>
          <w:b/>
          <w:bCs/>
          <w:szCs w:val="22"/>
        </w:rPr>
        <w:t>pe</w:t>
      </w:r>
      <w:r w:rsidRPr="00081508">
        <w:rPr>
          <w:b/>
        </w:rPr>
        <w:t>ri</w:t>
      </w:r>
      <w:r w:rsidRPr="0033698E">
        <w:rPr>
          <w:b/>
          <w:bCs/>
          <w:szCs w:val="22"/>
        </w:rPr>
        <w:t>o</w:t>
      </w:r>
      <w:r w:rsidRPr="00081508">
        <w:rPr>
          <w:b/>
        </w:rPr>
        <w:t>d</w:t>
      </w:r>
      <w:r w:rsidRPr="0033698E">
        <w:rPr>
          <w:b/>
          <w:bCs/>
          <w:szCs w:val="22"/>
        </w:rPr>
        <w:t>]</w:t>
      </w:r>
      <w:r w:rsidRPr="00081508">
        <w:rPr>
          <w:b/>
        </w:rPr>
        <w:t xml:space="preserve"> </w:t>
      </w:r>
      <w:r w:rsidRPr="0033698E">
        <w:rPr>
          <w:b/>
          <w:bCs/>
          <w:szCs w:val="22"/>
        </w:rPr>
        <w:t>e</w:t>
      </w:r>
      <w:r w:rsidRPr="00081508">
        <w:rPr>
          <w:b/>
        </w:rPr>
        <w:t>n</w:t>
      </w:r>
      <w:r w:rsidRPr="0033698E">
        <w:rPr>
          <w:b/>
          <w:bCs/>
          <w:szCs w:val="22"/>
        </w:rPr>
        <w:t xml:space="preserve">ded </w:t>
      </w:r>
      <w:r w:rsidRPr="00081508">
        <w:rPr>
          <w:b/>
        </w:rPr>
        <w:t>[</w:t>
      </w:r>
      <w:r w:rsidRPr="0033698E">
        <w:rPr>
          <w:b/>
          <w:bCs/>
          <w:szCs w:val="22"/>
        </w:rPr>
        <w:t>d</w:t>
      </w:r>
      <w:r w:rsidRPr="00081508">
        <w:rPr>
          <w:b/>
        </w:rPr>
        <w:t>at</w:t>
      </w:r>
      <w:r w:rsidRPr="0033698E">
        <w:rPr>
          <w:b/>
          <w:bCs/>
          <w:szCs w:val="22"/>
        </w:rPr>
        <w:t>e</w:t>
      </w:r>
      <w:r w:rsidRPr="00081508">
        <w:rPr>
          <w:b/>
        </w:rPr>
        <w:t>].</w:t>
      </w:r>
    </w:p>
    <w:p w14:paraId="387FBC00" w14:textId="43C7EE44" w:rsidR="002E03A9" w:rsidRPr="00081508" w:rsidRDefault="002E03A9" w:rsidP="00081508">
      <w:pPr>
        <w:spacing w:before="360" w:after="0"/>
        <w:ind w:right="-23"/>
      </w:pPr>
      <w:r w:rsidRPr="0033698E">
        <w:rPr>
          <w:i/>
          <w:szCs w:val="22"/>
        </w:rPr>
        <w:t>The</w:t>
      </w:r>
      <w:r w:rsidRPr="0033698E">
        <w:rPr>
          <w:i/>
          <w:spacing w:val="1"/>
          <w:szCs w:val="22"/>
        </w:rPr>
        <w:t xml:space="preserve"> </w:t>
      </w:r>
      <w:r w:rsidRPr="0033698E">
        <w:rPr>
          <w:i/>
          <w:szCs w:val="22"/>
        </w:rPr>
        <w:t>Res</w:t>
      </w:r>
      <w:r w:rsidRPr="0033698E">
        <w:rPr>
          <w:i/>
          <w:spacing w:val="-2"/>
          <w:szCs w:val="22"/>
        </w:rPr>
        <w:t>p</w:t>
      </w:r>
      <w:r w:rsidRPr="0033698E">
        <w:rPr>
          <w:i/>
          <w:szCs w:val="22"/>
        </w:rPr>
        <w:t>on</w:t>
      </w:r>
      <w:r w:rsidRPr="0033698E">
        <w:rPr>
          <w:i/>
          <w:spacing w:val="-2"/>
          <w:szCs w:val="22"/>
        </w:rPr>
        <w:t>s</w:t>
      </w:r>
      <w:r w:rsidRPr="0033698E">
        <w:rPr>
          <w:i/>
          <w:spacing w:val="1"/>
          <w:szCs w:val="22"/>
        </w:rPr>
        <w:t>i</w:t>
      </w:r>
      <w:r w:rsidRPr="0033698E">
        <w:rPr>
          <w:i/>
          <w:szCs w:val="22"/>
        </w:rPr>
        <w:t>b</w:t>
      </w:r>
      <w:r w:rsidRPr="0033698E">
        <w:rPr>
          <w:i/>
          <w:spacing w:val="-1"/>
          <w:szCs w:val="22"/>
        </w:rPr>
        <w:t>i</w:t>
      </w:r>
      <w:r w:rsidRPr="0033698E">
        <w:rPr>
          <w:i/>
          <w:spacing w:val="1"/>
          <w:szCs w:val="22"/>
        </w:rPr>
        <w:t>l</w:t>
      </w:r>
      <w:r w:rsidRPr="0033698E">
        <w:rPr>
          <w:i/>
          <w:spacing w:val="-1"/>
          <w:szCs w:val="22"/>
        </w:rPr>
        <w:t>i</w:t>
      </w:r>
      <w:r w:rsidRPr="0033698E">
        <w:rPr>
          <w:i/>
          <w:spacing w:val="1"/>
          <w:szCs w:val="22"/>
        </w:rPr>
        <w:t>t</w:t>
      </w:r>
      <w:r w:rsidRPr="0033698E">
        <w:rPr>
          <w:i/>
          <w:szCs w:val="22"/>
        </w:rPr>
        <w:t>y</w:t>
      </w:r>
      <w:r w:rsidRPr="0033698E">
        <w:rPr>
          <w:i/>
          <w:spacing w:val="1"/>
          <w:szCs w:val="22"/>
        </w:rPr>
        <w:t xml:space="preserve"> </w:t>
      </w:r>
      <w:r w:rsidRPr="0033698E">
        <w:rPr>
          <w:i/>
          <w:spacing w:val="-2"/>
          <w:szCs w:val="22"/>
        </w:rPr>
        <w:t>o</w:t>
      </w:r>
      <w:r w:rsidRPr="0033698E">
        <w:rPr>
          <w:i/>
          <w:szCs w:val="22"/>
        </w:rPr>
        <w:t>f</w:t>
      </w:r>
      <w:r w:rsidRPr="0033698E">
        <w:rPr>
          <w:i/>
          <w:spacing w:val="-1"/>
          <w:szCs w:val="22"/>
        </w:rPr>
        <w:t xml:space="preserve"> </w:t>
      </w:r>
      <w:r w:rsidRPr="0033698E">
        <w:rPr>
          <w:i/>
          <w:spacing w:val="1"/>
          <w:szCs w:val="22"/>
        </w:rPr>
        <w:t>t</w:t>
      </w:r>
      <w:r w:rsidRPr="0033698E">
        <w:rPr>
          <w:i/>
          <w:szCs w:val="22"/>
        </w:rPr>
        <w:t>he</w:t>
      </w:r>
      <w:r w:rsidRPr="0033698E">
        <w:rPr>
          <w:i/>
          <w:spacing w:val="1"/>
          <w:szCs w:val="22"/>
        </w:rPr>
        <w:t xml:space="preserve"> </w:t>
      </w:r>
      <w:r w:rsidRPr="0033698E">
        <w:rPr>
          <w:i/>
          <w:spacing w:val="-4"/>
          <w:szCs w:val="22"/>
        </w:rPr>
        <w:t>D</w:t>
      </w:r>
      <w:r w:rsidRPr="0033698E">
        <w:rPr>
          <w:i/>
          <w:spacing w:val="1"/>
          <w:szCs w:val="22"/>
        </w:rPr>
        <w:t>i</w:t>
      </w:r>
      <w:r w:rsidRPr="0033698E">
        <w:rPr>
          <w:i/>
          <w:szCs w:val="22"/>
        </w:rPr>
        <w:t>re</w:t>
      </w:r>
      <w:r w:rsidRPr="0033698E">
        <w:rPr>
          <w:i/>
          <w:spacing w:val="-2"/>
          <w:szCs w:val="22"/>
        </w:rPr>
        <w:t>c</w:t>
      </w:r>
      <w:r w:rsidRPr="0033698E">
        <w:rPr>
          <w:i/>
          <w:spacing w:val="1"/>
          <w:szCs w:val="22"/>
        </w:rPr>
        <w:t>t</w:t>
      </w:r>
      <w:r w:rsidRPr="0033698E">
        <w:rPr>
          <w:i/>
          <w:szCs w:val="22"/>
        </w:rPr>
        <w:t>o</w:t>
      </w:r>
      <w:r w:rsidRPr="0033698E">
        <w:rPr>
          <w:i/>
          <w:spacing w:val="-2"/>
          <w:szCs w:val="22"/>
        </w:rPr>
        <w:t>r</w:t>
      </w:r>
      <w:r w:rsidRPr="0033698E">
        <w:rPr>
          <w:i/>
          <w:szCs w:val="22"/>
        </w:rPr>
        <w:t>s</w:t>
      </w:r>
      <w:r w:rsidRPr="0033698E">
        <w:rPr>
          <w:i/>
          <w:spacing w:val="1"/>
          <w:szCs w:val="22"/>
        </w:rPr>
        <w:t>/</w:t>
      </w:r>
      <w:r w:rsidRPr="0033698E">
        <w:rPr>
          <w:i/>
          <w:spacing w:val="-3"/>
          <w:szCs w:val="22"/>
        </w:rPr>
        <w:t>P</w:t>
      </w:r>
      <w:r w:rsidRPr="0033698E">
        <w:rPr>
          <w:i/>
          <w:szCs w:val="22"/>
        </w:rPr>
        <w:t>ar</w:t>
      </w:r>
      <w:r w:rsidRPr="0033698E">
        <w:rPr>
          <w:i/>
          <w:spacing w:val="-1"/>
          <w:szCs w:val="22"/>
        </w:rPr>
        <w:t>t</w:t>
      </w:r>
      <w:r w:rsidRPr="0033698E">
        <w:rPr>
          <w:i/>
          <w:szCs w:val="22"/>
        </w:rPr>
        <w:t>ners</w:t>
      </w:r>
      <w:r w:rsidRPr="0033698E">
        <w:rPr>
          <w:i/>
          <w:spacing w:val="-2"/>
          <w:szCs w:val="22"/>
        </w:rPr>
        <w:t xml:space="preserve"> </w:t>
      </w:r>
      <w:r w:rsidRPr="0033698E">
        <w:rPr>
          <w:i/>
          <w:szCs w:val="22"/>
        </w:rPr>
        <w:t>**</w:t>
      </w:r>
      <w:r w:rsidRPr="0033698E">
        <w:rPr>
          <w:i/>
          <w:spacing w:val="-2"/>
          <w:szCs w:val="22"/>
        </w:rPr>
        <w:t xml:space="preserve"> </w:t>
      </w:r>
      <w:r w:rsidRPr="0033698E">
        <w:rPr>
          <w:i/>
          <w:spacing w:val="1"/>
          <w:szCs w:val="22"/>
        </w:rPr>
        <w:t>f</w:t>
      </w:r>
      <w:r w:rsidRPr="0033698E">
        <w:rPr>
          <w:i/>
          <w:szCs w:val="22"/>
        </w:rPr>
        <w:t>or</w:t>
      </w:r>
      <w:r w:rsidRPr="0033698E">
        <w:rPr>
          <w:i/>
          <w:spacing w:val="-2"/>
          <w:szCs w:val="22"/>
        </w:rPr>
        <w:t xml:space="preserve"> </w:t>
      </w:r>
      <w:r w:rsidRPr="0033698E">
        <w:rPr>
          <w:i/>
          <w:spacing w:val="1"/>
          <w:szCs w:val="22"/>
        </w:rPr>
        <w:t>t</w:t>
      </w:r>
      <w:r w:rsidRPr="0033698E">
        <w:rPr>
          <w:i/>
          <w:szCs w:val="22"/>
        </w:rPr>
        <w:t>he</w:t>
      </w:r>
      <w:r w:rsidRPr="0033698E">
        <w:rPr>
          <w:i/>
          <w:spacing w:val="-2"/>
          <w:szCs w:val="22"/>
        </w:rPr>
        <w:t xml:space="preserve"> </w:t>
      </w:r>
      <w:r w:rsidRPr="0033698E">
        <w:rPr>
          <w:i/>
          <w:szCs w:val="22"/>
        </w:rPr>
        <w:t>Re</w:t>
      </w:r>
      <w:r w:rsidRPr="0033698E">
        <w:rPr>
          <w:i/>
          <w:spacing w:val="1"/>
          <w:szCs w:val="22"/>
        </w:rPr>
        <w:t>t</w:t>
      </w:r>
      <w:r w:rsidRPr="0033698E">
        <w:rPr>
          <w:i/>
          <w:szCs w:val="22"/>
        </w:rPr>
        <w:t>u</w:t>
      </w:r>
      <w:r w:rsidRPr="0033698E">
        <w:rPr>
          <w:i/>
          <w:spacing w:val="-2"/>
          <w:szCs w:val="22"/>
        </w:rPr>
        <w:t>r</w:t>
      </w:r>
      <w:r w:rsidRPr="0033698E">
        <w:rPr>
          <w:i/>
          <w:szCs w:val="22"/>
        </w:rPr>
        <w:t>n</w:t>
      </w:r>
    </w:p>
    <w:p w14:paraId="175C2FE2" w14:textId="3EAB60A3" w:rsidR="002E03A9" w:rsidRPr="0033698E" w:rsidRDefault="002E03A9" w:rsidP="00081508">
      <w:pPr>
        <w:spacing w:before="200" w:after="0" w:line="300" w:lineRule="atLeast"/>
        <w:ind w:right="-23"/>
      </w:pPr>
      <w:r w:rsidRPr="00081508">
        <w:t>T</w:t>
      </w:r>
      <w:r w:rsidRPr="0033698E">
        <w:rPr>
          <w:szCs w:val="22"/>
        </w:rPr>
        <w:t>he</w:t>
      </w:r>
      <w:r w:rsidRPr="00081508">
        <w:t xml:space="preserve"> </w:t>
      </w:r>
      <w:r w:rsidRPr="0033698E">
        <w:rPr>
          <w:b/>
          <w:bCs/>
          <w:szCs w:val="22"/>
        </w:rPr>
        <w:t>d</w:t>
      </w:r>
      <w:r w:rsidRPr="00081508">
        <w:rPr>
          <w:b/>
        </w:rPr>
        <w:t>ir</w:t>
      </w:r>
      <w:r w:rsidRPr="0033698E">
        <w:rPr>
          <w:b/>
          <w:bCs/>
          <w:szCs w:val="22"/>
        </w:rPr>
        <w:t>e</w:t>
      </w:r>
      <w:r w:rsidRPr="00081508">
        <w:rPr>
          <w:b/>
        </w:rPr>
        <w:t>ct</w:t>
      </w:r>
      <w:r w:rsidRPr="0033698E">
        <w:rPr>
          <w:b/>
          <w:bCs/>
          <w:szCs w:val="22"/>
        </w:rPr>
        <w:t>or</w:t>
      </w:r>
      <w:r w:rsidRPr="00081508">
        <w:rPr>
          <w:b/>
        </w:rPr>
        <w:t>s/</w:t>
      </w:r>
      <w:r w:rsidRPr="0033698E">
        <w:rPr>
          <w:b/>
          <w:bCs/>
          <w:szCs w:val="22"/>
        </w:rPr>
        <w:t>pa</w:t>
      </w:r>
      <w:r w:rsidRPr="00081508">
        <w:rPr>
          <w:b/>
        </w:rPr>
        <w:t>rt</w:t>
      </w:r>
      <w:r w:rsidRPr="0033698E">
        <w:rPr>
          <w:b/>
          <w:bCs/>
          <w:szCs w:val="22"/>
        </w:rPr>
        <w:t>ne</w:t>
      </w:r>
      <w:r w:rsidRPr="00081508">
        <w:rPr>
          <w:b/>
        </w:rPr>
        <w:t>r</w:t>
      </w:r>
      <w:r w:rsidRPr="0033698E">
        <w:rPr>
          <w:b/>
          <w:bCs/>
          <w:szCs w:val="22"/>
        </w:rPr>
        <w:t>s</w:t>
      </w:r>
      <w:r w:rsidRPr="00081508">
        <w:rPr>
          <w:b/>
        </w:rPr>
        <w:t xml:space="preserve"> </w:t>
      </w:r>
      <w:r w:rsidRPr="0033698E">
        <w:rPr>
          <w:b/>
          <w:bCs/>
          <w:szCs w:val="22"/>
        </w:rPr>
        <w:t>**</w:t>
      </w:r>
      <w:r w:rsidRPr="00081508">
        <w:t xml:space="preserve"> </w:t>
      </w:r>
      <w:r w:rsidRPr="0033698E">
        <w:rPr>
          <w:szCs w:val="22"/>
        </w:rPr>
        <w:t>of</w:t>
      </w:r>
      <w:r w:rsidRPr="00081508">
        <w:t xml:space="preserve"> th</w:t>
      </w:r>
      <w:r w:rsidRPr="0033698E">
        <w:rPr>
          <w:szCs w:val="22"/>
        </w:rPr>
        <w:t>e</w:t>
      </w:r>
      <w:r w:rsidRPr="00081508">
        <w:t xml:space="preserve"> Partici</w:t>
      </w:r>
      <w:r w:rsidRPr="0033698E">
        <w:rPr>
          <w:szCs w:val="22"/>
        </w:rPr>
        <w:t>pa</w:t>
      </w:r>
      <w:r w:rsidRPr="00081508">
        <w:t>n</w:t>
      </w:r>
      <w:r w:rsidRPr="0033698E">
        <w:rPr>
          <w:szCs w:val="22"/>
        </w:rPr>
        <w:t>t</w:t>
      </w:r>
      <w:r w:rsidRPr="00081508">
        <w:t xml:space="preserve"> ar</w:t>
      </w:r>
      <w:r w:rsidRPr="0033698E">
        <w:rPr>
          <w:szCs w:val="22"/>
        </w:rPr>
        <w:t>e</w:t>
      </w:r>
      <w:r w:rsidRPr="00081508">
        <w:t xml:space="preserve"> r</w:t>
      </w:r>
      <w:r w:rsidRPr="0033698E">
        <w:rPr>
          <w:szCs w:val="22"/>
        </w:rPr>
        <w:t>esp</w:t>
      </w:r>
      <w:r w:rsidRPr="00081508">
        <w:t>o</w:t>
      </w:r>
      <w:r w:rsidRPr="0033698E">
        <w:rPr>
          <w:szCs w:val="22"/>
        </w:rPr>
        <w:t>ns</w:t>
      </w:r>
      <w:r w:rsidRPr="00081508">
        <w:t>ibl</w:t>
      </w:r>
      <w:r w:rsidRPr="0033698E">
        <w:rPr>
          <w:szCs w:val="22"/>
        </w:rPr>
        <w:t>e</w:t>
      </w:r>
      <w:r w:rsidRPr="00081508">
        <w:t xml:space="preserve"> f</w:t>
      </w:r>
      <w:r w:rsidRPr="0033698E">
        <w:rPr>
          <w:szCs w:val="22"/>
        </w:rPr>
        <w:t>or</w:t>
      </w:r>
      <w:r w:rsidRPr="00081508">
        <w:t xml:space="preserve"> t</w:t>
      </w:r>
      <w:r w:rsidRPr="0033698E">
        <w:rPr>
          <w:szCs w:val="22"/>
        </w:rPr>
        <w:t>he</w:t>
      </w:r>
      <w:r w:rsidRPr="00081508">
        <w:t xml:space="preserve"> </w:t>
      </w:r>
      <w:r w:rsidRPr="0033698E">
        <w:rPr>
          <w:szCs w:val="22"/>
        </w:rPr>
        <w:t>p</w:t>
      </w:r>
      <w:r w:rsidRPr="00081508">
        <w:t>r</w:t>
      </w:r>
      <w:r w:rsidRPr="0033698E">
        <w:rPr>
          <w:szCs w:val="22"/>
        </w:rPr>
        <w:t>e</w:t>
      </w:r>
      <w:r w:rsidRPr="00081508">
        <w:t>p</w:t>
      </w:r>
      <w:r w:rsidRPr="0033698E">
        <w:rPr>
          <w:szCs w:val="22"/>
        </w:rPr>
        <w:t>a</w:t>
      </w:r>
      <w:r w:rsidRPr="00081508">
        <w:t>r</w:t>
      </w:r>
      <w:r w:rsidRPr="0033698E">
        <w:rPr>
          <w:szCs w:val="22"/>
        </w:rPr>
        <w:t>a</w:t>
      </w:r>
      <w:r w:rsidRPr="00081508">
        <w:t>ti</w:t>
      </w:r>
      <w:r w:rsidRPr="0033698E">
        <w:rPr>
          <w:szCs w:val="22"/>
        </w:rPr>
        <w:t>on</w:t>
      </w:r>
      <w:r w:rsidRPr="00081508">
        <w:t xml:space="preserve"> an</w:t>
      </w:r>
      <w:r w:rsidRPr="0033698E">
        <w:rPr>
          <w:szCs w:val="22"/>
        </w:rPr>
        <w:t>d</w:t>
      </w:r>
      <w:r w:rsidRPr="00081508">
        <w:t xml:space="preserve"> fai</w:t>
      </w:r>
      <w:r w:rsidRPr="0033698E">
        <w:rPr>
          <w:szCs w:val="22"/>
        </w:rPr>
        <w:t>r p</w:t>
      </w:r>
      <w:r w:rsidRPr="00081508">
        <w:t>r</w:t>
      </w:r>
      <w:r w:rsidRPr="0033698E">
        <w:rPr>
          <w:szCs w:val="22"/>
        </w:rPr>
        <w:t>e</w:t>
      </w:r>
      <w:r w:rsidRPr="00081508">
        <w:t>s</w:t>
      </w:r>
      <w:r w:rsidRPr="0033698E">
        <w:rPr>
          <w:szCs w:val="22"/>
        </w:rPr>
        <w:t>en</w:t>
      </w:r>
      <w:r w:rsidRPr="00081508">
        <w:t>t</w:t>
      </w:r>
      <w:r w:rsidRPr="0033698E">
        <w:rPr>
          <w:szCs w:val="22"/>
        </w:rPr>
        <w:t>a</w:t>
      </w:r>
      <w:r w:rsidRPr="00081508">
        <w:t>ti</w:t>
      </w:r>
      <w:r w:rsidRPr="0033698E">
        <w:rPr>
          <w:szCs w:val="22"/>
        </w:rPr>
        <w:t xml:space="preserve">on </w:t>
      </w:r>
      <w:r w:rsidRPr="00081508">
        <w:t>o</w:t>
      </w:r>
      <w:r w:rsidRPr="0033698E">
        <w:rPr>
          <w:szCs w:val="22"/>
        </w:rPr>
        <w:t>f</w:t>
      </w:r>
      <w:r w:rsidRPr="00081508">
        <w:t xml:space="preserve"> th</w:t>
      </w:r>
      <w:r w:rsidRPr="0033698E">
        <w:rPr>
          <w:szCs w:val="22"/>
        </w:rPr>
        <w:t>e</w:t>
      </w:r>
      <w:r w:rsidRPr="00081508">
        <w:t xml:space="preserve"> fi</w:t>
      </w:r>
      <w:r w:rsidRPr="0033698E">
        <w:rPr>
          <w:szCs w:val="22"/>
        </w:rPr>
        <w:t>na</w:t>
      </w:r>
      <w:r w:rsidRPr="00081508">
        <w:t>n</w:t>
      </w:r>
      <w:r w:rsidRPr="0033698E">
        <w:rPr>
          <w:szCs w:val="22"/>
        </w:rPr>
        <w:t>c</w:t>
      </w:r>
      <w:r w:rsidRPr="00081508">
        <w:t>ia</w:t>
      </w:r>
      <w:r w:rsidRPr="0033698E">
        <w:rPr>
          <w:szCs w:val="22"/>
        </w:rPr>
        <w:t>l</w:t>
      </w:r>
      <w:r w:rsidRPr="00081508">
        <w:t xml:space="preserve"> inf</w:t>
      </w:r>
      <w:r w:rsidRPr="0033698E">
        <w:rPr>
          <w:szCs w:val="22"/>
        </w:rPr>
        <w:t>o</w:t>
      </w:r>
      <w:r w:rsidRPr="00081508">
        <w:t>rm</w:t>
      </w:r>
      <w:r w:rsidRPr="0033698E">
        <w:rPr>
          <w:szCs w:val="22"/>
        </w:rPr>
        <w:t>a</w:t>
      </w:r>
      <w:r w:rsidRPr="00081508">
        <w:t>ti</w:t>
      </w:r>
      <w:r w:rsidRPr="0033698E">
        <w:rPr>
          <w:szCs w:val="22"/>
        </w:rPr>
        <w:t xml:space="preserve">on </w:t>
      </w:r>
      <w:r w:rsidRPr="00081508">
        <w:t>s</w:t>
      </w:r>
      <w:r w:rsidRPr="0033698E">
        <w:rPr>
          <w:szCs w:val="22"/>
        </w:rPr>
        <w:t>et</w:t>
      </w:r>
      <w:r w:rsidRPr="00081508">
        <w:t xml:space="preserve"> </w:t>
      </w:r>
      <w:r w:rsidRPr="0033698E">
        <w:rPr>
          <w:szCs w:val="22"/>
        </w:rPr>
        <w:t>o</w:t>
      </w:r>
      <w:r w:rsidRPr="00081508">
        <w:t>u</w:t>
      </w:r>
      <w:r w:rsidRPr="0033698E">
        <w:rPr>
          <w:szCs w:val="22"/>
        </w:rPr>
        <w:t>t</w:t>
      </w:r>
      <w:r w:rsidRPr="00081508">
        <w:t xml:space="preserve"> i</w:t>
      </w:r>
      <w:r w:rsidRPr="0033698E">
        <w:rPr>
          <w:szCs w:val="22"/>
        </w:rPr>
        <w:t xml:space="preserve">n </w:t>
      </w:r>
      <w:r w:rsidRPr="00081508">
        <w:t>t</w:t>
      </w:r>
      <w:r w:rsidRPr="0033698E">
        <w:rPr>
          <w:szCs w:val="22"/>
        </w:rPr>
        <w:t>he</w:t>
      </w:r>
      <w:r w:rsidRPr="00081508">
        <w:t xml:space="preserve"> R</w:t>
      </w:r>
      <w:r w:rsidRPr="0033698E">
        <w:rPr>
          <w:szCs w:val="22"/>
        </w:rPr>
        <w:t>e</w:t>
      </w:r>
      <w:r w:rsidRPr="00081508">
        <w:t>t</w:t>
      </w:r>
      <w:r w:rsidRPr="0033698E">
        <w:rPr>
          <w:szCs w:val="22"/>
        </w:rPr>
        <w:t>u</w:t>
      </w:r>
      <w:r w:rsidRPr="00081508">
        <w:t>r</w:t>
      </w:r>
      <w:r w:rsidRPr="0033698E">
        <w:rPr>
          <w:szCs w:val="22"/>
        </w:rPr>
        <w:t>n</w:t>
      </w:r>
      <w:r w:rsidRPr="00081508">
        <w:t xml:space="preserve"> i</w:t>
      </w:r>
      <w:r w:rsidRPr="0033698E">
        <w:rPr>
          <w:szCs w:val="22"/>
        </w:rPr>
        <w:t>n</w:t>
      </w:r>
      <w:r w:rsidRPr="00081508">
        <w:t xml:space="preserve"> </w:t>
      </w:r>
      <w:r w:rsidRPr="0033698E">
        <w:rPr>
          <w:szCs w:val="22"/>
        </w:rPr>
        <w:t>acc</w:t>
      </w:r>
      <w:r w:rsidRPr="00081508">
        <w:t>or</w:t>
      </w:r>
      <w:r w:rsidRPr="0033698E">
        <w:rPr>
          <w:szCs w:val="22"/>
        </w:rPr>
        <w:t>d</w:t>
      </w:r>
      <w:r w:rsidRPr="00081508">
        <w:t>a</w:t>
      </w:r>
      <w:r w:rsidRPr="0033698E">
        <w:rPr>
          <w:szCs w:val="22"/>
        </w:rPr>
        <w:t>nce</w:t>
      </w:r>
      <w:r w:rsidRPr="00081508">
        <w:t xml:space="preserve"> wit</w:t>
      </w:r>
      <w:r w:rsidRPr="0033698E">
        <w:rPr>
          <w:szCs w:val="22"/>
        </w:rPr>
        <w:t>h</w:t>
      </w:r>
      <w:r w:rsidRPr="00081508">
        <w:t xml:space="preserve"> t</w:t>
      </w:r>
      <w:r w:rsidRPr="0033698E">
        <w:rPr>
          <w:szCs w:val="22"/>
        </w:rPr>
        <w:t xml:space="preserve">he </w:t>
      </w:r>
      <w:r w:rsidRPr="00081508">
        <w:t>r</w:t>
      </w:r>
      <w:r w:rsidRPr="0033698E">
        <w:rPr>
          <w:szCs w:val="22"/>
        </w:rPr>
        <w:t>eq</w:t>
      </w:r>
      <w:r w:rsidRPr="00081508">
        <w:t>uir</w:t>
      </w:r>
      <w:r w:rsidRPr="0033698E">
        <w:rPr>
          <w:szCs w:val="22"/>
        </w:rPr>
        <w:t>e</w:t>
      </w:r>
      <w:r w:rsidRPr="00081508">
        <w:t>m</w:t>
      </w:r>
      <w:r w:rsidRPr="0033698E">
        <w:rPr>
          <w:szCs w:val="22"/>
        </w:rPr>
        <w:t>en</w:t>
      </w:r>
      <w:r w:rsidRPr="00081508">
        <w:t>t</w:t>
      </w:r>
      <w:r w:rsidRPr="0033698E">
        <w:rPr>
          <w:szCs w:val="22"/>
        </w:rPr>
        <w:t>s</w:t>
      </w:r>
      <w:r w:rsidRPr="00081508">
        <w:t xml:space="preserve"> </w:t>
      </w:r>
      <w:r w:rsidRPr="00244E73">
        <w:rPr>
          <w:szCs w:val="22"/>
        </w:rPr>
        <w:t>of</w:t>
      </w:r>
      <w:r w:rsidRPr="00081508">
        <w:t xml:space="preserve"> </w:t>
      </w:r>
      <w:r w:rsidR="00E5519C" w:rsidRPr="00081508">
        <w:t xml:space="preserve">the </w:t>
      </w:r>
      <w:r w:rsidR="0053215A" w:rsidRPr="00081508">
        <w:rPr>
          <w:i/>
        </w:rPr>
        <w:t xml:space="preserve">ASIC Market Integrity Rules (Capital) </w:t>
      </w:r>
      <w:r w:rsidR="0091639B" w:rsidRPr="00081508">
        <w:rPr>
          <w:i/>
        </w:rPr>
        <w:t>20</w:t>
      </w:r>
      <w:r w:rsidR="004F4E4F">
        <w:rPr>
          <w:i/>
        </w:rPr>
        <w:t>2</w:t>
      </w:r>
      <w:r w:rsidR="00BB486B">
        <w:rPr>
          <w:i/>
        </w:rPr>
        <w:t>1</w:t>
      </w:r>
      <w:r w:rsidRPr="00244E73">
        <w:rPr>
          <w:szCs w:val="22"/>
        </w:rPr>
        <w:t>. Th</w:t>
      </w:r>
      <w:r w:rsidRPr="00081508">
        <w:t>i</w:t>
      </w:r>
      <w:r w:rsidRPr="00244E73">
        <w:rPr>
          <w:szCs w:val="22"/>
        </w:rPr>
        <w:t>s</w:t>
      </w:r>
      <w:r w:rsidRPr="00081508">
        <w:t xml:space="preserve"> r</w:t>
      </w:r>
      <w:r w:rsidRPr="00244E73">
        <w:rPr>
          <w:szCs w:val="22"/>
        </w:rPr>
        <w:t>espo</w:t>
      </w:r>
      <w:r w:rsidRPr="00081508">
        <w:t>nsi</w:t>
      </w:r>
      <w:r w:rsidRPr="00244E73">
        <w:rPr>
          <w:szCs w:val="22"/>
        </w:rPr>
        <w:t>b</w:t>
      </w:r>
      <w:r w:rsidRPr="00081508">
        <w:t>ilit</w:t>
      </w:r>
      <w:r w:rsidRPr="00244E73">
        <w:rPr>
          <w:szCs w:val="22"/>
        </w:rPr>
        <w:t>y</w:t>
      </w:r>
      <w:r w:rsidRPr="0033698E">
        <w:rPr>
          <w:szCs w:val="22"/>
        </w:rPr>
        <w:t xml:space="preserve"> </w:t>
      </w:r>
      <w:r w:rsidRPr="00081508">
        <w:t>i</w:t>
      </w:r>
      <w:r w:rsidRPr="0033698E">
        <w:rPr>
          <w:szCs w:val="22"/>
        </w:rPr>
        <w:t>n</w:t>
      </w:r>
      <w:r w:rsidRPr="00081508">
        <w:t>cl</w:t>
      </w:r>
      <w:r w:rsidRPr="0033698E">
        <w:rPr>
          <w:szCs w:val="22"/>
        </w:rPr>
        <w:t>ude</w:t>
      </w:r>
      <w:r w:rsidRPr="00081508">
        <w:t>s</w:t>
      </w:r>
      <w:r w:rsidRPr="0033698E">
        <w:rPr>
          <w:szCs w:val="22"/>
        </w:rPr>
        <w:t>:</w:t>
      </w:r>
      <w:r w:rsidRPr="00081508">
        <w:t xml:space="preserve"> e</w:t>
      </w:r>
      <w:r w:rsidRPr="0033698E">
        <w:rPr>
          <w:szCs w:val="22"/>
        </w:rPr>
        <w:t>s</w:t>
      </w:r>
      <w:r w:rsidRPr="00081508">
        <w:t>t</w:t>
      </w:r>
      <w:r w:rsidRPr="0033698E">
        <w:rPr>
          <w:szCs w:val="22"/>
        </w:rPr>
        <w:t>ab</w:t>
      </w:r>
      <w:r w:rsidRPr="00081508">
        <w:t>li</w:t>
      </w:r>
      <w:r w:rsidRPr="0033698E">
        <w:rPr>
          <w:szCs w:val="22"/>
        </w:rPr>
        <w:t>s</w:t>
      </w:r>
      <w:r w:rsidRPr="00081508">
        <w:t>hi</w:t>
      </w:r>
      <w:r w:rsidRPr="0033698E">
        <w:rPr>
          <w:szCs w:val="22"/>
        </w:rPr>
        <w:t>ng</w:t>
      </w:r>
      <w:r w:rsidRPr="00081508">
        <w:t xml:space="preserve"> </w:t>
      </w:r>
      <w:r w:rsidRPr="0033698E">
        <w:rPr>
          <w:szCs w:val="22"/>
        </w:rPr>
        <w:t xml:space="preserve">and </w:t>
      </w:r>
      <w:r w:rsidRPr="00081508">
        <w:t>m</w:t>
      </w:r>
      <w:r w:rsidRPr="0033698E">
        <w:rPr>
          <w:szCs w:val="22"/>
        </w:rPr>
        <w:t>a</w:t>
      </w:r>
      <w:r w:rsidRPr="00081508">
        <w:t>i</w:t>
      </w:r>
      <w:r w:rsidRPr="0033698E">
        <w:rPr>
          <w:szCs w:val="22"/>
        </w:rPr>
        <w:t>n</w:t>
      </w:r>
      <w:r w:rsidRPr="00081508">
        <w:t>t</w:t>
      </w:r>
      <w:r w:rsidRPr="0033698E">
        <w:rPr>
          <w:szCs w:val="22"/>
        </w:rPr>
        <w:t>a</w:t>
      </w:r>
      <w:r w:rsidRPr="00081508">
        <w:t>ini</w:t>
      </w:r>
      <w:r w:rsidRPr="0033698E">
        <w:rPr>
          <w:szCs w:val="22"/>
        </w:rPr>
        <w:t>ng</w:t>
      </w:r>
      <w:r w:rsidRPr="00081508">
        <w:t xml:space="preserve"> i</w:t>
      </w:r>
      <w:r w:rsidRPr="0033698E">
        <w:rPr>
          <w:szCs w:val="22"/>
        </w:rPr>
        <w:t>n</w:t>
      </w:r>
      <w:r w:rsidRPr="00081508">
        <w:t>t</w:t>
      </w:r>
      <w:r w:rsidRPr="0033698E">
        <w:rPr>
          <w:szCs w:val="22"/>
        </w:rPr>
        <w:t>e</w:t>
      </w:r>
      <w:r w:rsidRPr="00081508">
        <w:t>rn</w:t>
      </w:r>
      <w:r w:rsidRPr="0033698E">
        <w:rPr>
          <w:szCs w:val="22"/>
        </w:rPr>
        <w:t>al</w:t>
      </w:r>
      <w:r w:rsidRPr="00081508">
        <w:t xml:space="preserve"> c</w:t>
      </w:r>
      <w:r w:rsidRPr="0033698E">
        <w:rPr>
          <w:szCs w:val="22"/>
        </w:rPr>
        <w:t>on</w:t>
      </w:r>
      <w:r w:rsidRPr="00081508">
        <w:t>trol</w:t>
      </w:r>
      <w:r w:rsidRPr="0033698E">
        <w:rPr>
          <w:szCs w:val="22"/>
        </w:rPr>
        <w:t>s</w:t>
      </w:r>
      <w:r w:rsidRPr="00081508">
        <w:t xml:space="preserve"> rel</w:t>
      </w:r>
      <w:r w:rsidRPr="0033698E">
        <w:rPr>
          <w:szCs w:val="22"/>
        </w:rPr>
        <w:t>e</w:t>
      </w:r>
      <w:r w:rsidRPr="00081508">
        <w:t>v</w:t>
      </w:r>
      <w:r w:rsidRPr="0033698E">
        <w:rPr>
          <w:szCs w:val="22"/>
        </w:rPr>
        <w:t>ant</w:t>
      </w:r>
      <w:r w:rsidRPr="00081508">
        <w:t xml:space="preserve"> t</w:t>
      </w:r>
      <w:r w:rsidRPr="0033698E">
        <w:rPr>
          <w:szCs w:val="22"/>
        </w:rPr>
        <w:t xml:space="preserve">o </w:t>
      </w:r>
      <w:r w:rsidRPr="00081508">
        <w:t>t</w:t>
      </w:r>
      <w:r w:rsidRPr="0033698E">
        <w:rPr>
          <w:szCs w:val="22"/>
        </w:rPr>
        <w:t>he</w:t>
      </w:r>
      <w:r w:rsidRPr="00081508">
        <w:t xml:space="preserve"> pr</w:t>
      </w:r>
      <w:r w:rsidRPr="0033698E">
        <w:rPr>
          <w:szCs w:val="22"/>
        </w:rPr>
        <w:t>e</w:t>
      </w:r>
      <w:r w:rsidRPr="00081508">
        <w:t>p</w:t>
      </w:r>
      <w:r w:rsidRPr="0033698E">
        <w:rPr>
          <w:szCs w:val="22"/>
        </w:rPr>
        <w:t>a</w:t>
      </w:r>
      <w:r w:rsidRPr="00081508">
        <w:t>rati</w:t>
      </w:r>
      <w:r w:rsidRPr="0033698E">
        <w:rPr>
          <w:szCs w:val="22"/>
        </w:rPr>
        <w:t>on</w:t>
      </w:r>
      <w:r w:rsidRPr="00081508">
        <w:t xml:space="preserve"> </w:t>
      </w:r>
      <w:r w:rsidRPr="0033698E">
        <w:rPr>
          <w:szCs w:val="22"/>
        </w:rPr>
        <w:t xml:space="preserve">and </w:t>
      </w:r>
      <w:r w:rsidRPr="00081508">
        <w:t>f</w:t>
      </w:r>
      <w:r w:rsidRPr="0033698E">
        <w:rPr>
          <w:szCs w:val="22"/>
        </w:rPr>
        <w:t>a</w:t>
      </w:r>
      <w:r w:rsidRPr="00081508">
        <w:t>i</w:t>
      </w:r>
      <w:r w:rsidRPr="0033698E">
        <w:rPr>
          <w:szCs w:val="22"/>
        </w:rPr>
        <w:t>r p</w:t>
      </w:r>
      <w:r w:rsidRPr="00081508">
        <w:t>r</w:t>
      </w:r>
      <w:r w:rsidRPr="0033698E">
        <w:rPr>
          <w:szCs w:val="22"/>
        </w:rPr>
        <w:t>e</w:t>
      </w:r>
      <w:r w:rsidRPr="00081508">
        <w:t>s</w:t>
      </w:r>
      <w:r w:rsidRPr="0033698E">
        <w:rPr>
          <w:szCs w:val="22"/>
        </w:rPr>
        <w:t>en</w:t>
      </w:r>
      <w:r w:rsidRPr="00081508">
        <w:t>t</w:t>
      </w:r>
      <w:r w:rsidRPr="0033698E">
        <w:rPr>
          <w:szCs w:val="22"/>
        </w:rPr>
        <w:t>a</w:t>
      </w:r>
      <w:r w:rsidRPr="00081508">
        <w:t>ti</w:t>
      </w:r>
      <w:r w:rsidRPr="0033698E">
        <w:rPr>
          <w:szCs w:val="22"/>
        </w:rPr>
        <w:t xml:space="preserve">on </w:t>
      </w:r>
      <w:r w:rsidRPr="00081508">
        <w:t>o</w:t>
      </w:r>
      <w:r w:rsidRPr="0033698E">
        <w:rPr>
          <w:szCs w:val="22"/>
        </w:rPr>
        <w:t>f</w:t>
      </w:r>
      <w:r w:rsidRPr="00081508">
        <w:t xml:space="preserve"> th</w:t>
      </w:r>
      <w:r w:rsidRPr="0033698E">
        <w:rPr>
          <w:szCs w:val="22"/>
        </w:rPr>
        <w:t xml:space="preserve">e </w:t>
      </w:r>
      <w:r w:rsidRPr="00081508">
        <w:t>fi</w:t>
      </w:r>
      <w:r w:rsidRPr="0033698E">
        <w:rPr>
          <w:szCs w:val="22"/>
        </w:rPr>
        <w:t>n</w:t>
      </w:r>
      <w:r w:rsidRPr="00081508">
        <w:t>a</w:t>
      </w:r>
      <w:r w:rsidRPr="0033698E">
        <w:rPr>
          <w:szCs w:val="22"/>
        </w:rPr>
        <w:t>nc</w:t>
      </w:r>
      <w:r w:rsidRPr="00081508">
        <w:t>ia</w:t>
      </w:r>
      <w:r w:rsidRPr="0033698E">
        <w:rPr>
          <w:szCs w:val="22"/>
        </w:rPr>
        <w:t>l</w:t>
      </w:r>
      <w:r w:rsidRPr="00081508">
        <w:t xml:space="preserve"> inf</w:t>
      </w:r>
      <w:r w:rsidRPr="0033698E">
        <w:rPr>
          <w:szCs w:val="22"/>
        </w:rPr>
        <w:t>o</w:t>
      </w:r>
      <w:r w:rsidRPr="00081508">
        <w:t>rm</w:t>
      </w:r>
      <w:r w:rsidRPr="0033698E">
        <w:rPr>
          <w:szCs w:val="22"/>
        </w:rPr>
        <w:t>a</w:t>
      </w:r>
      <w:r w:rsidRPr="00081508">
        <w:t>ti</w:t>
      </w:r>
      <w:r w:rsidRPr="0033698E">
        <w:rPr>
          <w:szCs w:val="22"/>
        </w:rPr>
        <w:t xml:space="preserve">on </w:t>
      </w:r>
      <w:r w:rsidRPr="00081508">
        <w:t>s</w:t>
      </w:r>
      <w:r w:rsidRPr="0033698E">
        <w:rPr>
          <w:szCs w:val="22"/>
        </w:rPr>
        <w:t>et</w:t>
      </w:r>
      <w:r w:rsidRPr="00081508">
        <w:t xml:space="preserve"> </w:t>
      </w:r>
      <w:r w:rsidRPr="0033698E">
        <w:rPr>
          <w:szCs w:val="22"/>
        </w:rPr>
        <w:t>o</w:t>
      </w:r>
      <w:r w:rsidRPr="00081508">
        <w:t>u</w:t>
      </w:r>
      <w:r w:rsidRPr="0033698E">
        <w:rPr>
          <w:szCs w:val="22"/>
        </w:rPr>
        <w:t>t</w:t>
      </w:r>
      <w:r w:rsidRPr="00081508">
        <w:t xml:space="preserve"> i</w:t>
      </w:r>
      <w:r w:rsidRPr="0033698E">
        <w:rPr>
          <w:szCs w:val="22"/>
        </w:rPr>
        <w:t xml:space="preserve">n </w:t>
      </w:r>
      <w:r w:rsidRPr="00081508">
        <w:t>t</w:t>
      </w:r>
      <w:r w:rsidRPr="0033698E">
        <w:rPr>
          <w:szCs w:val="22"/>
        </w:rPr>
        <w:t>he</w:t>
      </w:r>
      <w:r w:rsidRPr="00081508">
        <w:t xml:space="preserve"> R</w:t>
      </w:r>
      <w:r w:rsidRPr="0033698E">
        <w:rPr>
          <w:szCs w:val="22"/>
        </w:rPr>
        <w:t>e</w:t>
      </w:r>
      <w:r w:rsidRPr="00081508">
        <w:t>t</w:t>
      </w:r>
      <w:r w:rsidRPr="0033698E">
        <w:rPr>
          <w:szCs w:val="22"/>
        </w:rPr>
        <w:t>u</w:t>
      </w:r>
      <w:r w:rsidRPr="00081508">
        <w:t>r</w:t>
      </w:r>
      <w:r w:rsidRPr="0033698E">
        <w:rPr>
          <w:szCs w:val="22"/>
        </w:rPr>
        <w:t>n</w:t>
      </w:r>
      <w:r w:rsidRPr="00081508">
        <w:t xml:space="preserve"> t</w:t>
      </w:r>
      <w:r w:rsidRPr="0033698E">
        <w:rPr>
          <w:szCs w:val="22"/>
        </w:rPr>
        <w:t>o</w:t>
      </w:r>
      <w:r w:rsidRPr="00081508">
        <w:t xml:space="preserve"> </w:t>
      </w:r>
      <w:r w:rsidRPr="0033698E">
        <w:rPr>
          <w:szCs w:val="22"/>
        </w:rPr>
        <w:t>ens</w:t>
      </w:r>
      <w:r w:rsidRPr="00081508">
        <w:t>ur</w:t>
      </w:r>
      <w:r w:rsidRPr="0033698E">
        <w:rPr>
          <w:szCs w:val="22"/>
        </w:rPr>
        <w:t>e</w:t>
      </w:r>
      <w:r w:rsidRPr="00081508">
        <w:t xml:space="preserve"> t</w:t>
      </w:r>
      <w:r w:rsidRPr="0033698E">
        <w:rPr>
          <w:szCs w:val="22"/>
        </w:rPr>
        <w:t>h</w:t>
      </w:r>
      <w:r w:rsidRPr="00081508">
        <w:t>a</w:t>
      </w:r>
      <w:r w:rsidRPr="0033698E">
        <w:rPr>
          <w:szCs w:val="22"/>
        </w:rPr>
        <w:t>t</w:t>
      </w:r>
      <w:r w:rsidRPr="00081508">
        <w:t xml:space="preserve"> th</w:t>
      </w:r>
      <w:r w:rsidRPr="0033698E">
        <w:rPr>
          <w:szCs w:val="22"/>
        </w:rPr>
        <w:t>e</w:t>
      </w:r>
      <w:r w:rsidRPr="00081508">
        <w:t xml:space="preserve"> R</w:t>
      </w:r>
      <w:r w:rsidRPr="0033698E">
        <w:rPr>
          <w:szCs w:val="22"/>
        </w:rPr>
        <w:t>e</w:t>
      </w:r>
      <w:r w:rsidRPr="00081508">
        <w:t>t</w:t>
      </w:r>
      <w:r w:rsidRPr="0033698E">
        <w:rPr>
          <w:szCs w:val="22"/>
        </w:rPr>
        <w:t>u</w:t>
      </w:r>
      <w:r w:rsidRPr="00081508">
        <w:t>r</w:t>
      </w:r>
      <w:r w:rsidRPr="0033698E">
        <w:rPr>
          <w:szCs w:val="22"/>
        </w:rPr>
        <w:t xml:space="preserve">n </w:t>
      </w:r>
      <w:r w:rsidRPr="00081508">
        <w:t>i</w:t>
      </w:r>
      <w:r w:rsidRPr="0033698E">
        <w:rPr>
          <w:szCs w:val="22"/>
        </w:rPr>
        <w:t>s</w:t>
      </w:r>
      <w:r w:rsidRPr="00081508">
        <w:t xml:space="preserve"> fr</w:t>
      </w:r>
      <w:r w:rsidRPr="0033698E">
        <w:rPr>
          <w:szCs w:val="22"/>
        </w:rPr>
        <w:t xml:space="preserve">ee </w:t>
      </w:r>
      <w:r w:rsidRPr="00081508">
        <w:t>fr</w:t>
      </w:r>
      <w:r w:rsidRPr="0033698E">
        <w:rPr>
          <w:szCs w:val="22"/>
        </w:rPr>
        <w:t>om</w:t>
      </w:r>
      <w:r w:rsidRPr="00081508">
        <w:t xml:space="preserve"> m</w:t>
      </w:r>
      <w:r w:rsidRPr="0033698E">
        <w:rPr>
          <w:szCs w:val="22"/>
        </w:rPr>
        <w:t>a</w:t>
      </w:r>
      <w:r w:rsidRPr="00081508">
        <w:t>t</w:t>
      </w:r>
      <w:r w:rsidRPr="0033698E">
        <w:rPr>
          <w:szCs w:val="22"/>
        </w:rPr>
        <w:t>e</w:t>
      </w:r>
      <w:r w:rsidRPr="00081508">
        <w:t>ria</w:t>
      </w:r>
      <w:r w:rsidRPr="0033698E">
        <w:rPr>
          <w:szCs w:val="22"/>
        </w:rPr>
        <w:t>l</w:t>
      </w:r>
      <w:r w:rsidRPr="00081508">
        <w:t xml:space="preserve"> mi</w:t>
      </w:r>
      <w:r w:rsidRPr="0033698E">
        <w:rPr>
          <w:szCs w:val="22"/>
        </w:rPr>
        <w:t>ss</w:t>
      </w:r>
      <w:r w:rsidRPr="00081508">
        <w:t>tat</w:t>
      </w:r>
      <w:r w:rsidRPr="0033698E">
        <w:rPr>
          <w:szCs w:val="22"/>
        </w:rPr>
        <w:t>e</w:t>
      </w:r>
      <w:r w:rsidRPr="00081508">
        <w:t>m</w:t>
      </w:r>
      <w:r w:rsidRPr="0033698E">
        <w:rPr>
          <w:szCs w:val="22"/>
        </w:rPr>
        <w:t>en</w:t>
      </w:r>
      <w:r w:rsidRPr="00081508">
        <w:t>t</w:t>
      </w:r>
      <w:r w:rsidRPr="0033698E">
        <w:rPr>
          <w:szCs w:val="22"/>
        </w:rPr>
        <w:t xml:space="preserve">, </w:t>
      </w:r>
      <w:r w:rsidRPr="00081508">
        <w:t>w</w:t>
      </w:r>
      <w:r w:rsidRPr="0033698E">
        <w:rPr>
          <w:szCs w:val="22"/>
        </w:rPr>
        <w:t>he</w:t>
      </w:r>
      <w:r w:rsidRPr="00081508">
        <w:t>t</w:t>
      </w:r>
      <w:r w:rsidRPr="0033698E">
        <w:rPr>
          <w:szCs w:val="22"/>
        </w:rPr>
        <w:t>h</w:t>
      </w:r>
      <w:r w:rsidRPr="00081508">
        <w:t>e</w:t>
      </w:r>
      <w:r w:rsidRPr="0033698E">
        <w:rPr>
          <w:szCs w:val="22"/>
        </w:rPr>
        <w:t>r</w:t>
      </w:r>
      <w:r w:rsidRPr="00081508">
        <w:t xml:space="preserve"> </w:t>
      </w:r>
      <w:r w:rsidRPr="0033698E">
        <w:rPr>
          <w:szCs w:val="22"/>
        </w:rPr>
        <w:t>d</w:t>
      </w:r>
      <w:r w:rsidRPr="00081508">
        <w:t>u</w:t>
      </w:r>
      <w:r w:rsidRPr="0033698E">
        <w:rPr>
          <w:szCs w:val="22"/>
        </w:rPr>
        <w:t>e</w:t>
      </w:r>
      <w:r w:rsidRPr="00081508">
        <w:t xml:space="preserve"> t</w:t>
      </w:r>
      <w:r w:rsidRPr="0033698E">
        <w:rPr>
          <w:szCs w:val="22"/>
        </w:rPr>
        <w:t>o</w:t>
      </w:r>
      <w:r w:rsidRPr="00081508">
        <w:t xml:space="preserve"> fr</w:t>
      </w:r>
      <w:r w:rsidRPr="0033698E">
        <w:rPr>
          <w:szCs w:val="22"/>
        </w:rPr>
        <w:t xml:space="preserve">aud </w:t>
      </w:r>
      <w:r w:rsidRPr="00081508">
        <w:t>o</w:t>
      </w:r>
      <w:r w:rsidRPr="0033698E">
        <w:rPr>
          <w:szCs w:val="22"/>
        </w:rPr>
        <w:t>r</w:t>
      </w:r>
      <w:r w:rsidRPr="00081508">
        <w:t xml:space="preserve"> err</w:t>
      </w:r>
      <w:r w:rsidRPr="0033698E">
        <w:rPr>
          <w:szCs w:val="22"/>
        </w:rPr>
        <w:t>o</w:t>
      </w:r>
      <w:r w:rsidRPr="00081508">
        <w:t>r</w:t>
      </w:r>
      <w:r w:rsidRPr="0033698E">
        <w:rPr>
          <w:szCs w:val="22"/>
        </w:rPr>
        <w:t>;</w:t>
      </w:r>
      <w:r w:rsidRPr="00081508">
        <w:t xml:space="preserve"> </w:t>
      </w:r>
      <w:r w:rsidRPr="0033698E">
        <w:rPr>
          <w:szCs w:val="22"/>
        </w:rPr>
        <w:t>s</w:t>
      </w:r>
      <w:r w:rsidRPr="00081508">
        <w:t>ele</w:t>
      </w:r>
      <w:r w:rsidRPr="0033698E">
        <w:rPr>
          <w:szCs w:val="22"/>
        </w:rPr>
        <w:t>c</w:t>
      </w:r>
      <w:r w:rsidRPr="00081508">
        <w:t>ti</w:t>
      </w:r>
      <w:r w:rsidRPr="0033698E">
        <w:rPr>
          <w:szCs w:val="22"/>
        </w:rPr>
        <w:t>ng</w:t>
      </w:r>
      <w:r w:rsidRPr="00081508">
        <w:t xml:space="preserve"> </w:t>
      </w:r>
      <w:r w:rsidRPr="0033698E">
        <w:rPr>
          <w:szCs w:val="22"/>
        </w:rPr>
        <w:t>and ap</w:t>
      </w:r>
      <w:r w:rsidRPr="00081508">
        <w:t>plyi</w:t>
      </w:r>
      <w:r w:rsidRPr="0033698E">
        <w:rPr>
          <w:szCs w:val="22"/>
        </w:rPr>
        <w:t>ng</w:t>
      </w:r>
      <w:r w:rsidRPr="00081508">
        <w:t xml:space="preserve"> </w:t>
      </w:r>
      <w:r w:rsidRPr="0033698E">
        <w:rPr>
          <w:szCs w:val="22"/>
        </w:rPr>
        <w:t>app</w:t>
      </w:r>
      <w:r w:rsidRPr="00081508">
        <w:t>r</w:t>
      </w:r>
      <w:r w:rsidRPr="0033698E">
        <w:rPr>
          <w:szCs w:val="22"/>
        </w:rPr>
        <w:t>o</w:t>
      </w:r>
      <w:r w:rsidRPr="00081508">
        <w:t>pri</w:t>
      </w:r>
      <w:r w:rsidRPr="0033698E">
        <w:rPr>
          <w:szCs w:val="22"/>
        </w:rPr>
        <w:t>a</w:t>
      </w:r>
      <w:r w:rsidRPr="00081508">
        <w:t>t</w:t>
      </w:r>
      <w:r w:rsidRPr="0033698E">
        <w:rPr>
          <w:szCs w:val="22"/>
        </w:rPr>
        <w:t>e accou</w:t>
      </w:r>
      <w:r w:rsidRPr="00081508">
        <w:t>nti</w:t>
      </w:r>
      <w:r w:rsidRPr="0033698E">
        <w:rPr>
          <w:szCs w:val="22"/>
        </w:rPr>
        <w:t>ng</w:t>
      </w:r>
      <w:r w:rsidRPr="00081508">
        <w:t xml:space="preserve"> </w:t>
      </w:r>
      <w:r w:rsidRPr="0033698E">
        <w:rPr>
          <w:szCs w:val="22"/>
        </w:rPr>
        <w:t>po</w:t>
      </w:r>
      <w:r w:rsidRPr="00081508">
        <w:t>li</w:t>
      </w:r>
      <w:r w:rsidRPr="0033698E">
        <w:rPr>
          <w:szCs w:val="22"/>
        </w:rPr>
        <w:t>c</w:t>
      </w:r>
      <w:r w:rsidRPr="00081508">
        <w:t>ie</w:t>
      </w:r>
      <w:r w:rsidRPr="0033698E">
        <w:rPr>
          <w:szCs w:val="22"/>
        </w:rPr>
        <w:t>s;</w:t>
      </w:r>
      <w:r w:rsidRPr="00081508">
        <w:t xml:space="preserve"> </w:t>
      </w:r>
      <w:r w:rsidRPr="0033698E">
        <w:rPr>
          <w:szCs w:val="22"/>
        </w:rPr>
        <w:t xml:space="preserve">and </w:t>
      </w:r>
      <w:r w:rsidRPr="00081508">
        <w:t>m</w:t>
      </w:r>
      <w:r w:rsidRPr="0033698E">
        <w:rPr>
          <w:szCs w:val="22"/>
        </w:rPr>
        <w:t>a</w:t>
      </w:r>
      <w:r w:rsidRPr="00081508">
        <w:t>ki</w:t>
      </w:r>
      <w:r w:rsidRPr="0033698E">
        <w:rPr>
          <w:szCs w:val="22"/>
        </w:rPr>
        <w:t>ng</w:t>
      </w:r>
      <w:r w:rsidRPr="00081508">
        <w:t xml:space="preserve"> </w:t>
      </w:r>
      <w:r w:rsidRPr="0033698E">
        <w:rPr>
          <w:szCs w:val="22"/>
        </w:rPr>
        <w:t>accoun</w:t>
      </w:r>
      <w:r w:rsidRPr="00081508">
        <w:t>ti</w:t>
      </w:r>
      <w:r w:rsidRPr="0033698E">
        <w:rPr>
          <w:szCs w:val="22"/>
        </w:rPr>
        <w:t>ng</w:t>
      </w:r>
      <w:r w:rsidRPr="00081508">
        <w:t xml:space="preserve"> </w:t>
      </w:r>
      <w:r w:rsidRPr="0033698E">
        <w:rPr>
          <w:szCs w:val="22"/>
        </w:rPr>
        <w:t>es</w:t>
      </w:r>
      <w:r w:rsidRPr="00081508">
        <w:t>t</w:t>
      </w:r>
      <w:r w:rsidRPr="0033698E">
        <w:rPr>
          <w:szCs w:val="22"/>
        </w:rPr>
        <w:t>i</w:t>
      </w:r>
      <w:r w:rsidRPr="00081508">
        <w:t>m</w:t>
      </w:r>
      <w:r w:rsidRPr="0033698E">
        <w:rPr>
          <w:szCs w:val="22"/>
        </w:rPr>
        <w:t>a</w:t>
      </w:r>
      <w:r w:rsidRPr="00081508">
        <w:t>t</w:t>
      </w:r>
      <w:r w:rsidRPr="0033698E">
        <w:rPr>
          <w:szCs w:val="22"/>
        </w:rPr>
        <w:t>es</w:t>
      </w:r>
      <w:r w:rsidRPr="00081508">
        <w:t xml:space="preserve"> t</w:t>
      </w:r>
      <w:r w:rsidRPr="0033698E">
        <w:rPr>
          <w:szCs w:val="22"/>
        </w:rPr>
        <w:t>h</w:t>
      </w:r>
      <w:r w:rsidRPr="00081508">
        <w:t>a</w:t>
      </w:r>
      <w:r w:rsidRPr="0033698E">
        <w:rPr>
          <w:szCs w:val="22"/>
        </w:rPr>
        <w:t>t</w:t>
      </w:r>
      <w:r w:rsidRPr="00081508">
        <w:t xml:space="preserve"> </w:t>
      </w:r>
      <w:r w:rsidRPr="0033698E">
        <w:rPr>
          <w:szCs w:val="22"/>
        </w:rPr>
        <w:t>a</w:t>
      </w:r>
      <w:r w:rsidRPr="00081508">
        <w:t>r</w:t>
      </w:r>
      <w:r w:rsidRPr="0033698E">
        <w:rPr>
          <w:szCs w:val="22"/>
        </w:rPr>
        <w:t>e</w:t>
      </w:r>
      <w:r w:rsidRPr="00081508">
        <w:t xml:space="preserve"> r</w:t>
      </w:r>
      <w:r w:rsidRPr="0033698E">
        <w:rPr>
          <w:szCs w:val="22"/>
        </w:rPr>
        <w:t>eas</w:t>
      </w:r>
      <w:r w:rsidRPr="00081508">
        <w:t>o</w:t>
      </w:r>
      <w:r w:rsidRPr="0033698E">
        <w:rPr>
          <w:szCs w:val="22"/>
        </w:rPr>
        <w:t>na</w:t>
      </w:r>
      <w:r w:rsidRPr="00081508">
        <w:t>bl</w:t>
      </w:r>
      <w:r w:rsidRPr="0033698E">
        <w:rPr>
          <w:szCs w:val="22"/>
        </w:rPr>
        <w:t>e</w:t>
      </w:r>
      <w:r w:rsidRPr="00081508">
        <w:t xml:space="preserve"> i</w:t>
      </w:r>
      <w:r w:rsidRPr="0033698E">
        <w:rPr>
          <w:szCs w:val="22"/>
        </w:rPr>
        <w:t>n</w:t>
      </w:r>
      <w:r w:rsidRPr="00081508">
        <w:t xml:space="preserve"> th</w:t>
      </w:r>
      <w:r w:rsidRPr="0033698E">
        <w:rPr>
          <w:szCs w:val="22"/>
        </w:rPr>
        <w:t>e c</w:t>
      </w:r>
      <w:r w:rsidRPr="00081508">
        <w:t>ir</w:t>
      </w:r>
      <w:r w:rsidRPr="0033698E">
        <w:rPr>
          <w:szCs w:val="22"/>
        </w:rPr>
        <w:t>cu</w:t>
      </w:r>
      <w:r w:rsidRPr="00081508">
        <w:t>m</w:t>
      </w:r>
      <w:r w:rsidRPr="0033698E">
        <w:rPr>
          <w:szCs w:val="22"/>
        </w:rPr>
        <w:t>s</w:t>
      </w:r>
      <w:r w:rsidRPr="00081508">
        <w:t>t</w:t>
      </w:r>
      <w:r w:rsidRPr="0033698E">
        <w:rPr>
          <w:szCs w:val="22"/>
        </w:rPr>
        <w:t>anc</w:t>
      </w:r>
      <w:r w:rsidRPr="00081508">
        <w:t>e</w:t>
      </w:r>
      <w:r w:rsidRPr="0033698E">
        <w:rPr>
          <w:szCs w:val="22"/>
        </w:rPr>
        <w:t>s.</w:t>
      </w:r>
    </w:p>
    <w:p w14:paraId="5C626B08" w14:textId="77777777" w:rsidR="002E03A9" w:rsidRPr="00081508" w:rsidRDefault="002E03A9" w:rsidP="00081508">
      <w:pPr>
        <w:keepNext/>
        <w:spacing w:before="360" w:after="0"/>
        <w:ind w:right="-23"/>
        <w:rPr>
          <w:i/>
        </w:rPr>
      </w:pPr>
      <w:r w:rsidRPr="0033698E">
        <w:rPr>
          <w:i/>
          <w:szCs w:val="22"/>
        </w:rPr>
        <w:t>Aud</w:t>
      </w:r>
      <w:r w:rsidRPr="00081508">
        <w:rPr>
          <w:i/>
        </w:rPr>
        <w:t>it</w:t>
      </w:r>
      <w:r w:rsidRPr="0033698E">
        <w:rPr>
          <w:i/>
          <w:szCs w:val="22"/>
        </w:rPr>
        <w:t>or</w:t>
      </w:r>
      <w:r w:rsidRPr="00081508">
        <w:rPr>
          <w:i/>
        </w:rPr>
        <w:t>’</w:t>
      </w:r>
      <w:r w:rsidRPr="0033698E">
        <w:rPr>
          <w:i/>
          <w:szCs w:val="22"/>
        </w:rPr>
        <w:t>s</w:t>
      </w:r>
      <w:r w:rsidRPr="00081508">
        <w:rPr>
          <w:i/>
        </w:rPr>
        <w:t xml:space="preserve"> </w:t>
      </w:r>
      <w:r w:rsidRPr="0033698E">
        <w:rPr>
          <w:i/>
          <w:szCs w:val="22"/>
        </w:rPr>
        <w:t>Re</w:t>
      </w:r>
      <w:r w:rsidRPr="00081508">
        <w:rPr>
          <w:i/>
        </w:rPr>
        <w:t>s</w:t>
      </w:r>
      <w:r w:rsidRPr="0033698E">
        <w:rPr>
          <w:i/>
          <w:szCs w:val="22"/>
        </w:rPr>
        <w:t>pon</w:t>
      </w:r>
      <w:r w:rsidRPr="00081508">
        <w:rPr>
          <w:i/>
        </w:rPr>
        <w:t>si</w:t>
      </w:r>
      <w:r w:rsidRPr="0033698E">
        <w:rPr>
          <w:i/>
          <w:szCs w:val="22"/>
        </w:rPr>
        <w:t>b</w:t>
      </w:r>
      <w:r w:rsidRPr="00081508">
        <w:rPr>
          <w:i/>
        </w:rPr>
        <w:t>ilit</w:t>
      </w:r>
      <w:r w:rsidRPr="0033698E">
        <w:rPr>
          <w:i/>
          <w:szCs w:val="22"/>
        </w:rPr>
        <w:t>y</w:t>
      </w:r>
    </w:p>
    <w:p w14:paraId="46B0EBF8" w14:textId="77777777" w:rsidR="002E03A9" w:rsidRPr="0033698E" w:rsidRDefault="002E03A9" w:rsidP="00081508">
      <w:pPr>
        <w:spacing w:before="100" w:after="0" w:line="300" w:lineRule="atLeast"/>
        <w:ind w:right="-23"/>
      </w:pPr>
      <w:r w:rsidRPr="00081508">
        <w:t>O</w:t>
      </w:r>
      <w:r w:rsidRPr="0033698E">
        <w:rPr>
          <w:szCs w:val="22"/>
        </w:rPr>
        <w:t>ur</w:t>
      </w:r>
      <w:r w:rsidRPr="00081508">
        <w:t xml:space="preserve"> re</w:t>
      </w:r>
      <w:r w:rsidRPr="0033698E">
        <w:rPr>
          <w:szCs w:val="22"/>
        </w:rPr>
        <w:t>spon</w:t>
      </w:r>
      <w:r w:rsidRPr="00081508">
        <w:t>sibilit</w:t>
      </w:r>
      <w:r w:rsidRPr="0033698E">
        <w:rPr>
          <w:szCs w:val="22"/>
        </w:rPr>
        <w:t>y</w:t>
      </w:r>
      <w:r w:rsidRPr="00081508">
        <w:t xml:space="preserve"> i</w:t>
      </w:r>
      <w:r w:rsidRPr="0033698E">
        <w:rPr>
          <w:szCs w:val="22"/>
        </w:rPr>
        <w:t>s</w:t>
      </w:r>
      <w:r w:rsidRPr="00081508">
        <w:t xml:space="preserve"> t</w:t>
      </w:r>
      <w:r w:rsidRPr="0033698E">
        <w:rPr>
          <w:szCs w:val="22"/>
        </w:rPr>
        <w:t>o</w:t>
      </w:r>
      <w:r w:rsidRPr="00081508">
        <w:t xml:space="preserve"> </w:t>
      </w:r>
      <w:r w:rsidRPr="0033698E">
        <w:rPr>
          <w:szCs w:val="22"/>
        </w:rPr>
        <w:t>ex</w:t>
      </w:r>
      <w:r w:rsidRPr="00081508">
        <w:t>pr</w:t>
      </w:r>
      <w:r w:rsidRPr="0033698E">
        <w:rPr>
          <w:szCs w:val="22"/>
        </w:rPr>
        <w:t>ess</w:t>
      </w:r>
      <w:r w:rsidRPr="00081508">
        <w:t xml:space="preserve"> </w:t>
      </w:r>
      <w:r w:rsidRPr="0033698E">
        <w:rPr>
          <w:szCs w:val="22"/>
        </w:rPr>
        <w:t>an o</w:t>
      </w:r>
      <w:r w:rsidRPr="00081508">
        <w:t>pini</w:t>
      </w:r>
      <w:r w:rsidRPr="0033698E">
        <w:rPr>
          <w:szCs w:val="22"/>
        </w:rPr>
        <w:t>on on</w:t>
      </w:r>
      <w:r w:rsidRPr="00081508">
        <w:t xml:space="preserve"> t</w:t>
      </w:r>
      <w:r w:rsidRPr="0033698E">
        <w:rPr>
          <w:szCs w:val="22"/>
        </w:rPr>
        <w:t>he</w:t>
      </w:r>
      <w:r w:rsidRPr="00081508">
        <w:t xml:space="preserve"> fi</w:t>
      </w:r>
      <w:r w:rsidRPr="0033698E">
        <w:rPr>
          <w:szCs w:val="22"/>
        </w:rPr>
        <w:t>na</w:t>
      </w:r>
      <w:r w:rsidRPr="00081508">
        <w:t>n</w:t>
      </w:r>
      <w:r w:rsidRPr="0033698E">
        <w:rPr>
          <w:szCs w:val="22"/>
        </w:rPr>
        <w:t>c</w:t>
      </w:r>
      <w:r w:rsidRPr="00081508">
        <w:t>ia</w:t>
      </w:r>
      <w:r w:rsidRPr="0033698E">
        <w:rPr>
          <w:szCs w:val="22"/>
        </w:rPr>
        <w:t>l</w:t>
      </w:r>
      <w:r w:rsidRPr="00081508">
        <w:t xml:space="preserve"> inform</w:t>
      </w:r>
      <w:r w:rsidRPr="0033698E">
        <w:rPr>
          <w:szCs w:val="22"/>
        </w:rPr>
        <w:t>a</w:t>
      </w:r>
      <w:r w:rsidRPr="00081508">
        <w:t>ti</w:t>
      </w:r>
      <w:r w:rsidRPr="0033698E">
        <w:rPr>
          <w:szCs w:val="22"/>
        </w:rPr>
        <w:t xml:space="preserve">on </w:t>
      </w:r>
      <w:r w:rsidRPr="00081508">
        <w:t>s</w:t>
      </w:r>
      <w:r w:rsidRPr="0033698E">
        <w:rPr>
          <w:szCs w:val="22"/>
        </w:rPr>
        <w:t>et</w:t>
      </w:r>
      <w:r w:rsidRPr="00081508">
        <w:t xml:space="preserve"> o</w:t>
      </w:r>
      <w:r w:rsidRPr="0033698E">
        <w:rPr>
          <w:szCs w:val="22"/>
        </w:rPr>
        <w:t>ut</w:t>
      </w:r>
      <w:r w:rsidRPr="00081508">
        <w:t xml:space="preserve"> i</w:t>
      </w:r>
      <w:r w:rsidRPr="0033698E">
        <w:rPr>
          <w:szCs w:val="22"/>
        </w:rPr>
        <w:t>n</w:t>
      </w:r>
      <w:r w:rsidRPr="00081508">
        <w:t xml:space="preserve"> t</w:t>
      </w:r>
      <w:r w:rsidRPr="0033698E">
        <w:rPr>
          <w:szCs w:val="22"/>
        </w:rPr>
        <w:t>he</w:t>
      </w:r>
      <w:r w:rsidRPr="00081508">
        <w:t xml:space="preserve"> R</w:t>
      </w:r>
      <w:r w:rsidRPr="0033698E">
        <w:rPr>
          <w:szCs w:val="22"/>
        </w:rPr>
        <w:t>e</w:t>
      </w:r>
      <w:r w:rsidRPr="00081508">
        <w:t>tur</w:t>
      </w:r>
      <w:r w:rsidRPr="0033698E">
        <w:rPr>
          <w:szCs w:val="22"/>
        </w:rPr>
        <w:t>n based</w:t>
      </w:r>
      <w:r w:rsidRPr="00081508">
        <w:t xml:space="preserve"> </w:t>
      </w:r>
      <w:r w:rsidRPr="0033698E">
        <w:rPr>
          <w:szCs w:val="22"/>
        </w:rPr>
        <w:t>on o</w:t>
      </w:r>
      <w:r w:rsidRPr="00081508">
        <w:t>u</w:t>
      </w:r>
      <w:r w:rsidRPr="0033698E">
        <w:rPr>
          <w:szCs w:val="22"/>
        </w:rPr>
        <w:t>r</w:t>
      </w:r>
      <w:r w:rsidRPr="00081508">
        <w:t xml:space="preserve"> </w:t>
      </w:r>
      <w:r w:rsidRPr="0033698E">
        <w:rPr>
          <w:szCs w:val="22"/>
        </w:rPr>
        <w:t>au</w:t>
      </w:r>
      <w:r w:rsidRPr="00081508">
        <w:t>dit</w:t>
      </w:r>
      <w:r w:rsidRPr="0033698E">
        <w:rPr>
          <w:szCs w:val="22"/>
        </w:rPr>
        <w:t>.</w:t>
      </w:r>
      <w:r w:rsidRPr="00081508">
        <w:t xml:space="preserve"> </w:t>
      </w:r>
      <w:r w:rsidRPr="0033698E">
        <w:rPr>
          <w:szCs w:val="22"/>
        </w:rPr>
        <w:t>We</w:t>
      </w:r>
      <w:r w:rsidRPr="00081508">
        <w:t xml:space="preserve"> </w:t>
      </w:r>
      <w:r w:rsidRPr="0033698E">
        <w:rPr>
          <w:szCs w:val="22"/>
        </w:rPr>
        <w:t>co</w:t>
      </w:r>
      <w:r w:rsidRPr="00081508">
        <w:t>n</w:t>
      </w:r>
      <w:r w:rsidRPr="0033698E">
        <w:rPr>
          <w:szCs w:val="22"/>
        </w:rPr>
        <w:t>duc</w:t>
      </w:r>
      <w:r w:rsidRPr="00081508">
        <w:t>te</w:t>
      </w:r>
      <w:r w:rsidRPr="0033698E">
        <w:rPr>
          <w:szCs w:val="22"/>
        </w:rPr>
        <w:t>d o</w:t>
      </w:r>
      <w:r w:rsidRPr="00081508">
        <w:t>u</w:t>
      </w:r>
      <w:r w:rsidRPr="0033698E">
        <w:rPr>
          <w:szCs w:val="22"/>
        </w:rPr>
        <w:t>r</w:t>
      </w:r>
      <w:r w:rsidRPr="00081508">
        <w:t xml:space="preserve"> </w:t>
      </w:r>
      <w:r w:rsidRPr="0033698E">
        <w:rPr>
          <w:szCs w:val="22"/>
        </w:rPr>
        <w:t>au</w:t>
      </w:r>
      <w:r w:rsidRPr="00081508">
        <w:t>di</w:t>
      </w:r>
      <w:r w:rsidRPr="0033698E">
        <w:rPr>
          <w:szCs w:val="22"/>
        </w:rPr>
        <w:t>t</w:t>
      </w:r>
      <w:r w:rsidRPr="00081508">
        <w:t xml:space="preserve"> i</w:t>
      </w:r>
      <w:r w:rsidRPr="0033698E">
        <w:rPr>
          <w:szCs w:val="22"/>
        </w:rPr>
        <w:t xml:space="preserve">n </w:t>
      </w:r>
      <w:r w:rsidRPr="00081508">
        <w:t>a</w:t>
      </w:r>
      <w:r w:rsidRPr="0033698E">
        <w:rPr>
          <w:szCs w:val="22"/>
        </w:rPr>
        <w:t>cc</w:t>
      </w:r>
      <w:r w:rsidRPr="00081508">
        <w:t>or</w:t>
      </w:r>
      <w:r w:rsidRPr="0033698E">
        <w:rPr>
          <w:szCs w:val="22"/>
        </w:rPr>
        <w:t>d</w:t>
      </w:r>
      <w:r w:rsidRPr="00081508">
        <w:t>a</w:t>
      </w:r>
      <w:r w:rsidRPr="0033698E">
        <w:rPr>
          <w:szCs w:val="22"/>
        </w:rPr>
        <w:t>nce</w:t>
      </w:r>
      <w:r w:rsidRPr="00081508">
        <w:t xml:space="preserve"> wit</w:t>
      </w:r>
      <w:r w:rsidRPr="0033698E">
        <w:rPr>
          <w:szCs w:val="22"/>
        </w:rPr>
        <w:t xml:space="preserve">h </w:t>
      </w:r>
      <w:r w:rsidRPr="00081508">
        <w:t>A</w:t>
      </w:r>
      <w:r w:rsidRPr="0033698E">
        <w:rPr>
          <w:szCs w:val="22"/>
        </w:rPr>
        <w:t>u</w:t>
      </w:r>
      <w:r w:rsidRPr="00081508">
        <w:t>str</w:t>
      </w:r>
      <w:r w:rsidRPr="0033698E">
        <w:rPr>
          <w:szCs w:val="22"/>
        </w:rPr>
        <w:t>a</w:t>
      </w:r>
      <w:r w:rsidRPr="00081508">
        <w:t>li</w:t>
      </w:r>
      <w:r w:rsidRPr="0033698E">
        <w:rPr>
          <w:szCs w:val="22"/>
        </w:rPr>
        <w:t xml:space="preserve">an </w:t>
      </w:r>
      <w:r w:rsidRPr="00081508">
        <w:t>A</w:t>
      </w:r>
      <w:r w:rsidRPr="0033698E">
        <w:rPr>
          <w:szCs w:val="22"/>
        </w:rPr>
        <w:t>u</w:t>
      </w:r>
      <w:r w:rsidRPr="00081508">
        <w:t>ditin</w:t>
      </w:r>
      <w:r w:rsidRPr="0033698E">
        <w:rPr>
          <w:szCs w:val="22"/>
        </w:rPr>
        <w:t>g S</w:t>
      </w:r>
      <w:r w:rsidRPr="00081508">
        <w:t>t</w:t>
      </w:r>
      <w:r w:rsidRPr="0033698E">
        <w:rPr>
          <w:szCs w:val="22"/>
        </w:rPr>
        <w:t>and</w:t>
      </w:r>
      <w:r w:rsidRPr="00081508">
        <w:t>ar</w:t>
      </w:r>
      <w:r w:rsidRPr="0033698E">
        <w:rPr>
          <w:szCs w:val="22"/>
        </w:rPr>
        <w:t>d</w:t>
      </w:r>
      <w:r w:rsidRPr="00081508">
        <w:t>s</w:t>
      </w:r>
      <w:r w:rsidRPr="0033698E">
        <w:rPr>
          <w:szCs w:val="22"/>
        </w:rPr>
        <w:t>.</w:t>
      </w:r>
      <w:r w:rsidRPr="00081508">
        <w:t xml:space="preserve"> T</w:t>
      </w:r>
      <w:r w:rsidRPr="0033698E">
        <w:rPr>
          <w:szCs w:val="22"/>
        </w:rPr>
        <w:t>he</w:t>
      </w:r>
      <w:r w:rsidRPr="00081508">
        <w:t>s</w:t>
      </w:r>
      <w:r w:rsidRPr="0033698E">
        <w:rPr>
          <w:szCs w:val="22"/>
        </w:rPr>
        <w:t>e</w:t>
      </w:r>
      <w:r w:rsidRPr="00081508">
        <w:t xml:space="preserve"> A</w:t>
      </w:r>
      <w:r w:rsidRPr="0033698E">
        <w:rPr>
          <w:szCs w:val="22"/>
        </w:rPr>
        <w:t>ud</w:t>
      </w:r>
      <w:r w:rsidRPr="00081508">
        <w:t>iti</w:t>
      </w:r>
      <w:r w:rsidRPr="0033698E">
        <w:rPr>
          <w:szCs w:val="22"/>
        </w:rPr>
        <w:t>ng</w:t>
      </w:r>
      <w:r w:rsidRPr="00081508">
        <w:t xml:space="preserve"> </w:t>
      </w:r>
      <w:r w:rsidRPr="0033698E">
        <w:rPr>
          <w:szCs w:val="22"/>
        </w:rPr>
        <w:t>S</w:t>
      </w:r>
      <w:r w:rsidRPr="00081508">
        <w:t>t</w:t>
      </w:r>
      <w:r w:rsidRPr="0033698E">
        <w:rPr>
          <w:szCs w:val="22"/>
        </w:rPr>
        <w:t>and</w:t>
      </w:r>
      <w:r w:rsidRPr="00081508">
        <w:t>ar</w:t>
      </w:r>
      <w:r w:rsidRPr="0033698E">
        <w:rPr>
          <w:szCs w:val="22"/>
        </w:rPr>
        <w:t>ds</w:t>
      </w:r>
      <w:r w:rsidRPr="00081508">
        <w:t xml:space="preserve"> r</w:t>
      </w:r>
      <w:r w:rsidRPr="0033698E">
        <w:rPr>
          <w:szCs w:val="22"/>
        </w:rPr>
        <w:t>e</w:t>
      </w:r>
      <w:r w:rsidRPr="00081508">
        <w:t>q</w:t>
      </w:r>
      <w:r w:rsidRPr="0033698E">
        <w:rPr>
          <w:szCs w:val="22"/>
        </w:rPr>
        <w:t>u</w:t>
      </w:r>
      <w:r w:rsidRPr="00081508">
        <w:t>ir</w:t>
      </w:r>
      <w:r w:rsidRPr="0033698E">
        <w:rPr>
          <w:szCs w:val="22"/>
        </w:rPr>
        <w:t>e</w:t>
      </w:r>
      <w:r w:rsidRPr="00081508">
        <w:t xml:space="preserve"> t</w:t>
      </w:r>
      <w:r w:rsidRPr="0033698E">
        <w:rPr>
          <w:szCs w:val="22"/>
        </w:rPr>
        <w:t>h</w:t>
      </w:r>
      <w:r w:rsidRPr="00081508">
        <w:t>a</w:t>
      </w:r>
      <w:r w:rsidRPr="0033698E">
        <w:rPr>
          <w:szCs w:val="22"/>
        </w:rPr>
        <w:t>t</w:t>
      </w:r>
      <w:r w:rsidRPr="00081508">
        <w:t xml:space="preserve"> w</w:t>
      </w:r>
      <w:r w:rsidRPr="0033698E">
        <w:rPr>
          <w:szCs w:val="22"/>
        </w:rPr>
        <w:t>e</w:t>
      </w:r>
      <w:r w:rsidRPr="00081508">
        <w:t xml:space="preserve"> c</w:t>
      </w:r>
      <w:r w:rsidRPr="0033698E">
        <w:rPr>
          <w:szCs w:val="22"/>
        </w:rPr>
        <w:t>o</w:t>
      </w:r>
      <w:r w:rsidRPr="00081508">
        <w:t>m</w:t>
      </w:r>
      <w:r w:rsidRPr="0033698E">
        <w:rPr>
          <w:szCs w:val="22"/>
        </w:rPr>
        <w:t>p</w:t>
      </w:r>
      <w:r w:rsidRPr="00081508">
        <w:t>l</w:t>
      </w:r>
      <w:r w:rsidRPr="0033698E">
        <w:rPr>
          <w:szCs w:val="22"/>
        </w:rPr>
        <w:t>y</w:t>
      </w:r>
      <w:r w:rsidRPr="00081508">
        <w:t xml:space="preserve"> wit</w:t>
      </w:r>
      <w:r w:rsidRPr="0033698E">
        <w:rPr>
          <w:szCs w:val="22"/>
        </w:rPr>
        <w:t xml:space="preserve">h </w:t>
      </w:r>
      <w:r w:rsidRPr="00081508">
        <w:t>r</w:t>
      </w:r>
      <w:r w:rsidRPr="0033698E">
        <w:rPr>
          <w:szCs w:val="22"/>
        </w:rPr>
        <w:t>e</w:t>
      </w:r>
      <w:r w:rsidRPr="00081508">
        <w:t>l</w:t>
      </w:r>
      <w:r w:rsidRPr="0033698E">
        <w:rPr>
          <w:szCs w:val="22"/>
        </w:rPr>
        <w:t>e</w:t>
      </w:r>
      <w:r w:rsidRPr="00081508">
        <w:t>v</w:t>
      </w:r>
      <w:r w:rsidRPr="0033698E">
        <w:rPr>
          <w:szCs w:val="22"/>
        </w:rPr>
        <w:t>ant</w:t>
      </w:r>
      <w:r w:rsidRPr="00081508">
        <w:t xml:space="preserve"> et</w:t>
      </w:r>
      <w:r w:rsidRPr="0033698E">
        <w:rPr>
          <w:szCs w:val="22"/>
        </w:rPr>
        <w:t>h</w:t>
      </w:r>
      <w:r w:rsidRPr="00081508">
        <w:t>i</w:t>
      </w:r>
      <w:r w:rsidRPr="0033698E">
        <w:rPr>
          <w:szCs w:val="22"/>
        </w:rPr>
        <w:t xml:space="preserve">cal </w:t>
      </w:r>
      <w:r w:rsidRPr="00081508">
        <w:t>r</w:t>
      </w:r>
      <w:r w:rsidRPr="0033698E">
        <w:rPr>
          <w:szCs w:val="22"/>
        </w:rPr>
        <w:t>eq</w:t>
      </w:r>
      <w:r w:rsidRPr="00081508">
        <w:t>uir</w:t>
      </w:r>
      <w:r w:rsidRPr="0033698E">
        <w:rPr>
          <w:szCs w:val="22"/>
        </w:rPr>
        <w:t>e</w:t>
      </w:r>
      <w:r w:rsidRPr="00081508">
        <w:t>m</w:t>
      </w:r>
      <w:r w:rsidRPr="0033698E">
        <w:rPr>
          <w:szCs w:val="22"/>
        </w:rPr>
        <w:t>en</w:t>
      </w:r>
      <w:r w:rsidRPr="00081508">
        <w:t>t</w:t>
      </w:r>
      <w:r w:rsidRPr="0033698E">
        <w:rPr>
          <w:szCs w:val="22"/>
        </w:rPr>
        <w:t>s</w:t>
      </w:r>
      <w:r w:rsidRPr="00081508">
        <w:t xml:space="preserve"> relati</w:t>
      </w:r>
      <w:r w:rsidRPr="0033698E">
        <w:rPr>
          <w:szCs w:val="22"/>
        </w:rPr>
        <w:t>ng</w:t>
      </w:r>
      <w:r w:rsidRPr="00081508">
        <w:t xml:space="preserve"> t</w:t>
      </w:r>
      <w:r w:rsidRPr="0033698E">
        <w:rPr>
          <w:szCs w:val="22"/>
        </w:rPr>
        <w:t>o</w:t>
      </w:r>
      <w:r w:rsidRPr="00081508">
        <w:t xml:space="preserve"> </w:t>
      </w:r>
      <w:r w:rsidRPr="0033698E">
        <w:rPr>
          <w:szCs w:val="22"/>
        </w:rPr>
        <w:t>a</w:t>
      </w:r>
      <w:r w:rsidRPr="00081508">
        <w:t>u</w:t>
      </w:r>
      <w:r w:rsidRPr="0033698E">
        <w:rPr>
          <w:szCs w:val="22"/>
        </w:rPr>
        <w:t>d</w:t>
      </w:r>
      <w:r w:rsidRPr="00081508">
        <w:t>i</w:t>
      </w:r>
      <w:r w:rsidRPr="0033698E">
        <w:rPr>
          <w:szCs w:val="22"/>
        </w:rPr>
        <w:t>t</w:t>
      </w:r>
      <w:r w:rsidRPr="00081508">
        <w:t xml:space="preserve"> </w:t>
      </w:r>
      <w:r w:rsidRPr="0033698E">
        <w:rPr>
          <w:szCs w:val="22"/>
        </w:rPr>
        <w:t>en</w:t>
      </w:r>
      <w:r w:rsidRPr="00081508">
        <w:t>g</w:t>
      </w:r>
      <w:r w:rsidRPr="0033698E">
        <w:rPr>
          <w:szCs w:val="22"/>
        </w:rPr>
        <w:t>a</w:t>
      </w:r>
      <w:r w:rsidRPr="00081508">
        <w:t>gem</w:t>
      </w:r>
      <w:r w:rsidRPr="0033698E">
        <w:rPr>
          <w:szCs w:val="22"/>
        </w:rPr>
        <w:t>en</w:t>
      </w:r>
      <w:r w:rsidRPr="00081508">
        <w:t>t</w:t>
      </w:r>
      <w:r w:rsidRPr="0033698E">
        <w:rPr>
          <w:szCs w:val="22"/>
        </w:rPr>
        <w:t>s</w:t>
      </w:r>
      <w:r w:rsidRPr="00081508">
        <w:t xml:space="preserve"> </w:t>
      </w:r>
      <w:r w:rsidRPr="0033698E">
        <w:rPr>
          <w:szCs w:val="22"/>
        </w:rPr>
        <w:t>and</w:t>
      </w:r>
      <w:r w:rsidRPr="00081508">
        <w:t xml:space="preserve"> </w:t>
      </w:r>
      <w:r w:rsidRPr="0033698E">
        <w:rPr>
          <w:szCs w:val="22"/>
        </w:rPr>
        <w:t>p</w:t>
      </w:r>
      <w:r w:rsidRPr="00081508">
        <w:t>l</w:t>
      </w:r>
      <w:r w:rsidRPr="0033698E">
        <w:rPr>
          <w:szCs w:val="22"/>
        </w:rPr>
        <w:t xml:space="preserve">an </w:t>
      </w:r>
      <w:r w:rsidRPr="00081508">
        <w:t>a</w:t>
      </w:r>
      <w:r w:rsidRPr="0033698E">
        <w:rPr>
          <w:szCs w:val="22"/>
        </w:rPr>
        <w:t>nd pe</w:t>
      </w:r>
      <w:r w:rsidRPr="00081508">
        <w:t>rf</w:t>
      </w:r>
      <w:r w:rsidRPr="0033698E">
        <w:rPr>
          <w:szCs w:val="22"/>
        </w:rPr>
        <w:t>o</w:t>
      </w:r>
      <w:r w:rsidRPr="00081508">
        <w:t>r</w:t>
      </w:r>
      <w:r w:rsidRPr="0033698E">
        <w:rPr>
          <w:szCs w:val="22"/>
        </w:rPr>
        <w:t>m</w:t>
      </w:r>
      <w:r w:rsidRPr="00081508">
        <w:t xml:space="preserve"> t</w:t>
      </w:r>
      <w:r w:rsidRPr="0033698E">
        <w:rPr>
          <w:szCs w:val="22"/>
        </w:rPr>
        <w:t>he</w:t>
      </w:r>
      <w:r w:rsidRPr="00081508">
        <w:t xml:space="preserve"> </w:t>
      </w:r>
      <w:r w:rsidRPr="0033698E">
        <w:rPr>
          <w:szCs w:val="22"/>
        </w:rPr>
        <w:t>aud</w:t>
      </w:r>
      <w:r w:rsidRPr="00081508">
        <w:t>i</w:t>
      </w:r>
      <w:r w:rsidRPr="0033698E">
        <w:rPr>
          <w:szCs w:val="22"/>
        </w:rPr>
        <w:t>t</w:t>
      </w:r>
      <w:r w:rsidRPr="00081508">
        <w:t xml:space="preserve"> t</w:t>
      </w:r>
      <w:r w:rsidRPr="0033698E">
        <w:rPr>
          <w:szCs w:val="22"/>
        </w:rPr>
        <w:t>o o</w:t>
      </w:r>
      <w:r w:rsidRPr="00081508">
        <w:t>bt</w:t>
      </w:r>
      <w:r w:rsidRPr="0033698E">
        <w:rPr>
          <w:szCs w:val="22"/>
        </w:rPr>
        <w:t>a</w:t>
      </w:r>
      <w:r w:rsidRPr="00081508">
        <w:t>i</w:t>
      </w:r>
      <w:r w:rsidRPr="0033698E">
        <w:rPr>
          <w:szCs w:val="22"/>
        </w:rPr>
        <w:t xml:space="preserve">n </w:t>
      </w:r>
      <w:r w:rsidRPr="00081508">
        <w:t>r</w:t>
      </w:r>
      <w:r w:rsidRPr="0033698E">
        <w:rPr>
          <w:szCs w:val="22"/>
        </w:rPr>
        <w:t>ea</w:t>
      </w:r>
      <w:r w:rsidRPr="00081508">
        <w:t>s</w:t>
      </w:r>
      <w:r w:rsidRPr="0033698E">
        <w:rPr>
          <w:szCs w:val="22"/>
        </w:rPr>
        <w:t>ona</w:t>
      </w:r>
      <w:r w:rsidRPr="00081508">
        <w:t>bl</w:t>
      </w:r>
      <w:r w:rsidRPr="0033698E">
        <w:rPr>
          <w:szCs w:val="22"/>
        </w:rPr>
        <w:t>e</w:t>
      </w:r>
      <w:r w:rsidRPr="00081508">
        <w:t xml:space="preserve"> a</w:t>
      </w:r>
      <w:r w:rsidRPr="0033698E">
        <w:rPr>
          <w:szCs w:val="22"/>
        </w:rPr>
        <w:t>ss</w:t>
      </w:r>
      <w:r w:rsidRPr="00081508">
        <w:t>ur</w:t>
      </w:r>
      <w:r w:rsidRPr="0033698E">
        <w:rPr>
          <w:szCs w:val="22"/>
        </w:rPr>
        <w:t>a</w:t>
      </w:r>
      <w:r w:rsidRPr="00081508">
        <w:t>n</w:t>
      </w:r>
      <w:r w:rsidRPr="0033698E">
        <w:rPr>
          <w:szCs w:val="22"/>
        </w:rPr>
        <w:t>ce</w:t>
      </w:r>
      <w:r w:rsidRPr="00081508">
        <w:t xml:space="preserve"> w</w:t>
      </w:r>
      <w:r w:rsidRPr="0033698E">
        <w:rPr>
          <w:szCs w:val="22"/>
        </w:rPr>
        <w:t>h</w:t>
      </w:r>
      <w:r w:rsidRPr="00081508">
        <w:t>eth</w:t>
      </w:r>
      <w:r w:rsidRPr="0033698E">
        <w:rPr>
          <w:szCs w:val="22"/>
        </w:rPr>
        <w:t>er</w:t>
      </w:r>
      <w:r w:rsidRPr="00081508">
        <w:t xml:space="preserve"> t</w:t>
      </w:r>
      <w:r w:rsidRPr="0033698E">
        <w:rPr>
          <w:szCs w:val="22"/>
        </w:rPr>
        <w:t>he</w:t>
      </w:r>
      <w:r w:rsidRPr="00081508">
        <w:t xml:space="preserve"> fi</w:t>
      </w:r>
      <w:r w:rsidRPr="0033698E">
        <w:rPr>
          <w:szCs w:val="22"/>
        </w:rPr>
        <w:t>n</w:t>
      </w:r>
      <w:r w:rsidRPr="00081508">
        <w:t>a</w:t>
      </w:r>
      <w:r w:rsidRPr="0033698E">
        <w:rPr>
          <w:szCs w:val="22"/>
        </w:rPr>
        <w:t>nc</w:t>
      </w:r>
      <w:r w:rsidRPr="00081508">
        <w:t>i</w:t>
      </w:r>
      <w:r w:rsidRPr="0033698E">
        <w:rPr>
          <w:szCs w:val="22"/>
        </w:rPr>
        <w:t>al</w:t>
      </w:r>
      <w:r w:rsidRPr="00081508">
        <w:t xml:space="preserve"> inf</w:t>
      </w:r>
      <w:r w:rsidRPr="0033698E">
        <w:rPr>
          <w:szCs w:val="22"/>
        </w:rPr>
        <w:t>o</w:t>
      </w:r>
      <w:r w:rsidRPr="00081508">
        <w:t>rm</w:t>
      </w:r>
      <w:r w:rsidRPr="0033698E">
        <w:rPr>
          <w:szCs w:val="22"/>
        </w:rPr>
        <w:t>a</w:t>
      </w:r>
      <w:r w:rsidRPr="00081508">
        <w:t>tio</w:t>
      </w:r>
      <w:r w:rsidRPr="0033698E">
        <w:rPr>
          <w:szCs w:val="22"/>
        </w:rPr>
        <w:t>n</w:t>
      </w:r>
      <w:r w:rsidRPr="00081508">
        <w:t xml:space="preserve"> </w:t>
      </w:r>
      <w:r w:rsidRPr="0033698E">
        <w:rPr>
          <w:szCs w:val="22"/>
        </w:rPr>
        <w:t>set</w:t>
      </w:r>
      <w:r w:rsidRPr="00081508">
        <w:t xml:space="preserve"> o</w:t>
      </w:r>
      <w:r w:rsidRPr="0033698E">
        <w:rPr>
          <w:szCs w:val="22"/>
        </w:rPr>
        <w:t>ut</w:t>
      </w:r>
      <w:r w:rsidRPr="00081508">
        <w:t xml:space="preserve"> i</w:t>
      </w:r>
      <w:r w:rsidRPr="0033698E">
        <w:rPr>
          <w:szCs w:val="22"/>
        </w:rPr>
        <w:t>n</w:t>
      </w:r>
      <w:r w:rsidRPr="00081508">
        <w:t xml:space="preserve"> t</w:t>
      </w:r>
      <w:r w:rsidRPr="0033698E">
        <w:rPr>
          <w:szCs w:val="22"/>
        </w:rPr>
        <w:t>he</w:t>
      </w:r>
      <w:r w:rsidRPr="00081508">
        <w:t xml:space="preserve"> att</w:t>
      </w:r>
      <w:r w:rsidRPr="0033698E">
        <w:rPr>
          <w:szCs w:val="22"/>
        </w:rPr>
        <w:t>ac</w:t>
      </w:r>
      <w:r w:rsidRPr="00081508">
        <w:t>h</w:t>
      </w:r>
      <w:r w:rsidRPr="0033698E">
        <w:rPr>
          <w:szCs w:val="22"/>
        </w:rPr>
        <w:t>ed</w:t>
      </w:r>
      <w:r w:rsidRPr="00081508">
        <w:t xml:space="preserve"> Retur</w:t>
      </w:r>
      <w:r w:rsidRPr="0033698E">
        <w:rPr>
          <w:szCs w:val="22"/>
        </w:rPr>
        <w:t>n</w:t>
      </w:r>
      <w:r w:rsidRPr="00081508">
        <w:t xml:space="preserve"> i</w:t>
      </w:r>
      <w:r w:rsidRPr="0033698E">
        <w:rPr>
          <w:szCs w:val="22"/>
        </w:rPr>
        <w:t>s</w:t>
      </w:r>
      <w:r w:rsidRPr="00081508">
        <w:t xml:space="preserve"> fr</w:t>
      </w:r>
      <w:r w:rsidRPr="0033698E">
        <w:rPr>
          <w:szCs w:val="22"/>
        </w:rPr>
        <w:t xml:space="preserve">ee </w:t>
      </w:r>
      <w:r w:rsidRPr="00081508">
        <w:t>fr</w:t>
      </w:r>
      <w:r w:rsidRPr="0033698E">
        <w:rPr>
          <w:szCs w:val="22"/>
        </w:rPr>
        <w:t>om</w:t>
      </w:r>
      <w:r w:rsidRPr="00081508">
        <w:t xml:space="preserve"> m</w:t>
      </w:r>
      <w:r w:rsidRPr="0033698E">
        <w:rPr>
          <w:szCs w:val="22"/>
        </w:rPr>
        <w:t>a</w:t>
      </w:r>
      <w:r w:rsidRPr="00081508">
        <w:t>t</w:t>
      </w:r>
      <w:r w:rsidRPr="0033698E">
        <w:rPr>
          <w:szCs w:val="22"/>
        </w:rPr>
        <w:t>e</w:t>
      </w:r>
      <w:r w:rsidRPr="00081508">
        <w:t>ria</w:t>
      </w:r>
      <w:r w:rsidRPr="0033698E">
        <w:rPr>
          <w:szCs w:val="22"/>
        </w:rPr>
        <w:t>l</w:t>
      </w:r>
      <w:r w:rsidRPr="00081508">
        <w:t xml:space="preserve"> mi</w:t>
      </w:r>
      <w:r w:rsidRPr="0033698E">
        <w:rPr>
          <w:szCs w:val="22"/>
        </w:rPr>
        <w:t>ss</w:t>
      </w:r>
      <w:r w:rsidRPr="00081508">
        <w:t>tat</w:t>
      </w:r>
      <w:r w:rsidRPr="0033698E">
        <w:rPr>
          <w:szCs w:val="22"/>
        </w:rPr>
        <w:t>e</w:t>
      </w:r>
      <w:r w:rsidRPr="00081508">
        <w:t>m</w:t>
      </w:r>
      <w:r w:rsidRPr="0033698E">
        <w:rPr>
          <w:szCs w:val="22"/>
        </w:rPr>
        <w:t>en</w:t>
      </w:r>
      <w:r w:rsidRPr="00081508">
        <w:t>t</w:t>
      </w:r>
      <w:r w:rsidRPr="0033698E">
        <w:rPr>
          <w:szCs w:val="22"/>
        </w:rPr>
        <w:t>.</w:t>
      </w:r>
    </w:p>
    <w:p w14:paraId="5E1DE682" w14:textId="77777777" w:rsidR="002E03A9" w:rsidRPr="0033698E" w:rsidRDefault="002E03A9" w:rsidP="00081508">
      <w:pPr>
        <w:spacing w:before="200" w:after="0" w:line="280" w:lineRule="atLeast"/>
        <w:ind w:right="-23"/>
      </w:pPr>
      <w:r w:rsidRPr="00081508">
        <w:t>A</w:t>
      </w:r>
      <w:r w:rsidRPr="0033698E">
        <w:rPr>
          <w:szCs w:val="22"/>
        </w:rPr>
        <w:t>n aud</w:t>
      </w:r>
      <w:r w:rsidRPr="00081508">
        <w:t>i</w:t>
      </w:r>
      <w:r w:rsidRPr="0033698E">
        <w:rPr>
          <w:szCs w:val="22"/>
        </w:rPr>
        <w:t>t</w:t>
      </w:r>
      <w:r w:rsidRPr="00081508">
        <w:t xml:space="preserve"> i</w:t>
      </w:r>
      <w:r w:rsidRPr="0033698E">
        <w:rPr>
          <w:szCs w:val="22"/>
        </w:rPr>
        <w:t>n</w:t>
      </w:r>
      <w:r w:rsidRPr="00081508">
        <w:t>v</w:t>
      </w:r>
      <w:r w:rsidRPr="0033698E">
        <w:rPr>
          <w:szCs w:val="22"/>
        </w:rPr>
        <w:t>o</w:t>
      </w:r>
      <w:r w:rsidRPr="00081508">
        <w:t>lv</w:t>
      </w:r>
      <w:r w:rsidRPr="0033698E">
        <w:rPr>
          <w:szCs w:val="22"/>
        </w:rPr>
        <w:t>es</w:t>
      </w:r>
      <w:r w:rsidRPr="00081508">
        <w:t xml:space="preserve"> </w:t>
      </w:r>
      <w:r w:rsidRPr="0033698E">
        <w:rPr>
          <w:szCs w:val="22"/>
        </w:rPr>
        <w:t>pe</w:t>
      </w:r>
      <w:r w:rsidRPr="00081508">
        <w:t>rf</w:t>
      </w:r>
      <w:r w:rsidRPr="0033698E">
        <w:rPr>
          <w:szCs w:val="22"/>
        </w:rPr>
        <w:t>o</w:t>
      </w:r>
      <w:r w:rsidRPr="00081508">
        <w:t>rmi</w:t>
      </w:r>
      <w:r w:rsidRPr="0033698E">
        <w:rPr>
          <w:szCs w:val="22"/>
        </w:rPr>
        <w:t>ng</w:t>
      </w:r>
      <w:r w:rsidRPr="00081508">
        <w:t xml:space="preserve"> </w:t>
      </w:r>
      <w:r w:rsidRPr="0033698E">
        <w:rPr>
          <w:szCs w:val="22"/>
        </w:rPr>
        <w:t>p</w:t>
      </w:r>
      <w:r w:rsidRPr="00081508">
        <w:t>r</w:t>
      </w:r>
      <w:r w:rsidRPr="0033698E">
        <w:rPr>
          <w:szCs w:val="22"/>
        </w:rPr>
        <w:t>oced</w:t>
      </w:r>
      <w:r w:rsidRPr="00081508">
        <w:t>ur</w:t>
      </w:r>
      <w:r w:rsidRPr="0033698E">
        <w:rPr>
          <w:szCs w:val="22"/>
        </w:rPr>
        <w:t>es</w:t>
      </w:r>
      <w:r w:rsidRPr="00081508">
        <w:t xml:space="preserve"> t</w:t>
      </w:r>
      <w:r w:rsidRPr="0033698E">
        <w:rPr>
          <w:szCs w:val="22"/>
        </w:rPr>
        <w:t>o o</w:t>
      </w:r>
      <w:r w:rsidRPr="00081508">
        <w:t>btai</w:t>
      </w:r>
      <w:r w:rsidRPr="0033698E">
        <w:rPr>
          <w:szCs w:val="22"/>
        </w:rPr>
        <w:t xml:space="preserve">n </w:t>
      </w:r>
      <w:r w:rsidRPr="00081508">
        <w:t>a</w:t>
      </w:r>
      <w:r w:rsidRPr="0033698E">
        <w:rPr>
          <w:szCs w:val="22"/>
        </w:rPr>
        <w:t>u</w:t>
      </w:r>
      <w:r w:rsidRPr="00081508">
        <w:t>di</w:t>
      </w:r>
      <w:r w:rsidRPr="0033698E">
        <w:rPr>
          <w:szCs w:val="22"/>
        </w:rPr>
        <w:t>t</w:t>
      </w:r>
      <w:r w:rsidRPr="00081508">
        <w:t xml:space="preserve"> </w:t>
      </w:r>
      <w:r w:rsidRPr="0033698E">
        <w:rPr>
          <w:szCs w:val="22"/>
        </w:rPr>
        <w:t>e</w:t>
      </w:r>
      <w:r w:rsidRPr="00081508">
        <w:t>vid</w:t>
      </w:r>
      <w:r w:rsidRPr="0033698E">
        <w:rPr>
          <w:szCs w:val="22"/>
        </w:rPr>
        <w:t>ence</w:t>
      </w:r>
      <w:r w:rsidRPr="00081508">
        <w:t xml:space="preserve"> </w:t>
      </w:r>
      <w:r w:rsidRPr="0033698E">
        <w:rPr>
          <w:szCs w:val="22"/>
        </w:rPr>
        <w:t>abo</w:t>
      </w:r>
      <w:r w:rsidRPr="00081508">
        <w:t>u</w:t>
      </w:r>
      <w:r w:rsidRPr="0033698E">
        <w:rPr>
          <w:szCs w:val="22"/>
        </w:rPr>
        <w:t>t</w:t>
      </w:r>
      <w:r w:rsidRPr="00081508">
        <w:t xml:space="preserve"> t</w:t>
      </w:r>
      <w:r w:rsidRPr="0033698E">
        <w:rPr>
          <w:szCs w:val="22"/>
        </w:rPr>
        <w:t>he</w:t>
      </w:r>
      <w:r w:rsidRPr="00081508">
        <w:t xml:space="preserve"> </w:t>
      </w:r>
      <w:r w:rsidRPr="0033698E">
        <w:rPr>
          <w:szCs w:val="22"/>
        </w:rPr>
        <w:t>a</w:t>
      </w:r>
      <w:r w:rsidRPr="00081508">
        <w:t>m</w:t>
      </w:r>
      <w:r w:rsidRPr="0033698E">
        <w:rPr>
          <w:szCs w:val="22"/>
        </w:rPr>
        <w:t>oun</w:t>
      </w:r>
      <w:r w:rsidRPr="00081508">
        <w:t>t</w:t>
      </w:r>
      <w:r w:rsidRPr="0033698E">
        <w:rPr>
          <w:szCs w:val="22"/>
        </w:rPr>
        <w:t>s</w:t>
      </w:r>
      <w:r w:rsidRPr="00081508">
        <w:t xml:space="preserve"> a</w:t>
      </w:r>
      <w:r w:rsidRPr="0033698E">
        <w:rPr>
          <w:szCs w:val="22"/>
        </w:rPr>
        <w:t>nd d</w:t>
      </w:r>
      <w:r w:rsidRPr="00081508">
        <w:t>i</w:t>
      </w:r>
      <w:r w:rsidRPr="0033698E">
        <w:rPr>
          <w:szCs w:val="22"/>
        </w:rPr>
        <w:t>s</w:t>
      </w:r>
      <w:r w:rsidRPr="00081508">
        <w:t>cl</w:t>
      </w:r>
      <w:r w:rsidRPr="0033698E">
        <w:rPr>
          <w:szCs w:val="22"/>
        </w:rPr>
        <w:t>o</w:t>
      </w:r>
      <w:r w:rsidRPr="00081508">
        <w:t>s</w:t>
      </w:r>
      <w:r w:rsidRPr="0033698E">
        <w:rPr>
          <w:szCs w:val="22"/>
        </w:rPr>
        <w:t>u</w:t>
      </w:r>
      <w:r w:rsidRPr="00081508">
        <w:t>re</w:t>
      </w:r>
      <w:r w:rsidRPr="0033698E">
        <w:rPr>
          <w:szCs w:val="22"/>
        </w:rPr>
        <w:t>s</w:t>
      </w:r>
      <w:r w:rsidRPr="00081508">
        <w:t xml:space="preserve"> </w:t>
      </w:r>
      <w:r w:rsidRPr="0033698E">
        <w:rPr>
          <w:szCs w:val="22"/>
        </w:rPr>
        <w:t>of</w:t>
      </w:r>
      <w:r w:rsidRPr="00081508">
        <w:t xml:space="preserve"> t</w:t>
      </w:r>
      <w:r w:rsidRPr="0033698E">
        <w:rPr>
          <w:szCs w:val="22"/>
        </w:rPr>
        <w:t>he</w:t>
      </w:r>
      <w:r w:rsidRPr="00081508">
        <w:t xml:space="preserve"> fi</w:t>
      </w:r>
      <w:r w:rsidRPr="0033698E">
        <w:rPr>
          <w:szCs w:val="22"/>
        </w:rPr>
        <w:t>nan</w:t>
      </w:r>
      <w:r w:rsidRPr="00081508">
        <w:t>cia</w:t>
      </w:r>
      <w:r w:rsidRPr="0033698E">
        <w:rPr>
          <w:szCs w:val="22"/>
        </w:rPr>
        <w:t>l</w:t>
      </w:r>
      <w:r w:rsidRPr="00081508">
        <w:t xml:space="preserve"> i</w:t>
      </w:r>
      <w:r w:rsidRPr="0033698E">
        <w:rPr>
          <w:szCs w:val="22"/>
        </w:rPr>
        <w:t>n</w:t>
      </w:r>
      <w:r w:rsidRPr="00081508">
        <w:t>form</w:t>
      </w:r>
      <w:r w:rsidRPr="0033698E">
        <w:rPr>
          <w:szCs w:val="22"/>
        </w:rPr>
        <w:t>a</w:t>
      </w:r>
      <w:r w:rsidRPr="00081508">
        <w:t>ti</w:t>
      </w:r>
      <w:r w:rsidRPr="0033698E">
        <w:rPr>
          <w:szCs w:val="22"/>
        </w:rPr>
        <w:t xml:space="preserve">on </w:t>
      </w:r>
      <w:r w:rsidRPr="00081508">
        <w:t>s</w:t>
      </w:r>
      <w:r w:rsidRPr="0033698E">
        <w:rPr>
          <w:szCs w:val="22"/>
        </w:rPr>
        <w:t>et</w:t>
      </w:r>
      <w:r w:rsidRPr="00081508">
        <w:t xml:space="preserve"> </w:t>
      </w:r>
      <w:r w:rsidRPr="0033698E">
        <w:rPr>
          <w:szCs w:val="22"/>
        </w:rPr>
        <w:t>out</w:t>
      </w:r>
      <w:r w:rsidRPr="00081508">
        <w:t xml:space="preserve"> i</w:t>
      </w:r>
      <w:r w:rsidRPr="0033698E">
        <w:rPr>
          <w:szCs w:val="22"/>
        </w:rPr>
        <w:t xml:space="preserve">n </w:t>
      </w:r>
      <w:r w:rsidRPr="00081508">
        <w:t>t</w:t>
      </w:r>
      <w:r w:rsidRPr="0033698E">
        <w:rPr>
          <w:szCs w:val="22"/>
        </w:rPr>
        <w:t>he</w:t>
      </w:r>
      <w:r w:rsidRPr="00081508">
        <w:t xml:space="preserve"> R</w:t>
      </w:r>
      <w:r w:rsidRPr="0033698E">
        <w:rPr>
          <w:szCs w:val="22"/>
        </w:rPr>
        <w:t>e</w:t>
      </w:r>
      <w:r w:rsidRPr="00081508">
        <w:t>t</w:t>
      </w:r>
      <w:r w:rsidRPr="0033698E">
        <w:rPr>
          <w:szCs w:val="22"/>
        </w:rPr>
        <w:t>u</w:t>
      </w:r>
      <w:r w:rsidRPr="00081508">
        <w:t>r</w:t>
      </w:r>
      <w:r w:rsidRPr="0033698E">
        <w:rPr>
          <w:szCs w:val="22"/>
        </w:rPr>
        <w:t xml:space="preserve">n. </w:t>
      </w:r>
      <w:r w:rsidRPr="00081508">
        <w:t>T</w:t>
      </w:r>
      <w:r w:rsidRPr="0033698E">
        <w:rPr>
          <w:szCs w:val="22"/>
        </w:rPr>
        <w:t>he</w:t>
      </w:r>
      <w:r w:rsidRPr="00081508">
        <w:t xml:space="preserve"> </w:t>
      </w:r>
      <w:r w:rsidRPr="0033698E">
        <w:rPr>
          <w:szCs w:val="22"/>
        </w:rPr>
        <w:t>p</w:t>
      </w:r>
      <w:r w:rsidRPr="00081508">
        <w:t>r</w:t>
      </w:r>
      <w:r w:rsidRPr="0033698E">
        <w:rPr>
          <w:szCs w:val="22"/>
        </w:rPr>
        <w:t>o</w:t>
      </w:r>
      <w:r w:rsidRPr="00081508">
        <w:t>c</w:t>
      </w:r>
      <w:r w:rsidRPr="0033698E">
        <w:rPr>
          <w:szCs w:val="22"/>
        </w:rPr>
        <w:t>ed</w:t>
      </w:r>
      <w:r w:rsidRPr="00081508">
        <w:t>ur</w:t>
      </w:r>
      <w:r w:rsidRPr="0033698E">
        <w:rPr>
          <w:szCs w:val="22"/>
        </w:rPr>
        <w:t>es</w:t>
      </w:r>
      <w:r w:rsidRPr="00081508">
        <w:t xml:space="preserve"> s</w:t>
      </w:r>
      <w:r w:rsidRPr="0033698E">
        <w:rPr>
          <w:szCs w:val="22"/>
        </w:rPr>
        <w:t>e</w:t>
      </w:r>
      <w:r w:rsidRPr="00081508">
        <w:t>l</w:t>
      </w:r>
      <w:r w:rsidRPr="0033698E">
        <w:rPr>
          <w:szCs w:val="22"/>
        </w:rPr>
        <w:t>e</w:t>
      </w:r>
      <w:r w:rsidRPr="00081508">
        <w:t>ct</w:t>
      </w:r>
      <w:r w:rsidRPr="0033698E">
        <w:rPr>
          <w:szCs w:val="22"/>
        </w:rPr>
        <w:t xml:space="preserve">ed </w:t>
      </w:r>
      <w:r w:rsidRPr="00081508">
        <w:t>d</w:t>
      </w:r>
      <w:r w:rsidRPr="0033698E">
        <w:rPr>
          <w:szCs w:val="22"/>
        </w:rPr>
        <w:t xml:space="preserve">epend on </w:t>
      </w:r>
      <w:r w:rsidRPr="00081508">
        <w:t>t</w:t>
      </w:r>
      <w:r w:rsidRPr="0033698E">
        <w:rPr>
          <w:szCs w:val="22"/>
        </w:rPr>
        <w:t>he</w:t>
      </w:r>
      <w:r w:rsidRPr="00081508">
        <w:t xml:space="preserve"> </w:t>
      </w:r>
      <w:r w:rsidRPr="0033698E">
        <w:rPr>
          <w:szCs w:val="22"/>
        </w:rPr>
        <w:t>au</w:t>
      </w:r>
      <w:r w:rsidRPr="00081508">
        <w:t>ditor’</w:t>
      </w:r>
      <w:r w:rsidRPr="0033698E">
        <w:rPr>
          <w:szCs w:val="22"/>
        </w:rPr>
        <w:t>s</w:t>
      </w:r>
      <w:r w:rsidRPr="00081508">
        <w:t xml:space="preserve"> </w:t>
      </w:r>
      <w:r w:rsidRPr="00081508">
        <w:lastRenderedPageBreak/>
        <w:t>ju</w:t>
      </w:r>
      <w:r w:rsidRPr="0033698E">
        <w:rPr>
          <w:szCs w:val="22"/>
        </w:rPr>
        <w:t>d</w:t>
      </w:r>
      <w:r w:rsidRPr="00081508">
        <w:t>g</w:t>
      </w:r>
      <w:r w:rsidRPr="0033698E">
        <w:rPr>
          <w:szCs w:val="22"/>
        </w:rPr>
        <w:t>e</w:t>
      </w:r>
      <w:r w:rsidRPr="00081508">
        <w:t>m</w:t>
      </w:r>
      <w:r w:rsidRPr="0033698E">
        <w:rPr>
          <w:szCs w:val="22"/>
        </w:rPr>
        <w:t>en</w:t>
      </w:r>
      <w:r w:rsidRPr="00081508">
        <w:t>t</w:t>
      </w:r>
      <w:r w:rsidRPr="0033698E">
        <w:rPr>
          <w:szCs w:val="22"/>
        </w:rPr>
        <w:t xml:space="preserve">, </w:t>
      </w:r>
      <w:r w:rsidRPr="00081508">
        <w:t>i</w:t>
      </w:r>
      <w:r w:rsidRPr="0033698E">
        <w:rPr>
          <w:szCs w:val="22"/>
        </w:rPr>
        <w:t>n</w:t>
      </w:r>
      <w:r w:rsidRPr="00081508">
        <w:t>cl</w:t>
      </w:r>
      <w:r w:rsidRPr="0033698E">
        <w:rPr>
          <w:szCs w:val="22"/>
        </w:rPr>
        <w:t>ud</w:t>
      </w:r>
      <w:r w:rsidRPr="00081508">
        <w:t>i</w:t>
      </w:r>
      <w:r w:rsidRPr="0033698E">
        <w:rPr>
          <w:szCs w:val="22"/>
        </w:rPr>
        <w:t>ng</w:t>
      </w:r>
      <w:r w:rsidRPr="00081508">
        <w:t xml:space="preserve"> t</w:t>
      </w:r>
      <w:r w:rsidRPr="0033698E">
        <w:rPr>
          <w:szCs w:val="22"/>
        </w:rPr>
        <w:t>he</w:t>
      </w:r>
      <w:r w:rsidRPr="00081508">
        <w:t xml:space="preserve"> a</w:t>
      </w:r>
      <w:r w:rsidRPr="0033698E">
        <w:rPr>
          <w:szCs w:val="22"/>
        </w:rPr>
        <w:t>ss</w:t>
      </w:r>
      <w:r w:rsidRPr="00081508">
        <w:t>e</w:t>
      </w:r>
      <w:r w:rsidRPr="0033698E">
        <w:rPr>
          <w:szCs w:val="22"/>
        </w:rPr>
        <w:t>ss</w:t>
      </w:r>
      <w:r w:rsidRPr="00081508">
        <w:t>m</w:t>
      </w:r>
      <w:r w:rsidRPr="0033698E">
        <w:rPr>
          <w:szCs w:val="22"/>
        </w:rPr>
        <w:t>ent</w:t>
      </w:r>
      <w:r w:rsidRPr="00081508">
        <w:t xml:space="preserve"> o</w:t>
      </w:r>
      <w:r w:rsidRPr="0033698E">
        <w:rPr>
          <w:szCs w:val="22"/>
        </w:rPr>
        <w:t>f</w:t>
      </w:r>
      <w:r w:rsidRPr="00081508">
        <w:t xml:space="preserve"> th</w:t>
      </w:r>
      <w:r w:rsidRPr="0033698E">
        <w:rPr>
          <w:szCs w:val="22"/>
        </w:rPr>
        <w:t>e</w:t>
      </w:r>
      <w:r w:rsidRPr="00081508">
        <w:t xml:space="preserve"> ri</w:t>
      </w:r>
      <w:r w:rsidRPr="0033698E">
        <w:rPr>
          <w:szCs w:val="22"/>
        </w:rPr>
        <w:t>s</w:t>
      </w:r>
      <w:r w:rsidRPr="00081508">
        <w:t>k</w:t>
      </w:r>
      <w:r w:rsidRPr="0033698E">
        <w:rPr>
          <w:szCs w:val="22"/>
        </w:rPr>
        <w:t>s</w:t>
      </w:r>
      <w:r w:rsidRPr="00081508">
        <w:t xml:space="preserve"> </w:t>
      </w:r>
      <w:r w:rsidRPr="0033698E">
        <w:rPr>
          <w:szCs w:val="22"/>
        </w:rPr>
        <w:t>of</w:t>
      </w:r>
      <w:r w:rsidRPr="00081508">
        <w:t xml:space="preserve"> m</w:t>
      </w:r>
      <w:r w:rsidRPr="0033698E">
        <w:rPr>
          <w:szCs w:val="22"/>
        </w:rPr>
        <w:t>a</w:t>
      </w:r>
      <w:r w:rsidRPr="00081508">
        <w:t>teria</w:t>
      </w:r>
      <w:r w:rsidRPr="0033698E">
        <w:rPr>
          <w:szCs w:val="22"/>
        </w:rPr>
        <w:t>l</w:t>
      </w:r>
      <w:r w:rsidRPr="00081508">
        <w:t xml:space="preserve"> mi</w:t>
      </w:r>
      <w:r w:rsidRPr="0033698E">
        <w:rPr>
          <w:szCs w:val="22"/>
        </w:rPr>
        <w:t>ss</w:t>
      </w:r>
      <w:r w:rsidRPr="00081508">
        <w:t>t</w:t>
      </w:r>
      <w:r w:rsidRPr="0033698E">
        <w:rPr>
          <w:szCs w:val="22"/>
        </w:rPr>
        <w:t>a</w:t>
      </w:r>
      <w:r w:rsidRPr="00081508">
        <w:t>t</w:t>
      </w:r>
      <w:r w:rsidRPr="0033698E">
        <w:rPr>
          <w:szCs w:val="22"/>
        </w:rPr>
        <w:t>e</w:t>
      </w:r>
      <w:r w:rsidRPr="00081508">
        <w:t>m</w:t>
      </w:r>
      <w:r w:rsidRPr="0033698E">
        <w:rPr>
          <w:szCs w:val="22"/>
        </w:rPr>
        <w:t>ent</w:t>
      </w:r>
      <w:r w:rsidRPr="00081508">
        <w:t xml:space="preserve"> o</w:t>
      </w:r>
      <w:r w:rsidRPr="0033698E">
        <w:rPr>
          <w:szCs w:val="22"/>
        </w:rPr>
        <w:t xml:space="preserve">f </w:t>
      </w:r>
      <w:r w:rsidRPr="00081508">
        <w:t>t</w:t>
      </w:r>
      <w:r w:rsidRPr="0033698E">
        <w:rPr>
          <w:szCs w:val="22"/>
        </w:rPr>
        <w:t>he</w:t>
      </w:r>
      <w:r w:rsidRPr="00081508">
        <w:t xml:space="preserve"> fin</w:t>
      </w:r>
      <w:r w:rsidRPr="0033698E">
        <w:rPr>
          <w:szCs w:val="22"/>
        </w:rPr>
        <w:t>an</w:t>
      </w:r>
      <w:r w:rsidRPr="00081508">
        <w:t>ci</w:t>
      </w:r>
      <w:r w:rsidRPr="0033698E">
        <w:rPr>
          <w:szCs w:val="22"/>
        </w:rPr>
        <w:t>al</w:t>
      </w:r>
      <w:r w:rsidRPr="00081508">
        <w:t xml:space="preserve"> inf</w:t>
      </w:r>
      <w:r w:rsidRPr="0033698E">
        <w:rPr>
          <w:szCs w:val="22"/>
        </w:rPr>
        <w:t>o</w:t>
      </w:r>
      <w:r w:rsidRPr="00081508">
        <w:t>rm</w:t>
      </w:r>
      <w:r w:rsidRPr="0033698E">
        <w:rPr>
          <w:szCs w:val="22"/>
        </w:rPr>
        <w:t>a</w:t>
      </w:r>
      <w:r w:rsidRPr="00081508">
        <w:t>ti</w:t>
      </w:r>
      <w:r w:rsidRPr="0033698E">
        <w:rPr>
          <w:szCs w:val="22"/>
        </w:rPr>
        <w:t>on s</w:t>
      </w:r>
      <w:r w:rsidRPr="00081508">
        <w:t>e</w:t>
      </w:r>
      <w:r w:rsidRPr="0033698E">
        <w:rPr>
          <w:szCs w:val="22"/>
        </w:rPr>
        <w:t>t</w:t>
      </w:r>
      <w:r w:rsidRPr="00081508">
        <w:t xml:space="preserve"> </w:t>
      </w:r>
      <w:r w:rsidRPr="0033698E">
        <w:rPr>
          <w:szCs w:val="22"/>
        </w:rPr>
        <w:t>out</w:t>
      </w:r>
      <w:r w:rsidRPr="00081508">
        <w:t xml:space="preserve"> i</w:t>
      </w:r>
      <w:r w:rsidRPr="0033698E">
        <w:rPr>
          <w:szCs w:val="22"/>
        </w:rPr>
        <w:t>n</w:t>
      </w:r>
      <w:r w:rsidRPr="00081508">
        <w:t xml:space="preserve"> t</w:t>
      </w:r>
      <w:r w:rsidRPr="0033698E">
        <w:rPr>
          <w:szCs w:val="22"/>
        </w:rPr>
        <w:t>he</w:t>
      </w:r>
      <w:r w:rsidRPr="00081508">
        <w:t xml:space="preserve"> R</w:t>
      </w:r>
      <w:r w:rsidRPr="0033698E">
        <w:rPr>
          <w:szCs w:val="22"/>
        </w:rPr>
        <w:t>e</w:t>
      </w:r>
      <w:r w:rsidRPr="00081508">
        <w:t>tur</w:t>
      </w:r>
      <w:r w:rsidRPr="0033698E">
        <w:rPr>
          <w:szCs w:val="22"/>
        </w:rPr>
        <w:t xml:space="preserve">n </w:t>
      </w:r>
      <w:r w:rsidRPr="00081508">
        <w:t>w</w:t>
      </w:r>
      <w:r w:rsidRPr="0033698E">
        <w:rPr>
          <w:szCs w:val="22"/>
        </w:rPr>
        <w:t>h</w:t>
      </w:r>
      <w:r w:rsidRPr="00081508">
        <w:t>et</w:t>
      </w:r>
      <w:r w:rsidRPr="0033698E">
        <w:rPr>
          <w:szCs w:val="22"/>
        </w:rPr>
        <w:t>h</w:t>
      </w:r>
      <w:r w:rsidRPr="00081508">
        <w:t>e</w:t>
      </w:r>
      <w:r w:rsidRPr="0033698E">
        <w:rPr>
          <w:szCs w:val="22"/>
        </w:rPr>
        <w:t>r</w:t>
      </w:r>
      <w:r w:rsidRPr="00081508">
        <w:t xml:space="preserve"> </w:t>
      </w:r>
      <w:r w:rsidRPr="0033698E">
        <w:rPr>
          <w:szCs w:val="22"/>
        </w:rPr>
        <w:t>due</w:t>
      </w:r>
      <w:r w:rsidRPr="00081508">
        <w:t xml:space="preserve"> t</w:t>
      </w:r>
      <w:r w:rsidRPr="0033698E">
        <w:rPr>
          <w:szCs w:val="22"/>
        </w:rPr>
        <w:t>o</w:t>
      </w:r>
      <w:r w:rsidRPr="00081508">
        <w:t xml:space="preserve"> fr</w:t>
      </w:r>
      <w:r w:rsidRPr="0033698E">
        <w:rPr>
          <w:szCs w:val="22"/>
        </w:rPr>
        <w:t xml:space="preserve">aud </w:t>
      </w:r>
      <w:r w:rsidRPr="00081508">
        <w:t>o</w:t>
      </w:r>
      <w:r w:rsidRPr="0033698E">
        <w:rPr>
          <w:szCs w:val="22"/>
        </w:rPr>
        <w:t>r</w:t>
      </w:r>
      <w:r w:rsidRPr="00081508">
        <w:t xml:space="preserve"> error</w:t>
      </w:r>
      <w:r w:rsidRPr="0033698E">
        <w:rPr>
          <w:szCs w:val="22"/>
        </w:rPr>
        <w:t>.</w:t>
      </w:r>
    </w:p>
    <w:p w14:paraId="58E124BD" w14:textId="77777777" w:rsidR="002E03A9" w:rsidRPr="0033698E" w:rsidRDefault="002E03A9" w:rsidP="00081508">
      <w:pPr>
        <w:spacing w:before="200" w:after="0" w:line="280" w:lineRule="atLeast"/>
        <w:ind w:right="-23"/>
      </w:pPr>
      <w:r w:rsidRPr="00081508">
        <w:t>I</w:t>
      </w:r>
      <w:r w:rsidRPr="0033698E">
        <w:rPr>
          <w:szCs w:val="22"/>
        </w:rPr>
        <w:t>n</w:t>
      </w:r>
      <w:r w:rsidRPr="00081508">
        <w:t xml:space="preserve"> maki</w:t>
      </w:r>
      <w:r w:rsidRPr="0033698E">
        <w:rPr>
          <w:szCs w:val="22"/>
        </w:rPr>
        <w:t>ng</w:t>
      </w:r>
      <w:r w:rsidRPr="00081508">
        <w:t xml:space="preserve"> t</w:t>
      </w:r>
      <w:r w:rsidRPr="0033698E">
        <w:rPr>
          <w:szCs w:val="22"/>
        </w:rPr>
        <w:t>hose</w:t>
      </w:r>
      <w:r w:rsidRPr="00081508">
        <w:t xml:space="preserve"> </w:t>
      </w:r>
      <w:r w:rsidRPr="0033698E">
        <w:rPr>
          <w:szCs w:val="22"/>
        </w:rPr>
        <w:t>r</w:t>
      </w:r>
      <w:r w:rsidRPr="00081508">
        <w:t>i</w:t>
      </w:r>
      <w:r w:rsidRPr="0033698E">
        <w:rPr>
          <w:szCs w:val="22"/>
        </w:rPr>
        <w:t>sk</w:t>
      </w:r>
      <w:r w:rsidRPr="00081508">
        <w:t xml:space="preserve"> </w:t>
      </w:r>
      <w:r w:rsidRPr="0033698E">
        <w:rPr>
          <w:szCs w:val="22"/>
        </w:rPr>
        <w:t>ass</w:t>
      </w:r>
      <w:r w:rsidRPr="00081508">
        <w:t>e</w:t>
      </w:r>
      <w:r w:rsidRPr="0033698E">
        <w:rPr>
          <w:szCs w:val="22"/>
        </w:rPr>
        <w:t>s</w:t>
      </w:r>
      <w:r w:rsidRPr="00081508">
        <w:t>sm</w:t>
      </w:r>
      <w:r w:rsidRPr="0033698E">
        <w:rPr>
          <w:szCs w:val="22"/>
        </w:rPr>
        <w:t>en</w:t>
      </w:r>
      <w:r w:rsidRPr="00081508">
        <w:t>t</w:t>
      </w:r>
      <w:r w:rsidRPr="0033698E">
        <w:rPr>
          <w:szCs w:val="22"/>
        </w:rPr>
        <w:t>s,</w:t>
      </w:r>
      <w:r w:rsidRPr="00081508">
        <w:t xml:space="preserve"> t</w:t>
      </w:r>
      <w:r w:rsidRPr="0033698E">
        <w:rPr>
          <w:szCs w:val="22"/>
        </w:rPr>
        <w:t>he</w:t>
      </w:r>
      <w:r w:rsidRPr="00081508">
        <w:t xml:space="preserve"> </w:t>
      </w:r>
      <w:r w:rsidRPr="0033698E">
        <w:rPr>
          <w:szCs w:val="22"/>
        </w:rPr>
        <w:t>aud</w:t>
      </w:r>
      <w:r w:rsidRPr="00081508">
        <w:t>ito</w:t>
      </w:r>
      <w:r w:rsidRPr="0033698E">
        <w:rPr>
          <w:szCs w:val="22"/>
        </w:rPr>
        <w:t>r</w:t>
      </w:r>
      <w:r w:rsidRPr="00081508">
        <w:t xml:space="preserve"> </w:t>
      </w:r>
      <w:r w:rsidRPr="0033698E">
        <w:rPr>
          <w:szCs w:val="22"/>
        </w:rPr>
        <w:t>co</w:t>
      </w:r>
      <w:r w:rsidRPr="00081508">
        <w:t>n</w:t>
      </w:r>
      <w:r w:rsidRPr="0033698E">
        <w:rPr>
          <w:szCs w:val="22"/>
        </w:rPr>
        <w:t>s</w:t>
      </w:r>
      <w:r w:rsidRPr="00081508">
        <w:t>id</w:t>
      </w:r>
      <w:r w:rsidRPr="0033698E">
        <w:rPr>
          <w:szCs w:val="22"/>
        </w:rPr>
        <w:t>e</w:t>
      </w:r>
      <w:r w:rsidRPr="00081508">
        <w:t>r</w:t>
      </w:r>
      <w:r w:rsidRPr="0033698E">
        <w:rPr>
          <w:szCs w:val="22"/>
        </w:rPr>
        <w:t>s</w:t>
      </w:r>
      <w:r w:rsidRPr="00081508">
        <w:t xml:space="preserve"> int</w:t>
      </w:r>
      <w:r w:rsidRPr="0033698E">
        <w:rPr>
          <w:szCs w:val="22"/>
        </w:rPr>
        <w:t>e</w:t>
      </w:r>
      <w:r w:rsidRPr="00081508">
        <w:t>r</w:t>
      </w:r>
      <w:r w:rsidRPr="0033698E">
        <w:rPr>
          <w:szCs w:val="22"/>
        </w:rPr>
        <w:t>nal</w:t>
      </w:r>
      <w:r w:rsidRPr="00081508">
        <w:t xml:space="preserve"> </w:t>
      </w:r>
      <w:r w:rsidRPr="0033698E">
        <w:rPr>
          <w:szCs w:val="22"/>
        </w:rPr>
        <w:t>co</w:t>
      </w:r>
      <w:r w:rsidRPr="00081508">
        <w:t>ntrol</w:t>
      </w:r>
      <w:r w:rsidRPr="0033698E">
        <w:rPr>
          <w:szCs w:val="22"/>
        </w:rPr>
        <w:t>s</w:t>
      </w:r>
      <w:r w:rsidRPr="00081508">
        <w:t xml:space="preserve"> rel</w:t>
      </w:r>
      <w:r w:rsidRPr="0033698E">
        <w:rPr>
          <w:szCs w:val="22"/>
        </w:rPr>
        <w:t>e</w:t>
      </w:r>
      <w:r w:rsidRPr="00081508">
        <w:t>v</w:t>
      </w:r>
      <w:r w:rsidRPr="0033698E">
        <w:rPr>
          <w:szCs w:val="22"/>
        </w:rPr>
        <w:t>ant</w:t>
      </w:r>
      <w:r w:rsidRPr="00081508">
        <w:t xml:space="preserve"> t</w:t>
      </w:r>
      <w:r w:rsidRPr="0033698E">
        <w:rPr>
          <w:szCs w:val="22"/>
        </w:rPr>
        <w:t>o</w:t>
      </w:r>
      <w:r w:rsidRPr="00081508">
        <w:t xml:space="preserve"> t</w:t>
      </w:r>
      <w:r w:rsidRPr="0033698E">
        <w:rPr>
          <w:szCs w:val="22"/>
        </w:rPr>
        <w:t>he Pa</w:t>
      </w:r>
      <w:r w:rsidRPr="00081508">
        <w:t>rtici</w:t>
      </w:r>
      <w:r w:rsidRPr="0033698E">
        <w:rPr>
          <w:szCs w:val="22"/>
        </w:rPr>
        <w:t>pa</w:t>
      </w:r>
      <w:r w:rsidRPr="00081508">
        <w:t>nt’</w:t>
      </w:r>
      <w:r w:rsidRPr="0033698E">
        <w:rPr>
          <w:szCs w:val="22"/>
        </w:rPr>
        <w:t>s</w:t>
      </w:r>
      <w:r w:rsidRPr="00081508">
        <w:t xml:space="preserve"> </w:t>
      </w:r>
      <w:r w:rsidRPr="0033698E">
        <w:rPr>
          <w:szCs w:val="22"/>
        </w:rPr>
        <w:t>p</w:t>
      </w:r>
      <w:r w:rsidRPr="00081508">
        <w:t>r</w:t>
      </w:r>
      <w:r w:rsidRPr="0033698E">
        <w:rPr>
          <w:szCs w:val="22"/>
        </w:rPr>
        <w:t>ep</w:t>
      </w:r>
      <w:r w:rsidRPr="00081508">
        <w:t>ar</w:t>
      </w:r>
      <w:r w:rsidRPr="0033698E">
        <w:rPr>
          <w:szCs w:val="22"/>
        </w:rPr>
        <w:t>a</w:t>
      </w:r>
      <w:r w:rsidRPr="00081508">
        <w:t>ti</w:t>
      </w:r>
      <w:r w:rsidRPr="0033698E">
        <w:rPr>
          <w:szCs w:val="22"/>
        </w:rPr>
        <w:t>on</w:t>
      </w:r>
      <w:r w:rsidRPr="00081508">
        <w:t xml:space="preserve"> </w:t>
      </w:r>
      <w:r w:rsidRPr="0033698E">
        <w:rPr>
          <w:szCs w:val="22"/>
        </w:rPr>
        <w:t>a</w:t>
      </w:r>
      <w:r w:rsidRPr="00081508">
        <w:t>n</w:t>
      </w:r>
      <w:r w:rsidRPr="0033698E">
        <w:rPr>
          <w:szCs w:val="22"/>
        </w:rPr>
        <w:t xml:space="preserve">d </w:t>
      </w:r>
      <w:r w:rsidRPr="00081508">
        <w:t>fai</w:t>
      </w:r>
      <w:r w:rsidRPr="0033698E">
        <w:rPr>
          <w:szCs w:val="22"/>
        </w:rPr>
        <w:t>r</w:t>
      </w:r>
      <w:r w:rsidRPr="00081508">
        <w:t xml:space="preserve"> p</w:t>
      </w:r>
      <w:r w:rsidRPr="0033698E">
        <w:rPr>
          <w:szCs w:val="22"/>
        </w:rPr>
        <w:t>re</w:t>
      </w:r>
      <w:r w:rsidRPr="00081508">
        <w:t>s</w:t>
      </w:r>
      <w:r w:rsidRPr="0033698E">
        <w:rPr>
          <w:szCs w:val="22"/>
        </w:rPr>
        <w:t>en</w:t>
      </w:r>
      <w:r w:rsidRPr="00081508">
        <w:t>t</w:t>
      </w:r>
      <w:r w:rsidRPr="0033698E">
        <w:rPr>
          <w:szCs w:val="22"/>
        </w:rPr>
        <w:t>a</w:t>
      </w:r>
      <w:r w:rsidRPr="00081508">
        <w:t>ti</w:t>
      </w:r>
      <w:r w:rsidRPr="0033698E">
        <w:rPr>
          <w:szCs w:val="22"/>
        </w:rPr>
        <w:t xml:space="preserve">on </w:t>
      </w:r>
      <w:r w:rsidRPr="00081508">
        <w:t>o</w:t>
      </w:r>
      <w:r w:rsidRPr="0033698E">
        <w:rPr>
          <w:szCs w:val="22"/>
        </w:rPr>
        <w:t>f</w:t>
      </w:r>
      <w:r w:rsidRPr="00081508">
        <w:t xml:space="preserve"> t</w:t>
      </w:r>
      <w:r w:rsidRPr="0033698E">
        <w:rPr>
          <w:szCs w:val="22"/>
        </w:rPr>
        <w:t>he</w:t>
      </w:r>
      <w:r w:rsidRPr="00081508">
        <w:t xml:space="preserve"> fi</w:t>
      </w:r>
      <w:r w:rsidRPr="0033698E">
        <w:rPr>
          <w:szCs w:val="22"/>
        </w:rPr>
        <w:t>nanc</w:t>
      </w:r>
      <w:r w:rsidRPr="00081508">
        <w:t>i</w:t>
      </w:r>
      <w:r w:rsidRPr="0033698E">
        <w:rPr>
          <w:szCs w:val="22"/>
        </w:rPr>
        <w:t>al</w:t>
      </w:r>
      <w:r w:rsidRPr="00081508">
        <w:t xml:space="preserve"> inf</w:t>
      </w:r>
      <w:r w:rsidRPr="0033698E">
        <w:rPr>
          <w:szCs w:val="22"/>
        </w:rPr>
        <w:t>o</w:t>
      </w:r>
      <w:r w:rsidRPr="00081508">
        <w:t>rm</w:t>
      </w:r>
      <w:r w:rsidRPr="0033698E">
        <w:rPr>
          <w:szCs w:val="22"/>
        </w:rPr>
        <w:t>a</w:t>
      </w:r>
      <w:r w:rsidRPr="00081508">
        <w:t>tio</w:t>
      </w:r>
      <w:r w:rsidRPr="0033698E">
        <w:rPr>
          <w:szCs w:val="22"/>
        </w:rPr>
        <w:t>n s</w:t>
      </w:r>
      <w:r w:rsidRPr="00081508">
        <w:t>e</w:t>
      </w:r>
      <w:r w:rsidRPr="0033698E">
        <w:rPr>
          <w:szCs w:val="22"/>
        </w:rPr>
        <w:t>t</w:t>
      </w:r>
      <w:r w:rsidRPr="00081508">
        <w:t xml:space="preserve"> </w:t>
      </w:r>
      <w:r w:rsidRPr="0033698E">
        <w:rPr>
          <w:szCs w:val="22"/>
        </w:rPr>
        <w:t>o</w:t>
      </w:r>
      <w:r w:rsidRPr="00081508">
        <w:t>u</w:t>
      </w:r>
      <w:r w:rsidRPr="0033698E">
        <w:rPr>
          <w:szCs w:val="22"/>
        </w:rPr>
        <w:t>t</w:t>
      </w:r>
      <w:r w:rsidRPr="00081508">
        <w:t xml:space="preserve"> i</w:t>
      </w:r>
      <w:r w:rsidRPr="0033698E">
        <w:rPr>
          <w:szCs w:val="22"/>
        </w:rPr>
        <w:t xml:space="preserve">n </w:t>
      </w:r>
      <w:r w:rsidRPr="00081508">
        <w:t>th</w:t>
      </w:r>
      <w:r w:rsidRPr="0033698E">
        <w:rPr>
          <w:szCs w:val="22"/>
        </w:rPr>
        <w:t xml:space="preserve">e </w:t>
      </w:r>
      <w:r w:rsidRPr="00081508">
        <w:t>R</w:t>
      </w:r>
      <w:r w:rsidRPr="0033698E">
        <w:rPr>
          <w:szCs w:val="22"/>
        </w:rPr>
        <w:t>e</w:t>
      </w:r>
      <w:r w:rsidRPr="00081508">
        <w:t>t</w:t>
      </w:r>
      <w:r w:rsidRPr="0033698E">
        <w:rPr>
          <w:szCs w:val="22"/>
        </w:rPr>
        <w:t>u</w:t>
      </w:r>
      <w:r w:rsidRPr="00081508">
        <w:t>r</w:t>
      </w:r>
      <w:r w:rsidRPr="0033698E">
        <w:rPr>
          <w:szCs w:val="22"/>
        </w:rPr>
        <w:t>n</w:t>
      </w:r>
      <w:r w:rsidRPr="00081508">
        <w:t xml:space="preserve"> i</w:t>
      </w:r>
      <w:r w:rsidRPr="0033698E">
        <w:rPr>
          <w:szCs w:val="22"/>
        </w:rPr>
        <w:t>n o</w:t>
      </w:r>
      <w:r w:rsidRPr="00081508">
        <w:t>r</w:t>
      </w:r>
      <w:r w:rsidRPr="0033698E">
        <w:rPr>
          <w:szCs w:val="22"/>
        </w:rPr>
        <w:t>d</w:t>
      </w:r>
      <w:r w:rsidRPr="00081508">
        <w:t>e</w:t>
      </w:r>
      <w:r w:rsidRPr="0033698E">
        <w:rPr>
          <w:szCs w:val="22"/>
        </w:rPr>
        <w:t>r</w:t>
      </w:r>
      <w:r w:rsidRPr="00081508">
        <w:t xml:space="preserve"> t</w:t>
      </w:r>
      <w:r w:rsidRPr="0033698E">
        <w:rPr>
          <w:szCs w:val="22"/>
        </w:rPr>
        <w:t>o d</w:t>
      </w:r>
      <w:r w:rsidRPr="00081508">
        <w:t>e</w:t>
      </w:r>
      <w:r w:rsidRPr="0033698E">
        <w:rPr>
          <w:szCs w:val="22"/>
        </w:rPr>
        <w:t>s</w:t>
      </w:r>
      <w:r w:rsidRPr="00081508">
        <w:t>ig</w:t>
      </w:r>
      <w:r w:rsidRPr="0033698E">
        <w:rPr>
          <w:szCs w:val="22"/>
        </w:rPr>
        <w:t xml:space="preserve">n </w:t>
      </w:r>
      <w:r w:rsidRPr="00081508">
        <w:t>a</w:t>
      </w:r>
      <w:r w:rsidRPr="0033698E">
        <w:rPr>
          <w:szCs w:val="22"/>
        </w:rPr>
        <w:t>ud</w:t>
      </w:r>
      <w:r w:rsidRPr="00081508">
        <w:t>i</w:t>
      </w:r>
      <w:r w:rsidRPr="0033698E">
        <w:rPr>
          <w:szCs w:val="22"/>
        </w:rPr>
        <w:t>t</w:t>
      </w:r>
      <w:r w:rsidRPr="00081508">
        <w:t xml:space="preserve"> </w:t>
      </w:r>
      <w:r w:rsidRPr="0033698E">
        <w:rPr>
          <w:szCs w:val="22"/>
        </w:rPr>
        <w:t>p</w:t>
      </w:r>
      <w:r w:rsidRPr="00081508">
        <w:t>ro</w:t>
      </w:r>
      <w:r w:rsidRPr="0033698E">
        <w:rPr>
          <w:szCs w:val="22"/>
        </w:rPr>
        <w:t>ced</w:t>
      </w:r>
      <w:r w:rsidRPr="00081508">
        <w:t>ur</w:t>
      </w:r>
      <w:r w:rsidRPr="0033698E">
        <w:rPr>
          <w:szCs w:val="22"/>
        </w:rPr>
        <w:t>es</w:t>
      </w:r>
      <w:r w:rsidRPr="00081508">
        <w:t xml:space="preserve"> t</w:t>
      </w:r>
      <w:r w:rsidRPr="0033698E">
        <w:rPr>
          <w:szCs w:val="22"/>
        </w:rPr>
        <w:t>h</w:t>
      </w:r>
      <w:r w:rsidRPr="00081508">
        <w:t>a</w:t>
      </w:r>
      <w:r w:rsidRPr="0033698E">
        <w:rPr>
          <w:szCs w:val="22"/>
        </w:rPr>
        <w:t>t</w:t>
      </w:r>
      <w:r w:rsidRPr="00081508">
        <w:t xml:space="preserve"> ar</w:t>
      </w:r>
      <w:r w:rsidRPr="0033698E">
        <w:rPr>
          <w:szCs w:val="22"/>
        </w:rPr>
        <w:t>e</w:t>
      </w:r>
      <w:r w:rsidRPr="00081508">
        <w:t xml:space="preserve"> a</w:t>
      </w:r>
      <w:r w:rsidRPr="0033698E">
        <w:rPr>
          <w:szCs w:val="22"/>
        </w:rPr>
        <w:t>p</w:t>
      </w:r>
      <w:r w:rsidRPr="00081508">
        <w:t>pr</w:t>
      </w:r>
      <w:r w:rsidRPr="0033698E">
        <w:rPr>
          <w:szCs w:val="22"/>
        </w:rPr>
        <w:t>op</w:t>
      </w:r>
      <w:r w:rsidRPr="00081508">
        <w:t>riat</w:t>
      </w:r>
      <w:r w:rsidRPr="0033698E">
        <w:rPr>
          <w:szCs w:val="22"/>
        </w:rPr>
        <w:t>e</w:t>
      </w:r>
      <w:r w:rsidRPr="00081508">
        <w:t xml:space="preserve"> i</w:t>
      </w:r>
      <w:r w:rsidRPr="0033698E">
        <w:rPr>
          <w:szCs w:val="22"/>
        </w:rPr>
        <w:t xml:space="preserve">n </w:t>
      </w:r>
      <w:r w:rsidRPr="00081508">
        <w:t>t</w:t>
      </w:r>
      <w:r w:rsidRPr="0033698E">
        <w:rPr>
          <w:szCs w:val="22"/>
        </w:rPr>
        <w:t>he</w:t>
      </w:r>
      <w:r w:rsidRPr="00081508">
        <w:t xml:space="preserve"> cir</w:t>
      </w:r>
      <w:r w:rsidRPr="0033698E">
        <w:rPr>
          <w:szCs w:val="22"/>
        </w:rPr>
        <w:t>cu</w:t>
      </w:r>
      <w:r w:rsidRPr="00081508">
        <w:t>m</w:t>
      </w:r>
      <w:r w:rsidRPr="0033698E">
        <w:rPr>
          <w:szCs w:val="22"/>
        </w:rPr>
        <w:t>s</w:t>
      </w:r>
      <w:r w:rsidRPr="00081508">
        <w:t>t</w:t>
      </w:r>
      <w:r w:rsidRPr="0033698E">
        <w:rPr>
          <w:szCs w:val="22"/>
        </w:rPr>
        <w:t>anc</w:t>
      </w:r>
      <w:r w:rsidRPr="00081508">
        <w:t>e</w:t>
      </w:r>
      <w:r w:rsidRPr="0033698E">
        <w:rPr>
          <w:szCs w:val="22"/>
        </w:rPr>
        <w:t>s, but</w:t>
      </w:r>
      <w:r w:rsidRPr="00081508">
        <w:t xml:space="preserve"> </w:t>
      </w:r>
      <w:r w:rsidRPr="0033698E">
        <w:rPr>
          <w:szCs w:val="22"/>
        </w:rPr>
        <w:t xml:space="preserve">not </w:t>
      </w:r>
      <w:r w:rsidRPr="00081508">
        <w:t>f</w:t>
      </w:r>
      <w:r w:rsidRPr="0033698E">
        <w:rPr>
          <w:szCs w:val="22"/>
        </w:rPr>
        <w:t>or</w:t>
      </w:r>
      <w:r w:rsidRPr="00081508">
        <w:t xml:space="preserve"> t</w:t>
      </w:r>
      <w:r w:rsidRPr="0033698E">
        <w:rPr>
          <w:szCs w:val="22"/>
        </w:rPr>
        <w:t>he</w:t>
      </w:r>
      <w:r w:rsidRPr="00081508">
        <w:t xml:space="preserve"> p</w:t>
      </w:r>
      <w:r w:rsidRPr="0033698E">
        <w:rPr>
          <w:szCs w:val="22"/>
        </w:rPr>
        <w:t>u</w:t>
      </w:r>
      <w:r w:rsidRPr="00081508">
        <w:t>r</w:t>
      </w:r>
      <w:r w:rsidRPr="0033698E">
        <w:rPr>
          <w:szCs w:val="22"/>
        </w:rPr>
        <w:t>p</w:t>
      </w:r>
      <w:r w:rsidRPr="00081508">
        <w:t>o</w:t>
      </w:r>
      <w:r w:rsidRPr="0033698E">
        <w:rPr>
          <w:szCs w:val="22"/>
        </w:rPr>
        <w:t>se</w:t>
      </w:r>
      <w:r w:rsidRPr="00081508">
        <w:t xml:space="preserve"> o</w:t>
      </w:r>
      <w:r w:rsidRPr="0033698E">
        <w:rPr>
          <w:szCs w:val="22"/>
        </w:rPr>
        <w:t>f</w:t>
      </w:r>
      <w:r w:rsidRPr="00081508">
        <w:t xml:space="preserve"> </w:t>
      </w:r>
      <w:r w:rsidRPr="0033698E">
        <w:rPr>
          <w:szCs w:val="22"/>
        </w:rPr>
        <w:t>ex</w:t>
      </w:r>
      <w:r w:rsidRPr="00081508">
        <w:t>pre</w:t>
      </w:r>
      <w:r w:rsidRPr="0033698E">
        <w:rPr>
          <w:szCs w:val="22"/>
        </w:rPr>
        <w:t>ss</w:t>
      </w:r>
      <w:r w:rsidRPr="00081508">
        <w:t>in</w:t>
      </w:r>
      <w:r w:rsidRPr="0033698E">
        <w:rPr>
          <w:szCs w:val="22"/>
        </w:rPr>
        <w:t>g</w:t>
      </w:r>
      <w:r w:rsidRPr="00081508">
        <w:t xml:space="preserve"> </w:t>
      </w:r>
      <w:r w:rsidRPr="0033698E">
        <w:rPr>
          <w:szCs w:val="22"/>
        </w:rPr>
        <w:t>an op</w:t>
      </w:r>
      <w:r w:rsidRPr="00081508">
        <w:t>i</w:t>
      </w:r>
      <w:r w:rsidRPr="0033698E">
        <w:rPr>
          <w:szCs w:val="22"/>
        </w:rPr>
        <w:t>n</w:t>
      </w:r>
      <w:r w:rsidRPr="00081508">
        <w:t>i</w:t>
      </w:r>
      <w:r w:rsidRPr="0033698E">
        <w:rPr>
          <w:szCs w:val="22"/>
        </w:rPr>
        <w:t>on on</w:t>
      </w:r>
      <w:r w:rsidRPr="00081508">
        <w:t xml:space="preserve"> t</w:t>
      </w:r>
      <w:r w:rsidRPr="0033698E">
        <w:rPr>
          <w:szCs w:val="22"/>
        </w:rPr>
        <w:t>he</w:t>
      </w:r>
      <w:r w:rsidRPr="00081508">
        <w:t xml:space="preserve"> </w:t>
      </w:r>
      <w:r w:rsidRPr="0033698E">
        <w:rPr>
          <w:szCs w:val="22"/>
        </w:rPr>
        <w:t>e</w:t>
      </w:r>
      <w:r w:rsidRPr="00081508">
        <w:t>ff</w:t>
      </w:r>
      <w:r w:rsidRPr="0033698E">
        <w:rPr>
          <w:szCs w:val="22"/>
        </w:rPr>
        <w:t>e</w:t>
      </w:r>
      <w:r w:rsidRPr="00081508">
        <w:t>ctiv</w:t>
      </w:r>
      <w:r w:rsidRPr="0033698E">
        <w:rPr>
          <w:szCs w:val="22"/>
        </w:rPr>
        <w:t>eness</w:t>
      </w:r>
      <w:r w:rsidRPr="00081508">
        <w:t xml:space="preserve"> </w:t>
      </w:r>
      <w:r w:rsidRPr="0033698E">
        <w:rPr>
          <w:szCs w:val="22"/>
        </w:rPr>
        <w:t>of</w:t>
      </w:r>
      <w:r w:rsidRPr="00081508">
        <w:t xml:space="preserve"> t</w:t>
      </w:r>
      <w:r w:rsidRPr="0033698E">
        <w:rPr>
          <w:szCs w:val="22"/>
        </w:rPr>
        <w:t>he</w:t>
      </w:r>
      <w:r w:rsidRPr="00081508">
        <w:t xml:space="preserve"> P</w:t>
      </w:r>
      <w:r w:rsidRPr="0033698E">
        <w:rPr>
          <w:szCs w:val="22"/>
        </w:rPr>
        <w:t>a</w:t>
      </w:r>
      <w:r w:rsidRPr="00081508">
        <w:t>rtici</w:t>
      </w:r>
      <w:r w:rsidRPr="0033698E">
        <w:rPr>
          <w:szCs w:val="22"/>
        </w:rPr>
        <w:t>p</w:t>
      </w:r>
      <w:r w:rsidRPr="00081508">
        <w:t>a</w:t>
      </w:r>
      <w:r w:rsidRPr="0033698E">
        <w:rPr>
          <w:szCs w:val="22"/>
        </w:rPr>
        <w:t>n</w:t>
      </w:r>
      <w:r w:rsidRPr="00081508">
        <w:t>t’</w:t>
      </w:r>
      <w:r w:rsidRPr="0033698E">
        <w:rPr>
          <w:szCs w:val="22"/>
        </w:rPr>
        <w:t>s</w:t>
      </w:r>
      <w:r w:rsidRPr="00081508">
        <w:t xml:space="preserve"> int</w:t>
      </w:r>
      <w:r w:rsidRPr="0033698E">
        <w:rPr>
          <w:szCs w:val="22"/>
        </w:rPr>
        <w:t>e</w:t>
      </w:r>
      <w:r w:rsidRPr="00081508">
        <w:t>rn</w:t>
      </w:r>
      <w:r w:rsidRPr="0033698E">
        <w:rPr>
          <w:szCs w:val="22"/>
        </w:rPr>
        <w:t>al con</w:t>
      </w:r>
      <w:r w:rsidRPr="00081508">
        <w:t>tr</w:t>
      </w:r>
      <w:r w:rsidRPr="0033698E">
        <w:rPr>
          <w:szCs w:val="22"/>
        </w:rPr>
        <w:t>o</w:t>
      </w:r>
      <w:r w:rsidRPr="00081508">
        <w:t>l</w:t>
      </w:r>
      <w:r w:rsidRPr="0033698E">
        <w:rPr>
          <w:szCs w:val="22"/>
        </w:rPr>
        <w:t xml:space="preserve">s. </w:t>
      </w:r>
      <w:r w:rsidRPr="00081508">
        <w:t>A</w:t>
      </w:r>
      <w:r w:rsidRPr="0033698E">
        <w:rPr>
          <w:szCs w:val="22"/>
        </w:rPr>
        <w:t>n au</w:t>
      </w:r>
      <w:r w:rsidRPr="00081508">
        <w:t>di</w:t>
      </w:r>
      <w:r w:rsidRPr="0033698E">
        <w:rPr>
          <w:szCs w:val="22"/>
        </w:rPr>
        <w:t>t</w:t>
      </w:r>
      <w:r w:rsidRPr="00081508">
        <w:t xml:space="preserve"> </w:t>
      </w:r>
      <w:r w:rsidRPr="0033698E">
        <w:rPr>
          <w:szCs w:val="22"/>
        </w:rPr>
        <w:t>a</w:t>
      </w:r>
      <w:r w:rsidRPr="00081508">
        <w:t>l</w:t>
      </w:r>
      <w:r w:rsidRPr="0033698E">
        <w:rPr>
          <w:szCs w:val="22"/>
        </w:rPr>
        <w:t>so</w:t>
      </w:r>
      <w:r w:rsidRPr="00081508">
        <w:t xml:space="preserve"> i</w:t>
      </w:r>
      <w:r w:rsidRPr="0033698E">
        <w:rPr>
          <w:szCs w:val="22"/>
        </w:rPr>
        <w:t>n</w:t>
      </w:r>
      <w:r w:rsidRPr="00081508">
        <w:t>cl</w:t>
      </w:r>
      <w:r w:rsidRPr="0033698E">
        <w:rPr>
          <w:szCs w:val="22"/>
        </w:rPr>
        <w:t>udes</w:t>
      </w:r>
      <w:r w:rsidRPr="00081508">
        <w:t xml:space="preserve"> </w:t>
      </w:r>
      <w:r w:rsidRPr="0033698E">
        <w:rPr>
          <w:szCs w:val="22"/>
        </w:rPr>
        <w:t>e</w:t>
      </w:r>
      <w:r w:rsidRPr="00081508">
        <w:t>v</w:t>
      </w:r>
      <w:r w:rsidRPr="0033698E">
        <w:rPr>
          <w:szCs w:val="22"/>
        </w:rPr>
        <w:t>a</w:t>
      </w:r>
      <w:r w:rsidRPr="00081508">
        <w:t>l</w:t>
      </w:r>
      <w:r w:rsidRPr="0033698E">
        <w:rPr>
          <w:szCs w:val="22"/>
        </w:rPr>
        <w:t>ua</w:t>
      </w:r>
      <w:r w:rsidRPr="00081508">
        <w:t>ti</w:t>
      </w:r>
      <w:r w:rsidRPr="0033698E">
        <w:rPr>
          <w:szCs w:val="22"/>
        </w:rPr>
        <w:t>ng</w:t>
      </w:r>
      <w:r w:rsidRPr="00081508">
        <w:t xml:space="preserve"> t</w:t>
      </w:r>
      <w:r w:rsidRPr="0033698E">
        <w:rPr>
          <w:szCs w:val="22"/>
        </w:rPr>
        <w:t>he</w:t>
      </w:r>
      <w:r w:rsidRPr="00081508">
        <w:t xml:space="preserve"> </w:t>
      </w:r>
      <w:r w:rsidRPr="0033698E">
        <w:rPr>
          <w:szCs w:val="22"/>
        </w:rPr>
        <w:t>app</w:t>
      </w:r>
      <w:r w:rsidRPr="00081508">
        <w:t>r</w:t>
      </w:r>
      <w:r w:rsidRPr="0033698E">
        <w:rPr>
          <w:szCs w:val="22"/>
        </w:rPr>
        <w:t>op</w:t>
      </w:r>
      <w:r w:rsidRPr="00081508">
        <w:t>ri</w:t>
      </w:r>
      <w:r w:rsidRPr="0033698E">
        <w:rPr>
          <w:szCs w:val="22"/>
        </w:rPr>
        <w:t>a</w:t>
      </w:r>
      <w:r w:rsidRPr="00081508">
        <w:t>t</w:t>
      </w:r>
      <w:r w:rsidRPr="0033698E">
        <w:rPr>
          <w:szCs w:val="22"/>
        </w:rPr>
        <w:t>ene</w:t>
      </w:r>
      <w:r w:rsidRPr="00081508">
        <w:t>s</w:t>
      </w:r>
      <w:r w:rsidRPr="0033698E">
        <w:rPr>
          <w:szCs w:val="22"/>
        </w:rPr>
        <w:t>s</w:t>
      </w:r>
      <w:r w:rsidRPr="00081508">
        <w:t xml:space="preserve"> o</w:t>
      </w:r>
      <w:r w:rsidRPr="0033698E">
        <w:rPr>
          <w:szCs w:val="22"/>
        </w:rPr>
        <w:t>f</w:t>
      </w:r>
      <w:r w:rsidRPr="00081508">
        <w:t xml:space="preserve"> </w:t>
      </w:r>
      <w:r w:rsidRPr="0033698E">
        <w:rPr>
          <w:szCs w:val="22"/>
        </w:rPr>
        <w:t>a</w:t>
      </w:r>
      <w:r w:rsidRPr="00081508">
        <w:t>c</w:t>
      </w:r>
      <w:r w:rsidRPr="0033698E">
        <w:rPr>
          <w:szCs w:val="22"/>
        </w:rPr>
        <w:t>cou</w:t>
      </w:r>
      <w:r w:rsidRPr="00081508">
        <w:t>nti</w:t>
      </w:r>
      <w:r w:rsidRPr="0033698E">
        <w:rPr>
          <w:szCs w:val="22"/>
        </w:rPr>
        <w:t>ng</w:t>
      </w:r>
      <w:r w:rsidRPr="00081508">
        <w:t xml:space="preserve"> </w:t>
      </w:r>
      <w:r w:rsidRPr="0033698E">
        <w:rPr>
          <w:szCs w:val="22"/>
        </w:rPr>
        <w:t>po</w:t>
      </w:r>
      <w:r w:rsidRPr="00081508">
        <w:t>lici</w:t>
      </w:r>
      <w:r w:rsidRPr="0033698E">
        <w:rPr>
          <w:szCs w:val="22"/>
        </w:rPr>
        <w:t>es</w:t>
      </w:r>
      <w:r w:rsidRPr="00081508">
        <w:t xml:space="preserve"> u</w:t>
      </w:r>
      <w:r w:rsidRPr="0033698E">
        <w:rPr>
          <w:szCs w:val="22"/>
        </w:rPr>
        <w:t>sed and</w:t>
      </w:r>
      <w:r w:rsidRPr="00081508">
        <w:t xml:space="preserve"> th</w:t>
      </w:r>
      <w:r w:rsidRPr="0033698E">
        <w:rPr>
          <w:szCs w:val="22"/>
        </w:rPr>
        <w:t>e</w:t>
      </w:r>
      <w:r w:rsidRPr="00081508">
        <w:t xml:space="preserve"> r</w:t>
      </w:r>
      <w:r w:rsidRPr="0033698E">
        <w:rPr>
          <w:szCs w:val="22"/>
        </w:rPr>
        <w:t>eas</w:t>
      </w:r>
      <w:r w:rsidRPr="00081508">
        <w:t>o</w:t>
      </w:r>
      <w:r w:rsidRPr="0033698E">
        <w:rPr>
          <w:szCs w:val="22"/>
        </w:rPr>
        <w:t>na</w:t>
      </w:r>
      <w:r w:rsidRPr="00081508">
        <w:t>bl</w:t>
      </w:r>
      <w:r w:rsidRPr="0033698E">
        <w:rPr>
          <w:szCs w:val="22"/>
        </w:rPr>
        <w:t>en</w:t>
      </w:r>
      <w:r w:rsidRPr="00081508">
        <w:t>e</w:t>
      </w:r>
      <w:r w:rsidRPr="0033698E">
        <w:rPr>
          <w:szCs w:val="22"/>
        </w:rPr>
        <w:t>ss</w:t>
      </w:r>
      <w:r w:rsidRPr="00081508">
        <w:t xml:space="preserve"> o</w:t>
      </w:r>
      <w:r w:rsidRPr="0033698E">
        <w:rPr>
          <w:szCs w:val="22"/>
        </w:rPr>
        <w:t>f</w:t>
      </w:r>
      <w:r w:rsidRPr="00081508">
        <w:t xml:space="preserve"> a</w:t>
      </w:r>
      <w:r w:rsidRPr="0033698E">
        <w:rPr>
          <w:szCs w:val="22"/>
        </w:rPr>
        <w:t>ccou</w:t>
      </w:r>
      <w:r w:rsidRPr="00081508">
        <w:t>nti</w:t>
      </w:r>
      <w:r w:rsidRPr="0033698E">
        <w:rPr>
          <w:szCs w:val="22"/>
        </w:rPr>
        <w:t>ng</w:t>
      </w:r>
      <w:r w:rsidRPr="00081508">
        <w:t xml:space="preserve"> </w:t>
      </w:r>
      <w:r w:rsidRPr="0033698E">
        <w:rPr>
          <w:szCs w:val="22"/>
        </w:rPr>
        <w:t>e</w:t>
      </w:r>
      <w:r w:rsidRPr="00081508">
        <w:t>stim</w:t>
      </w:r>
      <w:r w:rsidRPr="0033698E">
        <w:rPr>
          <w:szCs w:val="22"/>
        </w:rPr>
        <w:t>a</w:t>
      </w:r>
      <w:r w:rsidRPr="00081508">
        <w:t>t</w:t>
      </w:r>
      <w:r w:rsidRPr="0033698E">
        <w:rPr>
          <w:szCs w:val="22"/>
        </w:rPr>
        <w:t>es</w:t>
      </w:r>
      <w:r w:rsidRPr="00081508">
        <w:t xml:space="preserve"> m</w:t>
      </w:r>
      <w:r w:rsidRPr="0033698E">
        <w:rPr>
          <w:szCs w:val="22"/>
        </w:rPr>
        <w:t>ade</w:t>
      </w:r>
      <w:r w:rsidRPr="00081508">
        <w:t xml:space="preserve"> </w:t>
      </w:r>
      <w:r w:rsidRPr="0033698E">
        <w:rPr>
          <w:szCs w:val="22"/>
        </w:rPr>
        <w:t>by</w:t>
      </w:r>
      <w:r w:rsidRPr="00081508">
        <w:t xml:space="preserve"> t</w:t>
      </w:r>
      <w:r w:rsidRPr="0033698E">
        <w:rPr>
          <w:szCs w:val="22"/>
        </w:rPr>
        <w:t>he</w:t>
      </w:r>
      <w:r w:rsidRPr="00081508">
        <w:t xml:space="preserve"> </w:t>
      </w:r>
      <w:r w:rsidRPr="0033698E">
        <w:rPr>
          <w:b/>
          <w:bCs/>
          <w:szCs w:val="22"/>
        </w:rPr>
        <w:t>d</w:t>
      </w:r>
      <w:r w:rsidRPr="00081508">
        <w:rPr>
          <w:b/>
        </w:rPr>
        <w:t>i</w:t>
      </w:r>
      <w:r w:rsidRPr="0033698E">
        <w:rPr>
          <w:b/>
          <w:bCs/>
          <w:szCs w:val="22"/>
        </w:rPr>
        <w:t>r</w:t>
      </w:r>
      <w:r w:rsidRPr="00081508">
        <w:rPr>
          <w:b/>
        </w:rPr>
        <w:t>e</w:t>
      </w:r>
      <w:r w:rsidRPr="0033698E">
        <w:rPr>
          <w:b/>
          <w:bCs/>
          <w:szCs w:val="22"/>
        </w:rPr>
        <w:t>c</w:t>
      </w:r>
      <w:r w:rsidRPr="00081508">
        <w:rPr>
          <w:b/>
        </w:rPr>
        <w:t>to</w:t>
      </w:r>
      <w:r w:rsidRPr="0033698E">
        <w:rPr>
          <w:b/>
          <w:bCs/>
          <w:szCs w:val="22"/>
        </w:rPr>
        <w:t>r</w:t>
      </w:r>
      <w:r w:rsidRPr="00081508">
        <w:rPr>
          <w:b/>
        </w:rPr>
        <w:t>s/</w:t>
      </w:r>
      <w:r w:rsidRPr="0033698E">
        <w:rPr>
          <w:b/>
          <w:bCs/>
          <w:szCs w:val="22"/>
        </w:rPr>
        <w:t>pa</w:t>
      </w:r>
      <w:r w:rsidRPr="00081508">
        <w:rPr>
          <w:b/>
        </w:rPr>
        <w:t>rt</w:t>
      </w:r>
      <w:r w:rsidRPr="0033698E">
        <w:rPr>
          <w:b/>
          <w:bCs/>
          <w:szCs w:val="22"/>
        </w:rPr>
        <w:t>ne</w:t>
      </w:r>
      <w:r w:rsidRPr="00081508">
        <w:rPr>
          <w:b/>
        </w:rPr>
        <w:t>r</w:t>
      </w:r>
      <w:r w:rsidRPr="0033698E">
        <w:rPr>
          <w:b/>
          <w:bCs/>
          <w:szCs w:val="22"/>
        </w:rPr>
        <w:t>s*</w:t>
      </w:r>
      <w:r w:rsidRPr="00081508">
        <w:rPr>
          <w:b/>
        </w:rPr>
        <w:t>*</w:t>
      </w:r>
      <w:r w:rsidRPr="0033698E">
        <w:rPr>
          <w:szCs w:val="22"/>
        </w:rPr>
        <w:t>of</w:t>
      </w:r>
      <w:r w:rsidRPr="00081508">
        <w:t xml:space="preserve"> the </w:t>
      </w:r>
      <w:r w:rsidRPr="0033698E">
        <w:rPr>
          <w:szCs w:val="22"/>
        </w:rPr>
        <w:t>Pa</w:t>
      </w:r>
      <w:r w:rsidRPr="00081508">
        <w:t>rtici</w:t>
      </w:r>
      <w:r w:rsidRPr="0033698E">
        <w:rPr>
          <w:szCs w:val="22"/>
        </w:rPr>
        <w:t>pa</w:t>
      </w:r>
      <w:r w:rsidRPr="00081508">
        <w:t>nt</w:t>
      </w:r>
      <w:r w:rsidRPr="0033698E">
        <w:rPr>
          <w:szCs w:val="22"/>
        </w:rPr>
        <w:t>,</w:t>
      </w:r>
      <w:r w:rsidRPr="00081508">
        <w:t xml:space="preserve"> a</w:t>
      </w:r>
      <w:r w:rsidRPr="0033698E">
        <w:rPr>
          <w:szCs w:val="22"/>
        </w:rPr>
        <w:t>s</w:t>
      </w:r>
      <w:r w:rsidRPr="00081508">
        <w:t xml:space="preserve"> w</w:t>
      </w:r>
      <w:r w:rsidRPr="0033698E">
        <w:rPr>
          <w:szCs w:val="22"/>
        </w:rPr>
        <w:t>e</w:t>
      </w:r>
      <w:r w:rsidRPr="00081508">
        <w:t>l</w:t>
      </w:r>
      <w:r w:rsidRPr="0033698E">
        <w:rPr>
          <w:szCs w:val="22"/>
        </w:rPr>
        <w:t>l</w:t>
      </w:r>
      <w:r w:rsidRPr="00081508">
        <w:t xml:space="preserve"> a</w:t>
      </w:r>
      <w:r w:rsidRPr="0033698E">
        <w:rPr>
          <w:szCs w:val="22"/>
        </w:rPr>
        <w:t>s</w:t>
      </w:r>
      <w:r w:rsidRPr="00081508">
        <w:t xml:space="preserve"> ev</w:t>
      </w:r>
      <w:r w:rsidRPr="0033698E">
        <w:rPr>
          <w:szCs w:val="22"/>
        </w:rPr>
        <w:t>a</w:t>
      </w:r>
      <w:r w:rsidRPr="00081508">
        <w:t>lu</w:t>
      </w:r>
      <w:r w:rsidRPr="0033698E">
        <w:rPr>
          <w:szCs w:val="22"/>
        </w:rPr>
        <w:t>a</w:t>
      </w:r>
      <w:r w:rsidRPr="00081508">
        <w:t>ti</w:t>
      </w:r>
      <w:r w:rsidRPr="0033698E">
        <w:rPr>
          <w:szCs w:val="22"/>
        </w:rPr>
        <w:t>ng</w:t>
      </w:r>
      <w:r w:rsidRPr="00081508">
        <w:t xml:space="preserve"> th</w:t>
      </w:r>
      <w:r w:rsidRPr="0033698E">
        <w:rPr>
          <w:szCs w:val="22"/>
        </w:rPr>
        <w:t>e</w:t>
      </w:r>
      <w:r w:rsidRPr="00081508">
        <w:t xml:space="preserve"> ov</w:t>
      </w:r>
      <w:r w:rsidRPr="0033698E">
        <w:rPr>
          <w:szCs w:val="22"/>
        </w:rPr>
        <w:t>e</w:t>
      </w:r>
      <w:r w:rsidRPr="00081508">
        <w:t>ral</w:t>
      </w:r>
      <w:r w:rsidRPr="0033698E">
        <w:rPr>
          <w:szCs w:val="22"/>
        </w:rPr>
        <w:t>l</w:t>
      </w:r>
      <w:r w:rsidRPr="00081508">
        <w:t xml:space="preserve"> </w:t>
      </w:r>
      <w:r w:rsidRPr="0033698E">
        <w:rPr>
          <w:szCs w:val="22"/>
        </w:rPr>
        <w:t>p</w:t>
      </w:r>
      <w:r w:rsidRPr="00081508">
        <w:t>re</w:t>
      </w:r>
      <w:r w:rsidRPr="0033698E">
        <w:rPr>
          <w:szCs w:val="22"/>
        </w:rPr>
        <w:t>se</w:t>
      </w:r>
      <w:r w:rsidRPr="00081508">
        <w:t>ntatio</w:t>
      </w:r>
      <w:r w:rsidRPr="0033698E">
        <w:rPr>
          <w:szCs w:val="22"/>
        </w:rPr>
        <w:t>n</w:t>
      </w:r>
      <w:r w:rsidRPr="00081508">
        <w:t xml:space="preserve"> o</w:t>
      </w:r>
      <w:r w:rsidRPr="0033698E">
        <w:rPr>
          <w:szCs w:val="22"/>
        </w:rPr>
        <w:t>f</w:t>
      </w:r>
      <w:r w:rsidRPr="00081508">
        <w:t xml:space="preserve"> t</w:t>
      </w:r>
      <w:r w:rsidRPr="0033698E">
        <w:rPr>
          <w:szCs w:val="22"/>
        </w:rPr>
        <w:t>he</w:t>
      </w:r>
      <w:r w:rsidRPr="00081508">
        <w:t xml:space="preserve"> fin</w:t>
      </w:r>
      <w:r w:rsidRPr="0033698E">
        <w:rPr>
          <w:szCs w:val="22"/>
        </w:rPr>
        <w:t>an</w:t>
      </w:r>
      <w:r w:rsidRPr="00081508">
        <w:t>ci</w:t>
      </w:r>
      <w:r w:rsidRPr="0033698E">
        <w:rPr>
          <w:szCs w:val="22"/>
        </w:rPr>
        <w:t>al</w:t>
      </w:r>
      <w:r w:rsidRPr="00081508">
        <w:t xml:space="preserve"> inf</w:t>
      </w:r>
      <w:r w:rsidRPr="0033698E">
        <w:rPr>
          <w:szCs w:val="22"/>
        </w:rPr>
        <w:t>o</w:t>
      </w:r>
      <w:r w:rsidRPr="00081508">
        <w:t>rm</w:t>
      </w:r>
      <w:r w:rsidRPr="0033698E">
        <w:rPr>
          <w:szCs w:val="22"/>
        </w:rPr>
        <w:t>a</w:t>
      </w:r>
      <w:r w:rsidRPr="00081508">
        <w:t>ti</w:t>
      </w:r>
      <w:r w:rsidRPr="0033698E">
        <w:rPr>
          <w:szCs w:val="22"/>
        </w:rPr>
        <w:t>on</w:t>
      </w:r>
      <w:r w:rsidRPr="00081508">
        <w:t xml:space="preserve"> se</w:t>
      </w:r>
      <w:r w:rsidRPr="0033698E">
        <w:rPr>
          <w:szCs w:val="22"/>
        </w:rPr>
        <w:t>t</w:t>
      </w:r>
      <w:r w:rsidRPr="00081508">
        <w:t xml:space="preserve"> </w:t>
      </w:r>
      <w:r w:rsidRPr="0033698E">
        <w:rPr>
          <w:szCs w:val="22"/>
        </w:rPr>
        <w:t>o</w:t>
      </w:r>
      <w:r w:rsidRPr="00081508">
        <w:t>ut i</w:t>
      </w:r>
      <w:r w:rsidRPr="0033698E">
        <w:rPr>
          <w:szCs w:val="22"/>
        </w:rPr>
        <w:t xml:space="preserve">n </w:t>
      </w:r>
      <w:r w:rsidRPr="00081508">
        <w:t>th</w:t>
      </w:r>
      <w:r w:rsidRPr="0033698E">
        <w:rPr>
          <w:szCs w:val="22"/>
        </w:rPr>
        <w:t>e</w:t>
      </w:r>
      <w:r w:rsidRPr="00081508">
        <w:t xml:space="preserve"> Ret</w:t>
      </w:r>
      <w:r w:rsidRPr="0033698E">
        <w:rPr>
          <w:szCs w:val="22"/>
        </w:rPr>
        <w:t>u</w:t>
      </w:r>
      <w:r w:rsidRPr="00081508">
        <w:t>r</w:t>
      </w:r>
      <w:r w:rsidRPr="0033698E">
        <w:rPr>
          <w:szCs w:val="22"/>
        </w:rPr>
        <w:t>n.</w:t>
      </w:r>
    </w:p>
    <w:p w14:paraId="3142BE16" w14:textId="4FA71B24" w:rsidR="002E03A9" w:rsidRPr="00081508" w:rsidRDefault="00104280" w:rsidP="00081508">
      <w:pPr>
        <w:spacing w:before="200" w:after="0" w:line="280" w:lineRule="atLeast"/>
        <w:ind w:right="714"/>
        <w:rPr>
          <w:b/>
        </w:rPr>
      </w:pPr>
      <w:r>
        <w:rPr>
          <w:b/>
          <w:bCs/>
          <w:szCs w:val="22"/>
        </w:rPr>
        <w:t xml:space="preserve">The Return has been </w:t>
      </w:r>
      <w:r w:rsidR="002E03A9" w:rsidRPr="0033698E">
        <w:rPr>
          <w:b/>
          <w:bCs/>
          <w:szCs w:val="22"/>
        </w:rPr>
        <w:t>prepared</w:t>
      </w:r>
      <w:r w:rsidR="002E03A9" w:rsidRPr="001D7B77">
        <w:rPr>
          <w:b/>
        </w:rPr>
        <w:t xml:space="preserve"> i</w:t>
      </w:r>
      <w:r w:rsidR="002E03A9" w:rsidRPr="0033698E">
        <w:rPr>
          <w:b/>
          <w:bCs/>
          <w:szCs w:val="22"/>
        </w:rPr>
        <w:t xml:space="preserve">n </w:t>
      </w:r>
      <w:r w:rsidR="002E03A9" w:rsidRPr="001D7B77">
        <w:rPr>
          <w:b/>
        </w:rPr>
        <w:t>a</w:t>
      </w:r>
      <w:r w:rsidR="002E03A9" w:rsidRPr="0033698E">
        <w:rPr>
          <w:b/>
          <w:bCs/>
          <w:szCs w:val="22"/>
        </w:rPr>
        <w:t>ccor</w:t>
      </w:r>
      <w:r w:rsidR="002E03A9" w:rsidRPr="001D7B77">
        <w:rPr>
          <w:b/>
        </w:rPr>
        <w:t>d</w:t>
      </w:r>
      <w:r w:rsidR="002E03A9" w:rsidRPr="0033698E">
        <w:rPr>
          <w:b/>
          <w:bCs/>
          <w:szCs w:val="22"/>
        </w:rPr>
        <w:t>ance</w:t>
      </w:r>
      <w:r w:rsidR="002E03A9" w:rsidRPr="001D7B77">
        <w:rPr>
          <w:b/>
        </w:rPr>
        <w:t xml:space="preserve"> wit</w:t>
      </w:r>
      <w:r w:rsidR="002E03A9" w:rsidRPr="0033698E">
        <w:rPr>
          <w:b/>
          <w:bCs/>
          <w:szCs w:val="22"/>
        </w:rPr>
        <w:t xml:space="preserve">h </w:t>
      </w:r>
      <w:r w:rsidR="002E03A9" w:rsidRPr="001D7B77">
        <w:rPr>
          <w:b/>
        </w:rPr>
        <w:t>R</w:t>
      </w:r>
      <w:r w:rsidR="002E03A9" w:rsidRPr="0033698E">
        <w:rPr>
          <w:b/>
          <w:bCs/>
          <w:szCs w:val="22"/>
        </w:rPr>
        <w:t>u</w:t>
      </w:r>
      <w:r w:rsidR="002E03A9" w:rsidRPr="001D7B77">
        <w:rPr>
          <w:b/>
        </w:rPr>
        <w:t>l</w:t>
      </w:r>
      <w:r w:rsidR="002E03A9" w:rsidRPr="0033698E">
        <w:rPr>
          <w:b/>
          <w:bCs/>
          <w:szCs w:val="22"/>
        </w:rPr>
        <w:t>e</w:t>
      </w:r>
      <w:r w:rsidR="002E03A9" w:rsidRPr="001D7B77">
        <w:rPr>
          <w:b/>
        </w:rPr>
        <w:t xml:space="preserve"> </w:t>
      </w:r>
      <w:r w:rsidR="002E03A9" w:rsidRPr="0033698E">
        <w:rPr>
          <w:b/>
          <w:bCs/>
          <w:szCs w:val="22"/>
        </w:rPr>
        <w:t>9.2.4</w:t>
      </w:r>
      <w:r w:rsidR="002E03A9" w:rsidRPr="001D7B77">
        <w:rPr>
          <w:b/>
        </w:rPr>
        <w:t xml:space="preserve"> o</w:t>
      </w:r>
      <w:r w:rsidR="002E03A9" w:rsidRPr="00244E73">
        <w:rPr>
          <w:b/>
          <w:bCs/>
          <w:szCs w:val="22"/>
        </w:rPr>
        <w:t>f</w:t>
      </w:r>
      <w:r w:rsidR="002E03A9" w:rsidRPr="001D7B77">
        <w:rPr>
          <w:b/>
        </w:rPr>
        <w:t xml:space="preserve"> t</w:t>
      </w:r>
      <w:r w:rsidR="002E03A9" w:rsidRPr="00244E73">
        <w:rPr>
          <w:b/>
          <w:bCs/>
          <w:szCs w:val="22"/>
        </w:rPr>
        <w:t>he</w:t>
      </w:r>
      <w:r w:rsidR="002E03A9" w:rsidRPr="001D7B77">
        <w:rPr>
          <w:b/>
        </w:rPr>
        <w:t xml:space="preserve"> </w:t>
      </w:r>
      <w:r w:rsidR="0053215A" w:rsidRPr="001D7B77">
        <w:rPr>
          <w:b/>
          <w:i/>
        </w:rPr>
        <w:t xml:space="preserve">ASIC Market Integrity Rules (Capital) </w:t>
      </w:r>
      <w:r w:rsidR="0091639B" w:rsidRPr="001D7B77">
        <w:rPr>
          <w:b/>
          <w:i/>
        </w:rPr>
        <w:t>20</w:t>
      </w:r>
      <w:r w:rsidR="004F4E4F">
        <w:rPr>
          <w:b/>
          <w:i/>
        </w:rPr>
        <w:t>2</w:t>
      </w:r>
      <w:r w:rsidR="00BB486B">
        <w:rPr>
          <w:b/>
          <w:i/>
        </w:rPr>
        <w:t>1</w:t>
      </w:r>
      <w:r w:rsidR="0091639B" w:rsidRPr="001D7B77">
        <w:rPr>
          <w:b/>
        </w:rPr>
        <w:t xml:space="preserve"> </w:t>
      </w:r>
      <w:r w:rsidR="002E03A9" w:rsidRPr="001D7B77">
        <w:rPr>
          <w:b/>
        </w:rPr>
        <w:t>a</w:t>
      </w:r>
      <w:r w:rsidR="002E03A9" w:rsidRPr="00244E73">
        <w:rPr>
          <w:b/>
          <w:bCs/>
          <w:szCs w:val="22"/>
        </w:rPr>
        <w:t>s</w:t>
      </w:r>
      <w:r w:rsidR="002E03A9" w:rsidRPr="001D7B77">
        <w:rPr>
          <w:b/>
        </w:rPr>
        <w:t xml:space="preserve"> t</w:t>
      </w:r>
      <w:r w:rsidR="002E03A9" w:rsidRPr="00244E73">
        <w:rPr>
          <w:b/>
          <w:bCs/>
          <w:szCs w:val="22"/>
        </w:rPr>
        <w:t>he</w:t>
      </w:r>
      <w:r w:rsidR="002E03A9" w:rsidRPr="001D7B77">
        <w:rPr>
          <w:b/>
        </w:rPr>
        <w:t xml:space="preserve"> </w:t>
      </w:r>
      <w:r w:rsidR="002E03A9" w:rsidRPr="00244E73">
        <w:rPr>
          <w:b/>
          <w:bCs/>
          <w:szCs w:val="22"/>
        </w:rPr>
        <w:t>Par</w:t>
      </w:r>
      <w:r w:rsidR="002E03A9" w:rsidRPr="001D7B77">
        <w:rPr>
          <w:b/>
        </w:rPr>
        <w:t>ti</w:t>
      </w:r>
      <w:r w:rsidR="002E03A9" w:rsidRPr="00244E73">
        <w:rPr>
          <w:b/>
          <w:bCs/>
          <w:szCs w:val="22"/>
        </w:rPr>
        <w:t>c</w:t>
      </w:r>
      <w:r w:rsidR="002E03A9" w:rsidRPr="001D7B77">
        <w:rPr>
          <w:b/>
        </w:rPr>
        <w:t>i</w:t>
      </w:r>
      <w:r w:rsidR="002E03A9" w:rsidRPr="00244E73">
        <w:rPr>
          <w:b/>
          <w:bCs/>
          <w:szCs w:val="22"/>
        </w:rPr>
        <w:t>pa</w:t>
      </w:r>
      <w:r w:rsidR="002E03A9" w:rsidRPr="001D7B77">
        <w:rPr>
          <w:b/>
        </w:rPr>
        <w:t>n</w:t>
      </w:r>
      <w:r w:rsidR="002E03A9" w:rsidRPr="00244E73">
        <w:rPr>
          <w:b/>
          <w:bCs/>
          <w:szCs w:val="22"/>
        </w:rPr>
        <w:t>t</w:t>
      </w:r>
      <w:r w:rsidR="002E03A9" w:rsidRPr="001D7B77">
        <w:rPr>
          <w:b/>
        </w:rPr>
        <w:t xml:space="preserve"> i</w:t>
      </w:r>
      <w:r w:rsidR="002E03A9" w:rsidRPr="00244E73">
        <w:rPr>
          <w:b/>
          <w:bCs/>
          <w:szCs w:val="22"/>
        </w:rPr>
        <w:t>s</w:t>
      </w:r>
      <w:r w:rsidR="002E03A9" w:rsidRPr="001D7B77">
        <w:rPr>
          <w:b/>
        </w:rPr>
        <w:t xml:space="preserve"> </w:t>
      </w:r>
      <w:r w:rsidR="002E03A9" w:rsidRPr="00244E73">
        <w:rPr>
          <w:b/>
          <w:bCs/>
          <w:szCs w:val="22"/>
        </w:rPr>
        <w:t>c</w:t>
      </w:r>
      <w:r w:rsidR="002E03A9" w:rsidRPr="001D7B77">
        <w:rPr>
          <w:b/>
        </w:rPr>
        <w:t>om</w:t>
      </w:r>
      <w:r w:rsidR="002E03A9" w:rsidRPr="00244E73">
        <w:rPr>
          <w:b/>
          <w:bCs/>
          <w:szCs w:val="22"/>
        </w:rPr>
        <w:t>p</w:t>
      </w:r>
      <w:r w:rsidR="002E03A9" w:rsidRPr="001D7B77">
        <w:rPr>
          <w:b/>
        </w:rPr>
        <w:t>lyi</w:t>
      </w:r>
      <w:r w:rsidR="002E03A9" w:rsidRPr="00244E73">
        <w:rPr>
          <w:b/>
          <w:bCs/>
          <w:szCs w:val="22"/>
        </w:rPr>
        <w:t>ng</w:t>
      </w:r>
      <w:r w:rsidR="002E03A9" w:rsidRPr="001D7B77">
        <w:rPr>
          <w:b/>
        </w:rPr>
        <w:t xml:space="preserve"> wit</w:t>
      </w:r>
      <w:r w:rsidR="002E03A9" w:rsidRPr="00244E73">
        <w:rPr>
          <w:b/>
          <w:bCs/>
          <w:szCs w:val="22"/>
        </w:rPr>
        <w:t xml:space="preserve">h </w:t>
      </w:r>
      <w:r w:rsidR="002E03A9" w:rsidRPr="001D7B77">
        <w:rPr>
          <w:b/>
        </w:rPr>
        <w:t>t</w:t>
      </w:r>
      <w:r w:rsidR="002E03A9" w:rsidRPr="00244E73">
        <w:rPr>
          <w:b/>
          <w:bCs/>
          <w:szCs w:val="22"/>
        </w:rPr>
        <w:t>he</w:t>
      </w:r>
      <w:r w:rsidR="002E03A9" w:rsidRPr="001D7B77">
        <w:rPr>
          <w:b/>
        </w:rPr>
        <w:t xml:space="preserve"> Ri</w:t>
      </w:r>
      <w:r w:rsidR="002E03A9" w:rsidRPr="00244E73">
        <w:rPr>
          <w:b/>
          <w:bCs/>
          <w:szCs w:val="22"/>
        </w:rPr>
        <w:t>sk</w:t>
      </w:r>
      <w:r w:rsidR="00D973E2">
        <w:rPr>
          <w:b/>
          <w:bCs/>
          <w:szCs w:val="22"/>
        </w:rPr>
        <w:t>-</w:t>
      </w:r>
      <w:r w:rsidR="002E03A9" w:rsidRPr="001D7B77">
        <w:rPr>
          <w:b/>
        </w:rPr>
        <w:t>B</w:t>
      </w:r>
      <w:r w:rsidR="002E03A9" w:rsidRPr="00244E73">
        <w:rPr>
          <w:b/>
          <w:bCs/>
          <w:szCs w:val="22"/>
        </w:rPr>
        <w:t>a</w:t>
      </w:r>
      <w:r w:rsidR="002E03A9" w:rsidRPr="001D7B77">
        <w:rPr>
          <w:b/>
        </w:rPr>
        <w:t>s</w:t>
      </w:r>
      <w:r w:rsidR="002E03A9" w:rsidRPr="00244E73">
        <w:rPr>
          <w:b/>
          <w:bCs/>
          <w:szCs w:val="22"/>
        </w:rPr>
        <w:t xml:space="preserve">ed </w:t>
      </w:r>
      <w:r w:rsidR="002E03A9" w:rsidRPr="001D7B77">
        <w:rPr>
          <w:b/>
        </w:rPr>
        <w:t>C</w:t>
      </w:r>
      <w:r w:rsidR="002E03A9" w:rsidRPr="00244E73">
        <w:rPr>
          <w:b/>
          <w:bCs/>
          <w:szCs w:val="22"/>
        </w:rPr>
        <w:t>ap</w:t>
      </w:r>
      <w:r w:rsidR="002E03A9" w:rsidRPr="001D7B77">
        <w:rPr>
          <w:b/>
        </w:rPr>
        <w:t>ita</w:t>
      </w:r>
      <w:r w:rsidR="002E03A9" w:rsidRPr="00244E73">
        <w:rPr>
          <w:b/>
          <w:bCs/>
          <w:szCs w:val="22"/>
        </w:rPr>
        <w:t xml:space="preserve">l </w:t>
      </w:r>
      <w:r w:rsidR="002E03A9" w:rsidRPr="001D7B77">
        <w:rPr>
          <w:b/>
        </w:rPr>
        <w:t>R</w:t>
      </w:r>
      <w:r w:rsidR="002E03A9" w:rsidRPr="00244E73">
        <w:rPr>
          <w:b/>
          <w:bCs/>
          <w:szCs w:val="22"/>
        </w:rPr>
        <w:t>equ</w:t>
      </w:r>
      <w:r w:rsidR="002E03A9" w:rsidRPr="001D7B77">
        <w:rPr>
          <w:b/>
        </w:rPr>
        <w:t>i</w:t>
      </w:r>
      <w:r w:rsidR="002E03A9" w:rsidRPr="00244E73">
        <w:rPr>
          <w:b/>
          <w:bCs/>
          <w:szCs w:val="22"/>
        </w:rPr>
        <w:t>r</w:t>
      </w:r>
      <w:r w:rsidR="002E03A9" w:rsidRPr="001D7B77">
        <w:rPr>
          <w:b/>
        </w:rPr>
        <w:t>em</w:t>
      </w:r>
      <w:r w:rsidR="002E03A9" w:rsidRPr="00244E73">
        <w:rPr>
          <w:b/>
          <w:bCs/>
          <w:szCs w:val="22"/>
        </w:rPr>
        <w:t>e</w:t>
      </w:r>
      <w:r w:rsidR="002E03A9" w:rsidRPr="001D7B77">
        <w:rPr>
          <w:b/>
        </w:rPr>
        <w:t>nt</w:t>
      </w:r>
      <w:r w:rsidR="002E03A9" w:rsidRPr="00244E73">
        <w:rPr>
          <w:b/>
          <w:bCs/>
          <w:szCs w:val="22"/>
        </w:rPr>
        <w:t>s</w:t>
      </w:r>
      <w:r w:rsidR="0013783A">
        <w:rPr>
          <w:b/>
          <w:bCs/>
          <w:szCs w:val="22"/>
        </w:rPr>
        <w:t>.</w:t>
      </w:r>
      <w:r w:rsidR="002E03A9" w:rsidRPr="00244E73">
        <w:rPr>
          <w:b/>
          <w:bCs/>
          <w:szCs w:val="22"/>
        </w:rPr>
        <w:t xml:space="preserve"> </w:t>
      </w:r>
    </w:p>
    <w:p w14:paraId="7598CA6B" w14:textId="0D532EDF" w:rsidR="002E03A9" w:rsidRPr="00244E73" w:rsidRDefault="002E03A9" w:rsidP="00081508">
      <w:pPr>
        <w:spacing w:before="200" w:after="0" w:line="280" w:lineRule="atLeast"/>
        <w:ind w:right="553"/>
      </w:pPr>
      <w:r w:rsidRPr="00081508">
        <w:t>T</w:t>
      </w:r>
      <w:r w:rsidRPr="00244E73">
        <w:rPr>
          <w:szCs w:val="22"/>
        </w:rPr>
        <w:t>he</w:t>
      </w:r>
      <w:r w:rsidRPr="00081508">
        <w:t xml:space="preserve"> R</w:t>
      </w:r>
      <w:r w:rsidRPr="00244E73">
        <w:rPr>
          <w:szCs w:val="22"/>
        </w:rPr>
        <w:t>e</w:t>
      </w:r>
      <w:r w:rsidRPr="00081508">
        <w:t>tur</w:t>
      </w:r>
      <w:r w:rsidRPr="00244E73">
        <w:rPr>
          <w:szCs w:val="22"/>
        </w:rPr>
        <w:t xml:space="preserve">n </w:t>
      </w:r>
      <w:r w:rsidRPr="00081508">
        <w:t>m</w:t>
      </w:r>
      <w:r w:rsidRPr="00244E73">
        <w:rPr>
          <w:szCs w:val="22"/>
        </w:rPr>
        <w:t>ay</w:t>
      </w:r>
      <w:r w:rsidRPr="00081508">
        <w:t xml:space="preserve"> </w:t>
      </w:r>
      <w:r w:rsidRPr="00244E73">
        <w:rPr>
          <w:szCs w:val="22"/>
        </w:rPr>
        <w:t>not</w:t>
      </w:r>
      <w:r w:rsidRPr="00081508">
        <w:t xml:space="preserve"> </w:t>
      </w:r>
      <w:r w:rsidRPr="00244E73">
        <w:rPr>
          <w:szCs w:val="22"/>
        </w:rPr>
        <w:t>be</w:t>
      </w:r>
      <w:r w:rsidRPr="00081508">
        <w:t xml:space="preserve"> </w:t>
      </w:r>
      <w:r w:rsidRPr="00244E73">
        <w:rPr>
          <w:szCs w:val="22"/>
        </w:rPr>
        <w:t>s</w:t>
      </w:r>
      <w:r w:rsidRPr="00081508">
        <w:t>uit</w:t>
      </w:r>
      <w:r w:rsidRPr="00244E73">
        <w:rPr>
          <w:szCs w:val="22"/>
        </w:rPr>
        <w:t>ab</w:t>
      </w:r>
      <w:r w:rsidRPr="00081508">
        <w:t>l</w:t>
      </w:r>
      <w:r w:rsidRPr="00244E73">
        <w:rPr>
          <w:szCs w:val="22"/>
        </w:rPr>
        <w:t>e</w:t>
      </w:r>
      <w:r w:rsidRPr="00081508">
        <w:t xml:space="preserve"> fo</w:t>
      </w:r>
      <w:r w:rsidRPr="00244E73">
        <w:rPr>
          <w:szCs w:val="22"/>
        </w:rPr>
        <w:t>r</w:t>
      </w:r>
      <w:r w:rsidRPr="00081508">
        <w:t xml:space="preserve"> </w:t>
      </w:r>
      <w:r w:rsidRPr="00244E73">
        <w:rPr>
          <w:szCs w:val="22"/>
        </w:rPr>
        <w:t>an</w:t>
      </w:r>
      <w:r w:rsidRPr="00081508">
        <w:t>ot</w:t>
      </w:r>
      <w:r w:rsidRPr="00244E73">
        <w:rPr>
          <w:szCs w:val="22"/>
        </w:rPr>
        <w:t>h</w:t>
      </w:r>
      <w:r w:rsidRPr="00081508">
        <w:t>e</w:t>
      </w:r>
      <w:r w:rsidRPr="00244E73">
        <w:rPr>
          <w:szCs w:val="22"/>
        </w:rPr>
        <w:t>r</w:t>
      </w:r>
      <w:r w:rsidRPr="00081508">
        <w:t xml:space="preserve"> </w:t>
      </w:r>
      <w:r w:rsidRPr="00244E73">
        <w:rPr>
          <w:szCs w:val="22"/>
        </w:rPr>
        <w:t>p</w:t>
      </w:r>
      <w:r w:rsidRPr="00081508">
        <w:t>ur</w:t>
      </w:r>
      <w:r w:rsidRPr="00244E73">
        <w:rPr>
          <w:szCs w:val="22"/>
        </w:rPr>
        <w:t>po</w:t>
      </w:r>
      <w:r w:rsidRPr="00081508">
        <w:t>s</w:t>
      </w:r>
      <w:r w:rsidRPr="00244E73">
        <w:rPr>
          <w:szCs w:val="22"/>
        </w:rPr>
        <w:t xml:space="preserve">e. </w:t>
      </w:r>
      <w:r w:rsidRPr="00081508">
        <w:t>O</w:t>
      </w:r>
      <w:r w:rsidRPr="00244E73">
        <w:rPr>
          <w:szCs w:val="22"/>
        </w:rPr>
        <w:t>ur</w:t>
      </w:r>
      <w:r w:rsidRPr="00081508">
        <w:t xml:space="preserve"> re</w:t>
      </w:r>
      <w:r w:rsidRPr="00244E73">
        <w:rPr>
          <w:szCs w:val="22"/>
        </w:rPr>
        <w:t>po</w:t>
      </w:r>
      <w:r w:rsidRPr="00081508">
        <w:t>r</w:t>
      </w:r>
      <w:r w:rsidRPr="00244E73">
        <w:rPr>
          <w:szCs w:val="22"/>
        </w:rPr>
        <w:t>t</w:t>
      </w:r>
      <w:r w:rsidRPr="00081508">
        <w:t xml:space="preserve"> i</w:t>
      </w:r>
      <w:r w:rsidRPr="00244E73">
        <w:rPr>
          <w:szCs w:val="22"/>
        </w:rPr>
        <w:t>s</w:t>
      </w:r>
      <w:r w:rsidRPr="00081508">
        <w:t xml:space="preserve"> i</w:t>
      </w:r>
      <w:r w:rsidRPr="00244E73">
        <w:rPr>
          <w:szCs w:val="22"/>
        </w:rPr>
        <w:t>n</w:t>
      </w:r>
      <w:r w:rsidRPr="00081508">
        <w:t>te</w:t>
      </w:r>
      <w:r w:rsidRPr="00244E73">
        <w:rPr>
          <w:szCs w:val="22"/>
        </w:rPr>
        <w:t>nded</w:t>
      </w:r>
      <w:r w:rsidRPr="00081508">
        <w:t xml:space="preserve"> </w:t>
      </w:r>
      <w:r w:rsidRPr="00244E73">
        <w:rPr>
          <w:szCs w:val="22"/>
        </w:rPr>
        <w:t>so</w:t>
      </w:r>
      <w:r w:rsidRPr="00081508">
        <w:t>l</w:t>
      </w:r>
      <w:r w:rsidRPr="00244E73">
        <w:rPr>
          <w:szCs w:val="22"/>
        </w:rPr>
        <w:t>e</w:t>
      </w:r>
      <w:r w:rsidRPr="00081508">
        <w:t>l</w:t>
      </w:r>
      <w:r w:rsidRPr="00244E73">
        <w:rPr>
          <w:szCs w:val="22"/>
        </w:rPr>
        <w:t>y</w:t>
      </w:r>
      <w:r w:rsidRPr="00081508">
        <w:t xml:space="preserve"> f</w:t>
      </w:r>
      <w:r w:rsidRPr="00244E73">
        <w:rPr>
          <w:szCs w:val="22"/>
        </w:rPr>
        <w:t>or</w:t>
      </w:r>
      <w:r w:rsidRPr="00081508">
        <w:t xml:space="preserve"> t</w:t>
      </w:r>
      <w:r w:rsidRPr="00244E73">
        <w:rPr>
          <w:szCs w:val="22"/>
        </w:rPr>
        <w:t>he Pa</w:t>
      </w:r>
      <w:r w:rsidRPr="00081508">
        <w:t>rtici</w:t>
      </w:r>
      <w:r w:rsidRPr="00244E73">
        <w:rPr>
          <w:szCs w:val="22"/>
        </w:rPr>
        <w:t>pa</w:t>
      </w:r>
      <w:r w:rsidRPr="00081508">
        <w:t>n</w:t>
      </w:r>
      <w:r w:rsidRPr="00244E73">
        <w:rPr>
          <w:szCs w:val="22"/>
        </w:rPr>
        <w:t>t</w:t>
      </w:r>
      <w:r w:rsidRPr="00081508">
        <w:t xml:space="preserve"> </w:t>
      </w:r>
      <w:r w:rsidRPr="00244E73">
        <w:rPr>
          <w:szCs w:val="22"/>
        </w:rPr>
        <w:t>a</w:t>
      </w:r>
      <w:r w:rsidRPr="00081508">
        <w:t>n</w:t>
      </w:r>
      <w:r w:rsidRPr="00244E73">
        <w:rPr>
          <w:szCs w:val="22"/>
        </w:rPr>
        <w:t xml:space="preserve">d </w:t>
      </w:r>
      <w:r w:rsidRPr="00081508">
        <w:t>A</w:t>
      </w:r>
      <w:r w:rsidRPr="00244E73">
        <w:rPr>
          <w:szCs w:val="22"/>
        </w:rPr>
        <w:t>S</w:t>
      </w:r>
      <w:r w:rsidRPr="00081508">
        <w:t>I</w:t>
      </w:r>
      <w:r w:rsidRPr="00244E73">
        <w:rPr>
          <w:szCs w:val="22"/>
        </w:rPr>
        <w:t>C</w:t>
      </w:r>
      <w:r w:rsidRPr="00081508">
        <w:t xml:space="preserve"> </w:t>
      </w:r>
      <w:r w:rsidRPr="00244E73">
        <w:rPr>
          <w:szCs w:val="22"/>
        </w:rPr>
        <w:t>and shou</w:t>
      </w:r>
      <w:r w:rsidRPr="00081508">
        <w:t>l</w:t>
      </w:r>
      <w:r w:rsidRPr="00244E73">
        <w:rPr>
          <w:szCs w:val="22"/>
        </w:rPr>
        <w:t xml:space="preserve">d </w:t>
      </w:r>
      <w:r w:rsidRPr="00081508">
        <w:t>n</w:t>
      </w:r>
      <w:r w:rsidRPr="00244E73">
        <w:rPr>
          <w:szCs w:val="22"/>
        </w:rPr>
        <w:t>ot</w:t>
      </w:r>
      <w:r w:rsidRPr="00081508">
        <w:t xml:space="preserve"> b</w:t>
      </w:r>
      <w:r w:rsidRPr="00244E73">
        <w:rPr>
          <w:szCs w:val="22"/>
        </w:rPr>
        <w:t>e</w:t>
      </w:r>
      <w:r w:rsidRPr="00081508">
        <w:t xml:space="preserve"> </w:t>
      </w:r>
      <w:r w:rsidRPr="00244E73">
        <w:rPr>
          <w:szCs w:val="22"/>
        </w:rPr>
        <w:t>d</w:t>
      </w:r>
      <w:r w:rsidRPr="00081508">
        <w:t>i</w:t>
      </w:r>
      <w:r w:rsidRPr="00244E73">
        <w:rPr>
          <w:szCs w:val="22"/>
        </w:rPr>
        <w:t>s</w:t>
      </w:r>
      <w:r w:rsidRPr="00081508">
        <w:t>trib</w:t>
      </w:r>
      <w:r w:rsidRPr="00244E73">
        <w:rPr>
          <w:szCs w:val="22"/>
        </w:rPr>
        <w:t>u</w:t>
      </w:r>
      <w:r w:rsidRPr="00081508">
        <w:t>te</w:t>
      </w:r>
      <w:r w:rsidRPr="00244E73">
        <w:rPr>
          <w:szCs w:val="22"/>
        </w:rPr>
        <w:t xml:space="preserve">d </w:t>
      </w:r>
      <w:r w:rsidRPr="00081508">
        <w:t>t</w:t>
      </w:r>
      <w:r w:rsidRPr="00244E73">
        <w:rPr>
          <w:szCs w:val="22"/>
        </w:rPr>
        <w:t>o</w:t>
      </w:r>
      <w:r w:rsidRPr="00081508">
        <w:t xml:space="preserve"> </w:t>
      </w:r>
      <w:r w:rsidRPr="00244E73">
        <w:rPr>
          <w:szCs w:val="22"/>
        </w:rPr>
        <w:t>or</w:t>
      </w:r>
      <w:r w:rsidRPr="00081508">
        <w:t xml:space="preserve"> </w:t>
      </w:r>
      <w:r w:rsidRPr="00244E73">
        <w:rPr>
          <w:szCs w:val="22"/>
        </w:rPr>
        <w:t>u</w:t>
      </w:r>
      <w:r w:rsidRPr="00081508">
        <w:t>s</w:t>
      </w:r>
      <w:r w:rsidRPr="00244E73">
        <w:rPr>
          <w:szCs w:val="22"/>
        </w:rPr>
        <w:t>ed by</w:t>
      </w:r>
      <w:r w:rsidRPr="00081508">
        <w:t xml:space="preserve"> </w:t>
      </w:r>
      <w:r w:rsidRPr="00244E73">
        <w:rPr>
          <w:szCs w:val="22"/>
        </w:rPr>
        <w:t>pa</w:t>
      </w:r>
      <w:r w:rsidRPr="00081508">
        <w:t>rtie</w:t>
      </w:r>
      <w:r w:rsidRPr="00244E73">
        <w:rPr>
          <w:szCs w:val="22"/>
        </w:rPr>
        <w:t>s</w:t>
      </w:r>
      <w:r w:rsidRPr="00081508">
        <w:t xml:space="preserve"> ot</w:t>
      </w:r>
      <w:r w:rsidRPr="00244E73">
        <w:rPr>
          <w:szCs w:val="22"/>
        </w:rPr>
        <w:t>h</w:t>
      </w:r>
      <w:r w:rsidRPr="00081508">
        <w:t>e</w:t>
      </w:r>
      <w:r w:rsidRPr="00244E73">
        <w:rPr>
          <w:szCs w:val="22"/>
        </w:rPr>
        <w:t>r</w:t>
      </w:r>
      <w:r w:rsidRPr="00081508">
        <w:t xml:space="preserve"> tha</w:t>
      </w:r>
      <w:r w:rsidRPr="00244E73">
        <w:rPr>
          <w:szCs w:val="22"/>
        </w:rPr>
        <w:t xml:space="preserve">n </w:t>
      </w:r>
      <w:r w:rsidRPr="00081508">
        <w:t>t</w:t>
      </w:r>
      <w:r w:rsidRPr="00244E73">
        <w:rPr>
          <w:szCs w:val="22"/>
        </w:rPr>
        <w:t>he Pa</w:t>
      </w:r>
      <w:r w:rsidRPr="00081508">
        <w:t>rtici</w:t>
      </w:r>
      <w:r w:rsidRPr="00244E73">
        <w:rPr>
          <w:szCs w:val="22"/>
        </w:rPr>
        <w:t>pa</w:t>
      </w:r>
      <w:r w:rsidRPr="00081508">
        <w:t>n</w:t>
      </w:r>
      <w:r w:rsidRPr="00244E73">
        <w:rPr>
          <w:szCs w:val="22"/>
        </w:rPr>
        <w:t>t</w:t>
      </w:r>
      <w:r w:rsidRPr="00081508">
        <w:t xml:space="preserve"> </w:t>
      </w:r>
      <w:r w:rsidRPr="00244E73">
        <w:rPr>
          <w:szCs w:val="22"/>
        </w:rPr>
        <w:t>a</w:t>
      </w:r>
      <w:r w:rsidRPr="00081508">
        <w:t>n</w:t>
      </w:r>
      <w:r w:rsidRPr="00244E73">
        <w:rPr>
          <w:szCs w:val="22"/>
        </w:rPr>
        <w:t xml:space="preserve">d </w:t>
      </w:r>
      <w:r w:rsidRPr="00081508">
        <w:t>A</w:t>
      </w:r>
      <w:r w:rsidRPr="00244E73">
        <w:rPr>
          <w:szCs w:val="22"/>
        </w:rPr>
        <w:t>S</w:t>
      </w:r>
      <w:r w:rsidRPr="00081508">
        <w:t>IC</w:t>
      </w:r>
      <w:r w:rsidRPr="00244E73">
        <w:rPr>
          <w:szCs w:val="22"/>
        </w:rPr>
        <w:t>.</w:t>
      </w:r>
    </w:p>
    <w:p w14:paraId="792A42EC" w14:textId="64C2E169" w:rsidR="002E03A9" w:rsidRPr="00081508" w:rsidRDefault="002E03A9" w:rsidP="00081508">
      <w:pPr>
        <w:spacing w:before="200" w:after="0" w:line="280" w:lineRule="atLeast"/>
        <w:ind w:right="112"/>
      </w:pPr>
      <w:r w:rsidRPr="00244E73">
        <w:rPr>
          <w:szCs w:val="22"/>
        </w:rPr>
        <w:t>We</w:t>
      </w:r>
      <w:r w:rsidRPr="00081508">
        <w:t xml:space="preserve"> </w:t>
      </w:r>
      <w:r w:rsidRPr="00244E73">
        <w:rPr>
          <w:szCs w:val="22"/>
        </w:rPr>
        <w:t>b</w:t>
      </w:r>
      <w:r w:rsidRPr="00081508">
        <w:t>eli</w:t>
      </w:r>
      <w:r w:rsidRPr="00244E73">
        <w:rPr>
          <w:szCs w:val="22"/>
        </w:rPr>
        <w:t>e</w:t>
      </w:r>
      <w:r w:rsidRPr="00081508">
        <w:t>v</w:t>
      </w:r>
      <w:r w:rsidRPr="00244E73">
        <w:rPr>
          <w:szCs w:val="22"/>
        </w:rPr>
        <w:t>e</w:t>
      </w:r>
      <w:r w:rsidRPr="00081508">
        <w:t xml:space="preserve"> t</w:t>
      </w:r>
      <w:r w:rsidRPr="00244E73">
        <w:rPr>
          <w:szCs w:val="22"/>
        </w:rPr>
        <w:t>h</w:t>
      </w:r>
      <w:r w:rsidRPr="00081508">
        <w:t>a</w:t>
      </w:r>
      <w:r w:rsidRPr="00244E73">
        <w:rPr>
          <w:szCs w:val="22"/>
        </w:rPr>
        <w:t>t</w:t>
      </w:r>
      <w:r w:rsidRPr="00081508">
        <w:t xml:space="preserve"> t</w:t>
      </w:r>
      <w:r w:rsidRPr="00244E73">
        <w:rPr>
          <w:szCs w:val="22"/>
        </w:rPr>
        <w:t>he</w:t>
      </w:r>
      <w:r w:rsidRPr="00081508">
        <w:t xml:space="preserve"> </w:t>
      </w:r>
      <w:r w:rsidRPr="00244E73">
        <w:rPr>
          <w:szCs w:val="22"/>
        </w:rPr>
        <w:t>a</w:t>
      </w:r>
      <w:r w:rsidRPr="00081508">
        <w:t>u</w:t>
      </w:r>
      <w:r w:rsidRPr="00244E73">
        <w:rPr>
          <w:szCs w:val="22"/>
        </w:rPr>
        <w:t>d</w:t>
      </w:r>
      <w:r w:rsidRPr="00081508">
        <w:t>i</w:t>
      </w:r>
      <w:r w:rsidRPr="00244E73">
        <w:rPr>
          <w:szCs w:val="22"/>
        </w:rPr>
        <w:t>t</w:t>
      </w:r>
      <w:r w:rsidRPr="00081508">
        <w:t xml:space="preserve"> evi</w:t>
      </w:r>
      <w:r w:rsidRPr="00244E73">
        <w:rPr>
          <w:szCs w:val="22"/>
        </w:rPr>
        <w:t>dence</w:t>
      </w:r>
      <w:r w:rsidRPr="00081508">
        <w:t xml:space="preserve"> w</w:t>
      </w:r>
      <w:r w:rsidRPr="00244E73">
        <w:rPr>
          <w:szCs w:val="22"/>
        </w:rPr>
        <w:t>e</w:t>
      </w:r>
      <w:r w:rsidRPr="00081508">
        <w:t xml:space="preserve"> h</w:t>
      </w:r>
      <w:r w:rsidRPr="00244E73">
        <w:rPr>
          <w:szCs w:val="22"/>
        </w:rPr>
        <w:t>a</w:t>
      </w:r>
      <w:r w:rsidRPr="00081508">
        <w:t>v</w:t>
      </w:r>
      <w:r w:rsidRPr="00244E73">
        <w:rPr>
          <w:szCs w:val="22"/>
        </w:rPr>
        <w:t>e</w:t>
      </w:r>
      <w:r w:rsidRPr="00081508">
        <w:t xml:space="preserve"> </w:t>
      </w:r>
      <w:r w:rsidRPr="00244E73">
        <w:rPr>
          <w:szCs w:val="22"/>
        </w:rPr>
        <w:t>ob</w:t>
      </w:r>
      <w:r w:rsidRPr="00081508">
        <w:t>tai</w:t>
      </w:r>
      <w:r w:rsidRPr="00244E73">
        <w:rPr>
          <w:szCs w:val="22"/>
        </w:rPr>
        <w:t>n</w:t>
      </w:r>
      <w:r w:rsidRPr="00081508">
        <w:t>e</w:t>
      </w:r>
      <w:r w:rsidRPr="00244E73">
        <w:rPr>
          <w:szCs w:val="22"/>
        </w:rPr>
        <w:t>d</w:t>
      </w:r>
      <w:r w:rsidRPr="00081508">
        <w:t xml:space="preserve"> i</w:t>
      </w:r>
      <w:r w:rsidRPr="00244E73">
        <w:rPr>
          <w:szCs w:val="22"/>
        </w:rPr>
        <w:t>s</w:t>
      </w:r>
      <w:r w:rsidRPr="00081508">
        <w:t xml:space="preserve"> </w:t>
      </w:r>
      <w:r w:rsidRPr="00244E73">
        <w:rPr>
          <w:szCs w:val="22"/>
        </w:rPr>
        <w:t>su</w:t>
      </w:r>
      <w:r w:rsidRPr="00081508">
        <w:t>ffi</w:t>
      </w:r>
      <w:r w:rsidRPr="00244E73">
        <w:rPr>
          <w:szCs w:val="22"/>
        </w:rPr>
        <w:t>c</w:t>
      </w:r>
      <w:r w:rsidRPr="00081508">
        <w:t>i</w:t>
      </w:r>
      <w:r w:rsidRPr="00244E73">
        <w:rPr>
          <w:szCs w:val="22"/>
        </w:rPr>
        <w:t>ent</w:t>
      </w:r>
      <w:r w:rsidRPr="00081508">
        <w:t xml:space="preserve"> </w:t>
      </w:r>
      <w:r w:rsidRPr="00244E73">
        <w:rPr>
          <w:szCs w:val="22"/>
        </w:rPr>
        <w:t>and a</w:t>
      </w:r>
      <w:r w:rsidRPr="00081508">
        <w:t>p</w:t>
      </w:r>
      <w:r w:rsidRPr="00244E73">
        <w:rPr>
          <w:szCs w:val="22"/>
        </w:rPr>
        <w:t>p</w:t>
      </w:r>
      <w:r w:rsidRPr="00081508">
        <w:t>r</w:t>
      </w:r>
      <w:r w:rsidRPr="00244E73">
        <w:rPr>
          <w:szCs w:val="22"/>
        </w:rPr>
        <w:t>o</w:t>
      </w:r>
      <w:r w:rsidRPr="00081508">
        <w:t>pri</w:t>
      </w:r>
      <w:r w:rsidRPr="00244E73">
        <w:rPr>
          <w:szCs w:val="22"/>
        </w:rPr>
        <w:t>a</w:t>
      </w:r>
      <w:r w:rsidRPr="00081508">
        <w:t>t</w:t>
      </w:r>
      <w:r w:rsidRPr="00244E73">
        <w:rPr>
          <w:szCs w:val="22"/>
        </w:rPr>
        <w:t>e</w:t>
      </w:r>
      <w:r w:rsidRPr="00081508">
        <w:t xml:space="preserve"> t</w:t>
      </w:r>
      <w:r w:rsidRPr="00244E73">
        <w:rPr>
          <w:szCs w:val="22"/>
        </w:rPr>
        <w:t>o p</w:t>
      </w:r>
      <w:r w:rsidRPr="00081508">
        <w:t>r</w:t>
      </w:r>
      <w:r w:rsidRPr="00244E73">
        <w:rPr>
          <w:szCs w:val="22"/>
        </w:rPr>
        <w:t>o</w:t>
      </w:r>
      <w:r w:rsidRPr="00081508">
        <w:t>vi</w:t>
      </w:r>
      <w:r w:rsidRPr="00244E73">
        <w:rPr>
          <w:szCs w:val="22"/>
        </w:rPr>
        <w:t>de</w:t>
      </w:r>
      <w:r w:rsidRPr="00081508">
        <w:t xml:space="preserve"> </w:t>
      </w:r>
      <w:r w:rsidRPr="00244E73">
        <w:rPr>
          <w:szCs w:val="22"/>
        </w:rPr>
        <w:t>a bas</w:t>
      </w:r>
      <w:r w:rsidRPr="00081508">
        <w:t>i</w:t>
      </w:r>
      <w:r w:rsidRPr="00244E73">
        <w:rPr>
          <w:szCs w:val="22"/>
        </w:rPr>
        <w:t>s</w:t>
      </w:r>
      <w:r w:rsidRPr="00081508">
        <w:t xml:space="preserve"> fo</w:t>
      </w:r>
      <w:r w:rsidRPr="00244E73">
        <w:rPr>
          <w:szCs w:val="22"/>
        </w:rPr>
        <w:t>r</w:t>
      </w:r>
      <w:r w:rsidRPr="00081508">
        <w:t xml:space="preserve"> </w:t>
      </w:r>
      <w:r w:rsidRPr="00244E73">
        <w:rPr>
          <w:szCs w:val="22"/>
        </w:rPr>
        <w:t>o</w:t>
      </w:r>
      <w:r w:rsidRPr="00081508">
        <w:t>u</w:t>
      </w:r>
      <w:r w:rsidRPr="00244E73">
        <w:rPr>
          <w:szCs w:val="22"/>
        </w:rPr>
        <w:t>r</w:t>
      </w:r>
      <w:r w:rsidRPr="00081508">
        <w:t xml:space="preserve"> </w:t>
      </w:r>
      <w:r w:rsidRPr="00244E73">
        <w:rPr>
          <w:szCs w:val="22"/>
        </w:rPr>
        <w:t>au</w:t>
      </w:r>
      <w:r w:rsidRPr="00081508">
        <w:t>di</w:t>
      </w:r>
      <w:r w:rsidRPr="00244E73">
        <w:rPr>
          <w:szCs w:val="22"/>
        </w:rPr>
        <w:t>t</w:t>
      </w:r>
      <w:r w:rsidRPr="00081508">
        <w:t xml:space="preserve"> </w:t>
      </w:r>
      <w:r w:rsidRPr="00244E73">
        <w:rPr>
          <w:szCs w:val="22"/>
        </w:rPr>
        <w:t>op</w:t>
      </w:r>
      <w:r w:rsidRPr="00081508">
        <w:t>i</w:t>
      </w:r>
      <w:r w:rsidRPr="00244E73">
        <w:rPr>
          <w:szCs w:val="22"/>
        </w:rPr>
        <w:t>n</w:t>
      </w:r>
      <w:r w:rsidRPr="00081508">
        <w:t>i</w:t>
      </w:r>
      <w:r w:rsidRPr="00244E73">
        <w:rPr>
          <w:szCs w:val="22"/>
        </w:rPr>
        <w:t>o</w:t>
      </w:r>
      <w:r w:rsidRPr="00081508">
        <w:t>n</w:t>
      </w:r>
      <w:r w:rsidRPr="00244E73">
        <w:rPr>
          <w:szCs w:val="22"/>
        </w:rPr>
        <w:t>.</w:t>
      </w:r>
    </w:p>
    <w:p w14:paraId="655662FD" w14:textId="77777777" w:rsidR="002E03A9" w:rsidRPr="00244E73" w:rsidRDefault="002E03A9" w:rsidP="00081508">
      <w:pPr>
        <w:pStyle w:val="MIRHeading3"/>
        <w:spacing w:before="360"/>
      </w:pPr>
      <w:r w:rsidRPr="00203B23">
        <w:t>I</w:t>
      </w:r>
      <w:r w:rsidRPr="00081508">
        <w:t>NDEPENDENCE</w:t>
      </w:r>
    </w:p>
    <w:p w14:paraId="7B2C5B3F" w14:textId="1E927F96" w:rsidR="002E03A9" w:rsidRPr="00244E73" w:rsidRDefault="002E03A9" w:rsidP="00081508">
      <w:pPr>
        <w:spacing w:before="200" w:after="0" w:line="280" w:lineRule="atLeast"/>
        <w:ind w:right="556"/>
      </w:pPr>
      <w:r w:rsidRPr="00081508">
        <w:t>I</w:t>
      </w:r>
      <w:r w:rsidRPr="00244E73">
        <w:rPr>
          <w:szCs w:val="22"/>
        </w:rPr>
        <w:t>n conduc</w:t>
      </w:r>
      <w:r w:rsidRPr="00081508">
        <w:t>ti</w:t>
      </w:r>
      <w:r w:rsidRPr="00244E73">
        <w:rPr>
          <w:szCs w:val="22"/>
        </w:rPr>
        <w:t>ng</w:t>
      </w:r>
      <w:r w:rsidRPr="00081508">
        <w:t xml:space="preserve"> </w:t>
      </w:r>
      <w:r w:rsidRPr="00244E73">
        <w:rPr>
          <w:szCs w:val="22"/>
        </w:rPr>
        <w:t>our</w:t>
      </w:r>
      <w:r w:rsidRPr="00081508">
        <w:t xml:space="preserve"> </w:t>
      </w:r>
      <w:r w:rsidRPr="00244E73">
        <w:rPr>
          <w:szCs w:val="22"/>
        </w:rPr>
        <w:t>au</w:t>
      </w:r>
      <w:r w:rsidRPr="00081508">
        <w:t>dit</w:t>
      </w:r>
      <w:r w:rsidRPr="00244E73">
        <w:rPr>
          <w:szCs w:val="22"/>
        </w:rPr>
        <w:t xml:space="preserve">, </w:t>
      </w:r>
      <w:r w:rsidRPr="00081508">
        <w:t>w</w:t>
      </w:r>
      <w:r w:rsidRPr="00244E73">
        <w:rPr>
          <w:szCs w:val="22"/>
        </w:rPr>
        <w:t>e</w:t>
      </w:r>
      <w:r w:rsidRPr="00081508">
        <w:t xml:space="preserve"> </w:t>
      </w:r>
      <w:r w:rsidRPr="00244E73">
        <w:rPr>
          <w:szCs w:val="22"/>
        </w:rPr>
        <w:t>ha</w:t>
      </w:r>
      <w:r w:rsidRPr="00081508">
        <w:t>v</w:t>
      </w:r>
      <w:r w:rsidRPr="00244E73">
        <w:rPr>
          <w:szCs w:val="22"/>
        </w:rPr>
        <w:t>e</w:t>
      </w:r>
      <w:r w:rsidRPr="00081508">
        <w:t xml:space="preserve"> </w:t>
      </w:r>
      <w:r w:rsidRPr="00244E73">
        <w:rPr>
          <w:szCs w:val="22"/>
        </w:rPr>
        <w:t>co</w:t>
      </w:r>
      <w:r w:rsidRPr="00081508">
        <w:t>m</w:t>
      </w:r>
      <w:r w:rsidRPr="00244E73">
        <w:rPr>
          <w:szCs w:val="22"/>
        </w:rPr>
        <w:t>p</w:t>
      </w:r>
      <w:r w:rsidRPr="00081508">
        <w:t>li</w:t>
      </w:r>
      <w:r w:rsidRPr="00244E73">
        <w:rPr>
          <w:szCs w:val="22"/>
        </w:rPr>
        <w:t xml:space="preserve">ed </w:t>
      </w:r>
      <w:r w:rsidRPr="00081508">
        <w:t>wit</w:t>
      </w:r>
      <w:r w:rsidRPr="00244E73">
        <w:rPr>
          <w:szCs w:val="22"/>
        </w:rPr>
        <w:t>h</w:t>
      </w:r>
      <w:r w:rsidRPr="00081508">
        <w:t xml:space="preserve"> t</w:t>
      </w:r>
      <w:r w:rsidRPr="00244E73">
        <w:rPr>
          <w:szCs w:val="22"/>
        </w:rPr>
        <w:t>he</w:t>
      </w:r>
      <w:r w:rsidRPr="00081508">
        <w:t xml:space="preserve"> i</w:t>
      </w:r>
      <w:r w:rsidRPr="00244E73">
        <w:rPr>
          <w:szCs w:val="22"/>
        </w:rPr>
        <w:t>n</w:t>
      </w:r>
      <w:r w:rsidRPr="00081508">
        <w:t>d</w:t>
      </w:r>
      <w:r w:rsidRPr="00244E73">
        <w:rPr>
          <w:szCs w:val="22"/>
        </w:rPr>
        <w:t>epend</w:t>
      </w:r>
      <w:r w:rsidRPr="00081508">
        <w:t>e</w:t>
      </w:r>
      <w:r w:rsidRPr="00244E73">
        <w:rPr>
          <w:szCs w:val="22"/>
        </w:rPr>
        <w:t>nce</w:t>
      </w:r>
      <w:r w:rsidRPr="00081508">
        <w:t xml:space="preserve"> r</w:t>
      </w:r>
      <w:r w:rsidRPr="00244E73">
        <w:rPr>
          <w:szCs w:val="22"/>
        </w:rPr>
        <w:t>eq</w:t>
      </w:r>
      <w:r w:rsidRPr="00081508">
        <w:t>uir</w:t>
      </w:r>
      <w:r w:rsidRPr="00244E73">
        <w:rPr>
          <w:szCs w:val="22"/>
        </w:rPr>
        <w:t>e</w:t>
      </w:r>
      <w:r w:rsidRPr="00081508">
        <w:t>m</w:t>
      </w:r>
      <w:r w:rsidRPr="00244E73">
        <w:rPr>
          <w:szCs w:val="22"/>
        </w:rPr>
        <w:t>en</w:t>
      </w:r>
      <w:r w:rsidRPr="00081508">
        <w:t>t</w:t>
      </w:r>
      <w:r w:rsidRPr="00244E73">
        <w:rPr>
          <w:szCs w:val="22"/>
        </w:rPr>
        <w:t>s</w:t>
      </w:r>
      <w:r w:rsidRPr="00081508">
        <w:t xml:space="preserve"> </w:t>
      </w:r>
      <w:r w:rsidRPr="00244E73">
        <w:rPr>
          <w:szCs w:val="22"/>
        </w:rPr>
        <w:t>of</w:t>
      </w:r>
      <w:r w:rsidRPr="00081508">
        <w:t xml:space="preserve"> A</w:t>
      </w:r>
      <w:r w:rsidRPr="00244E73">
        <w:rPr>
          <w:szCs w:val="22"/>
        </w:rPr>
        <w:t>PES</w:t>
      </w:r>
      <w:r w:rsidR="0013783A">
        <w:rPr>
          <w:szCs w:val="22"/>
        </w:rPr>
        <w:t> </w:t>
      </w:r>
      <w:r w:rsidRPr="00244E73">
        <w:rPr>
          <w:szCs w:val="22"/>
        </w:rPr>
        <w:t>110:</w:t>
      </w:r>
      <w:r w:rsidRPr="00081508">
        <w:t xml:space="preserve"> C</w:t>
      </w:r>
      <w:r w:rsidRPr="00244E73">
        <w:rPr>
          <w:szCs w:val="22"/>
        </w:rPr>
        <w:t>o</w:t>
      </w:r>
      <w:r w:rsidRPr="00081508">
        <w:t>d</w:t>
      </w:r>
      <w:r w:rsidRPr="00244E73">
        <w:rPr>
          <w:szCs w:val="22"/>
        </w:rPr>
        <w:t>e</w:t>
      </w:r>
      <w:r w:rsidRPr="00081508">
        <w:t xml:space="preserve"> </w:t>
      </w:r>
      <w:r w:rsidRPr="00244E73">
        <w:rPr>
          <w:szCs w:val="22"/>
        </w:rPr>
        <w:t>of</w:t>
      </w:r>
      <w:r w:rsidRPr="00081508">
        <w:t xml:space="preserve"> Ethi</w:t>
      </w:r>
      <w:r w:rsidRPr="00244E73">
        <w:rPr>
          <w:szCs w:val="22"/>
        </w:rPr>
        <w:t>cs</w:t>
      </w:r>
      <w:r w:rsidRPr="00081508">
        <w:t xml:space="preserve"> f</w:t>
      </w:r>
      <w:r w:rsidRPr="00244E73">
        <w:rPr>
          <w:szCs w:val="22"/>
        </w:rPr>
        <w:t>or</w:t>
      </w:r>
      <w:r w:rsidRPr="00081508">
        <w:t xml:space="preserve"> </w:t>
      </w:r>
      <w:r w:rsidRPr="00244E73">
        <w:rPr>
          <w:szCs w:val="22"/>
        </w:rPr>
        <w:t>P</w:t>
      </w:r>
      <w:r w:rsidRPr="00081508">
        <w:t>rof</w:t>
      </w:r>
      <w:r w:rsidRPr="00244E73">
        <w:rPr>
          <w:szCs w:val="22"/>
        </w:rPr>
        <w:t>es</w:t>
      </w:r>
      <w:r w:rsidRPr="00081508">
        <w:t>si</w:t>
      </w:r>
      <w:r w:rsidRPr="00244E73">
        <w:rPr>
          <w:szCs w:val="22"/>
        </w:rPr>
        <w:t>o</w:t>
      </w:r>
      <w:r w:rsidRPr="00081508">
        <w:t>n</w:t>
      </w:r>
      <w:r w:rsidRPr="00244E73">
        <w:rPr>
          <w:szCs w:val="22"/>
        </w:rPr>
        <w:t>al</w:t>
      </w:r>
      <w:r w:rsidRPr="00081508">
        <w:t xml:space="preserve"> Ac</w:t>
      </w:r>
      <w:r w:rsidRPr="00244E73">
        <w:rPr>
          <w:szCs w:val="22"/>
        </w:rPr>
        <w:t>cou</w:t>
      </w:r>
      <w:r w:rsidRPr="00081508">
        <w:t>nt</w:t>
      </w:r>
      <w:r w:rsidRPr="00244E73">
        <w:rPr>
          <w:szCs w:val="22"/>
        </w:rPr>
        <w:t>a</w:t>
      </w:r>
      <w:r w:rsidRPr="00081508">
        <w:t>nt</w:t>
      </w:r>
      <w:r w:rsidRPr="00244E73">
        <w:rPr>
          <w:szCs w:val="22"/>
        </w:rPr>
        <w:t>s.</w:t>
      </w:r>
    </w:p>
    <w:p w14:paraId="1F39988A" w14:textId="63680B8D" w:rsidR="002E03A9" w:rsidRPr="00244E73" w:rsidRDefault="002E03A9" w:rsidP="001D7B77">
      <w:pPr>
        <w:pStyle w:val="MIRHeading3"/>
        <w:spacing w:before="360"/>
      </w:pPr>
      <w:r w:rsidRPr="001D7B77">
        <w:t>[QUALIF</w:t>
      </w:r>
      <w:r w:rsidRPr="00244E73">
        <w:rPr>
          <w:bCs/>
          <w:szCs w:val="22"/>
        </w:rPr>
        <w:t>I</w:t>
      </w:r>
      <w:r w:rsidRPr="001D7B77">
        <w:t>ED</w:t>
      </w:r>
      <w:r w:rsidRPr="00244E73">
        <w:rPr>
          <w:bCs/>
          <w:szCs w:val="22"/>
        </w:rPr>
        <w:t>]</w:t>
      </w:r>
      <w:r w:rsidRPr="001D7B77">
        <w:t xml:space="preserve"> AUD</w:t>
      </w:r>
      <w:r w:rsidRPr="00244E73">
        <w:rPr>
          <w:bCs/>
          <w:szCs w:val="22"/>
        </w:rPr>
        <w:t>I</w:t>
      </w:r>
      <w:r w:rsidRPr="001D7B77">
        <w:t>TOR’</w:t>
      </w:r>
      <w:r w:rsidRPr="00244E73">
        <w:rPr>
          <w:bCs/>
          <w:szCs w:val="22"/>
        </w:rPr>
        <w:t xml:space="preserve">S </w:t>
      </w:r>
      <w:r w:rsidRPr="001D7B77">
        <w:t>OP</w:t>
      </w:r>
      <w:r w:rsidRPr="00244E73">
        <w:rPr>
          <w:bCs/>
          <w:szCs w:val="22"/>
        </w:rPr>
        <w:t>I</w:t>
      </w:r>
      <w:r w:rsidRPr="001D7B77">
        <w:t>N</w:t>
      </w:r>
      <w:r w:rsidRPr="00244E73">
        <w:rPr>
          <w:bCs/>
          <w:szCs w:val="22"/>
        </w:rPr>
        <w:t>I</w:t>
      </w:r>
      <w:r w:rsidRPr="001D7B77">
        <w:t>O</w:t>
      </w:r>
      <w:r w:rsidRPr="00244E73">
        <w:rPr>
          <w:bCs/>
          <w:szCs w:val="22"/>
        </w:rPr>
        <w:t>N</w:t>
      </w:r>
    </w:p>
    <w:p w14:paraId="5CEF7DC6" w14:textId="58C90A52" w:rsidR="002E03A9" w:rsidRPr="0033698E" w:rsidRDefault="002E03A9" w:rsidP="001D7B77">
      <w:pPr>
        <w:spacing w:before="200" w:after="0" w:line="280" w:lineRule="atLeast"/>
        <w:ind w:right="556"/>
      </w:pPr>
      <w:r w:rsidRPr="001D7B77">
        <w:t>I</w:t>
      </w:r>
      <w:r w:rsidRPr="00244E73">
        <w:rPr>
          <w:szCs w:val="22"/>
        </w:rPr>
        <w:t>n our</w:t>
      </w:r>
      <w:r w:rsidRPr="001D7B77">
        <w:t xml:space="preserve"> </w:t>
      </w:r>
      <w:r w:rsidRPr="00244E73">
        <w:rPr>
          <w:szCs w:val="22"/>
        </w:rPr>
        <w:t>op</w:t>
      </w:r>
      <w:r w:rsidRPr="001D7B77">
        <w:t>i</w:t>
      </w:r>
      <w:r w:rsidRPr="00244E73">
        <w:rPr>
          <w:szCs w:val="22"/>
        </w:rPr>
        <w:t>n</w:t>
      </w:r>
      <w:r w:rsidRPr="001D7B77">
        <w:t>i</w:t>
      </w:r>
      <w:r w:rsidRPr="00244E73">
        <w:rPr>
          <w:szCs w:val="22"/>
        </w:rPr>
        <w:t>o</w:t>
      </w:r>
      <w:r w:rsidRPr="001D7B77">
        <w:t>n</w:t>
      </w:r>
      <w:r w:rsidRPr="00244E73">
        <w:rPr>
          <w:szCs w:val="22"/>
        </w:rPr>
        <w:t xml:space="preserve">, </w:t>
      </w:r>
      <w:r w:rsidRPr="001D7B77">
        <w:rPr>
          <w:b/>
        </w:rPr>
        <w:t>[</w:t>
      </w:r>
      <w:r w:rsidRPr="00415694">
        <w:rPr>
          <w:b/>
        </w:rPr>
        <w:t>e</w:t>
      </w:r>
      <w:r w:rsidRPr="001D7B77">
        <w:rPr>
          <w:b/>
        </w:rPr>
        <w:t>x</w:t>
      </w:r>
      <w:r w:rsidRPr="00415694">
        <w:rPr>
          <w:b/>
        </w:rPr>
        <w:t>ce</w:t>
      </w:r>
      <w:r w:rsidRPr="001D7B77">
        <w:rPr>
          <w:b/>
        </w:rPr>
        <w:t>p</w:t>
      </w:r>
      <w:r w:rsidRPr="00415694">
        <w:rPr>
          <w:b/>
        </w:rPr>
        <w:t>t</w:t>
      </w:r>
      <w:r w:rsidRPr="001D7B77">
        <w:rPr>
          <w:b/>
        </w:rPr>
        <w:t xml:space="preserve"> fo</w:t>
      </w:r>
      <w:r w:rsidRPr="00415694">
        <w:rPr>
          <w:b/>
        </w:rPr>
        <w:t>r</w:t>
      </w:r>
      <w:r w:rsidRPr="001D7B77">
        <w:rPr>
          <w:b/>
        </w:rPr>
        <w:t xml:space="preserve"> t</w:t>
      </w:r>
      <w:r w:rsidRPr="00415694">
        <w:rPr>
          <w:b/>
        </w:rPr>
        <w:t>he</w:t>
      </w:r>
      <w:r w:rsidRPr="001D7B77">
        <w:rPr>
          <w:b/>
        </w:rPr>
        <w:t xml:space="preserve"> m</w:t>
      </w:r>
      <w:r w:rsidRPr="00415694">
        <w:rPr>
          <w:b/>
        </w:rPr>
        <w:t>a</w:t>
      </w:r>
      <w:r w:rsidRPr="001D7B77">
        <w:rPr>
          <w:b/>
        </w:rPr>
        <w:t>tt</w:t>
      </w:r>
      <w:r w:rsidRPr="00415694">
        <w:rPr>
          <w:b/>
        </w:rPr>
        <w:t>e</w:t>
      </w:r>
      <w:r w:rsidRPr="001D7B77">
        <w:rPr>
          <w:b/>
        </w:rPr>
        <w:t>r</w:t>
      </w:r>
      <w:r w:rsidRPr="00415694">
        <w:rPr>
          <w:b/>
        </w:rPr>
        <w:t>s</w:t>
      </w:r>
      <w:r w:rsidRPr="001D7B77">
        <w:rPr>
          <w:b/>
        </w:rPr>
        <w:t xml:space="preserve"> </w:t>
      </w:r>
      <w:r w:rsidRPr="00415694">
        <w:rPr>
          <w:b/>
        </w:rPr>
        <w:t>r</w:t>
      </w:r>
      <w:r w:rsidRPr="001D7B77">
        <w:rPr>
          <w:b/>
        </w:rPr>
        <w:t>ef</w:t>
      </w:r>
      <w:r w:rsidRPr="00415694">
        <w:rPr>
          <w:b/>
        </w:rPr>
        <w:t>e</w:t>
      </w:r>
      <w:r w:rsidRPr="001D7B77">
        <w:rPr>
          <w:b/>
        </w:rPr>
        <w:t>r</w:t>
      </w:r>
      <w:r w:rsidRPr="00415694">
        <w:rPr>
          <w:b/>
        </w:rPr>
        <w:t>red</w:t>
      </w:r>
      <w:r w:rsidRPr="001D7B77">
        <w:rPr>
          <w:b/>
        </w:rPr>
        <w:t xml:space="preserve"> t</w:t>
      </w:r>
      <w:r w:rsidRPr="00415694">
        <w:rPr>
          <w:b/>
        </w:rPr>
        <w:t xml:space="preserve">o </w:t>
      </w:r>
      <w:r w:rsidRPr="001D7B77">
        <w:rPr>
          <w:b/>
        </w:rPr>
        <w:t>i</w:t>
      </w:r>
      <w:r w:rsidRPr="00415694">
        <w:rPr>
          <w:b/>
        </w:rPr>
        <w:t>n</w:t>
      </w:r>
      <w:r w:rsidRPr="001D7B77">
        <w:rPr>
          <w:b/>
        </w:rPr>
        <w:t xml:space="preserve"> t</w:t>
      </w:r>
      <w:r w:rsidRPr="00415694">
        <w:rPr>
          <w:b/>
        </w:rPr>
        <w:t>he</w:t>
      </w:r>
      <w:r w:rsidRPr="001D7B77">
        <w:rPr>
          <w:b/>
        </w:rPr>
        <w:t xml:space="preserve"> </w:t>
      </w:r>
      <w:r w:rsidRPr="00415694">
        <w:rPr>
          <w:b/>
        </w:rPr>
        <w:t>qu</w:t>
      </w:r>
      <w:r w:rsidRPr="001D7B77">
        <w:rPr>
          <w:b/>
        </w:rPr>
        <w:t>alific</w:t>
      </w:r>
      <w:r w:rsidRPr="00415694">
        <w:rPr>
          <w:b/>
        </w:rPr>
        <w:t>a</w:t>
      </w:r>
      <w:r w:rsidRPr="001D7B77">
        <w:rPr>
          <w:b/>
        </w:rPr>
        <w:t>ti</w:t>
      </w:r>
      <w:r w:rsidRPr="00415694">
        <w:rPr>
          <w:b/>
        </w:rPr>
        <w:t>on b</w:t>
      </w:r>
      <w:r w:rsidRPr="001D7B77">
        <w:rPr>
          <w:b/>
        </w:rPr>
        <w:t>elow]</w:t>
      </w:r>
      <w:r w:rsidRPr="001D7B77">
        <w:t>, t</w:t>
      </w:r>
      <w:r w:rsidRPr="00244E73">
        <w:rPr>
          <w:szCs w:val="22"/>
        </w:rPr>
        <w:t>he</w:t>
      </w:r>
      <w:r w:rsidRPr="001D7B77">
        <w:t xml:space="preserve"> R</w:t>
      </w:r>
      <w:r w:rsidRPr="00244E73">
        <w:rPr>
          <w:szCs w:val="22"/>
        </w:rPr>
        <w:t>e</w:t>
      </w:r>
      <w:r w:rsidRPr="001D7B77">
        <w:t>tur</w:t>
      </w:r>
      <w:r w:rsidRPr="00244E73">
        <w:rPr>
          <w:szCs w:val="22"/>
        </w:rPr>
        <w:t>n of</w:t>
      </w:r>
      <w:r w:rsidRPr="001D7B77">
        <w:t xml:space="preserve"> </w:t>
      </w:r>
      <w:r w:rsidRPr="001D7B77">
        <w:rPr>
          <w:b/>
        </w:rPr>
        <w:t>[Pa</w:t>
      </w:r>
      <w:r w:rsidRPr="00415694">
        <w:rPr>
          <w:b/>
        </w:rPr>
        <w:t>r</w:t>
      </w:r>
      <w:r w:rsidRPr="001D7B77">
        <w:rPr>
          <w:b/>
        </w:rPr>
        <w:t>tici</w:t>
      </w:r>
      <w:r w:rsidRPr="00415694">
        <w:rPr>
          <w:b/>
        </w:rPr>
        <w:t>pan</w:t>
      </w:r>
      <w:r w:rsidRPr="001D7B77">
        <w:rPr>
          <w:b/>
        </w:rPr>
        <w:t>t</w:t>
      </w:r>
      <w:r w:rsidRPr="00415694">
        <w:rPr>
          <w:b/>
        </w:rPr>
        <w:t>_</w:t>
      </w:r>
      <w:r w:rsidRPr="001D7B77">
        <w:rPr>
          <w:b/>
        </w:rPr>
        <w:t>n</w:t>
      </w:r>
      <w:r w:rsidRPr="00415694">
        <w:rPr>
          <w:b/>
        </w:rPr>
        <w:t>a</w:t>
      </w:r>
      <w:r w:rsidRPr="001D7B77">
        <w:rPr>
          <w:b/>
        </w:rPr>
        <w:t>me</w:t>
      </w:r>
      <w:r w:rsidRPr="00415694">
        <w:rPr>
          <w:b/>
        </w:rPr>
        <w:t>]</w:t>
      </w:r>
      <w:r w:rsidRPr="001D7B77">
        <w:t xml:space="preserve"> f</w:t>
      </w:r>
      <w:r w:rsidRPr="00244E73">
        <w:rPr>
          <w:szCs w:val="22"/>
        </w:rPr>
        <w:t>or</w:t>
      </w:r>
      <w:r w:rsidRPr="001D7B77">
        <w:t xml:space="preserve"> t</w:t>
      </w:r>
      <w:r w:rsidRPr="00244E73">
        <w:rPr>
          <w:szCs w:val="22"/>
        </w:rPr>
        <w:t>he</w:t>
      </w:r>
      <w:r w:rsidRPr="001D7B77">
        <w:t xml:space="preserve"> </w:t>
      </w:r>
      <w:r w:rsidRPr="001D7B77">
        <w:rPr>
          <w:b/>
        </w:rPr>
        <w:t>[</w:t>
      </w:r>
      <w:r w:rsidRPr="00415694">
        <w:rPr>
          <w:b/>
        </w:rPr>
        <w:t>pe</w:t>
      </w:r>
      <w:r w:rsidRPr="001D7B77">
        <w:rPr>
          <w:b/>
        </w:rPr>
        <w:t>ri</w:t>
      </w:r>
      <w:r w:rsidRPr="00415694">
        <w:rPr>
          <w:b/>
        </w:rPr>
        <w:t>od]</w:t>
      </w:r>
      <w:r w:rsidRPr="001D7B77">
        <w:t xml:space="preserve"> </w:t>
      </w:r>
      <w:r w:rsidRPr="00244E73">
        <w:rPr>
          <w:szCs w:val="22"/>
        </w:rPr>
        <w:t>end</w:t>
      </w:r>
      <w:r w:rsidRPr="001D7B77">
        <w:t>e</w:t>
      </w:r>
      <w:r w:rsidRPr="00244E73">
        <w:rPr>
          <w:szCs w:val="22"/>
        </w:rPr>
        <w:t xml:space="preserve">d </w:t>
      </w:r>
      <w:r w:rsidRPr="001D7B77">
        <w:rPr>
          <w:b/>
        </w:rPr>
        <w:t>[</w:t>
      </w:r>
      <w:r w:rsidRPr="00415694">
        <w:rPr>
          <w:b/>
        </w:rPr>
        <w:t>d</w:t>
      </w:r>
      <w:r w:rsidRPr="001D7B77">
        <w:rPr>
          <w:b/>
        </w:rPr>
        <w:t>ate</w:t>
      </w:r>
      <w:r w:rsidRPr="00415694">
        <w:rPr>
          <w:b/>
        </w:rPr>
        <w:t>]</w:t>
      </w:r>
      <w:r w:rsidRPr="001D7B77">
        <w:t xml:space="preserve"> pr</w:t>
      </w:r>
      <w:r w:rsidRPr="00244E73">
        <w:rPr>
          <w:szCs w:val="22"/>
        </w:rPr>
        <w:t>es</w:t>
      </w:r>
      <w:r w:rsidRPr="001D7B77">
        <w:t>e</w:t>
      </w:r>
      <w:r w:rsidRPr="00244E73">
        <w:rPr>
          <w:szCs w:val="22"/>
        </w:rPr>
        <w:t>n</w:t>
      </w:r>
      <w:r w:rsidRPr="001D7B77">
        <w:t>t</w:t>
      </w:r>
      <w:r w:rsidRPr="00244E73">
        <w:rPr>
          <w:szCs w:val="22"/>
        </w:rPr>
        <w:t>s</w:t>
      </w:r>
      <w:r w:rsidRPr="001D7B77">
        <w:t xml:space="preserve"> </w:t>
      </w:r>
      <w:r w:rsidRPr="00244E73">
        <w:rPr>
          <w:szCs w:val="22"/>
        </w:rPr>
        <w:t>f</w:t>
      </w:r>
      <w:r w:rsidRPr="001D7B77">
        <w:t>airly</w:t>
      </w:r>
      <w:r w:rsidRPr="00244E73">
        <w:rPr>
          <w:szCs w:val="22"/>
        </w:rPr>
        <w:t>,</w:t>
      </w:r>
      <w:r w:rsidRPr="001D7B77">
        <w:t xml:space="preserve"> i</w:t>
      </w:r>
      <w:r w:rsidRPr="00244E73">
        <w:rPr>
          <w:szCs w:val="22"/>
        </w:rPr>
        <w:t xml:space="preserve">n </w:t>
      </w:r>
      <w:r w:rsidRPr="001D7B77">
        <w:t>al</w:t>
      </w:r>
      <w:r w:rsidRPr="00244E73">
        <w:rPr>
          <w:szCs w:val="22"/>
        </w:rPr>
        <w:t>l</w:t>
      </w:r>
      <w:r w:rsidRPr="001D7B77">
        <w:t xml:space="preserve"> m</w:t>
      </w:r>
      <w:r w:rsidRPr="00244E73">
        <w:rPr>
          <w:szCs w:val="22"/>
        </w:rPr>
        <w:t>a</w:t>
      </w:r>
      <w:r w:rsidRPr="001D7B77">
        <w:t>teria</w:t>
      </w:r>
      <w:r w:rsidRPr="00244E73">
        <w:rPr>
          <w:szCs w:val="22"/>
        </w:rPr>
        <w:t>l</w:t>
      </w:r>
      <w:r w:rsidRPr="001D7B77">
        <w:t xml:space="preserve"> </w:t>
      </w:r>
      <w:r w:rsidRPr="00244E73">
        <w:rPr>
          <w:szCs w:val="22"/>
        </w:rPr>
        <w:t>r</w:t>
      </w:r>
      <w:r w:rsidRPr="001D7B77">
        <w:t>e</w:t>
      </w:r>
      <w:r w:rsidRPr="00244E73">
        <w:rPr>
          <w:szCs w:val="22"/>
        </w:rPr>
        <w:t>sp</w:t>
      </w:r>
      <w:r w:rsidRPr="001D7B77">
        <w:t>e</w:t>
      </w:r>
      <w:r w:rsidRPr="00244E73">
        <w:rPr>
          <w:szCs w:val="22"/>
        </w:rPr>
        <w:t>c</w:t>
      </w:r>
      <w:r w:rsidRPr="001D7B77">
        <w:t>t</w:t>
      </w:r>
      <w:r w:rsidRPr="00244E73">
        <w:rPr>
          <w:szCs w:val="22"/>
        </w:rPr>
        <w:t xml:space="preserve">s, </w:t>
      </w:r>
      <w:r w:rsidRPr="001D7B77">
        <w:t>t</w:t>
      </w:r>
      <w:r w:rsidRPr="00244E73">
        <w:rPr>
          <w:szCs w:val="22"/>
        </w:rPr>
        <w:t>he</w:t>
      </w:r>
      <w:r w:rsidRPr="001D7B77">
        <w:t xml:space="preserve"> fin</w:t>
      </w:r>
      <w:r w:rsidRPr="00244E73">
        <w:rPr>
          <w:szCs w:val="22"/>
        </w:rPr>
        <w:t>an</w:t>
      </w:r>
      <w:r w:rsidRPr="001D7B77">
        <w:t>ci</w:t>
      </w:r>
      <w:r w:rsidRPr="00244E73">
        <w:rPr>
          <w:szCs w:val="22"/>
        </w:rPr>
        <w:t>al</w:t>
      </w:r>
      <w:r w:rsidRPr="001D7B77">
        <w:t xml:space="preserve"> inf</w:t>
      </w:r>
      <w:r w:rsidRPr="00244E73">
        <w:rPr>
          <w:szCs w:val="22"/>
        </w:rPr>
        <w:t>o</w:t>
      </w:r>
      <w:r w:rsidRPr="001D7B77">
        <w:t>rm</w:t>
      </w:r>
      <w:r w:rsidRPr="00244E73">
        <w:rPr>
          <w:szCs w:val="22"/>
        </w:rPr>
        <w:t>a</w:t>
      </w:r>
      <w:r w:rsidRPr="001D7B77">
        <w:t>ti</w:t>
      </w:r>
      <w:r w:rsidRPr="00244E73">
        <w:rPr>
          <w:szCs w:val="22"/>
        </w:rPr>
        <w:t>on of</w:t>
      </w:r>
      <w:r w:rsidRPr="001D7B77">
        <w:t xml:space="preserve"> t</w:t>
      </w:r>
      <w:r w:rsidRPr="00244E73">
        <w:rPr>
          <w:szCs w:val="22"/>
        </w:rPr>
        <w:t>he</w:t>
      </w:r>
      <w:r w:rsidRPr="001D7B77">
        <w:t xml:space="preserve"> </w:t>
      </w:r>
      <w:r w:rsidRPr="00244E73">
        <w:rPr>
          <w:szCs w:val="22"/>
        </w:rPr>
        <w:t>P</w:t>
      </w:r>
      <w:r w:rsidRPr="001D7B77">
        <w:t>artici</w:t>
      </w:r>
      <w:r w:rsidRPr="00244E73">
        <w:rPr>
          <w:szCs w:val="22"/>
        </w:rPr>
        <w:t>p</w:t>
      </w:r>
      <w:r w:rsidRPr="001D7B77">
        <w:t>a</w:t>
      </w:r>
      <w:r w:rsidRPr="00244E73">
        <w:rPr>
          <w:szCs w:val="22"/>
        </w:rPr>
        <w:t>nt</w:t>
      </w:r>
      <w:r w:rsidRPr="001D7B77">
        <w:t xml:space="preserve"> f</w:t>
      </w:r>
      <w:r w:rsidRPr="00244E73">
        <w:rPr>
          <w:szCs w:val="22"/>
        </w:rPr>
        <w:t>or</w:t>
      </w:r>
      <w:r w:rsidRPr="001D7B77">
        <w:t xml:space="preserve"> t</w:t>
      </w:r>
      <w:r w:rsidRPr="00244E73">
        <w:rPr>
          <w:szCs w:val="22"/>
        </w:rPr>
        <w:t>he</w:t>
      </w:r>
      <w:r w:rsidRPr="001D7B77">
        <w:t xml:space="preserve"> </w:t>
      </w:r>
      <w:r w:rsidRPr="001D7B77">
        <w:rPr>
          <w:b/>
        </w:rPr>
        <w:t>[</w:t>
      </w:r>
      <w:r w:rsidRPr="00415694">
        <w:rPr>
          <w:b/>
        </w:rPr>
        <w:t>pe</w:t>
      </w:r>
      <w:r w:rsidRPr="001D7B77">
        <w:rPr>
          <w:b/>
        </w:rPr>
        <w:t>ri</w:t>
      </w:r>
      <w:r w:rsidRPr="00415694">
        <w:rPr>
          <w:b/>
        </w:rPr>
        <w:t>od]</w:t>
      </w:r>
      <w:r w:rsidRPr="001D7B77">
        <w:t xml:space="preserve"> </w:t>
      </w:r>
      <w:r w:rsidRPr="00244E73">
        <w:rPr>
          <w:szCs w:val="22"/>
        </w:rPr>
        <w:t>ended</w:t>
      </w:r>
      <w:r w:rsidRPr="001D7B77">
        <w:t xml:space="preserve"> </w:t>
      </w:r>
      <w:r w:rsidRPr="001D7B77">
        <w:rPr>
          <w:b/>
        </w:rPr>
        <w:t>[</w:t>
      </w:r>
      <w:r w:rsidRPr="00415694">
        <w:rPr>
          <w:b/>
        </w:rPr>
        <w:t>d</w:t>
      </w:r>
      <w:r w:rsidRPr="001D7B77">
        <w:rPr>
          <w:b/>
        </w:rPr>
        <w:t>at</w:t>
      </w:r>
      <w:r w:rsidRPr="00415694">
        <w:rPr>
          <w:b/>
        </w:rPr>
        <w:t>e]</w:t>
      </w:r>
      <w:r w:rsidRPr="001D7B77">
        <w:t xml:space="preserve"> </w:t>
      </w:r>
      <w:r w:rsidRPr="00244E73">
        <w:rPr>
          <w:szCs w:val="22"/>
        </w:rPr>
        <w:t>as</w:t>
      </w:r>
      <w:r w:rsidRPr="001D7B77">
        <w:t xml:space="preserve"> r</w:t>
      </w:r>
      <w:r w:rsidRPr="00244E73">
        <w:rPr>
          <w:szCs w:val="22"/>
        </w:rPr>
        <w:t>eq</w:t>
      </w:r>
      <w:r w:rsidRPr="001D7B77">
        <w:t>uir</w:t>
      </w:r>
      <w:r w:rsidRPr="00244E73">
        <w:rPr>
          <w:szCs w:val="22"/>
        </w:rPr>
        <w:t>ed by</w:t>
      </w:r>
      <w:r w:rsidRPr="001D7B77">
        <w:t xml:space="preserve"> A</w:t>
      </w:r>
      <w:r w:rsidRPr="00244E73">
        <w:rPr>
          <w:bCs/>
          <w:szCs w:val="22"/>
        </w:rPr>
        <w:t xml:space="preserve">SIC </w:t>
      </w:r>
      <w:r w:rsidRPr="001D7B77">
        <w:t>i</w:t>
      </w:r>
      <w:r w:rsidRPr="00244E73">
        <w:rPr>
          <w:bCs/>
          <w:szCs w:val="22"/>
        </w:rPr>
        <w:t>n ac</w:t>
      </w:r>
      <w:r w:rsidRPr="001D7B77">
        <w:t>c</w:t>
      </w:r>
      <w:r w:rsidRPr="00244E73">
        <w:rPr>
          <w:bCs/>
          <w:szCs w:val="22"/>
        </w:rPr>
        <w:t>ordan</w:t>
      </w:r>
      <w:r w:rsidRPr="001D7B77">
        <w:t>c</w:t>
      </w:r>
      <w:r w:rsidRPr="00244E73">
        <w:rPr>
          <w:bCs/>
          <w:szCs w:val="22"/>
        </w:rPr>
        <w:t>e</w:t>
      </w:r>
      <w:r w:rsidRPr="001D7B77">
        <w:t xml:space="preserve"> wit</w:t>
      </w:r>
      <w:r w:rsidRPr="00244E73">
        <w:rPr>
          <w:bCs/>
          <w:szCs w:val="22"/>
        </w:rPr>
        <w:t xml:space="preserve">h </w:t>
      </w:r>
      <w:r w:rsidRPr="001D7B77">
        <w:t>t</w:t>
      </w:r>
      <w:r w:rsidRPr="00244E73">
        <w:rPr>
          <w:bCs/>
          <w:szCs w:val="22"/>
        </w:rPr>
        <w:t>he</w:t>
      </w:r>
      <w:r w:rsidRPr="001D7B77">
        <w:t xml:space="preserve"> </w:t>
      </w:r>
      <w:r w:rsidR="0053215A" w:rsidRPr="001D7B77">
        <w:rPr>
          <w:b/>
          <w:i/>
        </w:rPr>
        <w:t xml:space="preserve">ASIC Market Integrity Rules (Capital) </w:t>
      </w:r>
      <w:r w:rsidR="0091639B" w:rsidRPr="001D7B77">
        <w:rPr>
          <w:b/>
          <w:i/>
        </w:rPr>
        <w:t>20</w:t>
      </w:r>
      <w:r w:rsidR="004F4E4F">
        <w:rPr>
          <w:b/>
          <w:i/>
        </w:rPr>
        <w:t>2</w:t>
      </w:r>
      <w:r w:rsidR="00BB486B">
        <w:rPr>
          <w:b/>
          <w:i/>
        </w:rPr>
        <w:t>1</w:t>
      </w:r>
      <w:r w:rsidR="0091639B" w:rsidRPr="001D7B77">
        <w:t xml:space="preserve"> </w:t>
      </w:r>
      <w:r w:rsidRPr="001D7B77">
        <w:t>t</w:t>
      </w:r>
      <w:r w:rsidRPr="00244E73">
        <w:rPr>
          <w:szCs w:val="22"/>
        </w:rPr>
        <w:t>h</w:t>
      </w:r>
      <w:r w:rsidRPr="001D7B77">
        <w:t>a</w:t>
      </w:r>
      <w:r w:rsidRPr="00244E73">
        <w:rPr>
          <w:szCs w:val="22"/>
        </w:rPr>
        <w:t>t</w:t>
      </w:r>
      <w:r w:rsidRPr="001D7B77">
        <w:t xml:space="preserve"> </w:t>
      </w:r>
      <w:r w:rsidRPr="00244E73">
        <w:rPr>
          <w:szCs w:val="22"/>
        </w:rPr>
        <w:t>a</w:t>
      </w:r>
      <w:r w:rsidRPr="001D7B77">
        <w:t>r</w:t>
      </w:r>
      <w:r w:rsidRPr="00244E73">
        <w:rPr>
          <w:szCs w:val="22"/>
        </w:rPr>
        <w:t>e</w:t>
      </w:r>
      <w:r w:rsidRPr="001D7B77">
        <w:t xml:space="preserve"> r</w:t>
      </w:r>
      <w:r w:rsidRPr="00244E73">
        <w:rPr>
          <w:szCs w:val="22"/>
        </w:rPr>
        <w:t>e</w:t>
      </w:r>
      <w:r w:rsidRPr="001D7B77">
        <w:t>l</w:t>
      </w:r>
      <w:r w:rsidRPr="00244E73">
        <w:rPr>
          <w:szCs w:val="22"/>
        </w:rPr>
        <w:t>e</w:t>
      </w:r>
      <w:r w:rsidRPr="001D7B77">
        <w:t>v</w:t>
      </w:r>
      <w:r w:rsidRPr="00244E73">
        <w:rPr>
          <w:szCs w:val="22"/>
        </w:rPr>
        <w:t>a</w:t>
      </w:r>
      <w:r w:rsidRPr="001D7B77">
        <w:t>n</w:t>
      </w:r>
      <w:r w:rsidRPr="00244E73">
        <w:rPr>
          <w:szCs w:val="22"/>
        </w:rPr>
        <w:t xml:space="preserve">t </w:t>
      </w:r>
      <w:r w:rsidRPr="001D7B77">
        <w:t>t</w:t>
      </w:r>
      <w:r w:rsidRPr="00244E73">
        <w:rPr>
          <w:szCs w:val="22"/>
        </w:rPr>
        <w:t xml:space="preserve">o </w:t>
      </w:r>
      <w:r w:rsidRPr="001D7B77">
        <w:t>th</w:t>
      </w:r>
      <w:r w:rsidRPr="00244E73">
        <w:rPr>
          <w:szCs w:val="22"/>
        </w:rPr>
        <w:t>e</w:t>
      </w:r>
      <w:r w:rsidRPr="001D7B77">
        <w:t xml:space="preserve"> </w:t>
      </w:r>
      <w:r w:rsidRPr="00244E73">
        <w:rPr>
          <w:szCs w:val="22"/>
        </w:rPr>
        <w:t>p</w:t>
      </w:r>
      <w:r w:rsidRPr="001D7B77">
        <w:t>r</w:t>
      </w:r>
      <w:r w:rsidRPr="00244E73">
        <w:rPr>
          <w:szCs w:val="22"/>
        </w:rPr>
        <w:t>ep</w:t>
      </w:r>
      <w:r w:rsidRPr="001D7B77">
        <w:t>arati</w:t>
      </w:r>
      <w:r w:rsidRPr="00244E73">
        <w:rPr>
          <w:szCs w:val="22"/>
        </w:rPr>
        <w:t>on</w:t>
      </w:r>
      <w:r w:rsidRPr="001D7B77">
        <w:t xml:space="preserve"> </w:t>
      </w:r>
      <w:r w:rsidRPr="00244E73">
        <w:rPr>
          <w:szCs w:val="22"/>
        </w:rPr>
        <w:t xml:space="preserve">and </w:t>
      </w:r>
      <w:r w:rsidRPr="001D7B77">
        <w:t>pre</w:t>
      </w:r>
      <w:r w:rsidRPr="00244E73">
        <w:rPr>
          <w:szCs w:val="22"/>
        </w:rPr>
        <w:t>s</w:t>
      </w:r>
      <w:r w:rsidRPr="001D7B77">
        <w:t>e</w:t>
      </w:r>
      <w:r w:rsidRPr="00244E73">
        <w:rPr>
          <w:szCs w:val="22"/>
        </w:rPr>
        <w:t>n</w:t>
      </w:r>
      <w:r w:rsidRPr="001D7B77">
        <w:t>tati</w:t>
      </w:r>
      <w:r w:rsidRPr="00244E73">
        <w:rPr>
          <w:szCs w:val="22"/>
        </w:rPr>
        <w:t>on</w:t>
      </w:r>
      <w:r w:rsidRPr="001D7B77">
        <w:t xml:space="preserve"> </w:t>
      </w:r>
      <w:r w:rsidRPr="00244E73">
        <w:rPr>
          <w:szCs w:val="22"/>
        </w:rPr>
        <w:t>of</w:t>
      </w:r>
      <w:r w:rsidRPr="001D7B77">
        <w:t xml:space="preserve"> t</w:t>
      </w:r>
      <w:r w:rsidRPr="00244E73">
        <w:rPr>
          <w:szCs w:val="22"/>
        </w:rPr>
        <w:t>he</w:t>
      </w:r>
      <w:r w:rsidRPr="001D7B77">
        <w:t xml:space="preserve"> Retur</w:t>
      </w:r>
      <w:r w:rsidRPr="00244E73">
        <w:rPr>
          <w:szCs w:val="22"/>
        </w:rPr>
        <w:t>n.</w:t>
      </w:r>
    </w:p>
    <w:p w14:paraId="53E64AA7" w14:textId="77777777" w:rsidR="002E03A9" w:rsidRPr="00100F9A" w:rsidRDefault="002E03A9" w:rsidP="001D7B77">
      <w:pPr>
        <w:pStyle w:val="MIRHeading3"/>
        <w:spacing w:before="360"/>
        <w:rPr>
          <w:szCs w:val="22"/>
        </w:rPr>
      </w:pPr>
      <w:r w:rsidRPr="001D7B77">
        <w:rPr>
          <w:rFonts w:ascii="Times New Roman" w:hAnsi="Times New Roman" w:cs="Times New Roman"/>
          <w:sz w:val="22"/>
          <w:szCs w:val="22"/>
        </w:rPr>
        <w:t>QUALIFICATION (IF APPLICABLE)</w:t>
      </w:r>
    </w:p>
    <w:p w14:paraId="70CCE782" w14:textId="39A32EA5" w:rsidR="002E03A9" w:rsidRPr="00415694" w:rsidRDefault="002E03A9" w:rsidP="001D7B77">
      <w:pPr>
        <w:spacing w:before="100" w:after="0" w:line="300" w:lineRule="atLeast"/>
        <w:ind w:right="553"/>
      </w:pPr>
      <w:r w:rsidRPr="001D7B77">
        <w:t>D</w:t>
      </w:r>
      <w:r w:rsidRPr="00415694">
        <w:t>a</w:t>
      </w:r>
      <w:r w:rsidRPr="001D7B77">
        <w:t>t</w:t>
      </w:r>
      <w:r w:rsidRPr="00415694">
        <w:t>ed</w:t>
      </w:r>
      <w:r w:rsidRPr="001D7B77">
        <w:t xml:space="preserve"> t</w:t>
      </w:r>
      <w:r w:rsidRPr="00415694">
        <w:t>h</w:t>
      </w:r>
      <w:r w:rsidRPr="001D7B77">
        <w:t>i</w:t>
      </w:r>
      <w:r w:rsidRPr="00415694">
        <w:t>s</w:t>
      </w:r>
      <w:r w:rsidRPr="001D7B77">
        <w:t xml:space="preserve"> </w:t>
      </w:r>
      <w:r w:rsidRPr="00415694">
        <w:t>.......</w:t>
      </w:r>
      <w:r w:rsidRPr="001D7B77">
        <w:t>.</w:t>
      </w:r>
      <w:r w:rsidRPr="00415694">
        <w:t>...........</w:t>
      </w:r>
      <w:r w:rsidRPr="001D7B77">
        <w:t>.</w:t>
      </w:r>
      <w:r w:rsidRPr="00415694">
        <w:t>......</w:t>
      </w:r>
      <w:r w:rsidRPr="001D7B77">
        <w:t>.</w:t>
      </w:r>
      <w:r w:rsidRPr="00415694">
        <w:t>.................</w:t>
      </w:r>
      <w:r w:rsidRPr="001D7B77">
        <w:t>.</w:t>
      </w:r>
      <w:r w:rsidRPr="00415694">
        <w:t>..... day</w:t>
      </w:r>
      <w:r w:rsidRPr="001D7B77">
        <w:t xml:space="preserve"> </w:t>
      </w:r>
      <w:r w:rsidRPr="00415694">
        <w:t>of</w:t>
      </w:r>
      <w:r w:rsidRPr="001D7B77">
        <w:t xml:space="preserve"> .</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r w:rsidR="00415694">
        <w:t>.</w:t>
      </w:r>
    </w:p>
    <w:p w14:paraId="7FDA6C92" w14:textId="44414715" w:rsidR="002E03A9" w:rsidRPr="00415694" w:rsidRDefault="002E03A9" w:rsidP="001D7B77">
      <w:pPr>
        <w:spacing w:before="100" w:after="0" w:line="300" w:lineRule="atLeast"/>
        <w:ind w:right="485"/>
      </w:pPr>
      <w:r w:rsidRPr="001D7B77">
        <w:rPr>
          <w:b/>
        </w:rPr>
        <w:t>A</w:t>
      </w:r>
      <w:r w:rsidRPr="00415694">
        <w:rPr>
          <w:b/>
        </w:rPr>
        <w:t>ud</w:t>
      </w:r>
      <w:r w:rsidRPr="001D7B77">
        <w:rPr>
          <w:b/>
        </w:rPr>
        <w:t>i</w:t>
      </w:r>
      <w:r w:rsidRPr="00415694">
        <w:rPr>
          <w:b/>
        </w:rPr>
        <w:t>t</w:t>
      </w:r>
      <w:r w:rsidRPr="001D7B77">
        <w:rPr>
          <w:b/>
        </w:rPr>
        <w:t xml:space="preserve"> Fi</w:t>
      </w:r>
      <w:r w:rsidRPr="00415694">
        <w:rPr>
          <w:b/>
        </w:rPr>
        <w:t>rm</w:t>
      </w:r>
      <w:r w:rsidRPr="001D7B77">
        <w:rPr>
          <w:b/>
        </w:rPr>
        <w:t xml:space="preserve"> </w:t>
      </w:r>
      <w:r w:rsidRPr="00415694">
        <w:rPr>
          <w:b/>
        </w:rPr>
        <w:t>“S</w:t>
      </w:r>
      <w:r w:rsidRPr="001D7B77">
        <w:rPr>
          <w:b/>
        </w:rPr>
        <w:t>i</w:t>
      </w:r>
      <w:r w:rsidRPr="00415694">
        <w:rPr>
          <w:b/>
        </w:rPr>
        <w:t>g</w:t>
      </w:r>
      <w:r w:rsidRPr="001D7B77">
        <w:rPr>
          <w:b/>
        </w:rPr>
        <w:t>n</w:t>
      </w:r>
      <w:r w:rsidRPr="00415694">
        <w:rPr>
          <w:b/>
        </w:rPr>
        <w:t>a</w:t>
      </w:r>
      <w:r w:rsidRPr="001D7B77">
        <w:rPr>
          <w:b/>
        </w:rPr>
        <w:t>t</w:t>
      </w:r>
      <w:r w:rsidRPr="00415694">
        <w:rPr>
          <w:b/>
        </w:rPr>
        <w:t>u</w:t>
      </w:r>
      <w:r w:rsidRPr="001D7B77">
        <w:rPr>
          <w:b/>
        </w:rPr>
        <w:t>r</w:t>
      </w:r>
      <w:r w:rsidRPr="00415694">
        <w:rPr>
          <w:b/>
        </w:rPr>
        <w:t>e”</w:t>
      </w:r>
      <w:r w:rsidRPr="001D7B77">
        <w:t xml:space="preserve"> </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p>
    <w:p w14:paraId="52BFEECC" w14:textId="1CA77F12" w:rsidR="00415694" w:rsidRDefault="002E03A9" w:rsidP="001D7B77">
      <w:pPr>
        <w:spacing w:before="100" w:after="0" w:line="300" w:lineRule="atLeast"/>
        <w:ind w:right="485"/>
      </w:pPr>
      <w:r w:rsidRPr="001D7B77">
        <w:t>N</w:t>
      </w:r>
      <w:r w:rsidRPr="00415694">
        <w:t>a</w:t>
      </w:r>
      <w:r w:rsidRPr="001D7B77">
        <w:t>m</w:t>
      </w:r>
      <w:r w:rsidRPr="00415694">
        <w:t>e</w:t>
      </w:r>
      <w:r w:rsidRPr="001D7B77">
        <w:t xml:space="preserve"> </w:t>
      </w:r>
      <w:r w:rsidRPr="00415694">
        <w:t>of</w:t>
      </w:r>
      <w:r w:rsidRPr="001D7B77">
        <w:t xml:space="preserve"> A</w:t>
      </w:r>
      <w:r w:rsidRPr="00415694">
        <w:t>ud</w:t>
      </w:r>
      <w:r w:rsidRPr="001D7B77">
        <w:t>i</w:t>
      </w:r>
      <w:r w:rsidRPr="00415694">
        <w:t>t</w:t>
      </w:r>
      <w:r w:rsidRPr="001D7B77">
        <w:t xml:space="preserve"> Fir</w:t>
      </w:r>
      <w:r w:rsidRPr="00415694">
        <w:t>m</w:t>
      </w:r>
      <w:r w:rsidRPr="001D7B77">
        <w:t xml:space="preserve"> </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p>
    <w:p w14:paraId="0A64982C" w14:textId="6634A534" w:rsidR="00415694" w:rsidRDefault="002E03A9" w:rsidP="001D7B77">
      <w:pPr>
        <w:spacing w:before="100" w:after="0" w:line="300" w:lineRule="atLeast"/>
        <w:ind w:right="485"/>
      </w:pPr>
      <w:r w:rsidRPr="001D7B77">
        <w:t>A</w:t>
      </w:r>
      <w:r w:rsidRPr="00415694">
        <w:t>dd</w:t>
      </w:r>
      <w:r w:rsidRPr="001D7B77">
        <w:t>r</w:t>
      </w:r>
      <w:r w:rsidRPr="00415694">
        <w:t>e</w:t>
      </w:r>
      <w:r w:rsidRPr="001D7B77">
        <w:t>s</w:t>
      </w:r>
      <w:r w:rsidRPr="00415694">
        <w:t>s</w:t>
      </w:r>
      <w:r w:rsidRPr="001D7B77">
        <w:t xml:space="preserve"> </w:t>
      </w:r>
      <w:r w:rsidRPr="00415694">
        <w:t>of</w:t>
      </w:r>
      <w:r w:rsidRPr="001D7B77">
        <w:t xml:space="preserve"> A</w:t>
      </w:r>
      <w:r w:rsidRPr="00415694">
        <w:t>u</w:t>
      </w:r>
      <w:r w:rsidRPr="001D7B77">
        <w:t>di</w:t>
      </w:r>
      <w:r w:rsidRPr="00415694">
        <w:t>t</w:t>
      </w:r>
      <w:r w:rsidRPr="001D7B77">
        <w:t xml:space="preserve"> </w:t>
      </w:r>
      <w:r w:rsidRPr="00415694">
        <w:t>F</w:t>
      </w:r>
      <w:r w:rsidRPr="001D7B77">
        <w:t>ir</w:t>
      </w:r>
      <w:r w:rsidRPr="00415694">
        <w:t>m</w:t>
      </w:r>
      <w:r w:rsidRPr="001D7B77">
        <w:t xml:space="preserve"> </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r w:rsidR="005B0B63">
        <w:t xml:space="preserve"> </w:t>
      </w:r>
    </w:p>
    <w:p w14:paraId="7984111A" w14:textId="4CD2816F" w:rsidR="002E03A9" w:rsidRPr="0033698E" w:rsidRDefault="002E03A9" w:rsidP="001D7B77">
      <w:pPr>
        <w:spacing w:before="100" w:after="0" w:line="300" w:lineRule="atLeast"/>
        <w:ind w:right="485"/>
      </w:pPr>
      <w:r w:rsidRPr="00415694">
        <w:t>Pa</w:t>
      </w:r>
      <w:r w:rsidRPr="001D7B77">
        <w:t>rtn</w:t>
      </w:r>
      <w:r w:rsidRPr="00415694">
        <w:t>e</w:t>
      </w:r>
      <w:r w:rsidRPr="001D7B77">
        <w:t>r’</w:t>
      </w:r>
      <w:r w:rsidRPr="00415694">
        <w:t>s</w:t>
      </w:r>
      <w:r w:rsidRPr="001D7B77">
        <w:t xml:space="preserve"> Sig</w:t>
      </w:r>
      <w:r w:rsidRPr="00415694">
        <w:t>na</w:t>
      </w:r>
      <w:r w:rsidRPr="001D7B77">
        <w:t>t</w:t>
      </w:r>
      <w:r w:rsidRPr="00415694">
        <w:t>u</w:t>
      </w:r>
      <w:r w:rsidRPr="001D7B77">
        <w:t>r</w:t>
      </w:r>
      <w:r w:rsidRPr="00415694">
        <w:t>e</w:t>
      </w:r>
      <w:r w:rsidRPr="001D7B77">
        <w:t xml:space="preserve"> </w:t>
      </w:r>
      <w:r w:rsidR="001D7B77" w:rsidRPr="00415694">
        <w:t>..........</w:t>
      </w:r>
      <w:r w:rsidR="001D7B77" w:rsidRPr="001D7B77">
        <w:t>.</w:t>
      </w:r>
      <w:r w:rsidR="001D7B77" w:rsidRPr="00415694">
        <w:t>.................</w:t>
      </w:r>
      <w:r w:rsidR="001D7B77" w:rsidRPr="001D7B77">
        <w:t>.</w:t>
      </w:r>
      <w:r w:rsidR="001D7B77" w:rsidRPr="00415694">
        <w:t>...........</w:t>
      </w:r>
      <w:r w:rsidR="001D7B77" w:rsidRPr="001D7B77">
        <w:t>.</w:t>
      </w:r>
      <w:r w:rsidR="001D7B77" w:rsidRPr="00415694">
        <w:t>...........</w:t>
      </w:r>
      <w:r w:rsidR="001D7B77" w:rsidRPr="001D7B77">
        <w:t>.</w:t>
      </w:r>
      <w:r w:rsidR="001D7B77" w:rsidRPr="00415694">
        <w:t>.</w:t>
      </w:r>
      <w:r w:rsidR="001D7B77" w:rsidRPr="001D7B77">
        <w:t>.</w:t>
      </w:r>
      <w:r w:rsidR="001D7B77" w:rsidRPr="00415694">
        <w:t>.................</w:t>
      </w:r>
      <w:r w:rsidR="001D7B77" w:rsidRPr="001D7B77">
        <w:t>.</w:t>
      </w:r>
      <w:r w:rsidR="001D7B77" w:rsidRPr="00415694">
        <w:t>...........</w:t>
      </w:r>
      <w:r w:rsidR="001D7B77" w:rsidRPr="001D7B77">
        <w:t>.</w:t>
      </w:r>
      <w:r w:rsidR="001D7B77" w:rsidRPr="00415694">
        <w:t>...........</w:t>
      </w:r>
      <w:r w:rsidR="001D7B77" w:rsidRPr="001D7B77">
        <w:t>.</w:t>
      </w:r>
      <w:r w:rsidR="001D7B77" w:rsidRPr="00415694">
        <w:t>.</w:t>
      </w:r>
      <w:r w:rsidR="001D7B77" w:rsidRPr="001D7B77">
        <w:t>.</w:t>
      </w:r>
      <w:r w:rsidR="001D7B77" w:rsidRPr="00415694">
        <w:t>..........</w:t>
      </w:r>
      <w:r w:rsidR="001D7B77">
        <w:t>.</w:t>
      </w:r>
    </w:p>
    <w:p w14:paraId="5A90FA38" w14:textId="0E6403F9" w:rsidR="002E03A9" w:rsidRPr="0033698E" w:rsidRDefault="002E03A9" w:rsidP="001D7B77">
      <w:pPr>
        <w:spacing w:before="100" w:after="0" w:line="300" w:lineRule="atLeast"/>
        <w:ind w:right="-20"/>
      </w:pPr>
      <w:r w:rsidRPr="001D7B77">
        <w:t>Name of Partner ..................................................................................................................</w:t>
      </w:r>
      <w:r w:rsidR="00415694">
        <w:t>.</w:t>
      </w:r>
    </w:p>
    <w:p w14:paraId="06DC2637" w14:textId="77777777" w:rsidR="002E03A9" w:rsidRPr="0033698E" w:rsidRDefault="002E03A9" w:rsidP="002E03A9">
      <w:pPr>
        <w:spacing w:after="0" w:line="200" w:lineRule="exact"/>
        <w:rPr>
          <w:sz w:val="20"/>
        </w:rPr>
      </w:pPr>
    </w:p>
    <w:p w14:paraId="46B2C6B9" w14:textId="1FCB15CF" w:rsidR="002E03A9" w:rsidRPr="0033698E" w:rsidRDefault="005B0B63" w:rsidP="002E03A9">
      <w:pPr>
        <w:spacing w:before="11" w:after="0" w:line="260" w:lineRule="exact"/>
        <w:rPr>
          <w:sz w:val="26"/>
          <w:szCs w:val="26"/>
        </w:rPr>
      </w:pPr>
      <w:r w:rsidRPr="001D7B77">
        <w:rPr>
          <w:b/>
          <w:noProof/>
        </w:rPr>
        <mc:AlternateContent>
          <mc:Choice Requires="wpg">
            <w:drawing>
              <wp:anchor distT="0" distB="0" distL="114300" distR="114300" simplePos="0" relativeHeight="251699712" behindDoc="1" locked="0" layoutInCell="1" allowOverlap="1" wp14:anchorId="3B402882" wp14:editId="7340C123">
                <wp:simplePos x="0" y="0"/>
                <wp:positionH relativeFrom="page">
                  <wp:posOffset>986155</wp:posOffset>
                </wp:positionH>
                <wp:positionV relativeFrom="paragraph">
                  <wp:posOffset>111125</wp:posOffset>
                </wp:positionV>
                <wp:extent cx="4958715" cy="1270"/>
                <wp:effectExtent l="0" t="0" r="13335" b="17780"/>
                <wp:wrapNone/>
                <wp:docPr id="459"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8715" cy="1270"/>
                          <a:chOff x="1800" y="-96"/>
                          <a:chExt cx="7809" cy="2"/>
                        </a:xfrm>
                      </wpg:grpSpPr>
                      <wps:wsp>
                        <wps:cNvPr id="460" name="Freeform 86"/>
                        <wps:cNvSpPr>
                          <a:spLocks/>
                        </wps:cNvSpPr>
                        <wps:spPr bwMode="auto">
                          <a:xfrm>
                            <a:off x="1800" y="-96"/>
                            <a:ext cx="7809" cy="2"/>
                          </a:xfrm>
                          <a:custGeom>
                            <a:avLst/>
                            <a:gdLst>
                              <a:gd name="T0" fmla="+- 0 1800 1800"/>
                              <a:gd name="T1" fmla="*/ T0 w 7809"/>
                              <a:gd name="T2" fmla="+- 0 9609 1800"/>
                              <a:gd name="T3" fmla="*/ T2 w 7809"/>
                            </a:gdLst>
                            <a:ahLst/>
                            <a:cxnLst>
                              <a:cxn ang="0">
                                <a:pos x="T1" y="0"/>
                              </a:cxn>
                              <a:cxn ang="0">
                                <a:pos x="T3" y="0"/>
                              </a:cxn>
                            </a:cxnLst>
                            <a:rect l="0" t="0" r="r" b="b"/>
                            <a:pathLst>
                              <a:path w="7809">
                                <a:moveTo>
                                  <a:pt x="0" y="0"/>
                                </a:moveTo>
                                <a:lnTo>
                                  <a:pt x="780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501801" id="Group 459" o:spid="_x0000_s1026" style="position:absolute;margin-left:77.65pt;margin-top:8.75pt;width:390.45pt;height:.1pt;z-index:-251616768;mso-position-horizontal-relative:page" coordorigin="1800,-96" coordsize="78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QYQMAAOcHAAAOAAAAZHJzL2Uyb0RvYy54bWykVduO4zYMfS/QfxD02CJjO+MkjjGexSKX&#10;QYHt7gKbfoAiyxfUllxJiTNb9N9LUXbGk+mixTYPimRS5OEhRT68u7QNOQttaiUzGt2FlAjJVV7L&#10;MqO/HfazhBJjmcxZo6TI6LMw9N3jjz889F0q5qpSTS40ASPSpH2X0craLg0CwyvRMnOnOiFBWCjd&#10;MgtHXQa5Zj1Yb5tgHobLoFc677Tiwhj4uvVC+oj2i0Jw+6kojLCkyShgs7hqXI9uDR4fWFpq1lU1&#10;H2Cw70DRslqC06upLbOMnHT9xlRbc62MKuwdV22giqLmAmOAaKLwJponrU4dxlKmfdldaQJqb3j6&#10;brP84/mzJnWe0XixpkSyFpKEfon7APT0XZmC1pPuvnSftY8Rth8U/92AOLiVu3Pplcmx/1XlYJCd&#10;rEJ6LoVunQkInFwwC8/XLIiLJRw+xutFsooWlHCQRfPVkCReQSbdpSgJIZMgm62XPn+82g13V0kI&#10;UbiLcycKWOo9IsoBlQsJis288Gn+H59fKtYJTJNxTI18LgGl53OvhXAlTBIE7NyD3kinmXI5kTg1&#10;A5T/K4tvCRmp/BYdLOUnY5+EwmSw8wdj/UPIYYcpzgfoBwiiaBt4Ez/PSEicK1yGh3NVi0a1nwJy&#10;CElP0PVgdLQ1H5XQ1noZrv/R1v2o5mzNJ7YgneWIkFUjaH6RA2rYEeYaT4jF1inj6uUA2MYqAwug&#10;5CL8hi74vtX1dwYXGjrKbS/RlEAvOXpKOmYdMufCbUmfUaTCfWjVWRwUiuxN+YOTF2kjp1o+iRNU&#10;Xgw3nAMs8qtTh3WSWan2ddNgFhrpoCTJ/T1yY1RT507o0BhdHjeNJmfmuiT+htfzSg26kczRWCVY&#10;vhv2ltWN34PzBrmF8hsocIWIbfDPdbjeJbsknsXz5W4Wh9vt7P1+E8+W+2i12N5vN5tt9JeDFsVp&#10;Vee5kA7d2JKj+L890WE4+GZ6bcqvongV7B5/b4MNXsNAkiGW8R+jg57iH6hvKEeVP8Nj1crPGJiJ&#10;sKmU/kpJD/Mlo+aPE9OCkuYXCQ1nHcWxG0h4iBerORz0VHKcSpjkYCqjlkKBu+3G+iF26nRdVuAp&#10;wrRK9R5abVG754z4PKrhAD0PdzhNMJZh8rlxNT2j1st8fvwbAAD//wMAUEsDBBQABgAIAAAAIQC5&#10;t0kS3wAAAAkBAAAPAAAAZHJzL2Rvd25yZXYueG1sTI9BS8NAEIXvgv9hGcGb3aQhrcZsSinqqQi2&#10;gnjbZqdJaHY2ZLdJ+u+dnuxt3szjzffy1WRbMWDvG0cK4lkEAql0pqFKwff+/ekZhA+ajG4doYIL&#10;elgV93e5zowb6QuHXagEh5DPtII6hC6T0pc1Wu1nrkPi29H1VgeWfSVNr0cOt62cR9FCWt0Qf6h1&#10;h5say9PubBV8jHpcJ/HbsD0dN5ffffr5s41RqceHaf0KIuAU/s1wxWd0KJjp4M5kvGhZp2nCVh6W&#10;KQg2vCSLOYjDdbEEWeTytkHxBwAA//8DAFBLAQItABQABgAIAAAAIQC2gziS/gAAAOEBAAATAAAA&#10;AAAAAAAAAAAAAAAAAABbQ29udGVudF9UeXBlc10ueG1sUEsBAi0AFAAGAAgAAAAhADj9If/WAAAA&#10;lAEAAAsAAAAAAAAAAAAAAAAALwEAAF9yZWxzLy5yZWxzUEsBAi0AFAAGAAgAAAAhACX4mpBhAwAA&#10;5wcAAA4AAAAAAAAAAAAAAAAALgIAAGRycy9lMm9Eb2MueG1sUEsBAi0AFAAGAAgAAAAhALm3SRLf&#10;AAAACQEAAA8AAAAAAAAAAAAAAAAAuwUAAGRycy9kb3ducmV2LnhtbFBLBQYAAAAABAAEAPMAAADH&#10;BgAAAAA=&#10;">
                <v:shape id="Freeform 86" o:spid="_x0000_s1027" style="position:absolute;left:1800;top:-96;width:7809;height:2;visibility:visible;mso-wrap-style:square;v-text-anchor:top" coordsize="78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oR6wAAAANwAAAAPAAAAZHJzL2Rvd25yZXYueG1sRE9Ni8Iw&#10;EL0v+B/CCN7W1KLS7RpF1KLszSp7HprZtthMShO1+uvNQdjj430vVr1pxI06V1tWMBlHIIgLq2su&#10;FZxP2WcCwnlkjY1lUvAgB6vl4GOBqbZ3PtIt96UIIexSVFB536ZSuqIig25sW+LA/dnOoA+wK6Xu&#10;8B7CTSPjKJpLgzWHhgpb2lRUXPKrUdDu49+HOW+/kJ75NNv9FHE2S5QaDfv1NwhPvf8Xv90HrWA6&#10;D/PDmXAE5PIFAAD//wMAUEsBAi0AFAAGAAgAAAAhANvh9svuAAAAhQEAABMAAAAAAAAAAAAAAAAA&#10;AAAAAFtDb250ZW50X1R5cGVzXS54bWxQSwECLQAUAAYACAAAACEAWvQsW78AAAAVAQAACwAAAAAA&#10;AAAAAAAAAAAfAQAAX3JlbHMvLnJlbHNQSwECLQAUAAYACAAAACEAJn6EesAAAADcAAAADwAAAAAA&#10;AAAAAAAAAAAHAgAAZHJzL2Rvd25yZXYueG1sUEsFBgAAAAADAAMAtwAAAPQCAAAAAA==&#10;" path="m,l7809,e" filled="f" strokeweight=".24536mm">
                  <v:path arrowok="t" o:connecttype="custom" o:connectlocs="0,0;7809,0" o:connectangles="0,0"/>
                </v:shape>
                <w10:wrap anchorx="page"/>
              </v:group>
            </w:pict>
          </mc:Fallback>
        </mc:AlternateContent>
      </w:r>
    </w:p>
    <w:p w14:paraId="537E90A1" w14:textId="06489C98" w:rsidR="002E03A9" w:rsidRPr="001D7B77" w:rsidRDefault="002E03A9" w:rsidP="001D7B77">
      <w:pPr>
        <w:spacing w:before="36" w:after="0" w:line="252" w:lineRule="exact"/>
        <w:ind w:right="894"/>
        <w:rPr>
          <w:b/>
        </w:rPr>
      </w:pPr>
      <w:r w:rsidRPr="001D7B77">
        <w:rPr>
          <w:b/>
        </w:rPr>
        <w:t>I</w:t>
      </w:r>
      <w:r w:rsidRPr="00415694">
        <w:rPr>
          <w:b/>
        </w:rPr>
        <w:t>f</w:t>
      </w:r>
      <w:r w:rsidRPr="001D7B77">
        <w:rPr>
          <w:b/>
        </w:rPr>
        <w:t xml:space="preserve"> </w:t>
      </w:r>
      <w:r w:rsidRPr="00415694">
        <w:rPr>
          <w:b/>
        </w:rPr>
        <w:t>an au</w:t>
      </w:r>
      <w:r w:rsidRPr="001D7B77">
        <w:rPr>
          <w:b/>
        </w:rPr>
        <w:t>dito</w:t>
      </w:r>
      <w:r w:rsidRPr="00415694">
        <w:rPr>
          <w:b/>
        </w:rPr>
        <w:t>r</w:t>
      </w:r>
      <w:r w:rsidRPr="001D7B77">
        <w:rPr>
          <w:b/>
        </w:rPr>
        <w:t xml:space="preserve"> i</w:t>
      </w:r>
      <w:r w:rsidRPr="00415694">
        <w:rPr>
          <w:b/>
        </w:rPr>
        <w:t>s</w:t>
      </w:r>
      <w:r w:rsidRPr="001D7B77">
        <w:rPr>
          <w:b/>
        </w:rPr>
        <w:t xml:space="preserve"> </w:t>
      </w:r>
      <w:r w:rsidRPr="00415694">
        <w:rPr>
          <w:b/>
        </w:rPr>
        <w:t>not</w:t>
      </w:r>
      <w:r w:rsidRPr="001D7B77">
        <w:rPr>
          <w:b/>
        </w:rPr>
        <w:t xml:space="preserve"> </w:t>
      </w:r>
      <w:r w:rsidRPr="00415694">
        <w:rPr>
          <w:b/>
        </w:rPr>
        <w:t>s</w:t>
      </w:r>
      <w:r w:rsidRPr="001D7B77">
        <w:rPr>
          <w:b/>
        </w:rPr>
        <w:t>atisfi</w:t>
      </w:r>
      <w:r w:rsidRPr="00415694">
        <w:rPr>
          <w:b/>
        </w:rPr>
        <w:t>ed as</w:t>
      </w:r>
      <w:r w:rsidRPr="001D7B77">
        <w:rPr>
          <w:b/>
        </w:rPr>
        <w:t xml:space="preserve"> t</w:t>
      </w:r>
      <w:r w:rsidRPr="00415694">
        <w:rPr>
          <w:b/>
        </w:rPr>
        <w:t>o any</w:t>
      </w:r>
      <w:r w:rsidRPr="001D7B77">
        <w:rPr>
          <w:b/>
        </w:rPr>
        <w:t xml:space="preserve"> m</w:t>
      </w:r>
      <w:r w:rsidRPr="00415694">
        <w:rPr>
          <w:b/>
        </w:rPr>
        <w:t>a</w:t>
      </w:r>
      <w:r w:rsidRPr="001D7B77">
        <w:rPr>
          <w:b/>
        </w:rPr>
        <w:t>tt</w:t>
      </w:r>
      <w:r w:rsidRPr="00415694">
        <w:rPr>
          <w:b/>
        </w:rPr>
        <w:t>er</w:t>
      </w:r>
      <w:r w:rsidRPr="001D7B77">
        <w:rPr>
          <w:b/>
        </w:rPr>
        <w:t xml:space="preserve"> </w:t>
      </w:r>
      <w:r w:rsidRPr="00415694">
        <w:rPr>
          <w:b/>
        </w:rPr>
        <w:t>a qu</w:t>
      </w:r>
      <w:r w:rsidRPr="001D7B77">
        <w:rPr>
          <w:b/>
        </w:rPr>
        <w:t>alifi</w:t>
      </w:r>
      <w:r w:rsidRPr="00415694">
        <w:rPr>
          <w:b/>
        </w:rPr>
        <w:t>ed au</w:t>
      </w:r>
      <w:r w:rsidRPr="001D7B77">
        <w:rPr>
          <w:b/>
        </w:rPr>
        <w:t>di</w:t>
      </w:r>
      <w:r w:rsidRPr="00415694">
        <w:rPr>
          <w:b/>
        </w:rPr>
        <w:t>t</w:t>
      </w:r>
      <w:r w:rsidRPr="001D7B77">
        <w:rPr>
          <w:b/>
        </w:rPr>
        <w:t xml:space="preserve"> </w:t>
      </w:r>
      <w:r w:rsidRPr="00415694">
        <w:rPr>
          <w:b/>
        </w:rPr>
        <w:t>o</w:t>
      </w:r>
      <w:r w:rsidRPr="001D7B77">
        <w:rPr>
          <w:b/>
        </w:rPr>
        <w:t>pi</w:t>
      </w:r>
      <w:r w:rsidRPr="00415694">
        <w:rPr>
          <w:b/>
        </w:rPr>
        <w:t>n</w:t>
      </w:r>
      <w:r w:rsidRPr="001D7B77">
        <w:rPr>
          <w:b/>
        </w:rPr>
        <w:t>i</w:t>
      </w:r>
      <w:r w:rsidRPr="00415694">
        <w:rPr>
          <w:b/>
        </w:rPr>
        <w:t>on sho</w:t>
      </w:r>
      <w:r w:rsidRPr="001D7B77">
        <w:rPr>
          <w:b/>
        </w:rPr>
        <w:t>ul</w:t>
      </w:r>
      <w:r w:rsidRPr="00415694">
        <w:rPr>
          <w:b/>
        </w:rPr>
        <w:t>d</w:t>
      </w:r>
      <w:r w:rsidRPr="001D7B77">
        <w:rPr>
          <w:b/>
        </w:rPr>
        <w:t xml:space="preserve"> </w:t>
      </w:r>
      <w:r w:rsidRPr="00415694">
        <w:rPr>
          <w:b/>
        </w:rPr>
        <w:t>be e</w:t>
      </w:r>
      <w:r w:rsidRPr="001D7B77">
        <w:rPr>
          <w:b/>
        </w:rPr>
        <w:t>x</w:t>
      </w:r>
      <w:r w:rsidRPr="00415694">
        <w:rPr>
          <w:b/>
        </w:rPr>
        <w:t>pressed.</w:t>
      </w:r>
    </w:p>
    <w:p w14:paraId="397F6022" w14:textId="77777777" w:rsidR="002E03A9" w:rsidRPr="001D7B77" w:rsidRDefault="002E03A9" w:rsidP="00415694">
      <w:pPr>
        <w:spacing w:after="0"/>
        <w:rPr>
          <w:b/>
        </w:rPr>
        <w:sectPr w:rsidR="002E03A9" w:rsidRPr="001D7B77" w:rsidSect="00930407">
          <w:headerReference w:type="even" r:id="rId91"/>
          <w:headerReference w:type="default" r:id="rId92"/>
          <w:footerReference w:type="default" r:id="rId93"/>
          <w:headerReference w:type="first" r:id="rId94"/>
          <w:pgSz w:w="11920" w:h="16840"/>
          <w:pgMar w:top="1440" w:right="1440" w:bottom="1440" w:left="1440" w:header="567" w:footer="567" w:gutter="0"/>
          <w:cols w:space="720"/>
          <w:docGrid w:linePitch="299"/>
        </w:sectPr>
      </w:pPr>
    </w:p>
    <w:p w14:paraId="6697C48D" w14:textId="47181EA2" w:rsidR="002E03A9" w:rsidRPr="0033698E" w:rsidRDefault="002E03A9" w:rsidP="00B31B7A">
      <w:pPr>
        <w:pStyle w:val="MIRHeading2Part"/>
        <w:rPr>
          <w:rFonts w:eastAsia="Arial"/>
        </w:rPr>
      </w:pPr>
      <w:bookmarkStart w:id="120" w:name="_Toc383357308"/>
      <w:bookmarkStart w:id="121" w:name="_Toc27492615"/>
      <w:r w:rsidRPr="0033698E">
        <w:rPr>
          <w:rFonts w:eastAsia="Arial"/>
        </w:rPr>
        <w:lastRenderedPageBreak/>
        <w:t>Schedu</w:t>
      </w:r>
      <w:r w:rsidRPr="0033698E">
        <w:rPr>
          <w:rFonts w:eastAsia="Arial"/>
          <w:spacing w:val="2"/>
        </w:rPr>
        <w:t>l</w:t>
      </w:r>
      <w:r w:rsidRPr="0033698E">
        <w:rPr>
          <w:rFonts w:eastAsia="Arial"/>
        </w:rPr>
        <w:t>e</w:t>
      </w:r>
      <w:r w:rsidRPr="0033698E">
        <w:rPr>
          <w:rFonts w:eastAsia="Arial"/>
          <w:spacing w:val="-12"/>
        </w:rPr>
        <w:t xml:space="preserve"> </w:t>
      </w:r>
      <w:r w:rsidRPr="0033698E">
        <w:rPr>
          <w:rFonts w:eastAsia="Arial"/>
        </w:rPr>
        <w:t>1C</w:t>
      </w:r>
      <w:r w:rsidRPr="0033698E">
        <w:rPr>
          <w:rFonts w:eastAsia="Arial"/>
          <w:spacing w:val="-1"/>
        </w:rPr>
        <w:t xml:space="preserve"> </w:t>
      </w:r>
      <w:r w:rsidRPr="0033698E">
        <w:rPr>
          <w:rFonts w:eastAsia="Arial"/>
        </w:rPr>
        <w:t>Form</w:t>
      </w:r>
      <w:r w:rsidRPr="0033698E">
        <w:rPr>
          <w:rFonts w:eastAsia="Arial"/>
          <w:spacing w:val="-4"/>
        </w:rPr>
        <w:t xml:space="preserve"> </w:t>
      </w:r>
      <w:r w:rsidRPr="0033698E">
        <w:rPr>
          <w:rFonts w:eastAsia="Arial"/>
        </w:rPr>
        <w:t>6: Risk</w:t>
      </w:r>
      <w:r w:rsidR="00D973E2">
        <w:rPr>
          <w:rFonts w:eastAsia="Arial"/>
        </w:rPr>
        <w:t>-</w:t>
      </w:r>
      <w:r w:rsidRPr="0033698E">
        <w:rPr>
          <w:rFonts w:eastAsia="Arial"/>
        </w:rPr>
        <w:t>Bas</w:t>
      </w:r>
      <w:r w:rsidRPr="0033698E">
        <w:rPr>
          <w:rFonts w:eastAsia="Arial"/>
          <w:spacing w:val="2"/>
        </w:rPr>
        <w:t>e</w:t>
      </w:r>
      <w:r w:rsidRPr="0033698E">
        <w:rPr>
          <w:rFonts w:eastAsia="Arial"/>
        </w:rPr>
        <w:t>d</w:t>
      </w:r>
      <w:r w:rsidRPr="0033698E">
        <w:rPr>
          <w:rFonts w:eastAsia="Arial"/>
          <w:spacing w:val="-8"/>
        </w:rPr>
        <w:t xml:space="preserve"> </w:t>
      </w:r>
      <w:r w:rsidRPr="0033698E">
        <w:rPr>
          <w:rFonts w:eastAsia="Arial"/>
        </w:rPr>
        <w:t>Cap</w:t>
      </w:r>
      <w:r w:rsidRPr="0033698E">
        <w:rPr>
          <w:rFonts w:eastAsia="Arial"/>
          <w:spacing w:val="2"/>
        </w:rPr>
        <w:t>i</w:t>
      </w:r>
      <w:r w:rsidRPr="0033698E">
        <w:rPr>
          <w:rFonts w:eastAsia="Arial"/>
          <w:spacing w:val="3"/>
        </w:rPr>
        <w:t>t</w:t>
      </w:r>
      <w:r w:rsidRPr="0033698E">
        <w:rPr>
          <w:rFonts w:eastAsia="Arial"/>
        </w:rPr>
        <w:t>al</w:t>
      </w:r>
      <w:r w:rsidRPr="0033698E">
        <w:rPr>
          <w:rFonts w:eastAsia="Arial"/>
          <w:spacing w:val="-9"/>
        </w:rPr>
        <w:t xml:space="preserve"> </w:t>
      </w:r>
      <w:r w:rsidRPr="0033698E">
        <w:rPr>
          <w:rFonts w:eastAsia="Arial"/>
        </w:rPr>
        <w:t>Requ</w:t>
      </w:r>
      <w:r w:rsidRPr="0033698E">
        <w:rPr>
          <w:rFonts w:eastAsia="Arial"/>
          <w:spacing w:val="2"/>
        </w:rPr>
        <w:t>i</w:t>
      </w:r>
      <w:r w:rsidRPr="0033698E">
        <w:rPr>
          <w:rFonts w:eastAsia="Arial"/>
        </w:rPr>
        <w:t>rem</w:t>
      </w:r>
      <w:r w:rsidRPr="0033698E">
        <w:rPr>
          <w:rFonts w:eastAsia="Arial"/>
          <w:spacing w:val="2"/>
        </w:rPr>
        <w:t>e</w:t>
      </w:r>
      <w:r w:rsidRPr="0033698E">
        <w:rPr>
          <w:rFonts w:eastAsia="Arial"/>
        </w:rPr>
        <w:t>nts</w:t>
      </w:r>
      <w:r w:rsidR="00BB486B" w:rsidRPr="00BB486B">
        <w:rPr>
          <w:rFonts w:eastAsia="Arial"/>
        </w:rPr>
        <w:t>—</w:t>
      </w:r>
      <w:r w:rsidRPr="0033698E">
        <w:rPr>
          <w:rFonts w:eastAsia="Arial"/>
        </w:rPr>
        <w:t>Key</w:t>
      </w:r>
      <w:bookmarkEnd w:id="120"/>
      <w:r w:rsidR="00B31B7A" w:rsidRPr="0033698E">
        <w:rPr>
          <w:rFonts w:eastAsia="Arial"/>
        </w:rPr>
        <w:t xml:space="preserve"> </w:t>
      </w:r>
      <w:r w:rsidRPr="0033698E">
        <w:rPr>
          <w:rFonts w:eastAsia="Arial"/>
          <w:bCs/>
        </w:rPr>
        <w:t>Risks</w:t>
      </w:r>
      <w:r w:rsidRPr="0033698E">
        <w:rPr>
          <w:rFonts w:eastAsia="Arial"/>
          <w:bCs/>
          <w:spacing w:val="-7"/>
        </w:rPr>
        <w:t xml:space="preserve"> </w:t>
      </w:r>
      <w:r w:rsidRPr="0033698E">
        <w:rPr>
          <w:rFonts w:eastAsia="Arial"/>
          <w:bCs/>
          <w:spacing w:val="2"/>
        </w:rPr>
        <w:t>a</w:t>
      </w:r>
      <w:r w:rsidRPr="0033698E">
        <w:rPr>
          <w:rFonts w:eastAsia="Arial"/>
          <w:bCs/>
        </w:rPr>
        <w:t>nd</w:t>
      </w:r>
      <w:r w:rsidRPr="0033698E">
        <w:rPr>
          <w:rFonts w:eastAsia="Arial"/>
          <w:bCs/>
          <w:spacing w:val="-5"/>
        </w:rPr>
        <w:t xml:space="preserve"> </w:t>
      </w:r>
      <w:r w:rsidRPr="0033698E">
        <w:rPr>
          <w:rFonts w:eastAsia="Arial"/>
          <w:bCs/>
        </w:rPr>
        <w:t>In</w:t>
      </w:r>
      <w:r w:rsidRPr="0033698E">
        <w:rPr>
          <w:rFonts w:eastAsia="Arial"/>
          <w:bCs/>
          <w:spacing w:val="3"/>
        </w:rPr>
        <w:t>t</w:t>
      </w:r>
      <w:r w:rsidRPr="0033698E">
        <w:rPr>
          <w:rFonts w:eastAsia="Arial"/>
          <w:bCs/>
        </w:rPr>
        <w:t>ernal</w:t>
      </w:r>
      <w:r w:rsidRPr="0033698E">
        <w:rPr>
          <w:rFonts w:eastAsia="Arial"/>
          <w:bCs/>
          <w:spacing w:val="-7"/>
        </w:rPr>
        <w:t xml:space="preserve"> </w:t>
      </w:r>
      <w:r w:rsidRPr="0033698E">
        <w:rPr>
          <w:rFonts w:eastAsia="Arial"/>
          <w:bCs/>
          <w:spacing w:val="5"/>
        </w:rPr>
        <w:t>S</w:t>
      </w:r>
      <w:r w:rsidRPr="0033698E">
        <w:rPr>
          <w:rFonts w:eastAsia="Arial"/>
          <w:bCs/>
          <w:spacing w:val="-5"/>
        </w:rPr>
        <w:t>y</w:t>
      </w:r>
      <w:r w:rsidRPr="0033698E">
        <w:rPr>
          <w:rFonts w:eastAsia="Arial"/>
          <w:bCs/>
        </w:rPr>
        <w:t>ste</w:t>
      </w:r>
      <w:r w:rsidRPr="0033698E">
        <w:rPr>
          <w:rFonts w:eastAsia="Arial"/>
          <w:bCs/>
          <w:spacing w:val="2"/>
        </w:rPr>
        <w:t>m</w:t>
      </w:r>
      <w:r w:rsidRPr="0033698E">
        <w:rPr>
          <w:rFonts w:eastAsia="Arial"/>
          <w:bCs/>
        </w:rPr>
        <w:t>s Statement</w:t>
      </w:r>
      <w:bookmarkEnd w:id="121"/>
    </w:p>
    <w:p w14:paraId="0B085B1D" w14:textId="77777777" w:rsidR="00454613" w:rsidRDefault="00454613" w:rsidP="001D7B77">
      <w:pPr>
        <w:spacing w:before="240"/>
        <w:ind w:left="1497" w:right="1474"/>
        <w:jc w:val="center"/>
        <w:rPr>
          <w:b/>
          <w:bCs/>
          <w:spacing w:val="-1"/>
          <w:szCs w:val="22"/>
        </w:rPr>
      </w:pPr>
    </w:p>
    <w:p w14:paraId="257C99A8" w14:textId="49A64741" w:rsidR="002E03A9" w:rsidRPr="006D07CC" w:rsidRDefault="002E03A9" w:rsidP="001D7B77">
      <w:pPr>
        <w:spacing w:before="240"/>
        <w:ind w:left="1497" w:right="1474"/>
        <w:jc w:val="center"/>
        <w:rPr>
          <w:szCs w:val="22"/>
        </w:rPr>
      </w:pPr>
      <w:r w:rsidRPr="006D07CC">
        <w:rPr>
          <w:b/>
          <w:bCs/>
          <w:spacing w:val="-1"/>
          <w:szCs w:val="22"/>
        </w:rPr>
        <w:t>ATTE</w:t>
      </w:r>
      <w:r w:rsidRPr="006D07CC">
        <w:rPr>
          <w:b/>
          <w:bCs/>
          <w:szCs w:val="22"/>
        </w:rPr>
        <w:t>S</w:t>
      </w:r>
      <w:r w:rsidRPr="006D07CC">
        <w:rPr>
          <w:b/>
          <w:bCs/>
          <w:spacing w:val="-1"/>
          <w:szCs w:val="22"/>
        </w:rPr>
        <w:t>TAT</w:t>
      </w:r>
      <w:r w:rsidRPr="006D07CC">
        <w:rPr>
          <w:b/>
          <w:bCs/>
          <w:szCs w:val="22"/>
        </w:rPr>
        <w:t>I</w:t>
      </w:r>
      <w:r w:rsidRPr="006D07CC">
        <w:rPr>
          <w:b/>
          <w:bCs/>
          <w:spacing w:val="1"/>
          <w:szCs w:val="22"/>
        </w:rPr>
        <w:t>O</w:t>
      </w:r>
      <w:r w:rsidRPr="006D07CC">
        <w:rPr>
          <w:b/>
          <w:bCs/>
          <w:szCs w:val="22"/>
        </w:rPr>
        <w:t>N</w:t>
      </w:r>
      <w:r w:rsidRPr="006D07CC">
        <w:rPr>
          <w:b/>
          <w:bCs/>
          <w:spacing w:val="-1"/>
          <w:szCs w:val="22"/>
        </w:rPr>
        <w:t xml:space="preserve"> </w:t>
      </w:r>
      <w:r w:rsidRPr="006D07CC">
        <w:rPr>
          <w:b/>
          <w:bCs/>
          <w:spacing w:val="2"/>
          <w:szCs w:val="22"/>
        </w:rPr>
        <w:t>B</w:t>
      </w:r>
      <w:r w:rsidRPr="006D07CC">
        <w:rPr>
          <w:b/>
          <w:bCs/>
          <w:szCs w:val="22"/>
        </w:rPr>
        <w:t>Y</w:t>
      </w:r>
      <w:r w:rsidRPr="006D07CC">
        <w:rPr>
          <w:b/>
          <w:bCs/>
          <w:spacing w:val="-1"/>
          <w:szCs w:val="22"/>
        </w:rPr>
        <w:t xml:space="preserve"> D</w:t>
      </w:r>
      <w:r w:rsidRPr="006D07CC">
        <w:rPr>
          <w:b/>
          <w:bCs/>
          <w:szCs w:val="22"/>
        </w:rPr>
        <w:t>I</w:t>
      </w:r>
      <w:r w:rsidRPr="006D07CC">
        <w:rPr>
          <w:b/>
          <w:bCs/>
          <w:spacing w:val="-1"/>
          <w:szCs w:val="22"/>
        </w:rPr>
        <w:t>RECT</w:t>
      </w:r>
      <w:r w:rsidRPr="006D07CC">
        <w:rPr>
          <w:b/>
          <w:bCs/>
          <w:spacing w:val="1"/>
          <w:szCs w:val="22"/>
        </w:rPr>
        <w:t>O</w:t>
      </w:r>
      <w:r w:rsidRPr="006D07CC">
        <w:rPr>
          <w:b/>
          <w:bCs/>
          <w:spacing w:val="-1"/>
          <w:szCs w:val="22"/>
        </w:rPr>
        <w:t>R</w:t>
      </w:r>
      <w:r w:rsidRPr="006D07CC">
        <w:rPr>
          <w:b/>
          <w:bCs/>
          <w:szCs w:val="22"/>
        </w:rPr>
        <w:t>S</w:t>
      </w:r>
      <w:r w:rsidRPr="006D07CC">
        <w:rPr>
          <w:b/>
          <w:bCs/>
          <w:spacing w:val="-1"/>
          <w:szCs w:val="22"/>
        </w:rPr>
        <w:t>/</w:t>
      </w:r>
      <w:r w:rsidRPr="006D07CC">
        <w:rPr>
          <w:b/>
          <w:bCs/>
          <w:spacing w:val="2"/>
          <w:szCs w:val="22"/>
        </w:rPr>
        <w:t>P</w:t>
      </w:r>
      <w:r w:rsidRPr="006D07CC">
        <w:rPr>
          <w:b/>
          <w:bCs/>
          <w:spacing w:val="-1"/>
          <w:szCs w:val="22"/>
        </w:rPr>
        <w:t>ARTNER</w:t>
      </w:r>
      <w:r w:rsidRPr="006D07CC">
        <w:rPr>
          <w:b/>
          <w:bCs/>
          <w:szCs w:val="22"/>
        </w:rPr>
        <w:t xml:space="preserve">S </w:t>
      </w:r>
      <w:r w:rsidRPr="006D07CC">
        <w:rPr>
          <w:b/>
          <w:bCs/>
          <w:spacing w:val="2"/>
          <w:szCs w:val="22"/>
        </w:rPr>
        <w:t>T</w:t>
      </w:r>
      <w:r w:rsidRPr="006D07CC">
        <w:rPr>
          <w:b/>
          <w:bCs/>
          <w:szCs w:val="22"/>
        </w:rPr>
        <w:t>O</w:t>
      </w:r>
      <w:r w:rsidRPr="006D07CC">
        <w:rPr>
          <w:b/>
          <w:bCs/>
          <w:spacing w:val="1"/>
          <w:szCs w:val="22"/>
        </w:rPr>
        <w:t xml:space="preserve"> </w:t>
      </w:r>
      <w:r w:rsidRPr="006D07CC">
        <w:rPr>
          <w:b/>
          <w:bCs/>
          <w:spacing w:val="-1"/>
          <w:szCs w:val="22"/>
        </w:rPr>
        <w:t>A</w:t>
      </w:r>
      <w:r w:rsidRPr="006D07CC">
        <w:rPr>
          <w:b/>
          <w:bCs/>
          <w:szCs w:val="22"/>
        </w:rPr>
        <w:t xml:space="preserve">SIC </w:t>
      </w:r>
      <w:r w:rsidRPr="006D07CC">
        <w:rPr>
          <w:b/>
          <w:bCs/>
          <w:spacing w:val="1"/>
          <w:szCs w:val="22"/>
        </w:rPr>
        <w:t>K</w:t>
      </w:r>
      <w:r w:rsidRPr="006D07CC">
        <w:rPr>
          <w:b/>
          <w:bCs/>
          <w:spacing w:val="-1"/>
          <w:szCs w:val="22"/>
        </w:rPr>
        <w:t>E</w:t>
      </w:r>
      <w:r w:rsidRPr="006D07CC">
        <w:rPr>
          <w:b/>
          <w:bCs/>
          <w:szCs w:val="22"/>
        </w:rPr>
        <w:t>Y</w:t>
      </w:r>
      <w:r w:rsidRPr="006D07CC">
        <w:rPr>
          <w:b/>
          <w:bCs/>
          <w:spacing w:val="2"/>
          <w:szCs w:val="22"/>
        </w:rPr>
        <w:t xml:space="preserve"> </w:t>
      </w:r>
      <w:r w:rsidRPr="006D07CC">
        <w:rPr>
          <w:b/>
          <w:bCs/>
          <w:spacing w:val="-4"/>
          <w:szCs w:val="22"/>
        </w:rPr>
        <w:t>R</w:t>
      </w:r>
      <w:r w:rsidRPr="006D07CC">
        <w:rPr>
          <w:b/>
          <w:bCs/>
          <w:szCs w:val="22"/>
        </w:rPr>
        <w:t>IS</w:t>
      </w:r>
      <w:r w:rsidRPr="006D07CC">
        <w:rPr>
          <w:b/>
          <w:bCs/>
          <w:spacing w:val="1"/>
          <w:szCs w:val="22"/>
        </w:rPr>
        <w:t>K</w:t>
      </w:r>
      <w:r w:rsidRPr="006D07CC">
        <w:rPr>
          <w:b/>
          <w:bCs/>
          <w:szCs w:val="22"/>
        </w:rPr>
        <w:t xml:space="preserve">S </w:t>
      </w:r>
      <w:r w:rsidRPr="006D07CC">
        <w:rPr>
          <w:b/>
          <w:bCs/>
          <w:spacing w:val="-1"/>
          <w:szCs w:val="22"/>
        </w:rPr>
        <w:t>AN</w:t>
      </w:r>
      <w:r w:rsidRPr="006D07CC">
        <w:rPr>
          <w:b/>
          <w:bCs/>
          <w:szCs w:val="22"/>
        </w:rPr>
        <w:t>D</w:t>
      </w:r>
      <w:r w:rsidRPr="006D07CC">
        <w:rPr>
          <w:b/>
          <w:bCs/>
          <w:spacing w:val="-1"/>
          <w:szCs w:val="22"/>
        </w:rPr>
        <w:t xml:space="preserve"> </w:t>
      </w:r>
      <w:r w:rsidRPr="006D07CC">
        <w:rPr>
          <w:b/>
          <w:bCs/>
          <w:szCs w:val="22"/>
        </w:rPr>
        <w:t>I</w:t>
      </w:r>
      <w:r w:rsidRPr="006D07CC">
        <w:rPr>
          <w:b/>
          <w:bCs/>
          <w:spacing w:val="-1"/>
          <w:szCs w:val="22"/>
        </w:rPr>
        <w:t>NT</w:t>
      </w:r>
      <w:r w:rsidRPr="006D07CC">
        <w:rPr>
          <w:b/>
          <w:bCs/>
          <w:spacing w:val="-3"/>
          <w:szCs w:val="22"/>
        </w:rPr>
        <w:t>E</w:t>
      </w:r>
      <w:r w:rsidRPr="006D07CC">
        <w:rPr>
          <w:b/>
          <w:bCs/>
          <w:spacing w:val="-1"/>
          <w:szCs w:val="22"/>
        </w:rPr>
        <w:t>RNA</w:t>
      </w:r>
      <w:r w:rsidRPr="006D07CC">
        <w:rPr>
          <w:b/>
          <w:bCs/>
          <w:szCs w:val="22"/>
        </w:rPr>
        <w:t>L</w:t>
      </w:r>
      <w:r w:rsidRPr="006D07CC">
        <w:rPr>
          <w:b/>
          <w:bCs/>
          <w:spacing w:val="-1"/>
          <w:szCs w:val="22"/>
        </w:rPr>
        <w:t xml:space="preserve"> </w:t>
      </w:r>
      <w:r w:rsidRPr="006D07CC">
        <w:rPr>
          <w:b/>
          <w:bCs/>
          <w:szCs w:val="22"/>
        </w:rPr>
        <w:t>S</w:t>
      </w:r>
      <w:r w:rsidRPr="006D07CC">
        <w:rPr>
          <w:b/>
          <w:bCs/>
          <w:spacing w:val="1"/>
          <w:szCs w:val="22"/>
        </w:rPr>
        <w:t>Y</w:t>
      </w:r>
      <w:r w:rsidRPr="006D07CC">
        <w:rPr>
          <w:b/>
          <w:bCs/>
          <w:szCs w:val="22"/>
        </w:rPr>
        <w:t>S</w:t>
      </w:r>
      <w:r w:rsidRPr="006D07CC">
        <w:rPr>
          <w:b/>
          <w:bCs/>
          <w:spacing w:val="-1"/>
          <w:szCs w:val="22"/>
        </w:rPr>
        <w:t>TE</w:t>
      </w:r>
      <w:r w:rsidRPr="006D07CC">
        <w:rPr>
          <w:b/>
          <w:bCs/>
          <w:szCs w:val="22"/>
        </w:rPr>
        <w:t>MS</w:t>
      </w:r>
    </w:p>
    <w:p w14:paraId="329C9A6C" w14:textId="7FE4D5F3" w:rsidR="002E03A9" w:rsidRPr="006D07CC" w:rsidRDefault="002E03A9" w:rsidP="009B0BF5">
      <w:pPr>
        <w:spacing w:before="100" w:after="0" w:line="280" w:lineRule="atLeast"/>
        <w:ind w:right="553"/>
      </w:pPr>
      <w:r w:rsidRPr="006D07CC">
        <w:t>Pa</w:t>
      </w:r>
      <w:r w:rsidRPr="001D7B77">
        <w:t>rtici</w:t>
      </w:r>
      <w:r w:rsidRPr="006D07CC">
        <w:t>pa</w:t>
      </w:r>
      <w:r w:rsidRPr="001D7B77">
        <w:t>nt:</w:t>
      </w:r>
      <w:r w:rsidR="00971A2E">
        <w:t xml:space="preserve"> </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006D07CC">
        <w:t>...</w:t>
      </w:r>
      <w:r w:rsidR="00971A2E">
        <w:t>.</w:t>
      </w:r>
    </w:p>
    <w:p w14:paraId="3CDCEE09" w14:textId="6FA499E3" w:rsidR="002E03A9" w:rsidRPr="0033698E" w:rsidRDefault="002E03A9" w:rsidP="009B0BF5">
      <w:pPr>
        <w:spacing w:before="100" w:after="480" w:line="280" w:lineRule="atLeast"/>
        <w:ind w:right="556"/>
      </w:pPr>
      <w:r w:rsidRPr="001D7B77">
        <w:t>Y</w:t>
      </w:r>
      <w:r w:rsidRPr="006D07CC">
        <w:t>ear</w:t>
      </w:r>
      <w:r w:rsidRPr="001D7B77">
        <w:t xml:space="preserve"> </w:t>
      </w:r>
      <w:r w:rsidRPr="006D07CC">
        <w:t>En</w:t>
      </w:r>
      <w:r w:rsidRPr="001D7B77">
        <w:t>d</w:t>
      </w:r>
      <w:r w:rsidRPr="006D07CC">
        <w:t>ed</w:t>
      </w:r>
      <w:r w:rsidRPr="001D7B77">
        <w:t>:</w:t>
      </w:r>
      <w:r w:rsidR="00971A2E">
        <w:t xml:space="preserve"> </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006D07CC">
        <w:t>...</w:t>
      </w:r>
    </w:p>
    <w:p w14:paraId="0303BCD2" w14:textId="355F5792" w:rsidR="002E03A9" w:rsidRPr="0033698E" w:rsidRDefault="002E03A9" w:rsidP="001D7B77">
      <w:pPr>
        <w:spacing w:before="240" w:after="0" w:line="480" w:lineRule="auto"/>
        <w:ind w:right="1537"/>
        <w:rPr>
          <w:szCs w:val="22"/>
        </w:rPr>
      </w:pPr>
      <w:r w:rsidRPr="0033698E">
        <w:rPr>
          <w:szCs w:val="22"/>
        </w:rPr>
        <w:t>P</w:t>
      </w:r>
      <w:r w:rsidRPr="0033698E">
        <w:rPr>
          <w:spacing w:val="-1"/>
          <w:szCs w:val="22"/>
        </w:rPr>
        <w:t>AR</w:t>
      </w:r>
      <w:r w:rsidRPr="0033698E">
        <w:rPr>
          <w:spacing w:val="2"/>
          <w:szCs w:val="22"/>
        </w:rPr>
        <w:t>T</w:t>
      </w:r>
      <w:r w:rsidRPr="0033698E">
        <w:rPr>
          <w:spacing w:val="-4"/>
          <w:szCs w:val="22"/>
        </w:rPr>
        <w:t>I</w:t>
      </w:r>
      <w:r w:rsidRPr="0033698E">
        <w:rPr>
          <w:spacing w:val="2"/>
          <w:szCs w:val="22"/>
        </w:rPr>
        <w:t>C</w:t>
      </w:r>
      <w:r w:rsidRPr="0033698E">
        <w:rPr>
          <w:spacing w:val="-2"/>
          <w:szCs w:val="22"/>
        </w:rPr>
        <w:t>I</w:t>
      </w:r>
      <w:r w:rsidRPr="0033698E">
        <w:rPr>
          <w:szCs w:val="22"/>
        </w:rPr>
        <w:t>P</w:t>
      </w:r>
      <w:r w:rsidRPr="0033698E">
        <w:rPr>
          <w:spacing w:val="-1"/>
          <w:szCs w:val="22"/>
        </w:rPr>
        <w:t>AN</w:t>
      </w:r>
      <w:r w:rsidRPr="0033698E">
        <w:rPr>
          <w:spacing w:val="2"/>
          <w:szCs w:val="22"/>
        </w:rPr>
        <w:t>T</w:t>
      </w:r>
      <w:r w:rsidRPr="0033698E">
        <w:rPr>
          <w:szCs w:val="22"/>
        </w:rPr>
        <w:t xml:space="preserve">S </w:t>
      </w:r>
      <w:r w:rsidRPr="0033698E">
        <w:rPr>
          <w:spacing w:val="1"/>
          <w:szCs w:val="22"/>
        </w:rPr>
        <w:t>K</w:t>
      </w:r>
      <w:r w:rsidRPr="0033698E">
        <w:rPr>
          <w:szCs w:val="22"/>
        </w:rPr>
        <w:t>EY</w:t>
      </w:r>
      <w:r w:rsidRPr="0033698E">
        <w:rPr>
          <w:spacing w:val="-1"/>
          <w:szCs w:val="22"/>
        </w:rPr>
        <w:t xml:space="preserve"> </w:t>
      </w:r>
      <w:r w:rsidRPr="0033698E">
        <w:rPr>
          <w:szCs w:val="22"/>
        </w:rPr>
        <w:t>R</w:t>
      </w:r>
      <w:r w:rsidRPr="0033698E">
        <w:rPr>
          <w:spacing w:val="-2"/>
          <w:szCs w:val="22"/>
        </w:rPr>
        <w:t>I</w:t>
      </w:r>
      <w:r w:rsidRPr="0033698E">
        <w:rPr>
          <w:szCs w:val="22"/>
        </w:rPr>
        <w:t>S</w:t>
      </w:r>
      <w:r w:rsidRPr="0033698E">
        <w:rPr>
          <w:spacing w:val="1"/>
          <w:szCs w:val="22"/>
        </w:rPr>
        <w:t>K</w:t>
      </w:r>
      <w:r w:rsidRPr="0033698E">
        <w:rPr>
          <w:szCs w:val="22"/>
        </w:rPr>
        <w:t>S</w:t>
      </w:r>
      <w:r w:rsidRPr="0033698E">
        <w:rPr>
          <w:spacing w:val="-1"/>
          <w:szCs w:val="22"/>
        </w:rPr>
        <w:t xml:space="preserve"> AN</w:t>
      </w:r>
      <w:r w:rsidRPr="0033698E">
        <w:rPr>
          <w:szCs w:val="22"/>
        </w:rPr>
        <w:t>D</w:t>
      </w:r>
      <w:r w:rsidRPr="0033698E">
        <w:rPr>
          <w:spacing w:val="-1"/>
          <w:szCs w:val="22"/>
        </w:rPr>
        <w:t xml:space="preserve"> </w:t>
      </w:r>
      <w:r w:rsidRPr="0033698E">
        <w:rPr>
          <w:spacing w:val="-4"/>
          <w:szCs w:val="22"/>
        </w:rPr>
        <w:t>I</w:t>
      </w:r>
      <w:r w:rsidRPr="0033698E">
        <w:rPr>
          <w:spacing w:val="-1"/>
          <w:szCs w:val="22"/>
        </w:rPr>
        <w:t>N</w:t>
      </w:r>
      <w:r w:rsidRPr="0033698E">
        <w:rPr>
          <w:spacing w:val="2"/>
          <w:szCs w:val="22"/>
        </w:rPr>
        <w:t>T</w:t>
      </w:r>
      <w:r w:rsidRPr="0033698E">
        <w:rPr>
          <w:szCs w:val="22"/>
        </w:rPr>
        <w:t>E</w:t>
      </w:r>
      <w:r w:rsidRPr="0033698E">
        <w:rPr>
          <w:spacing w:val="-1"/>
          <w:szCs w:val="22"/>
        </w:rPr>
        <w:t>RNA</w:t>
      </w:r>
      <w:r w:rsidRPr="0033698E">
        <w:rPr>
          <w:szCs w:val="22"/>
        </w:rPr>
        <w:t>L</w:t>
      </w:r>
      <w:r w:rsidRPr="0033698E">
        <w:rPr>
          <w:spacing w:val="-1"/>
          <w:szCs w:val="22"/>
        </w:rPr>
        <w:t xml:space="preserve"> </w:t>
      </w:r>
      <w:r w:rsidRPr="0033698E">
        <w:rPr>
          <w:szCs w:val="22"/>
        </w:rPr>
        <w:t>S</w:t>
      </w:r>
      <w:r w:rsidRPr="0033698E">
        <w:rPr>
          <w:spacing w:val="2"/>
          <w:szCs w:val="22"/>
        </w:rPr>
        <w:t>Y</w:t>
      </w:r>
      <w:r w:rsidRPr="0033698E">
        <w:rPr>
          <w:szCs w:val="22"/>
        </w:rPr>
        <w:t>S</w:t>
      </w:r>
      <w:r w:rsidRPr="0033698E">
        <w:rPr>
          <w:spacing w:val="2"/>
          <w:szCs w:val="22"/>
        </w:rPr>
        <w:t>T</w:t>
      </w:r>
      <w:r w:rsidRPr="0033698E">
        <w:rPr>
          <w:spacing w:val="-3"/>
          <w:szCs w:val="22"/>
        </w:rPr>
        <w:t>E</w:t>
      </w:r>
      <w:r w:rsidRPr="0033698E">
        <w:rPr>
          <w:szCs w:val="22"/>
        </w:rPr>
        <w:t>MS</w:t>
      </w:r>
      <w:r w:rsidRPr="0033698E">
        <w:rPr>
          <w:spacing w:val="-1"/>
          <w:szCs w:val="22"/>
        </w:rPr>
        <w:t xml:space="preserve"> </w:t>
      </w:r>
      <w:r w:rsidRPr="0033698E">
        <w:rPr>
          <w:spacing w:val="-2"/>
          <w:szCs w:val="22"/>
        </w:rPr>
        <w:t>S</w:t>
      </w:r>
      <w:r w:rsidRPr="0033698E">
        <w:rPr>
          <w:spacing w:val="2"/>
          <w:szCs w:val="22"/>
        </w:rPr>
        <w:t>T</w:t>
      </w:r>
      <w:r w:rsidRPr="0033698E">
        <w:rPr>
          <w:spacing w:val="-1"/>
          <w:szCs w:val="22"/>
        </w:rPr>
        <w:t>A</w:t>
      </w:r>
      <w:r w:rsidRPr="0033698E">
        <w:rPr>
          <w:spacing w:val="2"/>
          <w:szCs w:val="22"/>
        </w:rPr>
        <w:t>T</w:t>
      </w:r>
      <w:r w:rsidRPr="0033698E">
        <w:rPr>
          <w:spacing w:val="-3"/>
          <w:szCs w:val="22"/>
        </w:rPr>
        <w:t>E</w:t>
      </w:r>
      <w:r w:rsidRPr="0033698E">
        <w:rPr>
          <w:szCs w:val="22"/>
        </w:rPr>
        <w:t>ME</w:t>
      </w:r>
      <w:r w:rsidRPr="0033698E">
        <w:rPr>
          <w:spacing w:val="-4"/>
          <w:szCs w:val="22"/>
        </w:rPr>
        <w:t>N</w:t>
      </w:r>
      <w:r w:rsidRPr="0033698E">
        <w:rPr>
          <w:szCs w:val="22"/>
        </w:rPr>
        <w:t>T</w:t>
      </w:r>
    </w:p>
    <w:p w14:paraId="416F77B1" w14:textId="77777777" w:rsidR="002E03A9" w:rsidRPr="0033698E" w:rsidRDefault="002E03A9" w:rsidP="009B0BF5">
      <w:pPr>
        <w:spacing w:before="200" w:after="0" w:line="280" w:lineRule="atLeast"/>
        <w:ind w:right="556"/>
      </w:pPr>
      <w:r w:rsidRPr="006D07CC">
        <w:t>We h</w:t>
      </w:r>
      <w:r w:rsidRPr="001D7B77">
        <w:t>er</w:t>
      </w:r>
      <w:r w:rsidRPr="006D07CC">
        <w:t>eby</w:t>
      </w:r>
      <w:r w:rsidRPr="001D7B77">
        <w:t xml:space="preserve"> </w:t>
      </w:r>
      <w:r w:rsidRPr="006D07CC">
        <w:t>c</w:t>
      </w:r>
      <w:r w:rsidRPr="001D7B77">
        <w:t>ertif</w:t>
      </w:r>
      <w:r w:rsidRPr="006D07CC">
        <w:t>y</w:t>
      </w:r>
      <w:r w:rsidRPr="001D7B77">
        <w:t xml:space="preserve"> </w:t>
      </w:r>
      <w:r w:rsidRPr="006D07CC">
        <w:t>and</w:t>
      </w:r>
      <w:r w:rsidRPr="001D7B77">
        <w:t xml:space="preserve"> r</w:t>
      </w:r>
      <w:r w:rsidRPr="006D07CC">
        <w:t>e</w:t>
      </w:r>
      <w:r w:rsidRPr="001D7B77">
        <w:t>pr</w:t>
      </w:r>
      <w:r w:rsidRPr="006D07CC">
        <w:t>ese</w:t>
      </w:r>
      <w:r w:rsidRPr="001D7B77">
        <w:t>n</w:t>
      </w:r>
      <w:r w:rsidRPr="006D07CC">
        <w:t>t</w:t>
      </w:r>
      <w:r w:rsidRPr="001D7B77">
        <w:t xml:space="preserve"> th</w:t>
      </w:r>
      <w:r w:rsidRPr="006D07CC">
        <w:t>a</w:t>
      </w:r>
      <w:r w:rsidRPr="001D7B77">
        <w:t>t</w:t>
      </w:r>
      <w:r w:rsidRPr="006D07CC">
        <w:t>:</w:t>
      </w:r>
    </w:p>
    <w:p w14:paraId="6C4FA300" w14:textId="1248F203" w:rsidR="002E03A9" w:rsidRPr="00244E73" w:rsidRDefault="002E03A9" w:rsidP="009B0BF5">
      <w:pPr>
        <w:spacing w:before="200" w:after="0" w:line="280" w:lineRule="atLeast"/>
        <w:ind w:right="556"/>
      </w:pPr>
      <w:r w:rsidRPr="001D7B77">
        <w:t>T</w:t>
      </w:r>
      <w:r w:rsidRPr="006D07CC">
        <w:t>he</w:t>
      </w:r>
      <w:r w:rsidRPr="001D7B77">
        <w:t xml:space="preserve"> P</w:t>
      </w:r>
      <w:r w:rsidRPr="006D07CC">
        <w:t>a</w:t>
      </w:r>
      <w:r w:rsidRPr="001D7B77">
        <w:t>rti</w:t>
      </w:r>
      <w:r w:rsidRPr="006D07CC">
        <w:t>c</w:t>
      </w:r>
      <w:r w:rsidRPr="001D7B77">
        <w:t>ip</w:t>
      </w:r>
      <w:r w:rsidRPr="006D07CC">
        <w:t>ant</w:t>
      </w:r>
      <w:r w:rsidRPr="001D7B77">
        <w:t xml:space="preserve"> </w:t>
      </w:r>
      <w:r w:rsidRPr="006D07CC">
        <w:t>has</w:t>
      </w:r>
      <w:r w:rsidRPr="001D7B77">
        <w:t xml:space="preserve"> </w:t>
      </w:r>
      <w:r w:rsidRPr="006D07CC">
        <w:t>de</w:t>
      </w:r>
      <w:r w:rsidRPr="001D7B77">
        <w:t>v</w:t>
      </w:r>
      <w:r w:rsidRPr="006D07CC">
        <w:t>e</w:t>
      </w:r>
      <w:r w:rsidRPr="001D7B77">
        <w:t>l</w:t>
      </w:r>
      <w:r w:rsidRPr="006D07CC">
        <w:t>o</w:t>
      </w:r>
      <w:r w:rsidRPr="001D7B77">
        <w:t>p</w:t>
      </w:r>
      <w:r w:rsidRPr="006D07CC">
        <w:t>ed</w:t>
      </w:r>
      <w:r w:rsidRPr="001D7B77">
        <w:t xml:space="preserve"> </w:t>
      </w:r>
      <w:r w:rsidRPr="006D07CC">
        <w:t>and</w:t>
      </w:r>
      <w:r w:rsidRPr="001D7B77">
        <w:t xml:space="preserve"> im</w:t>
      </w:r>
      <w:r w:rsidRPr="006D07CC">
        <w:t>p</w:t>
      </w:r>
      <w:r w:rsidRPr="001D7B77">
        <w:t>l</w:t>
      </w:r>
      <w:r w:rsidRPr="006D07CC">
        <w:t>e</w:t>
      </w:r>
      <w:r w:rsidRPr="001D7B77">
        <w:t>m</w:t>
      </w:r>
      <w:r w:rsidRPr="006D07CC">
        <w:t>en</w:t>
      </w:r>
      <w:r w:rsidRPr="001D7B77">
        <w:t>t</w:t>
      </w:r>
      <w:r w:rsidRPr="006D07CC">
        <w:t>ed</w:t>
      </w:r>
      <w:r w:rsidRPr="001D7B77">
        <w:t xml:space="preserve"> </w:t>
      </w:r>
      <w:r w:rsidRPr="006D07CC">
        <w:t>a</w:t>
      </w:r>
      <w:r w:rsidRPr="001D7B77">
        <w:t>d</w:t>
      </w:r>
      <w:r w:rsidRPr="006D07CC">
        <w:t>eq</w:t>
      </w:r>
      <w:r w:rsidRPr="001D7B77">
        <w:t>u</w:t>
      </w:r>
      <w:r w:rsidRPr="006D07CC">
        <w:t>a</w:t>
      </w:r>
      <w:r w:rsidRPr="001D7B77">
        <w:t>t</w:t>
      </w:r>
      <w:r w:rsidRPr="006D07CC">
        <w:t>e</w:t>
      </w:r>
      <w:r w:rsidRPr="001D7B77">
        <w:t xml:space="preserve"> </w:t>
      </w:r>
      <w:r w:rsidRPr="006D07CC">
        <w:t>s</w:t>
      </w:r>
      <w:r w:rsidRPr="001D7B77">
        <w:t>y</w:t>
      </w:r>
      <w:r w:rsidRPr="006D07CC">
        <w:t>s</w:t>
      </w:r>
      <w:r w:rsidRPr="001D7B77">
        <w:t>t</w:t>
      </w:r>
      <w:r w:rsidRPr="006D07CC">
        <w:t>e</w:t>
      </w:r>
      <w:r w:rsidRPr="001D7B77">
        <w:t>m</w:t>
      </w:r>
      <w:r w:rsidRPr="006D07CC">
        <w:t>s,</w:t>
      </w:r>
      <w:r w:rsidRPr="001D7B77">
        <w:t xml:space="preserve"> </w:t>
      </w:r>
      <w:r w:rsidRPr="006D07CC">
        <w:t>p</w:t>
      </w:r>
      <w:r w:rsidRPr="001D7B77">
        <w:t>r</w:t>
      </w:r>
      <w:r w:rsidRPr="006D07CC">
        <w:t>oc</w:t>
      </w:r>
      <w:r w:rsidRPr="001D7B77">
        <w:t>e</w:t>
      </w:r>
      <w:r w:rsidRPr="006D07CC">
        <w:t>du</w:t>
      </w:r>
      <w:r w:rsidRPr="001D7B77">
        <w:t>r</w:t>
      </w:r>
      <w:r w:rsidRPr="006D07CC">
        <w:t>es</w:t>
      </w:r>
      <w:r w:rsidRPr="001D7B77">
        <w:t xml:space="preserve"> </w:t>
      </w:r>
      <w:r w:rsidRPr="006D07CC">
        <w:t>a</w:t>
      </w:r>
      <w:r w:rsidRPr="001D7B77">
        <w:t>n</w:t>
      </w:r>
      <w:r w:rsidRPr="006D07CC">
        <w:t>d</w:t>
      </w:r>
      <w:r w:rsidRPr="001D7B77">
        <w:t xml:space="preserve"> </w:t>
      </w:r>
      <w:r w:rsidRPr="006D07CC">
        <w:t>con</w:t>
      </w:r>
      <w:r w:rsidRPr="001D7B77">
        <w:t>tr</w:t>
      </w:r>
      <w:r w:rsidRPr="006D07CC">
        <w:t>o</w:t>
      </w:r>
      <w:r w:rsidRPr="001D7B77">
        <w:t>l</w:t>
      </w:r>
      <w:r w:rsidRPr="006D07CC">
        <w:t xml:space="preserve">s </w:t>
      </w:r>
      <w:r w:rsidRPr="001D7B77">
        <w:t>r</w:t>
      </w:r>
      <w:r w:rsidRPr="006D07CC">
        <w:t>ea</w:t>
      </w:r>
      <w:r w:rsidRPr="001D7B77">
        <w:t>s</w:t>
      </w:r>
      <w:r w:rsidRPr="006D07CC">
        <w:t>ona</w:t>
      </w:r>
      <w:r w:rsidRPr="001D7B77">
        <w:t>bl</w:t>
      </w:r>
      <w:r w:rsidRPr="006D07CC">
        <w:t>y</w:t>
      </w:r>
      <w:r w:rsidRPr="001D7B77">
        <w:t xml:space="preserve"> </w:t>
      </w:r>
      <w:r w:rsidRPr="006D07CC">
        <w:t>des</w:t>
      </w:r>
      <w:r w:rsidRPr="001D7B77">
        <w:t>ig</w:t>
      </w:r>
      <w:r w:rsidRPr="006D07CC">
        <w:t>ned</w:t>
      </w:r>
      <w:r w:rsidRPr="001D7B77">
        <w:t xml:space="preserve"> t</w:t>
      </w:r>
      <w:r w:rsidRPr="006D07CC">
        <w:t>o</w:t>
      </w:r>
      <w:r w:rsidRPr="001D7B77">
        <w:t xml:space="preserve"> a</w:t>
      </w:r>
      <w:r w:rsidRPr="006D07CC">
        <w:t>ch</w:t>
      </w:r>
      <w:r w:rsidRPr="001D7B77">
        <w:t>i</w:t>
      </w:r>
      <w:r w:rsidRPr="006D07CC">
        <w:t>e</w:t>
      </w:r>
      <w:r w:rsidRPr="001D7B77">
        <w:t>v</w:t>
      </w:r>
      <w:r w:rsidRPr="006D07CC">
        <w:t>e</w:t>
      </w:r>
      <w:r w:rsidRPr="001D7B77">
        <w:t xml:space="preserve"> </w:t>
      </w:r>
      <w:r w:rsidRPr="006D07CC">
        <w:t>co</w:t>
      </w:r>
      <w:r w:rsidRPr="001D7B77">
        <w:t>m</w:t>
      </w:r>
      <w:r w:rsidRPr="006D07CC">
        <w:t>p</w:t>
      </w:r>
      <w:r w:rsidRPr="001D7B77">
        <w:t>li</w:t>
      </w:r>
      <w:r w:rsidRPr="006D07CC">
        <w:t>ance,</w:t>
      </w:r>
      <w:r w:rsidRPr="001D7B77">
        <w:t xml:space="preserve"> </w:t>
      </w:r>
      <w:r w:rsidRPr="006D07CC">
        <w:t>at</w:t>
      </w:r>
      <w:r w:rsidRPr="001D7B77">
        <w:t xml:space="preserve"> </w:t>
      </w:r>
      <w:r w:rsidRPr="006D07CC">
        <w:t>a</w:t>
      </w:r>
      <w:r w:rsidRPr="001D7B77">
        <w:t>l</w:t>
      </w:r>
      <w:r w:rsidRPr="006D07CC">
        <w:t>l</w:t>
      </w:r>
      <w:r w:rsidRPr="001D7B77">
        <w:t xml:space="preserve"> tim</w:t>
      </w:r>
      <w:r w:rsidRPr="006D07CC">
        <w:t>es,</w:t>
      </w:r>
      <w:r w:rsidRPr="001D7B77">
        <w:t xml:space="preserve"> wit</w:t>
      </w:r>
      <w:r w:rsidRPr="006D07CC">
        <w:t>h</w:t>
      </w:r>
      <w:r w:rsidRPr="001D7B77">
        <w:t xml:space="preserve"> t</w:t>
      </w:r>
      <w:r w:rsidRPr="006D07CC">
        <w:t>he</w:t>
      </w:r>
      <w:r w:rsidRPr="001D7B77">
        <w:t xml:space="preserve"> r</w:t>
      </w:r>
      <w:r w:rsidRPr="006D07CC">
        <w:t>eq</w:t>
      </w:r>
      <w:r w:rsidRPr="001D7B77">
        <w:t>uir</w:t>
      </w:r>
      <w:r w:rsidRPr="006D07CC">
        <w:t>e</w:t>
      </w:r>
      <w:r w:rsidRPr="001D7B77">
        <w:t>m</w:t>
      </w:r>
      <w:r w:rsidRPr="006D07CC">
        <w:t>en</w:t>
      </w:r>
      <w:r w:rsidRPr="001D7B77">
        <w:t>t</w:t>
      </w:r>
      <w:r w:rsidRPr="006D07CC">
        <w:t>s</w:t>
      </w:r>
      <w:r w:rsidRPr="001D7B77">
        <w:t xml:space="preserve"> o</w:t>
      </w:r>
      <w:r w:rsidRPr="006D07CC">
        <w:t>f</w:t>
      </w:r>
      <w:r w:rsidRPr="001D7B77">
        <w:t xml:space="preserve"> t</w:t>
      </w:r>
      <w:r w:rsidRPr="006D07CC">
        <w:t>he</w:t>
      </w:r>
      <w:r w:rsidRPr="001D7B77">
        <w:t xml:space="preserve"> </w:t>
      </w:r>
      <w:r w:rsidR="0053215A" w:rsidRPr="001D7B77">
        <w:rPr>
          <w:b/>
          <w:i/>
        </w:rPr>
        <w:t xml:space="preserve">ASIC Market Integrity Rules (Capital) </w:t>
      </w:r>
      <w:r w:rsidR="0091639B" w:rsidRPr="001D7B77">
        <w:rPr>
          <w:b/>
          <w:i/>
        </w:rPr>
        <w:t>20</w:t>
      </w:r>
      <w:r w:rsidR="004F4E4F">
        <w:rPr>
          <w:b/>
          <w:i/>
        </w:rPr>
        <w:t>2</w:t>
      </w:r>
      <w:r w:rsidR="00BB486B">
        <w:rPr>
          <w:b/>
          <w:i/>
        </w:rPr>
        <w:t>1</w:t>
      </w:r>
      <w:r w:rsidRPr="006D07CC">
        <w:t>, and</w:t>
      </w:r>
      <w:r w:rsidRPr="001D7B77">
        <w:t xml:space="preserve"> w</w:t>
      </w:r>
      <w:r w:rsidRPr="006D07CC">
        <w:t>h</w:t>
      </w:r>
      <w:r w:rsidRPr="001D7B77">
        <w:t>i</w:t>
      </w:r>
      <w:r w:rsidRPr="006D07CC">
        <w:t xml:space="preserve">ch </w:t>
      </w:r>
      <w:r w:rsidRPr="001D7B77">
        <w:t>ar</w:t>
      </w:r>
      <w:r w:rsidRPr="006D07CC">
        <w:t>e</w:t>
      </w:r>
      <w:r w:rsidRPr="001D7B77">
        <w:t xml:space="preserve"> a</w:t>
      </w:r>
      <w:r w:rsidRPr="006D07CC">
        <w:t>p</w:t>
      </w:r>
      <w:r w:rsidRPr="001D7B77">
        <w:t>pr</w:t>
      </w:r>
      <w:r w:rsidRPr="006D07CC">
        <w:t>op</w:t>
      </w:r>
      <w:r w:rsidRPr="001D7B77">
        <w:t>riat</w:t>
      </w:r>
      <w:r w:rsidRPr="006D07CC">
        <w:t>e</w:t>
      </w:r>
      <w:r w:rsidRPr="001D7B77">
        <w:t xml:space="preserve"> f</w:t>
      </w:r>
      <w:r w:rsidRPr="006D07CC">
        <w:t>or</w:t>
      </w:r>
      <w:r w:rsidRPr="001D7B77">
        <w:t xml:space="preserve"> t</w:t>
      </w:r>
      <w:r w:rsidRPr="006D07CC">
        <w:t>he</w:t>
      </w:r>
      <w:r w:rsidRPr="001D7B77">
        <w:t xml:space="preserve"> </w:t>
      </w:r>
      <w:r w:rsidRPr="006D07CC">
        <w:t>n</w:t>
      </w:r>
      <w:r w:rsidRPr="001D7B77">
        <w:t>atur</w:t>
      </w:r>
      <w:r w:rsidRPr="006D07CC">
        <w:t>e</w:t>
      </w:r>
      <w:r w:rsidRPr="001D7B77">
        <w:t xml:space="preserve"> a</w:t>
      </w:r>
      <w:r w:rsidRPr="006D07CC">
        <w:t>nd ex</w:t>
      </w:r>
      <w:r w:rsidRPr="001D7B77">
        <w:t>t</w:t>
      </w:r>
      <w:r w:rsidRPr="006D07CC">
        <w:t>e</w:t>
      </w:r>
      <w:r w:rsidRPr="001D7B77">
        <w:t>n</w:t>
      </w:r>
      <w:r w:rsidRPr="006D07CC">
        <w:t>t</w:t>
      </w:r>
      <w:r w:rsidRPr="001D7B77">
        <w:t xml:space="preserve"> o</w:t>
      </w:r>
      <w:r w:rsidRPr="006D07CC">
        <w:t>f</w:t>
      </w:r>
      <w:r w:rsidRPr="001D7B77">
        <w:t xml:space="preserve"> th</w:t>
      </w:r>
      <w:r w:rsidRPr="006D07CC">
        <w:t>e</w:t>
      </w:r>
      <w:r w:rsidRPr="001D7B77">
        <w:t xml:space="preserve"> trading activities </w:t>
      </w:r>
      <w:r w:rsidRPr="006D07CC">
        <w:t>b</w:t>
      </w:r>
      <w:r w:rsidRPr="001D7B77">
        <w:t>ei</w:t>
      </w:r>
      <w:r w:rsidRPr="006D07CC">
        <w:t>ng</w:t>
      </w:r>
      <w:r w:rsidRPr="001D7B77">
        <w:t xml:space="preserve"> </w:t>
      </w:r>
      <w:r w:rsidRPr="006D07CC">
        <w:t>condu</w:t>
      </w:r>
      <w:r w:rsidRPr="001D7B77">
        <w:t>ct</w:t>
      </w:r>
      <w:r w:rsidRPr="006D07CC">
        <w:t>ed.</w:t>
      </w:r>
    </w:p>
    <w:p w14:paraId="4DB76E24" w14:textId="13790FAB" w:rsidR="002E03A9" w:rsidRPr="00244E73" w:rsidRDefault="002E03A9" w:rsidP="009B0BF5">
      <w:pPr>
        <w:spacing w:before="200" w:after="0" w:line="280" w:lineRule="atLeast"/>
        <w:ind w:right="556"/>
      </w:pPr>
      <w:r w:rsidRPr="001D7B77">
        <w:t>Thi</w:t>
      </w:r>
      <w:r w:rsidRPr="006D07CC">
        <w:t>s</w:t>
      </w:r>
      <w:r w:rsidRPr="001D7B77">
        <w:t xml:space="preserve"> i</w:t>
      </w:r>
      <w:r w:rsidRPr="006D07CC">
        <w:t>n</w:t>
      </w:r>
      <w:r w:rsidRPr="001D7B77">
        <w:t>cl</w:t>
      </w:r>
      <w:r w:rsidRPr="006D07CC">
        <w:t>ud</w:t>
      </w:r>
      <w:r w:rsidRPr="001D7B77">
        <w:t>e</w:t>
      </w:r>
      <w:r w:rsidRPr="006D07CC">
        <w:t>s</w:t>
      </w:r>
      <w:r w:rsidRPr="001D7B77">
        <w:t xml:space="preserve"> r</w:t>
      </w:r>
      <w:r w:rsidRPr="006D07CC">
        <w:t>e</w:t>
      </w:r>
      <w:r w:rsidRPr="001D7B77">
        <w:t>vi</w:t>
      </w:r>
      <w:r w:rsidRPr="006D07CC">
        <w:t>ew</w:t>
      </w:r>
      <w:r w:rsidRPr="001D7B77">
        <w:t xml:space="preserve"> </w:t>
      </w:r>
      <w:r w:rsidRPr="006D07CC">
        <w:t>of</w:t>
      </w:r>
      <w:r w:rsidRPr="001D7B77">
        <w:t xml:space="preserve"> t</w:t>
      </w:r>
      <w:r w:rsidRPr="006D07CC">
        <w:t>he</w:t>
      </w:r>
      <w:r w:rsidRPr="001D7B77">
        <w:t xml:space="preserve"> </w:t>
      </w:r>
      <w:r w:rsidRPr="006D07CC">
        <w:t>ob</w:t>
      </w:r>
      <w:r w:rsidRPr="001D7B77">
        <w:t>lig</w:t>
      </w:r>
      <w:r w:rsidRPr="006D07CC">
        <w:t>a</w:t>
      </w:r>
      <w:r w:rsidRPr="001D7B77">
        <w:t>ti</w:t>
      </w:r>
      <w:r w:rsidRPr="006D07CC">
        <w:t>o</w:t>
      </w:r>
      <w:r w:rsidRPr="001D7B77">
        <w:t>n</w:t>
      </w:r>
      <w:r w:rsidRPr="006D07CC">
        <w:t>s</w:t>
      </w:r>
      <w:r w:rsidRPr="001D7B77">
        <w:t xml:space="preserve"> </w:t>
      </w:r>
      <w:r w:rsidRPr="006D07CC">
        <w:t>und</w:t>
      </w:r>
      <w:r w:rsidRPr="001D7B77">
        <w:t>e</w:t>
      </w:r>
      <w:r w:rsidRPr="006D07CC">
        <w:t>r</w:t>
      </w:r>
      <w:r w:rsidRPr="001D7B77">
        <w:t xml:space="preserve"> t</w:t>
      </w:r>
      <w:r w:rsidRPr="006D07CC">
        <w:t xml:space="preserve">he </w:t>
      </w:r>
      <w:r w:rsidR="0053215A" w:rsidRPr="001D7B77">
        <w:rPr>
          <w:b/>
          <w:i/>
        </w:rPr>
        <w:t xml:space="preserve">ASIC Market Integrity Rules (Capital) </w:t>
      </w:r>
      <w:r w:rsidR="0091639B" w:rsidRPr="001D7B77">
        <w:rPr>
          <w:b/>
          <w:i/>
        </w:rPr>
        <w:t>20</w:t>
      </w:r>
      <w:r w:rsidR="004F4E4F">
        <w:rPr>
          <w:b/>
          <w:i/>
        </w:rPr>
        <w:t>2</w:t>
      </w:r>
      <w:r w:rsidR="00BB486B">
        <w:rPr>
          <w:b/>
          <w:i/>
        </w:rPr>
        <w:t>1</w:t>
      </w:r>
      <w:r w:rsidRPr="006D07CC">
        <w:t>,</w:t>
      </w:r>
      <w:r w:rsidRPr="001D7B77">
        <w:t xml:space="preserve"> t</w:t>
      </w:r>
      <w:r w:rsidRPr="006D07CC">
        <w:t xml:space="preserve">he </w:t>
      </w:r>
      <w:r w:rsidRPr="001D7B77">
        <w:t>i</w:t>
      </w:r>
      <w:r w:rsidRPr="006D07CC">
        <w:t>de</w:t>
      </w:r>
      <w:r w:rsidRPr="001D7B77">
        <w:t>ntifi</w:t>
      </w:r>
      <w:r w:rsidRPr="006D07CC">
        <w:t>ca</w:t>
      </w:r>
      <w:r w:rsidRPr="001D7B77">
        <w:t>ti</w:t>
      </w:r>
      <w:r w:rsidRPr="006D07CC">
        <w:t>on</w:t>
      </w:r>
      <w:r w:rsidRPr="001D7B77">
        <w:t xml:space="preserve"> o</w:t>
      </w:r>
      <w:r w:rsidRPr="006D07CC">
        <w:t>f</w:t>
      </w:r>
      <w:r w:rsidRPr="001D7B77">
        <w:t xml:space="preserve"> th</w:t>
      </w:r>
      <w:r w:rsidRPr="006D07CC">
        <w:t>e</w:t>
      </w:r>
      <w:r w:rsidRPr="001D7B77">
        <w:t xml:space="preserve"> k</w:t>
      </w:r>
      <w:r w:rsidRPr="006D07CC">
        <w:t>ey</w:t>
      </w:r>
      <w:r w:rsidRPr="001D7B77">
        <w:t xml:space="preserve"> </w:t>
      </w:r>
      <w:r w:rsidRPr="006D07CC">
        <w:t>r</w:t>
      </w:r>
      <w:r w:rsidRPr="001D7B77">
        <w:t>i</w:t>
      </w:r>
      <w:r w:rsidRPr="006D07CC">
        <w:t>s</w:t>
      </w:r>
      <w:r w:rsidRPr="001D7B77">
        <w:t>k</w:t>
      </w:r>
      <w:r w:rsidRPr="006D07CC">
        <w:t>s</w:t>
      </w:r>
      <w:r w:rsidRPr="001D7B77">
        <w:t xml:space="preserve"> </w:t>
      </w:r>
      <w:r w:rsidRPr="006D07CC">
        <w:t>f</w:t>
      </w:r>
      <w:r w:rsidRPr="001D7B77">
        <w:t>a</w:t>
      </w:r>
      <w:r w:rsidRPr="006D07CC">
        <w:t>c</w:t>
      </w:r>
      <w:r w:rsidRPr="001D7B77">
        <w:t>in</w:t>
      </w:r>
      <w:r w:rsidRPr="006D07CC">
        <w:t>g</w:t>
      </w:r>
      <w:r w:rsidRPr="001D7B77">
        <w:t xml:space="preserve"> t</w:t>
      </w:r>
      <w:r w:rsidRPr="006D07CC">
        <w:t>he</w:t>
      </w:r>
      <w:r w:rsidRPr="001D7B77">
        <w:t xml:space="preserve"> P</w:t>
      </w:r>
      <w:r w:rsidRPr="006D07CC">
        <w:t>a</w:t>
      </w:r>
      <w:r w:rsidRPr="001D7B77">
        <w:t>rticip</w:t>
      </w:r>
      <w:r w:rsidRPr="006D07CC">
        <w:t>ant</w:t>
      </w:r>
      <w:r w:rsidRPr="001D7B77">
        <w:t xml:space="preserve"> </w:t>
      </w:r>
      <w:r w:rsidRPr="006D07CC">
        <w:t>and</w:t>
      </w:r>
      <w:r w:rsidRPr="001D7B77">
        <w:t xml:space="preserve"> t</w:t>
      </w:r>
      <w:r w:rsidRPr="006D07CC">
        <w:t>he</w:t>
      </w:r>
      <w:r w:rsidRPr="001D7B77">
        <w:t xml:space="preserve"> e</w:t>
      </w:r>
      <w:r w:rsidRPr="006D07CC">
        <w:t>s</w:t>
      </w:r>
      <w:r w:rsidRPr="001D7B77">
        <w:t>t</w:t>
      </w:r>
      <w:r w:rsidRPr="006D07CC">
        <w:t>ab</w:t>
      </w:r>
      <w:r w:rsidRPr="001D7B77">
        <w:t>li</w:t>
      </w:r>
      <w:r w:rsidRPr="006D07CC">
        <w:t>sh</w:t>
      </w:r>
      <w:r w:rsidRPr="001D7B77">
        <w:t>m</w:t>
      </w:r>
      <w:r w:rsidRPr="006D07CC">
        <w:t>ent of</w:t>
      </w:r>
      <w:r w:rsidRPr="001D7B77">
        <w:t xml:space="preserve"> </w:t>
      </w:r>
      <w:r w:rsidRPr="006D07CC">
        <w:t>s</w:t>
      </w:r>
      <w:r w:rsidRPr="001D7B77">
        <w:t>y</w:t>
      </w:r>
      <w:r w:rsidRPr="006D07CC">
        <w:t>s</w:t>
      </w:r>
      <w:r w:rsidRPr="001D7B77">
        <w:t>t</w:t>
      </w:r>
      <w:r w:rsidRPr="006D07CC">
        <w:t>e</w:t>
      </w:r>
      <w:r w:rsidRPr="001D7B77">
        <w:t>m</w:t>
      </w:r>
      <w:r w:rsidRPr="006D07CC">
        <w:t>s, p</w:t>
      </w:r>
      <w:r w:rsidRPr="001D7B77">
        <w:t>ro</w:t>
      </w:r>
      <w:r w:rsidRPr="006D07CC">
        <w:t>ced</w:t>
      </w:r>
      <w:r w:rsidRPr="001D7B77">
        <w:t>ur</w:t>
      </w:r>
      <w:r w:rsidRPr="006D07CC">
        <w:t>es</w:t>
      </w:r>
      <w:r w:rsidRPr="001D7B77">
        <w:t xml:space="preserve"> </w:t>
      </w:r>
      <w:r w:rsidRPr="006D07CC">
        <w:t>and</w:t>
      </w:r>
      <w:r w:rsidRPr="001D7B77">
        <w:t xml:space="preserve"> </w:t>
      </w:r>
      <w:r w:rsidRPr="006D07CC">
        <w:t>con</w:t>
      </w:r>
      <w:r w:rsidRPr="001D7B77">
        <w:t>tr</w:t>
      </w:r>
      <w:r w:rsidRPr="006D07CC">
        <w:t>o</w:t>
      </w:r>
      <w:r w:rsidRPr="001D7B77">
        <w:t>l</w:t>
      </w:r>
      <w:r w:rsidRPr="006D07CC">
        <w:t>s</w:t>
      </w:r>
      <w:r w:rsidRPr="001D7B77">
        <w:t xml:space="preserve"> t</w:t>
      </w:r>
      <w:r w:rsidRPr="006D07CC">
        <w:t>o</w:t>
      </w:r>
      <w:r w:rsidRPr="001D7B77">
        <w:t xml:space="preserve"> m</w:t>
      </w:r>
      <w:r w:rsidRPr="006D07CC">
        <w:t>on</w:t>
      </w:r>
      <w:r w:rsidRPr="001D7B77">
        <w:t>it</w:t>
      </w:r>
      <w:r w:rsidRPr="006D07CC">
        <w:t>or</w:t>
      </w:r>
      <w:r w:rsidRPr="001D7B77">
        <w:t xml:space="preserve"> </w:t>
      </w:r>
      <w:r w:rsidRPr="006D07CC">
        <w:t xml:space="preserve">and </w:t>
      </w:r>
      <w:r w:rsidRPr="001D7B77">
        <w:t>m</w:t>
      </w:r>
      <w:r w:rsidRPr="006D07CC">
        <w:t>ana</w:t>
      </w:r>
      <w:r w:rsidRPr="001D7B77">
        <w:t>g</w:t>
      </w:r>
      <w:r w:rsidRPr="006D07CC">
        <w:t>e</w:t>
      </w:r>
      <w:r w:rsidRPr="001D7B77">
        <w:t xml:space="preserve"> t</w:t>
      </w:r>
      <w:r w:rsidRPr="006D07CC">
        <w:t>ho</w:t>
      </w:r>
      <w:r w:rsidRPr="001D7B77">
        <w:t>s</w:t>
      </w:r>
      <w:r w:rsidRPr="006D07CC">
        <w:t>e</w:t>
      </w:r>
      <w:r w:rsidRPr="001D7B77">
        <w:t xml:space="preserve"> ri</w:t>
      </w:r>
      <w:r w:rsidRPr="006D07CC">
        <w:t>s</w:t>
      </w:r>
      <w:r w:rsidRPr="001D7B77">
        <w:t>k</w:t>
      </w:r>
      <w:r w:rsidRPr="006D07CC">
        <w:t>s</w:t>
      </w:r>
      <w:r w:rsidRPr="001D7B77">
        <w:t xml:space="preserve"> in</w:t>
      </w:r>
      <w:r w:rsidRPr="006D07CC">
        <w:t>c</w:t>
      </w:r>
      <w:r w:rsidRPr="001D7B77">
        <w:t>l</w:t>
      </w:r>
      <w:r w:rsidRPr="006D07CC">
        <w:t>u</w:t>
      </w:r>
      <w:r w:rsidRPr="001D7B77">
        <w:t>di</w:t>
      </w:r>
      <w:r w:rsidRPr="006D07CC">
        <w:t>ng</w:t>
      </w:r>
      <w:r w:rsidRPr="001D7B77">
        <w:t xml:space="preserve"> t</w:t>
      </w:r>
      <w:r w:rsidRPr="006D07CC">
        <w:t>he es</w:t>
      </w:r>
      <w:r w:rsidRPr="001D7B77">
        <w:t>ta</w:t>
      </w:r>
      <w:r w:rsidRPr="006D07CC">
        <w:t>b</w:t>
      </w:r>
      <w:r w:rsidRPr="001D7B77">
        <w:t>li</w:t>
      </w:r>
      <w:r w:rsidRPr="006D07CC">
        <w:t>sh</w:t>
      </w:r>
      <w:r w:rsidRPr="001D7B77">
        <w:t>m</w:t>
      </w:r>
      <w:r w:rsidRPr="006D07CC">
        <w:t>ent</w:t>
      </w:r>
      <w:r w:rsidRPr="001D7B77">
        <w:t xml:space="preserve"> o</w:t>
      </w:r>
      <w:r w:rsidRPr="006D07CC">
        <w:t>f</w:t>
      </w:r>
      <w:r w:rsidRPr="001D7B77">
        <w:t xml:space="preserve"> </w:t>
      </w:r>
      <w:r w:rsidRPr="006D07CC">
        <w:t>p</w:t>
      </w:r>
      <w:r w:rsidRPr="001D7B77">
        <w:t>olicie</w:t>
      </w:r>
      <w:r w:rsidRPr="006D07CC">
        <w:t>s</w:t>
      </w:r>
      <w:r w:rsidRPr="001D7B77">
        <w:t xml:space="preserve"> </w:t>
      </w:r>
      <w:r w:rsidRPr="006D07CC">
        <w:t>a</w:t>
      </w:r>
      <w:r w:rsidRPr="001D7B77">
        <w:t>n</w:t>
      </w:r>
      <w:r w:rsidRPr="006D07CC">
        <w:t>d</w:t>
      </w:r>
      <w:r w:rsidRPr="001D7B77">
        <w:t xml:space="preserve"> </w:t>
      </w:r>
      <w:r w:rsidRPr="006D07CC">
        <w:t>p</w:t>
      </w:r>
      <w:r w:rsidRPr="001D7B77">
        <w:t>r</w:t>
      </w:r>
      <w:r w:rsidRPr="006D07CC">
        <w:t>o</w:t>
      </w:r>
      <w:r w:rsidRPr="001D7B77">
        <w:t>c</w:t>
      </w:r>
      <w:r w:rsidRPr="006D07CC">
        <w:t>edu</w:t>
      </w:r>
      <w:r w:rsidRPr="001D7B77">
        <w:t>r</w:t>
      </w:r>
      <w:r w:rsidRPr="006D07CC">
        <w:t>es</w:t>
      </w:r>
      <w:r w:rsidRPr="001D7B77">
        <w:t xml:space="preserve"> t</w:t>
      </w:r>
      <w:r w:rsidRPr="006D07CC">
        <w:t>o</w:t>
      </w:r>
      <w:r w:rsidRPr="001D7B77">
        <w:t xml:space="preserve"> </w:t>
      </w:r>
      <w:r w:rsidRPr="006D07CC">
        <w:t>e</w:t>
      </w:r>
      <w:r w:rsidRPr="001D7B77">
        <w:t>n</w:t>
      </w:r>
      <w:r w:rsidRPr="006D07CC">
        <w:t>su</w:t>
      </w:r>
      <w:r w:rsidRPr="001D7B77">
        <w:t>r</w:t>
      </w:r>
      <w:r w:rsidRPr="006D07CC">
        <w:t>e</w:t>
      </w:r>
      <w:r w:rsidRPr="001D7B77">
        <w:t xml:space="preserve"> th</w:t>
      </w:r>
      <w:r w:rsidRPr="006D07CC">
        <w:t>e</w:t>
      </w:r>
      <w:r w:rsidRPr="001D7B77">
        <w:t xml:space="preserve"> </w:t>
      </w:r>
      <w:r w:rsidRPr="006D07CC">
        <w:t>acc</w:t>
      </w:r>
      <w:r w:rsidRPr="001D7B77">
        <w:t>ur</w:t>
      </w:r>
      <w:r w:rsidRPr="006D07CC">
        <w:t>a</w:t>
      </w:r>
      <w:r w:rsidRPr="001D7B77">
        <w:t>t</w:t>
      </w:r>
      <w:r w:rsidRPr="006D07CC">
        <w:t>e</w:t>
      </w:r>
      <w:r w:rsidRPr="001D7B77">
        <w:t xml:space="preserve"> </w:t>
      </w:r>
      <w:r w:rsidRPr="006D07CC">
        <w:t>c</w:t>
      </w:r>
      <w:r w:rsidRPr="001D7B77">
        <w:t>al</w:t>
      </w:r>
      <w:r w:rsidRPr="006D07CC">
        <w:t>c</w:t>
      </w:r>
      <w:r w:rsidRPr="001D7B77">
        <w:t>ulatio</w:t>
      </w:r>
      <w:r w:rsidRPr="006D07CC">
        <w:t>n</w:t>
      </w:r>
      <w:r w:rsidRPr="001D7B77">
        <w:t xml:space="preserve"> </w:t>
      </w:r>
      <w:r w:rsidRPr="006D07CC">
        <w:t>of</w:t>
      </w:r>
      <w:r w:rsidRPr="001D7B77">
        <w:t xml:space="preserve"> t</w:t>
      </w:r>
      <w:r w:rsidRPr="006D07CC">
        <w:t>he</w:t>
      </w:r>
      <w:r w:rsidRPr="001D7B77">
        <w:t xml:space="preserve"> </w:t>
      </w:r>
      <w:r w:rsidRPr="006D07CC">
        <w:t>cap</w:t>
      </w:r>
      <w:r w:rsidRPr="001D7B77">
        <w:t>ita</w:t>
      </w:r>
      <w:r w:rsidRPr="006D07CC">
        <w:t xml:space="preserve">l </w:t>
      </w:r>
      <w:r w:rsidRPr="001D7B77">
        <w:t>r</w:t>
      </w:r>
      <w:r w:rsidRPr="006D07CC">
        <w:t>eq</w:t>
      </w:r>
      <w:r w:rsidRPr="001D7B77">
        <w:t>uir</w:t>
      </w:r>
      <w:r w:rsidRPr="006D07CC">
        <w:t>e</w:t>
      </w:r>
      <w:r w:rsidRPr="001D7B77">
        <w:t>m</w:t>
      </w:r>
      <w:r w:rsidRPr="006D07CC">
        <w:t>en</w:t>
      </w:r>
      <w:r w:rsidRPr="001D7B77">
        <w:t>ts</w:t>
      </w:r>
      <w:r w:rsidRPr="006D07CC">
        <w:t>.</w:t>
      </w:r>
    </w:p>
    <w:p w14:paraId="2873D63A" w14:textId="265ADDE7" w:rsidR="002E03A9" w:rsidRPr="0033698E" w:rsidRDefault="002E03A9" w:rsidP="009B0BF5">
      <w:pPr>
        <w:spacing w:before="200" w:after="0" w:line="280" w:lineRule="atLeast"/>
        <w:ind w:right="556"/>
      </w:pPr>
      <w:r w:rsidRPr="001D7B77">
        <w:t>T</w:t>
      </w:r>
      <w:r w:rsidRPr="006D07CC">
        <w:t>he</w:t>
      </w:r>
      <w:r w:rsidRPr="001D7B77">
        <w:t xml:space="preserve"> </w:t>
      </w:r>
      <w:r w:rsidRPr="006D07CC">
        <w:t>s</w:t>
      </w:r>
      <w:r w:rsidRPr="001D7B77">
        <w:t>y</w:t>
      </w:r>
      <w:r w:rsidRPr="006D07CC">
        <w:t>s</w:t>
      </w:r>
      <w:r w:rsidRPr="001D7B77">
        <w:t>t</w:t>
      </w:r>
      <w:r w:rsidRPr="006D07CC">
        <w:t>e</w:t>
      </w:r>
      <w:r w:rsidRPr="001D7B77">
        <w:t>m</w:t>
      </w:r>
      <w:r w:rsidRPr="006D07CC">
        <w:t>s,</w:t>
      </w:r>
      <w:r w:rsidRPr="001D7B77">
        <w:t xml:space="preserve"> </w:t>
      </w:r>
      <w:r w:rsidRPr="006D07CC">
        <w:t>p</w:t>
      </w:r>
      <w:r w:rsidRPr="001D7B77">
        <w:t>r</w:t>
      </w:r>
      <w:r w:rsidRPr="006D07CC">
        <w:t>o</w:t>
      </w:r>
      <w:r w:rsidRPr="001D7B77">
        <w:t>c</w:t>
      </w:r>
      <w:r w:rsidRPr="006D07CC">
        <w:t>ed</w:t>
      </w:r>
      <w:r w:rsidRPr="001D7B77">
        <w:t>ur</w:t>
      </w:r>
      <w:r w:rsidRPr="006D07CC">
        <w:t>es</w:t>
      </w:r>
      <w:r w:rsidRPr="001D7B77">
        <w:t xml:space="preserve"> </w:t>
      </w:r>
      <w:r w:rsidRPr="006D07CC">
        <w:t>a</w:t>
      </w:r>
      <w:r w:rsidRPr="001D7B77">
        <w:t>n</w:t>
      </w:r>
      <w:r w:rsidRPr="006D07CC">
        <w:t>d</w:t>
      </w:r>
      <w:r w:rsidRPr="001D7B77">
        <w:t xml:space="preserve"> </w:t>
      </w:r>
      <w:r w:rsidRPr="006D07CC">
        <w:t>con</w:t>
      </w:r>
      <w:r w:rsidRPr="001D7B77">
        <w:t>trol</w:t>
      </w:r>
      <w:r w:rsidRPr="006D07CC">
        <w:t>s</w:t>
      </w:r>
      <w:r w:rsidRPr="001D7B77">
        <w:t xml:space="preserve"> ar</w:t>
      </w:r>
      <w:r w:rsidRPr="006D07CC">
        <w:t>e</w:t>
      </w:r>
      <w:r w:rsidRPr="001D7B77">
        <w:t xml:space="preserve"> </w:t>
      </w:r>
      <w:r w:rsidRPr="006D07CC">
        <w:t>o</w:t>
      </w:r>
      <w:r w:rsidRPr="001D7B77">
        <w:t>p</w:t>
      </w:r>
      <w:r w:rsidRPr="006D07CC">
        <w:t>e</w:t>
      </w:r>
      <w:r w:rsidRPr="001D7B77">
        <w:t>r</w:t>
      </w:r>
      <w:r w:rsidRPr="006D07CC">
        <w:t>a</w:t>
      </w:r>
      <w:r w:rsidRPr="001D7B77">
        <w:t>ti</w:t>
      </w:r>
      <w:r w:rsidRPr="006D07CC">
        <w:t>ng</w:t>
      </w:r>
      <w:r w:rsidRPr="001D7B77">
        <w:t xml:space="preserve"> </w:t>
      </w:r>
      <w:r w:rsidRPr="006D07CC">
        <w:t>ef</w:t>
      </w:r>
      <w:r w:rsidRPr="001D7B77">
        <w:t>f</w:t>
      </w:r>
      <w:r w:rsidRPr="006D07CC">
        <w:t>ec</w:t>
      </w:r>
      <w:r w:rsidRPr="001D7B77">
        <w:t>tiv</w:t>
      </w:r>
      <w:r w:rsidRPr="006D07CC">
        <w:t>e</w:t>
      </w:r>
      <w:r w:rsidRPr="001D7B77">
        <w:t>l</w:t>
      </w:r>
      <w:r w:rsidRPr="006D07CC">
        <w:t>y</w:t>
      </w:r>
      <w:r w:rsidRPr="001D7B77">
        <w:t xml:space="preserve"> </w:t>
      </w:r>
      <w:r w:rsidRPr="006D07CC">
        <w:t>and</w:t>
      </w:r>
      <w:r w:rsidRPr="001D7B77">
        <w:t xml:space="preserve"> </w:t>
      </w:r>
      <w:r w:rsidRPr="006D07CC">
        <w:t>a</w:t>
      </w:r>
      <w:r w:rsidRPr="001D7B77">
        <w:t>r</w:t>
      </w:r>
      <w:r w:rsidRPr="006D07CC">
        <w:t>e</w:t>
      </w:r>
      <w:r w:rsidRPr="001D7B77">
        <w:t xml:space="preserve"> </w:t>
      </w:r>
      <w:r w:rsidRPr="006D07CC">
        <w:t>a</w:t>
      </w:r>
      <w:r w:rsidRPr="001D7B77">
        <w:t>d</w:t>
      </w:r>
      <w:r w:rsidRPr="006D07CC">
        <w:t>equ</w:t>
      </w:r>
      <w:r w:rsidRPr="001D7B77">
        <w:t>at</w:t>
      </w:r>
      <w:r w:rsidRPr="006D07CC">
        <w:t>e</w:t>
      </w:r>
      <w:r w:rsidRPr="001D7B77">
        <w:t xml:space="preserve"> h</w:t>
      </w:r>
      <w:r w:rsidRPr="006D07CC">
        <w:t>a</w:t>
      </w:r>
      <w:r w:rsidRPr="001D7B77">
        <w:t>vi</w:t>
      </w:r>
      <w:r w:rsidRPr="006D07CC">
        <w:t xml:space="preserve">ng </w:t>
      </w:r>
      <w:r w:rsidRPr="001D7B77">
        <w:t>r</w:t>
      </w:r>
      <w:r w:rsidRPr="006D07CC">
        <w:t>e</w:t>
      </w:r>
      <w:r w:rsidRPr="001D7B77">
        <w:t>g</w:t>
      </w:r>
      <w:r w:rsidRPr="006D07CC">
        <w:t>a</w:t>
      </w:r>
      <w:r w:rsidRPr="001D7B77">
        <w:t>r</w:t>
      </w:r>
      <w:r w:rsidRPr="006D07CC">
        <w:t>d</w:t>
      </w:r>
      <w:r w:rsidRPr="001D7B77">
        <w:t xml:space="preserve"> t</w:t>
      </w:r>
      <w:r w:rsidRPr="006D07CC">
        <w:t>o</w:t>
      </w:r>
      <w:r w:rsidRPr="001D7B77">
        <w:t xml:space="preserve"> th</w:t>
      </w:r>
      <w:r w:rsidRPr="006D07CC">
        <w:t>e</w:t>
      </w:r>
      <w:r w:rsidRPr="001D7B77">
        <w:t xml:space="preserve"> </w:t>
      </w:r>
      <w:r w:rsidRPr="006D07CC">
        <w:t>n</w:t>
      </w:r>
      <w:r w:rsidRPr="001D7B77">
        <w:t>at</w:t>
      </w:r>
      <w:r w:rsidRPr="006D07CC">
        <w:t>u</w:t>
      </w:r>
      <w:r w:rsidRPr="001D7B77">
        <w:t>r</w:t>
      </w:r>
      <w:r w:rsidRPr="006D07CC">
        <w:t>e</w:t>
      </w:r>
      <w:r w:rsidRPr="001D7B77">
        <w:t xml:space="preserve"> </w:t>
      </w:r>
      <w:r w:rsidRPr="006D07CC">
        <w:t>a</w:t>
      </w:r>
      <w:r w:rsidRPr="001D7B77">
        <w:t>n</w:t>
      </w:r>
      <w:r w:rsidRPr="006D07CC">
        <w:t>d</w:t>
      </w:r>
      <w:r w:rsidRPr="001D7B77">
        <w:t xml:space="preserve"> </w:t>
      </w:r>
      <w:r w:rsidRPr="006D07CC">
        <w:t>e</w:t>
      </w:r>
      <w:r w:rsidRPr="001D7B77">
        <w:t>xt</w:t>
      </w:r>
      <w:r w:rsidRPr="006D07CC">
        <w:t>ent</w:t>
      </w:r>
      <w:r w:rsidRPr="001D7B77">
        <w:t xml:space="preserve"> o</w:t>
      </w:r>
      <w:r w:rsidRPr="006D07CC">
        <w:t>f</w:t>
      </w:r>
      <w:r w:rsidRPr="001D7B77">
        <w:t xml:space="preserve"> th</w:t>
      </w:r>
      <w:r w:rsidRPr="006D07CC">
        <w:t>e</w:t>
      </w:r>
      <w:r w:rsidRPr="001D7B77">
        <w:t xml:space="preserve"> Partici</w:t>
      </w:r>
      <w:r w:rsidRPr="006D07CC">
        <w:t>pa</w:t>
      </w:r>
      <w:r w:rsidRPr="001D7B77">
        <w:t>nt’</w:t>
      </w:r>
      <w:r w:rsidRPr="006D07CC">
        <w:t>s</w:t>
      </w:r>
      <w:r w:rsidRPr="001D7B77">
        <w:t xml:space="preserve"> </w:t>
      </w:r>
      <w:r w:rsidRPr="001D7B77">
        <w:rPr>
          <w:b/>
        </w:rPr>
        <w:t>tr</w:t>
      </w:r>
      <w:r w:rsidRPr="006D07CC">
        <w:rPr>
          <w:b/>
        </w:rPr>
        <w:t>a</w:t>
      </w:r>
      <w:r w:rsidRPr="001D7B77">
        <w:rPr>
          <w:b/>
        </w:rPr>
        <w:t>di</w:t>
      </w:r>
      <w:r w:rsidRPr="006D07CC">
        <w:rPr>
          <w:b/>
        </w:rPr>
        <w:t>ng a</w:t>
      </w:r>
      <w:r w:rsidRPr="001D7B77">
        <w:rPr>
          <w:b/>
        </w:rPr>
        <w:t>ctivitie</w:t>
      </w:r>
      <w:r w:rsidRPr="006D07CC">
        <w:rPr>
          <w:b/>
        </w:rPr>
        <w:t>s</w:t>
      </w:r>
      <w:r w:rsidRPr="001D7B77">
        <w:t xml:space="preserve"> t</w:t>
      </w:r>
      <w:r w:rsidRPr="006D07CC">
        <w:t>o</w:t>
      </w:r>
      <w:r w:rsidRPr="001D7B77">
        <w:t xml:space="preserve"> </w:t>
      </w:r>
      <w:r w:rsidRPr="006D07CC">
        <w:t>e</w:t>
      </w:r>
      <w:r w:rsidRPr="001D7B77">
        <w:t>n</w:t>
      </w:r>
      <w:r w:rsidRPr="006D07CC">
        <w:t>s</w:t>
      </w:r>
      <w:r w:rsidRPr="001D7B77">
        <w:t>ur</w:t>
      </w:r>
      <w:r w:rsidRPr="006D07CC">
        <w:t>e</w:t>
      </w:r>
      <w:r w:rsidRPr="001D7B77">
        <w:t xml:space="preserve"> </w:t>
      </w:r>
      <w:r w:rsidRPr="006D07CC">
        <w:t>c</w:t>
      </w:r>
      <w:r w:rsidRPr="001D7B77">
        <w:t>om</w:t>
      </w:r>
      <w:r w:rsidRPr="006D07CC">
        <w:t>p</w:t>
      </w:r>
      <w:r w:rsidRPr="001D7B77">
        <w:t>li</w:t>
      </w:r>
      <w:r w:rsidRPr="006D07CC">
        <w:t xml:space="preserve">ance </w:t>
      </w:r>
      <w:r w:rsidRPr="001D7B77">
        <w:t>wit</w:t>
      </w:r>
      <w:r w:rsidRPr="006D07CC">
        <w:t xml:space="preserve">h </w:t>
      </w:r>
      <w:r w:rsidR="0053215A" w:rsidRPr="001D7B77">
        <w:rPr>
          <w:b/>
          <w:i/>
        </w:rPr>
        <w:t xml:space="preserve">ASIC Market Integrity Rules (Capital) </w:t>
      </w:r>
      <w:r w:rsidR="0091639B" w:rsidRPr="001D7B77">
        <w:rPr>
          <w:b/>
          <w:i/>
        </w:rPr>
        <w:t>20</w:t>
      </w:r>
      <w:r w:rsidR="004F4E4F">
        <w:rPr>
          <w:b/>
          <w:i/>
        </w:rPr>
        <w:t>2</w:t>
      </w:r>
      <w:r w:rsidR="00BB486B">
        <w:rPr>
          <w:b/>
          <w:i/>
        </w:rPr>
        <w:t>1</w:t>
      </w:r>
      <w:r w:rsidRPr="006D07CC">
        <w:t>.</w:t>
      </w:r>
    </w:p>
    <w:p w14:paraId="14399DCC" w14:textId="77777777" w:rsidR="002E03A9" w:rsidRPr="0033698E" w:rsidRDefault="002E03A9" w:rsidP="009B0BF5">
      <w:pPr>
        <w:spacing w:before="200" w:after="0" w:line="280" w:lineRule="atLeast"/>
        <w:ind w:right="556"/>
      </w:pPr>
      <w:r w:rsidRPr="006D07CC">
        <w:t>We</w:t>
      </w:r>
      <w:r w:rsidRPr="001D7B77">
        <w:t xml:space="preserve"> </w:t>
      </w:r>
      <w:r w:rsidRPr="006D07CC">
        <w:t>ha</w:t>
      </w:r>
      <w:r w:rsidRPr="001D7B77">
        <w:t>v</w:t>
      </w:r>
      <w:r w:rsidRPr="006D07CC">
        <w:t>e</w:t>
      </w:r>
      <w:r w:rsidRPr="001D7B77">
        <w:t xml:space="preserve"> r</w:t>
      </w:r>
      <w:r w:rsidRPr="006D07CC">
        <w:t>e</w:t>
      </w:r>
      <w:r w:rsidRPr="001D7B77">
        <w:t>t</w:t>
      </w:r>
      <w:r w:rsidRPr="006D07CC">
        <w:t>a</w:t>
      </w:r>
      <w:r w:rsidRPr="001D7B77">
        <w:t>in</w:t>
      </w:r>
      <w:r w:rsidRPr="006D07CC">
        <w:t>ed</w:t>
      </w:r>
      <w:r w:rsidRPr="001D7B77">
        <w:t xml:space="preserve"> </w:t>
      </w:r>
      <w:r w:rsidRPr="006D07CC">
        <w:t>co</w:t>
      </w:r>
      <w:r w:rsidRPr="001D7B77">
        <w:t>pie</w:t>
      </w:r>
      <w:r w:rsidRPr="006D07CC">
        <w:t>s</w:t>
      </w:r>
      <w:r w:rsidRPr="001D7B77">
        <w:t xml:space="preserve"> </w:t>
      </w:r>
      <w:r w:rsidRPr="006D07CC">
        <w:t>of</w:t>
      </w:r>
      <w:r w:rsidRPr="001D7B77">
        <w:t xml:space="preserve"> t</w:t>
      </w:r>
      <w:r w:rsidRPr="006D07CC">
        <w:t>he</w:t>
      </w:r>
      <w:r w:rsidRPr="001D7B77">
        <w:t xml:space="preserve"> r</w:t>
      </w:r>
      <w:r w:rsidRPr="006D07CC">
        <w:t>e</w:t>
      </w:r>
      <w:r w:rsidRPr="001D7B77">
        <w:t>l</w:t>
      </w:r>
      <w:r w:rsidRPr="006D07CC">
        <w:t>e</w:t>
      </w:r>
      <w:r w:rsidRPr="001D7B77">
        <w:t>v</w:t>
      </w:r>
      <w:r w:rsidRPr="006D07CC">
        <w:t>ant</w:t>
      </w:r>
      <w:r w:rsidRPr="001D7B77">
        <w:t xml:space="preserve"> </w:t>
      </w:r>
      <w:r w:rsidRPr="006D07CC">
        <w:t>d</w:t>
      </w:r>
      <w:r w:rsidRPr="001D7B77">
        <w:t>o</w:t>
      </w:r>
      <w:r w:rsidRPr="006D07CC">
        <w:t>cu</w:t>
      </w:r>
      <w:r w:rsidRPr="001D7B77">
        <w:t>m</w:t>
      </w:r>
      <w:r w:rsidRPr="006D07CC">
        <w:t>en</w:t>
      </w:r>
      <w:r w:rsidRPr="001D7B77">
        <w:t>t</w:t>
      </w:r>
      <w:r w:rsidRPr="006D07CC">
        <w:t>a</w:t>
      </w:r>
      <w:r w:rsidRPr="001D7B77">
        <w:t>ti</w:t>
      </w:r>
      <w:r w:rsidRPr="006D07CC">
        <w:t>on</w:t>
      </w:r>
      <w:r w:rsidRPr="001D7B77">
        <w:t xml:space="preserve"> o</w:t>
      </w:r>
      <w:r w:rsidRPr="006D07CC">
        <w:t xml:space="preserve">n </w:t>
      </w:r>
      <w:r w:rsidRPr="001D7B77">
        <w:t>w</w:t>
      </w:r>
      <w:r w:rsidRPr="006D07CC">
        <w:t>h</w:t>
      </w:r>
      <w:r w:rsidRPr="001D7B77">
        <w:t>i</w:t>
      </w:r>
      <w:r w:rsidRPr="006D07CC">
        <w:t>ch</w:t>
      </w:r>
      <w:r w:rsidRPr="001D7B77">
        <w:t xml:space="preserve"> thi</w:t>
      </w:r>
      <w:r w:rsidRPr="006D07CC">
        <w:t>s</w:t>
      </w:r>
      <w:r w:rsidRPr="001D7B77">
        <w:t xml:space="preserve"> r</w:t>
      </w:r>
      <w:r w:rsidRPr="006D07CC">
        <w:t>ep</w:t>
      </w:r>
      <w:r w:rsidRPr="001D7B77">
        <w:t>r</w:t>
      </w:r>
      <w:r w:rsidRPr="006D07CC">
        <w:t>es</w:t>
      </w:r>
      <w:r w:rsidRPr="001D7B77">
        <w:t>e</w:t>
      </w:r>
      <w:r w:rsidRPr="006D07CC">
        <w:t>n</w:t>
      </w:r>
      <w:r w:rsidRPr="001D7B77">
        <w:t>tatio</w:t>
      </w:r>
      <w:r w:rsidRPr="006D07CC">
        <w:t xml:space="preserve">n </w:t>
      </w:r>
      <w:r w:rsidRPr="001D7B77">
        <w:t>i</w:t>
      </w:r>
      <w:r w:rsidRPr="006D07CC">
        <w:t>s</w:t>
      </w:r>
      <w:r w:rsidRPr="001D7B77">
        <w:t xml:space="preserve"> b</w:t>
      </w:r>
      <w:r w:rsidRPr="006D07CC">
        <w:t>ased and</w:t>
      </w:r>
      <w:r w:rsidRPr="001D7B77">
        <w:t xml:space="preserve"> thi</w:t>
      </w:r>
      <w:r w:rsidRPr="006D07CC">
        <w:t>s</w:t>
      </w:r>
      <w:r w:rsidRPr="001D7B77">
        <w:t xml:space="preserve"> i</w:t>
      </w:r>
      <w:r w:rsidRPr="006D07CC">
        <w:t>s</w:t>
      </w:r>
      <w:r w:rsidRPr="001D7B77">
        <w:t xml:space="preserve"> </w:t>
      </w:r>
      <w:r w:rsidRPr="006D07CC">
        <w:t>a</w:t>
      </w:r>
      <w:r w:rsidRPr="001D7B77">
        <w:t>v</w:t>
      </w:r>
      <w:r w:rsidRPr="006D07CC">
        <w:t>a</w:t>
      </w:r>
      <w:r w:rsidRPr="001D7B77">
        <w:t>ila</w:t>
      </w:r>
      <w:r w:rsidRPr="006D07CC">
        <w:t>b</w:t>
      </w:r>
      <w:r w:rsidRPr="001D7B77">
        <w:t>l</w:t>
      </w:r>
      <w:r w:rsidRPr="006D07CC">
        <w:t>e</w:t>
      </w:r>
      <w:r w:rsidRPr="001D7B77">
        <w:t xml:space="preserve"> </w:t>
      </w:r>
      <w:r w:rsidRPr="006D07CC">
        <w:t>f</w:t>
      </w:r>
      <w:r w:rsidRPr="001D7B77">
        <w:t>o</w:t>
      </w:r>
      <w:r w:rsidRPr="006D07CC">
        <w:t>r</w:t>
      </w:r>
      <w:r w:rsidRPr="001D7B77">
        <w:t xml:space="preserve"> ins</w:t>
      </w:r>
      <w:r w:rsidRPr="006D07CC">
        <w:t>pec</w:t>
      </w:r>
      <w:r w:rsidRPr="001D7B77">
        <w:t>ti</w:t>
      </w:r>
      <w:r w:rsidRPr="006D07CC">
        <w:t>on</w:t>
      </w:r>
      <w:r w:rsidRPr="001D7B77">
        <w:t xml:space="preserve"> b</w:t>
      </w:r>
      <w:r w:rsidRPr="006D07CC">
        <w:t>y</w:t>
      </w:r>
      <w:r w:rsidRPr="001D7B77">
        <w:t xml:space="preserve"> </w:t>
      </w:r>
      <w:r w:rsidRPr="001D7B77">
        <w:rPr>
          <w:b/>
        </w:rPr>
        <w:t>A</w:t>
      </w:r>
      <w:r w:rsidRPr="006D07CC">
        <w:rPr>
          <w:b/>
        </w:rPr>
        <w:t>SI</w:t>
      </w:r>
      <w:r w:rsidRPr="001D7B77">
        <w:rPr>
          <w:b/>
        </w:rPr>
        <w:t>C</w:t>
      </w:r>
      <w:r w:rsidRPr="001D7B77">
        <w:t>.</w:t>
      </w:r>
    </w:p>
    <w:p w14:paraId="00872E7B" w14:textId="5AF59343" w:rsidR="006D07CC" w:rsidRDefault="002E03A9" w:rsidP="009B0BF5">
      <w:pPr>
        <w:spacing w:before="200" w:after="0" w:line="280" w:lineRule="atLeast"/>
        <w:ind w:right="553"/>
      </w:pPr>
      <w:r w:rsidRPr="001D7B77">
        <w:t>N</w:t>
      </w:r>
      <w:r w:rsidRPr="006D07CC">
        <w:t>a</w:t>
      </w:r>
      <w:r w:rsidRPr="001D7B77">
        <w:t>m</w:t>
      </w:r>
      <w:r w:rsidRPr="006D07CC">
        <w:t>e</w:t>
      </w:r>
      <w:r w:rsidRPr="001D7B77">
        <w:t xml:space="preserve"> </w:t>
      </w:r>
      <w:r w:rsidR="001D7B77" w:rsidRPr="006D07CC">
        <w:t>................................</w:t>
      </w:r>
      <w:r w:rsidR="001D7B77" w:rsidRPr="001D7B77">
        <w:t>.</w:t>
      </w:r>
      <w:r w:rsidR="001D7B77" w:rsidRPr="006D07CC">
        <w:t>.................</w:t>
      </w:r>
      <w:r w:rsidR="001D7B77" w:rsidRPr="001D7B77">
        <w:t>.</w:t>
      </w:r>
      <w:r w:rsidR="001D7B77" w:rsidRPr="006D07CC">
        <w:t xml:space="preserve">..... </w:t>
      </w:r>
      <w:r w:rsidRPr="001D7B77">
        <w:t>N</w:t>
      </w:r>
      <w:r w:rsidRPr="006D07CC">
        <w:t>a</w:t>
      </w:r>
      <w:r w:rsidRPr="001D7B77">
        <w:t>m</w:t>
      </w:r>
      <w:r w:rsidRPr="006D07CC">
        <w:t>e</w:t>
      </w:r>
      <w:r w:rsidR="00971A2E">
        <w:t xml:space="preserve"> </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006D07CC">
        <w:t>.</w:t>
      </w:r>
    </w:p>
    <w:p w14:paraId="741ED813" w14:textId="1A1F4BDB" w:rsidR="002E03A9" w:rsidRPr="0033698E" w:rsidRDefault="002E03A9" w:rsidP="009B0BF5">
      <w:pPr>
        <w:spacing w:before="200" w:after="0" w:line="280" w:lineRule="atLeast"/>
        <w:ind w:right="553"/>
      </w:pPr>
      <w:r w:rsidRPr="001D7B77">
        <w:t>Dir</w:t>
      </w:r>
      <w:r w:rsidRPr="006D07CC">
        <w:t>e</w:t>
      </w:r>
      <w:r w:rsidRPr="001D7B77">
        <w:t>cto</w:t>
      </w:r>
      <w:r w:rsidRPr="006D07CC">
        <w:t>r/</w:t>
      </w:r>
      <w:r w:rsidRPr="001D7B77">
        <w:t>P</w:t>
      </w:r>
      <w:r w:rsidRPr="006D07CC">
        <w:t>a</w:t>
      </w:r>
      <w:r w:rsidRPr="001D7B77">
        <w:t>rt</w:t>
      </w:r>
      <w:r w:rsidRPr="006D07CC">
        <w:t>n</w:t>
      </w:r>
      <w:r w:rsidRPr="001D7B77">
        <w:t>e</w:t>
      </w:r>
      <w:r w:rsidRPr="006D07CC">
        <w:t>r</w:t>
      </w:r>
      <w:r w:rsidRPr="001D7B77">
        <w:t xml:space="preserve"> </w:t>
      </w:r>
      <w:r w:rsidRPr="006D07CC">
        <w:t>.........</w:t>
      </w:r>
      <w:r w:rsidRPr="001D7B77">
        <w:t>.</w:t>
      </w:r>
      <w:r w:rsidRPr="006D07CC">
        <w:t>....</w:t>
      </w:r>
      <w:r w:rsidRPr="001D7B77">
        <w:t>.</w:t>
      </w:r>
      <w:r w:rsidRPr="006D07CC">
        <w:t>.................</w:t>
      </w:r>
      <w:r w:rsidRPr="001D7B77">
        <w:t>.</w:t>
      </w:r>
      <w:r w:rsidRPr="006D07CC">
        <w:t>.....</w:t>
      </w:r>
      <w:r w:rsidR="00976DEF" w:rsidRPr="006D07CC">
        <w:t xml:space="preserve"> </w:t>
      </w:r>
      <w:r w:rsidRPr="001D7B77">
        <w:t>Dir</w:t>
      </w:r>
      <w:r w:rsidRPr="006D07CC">
        <w:t>e</w:t>
      </w:r>
      <w:r w:rsidRPr="001D7B77">
        <w:t>ct</w:t>
      </w:r>
      <w:r w:rsidRPr="006D07CC">
        <w:t>or/P</w:t>
      </w:r>
      <w:r w:rsidRPr="001D7B77">
        <w:t>art</w:t>
      </w:r>
      <w:r w:rsidRPr="006D07CC">
        <w:t>n</w:t>
      </w:r>
      <w:r w:rsidRPr="001D7B77">
        <w:t>er</w:t>
      </w:r>
      <w:r w:rsidR="00971A2E">
        <w:t xml:space="preserve"> </w:t>
      </w:r>
      <w:r w:rsidRPr="006D07CC">
        <w:t>.....</w:t>
      </w:r>
      <w:r w:rsidRPr="001D7B77">
        <w:t>.</w:t>
      </w:r>
      <w:r w:rsidRPr="006D07CC">
        <w:t>............</w:t>
      </w:r>
      <w:r w:rsidRPr="001D7B77">
        <w:t>.</w:t>
      </w:r>
      <w:r w:rsidRPr="006D07CC">
        <w:t>...........</w:t>
      </w:r>
      <w:r w:rsidRPr="001D7B77">
        <w:t>.</w:t>
      </w:r>
      <w:r w:rsidRPr="006D07CC">
        <w:t>.....</w:t>
      </w:r>
      <w:r w:rsidRPr="001D7B77">
        <w:t>.</w:t>
      </w:r>
      <w:r w:rsidRPr="006D07CC">
        <w:t>.....</w:t>
      </w:r>
      <w:r w:rsidR="006D07CC">
        <w:t>...</w:t>
      </w:r>
      <w:r w:rsidR="00971A2E">
        <w:t>.</w:t>
      </w:r>
    </w:p>
    <w:p w14:paraId="0AC33C28" w14:textId="349BC570" w:rsidR="002E03A9" w:rsidRPr="0033698E" w:rsidRDefault="002E03A9" w:rsidP="009B0BF5">
      <w:pPr>
        <w:spacing w:before="200" w:after="0" w:line="280" w:lineRule="atLeast"/>
        <w:ind w:right="553"/>
      </w:pPr>
      <w:r w:rsidRPr="001D7B77">
        <w:t>D</w:t>
      </w:r>
      <w:r w:rsidRPr="006D07CC">
        <w:t>a</w:t>
      </w:r>
      <w:r w:rsidRPr="001D7B77">
        <w:t>t</w:t>
      </w:r>
      <w:r w:rsidRPr="006D07CC">
        <w:t>ed</w:t>
      </w:r>
      <w:r w:rsidRPr="001D7B77">
        <w:t xml:space="preserve"> t</w:t>
      </w:r>
      <w:r w:rsidRPr="006D07CC">
        <w:t>h</w:t>
      </w:r>
      <w:r w:rsidRPr="001D7B77">
        <w:t>i</w:t>
      </w:r>
      <w:r w:rsidRPr="006D07CC">
        <w:t>s</w:t>
      </w:r>
      <w:r w:rsidRPr="001D7B77">
        <w:t xml:space="preserve"> </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 xml:space="preserve"> </w:t>
      </w:r>
      <w:r w:rsidRPr="006D07CC">
        <w:t>day</w:t>
      </w:r>
      <w:r w:rsidRPr="001D7B77">
        <w:t xml:space="preserve"> </w:t>
      </w:r>
      <w:r w:rsidRPr="006D07CC">
        <w:t>o</w:t>
      </w:r>
      <w:r w:rsidRPr="001D7B77">
        <w:t>f</w:t>
      </w:r>
      <w:r w:rsidR="00971A2E">
        <w:t xml:space="preserve"> </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006D07CC">
        <w:t>..</w:t>
      </w:r>
    </w:p>
    <w:p w14:paraId="7E91512A" w14:textId="1E169C98" w:rsidR="002E03A9" w:rsidRPr="0033698E" w:rsidRDefault="002E03A9" w:rsidP="009B0BF5">
      <w:pPr>
        <w:spacing w:before="200" w:after="360" w:line="280" w:lineRule="atLeast"/>
        <w:ind w:right="556"/>
      </w:pPr>
      <w:r w:rsidRPr="001D7B77">
        <w:t>D</w:t>
      </w:r>
      <w:r w:rsidRPr="006D07CC">
        <w:t>a</w:t>
      </w:r>
      <w:r w:rsidRPr="001D7B77">
        <w:t>t</w:t>
      </w:r>
      <w:r w:rsidRPr="006D07CC">
        <w:t>e</w:t>
      </w:r>
      <w:r w:rsidRPr="001D7B77">
        <w:t xml:space="preserve"> o</w:t>
      </w:r>
      <w:r w:rsidRPr="006D07CC">
        <w:t>f</w:t>
      </w:r>
      <w:r w:rsidRPr="001D7B77">
        <w:t xml:space="preserve"> B</w:t>
      </w:r>
      <w:r w:rsidRPr="006D07CC">
        <w:t>o</w:t>
      </w:r>
      <w:r w:rsidRPr="001D7B77">
        <w:t>ar</w:t>
      </w:r>
      <w:r w:rsidRPr="006D07CC">
        <w:t>d</w:t>
      </w:r>
      <w:r w:rsidRPr="001D7B77">
        <w:t xml:space="preserve"> R</w:t>
      </w:r>
      <w:r w:rsidRPr="006D07CC">
        <w:t>es</w:t>
      </w:r>
      <w:r w:rsidRPr="001D7B77">
        <w:t>olutio</w:t>
      </w:r>
      <w:r w:rsidRPr="006D07CC">
        <w:t xml:space="preserve">n </w:t>
      </w:r>
      <w:r w:rsidRPr="001D7B77">
        <w:t>(i</w:t>
      </w:r>
      <w:r w:rsidRPr="006D07CC">
        <w:t>f</w:t>
      </w:r>
      <w:r w:rsidRPr="001D7B77">
        <w:t xml:space="preserve"> </w:t>
      </w:r>
      <w:r w:rsidRPr="006D07CC">
        <w:t>ap</w:t>
      </w:r>
      <w:r w:rsidRPr="001D7B77">
        <w:t>pli</w:t>
      </w:r>
      <w:r w:rsidRPr="006D07CC">
        <w:t>ca</w:t>
      </w:r>
      <w:r w:rsidRPr="001D7B77">
        <w:t>bl</w:t>
      </w:r>
      <w:r w:rsidRPr="006D07CC">
        <w:t>e</w:t>
      </w:r>
      <w:r w:rsidRPr="001D7B77">
        <w:t>)</w:t>
      </w:r>
      <w:r w:rsidR="00971A2E">
        <w:t xml:space="preserve"> </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006D07CC">
        <w:t>..</w:t>
      </w:r>
    </w:p>
    <w:p w14:paraId="30AE6013" w14:textId="432F17E5" w:rsidR="002E03A9" w:rsidRPr="0033698E" w:rsidRDefault="002E03A9" w:rsidP="001D7B77">
      <w:pPr>
        <w:spacing w:after="0"/>
        <w:ind w:right="374"/>
        <w:rPr>
          <w:sz w:val="20"/>
        </w:rPr>
      </w:pPr>
      <w:r w:rsidRPr="0033698E">
        <w:rPr>
          <w:sz w:val="20"/>
        </w:rPr>
        <w:t>N</w:t>
      </w:r>
      <w:r w:rsidRPr="0033698E">
        <w:rPr>
          <w:spacing w:val="1"/>
          <w:sz w:val="20"/>
        </w:rPr>
        <w:t>o</w:t>
      </w:r>
      <w:r w:rsidRPr="0033698E">
        <w:rPr>
          <w:sz w:val="20"/>
        </w:rPr>
        <w:t>te:</w:t>
      </w:r>
      <w:r w:rsidRPr="0033698E">
        <w:rPr>
          <w:spacing w:val="-4"/>
          <w:sz w:val="20"/>
        </w:rPr>
        <w:t xml:space="preserve"> </w:t>
      </w:r>
      <w:r w:rsidRPr="0033698E">
        <w:rPr>
          <w:spacing w:val="1"/>
          <w:sz w:val="20"/>
        </w:rPr>
        <w:t>I</w:t>
      </w:r>
      <w:r w:rsidRPr="0033698E">
        <w:rPr>
          <w:sz w:val="20"/>
        </w:rPr>
        <w:t>f</w:t>
      </w:r>
      <w:r w:rsidRPr="0033698E">
        <w:rPr>
          <w:spacing w:val="-2"/>
          <w:sz w:val="20"/>
        </w:rPr>
        <w:t xml:space="preserve"> </w:t>
      </w:r>
      <w:r w:rsidRPr="0033698E">
        <w:rPr>
          <w:sz w:val="20"/>
        </w:rPr>
        <w:t xml:space="preserve">a </w:t>
      </w:r>
      <w:r w:rsidRPr="0033698E">
        <w:rPr>
          <w:spacing w:val="2"/>
          <w:sz w:val="20"/>
        </w:rPr>
        <w:t>P</w:t>
      </w:r>
      <w:r w:rsidRPr="0033698E">
        <w:rPr>
          <w:sz w:val="20"/>
        </w:rPr>
        <w:t>a</w:t>
      </w:r>
      <w:r w:rsidRPr="0033698E">
        <w:rPr>
          <w:spacing w:val="1"/>
          <w:sz w:val="20"/>
        </w:rPr>
        <w:t>r</w:t>
      </w:r>
      <w:r w:rsidRPr="0033698E">
        <w:rPr>
          <w:sz w:val="20"/>
        </w:rPr>
        <w:t>tici</w:t>
      </w:r>
      <w:r w:rsidRPr="0033698E">
        <w:rPr>
          <w:spacing w:val="1"/>
          <w:sz w:val="20"/>
        </w:rPr>
        <w:t>p</w:t>
      </w:r>
      <w:r w:rsidRPr="0033698E">
        <w:rPr>
          <w:sz w:val="20"/>
        </w:rPr>
        <w:t>a</w:t>
      </w:r>
      <w:r w:rsidRPr="0033698E">
        <w:rPr>
          <w:spacing w:val="-1"/>
          <w:sz w:val="20"/>
        </w:rPr>
        <w:t>n</w:t>
      </w:r>
      <w:r w:rsidRPr="0033698E">
        <w:rPr>
          <w:sz w:val="20"/>
        </w:rPr>
        <w:t>t</w:t>
      </w:r>
      <w:r w:rsidRPr="0033698E">
        <w:rPr>
          <w:spacing w:val="-9"/>
          <w:sz w:val="20"/>
        </w:rPr>
        <w:t xml:space="preserve"> </w:t>
      </w:r>
      <w:r w:rsidRPr="0033698E">
        <w:rPr>
          <w:sz w:val="20"/>
        </w:rPr>
        <w:t>c</w:t>
      </w:r>
      <w:r w:rsidRPr="0033698E">
        <w:rPr>
          <w:spacing w:val="1"/>
          <w:sz w:val="20"/>
        </w:rPr>
        <w:t>o</w:t>
      </w:r>
      <w:r w:rsidRPr="0033698E">
        <w:rPr>
          <w:spacing w:val="-1"/>
          <w:sz w:val="20"/>
        </w:rPr>
        <w:t>ns</w:t>
      </w:r>
      <w:r w:rsidRPr="0033698E">
        <w:rPr>
          <w:sz w:val="20"/>
        </w:rPr>
        <w:t>i</w:t>
      </w:r>
      <w:r w:rsidRPr="0033698E">
        <w:rPr>
          <w:spacing w:val="1"/>
          <w:sz w:val="20"/>
        </w:rPr>
        <w:t>d</w:t>
      </w:r>
      <w:r w:rsidRPr="0033698E">
        <w:rPr>
          <w:sz w:val="20"/>
        </w:rPr>
        <w:t>e</w:t>
      </w:r>
      <w:r w:rsidRPr="0033698E">
        <w:rPr>
          <w:spacing w:val="1"/>
          <w:sz w:val="20"/>
        </w:rPr>
        <w:t>r</w:t>
      </w:r>
      <w:r w:rsidRPr="0033698E">
        <w:rPr>
          <w:sz w:val="20"/>
        </w:rPr>
        <w:t>s</w:t>
      </w:r>
      <w:r w:rsidRPr="0033698E">
        <w:rPr>
          <w:spacing w:val="-9"/>
          <w:sz w:val="20"/>
        </w:rPr>
        <w:t xml:space="preserve"> </w:t>
      </w:r>
      <w:r w:rsidRPr="0033698E">
        <w:rPr>
          <w:sz w:val="20"/>
        </w:rPr>
        <w:t>it</w:t>
      </w:r>
      <w:r w:rsidRPr="0033698E">
        <w:rPr>
          <w:spacing w:val="-1"/>
          <w:sz w:val="20"/>
        </w:rPr>
        <w:t xml:space="preserve"> n</w:t>
      </w:r>
      <w:r w:rsidRPr="0033698E">
        <w:rPr>
          <w:sz w:val="20"/>
        </w:rPr>
        <w:t>ece</w:t>
      </w:r>
      <w:r w:rsidRPr="0033698E">
        <w:rPr>
          <w:spacing w:val="2"/>
          <w:sz w:val="20"/>
        </w:rPr>
        <w:t>s</w:t>
      </w:r>
      <w:r w:rsidRPr="0033698E">
        <w:rPr>
          <w:spacing w:val="-1"/>
          <w:sz w:val="20"/>
        </w:rPr>
        <w:t>s</w:t>
      </w:r>
      <w:r w:rsidRPr="0033698E">
        <w:rPr>
          <w:sz w:val="20"/>
        </w:rPr>
        <w:t>a</w:t>
      </w:r>
      <w:r w:rsidRPr="0033698E">
        <w:rPr>
          <w:spacing w:val="3"/>
          <w:sz w:val="20"/>
        </w:rPr>
        <w:t>r</w:t>
      </w:r>
      <w:r w:rsidRPr="0033698E">
        <w:rPr>
          <w:sz w:val="20"/>
        </w:rPr>
        <w:t>y</w:t>
      </w:r>
      <w:r w:rsidRPr="0033698E">
        <w:rPr>
          <w:spacing w:val="-11"/>
          <w:sz w:val="20"/>
        </w:rPr>
        <w:t xml:space="preserve"> </w:t>
      </w:r>
      <w:r w:rsidRPr="0033698E">
        <w:rPr>
          <w:sz w:val="20"/>
        </w:rPr>
        <w:t>to</w:t>
      </w:r>
      <w:r w:rsidRPr="0033698E">
        <w:rPr>
          <w:spacing w:val="-1"/>
          <w:sz w:val="20"/>
        </w:rPr>
        <w:t xml:space="preserve"> </w:t>
      </w:r>
      <w:r w:rsidRPr="0033698E">
        <w:rPr>
          <w:spacing w:val="1"/>
          <w:sz w:val="20"/>
        </w:rPr>
        <w:t>q</w:t>
      </w:r>
      <w:r w:rsidRPr="0033698E">
        <w:rPr>
          <w:spacing w:val="-1"/>
          <w:sz w:val="20"/>
        </w:rPr>
        <w:t>u</w:t>
      </w:r>
      <w:r w:rsidRPr="0033698E">
        <w:rPr>
          <w:sz w:val="20"/>
        </w:rPr>
        <w:t>al</w:t>
      </w:r>
      <w:r w:rsidRPr="0033698E">
        <w:rPr>
          <w:spacing w:val="2"/>
          <w:sz w:val="20"/>
        </w:rPr>
        <w:t>i</w:t>
      </w:r>
      <w:r w:rsidRPr="0033698E">
        <w:rPr>
          <w:spacing w:val="1"/>
          <w:sz w:val="20"/>
        </w:rPr>
        <w:t>f</w:t>
      </w:r>
      <w:r w:rsidRPr="0033698E">
        <w:rPr>
          <w:sz w:val="20"/>
        </w:rPr>
        <w:t>y</w:t>
      </w:r>
      <w:r w:rsidRPr="0033698E">
        <w:rPr>
          <w:spacing w:val="-7"/>
          <w:sz w:val="20"/>
        </w:rPr>
        <w:t xml:space="preserve"> </w:t>
      </w:r>
      <w:r w:rsidRPr="0033698E">
        <w:rPr>
          <w:spacing w:val="2"/>
          <w:sz w:val="20"/>
        </w:rPr>
        <w:t>t</w:t>
      </w:r>
      <w:r w:rsidRPr="0033698E">
        <w:rPr>
          <w:spacing w:val="-1"/>
          <w:sz w:val="20"/>
        </w:rPr>
        <w:t>h</w:t>
      </w:r>
      <w:r w:rsidRPr="0033698E">
        <w:rPr>
          <w:sz w:val="20"/>
        </w:rPr>
        <w:t>is</w:t>
      </w:r>
      <w:r w:rsidRPr="0033698E">
        <w:rPr>
          <w:spacing w:val="-4"/>
          <w:sz w:val="20"/>
        </w:rPr>
        <w:t xml:space="preserve"> </w:t>
      </w:r>
      <w:r w:rsidRPr="0033698E">
        <w:rPr>
          <w:spacing w:val="2"/>
          <w:sz w:val="20"/>
        </w:rPr>
        <w:t>st</w:t>
      </w:r>
      <w:r w:rsidRPr="0033698E">
        <w:rPr>
          <w:sz w:val="20"/>
        </w:rPr>
        <w:t>a</w:t>
      </w:r>
      <w:r w:rsidRPr="0033698E">
        <w:rPr>
          <w:spacing w:val="-1"/>
          <w:sz w:val="20"/>
        </w:rPr>
        <w:t>n</w:t>
      </w:r>
      <w:r w:rsidRPr="0033698E">
        <w:rPr>
          <w:spacing w:val="1"/>
          <w:sz w:val="20"/>
        </w:rPr>
        <w:t>d</w:t>
      </w:r>
      <w:r w:rsidRPr="0033698E">
        <w:rPr>
          <w:sz w:val="20"/>
        </w:rPr>
        <w:t>a</w:t>
      </w:r>
      <w:r w:rsidRPr="0033698E">
        <w:rPr>
          <w:spacing w:val="1"/>
          <w:sz w:val="20"/>
        </w:rPr>
        <w:t>r</w:t>
      </w:r>
      <w:r w:rsidRPr="0033698E">
        <w:rPr>
          <w:sz w:val="20"/>
        </w:rPr>
        <w:t>d</w:t>
      </w:r>
      <w:r w:rsidRPr="0033698E">
        <w:rPr>
          <w:spacing w:val="-6"/>
          <w:sz w:val="20"/>
        </w:rPr>
        <w:t xml:space="preserve"> </w:t>
      </w:r>
      <w:r w:rsidRPr="0033698E">
        <w:rPr>
          <w:sz w:val="20"/>
        </w:rPr>
        <w:t>stat</w:t>
      </w:r>
      <w:r w:rsidRPr="0033698E">
        <w:rPr>
          <w:spacing w:val="3"/>
          <w:sz w:val="20"/>
        </w:rPr>
        <w:t>e</w:t>
      </w:r>
      <w:r w:rsidRPr="0033698E">
        <w:rPr>
          <w:spacing w:val="-4"/>
          <w:sz w:val="20"/>
        </w:rPr>
        <w:t>m</w:t>
      </w:r>
      <w:r w:rsidRPr="0033698E">
        <w:rPr>
          <w:spacing w:val="3"/>
          <w:sz w:val="20"/>
        </w:rPr>
        <w:t>e</w:t>
      </w:r>
      <w:r w:rsidRPr="0033698E">
        <w:rPr>
          <w:spacing w:val="-1"/>
          <w:sz w:val="20"/>
        </w:rPr>
        <w:t>n</w:t>
      </w:r>
      <w:r w:rsidRPr="0033698E">
        <w:rPr>
          <w:sz w:val="20"/>
        </w:rPr>
        <w:t>t,</w:t>
      </w:r>
      <w:r w:rsidRPr="0033698E">
        <w:rPr>
          <w:spacing w:val="-7"/>
          <w:sz w:val="20"/>
        </w:rPr>
        <w:t xml:space="preserve"> </w:t>
      </w:r>
      <w:r w:rsidRPr="0033698E">
        <w:rPr>
          <w:sz w:val="20"/>
        </w:rPr>
        <w:t>t</w:t>
      </w:r>
      <w:r w:rsidRPr="0033698E">
        <w:rPr>
          <w:spacing w:val="-1"/>
          <w:sz w:val="20"/>
        </w:rPr>
        <w:t>h</w:t>
      </w:r>
      <w:r w:rsidRPr="0033698E">
        <w:rPr>
          <w:sz w:val="20"/>
        </w:rPr>
        <w:t>e</w:t>
      </w:r>
      <w:r w:rsidRPr="0033698E">
        <w:rPr>
          <w:spacing w:val="-1"/>
          <w:sz w:val="20"/>
        </w:rPr>
        <w:t xml:space="preserve"> </w:t>
      </w:r>
      <w:r w:rsidRPr="0033698E">
        <w:rPr>
          <w:spacing w:val="1"/>
          <w:sz w:val="20"/>
        </w:rPr>
        <w:t>r</w:t>
      </w:r>
      <w:r w:rsidRPr="0033698E">
        <w:rPr>
          <w:sz w:val="20"/>
        </w:rPr>
        <w:t>ea</w:t>
      </w:r>
      <w:r w:rsidRPr="0033698E">
        <w:rPr>
          <w:spacing w:val="-1"/>
          <w:sz w:val="20"/>
        </w:rPr>
        <w:t>s</w:t>
      </w:r>
      <w:r w:rsidRPr="0033698E">
        <w:rPr>
          <w:spacing w:val="4"/>
          <w:sz w:val="20"/>
        </w:rPr>
        <w:t>o</w:t>
      </w:r>
      <w:r w:rsidRPr="0033698E">
        <w:rPr>
          <w:spacing w:val="-1"/>
          <w:sz w:val="20"/>
        </w:rPr>
        <w:t>n</w:t>
      </w:r>
      <w:r w:rsidRPr="0033698E">
        <w:rPr>
          <w:sz w:val="20"/>
        </w:rPr>
        <w:t>s</w:t>
      </w:r>
      <w:r w:rsidRPr="0033698E">
        <w:rPr>
          <w:spacing w:val="-4"/>
          <w:sz w:val="20"/>
        </w:rPr>
        <w:t xml:space="preserve"> </w:t>
      </w:r>
      <w:r w:rsidRPr="0033698E">
        <w:rPr>
          <w:spacing w:val="-1"/>
          <w:sz w:val="20"/>
        </w:rPr>
        <w:t>sh</w:t>
      </w:r>
      <w:r w:rsidRPr="0033698E">
        <w:rPr>
          <w:spacing w:val="1"/>
          <w:sz w:val="20"/>
        </w:rPr>
        <w:t>ou</w:t>
      </w:r>
      <w:r w:rsidRPr="0033698E">
        <w:rPr>
          <w:sz w:val="20"/>
        </w:rPr>
        <w:t>ld</w:t>
      </w:r>
      <w:r w:rsidRPr="0033698E">
        <w:rPr>
          <w:spacing w:val="-4"/>
          <w:sz w:val="20"/>
        </w:rPr>
        <w:t xml:space="preserve"> </w:t>
      </w:r>
      <w:r w:rsidRPr="0033698E">
        <w:rPr>
          <w:spacing w:val="1"/>
          <w:sz w:val="20"/>
        </w:rPr>
        <w:t>b</w:t>
      </w:r>
      <w:r w:rsidRPr="0033698E">
        <w:rPr>
          <w:sz w:val="20"/>
        </w:rPr>
        <w:t>e e</w:t>
      </w:r>
      <w:r w:rsidRPr="0033698E">
        <w:rPr>
          <w:spacing w:val="-1"/>
          <w:sz w:val="20"/>
        </w:rPr>
        <w:t>x</w:t>
      </w:r>
      <w:r w:rsidRPr="0033698E">
        <w:rPr>
          <w:spacing w:val="1"/>
          <w:sz w:val="20"/>
        </w:rPr>
        <w:t>p</w:t>
      </w:r>
      <w:r w:rsidRPr="0033698E">
        <w:rPr>
          <w:sz w:val="20"/>
        </w:rPr>
        <w:t>lai</w:t>
      </w:r>
      <w:r w:rsidRPr="0033698E">
        <w:rPr>
          <w:spacing w:val="-1"/>
          <w:sz w:val="20"/>
        </w:rPr>
        <w:t>n</w:t>
      </w:r>
      <w:r w:rsidRPr="0033698E">
        <w:rPr>
          <w:sz w:val="20"/>
        </w:rPr>
        <w:t>ed</w:t>
      </w:r>
      <w:r w:rsidRPr="0033698E">
        <w:rPr>
          <w:spacing w:val="-7"/>
          <w:sz w:val="20"/>
        </w:rPr>
        <w:t xml:space="preserve"> </w:t>
      </w:r>
      <w:r w:rsidRPr="0033698E">
        <w:rPr>
          <w:spacing w:val="2"/>
          <w:sz w:val="20"/>
        </w:rPr>
        <w:t>i</w:t>
      </w:r>
      <w:r w:rsidRPr="0033698E">
        <w:rPr>
          <w:sz w:val="20"/>
        </w:rPr>
        <w:t>n</w:t>
      </w:r>
      <w:r w:rsidRPr="0033698E">
        <w:rPr>
          <w:spacing w:val="-3"/>
          <w:sz w:val="20"/>
        </w:rPr>
        <w:t xml:space="preserve"> </w:t>
      </w:r>
      <w:r w:rsidRPr="0033698E">
        <w:rPr>
          <w:spacing w:val="1"/>
          <w:sz w:val="20"/>
        </w:rPr>
        <w:t>f</w:t>
      </w:r>
      <w:r w:rsidRPr="0033698E">
        <w:rPr>
          <w:spacing w:val="-1"/>
          <w:sz w:val="20"/>
        </w:rPr>
        <w:t>u</w:t>
      </w:r>
      <w:r w:rsidRPr="0033698E">
        <w:rPr>
          <w:sz w:val="20"/>
        </w:rPr>
        <w:t>ll</w:t>
      </w:r>
      <w:r w:rsidRPr="0033698E">
        <w:rPr>
          <w:spacing w:val="-3"/>
          <w:sz w:val="20"/>
        </w:rPr>
        <w:t xml:space="preserve"> </w:t>
      </w:r>
      <w:r w:rsidRPr="0033698E">
        <w:rPr>
          <w:spacing w:val="2"/>
          <w:sz w:val="20"/>
        </w:rPr>
        <w:t>i</w:t>
      </w:r>
      <w:r w:rsidRPr="0033698E">
        <w:rPr>
          <w:sz w:val="20"/>
        </w:rPr>
        <w:t>n</w:t>
      </w:r>
      <w:r w:rsidRPr="0033698E">
        <w:rPr>
          <w:spacing w:val="-3"/>
          <w:sz w:val="20"/>
        </w:rPr>
        <w:t xml:space="preserve"> </w:t>
      </w:r>
      <w:r w:rsidRPr="0033698E">
        <w:rPr>
          <w:sz w:val="20"/>
        </w:rPr>
        <w:t>an</w:t>
      </w:r>
      <w:r w:rsidRPr="0033698E">
        <w:rPr>
          <w:spacing w:val="-3"/>
          <w:sz w:val="20"/>
        </w:rPr>
        <w:t xml:space="preserve"> </w:t>
      </w:r>
      <w:r w:rsidRPr="0033698E">
        <w:rPr>
          <w:sz w:val="20"/>
        </w:rPr>
        <w:t>acc</w:t>
      </w:r>
      <w:r w:rsidRPr="0033698E">
        <w:rPr>
          <w:spacing w:val="4"/>
          <w:sz w:val="20"/>
        </w:rPr>
        <w:t>o</w:t>
      </w:r>
      <w:r w:rsidRPr="0033698E">
        <w:rPr>
          <w:spacing w:val="-4"/>
          <w:sz w:val="20"/>
        </w:rPr>
        <w:t>m</w:t>
      </w:r>
      <w:r w:rsidRPr="0033698E">
        <w:rPr>
          <w:spacing w:val="4"/>
          <w:sz w:val="20"/>
        </w:rPr>
        <w:t>p</w:t>
      </w:r>
      <w:r w:rsidRPr="0033698E">
        <w:rPr>
          <w:sz w:val="20"/>
        </w:rPr>
        <w:t>a</w:t>
      </w:r>
      <w:r w:rsidRPr="0033698E">
        <w:rPr>
          <w:spacing w:val="1"/>
          <w:sz w:val="20"/>
        </w:rPr>
        <w:t>n</w:t>
      </w:r>
      <w:r w:rsidRPr="0033698E">
        <w:rPr>
          <w:spacing w:val="-4"/>
          <w:sz w:val="20"/>
        </w:rPr>
        <w:t>y</w:t>
      </w:r>
      <w:r w:rsidRPr="0033698E">
        <w:rPr>
          <w:spacing w:val="2"/>
          <w:sz w:val="20"/>
        </w:rPr>
        <w:t>i</w:t>
      </w:r>
      <w:r w:rsidRPr="0033698E">
        <w:rPr>
          <w:spacing w:val="1"/>
          <w:sz w:val="20"/>
        </w:rPr>
        <w:t>n</w:t>
      </w:r>
      <w:r w:rsidRPr="0033698E">
        <w:rPr>
          <w:sz w:val="20"/>
        </w:rPr>
        <w:t>g</w:t>
      </w:r>
      <w:r w:rsidRPr="0033698E">
        <w:rPr>
          <w:spacing w:val="-13"/>
          <w:sz w:val="20"/>
        </w:rPr>
        <w:t xml:space="preserve"> </w:t>
      </w:r>
      <w:r w:rsidRPr="0033698E">
        <w:rPr>
          <w:sz w:val="20"/>
        </w:rPr>
        <w:t>stat</w:t>
      </w:r>
      <w:r w:rsidRPr="0033698E">
        <w:rPr>
          <w:spacing w:val="3"/>
          <w:sz w:val="20"/>
        </w:rPr>
        <w:t>e</w:t>
      </w:r>
      <w:r w:rsidRPr="0033698E">
        <w:rPr>
          <w:spacing w:val="-1"/>
          <w:sz w:val="20"/>
        </w:rPr>
        <w:t>m</w:t>
      </w:r>
      <w:r w:rsidRPr="0033698E">
        <w:rPr>
          <w:spacing w:val="3"/>
          <w:sz w:val="20"/>
        </w:rPr>
        <w:t>e</w:t>
      </w:r>
      <w:r w:rsidRPr="0033698E">
        <w:rPr>
          <w:spacing w:val="-1"/>
          <w:sz w:val="20"/>
        </w:rPr>
        <w:t>n</w:t>
      </w:r>
      <w:r w:rsidRPr="0033698E">
        <w:rPr>
          <w:sz w:val="20"/>
        </w:rPr>
        <w:t>t</w:t>
      </w:r>
      <w:r w:rsidR="00976DEF">
        <w:rPr>
          <w:sz w:val="20"/>
        </w:rPr>
        <w:t>.</w:t>
      </w:r>
    </w:p>
    <w:bookmarkEnd w:id="1"/>
    <w:p w14:paraId="464494F9" w14:textId="77777777" w:rsidR="00D57B6D" w:rsidRDefault="00D57B6D" w:rsidP="00A04C97">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pPr>
    </w:p>
    <w:sectPr w:rsidR="00D57B6D" w:rsidSect="00B53ACB">
      <w:headerReference w:type="even" r:id="rId95"/>
      <w:headerReference w:type="default" r:id="rId96"/>
      <w:footerReference w:type="default" r:id="rId97"/>
      <w:headerReference w:type="first" r:id="rId98"/>
      <w:pgSz w:w="11920" w:h="16840"/>
      <w:pgMar w:top="1440" w:right="1440" w:bottom="144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D96E4" w14:textId="77777777" w:rsidR="009273E4" w:rsidRDefault="009273E4">
      <w:r>
        <w:separator/>
      </w:r>
    </w:p>
  </w:endnote>
  <w:endnote w:type="continuationSeparator" w:id="0">
    <w:p w14:paraId="1586F99E" w14:textId="77777777" w:rsidR="009273E4" w:rsidRDefault="009273E4">
      <w:r>
        <w:continuationSeparator/>
      </w:r>
    </w:p>
  </w:endnote>
  <w:endnote w:type="continuationNotice" w:id="1">
    <w:p w14:paraId="3339EF9D" w14:textId="77777777" w:rsidR="009273E4" w:rsidRDefault="009273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lassGarmnd BT">
    <w:altName w:val="Constantia"/>
    <w:charset w:val="00"/>
    <w:family w:val="roman"/>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Regular">
    <w:altName w:val="Segoe UI"/>
    <w:charset w:val="00"/>
    <w:family w:val="auto"/>
    <w:pitch w:val="default"/>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BCB38" w14:textId="77777777" w:rsidR="004473CC" w:rsidRDefault="00447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49E66" w14:textId="0159128A" w:rsidR="009273E4" w:rsidRPr="00E62F36" w:rsidRDefault="009273E4" w:rsidP="002D0D1A">
    <w:pPr>
      <w:pStyle w:val="Footer"/>
      <w:pBdr>
        <w:top w:val="single" w:sz="4" w:space="1" w:color="117DC7"/>
      </w:pBdr>
    </w:pPr>
    <w:r>
      <w:rPr>
        <w:color w:val="117DC7"/>
      </w:rPr>
      <w:t>© Australian Securities and Investments Commission</w:t>
    </w:r>
    <w:r>
      <w:rPr>
        <w:color w:val="117DC7"/>
      </w:rPr>
      <w:tab/>
      <w:t xml:space="preserve">Page </w:t>
    </w:r>
    <w:r>
      <w:rPr>
        <w:rStyle w:val="PageNumber"/>
        <w:color w:val="117DC7"/>
        <w:sz w:val="16"/>
      </w:rPr>
      <w:fldChar w:fldCharType="begin"/>
    </w:r>
    <w:r>
      <w:rPr>
        <w:rStyle w:val="PageNumber"/>
        <w:color w:val="117DC7"/>
        <w:sz w:val="16"/>
      </w:rPr>
      <w:instrText xml:space="preserve"> PAGE </w:instrText>
    </w:r>
    <w:r>
      <w:rPr>
        <w:rStyle w:val="PageNumber"/>
        <w:color w:val="117DC7"/>
        <w:sz w:val="16"/>
      </w:rPr>
      <w:fldChar w:fldCharType="separate"/>
    </w:r>
    <w:r>
      <w:rPr>
        <w:rStyle w:val="PageNumber"/>
        <w:noProof/>
        <w:color w:val="117DC7"/>
        <w:sz w:val="16"/>
      </w:rPr>
      <w:t>2</w:t>
    </w:r>
    <w:r>
      <w:rPr>
        <w:rStyle w:val="PageNumber"/>
        <w:color w:val="117DC7"/>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ABB49" w14:textId="77777777" w:rsidR="004473CC" w:rsidRDefault="004473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F9C98" w14:textId="35C1B8F1" w:rsidR="009273E4" w:rsidRPr="00681694" w:rsidRDefault="009273E4" w:rsidP="00982090">
    <w:pPr>
      <w:pStyle w:val="Footer"/>
      <w:pBdr>
        <w:top w:val="single" w:sz="4" w:space="0" w:color="117DC7"/>
      </w:pBdr>
      <w:rPr>
        <w:b/>
        <w:color w:val="117DC7"/>
      </w:rPr>
    </w:pPr>
    <w:r>
      <w:rPr>
        <w:color w:val="117DC7"/>
      </w:rPr>
      <w:t>© Australian Securities and Investments Commission</w:t>
    </w:r>
    <w:r>
      <w:rPr>
        <w:color w:val="117DC7"/>
      </w:rPr>
      <w:tab/>
      <w:t xml:space="preserve">Page </w:t>
    </w:r>
    <w:r>
      <w:rPr>
        <w:rStyle w:val="PageNumber"/>
        <w:color w:val="117DC7"/>
        <w:sz w:val="16"/>
      </w:rPr>
      <w:fldChar w:fldCharType="begin"/>
    </w:r>
    <w:r>
      <w:rPr>
        <w:rStyle w:val="PageNumber"/>
        <w:color w:val="117DC7"/>
        <w:sz w:val="16"/>
      </w:rPr>
      <w:instrText xml:space="preserve"> PAGE </w:instrText>
    </w:r>
    <w:r>
      <w:rPr>
        <w:rStyle w:val="PageNumber"/>
        <w:color w:val="117DC7"/>
        <w:sz w:val="16"/>
      </w:rPr>
      <w:fldChar w:fldCharType="separate"/>
    </w:r>
    <w:r>
      <w:rPr>
        <w:rStyle w:val="PageNumber"/>
        <w:noProof/>
        <w:color w:val="117DC7"/>
        <w:sz w:val="16"/>
      </w:rPr>
      <w:t>31</w:t>
    </w:r>
    <w:r>
      <w:rPr>
        <w:rStyle w:val="PageNumber"/>
        <w:color w:val="117DC7"/>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EEF9D" w14:textId="72E9526B" w:rsidR="009273E4" w:rsidRPr="00394F12" w:rsidRDefault="009273E4" w:rsidP="008D5F96">
    <w:pPr>
      <w:pStyle w:val="Footer"/>
      <w:pBdr>
        <w:top w:val="single" w:sz="4" w:space="1" w:color="117DC7"/>
      </w:pBdr>
      <w:rPr>
        <w:b/>
        <w:color w:val="117DC7"/>
      </w:rPr>
    </w:pPr>
    <w:r w:rsidRPr="00394F12">
      <w:rPr>
        <w:color w:val="117DC7"/>
      </w:rPr>
      <w:tab/>
    </w:r>
    <w:r w:rsidRPr="00394F12">
      <w:rPr>
        <w:color w:val="117DC7"/>
      </w:rPr>
      <w:ptab w:relativeTo="margin" w:alignment="right" w:leader="none"/>
    </w:r>
    <w:r w:rsidRPr="00394F12">
      <w:rPr>
        <w:color w:val="117DC7"/>
      </w:rPr>
      <w:t xml:space="preserve">Page </w:t>
    </w:r>
    <w:r w:rsidRPr="00394F12">
      <w:rPr>
        <w:b/>
        <w:color w:val="117DC7"/>
      </w:rPr>
      <w:fldChar w:fldCharType="begin"/>
    </w:r>
    <w:r w:rsidRPr="00394F12">
      <w:rPr>
        <w:b/>
        <w:color w:val="117DC7"/>
      </w:rPr>
      <w:instrText xml:space="preserve"> PAGE </w:instrText>
    </w:r>
    <w:r w:rsidRPr="00394F12">
      <w:rPr>
        <w:b/>
        <w:color w:val="117DC7"/>
      </w:rPr>
      <w:fldChar w:fldCharType="separate"/>
    </w:r>
    <w:r>
      <w:rPr>
        <w:b/>
        <w:noProof/>
        <w:color w:val="117DC7"/>
      </w:rPr>
      <w:t>100</w:t>
    </w:r>
    <w:r w:rsidRPr="00394F12">
      <w:rPr>
        <w:b/>
        <w:color w:val="117DC7"/>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4264B" w14:textId="03D81B3D" w:rsidR="009273E4" w:rsidRPr="00681694" w:rsidRDefault="009273E4" w:rsidP="00681694">
    <w:pPr>
      <w:pStyle w:val="Footer"/>
      <w:pBdr>
        <w:top w:val="single" w:sz="4" w:space="1" w:color="117DC7"/>
      </w:pBdr>
      <w:rPr>
        <w:b/>
        <w:color w:val="117DC7"/>
      </w:rPr>
    </w:pPr>
    <w:r>
      <w:rPr>
        <w:color w:val="117DC7"/>
      </w:rPr>
      <w:t>© Australian Securities and Investments Commission</w:t>
    </w:r>
    <w:r>
      <w:rPr>
        <w:color w:val="117DC7"/>
      </w:rPr>
      <w:tab/>
      <w:t xml:space="preserve">Page </w:t>
    </w:r>
    <w:r>
      <w:rPr>
        <w:rStyle w:val="PageNumber"/>
        <w:color w:val="117DC7"/>
        <w:sz w:val="16"/>
      </w:rPr>
      <w:fldChar w:fldCharType="begin"/>
    </w:r>
    <w:r>
      <w:rPr>
        <w:rStyle w:val="PageNumber"/>
        <w:color w:val="117DC7"/>
        <w:sz w:val="16"/>
      </w:rPr>
      <w:instrText xml:space="preserve"> PAGE </w:instrText>
    </w:r>
    <w:r>
      <w:rPr>
        <w:rStyle w:val="PageNumber"/>
        <w:color w:val="117DC7"/>
        <w:sz w:val="16"/>
      </w:rPr>
      <w:fldChar w:fldCharType="separate"/>
    </w:r>
    <w:r>
      <w:rPr>
        <w:rStyle w:val="PageNumber"/>
        <w:noProof/>
        <w:color w:val="117DC7"/>
        <w:sz w:val="16"/>
      </w:rPr>
      <w:t>102</w:t>
    </w:r>
    <w:r>
      <w:rPr>
        <w:rStyle w:val="PageNumber"/>
        <w:color w:val="117DC7"/>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556D7" w14:textId="15B7056D" w:rsidR="009273E4" w:rsidRPr="00394F12" w:rsidRDefault="009273E4" w:rsidP="00394F12">
    <w:pPr>
      <w:pStyle w:val="Footer"/>
      <w:pBdr>
        <w:top w:val="single" w:sz="4" w:space="1" w:color="117DC7"/>
      </w:pBdr>
      <w:rPr>
        <w:b/>
        <w:color w:val="117DC7"/>
      </w:rPr>
    </w:pPr>
    <w:r>
      <w:rPr>
        <w:color w:val="117DC7"/>
      </w:rPr>
      <w:t>© Australian Securities and Investments Commission</w:t>
    </w:r>
    <w:r w:rsidRPr="00394F12">
      <w:rPr>
        <w:color w:val="117DC7"/>
      </w:rPr>
      <w:tab/>
    </w:r>
    <w:r w:rsidRPr="00394F12">
      <w:rPr>
        <w:color w:val="117DC7"/>
      </w:rPr>
      <w:ptab w:relativeTo="margin" w:alignment="right" w:leader="none"/>
    </w:r>
    <w:r w:rsidRPr="00394F12">
      <w:rPr>
        <w:color w:val="117DC7"/>
      </w:rPr>
      <w:t xml:space="preserve">Page </w:t>
    </w:r>
    <w:r w:rsidRPr="00394F12">
      <w:rPr>
        <w:b/>
        <w:color w:val="117DC7"/>
      </w:rPr>
      <w:fldChar w:fldCharType="begin"/>
    </w:r>
    <w:r w:rsidRPr="00394F12">
      <w:rPr>
        <w:b/>
        <w:color w:val="117DC7"/>
      </w:rPr>
      <w:instrText xml:space="preserve"> PAGE </w:instrText>
    </w:r>
    <w:r w:rsidRPr="00394F12">
      <w:rPr>
        <w:b/>
        <w:color w:val="117DC7"/>
      </w:rPr>
      <w:fldChar w:fldCharType="separate"/>
    </w:r>
    <w:r>
      <w:rPr>
        <w:b/>
        <w:noProof/>
        <w:color w:val="117DC7"/>
      </w:rPr>
      <w:t>105</w:t>
    </w:r>
    <w:r w:rsidRPr="00394F12">
      <w:rPr>
        <w:b/>
        <w:color w:val="117DC7"/>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7635D" w14:textId="2E74DAF6" w:rsidR="009273E4" w:rsidRPr="00681694" w:rsidRDefault="009273E4" w:rsidP="002D0D1A">
    <w:pPr>
      <w:pStyle w:val="Footer"/>
      <w:pBdr>
        <w:top w:val="single" w:sz="4" w:space="0" w:color="117DC7"/>
      </w:pBdr>
      <w:rPr>
        <w:b/>
        <w:color w:val="117DC7"/>
      </w:rPr>
    </w:pPr>
    <w:r>
      <w:rPr>
        <w:color w:val="117DC7"/>
      </w:rPr>
      <w:t>© Australian Securities and Investments Commission</w:t>
    </w:r>
    <w:r>
      <w:rPr>
        <w:color w:val="117DC7"/>
      </w:rPr>
      <w:tab/>
      <w:t xml:space="preserve">Page </w:t>
    </w:r>
    <w:r>
      <w:rPr>
        <w:rStyle w:val="PageNumber"/>
        <w:color w:val="117DC7"/>
        <w:sz w:val="16"/>
      </w:rPr>
      <w:fldChar w:fldCharType="begin"/>
    </w:r>
    <w:r>
      <w:rPr>
        <w:rStyle w:val="PageNumber"/>
        <w:color w:val="117DC7"/>
        <w:sz w:val="16"/>
      </w:rPr>
      <w:instrText xml:space="preserve"> PAGE </w:instrText>
    </w:r>
    <w:r>
      <w:rPr>
        <w:rStyle w:val="PageNumber"/>
        <w:color w:val="117DC7"/>
        <w:sz w:val="16"/>
      </w:rPr>
      <w:fldChar w:fldCharType="separate"/>
    </w:r>
    <w:r>
      <w:rPr>
        <w:rStyle w:val="PageNumber"/>
        <w:noProof/>
        <w:color w:val="117DC7"/>
        <w:sz w:val="16"/>
      </w:rPr>
      <w:t>165</w:t>
    </w:r>
    <w:r>
      <w:rPr>
        <w:rStyle w:val="PageNumber"/>
        <w:color w:val="117DC7"/>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3053B" w14:textId="5E81A158" w:rsidR="009273E4" w:rsidRPr="005F49A2" w:rsidRDefault="009273E4" w:rsidP="00394F12">
    <w:pPr>
      <w:pStyle w:val="Footer"/>
      <w:pBdr>
        <w:top w:val="single" w:sz="4" w:space="1" w:color="117DC7"/>
      </w:pBdr>
      <w:rPr>
        <w:b/>
        <w:color w:val="117DC7"/>
      </w:rPr>
    </w:pPr>
    <w:r>
      <w:rPr>
        <w:color w:val="117DC7"/>
      </w:rPr>
      <w:t xml:space="preserve">© Australian Securities and Investments Commission </w:t>
    </w:r>
    <w:r w:rsidRPr="00394F12">
      <w:rPr>
        <w:color w:val="117DC7"/>
      </w:rPr>
      <w:ptab w:relativeTo="margin" w:alignment="right" w:leader="none"/>
    </w:r>
    <w:r w:rsidRPr="00394F12">
      <w:rPr>
        <w:color w:val="117DC7"/>
      </w:rPr>
      <w:t xml:space="preserve">Page </w:t>
    </w:r>
    <w:r w:rsidRPr="005F49A2">
      <w:rPr>
        <w:b/>
        <w:color w:val="117DC7"/>
      </w:rPr>
      <w:fldChar w:fldCharType="begin"/>
    </w:r>
    <w:r w:rsidRPr="005F49A2">
      <w:rPr>
        <w:b/>
        <w:color w:val="117DC7"/>
      </w:rPr>
      <w:instrText xml:space="preserve"> PAGE </w:instrText>
    </w:r>
    <w:r w:rsidRPr="005F49A2">
      <w:rPr>
        <w:b/>
        <w:color w:val="117DC7"/>
      </w:rPr>
      <w:fldChar w:fldCharType="separate"/>
    </w:r>
    <w:r>
      <w:rPr>
        <w:b/>
        <w:noProof/>
        <w:color w:val="117DC7"/>
      </w:rPr>
      <w:t>167</w:t>
    </w:r>
    <w:r w:rsidRPr="005F49A2">
      <w:rPr>
        <w:b/>
        <w:color w:val="117DC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E39AE" w14:textId="77777777" w:rsidR="009273E4" w:rsidRDefault="009273E4">
      <w:r>
        <w:separator/>
      </w:r>
    </w:p>
  </w:footnote>
  <w:footnote w:type="continuationSeparator" w:id="0">
    <w:p w14:paraId="0BF388BF" w14:textId="77777777" w:rsidR="009273E4" w:rsidRDefault="009273E4">
      <w:r>
        <w:continuationSeparator/>
      </w:r>
    </w:p>
  </w:footnote>
  <w:footnote w:type="continuationNotice" w:id="1">
    <w:p w14:paraId="41B279AE" w14:textId="77777777" w:rsidR="009273E4" w:rsidRDefault="009273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8910A" w14:textId="47E30C36" w:rsidR="009273E4" w:rsidRDefault="00E27A80">
    <w:pPr>
      <w:pStyle w:val="Header"/>
    </w:pPr>
    <w:r>
      <w:rPr>
        <w:noProof/>
      </w:rPr>
      <w:pict w14:anchorId="07C5B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79" o:spid="_x0000_s2067" type="#_x0000_t136" style="position:absolute;left:0;text-align:left;margin-left:0;margin-top:0;width:221.25pt;height:74.25pt;rotation:315;z-index:-251658239;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2C3F2" w14:textId="1A08AF0F" w:rsidR="009273E4" w:rsidRDefault="00E27A80">
    <w:pPr>
      <w:pStyle w:val="Header"/>
    </w:pPr>
    <w:r>
      <w:rPr>
        <w:noProof/>
      </w:rPr>
      <w:pict w14:anchorId="742A6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88" o:spid="_x0000_s2076" type="#_x0000_t136" style="position:absolute;left:0;text-align:left;margin-left:0;margin-top:0;width:221.25pt;height:74.25pt;rotation:315;z-index:-251658230;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6345D" w14:textId="4991B506" w:rsidR="009273E4" w:rsidRPr="000F2C38" w:rsidRDefault="00803412" w:rsidP="003D1F60">
    <w:pPr>
      <w:pStyle w:val="Footer"/>
      <w:pBdr>
        <w:bottom w:val="single" w:sz="4" w:space="1" w:color="117DC7"/>
      </w:pBdr>
    </w:pPr>
    <w:fldSimple w:instr=" DOCPROPERTY  &quot;Document title&quot;  \* MERGEFORMAT ">
      <w:r w:rsidR="004473CC" w:rsidRPr="004473CC">
        <w:rPr>
          <w:color w:val="117DC7"/>
        </w:rPr>
        <w:t>ASIC Market Integrity Rules (Capital) 2021</w:t>
      </w:r>
    </w:fldSimple>
    <w:r w:rsidR="009273E4">
      <w:rPr>
        <w:color w:val="117DC7"/>
      </w:rPr>
      <w:tab/>
      <w:t>Chapter 9: Accounts and audit</w:t>
    </w:r>
  </w:p>
  <w:p w14:paraId="2DEDA5F2" w14:textId="77777777" w:rsidR="009273E4" w:rsidRDefault="009273E4">
    <w:pPr>
      <w:spacing w:after="0" w:line="0" w:lineRule="atLeast"/>
      <w:rPr>
        <w:sz w:val="0"/>
        <w:szCs w:val="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D6362" w14:textId="517E6784" w:rsidR="009273E4" w:rsidRDefault="00E27A80">
    <w:pPr>
      <w:pStyle w:val="Header"/>
    </w:pPr>
    <w:r>
      <w:rPr>
        <w:noProof/>
      </w:rPr>
      <w:pict w14:anchorId="0415C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87" o:spid="_x0000_s2075" type="#_x0000_t136" style="position:absolute;left:0;text-align:left;margin-left:0;margin-top:0;width:221.25pt;height:74.25pt;rotation:315;z-index:-251658231;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D8F44" w14:textId="7379AA0B" w:rsidR="009273E4" w:rsidRDefault="00E27A80">
    <w:pPr>
      <w:pStyle w:val="Header"/>
    </w:pPr>
    <w:r>
      <w:rPr>
        <w:noProof/>
      </w:rPr>
      <w:pict w14:anchorId="03F89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91" o:spid="_x0000_s2079" type="#_x0000_t136" style="position:absolute;left:0;text-align:left;margin-left:0;margin-top:0;width:221.25pt;height:74.25pt;rotation:315;z-index:-251658227;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07C15" w14:textId="5C073DCE" w:rsidR="009273E4" w:rsidRPr="000F2C38" w:rsidRDefault="00803412" w:rsidP="003D1F60">
    <w:pPr>
      <w:pStyle w:val="Footer"/>
      <w:pBdr>
        <w:bottom w:val="single" w:sz="4" w:space="1" w:color="117DC7"/>
      </w:pBdr>
    </w:pPr>
    <w:fldSimple w:instr=" DOCPROPERTY  &quot;Document title&quot;  \* MERGEFORMAT ">
      <w:r w:rsidR="004473CC" w:rsidRPr="004473CC">
        <w:rPr>
          <w:color w:val="117DC7"/>
        </w:rPr>
        <w:t>ASIC Market Integrity Rules (Capital) 2021</w:t>
      </w:r>
    </w:fldSimple>
    <w:r w:rsidR="009273E4">
      <w:rPr>
        <w:color w:val="117DC7"/>
      </w:rPr>
      <w:tab/>
      <w:t>Schedule 1A: Capital liquidity requirements</w:t>
    </w:r>
  </w:p>
  <w:p w14:paraId="2D0FCC36" w14:textId="77777777" w:rsidR="009273E4" w:rsidRDefault="009273E4">
    <w:pPr>
      <w:spacing w:after="0" w:line="0" w:lineRule="atLeast"/>
      <w:rPr>
        <w:sz w:val="0"/>
        <w:szCs w:val="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7B7FD" w14:textId="5DC62B74" w:rsidR="009273E4" w:rsidRDefault="00E27A80">
    <w:pPr>
      <w:pStyle w:val="Header"/>
    </w:pPr>
    <w:r>
      <w:rPr>
        <w:noProof/>
      </w:rPr>
      <w:pict w14:anchorId="7CC64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90" o:spid="_x0000_s2078" type="#_x0000_t136" style="position:absolute;left:0;text-align:left;margin-left:0;margin-top:0;width:221.25pt;height:74.25pt;rotation:315;z-index:-251658228;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6F3BE" w14:textId="78426A2E" w:rsidR="009273E4" w:rsidRDefault="00E27A80">
    <w:pPr>
      <w:pStyle w:val="Header"/>
    </w:pPr>
    <w:r>
      <w:rPr>
        <w:noProof/>
      </w:rPr>
      <w:pict w14:anchorId="343BE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94" o:spid="_x0000_s2082" type="#_x0000_t136" style="position:absolute;left:0;text-align:left;margin-left:0;margin-top:0;width:221.25pt;height:74.25pt;rotation:315;z-index:-251658224;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2FD7C" w14:textId="14D3F2BA" w:rsidR="009273E4" w:rsidRPr="000F2C38" w:rsidRDefault="00803412" w:rsidP="003D1F60">
    <w:pPr>
      <w:pStyle w:val="Footer"/>
      <w:pBdr>
        <w:bottom w:val="single" w:sz="4" w:space="1" w:color="117DC7"/>
      </w:pBdr>
    </w:pPr>
    <w:fldSimple w:instr=" DOCPROPERTY  &quot;Document title&quot;  \* MERGEFORMAT ">
      <w:r w:rsidR="004473CC" w:rsidRPr="004473CC">
        <w:rPr>
          <w:color w:val="117DC7"/>
        </w:rPr>
        <w:t>ASIC Market Integrity Rules (Capital) 2021</w:t>
      </w:r>
    </w:fldSimple>
    <w:r w:rsidR="009273E4">
      <w:rPr>
        <w:color w:val="117DC7"/>
      </w:rPr>
      <w:tab/>
      <w:t xml:space="preserve">Annexure 1 to Schedule 1A: </w:t>
    </w:r>
    <w:r w:rsidR="009273E4" w:rsidRPr="003407F4">
      <w:rPr>
        <w:color w:val="117DC7"/>
      </w:rPr>
      <w:t xml:space="preserve">Counterparty </w:t>
    </w:r>
    <w:r w:rsidR="009273E4">
      <w:rPr>
        <w:color w:val="117DC7"/>
      </w:rPr>
      <w:t>R</w:t>
    </w:r>
    <w:r w:rsidR="009273E4" w:rsidRPr="003407F4">
      <w:rPr>
        <w:color w:val="117DC7"/>
      </w:rPr>
      <w:t xml:space="preserve">isk </w:t>
    </w:r>
    <w:r w:rsidR="009273E4">
      <w:rPr>
        <w:color w:val="117DC7"/>
      </w:rPr>
      <w:t>R</w:t>
    </w:r>
    <w:r w:rsidR="009273E4" w:rsidRPr="003407F4">
      <w:rPr>
        <w:color w:val="117DC7"/>
      </w:rPr>
      <w:t>equirement</w:t>
    </w:r>
  </w:p>
  <w:p w14:paraId="1BAA33EE" w14:textId="0E547029" w:rsidR="009273E4" w:rsidRDefault="009273E4">
    <w:pPr>
      <w:spacing w:after="0" w:line="0" w:lineRule="atLeast"/>
      <w:rPr>
        <w:sz w:val="0"/>
        <w:szCs w:val="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7A831" w14:textId="68713F88" w:rsidR="009273E4" w:rsidRDefault="00E27A80">
    <w:pPr>
      <w:pStyle w:val="Header"/>
    </w:pPr>
    <w:r>
      <w:rPr>
        <w:noProof/>
      </w:rPr>
      <w:pict w14:anchorId="16AC3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93" o:spid="_x0000_s2081" type="#_x0000_t136" style="position:absolute;left:0;text-align:left;margin-left:0;margin-top:0;width:221.25pt;height:74.25pt;rotation:315;z-index:-251658225;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12A2A" w14:textId="51D82490" w:rsidR="009273E4" w:rsidRDefault="00E27A80">
    <w:pPr>
      <w:pStyle w:val="Header"/>
    </w:pPr>
    <w:r>
      <w:rPr>
        <w:noProof/>
      </w:rPr>
      <w:pict w14:anchorId="5D8852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97" o:spid="_x0000_s2085" type="#_x0000_t136" style="position:absolute;left:0;text-align:left;margin-left:0;margin-top:0;width:221.25pt;height:74.25pt;rotation:315;z-index:-251658221;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08410" w14:textId="47BACAE0" w:rsidR="009273E4" w:rsidRPr="009368EA" w:rsidRDefault="009273E4" w:rsidP="000F2C38">
    <w:pPr>
      <w:pStyle w:val="Footer"/>
      <w:pBdr>
        <w:bottom w:val="single" w:sz="4" w:space="1" w:color="117DC7"/>
      </w:pBdr>
      <w:rPr>
        <w:color w:val="117DC7"/>
      </w:rPr>
    </w:pPr>
    <w:r>
      <w:rPr>
        <w:color w:val="117DC7"/>
      </w:rPr>
      <w:fldChar w:fldCharType="begin"/>
    </w:r>
    <w:r w:rsidRPr="009368EA">
      <w:rPr>
        <w:color w:val="117DC7"/>
      </w:rPr>
      <w:instrText xml:space="preserve"> DOCPROPERTY  "Document title"  \* MERGEFORMAT </w:instrText>
    </w:r>
    <w:r>
      <w:rPr>
        <w:color w:val="117DC7"/>
      </w:rPr>
      <w:fldChar w:fldCharType="separate"/>
    </w:r>
    <w:r w:rsidR="004473CC">
      <w:rPr>
        <w:color w:val="117DC7"/>
      </w:rPr>
      <w:t>ASIC Market Integrity Rules (Capital) 2021</w:t>
    </w:r>
    <w:r>
      <w:rPr>
        <w:color w:val="117DC7"/>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49329" w14:textId="649F19C4" w:rsidR="009273E4" w:rsidRPr="00D3364C" w:rsidRDefault="00803412" w:rsidP="003D1F60">
    <w:pPr>
      <w:pStyle w:val="Footer"/>
      <w:pBdr>
        <w:bottom w:val="single" w:sz="4" w:space="1" w:color="117DC7"/>
      </w:pBdr>
      <w:rPr>
        <w:spacing w:val="-2"/>
      </w:rPr>
    </w:pPr>
    <w:fldSimple w:instr=" DOCPROPERTY  &quot;Document title&quot;  \* MERGEFORMAT ">
      <w:r w:rsidR="004473CC" w:rsidRPr="004473CC">
        <w:rPr>
          <w:color w:val="117DC7"/>
        </w:rPr>
        <w:t>ASIC Market Integrity Rules (Capital) 2021</w:t>
      </w:r>
    </w:fldSimple>
    <w:r w:rsidR="009273E4" w:rsidRPr="00D3364C">
      <w:rPr>
        <w:color w:val="117DC7"/>
        <w:spacing w:val="-2"/>
      </w:rPr>
      <w:tab/>
      <w:t>Annexure 2 to Schedule 1A: Large Exposure Risk Requirement</w:t>
    </w:r>
  </w:p>
  <w:p w14:paraId="7F1DE0BD" w14:textId="2CC42410" w:rsidR="009273E4" w:rsidRDefault="009273E4">
    <w:pPr>
      <w:spacing w:after="0" w:line="0" w:lineRule="atLeast"/>
      <w:rPr>
        <w:sz w:val="0"/>
        <w:szCs w:val="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772D2" w14:textId="101B262F" w:rsidR="009273E4" w:rsidRDefault="00E27A80">
    <w:pPr>
      <w:pStyle w:val="Header"/>
    </w:pPr>
    <w:r>
      <w:rPr>
        <w:noProof/>
      </w:rPr>
      <w:pict w14:anchorId="27700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96" o:spid="_x0000_s2084" type="#_x0000_t136" style="position:absolute;left:0;text-align:left;margin-left:0;margin-top:0;width:221.25pt;height:74.25pt;rotation:315;z-index:-251658222;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82A69" w14:textId="77777777" w:rsidR="009273E4" w:rsidRDefault="00E27A80">
    <w:pPr>
      <w:pStyle w:val="Header"/>
    </w:pPr>
    <w:r>
      <w:rPr>
        <w:noProof/>
      </w:rPr>
      <w:pict w14:anchorId="60F7F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2" type="#_x0000_t136" style="position:absolute;left:0;text-align:left;margin-left:0;margin-top:0;width:221.25pt;height:74.25pt;rotation:315;z-index:-251652044;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1C4EA" w14:textId="5D79B3CD" w:rsidR="009273E4" w:rsidRPr="000F2C38" w:rsidRDefault="00803412" w:rsidP="003D1F60">
    <w:pPr>
      <w:pStyle w:val="Footer"/>
      <w:pBdr>
        <w:bottom w:val="single" w:sz="4" w:space="1" w:color="117DC7"/>
      </w:pBdr>
    </w:pPr>
    <w:fldSimple w:instr=" DOCPROPERTY  &quot;Document title&quot;  \* MERGEFORMAT ">
      <w:r w:rsidR="004473CC" w:rsidRPr="004473CC">
        <w:rPr>
          <w:color w:val="117DC7"/>
        </w:rPr>
        <w:t>ASIC Market Integrity Rules (Capital) 2021</w:t>
      </w:r>
    </w:fldSimple>
    <w:r w:rsidR="009273E4">
      <w:rPr>
        <w:color w:val="117DC7"/>
      </w:rPr>
      <w:tab/>
      <w:t>Annexure 3 to Schedule 1A: Position Risk Requirement</w:t>
    </w:r>
  </w:p>
  <w:p w14:paraId="3CDBFF61" w14:textId="77777777" w:rsidR="009273E4" w:rsidRDefault="009273E4">
    <w:pPr>
      <w:spacing w:after="0" w:line="0" w:lineRule="atLeast"/>
      <w:rPr>
        <w:sz w:val="0"/>
        <w:szCs w:val="0"/>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0402C" w14:textId="77777777" w:rsidR="009273E4" w:rsidRDefault="00E27A80">
    <w:pPr>
      <w:pStyle w:val="Header"/>
    </w:pPr>
    <w:r>
      <w:rPr>
        <w:noProof/>
      </w:rPr>
      <w:pict w14:anchorId="24E926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1" type="#_x0000_t136" style="position:absolute;left:0;text-align:left;margin-left:0;margin-top:0;width:221.25pt;height:74.25pt;rotation:315;z-index:-251653068;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D5915" w14:textId="559CC9C8" w:rsidR="009273E4" w:rsidRDefault="00E27A80">
    <w:pPr>
      <w:pStyle w:val="Header"/>
    </w:pPr>
    <w:r>
      <w:rPr>
        <w:noProof/>
      </w:rPr>
      <w:pict w14:anchorId="5D1A50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00" o:spid="_x0000_s2088" type="#_x0000_t136" style="position:absolute;left:0;text-align:left;margin-left:0;margin-top:0;width:221.25pt;height:74.25pt;rotation:315;z-index:-251658218;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76250" w14:textId="3F33025E" w:rsidR="009273E4" w:rsidRPr="000F2C38" w:rsidRDefault="00803412" w:rsidP="003D1F60">
    <w:pPr>
      <w:pStyle w:val="Footer"/>
      <w:pBdr>
        <w:bottom w:val="single" w:sz="4" w:space="1" w:color="117DC7"/>
      </w:pBdr>
    </w:pPr>
    <w:fldSimple w:instr=" DOCPROPERTY  &quot;Document title&quot;  \* MERGEFORMAT ">
      <w:r w:rsidR="004473CC" w:rsidRPr="004473CC">
        <w:rPr>
          <w:color w:val="117DC7"/>
        </w:rPr>
        <w:t>ASIC Market Integrity Rules (Capital) 2021</w:t>
      </w:r>
    </w:fldSimple>
    <w:r w:rsidR="009273E4">
      <w:rPr>
        <w:color w:val="117DC7"/>
      </w:rPr>
      <w:tab/>
      <w:t>Annexure 3 to Schedule 1A: Position Risk Requirement</w:t>
    </w:r>
  </w:p>
  <w:p w14:paraId="0D26D52D" w14:textId="77777777" w:rsidR="009273E4" w:rsidRDefault="009273E4">
    <w:pPr>
      <w:spacing w:after="0" w:line="0" w:lineRule="atLeast"/>
      <w:rPr>
        <w:sz w:val="0"/>
        <w:szCs w:val="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EFF3D" w14:textId="728392E2" w:rsidR="009273E4" w:rsidRDefault="00E27A80">
    <w:pPr>
      <w:pStyle w:val="Header"/>
    </w:pPr>
    <w:r>
      <w:rPr>
        <w:noProof/>
      </w:rPr>
      <w:pict w14:anchorId="43C4D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99" o:spid="_x0000_s2087" type="#_x0000_t136" style="position:absolute;left:0;text-align:left;margin-left:0;margin-top:0;width:221.25pt;height:74.25pt;rotation:315;z-index:-251658219;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AAEF4" w14:textId="46D50813" w:rsidR="009273E4" w:rsidRDefault="00E27A80">
    <w:pPr>
      <w:pStyle w:val="Header"/>
    </w:pPr>
    <w:r>
      <w:rPr>
        <w:noProof/>
      </w:rPr>
      <w:pict w14:anchorId="7FC1B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03" o:spid="_x0000_s2091" type="#_x0000_t136" style="position:absolute;left:0;text-align:left;margin-left:0;margin-top:0;width:221.25pt;height:74.25pt;rotation:315;z-index:-251658215;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58C4E" w14:textId="3A8E8E7A" w:rsidR="009273E4" w:rsidRPr="001D4FDF" w:rsidRDefault="00803412" w:rsidP="003D1F60">
    <w:pPr>
      <w:pStyle w:val="Footer"/>
      <w:pBdr>
        <w:bottom w:val="single" w:sz="4" w:space="1" w:color="117DC7"/>
      </w:pBdr>
      <w:rPr>
        <w:spacing w:val="-6"/>
      </w:rPr>
    </w:pPr>
    <w:fldSimple w:instr=" DOCPROPERTY  &quot;Document title&quot;  \* MERGEFORMAT ">
      <w:r w:rsidR="004473CC" w:rsidRPr="004473CC">
        <w:rPr>
          <w:color w:val="117DC7"/>
        </w:rPr>
        <w:t>ASIC Market Integrity Rules (Capital) 2021</w:t>
      </w:r>
    </w:fldSimple>
    <w:r w:rsidR="009273E4" w:rsidRPr="001D4FDF">
      <w:rPr>
        <w:color w:val="117DC7"/>
        <w:spacing w:val="-6"/>
      </w:rPr>
      <w:tab/>
      <w:t>Annexure 4 to Schedule 1A: Underwriting and Sub Underwriting Risk Requirement</w:t>
    </w:r>
  </w:p>
  <w:p w14:paraId="7D3C78D8" w14:textId="77777777" w:rsidR="009273E4" w:rsidRDefault="009273E4">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F75A8" w14:textId="19FDAE3B" w:rsidR="009273E4" w:rsidRPr="00672166" w:rsidRDefault="009273E4" w:rsidP="00672166">
    <w:pPr>
      <w:pStyle w:val="Header"/>
      <w:pBdr>
        <w:bottom w:val="none" w:sz="0" w:space="0" w:color="auto"/>
      </w:pBdr>
      <w:rPr>
        <w:b/>
        <w:bCs/>
        <w:color w:val="C0C0C0"/>
        <w:sz w:val="44"/>
        <w:lang w:val="en-US"/>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067C7" w14:textId="523BAB13" w:rsidR="009273E4" w:rsidRDefault="00E27A80">
    <w:pPr>
      <w:pStyle w:val="Header"/>
    </w:pPr>
    <w:r>
      <w:rPr>
        <w:noProof/>
      </w:rPr>
      <w:pict w14:anchorId="51A21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02" o:spid="_x0000_s2090" type="#_x0000_t136" style="position:absolute;left:0;text-align:left;margin-left:0;margin-top:0;width:221.25pt;height:74.25pt;rotation:315;z-index:-251658216;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1F4EA" w14:textId="77777777" w:rsidR="009273E4" w:rsidRDefault="00E27A80">
    <w:pPr>
      <w:pStyle w:val="Header"/>
    </w:pPr>
    <w:r>
      <w:rPr>
        <w:noProof/>
      </w:rPr>
      <w:pict w14:anchorId="618BF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0" type="#_x0000_t136" style="position:absolute;left:0;text-align:left;margin-left:0;margin-top:0;width:221.25pt;height:74.25pt;rotation:315;z-index:-251655116;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AF1AD" w14:textId="3EE711EE" w:rsidR="009273E4" w:rsidRPr="000F2C38" w:rsidRDefault="00803412" w:rsidP="003D1F60">
    <w:pPr>
      <w:pStyle w:val="Footer"/>
      <w:pBdr>
        <w:bottom w:val="single" w:sz="4" w:space="1" w:color="117DC7"/>
      </w:pBdr>
    </w:pPr>
    <w:fldSimple w:instr=" DOCPROPERTY  &quot;Document title&quot;  \* MERGEFORMAT ">
      <w:r w:rsidR="004473CC" w:rsidRPr="004473CC">
        <w:rPr>
          <w:color w:val="117DC7"/>
        </w:rPr>
        <w:t>ASIC Market Integrity Rules (Capital) 2021</w:t>
      </w:r>
    </w:fldSimple>
    <w:r w:rsidR="009273E4">
      <w:rPr>
        <w:color w:val="117DC7"/>
      </w:rPr>
      <w:tab/>
      <w:t>Annexure 5 to Schedule 1A: Tables</w:t>
    </w:r>
  </w:p>
  <w:p w14:paraId="15165EA1" w14:textId="77777777" w:rsidR="009273E4" w:rsidRDefault="009273E4">
    <w:pPr>
      <w:spacing w:after="0" w:line="0" w:lineRule="atLeast"/>
      <w:rPr>
        <w:sz w:val="0"/>
        <w:szCs w:val="0"/>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075F9" w14:textId="77777777" w:rsidR="009273E4" w:rsidRDefault="00E27A80">
    <w:pPr>
      <w:pStyle w:val="Header"/>
    </w:pPr>
    <w:r>
      <w:rPr>
        <w:noProof/>
      </w:rPr>
      <w:pict w14:anchorId="50A34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9" type="#_x0000_t136" style="position:absolute;left:0;text-align:left;margin-left:0;margin-top:0;width:221.25pt;height:74.25pt;rotation:315;z-index:-251656140;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6C27C" w14:textId="24A0001B" w:rsidR="009273E4" w:rsidRDefault="00E27A80">
    <w:pPr>
      <w:pStyle w:val="Header"/>
    </w:pPr>
    <w:r>
      <w:rPr>
        <w:noProof/>
      </w:rPr>
      <w:pict w14:anchorId="150CB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09" o:spid="_x0000_s2097" type="#_x0000_t136" style="position:absolute;left:0;text-align:left;margin-left:0;margin-top:0;width:221.25pt;height:74.25pt;rotation:315;z-index:-251658209;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6CFB3" w14:textId="41A7A8E9" w:rsidR="009273E4" w:rsidRPr="000F2C38" w:rsidRDefault="009273E4" w:rsidP="003D1F60">
    <w:pPr>
      <w:pStyle w:val="Footer"/>
      <w:pBdr>
        <w:bottom w:val="single" w:sz="4" w:space="1" w:color="117DC7"/>
      </w:pBdr>
    </w:pPr>
    <w:r>
      <w:rPr>
        <w:color w:val="117DC7"/>
      </w:rPr>
      <w:fldChar w:fldCharType="begin"/>
    </w:r>
    <w:r>
      <w:rPr>
        <w:color w:val="117DC7"/>
      </w:rPr>
      <w:instrText xml:space="preserve"> DOCPROPERTY  "Document title"  \* MERGEFORMAT </w:instrText>
    </w:r>
    <w:r>
      <w:rPr>
        <w:color w:val="117DC7"/>
      </w:rPr>
      <w:fldChar w:fldCharType="separate"/>
    </w:r>
    <w:r w:rsidR="004473CC">
      <w:rPr>
        <w:color w:val="117DC7"/>
      </w:rPr>
      <w:t>ASIC Market Integrity Rules (Capital) 2021</w:t>
    </w:r>
    <w:r>
      <w:rPr>
        <w:color w:val="117DC7"/>
      </w:rPr>
      <w:fldChar w:fldCharType="end"/>
    </w:r>
    <w:r>
      <w:rPr>
        <w:color w:val="117DC7"/>
      </w:rPr>
      <w:tab/>
      <w:t>Schedule 1B: NTA requirements</w:t>
    </w:r>
  </w:p>
  <w:p w14:paraId="43D843DA" w14:textId="77777777" w:rsidR="009273E4" w:rsidRDefault="009273E4">
    <w:pPr>
      <w:spacing w:after="0" w:line="0" w:lineRule="atLeast"/>
      <w:rPr>
        <w:sz w:val="0"/>
        <w:szCs w:val="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7AF2A" w14:textId="3A2CCCE0" w:rsidR="009273E4" w:rsidRDefault="00E27A80">
    <w:pPr>
      <w:pStyle w:val="Header"/>
    </w:pPr>
    <w:r>
      <w:rPr>
        <w:noProof/>
      </w:rPr>
      <w:pict w14:anchorId="6B8721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08" o:spid="_x0000_s2096" type="#_x0000_t136" style="position:absolute;left:0;text-align:left;margin-left:0;margin-top:0;width:221.25pt;height:74.25pt;rotation:315;z-index:-251658210;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D959F" w14:textId="500141BC" w:rsidR="009273E4" w:rsidRDefault="00E27A80">
    <w:pPr>
      <w:pStyle w:val="Header"/>
    </w:pPr>
    <w:r>
      <w:rPr>
        <w:noProof/>
      </w:rPr>
      <w:pict w14:anchorId="38271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12" o:spid="_x0000_s2100" type="#_x0000_t136" style="position:absolute;left:0;text-align:left;margin-left:0;margin-top:0;width:221.25pt;height:74.25pt;rotation:315;z-index:-251658206;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3B500" w14:textId="3B094794" w:rsidR="009273E4" w:rsidRPr="00687599" w:rsidRDefault="00803412" w:rsidP="00203B23">
    <w:pPr>
      <w:pStyle w:val="Footer"/>
      <w:pBdr>
        <w:bottom w:val="single" w:sz="4" w:space="0" w:color="117DC7"/>
      </w:pBdr>
      <w:tabs>
        <w:tab w:val="clear" w:pos="9070"/>
        <w:tab w:val="left" w:pos="12474"/>
        <w:tab w:val="left" w:pos="13948"/>
      </w:tabs>
    </w:pPr>
    <w:fldSimple w:instr=" DOCPROPERTY  &quot;Document title&quot;  \* MERGEFORMAT ">
      <w:r w:rsidR="004473CC" w:rsidRPr="004473CC">
        <w:rPr>
          <w:color w:val="117DC7"/>
        </w:rPr>
        <w:t>ASIC Market Integrity Rules (Capital) 2021</w:t>
      </w:r>
    </w:fldSimple>
    <w:r w:rsidR="009273E4">
      <w:rPr>
        <w:color w:val="117DC7"/>
      </w:rPr>
      <w:tab/>
      <w:t>Schedule 1C: Forms</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9F1A3" w14:textId="2186FDBC" w:rsidR="009273E4" w:rsidRDefault="00E27A80">
    <w:pPr>
      <w:pStyle w:val="Header"/>
    </w:pPr>
    <w:r>
      <w:rPr>
        <w:noProof/>
      </w:rPr>
      <w:pict w14:anchorId="09E7E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11" o:spid="_x0000_s2099" type="#_x0000_t136" style="position:absolute;left:0;text-align:left;margin-left:0;margin-top:0;width:221.25pt;height:74.25pt;rotation:315;z-index:-251658207;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FC4F7" w14:textId="31156698" w:rsidR="009273E4" w:rsidRDefault="00E27A80">
    <w:pPr>
      <w:pStyle w:val="Header"/>
    </w:pPr>
    <w:r>
      <w:rPr>
        <w:noProof/>
      </w:rPr>
      <w:pict w14:anchorId="7B9F8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82" o:spid="_x0000_s2070" type="#_x0000_t136" style="position:absolute;left:0;text-align:left;margin-left:0;margin-top:0;width:221.25pt;height:74.25pt;rotation:315;z-index:-251658236;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8575E" w14:textId="68A6AD60" w:rsidR="009273E4" w:rsidRDefault="00E27A80">
    <w:pPr>
      <w:pStyle w:val="Header"/>
    </w:pPr>
    <w:r>
      <w:rPr>
        <w:noProof/>
      </w:rPr>
      <w:pict w14:anchorId="42704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15" o:spid="_x0000_s2103" type="#_x0000_t136" style="position:absolute;left:0;text-align:left;margin-left:0;margin-top:0;width:221.25pt;height:74.25pt;rotation:315;z-index:-251658203;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ADD19" w14:textId="5453D03C" w:rsidR="009273E4" w:rsidRPr="00687599" w:rsidRDefault="00803412" w:rsidP="00203B23">
    <w:pPr>
      <w:pStyle w:val="Footer"/>
      <w:pBdr>
        <w:bottom w:val="single" w:sz="4" w:space="1" w:color="117DC7"/>
      </w:pBdr>
    </w:pPr>
    <w:fldSimple w:instr=" DOCPROPERTY  &quot;Document title&quot;  \* MERGEFORMAT ">
      <w:r w:rsidR="004473CC" w:rsidRPr="004473CC">
        <w:rPr>
          <w:color w:val="117DC7"/>
        </w:rPr>
        <w:t>ASIC Market Integrity Rules (Capital) 2021</w:t>
      </w:r>
    </w:fldSimple>
    <w:r w:rsidR="009273E4">
      <w:rPr>
        <w:color w:val="117DC7"/>
      </w:rPr>
      <w:tab/>
      <w:t>Schedule 1C: Forms</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5DC4B" w14:textId="22E924AF" w:rsidR="009273E4" w:rsidRDefault="00E27A80">
    <w:pPr>
      <w:pStyle w:val="Header"/>
    </w:pPr>
    <w:r>
      <w:rPr>
        <w:noProof/>
      </w:rPr>
      <w:pict w14:anchorId="4B80A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14" o:spid="_x0000_s2102" type="#_x0000_t136" style="position:absolute;left:0;text-align:left;margin-left:0;margin-top:0;width:221.25pt;height:74.25pt;rotation:315;z-index:-251658204;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02660" w14:textId="1210AD9E" w:rsidR="009273E4" w:rsidRDefault="00E27A80">
    <w:pPr>
      <w:pStyle w:val="Header"/>
    </w:pPr>
    <w:r>
      <w:rPr>
        <w:noProof/>
      </w:rPr>
      <w:pict w14:anchorId="54851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18" o:spid="_x0000_s2106" type="#_x0000_t136" style="position:absolute;left:0;text-align:left;margin-left:0;margin-top:0;width:221.25pt;height:74.25pt;rotation:315;z-index:-251658200;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2255C" w14:textId="7531B755" w:rsidR="009273E4" w:rsidRPr="00687599" w:rsidRDefault="00803412" w:rsidP="00203B23">
    <w:pPr>
      <w:pStyle w:val="Footer"/>
      <w:pBdr>
        <w:bottom w:val="single" w:sz="4" w:space="0" w:color="117DC7"/>
      </w:pBdr>
      <w:tabs>
        <w:tab w:val="clear" w:pos="9070"/>
        <w:tab w:val="left" w:pos="12474"/>
        <w:tab w:val="left" w:pos="13948"/>
      </w:tabs>
    </w:pPr>
    <w:fldSimple w:instr=" DOCPROPERTY  &quot;Document title&quot;  \* MERGEFORMAT ">
      <w:r w:rsidR="004473CC" w:rsidRPr="004473CC">
        <w:rPr>
          <w:color w:val="117DC7"/>
        </w:rPr>
        <w:t>ASIC Market Integrity Rules (Capital) 2021</w:t>
      </w:r>
    </w:fldSimple>
    <w:r w:rsidR="009273E4">
      <w:rPr>
        <w:color w:val="117DC7"/>
      </w:rPr>
      <w:tab/>
      <w:t>Schedule 1C: Forms</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8C87A" w14:textId="01E6FB72" w:rsidR="009273E4" w:rsidRDefault="00E27A80">
    <w:pPr>
      <w:pStyle w:val="Header"/>
    </w:pPr>
    <w:r>
      <w:rPr>
        <w:noProof/>
      </w:rPr>
      <w:pict w14:anchorId="61227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17" o:spid="_x0000_s2105" type="#_x0000_t136" style="position:absolute;left:0;text-align:left;margin-left:0;margin-top:0;width:221.25pt;height:74.25pt;rotation:315;z-index:-251658201;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26B2F" w14:textId="3FE29B5B" w:rsidR="009273E4" w:rsidRDefault="00E27A80">
    <w:pPr>
      <w:pStyle w:val="Header"/>
    </w:pPr>
    <w:r>
      <w:rPr>
        <w:noProof/>
      </w:rPr>
      <w:pict w14:anchorId="03C53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21" o:spid="_x0000_s2109" type="#_x0000_t136" style="position:absolute;left:0;text-align:left;margin-left:0;margin-top:0;width:221.25pt;height:74.25pt;rotation:315;z-index:-251658197;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3AD2D" w14:textId="078704C6" w:rsidR="009273E4" w:rsidRPr="00687599" w:rsidRDefault="00803412" w:rsidP="00203B23">
    <w:pPr>
      <w:pStyle w:val="Footer"/>
      <w:pBdr>
        <w:bottom w:val="single" w:sz="4" w:space="1" w:color="117DC7"/>
      </w:pBdr>
    </w:pPr>
    <w:fldSimple w:instr=" DOCPROPERTY  &quot;Document title&quot;  \* MERGEFORMAT ">
      <w:r w:rsidR="004473CC" w:rsidRPr="004473CC">
        <w:rPr>
          <w:color w:val="117DC7"/>
        </w:rPr>
        <w:t>ASIC Market Integrity Rules (Capital) 2021</w:t>
      </w:r>
    </w:fldSimple>
    <w:r w:rsidR="009273E4">
      <w:rPr>
        <w:color w:val="117DC7"/>
      </w:rPr>
      <w:tab/>
      <w:t>Schedule 1C: Forms</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7CAD" w14:textId="6284EDD6" w:rsidR="009273E4" w:rsidRDefault="00E27A80">
    <w:pPr>
      <w:pStyle w:val="Header"/>
    </w:pPr>
    <w:r>
      <w:rPr>
        <w:noProof/>
      </w:rPr>
      <w:pict w14:anchorId="4DAC3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20" o:spid="_x0000_s2108" type="#_x0000_t136" style="position:absolute;left:0;text-align:left;margin-left:0;margin-top:0;width:221.25pt;height:74.25pt;rotation:315;z-index:-251658198;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846AF" w14:textId="0D715D02" w:rsidR="009273E4" w:rsidRDefault="00E27A80">
    <w:pPr>
      <w:pStyle w:val="Header"/>
    </w:pPr>
    <w:r>
      <w:rPr>
        <w:noProof/>
      </w:rPr>
      <w:pict w14:anchorId="63429C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30" o:spid="_x0000_s2118" type="#_x0000_t136" style="position:absolute;left:0;text-align:left;margin-left:0;margin-top:0;width:221.25pt;height:74.25pt;rotation:315;z-index:-251658188;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DA00D" w14:textId="6DB8E1AD" w:rsidR="009273E4" w:rsidRPr="000F2C38" w:rsidRDefault="00803412" w:rsidP="000F2C38">
    <w:pPr>
      <w:pStyle w:val="Footer"/>
      <w:pBdr>
        <w:bottom w:val="single" w:sz="4" w:space="1" w:color="117DC7"/>
      </w:pBdr>
    </w:pPr>
    <w:fldSimple w:instr=" DOCPROPERTY  &quot;Document title&quot;  \* MERGEFORMAT ">
      <w:r w:rsidR="004473CC" w:rsidRPr="004473CC">
        <w:rPr>
          <w:color w:val="117DC7"/>
        </w:rPr>
        <w:t>ASIC Market Integrity Rules (Capital) 2021</w:t>
      </w:r>
    </w:fldSimple>
    <w:r w:rsidR="009273E4">
      <w:rPr>
        <w:color w:val="117DC7"/>
      </w:rPr>
      <w:tab/>
      <w:t>Chapter 1: Introduction</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CFA78" w14:textId="58A4D687" w:rsidR="009273E4" w:rsidRPr="00687599" w:rsidRDefault="00803412" w:rsidP="0028276C">
    <w:pPr>
      <w:pStyle w:val="Footer"/>
      <w:pBdr>
        <w:bottom w:val="single" w:sz="4" w:space="1" w:color="117DC7"/>
      </w:pBdr>
    </w:pPr>
    <w:fldSimple w:instr=" DOCPROPERTY  &quot;Document title&quot;  \* MERGEFORMAT ">
      <w:r w:rsidR="004473CC" w:rsidRPr="004473CC">
        <w:rPr>
          <w:color w:val="117DC7"/>
        </w:rPr>
        <w:t>ASIC Market Integrity Rules (Capital) 2021</w:t>
      </w:r>
    </w:fldSimple>
    <w:r w:rsidR="009273E4">
      <w:rPr>
        <w:color w:val="117DC7"/>
      </w:rPr>
      <w:tab/>
      <w:t>Schedule 1C: Forms</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2CA8F" w14:textId="4A06005B" w:rsidR="009273E4" w:rsidRDefault="00E27A80">
    <w:pPr>
      <w:pStyle w:val="Header"/>
    </w:pPr>
    <w:r>
      <w:rPr>
        <w:noProof/>
      </w:rPr>
      <w:pict w14:anchorId="1E735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29" o:spid="_x0000_s2117" type="#_x0000_t136" style="position:absolute;left:0;text-align:left;margin-left:0;margin-top:0;width:221.25pt;height:74.25pt;rotation:315;z-index:-251658189;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7FFBA" w14:textId="00E7F79C" w:rsidR="009273E4" w:rsidRDefault="00E27A80">
    <w:pPr>
      <w:pStyle w:val="Header"/>
      <w:pBdr>
        <w:bottom w:val="none" w:sz="0" w:space="0" w:color="auto"/>
      </w:pBdr>
      <w:jc w:val="center"/>
      <w:rPr>
        <w:b/>
        <w:bCs/>
        <w:color w:val="C0C0C0"/>
        <w:sz w:val="48"/>
        <w:lang w:val="en-US"/>
      </w:rPr>
    </w:pPr>
    <w:r>
      <w:rPr>
        <w:noProof/>
      </w:rPr>
      <w:pict w14:anchorId="6F2BDD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81" o:spid="_x0000_s2069" type="#_x0000_t136" style="position:absolute;left:0;text-align:left;margin-left:0;margin-top:0;width:221.25pt;height:74.25pt;rotation:315;z-index:-251658237;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r w:rsidR="009273E4">
      <w:rPr>
        <w:b/>
        <w:bCs/>
        <w:color w:val="C0C0C0"/>
        <w:sz w:val="48"/>
        <w:lang w:val="en-US"/>
      </w:rPr>
      <w:t>DRAFT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858CF" w14:textId="43F367B4" w:rsidR="009273E4" w:rsidRDefault="00E27A80">
    <w:pPr>
      <w:pStyle w:val="Header"/>
    </w:pPr>
    <w:r>
      <w:rPr>
        <w:noProof/>
      </w:rPr>
      <w:pict w14:anchorId="4ADAB8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85" o:spid="_x0000_s2073" type="#_x0000_t136" style="position:absolute;left:0;text-align:left;margin-left:0;margin-top:0;width:221.25pt;height:74.25pt;rotation:315;z-index:-251658233;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0B349" w14:textId="41B7F121" w:rsidR="009273E4" w:rsidRPr="000F2C38" w:rsidRDefault="00803412" w:rsidP="003D1F60">
    <w:pPr>
      <w:pStyle w:val="Footer"/>
      <w:pBdr>
        <w:bottom w:val="single" w:sz="4" w:space="1" w:color="117DC7"/>
      </w:pBdr>
    </w:pPr>
    <w:fldSimple w:instr=" DOCPROPERTY  &quot;Document title&quot;  \* MERGEFORMAT ">
      <w:r w:rsidR="004473CC" w:rsidRPr="004473CC">
        <w:rPr>
          <w:color w:val="117DC7"/>
        </w:rPr>
        <w:t>ASIC Market Integrity Rules (Capital) 2021</w:t>
      </w:r>
    </w:fldSimple>
    <w:r w:rsidR="009273E4">
      <w:rPr>
        <w:color w:val="117DC7"/>
      </w:rPr>
      <w:tab/>
      <w:t>Chapter 8: Capital requirements</w:t>
    </w:r>
  </w:p>
  <w:p w14:paraId="1D65C224" w14:textId="77777777" w:rsidR="009273E4" w:rsidRDefault="009273E4">
    <w:pPr>
      <w:spacing w:after="0" w:line="0" w:lineRule="atLeast"/>
      <w:rPr>
        <w:sz w:val="0"/>
        <w:szCs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5892A" w14:textId="0685B9C4" w:rsidR="009273E4" w:rsidRDefault="00E27A80">
    <w:pPr>
      <w:pStyle w:val="Header"/>
    </w:pPr>
    <w:r>
      <w:rPr>
        <w:noProof/>
      </w:rPr>
      <w:pict w14:anchorId="04F6A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84" o:spid="_x0000_s2072" type="#_x0000_t136" style="position:absolute;left:0;text-align:left;margin-left:0;margin-top:0;width:221.25pt;height:74.25pt;rotation:315;z-index:-251658234;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06DC577"/>
    <w:multiLevelType w:val="hybridMultilevel"/>
    <w:tmpl w:val="FC9CD4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90F0B068"/>
    <w:lvl w:ilvl="0">
      <w:numFmt w:val="bullet"/>
      <w:lvlText w:val="*"/>
      <w:lvlJc w:val="left"/>
    </w:lvl>
  </w:abstractNum>
  <w:abstractNum w:abstractNumId="2" w15:restartNumberingAfterBreak="0">
    <w:nsid w:val="01AF3E32"/>
    <w:multiLevelType w:val="hybridMultilevel"/>
    <w:tmpl w:val="F8EE8AB8"/>
    <w:lvl w:ilvl="0" w:tplc="0846D5FE">
      <w:start w:val="1"/>
      <w:numFmt w:val="decimal"/>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 w15:restartNumberingAfterBreak="0">
    <w:nsid w:val="01D024C4"/>
    <w:multiLevelType w:val="hybridMultilevel"/>
    <w:tmpl w:val="4F3E84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D01A58"/>
    <w:multiLevelType w:val="hybridMultilevel"/>
    <w:tmpl w:val="D6482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E01290"/>
    <w:multiLevelType w:val="multilevel"/>
    <w:tmpl w:val="28465DB2"/>
    <w:lvl w:ilvl="0">
      <w:start w:val="9"/>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sz w:val="18"/>
        <w:szCs w:val="18"/>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8074E1"/>
    <w:multiLevelType w:val="multilevel"/>
    <w:tmpl w:val="4038348A"/>
    <w:lvl w:ilvl="0">
      <w:start w:val="26"/>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hint="default"/>
        <w:b w:val="0"/>
        <w:bCs w:val="0"/>
        <w:i w:val="0"/>
        <w:iCs w:val="0"/>
        <w:caps w:val="0"/>
        <w:strike w:val="0"/>
        <w:dstrike w:val="0"/>
        <w:vanish w:val="0"/>
        <w:color w:val="auto"/>
        <w:spacing w:val="0"/>
        <w:kern w:val="0"/>
        <w:position w:val="0"/>
        <w:sz w:val="18"/>
        <w:szCs w:val="18"/>
        <w:u w:val="none"/>
        <w:vertAlign w:val="baseline"/>
        <w:em w:val="none"/>
      </w:rPr>
    </w:lvl>
    <w:lvl w:ilvl="3">
      <w:start w:val="1"/>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sz w:val="16"/>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9BD45B1"/>
    <w:multiLevelType w:val="multilevel"/>
    <w:tmpl w:val="77D25316"/>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0" w15:restartNumberingAfterBreak="0">
    <w:nsid w:val="0F944638"/>
    <w:multiLevelType w:val="multilevel"/>
    <w:tmpl w:val="0D388C1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sz w:val="18"/>
        <w:szCs w:val="18"/>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E668FE"/>
    <w:multiLevelType w:val="hybridMultilevel"/>
    <w:tmpl w:val="69B490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DA71F9"/>
    <w:multiLevelType w:val="hybridMultilevel"/>
    <w:tmpl w:val="0AB04BB8"/>
    <w:lvl w:ilvl="0" w:tplc="C43A6570">
      <w:numFmt w:val="bullet"/>
      <w:lvlText w:val=""/>
      <w:lvlJc w:val="left"/>
      <w:pPr>
        <w:ind w:left="720" w:hanging="360"/>
      </w:pPr>
      <w:rPr>
        <w:rFonts w:ascii="Symbol" w:eastAsiaTheme="minorHAnsi" w:hAnsi="Symbol" w:cstheme="minorBidi"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A22ECA"/>
    <w:multiLevelType w:val="hybridMultilevel"/>
    <w:tmpl w:val="7FB00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0C6808"/>
    <w:multiLevelType w:val="multilevel"/>
    <w:tmpl w:val="D660BD6E"/>
    <w:lvl w:ilvl="0">
      <w:start w:val="1"/>
      <w:numFmt w:val="decimal"/>
      <w:pStyle w:val="BodyText"/>
      <w:lvlText w:val="RG 277.%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5" w15:restartNumberingAfterBreak="0">
    <w:nsid w:val="1FAD65DC"/>
    <w:multiLevelType w:val="multilevel"/>
    <w:tmpl w:val="BF08110E"/>
    <w:lvl w:ilvl="0">
      <w:start w:val="875"/>
      <w:numFmt w:val="decimal"/>
      <w:suff w:val="nothing"/>
      <w:lvlText w:val=""/>
      <w:lvlJc w:val="left"/>
      <w:pPr>
        <w:ind w:left="851" w:firstLine="0"/>
      </w:pPr>
    </w:lvl>
    <w:lvl w:ilvl="1">
      <w:start w:val="3"/>
      <w:numFmt w:val="decimal"/>
      <w:lvlText w:val="(%2)"/>
      <w:lvlJc w:val="left"/>
      <w:pPr>
        <w:tabs>
          <w:tab w:val="num" w:pos="5812"/>
        </w:tabs>
        <w:ind w:left="5812" w:hanging="425"/>
      </w:pPr>
      <w:rPr>
        <w:sz w:val="18"/>
      </w:rPr>
    </w:lvl>
    <w:lvl w:ilvl="2">
      <w:start w:val="1"/>
      <w:numFmt w:val="lowerRoman"/>
      <w:lvlText w:val="(%3)"/>
      <w:lvlJc w:val="left"/>
      <w:pPr>
        <w:tabs>
          <w:tab w:val="num" w:pos="1701"/>
        </w:tabs>
        <w:ind w:left="1701" w:hanging="425"/>
      </w:pPr>
      <w:rPr>
        <w:sz w:val="18"/>
      </w:rPr>
    </w:lvl>
    <w:lvl w:ilvl="3">
      <w:start w:val="1"/>
      <w:numFmt w:val="upperLetter"/>
      <w:lvlText w:val="(%4)"/>
      <w:lvlJc w:val="left"/>
      <w:pPr>
        <w:tabs>
          <w:tab w:val="num" w:pos="2126"/>
        </w:tabs>
        <w:ind w:left="2126" w:hanging="425"/>
      </w:pPr>
      <w:rPr>
        <w:sz w:val="16"/>
        <w:szCs w:val="16"/>
      </w:rPr>
    </w:lvl>
    <w:lvl w:ilvl="4">
      <w:start w:val="1"/>
      <w:numFmt w:val="lowerLetter"/>
      <w:lvlText w:val="(%5)"/>
      <w:lvlJc w:val="left"/>
      <w:pPr>
        <w:ind w:left="1800" w:hanging="360"/>
      </w:pPr>
    </w:lvl>
    <w:lvl w:ilvl="5">
      <w:start w:val="1"/>
      <w:numFmt w:val="lowerRoman"/>
      <w:lvlText w:val="(%6)"/>
      <w:lvlJc w:val="left"/>
      <w:pPr>
        <w:ind w:left="2160" w:hanging="360"/>
      </w:pPr>
      <w:rPr>
        <w:sz w:val="18"/>
        <w:szCs w:val="18"/>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2845665"/>
    <w:multiLevelType w:val="multilevel"/>
    <w:tmpl w:val="0700DBD0"/>
    <w:lvl w:ilvl="0">
      <w:start w:val="22"/>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hint="default"/>
        <w:b w:val="0"/>
        <w:bCs w:val="0"/>
        <w:i w:val="0"/>
        <w:iCs w:val="0"/>
        <w:caps w:val="0"/>
        <w:strike w:val="0"/>
        <w:dstrike w:val="0"/>
        <w:vanish w:val="0"/>
        <w:color w:val="auto"/>
        <w:spacing w:val="0"/>
        <w:kern w:val="0"/>
        <w:position w:val="0"/>
        <w:sz w:val="18"/>
        <w:szCs w:val="18"/>
        <w:u w:val="none"/>
        <w:vertAlign w:val="baseline"/>
        <w:em w:val="none"/>
      </w:rPr>
    </w:lvl>
    <w:lvl w:ilvl="3">
      <w:start w:val="1"/>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sz w:val="16"/>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308359F"/>
    <w:multiLevelType w:val="hybridMultilevel"/>
    <w:tmpl w:val="8A6E3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360BD3"/>
    <w:multiLevelType w:val="hybridMultilevel"/>
    <w:tmpl w:val="CD0CCD8C"/>
    <w:lvl w:ilvl="0" w:tplc="1FE607D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43B1A7D"/>
    <w:multiLevelType w:val="multilevel"/>
    <w:tmpl w:val="2BF2360A"/>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0" w15:restartNumberingAfterBreak="0">
    <w:nsid w:val="246740EF"/>
    <w:multiLevelType w:val="multilevel"/>
    <w:tmpl w:val="A09894BC"/>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sz w:val="16"/>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70405A7"/>
    <w:multiLevelType w:val="hybridMultilevel"/>
    <w:tmpl w:val="DCCC280C"/>
    <w:lvl w:ilvl="0" w:tplc="94F0453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AEA7E9B"/>
    <w:multiLevelType w:val="hybridMultilevel"/>
    <w:tmpl w:val="FFAAA804"/>
    <w:lvl w:ilvl="0" w:tplc="83EC6F16">
      <w:start w:val="1"/>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2B0B767D"/>
    <w:multiLevelType w:val="singleLevel"/>
    <w:tmpl w:val="C088BB26"/>
    <w:lvl w:ilvl="0">
      <w:start w:val="1"/>
      <w:numFmt w:val="decimal"/>
      <w:lvlText w:val="%1."/>
      <w:legacy w:legacy="1" w:legacySpace="0" w:legacyIndent="283"/>
      <w:lvlJc w:val="left"/>
      <w:pPr>
        <w:ind w:left="283" w:hanging="283"/>
      </w:pPr>
    </w:lvl>
  </w:abstractNum>
  <w:abstractNum w:abstractNumId="24" w15:restartNumberingAfterBreak="0">
    <w:nsid w:val="2C7D73DE"/>
    <w:multiLevelType w:val="hybridMultilevel"/>
    <w:tmpl w:val="46EAF5A6"/>
    <w:lvl w:ilvl="0" w:tplc="0888C150">
      <w:start w:val="1"/>
      <w:numFmt w:val="bullet"/>
      <w:pStyle w:val="tablebullet"/>
      <w:lvlText w:val=""/>
      <w:lvlJc w:val="left"/>
      <w:pPr>
        <w:tabs>
          <w:tab w:val="num" w:pos="170"/>
        </w:tabs>
        <w:ind w:left="170" w:hanging="170"/>
      </w:pPr>
      <w:rPr>
        <w:rFonts w:ascii="Wingdings" w:hAnsi="Wingdings" w:hint="default"/>
        <w:color w:val="auto"/>
      </w:rPr>
    </w:lvl>
    <w:lvl w:ilvl="1" w:tplc="D5DC05AE" w:tentative="1">
      <w:start w:val="1"/>
      <w:numFmt w:val="bullet"/>
      <w:lvlText w:val="o"/>
      <w:lvlJc w:val="left"/>
      <w:pPr>
        <w:tabs>
          <w:tab w:val="num" w:pos="1440"/>
        </w:tabs>
        <w:ind w:left="1440" w:hanging="360"/>
      </w:pPr>
      <w:rPr>
        <w:rFonts w:ascii="Courier New" w:hAnsi="Courier New" w:cs="Courier New" w:hint="default"/>
      </w:rPr>
    </w:lvl>
    <w:lvl w:ilvl="2" w:tplc="492A4AD0" w:tentative="1">
      <w:start w:val="1"/>
      <w:numFmt w:val="bullet"/>
      <w:lvlText w:val=""/>
      <w:lvlJc w:val="left"/>
      <w:pPr>
        <w:tabs>
          <w:tab w:val="num" w:pos="2160"/>
        </w:tabs>
        <w:ind w:left="2160" w:hanging="360"/>
      </w:pPr>
      <w:rPr>
        <w:rFonts w:ascii="Wingdings" w:hAnsi="Wingdings" w:hint="default"/>
      </w:rPr>
    </w:lvl>
    <w:lvl w:ilvl="3" w:tplc="6C402F3A" w:tentative="1">
      <w:start w:val="1"/>
      <w:numFmt w:val="bullet"/>
      <w:lvlText w:val=""/>
      <w:lvlJc w:val="left"/>
      <w:pPr>
        <w:tabs>
          <w:tab w:val="num" w:pos="2880"/>
        </w:tabs>
        <w:ind w:left="2880" w:hanging="360"/>
      </w:pPr>
      <w:rPr>
        <w:rFonts w:ascii="Symbol" w:hAnsi="Symbol" w:hint="default"/>
      </w:rPr>
    </w:lvl>
    <w:lvl w:ilvl="4" w:tplc="3AA0584A" w:tentative="1">
      <w:start w:val="1"/>
      <w:numFmt w:val="bullet"/>
      <w:lvlText w:val="o"/>
      <w:lvlJc w:val="left"/>
      <w:pPr>
        <w:tabs>
          <w:tab w:val="num" w:pos="3600"/>
        </w:tabs>
        <w:ind w:left="3600" w:hanging="360"/>
      </w:pPr>
      <w:rPr>
        <w:rFonts w:ascii="Courier New" w:hAnsi="Courier New" w:cs="Courier New" w:hint="default"/>
      </w:rPr>
    </w:lvl>
    <w:lvl w:ilvl="5" w:tplc="94029D14" w:tentative="1">
      <w:start w:val="1"/>
      <w:numFmt w:val="bullet"/>
      <w:lvlText w:val=""/>
      <w:lvlJc w:val="left"/>
      <w:pPr>
        <w:tabs>
          <w:tab w:val="num" w:pos="4320"/>
        </w:tabs>
        <w:ind w:left="4320" w:hanging="360"/>
      </w:pPr>
      <w:rPr>
        <w:rFonts w:ascii="Wingdings" w:hAnsi="Wingdings" w:hint="default"/>
      </w:rPr>
    </w:lvl>
    <w:lvl w:ilvl="6" w:tplc="A64EAA4C" w:tentative="1">
      <w:start w:val="1"/>
      <w:numFmt w:val="bullet"/>
      <w:lvlText w:val=""/>
      <w:lvlJc w:val="left"/>
      <w:pPr>
        <w:tabs>
          <w:tab w:val="num" w:pos="5040"/>
        </w:tabs>
        <w:ind w:left="5040" w:hanging="360"/>
      </w:pPr>
      <w:rPr>
        <w:rFonts w:ascii="Symbol" w:hAnsi="Symbol" w:hint="default"/>
      </w:rPr>
    </w:lvl>
    <w:lvl w:ilvl="7" w:tplc="B75E2234" w:tentative="1">
      <w:start w:val="1"/>
      <w:numFmt w:val="bullet"/>
      <w:lvlText w:val="o"/>
      <w:lvlJc w:val="left"/>
      <w:pPr>
        <w:tabs>
          <w:tab w:val="num" w:pos="5760"/>
        </w:tabs>
        <w:ind w:left="5760" w:hanging="360"/>
      </w:pPr>
      <w:rPr>
        <w:rFonts w:ascii="Courier New" w:hAnsi="Courier New" w:cs="Courier New" w:hint="default"/>
      </w:rPr>
    </w:lvl>
    <w:lvl w:ilvl="8" w:tplc="997EF36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F85227"/>
    <w:multiLevelType w:val="hybridMultilevel"/>
    <w:tmpl w:val="F8B6069A"/>
    <w:lvl w:ilvl="0" w:tplc="5CA6BCDC">
      <w:numFmt w:val="bullet"/>
      <w:lvlText w:val=""/>
      <w:lvlJc w:val="left"/>
      <w:pPr>
        <w:ind w:left="720" w:hanging="360"/>
      </w:pPr>
      <w:rPr>
        <w:rFonts w:ascii="Wingdings" w:eastAsia="Calibri" w:hAnsi="Wingdings" w:cs="Times New Roman" w:hint="default"/>
        <w:color w:val="FFFF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4A149A"/>
    <w:multiLevelType w:val="multilevel"/>
    <w:tmpl w:val="2394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7A29AE"/>
    <w:multiLevelType w:val="hybridMultilevel"/>
    <w:tmpl w:val="C7489226"/>
    <w:lvl w:ilvl="0" w:tplc="E65A8B12">
      <w:start w:val="1"/>
      <w:numFmt w:val="decimal"/>
      <w:lvlText w:val="(%1)"/>
      <w:lvlJc w:val="left"/>
      <w:pPr>
        <w:ind w:left="1211" w:hanging="360"/>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15:restartNumberingAfterBreak="0">
    <w:nsid w:val="2F947306"/>
    <w:multiLevelType w:val="hybridMultilevel"/>
    <w:tmpl w:val="51C8C09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11D7228"/>
    <w:multiLevelType w:val="hybridMultilevel"/>
    <w:tmpl w:val="59C8D05E"/>
    <w:lvl w:ilvl="0" w:tplc="94F04538">
      <w:numFmt w:val="bullet"/>
      <w:lvlText w:val=""/>
      <w:lvlJc w:val="left"/>
      <w:pPr>
        <w:ind w:left="764" w:hanging="360"/>
      </w:pPr>
      <w:rPr>
        <w:rFonts w:ascii="Symbol" w:eastAsiaTheme="minorHAnsi" w:hAnsi="Symbol" w:cstheme="minorBidi"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30" w15:restartNumberingAfterBreak="0">
    <w:nsid w:val="33643D8B"/>
    <w:multiLevelType w:val="hybridMultilevel"/>
    <w:tmpl w:val="7482F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3772002"/>
    <w:multiLevelType w:val="hybridMultilevel"/>
    <w:tmpl w:val="143ED8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3E104DE"/>
    <w:multiLevelType w:val="hybridMultilevel"/>
    <w:tmpl w:val="576C1E3C"/>
    <w:lvl w:ilvl="0" w:tplc="D67E226E">
      <w:numFmt w:val="bullet"/>
      <w:lvlText w:val=""/>
      <w:lvlJc w:val="left"/>
      <w:pPr>
        <w:ind w:left="720" w:hanging="360"/>
      </w:pPr>
      <w:rPr>
        <w:rFonts w:ascii="Wingdings" w:eastAsia="Calibri" w:hAnsi="Wingdings" w:cstheme="minorBidi" w:hint="default"/>
        <w:color w:val="FFFF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47B14E8"/>
    <w:multiLevelType w:val="hybridMultilevel"/>
    <w:tmpl w:val="723CCC0C"/>
    <w:lvl w:ilvl="0" w:tplc="0409000F">
      <w:start w:val="1"/>
      <w:numFmt w:val="decimal"/>
      <w:lvlText w:val="%1."/>
      <w:lvlJc w:val="left"/>
      <w:pPr>
        <w:tabs>
          <w:tab w:val="num" w:pos="1448"/>
        </w:tabs>
        <w:ind w:left="1448" w:hanging="360"/>
      </w:pPr>
    </w:lvl>
    <w:lvl w:ilvl="1" w:tplc="04090019">
      <w:start w:val="1"/>
      <w:numFmt w:val="lowerLetter"/>
      <w:lvlText w:val="%2."/>
      <w:lvlJc w:val="left"/>
      <w:pPr>
        <w:tabs>
          <w:tab w:val="num" w:pos="2168"/>
        </w:tabs>
        <w:ind w:left="2168" w:hanging="360"/>
      </w:pPr>
    </w:lvl>
    <w:lvl w:ilvl="2" w:tplc="0409001B">
      <w:start w:val="1"/>
      <w:numFmt w:val="lowerRoman"/>
      <w:lvlText w:val="%3."/>
      <w:lvlJc w:val="right"/>
      <w:pPr>
        <w:tabs>
          <w:tab w:val="num" w:pos="2888"/>
        </w:tabs>
        <w:ind w:left="2888" w:hanging="180"/>
      </w:pPr>
    </w:lvl>
    <w:lvl w:ilvl="3" w:tplc="0409000F">
      <w:start w:val="1"/>
      <w:numFmt w:val="decimal"/>
      <w:lvlText w:val="%4."/>
      <w:lvlJc w:val="left"/>
      <w:pPr>
        <w:tabs>
          <w:tab w:val="num" w:pos="3608"/>
        </w:tabs>
        <w:ind w:left="3608" w:hanging="360"/>
      </w:pPr>
    </w:lvl>
    <w:lvl w:ilvl="4" w:tplc="04090019">
      <w:start w:val="1"/>
      <w:numFmt w:val="lowerLetter"/>
      <w:lvlText w:val="%5."/>
      <w:lvlJc w:val="left"/>
      <w:pPr>
        <w:tabs>
          <w:tab w:val="num" w:pos="4328"/>
        </w:tabs>
        <w:ind w:left="4328" w:hanging="360"/>
      </w:pPr>
    </w:lvl>
    <w:lvl w:ilvl="5" w:tplc="0409001B">
      <w:start w:val="1"/>
      <w:numFmt w:val="lowerRoman"/>
      <w:lvlText w:val="%6."/>
      <w:lvlJc w:val="right"/>
      <w:pPr>
        <w:tabs>
          <w:tab w:val="num" w:pos="5048"/>
        </w:tabs>
        <w:ind w:left="5048" w:hanging="180"/>
      </w:pPr>
    </w:lvl>
    <w:lvl w:ilvl="6" w:tplc="0409000F">
      <w:start w:val="1"/>
      <w:numFmt w:val="decimal"/>
      <w:lvlText w:val="%7."/>
      <w:lvlJc w:val="left"/>
      <w:pPr>
        <w:tabs>
          <w:tab w:val="num" w:pos="5768"/>
        </w:tabs>
        <w:ind w:left="5768" w:hanging="360"/>
      </w:pPr>
    </w:lvl>
    <w:lvl w:ilvl="7" w:tplc="04090019">
      <w:start w:val="1"/>
      <w:numFmt w:val="lowerLetter"/>
      <w:lvlText w:val="%8."/>
      <w:lvlJc w:val="left"/>
      <w:pPr>
        <w:tabs>
          <w:tab w:val="num" w:pos="6488"/>
        </w:tabs>
        <w:ind w:left="6488" w:hanging="360"/>
      </w:pPr>
    </w:lvl>
    <w:lvl w:ilvl="8" w:tplc="0409001B">
      <w:start w:val="1"/>
      <w:numFmt w:val="lowerRoman"/>
      <w:lvlText w:val="%9."/>
      <w:lvlJc w:val="right"/>
      <w:pPr>
        <w:tabs>
          <w:tab w:val="num" w:pos="7208"/>
        </w:tabs>
        <w:ind w:left="7208" w:hanging="180"/>
      </w:pPr>
    </w:lvl>
  </w:abstractNum>
  <w:abstractNum w:abstractNumId="34" w15:restartNumberingAfterBreak="0">
    <w:nsid w:val="34CA74B2"/>
    <w:multiLevelType w:val="multilevel"/>
    <w:tmpl w:val="94F2AE08"/>
    <w:lvl w:ilvl="0">
      <w:start w:val="1"/>
      <w:numFmt w:val="decimal"/>
      <w:lvlText w:val="%1"/>
      <w:lvlJc w:val="right"/>
      <w:pPr>
        <w:tabs>
          <w:tab w:val="num" w:pos="2268"/>
        </w:tabs>
        <w:ind w:left="2268" w:hanging="283"/>
      </w:pPr>
      <w:rPr>
        <w:rFonts w:hint="default"/>
        <w:b/>
        <w:i w:val="0"/>
        <w:color w:val="auto"/>
        <w:sz w:val="36"/>
        <w:szCs w:val="36"/>
      </w:rPr>
    </w:lvl>
    <w:lvl w:ilvl="1">
      <w:start w:val="1"/>
      <w:numFmt w:val="decimal"/>
      <w:lvlText w:val="%1.%2"/>
      <w:lvlJc w:val="right"/>
      <w:pPr>
        <w:tabs>
          <w:tab w:val="num" w:pos="2268"/>
        </w:tabs>
        <w:ind w:left="2268" w:hanging="283"/>
      </w:pPr>
      <w:rPr>
        <w:rFonts w:hint="default"/>
        <w:b w:val="0"/>
        <w:i w:val="0"/>
        <w:color w:val="auto"/>
        <w:sz w:val="28"/>
        <w:szCs w:val="28"/>
      </w:rPr>
    </w:lvl>
    <w:lvl w:ilvl="2">
      <w:start w:val="1"/>
      <w:numFmt w:val="decimal"/>
      <w:lvlText w:val="%1.%2.%3"/>
      <w:lvlJc w:val="right"/>
      <w:pPr>
        <w:tabs>
          <w:tab w:val="num" w:pos="2268"/>
        </w:tabs>
        <w:ind w:left="2268" w:hanging="283"/>
      </w:pPr>
      <w:rPr>
        <w:rFonts w:cs="Times New Roman"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vertAlign w:val="baseline"/>
        <w:em w:val="no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5" w15:restartNumberingAfterBreak="0">
    <w:nsid w:val="379454BA"/>
    <w:multiLevelType w:val="multilevel"/>
    <w:tmpl w:val="42A0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BB4EB8"/>
    <w:multiLevelType w:val="hybridMultilevel"/>
    <w:tmpl w:val="526C6AA2"/>
    <w:lvl w:ilvl="0" w:tplc="5E3C8352">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A9F1BC0"/>
    <w:multiLevelType w:val="multilevel"/>
    <w:tmpl w:val="20F49D28"/>
    <w:lvl w:ilvl="0">
      <w:start w:val="875"/>
      <w:numFmt w:val="decimal"/>
      <w:suff w:val="nothing"/>
      <w:lvlText w:val=""/>
      <w:lvlJc w:val="left"/>
      <w:pPr>
        <w:ind w:left="851" w:firstLine="0"/>
      </w:pPr>
    </w:lvl>
    <w:lvl w:ilvl="1">
      <w:start w:val="3"/>
      <w:numFmt w:val="decimal"/>
      <w:lvlText w:val="(%2)"/>
      <w:lvlJc w:val="left"/>
      <w:pPr>
        <w:tabs>
          <w:tab w:val="num" w:pos="5812"/>
        </w:tabs>
        <w:ind w:left="5812" w:hanging="425"/>
      </w:pPr>
      <w:rPr>
        <w:sz w:val="18"/>
      </w:rPr>
    </w:lvl>
    <w:lvl w:ilvl="2">
      <w:start w:val="1"/>
      <w:numFmt w:val="lowerRoman"/>
      <w:lvlText w:val="(%3)"/>
      <w:lvlJc w:val="left"/>
      <w:pPr>
        <w:tabs>
          <w:tab w:val="num" w:pos="1701"/>
        </w:tabs>
        <w:ind w:left="1701" w:hanging="425"/>
      </w:pPr>
      <w:rPr>
        <w:sz w:val="18"/>
      </w:rPr>
    </w:lvl>
    <w:lvl w:ilvl="3">
      <w:start w:val="1"/>
      <w:numFmt w:val="upperLetter"/>
      <w:lvlText w:val="(%4)"/>
      <w:lvlJc w:val="left"/>
      <w:pPr>
        <w:tabs>
          <w:tab w:val="num" w:pos="2126"/>
        </w:tabs>
        <w:ind w:left="2126" w:hanging="425"/>
      </w:pPr>
      <w:rPr>
        <w:sz w:val="16"/>
        <w:szCs w:val="16"/>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B270E71"/>
    <w:multiLevelType w:val="multilevel"/>
    <w:tmpl w:val="A09894BC"/>
    <w:numStyleLink w:val="Style1"/>
  </w:abstractNum>
  <w:abstractNum w:abstractNumId="39" w15:restartNumberingAfterBreak="0">
    <w:nsid w:val="3C041993"/>
    <w:multiLevelType w:val="multilevel"/>
    <w:tmpl w:val="4680F51A"/>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40" w15:restartNumberingAfterBreak="0">
    <w:nsid w:val="3D0C3585"/>
    <w:multiLevelType w:val="multilevel"/>
    <w:tmpl w:val="FA4834EA"/>
    <w:lvl w:ilvl="0">
      <w:start w:val="1"/>
      <w:numFmt w:val="none"/>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F4744DE"/>
    <w:multiLevelType w:val="multilevel"/>
    <w:tmpl w:val="6610EE44"/>
    <w:lvl w:ilvl="0">
      <w:start w:val="1"/>
      <w:numFmt w:val="none"/>
      <w:lvlText w:val="(a)"/>
      <w:lvlJc w:val="left"/>
      <w:pPr>
        <w:ind w:left="851" w:hanging="426"/>
      </w:pPr>
      <w:rPr>
        <w:rFonts w:hint="default"/>
      </w:rPr>
    </w:lvl>
    <w:lvl w:ilvl="1">
      <w:start w:val="1"/>
      <w:numFmt w:val="lowerLetter"/>
      <w:lvlText w:val="%2."/>
      <w:lvlJc w:val="left"/>
      <w:pPr>
        <w:ind w:left="1505" w:hanging="360"/>
      </w:pPr>
      <w:rPr>
        <w:rFonts w:hint="default"/>
      </w:rPr>
    </w:lvl>
    <w:lvl w:ilvl="2">
      <w:start w:val="1"/>
      <w:numFmt w:val="lowerRoman"/>
      <w:lvlText w:val="%3."/>
      <w:lvlJc w:val="right"/>
      <w:pPr>
        <w:ind w:left="2225" w:hanging="180"/>
      </w:pPr>
      <w:rPr>
        <w:rFonts w:hint="default"/>
      </w:rPr>
    </w:lvl>
    <w:lvl w:ilvl="3">
      <w:start w:val="1"/>
      <w:numFmt w:val="decimal"/>
      <w:lvlText w:val="%4."/>
      <w:lvlJc w:val="left"/>
      <w:pPr>
        <w:ind w:left="2945" w:hanging="360"/>
      </w:pPr>
      <w:rPr>
        <w:rFonts w:hint="default"/>
      </w:rPr>
    </w:lvl>
    <w:lvl w:ilvl="4">
      <w:start w:val="1"/>
      <w:numFmt w:val="lowerLetter"/>
      <w:lvlText w:val="%5."/>
      <w:lvlJc w:val="left"/>
      <w:pPr>
        <w:ind w:left="3665" w:hanging="360"/>
      </w:pPr>
      <w:rPr>
        <w:rFonts w:hint="default"/>
      </w:rPr>
    </w:lvl>
    <w:lvl w:ilvl="5">
      <w:start w:val="1"/>
      <w:numFmt w:val="lowerRoman"/>
      <w:lvlText w:val="%6."/>
      <w:lvlJc w:val="right"/>
      <w:pPr>
        <w:ind w:left="4385" w:hanging="180"/>
      </w:pPr>
      <w:rPr>
        <w:rFonts w:hint="default"/>
      </w:rPr>
    </w:lvl>
    <w:lvl w:ilvl="6">
      <w:start w:val="1"/>
      <w:numFmt w:val="decimal"/>
      <w:lvlText w:val="%7."/>
      <w:lvlJc w:val="left"/>
      <w:pPr>
        <w:ind w:left="5105" w:hanging="360"/>
      </w:pPr>
      <w:rPr>
        <w:rFonts w:hint="default"/>
      </w:rPr>
    </w:lvl>
    <w:lvl w:ilvl="7">
      <w:start w:val="1"/>
      <w:numFmt w:val="lowerLetter"/>
      <w:lvlText w:val="%8."/>
      <w:lvlJc w:val="left"/>
      <w:pPr>
        <w:ind w:left="5825" w:hanging="360"/>
      </w:pPr>
      <w:rPr>
        <w:rFonts w:hint="default"/>
      </w:rPr>
    </w:lvl>
    <w:lvl w:ilvl="8">
      <w:start w:val="1"/>
      <w:numFmt w:val="lowerRoman"/>
      <w:lvlText w:val="%9."/>
      <w:lvlJc w:val="right"/>
      <w:pPr>
        <w:ind w:left="6545" w:hanging="180"/>
      </w:pPr>
      <w:rPr>
        <w:rFonts w:hint="default"/>
      </w:rPr>
    </w:lvl>
  </w:abstractNum>
  <w:abstractNum w:abstractNumId="42" w15:restartNumberingAfterBreak="0">
    <w:nsid w:val="41134252"/>
    <w:multiLevelType w:val="multilevel"/>
    <w:tmpl w:val="5074EDEE"/>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A27E1C"/>
    <w:multiLevelType w:val="multilevel"/>
    <w:tmpl w:val="A09894BC"/>
    <w:numStyleLink w:val="Style1"/>
  </w:abstractNum>
  <w:abstractNum w:abstractNumId="44" w15:restartNumberingAfterBreak="0">
    <w:nsid w:val="45516E63"/>
    <w:multiLevelType w:val="multilevel"/>
    <w:tmpl w:val="1578FDCA"/>
    <w:lvl w:ilvl="0">
      <w:start w:val="1"/>
      <w:numFmt w:val="none"/>
      <w:suff w:val="nothing"/>
      <w:lvlText w:val=""/>
      <w:lvlJc w:val="left"/>
      <w:pPr>
        <w:ind w:left="425" w:firstLine="0"/>
      </w:pPr>
      <w:rPr>
        <w:rFonts w:hint="default"/>
        <w:b w:val="0"/>
        <w:i w:val="0"/>
        <w:color w:val="auto"/>
        <w:sz w:val="18"/>
        <w:szCs w:val="18"/>
      </w:rPr>
    </w:lvl>
    <w:lvl w:ilvl="1">
      <w:start w:val="1"/>
      <w:numFmt w:val="lowerLetter"/>
      <w:lvlText w:val="(%2)"/>
      <w:lvlJc w:val="left"/>
      <w:pPr>
        <w:tabs>
          <w:tab w:val="num" w:pos="850"/>
        </w:tabs>
        <w:ind w:left="850" w:hanging="425"/>
      </w:pPr>
      <w:rPr>
        <w:rFonts w:hint="default"/>
        <w:b w:val="0"/>
        <w:i w:val="0"/>
        <w:color w:val="auto"/>
        <w:sz w:val="18"/>
        <w:szCs w:val="18"/>
      </w:rPr>
    </w:lvl>
    <w:lvl w:ilvl="2">
      <w:start w:val="1"/>
      <w:numFmt w:val="lowerRoman"/>
      <w:lvlText w:val="(%3)"/>
      <w:lvlJc w:val="left"/>
      <w:pPr>
        <w:tabs>
          <w:tab w:val="num" w:pos="1275"/>
        </w:tabs>
        <w:ind w:left="1275"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1700"/>
        </w:tabs>
        <w:ind w:left="1700" w:hanging="425"/>
      </w:pPr>
      <w:rPr>
        <w:rFonts w:hint="default"/>
        <w:sz w:val="16"/>
        <w:szCs w:val="16"/>
      </w:rPr>
    </w:lvl>
    <w:lvl w:ilvl="4">
      <w:start w:val="1"/>
      <w:numFmt w:val="none"/>
      <w:lvlText w:val=""/>
      <w:lvlJc w:val="left"/>
      <w:pPr>
        <w:tabs>
          <w:tab w:val="num" w:pos="3458"/>
        </w:tabs>
        <w:ind w:left="3458" w:hanging="1049"/>
      </w:pPr>
      <w:rPr>
        <w:rFonts w:hint="default"/>
        <w:sz w:val="16"/>
        <w:szCs w:val="16"/>
      </w:rPr>
    </w:lvl>
    <w:lvl w:ilvl="5">
      <w:start w:val="1"/>
      <w:numFmt w:val="none"/>
      <w:lvlText w:val=""/>
      <w:lvlJc w:val="left"/>
      <w:pPr>
        <w:tabs>
          <w:tab w:val="num" w:pos="3534"/>
        </w:tabs>
        <w:ind w:left="2310" w:hanging="936"/>
      </w:pPr>
      <w:rPr>
        <w:rFonts w:hint="default"/>
      </w:rPr>
    </w:lvl>
    <w:lvl w:ilvl="6">
      <w:start w:val="1"/>
      <w:numFmt w:val="none"/>
      <w:lvlText w:val=""/>
      <w:lvlJc w:val="left"/>
      <w:pPr>
        <w:tabs>
          <w:tab w:val="num" w:pos="3894"/>
        </w:tabs>
        <w:ind w:left="2814" w:hanging="1080"/>
      </w:pPr>
      <w:rPr>
        <w:rFonts w:hint="default"/>
      </w:rPr>
    </w:lvl>
    <w:lvl w:ilvl="7">
      <w:start w:val="1"/>
      <w:numFmt w:val="none"/>
      <w:lvlText w:val=""/>
      <w:lvlJc w:val="left"/>
      <w:pPr>
        <w:tabs>
          <w:tab w:val="num" w:pos="4614"/>
        </w:tabs>
        <w:ind w:left="3318" w:hanging="1224"/>
      </w:pPr>
      <w:rPr>
        <w:rFonts w:hint="default"/>
      </w:rPr>
    </w:lvl>
    <w:lvl w:ilvl="8">
      <w:start w:val="1"/>
      <w:numFmt w:val="none"/>
      <w:lvlText w:val=""/>
      <w:lvlJc w:val="left"/>
      <w:pPr>
        <w:tabs>
          <w:tab w:val="num" w:pos="5334"/>
        </w:tabs>
        <w:ind w:left="3894" w:hanging="1440"/>
      </w:pPr>
      <w:rPr>
        <w:rFonts w:hint="default"/>
      </w:rPr>
    </w:lvl>
  </w:abstractNum>
  <w:abstractNum w:abstractNumId="45" w15:restartNumberingAfterBreak="0">
    <w:nsid w:val="45FB6648"/>
    <w:multiLevelType w:val="hybridMultilevel"/>
    <w:tmpl w:val="50C63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462369F2"/>
    <w:multiLevelType w:val="multilevel"/>
    <w:tmpl w:val="A09894BC"/>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sz w:val="16"/>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C046D68"/>
    <w:multiLevelType w:val="multilevel"/>
    <w:tmpl w:val="0D388C1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sz w:val="18"/>
        <w:szCs w:val="18"/>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C982CA7"/>
    <w:multiLevelType w:val="hybridMultilevel"/>
    <w:tmpl w:val="89D42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11548B4"/>
    <w:multiLevelType w:val="multilevel"/>
    <w:tmpl w:val="FC200106"/>
    <w:lvl w:ilvl="0">
      <w:start w:val="3"/>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sz w:val="18"/>
        <w:szCs w:val="18"/>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2A970E8"/>
    <w:multiLevelType w:val="hybridMultilevel"/>
    <w:tmpl w:val="80BAC7D8"/>
    <w:lvl w:ilvl="0" w:tplc="B5389330">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36B65CD"/>
    <w:multiLevelType w:val="hybridMultilevel"/>
    <w:tmpl w:val="C8F0255E"/>
    <w:lvl w:ilvl="0" w:tplc="09D0AAF6">
      <w:start w:val="1"/>
      <w:numFmt w:val="bullet"/>
      <w:lvlText w:val=""/>
      <w:lvlJc w:val="left"/>
      <w:pPr>
        <w:tabs>
          <w:tab w:val="num" w:pos="2693"/>
        </w:tabs>
        <w:ind w:left="2693" w:hanging="425"/>
      </w:pPr>
      <w:rPr>
        <w:rFonts w:ascii="Wingdings" w:hAnsi="Wingdings" w:hint="default"/>
        <w:color w:val="auto"/>
      </w:rPr>
    </w:lvl>
    <w:lvl w:ilvl="1" w:tplc="46BC1012" w:tentative="1">
      <w:start w:val="1"/>
      <w:numFmt w:val="bullet"/>
      <w:lvlText w:val="o"/>
      <w:lvlJc w:val="left"/>
      <w:pPr>
        <w:tabs>
          <w:tab w:val="num" w:pos="1440"/>
        </w:tabs>
        <w:ind w:left="1440" w:hanging="360"/>
      </w:pPr>
      <w:rPr>
        <w:rFonts w:ascii="Courier New" w:hAnsi="Courier New" w:cs="Courier New" w:hint="default"/>
      </w:rPr>
    </w:lvl>
    <w:lvl w:ilvl="2" w:tplc="C3344280" w:tentative="1">
      <w:start w:val="1"/>
      <w:numFmt w:val="bullet"/>
      <w:lvlText w:val=""/>
      <w:lvlJc w:val="left"/>
      <w:pPr>
        <w:tabs>
          <w:tab w:val="num" w:pos="2160"/>
        </w:tabs>
        <w:ind w:left="2160" w:hanging="360"/>
      </w:pPr>
      <w:rPr>
        <w:rFonts w:ascii="Wingdings" w:hAnsi="Wingdings" w:hint="default"/>
      </w:rPr>
    </w:lvl>
    <w:lvl w:ilvl="3" w:tplc="921805BA" w:tentative="1">
      <w:start w:val="1"/>
      <w:numFmt w:val="bullet"/>
      <w:lvlText w:val=""/>
      <w:lvlJc w:val="left"/>
      <w:pPr>
        <w:tabs>
          <w:tab w:val="num" w:pos="2880"/>
        </w:tabs>
        <w:ind w:left="2880" w:hanging="360"/>
      </w:pPr>
      <w:rPr>
        <w:rFonts w:ascii="Symbol" w:hAnsi="Symbol" w:hint="default"/>
      </w:rPr>
    </w:lvl>
    <w:lvl w:ilvl="4" w:tplc="FF062C22" w:tentative="1">
      <w:start w:val="1"/>
      <w:numFmt w:val="bullet"/>
      <w:lvlText w:val="o"/>
      <w:lvlJc w:val="left"/>
      <w:pPr>
        <w:tabs>
          <w:tab w:val="num" w:pos="3600"/>
        </w:tabs>
        <w:ind w:left="3600" w:hanging="360"/>
      </w:pPr>
      <w:rPr>
        <w:rFonts w:ascii="Courier New" w:hAnsi="Courier New" w:cs="Courier New" w:hint="default"/>
      </w:rPr>
    </w:lvl>
    <w:lvl w:ilvl="5" w:tplc="82F8FB26">
      <w:start w:val="1"/>
      <w:numFmt w:val="bullet"/>
      <w:pStyle w:val="Frontbullet"/>
      <w:lvlText w:val=""/>
      <w:lvlJc w:val="left"/>
      <w:pPr>
        <w:tabs>
          <w:tab w:val="num" w:pos="2693"/>
        </w:tabs>
        <w:ind w:left="2693" w:hanging="425"/>
      </w:pPr>
      <w:rPr>
        <w:rFonts w:ascii="Wingdings" w:hAnsi="Wingdings" w:hint="default"/>
        <w:color w:val="auto"/>
      </w:rPr>
    </w:lvl>
    <w:lvl w:ilvl="6" w:tplc="7D10585E" w:tentative="1">
      <w:start w:val="1"/>
      <w:numFmt w:val="bullet"/>
      <w:lvlText w:val=""/>
      <w:lvlJc w:val="left"/>
      <w:pPr>
        <w:tabs>
          <w:tab w:val="num" w:pos="5040"/>
        </w:tabs>
        <w:ind w:left="5040" w:hanging="360"/>
      </w:pPr>
      <w:rPr>
        <w:rFonts w:ascii="Symbol" w:hAnsi="Symbol" w:hint="default"/>
      </w:rPr>
    </w:lvl>
    <w:lvl w:ilvl="7" w:tplc="9A3EED16" w:tentative="1">
      <w:start w:val="1"/>
      <w:numFmt w:val="bullet"/>
      <w:lvlText w:val="o"/>
      <w:lvlJc w:val="left"/>
      <w:pPr>
        <w:tabs>
          <w:tab w:val="num" w:pos="5760"/>
        </w:tabs>
        <w:ind w:left="5760" w:hanging="360"/>
      </w:pPr>
      <w:rPr>
        <w:rFonts w:ascii="Courier New" w:hAnsi="Courier New" w:cs="Courier New" w:hint="default"/>
      </w:rPr>
    </w:lvl>
    <w:lvl w:ilvl="8" w:tplc="0A86304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37C7775"/>
    <w:multiLevelType w:val="hybridMultilevel"/>
    <w:tmpl w:val="07F6D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5310E8B"/>
    <w:multiLevelType w:val="hybridMultilevel"/>
    <w:tmpl w:val="8F202502"/>
    <w:lvl w:ilvl="0" w:tplc="1FE607D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5403C52"/>
    <w:multiLevelType w:val="hybridMultilevel"/>
    <w:tmpl w:val="025601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549261F"/>
    <w:multiLevelType w:val="multilevel"/>
    <w:tmpl w:val="4768E9A8"/>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sz w:val="18"/>
        <w:szCs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BC14F7E"/>
    <w:multiLevelType w:val="hybridMultilevel"/>
    <w:tmpl w:val="B904640E"/>
    <w:lvl w:ilvl="0" w:tplc="70F83E12">
      <w:start w:val="1"/>
      <w:numFmt w:val="bullet"/>
      <w:pStyle w:val="ListBullet2"/>
      <w:lvlText w:val=""/>
      <w:lvlJc w:val="left"/>
      <w:pPr>
        <w:tabs>
          <w:tab w:val="num" w:pos="851"/>
        </w:tabs>
        <w:ind w:left="851" w:hanging="426"/>
      </w:pPr>
      <w:rPr>
        <w:rFonts w:ascii="Symbol" w:hAnsi="Symbol" w:hint="default"/>
      </w:rPr>
    </w:lvl>
    <w:lvl w:ilvl="1" w:tplc="AEFA5F46" w:tentative="1">
      <w:start w:val="1"/>
      <w:numFmt w:val="bullet"/>
      <w:lvlText w:val="o"/>
      <w:lvlJc w:val="left"/>
      <w:pPr>
        <w:tabs>
          <w:tab w:val="num" w:pos="1440"/>
        </w:tabs>
        <w:ind w:left="1440" w:hanging="360"/>
      </w:pPr>
      <w:rPr>
        <w:rFonts w:ascii="Courier New" w:hAnsi="Courier New" w:cs="Courier New" w:hint="default"/>
      </w:rPr>
    </w:lvl>
    <w:lvl w:ilvl="2" w:tplc="9F8E8092" w:tentative="1">
      <w:start w:val="1"/>
      <w:numFmt w:val="bullet"/>
      <w:lvlText w:val=""/>
      <w:lvlJc w:val="left"/>
      <w:pPr>
        <w:tabs>
          <w:tab w:val="num" w:pos="2160"/>
        </w:tabs>
        <w:ind w:left="2160" w:hanging="360"/>
      </w:pPr>
      <w:rPr>
        <w:rFonts w:ascii="Wingdings" w:hAnsi="Wingdings" w:hint="default"/>
      </w:rPr>
    </w:lvl>
    <w:lvl w:ilvl="3" w:tplc="09E284C6" w:tentative="1">
      <w:start w:val="1"/>
      <w:numFmt w:val="bullet"/>
      <w:lvlText w:val=""/>
      <w:lvlJc w:val="left"/>
      <w:pPr>
        <w:tabs>
          <w:tab w:val="num" w:pos="2880"/>
        </w:tabs>
        <w:ind w:left="2880" w:hanging="360"/>
      </w:pPr>
      <w:rPr>
        <w:rFonts w:ascii="Symbol" w:hAnsi="Symbol" w:hint="default"/>
      </w:rPr>
    </w:lvl>
    <w:lvl w:ilvl="4" w:tplc="01569DAE" w:tentative="1">
      <w:start w:val="1"/>
      <w:numFmt w:val="bullet"/>
      <w:lvlText w:val="o"/>
      <w:lvlJc w:val="left"/>
      <w:pPr>
        <w:tabs>
          <w:tab w:val="num" w:pos="3600"/>
        </w:tabs>
        <w:ind w:left="3600" w:hanging="360"/>
      </w:pPr>
      <w:rPr>
        <w:rFonts w:ascii="Courier New" w:hAnsi="Courier New" w:cs="Courier New" w:hint="default"/>
      </w:rPr>
    </w:lvl>
    <w:lvl w:ilvl="5" w:tplc="9830F81A" w:tentative="1">
      <w:start w:val="1"/>
      <w:numFmt w:val="bullet"/>
      <w:lvlText w:val=""/>
      <w:lvlJc w:val="left"/>
      <w:pPr>
        <w:tabs>
          <w:tab w:val="num" w:pos="4320"/>
        </w:tabs>
        <w:ind w:left="4320" w:hanging="360"/>
      </w:pPr>
      <w:rPr>
        <w:rFonts w:ascii="Wingdings" w:hAnsi="Wingdings" w:hint="default"/>
      </w:rPr>
    </w:lvl>
    <w:lvl w:ilvl="6" w:tplc="A5B6CFEC" w:tentative="1">
      <w:start w:val="1"/>
      <w:numFmt w:val="bullet"/>
      <w:lvlText w:val=""/>
      <w:lvlJc w:val="left"/>
      <w:pPr>
        <w:tabs>
          <w:tab w:val="num" w:pos="5040"/>
        </w:tabs>
        <w:ind w:left="5040" w:hanging="360"/>
      </w:pPr>
      <w:rPr>
        <w:rFonts w:ascii="Symbol" w:hAnsi="Symbol" w:hint="default"/>
      </w:rPr>
    </w:lvl>
    <w:lvl w:ilvl="7" w:tplc="4730927A" w:tentative="1">
      <w:start w:val="1"/>
      <w:numFmt w:val="bullet"/>
      <w:lvlText w:val="o"/>
      <w:lvlJc w:val="left"/>
      <w:pPr>
        <w:tabs>
          <w:tab w:val="num" w:pos="5760"/>
        </w:tabs>
        <w:ind w:left="5760" w:hanging="360"/>
      </w:pPr>
      <w:rPr>
        <w:rFonts w:ascii="Courier New" w:hAnsi="Courier New" w:cs="Courier New" w:hint="default"/>
      </w:rPr>
    </w:lvl>
    <w:lvl w:ilvl="8" w:tplc="F7DA0672"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2756F33"/>
    <w:multiLevelType w:val="hybridMultilevel"/>
    <w:tmpl w:val="76EE0A6E"/>
    <w:lvl w:ilvl="0" w:tplc="3B30FDA0">
      <w:start w:val="1"/>
      <w:numFmt w:val="bullet"/>
      <w:pStyle w:val="KPbullet"/>
      <w:lvlText w:val=""/>
      <w:lvlJc w:val="left"/>
      <w:pPr>
        <w:tabs>
          <w:tab w:val="num" w:pos="2807"/>
        </w:tabs>
        <w:ind w:left="2807" w:hanging="426"/>
      </w:pPr>
      <w:rPr>
        <w:rFonts w:ascii="Symbol" w:hAnsi="Symbol" w:hint="default"/>
        <w:b w:val="0"/>
        <w:i w:val="0"/>
        <w:color w:val="auto"/>
        <w:sz w:val="20"/>
      </w:rPr>
    </w:lvl>
    <w:lvl w:ilvl="1" w:tplc="A60CB374" w:tentative="1">
      <w:start w:val="1"/>
      <w:numFmt w:val="bullet"/>
      <w:lvlText w:val="o"/>
      <w:lvlJc w:val="left"/>
      <w:pPr>
        <w:tabs>
          <w:tab w:val="num" w:pos="1440"/>
        </w:tabs>
        <w:ind w:left="1440" w:hanging="360"/>
      </w:pPr>
      <w:rPr>
        <w:rFonts w:ascii="Courier New" w:hAnsi="Courier New" w:hint="default"/>
      </w:rPr>
    </w:lvl>
    <w:lvl w:ilvl="2" w:tplc="E7CE6ADC" w:tentative="1">
      <w:start w:val="1"/>
      <w:numFmt w:val="bullet"/>
      <w:lvlText w:val=""/>
      <w:lvlJc w:val="left"/>
      <w:pPr>
        <w:tabs>
          <w:tab w:val="num" w:pos="2160"/>
        </w:tabs>
        <w:ind w:left="2160" w:hanging="360"/>
      </w:pPr>
      <w:rPr>
        <w:rFonts w:ascii="Wingdings" w:hAnsi="Wingdings" w:hint="default"/>
      </w:rPr>
    </w:lvl>
    <w:lvl w:ilvl="3" w:tplc="12D6051E">
      <w:start w:val="1"/>
      <w:numFmt w:val="bullet"/>
      <w:lvlText w:val=""/>
      <w:lvlJc w:val="left"/>
      <w:pPr>
        <w:tabs>
          <w:tab w:val="num" w:pos="2880"/>
        </w:tabs>
        <w:ind w:left="2880" w:hanging="360"/>
      </w:pPr>
      <w:rPr>
        <w:rFonts w:ascii="Symbol" w:hAnsi="Symbol" w:hint="default"/>
      </w:rPr>
    </w:lvl>
    <w:lvl w:ilvl="4" w:tplc="C4F43D0E" w:tentative="1">
      <w:start w:val="1"/>
      <w:numFmt w:val="bullet"/>
      <w:lvlText w:val="o"/>
      <w:lvlJc w:val="left"/>
      <w:pPr>
        <w:tabs>
          <w:tab w:val="num" w:pos="3600"/>
        </w:tabs>
        <w:ind w:left="3600" w:hanging="360"/>
      </w:pPr>
      <w:rPr>
        <w:rFonts w:ascii="Courier New" w:hAnsi="Courier New" w:hint="default"/>
      </w:rPr>
    </w:lvl>
    <w:lvl w:ilvl="5" w:tplc="A27055C2" w:tentative="1">
      <w:start w:val="1"/>
      <w:numFmt w:val="bullet"/>
      <w:lvlText w:val=""/>
      <w:lvlJc w:val="left"/>
      <w:pPr>
        <w:tabs>
          <w:tab w:val="num" w:pos="4320"/>
        </w:tabs>
        <w:ind w:left="4320" w:hanging="360"/>
      </w:pPr>
      <w:rPr>
        <w:rFonts w:ascii="Wingdings" w:hAnsi="Wingdings" w:hint="default"/>
      </w:rPr>
    </w:lvl>
    <w:lvl w:ilvl="6" w:tplc="4F781D6A" w:tentative="1">
      <w:start w:val="1"/>
      <w:numFmt w:val="bullet"/>
      <w:lvlText w:val=""/>
      <w:lvlJc w:val="left"/>
      <w:pPr>
        <w:tabs>
          <w:tab w:val="num" w:pos="5040"/>
        </w:tabs>
        <w:ind w:left="5040" w:hanging="360"/>
      </w:pPr>
      <w:rPr>
        <w:rFonts w:ascii="Symbol" w:hAnsi="Symbol" w:hint="default"/>
      </w:rPr>
    </w:lvl>
    <w:lvl w:ilvl="7" w:tplc="E578B7DE" w:tentative="1">
      <w:start w:val="1"/>
      <w:numFmt w:val="bullet"/>
      <w:lvlText w:val="o"/>
      <w:lvlJc w:val="left"/>
      <w:pPr>
        <w:tabs>
          <w:tab w:val="num" w:pos="5760"/>
        </w:tabs>
        <w:ind w:left="5760" w:hanging="360"/>
      </w:pPr>
      <w:rPr>
        <w:rFonts w:ascii="Courier New" w:hAnsi="Courier New" w:hint="default"/>
      </w:rPr>
    </w:lvl>
    <w:lvl w:ilvl="8" w:tplc="48566432"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34105BE"/>
    <w:multiLevelType w:val="multilevel"/>
    <w:tmpl w:val="E4C2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6A641B5"/>
    <w:multiLevelType w:val="hybridMultilevel"/>
    <w:tmpl w:val="4E5CA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0" w15:restartNumberingAfterBreak="0">
    <w:nsid w:val="698D163B"/>
    <w:multiLevelType w:val="multilevel"/>
    <w:tmpl w:val="7098E5C8"/>
    <w:lvl w:ilvl="0">
      <w:start w:val="1"/>
      <w:numFmt w:val="none"/>
      <w:pStyle w:val="MIRBodyText"/>
      <w:suff w:val="nothing"/>
      <w:lvlText w:val=""/>
      <w:lvlJc w:val="left"/>
      <w:pPr>
        <w:ind w:left="851" w:firstLine="0"/>
      </w:pPr>
      <w:rPr>
        <w:rFonts w:hint="default"/>
      </w:rPr>
    </w:lvl>
    <w:lvl w:ilvl="1">
      <w:start w:val="1"/>
      <w:numFmt w:val="lowerLetter"/>
      <w:pStyle w:val="MIRSubpara"/>
      <w:lvlText w:val="(%2)"/>
      <w:lvlJc w:val="left"/>
      <w:pPr>
        <w:tabs>
          <w:tab w:val="num" w:pos="1276"/>
        </w:tabs>
        <w:ind w:left="1276" w:hanging="425"/>
      </w:pPr>
      <w:rPr>
        <w:rFonts w:hint="default"/>
        <w:sz w:val="18"/>
      </w:rPr>
    </w:lvl>
    <w:lvl w:ilvl="2">
      <w:start w:val="1"/>
      <w:numFmt w:val="lowerRoman"/>
      <w:pStyle w:val="MIRSubsubpara"/>
      <w:lvlText w:val="(%3)"/>
      <w:lvlJc w:val="left"/>
      <w:pPr>
        <w:tabs>
          <w:tab w:val="num" w:pos="1701"/>
        </w:tabs>
        <w:ind w:left="1701" w:hanging="425"/>
      </w:pPr>
      <w:rPr>
        <w:rFonts w:hint="default"/>
        <w:sz w:val="18"/>
      </w:rPr>
    </w:lvl>
    <w:lvl w:ilvl="3">
      <w:start w:val="1"/>
      <w:numFmt w:val="upperLetter"/>
      <w:pStyle w:val="MIRsubsubsubpara"/>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sz w:val="18"/>
        <w:szCs w:val="18"/>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9E365C4"/>
    <w:multiLevelType w:val="hybridMultilevel"/>
    <w:tmpl w:val="413E4FAA"/>
    <w:name w:val="ASIC proposal"/>
    <w:lvl w:ilvl="0" w:tplc="796A3360">
      <w:start w:val="1"/>
      <w:numFmt w:val="bullet"/>
      <w:pStyle w:val="ListBullet"/>
      <w:lvlText w:val=""/>
      <w:lvlJc w:val="left"/>
      <w:pPr>
        <w:tabs>
          <w:tab w:val="num" w:pos="1418"/>
        </w:tabs>
        <w:ind w:left="1418" w:firstLine="850"/>
      </w:pPr>
      <w:rPr>
        <w:rFonts w:ascii="Wingdings" w:hAnsi="Wingdings" w:hint="default"/>
        <w:color w:val="auto"/>
      </w:rPr>
    </w:lvl>
    <w:lvl w:ilvl="1" w:tplc="7870F97A" w:tentative="1">
      <w:start w:val="1"/>
      <w:numFmt w:val="bullet"/>
      <w:lvlText w:val="o"/>
      <w:lvlJc w:val="left"/>
      <w:pPr>
        <w:tabs>
          <w:tab w:val="num" w:pos="1440"/>
        </w:tabs>
        <w:ind w:left="1440" w:hanging="360"/>
      </w:pPr>
      <w:rPr>
        <w:rFonts w:ascii="Courier New" w:hAnsi="Courier New" w:cs="Courier New" w:hint="default"/>
      </w:rPr>
    </w:lvl>
    <w:lvl w:ilvl="2" w:tplc="4F5017DE" w:tentative="1">
      <w:start w:val="1"/>
      <w:numFmt w:val="bullet"/>
      <w:lvlText w:val=""/>
      <w:lvlJc w:val="left"/>
      <w:pPr>
        <w:tabs>
          <w:tab w:val="num" w:pos="2160"/>
        </w:tabs>
        <w:ind w:left="2160" w:hanging="360"/>
      </w:pPr>
      <w:rPr>
        <w:rFonts w:ascii="Wingdings" w:hAnsi="Wingdings" w:hint="default"/>
      </w:rPr>
    </w:lvl>
    <w:lvl w:ilvl="3" w:tplc="EFAEA25A" w:tentative="1">
      <w:start w:val="1"/>
      <w:numFmt w:val="bullet"/>
      <w:lvlText w:val=""/>
      <w:lvlJc w:val="left"/>
      <w:pPr>
        <w:tabs>
          <w:tab w:val="num" w:pos="2880"/>
        </w:tabs>
        <w:ind w:left="2880" w:hanging="360"/>
      </w:pPr>
      <w:rPr>
        <w:rFonts w:ascii="Symbol" w:hAnsi="Symbol" w:hint="default"/>
      </w:rPr>
    </w:lvl>
    <w:lvl w:ilvl="4" w:tplc="E490EA22" w:tentative="1">
      <w:start w:val="1"/>
      <w:numFmt w:val="bullet"/>
      <w:lvlText w:val="o"/>
      <w:lvlJc w:val="left"/>
      <w:pPr>
        <w:tabs>
          <w:tab w:val="num" w:pos="3600"/>
        </w:tabs>
        <w:ind w:left="3600" w:hanging="360"/>
      </w:pPr>
      <w:rPr>
        <w:rFonts w:ascii="Courier New" w:hAnsi="Courier New" w:cs="Courier New" w:hint="default"/>
      </w:rPr>
    </w:lvl>
    <w:lvl w:ilvl="5" w:tplc="DCB0F412" w:tentative="1">
      <w:start w:val="1"/>
      <w:numFmt w:val="bullet"/>
      <w:lvlText w:val=""/>
      <w:lvlJc w:val="left"/>
      <w:pPr>
        <w:tabs>
          <w:tab w:val="num" w:pos="4320"/>
        </w:tabs>
        <w:ind w:left="4320" w:hanging="360"/>
      </w:pPr>
      <w:rPr>
        <w:rFonts w:ascii="Wingdings" w:hAnsi="Wingdings" w:hint="default"/>
      </w:rPr>
    </w:lvl>
    <w:lvl w:ilvl="6" w:tplc="20DAB344" w:tentative="1">
      <w:start w:val="1"/>
      <w:numFmt w:val="bullet"/>
      <w:lvlText w:val=""/>
      <w:lvlJc w:val="left"/>
      <w:pPr>
        <w:tabs>
          <w:tab w:val="num" w:pos="5040"/>
        </w:tabs>
        <w:ind w:left="5040" w:hanging="360"/>
      </w:pPr>
      <w:rPr>
        <w:rFonts w:ascii="Symbol" w:hAnsi="Symbol" w:hint="default"/>
      </w:rPr>
    </w:lvl>
    <w:lvl w:ilvl="7" w:tplc="C4A20C84" w:tentative="1">
      <w:start w:val="1"/>
      <w:numFmt w:val="bullet"/>
      <w:lvlText w:val="o"/>
      <w:lvlJc w:val="left"/>
      <w:pPr>
        <w:tabs>
          <w:tab w:val="num" w:pos="5760"/>
        </w:tabs>
        <w:ind w:left="5760" w:hanging="360"/>
      </w:pPr>
      <w:rPr>
        <w:rFonts w:ascii="Courier New" w:hAnsi="Courier New" w:cs="Courier New" w:hint="default"/>
      </w:rPr>
    </w:lvl>
    <w:lvl w:ilvl="8" w:tplc="7DD00F3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A6E4A91"/>
    <w:multiLevelType w:val="hybridMultilevel"/>
    <w:tmpl w:val="F59023F0"/>
    <w:lvl w:ilvl="0" w:tplc="8E189D4C">
      <w:start w:val="3"/>
      <w:numFmt w:val="bullet"/>
      <w:lvlText w:val="-"/>
      <w:lvlJc w:val="left"/>
      <w:pPr>
        <w:ind w:left="1995" w:hanging="360"/>
      </w:pPr>
      <w:rPr>
        <w:rFonts w:ascii="Arial" w:eastAsia="Arial" w:hAnsi="Arial" w:cs="Arial" w:hint="default"/>
      </w:rPr>
    </w:lvl>
    <w:lvl w:ilvl="1" w:tplc="0C090003" w:tentative="1">
      <w:start w:val="1"/>
      <w:numFmt w:val="bullet"/>
      <w:lvlText w:val="o"/>
      <w:lvlJc w:val="left"/>
      <w:pPr>
        <w:ind w:left="2715" w:hanging="360"/>
      </w:pPr>
      <w:rPr>
        <w:rFonts w:ascii="Courier New" w:hAnsi="Courier New" w:cs="Courier New" w:hint="default"/>
      </w:rPr>
    </w:lvl>
    <w:lvl w:ilvl="2" w:tplc="0C090005" w:tentative="1">
      <w:start w:val="1"/>
      <w:numFmt w:val="bullet"/>
      <w:lvlText w:val=""/>
      <w:lvlJc w:val="left"/>
      <w:pPr>
        <w:ind w:left="3435" w:hanging="360"/>
      </w:pPr>
      <w:rPr>
        <w:rFonts w:ascii="Wingdings" w:hAnsi="Wingdings" w:hint="default"/>
      </w:rPr>
    </w:lvl>
    <w:lvl w:ilvl="3" w:tplc="0C090001" w:tentative="1">
      <w:start w:val="1"/>
      <w:numFmt w:val="bullet"/>
      <w:lvlText w:val=""/>
      <w:lvlJc w:val="left"/>
      <w:pPr>
        <w:ind w:left="4155" w:hanging="360"/>
      </w:pPr>
      <w:rPr>
        <w:rFonts w:ascii="Symbol" w:hAnsi="Symbol" w:hint="default"/>
      </w:rPr>
    </w:lvl>
    <w:lvl w:ilvl="4" w:tplc="0C090003" w:tentative="1">
      <w:start w:val="1"/>
      <w:numFmt w:val="bullet"/>
      <w:lvlText w:val="o"/>
      <w:lvlJc w:val="left"/>
      <w:pPr>
        <w:ind w:left="4875" w:hanging="360"/>
      </w:pPr>
      <w:rPr>
        <w:rFonts w:ascii="Courier New" w:hAnsi="Courier New" w:cs="Courier New" w:hint="default"/>
      </w:rPr>
    </w:lvl>
    <w:lvl w:ilvl="5" w:tplc="0C090005" w:tentative="1">
      <w:start w:val="1"/>
      <w:numFmt w:val="bullet"/>
      <w:lvlText w:val=""/>
      <w:lvlJc w:val="left"/>
      <w:pPr>
        <w:ind w:left="5595" w:hanging="360"/>
      </w:pPr>
      <w:rPr>
        <w:rFonts w:ascii="Wingdings" w:hAnsi="Wingdings" w:hint="default"/>
      </w:rPr>
    </w:lvl>
    <w:lvl w:ilvl="6" w:tplc="0C090001" w:tentative="1">
      <w:start w:val="1"/>
      <w:numFmt w:val="bullet"/>
      <w:lvlText w:val=""/>
      <w:lvlJc w:val="left"/>
      <w:pPr>
        <w:ind w:left="6315" w:hanging="360"/>
      </w:pPr>
      <w:rPr>
        <w:rFonts w:ascii="Symbol" w:hAnsi="Symbol" w:hint="default"/>
      </w:rPr>
    </w:lvl>
    <w:lvl w:ilvl="7" w:tplc="0C090003" w:tentative="1">
      <w:start w:val="1"/>
      <w:numFmt w:val="bullet"/>
      <w:lvlText w:val="o"/>
      <w:lvlJc w:val="left"/>
      <w:pPr>
        <w:ind w:left="7035" w:hanging="360"/>
      </w:pPr>
      <w:rPr>
        <w:rFonts w:ascii="Courier New" w:hAnsi="Courier New" w:cs="Courier New" w:hint="default"/>
      </w:rPr>
    </w:lvl>
    <w:lvl w:ilvl="8" w:tplc="0C090005" w:tentative="1">
      <w:start w:val="1"/>
      <w:numFmt w:val="bullet"/>
      <w:lvlText w:val=""/>
      <w:lvlJc w:val="left"/>
      <w:pPr>
        <w:ind w:left="7755" w:hanging="360"/>
      </w:pPr>
      <w:rPr>
        <w:rFonts w:ascii="Wingdings" w:hAnsi="Wingdings" w:hint="default"/>
      </w:rPr>
    </w:lvl>
  </w:abstractNum>
  <w:abstractNum w:abstractNumId="63" w15:restartNumberingAfterBreak="0">
    <w:nsid w:val="6A97645F"/>
    <w:multiLevelType w:val="multilevel"/>
    <w:tmpl w:val="A09894BC"/>
    <w:numStyleLink w:val="Style1"/>
  </w:abstractNum>
  <w:abstractNum w:abstractNumId="64" w15:restartNumberingAfterBreak="0">
    <w:nsid w:val="6BBB382E"/>
    <w:multiLevelType w:val="hybridMultilevel"/>
    <w:tmpl w:val="01DA4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11164F3"/>
    <w:multiLevelType w:val="multilevel"/>
    <w:tmpl w:val="1578FDCA"/>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6" w15:restartNumberingAfterBreak="0">
    <w:nsid w:val="766B2ED2"/>
    <w:multiLevelType w:val="multilevel"/>
    <w:tmpl w:val="67EC3A24"/>
    <w:lvl w:ilvl="0">
      <w:start w:val="1"/>
      <w:numFmt w:val="none"/>
      <w:lvlText w:val=""/>
      <w:lvlJc w:val="left"/>
      <w:pPr>
        <w:ind w:left="851" w:firstLine="0"/>
      </w:pPr>
      <w:rPr>
        <w:rFonts w:hint="default"/>
        <w:sz w:val="18"/>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6084" w:hanging="360"/>
      </w:pPr>
      <w:rPr>
        <w:rFonts w:hint="default"/>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67" w15:restartNumberingAfterBreak="0">
    <w:nsid w:val="7A04370D"/>
    <w:multiLevelType w:val="hybridMultilevel"/>
    <w:tmpl w:val="94749C48"/>
    <w:lvl w:ilvl="0" w:tplc="C4C8B1AA">
      <w:start w:val="1"/>
      <w:numFmt w:val="bullet"/>
      <w:pStyle w:val="Listdash"/>
      <w:lvlText w:val=""/>
      <w:lvlJc w:val="left"/>
      <w:pPr>
        <w:tabs>
          <w:tab w:val="num" w:pos="3119"/>
        </w:tabs>
        <w:ind w:left="3119" w:hanging="426"/>
      </w:pPr>
      <w:rPr>
        <w:rFonts w:ascii="Symbol" w:hAnsi="Symbol" w:hint="default"/>
      </w:rPr>
    </w:lvl>
    <w:lvl w:ilvl="1" w:tplc="3620BE2C" w:tentative="1">
      <w:start w:val="1"/>
      <w:numFmt w:val="bullet"/>
      <w:lvlText w:val="o"/>
      <w:lvlJc w:val="left"/>
      <w:pPr>
        <w:tabs>
          <w:tab w:val="num" w:pos="1440"/>
        </w:tabs>
        <w:ind w:left="1440" w:hanging="360"/>
      </w:pPr>
      <w:rPr>
        <w:rFonts w:ascii="Courier New" w:hAnsi="Courier New" w:cs="Courier New" w:hint="default"/>
      </w:rPr>
    </w:lvl>
    <w:lvl w:ilvl="2" w:tplc="2AF2FBB2" w:tentative="1">
      <w:start w:val="1"/>
      <w:numFmt w:val="bullet"/>
      <w:lvlText w:val=""/>
      <w:lvlJc w:val="left"/>
      <w:pPr>
        <w:tabs>
          <w:tab w:val="num" w:pos="2160"/>
        </w:tabs>
        <w:ind w:left="2160" w:hanging="360"/>
      </w:pPr>
      <w:rPr>
        <w:rFonts w:ascii="Wingdings" w:hAnsi="Wingdings" w:hint="default"/>
      </w:rPr>
    </w:lvl>
    <w:lvl w:ilvl="3" w:tplc="636A745A" w:tentative="1">
      <w:start w:val="1"/>
      <w:numFmt w:val="bullet"/>
      <w:lvlText w:val=""/>
      <w:lvlJc w:val="left"/>
      <w:pPr>
        <w:tabs>
          <w:tab w:val="num" w:pos="2880"/>
        </w:tabs>
        <w:ind w:left="2880" w:hanging="360"/>
      </w:pPr>
      <w:rPr>
        <w:rFonts w:ascii="Symbol" w:hAnsi="Symbol" w:hint="default"/>
      </w:rPr>
    </w:lvl>
    <w:lvl w:ilvl="4" w:tplc="3460A706" w:tentative="1">
      <w:start w:val="1"/>
      <w:numFmt w:val="bullet"/>
      <w:lvlText w:val="o"/>
      <w:lvlJc w:val="left"/>
      <w:pPr>
        <w:tabs>
          <w:tab w:val="num" w:pos="3600"/>
        </w:tabs>
        <w:ind w:left="3600" w:hanging="360"/>
      </w:pPr>
      <w:rPr>
        <w:rFonts w:ascii="Courier New" w:hAnsi="Courier New" w:cs="Courier New" w:hint="default"/>
      </w:rPr>
    </w:lvl>
    <w:lvl w:ilvl="5" w:tplc="195EAADA" w:tentative="1">
      <w:start w:val="1"/>
      <w:numFmt w:val="bullet"/>
      <w:lvlText w:val=""/>
      <w:lvlJc w:val="left"/>
      <w:pPr>
        <w:tabs>
          <w:tab w:val="num" w:pos="4320"/>
        </w:tabs>
        <w:ind w:left="4320" w:hanging="360"/>
      </w:pPr>
      <w:rPr>
        <w:rFonts w:ascii="Wingdings" w:hAnsi="Wingdings" w:hint="default"/>
      </w:rPr>
    </w:lvl>
    <w:lvl w:ilvl="6" w:tplc="F3CA31BC" w:tentative="1">
      <w:start w:val="1"/>
      <w:numFmt w:val="bullet"/>
      <w:lvlText w:val=""/>
      <w:lvlJc w:val="left"/>
      <w:pPr>
        <w:tabs>
          <w:tab w:val="num" w:pos="5040"/>
        </w:tabs>
        <w:ind w:left="5040" w:hanging="360"/>
      </w:pPr>
      <w:rPr>
        <w:rFonts w:ascii="Symbol" w:hAnsi="Symbol" w:hint="default"/>
      </w:rPr>
    </w:lvl>
    <w:lvl w:ilvl="7" w:tplc="805EFBAE" w:tentative="1">
      <w:start w:val="1"/>
      <w:numFmt w:val="bullet"/>
      <w:lvlText w:val="o"/>
      <w:lvlJc w:val="left"/>
      <w:pPr>
        <w:tabs>
          <w:tab w:val="num" w:pos="5760"/>
        </w:tabs>
        <w:ind w:left="5760" w:hanging="360"/>
      </w:pPr>
      <w:rPr>
        <w:rFonts w:ascii="Courier New" w:hAnsi="Courier New" w:cs="Courier New" w:hint="default"/>
      </w:rPr>
    </w:lvl>
    <w:lvl w:ilvl="8" w:tplc="04BCDB1A"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C3E3008"/>
    <w:multiLevelType w:val="hybridMultilevel"/>
    <w:tmpl w:val="CB0AB9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CB8772F"/>
    <w:multiLevelType w:val="multilevel"/>
    <w:tmpl w:val="3A54238A"/>
    <w:lvl w:ilvl="0">
      <w:start w:val="1"/>
      <w:numFmt w:val="decimal"/>
      <w:lvlText w:val="RG 148.%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0" w15:restartNumberingAfterBreak="0">
    <w:nsid w:val="7DD65529"/>
    <w:multiLevelType w:val="multilevel"/>
    <w:tmpl w:val="8F66AF88"/>
    <w:lvl w:ilvl="0">
      <w:start w:val="1"/>
      <w:numFmt w:val="decimal"/>
      <w:lvlText w:val="SECTION %1"/>
      <w:lvlJc w:val="left"/>
      <w:pPr>
        <w:tabs>
          <w:tab w:val="num" w:pos="2268"/>
        </w:tabs>
        <w:ind w:left="2268" w:hanging="2268"/>
      </w:pPr>
      <w:rPr>
        <w:rFonts w:hint="default"/>
      </w:rPr>
    </w:lvl>
    <w:lvl w:ilvl="1">
      <w:start w:val="1"/>
      <w:numFmt w:val="decimal"/>
      <w:pStyle w:val="MainHeading2"/>
      <w:lvlText w:val="%1.%2"/>
      <w:lvlJc w:val="left"/>
      <w:pPr>
        <w:tabs>
          <w:tab w:val="num" w:pos="0"/>
        </w:tabs>
        <w:ind w:left="1134" w:hanging="1134"/>
      </w:pPr>
      <w:rPr>
        <w:rFonts w:hint="default"/>
      </w:rPr>
    </w:lvl>
    <w:lvl w:ilvl="2">
      <w:start w:val="1"/>
      <w:numFmt w:val="decimal"/>
      <w:pStyle w:val="MainHeading3"/>
      <w:lvlText w:val="%1.%2.%3"/>
      <w:lvlJc w:val="left"/>
      <w:pPr>
        <w:tabs>
          <w:tab w:val="num" w:pos="1134"/>
        </w:tabs>
        <w:ind w:left="1134" w:hanging="1134"/>
      </w:pPr>
      <w:rPr>
        <w:rFonts w:hint="default"/>
      </w:rPr>
    </w:lvl>
    <w:lvl w:ilvl="3">
      <w:start w:val="1"/>
      <w:numFmt w:val="lowerLetter"/>
      <w:pStyle w:val="MainHeading4"/>
      <w:lvlText w:val="(%4)"/>
      <w:lvlJc w:val="left"/>
      <w:pPr>
        <w:tabs>
          <w:tab w:val="num" w:pos="1985"/>
        </w:tabs>
        <w:ind w:left="1985" w:hanging="851"/>
      </w:pPr>
      <w:rPr>
        <w:rFonts w:hint="default"/>
      </w:rPr>
    </w:lvl>
    <w:lvl w:ilvl="4">
      <w:start w:val="1"/>
      <w:numFmt w:val="lowerRoman"/>
      <w:suff w:val="nothing"/>
      <w:lvlText w:val="%4 "/>
      <w:lvlJc w:val="left"/>
      <w:pPr>
        <w:ind w:left="2835" w:hanging="85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1" w15:restartNumberingAfterBreak="0">
    <w:nsid w:val="7E460DB7"/>
    <w:multiLevelType w:val="multilevel"/>
    <w:tmpl w:val="A09894BC"/>
    <w:styleLink w:val="Style1"/>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Arial" w:hAnsi="Arial" w:hint="default"/>
        <w:b w:val="0"/>
        <w:i w:val="0"/>
        <w:color w:val="auto"/>
        <w:sz w:val="16"/>
        <w:szCs w:val="18"/>
      </w:rPr>
    </w:lvl>
    <w:lvl w:ilvl="2">
      <w:start w:val="1"/>
      <w:numFmt w:val="lowerRoman"/>
      <w:lvlText w:val="(%3)"/>
      <w:lvlJc w:val="left"/>
      <w:pPr>
        <w:tabs>
          <w:tab w:val="num" w:pos="1701"/>
        </w:tabs>
        <w:ind w:left="1701" w:hanging="425"/>
      </w:pPr>
      <w:rPr>
        <w:rFonts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sz w:val="16"/>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ED1773F"/>
    <w:multiLevelType w:val="multilevel"/>
    <w:tmpl w:val="C35E9154"/>
    <w:lvl w:ilvl="0">
      <w:start w:val="1"/>
      <w:numFmt w:val="lowerLetter"/>
      <w:lvlText w:val="%1."/>
      <w:lvlJc w:val="left"/>
      <w:pPr>
        <w:ind w:left="425" w:firstLine="0"/>
      </w:pPr>
      <w:rPr>
        <w:rFonts w:hint="default"/>
        <w:b w:val="0"/>
        <w:i w:val="0"/>
        <w:color w:val="auto"/>
        <w:sz w:val="18"/>
        <w:szCs w:val="18"/>
      </w:rPr>
    </w:lvl>
    <w:lvl w:ilvl="1">
      <w:start w:val="1"/>
      <w:numFmt w:val="lowerLetter"/>
      <w:lvlText w:val="(%2)"/>
      <w:lvlJc w:val="left"/>
      <w:pPr>
        <w:tabs>
          <w:tab w:val="num" w:pos="850"/>
        </w:tabs>
        <w:ind w:left="850" w:hanging="425"/>
      </w:pPr>
      <w:rPr>
        <w:rFonts w:hint="default"/>
        <w:b w:val="0"/>
        <w:i w:val="0"/>
        <w:color w:val="auto"/>
        <w:sz w:val="18"/>
        <w:szCs w:val="18"/>
      </w:rPr>
    </w:lvl>
    <w:lvl w:ilvl="2">
      <w:start w:val="1"/>
      <w:numFmt w:val="lowerRoman"/>
      <w:lvlText w:val="(%3)"/>
      <w:lvlJc w:val="left"/>
      <w:pPr>
        <w:tabs>
          <w:tab w:val="num" w:pos="1275"/>
        </w:tabs>
        <w:ind w:left="1275" w:hanging="425"/>
      </w:pPr>
      <w:rPr>
        <w:rFonts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1700"/>
        </w:tabs>
        <w:ind w:left="1700" w:hanging="425"/>
      </w:pPr>
      <w:rPr>
        <w:rFonts w:hint="default"/>
        <w:sz w:val="16"/>
        <w:szCs w:val="16"/>
      </w:rPr>
    </w:lvl>
    <w:lvl w:ilvl="4">
      <w:start w:val="1"/>
      <w:numFmt w:val="lowerLetter"/>
      <w:lvlText w:val="(%5)"/>
      <w:lvlJc w:val="left"/>
      <w:pPr>
        <w:ind w:left="1374" w:hanging="360"/>
      </w:pPr>
      <w:rPr>
        <w:rFonts w:hint="default"/>
        <w:sz w:val="16"/>
        <w:szCs w:val="16"/>
      </w:rPr>
    </w:lvl>
    <w:lvl w:ilvl="5">
      <w:start w:val="1"/>
      <w:numFmt w:val="lowerRoman"/>
      <w:lvlText w:val="(%6)"/>
      <w:lvlJc w:val="left"/>
      <w:pPr>
        <w:ind w:left="1734" w:hanging="360"/>
      </w:pPr>
      <w:rPr>
        <w:rFonts w:hint="default"/>
      </w:rPr>
    </w:lvl>
    <w:lvl w:ilvl="6">
      <w:start w:val="1"/>
      <w:numFmt w:val="decimal"/>
      <w:lvlText w:val="%7."/>
      <w:lvlJc w:val="left"/>
      <w:pPr>
        <w:ind w:left="2094" w:hanging="360"/>
      </w:pPr>
      <w:rPr>
        <w:rFonts w:hint="default"/>
      </w:rPr>
    </w:lvl>
    <w:lvl w:ilvl="7">
      <w:start w:val="1"/>
      <w:numFmt w:val="lowerLetter"/>
      <w:lvlText w:val="%8."/>
      <w:lvlJc w:val="left"/>
      <w:pPr>
        <w:ind w:left="2454" w:hanging="360"/>
      </w:pPr>
      <w:rPr>
        <w:rFonts w:hint="default"/>
      </w:rPr>
    </w:lvl>
    <w:lvl w:ilvl="8">
      <w:start w:val="1"/>
      <w:numFmt w:val="lowerRoman"/>
      <w:lvlText w:val="%9."/>
      <w:lvlJc w:val="left"/>
      <w:pPr>
        <w:ind w:left="2814" w:hanging="360"/>
      </w:pPr>
      <w:rPr>
        <w:rFonts w:hint="default"/>
      </w:rPr>
    </w:lvl>
  </w:abstractNum>
  <w:abstractNum w:abstractNumId="73" w15:restartNumberingAfterBreak="0">
    <w:nsid w:val="7FD2675D"/>
    <w:multiLevelType w:val="hybridMultilevel"/>
    <w:tmpl w:val="51ACA9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FDC6058"/>
    <w:multiLevelType w:val="hybridMultilevel"/>
    <w:tmpl w:val="99D2A0C2"/>
    <w:lvl w:ilvl="0" w:tplc="B5389330">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9"/>
  </w:num>
  <w:num w:numId="2">
    <w:abstractNumId w:val="24"/>
  </w:num>
  <w:num w:numId="3">
    <w:abstractNumId w:val="61"/>
  </w:num>
  <w:num w:numId="4">
    <w:abstractNumId w:val="7"/>
  </w:num>
  <w:num w:numId="5">
    <w:abstractNumId w:val="57"/>
  </w:num>
  <w:num w:numId="6">
    <w:abstractNumId w:val="19"/>
  </w:num>
  <w:num w:numId="7">
    <w:abstractNumId w:val="14"/>
  </w:num>
  <w:num w:numId="8">
    <w:abstractNumId w:val="67"/>
  </w:num>
  <w:num w:numId="9">
    <w:abstractNumId w:val="51"/>
  </w:num>
  <w:num w:numId="10">
    <w:abstractNumId w:val="56"/>
  </w:num>
  <w:num w:numId="11">
    <w:abstractNumId w:val="4"/>
  </w:num>
  <w:num w:numId="12">
    <w:abstractNumId w:val="70"/>
  </w:num>
  <w:num w:numId="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0"/>
    <w:lvlOverride w:ilvl="0">
      <w:startOverride w:val="55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64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7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87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90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94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923"/>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5"/>
  </w:num>
  <w:num w:numId="27">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28">
    <w:abstractNumId w:val="23"/>
  </w:num>
  <w:num w:numId="29">
    <w:abstractNumId w:val="42"/>
  </w:num>
  <w:num w:numId="30">
    <w:abstractNumId w:val="69"/>
  </w:num>
  <w:num w:numId="31">
    <w:abstractNumId w:val="10"/>
    <w:lvlOverride w:ilvl="0">
      <w:startOverride w:val="488"/>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605"/>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6"/>
  </w:num>
  <w:num w:numId="34">
    <w:abstractNumId w:val="10"/>
    <w:lvlOverride w:ilvl="0">
      <w:startOverride w:val="1161"/>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557"/>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3"/>
  </w:num>
  <w:num w:numId="38">
    <w:abstractNumId w:val="52"/>
  </w:num>
  <w:num w:numId="39">
    <w:abstractNumId w:val="10"/>
  </w:num>
  <w:num w:numId="40">
    <w:abstractNumId w:val="5"/>
  </w:num>
  <w:num w:numId="41">
    <w:abstractNumId w:val="20"/>
  </w:num>
  <w:num w:numId="42">
    <w:abstractNumId w:val="41"/>
  </w:num>
  <w:num w:numId="43">
    <w:abstractNumId w:val="43"/>
  </w:num>
  <w:num w:numId="44">
    <w:abstractNumId w:val="71"/>
  </w:num>
  <w:num w:numId="45">
    <w:abstractNumId w:val="44"/>
  </w:num>
  <w:num w:numId="46">
    <w:abstractNumId w:val="72"/>
  </w:num>
  <w:num w:numId="47">
    <w:abstractNumId w:val="40"/>
  </w:num>
  <w:num w:numId="48">
    <w:abstractNumId w:val="38"/>
  </w:num>
  <w:num w:numId="49">
    <w:abstractNumId w:val="11"/>
  </w:num>
  <w:num w:numId="50">
    <w:abstractNumId w:val="10"/>
  </w:num>
  <w:num w:numId="51">
    <w:abstractNumId w:val="10"/>
  </w:num>
  <w:num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num>
  <w:num w:numId="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num>
  <w:num w:numId="61">
    <w:abstractNumId w:val="62"/>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
  </w:num>
  <w:num w:numId="66">
    <w:abstractNumId w:val="10"/>
  </w:num>
  <w:num w:numId="67">
    <w:abstractNumId w:val="10"/>
  </w:num>
  <w:num w:numId="68">
    <w:abstractNumId w:val="34"/>
  </w:num>
  <w:num w:numId="69">
    <w:abstractNumId w:val="48"/>
  </w:num>
  <w:num w:numId="70">
    <w:abstractNumId w:val="18"/>
  </w:num>
  <w:num w:numId="71">
    <w:abstractNumId w:val="53"/>
  </w:num>
  <w:num w:numId="72">
    <w:abstractNumId w:val="30"/>
  </w:num>
  <w:num w:numId="73">
    <w:abstractNumId w:val="36"/>
  </w:num>
  <w:num w:numId="74">
    <w:abstractNumId w:val="35"/>
  </w:num>
  <w:num w:numId="75">
    <w:abstractNumId w:val="28"/>
  </w:num>
  <w:num w:numId="76">
    <w:abstractNumId w:val="26"/>
  </w:num>
  <w:num w:numId="77">
    <w:abstractNumId w:val="12"/>
  </w:num>
  <w:num w:numId="78">
    <w:abstractNumId w:val="17"/>
  </w:num>
  <w:num w:numId="79">
    <w:abstractNumId w:val="58"/>
  </w:num>
  <w:num w:numId="80">
    <w:abstractNumId w:val="13"/>
  </w:num>
  <w:num w:numId="81">
    <w:abstractNumId w:val="54"/>
  </w:num>
  <w:num w:numId="82">
    <w:abstractNumId w:val="64"/>
  </w:num>
  <w:num w:numId="83">
    <w:abstractNumId w:val="3"/>
  </w:num>
  <w:num w:numId="84">
    <w:abstractNumId w:val="21"/>
  </w:num>
  <w:num w:numId="85">
    <w:abstractNumId w:val="29"/>
  </w:num>
  <w:num w:numId="86">
    <w:abstractNumId w:val="68"/>
  </w:num>
  <w:num w:numId="87">
    <w:abstractNumId w:val="50"/>
  </w:num>
  <w:num w:numId="88">
    <w:abstractNumId w:val="74"/>
  </w:num>
  <w:num w:numId="89">
    <w:abstractNumId w:val="0"/>
  </w:num>
  <w:num w:numId="90">
    <w:abstractNumId w:val="59"/>
  </w:num>
  <w:num w:numId="91">
    <w:abstractNumId w:val="22"/>
  </w:num>
  <w:num w:numId="92">
    <w:abstractNumId w:val="37"/>
  </w:num>
  <w:num w:numId="93">
    <w:abstractNumId w:val="27"/>
  </w:num>
  <w:num w:numId="94">
    <w:abstractNumId w:val="15"/>
    <w:lvlOverride w:ilvl="0">
      <w:startOverride w:val="87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6"/>
  </w:num>
  <w:num w:numId="96">
    <w:abstractNumId w:val="8"/>
  </w:num>
  <w:num w:numId="97">
    <w:abstractNumId w:val="2"/>
  </w:num>
  <w:num w:numId="98">
    <w:abstractNumId w:val="31"/>
  </w:num>
  <w:num w:numId="99">
    <w:abstractNumId w:val="25"/>
  </w:num>
  <w:num w:numId="100">
    <w:abstractNumId w:val="32"/>
  </w:num>
  <w:num w:numId="101">
    <w:abstractNumId w:val="60"/>
  </w:num>
  <w:num w:numId="102">
    <w:abstractNumId w:val="60"/>
    <w:lvlOverride w:ilvl="0">
      <w:startOverride w:val="4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0"/>
    <w:lvlOverride w:ilvl="0">
      <w:startOverride w:val="35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7"/>
  </w:num>
  <w:num w:numId="105">
    <w:abstractNumId w:val="60"/>
    <w:lvlOverride w:ilvl="0">
      <w:startOverride w:val="35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0"/>
    <w:lvlOverride w:ilvl="0">
      <w:startOverride w:val="5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0"/>
    <w:lvlOverride w:ilvl="0">
      <w:startOverride w:val="11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0"/>
    <w:lvlOverride w:ilvl="0">
      <w:startOverride w:val="17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60"/>
    <w:lvlOverride w:ilvl="0">
      <w:startOverride w:val="17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6"/>
  </w:num>
  <w:num w:numId="112">
    <w:abstractNumId w:val="60"/>
    <w:lvlOverride w:ilvl="0">
      <w:startOverride w:val="23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0"/>
    <w:lvlOverride w:ilvl="0">
      <w:startOverride w:val="2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0"/>
    <w:lvlOverride w:ilvl="0">
      <w:startOverride w:val="373"/>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0"/>
    <w:lvlOverride w:ilvl="0">
      <w:startOverride w:val="39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9"/>
  </w:num>
  <w:num w:numId="117">
    <w:abstractNumId w:val="60"/>
    <w:lvlOverride w:ilvl="0">
      <w:startOverride w:val="13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0"/>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hideSpellingErrors/>
  <w:hideGrammaticalErrors/>
  <w:attachedTemplate r:id="rId1"/>
  <w:defaultTabStop w:val="425"/>
  <w:drawingGridHorizontalSpacing w:val="110"/>
  <w:displayHorizontalDrawingGridEvery w:val="0"/>
  <w:displayVerticalDrawingGridEvery w:val="0"/>
  <w:noPunctuationKerning/>
  <w:characterSpacingControl w:val="doNotCompress"/>
  <w:hdrShapeDefaults>
    <o:shapedefaults v:ext="edit" spidmax="2123">
      <o:colormru v:ext="edit" colors="#00a8d0,#008eb0,#1492e8,#1287d6,#117dc7,#c2e3fa"/>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B84"/>
    <w:rsid w:val="00000187"/>
    <w:rsid w:val="00000B96"/>
    <w:rsid w:val="00002A92"/>
    <w:rsid w:val="00003AB3"/>
    <w:rsid w:val="000064BC"/>
    <w:rsid w:val="000078E2"/>
    <w:rsid w:val="00007BA2"/>
    <w:rsid w:val="00010004"/>
    <w:rsid w:val="00010062"/>
    <w:rsid w:val="000105F0"/>
    <w:rsid w:val="0001115E"/>
    <w:rsid w:val="000116C0"/>
    <w:rsid w:val="0001178C"/>
    <w:rsid w:val="0001226B"/>
    <w:rsid w:val="000122F5"/>
    <w:rsid w:val="00012DDB"/>
    <w:rsid w:val="00014784"/>
    <w:rsid w:val="000150DB"/>
    <w:rsid w:val="0002006E"/>
    <w:rsid w:val="00020184"/>
    <w:rsid w:val="000213DE"/>
    <w:rsid w:val="0002211C"/>
    <w:rsid w:val="000222F3"/>
    <w:rsid w:val="00022543"/>
    <w:rsid w:val="00022C7B"/>
    <w:rsid w:val="00023C94"/>
    <w:rsid w:val="000243C4"/>
    <w:rsid w:val="000255DC"/>
    <w:rsid w:val="00025F82"/>
    <w:rsid w:val="00025FE1"/>
    <w:rsid w:val="000265B5"/>
    <w:rsid w:val="00026A1B"/>
    <w:rsid w:val="00026F32"/>
    <w:rsid w:val="00026FAE"/>
    <w:rsid w:val="00031572"/>
    <w:rsid w:val="00032077"/>
    <w:rsid w:val="00032094"/>
    <w:rsid w:val="0003215B"/>
    <w:rsid w:val="00032C12"/>
    <w:rsid w:val="0003435E"/>
    <w:rsid w:val="000348D8"/>
    <w:rsid w:val="00035C40"/>
    <w:rsid w:val="00035C63"/>
    <w:rsid w:val="00035D8E"/>
    <w:rsid w:val="00036369"/>
    <w:rsid w:val="00036E1E"/>
    <w:rsid w:val="00037462"/>
    <w:rsid w:val="00037AA2"/>
    <w:rsid w:val="00037CB7"/>
    <w:rsid w:val="00040014"/>
    <w:rsid w:val="0004009C"/>
    <w:rsid w:val="00040625"/>
    <w:rsid w:val="000410B4"/>
    <w:rsid w:val="00041419"/>
    <w:rsid w:val="000417F4"/>
    <w:rsid w:val="00041BAE"/>
    <w:rsid w:val="00041F68"/>
    <w:rsid w:val="0004225D"/>
    <w:rsid w:val="00042E8F"/>
    <w:rsid w:val="00043019"/>
    <w:rsid w:val="00044346"/>
    <w:rsid w:val="000455AA"/>
    <w:rsid w:val="000471B3"/>
    <w:rsid w:val="000500C5"/>
    <w:rsid w:val="00050C22"/>
    <w:rsid w:val="00051B21"/>
    <w:rsid w:val="00051C19"/>
    <w:rsid w:val="00052C40"/>
    <w:rsid w:val="000530C4"/>
    <w:rsid w:val="00055D2F"/>
    <w:rsid w:val="000576DB"/>
    <w:rsid w:val="00057AF8"/>
    <w:rsid w:val="00060628"/>
    <w:rsid w:val="00060B6A"/>
    <w:rsid w:val="00062927"/>
    <w:rsid w:val="0006424C"/>
    <w:rsid w:val="00066301"/>
    <w:rsid w:val="00066895"/>
    <w:rsid w:val="00066ABE"/>
    <w:rsid w:val="00066C2C"/>
    <w:rsid w:val="00067010"/>
    <w:rsid w:val="00067D50"/>
    <w:rsid w:val="0007032C"/>
    <w:rsid w:val="0007173A"/>
    <w:rsid w:val="000724EC"/>
    <w:rsid w:val="0007252C"/>
    <w:rsid w:val="00073A18"/>
    <w:rsid w:val="0007403D"/>
    <w:rsid w:val="000745B7"/>
    <w:rsid w:val="00074821"/>
    <w:rsid w:val="00075087"/>
    <w:rsid w:val="00075A91"/>
    <w:rsid w:val="00075F7E"/>
    <w:rsid w:val="00077E7F"/>
    <w:rsid w:val="00080078"/>
    <w:rsid w:val="000811FB"/>
    <w:rsid w:val="00081508"/>
    <w:rsid w:val="00082A9C"/>
    <w:rsid w:val="00083176"/>
    <w:rsid w:val="000831F8"/>
    <w:rsid w:val="00083EDD"/>
    <w:rsid w:val="00084EB6"/>
    <w:rsid w:val="00085AB7"/>
    <w:rsid w:val="000866A6"/>
    <w:rsid w:val="00086B56"/>
    <w:rsid w:val="00086E14"/>
    <w:rsid w:val="00086FF3"/>
    <w:rsid w:val="00087B84"/>
    <w:rsid w:val="0009168E"/>
    <w:rsid w:val="00092BC8"/>
    <w:rsid w:val="00094D04"/>
    <w:rsid w:val="000953BF"/>
    <w:rsid w:val="00096442"/>
    <w:rsid w:val="000A0532"/>
    <w:rsid w:val="000A13E1"/>
    <w:rsid w:val="000A2540"/>
    <w:rsid w:val="000A4286"/>
    <w:rsid w:val="000A5DE8"/>
    <w:rsid w:val="000A77FC"/>
    <w:rsid w:val="000B0AA6"/>
    <w:rsid w:val="000B2573"/>
    <w:rsid w:val="000B27A7"/>
    <w:rsid w:val="000B324F"/>
    <w:rsid w:val="000B526F"/>
    <w:rsid w:val="000B58D3"/>
    <w:rsid w:val="000B6660"/>
    <w:rsid w:val="000B6F7A"/>
    <w:rsid w:val="000B70B6"/>
    <w:rsid w:val="000C0097"/>
    <w:rsid w:val="000C0880"/>
    <w:rsid w:val="000C13BC"/>
    <w:rsid w:val="000C2B94"/>
    <w:rsid w:val="000C336D"/>
    <w:rsid w:val="000C3640"/>
    <w:rsid w:val="000C3B49"/>
    <w:rsid w:val="000C4B42"/>
    <w:rsid w:val="000C73BD"/>
    <w:rsid w:val="000D1D19"/>
    <w:rsid w:val="000D2579"/>
    <w:rsid w:val="000D3B76"/>
    <w:rsid w:val="000D46E1"/>
    <w:rsid w:val="000D5063"/>
    <w:rsid w:val="000D5EAF"/>
    <w:rsid w:val="000D640B"/>
    <w:rsid w:val="000D6D3B"/>
    <w:rsid w:val="000E044D"/>
    <w:rsid w:val="000E1F0C"/>
    <w:rsid w:val="000E261F"/>
    <w:rsid w:val="000E3DA2"/>
    <w:rsid w:val="000E58D6"/>
    <w:rsid w:val="000E5E7A"/>
    <w:rsid w:val="000E5E9A"/>
    <w:rsid w:val="000E7938"/>
    <w:rsid w:val="000F146C"/>
    <w:rsid w:val="000F19AD"/>
    <w:rsid w:val="000F2AAB"/>
    <w:rsid w:val="000F2C38"/>
    <w:rsid w:val="000F31D3"/>
    <w:rsid w:val="000F375E"/>
    <w:rsid w:val="000F6BD0"/>
    <w:rsid w:val="00100482"/>
    <w:rsid w:val="001006C6"/>
    <w:rsid w:val="00100B75"/>
    <w:rsid w:val="00100DD3"/>
    <w:rsid w:val="00100F9A"/>
    <w:rsid w:val="001010F6"/>
    <w:rsid w:val="00101FCE"/>
    <w:rsid w:val="0010301B"/>
    <w:rsid w:val="0010358C"/>
    <w:rsid w:val="00103882"/>
    <w:rsid w:val="00104280"/>
    <w:rsid w:val="00104C44"/>
    <w:rsid w:val="00105037"/>
    <w:rsid w:val="0010630B"/>
    <w:rsid w:val="00106E33"/>
    <w:rsid w:val="001101BD"/>
    <w:rsid w:val="00111B7E"/>
    <w:rsid w:val="00112667"/>
    <w:rsid w:val="00112929"/>
    <w:rsid w:val="00112A33"/>
    <w:rsid w:val="00112CDE"/>
    <w:rsid w:val="00112DEB"/>
    <w:rsid w:val="00112EA5"/>
    <w:rsid w:val="00112EB9"/>
    <w:rsid w:val="00114026"/>
    <w:rsid w:val="0011470C"/>
    <w:rsid w:val="00114C8A"/>
    <w:rsid w:val="00114E79"/>
    <w:rsid w:val="00114F0A"/>
    <w:rsid w:val="00115664"/>
    <w:rsid w:val="001160D7"/>
    <w:rsid w:val="001162C9"/>
    <w:rsid w:val="0011637E"/>
    <w:rsid w:val="00122217"/>
    <w:rsid w:val="001222A4"/>
    <w:rsid w:val="001231E2"/>
    <w:rsid w:val="001232C3"/>
    <w:rsid w:val="00123393"/>
    <w:rsid w:val="00123C9B"/>
    <w:rsid w:val="00124BEF"/>
    <w:rsid w:val="00124FFB"/>
    <w:rsid w:val="0012555F"/>
    <w:rsid w:val="00125ED0"/>
    <w:rsid w:val="0012660F"/>
    <w:rsid w:val="001271E9"/>
    <w:rsid w:val="00127DCA"/>
    <w:rsid w:val="001328D4"/>
    <w:rsid w:val="00133231"/>
    <w:rsid w:val="00134446"/>
    <w:rsid w:val="00134A77"/>
    <w:rsid w:val="00134AB0"/>
    <w:rsid w:val="00134F82"/>
    <w:rsid w:val="00135CC1"/>
    <w:rsid w:val="00135E36"/>
    <w:rsid w:val="001364AD"/>
    <w:rsid w:val="00136549"/>
    <w:rsid w:val="001366EF"/>
    <w:rsid w:val="0013774D"/>
    <w:rsid w:val="0013783A"/>
    <w:rsid w:val="00137E05"/>
    <w:rsid w:val="0014010A"/>
    <w:rsid w:val="001409B0"/>
    <w:rsid w:val="0014153C"/>
    <w:rsid w:val="0014157B"/>
    <w:rsid w:val="00142B3E"/>
    <w:rsid w:val="00142B86"/>
    <w:rsid w:val="00143B55"/>
    <w:rsid w:val="00144878"/>
    <w:rsid w:val="001477A8"/>
    <w:rsid w:val="001479EF"/>
    <w:rsid w:val="00150E9C"/>
    <w:rsid w:val="00150FF5"/>
    <w:rsid w:val="00151362"/>
    <w:rsid w:val="001513C5"/>
    <w:rsid w:val="0015150C"/>
    <w:rsid w:val="00151863"/>
    <w:rsid w:val="00152B0A"/>
    <w:rsid w:val="00152E35"/>
    <w:rsid w:val="0015307E"/>
    <w:rsid w:val="00153D71"/>
    <w:rsid w:val="00153F96"/>
    <w:rsid w:val="001542AF"/>
    <w:rsid w:val="00156169"/>
    <w:rsid w:val="00156388"/>
    <w:rsid w:val="00157EF4"/>
    <w:rsid w:val="00157FBA"/>
    <w:rsid w:val="0016068B"/>
    <w:rsid w:val="001610A1"/>
    <w:rsid w:val="00161166"/>
    <w:rsid w:val="0016168D"/>
    <w:rsid w:val="00161BBB"/>
    <w:rsid w:val="00162831"/>
    <w:rsid w:val="0016370D"/>
    <w:rsid w:val="00163801"/>
    <w:rsid w:val="00163D38"/>
    <w:rsid w:val="00163E09"/>
    <w:rsid w:val="00163FB7"/>
    <w:rsid w:val="00164AD0"/>
    <w:rsid w:val="0016505D"/>
    <w:rsid w:val="0016564E"/>
    <w:rsid w:val="00165D40"/>
    <w:rsid w:val="00167686"/>
    <w:rsid w:val="001679AF"/>
    <w:rsid w:val="00170342"/>
    <w:rsid w:val="00172352"/>
    <w:rsid w:val="00172DD4"/>
    <w:rsid w:val="00173E18"/>
    <w:rsid w:val="00174589"/>
    <w:rsid w:val="001745AC"/>
    <w:rsid w:val="001752E0"/>
    <w:rsid w:val="0017548A"/>
    <w:rsid w:val="001773F5"/>
    <w:rsid w:val="00177415"/>
    <w:rsid w:val="0018031F"/>
    <w:rsid w:val="00180749"/>
    <w:rsid w:val="00181F69"/>
    <w:rsid w:val="0018237F"/>
    <w:rsid w:val="001823A6"/>
    <w:rsid w:val="00182F1A"/>
    <w:rsid w:val="0018360F"/>
    <w:rsid w:val="00184A09"/>
    <w:rsid w:val="00184DC1"/>
    <w:rsid w:val="00184FC0"/>
    <w:rsid w:val="00185BAF"/>
    <w:rsid w:val="0018631E"/>
    <w:rsid w:val="00186F18"/>
    <w:rsid w:val="0018748D"/>
    <w:rsid w:val="0019050C"/>
    <w:rsid w:val="001911D3"/>
    <w:rsid w:val="00191CA9"/>
    <w:rsid w:val="001921A9"/>
    <w:rsid w:val="00192A17"/>
    <w:rsid w:val="00193610"/>
    <w:rsid w:val="0019460C"/>
    <w:rsid w:val="00194A4F"/>
    <w:rsid w:val="00194A62"/>
    <w:rsid w:val="00194B98"/>
    <w:rsid w:val="00194F0C"/>
    <w:rsid w:val="001950F4"/>
    <w:rsid w:val="0019562E"/>
    <w:rsid w:val="0019597F"/>
    <w:rsid w:val="00197AE2"/>
    <w:rsid w:val="001A09FB"/>
    <w:rsid w:val="001A195A"/>
    <w:rsid w:val="001A1997"/>
    <w:rsid w:val="001A2798"/>
    <w:rsid w:val="001A2B0D"/>
    <w:rsid w:val="001A2B70"/>
    <w:rsid w:val="001A2E0E"/>
    <w:rsid w:val="001A3CCE"/>
    <w:rsid w:val="001A4322"/>
    <w:rsid w:val="001A5887"/>
    <w:rsid w:val="001A5FD1"/>
    <w:rsid w:val="001A6151"/>
    <w:rsid w:val="001A6860"/>
    <w:rsid w:val="001A68B0"/>
    <w:rsid w:val="001B032F"/>
    <w:rsid w:val="001B077C"/>
    <w:rsid w:val="001B5138"/>
    <w:rsid w:val="001B57E8"/>
    <w:rsid w:val="001B6BBF"/>
    <w:rsid w:val="001B7940"/>
    <w:rsid w:val="001B7E26"/>
    <w:rsid w:val="001C13DA"/>
    <w:rsid w:val="001C1621"/>
    <w:rsid w:val="001C29D8"/>
    <w:rsid w:val="001C31CD"/>
    <w:rsid w:val="001C354A"/>
    <w:rsid w:val="001C3826"/>
    <w:rsid w:val="001C462E"/>
    <w:rsid w:val="001C4A94"/>
    <w:rsid w:val="001C4BD6"/>
    <w:rsid w:val="001C5385"/>
    <w:rsid w:val="001C6A5E"/>
    <w:rsid w:val="001C71E0"/>
    <w:rsid w:val="001C74C3"/>
    <w:rsid w:val="001C76D1"/>
    <w:rsid w:val="001C76FE"/>
    <w:rsid w:val="001C79C2"/>
    <w:rsid w:val="001D0FB2"/>
    <w:rsid w:val="001D198D"/>
    <w:rsid w:val="001D2A2A"/>
    <w:rsid w:val="001D44F2"/>
    <w:rsid w:val="001D4FDF"/>
    <w:rsid w:val="001D578C"/>
    <w:rsid w:val="001D59B4"/>
    <w:rsid w:val="001D795F"/>
    <w:rsid w:val="001D79A7"/>
    <w:rsid w:val="001D7B77"/>
    <w:rsid w:val="001E2092"/>
    <w:rsid w:val="001E2D4F"/>
    <w:rsid w:val="001E3B27"/>
    <w:rsid w:val="001E421A"/>
    <w:rsid w:val="001E4D2C"/>
    <w:rsid w:val="001E5162"/>
    <w:rsid w:val="001E67C3"/>
    <w:rsid w:val="001E69C8"/>
    <w:rsid w:val="001E6F29"/>
    <w:rsid w:val="001F0580"/>
    <w:rsid w:val="001F1DC0"/>
    <w:rsid w:val="001F4021"/>
    <w:rsid w:val="001F4457"/>
    <w:rsid w:val="001F45F2"/>
    <w:rsid w:val="001F4D68"/>
    <w:rsid w:val="001F532D"/>
    <w:rsid w:val="001F563E"/>
    <w:rsid w:val="001F6C4E"/>
    <w:rsid w:val="001F7D54"/>
    <w:rsid w:val="002000F3"/>
    <w:rsid w:val="002013D5"/>
    <w:rsid w:val="002017EA"/>
    <w:rsid w:val="00201C7D"/>
    <w:rsid w:val="00203510"/>
    <w:rsid w:val="00203B23"/>
    <w:rsid w:val="00203B37"/>
    <w:rsid w:val="00203BCF"/>
    <w:rsid w:val="00203BF1"/>
    <w:rsid w:val="0020549D"/>
    <w:rsid w:val="002063D7"/>
    <w:rsid w:val="00207E90"/>
    <w:rsid w:val="00211210"/>
    <w:rsid w:val="00211819"/>
    <w:rsid w:val="00211D7D"/>
    <w:rsid w:val="00212153"/>
    <w:rsid w:val="00212498"/>
    <w:rsid w:val="00212773"/>
    <w:rsid w:val="00213589"/>
    <w:rsid w:val="002143D1"/>
    <w:rsid w:val="00214426"/>
    <w:rsid w:val="002154C0"/>
    <w:rsid w:val="002155D9"/>
    <w:rsid w:val="00216996"/>
    <w:rsid w:val="0021716B"/>
    <w:rsid w:val="002206D3"/>
    <w:rsid w:val="00220808"/>
    <w:rsid w:val="00221816"/>
    <w:rsid w:val="002240D8"/>
    <w:rsid w:val="0022464B"/>
    <w:rsid w:val="002272FF"/>
    <w:rsid w:val="00230FED"/>
    <w:rsid w:val="0023148D"/>
    <w:rsid w:val="002316C0"/>
    <w:rsid w:val="002317B2"/>
    <w:rsid w:val="00231A2A"/>
    <w:rsid w:val="00232025"/>
    <w:rsid w:val="002325B5"/>
    <w:rsid w:val="00232DAD"/>
    <w:rsid w:val="00234893"/>
    <w:rsid w:val="00234C27"/>
    <w:rsid w:val="0023619A"/>
    <w:rsid w:val="002363FB"/>
    <w:rsid w:val="00236DAA"/>
    <w:rsid w:val="00236E7C"/>
    <w:rsid w:val="0023733A"/>
    <w:rsid w:val="00237910"/>
    <w:rsid w:val="002408BE"/>
    <w:rsid w:val="002429CD"/>
    <w:rsid w:val="00242DC7"/>
    <w:rsid w:val="00243222"/>
    <w:rsid w:val="0024343A"/>
    <w:rsid w:val="00244E58"/>
    <w:rsid w:val="00244E73"/>
    <w:rsid w:val="00245987"/>
    <w:rsid w:val="00245D21"/>
    <w:rsid w:val="00246BC6"/>
    <w:rsid w:val="00246D04"/>
    <w:rsid w:val="002471A1"/>
    <w:rsid w:val="002503DF"/>
    <w:rsid w:val="00250D67"/>
    <w:rsid w:val="00250E89"/>
    <w:rsid w:val="002512EC"/>
    <w:rsid w:val="00251698"/>
    <w:rsid w:val="00251D1C"/>
    <w:rsid w:val="002523EA"/>
    <w:rsid w:val="00252C76"/>
    <w:rsid w:val="002532D1"/>
    <w:rsid w:val="00253302"/>
    <w:rsid w:val="00253F51"/>
    <w:rsid w:val="002542C4"/>
    <w:rsid w:val="002552E9"/>
    <w:rsid w:val="002553CF"/>
    <w:rsid w:val="00256667"/>
    <w:rsid w:val="0025694B"/>
    <w:rsid w:val="00256DAB"/>
    <w:rsid w:val="0026056D"/>
    <w:rsid w:val="00262A8E"/>
    <w:rsid w:val="00262B77"/>
    <w:rsid w:val="00262C4C"/>
    <w:rsid w:val="00262DD2"/>
    <w:rsid w:val="00263B9A"/>
    <w:rsid w:val="0026448E"/>
    <w:rsid w:val="00264949"/>
    <w:rsid w:val="0026529D"/>
    <w:rsid w:val="00265645"/>
    <w:rsid w:val="002674F1"/>
    <w:rsid w:val="00271972"/>
    <w:rsid w:val="00271E60"/>
    <w:rsid w:val="002720AF"/>
    <w:rsid w:val="0027245B"/>
    <w:rsid w:val="00272642"/>
    <w:rsid w:val="00272705"/>
    <w:rsid w:val="0027283A"/>
    <w:rsid w:val="002729D6"/>
    <w:rsid w:val="00272D2A"/>
    <w:rsid w:val="00272D6B"/>
    <w:rsid w:val="0027441B"/>
    <w:rsid w:val="002758AB"/>
    <w:rsid w:val="00276CE4"/>
    <w:rsid w:val="00280175"/>
    <w:rsid w:val="00280E9E"/>
    <w:rsid w:val="002813B7"/>
    <w:rsid w:val="002818C0"/>
    <w:rsid w:val="00281D3C"/>
    <w:rsid w:val="00281F33"/>
    <w:rsid w:val="00281FE6"/>
    <w:rsid w:val="0028276C"/>
    <w:rsid w:val="0028350F"/>
    <w:rsid w:val="002836E6"/>
    <w:rsid w:val="00284BA9"/>
    <w:rsid w:val="00285521"/>
    <w:rsid w:val="002858D3"/>
    <w:rsid w:val="00285E8F"/>
    <w:rsid w:val="00285E9F"/>
    <w:rsid w:val="0028663F"/>
    <w:rsid w:val="00287F62"/>
    <w:rsid w:val="00290238"/>
    <w:rsid w:val="0029042D"/>
    <w:rsid w:val="00290BA2"/>
    <w:rsid w:val="00290BE1"/>
    <w:rsid w:val="00290F2F"/>
    <w:rsid w:val="00291F3D"/>
    <w:rsid w:val="00292FC0"/>
    <w:rsid w:val="00293E94"/>
    <w:rsid w:val="00295588"/>
    <w:rsid w:val="002958CC"/>
    <w:rsid w:val="002962BF"/>
    <w:rsid w:val="00296CB9"/>
    <w:rsid w:val="0029746F"/>
    <w:rsid w:val="002A00A6"/>
    <w:rsid w:val="002A3804"/>
    <w:rsid w:val="002A383F"/>
    <w:rsid w:val="002A5DF9"/>
    <w:rsid w:val="002A73AB"/>
    <w:rsid w:val="002A76EA"/>
    <w:rsid w:val="002A7B05"/>
    <w:rsid w:val="002B0DB7"/>
    <w:rsid w:val="002B1093"/>
    <w:rsid w:val="002B37E9"/>
    <w:rsid w:val="002B4242"/>
    <w:rsid w:val="002B5C62"/>
    <w:rsid w:val="002B6618"/>
    <w:rsid w:val="002B6A72"/>
    <w:rsid w:val="002B79A6"/>
    <w:rsid w:val="002C16BF"/>
    <w:rsid w:val="002C28E2"/>
    <w:rsid w:val="002C2F5D"/>
    <w:rsid w:val="002C4C2B"/>
    <w:rsid w:val="002C58C7"/>
    <w:rsid w:val="002D0977"/>
    <w:rsid w:val="002D0D1A"/>
    <w:rsid w:val="002D14E2"/>
    <w:rsid w:val="002D1DA1"/>
    <w:rsid w:val="002D1ECE"/>
    <w:rsid w:val="002D232E"/>
    <w:rsid w:val="002D2338"/>
    <w:rsid w:val="002D2599"/>
    <w:rsid w:val="002D2EFF"/>
    <w:rsid w:val="002D37B5"/>
    <w:rsid w:val="002D3810"/>
    <w:rsid w:val="002D46D3"/>
    <w:rsid w:val="002D4B78"/>
    <w:rsid w:val="002D510E"/>
    <w:rsid w:val="002D54E0"/>
    <w:rsid w:val="002D64E1"/>
    <w:rsid w:val="002D67B0"/>
    <w:rsid w:val="002D68F1"/>
    <w:rsid w:val="002D695E"/>
    <w:rsid w:val="002D6E11"/>
    <w:rsid w:val="002D7437"/>
    <w:rsid w:val="002D7504"/>
    <w:rsid w:val="002D7BB5"/>
    <w:rsid w:val="002E02DF"/>
    <w:rsid w:val="002E03A9"/>
    <w:rsid w:val="002E0A94"/>
    <w:rsid w:val="002E100B"/>
    <w:rsid w:val="002E1988"/>
    <w:rsid w:val="002E3CAB"/>
    <w:rsid w:val="002E40DD"/>
    <w:rsid w:val="002E429D"/>
    <w:rsid w:val="002E4FF5"/>
    <w:rsid w:val="002E6385"/>
    <w:rsid w:val="002E7626"/>
    <w:rsid w:val="002F03C7"/>
    <w:rsid w:val="002F09F4"/>
    <w:rsid w:val="002F0E7C"/>
    <w:rsid w:val="002F1204"/>
    <w:rsid w:val="002F16C0"/>
    <w:rsid w:val="002F27F6"/>
    <w:rsid w:val="002F2BDA"/>
    <w:rsid w:val="002F4EC6"/>
    <w:rsid w:val="002F576E"/>
    <w:rsid w:val="002F65E3"/>
    <w:rsid w:val="002F67B5"/>
    <w:rsid w:val="002F7FF1"/>
    <w:rsid w:val="0030146A"/>
    <w:rsid w:val="00302EE5"/>
    <w:rsid w:val="0030327B"/>
    <w:rsid w:val="003036B2"/>
    <w:rsid w:val="00303B05"/>
    <w:rsid w:val="00303BC0"/>
    <w:rsid w:val="00303BDD"/>
    <w:rsid w:val="00304AF9"/>
    <w:rsid w:val="00305E2B"/>
    <w:rsid w:val="00307D7E"/>
    <w:rsid w:val="003101A5"/>
    <w:rsid w:val="00310562"/>
    <w:rsid w:val="00311326"/>
    <w:rsid w:val="00311DA1"/>
    <w:rsid w:val="00311EBD"/>
    <w:rsid w:val="003125FB"/>
    <w:rsid w:val="003129EE"/>
    <w:rsid w:val="00313558"/>
    <w:rsid w:val="00313633"/>
    <w:rsid w:val="0031368E"/>
    <w:rsid w:val="00314710"/>
    <w:rsid w:val="003166C1"/>
    <w:rsid w:val="003168CE"/>
    <w:rsid w:val="00320099"/>
    <w:rsid w:val="00320714"/>
    <w:rsid w:val="00321B36"/>
    <w:rsid w:val="00321FAC"/>
    <w:rsid w:val="00323AC1"/>
    <w:rsid w:val="00323F82"/>
    <w:rsid w:val="003261B7"/>
    <w:rsid w:val="003265C5"/>
    <w:rsid w:val="00326E7B"/>
    <w:rsid w:val="00326F7F"/>
    <w:rsid w:val="003270FA"/>
    <w:rsid w:val="003273AA"/>
    <w:rsid w:val="003273C6"/>
    <w:rsid w:val="00327E68"/>
    <w:rsid w:val="0033020D"/>
    <w:rsid w:val="00330346"/>
    <w:rsid w:val="003308A5"/>
    <w:rsid w:val="0033147C"/>
    <w:rsid w:val="00331877"/>
    <w:rsid w:val="00332A8D"/>
    <w:rsid w:val="00332F59"/>
    <w:rsid w:val="0033325B"/>
    <w:rsid w:val="00333606"/>
    <w:rsid w:val="00334EF0"/>
    <w:rsid w:val="00335A08"/>
    <w:rsid w:val="0033698E"/>
    <w:rsid w:val="00340011"/>
    <w:rsid w:val="003407F4"/>
    <w:rsid w:val="00341358"/>
    <w:rsid w:val="003413CC"/>
    <w:rsid w:val="00341F06"/>
    <w:rsid w:val="003428EE"/>
    <w:rsid w:val="00343FDD"/>
    <w:rsid w:val="003504CD"/>
    <w:rsid w:val="00350F82"/>
    <w:rsid w:val="00351F85"/>
    <w:rsid w:val="003521AC"/>
    <w:rsid w:val="00352BD1"/>
    <w:rsid w:val="003536AF"/>
    <w:rsid w:val="00354096"/>
    <w:rsid w:val="00354579"/>
    <w:rsid w:val="00354B51"/>
    <w:rsid w:val="00355385"/>
    <w:rsid w:val="003556A2"/>
    <w:rsid w:val="003559AD"/>
    <w:rsid w:val="003567AD"/>
    <w:rsid w:val="00356C9C"/>
    <w:rsid w:val="0035764A"/>
    <w:rsid w:val="0035796B"/>
    <w:rsid w:val="00360991"/>
    <w:rsid w:val="003616D4"/>
    <w:rsid w:val="00361A78"/>
    <w:rsid w:val="003620FC"/>
    <w:rsid w:val="00362304"/>
    <w:rsid w:val="0036325E"/>
    <w:rsid w:val="0036346A"/>
    <w:rsid w:val="0036351F"/>
    <w:rsid w:val="00363D4D"/>
    <w:rsid w:val="00363E38"/>
    <w:rsid w:val="00364E8E"/>
    <w:rsid w:val="00365420"/>
    <w:rsid w:val="00366042"/>
    <w:rsid w:val="00367DE3"/>
    <w:rsid w:val="003721E6"/>
    <w:rsid w:val="0037258A"/>
    <w:rsid w:val="003734CB"/>
    <w:rsid w:val="003741CE"/>
    <w:rsid w:val="00374AEB"/>
    <w:rsid w:val="00374B41"/>
    <w:rsid w:val="00374EE1"/>
    <w:rsid w:val="00375F4E"/>
    <w:rsid w:val="00376843"/>
    <w:rsid w:val="003775F4"/>
    <w:rsid w:val="00377F8B"/>
    <w:rsid w:val="003816C0"/>
    <w:rsid w:val="00381A4C"/>
    <w:rsid w:val="00381C87"/>
    <w:rsid w:val="00382992"/>
    <w:rsid w:val="0038316C"/>
    <w:rsid w:val="003832A8"/>
    <w:rsid w:val="00384621"/>
    <w:rsid w:val="00385913"/>
    <w:rsid w:val="00385E3F"/>
    <w:rsid w:val="003863FF"/>
    <w:rsid w:val="00386A3F"/>
    <w:rsid w:val="00390CD8"/>
    <w:rsid w:val="00391919"/>
    <w:rsid w:val="00392027"/>
    <w:rsid w:val="00392059"/>
    <w:rsid w:val="003936F3"/>
    <w:rsid w:val="003938C9"/>
    <w:rsid w:val="00394C19"/>
    <w:rsid w:val="00394C47"/>
    <w:rsid w:val="00394F12"/>
    <w:rsid w:val="0039528A"/>
    <w:rsid w:val="0039529A"/>
    <w:rsid w:val="00395E54"/>
    <w:rsid w:val="003967FA"/>
    <w:rsid w:val="00397726"/>
    <w:rsid w:val="00397C6A"/>
    <w:rsid w:val="003A1011"/>
    <w:rsid w:val="003A1060"/>
    <w:rsid w:val="003A124A"/>
    <w:rsid w:val="003A1BC6"/>
    <w:rsid w:val="003A1BE7"/>
    <w:rsid w:val="003A2B51"/>
    <w:rsid w:val="003A3940"/>
    <w:rsid w:val="003A4887"/>
    <w:rsid w:val="003A4EFE"/>
    <w:rsid w:val="003A4F4D"/>
    <w:rsid w:val="003A54F6"/>
    <w:rsid w:val="003A5BA3"/>
    <w:rsid w:val="003A6CD6"/>
    <w:rsid w:val="003A7425"/>
    <w:rsid w:val="003B00F5"/>
    <w:rsid w:val="003B0132"/>
    <w:rsid w:val="003B1C0B"/>
    <w:rsid w:val="003B2419"/>
    <w:rsid w:val="003B2E49"/>
    <w:rsid w:val="003B442B"/>
    <w:rsid w:val="003B444E"/>
    <w:rsid w:val="003B671A"/>
    <w:rsid w:val="003B76D9"/>
    <w:rsid w:val="003C08E2"/>
    <w:rsid w:val="003C1C51"/>
    <w:rsid w:val="003C2489"/>
    <w:rsid w:val="003C2BE8"/>
    <w:rsid w:val="003C4E49"/>
    <w:rsid w:val="003C5565"/>
    <w:rsid w:val="003C57C6"/>
    <w:rsid w:val="003C6714"/>
    <w:rsid w:val="003C7875"/>
    <w:rsid w:val="003C7AD2"/>
    <w:rsid w:val="003D1EE5"/>
    <w:rsid w:val="003D1F60"/>
    <w:rsid w:val="003D25CA"/>
    <w:rsid w:val="003D2A83"/>
    <w:rsid w:val="003D34F3"/>
    <w:rsid w:val="003D3616"/>
    <w:rsid w:val="003D4302"/>
    <w:rsid w:val="003D43E5"/>
    <w:rsid w:val="003D4928"/>
    <w:rsid w:val="003D53FD"/>
    <w:rsid w:val="003D54AF"/>
    <w:rsid w:val="003D5534"/>
    <w:rsid w:val="003D72A5"/>
    <w:rsid w:val="003E1243"/>
    <w:rsid w:val="003E12FB"/>
    <w:rsid w:val="003E17DF"/>
    <w:rsid w:val="003E18F1"/>
    <w:rsid w:val="003E30C5"/>
    <w:rsid w:val="003E5048"/>
    <w:rsid w:val="003E7DC6"/>
    <w:rsid w:val="003F0032"/>
    <w:rsid w:val="003F0AEB"/>
    <w:rsid w:val="003F2203"/>
    <w:rsid w:val="003F372F"/>
    <w:rsid w:val="003F3E5D"/>
    <w:rsid w:val="003F40AC"/>
    <w:rsid w:val="003F48C0"/>
    <w:rsid w:val="003F5195"/>
    <w:rsid w:val="003F6625"/>
    <w:rsid w:val="003F66C1"/>
    <w:rsid w:val="003F713D"/>
    <w:rsid w:val="003F73ED"/>
    <w:rsid w:val="004023A0"/>
    <w:rsid w:val="00403B7D"/>
    <w:rsid w:val="00403F36"/>
    <w:rsid w:val="0040406F"/>
    <w:rsid w:val="00404428"/>
    <w:rsid w:val="0040459A"/>
    <w:rsid w:val="00404C0B"/>
    <w:rsid w:val="00404F4B"/>
    <w:rsid w:val="00404FE1"/>
    <w:rsid w:val="00405B87"/>
    <w:rsid w:val="004063DD"/>
    <w:rsid w:val="00411AFD"/>
    <w:rsid w:val="00412BE6"/>
    <w:rsid w:val="00412E59"/>
    <w:rsid w:val="00413505"/>
    <w:rsid w:val="00414E47"/>
    <w:rsid w:val="00415075"/>
    <w:rsid w:val="004152F5"/>
    <w:rsid w:val="00415694"/>
    <w:rsid w:val="004169C7"/>
    <w:rsid w:val="0041779D"/>
    <w:rsid w:val="00417F5C"/>
    <w:rsid w:val="00420977"/>
    <w:rsid w:val="00421201"/>
    <w:rsid w:val="00421427"/>
    <w:rsid w:val="004231A2"/>
    <w:rsid w:val="00424746"/>
    <w:rsid w:val="00424988"/>
    <w:rsid w:val="00424B58"/>
    <w:rsid w:val="00425894"/>
    <w:rsid w:val="0042615F"/>
    <w:rsid w:val="004261F4"/>
    <w:rsid w:val="00426810"/>
    <w:rsid w:val="00426CE1"/>
    <w:rsid w:val="00426E68"/>
    <w:rsid w:val="004270E2"/>
    <w:rsid w:val="00427673"/>
    <w:rsid w:val="004278FD"/>
    <w:rsid w:val="004306FB"/>
    <w:rsid w:val="004309D7"/>
    <w:rsid w:val="00431A02"/>
    <w:rsid w:val="00431C95"/>
    <w:rsid w:val="00432822"/>
    <w:rsid w:val="00433884"/>
    <w:rsid w:val="00435E5D"/>
    <w:rsid w:val="004369F1"/>
    <w:rsid w:val="004375C9"/>
    <w:rsid w:val="004402BC"/>
    <w:rsid w:val="00440565"/>
    <w:rsid w:val="00440751"/>
    <w:rsid w:val="00441014"/>
    <w:rsid w:val="00441664"/>
    <w:rsid w:val="004418B8"/>
    <w:rsid w:val="00441C1A"/>
    <w:rsid w:val="00442D77"/>
    <w:rsid w:val="00444367"/>
    <w:rsid w:val="0044522A"/>
    <w:rsid w:val="004452BB"/>
    <w:rsid w:val="00445572"/>
    <w:rsid w:val="0044672F"/>
    <w:rsid w:val="004473CC"/>
    <w:rsid w:val="00447EBA"/>
    <w:rsid w:val="00447F0B"/>
    <w:rsid w:val="004500D6"/>
    <w:rsid w:val="00450CE5"/>
    <w:rsid w:val="00451038"/>
    <w:rsid w:val="00451E2D"/>
    <w:rsid w:val="00451ECC"/>
    <w:rsid w:val="00452327"/>
    <w:rsid w:val="00452FFB"/>
    <w:rsid w:val="00454371"/>
    <w:rsid w:val="00454613"/>
    <w:rsid w:val="00454684"/>
    <w:rsid w:val="004563CF"/>
    <w:rsid w:val="0045642E"/>
    <w:rsid w:val="004601E3"/>
    <w:rsid w:val="0046078C"/>
    <w:rsid w:val="0046161E"/>
    <w:rsid w:val="00461D07"/>
    <w:rsid w:val="004622D1"/>
    <w:rsid w:val="00462588"/>
    <w:rsid w:val="00462FF9"/>
    <w:rsid w:val="00463506"/>
    <w:rsid w:val="00463A13"/>
    <w:rsid w:val="00463B13"/>
    <w:rsid w:val="00463DDB"/>
    <w:rsid w:val="00465238"/>
    <w:rsid w:val="00465867"/>
    <w:rsid w:val="00465D9B"/>
    <w:rsid w:val="00465EBF"/>
    <w:rsid w:val="004665C8"/>
    <w:rsid w:val="0046779E"/>
    <w:rsid w:val="004679B6"/>
    <w:rsid w:val="00467B31"/>
    <w:rsid w:val="00470460"/>
    <w:rsid w:val="00470712"/>
    <w:rsid w:val="00471779"/>
    <w:rsid w:val="004729FD"/>
    <w:rsid w:val="00472EB0"/>
    <w:rsid w:val="00473AE2"/>
    <w:rsid w:val="004753FC"/>
    <w:rsid w:val="0047560E"/>
    <w:rsid w:val="00475BDB"/>
    <w:rsid w:val="00475D4B"/>
    <w:rsid w:val="00476094"/>
    <w:rsid w:val="004765D6"/>
    <w:rsid w:val="0047747D"/>
    <w:rsid w:val="00480311"/>
    <w:rsid w:val="004816ED"/>
    <w:rsid w:val="0048387C"/>
    <w:rsid w:val="00484244"/>
    <w:rsid w:val="0048562E"/>
    <w:rsid w:val="00485CBA"/>
    <w:rsid w:val="004863C6"/>
    <w:rsid w:val="00487961"/>
    <w:rsid w:val="004904DD"/>
    <w:rsid w:val="004907C6"/>
    <w:rsid w:val="00491CCF"/>
    <w:rsid w:val="00491D43"/>
    <w:rsid w:val="00491DE6"/>
    <w:rsid w:val="00491FDE"/>
    <w:rsid w:val="00492772"/>
    <w:rsid w:val="004945E1"/>
    <w:rsid w:val="00495BE1"/>
    <w:rsid w:val="004969A6"/>
    <w:rsid w:val="00496E58"/>
    <w:rsid w:val="004975D1"/>
    <w:rsid w:val="00497841"/>
    <w:rsid w:val="0049796E"/>
    <w:rsid w:val="00497A1C"/>
    <w:rsid w:val="004A07B6"/>
    <w:rsid w:val="004A0800"/>
    <w:rsid w:val="004A1D24"/>
    <w:rsid w:val="004A1D85"/>
    <w:rsid w:val="004A1EE7"/>
    <w:rsid w:val="004A2F8A"/>
    <w:rsid w:val="004A3F4B"/>
    <w:rsid w:val="004A4001"/>
    <w:rsid w:val="004A4055"/>
    <w:rsid w:val="004A60D8"/>
    <w:rsid w:val="004A6747"/>
    <w:rsid w:val="004A70EF"/>
    <w:rsid w:val="004A7458"/>
    <w:rsid w:val="004A7714"/>
    <w:rsid w:val="004B1CA0"/>
    <w:rsid w:val="004B29F3"/>
    <w:rsid w:val="004B2D6D"/>
    <w:rsid w:val="004B2F2D"/>
    <w:rsid w:val="004B364D"/>
    <w:rsid w:val="004B3DDB"/>
    <w:rsid w:val="004B4655"/>
    <w:rsid w:val="004B479D"/>
    <w:rsid w:val="004B488B"/>
    <w:rsid w:val="004B4D0E"/>
    <w:rsid w:val="004B57C5"/>
    <w:rsid w:val="004B591D"/>
    <w:rsid w:val="004B6AA0"/>
    <w:rsid w:val="004B72FD"/>
    <w:rsid w:val="004C0481"/>
    <w:rsid w:val="004C0497"/>
    <w:rsid w:val="004C08A8"/>
    <w:rsid w:val="004C097F"/>
    <w:rsid w:val="004C0CAD"/>
    <w:rsid w:val="004C195D"/>
    <w:rsid w:val="004C1E44"/>
    <w:rsid w:val="004C49A0"/>
    <w:rsid w:val="004C4AFD"/>
    <w:rsid w:val="004C5597"/>
    <w:rsid w:val="004C5E51"/>
    <w:rsid w:val="004C5F68"/>
    <w:rsid w:val="004C66A0"/>
    <w:rsid w:val="004C6B1F"/>
    <w:rsid w:val="004D0A13"/>
    <w:rsid w:val="004D0FAB"/>
    <w:rsid w:val="004D2154"/>
    <w:rsid w:val="004D289B"/>
    <w:rsid w:val="004D28B6"/>
    <w:rsid w:val="004D2AEB"/>
    <w:rsid w:val="004D33CB"/>
    <w:rsid w:val="004D6303"/>
    <w:rsid w:val="004D63EE"/>
    <w:rsid w:val="004D6A0E"/>
    <w:rsid w:val="004D7468"/>
    <w:rsid w:val="004D7882"/>
    <w:rsid w:val="004D7954"/>
    <w:rsid w:val="004D797B"/>
    <w:rsid w:val="004E02B4"/>
    <w:rsid w:val="004E059D"/>
    <w:rsid w:val="004E2762"/>
    <w:rsid w:val="004E2E32"/>
    <w:rsid w:val="004E4B24"/>
    <w:rsid w:val="004E4EB5"/>
    <w:rsid w:val="004E5622"/>
    <w:rsid w:val="004E5B0A"/>
    <w:rsid w:val="004E6F40"/>
    <w:rsid w:val="004E7312"/>
    <w:rsid w:val="004E7524"/>
    <w:rsid w:val="004E79BE"/>
    <w:rsid w:val="004F0B04"/>
    <w:rsid w:val="004F1374"/>
    <w:rsid w:val="004F1D9C"/>
    <w:rsid w:val="004F234D"/>
    <w:rsid w:val="004F3E06"/>
    <w:rsid w:val="004F41C1"/>
    <w:rsid w:val="004F4CAC"/>
    <w:rsid w:val="004F4E4F"/>
    <w:rsid w:val="004F6312"/>
    <w:rsid w:val="004F6B6A"/>
    <w:rsid w:val="004F6FF4"/>
    <w:rsid w:val="004F71E8"/>
    <w:rsid w:val="004F7C31"/>
    <w:rsid w:val="004F7C8C"/>
    <w:rsid w:val="00500840"/>
    <w:rsid w:val="00500B9F"/>
    <w:rsid w:val="0050146F"/>
    <w:rsid w:val="0050336C"/>
    <w:rsid w:val="005040BB"/>
    <w:rsid w:val="00504101"/>
    <w:rsid w:val="00505474"/>
    <w:rsid w:val="00505D44"/>
    <w:rsid w:val="005060CA"/>
    <w:rsid w:val="00506241"/>
    <w:rsid w:val="005066E2"/>
    <w:rsid w:val="00506F67"/>
    <w:rsid w:val="005077F1"/>
    <w:rsid w:val="00507B0B"/>
    <w:rsid w:val="0051064D"/>
    <w:rsid w:val="00510EFA"/>
    <w:rsid w:val="00511D09"/>
    <w:rsid w:val="00512B8C"/>
    <w:rsid w:val="0051315E"/>
    <w:rsid w:val="0051357A"/>
    <w:rsid w:val="005141EB"/>
    <w:rsid w:val="00514677"/>
    <w:rsid w:val="00514B36"/>
    <w:rsid w:val="00515D13"/>
    <w:rsid w:val="00515EC2"/>
    <w:rsid w:val="00516372"/>
    <w:rsid w:val="00516DCD"/>
    <w:rsid w:val="00517784"/>
    <w:rsid w:val="00517DC2"/>
    <w:rsid w:val="00520405"/>
    <w:rsid w:val="0052094E"/>
    <w:rsid w:val="00520E06"/>
    <w:rsid w:val="00521048"/>
    <w:rsid w:val="00521888"/>
    <w:rsid w:val="00522103"/>
    <w:rsid w:val="00522661"/>
    <w:rsid w:val="00522C85"/>
    <w:rsid w:val="005238A9"/>
    <w:rsid w:val="005240D5"/>
    <w:rsid w:val="005245BD"/>
    <w:rsid w:val="005250D1"/>
    <w:rsid w:val="005252B2"/>
    <w:rsid w:val="00525CCC"/>
    <w:rsid w:val="00526205"/>
    <w:rsid w:val="0052666A"/>
    <w:rsid w:val="00527081"/>
    <w:rsid w:val="00527474"/>
    <w:rsid w:val="00527790"/>
    <w:rsid w:val="005310B3"/>
    <w:rsid w:val="0053215A"/>
    <w:rsid w:val="00532308"/>
    <w:rsid w:val="005324B2"/>
    <w:rsid w:val="00533BC3"/>
    <w:rsid w:val="00534643"/>
    <w:rsid w:val="005353D9"/>
    <w:rsid w:val="00535A9C"/>
    <w:rsid w:val="00537A4D"/>
    <w:rsid w:val="00540727"/>
    <w:rsid w:val="00541926"/>
    <w:rsid w:val="00542107"/>
    <w:rsid w:val="00542887"/>
    <w:rsid w:val="00542CF1"/>
    <w:rsid w:val="00542E16"/>
    <w:rsid w:val="00543688"/>
    <w:rsid w:val="00544EFE"/>
    <w:rsid w:val="005450A2"/>
    <w:rsid w:val="00545456"/>
    <w:rsid w:val="00545DD4"/>
    <w:rsid w:val="00546772"/>
    <w:rsid w:val="00546B83"/>
    <w:rsid w:val="00551AE0"/>
    <w:rsid w:val="005521BA"/>
    <w:rsid w:val="00552FA7"/>
    <w:rsid w:val="0055349C"/>
    <w:rsid w:val="0055433D"/>
    <w:rsid w:val="00554588"/>
    <w:rsid w:val="00554EEB"/>
    <w:rsid w:val="005553F6"/>
    <w:rsid w:val="00556EDD"/>
    <w:rsid w:val="005605A1"/>
    <w:rsid w:val="00560B89"/>
    <w:rsid w:val="00560E9E"/>
    <w:rsid w:val="005623D9"/>
    <w:rsid w:val="00563062"/>
    <w:rsid w:val="0056369A"/>
    <w:rsid w:val="005638FE"/>
    <w:rsid w:val="00563EEC"/>
    <w:rsid w:val="005645E2"/>
    <w:rsid w:val="0056528F"/>
    <w:rsid w:val="00565501"/>
    <w:rsid w:val="0056606F"/>
    <w:rsid w:val="005669F6"/>
    <w:rsid w:val="00566B33"/>
    <w:rsid w:val="005673A5"/>
    <w:rsid w:val="00567CE6"/>
    <w:rsid w:val="005702B7"/>
    <w:rsid w:val="005730B6"/>
    <w:rsid w:val="0057394C"/>
    <w:rsid w:val="00573D3A"/>
    <w:rsid w:val="00574E1E"/>
    <w:rsid w:val="00575F19"/>
    <w:rsid w:val="005778F3"/>
    <w:rsid w:val="005779A6"/>
    <w:rsid w:val="005779D0"/>
    <w:rsid w:val="00580006"/>
    <w:rsid w:val="00582E5E"/>
    <w:rsid w:val="00584479"/>
    <w:rsid w:val="00584846"/>
    <w:rsid w:val="0058559D"/>
    <w:rsid w:val="00585A5D"/>
    <w:rsid w:val="00585BC1"/>
    <w:rsid w:val="0058616F"/>
    <w:rsid w:val="005865A9"/>
    <w:rsid w:val="00586C76"/>
    <w:rsid w:val="005871D9"/>
    <w:rsid w:val="00587760"/>
    <w:rsid w:val="00587E34"/>
    <w:rsid w:val="005924EE"/>
    <w:rsid w:val="00593345"/>
    <w:rsid w:val="00595287"/>
    <w:rsid w:val="00595D6C"/>
    <w:rsid w:val="005962AD"/>
    <w:rsid w:val="0059735B"/>
    <w:rsid w:val="005A018C"/>
    <w:rsid w:val="005A02D4"/>
    <w:rsid w:val="005A10A8"/>
    <w:rsid w:val="005A17B6"/>
    <w:rsid w:val="005A1800"/>
    <w:rsid w:val="005A2061"/>
    <w:rsid w:val="005A212D"/>
    <w:rsid w:val="005A21A1"/>
    <w:rsid w:val="005A4092"/>
    <w:rsid w:val="005A45AC"/>
    <w:rsid w:val="005A58B3"/>
    <w:rsid w:val="005A595A"/>
    <w:rsid w:val="005A6028"/>
    <w:rsid w:val="005A60B2"/>
    <w:rsid w:val="005A681A"/>
    <w:rsid w:val="005A7CB9"/>
    <w:rsid w:val="005A7EB9"/>
    <w:rsid w:val="005B0078"/>
    <w:rsid w:val="005B0B63"/>
    <w:rsid w:val="005B0E49"/>
    <w:rsid w:val="005B1730"/>
    <w:rsid w:val="005B1BF1"/>
    <w:rsid w:val="005B4366"/>
    <w:rsid w:val="005B44AA"/>
    <w:rsid w:val="005B4ECA"/>
    <w:rsid w:val="005B5F7A"/>
    <w:rsid w:val="005B6FB4"/>
    <w:rsid w:val="005C0702"/>
    <w:rsid w:val="005C139C"/>
    <w:rsid w:val="005C4C66"/>
    <w:rsid w:val="005C6077"/>
    <w:rsid w:val="005C7AD1"/>
    <w:rsid w:val="005D187E"/>
    <w:rsid w:val="005D1893"/>
    <w:rsid w:val="005D3357"/>
    <w:rsid w:val="005D36A2"/>
    <w:rsid w:val="005D3EC1"/>
    <w:rsid w:val="005D3ED0"/>
    <w:rsid w:val="005D5D4B"/>
    <w:rsid w:val="005D72BB"/>
    <w:rsid w:val="005E009D"/>
    <w:rsid w:val="005E0516"/>
    <w:rsid w:val="005E0BFB"/>
    <w:rsid w:val="005E170C"/>
    <w:rsid w:val="005E3184"/>
    <w:rsid w:val="005E3B9B"/>
    <w:rsid w:val="005E3C83"/>
    <w:rsid w:val="005E4885"/>
    <w:rsid w:val="005E48CD"/>
    <w:rsid w:val="005E4AA5"/>
    <w:rsid w:val="005E4C5F"/>
    <w:rsid w:val="005E517E"/>
    <w:rsid w:val="005E5E14"/>
    <w:rsid w:val="005E634E"/>
    <w:rsid w:val="005E64ED"/>
    <w:rsid w:val="005E65B6"/>
    <w:rsid w:val="005E6AB3"/>
    <w:rsid w:val="005E7B7C"/>
    <w:rsid w:val="005F06EC"/>
    <w:rsid w:val="005F2B01"/>
    <w:rsid w:val="005F3597"/>
    <w:rsid w:val="005F447C"/>
    <w:rsid w:val="005F44A8"/>
    <w:rsid w:val="005F45FB"/>
    <w:rsid w:val="005F532F"/>
    <w:rsid w:val="005F5762"/>
    <w:rsid w:val="005F5B38"/>
    <w:rsid w:val="005F5ED7"/>
    <w:rsid w:val="005F73D4"/>
    <w:rsid w:val="005F7B2F"/>
    <w:rsid w:val="006007D3"/>
    <w:rsid w:val="00600CA1"/>
    <w:rsid w:val="0060189D"/>
    <w:rsid w:val="00601DAD"/>
    <w:rsid w:val="00601DE1"/>
    <w:rsid w:val="00602882"/>
    <w:rsid w:val="00602887"/>
    <w:rsid w:val="00602E5B"/>
    <w:rsid w:val="00603541"/>
    <w:rsid w:val="00603947"/>
    <w:rsid w:val="00603ACB"/>
    <w:rsid w:val="00603AE4"/>
    <w:rsid w:val="00604190"/>
    <w:rsid w:val="0060424F"/>
    <w:rsid w:val="006049AC"/>
    <w:rsid w:val="00604C85"/>
    <w:rsid w:val="00605AE3"/>
    <w:rsid w:val="006112A4"/>
    <w:rsid w:val="00611D52"/>
    <w:rsid w:val="006132C4"/>
    <w:rsid w:val="00613776"/>
    <w:rsid w:val="00614145"/>
    <w:rsid w:val="00614FCA"/>
    <w:rsid w:val="00616537"/>
    <w:rsid w:val="006165E8"/>
    <w:rsid w:val="006165F6"/>
    <w:rsid w:val="0062091B"/>
    <w:rsid w:val="00620FC5"/>
    <w:rsid w:val="006218CE"/>
    <w:rsid w:val="00621D03"/>
    <w:rsid w:val="00626D4D"/>
    <w:rsid w:val="00627060"/>
    <w:rsid w:val="006303EA"/>
    <w:rsid w:val="00631463"/>
    <w:rsid w:val="006315DA"/>
    <w:rsid w:val="00632002"/>
    <w:rsid w:val="00632C73"/>
    <w:rsid w:val="00633CC6"/>
    <w:rsid w:val="0063459E"/>
    <w:rsid w:val="006348DC"/>
    <w:rsid w:val="00634E91"/>
    <w:rsid w:val="0063565B"/>
    <w:rsid w:val="00635C8F"/>
    <w:rsid w:val="0063660D"/>
    <w:rsid w:val="0063685F"/>
    <w:rsid w:val="006371B8"/>
    <w:rsid w:val="00637593"/>
    <w:rsid w:val="00640195"/>
    <w:rsid w:val="00640F45"/>
    <w:rsid w:val="00642CBA"/>
    <w:rsid w:val="00643832"/>
    <w:rsid w:val="00643DD2"/>
    <w:rsid w:val="00645DB6"/>
    <w:rsid w:val="00646201"/>
    <w:rsid w:val="006462ED"/>
    <w:rsid w:val="0064645B"/>
    <w:rsid w:val="006471E2"/>
    <w:rsid w:val="00647606"/>
    <w:rsid w:val="00647782"/>
    <w:rsid w:val="006503F9"/>
    <w:rsid w:val="006517EA"/>
    <w:rsid w:val="00651D95"/>
    <w:rsid w:val="00652E8B"/>
    <w:rsid w:val="00652F5F"/>
    <w:rsid w:val="00653951"/>
    <w:rsid w:val="00653DB6"/>
    <w:rsid w:val="00654A0B"/>
    <w:rsid w:val="00654F70"/>
    <w:rsid w:val="006550B6"/>
    <w:rsid w:val="00656AB1"/>
    <w:rsid w:val="00656B51"/>
    <w:rsid w:val="00657EAB"/>
    <w:rsid w:val="006603B6"/>
    <w:rsid w:val="00660C51"/>
    <w:rsid w:val="00661939"/>
    <w:rsid w:val="00661C50"/>
    <w:rsid w:val="00661F8A"/>
    <w:rsid w:val="00662327"/>
    <w:rsid w:val="00663CF0"/>
    <w:rsid w:val="006645C8"/>
    <w:rsid w:val="00664694"/>
    <w:rsid w:val="00665126"/>
    <w:rsid w:val="00670040"/>
    <w:rsid w:val="00670C78"/>
    <w:rsid w:val="0067214E"/>
    <w:rsid w:val="00672166"/>
    <w:rsid w:val="00672392"/>
    <w:rsid w:val="006724F3"/>
    <w:rsid w:val="0067409C"/>
    <w:rsid w:val="0067542F"/>
    <w:rsid w:val="00676207"/>
    <w:rsid w:val="00676A17"/>
    <w:rsid w:val="00676ABF"/>
    <w:rsid w:val="00676F20"/>
    <w:rsid w:val="006774F2"/>
    <w:rsid w:val="00681694"/>
    <w:rsid w:val="00681A80"/>
    <w:rsid w:val="006822D7"/>
    <w:rsid w:val="00683D77"/>
    <w:rsid w:val="0068445C"/>
    <w:rsid w:val="00685416"/>
    <w:rsid w:val="006855F7"/>
    <w:rsid w:val="00686BFA"/>
    <w:rsid w:val="00687599"/>
    <w:rsid w:val="00687CC7"/>
    <w:rsid w:val="0069158C"/>
    <w:rsid w:val="006926AE"/>
    <w:rsid w:val="00693797"/>
    <w:rsid w:val="00693F82"/>
    <w:rsid w:val="006940C4"/>
    <w:rsid w:val="006941BC"/>
    <w:rsid w:val="0069420D"/>
    <w:rsid w:val="0069426B"/>
    <w:rsid w:val="006943DD"/>
    <w:rsid w:val="00694E88"/>
    <w:rsid w:val="006950F0"/>
    <w:rsid w:val="00696B92"/>
    <w:rsid w:val="006A1054"/>
    <w:rsid w:val="006A233A"/>
    <w:rsid w:val="006A3D50"/>
    <w:rsid w:val="006A4219"/>
    <w:rsid w:val="006A4357"/>
    <w:rsid w:val="006A47DC"/>
    <w:rsid w:val="006A5D6E"/>
    <w:rsid w:val="006A6F0C"/>
    <w:rsid w:val="006A6F98"/>
    <w:rsid w:val="006A72A5"/>
    <w:rsid w:val="006A76AA"/>
    <w:rsid w:val="006A7722"/>
    <w:rsid w:val="006B0441"/>
    <w:rsid w:val="006B12FF"/>
    <w:rsid w:val="006B1E48"/>
    <w:rsid w:val="006B1F0F"/>
    <w:rsid w:val="006B2EB8"/>
    <w:rsid w:val="006B33D4"/>
    <w:rsid w:val="006B34B0"/>
    <w:rsid w:val="006B3C64"/>
    <w:rsid w:val="006B4FCF"/>
    <w:rsid w:val="006B51E3"/>
    <w:rsid w:val="006B58AA"/>
    <w:rsid w:val="006B596F"/>
    <w:rsid w:val="006B76BE"/>
    <w:rsid w:val="006C2897"/>
    <w:rsid w:val="006C28F1"/>
    <w:rsid w:val="006C32CB"/>
    <w:rsid w:val="006C381F"/>
    <w:rsid w:val="006C394D"/>
    <w:rsid w:val="006C46CE"/>
    <w:rsid w:val="006C59AA"/>
    <w:rsid w:val="006C61CB"/>
    <w:rsid w:val="006C7B11"/>
    <w:rsid w:val="006D07CC"/>
    <w:rsid w:val="006D1A0F"/>
    <w:rsid w:val="006D2563"/>
    <w:rsid w:val="006D2905"/>
    <w:rsid w:val="006D34BD"/>
    <w:rsid w:val="006D3763"/>
    <w:rsid w:val="006D3DA2"/>
    <w:rsid w:val="006D5D6E"/>
    <w:rsid w:val="006D65D9"/>
    <w:rsid w:val="006D6785"/>
    <w:rsid w:val="006D7230"/>
    <w:rsid w:val="006D76B6"/>
    <w:rsid w:val="006D7C24"/>
    <w:rsid w:val="006E1C53"/>
    <w:rsid w:val="006E3BD9"/>
    <w:rsid w:val="006E456E"/>
    <w:rsid w:val="006E47E4"/>
    <w:rsid w:val="006E48F2"/>
    <w:rsid w:val="006E6382"/>
    <w:rsid w:val="006E63D8"/>
    <w:rsid w:val="006E7FA4"/>
    <w:rsid w:val="006F0CCF"/>
    <w:rsid w:val="006F0CDA"/>
    <w:rsid w:val="006F1D0D"/>
    <w:rsid w:val="006F2024"/>
    <w:rsid w:val="006F217C"/>
    <w:rsid w:val="006F2406"/>
    <w:rsid w:val="006F240B"/>
    <w:rsid w:val="006F2429"/>
    <w:rsid w:val="006F32DB"/>
    <w:rsid w:val="006F63EB"/>
    <w:rsid w:val="006F66F2"/>
    <w:rsid w:val="006F73E7"/>
    <w:rsid w:val="006F7442"/>
    <w:rsid w:val="006F7AF3"/>
    <w:rsid w:val="006F7D1E"/>
    <w:rsid w:val="007004F8"/>
    <w:rsid w:val="00701B79"/>
    <w:rsid w:val="007022E8"/>
    <w:rsid w:val="0070249A"/>
    <w:rsid w:val="00704599"/>
    <w:rsid w:val="007047AE"/>
    <w:rsid w:val="00704D99"/>
    <w:rsid w:val="0070547C"/>
    <w:rsid w:val="00705727"/>
    <w:rsid w:val="00705E6A"/>
    <w:rsid w:val="007061DA"/>
    <w:rsid w:val="00706A29"/>
    <w:rsid w:val="00707212"/>
    <w:rsid w:val="007115E8"/>
    <w:rsid w:val="007161FC"/>
    <w:rsid w:val="00716409"/>
    <w:rsid w:val="00716DE3"/>
    <w:rsid w:val="00716EC6"/>
    <w:rsid w:val="00717929"/>
    <w:rsid w:val="00720124"/>
    <w:rsid w:val="007209FC"/>
    <w:rsid w:val="00721EA6"/>
    <w:rsid w:val="00721EFB"/>
    <w:rsid w:val="00722525"/>
    <w:rsid w:val="00722795"/>
    <w:rsid w:val="007229AC"/>
    <w:rsid w:val="00723563"/>
    <w:rsid w:val="007235C5"/>
    <w:rsid w:val="00723BAB"/>
    <w:rsid w:val="0072433D"/>
    <w:rsid w:val="00724908"/>
    <w:rsid w:val="0072526D"/>
    <w:rsid w:val="0072659B"/>
    <w:rsid w:val="00726E9C"/>
    <w:rsid w:val="007274D1"/>
    <w:rsid w:val="00727628"/>
    <w:rsid w:val="007276A9"/>
    <w:rsid w:val="0073083A"/>
    <w:rsid w:val="00730C6F"/>
    <w:rsid w:val="00731A55"/>
    <w:rsid w:val="00731B96"/>
    <w:rsid w:val="00732981"/>
    <w:rsid w:val="00732CAB"/>
    <w:rsid w:val="00732EDD"/>
    <w:rsid w:val="0073386B"/>
    <w:rsid w:val="007343AC"/>
    <w:rsid w:val="00734545"/>
    <w:rsid w:val="00737418"/>
    <w:rsid w:val="007377CB"/>
    <w:rsid w:val="00737A24"/>
    <w:rsid w:val="00737D29"/>
    <w:rsid w:val="00737ECD"/>
    <w:rsid w:val="00740D71"/>
    <w:rsid w:val="00741CBF"/>
    <w:rsid w:val="00742665"/>
    <w:rsid w:val="00742DC9"/>
    <w:rsid w:val="0074414B"/>
    <w:rsid w:val="00744A65"/>
    <w:rsid w:val="0074621C"/>
    <w:rsid w:val="00746E43"/>
    <w:rsid w:val="007472F0"/>
    <w:rsid w:val="00750521"/>
    <w:rsid w:val="007518D4"/>
    <w:rsid w:val="0075191C"/>
    <w:rsid w:val="007527AD"/>
    <w:rsid w:val="00752A0E"/>
    <w:rsid w:val="00753227"/>
    <w:rsid w:val="00753362"/>
    <w:rsid w:val="007534FC"/>
    <w:rsid w:val="00754EC9"/>
    <w:rsid w:val="007553AF"/>
    <w:rsid w:val="00755BE0"/>
    <w:rsid w:val="00756283"/>
    <w:rsid w:val="00756455"/>
    <w:rsid w:val="007578EF"/>
    <w:rsid w:val="007603AB"/>
    <w:rsid w:val="007619DC"/>
    <w:rsid w:val="00761CF2"/>
    <w:rsid w:val="0076468F"/>
    <w:rsid w:val="007646BF"/>
    <w:rsid w:val="0076491E"/>
    <w:rsid w:val="00765ABE"/>
    <w:rsid w:val="00765DB9"/>
    <w:rsid w:val="00765EEF"/>
    <w:rsid w:val="00766ED3"/>
    <w:rsid w:val="007675B3"/>
    <w:rsid w:val="0076775B"/>
    <w:rsid w:val="007709C6"/>
    <w:rsid w:val="00771B0C"/>
    <w:rsid w:val="0077229D"/>
    <w:rsid w:val="00773026"/>
    <w:rsid w:val="00773725"/>
    <w:rsid w:val="00775090"/>
    <w:rsid w:val="0077581E"/>
    <w:rsid w:val="0077721C"/>
    <w:rsid w:val="00777FA9"/>
    <w:rsid w:val="0078074D"/>
    <w:rsid w:val="00780E31"/>
    <w:rsid w:val="007812DC"/>
    <w:rsid w:val="007813A2"/>
    <w:rsid w:val="0078211D"/>
    <w:rsid w:val="00785B25"/>
    <w:rsid w:val="007861FE"/>
    <w:rsid w:val="00786D0C"/>
    <w:rsid w:val="007873D6"/>
    <w:rsid w:val="00787C69"/>
    <w:rsid w:val="00787EDF"/>
    <w:rsid w:val="00790A19"/>
    <w:rsid w:val="0079138C"/>
    <w:rsid w:val="00791D07"/>
    <w:rsid w:val="007942C0"/>
    <w:rsid w:val="0079434D"/>
    <w:rsid w:val="00794B3E"/>
    <w:rsid w:val="00796CB0"/>
    <w:rsid w:val="007978C0"/>
    <w:rsid w:val="007A0176"/>
    <w:rsid w:val="007A0C0C"/>
    <w:rsid w:val="007A1283"/>
    <w:rsid w:val="007A12A3"/>
    <w:rsid w:val="007A15B7"/>
    <w:rsid w:val="007A1D4C"/>
    <w:rsid w:val="007A3D0C"/>
    <w:rsid w:val="007A5C91"/>
    <w:rsid w:val="007A6351"/>
    <w:rsid w:val="007A6B03"/>
    <w:rsid w:val="007A6BEA"/>
    <w:rsid w:val="007A72D8"/>
    <w:rsid w:val="007A7D93"/>
    <w:rsid w:val="007B0638"/>
    <w:rsid w:val="007B0B87"/>
    <w:rsid w:val="007B1B9B"/>
    <w:rsid w:val="007B1C1B"/>
    <w:rsid w:val="007B2193"/>
    <w:rsid w:val="007B324A"/>
    <w:rsid w:val="007B35B4"/>
    <w:rsid w:val="007B35C6"/>
    <w:rsid w:val="007B3695"/>
    <w:rsid w:val="007B3931"/>
    <w:rsid w:val="007B50C2"/>
    <w:rsid w:val="007B5268"/>
    <w:rsid w:val="007B5414"/>
    <w:rsid w:val="007B5BD4"/>
    <w:rsid w:val="007B72EE"/>
    <w:rsid w:val="007B7591"/>
    <w:rsid w:val="007B77CE"/>
    <w:rsid w:val="007B7E49"/>
    <w:rsid w:val="007C08AE"/>
    <w:rsid w:val="007C1104"/>
    <w:rsid w:val="007C1418"/>
    <w:rsid w:val="007C1780"/>
    <w:rsid w:val="007C1E18"/>
    <w:rsid w:val="007C208E"/>
    <w:rsid w:val="007C2D92"/>
    <w:rsid w:val="007C2E61"/>
    <w:rsid w:val="007C49FC"/>
    <w:rsid w:val="007C6059"/>
    <w:rsid w:val="007C64AB"/>
    <w:rsid w:val="007C7539"/>
    <w:rsid w:val="007C77A7"/>
    <w:rsid w:val="007C7B05"/>
    <w:rsid w:val="007D07F8"/>
    <w:rsid w:val="007D25A3"/>
    <w:rsid w:val="007D4291"/>
    <w:rsid w:val="007D4F77"/>
    <w:rsid w:val="007D55A3"/>
    <w:rsid w:val="007D5BCC"/>
    <w:rsid w:val="007D671F"/>
    <w:rsid w:val="007D7C66"/>
    <w:rsid w:val="007E0949"/>
    <w:rsid w:val="007E0B52"/>
    <w:rsid w:val="007E0D00"/>
    <w:rsid w:val="007E0FB1"/>
    <w:rsid w:val="007E182C"/>
    <w:rsid w:val="007E19E9"/>
    <w:rsid w:val="007E2B05"/>
    <w:rsid w:val="007E2C7E"/>
    <w:rsid w:val="007E3AA9"/>
    <w:rsid w:val="007E4149"/>
    <w:rsid w:val="007E4196"/>
    <w:rsid w:val="007E456C"/>
    <w:rsid w:val="007E4693"/>
    <w:rsid w:val="007E5163"/>
    <w:rsid w:val="007E52FD"/>
    <w:rsid w:val="007E5B37"/>
    <w:rsid w:val="007E687B"/>
    <w:rsid w:val="007F027C"/>
    <w:rsid w:val="007F03D7"/>
    <w:rsid w:val="007F1031"/>
    <w:rsid w:val="007F1BE3"/>
    <w:rsid w:val="007F2320"/>
    <w:rsid w:val="007F281B"/>
    <w:rsid w:val="007F2AC7"/>
    <w:rsid w:val="007F3BD6"/>
    <w:rsid w:val="007F4762"/>
    <w:rsid w:val="007F5307"/>
    <w:rsid w:val="007F59DB"/>
    <w:rsid w:val="007F5D22"/>
    <w:rsid w:val="007F614F"/>
    <w:rsid w:val="007F63C9"/>
    <w:rsid w:val="007F6F83"/>
    <w:rsid w:val="007F7161"/>
    <w:rsid w:val="007F7F97"/>
    <w:rsid w:val="00800363"/>
    <w:rsid w:val="00800560"/>
    <w:rsid w:val="008010CC"/>
    <w:rsid w:val="00803346"/>
    <w:rsid w:val="00803412"/>
    <w:rsid w:val="0080367C"/>
    <w:rsid w:val="00803B68"/>
    <w:rsid w:val="008043B4"/>
    <w:rsid w:val="00804482"/>
    <w:rsid w:val="008052BE"/>
    <w:rsid w:val="00805BEF"/>
    <w:rsid w:val="00807FB7"/>
    <w:rsid w:val="008110B7"/>
    <w:rsid w:val="008115E0"/>
    <w:rsid w:val="00811CFE"/>
    <w:rsid w:val="008126C4"/>
    <w:rsid w:val="00812A92"/>
    <w:rsid w:val="00812DED"/>
    <w:rsid w:val="008132A4"/>
    <w:rsid w:val="008133DF"/>
    <w:rsid w:val="00813497"/>
    <w:rsid w:val="008138EE"/>
    <w:rsid w:val="008143AF"/>
    <w:rsid w:val="00814F0F"/>
    <w:rsid w:val="00815622"/>
    <w:rsid w:val="008160CB"/>
    <w:rsid w:val="00817111"/>
    <w:rsid w:val="008175D8"/>
    <w:rsid w:val="00820098"/>
    <w:rsid w:val="008200CD"/>
    <w:rsid w:val="008200EC"/>
    <w:rsid w:val="00820474"/>
    <w:rsid w:val="00820927"/>
    <w:rsid w:val="0082107A"/>
    <w:rsid w:val="00821ED4"/>
    <w:rsid w:val="00822694"/>
    <w:rsid w:val="00822B75"/>
    <w:rsid w:val="00822CB4"/>
    <w:rsid w:val="008231D4"/>
    <w:rsid w:val="008236B9"/>
    <w:rsid w:val="008238C1"/>
    <w:rsid w:val="00824F91"/>
    <w:rsid w:val="00825186"/>
    <w:rsid w:val="00825209"/>
    <w:rsid w:val="00826231"/>
    <w:rsid w:val="008262B8"/>
    <w:rsid w:val="00827481"/>
    <w:rsid w:val="00827C33"/>
    <w:rsid w:val="0083119A"/>
    <w:rsid w:val="00831D44"/>
    <w:rsid w:val="00831EDC"/>
    <w:rsid w:val="00831F2E"/>
    <w:rsid w:val="00832667"/>
    <w:rsid w:val="00832801"/>
    <w:rsid w:val="008329B5"/>
    <w:rsid w:val="00834BD4"/>
    <w:rsid w:val="00835702"/>
    <w:rsid w:val="00835862"/>
    <w:rsid w:val="00835A38"/>
    <w:rsid w:val="00835D9F"/>
    <w:rsid w:val="00835F09"/>
    <w:rsid w:val="00837E07"/>
    <w:rsid w:val="008403D8"/>
    <w:rsid w:val="00840B7D"/>
    <w:rsid w:val="00841F06"/>
    <w:rsid w:val="00842DD3"/>
    <w:rsid w:val="00843D1D"/>
    <w:rsid w:val="0084514E"/>
    <w:rsid w:val="00847316"/>
    <w:rsid w:val="00847F32"/>
    <w:rsid w:val="00850540"/>
    <w:rsid w:val="0085107C"/>
    <w:rsid w:val="00851E44"/>
    <w:rsid w:val="00852294"/>
    <w:rsid w:val="008523CC"/>
    <w:rsid w:val="00855AFC"/>
    <w:rsid w:val="00855AFE"/>
    <w:rsid w:val="00856235"/>
    <w:rsid w:val="00856D7C"/>
    <w:rsid w:val="00857AD9"/>
    <w:rsid w:val="008617F6"/>
    <w:rsid w:val="008621DB"/>
    <w:rsid w:val="00863F29"/>
    <w:rsid w:val="00864188"/>
    <w:rsid w:val="008647D8"/>
    <w:rsid w:val="00865525"/>
    <w:rsid w:val="00865D6B"/>
    <w:rsid w:val="00865D87"/>
    <w:rsid w:val="00866A0D"/>
    <w:rsid w:val="00866BBB"/>
    <w:rsid w:val="00867C5A"/>
    <w:rsid w:val="00871048"/>
    <w:rsid w:val="0087105E"/>
    <w:rsid w:val="00871783"/>
    <w:rsid w:val="00871841"/>
    <w:rsid w:val="00871CF6"/>
    <w:rsid w:val="008726FE"/>
    <w:rsid w:val="00872F23"/>
    <w:rsid w:val="00873782"/>
    <w:rsid w:val="00873AAC"/>
    <w:rsid w:val="008745DD"/>
    <w:rsid w:val="0087485A"/>
    <w:rsid w:val="00874915"/>
    <w:rsid w:val="008751EC"/>
    <w:rsid w:val="00875C2F"/>
    <w:rsid w:val="0087605B"/>
    <w:rsid w:val="00876A00"/>
    <w:rsid w:val="008774EA"/>
    <w:rsid w:val="00880AAF"/>
    <w:rsid w:val="0088216E"/>
    <w:rsid w:val="008821BA"/>
    <w:rsid w:val="00883651"/>
    <w:rsid w:val="00883907"/>
    <w:rsid w:val="00884B8E"/>
    <w:rsid w:val="00885162"/>
    <w:rsid w:val="008854CB"/>
    <w:rsid w:val="00885F29"/>
    <w:rsid w:val="00887B9F"/>
    <w:rsid w:val="00887C05"/>
    <w:rsid w:val="00887F7A"/>
    <w:rsid w:val="00890159"/>
    <w:rsid w:val="0089156E"/>
    <w:rsid w:val="00891D64"/>
    <w:rsid w:val="00891D96"/>
    <w:rsid w:val="0089368F"/>
    <w:rsid w:val="00893B42"/>
    <w:rsid w:val="00893FE8"/>
    <w:rsid w:val="0089405A"/>
    <w:rsid w:val="0089541B"/>
    <w:rsid w:val="008962DD"/>
    <w:rsid w:val="00896FD6"/>
    <w:rsid w:val="00897653"/>
    <w:rsid w:val="008A04E0"/>
    <w:rsid w:val="008A06BB"/>
    <w:rsid w:val="008A15B2"/>
    <w:rsid w:val="008A1856"/>
    <w:rsid w:val="008A2086"/>
    <w:rsid w:val="008A214C"/>
    <w:rsid w:val="008A21EA"/>
    <w:rsid w:val="008A2609"/>
    <w:rsid w:val="008A309A"/>
    <w:rsid w:val="008A3370"/>
    <w:rsid w:val="008A38A2"/>
    <w:rsid w:val="008A3D4F"/>
    <w:rsid w:val="008A54B8"/>
    <w:rsid w:val="008A673C"/>
    <w:rsid w:val="008B0893"/>
    <w:rsid w:val="008B12B2"/>
    <w:rsid w:val="008B2472"/>
    <w:rsid w:val="008B40D1"/>
    <w:rsid w:val="008B4698"/>
    <w:rsid w:val="008B4835"/>
    <w:rsid w:val="008B6074"/>
    <w:rsid w:val="008B6244"/>
    <w:rsid w:val="008B6678"/>
    <w:rsid w:val="008B7A7A"/>
    <w:rsid w:val="008B7C75"/>
    <w:rsid w:val="008C0944"/>
    <w:rsid w:val="008C0ED4"/>
    <w:rsid w:val="008C1016"/>
    <w:rsid w:val="008C26C3"/>
    <w:rsid w:val="008C2F86"/>
    <w:rsid w:val="008C3B6C"/>
    <w:rsid w:val="008C4813"/>
    <w:rsid w:val="008C60BC"/>
    <w:rsid w:val="008C6712"/>
    <w:rsid w:val="008C6960"/>
    <w:rsid w:val="008C6A99"/>
    <w:rsid w:val="008C6E1D"/>
    <w:rsid w:val="008C7315"/>
    <w:rsid w:val="008C7B6F"/>
    <w:rsid w:val="008D03F1"/>
    <w:rsid w:val="008D091E"/>
    <w:rsid w:val="008D15A6"/>
    <w:rsid w:val="008D23F5"/>
    <w:rsid w:val="008D3641"/>
    <w:rsid w:val="008D37B8"/>
    <w:rsid w:val="008D3E79"/>
    <w:rsid w:val="008D53E9"/>
    <w:rsid w:val="008D5999"/>
    <w:rsid w:val="008D5F96"/>
    <w:rsid w:val="008E08B3"/>
    <w:rsid w:val="008E1271"/>
    <w:rsid w:val="008E1473"/>
    <w:rsid w:val="008E16F5"/>
    <w:rsid w:val="008E25F7"/>
    <w:rsid w:val="008E275B"/>
    <w:rsid w:val="008E5351"/>
    <w:rsid w:val="008E59B3"/>
    <w:rsid w:val="008E785E"/>
    <w:rsid w:val="008E7BEE"/>
    <w:rsid w:val="008E7C94"/>
    <w:rsid w:val="008F137B"/>
    <w:rsid w:val="008F2AF1"/>
    <w:rsid w:val="008F32A1"/>
    <w:rsid w:val="008F3BFC"/>
    <w:rsid w:val="008F3CFC"/>
    <w:rsid w:val="008F4384"/>
    <w:rsid w:val="008F4ADE"/>
    <w:rsid w:val="008F6D91"/>
    <w:rsid w:val="008F74A9"/>
    <w:rsid w:val="008F7D6C"/>
    <w:rsid w:val="00900922"/>
    <w:rsid w:val="0090116D"/>
    <w:rsid w:val="009017C6"/>
    <w:rsid w:val="00902042"/>
    <w:rsid w:val="00902392"/>
    <w:rsid w:val="00902CEB"/>
    <w:rsid w:val="009038BF"/>
    <w:rsid w:val="00903A71"/>
    <w:rsid w:val="00903DE1"/>
    <w:rsid w:val="0090422C"/>
    <w:rsid w:val="0090596A"/>
    <w:rsid w:val="00906060"/>
    <w:rsid w:val="0090665E"/>
    <w:rsid w:val="00907733"/>
    <w:rsid w:val="0091023F"/>
    <w:rsid w:val="009102E8"/>
    <w:rsid w:val="00910905"/>
    <w:rsid w:val="00910ABC"/>
    <w:rsid w:val="009120A8"/>
    <w:rsid w:val="009133E4"/>
    <w:rsid w:val="009140AF"/>
    <w:rsid w:val="00914559"/>
    <w:rsid w:val="009145F2"/>
    <w:rsid w:val="00914FEE"/>
    <w:rsid w:val="00915642"/>
    <w:rsid w:val="0091639B"/>
    <w:rsid w:val="00916519"/>
    <w:rsid w:val="0091670F"/>
    <w:rsid w:val="009170A4"/>
    <w:rsid w:val="009211EE"/>
    <w:rsid w:val="00921B32"/>
    <w:rsid w:val="00921C81"/>
    <w:rsid w:val="00922213"/>
    <w:rsid w:val="009229CD"/>
    <w:rsid w:val="00922E09"/>
    <w:rsid w:val="00922F92"/>
    <w:rsid w:val="0092310E"/>
    <w:rsid w:val="00923FF8"/>
    <w:rsid w:val="00924877"/>
    <w:rsid w:val="009250C4"/>
    <w:rsid w:val="009254BB"/>
    <w:rsid w:val="0092591F"/>
    <w:rsid w:val="00926DCF"/>
    <w:rsid w:val="009273E4"/>
    <w:rsid w:val="00927BD9"/>
    <w:rsid w:val="00930407"/>
    <w:rsid w:val="009307F9"/>
    <w:rsid w:val="00933C42"/>
    <w:rsid w:val="00935266"/>
    <w:rsid w:val="00935AE7"/>
    <w:rsid w:val="009368EA"/>
    <w:rsid w:val="00937EC1"/>
    <w:rsid w:val="00941AF0"/>
    <w:rsid w:val="00942757"/>
    <w:rsid w:val="0094467B"/>
    <w:rsid w:val="00944EDE"/>
    <w:rsid w:val="009452AA"/>
    <w:rsid w:val="00947782"/>
    <w:rsid w:val="00950A68"/>
    <w:rsid w:val="009517A4"/>
    <w:rsid w:val="00951DEF"/>
    <w:rsid w:val="00951F39"/>
    <w:rsid w:val="009543C2"/>
    <w:rsid w:val="00954D46"/>
    <w:rsid w:val="0095637D"/>
    <w:rsid w:val="009564C1"/>
    <w:rsid w:val="00956606"/>
    <w:rsid w:val="009570A7"/>
    <w:rsid w:val="009579E0"/>
    <w:rsid w:val="00960C8A"/>
    <w:rsid w:val="009611DF"/>
    <w:rsid w:val="0096127D"/>
    <w:rsid w:val="009629AF"/>
    <w:rsid w:val="00964BBA"/>
    <w:rsid w:val="009657D5"/>
    <w:rsid w:val="00965D4E"/>
    <w:rsid w:val="00967180"/>
    <w:rsid w:val="009679E4"/>
    <w:rsid w:val="00971A2E"/>
    <w:rsid w:val="00972C2D"/>
    <w:rsid w:val="00973A12"/>
    <w:rsid w:val="009742AB"/>
    <w:rsid w:val="00974310"/>
    <w:rsid w:val="0097498D"/>
    <w:rsid w:val="00975F52"/>
    <w:rsid w:val="00976DEF"/>
    <w:rsid w:val="00976FFA"/>
    <w:rsid w:val="009774F0"/>
    <w:rsid w:val="00977863"/>
    <w:rsid w:val="00977C26"/>
    <w:rsid w:val="00980F3C"/>
    <w:rsid w:val="009813C1"/>
    <w:rsid w:val="00981BA9"/>
    <w:rsid w:val="00982090"/>
    <w:rsid w:val="00983840"/>
    <w:rsid w:val="00983C4B"/>
    <w:rsid w:val="009847CC"/>
    <w:rsid w:val="0098673F"/>
    <w:rsid w:val="00986741"/>
    <w:rsid w:val="00987AC2"/>
    <w:rsid w:val="009919EF"/>
    <w:rsid w:val="0099267C"/>
    <w:rsid w:val="009926F2"/>
    <w:rsid w:val="0099336D"/>
    <w:rsid w:val="00993EFA"/>
    <w:rsid w:val="009944B6"/>
    <w:rsid w:val="009945C4"/>
    <w:rsid w:val="009947C9"/>
    <w:rsid w:val="00994E95"/>
    <w:rsid w:val="009972D4"/>
    <w:rsid w:val="009978EF"/>
    <w:rsid w:val="009A03BB"/>
    <w:rsid w:val="009A0CDF"/>
    <w:rsid w:val="009A16D3"/>
    <w:rsid w:val="009A18EF"/>
    <w:rsid w:val="009A2415"/>
    <w:rsid w:val="009A28D5"/>
    <w:rsid w:val="009A31E2"/>
    <w:rsid w:val="009A5C90"/>
    <w:rsid w:val="009A760D"/>
    <w:rsid w:val="009B0BF5"/>
    <w:rsid w:val="009B1BED"/>
    <w:rsid w:val="009B28E3"/>
    <w:rsid w:val="009B2F8C"/>
    <w:rsid w:val="009B332F"/>
    <w:rsid w:val="009B5189"/>
    <w:rsid w:val="009B5267"/>
    <w:rsid w:val="009B6049"/>
    <w:rsid w:val="009B641D"/>
    <w:rsid w:val="009B6D7B"/>
    <w:rsid w:val="009C0B9B"/>
    <w:rsid w:val="009C0D58"/>
    <w:rsid w:val="009C1600"/>
    <w:rsid w:val="009C1B62"/>
    <w:rsid w:val="009C393A"/>
    <w:rsid w:val="009C3BD7"/>
    <w:rsid w:val="009C3C34"/>
    <w:rsid w:val="009C4285"/>
    <w:rsid w:val="009C5D96"/>
    <w:rsid w:val="009C61A9"/>
    <w:rsid w:val="009C7198"/>
    <w:rsid w:val="009D046B"/>
    <w:rsid w:val="009D05FE"/>
    <w:rsid w:val="009D1531"/>
    <w:rsid w:val="009D16B6"/>
    <w:rsid w:val="009D2310"/>
    <w:rsid w:val="009D35CC"/>
    <w:rsid w:val="009D6F1D"/>
    <w:rsid w:val="009D7163"/>
    <w:rsid w:val="009D7308"/>
    <w:rsid w:val="009D7AB4"/>
    <w:rsid w:val="009D7ED3"/>
    <w:rsid w:val="009E0B49"/>
    <w:rsid w:val="009E1656"/>
    <w:rsid w:val="009E1BEF"/>
    <w:rsid w:val="009E359E"/>
    <w:rsid w:val="009E3B7C"/>
    <w:rsid w:val="009E3C52"/>
    <w:rsid w:val="009E4EB4"/>
    <w:rsid w:val="009E5009"/>
    <w:rsid w:val="009E5114"/>
    <w:rsid w:val="009E519A"/>
    <w:rsid w:val="009E580A"/>
    <w:rsid w:val="009E5AE0"/>
    <w:rsid w:val="009E6D74"/>
    <w:rsid w:val="009F0AB7"/>
    <w:rsid w:val="009F130E"/>
    <w:rsid w:val="009F1551"/>
    <w:rsid w:val="009F28F2"/>
    <w:rsid w:val="009F2A9A"/>
    <w:rsid w:val="009F2FD3"/>
    <w:rsid w:val="009F3218"/>
    <w:rsid w:val="009F36D1"/>
    <w:rsid w:val="009F434B"/>
    <w:rsid w:val="009F4D43"/>
    <w:rsid w:val="009F6853"/>
    <w:rsid w:val="009F776D"/>
    <w:rsid w:val="009F79DE"/>
    <w:rsid w:val="009F7C36"/>
    <w:rsid w:val="00A003E6"/>
    <w:rsid w:val="00A0103C"/>
    <w:rsid w:val="00A014C0"/>
    <w:rsid w:val="00A01693"/>
    <w:rsid w:val="00A02137"/>
    <w:rsid w:val="00A0249D"/>
    <w:rsid w:val="00A02A9E"/>
    <w:rsid w:val="00A02BD8"/>
    <w:rsid w:val="00A034B4"/>
    <w:rsid w:val="00A045FA"/>
    <w:rsid w:val="00A04723"/>
    <w:rsid w:val="00A049A2"/>
    <w:rsid w:val="00A04C97"/>
    <w:rsid w:val="00A04F53"/>
    <w:rsid w:val="00A05AF6"/>
    <w:rsid w:val="00A0704C"/>
    <w:rsid w:val="00A073B1"/>
    <w:rsid w:val="00A07CCB"/>
    <w:rsid w:val="00A07EA2"/>
    <w:rsid w:val="00A105A0"/>
    <w:rsid w:val="00A105A1"/>
    <w:rsid w:val="00A10BB5"/>
    <w:rsid w:val="00A10C47"/>
    <w:rsid w:val="00A11034"/>
    <w:rsid w:val="00A11F60"/>
    <w:rsid w:val="00A12B59"/>
    <w:rsid w:val="00A13EC5"/>
    <w:rsid w:val="00A1460B"/>
    <w:rsid w:val="00A1516F"/>
    <w:rsid w:val="00A1622B"/>
    <w:rsid w:val="00A16F1E"/>
    <w:rsid w:val="00A17201"/>
    <w:rsid w:val="00A204FA"/>
    <w:rsid w:val="00A20DFD"/>
    <w:rsid w:val="00A21922"/>
    <w:rsid w:val="00A2371A"/>
    <w:rsid w:val="00A239B0"/>
    <w:rsid w:val="00A23F62"/>
    <w:rsid w:val="00A24950"/>
    <w:rsid w:val="00A24A6B"/>
    <w:rsid w:val="00A24D18"/>
    <w:rsid w:val="00A259AA"/>
    <w:rsid w:val="00A25A87"/>
    <w:rsid w:val="00A26050"/>
    <w:rsid w:val="00A267F5"/>
    <w:rsid w:val="00A269D8"/>
    <w:rsid w:val="00A2768D"/>
    <w:rsid w:val="00A27C02"/>
    <w:rsid w:val="00A27FA9"/>
    <w:rsid w:val="00A30B80"/>
    <w:rsid w:val="00A31597"/>
    <w:rsid w:val="00A315A9"/>
    <w:rsid w:val="00A315D9"/>
    <w:rsid w:val="00A3167C"/>
    <w:rsid w:val="00A31C6C"/>
    <w:rsid w:val="00A32781"/>
    <w:rsid w:val="00A32E15"/>
    <w:rsid w:val="00A33C1A"/>
    <w:rsid w:val="00A33C1E"/>
    <w:rsid w:val="00A34365"/>
    <w:rsid w:val="00A343B5"/>
    <w:rsid w:val="00A3479B"/>
    <w:rsid w:val="00A35CE7"/>
    <w:rsid w:val="00A36EE2"/>
    <w:rsid w:val="00A36FC3"/>
    <w:rsid w:val="00A3792F"/>
    <w:rsid w:val="00A40091"/>
    <w:rsid w:val="00A401BA"/>
    <w:rsid w:val="00A40822"/>
    <w:rsid w:val="00A4195F"/>
    <w:rsid w:val="00A41D31"/>
    <w:rsid w:val="00A422CB"/>
    <w:rsid w:val="00A4295B"/>
    <w:rsid w:val="00A43E39"/>
    <w:rsid w:val="00A448E2"/>
    <w:rsid w:val="00A45D68"/>
    <w:rsid w:val="00A47CF3"/>
    <w:rsid w:val="00A50EF4"/>
    <w:rsid w:val="00A51AF9"/>
    <w:rsid w:val="00A51B00"/>
    <w:rsid w:val="00A52047"/>
    <w:rsid w:val="00A52FA5"/>
    <w:rsid w:val="00A532E1"/>
    <w:rsid w:val="00A53E9E"/>
    <w:rsid w:val="00A541AB"/>
    <w:rsid w:val="00A55551"/>
    <w:rsid w:val="00A5665E"/>
    <w:rsid w:val="00A5712F"/>
    <w:rsid w:val="00A61298"/>
    <w:rsid w:val="00A61BEE"/>
    <w:rsid w:val="00A623B7"/>
    <w:rsid w:val="00A6316D"/>
    <w:rsid w:val="00A63B6C"/>
    <w:rsid w:val="00A6443D"/>
    <w:rsid w:val="00A64858"/>
    <w:rsid w:val="00A65900"/>
    <w:rsid w:val="00A659C8"/>
    <w:rsid w:val="00A65AB7"/>
    <w:rsid w:val="00A665FF"/>
    <w:rsid w:val="00A6798E"/>
    <w:rsid w:val="00A67BCD"/>
    <w:rsid w:val="00A70D6F"/>
    <w:rsid w:val="00A71904"/>
    <w:rsid w:val="00A71B4E"/>
    <w:rsid w:val="00A71FCA"/>
    <w:rsid w:val="00A7333C"/>
    <w:rsid w:val="00A7464B"/>
    <w:rsid w:val="00A74D79"/>
    <w:rsid w:val="00A75F80"/>
    <w:rsid w:val="00A764B0"/>
    <w:rsid w:val="00A76918"/>
    <w:rsid w:val="00A80723"/>
    <w:rsid w:val="00A8075D"/>
    <w:rsid w:val="00A807A8"/>
    <w:rsid w:val="00A80B12"/>
    <w:rsid w:val="00A81DF5"/>
    <w:rsid w:val="00A821AB"/>
    <w:rsid w:val="00A82609"/>
    <w:rsid w:val="00A826C2"/>
    <w:rsid w:val="00A82836"/>
    <w:rsid w:val="00A82A8A"/>
    <w:rsid w:val="00A85DD5"/>
    <w:rsid w:val="00A8648E"/>
    <w:rsid w:val="00A86839"/>
    <w:rsid w:val="00A872B9"/>
    <w:rsid w:val="00A87C11"/>
    <w:rsid w:val="00A90101"/>
    <w:rsid w:val="00A92BF1"/>
    <w:rsid w:val="00A9349D"/>
    <w:rsid w:val="00A9403D"/>
    <w:rsid w:val="00A94853"/>
    <w:rsid w:val="00A94D4A"/>
    <w:rsid w:val="00A95220"/>
    <w:rsid w:val="00A97F51"/>
    <w:rsid w:val="00AA08F4"/>
    <w:rsid w:val="00AA0926"/>
    <w:rsid w:val="00AA0B60"/>
    <w:rsid w:val="00AA0C4C"/>
    <w:rsid w:val="00AA2938"/>
    <w:rsid w:val="00AA2D4F"/>
    <w:rsid w:val="00AA3246"/>
    <w:rsid w:val="00AA327D"/>
    <w:rsid w:val="00AA366A"/>
    <w:rsid w:val="00AA4109"/>
    <w:rsid w:val="00AA44CE"/>
    <w:rsid w:val="00AA59CC"/>
    <w:rsid w:val="00AA6BB7"/>
    <w:rsid w:val="00AA76FD"/>
    <w:rsid w:val="00AA7B2D"/>
    <w:rsid w:val="00AB0F42"/>
    <w:rsid w:val="00AB1222"/>
    <w:rsid w:val="00AB2E4A"/>
    <w:rsid w:val="00AB2F88"/>
    <w:rsid w:val="00AB3FC0"/>
    <w:rsid w:val="00AB40B8"/>
    <w:rsid w:val="00AB5562"/>
    <w:rsid w:val="00AB59D9"/>
    <w:rsid w:val="00AB6A44"/>
    <w:rsid w:val="00AB6BCC"/>
    <w:rsid w:val="00AB799B"/>
    <w:rsid w:val="00AB7C96"/>
    <w:rsid w:val="00AC0175"/>
    <w:rsid w:val="00AC0B27"/>
    <w:rsid w:val="00AC18DC"/>
    <w:rsid w:val="00AC193D"/>
    <w:rsid w:val="00AC1D11"/>
    <w:rsid w:val="00AC2053"/>
    <w:rsid w:val="00AC24A7"/>
    <w:rsid w:val="00AC3B0F"/>
    <w:rsid w:val="00AC4998"/>
    <w:rsid w:val="00AC524E"/>
    <w:rsid w:val="00AC6690"/>
    <w:rsid w:val="00AC73D0"/>
    <w:rsid w:val="00AC769A"/>
    <w:rsid w:val="00AD02A2"/>
    <w:rsid w:val="00AD09B6"/>
    <w:rsid w:val="00AD0A4E"/>
    <w:rsid w:val="00AD0DB6"/>
    <w:rsid w:val="00AD1004"/>
    <w:rsid w:val="00AD13B3"/>
    <w:rsid w:val="00AD186A"/>
    <w:rsid w:val="00AD1C01"/>
    <w:rsid w:val="00AD1CE1"/>
    <w:rsid w:val="00AD2197"/>
    <w:rsid w:val="00AD3A9D"/>
    <w:rsid w:val="00AD4349"/>
    <w:rsid w:val="00AD676E"/>
    <w:rsid w:val="00AD6FDC"/>
    <w:rsid w:val="00AD7FD5"/>
    <w:rsid w:val="00AE246C"/>
    <w:rsid w:val="00AE2D10"/>
    <w:rsid w:val="00AE37C3"/>
    <w:rsid w:val="00AE4BF2"/>
    <w:rsid w:val="00AE50FE"/>
    <w:rsid w:val="00AE6554"/>
    <w:rsid w:val="00AF0D4A"/>
    <w:rsid w:val="00AF1371"/>
    <w:rsid w:val="00AF248C"/>
    <w:rsid w:val="00AF2FC5"/>
    <w:rsid w:val="00AF3A91"/>
    <w:rsid w:val="00AF4EDC"/>
    <w:rsid w:val="00AF56F2"/>
    <w:rsid w:val="00AF5EB6"/>
    <w:rsid w:val="00AF643D"/>
    <w:rsid w:val="00B01675"/>
    <w:rsid w:val="00B02CF2"/>
    <w:rsid w:val="00B03B64"/>
    <w:rsid w:val="00B04945"/>
    <w:rsid w:val="00B05560"/>
    <w:rsid w:val="00B0574F"/>
    <w:rsid w:val="00B058CE"/>
    <w:rsid w:val="00B06951"/>
    <w:rsid w:val="00B07C33"/>
    <w:rsid w:val="00B10248"/>
    <w:rsid w:val="00B10625"/>
    <w:rsid w:val="00B11911"/>
    <w:rsid w:val="00B11C5B"/>
    <w:rsid w:val="00B122A0"/>
    <w:rsid w:val="00B12494"/>
    <w:rsid w:val="00B12CD4"/>
    <w:rsid w:val="00B13091"/>
    <w:rsid w:val="00B13368"/>
    <w:rsid w:val="00B15097"/>
    <w:rsid w:val="00B15317"/>
    <w:rsid w:val="00B15DDD"/>
    <w:rsid w:val="00B16179"/>
    <w:rsid w:val="00B165BA"/>
    <w:rsid w:val="00B171A0"/>
    <w:rsid w:val="00B20046"/>
    <w:rsid w:val="00B22160"/>
    <w:rsid w:val="00B224A0"/>
    <w:rsid w:val="00B22EB1"/>
    <w:rsid w:val="00B2348C"/>
    <w:rsid w:val="00B23783"/>
    <w:rsid w:val="00B23D96"/>
    <w:rsid w:val="00B23E46"/>
    <w:rsid w:val="00B246AD"/>
    <w:rsid w:val="00B246BA"/>
    <w:rsid w:val="00B24B6E"/>
    <w:rsid w:val="00B24CB6"/>
    <w:rsid w:val="00B25717"/>
    <w:rsid w:val="00B2629E"/>
    <w:rsid w:val="00B30062"/>
    <w:rsid w:val="00B310F3"/>
    <w:rsid w:val="00B31459"/>
    <w:rsid w:val="00B3150F"/>
    <w:rsid w:val="00B3159A"/>
    <w:rsid w:val="00B3169B"/>
    <w:rsid w:val="00B3177A"/>
    <w:rsid w:val="00B31B7A"/>
    <w:rsid w:val="00B32ABB"/>
    <w:rsid w:val="00B334F6"/>
    <w:rsid w:val="00B34D94"/>
    <w:rsid w:val="00B35CCD"/>
    <w:rsid w:val="00B36D15"/>
    <w:rsid w:val="00B37F7C"/>
    <w:rsid w:val="00B402C5"/>
    <w:rsid w:val="00B40C51"/>
    <w:rsid w:val="00B40C87"/>
    <w:rsid w:val="00B40E47"/>
    <w:rsid w:val="00B41653"/>
    <w:rsid w:val="00B41801"/>
    <w:rsid w:val="00B41868"/>
    <w:rsid w:val="00B42E1B"/>
    <w:rsid w:val="00B4437B"/>
    <w:rsid w:val="00B444E1"/>
    <w:rsid w:val="00B449CF"/>
    <w:rsid w:val="00B451D0"/>
    <w:rsid w:val="00B45AC8"/>
    <w:rsid w:val="00B45ECE"/>
    <w:rsid w:val="00B46487"/>
    <w:rsid w:val="00B46489"/>
    <w:rsid w:val="00B47BF5"/>
    <w:rsid w:val="00B47F75"/>
    <w:rsid w:val="00B5059D"/>
    <w:rsid w:val="00B50DAC"/>
    <w:rsid w:val="00B5151C"/>
    <w:rsid w:val="00B51CF3"/>
    <w:rsid w:val="00B5233D"/>
    <w:rsid w:val="00B5298F"/>
    <w:rsid w:val="00B52A06"/>
    <w:rsid w:val="00B53ACB"/>
    <w:rsid w:val="00B54E2D"/>
    <w:rsid w:val="00B55BC3"/>
    <w:rsid w:val="00B55C5B"/>
    <w:rsid w:val="00B565B2"/>
    <w:rsid w:val="00B56938"/>
    <w:rsid w:val="00B56C2F"/>
    <w:rsid w:val="00B570E2"/>
    <w:rsid w:val="00B575F5"/>
    <w:rsid w:val="00B57DBF"/>
    <w:rsid w:val="00B61881"/>
    <w:rsid w:val="00B62BAF"/>
    <w:rsid w:val="00B63257"/>
    <w:rsid w:val="00B63279"/>
    <w:rsid w:val="00B63633"/>
    <w:rsid w:val="00B63859"/>
    <w:rsid w:val="00B638F8"/>
    <w:rsid w:val="00B63FA8"/>
    <w:rsid w:val="00B64D24"/>
    <w:rsid w:val="00B657E9"/>
    <w:rsid w:val="00B65C26"/>
    <w:rsid w:val="00B6711E"/>
    <w:rsid w:val="00B7015F"/>
    <w:rsid w:val="00B70552"/>
    <w:rsid w:val="00B71413"/>
    <w:rsid w:val="00B71945"/>
    <w:rsid w:val="00B72944"/>
    <w:rsid w:val="00B72C07"/>
    <w:rsid w:val="00B73129"/>
    <w:rsid w:val="00B7337C"/>
    <w:rsid w:val="00B73B12"/>
    <w:rsid w:val="00B73E9F"/>
    <w:rsid w:val="00B74EED"/>
    <w:rsid w:val="00B75548"/>
    <w:rsid w:val="00B75EAD"/>
    <w:rsid w:val="00B76A96"/>
    <w:rsid w:val="00B76BD6"/>
    <w:rsid w:val="00B77D79"/>
    <w:rsid w:val="00B81113"/>
    <w:rsid w:val="00B815D3"/>
    <w:rsid w:val="00B8253B"/>
    <w:rsid w:val="00B82782"/>
    <w:rsid w:val="00B82F53"/>
    <w:rsid w:val="00B846FD"/>
    <w:rsid w:val="00B8645F"/>
    <w:rsid w:val="00B87262"/>
    <w:rsid w:val="00B9015A"/>
    <w:rsid w:val="00B90C79"/>
    <w:rsid w:val="00B90D72"/>
    <w:rsid w:val="00B91BB0"/>
    <w:rsid w:val="00B922F9"/>
    <w:rsid w:val="00B928AE"/>
    <w:rsid w:val="00B92B69"/>
    <w:rsid w:val="00B93B7D"/>
    <w:rsid w:val="00B943AE"/>
    <w:rsid w:val="00B9493C"/>
    <w:rsid w:val="00B950C2"/>
    <w:rsid w:val="00B95741"/>
    <w:rsid w:val="00B964A6"/>
    <w:rsid w:val="00B974E8"/>
    <w:rsid w:val="00B97797"/>
    <w:rsid w:val="00B97D44"/>
    <w:rsid w:val="00BA14DE"/>
    <w:rsid w:val="00BA1BD7"/>
    <w:rsid w:val="00BA1F53"/>
    <w:rsid w:val="00BA26FD"/>
    <w:rsid w:val="00BA2B1A"/>
    <w:rsid w:val="00BA2BCC"/>
    <w:rsid w:val="00BA2CEE"/>
    <w:rsid w:val="00BA2D2D"/>
    <w:rsid w:val="00BA3BFE"/>
    <w:rsid w:val="00BA3CD2"/>
    <w:rsid w:val="00BA4617"/>
    <w:rsid w:val="00BA48BC"/>
    <w:rsid w:val="00BA4A64"/>
    <w:rsid w:val="00BA4D34"/>
    <w:rsid w:val="00BA50C2"/>
    <w:rsid w:val="00BB03A7"/>
    <w:rsid w:val="00BB28AD"/>
    <w:rsid w:val="00BB377C"/>
    <w:rsid w:val="00BB3B0A"/>
    <w:rsid w:val="00BB40A7"/>
    <w:rsid w:val="00BB486B"/>
    <w:rsid w:val="00BB4918"/>
    <w:rsid w:val="00BB4BAA"/>
    <w:rsid w:val="00BB4CEF"/>
    <w:rsid w:val="00BB4DFD"/>
    <w:rsid w:val="00BB51EA"/>
    <w:rsid w:val="00BB5A95"/>
    <w:rsid w:val="00BB70EC"/>
    <w:rsid w:val="00BB75CF"/>
    <w:rsid w:val="00BB7780"/>
    <w:rsid w:val="00BC1188"/>
    <w:rsid w:val="00BC1395"/>
    <w:rsid w:val="00BC1E15"/>
    <w:rsid w:val="00BC289C"/>
    <w:rsid w:val="00BC2AA9"/>
    <w:rsid w:val="00BC2B3A"/>
    <w:rsid w:val="00BC3ED8"/>
    <w:rsid w:val="00BC44A2"/>
    <w:rsid w:val="00BC5E6C"/>
    <w:rsid w:val="00BC5FEF"/>
    <w:rsid w:val="00BC64B6"/>
    <w:rsid w:val="00BC7437"/>
    <w:rsid w:val="00BC7CB3"/>
    <w:rsid w:val="00BC7F6F"/>
    <w:rsid w:val="00BD00C3"/>
    <w:rsid w:val="00BD0158"/>
    <w:rsid w:val="00BD0480"/>
    <w:rsid w:val="00BD062C"/>
    <w:rsid w:val="00BD068D"/>
    <w:rsid w:val="00BD0904"/>
    <w:rsid w:val="00BD1766"/>
    <w:rsid w:val="00BD1F74"/>
    <w:rsid w:val="00BD37D7"/>
    <w:rsid w:val="00BD6D0B"/>
    <w:rsid w:val="00BD7A70"/>
    <w:rsid w:val="00BE0D37"/>
    <w:rsid w:val="00BE23D0"/>
    <w:rsid w:val="00BE2812"/>
    <w:rsid w:val="00BE2A26"/>
    <w:rsid w:val="00BE2DFA"/>
    <w:rsid w:val="00BE33F6"/>
    <w:rsid w:val="00BE396F"/>
    <w:rsid w:val="00BE3C3C"/>
    <w:rsid w:val="00BE5EBE"/>
    <w:rsid w:val="00BE61F6"/>
    <w:rsid w:val="00BE6DF7"/>
    <w:rsid w:val="00BE75C8"/>
    <w:rsid w:val="00BE7FD7"/>
    <w:rsid w:val="00BF02F8"/>
    <w:rsid w:val="00BF0643"/>
    <w:rsid w:val="00BF0D25"/>
    <w:rsid w:val="00BF0E28"/>
    <w:rsid w:val="00BF0E2E"/>
    <w:rsid w:val="00BF3575"/>
    <w:rsid w:val="00BF42AB"/>
    <w:rsid w:val="00BF4557"/>
    <w:rsid w:val="00BF4DCF"/>
    <w:rsid w:val="00BF52AC"/>
    <w:rsid w:val="00BF564A"/>
    <w:rsid w:val="00BF567F"/>
    <w:rsid w:val="00C001B4"/>
    <w:rsid w:val="00C005D3"/>
    <w:rsid w:val="00C01E9E"/>
    <w:rsid w:val="00C03428"/>
    <w:rsid w:val="00C034E5"/>
    <w:rsid w:val="00C03666"/>
    <w:rsid w:val="00C04C9B"/>
    <w:rsid w:val="00C06439"/>
    <w:rsid w:val="00C110E5"/>
    <w:rsid w:val="00C111B1"/>
    <w:rsid w:val="00C11895"/>
    <w:rsid w:val="00C13F45"/>
    <w:rsid w:val="00C14392"/>
    <w:rsid w:val="00C14CCC"/>
    <w:rsid w:val="00C15A62"/>
    <w:rsid w:val="00C1620B"/>
    <w:rsid w:val="00C174D5"/>
    <w:rsid w:val="00C216AF"/>
    <w:rsid w:val="00C22001"/>
    <w:rsid w:val="00C22653"/>
    <w:rsid w:val="00C23669"/>
    <w:rsid w:val="00C23FEE"/>
    <w:rsid w:val="00C24654"/>
    <w:rsid w:val="00C24F58"/>
    <w:rsid w:val="00C2501A"/>
    <w:rsid w:val="00C25B67"/>
    <w:rsid w:val="00C26F9E"/>
    <w:rsid w:val="00C2733F"/>
    <w:rsid w:val="00C308C3"/>
    <w:rsid w:val="00C30B47"/>
    <w:rsid w:val="00C310F6"/>
    <w:rsid w:val="00C32C72"/>
    <w:rsid w:val="00C3365F"/>
    <w:rsid w:val="00C3422A"/>
    <w:rsid w:val="00C366C9"/>
    <w:rsid w:val="00C37A5A"/>
    <w:rsid w:val="00C4001C"/>
    <w:rsid w:val="00C40A4A"/>
    <w:rsid w:val="00C4130C"/>
    <w:rsid w:val="00C42A84"/>
    <w:rsid w:val="00C43553"/>
    <w:rsid w:val="00C43C0B"/>
    <w:rsid w:val="00C45F8E"/>
    <w:rsid w:val="00C464BA"/>
    <w:rsid w:val="00C46527"/>
    <w:rsid w:val="00C470D1"/>
    <w:rsid w:val="00C478C9"/>
    <w:rsid w:val="00C479FA"/>
    <w:rsid w:val="00C47B91"/>
    <w:rsid w:val="00C51A7F"/>
    <w:rsid w:val="00C51FE2"/>
    <w:rsid w:val="00C52E74"/>
    <w:rsid w:val="00C53492"/>
    <w:rsid w:val="00C55DFA"/>
    <w:rsid w:val="00C565E1"/>
    <w:rsid w:val="00C574E9"/>
    <w:rsid w:val="00C575EF"/>
    <w:rsid w:val="00C60285"/>
    <w:rsid w:val="00C60DBA"/>
    <w:rsid w:val="00C616AE"/>
    <w:rsid w:val="00C61FE9"/>
    <w:rsid w:val="00C6232D"/>
    <w:rsid w:val="00C623EA"/>
    <w:rsid w:val="00C62824"/>
    <w:rsid w:val="00C62A7F"/>
    <w:rsid w:val="00C64246"/>
    <w:rsid w:val="00C6554E"/>
    <w:rsid w:val="00C65A7C"/>
    <w:rsid w:val="00C66A87"/>
    <w:rsid w:val="00C66E3D"/>
    <w:rsid w:val="00C67B24"/>
    <w:rsid w:val="00C67B3E"/>
    <w:rsid w:val="00C67FEB"/>
    <w:rsid w:val="00C71334"/>
    <w:rsid w:val="00C718D9"/>
    <w:rsid w:val="00C719BF"/>
    <w:rsid w:val="00C723CE"/>
    <w:rsid w:val="00C72624"/>
    <w:rsid w:val="00C726EA"/>
    <w:rsid w:val="00C726EF"/>
    <w:rsid w:val="00C72EBF"/>
    <w:rsid w:val="00C72FDC"/>
    <w:rsid w:val="00C732CA"/>
    <w:rsid w:val="00C74333"/>
    <w:rsid w:val="00C754D5"/>
    <w:rsid w:val="00C754E7"/>
    <w:rsid w:val="00C75E73"/>
    <w:rsid w:val="00C76749"/>
    <w:rsid w:val="00C76FD2"/>
    <w:rsid w:val="00C80286"/>
    <w:rsid w:val="00C804B5"/>
    <w:rsid w:val="00C80663"/>
    <w:rsid w:val="00C80FB5"/>
    <w:rsid w:val="00C811E3"/>
    <w:rsid w:val="00C81C8C"/>
    <w:rsid w:val="00C82715"/>
    <w:rsid w:val="00C84BED"/>
    <w:rsid w:val="00C855C5"/>
    <w:rsid w:val="00C86073"/>
    <w:rsid w:val="00C864FE"/>
    <w:rsid w:val="00C86FAE"/>
    <w:rsid w:val="00C87097"/>
    <w:rsid w:val="00C8737E"/>
    <w:rsid w:val="00C92299"/>
    <w:rsid w:val="00C92A5B"/>
    <w:rsid w:val="00C92BBC"/>
    <w:rsid w:val="00C9333E"/>
    <w:rsid w:val="00C93D3B"/>
    <w:rsid w:val="00C94E9E"/>
    <w:rsid w:val="00CA095A"/>
    <w:rsid w:val="00CA152B"/>
    <w:rsid w:val="00CA259A"/>
    <w:rsid w:val="00CA25BD"/>
    <w:rsid w:val="00CA27A7"/>
    <w:rsid w:val="00CA2A26"/>
    <w:rsid w:val="00CA2E4E"/>
    <w:rsid w:val="00CA2FD7"/>
    <w:rsid w:val="00CA4CF6"/>
    <w:rsid w:val="00CA4E71"/>
    <w:rsid w:val="00CA562A"/>
    <w:rsid w:val="00CA6444"/>
    <w:rsid w:val="00CA6804"/>
    <w:rsid w:val="00CA7EF6"/>
    <w:rsid w:val="00CB0BD7"/>
    <w:rsid w:val="00CB236C"/>
    <w:rsid w:val="00CB24DD"/>
    <w:rsid w:val="00CB2D0E"/>
    <w:rsid w:val="00CB36B6"/>
    <w:rsid w:val="00CB3B1D"/>
    <w:rsid w:val="00CB3EA5"/>
    <w:rsid w:val="00CB40AD"/>
    <w:rsid w:val="00CB439C"/>
    <w:rsid w:val="00CB51D9"/>
    <w:rsid w:val="00CB550C"/>
    <w:rsid w:val="00CB5784"/>
    <w:rsid w:val="00CB68BD"/>
    <w:rsid w:val="00CB6E5D"/>
    <w:rsid w:val="00CB74D4"/>
    <w:rsid w:val="00CB7ADB"/>
    <w:rsid w:val="00CB7E1A"/>
    <w:rsid w:val="00CC0003"/>
    <w:rsid w:val="00CC030F"/>
    <w:rsid w:val="00CC0F34"/>
    <w:rsid w:val="00CC1F74"/>
    <w:rsid w:val="00CC20CD"/>
    <w:rsid w:val="00CC2592"/>
    <w:rsid w:val="00CC3145"/>
    <w:rsid w:val="00CC3671"/>
    <w:rsid w:val="00CC3CB1"/>
    <w:rsid w:val="00CC3DEF"/>
    <w:rsid w:val="00CC4988"/>
    <w:rsid w:val="00CC4DE4"/>
    <w:rsid w:val="00CC5149"/>
    <w:rsid w:val="00CC5DD6"/>
    <w:rsid w:val="00CC6B8B"/>
    <w:rsid w:val="00CC6D79"/>
    <w:rsid w:val="00CC7A1E"/>
    <w:rsid w:val="00CD08A6"/>
    <w:rsid w:val="00CD0D8D"/>
    <w:rsid w:val="00CD14DA"/>
    <w:rsid w:val="00CD1951"/>
    <w:rsid w:val="00CD526F"/>
    <w:rsid w:val="00CD571C"/>
    <w:rsid w:val="00CD5DF1"/>
    <w:rsid w:val="00CD5F46"/>
    <w:rsid w:val="00CD75FC"/>
    <w:rsid w:val="00CD78F0"/>
    <w:rsid w:val="00CE058D"/>
    <w:rsid w:val="00CE0C0A"/>
    <w:rsid w:val="00CE127A"/>
    <w:rsid w:val="00CE30F5"/>
    <w:rsid w:val="00CE3DF6"/>
    <w:rsid w:val="00CE4CAF"/>
    <w:rsid w:val="00CE4D1F"/>
    <w:rsid w:val="00CE4F74"/>
    <w:rsid w:val="00CE7504"/>
    <w:rsid w:val="00CF0BBE"/>
    <w:rsid w:val="00CF110E"/>
    <w:rsid w:val="00CF16BB"/>
    <w:rsid w:val="00CF16C5"/>
    <w:rsid w:val="00CF18F9"/>
    <w:rsid w:val="00CF2158"/>
    <w:rsid w:val="00CF2394"/>
    <w:rsid w:val="00CF244A"/>
    <w:rsid w:val="00CF3E62"/>
    <w:rsid w:val="00CF3F32"/>
    <w:rsid w:val="00CF41EC"/>
    <w:rsid w:val="00CF5A0F"/>
    <w:rsid w:val="00D0145B"/>
    <w:rsid w:val="00D01A73"/>
    <w:rsid w:val="00D025DE"/>
    <w:rsid w:val="00D026A8"/>
    <w:rsid w:val="00D02B98"/>
    <w:rsid w:val="00D02FBB"/>
    <w:rsid w:val="00D03B4F"/>
    <w:rsid w:val="00D0424D"/>
    <w:rsid w:val="00D046E1"/>
    <w:rsid w:val="00D04752"/>
    <w:rsid w:val="00D04A14"/>
    <w:rsid w:val="00D068C3"/>
    <w:rsid w:val="00D06EB1"/>
    <w:rsid w:val="00D071F5"/>
    <w:rsid w:val="00D122FC"/>
    <w:rsid w:val="00D137D0"/>
    <w:rsid w:val="00D14D39"/>
    <w:rsid w:val="00D16068"/>
    <w:rsid w:val="00D16A1B"/>
    <w:rsid w:val="00D17427"/>
    <w:rsid w:val="00D175F7"/>
    <w:rsid w:val="00D20CBA"/>
    <w:rsid w:val="00D2133C"/>
    <w:rsid w:val="00D2182E"/>
    <w:rsid w:val="00D21B21"/>
    <w:rsid w:val="00D232B5"/>
    <w:rsid w:val="00D24C5C"/>
    <w:rsid w:val="00D24E86"/>
    <w:rsid w:val="00D25623"/>
    <w:rsid w:val="00D25759"/>
    <w:rsid w:val="00D25CB3"/>
    <w:rsid w:val="00D2625F"/>
    <w:rsid w:val="00D263A7"/>
    <w:rsid w:val="00D271AC"/>
    <w:rsid w:val="00D3065B"/>
    <w:rsid w:val="00D3083D"/>
    <w:rsid w:val="00D313E8"/>
    <w:rsid w:val="00D31B3D"/>
    <w:rsid w:val="00D33277"/>
    <w:rsid w:val="00D3336F"/>
    <w:rsid w:val="00D3364C"/>
    <w:rsid w:val="00D34E2F"/>
    <w:rsid w:val="00D352CF"/>
    <w:rsid w:val="00D354A7"/>
    <w:rsid w:val="00D35804"/>
    <w:rsid w:val="00D35D33"/>
    <w:rsid w:val="00D3615D"/>
    <w:rsid w:val="00D368C5"/>
    <w:rsid w:val="00D3770B"/>
    <w:rsid w:val="00D377D3"/>
    <w:rsid w:val="00D400B6"/>
    <w:rsid w:val="00D40612"/>
    <w:rsid w:val="00D43428"/>
    <w:rsid w:val="00D439F5"/>
    <w:rsid w:val="00D46BAB"/>
    <w:rsid w:val="00D46DAD"/>
    <w:rsid w:val="00D4700A"/>
    <w:rsid w:val="00D478E9"/>
    <w:rsid w:val="00D47EF3"/>
    <w:rsid w:val="00D5247D"/>
    <w:rsid w:val="00D5409F"/>
    <w:rsid w:val="00D54A56"/>
    <w:rsid w:val="00D54A9C"/>
    <w:rsid w:val="00D54AA0"/>
    <w:rsid w:val="00D55561"/>
    <w:rsid w:val="00D5650D"/>
    <w:rsid w:val="00D56CD8"/>
    <w:rsid w:val="00D56DCB"/>
    <w:rsid w:val="00D572A3"/>
    <w:rsid w:val="00D57658"/>
    <w:rsid w:val="00D57B6D"/>
    <w:rsid w:val="00D6018A"/>
    <w:rsid w:val="00D6062D"/>
    <w:rsid w:val="00D60E2A"/>
    <w:rsid w:val="00D6110E"/>
    <w:rsid w:val="00D61FE7"/>
    <w:rsid w:val="00D62EBE"/>
    <w:rsid w:val="00D632A9"/>
    <w:rsid w:val="00D63D33"/>
    <w:rsid w:val="00D64220"/>
    <w:rsid w:val="00D65E2E"/>
    <w:rsid w:val="00D65F92"/>
    <w:rsid w:val="00D66165"/>
    <w:rsid w:val="00D67521"/>
    <w:rsid w:val="00D6784E"/>
    <w:rsid w:val="00D70024"/>
    <w:rsid w:val="00D70288"/>
    <w:rsid w:val="00D717CD"/>
    <w:rsid w:val="00D7186E"/>
    <w:rsid w:val="00D71F9B"/>
    <w:rsid w:val="00D723C0"/>
    <w:rsid w:val="00D72C3E"/>
    <w:rsid w:val="00D72FAC"/>
    <w:rsid w:val="00D73991"/>
    <w:rsid w:val="00D75A91"/>
    <w:rsid w:val="00D75F14"/>
    <w:rsid w:val="00D769F4"/>
    <w:rsid w:val="00D77A24"/>
    <w:rsid w:val="00D77C50"/>
    <w:rsid w:val="00D809B9"/>
    <w:rsid w:val="00D80F2E"/>
    <w:rsid w:val="00D81274"/>
    <w:rsid w:val="00D82014"/>
    <w:rsid w:val="00D851B7"/>
    <w:rsid w:val="00D866EA"/>
    <w:rsid w:val="00D91674"/>
    <w:rsid w:val="00D929A8"/>
    <w:rsid w:val="00D95970"/>
    <w:rsid w:val="00D96C55"/>
    <w:rsid w:val="00D973E2"/>
    <w:rsid w:val="00DA0D31"/>
    <w:rsid w:val="00DA236A"/>
    <w:rsid w:val="00DA2640"/>
    <w:rsid w:val="00DA3126"/>
    <w:rsid w:val="00DA348F"/>
    <w:rsid w:val="00DA3899"/>
    <w:rsid w:val="00DA3B84"/>
    <w:rsid w:val="00DA3BBD"/>
    <w:rsid w:val="00DA4840"/>
    <w:rsid w:val="00DA49EA"/>
    <w:rsid w:val="00DA4A9D"/>
    <w:rsid w:val="00DA6158"/>
    <w:rsid w:val="00DA7E4F"/>
    <w:rsid w:val="00DB0988"/>
    <w:rsid w:val="00DB145E"/>
    <w:rsid w:val="00DB1A91"/>
    <w:rsid w:val="00DB1DE1"/>
    <w:rsid w:val="00DB2EA7"/>
    <w:rsid w:val="00DB4537"/>
    <w:rsid w:val="00DB4A0A"/>
    <w:rsid w:val="00DB5FBC"/>
    <w:rsid w:val="00DB6446"/>
    <w:rsid w:val="00DC07C9"/>
    <w:rsid w:val="00DC0859"/>
    <w:rsid w:val="00DC0C4B"/>
    <w:rsid w:val="00DC100D"/>
    <w:rsid w:val="00DC1E44"/>
    <w:rsid w:val="00DC2D08"/>
    <w:rsid w:val="00DC3C4B"/>
    <w:rsid w:val="00DC45D3"/>
    <w:rsid w:val="00DC45DD"/>
    <w:rsid w:val="00DC4EB4"/>
    <w:rsid w:val="00DC4F74"/>
    <w:rsid w:val="00DC4F7A"/>
    <w:rsid w:val="00DC59B3"/>
    <w:rsid w:val="00DC5AE1"/>
    <w:rsid w:val="00DC633C"/>
    <w:rsid w:val="00DC6870"/>
    <w:rsid w:val="00DC6E05"/>
    <w:rsid w:val="00DC78DE"/>
    <w:rsid w:val="00DD0D55"/>
    <w:rsid w:val="00DD0D5E"/>
    <w:rsid w:val="00DD10E8"/>
    <w:rsid w:val="00DD1DDA"/>
    <w:rsid w:val="00DD2F4B"/>
    <w:rsid w:val="00DD34F8"/>
    <w:rsid w:val="00DD37A3"/>
    <w:rsid w:val="00DD3B46"/>
    <w:rsid w:val="00DD3C93"/>
    <w:rsid w:val="00DD478F"/>
    <w:rsid w:val="00DD49FF"/>
    <w:rsid w:val="00DD5FCA"/>
    <w:rsid w:val="00DD6CB6"/>
    <w:rsid w:val="00DD74F6"/>
    <w:rsid w:val="00DE0060"/>
    <w:rsid w:val="00DE0B16"/>
    <w:rsid w:val="00DE18B7"/>
    <w:rsid w:val="00DE1B4D"/>
    <w:rsid w:val="00DE1B71"/>
    <w:rsid w:val="00DE1DB0"/>
    <w:rsid w:val="00DE1F85"/>
    <w:rsid w:val="00DE22F9"/>
    <w:rsid w:val="00DE3042"/>
    <w:rsid w:val="00DE31E9"/>
    <w:rsid w:val="00DE36D1"/>
    <w:rsid w:val="00DE407F"/>
    <w:rsid w:val="00DE51C0"/>
    <w:rsid w:val="00DE55C8"/>
    <w:rsid w:val="00DE5F48"/>
    <w:rsid w:val="00DE655E"/>
    <w:rsid w:val="00DE79E2"/>
    <w:rsid w:val="00DF2C29"/>
    <w:rsid w:val="00DF394D"/>
    <w:rsid w:val="00DF40A6"/>
    <w:rsid w:val="00DF5269"/>
    <w:rsid w:val="00DF5B2D"/>
    <w:rsid w:val="00DF6097"/>
    <w:rsid w:val="00DF6281"/>
    <w:rsid w:val="00DF641E"/>
    <w:rsid w:val="00DF6E8F"/>
    <w:rsid w:val="00DF7455"/>
    <w:rsid w:val="00DF786C"/>
    <w:rsid w:val="00E0006B"/>
    <w:rsid w:val="00E005CD"/>
    <w:rsid w:val="00E03315"/>
    <w:rsid w:val="00E04B90"/>
    <w:rsid w:val="00E052FE"/>
    <w:rsid w:val="00E05E7C"/>
    <w:rsid w:val="00E063A1"/>
    <w:rsid w:val="00E07036"/>
    <w:rsid w:val="00E07ED4"/>
    <w:rsid w:val="00E10BF8"/>
    <w:rsid w:val="00E11CCB"/>
    <w:rsid w:val="00E11DAE"/>
    <w:rsid w:val="00E11E81"/>
    <w:rsid w:val="00E11FEA"/>
    <w:rsid w:val="00E1203C"/>
    <w:rsid w:val="00E13FEC"/>
    <w:rsid w:val="00E14010"/>
    <w:rsid w:val="00E14462"/>
    <w:rsid w:val="00E159AA"/>
    <w:rsid w:val="00E16D1F"/>
    <w:rsid w:val="00E17455"/>
    <w:rsid w:val="00E174B4"/>
    <w:rsid w:val="00E203BE"/>
    <w:rsid w:val="00E2044B"/>
    <w:rsid w:val="00E20CFD"/>
    <w:rsid w:val="00E211BF"/>
    <w:rsid w:val="00E2266E"/>
    <w:rsid w:val="00E22F74"/>
    <w:rsid w:val="00E23004"/>
    <w:rsid w:val="00E2344E"/>
    <w:rsid w:val="00E2491C"/>
    <w:rsid w:val="00E25373"/>
    <w:rsid w:val="00E25E4F"/>
    <w:rsid w:val="00E25F2D"/>
    <w:rsid w:val="00E26929"/>
    <w:rsid w:val="00E300B1"/>
    <w:rsid w:val="00E31A24"/>
    <w:rsid w:val="00E31D2D"/>
    <w:rsid w:val="00E3254E"/>
    <w:rsid w:val="00E3278E"/>
    <w:rsid w:val="00E32A0B"/>
    <w:rsid w:val="00E32DA2"/>
    <w:rsid w:val="00E3352E"/>
    <w:rsid w:val="00E3406C"/>
    <w:rsid w:val="00E34DCB"/>
    <w:rsid w:val="00E37313"/>
    <w:rsid w:val="00E4097F"/>
    <w:rsid w:val="00E40AFE"/>
    <w:rsid w:val="00E40BFE"/>
    <w:rsid w:val="00E40D27"/>
    <w:rsid w:val="00E40D47"/>
    <w:rsid w:val="00E40F16"/>
    <w:rsid w:val="00E4162D"/>
    <w:rsid w:val="00E428CB"/>
    <w:rsid w:val="00E429A3"/>
    <w:rsid w:val="00E42F1F"/>
    <w:rsid w:val="00E4306F"/>
    <w:rsid w:val="00E43553"/>
    <w:rsid w:val="00E44F8C"/>
    <w:rsid w:val="00E46948"/>
    <w:rsid w:val="00E46FFD"/>
    <w:rsid w:val="00E4756F"/>
    <w:rsid w:val="00E47D65"/>
    <w:rsid w:val="00E5021F"/>
    <w:rsid w:val="00E50FCD"/>
    <w:rsid w:val="00E51102"/>
    <w:rsid w:val="00E5152A"/>
    <w:rsid w:val="00E515CC"/>
    <w:rsid w:val="00E516FF"/>
    <w:rsid w:val="00E519A1"/>
    <w:rsid w:val="00E51CE2"/>
    <w:rsid w:val="00E5202E"/>
    <w:rsid w:val="00E54ABB"/>
    <w:rsid w:val="00E54F01"/>
    <w:rsid w:val="00E5519C"/>
    <w:rsid w:val="00E55531"/>
    <w:rsid w:val="00E6013C"/>
    <w:rsid w:val="00E60875"/>
    <w:rsid w:val="00E61986"/>
    <w:rsid w:val="00E62F36"/>
    <w:rsid w:val="00E62FC6"/>
    <w:rsid w:val="00E66C6A"/>
    <w:rsid w:val="00E67AE7"/>
    <w:rsid w:val="00E7032F"/>
    <w:rsid w:val="00E70397"/>
    <w:rsid w:val="00E718E1"/>
    <w:rsid w:val="00E71906"/>
    <w:rsid w:val="00E72B3B"/>
    <w:rsid w:val="00E72DF6"/>
    <w:rsid w:val="00E7308D"/>
    <w:rsid w:val="00E73365"/>
    <w:rsid w:val="00E736EC"/>
    <w:rsid w:val="00E73805"/>
    <w:rsid w:val="00E73D71"/>
    <w:rsid w:val="00E75DED"/>
    <w:rsid w:val="00E769AD"/>
    <w:rsid w:val="00E76E21"/>
    <w:rsid w:val="00E76E44"/>
    <w:rsid w:val="00E80488"/>
    <w:rsid w:val="00E81ACF"/>
    <w:rsid w:val="00E825C3"/>
    <w:rsid w:val="00E83855"/>
    <w:rsid w:val="00E840EA"/>
    <w:rsid w:val="00E84475"/>
    <w:rsid w:val="00E85102"/>
    <w:rsid w:val="00E85986"/>
    <w:rsid w:val="00E864E5"/>
    <w:rsid w:val="00E86AA0"/>
    <w:rsid w:val="00E87096"/>
    <w:rsid w:val="00E87C9D"/>
    <w:rsid w:val="00E87CC9"/>
    <w:rsid w:val="00E9153B"/>
    <w:rsid w:val="00E921CD"/>
    <w:rsid w:val="00E92C5B"/>
    <w:rsid w:val="00E92F01"/>
    <w:rsid w:val="00E933C3"/>
    <w:rsid w:val="00E94C3F"/>
    <w:rsid w:val="00E94DA3"/>
    <w:rsid w:val="00E94F31"/>
    <w:rsid w:val="00E954C6"/>
    <w:rsid w:val="00E95C15"/>
    <w:rsid w:val="00E95D93"/>
    <w:rsid w:val="00E96002"/>
    <w:rsid w:val="00E96E63"/>
    <w:rsid w:val="00E976C6"/>
    <w:rsid w:val="00EA18E3"/>
    <w:rsid w:val="00EA1CF5"/>
    <w:rsid w:val="00EA23FE"/>
    <w:rsid w:val="00EA2899"/>
    <w:rsid w:val="00EA3F80"/>
    <w:rsid w:val="00EA4AAC"/>
    <w:rsid w:val="00EA4E9F"/>
    <w:rsid w:val="00EA5451"/>
    <w:rsid w:val="00EA5A99"/>
    <w:rsid w:val="00EA63BE"/>
    <w:rsid w:val="00EA67BE"/>
    <w:rsid w:val="00EA67F1"/>
    <w:rsid w:val="00EA6979"/>
    <w:rsid w:val="00EA7923"/>
    <w:rsid w:val="00EB02EA"/>
    <w:rsid w:val="00EB0FD9"/>
    <w:rsid w:val="00EB1242"/>
    <w:rsid w:val="00EB1EC8"/>
    <w:rsid w:val="00EB2B55"/>
    <w:rsid w:val="00EB2E90"/>
    <w:rsid w:val="00EB2F6F"/>
    <w:rsid w:val="00EB424E"/>
    <w:rsid w:val="00EB5201"/>
    <w:rsid w:val="00EB59C0"/>
    <w:rsid w:val="00EB60C9"/>
    <w:rsid w:val="00EB6235"/>
    <w:rsid w:val="00EB62CB"/>
    <w:rsid w:val="00EB6CF4"/>
    <w:rsid w:val="00EB7CB4"/>
    <w:rsid w:val="00EC022B"/>
    <w:rsid w:val="00EC2190"/>
    <w:rsid w:val="00EC5E2C"/>
    <w:rsid w:val="00EC6F83"/>
    <w:rsid w:val="00EC7471"/>
    <w:rsid w:val="00EC78FE"/>
    <w:rsid w:val="00EC7BC5"/>
    <w:rsid w:val="00ED0626"/>
    <w:rsid w:val="00ED1ED2"/>
    <w:rsid w:val="00ED2150"/>
    <w:rsid w:val="00ED2E00"/>
    <w:rsid w:val="00ED3F2F"/>
    <w:rsid w:val="00ED53C0"/>
    <w:rsid w:val="00ED56A2"/>
    <w:rsid w:val="00ED5BCF"/>
    <w:rsid w:val="00ED743E"/>
    <w:rsid w:val="00EE030E"/>
    <w:rsid w:val="00EE04DC"/>
    <w:rsid w:val="00EE1A69"/>
    <w:rsid w:val="00EE20EE"/>
    <w:rsid w:val="00EE24B0"/>
    <w:rsid w:val="00EE2F73"/>
    <w:rsid w:val="00EE320A"/>
    <w:rsid w:val="00EE514E"/>
    <w:rsid w:val="00EE56E6"/>
    <w:rsid w:val="00EE5C74"/>
    <w:rsid w:val="00EE6E45"/>
    <w:rsid w:val="00EF13F4"/>
    <w:rsid w:val="00EF3572"/>
    <w:rsid w:val="00EF36EE"/>
    <w:rsid w:val="00EF41AA"/>
    <w:rsid w:val="00EF4929"/>
    <w:rsid w:val="00EF4C05"/>
    <w:rsid w:val="00EF6EAC"/>
    <w:rsid w:val="00EF736F"/>
    <w:rsid w:val="00EF7679"/>
    <w:rsid w:val="00EF782C"/>
    <w:rsid w:val="00F00792"/>
    <w:rsid w:val="00F014F5"/>
    <w:rsid w:val="00F0229C"/>
    <w:rsid w:val="00F02E1A"/>
    <w:rsid w:val="00F030D8"/>
    <w:rsid w:val="00F03632"/>
    <w:rsid w:val="00F047DF"/>
    <w:rsid w:val="00F05132"/>
    <w:rsid w:val="00F05259"/>
    <w:rsid w:val="00F05C3B"/>
    <w:rsid w:val="00F06955"/>
    <w:rsid w:val="00F06A75"/>
    <w:rsid w:val="00F101E2"/>
    <w:rsid w:val="00F108EA"/>
    <w:rsid w:val="00F10BF2"/>
    <w:rsid w:val="00F10E61"/>
    <w:rsid w:val="00F10F05"/>
    <w:rsid w:val="00F117AA"/>
    <w:rsid w:val="00F126A5"/>
    <w:rsid w:val="00F128A0"/>
    <w:rsid w:val="00F13DFA"/>
    <w:rsid w:val="00F145DE"/>
    <w:rsid w:val="00F14FBE"/>
    <w:rsid w:val="00F15B62"/>
    <w:rsid w:val="00F16515"/>
    <w:rsid w:val="00F16A88"/>
    <w:rsid w:val="00F174A9"/>
    <w:rsid w:val="00F17888"/>
    <w:rsid w:val="00F1792E"/>
    <w:rsid w:val="00F232F1"/>
    <w:rsid w:val="00F2571E"/>
    <w:rsid w:val="00F26044"/>
    <w:rsid w:val="00F26214"/>
    <w:rsid w:val="00F2646B"/>
    <w:rsid w:val="00F26D38"/>
    <w:rsid w:val="00F27D83"/>
    <w:rsid w:val="00F30D63"/>
    <w:rsid w:val="00F32768"/>
    <w:rsid w:val="00F33001"/>
    <w:rsid w:val="00F33006"/>
    <w:rsid w:val="00F33441"/>
    <w:rsid w:val="00F3443C"/>
    <w:rsid w:val="00F3576D"/>
    <w:rsid w:val="00F35B24"/>
    <w:rsid w:val="00F360D7"/>
    <w:rsid w:val="00F36517"/>
    <w:rsid w:val="00F37F3B"/>
    <w:rsid w:val="00F409A4"/>
    <w:rsid w:val="00F409C4"/>
    <w:rsid w:val="00F40ADE"/>
    <w:rsid w:val="00F42275"/>
    <w:rsid w:val="00F42B39"/>
    <w:rsid w:val="00F433DE"/>
    <w:rsid w:val="00F4369A"/>
    <w:rsid w:val="00F45E49"/>
    <w:rsid w:val="00F45EF7"/>
    <w:rsid w:val="00F46A2E"/>
    <w:rsid w:val="00F50465"/>
    <w:rsid w:val="00F50592"/>
    <w:rsid w:val="00F50682"/>
    <w:rsid w:val="00F506A0"/>
    <w:rsid w:val="00F50E5F"/>
    <w:rsid w:val="00F5243E"/>
    <w:rsid w:val="00F52D78"/>
    <w:rsid w:val="00F53C15"/>
    <w:rsid w:val="00F53C80"/>
    <w:rsid w:val="00F543C3"/>
    <w:rsid w:val="00F54773"/>
    <w:rsid w:val="00F54B82"/>
    <w:rsid w:val="00F54EED"/>
    <w:rsid w:val="00F5710F"/>
    <w:rsid w:val="00F57723"/>
    <w:rsid w:val="00F600DE"/>
    <w:rsid w:val="00F60EE0"/>
    <w:rsid w:val="00F6141A"/>
    <w:rsid w:val="00F62235"/>
    <w:rsid w:val="00F638DD"/>
    <w:rsid w:val="00F64351"/>
    <w:rsid w:val="00F6491F"/>
    <w:rsid w:val="00F64D5D"/>
    <w:rsid w:val="00F64F2A"/>
    <w:rsid w:val="00F654CF"/>
    <w:rsid w:val="00F658CC"/>
    <w:rsid w:val="00F65995"/>
    <w:rsid w:val="00F65FEB"/>
    <w:rsid w:val="00F70847"/>
    <w:rsid w:val="00F70B7B"/>
    <w:rsid w:val="00F71762"/>
    <w:rsid w:val="00F71BC2"/>
    <w:rsid w:val="00F725D5"/>
    <w:rsid w:val="00F72F49"/>
    <w:rsid w:val="00F7330F"/>
    <w:rsid w:val="00F7339D"/>
    <w:rsid w:val="00F7397D"/>
    <w:rsid w:val="00F73A24"/>
    <w:rsid w:val="00F74BA6"/>
    <w:rsid w:val="00F753F5"/>
    <w:rsid w:val="00F76A1B"/>
    <w:rsid w:val="00F76D98"/>
    <w:rsid w:val="00F8019C"/>
    <w:rsid w:val="00F831C0"/>
    <w:rsid w:val="00F837EF"/>
    <w:rsid w:val="00F83A02"/>
    <w:rsid w:val="00F849C1"/>
    <w:rsid w:val="00F85685"/>
    <w:rsid w:val="00F85A65"/>
    <w:rsid w:val="00F85E56"/>
    <w:rsid w:val="00F87800"/>
    <w:rsid w:val="00F87C9C"/>
    <w:rsid w:val="00F90247"/>
    <w:rsid w:val="00F9069B"/>
    <w:rsid w:val="00F95B19"/>
    <w:rsid w:val="00FA03C7"/>
    <w:rsid w:val="00FA0885"/>
    <w:rsid w:val="00FA1D74"/>
    <w:rsid w:val="00FA2432"/>
    <w:rsid w:val="00FA37F8"/>
    <w:rsid w:val="00FA4901"/>
    <w:rsid w:val="00FA4A90"/>
    <w:rsid w:val="00FA578A"/>
    <w:rsid w:val="00FA57D0"/>
    <w:rsid w:val="00FA6D41"/>
    <w:rsid w:val="00FA7043"/>
    <w:rsid w:val="00FB03B7"/>
    <w:rsid w:val="00FB0634"/>
    <w:rsid w:val="00FB0AF8"/>
    <w:rsid w:val="00FB0B0C"/>
    <w:rsid w:val="00FB1543"/>
    <w:rsid w:val="00FB15C2"/>
    <w:rsid w:val="00FB3DD5"/>
    <w:rsid w:val="00FB420B"/>
    <w:rsid w:val="00FB4E7C"/>
    <w:rsid w:val="00FB4E8B"/>
    <w:rsid w:val="00FB512B"/>
    <w:rsid w:val="00FB53A8"/>
    <w:rsid w:val="00FB6540"/>
    <w:rsid w:val="00FB663D"/>
    <w:rsid w:val="00FB74D0"/>
    <w:rsid w:val="00FB756B"/>
    <w:rsid w:val="00FC0ADB"/>
    <w:rsid w:val="00FC1B60"/>
    <w:rsid w:val="00FC2958"/>
    <w:rsid w:val="00FC3934"/>
    <w:rsid w:val="00FC39CD"/>
    <w:rsid w:val="00FC3EF4"/>
    <w:rsid w:val="00FC423C"/>
    <w:rsid w:val="00FC5398"/>
    <w:rsid w:val="00FC5C65"/>
    <w:rsid w:val="00FC7C82"/>
    <w:rsid w:val="00FD0106"/>
    <w:rsid w:val="00FD1CA5"/>
    <w:rsid w:val="00FD1DDE"/>
    <w:rsid w:val="00FD22C4"/>
    <w:rsid w:val="00FD4828"/>
    <w:rsid w:val="00FD5D30"/>
    <w:rsid w:val="00FD6221"/>
    <w:rsid w:val="00FD64AD"/>
    <w:rsid w:val="00FD6B54"/>
    <w:rsid w:val="00FD6D86"/>
    <w:rsid w:val="00FD7D6E"/>
    <w:rsid w:val="00FE09E0"/>
    <w:rsid w:val="00FE11F5"/>
    <w:rsid w:val="00FE1675"/>
    <w:rsid w:val="00FE1732"/>
    <w:rsid w:val="00FE1CA1"/>
    <w:rsid w:val="00FE1F3F"/>
    <w:rsid w:val="00FE2721"/>
    <w:rsid w:val="00FE2D71"/>
    <w:rsid w:val="00FE2E78"/>
    <w:rsid w:val="00FE2FA7"/>
    <w:rsid w:val="00FE3ADA"/>
    <w:rsid w:val="00FE3C78"/>
    <w:rsid w:val="00FE4222"/>
    <w:rsid w:val="00FE44C8"/>
    <w:rsid w:val="00FE5098"/>
    <w:rsid w:val="00FE5789"/>
    <w:rsid w:val="00FE6951"/>
    <w:rsid w:val="00FE6FED"/>
    <w:rsid w:val="00FE7003"/>
    <w:rsid w:val="00FE72A4"/>
    <w:rsid w:val="00FE7490"/>
    <w:rsid w:val="00FE7F88"/>
    <w:rsid w:val="00FF056F"/>
    <w:rsid w:val="00FF0672"/>
    <w:rsid w:val="00FF16B2"/>
    <w:rsid w:val="00FF1AC6"/>
    <w:rsid w:val="00FF307A"/>
    <w:rsid w:val="00FF320A"/>
    <w:rsid w:val="00FF63AD"/>
    <w:rsid w:val="00FF76E3"/>
    <w:rsid w:val="00FF7D00"/>
    <w:rsid w:val="00FF7D2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3">
      <o:colormru v:ext="edit" colors="#00a8d0,#008eb0,#1492e8,#1287d6,#117dc7,#c2e3fa"/>
    </o:shapedefaults>
    <o:shapelayout v:ext="edit">
      <o:idmap v:ext="edit" data="1"/>
    </o:shapelayout>
  </w:shapeDefaults>
  <w:decimalSymbol w:val="."/>
  <w:listSeparator w:val=","/>
  <w14:docId w14:val="015C98B0"/>
  <w15:docId w15:val="{A5E8BB84-48E8-41F1-B7AB-E5DC5978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BF1"/>
    <w:pPr>
      <w:spacing w:after="240"/>
    </w:pPr>
    <w:rPr>
      <w:sz w:val="22"/>
    </w:rPr>
  </w:style>
  <w:style w:type="paragraph" w:styleId="Heading1">
    <w:name w:val="heading 1"/>
    <w:basedOn w:val="Normal"/>
    <w:next w:val="BodyText"/>
    <w:link w:val="Heading1Char"/>
    <w:qFormat/>
    <w:rsid w:val="005B1BF1"/>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link w:val="Heading2Char"/>
    <w:qFormat/>
    <w:rsid w:val="005B1BF1"/>
    <w:pPr>
      <w:keepNext/>
      <w:spacing w:before="720" w:after="0" w:line="280" w:lineRule="atLeast"/>
      <w:outlineLvl w:val="1"/>
    </w:pPr>
    <w:rPr>
      <w:rFonts w:ascii="Arial" w:hAnsi="Arial" w:cs="Arial"/>
      <w:b/>
      <w:sz w:val="28"/>
      <w:szCs w:val="28"/>
    </w:rPr>
  </w:style>
  <w:style w:type="paragraph" w:styleId="Heading3">
    <w:name w:val="heading 3"/>
    <w:basedOn w:val="Normal"/>
    <w:next w:val="BodyText"/>
    <w:link w:val="Heading3Char"/>
    <w:qFormat/>
    <w:rsid w:val="005B1BF1"/>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link w:val="Heading4Char"/>
    <w:qFormat/>
    <w:rsid w:val="005B1BF1"/>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link w:val="Heading5Char"/>
    <w:qFormat/>
    <w:rsid w:val="005B1BF1"/>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link w:val="Heading6Char"/>
    <w:unhideWhenUsed/>
    <w:qFormat/>
    <w:rsid w:val="005B1BF1"/>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link w:val="Heading7Char"/>
    <w:unhideWhenUsed/>
    <w:qFormat/>
    <w:rsid w:val="005B1BF1"/>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1BF1"/>
    <w:pPr>
      <w:numPr>
        <w:numId w:val="7"/>
      </w:numPr>
      <w:spacing w:before="200" w:after="0" w:line="300" w:lineRule="atLeast"/>
    </w:pPr>
    <w:rPr>
      <w:szCs w:val="22"/>
    </w:rPr>
  </w:style>
  <w:style w:type="paragraph" w:customStyle="1" w:styleId="Tiptext">
    <w:name w:val="Tip text"/>
    <w:basedOn w:val="Fronttext"/>
    <w:next w:val="BodyText"/>
    <w:rsid w:val="00DF40A6"/>
    <w:rPr>
      <w:vanish/>
      <w:color w:val="800000"/>
    </w:rPr>
  </w:style>
  <w:style w:type="paragraph" w:customStyle="1" w:styleId="tblnote">
    <w:name w:val="tbl note"/>
    <w:basedOn w:val="sourcenotefullwidth"/>
    <w:next w:val="tbltext"/>
    <w:qFormat/>
    <w:rsid w:val="005B1BF1"/>
    <w:pPr>
      <w:ind w:left="425"/>
    </w:pPr>
  </w:style>
  <w:style w:type="paragraph" w:styleId="Footer">
    <w:name w:val="footer"/>
    <w:basedOn w:val="Normal"/>
    <w:link w:val="FooterChar"/>
    <w:rsid w:val="005B1BF1"/>
    <w:pPr>
      <w:tabs>
        <w:tab w:val="right" w:pos="9070"/>
      </w:tabs>
      <w:spacing w:after="0"/>
    </w:pPr>
    <w:rPr>
      <w:rFonts w:ascii="Arial" w:hAnsi="Arial"/>
      <w:sz w:val="16"/>
      <w:szCs w:val="16"/>
    </w:rPr>
  </w:style>
  <w:style w:type="character" w:styleId="PageNumber">
    <w:name w:val="page number"/>
    <w:basedOn w:val="DefaultParagraphFont"/>
    <w:rsid w:val="005B1BF1"/>
    <w:rPr>
      <w:b/>
      <w:sz w:val="20"/>
    </w:rPr>
  </w:style>
  <w:style w:type="paragraph" w:styleId="Header">
    <w:name w:val="header"/>
    <w:basedOn w:val="Normal"/>
    <w:link w:val="HeaderChar"/>
    <w:uiPriority w:val="99"/>
    <w:rsid w:val="005B1BF1"/>
    <w:pPr>
      <w:pBdr>
        <w:bottom w:val="single" w:sz="4" w:space="1" w:color="008291"/>
      </w:pBdr>
      <w:tabs>
        <w:tab w:val="right" w:pos="9356"/>
      </w:tabs>
      <w:spacing w:after="0"/>
      <w:ind w:left="-85"/>
    </w:pPr>
    <w:rPr>
      <w:rFonts w:ascii="Arial" w:hAnsi="Arial" w:cs="Arial"/>
      <w:caps/>
      <w:color w:val="008291"/>
      <w:sz w:val="16"/>
      <w:szCs w:val="16"/>
    </w:rPr>
  </w:style>
  <w:style w:type="paragraph" w:styleId="ListBullet">
    <w:name w:val="List Bullet"/>
    <w:basedOn w:val="Normal"/>
    <w:rsid w:val="005B1BF1"/>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5B1BF1"/>
    <w:pPr>
      <w:numPr>
        <w:ilvl w:val="1"/>
      </w:numPr>
    </w:pPr>
  </w:style>
  <w:style w:type="paragraph" w:customStyle="1" w:styleId="ListNumber1">
    <w:name w:val="List Number1"/>
    <w:basedOn w:val="Normal"/>
    <w:rsid w:val="005B1BF1"/>
    <w:pPr>
      <w:numPr>
        <w:numId w:val="1"/>
      </w:numPr>
      <w:spacing w:before="100" w:after="0" w:line="300" w:lineRule="atLeast"/>
    </w:pPr>
    <w:rPr>
      <w:szCs w:val="24"/>
    </w:rPr>
  </w:style>
  <w:style w:type="paragraph" w:customStyle="1" w:styleId="figuretitleindented">
    <w:name w:val="figure title indented"/>
    <w:basedOn w:val="figuretitlefullwidth"/>
    <w:rsid w:val="005B1BF1"/>
    <w:pPr>
      <w:ind w:left="3260"/>
    </w:pPr>
  </w:style>
  <w:style w:type="paragraph" w:customStyle="1" w:styleId="figuretitlefullwidth">
    <w:name w:val="figure title full width"/>
    <w:basedOn w:val="tabletitlefullwidth"/>
    <w:next w:val="figuretext"/>
    <w:rsid w:val="005B1BF1"/>
    <w:rPr>
      <w:szCs w:val="22"/>
    </w:rPr>
  </w:style>
  <w:style w:type="paragraph" w:customStyle="1" w:styleId="tabletitlefullwidth">
    <w:name w:val="table title full width"/>
    <w:basedOn w:val="Normal"/>
    <w:rsid w:val="005B1BF1"/>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5B1BF1"/>
    <w:pPr>
      <w:widowControl w:val="0"/>
      <w:spacing w:after="0" w:line="240" w:lineRule="atLeast"/>
    </w:pPr>
    <w:rPr>
      <w:rFonts w:ascii="Arial" w:hAnsi="Arial" w:cs="Arial"/>
      <w:sz w:val="18"/>
      <w:szCs w:val="18"/>
    </w:rPr>
  </w:style>
  <w:style w:type="paragraph" w:customStyle="1" w:styleId="tbltext">
    <w:name w:val="tbl text"/>
    <w:basedOn w:val="Bodytextplain"/>
    <w:rsid w:val="005B1BF1"/>
    <w:pPr>
      <w:widowControl w:val="0"/>
      <w:spacing w:before="120" w:line="240" w:lineRule="atLeast"/>
      <w:ind w:left="0"/>
    </w:pPr>
    <w:rPr>
      <w:rFonts w:ascii="Arial" w:hAnsi="Arial" w:cs="Arial"/>
      <w:sz w:val="18"/>
      <w:szCs w:val="18"/>
    </w:rPr>
  </w:style>
  <w:style w:type="paragraph" w:customStyle="1" w:styleId="Bodytextplain">
    <w:name w:val="Body text plain"/>
    <w:basedOn w:val="BodyText"/>
    <w:link w:val="BodytextplainChar"/>
    <w:rsid w:val="005B1BF1"/>
    <w:pPr>
      <w:numPr>
        <w:numId w:val="0"/>
      </w:numPr>
      <w:ind w:left="2268"/>
    </w:pPr>
  </w:style>
  <w:style w:type="paragraph" w:customStyle="1" w:styleId="tablehead">
    <w:name w:val="table head"/>
    <w:basedOn w:val="Normal"/>
    <w:rsid w:val="005B1BF1"/>
    <w:pPr>
      <w:keepNext/>
      <w:spacing w:before="120" w:after="0" w:line="240" w:lineRule="atLeast"/>
    </w:pPr>
    <w:rPr>
      <w:rFonts w:ascii="Arial" w:hAnsi="Arial" w:cs="Arial"/>
      <w:b/>
      <w:sz w:val="18"/>
      <w:szCs w:val="18"/>
    </w:rPr>
  </w:style>
  <w:style w:type="paragraph" w:styleId="ListBullet2">
    <w:name w:val="List Bullet 2"/>
    <w:basedOn w:val="Normal"/>
    <w:rsid w:val="005B1BF1"/>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5B1BF1"/>
    <w:rPr>
      <w:color w:val="0000FF"/>
      <w:u w:val="single"/>
    </w:rPr>
  </w:style>
  <w:style w:type="paragraph" w:customStyle="1" w:styleId="tablebullet">
    <w:name w:val="table bullet"/>
    <w:basedOn w:val="Normal"/>
    <w:rsid w:val="005B1BF1"/>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link w:val="FootnoteTextChar"/>
    <w:semiHidden/>
    <w:rsid w:val="005B1BF1"/>
    <w:pPr>
      <w:spacing w:after="0"/>
    </w:pPr>
    <w:rPr>
      <w:sz w:val="18"/>
    </w:rPr>
  </w:style>
  <w:style w:type="character" w:styleId="FootnoteReference">
    <w:name w:val="footnote reference"/>
    <w:basedOn w:val="DefaultParagraphFont"/>
    <w:semiHidden/>
    <w:rsid w:val="005B1BF1"/>
    <w:rPr>
      <w:vertAlign w:val="superscript"/>
    </w:rPr>
  </w:style>
  <w:style w:type="paragraph" w:styleId="TOC1">
    <w:name w:val="toc 1"/>
    <w:basedOn w:val="Normal"/>
    <w:next w:val="Normal"/>
    <w:autoRedefine/>
    <w:uiPriority w:val="39"/>
    <w:rsid w:val="00A073B1"/>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BB486B"/>
    <w:pPr>
      <w:tabs>
        <w:tab w:val="left" w:leader="dot" w:pos="2694"/>
        <w:tab w:val="left" w:pos="3748"/>
        <w:tab w:val="right" w:leader="dot" w:pos="9072"/>
      </w:tabs>
      <w:spacing w:before="20" w:after="0"/>
      <w:ind w:left="2920" w:right="284" w:hanging="227"/>
    </w:pPr>
    <w:rPr>
      <w:rFonts w:ascii="Arial" w:hAnsi="Arial" w:cs="Arial"/>
      <w:noProof/>
      <w:spacing w:val="-4"/>
      <w:sz w:val="20"/>
    </w:rPr>
  </w:style>
  <w:style w:type="paragraph" w:styleId="TOC3">
    <w:name w:val="toc 3"/>
    <w:basedOn w:val="Normal"/>
    <w:next w:val="Normal"/>
    <w:autoRedefine/>
    <w:rsid w:val="005B1BF1"/>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rsid w:val="005B1BF1"/>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8B2472"/>
    <w:pPr>
      <w:numPr>
        <w:numId w:val="0"/>
      </w:numPr>
    </w:pPr>
  </w:style>
  <w:style w:type="paragraph" w:customStyle="1" w:styleId="tabletitleindented">
    <w:name w:val="table title indented"/>
    <w:basedOn w:val="tabletitlefullwidth"/>
    <w:rsid w:val="005B1BF1"/>
    <w:pPr>
      <w:ind w:left="3260"/>
    </w:pPr>
  </w:style>
  <w:style w:type="paragraph" w:styleId="Caption">
    <w:name w:val="caption"/>
    <w:basedOn w:val="Normal"/>
    <w:next w:val="Normal"/>
    <w:qFormat/>
    <w:rsid w:val="005B1BF1"/>
    <w:pPr>
      <w:spacing w:before="120" w:after="120"/>
    </w:pPr>
    <w:rPr>
      <w:b/>
      <w:bCs/>
      <w:sz w:val="20"/>
    </w:rPr>
  </w:style>
  <w:style w:type="paragraph" w:customStyle="1" w:styleId="tabledash">
    <w:name w:val="table dash"/>
    <w:basedOn w:val="tablebullet"/>
    <w:rsid w:val="005B1BF1"/>
    <w:pPr>
      <w:numPr>
        <w:numId w:val="4"/>
      </w:numPr>
    </w:pPr>
  </w:style>
  <w:style w:type="paragraph" w:customStyle="1" w:styleId="Tablebody">
    <w:name w:val="Table body"/>
    <w:basedOn w:val="Normal"/>
    <w:semiHidden/>
    <w:rsid w:val="005B1BF1"/>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5B1BF1"/>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link w:val="KPheadChar"/>
    <w:rsid w:val="005B1BF1"/>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5B1BF1"/>
    <w:rPr>
      <w:b w:val="0"/>
    </w:rPr>
  </w:style>
  <w:style w:type="character" w:customStyle="1" w:styleId="KPboldChar">
    <w:name w:val="KP bold Char"/>
    <w:basedOn w:val="DefaultParagraphFont"/>
    <w:rsid w:val="008B2472"/>
    <w:rPr>
      <w:rFonts w:ascii="Arial" w:hAnsi="Arial" w:cs="Arial"/>
      <w:b/>
      <w:lang w:val="en-AU" w:eastAsia="en-AU" w:bidi="ar-SA"/>
    </w:rPr>
  </w:style>
  <w:style w:type="paragraph" w:customStyle="1" w:styleId="KPbullet">
    <w:name w:val="KP bullet"/>
    <w:basedOn w:val="KPtext"/>
    <w:rsid w:val="005B1BF1"/>
    <w:pPr>
      <w:numPr>
        <w:numId w:val="5"/>
      </w:numPr>
      <w:tabs>
        <w:tab w:val="clear" w:pos="2807"/>
        <w:tab w:val="left" w:pos="2665"/>
      </w:tabs>
      <w:spacing w:before="100"/>
      <w:ind w:left="2665" w:hanging="284"/>
    </w:pPr>
  </w:style>
  <w:style w:type="paragraph" w:customStyle="1" w:styleId="Note">
    <w:name w:val="Note"/>
    <w:basedOn w:val="BodyText"/>
    <w:next w:val="BodyText"/>
    <w:link w:val="NoteChar"/>
    <w:rsid w:val="005B1BF1"/>
    <w:pPr>
      <w:numPr>
        <w:numId w:val="0"/>
      </w:numPr>
      <w:spacing w:line="240" w:lineRule="atLeast"/>
      <w:ind w:left="2693"/>
    </w:pPr>
    <w:rPr>
      <w:sz w:val="18"/>
    </w:rPr>
  </w:style>
  <w:style w:type="paragraph" w:customStyle="1" w:styleId="subparaa">
    <w:name w:val="sub para (a)"/>
    <w:basedOn w:val="BodyText"/>
    <w:link w:val="subparaaChar"/>
    <w:rsid w:val="005B1BF1"/>
    <w:pPr>
      <w:numPr>
        <w:ilvl w:val="1"/>
      </w:numPr>
      <w:spacing w:before="100"/>
    </w:pPr>
  </w:style>
  <w:style w:type="paragraph" w:customStyle="1" w:styleId="Listdash">
    <w:name w:val="List dash"/>
    <w:basedOn w:val="Normal"/>
    <w:rsid w:val="008B2472"/>
    <w:pPr>
      <w:numPr>
        <w:numId w:val="8"/>
      </w:numPr>
      <w:spacing w:before="100" w:after="0" w:line="300" w:lineRule="atLeast"/>
      <w:ind w:left="3118" w:hanging="425"/>
    </w:pPr>
  </w:style>
  <w:style w:type="paragraph" w:customStyle="1" w:styleId="Feedbackhead">
    <w:name w:val="Feedback head"/>
    <w:basedOn w:val="KPhead"/>
    <w:next w:val="Feedbackquestion"/>
    <w:link w:val="FeedbackheadChar"/>
    <w:rsid w:val="005B1BF1"/>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5B1BF1"/>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5B1BF1"/>
    <w:pPr>
      <w:numPr>
        <w:ilvl w:val="5"/>
      </w:numPr>
    </w:pPr>
  </w:style>
  <w:style w:type="paragraph" w:customStyle="1" w:styleId="figuretitle">
    <w:name w:val="figure title"/>
    <w:basedOn w:val="Normal"/>
    <w:next w:val="figuretext"/>
    <w:rsid w:val="008B2472"/>
    <w:pPr>
      <w:keepNext/>
      <w:spacing w:before="360" w:after="60"/>
      <w:ind w:left="2268" w:hanging="1276"/>
    </w:pPr>
    <w:rPr>
      <w:rFonts w:ascii="Arial" w:hAnsi="Arial"/>
      <w:b/>
      <w:sz w:val="20"/>
    </w:rPr>
  </w:style>
  <w:style w:type="paragraph" w:customStyle="1" w:styleId="subsubparai">
    <w:name w:val="sub sub para (i)"/>
    <w:basedOn w:val="subparaa"/>
    <w:link w:val="subsubparaiChar"/>
    <w:rsid w:val="005B1BF1"/>
    <w:pPr>
      <w:numPr>
        <w:ilvl w:val="2"/>
      </w:numPr>
    </w:pPr>
  </w:style>
  <w:style w:type="paragraph" w:customStyle="1" w:styleId="DescriptorRG">
    <w:name w:val="Descriptor RG"/>
    <w:basedOn w:val="Normal"/>
    <w:next w:val="Normal"/>
    <w:rsid w:val="005B1BF1"/>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MainHeading2">
    <w:name w:val="MainHeading2"/>
    <w:basedOn w:val="Normal"/>
    <w:link w:val="MainHeading2Char"/>
    <w:autoRedefine/>
    <w:rsid w:val="00A55551"/>
    <w:pPr>
      <w:keepNext/>
      <w:numPr>
        <w:ilvl w:val="1"/>
        <w:numId w:val="12"/>
      </w:numPr>
      <w:tabs>
        <w:tab w:val="left" w:pos="601"/>
        <w:tab w:val="left" w:pos="1134"/>
      </w:tabs>
      <w:spacing w:before="120" w:after="0"/>
      <w:ind w:left="425" w:hanging="425"/>
      <w:outlineLvl w:val="1"/>
    </w:pPr>
    <w:rPr>
      <w:rFonts w:ascii="Arial" w:hAnsi="Arial" w:cs="Arial"/>
      <w:color w:val="000000"/>
      <w:sz w:val="18"/>
      <w:szCs w:val="18"/>
    </w:rPr>
  </w:style>
  <w:style w:type="paragraph" w:customStyle="1" w:styleId="DescriptorCP">
    <w:name w:val="Descriptor CP"/>
    <w:basedOn w:val="DescriptorRG"/>
    <w:next w:val="Normal"/>
    <w:rsid w:val="005B1BF1"/>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5B1BF1"/>
    <w:pPr>
      <w:spacing w:line="260" w:lineRule="atLeast"/>
    </w:pPr>
    <w:rPr>
      <w:rFonts w:ascii="Arial" w:hAnsi="Arial" w:cs="Arial"/>
      <w:sz w:val="20"/>
      <w:szCs w:val="20"/>
    </w:rPr>
  </w:style>
  <w:style w:type="paragraph" w:customStyle="1" w:styleId="Frontbullet">
    <w:name w:val="Front bullet"/>
    <w:basedOn w:val="Fronttext"/>
    <w:rsid w:val="005B1BF1"/>
    <w:pPr>
      <w:numPr>
        <w:ilvl w:val="5"/>
        <w:numId w:val="9"/>
      </w:numPr>
      <w:spacing w:before="120"/>
    </w:pPr>
  </w:style>
  <w:style w:type="paragraph" w:customStyle="1" w:styleId="Frontheading">
    <w:name w:val="Front heading"/>
    <w:basedOn w:val="Heading3"/>
    <w:next w:val="Fronttext"/>
    <w:rsid w:val="005B1BF1"/>
  </w:style>
  <w:style w:type="paragraph" w:customStyle="1" w:styleId="Blockquote">
    <w:name w:val="Block quote"/>
    <w:basedOn w:val="Bodytextplain"/>
    <w:rsid w:val="005B1BF1"/>
    <w:pPr>
      <w:spacing w:before="100" w:line="240" w:lineRule="auto"/>
      <w:ind w:left="2693"/>
    </w:pPr>
    <w:rPr>
      <w:sz w:val="21"/>
      <w:szCs w:val="21"/>
    </w:rPr>
  </w:style>
  <w:style w:type="paragraph" w:customStyle="1" w:styleId="Heading2noToC">
    <w:name w:val="Heading 2 no ToC"/>
    <w:basedOn w:val="Bodytextplain"/>
    <w:next w:val="Bodytextplain"/>
    <w:rsid w:val="008B2472"/>
    <w:pPr>
      <w:spacing w:before="720"/>
      <w:ind w:left="0"/>
    </w:pPr>
    <w:rPr>
      <w:rFonts w:ascii="Arial" w:hAnsi="Arial" w:cs="Arial"/>
      <w:b/>
      <w:sz w:val="28"/>
      <w:szCs w:val="28"/>
    </w:rPr>
  </w:style>
  <w:style w:type="paragraph" w:customStyle="1" w:styleId="Proposalhead">
    <w:name w:val="Proposal head"/>
    <w:basedOn w:val="Bodytextplain"/>
    <w:next w:val="Proposaltext"/>
    <w:rsid w:val="005B1BF1"/>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5B1BF1"/>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5B1BF1"/>
    <w:pPr>
      <w:numPr>
        <w:ilvl w:val="2"/>
      </w:numPr>
      <w:spacing w:before="100"/>
    </w:pPr>
  </w:style>
  <w:style w:type="paragraph" w:customStyle="1" w:styleId="Proposalsubsubpara">
    <w:name w:val="Proposal sub sub para"/>
    <w:basedOn w:val="Proposaltext"/>
    <w:rsid w:val="005B1BF1"/>
    <w:pPr>
      <w:numPr>
        <w:ilvl w:val="3"/>
      </w:numPr>
      <w:spacing w:before="100"/>
    </w:pPr>
  </w:style>
  <w:style w:type="paragraph" w:customStyle="1" w:styleId="Proposalnote">
    <w:name w:val="Proposal note"/>
    <w:basedOn w:val="Note"/>
    <w:rsid w:val="005B1BF1"/>
    <w:pPr>
      <w:spacing w:before="100"/>
      <w:ind w:left="3119"/>
    </w:pPr>
    <w:rPr>
      <w:rFonts w:ascii="Arial" w:hAnsi="Arial" w:cs="Arial"/>
      <w:sz w:val="16"/>
      <w:szCs w:val="16"/>
    </w:rPr>
  </w:style>
  <w:style w:type="character" w:styleId="CommentReference">
    <w:name w:val="annotation reference"/>
    <w:basedOn w:val="DefaultParagraphFont"/>
    <w:uiPriority w:val="99"/>
    <w:semiHidden/>
    <w:rsid w:val="005B1BF1"/>
    <w:rPr>
      <w:sz w:val="16"/>
      <w:szCs w:val="16"/>
    </w:rPr>
  </w:style>
  <w:style w:type="paragraph" w:styleId="CommentText">
    <w:name w:val="annotation text"/>
    <w:basedOn w:val="Normal"/>
    <w:link w:val="CommentTextChar"/>
    <w:uiPriority w:val="99"/>
    <w:rsid w:val="005B1BF1"/>
    <w:rPr>
      <w:sz w:val="20"/>
    </w:rPr>
  </w:style>
  <w:style w:type="paragraph" w:customStyle="1" w:styleId="issueddate">
    <w:name w:val="issued date"/>
    <w:rsid w:val="008B2472"/>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link w:val="BalloonTextChar"/>
    <w:rsid w:val="005B1BF1"/>
    <w:rPr>
      <w:rFonts w:ascii="Tahoma" w:hAnsi="Tahoma" w:cs="Tahoma"/>
      <w:sz w:val="16"/>
      <w:szCs w:val="16"/>
    </w:rPr>
  </w:style>
  <w:style w:type="paragraph" w:customStyle="1" w:styleId="boxbullet">
    <w:name w:val="box bullet"/>
    <w:basedOn w:val="Frontbullet"/>
    <w:rsid w:val="005B1BF1"/>
    <w:pPr>
      <w:numPr>
        <w:ilvl w:val="0"/>
        <w:numId w:val="11"/>
      </w:numPr>
      <w:spacing w:before="60"/>
    </w:pPr>
  </w:style>
  <w:style w:type="paragraph" w:customStyle="1" w:styleId="boxtext">
    <w:name w:val="box text"/>
    <w:basedOn w:val="Fronttext"/>
    <w:rsid w:val="005B1BF1"/>
    <w:pPr>
      <w:spacing w:before="120"/>
      <w:ind w:left="0"/>
    </w:pPr>
  </w:style>
  <w:style w:type="paragraph" w:customStyle="1" w:styleId="MainHeading3">
    <w:name w:val="MainHeading3"/>
    <w:basedOn w:val="Normal"/>
    <w:rsid w:val="00A55551"/>
    <w:pPr>
      <w:keepNext/>
      <w:numPr>
        <w:ilvl w:val="2"/>
        <w:numId w:val="12"/>
      </w:numPr>
      <w:spacing w:before="240" w:after="120"/>
      <w:outlineLvl w:val="2"/>
    </w:pPr>
    <w:rPr>
      <w:rFonts w:ascii="ClassGarmnd BT" w:hAnsi="ClassGarmnd BT"/>
      <w:b/>
      <w:color w:val="000000"/>
      <w:lang w:eastAsia="zh-CN"/>
    </w:rPr>
  </w:style>
  <w:style w:type="paragraph" w:customStyle="1" w:styleId="MainHeading4">
    <w:name w:val="MainHeading4"/>
    <w:basedOn w:val="Normal"/>
    <w:autoRedefine/>
    <w:rsid w:val="00A55551"/>
    <w:pPr>
      <w:numPr>
        <w:ilvl w:val="3"/>
        <w:numId w:val="12"/>
      </w:numPr>
      <w:tabs>
        <w:tab w:val="clear" w:pos="1985"/>
        <w:tab w:val="num" w:pos="459"/>
        <w:tab w:val="left" w:pos="601"/>
      </w:tabs>
      <w:spacing w:before="240" w:after="0"/>
      <w:ind w:left="459" w:hanging="425"/>
    </w:pPr>
    <w:rPr>
      <w:color w:val="000000"/>
      <w:lang w:eastAsia="zh-CN"/>
    </w:rPr>
  </w:style>
  <w:style w:type="character" w:customStyle="1" w:styleId="MainHeading2Char">
    <w:name w:val="MainHeading2 Char"/>
    <w:basedOn w:val="DefaultParagraphFont"/>
    <w:link w:val="MainHeading2"/>
    <w:rsid w:val="00A55551"/>
    <w:rPr>
      <w:rFonts w:ascii="Arial" w:hAnsi="Arial" w:cs="Arial"/>
      <w:color w:val="000000"/>
      <w:sz w:val="18"/>
      <w:szCs w:val="18"/>
    </w:rPr>
  </w:style>
  <w:style w:type="paragraph" w:styleId="NoSpacing">
    <w:name w:val="No Spacing"/>
    <w:uiPriority w:val="1"/>
    <w:qFormat/>
    <w:rsid w:val="00A55551"/>
    <w:rPr>
      <w:sz w:val="22"/>
    </w:rPr>
  </w:style>
  <w:style w:type="paragraph" w:customStyle="1" w:styleId="MIRSubpara">
    <w:name w:val="MIR Subpara"/>
    <w:basedOn w:val="subparaa"/>
    <w:link w:val="MIRSubparaChar"/>
    <w:qFormat/>
    <w:rsid w:val="00B53ACB"/>
    <w:pPr>
      <w:numPr>
        <w:numId w:val="101"/>
      </w:numPr>
    </w:pPr>
  </w:style>
  <w:style w:type="paragraph" w:customStyle="1" w:styleId="MIRsubsubsubpara">
    <w:name w:val="MIR subsubsubpara"/>
    <w:basedOn w:val="subsubparai"/>
    <w:link w:val="MIRsubsubsubparaChar"/>
    <w:qFormat/>
    <w:rsid w:val="00EB59C0"/>
    <w:pPr>
      <w:numPr>
        <w:ilvl w:val="3"/>
        <w:numId w:val="101"/>
      </w:numPr>
    </w:pPr>
  </w:style>
  <w:style w:type="character" w:customStyle="1" w:styleId="BodyTextChar">
    <w:name w:val="Body Text Char"/>
    <w:basedOn w:val="DefaultParagraphFont"/>
    <w:link w:val="BodyText"/>
    <w:semiHidden/>
    <w:rsid w:val="00FD6D86"/>
    <w:rPr>
      <w:sz w:val="22"/>
      <w:szCs w:val="22"/>
    </w:rPr>
  </w:style>
  <w:style w:type="character" w:customStyle="1" w:styleId="subparaaChar">
    <w:name w:val="sub para (a) Char"/>
    <w:basedOn w:val="BodyTextChar"/>
    <w:link w:val="subparaa"/>
    <w:rsid w:val="00FD6D86"/>
    <w:rPr>
      <w:sz w:val="22"/>
      <w:szCs w:val="22"/>
    </w:rPr>
  </w:style>
  <w:style w:type="character" w:customStyle="1" w:styleId="MIRSubparaChar">
    <w:name w:val="MIR Subpara Char"/>
    <w:basedOn w:val="subparaaChar"/>
    <w:link w:val="MIRSubpara"/>
    <w:rsid w:val="00B53ACB"/>
    <w:rPr>
      <w:sz w:val="22"/>
      <w:szCs w:val="22"/>
    </w:rPr>
  </w:style>
  <w:style w:type="paragraph" w:customStyle="1" w:styleId="MIRBodyText">
    <w:name w:val="MIR Body Text"/>
    <w:basedOn w:val="Bodytextplain"/>
    <w:link w:val="MIRBodyTextChar"/>
    <w:qFormat/>
    <w:rsid w:val="001D0FB2"/>
    <w:pPr>
      <w:numPr>
        <w:numId w:val="101"/>
      </w:numPr>
      <w:tabs>
        <w:tab w:val="left" w:pos="2205"/>
      </w:tabs>
    </w:pPr>
  </w:style>
  <w:style w:type="character" w:customStyle="1" w:styleId="subsubparaiChar">
    <w:name w:val="sub sub para (i) Char"/>
    <w:basedOn w:val="subparaaChar"/>
    <w:link w:val="subsubparai"/>
    <w:rsid w:val="00EB59C0"/>
    <w:rPr>
      <w:sz w:val="22"/>
      <w:szCs w:val="22"/>
    </w:rPr>
  </w:style>
  <w:style w:type="character" w:customStyle="1" w:styleId="MIRsubsubsubparaChar">
    <w:name w:val="MIR subsubsubpara Char"/>
    <w:basedOn w:val="subsubparaiChar"/>
    <w:link w:val="MIRsubsubsubpara"/>
    <w:rsid w:val="00EB59C0"/>
    <w:rPr>
      <w:sz w:val="22"/>
      <w:szCs w:val="22"/>
    </w:rPr>
  </w:style>
  <w:style w:type="paragraph" w:customStyle="1" w:styleId="MIRPenalty">
    <w:name w:val="MIR Penalty"/>
    <w:basedOn w:val="Feedbackhead"/>
    <w:link w:val="MIRPenaltyChar"/>
    <w:qFormat/>
    <w:rsid w:val="00D175F7"/>
    <w:pPr>
      <w:keepNext w:val="0"/>
      <w:pBdr>
        <w:top w:val="none" w:sz="0" w:space="0" w:color="auto"/>
        <w:left w:val="none" w:sz="0" w:space="0" w:color="auto"/>
      </w:pBdr>
      <w:spacing w:before="360"/>
      <w:ind w:left="851" w:right="0"/>
    </w:pPr>
    <w:rPr>
      <w:rFonts w:ascii="Times New Roman" w:hAnsi="Times New Roman" w:cs="Times New Roman"/>
      <w:i w:val="0"/>
      <w:sz w:val="22"/>
      <w:szCs w:val="22"/>
    </w:rPr>
  </w:style>
  <w:style w:type="character" w:customStyle="1" w:styleId="BodytextplainChar">
    <w:name w:val="Body text plain Char"/>
    <w:basedOn w:val="BodyTextChar"/>
    <w:link w:val="Bodytextplain"/>
    <w:rsid w:val="001D0FB2"/>
    <w:rPr>
      <w:sz w:val="22"/>
      <w:szCs w:val="22"/>
    </w:rPr>
  </w:style>
  <w:style w:type="character" w:customStyle="1" w:styleId="MIRBodyTextChar">
    <w:name w:val="MIR Body Text Char"/>
    <w:basedOn w:val="BodytextplainChar"/>
    <w:link w:val="MIRBodyText"/>
    <w:rsid w:val="001D0FB2"/>
    <w:rPr>
      <w:sz w:val="22"/>
      <w:szCs w:val="22"/>
    </w:rPr>
  </w:style>
  <w:style w:type="paragraph" w:customStyle="1" w:styleId="MIRHeading3">
    <w:name w:val="MIR Heading 3"/>
    <w:basedOn w:val="Heading3"/>
    <w:link w:val="MIRHeading3Char"/>
    <w:qFormat/>
    <w:rsid w:val="000455AA"/>
    <w:pPr>
      <w:ind w:left="851" w:hanging="851"/>
    </w:pPr>
  </w:style>
  <w:style w:type="character" w:customStyle="1" w:styleId="KPheadChar">
    <w:name w:val="KP head Char"/>
    <w:basedOn w:val="DefaultParagraphFont"/>
    <w:link w:val="KPhead"/>
    <w:rsid w:val="001D0FB2"/>
    <w:rPr>
      <w:rFonts w:ascii="Arial" w:hAnsi="Arial" w:cs="Arial"/>
      <w:b/>
      <w:color w:val="FFFFFF"/>
      <w:shd w:val="clear" w:color="auto" w:fill="117DC7"/>
    </w:rPr>
  </w:style>
  <w:style w:type="character" w:customStyle="1" w:styleId="FeedbackheadChar">
    <w:name w:val="Feedback head Char"/>
    <w:basedOn w:val="KPheadChar"/>
    <w:link w:val="Feedbackhead"/>
    <w:rsid w:val="0057394C"/>
    <w:rPr>
      <w:rFonts w:ascii="Arial" w:hAnsi="Arial" w:cs="Arial"/>
      <w:b/>
      <w:i/>
      <w:color w:val="FFFFFF"/>
      <w:shd w:val="clear" w:color="auto" w:fill="117DC7"/>
    </w:rPr>
  </w:style>
  <w:style w:type="character" w:customStyle="1" w:styleId="MIRPenaltyChar">
    <w:name w:val="MIR Penalty Char"/>
    <w:basedOn w:val="FeedbackheadChar"/>
    <w:link w:val="MIRPenalty"/>
    <w:rsid w:val="00D175F7"/>
    <w:rPr>
      <w:rFonts w:ascii="Arial" w:hAnsi="Arial" w:cs="Arial"/>
      <w:b/>
      <w:i/>
      <w:color w:val="FFFFFF"/>
      <w:sz w:val="22"/>
      <w:szCs w:val="22"/>
      <w:shd w:val="clear" w:color="auto" w:fill="117DC7"/>
    </w:rPr>
  </w:style>
  <w:style w:type="paragraph" w:customStyle="1" w:styleId="MIRSubsubpara">
    <w:name w:val="MIR Subsubpara"/>
    <w:basedOn w:val="subsubparai"/>
    <w:link w:val="MIRSubsubparaChar"/>
    <w:qFormat/>
    <w:rsid w:val="00B55BC3"/>
    <w:pPr>
      <w:numPr>
        <w:numId w:val="101"/>
      </w:numPr>
    </w:pPr>
  </w:style>
  <w:style w:type="character" w:customStyle="1" w:styleId="Heading3Char">
    <w:name w:val="Heading 3 Char"/>
    <w:basedOn w:val="DefaultParagraphFont"/>
    <w:link w:val="Heading3"/>
    <w:rsid w:val="0078211D"/>
    <w:rPr>
      <w:rFonts w:ascii="Arial" w:hAnsi="Arial" w:cs="Arial"/>
      <w:b/>
      <w:sz w:val="24"/>
      <w:szCs w:val="24"/>
    </w:rPr>
  </w:style>
  <w:style w:type="character" w:customStyle="1" w:styleId="MIRHeading3Char">
    <w:name w:val="MIR Heading 3 Char"/>
    <w:basedOn w:val="Heading3Char"/>
    <w:link w:val="MIRHeading3"/>
    <w:rsid w:val="000455AA"/>
    <w:rPr>
      <w:rFonts w:ascii="Arial" w:hAnsi="Arial" w:cs="Arial"/>
      <w:b/>
      <w:sz w:val="24"/>
      <w:szCs w:val="24"/>
    </w:rPr>
  </w:style>
  <w:style w:type="paragraph" w:customStyle="1" w:styleId="MIRNote">
    <w:name w:val="MIR Note"/>
    <w:basedOn w:val="Note"/>
    <w:link w:val="MIRNoteChar"/>
    <w:qFormat/>
    <w:rsid w:val="003816C0"/>
    <w:pPr>
      <w:ind w:left="1701"/>
    </w:pPr>
  </w:style>
  <w:style w:type="character" w:customStyle="1" w:styleId="MIRSubsubparaChar">
    <w:name w:val="MIR Subsubpara Char"/>
    <w:basedOn w:val="subsubparaiChar"/>
    <w:link w:val="MIRSubsubpara"/>
    <w:rsid w:val="00B55BC3"/>
    <w:rPr>
      <w:sz w:val="22"/>
      <w:szCs w:val="22"/>
    </w:rPr>
  </w:style>
  <w:style w:type="paragraph" w:customStyle="1" w:styleId="MIRHeading2">
    <w:name w:val="MIR Heading 2"/>
    <w:basedOn w:val="Heading2"/>
    <w:link w:val="MIRHeading2Char"/>
    <w:qFormat/>
    <w:rsid w:val="00B13368"/>
    <w:pPr>
      <w:tabs>
        <w:tab w:val="left" w:pos="851"/>
      </w:tabs>
      <w:spacing w:before="480"/>
      <w:ind w:left="1134" w:hanging="1134"/>
    </w:pPr>
  </w:style>
  <w:style w:type="character" w:customStyle="1" w:styleId="NoteChar">
    <w:name w:val="Note Char"/>
    <w:basedOn w:val="BodyTextChar"/>
    <w:link w:val="Note"/>
    <w:rsid w:val="003816C0"/>
    <w:rPr>
      <w:sz w:val="18"/>
      <w:szCs w:val="22"/>
    </w:rPr>
  </w:style>
  <w:style w:type="character" w:customStyle="1" w:styleId="MIRNoteChar">
    <w:name w:val="MIR Note Char"/>
    <w:basedOn w:val="NoteChar"/>
    <w:link w:val="MIRNote"/>
    <w:rsid w:val="003816C0"/>
    <w:rPr>
      <w:sz w:val="18"/>
      <w:szCs w:val="22"/>
    </w:rPr>
  </w:style>
  <w:style w:type="paragraph" w:customStyle="1" w:styleId="MIRHeading1">
    <w:name w:val="MIR Heading 1"/>
    <w:basedOn w:val="Heading1nonumber"/>
    <w:link w:val="MIRHeading1Char"/>
    <w:qFormat/>
    <w:rsid w:val="0013774D"/>
    <w:pPr>
      <w:spacing w:after="0"/>
    </w:pPr>
  </w:style>
  <w:style w:type="character" w:customStyle="1" w:styleId="Heading2Char">
    <w:name w:val="Heading 2 Char"/>
    <w:basedOn w:val="DefaultParagraphFont"/>
    <w:link w:val="Heading2"/>
    <w:rsid w:val="00933C42"/>
    <w:rPr>
      <w:rFonts w:ascii="Arial" w:hAnsi="Arial" w:cs="Arial"/>
      <w:b/>
      <w:sz w:val="28"/>
      <w:szCs w:val="28"/>
    </w:rPr>
  </w:style>
  <w:style w:type="character" w:customStyle="1" w:styleId="MIRHeading2Char">
    <w:name w:val="MIR Heading 2 Char"/>
    <w:basedOn w:val="Heading2Char"/>
    <w:link w:val="MIRHeading2"/>
    <w:rsid w:val="00933C42"/>
    <w:rPr>
      <w:rFonts w:ascii="Arial" w:hAnsi="Arial" w:cs="Arial"/>
      <w:b/>
      <w:sz w:val="28"/>
      <w:szCs w:val="28"/>
    </w:rPr>
  </w:style>
  <w:style w:type="paragraph" w:customStyle="1" w:styleId="MIRHeading4">
    <w:name w:val="MIR Heading 4"/>
    <w:basedOn w:val="Heading4"/>
    <w:link w:val="MIRHeading4Char"/>
    <w:qFormat/>
    <w:rsid w:val="0013774D"/>
    <w:pPr>
      <w:ind w:left="851"/>
    </w:pPr>
  </w:style>
  <w:style w:type="character" w:customStyle="1" w:styleId="Heading1Char">
    <w:name w:val="Heading 1 Char"/>
    <w:basedOn w:val="DefaultParagraphFont"/>
    <w:link w:val="Heading1"/>
    <w:rsid w:val="0013774D"/>
    <w:rPr>
      <w:rFonts w:ascii="Arial" w:hAnsi="Arial" w:cs="Arial"/>
      <w:b/>
      <w:kern w:val="28"/>
      <w:sz w:val="36"/>
      <w:szCs w:val="36"/>
    </w:rPr>
  </w:style>
  <w:style w:type="character" w:customStyle="1" w:styleId="Heading1nonumberChar">
    <w:name w:val="Heading 1 no number Char"/>
    <w:basedOn w:val="Heading1Char"/>
    <w:link w:val="Heading1nonumber"/>
    <w:rsid w:val="0013774D"/>
    <w:rPr>
      <w:rFonts w:ascii="Arial" w:hAnsi="Arial" w:cs="Arial"/>
      <w:b/>
      <w:kern w:val="28"/>
      <w:sz w:val="36"/>
      <w:szCs w:val="36"/>
    </w:rPr>
  </w:style>
  <w:style w:type="character" w:customStyle="1" w:styleId="MIRHeading1Char">
    <w:name w:val="MIR Heading 1 Char"/>
    <w:basedOn w:val="Heading1nonumberChar"/>
    <w:link w:val="MIRHeading1"/>
    <w:rsid w:val="0013774D"/>
    <w:rPr>
      <w:rFonts w:ascii="Arial" w:hAnsi="Arial" w:cs="Arial"/>
      <w:b/>
      <w:kern w:val="28"/>
      <w:sz w:val="36"/>
      <w:szCs w:val="36"/>
    </w:rPr>
  </w:style>
  <w:style w:type="character" w:customStyle="1" w:styleId="FooterChar">
    <w:name w:val="Footer Char"/>
    <w:basedOn w:val="DefaultParagraphFont"/>
    <w:link w:val="Footer"/>
    <w:rsid w:val="007229AC"/>
    <w:rPr>
      <w:rFonts w:ascii="Arial" w:hAnsi="Arial"/>
      <w:sz w:val="16"/>
      <w:szCs w:val="16"/>
    </w:rPr>
  </w:style>
  <w:style w:type="character" w:customStyle="1" w:styleId="Heading4Char">
    <w:name w:val="Heading 4 Char"/>
    <w:basedOn w:val="DefaultParagraphFont"/>
    <w:link w:val="Heading4"/>
    <w:rsid w:val="0013774D"/>
    <w:rPr>
      <w:rFonts w:ascii="Arial" w:hAnsi="Arial" w:cs="Arial"/>
      <w:b/>
      <w:szCs w:val="22"/>
    </w:rPr>
  </w:style>
  <w:style w:type="character" w:customStyle="1" w:styleId="MIRHeading4Char">
    <w:name w:val="MIR Heading 4 Char"/>
    <w:basedOn w:val="Heading4Char"/>
    <w:link w:val="MIRHeading4"/>
    <w:rsid w:val="0013774D"/>
    <w:rPr>
      <w:rFonts w:ascii="Arial" w:hAnsi="Arial" w:cs="Arial"/>
      <w:b/>
      <w:szCs w:val="22"/>
    </w:rPr>
  </w:style>
  <w:style w:type="paragraph" w:customStyle="1" w:styleId="abody">
    <w:name w:val="abody"/>
    <w:rsid w:val="004C0497"/>
    <w:pPr>
      <w:overflowPunct w:val="0"/>
      <w:autoSpaceDE w:val="0"/>
      <w:autoSpaceDN w:val="0"/>
      <w:adjustRightInd w:val="0"/>
      <w:spacing w:before="120" w:after="120"/>
      <w:textAlignment w:val="baseline"/>
    </w:pPr>
    <w:rPr>
      <w:noProof/>
      <w:sz w:val="24"/>
      <w:lang w:eastAsia="en-US"/>
    </w:rPr>
  </w:style>
  <w:style w:type="paragraph" w:customStyle="1" w:styleId="aNotetoclassorder">
    <w:name w:val="aNote to class order"/>
    <w:next w:val="abody"/>
    <w:rsid w:val="004C0497"/>
    <w:pPr>
      <w:pageBreakBefore/>
      <w:spacing w:after="120"/>
    </w:pPr>
    <w:rPr>
      <w:rFonts w:ascii="Arial" w:hAnsi="Arial" w:cs="Arial"/>
      <w:b/>
      <w:bCs/>
      <w:color w:val="000000"/>
      <w:sz w:val="24"/>
      <w:szCs w:val="24"/>
      <w:lang w:eastAsia="en-US"/>
    </w:rPr>
  </w:style>
  <w:style w:type="paragraph" w:customStyle="1" w:styleId="aNote1">
    <w:name w:val="aNote 1"/>
    <w:next w:val="abody"/>
    <w:rsid w:val="004C0497"/>
    <w:pPr>
      <w:spacing w:before="240" w:after="120"/>
    </w:pPr>
    <w:rPr>
      <w:rFonts w:ascii="Arial" w:hAnsi="Arial" w:cs="Arial"/>
      <w:b/>
      <w:bCs/>
      <w:sz w:val="18"/>
      <w:szCs w:val="16"/>
      <w:lang w:eastAsia="en-US"/>
    </w:rPr>
  </w:style>
  <w:style w:type="paragraph" w:customStyle="1" w:styleId="aTableof">
    <w:name w:val="aTable of"/>
    <w:basedOn w:val="aNotetoclassorder"/>
    <w:rsid w:val="004C0497"/>
    <w:pPr>
      <w:pageBreakBefore w:val="0"/>
      <w:spacing w:before="360"/>
    </w:pPr>
    <w:rPr>
      <w:bCs w:val="0"/>
    </w:rPr>
  </w:style>
  <w:style w:type="paragraph" w:customStyle="1" w:styleId="atableheadings">
    <w:name w:val="atable headings"/>
    <w:rsid w:val="004C0497"/>
    <w:pPr>
      <w:spacing w:before="60" w:after="60"/>
    </w:pPr>
    <w:rPr>
      <w:b/>
      <w:bCs/>
      <w:sz w:val="18"/>
      <w:szCs w:val="16"/>
      <w:lang w:eastAsia="en-US"/>
    </w:rPr>
  </w:style>
  <w:style w:type="paragraph" w:customStyle="1" w:styleId="atabletext">
    <w:name w:val="atable text"/>
    <w:rsid w:val="004C0497"/>
    <w:pPr>
      <w:spacing w:before="60" w:after="60"/>
    </w:pPr>
    <w:rPr>
      <w:sz w:val="18"/>
      <w:lang w:eastAsia="en-US"/>
    </w:rPr>
  </w:style>
  <w:style w:type="paragraph" w:customStyle="1" w:styleId="aNotetext">
    <w:name w:val="aNote text"/>
    <w:basedOn w:val="Normal"/>
    <w:rsid w:val="004C0497"/>
    <w:pPr>
      <w:spacing w:before="60" w:after="120"/>
    </w:pPr>
    <w:rPr>
      <w:sz w:val="18"/>
      <w:lang w:eastAsia="en-US"/>
    </w:rPr>
  </w:style>
  <w:style w:type="paragraph" w:customStyle="1" w:styleId="sourcenotefullwidth">
    <w:name w:val="source note full width"/>
    <w:rsid w:val="005B1BF1"/>
    <w:pPr>
      <w:spacing w:before="120"/>
    </w:pPr>
    <w:rPr>
      <w:rFonts w:ascii="Arial" w:hAnsi="Arial"/>
      <w:sz w:val="16"/>
      <w:szCs w:val="22"/>
    </w:rPr>
  </w:style>
  <w:style w:type="paragraph" w:customStyle="1" w:styleId="sub3paraA">
    <w:name w:val="sub3para (A)"/>
    <w:basedOn w:val="subsubparai"/>
    <w:qFormat/>
    <w:rsid w:val="005B1BF1"/>
    <w:pPr>
      <w:numPr>
        <w:ilvl w:val="3"/>
      </w:numPr>
    </w:pPr>
  </w:style>
  <w:style w:type="paragraph" w:customStyle="1" w:styleId="sub4paraI">
    <w:name w:val="sub4para (I)"/>
    <w:basedOn w:val="subsubparai"/>
    <w:qFormat/>
    <w:rsid w:val="005B1BF1"/>
    <w:pPr>
      <w:numPr>
        <w:ilvl w:val="4"/>
      </w:numPr>
    </w:pPr>
  </w:style>
  <w:style w:type="paragraph" w:customStyle="1" w:styleId="Feedbacksubsubquestion">
    <w:name w:val="Feedback subsubquestion"/>
    <w:basedOn w:val="Feedbacksubquestion"/>
    <w:qFormat/>
    <w:rsid w:val="005B1BF1"/>
    <w:pPr>
      <w:numPr>
        <w:ilvl w:val="6"/>
      </w:numPr>
    </w:pPr>
  </w:style>
  <w:style w:type="paragraph" w:customStyle="1" w:styleId="sourcenoteindented">
    <w:name w:val="source note indented"/>
    <w:basedOn w:val="sourcenotefullwidth"/>
    <w:qFormat/>
    <w:rsid w:val="005B1BF1"/>
    <w:pPr>
      <w:ind w:left="2268"/>
    </w:pPr>
  </w:style>
  <w:style w:type="paragraph" w:customStyle="1" w:styleId="tblProposalsubpara">
    <w:name w:val="tbl Proposal sub para"/>
    <w:basedOn w:val="tbltext"/>
    <w:qFormat/>
    <w:rsid w:val="005B1BF1"/>
    <w:pPr>
      <w:ind w:left="885" w:hanging="425"/>
    </w:pPr>
  </w:style>
  <w:style w:type="paragraph" w:customStyle="1" w:styleId="tblProposalsubsubpara">
    <w:name w:val="tbl Proposal sub sub para"/>
    <w:basedOn w:val="tbltext"/>
    <w:qFormat/>
    <w:rsid w:val="005B1BF1"/>
    <w:pPr>
      <w:ind w:left="1310" w:hanging="425"/>
    </w:pPr>
  </w:style>
  <w:style w:type="paragraph" w:customStyle="1" w:styleId="tblProposaltext">
    <w:name w:val="tbl Proposal text"/>
    <w:basedOn w:val="tbltext"/>
    <w:qFormat/>
    <w:rsid w:val="005B1BF1"/>
    <w:pPr>
      <w:ind w:left="425" w:hanging="425"/>
    </w:pPr>
  </w:style>
  <w:style w:type="paragraph" w:customStyle="1" w:styleId="tblProposaltextnonumber">
    <w:name w:val="tbl Proposal text no number"/>
    <w:basedOn w:val="tbltext"/>
    <w:qFormat/>
    <w:rsid w:val="005B1BF1"/>
    <w:pPr>
      <w:ind w:left="425"/>
    </w:pPr>
  </w:style>
  <w:style w:type="paragraph" w:customStyle="1" w:styleId="tblFeedbackquestion">
    <w:name w:val="tbl Feedback question"/>
    <w:basedOn w:val="Proposaltext"/>
    <w:qFormat/>
    <w:rsid w:val="005B1BF1"/>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5B1BF1"/>
    <w:rPr>
      <w:sz w:val="16"/>
      <w:szCs w:val="16"/>
    </w:rPr>
  </w:style>
  <w:style w:type="paragraph" w:customStyle="1" w:styleId="tblFeedbacksubquestion">
    <w:name w:val="tbl Feedback subquestion"/>
    <w:basedOn w:val="tblProposalsubpara"/>
    <w:rsid w:val="005B1BF1"/>
    <w:pPr>
      <w:ind w:left="964" w:hanging="340"/>
    </w:pPr>
  </w:style>
  <w:style w:type="paragraph" w:customStyle="1" w:styleId="tblFeedbacksubsubquestion">
    <w:name w:val="tbl Feedback subsubquestion"/>
    <w:basedOn w:val="tblProposalsubsubpara"/>
    <w:qFormat/>
    <w:rsid w:val="005B1BF1"/>
    <w:pPr>
      <w:ind w:left="1304" w:hanging="340"/>
    </w:pPr>
  </w:style>
  <w:style w:type="paragraph" w:customStyle="1" w:styleId="CM119">
    <w:name w:val="CM119"/>
    <w:basedOn w:val="Normal"/>
    <w:next w:val="Normal"/>
    <w:uiPriority w:val="99"/>
    <w:rsid w:val="00B51CF3"/>
    <w:pPr>
      <w:widowControl w:val="0"/>
      <w:autoSpaceDE w:val="0"/>
      <w:autoSpaceDN w:val="0"/>
      <w:adjustRightInd w:val="0"/>
      <w:spacing w:after="0"/>
    </w:pPr>
    <w:rPr>
      <w:rFonts w:eastAsiaTheme="minorEastAsia"/>
      <w:sz w:val="24"/>
      <w:szCs w:val="24"/>
    </w:rPr>
  </w:style>
  <w:style w:type="paragraph" w:customStyle="1" w:styleId="CM121">
    <w:name w:val="CM121"/>
    <w:basedOn w:val="Normal"/>
    <w:next w:val="Normal"/>
    <w:uiPriority w:val="99"/>
    <w:rsid w:val="00B51CF3"/>
    <w:pPr>
      <w:widowControl w:val="0"/>
      <w:autoSpaceDE w:val="0"/>
      <w:autoSpaceDN w:val="0"/>
      <w:adjustRightInd w:val="0"/>
      <w:spacing w:after="0"/>
    </w:pPr>
    <w:rPr>
      <w:rFonts w:eastAsiaTheme="minorEastAsia"/>
      <w:sz w:val="24"/>
      <w:szCs w:val="24"/>
    </w:rPr>
  </w:style>
  <w:style w:type="paragraph" w:customStyle="1" w:styleId="MIRHeading3Rule">
    <w:name w:val="MIR Heading 3 (Rule)"/>
    <w:basedOn w:val="Heading3"/>
    <w:next w:val="MIRBodyText"/>
    <w:link w:val="MIRHeading3RuleChar"/>
    <w:qFormat/>
    <w:rsid w:val="00B51CF3"/>
    <w:pPr>
      <w:keepNext w:val="0"/>
      <w:spacing w:after="120"/>
      <w:ind w:left="851" w:hanging="851"/>
    </w:pPr>
    <w:rPr>
      <w:rFonts w:eastAsia="Calibri"/>
      <w:szCs w:val="22"/>
      <w:lang w:eastAsia="en-US"/>
    </w:rPr>
  </w:style>
  <w:style w:type="character" w:customStyle="1" w:styleId="MIRHeading3RuleChar">
    <w:name w:val="MIR Heading 3 (Rule) Char"/>
    <w:basedOn w:val="Heading3Char"/>
    <w:link w:val="MIRHeading3Rule"/>
    <w:rsid w:val="00B51CF3"/>
    <w:rPr>
      <w:rFonts w:ascii="Arial" w:eastAsia="Calibri" w:hAnsi="Arial" w:cs="Arial"/>
      <w:b/>
      <w:sz w:val="24"/>
      <w:szCs w:val="22"/>
      <w:lang w:eastAsia="en-US"/>
    </w:rPr>
  </w:style>
  <w:style w:type="paragraph" w:customStyle="1" w:styleId="MIRHeading2Part">
    <w:name w:val="MIR Heading 2 (Part)"/>
    <w:basedOn w:val="Heading2"/>
    <w:next w:val="MIRHeading3Rule"/>
    <w:qFormat/>
    <w:rsid w:val="00B51CF3"/>
    <w:pPr>
      <w:keepLines/>
      <w:spacing w:before="400" w:after="200"/>
    </w:pPr>
    <w:rPr>
      <w:kern w:val="28"/>
      <w:szCs w:val="26"/>
      <w:lang w:eastAsia="en-US"/>
    </w:rPr>
  </w:style>
  <w:style w:type="paragraph" w:customStyle="1" w:styleId="MIRHeading1Chapter">
    <w:name w:val="MIR Heading 1 (Chapter)"/>
    <w:basedOn w:val="Normal"/>
    <w:next w:val="MIRHeading2Part"/>
    <w:qFormat/>
    <w:rsid w:val="00B51CF3"/>
    <w:pPr>
      <w:keepNext/>
      <w:pageBreakBefore/>
      <w:spacing w:after="0" w:line="280" w:lineRule="atLeast"/>
      <w:outlineLvl w:val="0"/>
    </w:pPr>
    <w:rPr>
      <w:rFonts w:ascii="Arial" w:hAnsi="Arial" w:cs="Arial"/>
      <w:b/>
      <w:kern w:val="28"/>
      <w:sz w:val="36"/>
      <w:szCs w:val="36"/>
      <w:lang w:eastAsia="en-US"/>
    </w:rPr>
  </w:style>
  <w:style w:type="character" w:styleId="PlaceholderText">
    <w:name w:val="Placeholder Text"/>
    <w:basedOn w:val="DefaultParagraphFont"/>
    <w:uiPriority w:val="99"/>
    <w:semiHidden/>
    <w:rsid w:val="00B51CF3"/>
    <w:rPr>
      <w:color w:val="808080"/>
    </w:rPr>
  </w:style>
  <w:style w:type="paragraph" w:customStyle="1" w:styleId="CM115">
    <w:name w:val="CM115"/>
    <w:basedOn w:val="Normal"/>
    <w:next w:val="Normal"/>
    <w:uiPriority w:val="99"/>
    <w:rsid w:val="00CA562A"/>
    <w:pPr>
      <w:widowControl w:val="0"/>
      <w:autoSpaceDE w:val="0"/>
      <w:autoSpaceDN w:val="0"/>
      <w:adjustRightInd w:val="0"/>
      <w:spacing w:after="0"/>
    </w:pPr>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D866EA"/>
    <w:rPr>
      <w:b/>
      <w:bCs/>
    </w:rPr>
  </w:style>
  <w:style w:type="character" w:customStyle="1" w:styleId="CommentTextChar">
    <w:name w:val="Comment Text Char"/>
    <w:basedOn w:val="DefaultParagraphFont"/>
    <w:link w:val="CommentText"/>
    <w:uiPriority w:val="99"/>
    <w:rsid w:val="00D866EA"/>
  </w:style>
  <w:style w:type="character" w:customStyle="1" w:styleId="CommentSubjectChar">
    <w:name w:val="Comment Subject Char"/>
    <w:basedOn w:val="CommentTextChar"/>
    <w:link w:val="CommentSubject"/>
    <w:rsid w:val="00D866EA"/>
  </w:style>
  <w:style w:type="paragraph" w:customStyle="1" w:styleId="CM116">
    <w:name w:val="CM116"/>
    <w:basedOn w:val="Normal"/>
    <w:next w:val="Normal"/>
    <w:uiPriority w:val="99"/>
    <w:rsid w:val="00BE2DFA"/>
    <w:pPr>
      <w:widowControl w:val="0"/>
      <w:autoSpaceDE w:val="0"/>
      <w:autoSpaceDN w:val="0"/>
      <w:adjustRightInd w:val="0"/>
      <w:spacing w:after="0"/>
    </w:pPr>
    <w:rPr>
      <w:rFonts w:eastAsiaTheme="minorEastAsia"/>
      <w:sz w:val="24"/>
      <w:szCs w:val="24"/>
    </w:rPr>
  </w:style>
  <w:style w:type="paragraph" w:styleId="TOC5">
    <w:name w:val="toc 5"/>
    <w:basedOn w:val="Normal"/>
    <w:next w:val="Normal"/>
    <w:autoRedefine/>
    <w:uiPriority w:val="39"/>
    <w:unhideWhenUsed/>
    <w:rsid w:val="005865A9"/>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5865A9"/>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5865A9"/>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5865A9"/>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5865A9"/>
    <w:pPr>
      <w:spacing w:after="100" w:line="276" w:lineRule="auto"/>
      <w:ind w:left="1760"/>
    </w:pPr>
    <w:rPr>
      <w:rFonts w:asciiTheme="minorHAnsi" w:eastAsiaTheme="minorEastAsia" w:hAnsiTheme="minorHAnsi" w:cstheme="minorBidi"/>
      <w:szCs w:val="22"/>
    </w:rPr>
  </w:style>
  <w:style w:type="paragraph" w:styleId="Revision">
    <w:name w:val="Revision"/>
    <w:hidden/>
    <w:uiPriority w:val="99"/>
    <w:semiHidden/>
    <w:rsid w:val="001C1621"/>
    <w:rPr>
      <w:sz w:val="22"/>
    </w:rPr>
  </w:style>
  <w:style w:type="paragraph" w:customStyle="1" w:styleId="MIRCPNote">
    <w:name w:val="MIR CP Note"/>
    <w:basedOn w:val="Normal"/>
    <w:link w:val="MIRCPNoteChar"/>
    <w:qFormat/>
    <w:rsid w:val="00EA67F1"/>
    <w:pPr>
      <w:pBdr>
        <w:top w:val="single" w:sz="4" w:space="1" w:color="auto"/>
        <w:left w:val="single" w:sz="4" w:space="4" w:color="auto"/>
        <w:bottom w:val="single" w:sz="4" w:space="1" w:color="auto"/>
        <w:right w:val="single" w:sz="4" w:space="4" w:color="auto"/>
      </w:pBdr>
      <w:spacing w:before="100" w:after="0" w:line="300" w:lineRule="atLeast"/>
      <w:ind w:left="851"/>
    </w:pPr>
    <w:rPr>
      <w:noProof/>
      <w:szCs w:val="22"/>
    </w:rPr>
  </w:style>
  <w:style w:type="character" w:customStyle="1" w:styleId="MIRCPNoteChar">
    <w:name w:val="MIR CP Note Char"/>
    <w:basedOn w:val="DefaultParagraphFont"/>
    <w:link w:val="MIRCPNote"/>
    <w:rsid w:val="00EA67F1"/>
    <w:rPr>
      <w:noProof/>
      <w:sz w:val="22"/>
      <w:szCs w:val="22"/>
    </w:rPr>
  </w:style>
  <w:style w:type="character" w:customStyle="1" w:styleId="MIRBodyTextChar1">
    <w:name w:val="MIR Body Text Char1"/>
    <w:basedOn w:val="BodytextplainChar"/>
    <w:rsid w:val="00EF736F"/>
    <w:rPr>
      <w:sz w:val="22"/>
      <w:szCs w:val="22"/>
    </w:rPr>
  </w:style>
  <w:style w:type="paragraph" w:customStyle="1" w:styleId="MIRSubsubsubsubparaI">
    <w:name w:val="MIR Subsubsubsubpara (I)"/>
    <w:basedOn w:val="MIRsubsubsubpara"/>
    <w:qFormat/>
    <w:rsid w:val="003D43E5"/>
    <w:pPr>
      <w:numPr>
        <w:ilvl w:val="0"/>
        <w:numId w:val="0"/>
      </w:numPr>
      <w:tabs>
        <w:tab w:val="num" w:pos="2552"/>
      </w:tabs>
      <w:ind w:left="2552" w:hanging="426"/>
    </w:pPr>
    <w:rPr>
      <w:rFonts w:eastAsia="Calibri"/>
      <w:lang w:eastAsia="en-US"/>
    </w:rPr>
  </w:style>
  <w:style w:type="character" w:customStyle="1" w:styleId="Heading5Char">
    <w:name w:val="Heading 5 Char"/>
    <w:basedOn w:val="DefaultParagraphFont"/>
    <w:link w:val="Heading5"/>
    <w:rsid w:val="00CB36B6"/>
    <w:rPr>
      <w:rFonts w:ascii="Arial" w:hAnsi="Arial" w:cs="Arial"/>
      <w:i/>
    </w:rPr>
  </w:style>
  <w:style w:type="character" w:customStyle="1" w:styleId="Heading6Char">
    <w:name w:val="Heading 6 Char"/>
    <w:basedOn w:val="DefaultParagraphFont"/>
    <w:link w:val="Heading6"/>
    <w:rsid w:val="00CB36B6"/>
    <w:rPr>
      <w:rFonts w:ascii="Arial" w:hAnsi="Arial" w:cs="Arial"/>
      <w:b/>
      <w:kern w:val="28"/>
      <w:sz w:val="36"/>
      <w:szCs w:val="36"/>
    </w:rPr>
  </w:style>
  <w:style w:type="character" w:customStyle="1" w:styleId="Heading7Char">
    <w:name w:val="Heading 7 Char"/>
    <w:basedOn w:val="DefaultParagraphFont"/>
    <w:link w:val="Heading7"/>
    <w:rsid w:val="00CB36B6"/>
    <w:rPr>
      <w:rFonts w:ascii="Arial" w:hAnsi="Arial" w:cs="Arial"/>
      <w:b/>
      <w:sz w:val="28"/>
      <w:szCs w:val="28"/>
    </w:rPr>
  </w:style>
  <w:style w:type="character" w:customStyle="1" w:styleId="HeaderChar">
    <w:name w:val="Header Char"/>
    <w:basedOn w:val="DefaultParagraphFont"/>
    <w:link w:val="Header"/>
    <w:uiPriority w:val="99"/>
    <w:rsid w:val="00CB36B6"/>
    <w:rPr>
      <w:rFonts w:ascii="Arial" w:hAnsi="Arial" w:cs="Arial"/>
      <w:caps/>
      <w:color w:val="008291"/>
      <w:sz w:val="16"/>
      <w:szCs w:val="16"/>
    </w:rPr>
  </w:style>
  <w:style w:type="character" w:customStyle="1" w:styleId="FootnoteTextChar">
    <w:name w:val="Footnote Text Char"/>
    <w:basedOn w:val="DefaultParagraphFont"/>
    <w:link w:val="FootnoteText"/>
    <w:semiHidden/>
    <w:rsid w:val="00CB36B6"/>
    <w:rPr>
      <w:sz w:val="18"/>
    </w:rPr>
  </w:style>
  <w:style w:type="character" w:customStyle="1" w:styleId="BalloonTextChar">
    <w:name w:val="Balloon Text Char"/>
    <w:basedOn w:val="DefaultParagraphFont"/>
    <w:link w:val="BalloonText"/>
    <w:rsid w:val="00CB36B6"/>
    <w:rPr>
      <w:rFonts w:ascii="Tahoma" w:hAnsi="Tahoma" w:cs="Tahoma"/>
      <w:sz w:val="16"/>
      <w:szCs w:val="16"/>
    </w:rPr>
  </w:style>
  <w:style w:type="numbering" w:customStyle="1" w:styleId="NoList1">
    <w:name w:val="No List1"/>
    <w:next w:val="NoList"/>
    <w:semiHidden/>
    <w:rsid w:val="002E03A9"/>
  </w:style>
  <w:style w:type="character" w:styleId="EndnoteReference">
    <w:name w:val="endnote reference"/>
    <w:basedOn w:val="DefaultParagraphFont"/>
    <w:semiHidden/>
    <w:rsid w:val="002E03A9"/>
    <w:rPr>
      <w:vertAlign w:val="superscript"/>
    </w:rPr>
  </w:style>
  <w:style w:type="paragraph" w:styleId="ListParagraph">
    <w:name w:val="List Paragraph"/>
    <w:basedOn w:val="Normal"/>
    <w:uiPriority w:val="34"/>
    <w:qFormat/>
    <w:rsid w:val="002E03A9"/>
    <w:pPr>
      <w:ind w:left="720"/>
      <w:contextualSpacing/>
    </w:pPr>
  </w:style>
  <w:style w:type="paragraph" w:customStyle="1" w:styleId="Default">
    <w:name w:val="Default"/>
    <w:rsid w:val="000F2C38"/>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AD186A"/>
    <w:rPr>
      <w:color w:val="800080" w:themeColor="followedHyperlink"/>
      <w:u w:val="single"/>
    </w:rPr>
  </w:style>
  <w:style w:type="numbering" w:customStyle="1" w:styleId="Style1">
    <w:name w:val="Style1"/>
    <w:uiPriority w:val="99"/>
    <w:rsid w:val="00143B55"/>
    <w:pPr>
      <w:numPr>
        <w:numId w:val="44"/>
      </w:numPr>
    </w:pPr>
  </w:style>
  <w:style w:type="character" w:styleId="IntenseEmphasis">
    <w:name w:val="Intense Emphasis"/>
    <w:aliases w:val="Busines Rules"/>
    <w:basedOn w:val="DefaultParagraphFont"/>
    <w:uiPriority w:val="21"/>
    <w:qFormat/>
    <w:rsid w:val="00F71762"/>
    <w:rPr>
      <w:rFonts w:asciiTheme="minorHAnsi" w:hAnsiTheme="minorHAnsi"/>
      <w:b/>
      <w:bCs/>
      <w:i/>
      <w:iCs/>
      <w:color w:val="8064A2" w:themeColor="accent4"/>
      <w:sz w:val="22"/>
    </w:rPr>
  </w:style>
  <w:style w:type="table" w:customStyle="1" w:styleId="TableGrid1">
    <w:name w:val="Table Grid1"/>
    <w:basedOn w:val="TableNormal"/>
    <w:next w:val="TableGrid"/>
    <w:uiPriority w:val="59"/>
    <w:rsid w:val="00F659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6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743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F41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200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167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167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552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E30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F45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BF455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F455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F455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F4557"/>
    <w:rPr>
      <w:rFonts w:ascii="Arial" w:hAnsi="Arial" w:cs="Arial"/>
      <w:vanish/>
      <w:sz w:val="16"/>
      <w:szCs w:val="16"/>
    </w:rPr>
  </w:style>
  <w:style w:type="table" w:customStyle="1" w:styleId="TableGrid10">
    <w:name w:val="Table Grid10"/>
    <w:basedOn w:val="TableNormal"/>
    <w:next w:val="TableGrid"/>
    <w:uiPriority w:val="59"/>
    <w:rsid w:val="00BF45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1F05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F05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F05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E0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899177">
      <w:bodyDiv w:val="1"/>
      <w:marLeft w:val="0"/>
      <w:marRight w:val="0"/>
      <w:marTop w:val="0"/>
      <w:marBottom w:val="0"/>
      <w:divBdr>
        <w:top w:val="none" w:sz="0" w:space="0" w:color="auto"/>
        <w:left w:val="none" w:sz="0" w:space="0" w:color="auto"/>
        <w:bottom w:val="none" w:sz="0" w:space="0" w:color="auto"/>
        <w:right w:val="none" w:sz="0" w:space="0" w:color="auto"/>
      </w:divBdr>
    </w:div>
    <w:div w:id="262955146">
      <w:bodyDiv w:val="1"/>
      <w:marLeft w:val="0"/>
      <w:marRight w:val="0"/>
      <w:marTop w:val="0"/>
      <w:marBottom w:val="0"/>
      <w:divBdr>
        <w:top w:val="none" w:sz="0" w:space="0" w:color="auto"/>
        <w:left w:val="none" w:sz="0" w:space="0" w:color="auto"/>
        <w:bottom w:val="none" w:sz="0" w:space="0" w:color="auto"/>
        <w:right w:val="none" w:sz="0" w:space="0" w:color="auto"/>
      </w:divBdr>
    </w:div>
    <w:div w:id="303393592">
      <w:bodyDiv w:val="1"/>
      <w:marLeft w:val="0"/>
      <w:marRight w:val="0"/>
      <w:marTop w:val="0"/>
      <w:marBottom w:val="0"/>
      <w:divBdr>
        <w:top w:val="none" w:sz="0" w:space="0" w:color="auto"/>
        <w:left w:val="none" w:sz="0" w:space="0" w:color="auto"/>
        <w:bottom w:val="none" w:sz="0" w:space="0" w:color="auto"/>
        <w:right w:val="none" w:sz="0" w:space="0" w:color="auto"/>
      </w:divBdr>
    </w:div>
    <w:div w:id="500000346">
      <w:bodyDiv w:val="1"/>
      <w:marLeft w:val="0"/>
      <w:marRight w:val="0"/>
      <w:marTop w:val="0"/>
      <w:marBottom w:val="0"/>
      <w:divBdr>
        <w:top w:val="none" w:sz="0" w:space="0" w:color="auto"/>
        <w:left w:val="none" w:sz="0" w:space="0" w:color="auto"/>
        <w:bottom w:val="none" w:sz="0" w:space="0" w:color="auto"/>
        <w:right w:val="none" w:sz="0" w:space="0" w:color="auto"/>
      </w:divBdr>
    </w:div>
    <w:div w:id="959192830">
      <w:bodyDiv w:val="1"/>
      <w:marLeft w:val="0"/>
      <w:marRight w:val="0"/>
      <w:marTop w:val="0"/>
      <w:marBottom w:val="0"/>
      <w:divBdr>
        <w:top w:val="none" w:sz="0" w:space="0" w:color="auto"/>
        <w:left w:val="none" w:sz="0" w:space="0" w:color="auto"/>
        <w:bottom w:val="none" w:sz="0" w:space="0" w:color="auto"/>
        <w:right w:val="none" w:sz="0" w:space="0" w:color="auto"/>
      </w:divBdr>
    </w:div>
    <w:div w:id="1388871457">
      <w:bodyDiv w:val="1"/>
      <w:marLeft w:val="0"/>
      <w:marRight w:val="0"/>
      <w:marTop w:val="0"/>
      <w:marBottom w:val="0"/>
      <w:divBdr>
        <w:top w:val="none" w:sz="0" w:space="0" w:color="auto"/>
        <w:left w:val="none" w:sz="0" w:space="0" w:color="auto"/>
        <w:bottom w:val="none" w:sz="0" w:space="0" w:color="auto"/>
        <w:right w:val="none" w:sz="0" w:space="0" w:color="auto"/>
      </w:divBdr>
    </w:div>
    <w:div w:id="1430855959">
      <w:bodyDiv w:val="1"/>
      <w:marLeft w:val="0"/>
      <w:marRight w:val="0"/>
      <w:marTop w:val="0"/>
      <w:marBottom w:val="0"/>
      <w:divBdr>
        <w:top w:val="none" w:sz="0" w:space="0" w:color="auto"/>
        <w:left w:val="none" w:sz="0" w:space="0" w:color="auto"/>
        <w:bottom w:val="none" w:sz="0" w:space="0" w:color="auto"/>
        <w:right w:val="none" w:sz="0" w:space="0" w:color="auto"/>
      </w:divBdr>
    </w:div>
    <w:div w:id="1529904026">
      <w:bodyDiv w:val="1"/>
      <w:marLeft w:val="0"/>
      <w:marRight w:val="0"/>
      <w:marTop w:val="0"/>
      <w:marBottom w:val="0"/>
      <w:divBdr>
        <w:top w:val="none" w:sz="0" w:space="0" w:color="auto"/>
        <w:left w:val="none" w:sz="0" w:space="0" w:color="auto"/>
        <w:bottom w:val="none" w:sz="0" w:space="0" w:color="auto"/>
        <w:right w:val="none" w:sz="0" w:space="0" w:color="auto"/>
      </w:divBdr>
    </w:div>
    <w:div w:id="1835027755">
      <w:bodyDiv w:val="1"/>
      <w:marLeft w:val="0"/>
      <w:marRight w:val="0"/>
      <w:marTop w:val="0"/>
      <w:marBottom w:val="0"/>
      <w:divBdr>
        <w:top w:val="none" w:sz="0" w:space="0" w:color="auto"/>
        <w:left w:val="none" w:sz="0" w:space="0" w:color="auto"/>
        <w:bottom w:val="none" w:sz="0" w:space="0" w:color="auto"/>
        <w:right w:val="none" w:sz="0" w:space="0" w:color="auto"/>
      </w:divBdr>
    </w:div>
    <w:div w:id="1849364358">
      <w:bodyDiv w:val="1"/>
      <w:marLeft w:val="0"/>
      <w:marRight w:val="0"/>
      <w:marTop w:val="0"/>
      <w:marBottom w:val="0"/>
      <w:divBdr>
        <w:top w:val="none" w:sz="0" w:space="0" w:color="auto"/>
        <w:left w:val="none" w:sz="0" w:space="0" w:color="auto"/>
        <w:bottom w:val="none" w:sz="0" w:space="0" w:color="auto"/>
        <w:right w:val="none" w:sz="0" w:space="0" w:color="auto"/>
      </w:divBdr>
    </w:div>
    <w:div w:id="1963030277">
      <w:bodyDiv w:val="1"/>
      <w:marLeft w:val="0"/>
      <w:marRight w:val="0"/>
      <w:marTop w:val="0"/>
      <w:marBottom w:val="0"/>
      <w:divBdr>
        <w:top w:val="none" w:sz="0" w:space="0" w:color="auto"/>
        <w:left w:val="none" w:sz="0" w:space="0" w:color="auto"/>
        <w:bottom w:val="none" w:sz="0" w:space="0" w:color="auto"/>
        <w:right w:val="none" w:sz="0" w:space="0" w:color="auto"/>
      </w:divBdr>
    </w:div>
    <w:div w:id="200088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header" Target="header4.xml"/><Relationship Id="rId34" Type="http://schemas.openxmlformats.org/officeDocument/2006/relationships/header" Target="header16.xml"/><Relationship Id="rId42" Type="http://schemas.openxmlformats.org/officeDocument/2006/relationships/header" Target="header24.xml"/><Relationship Id="rId47" Type="http://schemas.openxmlformats.org/officeDocument/2006/relationships/header" Target="header29.xml"/><Relationship Id="rId50" Type="http://schemas.openxmlformats.org/officeDocument/2006/relationships/header" Target="header32.xml"/><Relationship Id="rId55" Type="http://schemas.openxmlformats.org/officeDocument/2006/relationships/image" Target="media/image2.png"/><Relationship Id="rId63" Type="http://schemas.openxmlformats.org/officeDocument/2006/relationships/footer" Target="footer6.xml"/><Relationship Id="rId68" Type="http://schemas.openxmlformats.org/officeDocument/2006/relationships/control" Target="activeX/activeX2.xml"/><Relationship Id="rId76" Type="http://schemas.openxmlformats.org/officeDocument/2006/relationships/control" Target="activeX/activeX10.xml"/><Relationship Id="rId84" Type="http://schemas.openxmlformats.org/officeDocument/2006/relationships/image" Target="media/image6.jpeg"/><Relationship Id="rId89" Type="http://schemas.openxmlformats.org/officeDocument/2006/relationships/footer" Target="footer7.xml"/><Relationship Id="rId97" Type="http://schemas.openxmlformats.org/officeDocument/2006/relationships/footer" Target="footer9.xml"/><Relationship Id="rId7" Type="http://schemas.openxmlformats.org/officeDocument/2006/relationships/numbering" Target="numbering.xml"/><Relationship Id="rId71" Type="http://schemas.openxmlformats.org/officeDocument/2006/relationships/control" Target="activeX/activeX5.xml"/><Relationship Id="rId92" Type="http://schemas.openxmlformats.org/officeDocument/2006/relationships/header" Target="header47.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eader" Target="header11.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header" Target="header27.xml"/><Relationship Id="rId53" Type="http://schemas.openxmlformats.org/officeDocument/2006/relationships/header" Target="header35.xml"/><Relationship Id="rId58" Type="http://schemas.openxmlformats.org/officeDocument/2006/relationships/header" Target="header38.xml"/><Relationship Id="rId66" Type="http://schemas.openxmlformats.org/officeDocument/2006/relationships/image" Target="media/image5.wmf"/><Relationship Id="rId74" Type="http://schemas.openxmlformats.org/officeDocument/2006/relationships/control" Target="activeX/activeX8.xml"/><Relationship Id="rId79" Type="http://schemas.openxmlformats.org/officeDocument/2006/relationships/control" Target="activeX/activeX13.xml"/><Relationship Id="rId87" Type="http://schemas.openxmlformats.org/officeDocument/2006/relationships/header" Target="header43.xml"/><Relationship Id="rId5" Type="http://schemas.openxmlformats.org/officeDocument/2006/relationships/customXml" Target="../customXml/item5.xml"/><Relationship Id="rId61" Type="http://schemas.openxmlformats.org/officeDocument/2006/relationships/header" Target="header40.xml"/><Relationship Id="rId82" Type="http://schemas.openxmlformats.org/officeDocument/2006/relationships/control" Target="activeX/activeX16.xml"/><Relationship Id="rId90" Type="http://schemas.openxmlformats.org/officeDocument/2006/relationships/header" Target="header45.xml"/><Relationship Id="rId95" Type="http://schemas.openxmlformats.org/officeDocument/2006/relationships/header" Target="header49.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header" Target="header25.xml"/><Relationship Id="rId48" Type="http://schemas.openxmlformats.org/officeDocument/2006/relationships/header" Target="header30.xml"/><Relationship Id="rId56" Type="http://schemas.openxmlformats.org/officeDocument/2006/relationships/image" Target="media/image3.png"/><Relationship Id="rId64" Type="http://schemas.openxmlformats.org/officeDocument/2006/relationships/header" Target="header42.xml"/><Relationship Id="rId69" Type="http://schemas.openxmlformats.org/officeDocument/2006/relationships/control" Target="activeX/activeX3.xml"/><Relationship Id="rId77" Type="http://schemas.openxmlformats.org/officeDocument/2006/relationships/control" Target="activeX/activeX11.xml"/><Relationship Id="rId100"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eader" Target="header33.xml"/><Relationship Id="rId72" Type="http://schemas.openxmlformats.org/officeDocument/2006/relationships/control" Target="activeX/activeX6.xml"/><Relationship Id="rId80" Type="http://schemas.openxmlformats.org/officeDocument/2006/relationships/control" Target="activeX/activeX14.xml"/><Relationship Id="rId85" Type="http://schemas.openxmlformats.org/officeDocument/2006/relationships/image" Target="cid:image011.jpg@01D761FA.D6559450" TargetMode="External"/><Relationship Id="rId93" Type="http://schemas.openxmlformats.org/officeDocument/2006/relationships/footer" Target="footer8.xml"/><Relationship Id="rId98" Type="http://schemas.openxmlformats.org/officeDocument/2006/relationships/header" Target="header5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header" Target="header15.xml"/><Relationship Id="rId38" Type="http://schemas.openxmlformats.org/officeDocument/2006/relationships/header" Target="header20.xml"/><Relationship Id="rId46" Type="http://schemas.openxmlformats.org/officeDocument/2006/relationships/header" Target="header28.xml"/><Relationship Id="rId59" Type="http://schemas.openxmlformats.org/officeDocument/2006/relationships/footer" Target="footer5.xml"/><Relationship Id="rId67" Type="http://schemas.openxmlformats.org/officeDocument/2006/relationships/control" Target="activeX/activeX1.xml"/><Relationship Id="rId20" Type="http://schemas.openxmlformats.org/officeDocument/2006/relationships/hyperlink" Target="https://www.legislation.gov.au/" TargetMode="External"/><Relationship Id="rId41" Type="http://schemas.openxmlformats.org/officeDocument/2006/relationships/header" Target="header23.xml"/><Relationship Id="rId54" Type="http://schemas.openxmlformats.org/officeDocument/2006/relationships/header" Target="header36.xml"/><Relationship Id="rId62" Type="http://schemas.openxmlformats.org/officeDocument/2006/relationships/header" Target="header41.xml"/><Relationship Id="rId70" Type="http://schemas.openxmlformats.org/officeDocument/2006/relationships/control" Target="activeX/activeX4.xml"/><Relationship Id="rId75" Type="http://schemas.openxmlformats.org/officeDocument/2006/relationships/control" Target="activeX/activeX9.xml"/><Relationship Id="rId83" Type="http://schemas.openxmlformats.org/officeDocument/2006/relationships/control" Target="activeX/activeX17.xml"/><Relationship Id="rId88" Type="http://schemas.openxmlformats.org/officeDocument/2006/relationships/header" Target="header44.xml"/><Relationship Id="rId91" Type="http://schemas.openxmlformats.org/officeDocument/2006/relationships/header" Target="header46.xml"/><Relationship Id="rId96" Type="http://schemas.openxmlformats.org/officeDocument/2006/relationships/header" Target="header50.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header" Target="header18.xml"/><Relationship Id="rId49" Type="http://schemas.openxmlformats.org/officeDocument/2006/relationships/header" Target="header31.xml"/><Relationship Id="rId57" Type="http://schemas.openxmlformats.org/officeDocument/2006/relationships/header" Target="header37.xml"/><Relationship Id="rId10" Type="http://schemas.openxmlformats.org/officeDocument/2006/relationships/webSettings" Target="webSettings.xml"/><Relationship Id="rId31" Type="http://schemas.openxmlformats.org/officeDocument/2006/relationships/header" Target="header13.xml"/><Relationship Id="rId44" Type="http://schemas.openxmlformats.org/officeDocument/2006/relationships/header" Target="header26.xml"/><Relationship Id="rId52" Type="http://schemas.openxmlformats.org/officeDocument/2006/relationships/header" Target="header34.xml"/><Relationship Id="rId60" Type="http://schemas.openxmlformats.org/officeDocument/2006/relationships/header" Target="header39.xml"/><Relationship Id="rId65" Type="http://schemas.openxmlformats.org/officeDocument/2006/relationships/image" Target="media/image4.png"/><Relationship Id="rId73" Type="http://schemas.openxmlformats.org/officeDocument/2006/relationships/control" Target="activeX/activeX7.xml"/><Relationship Id="rId78" Type="http://schemas.openxmlformats.org/officeDocument/2006/relationships/control" Target="activeX/activeX12.xml"/><Relationship Id="rId81" Type="http://schemas.openxmlformats.org/officeDocument/2006/relationships/control" Target="activeX/activeX15.xml"/><Relationship Id="rId86" Type="http://schemas.openxmlformats.org/officeDocument/2006/relationships/image" Target="media/image7.jpeg"/><Relationship Id="rId94" Type="http://schemas.openxmlformats.org/officeDocument/2006/relationships/header" Target="header48.xm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header" Target="header3.xml"/><Relationship Id="rId39" Type="http://schemas.openxmlformats.org/officeDocument/2006/relationships/header" Target="header21.xml"/></Relationships>
</file>

<file path=word/_rels/settings.xml.rels><?xml version="1.0" encoding="UTF-8" standalone="yes"?>
<Relationships xmlns="http://schemas.openxmlformats.org/package/2006/relationships"><Relationship Id="rId1" Type="http://schemas.openxmlformats.org/officeDocument/2006/relationships/attachedTemplate" Target="file:///O:\msoffice2007\template\RegDocs\ASIC%20Reg%20Docs%20Template.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MPS Participants Document" ma:contentTypeID="0x010100B5F685A1365F544391EF8C813B164F3A380029FD7555DA60B44CB608EF311639A67D" ma:contentTypeVersion="30" ma:contentTypeDescription="" ma:contentTypeScope="" ma:versionID="90faae689a05c34fee98bc6d568e1449">
  <xsd:schema xmlns:xsd="http://www.w3.org/2001/XMLSchema" xmlns:xs="http://www.w3.org/2001/XMLSchema" xmlns:p="http://schemas.microsoft.com/office/2006/metadata/properties" xmlns:ns2="929c1edb-ad8a-4ac8-820d-57754a7bc3bc" xmlns:ns3="da7a9ac0-bc47-4684-84e6-3a8e9ac80c12" xmlns:ns4="17f478ab-373e-4295-9ff0-9b833ad01319" targetNamespace="http://schemas.microsoft.com/office/2006/metadata/properties" ma:root="true" ma:fieldsID="40b2bdd70e8a44d19993e7c36670ce91" ns2:_="" ns3:_="" ns4:_="">
    <xsd:import namespace="929c1edb-ad8a-4ac8-820d-57754a7bc3bc"/>
    <xsd:import namespace="da7a9ac0-bc47-4684-84e6-3a8e9ac80c12"/>
    <xsd:import namespace="17f478ab-373e-4295-9ff0-9b833ad01319"/>
    <xsd:element name="properties">
      <xsd:complexType>
        <xsd:sequence>
          <xsd:element name="documentManagement">
            <xsd:complexType>
              <xsd:all>
                <xsd:element ref="ns3:RecordNumber" minOccurs="0"/>
                <xsd:element ref="ns3:ObjectiveID" minOccurs="0"/>
                <xsd:element ref="ns3:SenateOrder12" minOccurs="0"/>
                <xsd:element ref="ns3:SignificantFlag" minOccurs="0"/>
                <xsd:element ref="ns3:SignificantReason" minOccurs="0"/>
                <xsd:element ref="ns3:NotesLinks" minOccurs="0"/>
                <xsd:element ref="ns3:Tag" minOccurs="0"/>
                <xsd:element ref="ns4:Reviewers" minOccurs="0"/>
                <xsd:element ref="ns4:Approvers" minOccurs="0"/>
                <xsd:element ref="ns3:ded95d7ab059406991d558011d18c177" minOccurs="0"/>
                <xsd:element ref="ns2:hf5755045d20448cba720ba6879a5d57" minOccurs="0"/>
                <xsd:element ref="ns3:n311e642147e4b81b75b8e05e3f828b6" minOccurs="0"/>
                <xsd:element ref="ns2:Market_x0020_Conduct_x0020_Document_x0020_Type"/>
                <xsd:element ref="ns2:TaxCatchAllLabel" minOccurs="0"/>
                <xsd:element ref="ns2:o5d76626634d410e839bbf7fc5a3d11b" minOccurs="0"/>
                <xsd:element ref="ns2:TaxCatchAll" minOccurs="0"/>
                <xsd:element ref="ns2:ab38fdab379e47ef8dc5307f2c1177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c1edb-ad8a-4ac8-820d-57754a7bc3bc" elementFormDefault="qualified">
    <xsd:import namespace="http://schemas.microsoft.com/office/2006/documentManagement/types"/>
    <xsd:import namespace="http://schemas.microsoft.com/office/infopath/2007/PartnerControls"/>
    <xsd:element name="hf5755045d20448cba720ba6879a5d57" ma:index="18" ma:taxonomy="true" ma:internalName="hf5755045d20448cba720ba6879a5d57" ma:taxonomyFieldName="SecurityClassification" ma:displayName="Security Classification" ma:default="-1;#OFFICIAL - Sensitive|6eccc17f-024b-41b0-b6b1-faf98d2aff85" ma:fieldId="{1f575504-5d20-448c-ba72-0ba6879a5d57}" ma:sspId="b38671ba-7d76-46f8-b8a5-5fc3a7d6229d" ma:termSetId="1d2f2699-c9ac-44b7-aa84-d64945e6f0bf" ma:anchorId="00000000-0000-0000-0000-000000000000" ma:open="false" ma:isKeyword="false">
      <xsd:complexType>
        <xsd:sequence>
          <xsd:element ref="pc:Terms" minOccurs="0" maxOccurs="1"/>
        </xsd:sequence>
      </xsd:complexType>
    </xsd:element>
    <xsd:element name="Market_x0020_Conduct_x0020_Document_x0020_Type" ma:index="22" ma:displayName="Market Participant - Capital Type" ma:default="Risk Based Monthly Return" ma:format="Dropdown" ma:internalName="Market_x0020_Conduct_x0020_Document_x0020_Type">
      <xsd:simpleType>
        <xsd:restriction base="dms:Choice">
          <xsd:enumeration value="Risk Based Monthly Return"/>
          <xsd:enumeration value="Risk Based  Audited Annual Return"/>
          <xsd:enumeration value="Risk Based Ad-Hoc Return"/>
          <xsd:enumeration value="NTA Monthly Return"/>
          <xsd:enumeration value="Audited Annual NTA Return"/>
          <xsd:enumeration value="NTA Ad-Hoc Return"/>
          <xsd:enumeration value="Monthly Client Funds Reconciliation"/>
          <xsd:enumeration value="Annual Client Funds Audit Report"/>
          <xsd:enumeration value="Subordinated Loan Arrangements (ASX and ASX 24)"/>
        </xsd:restriction>
      </xsd:simpleType>
    </xsd:element>
    <xsd:element name="TaxCatchAllLabel" ma:index="23" nillable="true" ma:displayName="Taxonomy Catch All Column1" ma:hidden="true" ma:list="{749f9c46-12b0-461b-92e7-217a74d06cf9}" ma:internalName="TaxCatchAllLabel" ma:readOnly="true" ma:showField="CatchAllDataLabel" ma:web="929c1edb-ad8a-4ac8-820d-57754a7bc3bc">
      <xsd:complexType>
        <xsd:complexContent>
          <xsd:extension base="dms:MultiChoiceLookup">
            <xsd:sequence>
              <xsd:element name="Value" type="dms:Lookup" maxOccurs="unbounded" minOccurs="0" nillable="true"/>
            </xsd:sequence>
          </xsd:extension>
        </xsd:complexContent>
      </xsd:complexType>
    </xsd:element>
    <xsd:element name="o5d76626634d410e839bbf7fc5a3d11b" ma:index="24" nillable="true" ma:taxonomy="true" ma:internalName="o5d76626634d410e839bbf7fc5a3d11b" ma:taxonomyFieldName="MarketParticipantEntity" ma:displayName="Market Participant Entity" ma:default="" ma:fieldId="{85d76626-634d-410e-839b-bf7fc5a3d11b}" ma:sspId="b38671ba-7d76-46f8-b8a5-5fc3a7d6229d" ma:termSetId="5b7f7690-fbfd-4ba0-8258-a73501e6e159" ma:anchorId="45ab05e7-7671-4335-845d-0356b068b87e" ma:open="false" ma:isKeyword="false">
      <xsd:complexType>
        <xsd:sequence>
          <xsd:element ref="pc:Terms" minOccurs="0" maxOccurs="1"/>
        </xsd:sequence>
      </xsd:complexType>
    </xsd:element>
    <xsd:element name="TaxCatchAll" ma:index="25" nillable="true" ma:displayName="Taxonomy Catch All Column" ma:hidden="true" ma:list="{749f9c46-12b0-461b-92e7-217a74d06cf9}" ma:internalName="TaxCatchAll" ma:showField="CatchAllData" ma:web="929c1edb-ad8a-4ac8-820d-57754a7bc3bc">
      <xsd:complexType>
        <xsd:complexContent>
          <xsd:extension base="dms:MultiChoiceLookup">
            <xsd:sequence>
              <xsd:element name="Value" type="dms:Lookup" maxOccurs="unbounded" minOccurs="0" nillable="true"/>
            </xsd:sequence>
          </xsd:extension>
        </xsd:complexContent>
      </xsd:complexType>
    </xsd:element>
    <xsd:element name="ab38fdab379e47ef8dc5307f2c1177d0" ma:index="26" nillable="true" ma:taxonomy="true" ma:internalName="ab38fdab379e47ef8dc5307f2c1177d0" ma:taxonomyFieldName="ParticipantsDocumentType" ma:displayName="Participants Activity Type" ma:readOnly="false" ma:fieldId="{ab38fdab-379e-47ef-8dc5-307f2c1177d0}" ma:sspId="b38671ba-7d76-46f8-b8a5-5fc3a7d6229d" ma:termSetId="7b85e652-2d48-4e20-9be8-38af3ae4456e" ma:anchorId="df978e78-aaaf-423a-990d-d756764b19b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2" nillable="true" ma:displayName="Document ID" ma:hidden="true" ma:internalName="RecordNumber" ma:readOnly="false">
      <xsd:simpleType>
        <xsd:restriction base="dms:Text">
          <xsd:maxLength value="255"/>
        </xsd:restriction>
      </xsd:simpleType>
    </xsd:element>
    <xsd:element name="ObjectiveID" ma:index="4" nillable="true" ma:displayName="Objective ID" ma:hidden="true" ma:internalName="ObjectiveID" ma:readOnly="false">
      <xsd:simpleType>
        <xsd:restriction base="dms:Text">
          <xsd:maxLength value="255"/>
        </xsd:restriction>
      </xsd:simpleType>
    </xsd:element>
    <xsd:element name="SenateOrder12" ma:index="5" nillable="true" ma:displayName="Senate Order #12" ma:default="0" ma:hidden="true" ma:internalName="SenateOrder12" ma:readOnly="false">
      <xsd:simpleType>
        <xsd:restriction base="dms:Boolean"/>
      </xsd:simpleType>
    </xsd:element>
    <xsd:element name="SignificantFlag" ma:index="6" nillable="true" ma:displayName="Significant Flag" ma:default="0" ma:hidden="true" ma:internalName="SignificantFlag" ma:readOnly="false">
      <xsd:simpleType>
        <xsd:restriction base="dms:Boolean"/>
      </xsd:simpleType>
    </xsd:element>
    <xsd:element name="SignificantReason" ma:index="7" nillable="true" ma:displayName="Significant Reason" ma:hidden="true" ma:internalName="SignificantReason" ma:readOnly="false">
      <xsd:simpleType>
        <xsd:restriction base="dms:Text">
          <xsd:maxLength value="255"/>
        </xsd:restriction>
      </xsd:simpleType>
    </xsd:element>
    <xsd:element name="NotesLinks" ma:index="8" nillable="true" ma:displayName="Notes &amp; Links" ma:description="Use this field to enter relevant document/site hyperlinks and/or notes." ma:internalName="NotesLinks" ma:readOnly="false">
      <xsd:simpleType>
        <xsd:restriction base="dms:Note"/>
      </xsd:simpleType>
    </xsd:element>
    <xsd:element name="Tag" ma:index="9" nillable="true" ma:displayName="Tag" ma:internalName="Tag" ma:readOnly="false">
      <xsd:simpleType>
        <xsd:restriction base="dms:Text">
          <xsd:maxLength value="255"/>
        </xsd:restriction>
      </xsd:simpleType>
    </xsd:element>
    <xsd:element name="ded95d7ab059406991d558011d18c177" ma:index="14" nillable="true" ma:displayName="SecurityClassification_0" ma:hidden="true" ma:internalName="ded95d7ab059406991d558011d18c177" ma:readOnly="false">
      <xsd:simpleType>
        <xsd:restriction base="dms:Note"/>
      </xsd:simpleType>
    </xsd:element>
    <xsd:element name="n311e642147e4b81b75b8e05e3f828b6" ma:index="19" nillable="true" ma:displayName="ParticipantsDocumentType_0" ma:hidden="true" ma:internalName="n311e642147e4b81b75b8e05e3f828b6"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0"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11"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ObjectiveID xmlns="da7a9ac0-bc47-4684-84e6-3a8e9ac80c12">A4465125/document/versions/latest</ObjectiveID>
    <RecordNumber xmlns="da7a9ac0-bc47-4684-84e6-3a8e9ac80c12">R20210000406793</RecordNumber>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TaxCatchAll xmlns="929c1edb-ad8a-4ac8-820d-57754a7bc3bc">
      <Value>560</Value>
    </TaxCatchAll>
    <o5d76626634d410e839bbf7fc5a3d11b xmlns="929c1edb-ad8a-4ac8-820d-57754a7bc3bc">
      <Terms xmlns="http://schemas.microsoft.com/office/infopath/2007/PartnerControls"/>
    </o5d76626634d410e839bbf7fc5a3d11b>
    <ab38fdab379e47ef8dc5307f2c1177d0 xmlns="929c1edb-ad8a-4ac8-820d-57754a7bc3bc">
      <Terms xmlns="http://schemas.microsoft.com/office/infopath/2007/PartnerControls"/>
    </ab38fdab379e47ef8dc5307f2c1177d0>
    <n311e642147e4b81b75b8e05e3f828b6 xmlns="da7a9ac0-bc47-4684-84e6-3a8e9ac80c12" xsi:nil="true"/>
    <Tag xmlns="da7a9ac0-bc47-4684-84e6-3a8e9ac80c12" xsi:nil="true"/>
    <Market_x0020_Conduct_x0020_Document_x0020_Type xmlns="929c1edb-ad8a-4ac8-820d-57754a7bc3bc">Risk Based Monthly Return</Market_x0020_Conduct_x0020_Document_x0020_Type>
    <hf5755045d20448cba720ba6879a5d57 xmlns="929c1edb-ad8a-4ac8-820d-57754a7bc3bc">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hf5755045d20448cba720ba6879a5d57>
  </documentManagement>
</p:properties>
</file>

<file path=customXml/itemProps1.xml><?xml version="1.0" encoding="utf-8"?>
<ds:datastoreItem xmlns:ds="http://schemas.openxmlformats.org/officeDocument/2006/customXml" ds:itemID="{C1096035-C83A-4A33-B555-82B70E0B1C94}">
  <ds:schemaRefs>
    <ds:schemaRef ds:uri="http://schemas.microsoft.com/sharepoint/v3/contenttype/forms"/>
  </ds:schemaRefs>
</ds:datastoreItem>
</file>

<file path=customXml/itemProps2.xml><?xml version="1.0" encoding="utf-8"?>
<ds:datastoreItem xmlns:ds="http://schemas.openxmlformats.org/officeDocument/2006/customXml" ds:itemID="{F1B12A23-203C-4C23-B2A0-FBF6EE34EA37}">
  <ds:schemaRefs>
    <ds:schemaRef ds:uri="http://schemas.openxmlformats.org/officeDocument/2006/bibliography"/>
  </ds:schemaRefs>
</ds:datastoreItem>
</file>

<file path=customXml/itemProps3.xml><?xml version="1.0" encoding="utf-8"?>
<ds:datastoreItem xmlns:ds="http://schemas.openxmlformats.org/officeDocument/2006/customXml" ds:itemID="{E6B4FAEF-1488-4218-A178-6F79842723D1}">
  <ds:schemaRefs>
    <ds:schemaRef ds:uri="http://schemas.microsoft.com/sharepoint/events"/>
  </ds:schemaRefs>
</ds:datastoreItem>
</file>

<file path=customXml/itemProps4.xml><?xml version="1.0" encoding="utf-8"?>
<ds:datastoreItem xmlns:ds="http://schemas.openxmlformats.org/officeDocument/2006/customXml" ds:itemID="{7EB717C5-C8FF-4E1C-9CA2-8FAEB735A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c1edb-ad8a-4ac8-820d-57754a7bc3bc"/>
    <ds:schemaRef ds:uri="da7a9ac0-bc47-4684-84e6-3a8e9ac80c12"/>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E2A975-2D69-4A00-8A47-86BF4E81AD9E}">
  <ds:schemaRefs>
    <ds:schemaRef ds:uri="http://schemas.microsoft.com/office/2006/metadata/customXsn"/>
  </ds:schemaRefs>
</ds:datastoreItem>
</file>

<file path=customXml/itemProps6.xml><?xml version="1.0" encoding="utf-8"?>
<ds:datastoreItem xmlns:ds="http://schemas.openxmlformats.org/officeDocument/2006/customXml" ds:itemID="{46C5869B-E5C6-4F88-9823-C4ECA046E6FD}">
  <ds:schemaRefs>
    <ds:schemaRef ds:uri="17f478ab-373e-4295-9ff0-9b833ad01319"/>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da7a9ac0-bc47-4684-84e6-3a8e9ac80c12"/>
    <ds:schemaRef ds:uri="929c1edb-ad8a-4ac8-820d-57754a7bc3bc"/>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ASIC Reg Docs Template</Template>
  <TotalTime>0</TotalTime>
  <Pages>152</Pages>
  <Words>40509</Words>
  <Characters>218401</Characters>
  <Application>Microsoft Office Word</Application>
  <DocSecurity>0</DocSecurity>
  <Lines>1820</Lines>
  <Paragraphs>516</Paragraphs>
  <ScaleCrop>false</ScaleCrop>
  <HeadingPairs>
    <vt:vector size="2" baseType="variant">
      <vt:variant>
        <vt:lpstr>Title</vt:lpstr>
      </vt:variant>
      <vt:variant>
        <vt:i4>1</vt:i4>
      </vt:variant>
    </vt:vector>
  </HeadingPairs>
  <TitlesOfParts>
    <vt:vector size="1" baseType="lpstr">
      <vt:lpstr>ASIC Market Integrity Rules (Capital) 2018</vt:lpstr>
    </vt:vector>
  </TitlesOfParts>
  <Company/>
  <LinksUpToDate>false</LinksUpToDate>
  <CharactersWithSpaces>258394</CharactersWithSpaces>
  <SharedDoc>false</SharedDoc>
  <HyperlinkBase/>
  <HLinks>
    <vt:vector size="264" baseType="variant">
      <vt:variant>
        <vt:i4>3866683</vt:i4>
      </vt:variant>
      <vt:variant>
        <vt:i4>264</vt:i4>
      </vt:variant>
      <vt:variant>
        <vt:i4>0</vt:i4>
      </vt:variant>
      <vt:variant>
        <vt:i4>5</vt:i4>
      </vt:variant>
      <vt:variant>
        <vt:lpwstr>http://www.frli.gov.au/</vt:lpwstr>
      </vt:variant>
      <vt:variant>
        <vt:lpwstr/>
      </vt:variant>
      <vt:variant>
        <vt:i4>1966131</vt:i4>
      </vt:variant>
      <vt:variant>
        <vt:i4>257</vt:i4>
      </vt:variant>
      <vt:variant>
        <vt:i4>0</vt:i4>
      </vt:variant>
      <vt:variant>
        <vt:i4>5</vt:i4>
      </vt:variant>
      <vt:variant>
        <vt:lpwstr/>
      </vt:variant>
      <vt:variant>
        <vt:lpwstr>_Toc267648217</vt:lpwstr>
      </vt:variant>
      <vt:variant>
        <vt:i4>1966131</vt:i4>
      </vt:variant>
      <vt:variant>
        <vt:i4>251</vt:i4>
      </vt:variant>
      <vt:variant>
        <vt:i4>0</vt:i4>
      </vt:variant>
      <vt:variant>
        <vt:i4>5</vt:i4>
      </vt:variant>
      <vt:variant>
        <vt:lpwstr/>
      </vt:variant>
      <vt:variant>
        <vt:lpwstr>_Toc267648216</vt:lpwstr>
      </vt:variant>
      <vt:variant>
        <vt:i4>1966131</vt:i4>
      </vt:variant>
      <vt:variant>
        <vt:i4>245</vt:i4>
      </vt:variant>
      <vt:variant>
        <vt:i4>0</vt:i4>
      </vt:variant>
      <vt:variant>
        <vt:i4>5</vt:i4>
      </vt:variant>
      <vt:variant>
        <vt:lpwstr/>
      </vt:variant>
      <vt:variant>
        <vt:lpwstr>_Toc267648215</vt:lpwstr>
      </vt:variant>
      <vt:variant>
        <vt:i4>1966131</vt:i4>
      </vt:variant>
      <vt:variant>
        <vt:i4>239</vt:i4>
      </vt:variant>
      <vt:variant>
        <vt:i4>0</vt:i4>
      </vt:variant>
      <vt:variant>
        <vt:i4>5</vt:i4>
      </vt:variant>
      <vt:variant>
        <vt:lpwstr/>
      </vt:variant>
      <vt:variant>
        <vt:lpwstr>_Toc267648214</vt:lpwstr>
      </vt:variant>
      <vt:variant>
        <vt:i4>1966131</vt:i4>
      </vt:variant>
      <vt:variant>
        <vt:i4>233</vt:i4>
      </vt:variant>
      <vt:variant>
        <vt:i4>0</vt:i4>
      </vt:variant>
      <vt:variant>
        <vt:i4>5</vt:i4>
      </vt:variant>
      <vt:variant>
        <vt:lpwstr/>
      </vt:variant>
      <vt:variant>
        <vt:lpwstr>_Toc267648213</vt:lpwstr>
      </vt:variant>
      <vt:variant>
        <vt:i4>1966131</vt:i4>
      </vt:variant>
      <vt:variant>
        <vt:i4>227</vt:i4>
      </vt:variant>
      <vt:variant>
        <vt:i4>0</vt:i4>
      </vt:variant>
      <vt:variant>
        <vt:i4>5</vt:i4>
      </vt:variant>
      <vt:variant>
        <vt:lpwstr/>
      </vt:variant>
      <vt:variant>
        <vt:lpwstr>_Toc267648212</vt:lpwstr>
      </vt:variant>
      <vt:variant>
        <vt:i4>1966131</vt:i4>
      </vt:variant>
      <vt:variant>
        <vt:i4>221</vt:i4>
      </vt:variant>
      <vt:variant>
        <vt:i4>0</vt:i4>
      </vt:variant>
      <vt:variant>
        <vt:i4>5</vt:i4>
      </vt:variant>
      <vt:variant>
        <vt:lpwstr/>
      </vt:variant>
      <vt:variant>
        <vt:lpwstr>_Toc267648211</vt:lpwstr>
      </vt:variant>
      <vt:variant>
        <vt:i4>1966131</vt:i4>
      </vt:variant>
      <vt:variant>
        <vt:i4>215</vt:i4>
      </vt:variant>
      <vt:variant>
        <vt:i4>0</vt:i4>
      </vt:variant>
      <vt:variant>
        <vt:i4>5</vt:i4>
      </vt:variant>
      <vt:variant>
        <vt:lpwstr/>
      </vt:variant>
      <vt:variant>
        <vt:lpwstr>_Toc267648210</vt:lpwstr>
      </vt:variant>
      <vt:variant>
        <vt:i4>2031667</vt:i4>
      </vt:variant>
      <vt:variant>
        <vt:i4>209</vt:i4>
      </vt:variant>
      <vt:variant>
        <vt:i4>0</vt:i4>
      </vt:variant>
      <vt:variant>
        <vt:i4>5</vt:i4>
      </vt:variant>
      <vt:variant>
        <vt:lpwstr/>
      </vt:variant>
      <vt:variant>
        <vt:lpwstr>_Toc267648209</vt:lpwstr>
      </vt:variant>
      <vt:variant>
        <vt:i4>2031667</vt:i4>
      </vt:variant>
      <vt:variant>
        <vt:i4>203</vt:i4>
      </vt:variant>
      <vt:variant>
        <vt:i4>0</vt:i4>
      </vt:variant>
      <vt:variant>
        <vt:i4>5</vt:i4>
      </vt:variant>
      <vt:variant>
        <vt:lpwstr/>
      </vt:variant>
      <vt:variant>
        <vt:lpwstr>_Toc267648208</vt:lpwstr>
      </vt:variant>
      <vt:variant>
        <vt:i4>2031667</vt:i4>
      </vt:variant>
      <vt:variant>
        <vt:i4>197</vt:i4>
      </vt:variant>
      <vt:variant>
        <vt:i4>0</vt:i4>
      </vt:variant>
      <vt:variant>
        <vt:i4>5</vt:i4>
      </vt:variant>
      <vt:variant>
        <vt:lpwstr/>
      </vt:variant>
      <vt:variant>
        <vt:lpwstr>_Toc267648207</vt:lpwstr>
      </vt:variant>
      <vt:variant>
        <vt:i4>2031667</vt:i4>
      </vt:variant>
      <vt:variant>
        <vt:i4>191</vt:i4>
      </vt:variant>
      <vt:variant>
        <vt:i4>0</vt:i4>
      </vt:variant>
      <vt:variant>
        <vt:i4>5</vt:i4>
      </vt:variant>
      <vt:variant>
        <vt:lpwstr/>
      </vt:variant>
      <vt:variant>
        <vt:lpwstr>_Toc267648206</vt:lpwstr>
      </vt:variant>
      <vt:variant>
        <vt:i4>2031667</vt:i4>
      </vt:variant>
      <vt:variant>
        <vt:i4>185</vt:i4>
      </vt:variant>
      <vt:variant>
        <vt:i4>0</vt:i4>
      </vt:variant>
      <vt:variant>
        <vt:i4>5</vt:i4>
      </vt:variant>
      <vt:variant>
        <vt:lpwstr/>
      </vt:variant>
      <vt:variant>
        <vt:lpwstr>_Toc267648205</vt:lpwstr>
      </vt:variant>
      <vt:variant>
        <vt:i4>2031667</vt:i4>
      </vt:variant>
      <vt:variant>
        <vt:i4>179</vt:i4>
      </vt:variant>
      <vt:variant>
        <vt:i4>0</vt:i4>
      </vt:variant>
      <vt:variant>
        <vt:i4>5</vt:i4>
      </vt:variant>
      <vt:variant>
        <vt:lpwstr/>
      </vt:variant>
      <vt:variant>
        <vt:lpwstr>_Toc267648204</vt:lpwstr>
      </vt:variant>
      <vt:variant>
        <vt:i4>2031667</vt:i4>
      </vt:variant>
      <vt:variant>
        <vt:i4>173</vt:i4>
      </vt:variant>
      <vt:variant>
        <vt:i4>0</vt:i4>
      </vt:variant>
      <vt:variant>
        <vt:i4>5</vt:i4>
      </vt:variant>
      <vt:variant>
        <vt:lpwstr/>
      </vt:variant>
      <vt:variant>
        <vt:lpwstr>_Toc267648203</vt:lpwstr>
      </vt:variant>
      <vt:variant>
        <vt:i4>2031667</vt:i4>
      </vt:variant>
      <vt:variant>
        <vt:i4>167</vt:i4>
      </vt:variant>
      <vt:variant>
        <vt:i4>0</vt:i4>
      </vt:variant>
      <vt:variant>
        <vt:i4>5</vt:i4>
      </vt:variant>
      <vt:variant>
        <vt:lpwstr/>
      </vt:variant>
      <vt:variant>
        <vt:lpwstr>_Toc267648202</vt:lpwstr>
      </vt:variant>
      <vt:variant>
        <vt:i4>2031667</vt:i4>
      </vt:variant>
      <vt:variant>
        <vt:i4>161</vt:i4>
      </vt:variant>
      <vt:variant>
        <vt:i4>0</vt:i4>
      </vt:variant>
      <vt:variant>
        <vt:i4>5</vt:i4>
      </vt:variant>
      <vt:variant>
        <vt:lpwstr/>
      </vt:variant>
      <vt:variant>
        <vt:lpwstr>_Toc267648201</vt:lpwstr>
      </vt:variant>
      <vt:variant>
        <vt:i4>2031667</vt:i4>
      </vt:variant>
      <vt:variant>
        <vt:i4>155</vt:i4>
      </vt:variant>
      <vt:variant>
        <vt:i4>0</vt:i4>
      </vt:variant>
      <vt:variant>
        <vt:i4>5</vt:i4>
      </vt:variant>
      <vt:variant>
        <vt:lpwstr/>
      </vt:variant>
      <vt:variant>
        <vt:lpwstr>_Toc267648200</vt:lpwstr>
      </vt:variant>
      <vt:variant>
        <vt:i4>1441840</vt:i4>
      </vt:variant>
      <vt:variant>
        <vt:i4>149</vt:i4>
      </vt:variant>
      <vt:variant>
        <vt:i4>0</vt:i4>
      </vt:variant>
      <vt:variant>
        <vt:i4>5</vt:i4>
      </vt:variant>
      <vt:variant>
        <vt:lpwstr/>
      </vt:variant>
      <vt:variant>
        <vt:lpwstr>_Toc267648199</vt:lpwstr>
      </vt:variant>
      <vt:variant>
        <vt:i4>1441840</vt:i4>
      </vt:variant>
      <vt:variant>
        <vt:i4>143</vt:i4>
      </vt:variant>
      <vt:variant>
        <vt:i4>0</vt:i4>
      </vt:variant>
      <vt:variant>
        <vt:i4>5</vt:i4>
      </vt:variant>
      <vt:variant>
        <vt:lpwstr/>
      </vt:variant>
      <vt:variant>
        <vt:lpwstr>_Toc267648198</vt:lpwstr>
      </vt:variant>
      <vt:variant>
        <vt:i4>1441840</vt:i4>
      </vt:variant>
      <vt:variant>
        <vt:i4>137</vt:i4>
      </vt:variant>
      <vt:variant>
        <vt:i4>0</vt:i4>
      </vt:variant>
      <vt:variant>
        <vt:i4>5</vt:i4>
      </vt:variant>
      <vt:variant>
        <vt:lpwstr/>
      </vt:variant>
      <vt:variant>
        <vt:lpwstr>_Toc267648197</vt:lpwstr>
      </vt:variant>
      <vt:variant>
        <vt:i4>1441840</vt:i4>
      </vt:variant>
      <vt:variant>
        <vt:i4>131</vt:i4>
      </vt:variant>
      <vt:variant>
        <vt:i4>0</vt:i4>
      </vt:variant>
      <vt:variant>
        <vt:i4>5</vt:i4>
      </vt:variant>
      <vt:variant>
        <vt:lpwstr/>
      </vt:variant>
      <vt:variant>
        <vt:lpwstr>_Toc267648196</vt:lpwstr>
      </vt:variant>
      <vt:variant>
        <vt:i4>1441840</vt:i4>
      </vt:variant>
      <vt:variant>
        <vt:i4>125</vt:i4>
      </vt:variant>
      <vt:variant>
        <vt:i4>0</vt:i4>
      </vt:variant>
      <vt:variant>
        <vt:i4>5</vt:i4>
      </vt:variant>
      <vt:variant>
        <vt:lpwstr/>
      </vt:variant>
      <vt:variant>
        <vt:lpwstr>_Toc267648195</vt:lpwstr>
      </vt:variant>
      <vt:variant>
        <vt:i4>1441840</vt:i4>
      </vt:variant>
      <vt:variant>
        <vt:i4>119</vt:i4>
      </vt:variant>
      <vt:variant>
        <vt:i4>0</vt:i4>
      </vt:variant>
      <vt:variant>
        <vt:i4>5</vt:i4>
      </vt:variant>
      <vt:variant>
        <vt:lpwstr/>
      </vt:variant>
      <vt:variant>
        <vt:lpwstr>_Toc267648194</vt:lpwstr>
      </vt:variant>
      <vt:variant>
        <vt:i4>1441840</vt:i4>
      </vt:variant>
      <vt:variant>
        <vt:i4>113</vt:i4>
      </vt:variant>
      <vt:variant>
        <vt:i4>0</vt:i4>
      </vt:variant>
      <vt:variant>
        <vt:i4>5</vt:i4>
      </vt:variant>
      <vt:variant>
        <vt:lpwstr/>
      </vt:variant>
      <vt:variant>
        <vt:lpwstr>_Toc267648193</vt:lpwstr>
      </vt:variant>
      <vt:variant>
        <vt:i4>1441840</vt:i4>
      </vt:variant>
      <vt:variant>
        <vt:i4>107</vt:i4>
      </vt:variant>
      <vt:variant>
        <vt:i4>0</vt:i4>
      </vt:variant>
      <vt:variant>
        <vt:i4>5</vt:i4>
      </vt:variant>
      <vt:variant>
        <vt:lpwstr/>
      </vt:variant>
      <vt:variant>
        <vt:lpwstr>_Toc267648192</vt:lpwstr>
      </vt:variant>
      <vt:variant>
        <vt:i4>1441840</vt:i4>
      </vt:variant>
      <vt:variant>
        <vt:i4>101</vt:i4>
      </vt:variant>
      <vt:variant>
        <vt:i4>0</vt:i4>
      </vt:variant>
      <vt:variant>
        <vt:i4>5</vt:i4>
      </vt:variant>
      <vt:variant>
        <vt:lpwstr/>
      </vt:variant>
      <vt:variant>
        <vt:lpwstr>_Toc267648191</vt:lpwstr>
      </vt:variant>
      <vt:variant>
        <vt:i4>1441840</vt:i4>
      </vt:variant>
      <vt:variant>
        <vt:i4>95</vt:i4>
      </vt:variant>
      <vt:variant>
        <vt:i4>0</vt:i4>
      </vt:variant>
      <vt:variant>
        <vt:i4>5</vt:i4>
      </vt:variant>
      <vt:variant>
        <vt:lpwstr/>
      </vt:variant>
      <vt:variant>
        <vt:lpwstr>_Toc267648190</vt:lpwstr>
      </vt:variant>
      <vt:variant>
        <vt:i4>1507376</vt:i4>
      </vt:variant>
      <vt:variant>
        <vt:i4>89</vt:i4>
      </vt:variant>
      <vt:variant>
        <vt:i4>0</vt:i4>
      </vt:variant>
      <vt:variant>
        <vt:i4>5</vt:i4>
      </vt:variant>
      <vt:variant>
        <vt:lpwstr/>
      </vt:variant>
      <vt:variant>
        <vt:lpwstr>_Toc267648189</vt:lpwstr>
      </vt:variant>
      <vt:variant>
        <vt:i4>1507376</vt:i4>
      </vt:variant>
      <vt:variant>
        <vt:i4>83</vt:i4>
      </vt:variant>
      <vt:variant>
        <vt:i4>0</vt:i4>
      </vt:variant>
      <vt:variant>
        <vt:i4>5</vt:i4>
      </vt:variant>
      <vt:variant>
        <vt:lpwstr/>
      </vt:variant>
      <vt:variant>
        <vt:lpwstr>_Toc267648188</vt:lpwstr>
      </vt:variant>
      <vt:variant>
        <vt:i4>1507376</vt:i4>
      </vt:variant>
      <vt:variant>
        <vt:i4>77</vt:i4>
      </vt:variant>
      <vt:variant>
        <vt:i4>0</vt:i4>
      </vt:variant>
      <vt:variant>
        <vt:i4>5</vt:i4>
      </vt:variant>
      <vt:variant>
        <vt:lpwstr/>
      </vt:variant>
      <vt:variant>
        <vt:lpwstr>_Toc267648187</vt:lpwstr>
      </vt:variant>
      <vt:variant>
        <vt:i4>1507376</vt:i4>
      </vt:variant>
      <vt:variant>
        <vt:i4>71</vt:i4>
      </vt:variant>
      <vt:variant>
        <vt:i4>0</vt:i4>
      </vt:variant>
      <vt:variant>
        <vt:i4>5</vt:i4>
      </vt:variant>
      <vt:variant>
        <vt:lpwstr/>
      </vt:variant>
      <vt:variant>
        <vt:lpwstr>_Toc267648186</vt:lpwstr>
      </vt:variant>
      <vt:variant>
        <vt:i4>1507376</vt:i4>
      </vt:variant>
      <vt:variant>
        <vt:i4>65</vt:i4>
      </vt:variant>
      <vt:variant>
        <vt:i4>0</vt:i4>
      </vt:variant>
      <vt:variant>
        <vt:i4>5</vt:i4>
      </vt:variant>
      <vt:variant>
        <vt:lpwstr/>
      </vt:variant>
      <vt:variant>
        <vt:lpwstr>_Toc267648185</vt:lpwstr>
      </vt:variant>
      <vt:variant>
        <vt:i4>1507376</vt:i4>
      </vt:variant>
      <vt:variant>
        <vt:i4>59</vt:i4>
      </vt:variant>
      <vt:variant>
        <vt:i4>0</vt:i4>
      </vt:variant>
      <vt:variant>
        <vt:i4>5</vt:i4>
      </vt:variant>
      <vt:variant>
        <vt:lpwstr/>
      </vt:variant>
      <vt:variant>
        <vt:lpwstr>_Toc267648184</vt:lpwstr>
      </vt:variant>
      <vt:variant>
        <vt:i4>1507376</vt:i4>
      </vt:variant>
      <vt:variant>
        <vt:i4>53</vt:i4>
      </vt:variant>
      <vt:variant>
        <vt:i4>0</vt:i4>
      </vt:variant>
      <vt:variant>
        <vt:i4>5</vt:i4>
      </vt:variant>
      <vt:variant>
        <vt:lpwstr/>
      </vt:variant>
      <vt:variant>
        <vt:lpwstr>_Toc267648183</vt:lpwstr>
      </vt:variant>
      <vt:variant>
        <vt:i4>1507376</vt:i4>
      </vt:variant>
      <vt:variant>
        <vt:i4>47</vt:i4>
      </vt:variant>
      <vt:variant>
        <vt:i4>0</vt:i4>
      </vt:variant>
      <vt:variant>
        <vt:i4>5</vt:i4>
      </vt:variant>
      <vt:variant>
        <vt:lpwstr/>
      </vt:variant>
      <vt:variant>
        <vt:lpwstr>_Toc267648182</vt:lpwstr>
      </vt:variant>
      <vt:variant>
        <vt:i4>1507376</vt:i4>
      </vt:variant>
      <vt:variant>
        <vt:i4>41</vt:i4>
      </vt:variant>
      <vt:variant>
        <vt:i4>0</vt:i4>
      </vt:variant>
      <vt:variant>
        <vt:i4>5</vt:i4>
      </vt:variant>
      <vt:variant>
        <vt:lpwstr/>
      </vt:variant>
      <vt:variant>
        <vt:lpwstr>_Toc267648181</vt:lpwstr>
      </vt:variant>
      <vt:variant>
        <vt:i4>1507376</vt:i4>
      </vt:variant>
      <vt:variant>
        <vt:i4>35</vt:i4>
      </vt:variant>
      <vt:variant>
        <vt:i4>0</vt:i4>
      </vt:variant>
      <vt:variant>
        <vt:i4>5</vt:i4>
      </vt:variant>
      <vt:variant>
        <vt:lpwstr/>
      </vt:variant>
      <vt:variant>
        <vt:lpwstr>_Toc267648180</vt:lpwstr>
      </vt:variant>
      <vt:variant>
        <vt:i4>1572912</vt:i4>
      </vt:variant>
      <vt:variant>
        <vt:i4>29</vt:i4>
      </vt:variant>
      <vt:variant>
        <vt:i4>0</vt:i4>
      </vt:variant>
      <vt:variant>
        <vt:i4>5</vt:i4>
      </vt:variant>
      <vt:variant>
        <vt:lpwstr/>
      </vt:variant>
      <vt:variant>
        <vt:lpwstr>_Toc267648179</vt:lpwstr>
      </vt:variant>
      <vt:variant>
        <vt:i4>1572912</vt:i4>
      </vt:variant>
      <vt:variant>
        <vt:i4>23</vt:i4>
      </vt:variant>
      <vt:variant>
        <vt:i4>0</vt:i4>
      </vt:variant>
      <vt:variant>
        <vt:i4>5</vt:i4>
      </vt:variant>
      <vt:variant>
        <vt:lpwstr/>
      </vt:variant>
      <vt:variant>
        <vt:lpwstr>_Toc267648178</vt:lpwstr>
      </vt:variant>
      <vt:variant>
        <vt:i4>1572912</vt:i4>
      </vt:variant>
      <vt:variant>
        <vt:i4>17</vt:i4>
      </vt:variant>
      <vt:variant>
        <vt:i4>0</vt:i4>
      </vt:variant>
      <vt:variant>
        <vt:i4>5</vt:i4>
      </vt:variant>
      <vt:variant>
        <vt:lpwstr/>
      </vt:variant>
      <vt:variant>
        <vt:lpwstr>_Toc267648177</vt:lpwstr>
      </vt:variant>
      <vt:variant>
        <vt:i4>1572912</vt:i4>
      </vt:variant>
      <vt:variant>
        <vt:i4>11</vt:i4>
      </vt:variant>
      <vt:variant>
        <vt:i4>0</vt:i4>
      </vt:variant>
      <vt:variant>
        <vt:i4>5</vt:i4>
      </vt:variant>
      <vt:variant>
        <vt:lpwstr/>
      </vt:variant>
      <vt:variant>
        <vt:lpwstr>_Toc267648176</vt:lpwstr>
      </vt:variant>
      <vt:variant>
        <vt:i4>1572912</vt:i4>
      </vt:variant>
      <vt:variant>
        <vt:i4>5</vt:i4>
      </vt:variant>
      <vt:variant>
        <vt:i4>0</vt:i4>
      </vt:variant>
      <vt:variant>
        <vt:i4>5</vt:i4>
      </vt:variant>
      <vt:variant>
        <vt:lpwstr/>
      </vt:variant>
      <vt:variant>
        <vt:lpwstr>_Toc267648175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Market Integrity Rules (Capital) 2018</dc:title>
  <dc:subject>ASIC Market Integrity Rules (Capital) 2018</dc:subject>
  <dc:creator>ASIC</dc:creator>
  <cp:keywords>ASIC Market Integrity Rules (Capital) 2018</cp:keywords>
  <cp:lastModifiedBy>Ananda Stoevelaar</cp:lastModifiedBy>
  <cp:revision>2</cp:revision>
  <cp:lastPrinted>2020-01-24T04:20:00Z</cp:lastPrinted>
  <dcterms:created xsi:type="dcterms:W3CDTF">2021-06-15T23:19:00Z</dcterms:created>
  <dcterms:modified xsi:type="dcterms:W3CDTF">2021-06-15T23:19:00Z</dcterms:modified>
  <cp:category>market integrity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itle">
    <vt:lpwstr>ASIC Market Integrity Rules (Capital) 2021</vt:lpwstr>
  </property>
  <property fmtid="{D5CDD505-2E9C-101B-9397-08002B2CF9AE}" pid="3" name="Document num">
    <vt:lpwstr>000</vt:lpwstr>
  </property>
  <property fmtid="{D5CDD505-2E9C-101B-9397-08002B2CF9AE}" pid="4" name="Issue date">
    <vt:lpwstr>June 2021</vt:lpwstr>
  </property>
  <property fmtid="{D5CDD505-2E9C-101B-9397-08002B2CF9AE}" pid="5" name="ContentTypeId">
    <vt:lpwstr>0x010100B5F685A1365F544391EF8C813B164F3A380029FD7555DA60B44CB608EF311639A67D</vt:lpwstr>
  </property>
  <property fmtid="{D5CDD505-2E9C-101B-9397-08002B2CF9AE}" pid="6" name="ParticipantsDocumentType">
    <vt:lpwstr/>
  </property>
  <property fmtid="{D5CDD505-2E9C-101B-9397-08002B2CF9AE}" pid="7" name="SecurityClassification">
    <vt:lpwstr>560;#OFFICIAL - Sensitive|6eccc17f-024b-41b0-b6b1-faf98d2aff85</vt:lpwstr>
  </property>
  <property fmtid="{D5CDD505-2E9C-101B-9397-08002B2CF9AE}" pid="8" name="MarketParticipantEntity">
    <vt:lpwstr/>
  </property>
  <property fmtid="{D5CDD505-2E9C-101B-9397-08002B2CF9AE}" pid="9" name="RecordPoint_WorkflowType">
    <vt:lpwstr>ActiveSubmitStub</vt:lpwstr>
  </property>
  <property fmtid="{D5CDD505-2E9C-101B-9397-08002B2CF9AE}" pid="10" name="RecordPoint_ActiveItemUniqueId">
    <vt:lpwstr>{e157a561-7551-4523-a3fd-c8f24a156897}</vt:lpwstr>
  </property>
  <property fmtid="{D5CDD505-2E9C-101B-9397-08002B2CF9AE}" pid="11" name="RecordPoint_ActiveItemWebId">
    <vt:lpwstr>{929c1edb-ad8a-4ac8-820d-57754a7bc3bc}</vt:lpwstr>
  </property>
  <property fmtid="{D5CDD505-2E9C-101B-9397-08002B2CF9AE}" pid="12" name="RecordPoint_ActiveItemSiteId">
    <vt:lpwstr>{b14915ba-574d-40c6-987e-0a563fb02faa}</vt:lpwstr>
  </property>
  <property fmtid="{D5CDD505-2E9C-101B-9397-08002B2CF9AE}" pid="13" name="RecordPoint_ActiveItemListId">
    <vt:lpwstr>{dda3a9c9-eef0-4d57-853c-9e2b28d27dc6}</vt:lpwstr>
  </property>
  <property fmtid="{D5CDD505-2E9C-101B-9397-08002B2CF9AE}" pid="14" name="RecordPoint_RecordNumberSubmitted">
    <vt:lpwstr/>
  </property>
  <property fmtid="{D5CDD505-2E9C-101B-9397-08002B2CF9AE}" pid="15" name="RecordPoint_SubmissionCompleted">
    <vt:lpwstr/>
  </property>
  <property fmtid="{D5CDD505-2E9C-101B-9397-08002B2CF9AE}" pid="16" name="RecordPoint_SubmissionDate">
    <vt:lpwstr/>
  </property>
  <property fmtid="{D5CDD505-2E9C-101B-9397-08002B2CF9AE}" pid="17" name="RecordPoint_RecordFormat">
    <vt:lpwstr/>
  </property>
</Properties>
</file>