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141" w:rsidRPr="00017141" w:rsidRDefault="00DA14DF" w:rsidP="00BC6A40">
      <w:pPr>
        <w:spacing w:after="240" w:line="259" w:lineRule="auto"/>
        <w:jc w:val="center"/>
        <w:rPr>
          <w:rFonts w:ascii="Times New Roman" w:eastAsia="Calibri" w:hAnsi="Times New Roman"/>
          <w:b/>
          <w:sz w:val="28"/>
          <w:szCs w:val="28"/>
        </w:rPr>
      </w:pPr>
      <w:r>
        <w:rPr>
          <w:rFonts w:ascii="Times New Roman" w:eastAsia="Calibri" w:hAnsi="Times New Roman"/>
          <w:b/>
          <w:sz w:val="28"/>
          <w:szCs w:val="28"/>
        </w:rPr>
        <w:t xml:space="preserve">REPLACEMENT </w:t>
      </w:r>
      <w:bookmarkStart w:id="0" w:name="_GoBack"/>
      <w:bookmarkEnd w:id="0"/>
      <w:r w:rsidR="00017141" w:rsidRPr="00017141">
        <w:rPr>
          <w:rFonts w:ascii="Times New Roman" w:eastAsia="Calibri" w:hAnsi="Times New Roman"/>
          <w:b/>
          <w:sz w:val="28"/>
          <w:szCs w:val="28"/>
        </w:rPr>
        <w:t>EXPLANATORY STATEMENT</w:t>
      </w:r>
    </w:p>
    <w:p w:rsidR="00DA2AA1" w:rsidRPr="00BF6A36" w:rsidRDefault="00DA2AA1" w:rsidP="00C1088D">
      <w:pPr>
        <w:spacing w:after="240" w:line="259" w:lineRule="auto"/>
        <w:jc w:val="center"/>
        <w:rPr>
          <w:rFonts w:ascii="Times New Roman" w:eastAsia="Calibri" w:hAnsi="Times New Roman"/>
          <w:sz w:val="24"/>
        </w:rPr>
      </w:pPr>
      <w:r w:rsidRPr="00C46410">
        <w:rPr>
          <w:rFonts w:ascii="Times New Roman" w:eastAsia="Calibri" w:hAnsi="Times New Roman"/>
          <w:sz w:val="24"/>
        </w:rPr>
        <w:t>Issued by authority of the AUSTRAC CEO</w:t>
      </w:r>
    </w:p>
    <w:p w:rsidR="00DA2AA1" w:rsidRPr="00C1088D" w:rsidRDefault="00DA2AA1" w:rsidP="00C1088D">
      <w:pPr>
        <w:spacing w:after="240" w:line="259" w:lineRule="auto"/>
        <w:jc w:val="center"/>
        <w:rPr>
          <w:rFonts w:ascii="Times New Roman" w:eastAsia="Calibri" w:hAnsi="Times New Roman"/>
          <w:i/>
          <w:sz w:val="24"/>
        </w:rPr>
      </w:pPr>
      <w:r w:rsidRPr="00C1088D">
        <w:rPr>
          <w:rFonts w:ascii="Times New Roman" w:eastAsia="Calibri" w:hAnsi="Times New Roman"/>
          <w:i/>
          <w:sz w:val="24"/>
        </w:rPr>
        <w:t>Anti-Money Laundering and Counter-Terrorism Financing Act 2006</w:t>
      </w:r>
    </w:p>
    <w:p w:rsidR="00DA2AA1" w:rsidRPr="00C46410" w:rsidRDefault="00DA2AA1">
      <w:pPr>
        <w:spacing w:after="240" w:line="259" w:lineRule="auto"/>
        <w:jc w:val="center"/>
        <w:rPr>
          <w:rFonts w:ascii="Times New Roman" w:eastAsia="Calibri" w:hAnsi="Times New Roman"/>
          <w:i/>
          <w:sz w:val="24"/>
        </w:rPr>
      </w:pPr>
      <w:r w:rsidRPr="00C46410">
        <w:rPr>
          <w:rFonts w:ascii="Times New Roman" w:eastAsia="Calibri" w:hAnsi="Times New Roman"/>
          <w:i/>
          <w:sz w:val="24"/>
        </w:rPr>
        <w:t>Anti-Money Laundering and Counter-Terrorism Financing Rules Amendment Instrument 2021 (No. 1)</w:t>
      </w:r>
    </w:p>
    <w:p w:rsidR="00017141" w:rsidRPr="00C46410" w:rsidRDefault="004F00BC" w:rsidP="00C1088D">
      <w:pPr>
        <w:spacing w:after="160" w:line="259" w:lineRule="auto"/>
        <w:rPr>
          <w:rFonts w:ascii="Times New Roman" w:eastAsia="Calibri" w:hAnsi="Times New Roman"/>
          <w:sz w:val="24"/>
        </w:rPr>
      </w:pPr>
      <w:r w:rsidRPr="00C46410">
        <w:rPr>
          <w:rFonts w:ascii="Times New Roman" w:eastAsia="Calibri" w:hAnsi="Times New Roman"/>
          <w:b/>
          <w:bCs/>
          <w:sz w:val="24"/>
        </w:rPr>
        <w:t>AUTHORITY</w:t>
      </w:r>
    </w:p>
    <w:p w:rsidR="00017141" w:rsidRPr="006D7DED" w:rsidRDefault="00017141" w:rsidP="00C1088D">
      <w:pPr>
        <w:spacing w:after="160" w:line="259" w:lineRule="auto"/>
        <w:rPr>
          <w:rFonts w:ascii="Times New Roman" w:eastAsia="Calibri" w:hAnsi="Times New Roman"/>
          <w:iCs/>
          <w:sz w:val="24"/>
        </w:rPr>
      </w:pPr>
      <w:r w:rsidRPr="006D7DED">
        <w:rPr>
          <w:rFonts w:ascii="Times New Roman" w:eastAsia="Calibri" w:hAnsi="Times New Roman"/>
          <w:sz w:val="24"/>
        </w:rPr>
        <w:t>Section 229 of the </w:t>
      </w:r>
      <w:r w:rsidRPr="006D7DED">
        <w:rPr>
          <w:rFonts w:ascii="Times New Roman" w:eastAsia="Calibri" w:hAnsi="Times New Roman"/>
          <w:i/>
          <w:iCs/>
          <w:sz w:val="24"/>
        </w:rPr>
        <w:t xml:space="preserve">Anti-Money Laundering and Counter-Terrorism Financing Act 2006 </w:t>
      </w:r>
      <w:r w:rsidRPr="006D7DED">
        <w:rPr>
          <w:rFonts w:ascii="Times New Roman" w:eastAsia="Calibri" w:hAnsi="Times New Roman"/>
          <w:sz w:val="24"/>
        </w:rPr>
        <w:t>(</w:t>
      </w:r>
      <w:r w:rsidRPr="006D7DED">
        <w:rPr>
          <w:rFonts w:ascii="Times New Roman" w:eastAsia="Calibri" w:hAnsi="Times New Roman"/>
          <w:b/>
          <w:sz w:val="24"/>
        </w:rPr>
        <w:t>AML/CTF Act</w:t>
      </w:r>
      <w:proofErr w:type="gramStart"/>
      <w:r w:rsidRPr="006D7DED">
        <w:rPr>
          <w:rFonts w:ascii="Times New Roman" w:eastAsia="Calibri" w:hAnsi="Times New Roman"/>
          <w:sz w:val="24"/>
        </w:rPr>
        <w:t>),</w:t>
      </w:r>
      <w:proofErr w:type="gramEnd"/>
      <w:r w:rsidRPr="006D7DED">
        <w:rPr>
          <w:rFonts w:ascii="Times New Roman" w:eastAsia="Calibri" w:hAnsi="Times New Roman"/>
          <w:sz w:val="24"/>
        </w:rPr>
        <w:t xml:space="preserve"> provides that the AUSTRAC CEO may, by legislative instrument, make </w:t>
      </w:r>
      <w:r w:rsidR="00DA2AA1" w:rsidRPr="006D7DED">
        <w:rPr>
          <w:rFonts w:ascii="Times New Roman" w:eastAsia="Calibri" w:hAnsi="Times New Roman"/>
          <w:sz w:val="24"/>
        </w:rPr>
        <w:t xml:space="preserve">Anti-Money Laundering and Counter-Terrorism Financing </w:t>
      </w:r>
      <w:r w:rsidR="00733D11" w:rsidRPr="006D7DED">
        <w:rPr>
          <w:rFonts w:ascii="Times New Roman" w:eastAsia="Calibri" w:hAnsi="Times New Roman"/>
          <w:sz w:val="24"/>
        </w:rPr>
        <w:t>R</w:t>
      </w:r>
      <w:r w:rsidRPr="006D7DED">
        <w:rPr>
          <w:rFonts w:ascii="Times New Roman" w:eastAsia="Calibri" w:hAnsi="Times New Roman"/>
          <w:sz w:val="24"/>
        </w:rPr>
        <w:t>ules</w:t>
      </w:r>
      <w:r w:rsidR="00DA2AA1" w:rsidRPr="006D7DED">
        <w:rPr>
          <w:rFonts w:ascii="Times New Roman" w:eastAsia="Calibri" w:hAnsi="Times New Roman"/>
          <w:sz w:val="24"/>
        </w:rPr>
        <w:t xml:space="preserve"> (</w:t>
      </w:r>
      <w:r w:rsidR="00DA2AA1" w:rsidRPr="006D7DED">
        <w:rPr>
          <w:rFonts w:ascii="Times New Roman" w:eastAsia="Calibri" w:hAnsi="Times New Roman"/>
          <w:b/>
          <w:sz w:val="24"/>
        </w:rPr>
        <w:t>AML/CTF Rules</w:t>
      </w:r>
      <w:r w:rsidR="00DA2AA1" w:rsidRPr="006D7DED">
        <w:rPr>
          <w:rFonts w:ascii="Times New Roman" w:eastAsia="Calibri" w:hAnsi="Times New Roman"/>
          <w:sz w:val="24"/>
        </w:rPr>
        <w:t>)</w:t>
      </w:r>
      <w:r w:rsidRPr="006D7DED">
        <w:rPr>
          <w:rFonts w:ascii="Times New Roman" w:eastAsia="Calibri" w:hAnsi="Times New Roman"/>
          <w:sz w:val="24"/>
        </w:rPr>
        <w:t>.</w:t>
      </w:r>
      <w:r w:rsidR="00DA2AA1" w:rsidRPr="006D7DED">
        <w:rPr>
          <w:rFonts w:ascii="Times New Roman" w:eastAsia="Calibri" w:hAnsi="Times New Roman"/>
          <w:sz w:val="24"/>
        </w:rPr>
        <w:t xml:space="preserve"> The AML/CTF Rules </w:t>
      </w:r>
      <w:proofErr w:type="gramStart"/>
      <w:r w:rsidR="00DA2AA1" w:rsidRPr="006D7DED">
        <w:rPr>
          <w:rFonts w:ascii="Times New Roman" w:eastAsia="Calibri" w:hAnsi="Times New Roman"/>
          <w:sz w:val="24"/>
        </w:rPr>
        <w:t>are set out</w:t>
      </w:r>
      <w:proofErr w:type="gramEnd"/>
      <w:r w:rsidR="00DA2AA1" w:rsidRPr="006D7DED">
        <w:rPr>
          <w:rFonts w:ascii="Times New Roman" w:eastAsia="Calibri" w:hAnsi="Times New Roman"/>
          <w:sz w:val="24"/>
        </w:rPr>
        <w:t xml:space="preserve"> in the </w:t>
      </w:r>
      <w:r w:rsidR="00DA2AA1" w:rsidRPr="006D7DED">
        <w:rPr>
          <w:rFonts w:ascii="Times New Roman" w:eastAsia="Calibri" w:hAnsi="Times New Roman"/>
          <w:i/>
          <w:sz w:val="24"/>
        </w:rPr>
        <w:t>Anti-Money Laundering and Counter-Terrorism Financing Rules Instrument 2007 (No. 1)</w:t>
      </w:r>
      <w:r w:rsidR="00DA2AA1" w:rsidRPr="006D7DED">
        <w:rPr>
          <w:rFonts w:ascii="Times New Roman" w:eastAsia="Calibri" w:hAnsi="Times New Roman"/>
          <w:sz w:val="24"/>
        </w:rPr>
        <w:t>.</w:t>
      </w:r>
    </w:p>
    <w:p w:rsidR="004F00BC" w:rsidRPr="00BF6A36" w:rsidRDefault="009B309E" w:rsidP="001D5F12">
      <w:pPr>
        <w:spacing w:after="160" w:line="259" w:lineRule="auto"/>
        <w:rPr>
          <w:rFonts w:ascii="Times New Roman" w:eastAsia="Calibri" w:hAnsi="Times New Roman"/>
          <w:b/>
          <w:caps/>
          <w:sz w:val="24"/>
        </w:rPr>
      </w:pPr>
      <w:r w:rsidRPr="00C46410">
        <w:rPr>
          <w:rFonts w:ascii="Times New Roman" w:eastAsia="Calibri" w:hAnsi="Times New Roman"/>
          <w:b/>
          <w:caps/>
          <w:sz w:val="24"/>
        </w:rPr>
        <w:t>Purpose and operation of the instrument</w:t>
      </w:r>
    </w:p>
    <w:p w:rsidR="00017141" w:rsidRPr="00BC6A40" w:rsidRDefault="00DA2AA1" w:rsidP="00C1088D">
      <w:pPr>
        <w:spacing w:after="160" w:line="259" w:lineRule="auto"/>
        <w:rPr>
          <w:rFonts w:ascii="Times New Roman" w:eastAsia="Calibri" w:hAnsi="Times New Roman"/>
          <w:sz w:val="24"/>
        </w:rPr>
      </w:pPr>
      <w:r w:rsidRPr="00BC6A40">
        <w:rPr>
          <w:rFonts w:ascii="Times New Roman" w:eastAsia="Calibri" w:hAnsi="Times New Roman"/>
          <w:sz w:val="24"/>
        </w:rPr>
        <w:t xml:space="preserve">The </w:t>
      </w:r>
      <w:r w:rsidRPr="00BC6A40">
        <w:rPr>
          <w:rFonts w:ascii="Times New Roman" w:eastAsia="Calibri" w:hAnsi="Times New Roman"/>
          <w:i/>
          <w:sz w:val="24"/>
        </w:rPr>
        <w:t xml:space="preserve">Anti-Money Laundering and Counter-Terrorism Financing Rules Amendment Instrument 2021 (No. 1) </w:t>
      </w:r>
      <w:r w:rsidRPr="00BC6A40">
        <w:rPr>
          <w:rFonts w:ascii="Times New Roman" w:eastAsia="Calibri" w:hAnsi="Times New Roman"/>
          <w:sz w:val="24"/>
        </w:rPr>
        <w:t xml:space="preserve">(the </w:t>
      </w:r>
      <w:r w:rsidRPr="00BC6A40">
        <w:rPr>
          <w:rFonts w:ascii="Times New Roman" w:eastAsia="Calibri" w:hAnsi="Times New Roman"/>
          <w:b/>
          <w:sz w:val="24"/>
        </w:rPr>
        <w:t>Amendment Instrument</w:t>
      </w:r>
      <w:r w:rsidRPr="00BC6A40">
        <w:rPr>
          <w:rFonts w:ascii="Times New Roman" w:eastAsia="Calibri" w:hAnsi="Times New Roman"/>
          <w:sz w:val="24"/>
        </w:rPr>
        <w:t>)</w:t>
      </w:r>
      <w:r w:rsidRPr="00BC6A40">
        <w:rPr>
          <w:rFonts w:ascii="Times New Roman" w:eastAsia="Calibri" w:hAnsi="Times New Roman"/>
          <w:i/>
          <w:sz w:val="24"/>
        </w:rPr>
        <w:t xml:space="preserve"> </w:t>
      </w:r>
      <w:r w:rsidRPr="00BC6A40">
        <w:rPr>
          <w:rFonts w:ascii="Times New Roman" w:eastAsia="Calibri" w:hAnsi="Times New Roman"/>
          <w:sz w:val="24"/>
        </w:rPr>
        <w:t xml:space="preserve">is </w:t>
      </w:r>
      <w:r w:rsidR="00017141" w:rsidRPr="00BC6A40">
        <w:rPr>
          <w:rFonts w:ascii="Times New Roman" w:eastAsia="Calibri" w:hAnsi="Times New Roman"/>
          <w:sz w:val="24"/>
        </w:rPr>
        <w:t xml:space="preserve">a legislative instrument for the purposes of the </w:t>
      </w:r>
      <w:r w:rsidR="00017141" w:rsidRPr="00BC6A40">
        <w:rPr>
          <w:rFonts w:ascii="Times New Roman" w:eastAsia="Calibri" w:hAnsi="Times New Roman"/>
          <w:i/>
          <w:sz w:val="24"/>
        </w:rPr>
        <w:t>Legislation Act 2003</w:t>
      </w:r>
      <w:r w:rsidR="00017141" w:rsidRPr="00BC6A40">
        <w:rPr>
          <w:rFonts w:ascii="Times New Roman" w:eastAsia="Calibri" w:hAnsi="Times New Roman"/>
          <w:sz w:val="24"/>
        </w:rPr>
        <w:t xml:space="preserve">. </w:t>
      </w:r>
    </w:p>
    <w:p w:rsidR="004F00BC" w:rsidRPr="00BC6A40" w:rsidRDefault="004F00BC">
      <w:pPr>
        <w:spacing w:after="160" w:line="259" w:lineRule="auto"/>
        <w:rPr>
          <w:rFonts w:ascii="Times New Roman" w:eastAsia="Calibri" w:hAnsi="Times New Roman"/>
          <w:sz w:val="24"/>
        </w:rPr>
      </w:pPr>
      <w:r w:rsidRPr="00BC6A40">
        <w:rPr>
          <w:rFonts w:ascii="Times New Roman" w:eastAsia="Calibri" w:hAnsi="Times New Roman"/>
          <w:sz w:val="24"/>
        </w:rPr>
        <w:t xml:space="preserve">Details of the </w:t>
      </w:r>
      <w:r w:rsidR="00DA2AA1" w:rsidRPr="00BC6A40">
        <w:rPr>
          <w:rFonts w:ascii="Times New Roman" w:eastAsia="Calibri" w:hAnsi="Times New Roman"/>
          <w:sz w:val="24"/>
        </w:rPr>
        <w:t xml:space="preserve">Amendment Instrument </w:t>
      </w:r>
      <w:r w:rsidRPr="00BC6A40">
        <w:rPr>
          <w:rFonts w:ascii="Times New Roman" w:eastAsia="Calibri" w:hAnsi="Times New Roman"/>
          <w:sz w:val="24"/>
        </w:rPr>
        <w:t xml:space="preserve">are set out in </w:t>
      </w:r>
      <w:r w:rsidRPr="00BC6A40">
        <w:rPr>
          <w:rFonts w:ascii="Times New Roman" w:eastAsia="Calibri" w:hAnsi="Times New Roman"/>
          <w:sz w:val="24"/>
          <w:u w:val="single"/>
        </w:rPr>
        <w:t>Attachment A.</w:t>
      </w:r>
    </w:p>
    <w:p w:rsidR="004F00BC" w:rsidRPr="003B5048" w:rsidRDefault="004F00BC">
      <w:pPr>
        <w:spacing w:after="160" w:line="259" w:lineRule="auto"/>
        <w:rPr>
          <w:rFonts w:ascii="Times New Roman" w:eastAsia="Calibri" w:hAnsi="Times New Roman"/>
          <w:sz w:val="24"/>
        </w:rPr>
      </w:pPr>
      <w:r w:rsidRPr="00BC6A40">
        <w:rPr>
          <w:rFonts w:ascii="Times New Roman" w:eastAsia="Calibri" w:hAnsi="Times New Roman"/>
          <w:sz w:val="24"/>
        </w:rPr>
        <w:t xml:space="preserve">A Statement of Compatibility with Human Rights (the </w:t>
      </w:r>
      <w:r w:rsidRPr="00BC6A40">
        <w:rPr>
          <w:rFonts w:ascii="Times New Roman" w:eastAsia="Calibri" w:hAnsi="Times New Roman"/>
          <w:b/>
          <w:sz w:val="24"/>
        </w:rPr>
        <w:t>Statement</w:t>
      </w:r>
      <w:r w:rsidRPr="00BC6A40">
        <w:rPr>
          <w:rFonts w:ascii="Times New Roman" w:eastAsia="Calibri" w:hAnsi="Times New Roman"/>
          <w:sz w:val="24"/>
        </w:rPr>
        <w:t xml:space="preserve">) </w:t>
      </w:r>
      <w:r w:rsidR="00DA2AA1" w:rsidRPr="00BC6A40">
        <w:rPr>
          <w:rFonts w:ascii="Times New Roman" w:eastAsia="Calibri" w:hAnsi="Times New Roman"/>
          <w:sz w:val="24"/>
        </w:rPr>
        <w:t xml:space="preserve">is at </w:t>
      </w:r>
      <w:r w:rsidR="00DA2AA1" w:rsidRPr="00BC6A40">
        <w:rPr>
          <w:rFonts w:ascii="Times New Roman" w:eastAsia="Calibri" w:hAnsi="Times New Roman"/>
          <w:sz w:val="24"/>
          <w:u w:val="single"/>
        </w:rPr>
        <w:t xml:space="preserve">Attachment </w:t>
      </w:r>
      <w:r w:rsidR="00DA2AA1" w:rsidRPr="001D5F12">
        <w:rPr>
          <w:rFonts w:ascii="Times New Roman" w:eastAsia="Calibri" w:hAnsi="Times New Roman"/>
          <w:sz w:val="24"/>
        </w:rPr>
        <w:t>B</w:t>
      </w:r>
      <w:r w:rsidR="00DA2AA1" w:rsidRPr="003B5048">
        <w:rPr>
          <w:rFonts w:ascii="Times New Roman" w:eastAsia="Calibri" w:hAnsi="Times New Roman"/>
          <w:sz w:val="24"/>
        </w:rPr>
        <w:t xml:space="preserve">. The Statement </w:t>
      </w:r>
      <w:proofErr w:type="gramStart"/>
      <w:r w:rsidRPr="003B5048">
        <w:rPr>
          <w:rFonts w:ascii="Times New Roman" w:eastAsia="Calibri" w:hAnsi="Times New Roman"/>
          <w:sz w:val="24"/>
        </w:rPr>
        <w:t>has been completed</w:t>
      </w:r>
      <w:proofErr w:type="gramEnd"/>
      <w:r w:rsidRPr="003B5048">
        <w:rPr>
          <w:rFonts w:ascii="Times New Roman" w:eastAsia="Calibri" w:hAnsi="Times New Roman"/>
          <w:sz w:val="24"/>
        </w:rPr>
        <w:t xml:space="preserve"> in accordance with the </w:t>
      </w:r>
      <w:r w:rsidRPr="003B5048">
        <w:rPr>
          <w:rFonts w:ascii="Times New Roman" w:eastAsia="Calibri" w:hAnsi="Times New Roman"/>
          <w:i/>
          <w:iCs/>
          <w:sz w:val="24"/>
        </w:rPr>
        <w:t>Human Rights (Parliamentary Scrutiny) Act 2011. </w:t>
      </w:r>
      <w:r w:rsidRPr="003B5048">
        <w:rPr>
          <w:rFonts w:ascii="Times New Roman" w:eastAsia="Calibri" w:hAnsi="Times New Roman"/>
          <w:sz w:val="24"/>
        </w:rPr>
        <w:t xml:space="preserve">The overall assessment is that the </w:t>
      </w:r>
      <w:r w:rsidR="00DA2AA1" w:rsidRPr="003B5048">
        <w:rPr>
          <w:rFonts w:ascii="Times New Roman" w:eastAsia="Calibri" w:hAnsi="Times New Roman"/>
          <w:sz w:val="24"/>
        </w:rPr>
        <w:t xml:space="preserve">Amendment Instrument </w:t>
      </w:r>
      <w:r w:rsidR="001C55AA" w:rsidRPr="003B5048">
        <w:rPr>
          <w:rFonts w:ascii="Times New Roman" w:eastAsia="Calibri" w:hAnsi="Times New Roman"/>
          <w:sz w:val="24"/>
        </w:rPr>
        <w:t>promote</w:t>
      </w:r>
      <w:r w:rsidR="00DA2AA1" w:rsidRPr="003B5048">
        <w:rPr>
          <w:rFonts w:ascii="Times New Roman" w:eastAsia="Calibri" w:hAnsi="Times New Roman"/>
          <w:sz w:val="24"/>
        </w:rPr>
        <w:t>s</w:t>
      </w:r>
      <w:r w:rsidR="001C55AA" w:rsidRPr="003B5048">
        <w:rPr>
          <w:rFonts w:ascii="Times New Roman" w:eastAsia="Calibri" w:hAnsi="Times New Roman"/>
          <w:sz w:val="24"/>
        </w:rPr>
        <w:t xml:space="preserve"> the realisation of human rights, and as such, </w:t>
      </w:r>
      <w:r w:rsidR="00DA2AA1" w:rsidRPr="003B5048">
        <w:rPr>
          <w:rFonts w:ascii="Times New Roman" w:eastAsia="Calibri" w:hAnsi="Times New Roman"/>
          <w:sz w:val="24"/>
        </w:rPr>
        <w:t xml:space="preserve">is </w:t>
      </w:r>
      <w:r w:rsidR="001C55AA" w:rsidRPr="003B5048">
        <w:rPr>
          <w:rFonts w:ascii="Times New Roman" w:eastAsia="Calibri" w:hAnsi="Times New Roman"/>
          <w:sz w:val="24"/>
        </w:rPr>
        <w:t xml:space="preserve">compatible with </w:t>
      </w:r>
      <w:proofErr w:type="gramStart"/>
      <w:r w:rsidR="001C55AA" w:rsidRPr="003B5048">
        <w:rPr>
          <w:rFonts w:ascii="Times New Roman" w:eastAsia="Calibri" w:hAnsi="Times New Roman"/>
          <w:sz w:val="24"/>
        </w:rPr>
        <w:t>them</w:t>
      </w:r>
      <w:proofErr w:type="gramEnd"/>
      <w:r w:rsidR="001C55AA" w:rsidRPr="003B5048">
        <w:rPr>
          <w:rFonts w:ascii="Times New Roman" w:eastAsia="Calibri" w:hAnsi="Times New Roman"/>
          <w:sz w:val="24"/>
        </w:rPr>
        <w:t>.</w:t>
      </w:r>
      <w:r w:rsidRPr="003B5048">
        <w:rPr>
          <w:rFonts w:ascii="Times New Roman" w:eastAsia="Calibri" w:hAnsi="Times New Roman"/>
          <w:sz w:val="24"/>
        </w:rPr>
        <w:t xml:space="preserve"> </w:t>
      </w:r>
    </w:p>
    <w:p w:rsidR="004F00BC" w:rsidRPr="003B5048" w:rsidRDefault="004F00BC">
      <w:pPr>
        <w:spacing w:after="160" w:line="259" w:lineRule="auto"/>
        <w:rPr>
          <w:rFonts w:ascii="Times New Roman" w:eastAsia="Calibri" w:hAnsi="Times New Roman"/>
          <w:b/>
          <w:sz w:val="24"/>
        </w:rPr>
      </w:pPr>
      <w:r w:rsidRPr="003B5048">
        <w:rPr>
          <w:rFonts w:ascii="Times New Roman" w:eastAsia="Calibri" w:hAnsi="Times New Roman"/>
          <w:b/>
          <w:sz w:val="24"/>
        </w:rPr>
        <w:t>Background</w:t>
      </w:r>
    </w:p>
    <w:p w:rsidR="00FB5536" w:rsidRPr="00410457" w:rsidRDefault="00FB5536" w:rsidP="00410457">
      <w:pPr>
        <w:pStyle w:val="ListParagraph"/>
        <w:numPr>
          <w:ilvl w:val="0"/>
          <w:numId w:val="1"/>
        </w:numPr>
        <w:spacing w:before="120" w:after="120" w:line="259" w:lineRule="auto"/>
        <w:rPr>
          <w:rFonts w:ascii="Times New Roman" w:eastAsia="Calibri" w:hAnsi="Times New Roman"/>
          <w:sz w:val="24"/>
        </w:rPr>
      </w:pPr>
      <w:r w:rsidRPr="003B5048">
        <w:rPr>
          <w:rFonts w:ascii="Times New Roman" w:eastAsia="Calibri" w:hAnsi="Times New Roman"/>
          <w:sz w:val="24"/>
        </w:rPr>
        <w:t xml:space="preserve">The </w:t>
      </w:r>
      <w:r w:rsidRPr="00410457">
        <w:rPr>
          <w:rFonts w:ascii="Times New Roman" w:eastAsia="Calibri" w:hAnsi="Times New Roman"/>
          <w:i/>
          <w:sz w:val="24"/>
        </w:rPr>
        <w:t>Anti-Money Laundering and Counter-Terrorism Financing and Other Legislation Amendment Act 2020</w:t>
      </w:r>
      <w:r w:rsidRPr="00410457">
        <w:rPr>
          <w:rFonts w:ascii="Times New Roman" w:eastAsia="Calibri" w:hAnsi="Times New Roman"/>
          <w:sz w:val="24"/>
        </w:rPr>
        <w:t xml:space="preserve"> (the Amendment Act</w:t>
      </w:r>
      <w:r w:rsidR="00C67BBA" w:rsidRPr="00BC6A40">
        <w:rPr>
          <w:rFonts w:ascii="Times New Roman" w:eastAsia="Calibri" w:hAnsi="Times New Roman"/>
          <w:sz w:val="24"/>
        </w:rPr>
        <w:t>)</w:t>
      </w:r>
      <w:r w:rsidRPr="00410457">
        <w:rPr>
          <w:rFonts w:ascii="Times New Roman" w:eastAsia="Calibri" w:hAnsi="Times New Roman"/>
          <w:sz w:val="24"/>
        </w:rPr>
        <w:t xml:space="preserve"> </w:t>
      </w:r>
      <w:r w:rsidR="00612BA5" w:rsidRPr="00410457">
        <w:rPr>
          <w:rFonts w:ascii="Times New Roman" w:eastAsia="Calibri" w:hAnsi="Times New Roman"/>
          <w:sz w:val="24"/>
        </w:rPr>
        <w:t xml:space="preserve">amends </w:t>
      </w:r>
      <w:r w:rsidRPr="00410457">
        <w:rPr>
          <w:rFonts w:ascii="Times New Roman" w:eastAsia="Calibri" w:hAnsi="Times New Roman"/>
          <w:sz w:val="24"/>
        </w:rPr>
        <w:t xml:space="preserve">the AML/CTF Act </w:t>
      </w:r>
      <w:r w:rsidR="00DA2AA1" w:rsidRPr="00410457">
        <w:rPr>
          <w:rFonts w:ascii="Times New Roman" w:eastAsia="Calibri" w:hAnsi="Times New Roman"/>
          <w:sz w:val="24"/>
        </w:rPr>
        <w:t xml:space="preserve">to implement </w:t>
      </w:r>
      <w:r w:rsidRPr="00410457">
        <w:rPr>
          <w:rFonts w:ascii="Times New Roman" w:eastAsia="Calibri" w:hAnsi="Times New Roman"/>
          <w:sz w:val="24"/>
        </w:rPr>
        <w:t xml:space="preserve">the next phase of reforms arising from the recommendations of the Report on the Statutory Review of the Anti-Money Laundering and Counter-Terrorism Financing Act 2006 and Associated Rules and Regulations. </w:t>
      </w:r>
    </w:p>
    <w:p w:rsidR="00FB5536" w:rsidRPr="00F44C21" w:rsidRDefault="00D16B20" w:rsidP="00BC6A40">
      <w:pPr>
        <w:pStyle w:val="ListParagraph"/>
        <w:numPr>
          <w:ilvl w:val="0"/>
          <w:numId w:val="1"/>
        </w:numPr>
        <w:spacing w:before="120" w:after="120" w:line="259" w:lineRule="auto"/>
        <w:rPr>
          <w:rFonts w:ascii="Times New Roman" w:eastAsia="Calibri" w:hAnsi="Times New Roman"/>
          <w:sz w:val="24"/>
        </w:rPr>
      </w:pPr>
      <w:r w:rsidRPr="00410457">
        <w:rPr>
          <w:rFonts w:ascii="Times New Roman" w:eastAsia="Calibri" w:hAnsi="Times New Roman"/>
          <w:sz w:val="24"/>
        </w:rPr>
        <w:t xml:space="preserve">The Amendment </w:t>
      </w:r>
      <w:r w:rsidR="00F65A0D" w:rsidRPr="00410457">
        <w:rPr>
          <w:rFonts w:ascii="Times New Roman" w:eastAsia="Calibri" w:hAnsi="Times New Roman"/>
          <w:sz w:val="24"/>
        </w:rPr>
        <w:t>Instrument</w:t>
      </w:r>
      <w:r w:rsidR="00FB5536" w:rsidRPr="00410457">
        <w:rPr>
          <w:rFonts w:ascii="Times New Roman" w:eastAsia="Calibri" w:hAnsi="Times New Roman"/>
          <w:sz w:val="24"/>
        </w:rPr>
        <w:t xml:space="preserve"> implement</w:t>
      </w:r>
      <w:r w:rsidR="00F65A0D" w:rsidRPr="00410457">
        <w:rPr>
          <w:rFonts w:ascii="Times New Roman" w:eastAsia="Calibri" w:hAnsi="Times New Roman"/>
          <w:sz w:val="24"/>
        </w:rPr>
        <w:t>s</w:t>
      </w:r>
      <w:r w:rsidR="00FB5536" w:rsidRPr="00410457">
        <w:rPr>
          <w:rFonts w:ascii="Times New Roman" w:eastAsia="Calibri" w:hAnsi="Times New Roman"/>
          <w:sz w:val="24"/>
        </w:rPr>
        <w:t xml:space="preserve"> </w:t>
      </w:r>
      <w:r w:rsidR="002041BC" w:rsidRPr="00410457">
        <w:rPr>
          <w:rFonts w:ascii="Times New Roman" w:eastAsia="Calibri" w:hAnsi="Times New Roman"/>
          <w:sz w:val="24"/>
        </w:rPr>
        <w:t xml:space="preserve">some of </w:t>
      </w:r>
      <w:r w:rsidR="00FB5536" w:rsidRPr="00410457">
        <w:rPr>
          <w:rFonts w:ascii="Times New Roman" w:eastAsia="Calibri" w:hAnsi="Times New Roman"/>
          <w:sz w:val="24"/>
        </w:rPr>
        <w:t>the</w:t>
      </w:r>
      <w:r w:rsidR="00D330B3" w:rsidRPr="00410457">
        <w:rPr>
          <w:rFonts w:ascii="Times New Roman" w:eastAsia="Calibri" w:hAnsi="Times New Roman"/>
          <w:sz w:val="24"/>
        </w:rPr>
        <w:t xml:space="preserve"> changes made by the</w:t>
      </w:r>
      <w:r w:rsidR="00FB5536" w:rsidRPr="00410457">
        <w:rPr>
          <w:rFonts w:ascii="Times New Roman" w:eastAsia="Calibri" w:hAnsi="Times New Roman"/>
          <w:sz w:val="24"/>
        </w:rPr>
        <w:t xml:space="preserve"> Amendment Act by amending chapters 3, 6, 7 and 10 of the </w:t>
      </w:r>
      <w:r w:rsidR="00F65A0D" w:rsidRPr="00410457">
        <w:rPr>
          <w:rFonts w:ascii="Times New Roman" w:eastAsia="Calibri" w:hAnsi="Times New Roman"/>
          <w:sz w:val="24"/>
        </w:rPr>
        <w:t>AML/CTF Rules</w:t>
      </w:r>
      <w:r w:rsidR="00FB5536" w:rsidRPr="00F44C21">
        <w:rPr>
          <w:rFonts w:ascii="Times New Roman" w:eastAsia="Calibri" w:hAnsi="Times New Roman"/>
          <w:sz w:val="24"/>
        </w:rPr>
        <w:t>.</w:t>
      </w:r>
    </w:p>
    <w:p w:rsidR="004F00BC" w:rsidRPr="00F44C21" w:rsidRDefault="00CB3DC6">
      <w:pPr>
        <w:spacing w:after="160" w:line="259" w:lineRule="auto"/>
        <w:rPr>
          <w:rFonts w:ascii="Times New Roman" w:eastAsia="Calibri" w:hAnsi="Times New Roman"/>
          <w:b/>
          <w:i/>
          <w:sz w:val="24"/>
        </w:rPr>
      </w:pPr>
      <w:r w:rsidRPr="00F44C21">
        <w:rPr>
          <w:rFonts w:ascii="Times New Roman" w:eastAsia="Calibri" w:hAnsi="Times New Roman"/>
          <w:b/>
          <w:i/>
          <w:sz w:val="24"/>
        </w:rPr>
        <w:t>Amendment</w:t>
      </w:r>
      <w:r w:rsidR="00684C5B" w:rsidRPr="00F44C21">
        <w:rPr>
          <w:rFonts w:ascii="Times New Roman" w:eastAsia="Calibri" w:hAnsi="Times New Roman"/>
          <w:b/>
          <w:i/>
          <w:sz w:val="24"/>
        </w:rPr>
        <w:t>s</w:t>
      </w:r>
      <w:r w:rsidRPr="00F44C21">
        <w:rPr>
          <w:rFonts w:ascii="Times New Roman" w:eastAsia="Calibri" w:hAnsi="Times New Roman"/>
          <w:b/>
          <w:i/>
          <w:sz w:val="24"/>
        </w:rPr>
        <w:t xml:space="preserve"> to</w:t>
      </w:r>
      <w:r w:rsidR="009D1CD1" w:rsidRPr="00F44C21">
        <w:rPr>
          <w:rFonts w:ascii="Times New Roman" w:eastAsia="Calibri" w:hAnsi="Times New Roman"/>
          <w:b/>
          <w:i/>
          <w:sz w:val="24"/>
        </w:rPr>
        <w:t xml:space="preserve"> </w:t>
      </w:r>
      <w:r w:rsidR="00F65A0D" w:rsidRPr="00F44C21">
        <w:rPr>
          <w:rFonts w:ascii="Times New Roman" w:eastAsia="Calibri" w:hAnsi="Times New Roman"/>
          <w:b/>
          <w:i/>
          <w:sz w:val="24"/>
        </w:rPr>
        <w:t>Chapter 3</w:t>
      </w:r>
    </w:p>
    <w:p w:rsidR="006D4D8A" w:rsidRPr="00F44C21" w:rsidRDefault="006D4D8A"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The </w:t>
      </w:r>
      <w:r w:rsidR="00D330B3" w:rsidRPr="00F44C21">
        <w:rPr>
          <w:rFonts w:ascii="Times New Roman" w:eastAsia="Calibri" w:hAnsi="Times New Roman"/>
          <w:sz w:val="24"/>
        </w:rPr>
        <w:t>Amendment</w:t>
      </w:r>
      <w:r w:rsidRPr="00F44C21">
        <w:rPr>
          <w:rFonts w:ascii="Times New Roman" w:eastAsia="Calibri" w:hAnsi="Times New Roman"/>
          <w:sz w:val="24"/>
        </w:rPr>
        <w:t xml:space="preserve"> Act strengthened protections on correspondent banking by prohibiting financial institutions from entering into a correspondent banking relationship with another financial institution that permits its accounts to be used by a shell bank. The amendments require financial institutions to conduct due diligence assessments before entering into, and for the duration of, any correspondent banking relationship</w:t>
      </w:r>
      <w:r w:rsidR="005A489D" w:rsidRPr="00F44C21">
        <w:rPr>
          <w:rFonts w:ascii="Times New Roman" w:eastAsia="Calibri" w:hAnsi="Times New Roman"/>
          <w:sz w:val="24"/>
        </w:rPr>
        <w:t xml:space="preserve"> that will involve a </w:t>
      </w:r>
      <w:proofErr w:type="spellStart"/>
      <w:r w:rsidR="005A489D" w:rsidRPr="00F44C21">
        <w:rPr>
          <w:rFonts w:ascii="Times New Roman" w:eastAsia="Calibri" w:hAnsi="Times New Roman"/>
          <w:sz w:val="24"/>
        </w:rPr>
        <w:t>vostro</w:t>
      </w:r>
      <w:proofErr w:type="spellEnd"/>
      <w:r w:rsidR="005A489D" w:rsidRPr="00F44C21">
        <w:rPr>
          <w:rFonts w:ascii="Times New Roman" w:eastAsia="Calibri" w:hAnsi="Times New Roman"/>
          <w:sz w:val="24"/>
        </w:rPr>
        <w:t xml:space="preserve"> account</w:t>
      </w:r>
      <w:r w:rsidRPr="00F44C21">
        <w:rPr>
          <w:rFonts w:ascii="Times New Roman" w:eastAsia="Calibri" w:hAnsi="Times New Roman"/>
          <w:sz w:val="24"/>
        </w:rPr>
        <w:t xml:space="preserve">. These changes are consistent with international banking practice and global standards. </w:t>
      </w:r>
    </w:p>
    <w:p w:rsidR="00612BA5" w:rsidRPr="00F44C21" w:rsidRDefault="006D4D8A"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lastRenderedPageBreak/>
        <w:t>Chapter 3 of the AML/CTF Rules</w:t>
      </w:r>
      <w:r w:rsidR="00492927" w:rsidRPr="00F44C21">
        <w:rPr>
          <w:rFonts w:ascii="Times New Roman" w:eastAsia="Calibri" w:hAnsi="Times New Roman"/>
          <w:sz w:val="24"/>
        </w:rPr>
        <w:t xml:space="preserve"> now</w:t>
      </w:r>
      <w:r w:rsidR="00612BA5" w:rsidRPr="00F44C21">
        <w:rPr>
          <w:rFonts w:ascii="Times New Roman" w:eastAsia="Calibri" w:hAnsi="Times New Roman"/>
          <w:sz w:val="24"/>
        </w:rPr>
        <w:t xml:space="preserve"> require</w:t>
      </w:r>
      <w:r w:rsidR="00492927" w:rsidRPr="00F44C21">
        <w:rPr>
          <w:rFonts w:ascii="Times New Roman" w:eastAsia="Calibri" w:hAnsi="Times New Roman"/>
          <w:sz w:val="24"/>
        </w:rPr>
        <w:t>s</w:t>
      </w:r>
      <w:r w:rsidR="00612BA5" w:rsidRPr="00F44C21">
        <w:rPr>
          <w:rFonts w:ascii="Times New Roman" w:eastAsia="Calibri" w:hAnsi="Times New Roman"/>
          <w:sz w:val="24"/>
        </w:rPr>
        <w:t xml:space="preserve"> </w:t>
      </w:r>
      <w:r w:rsidR="00492927" w:rsidRPr="00F44C21">
        <w:rPr>
          <w:rFonts w:ascii="Times New Roman" w:eastAsia="Calibri" w:hAnsi="Times New Roman"/>
          <w:sz w:val="24"/>
        </w:rPr>
        <w:t>a</w:t>
      </w:r>
      <w:r w:rsidR="00612BA5" w:rsidRPr="00F44C21">
        <w:rPr>
          <w:rFonts w:ascii="Times New Roman" w:eastAsia="Calibri" w:hAnsi="Times New Roman"/>
          <w:sz w:val="24"/>
        </w:rPr>
        <w:t xml:space="preserve"> correspondent to assess</w:t>
      </w:r>
      <w:r w:rsidR="00492927" w:rsidRPr="00F44C21">
        <w:rPr>
          <w:rFonts w:ascii="Times New Roman" w:eastAsia="Calibri" w:hAnsi="Times New Roman"/>
          <w:sz w:val="24"/>
        </w:rPr>
        <w:t xml:space="preserve"> the</w:t>
      </w:r>
      <w:r w:rsidR="00612BA5" w:rsidRPr="00F44C21">
        <w:rPr>
          <w:rFonts w:ascii="Times New Roman" w:eastAsia="Calibri" w:hAnsi="Times New Roman"/>
          <w:sz w:val="24"/>
        </w:rPr>
        <w:t xml:space="preserve"> money laundering, financing of terrorism or other serious crime risks</w:t>
      </w:r>
      <w:r w:rsidR="008320A3" w:rsidRPr="00F44C21">
        <w:rPr>
          <w:rFonts w:ascii="Times New Roman" w:eastAsia="Calibri" w:hAnsi="Times New Roman"/>
          <w:sz w:val="24"/>
        </w:rPr>
        <w:t xml:space="preserve"> (</w:t>
      </w:r>
      <w:r w:rsidR="008320A3" w:rsidRPr="00F44C21">
        <w:rPr>
          <w:rFonts w:ascii="Times New Roman" w:eastAsia="Calibri" w:hAnsi="Times New Roman"/>
          <w:b/>
          <w:sz w:val="24"/>
        </w:rPr>
        <w:t>ML/TF risks</w:t>
      </w:r>
      <w:r w:rsidR="008320A3" w:rsidRPr="00F44C21">
        <w:rPr>
          <w:rFonts w:ascii="Times New Roman" w:eastAsia="Calibri" w:hAnsi="Times New Roman"/>
          <w:sz w:val="24"/>
        </w:rPr>
        <w:t>)</w:t>
      </w:r>
      <w:r w:rsidR="00612BA5" w:rsidRPr="00F44C21">
        <w:rPr>
          <w:rFonts w:ascii="Times New Roman" w:eastAsia="Calibri" w:hAnsi="Times New Roman"/>
          <w:sz w:val="24"/>
        </w:rPr>
        <w:t xml:space="preserve"> of a correspondent banking relationship </w:t>
      </w:r>
      <w:r w:rsidR="00492927" w:rsidRPr="00F44C21">
        <w:rPr>
          <w:rFonts w:ascii="Times New Roman" w:eastAsia="Calibri" w:hAnsi="Times New Roman"/>
          <w:sz w:val="24"/>
        </w:rPr>
        <w:t xml:space="preserve">when carrying out </w:t>
      </w:r>
      <w:r w:rsidR="00612BA5" w:rsidRPr="00F44C21">
        <w:rPr>
          <w:rFonts w:ascii="Times New Roman" w:eastAsia="Calibri" w:hAnsi="Times New Roman"/>
          <w:sz w:val="24"/>
        </w:rPr>
        <w:t>initial</w:t>
      </w:r>
      <w:r w:rsidR="00492927" w:rsidRPr="00F44C21">
        <w:rPr>
          <w:rFonts w:ascii="Times New Roman" w:eastAsia="Calibri" w:hAnsi="Times New Roman"/>
          <w:sz w:val="24"/>
        </w:rPr>
        <w:t xml:space="preserve"> due diligence (paragraph 3.1.2) and ongoing</w:t>
      </w:r>
      <w:r w:rsidR="00612BA5" w:rsidRPr="00F44C21">
        <w:rPr>
          <w:rFonts w:ascii="Times New Roman" w:eastAsia="Calibri" w:hAnsi="Times New Roman"/>
          <w:sz w:val="24"/>
        </w:rPr>
        <w:t xml:space="preserve"> due </w:t>
      </w:r>
      <w:r w:rsidR="00492927" w:rsidRPr="00F44C21">
        <w:rPr>
          <w:rFonts w:ascii="Times New Roman" w:eastAsia="Calibri" w:hAnsi="Times New Roman"/>
          <w:sz w:val="24"/>
        </w:rPr>
        <w:t>diligence (paragraph 3.2.2</w:t>
      </w:r>
      <w:r w:rsidR="00612BA5" w:rsidRPr="00F44C21">
        <w:rPr>
          <w:rFonts w:ascii="Times New Roman" w:eastAsia="Calibri" w:hAnsi="Times New Roman"/>
          <w:sz w:val="24"/>
        </w:rPr>
        <w:t>)</w:t>
      </w:r>
      <w:r w:rsidR="00492927" w:rsidRPr="00F44C21">
        <w:rPr>
          <w:rFonts w:ascii="Times New Roman" w:eastAsia="Calibri" w:hAnsi="Times New Roman"/>
          <w:sz w:val="24"/>
        </w:rPr>
        <w:t xml:space="preserve"> assessments</w:t>
      </w:r>
      <w:r w:rsidR="00612BA5" w:rsidRPr="00F44C21">
        <w:rPr>
          <w:rFonts w:ascii="Times New Roman" w:eastAsia="Calibri" w:hAnsi="Times New Roman"/>
          <w:sz w:val="24"/>
        </w:rPr>
        <w:t>. To assess those risks, the correspondent must consider the factors set out in paragraph 3.1.3, which include:</w:t>
      </w:r>
    </w:p>
    <w:p w:rsidR="006D4D8A" w:rsidRPr="00F44C21" w:rsidRDefault="006D4D8A" w:rsidP="00F44C21">
      <w:pPr>
        <w:pStyle w:val="ListParagraph"/>
        <w:numPr>
          <w:ilvl w:val="0"/>
          <w:numId w:val="2"/>
        </w:numPr>
        <w:spacing w:before="120" w:after="120" w:line="259" w:lineRule="auto"/>
        <w:rPr>
          <w:rFonts w:ascii="Times New Roman" w:eastAsia="Calibri" w:hAnsi="Times New Roman"/>
          <w:sz w:val="24"/>
        </w:rPr>
      </w:pPr>
      <w:r w:rsidRPr="00F44C21">
        <w:rPr>
          <w:rFonts w:ascii="Times New Roman" w:eastAsia="Calibri" w:hAnsi="Times New Roman"/>
          <w:sz w:val="24"/>
        </w:rPr>
        <w:t>ownership, control and management structures of the other financial institution and any ultimate parent company;</w:t>
      </w:r>
    </w:p>
    <w:p w:rsidR="006D4D8A" w:rsidRPr="00F44C21" w:rsidRDefault="006D4D8A" w:rsidP="00F44C21">
      <w:pPr>
        <w:pStyle w:val="ListParagraph"/>
        <w:numPr>
          <w:ilvl w:val="0"/>
          <w:numId w:val="2"/>
        </w:numPr>
        <w:spacing w:before="120" w:after="120" w:line="259" w:lineRule="auto"/>
        <w:rPr>
          <w:rFonts w:ascii="Times New Roman" w:eastAsia="Calibri" w:hAnsi="Times New Roman"/>
          <w:sz w:val="24"/>
        </w:rPr>
      </w:pPr>
      <w:r w:rsidRPr="00F44C21">
        <w:rPr>
          <w:rFonts w:ascii="Times New Roman" w:eastAsia="Calibri" w:hAnsi="Times New Roman"/>
          <w:sz w:val="24"/>
        </w:rPr>
        <w:t>nature, size and complexity including products, services, delivery channels, customer types and types of transactions</w:t>
      </w:r>
      <w:r w:rsidR="00C67BBA">
        <w:rPr>
          <w:rFonts w:ascii="Times New Roman" w:eastAsia="Calibri" w:hAnsi="Times New Roman"/>
          <w:sz w:val="24"/>
        </w:rPr>
        <w:t xml:space="preserve"> carried out on behalf of underlying customers as part of the correspondent banking relationship</w:t>
      </w:r>
      <w:r w:rsidRPr="00F44C21">
        <w:rPr>
          <w:rFonts w:ascii="Times New Roman" w:eastAsia="Calibri" w:hAnsi="Times New Roman"/>
          <w:sz w:val="24"/>
        </w:rPr>
        <w:t>;</w:t>
      </w:r>
    </w:p>
    <w:p w:rsidR="006D4D8A" w:rsidRPr="00F44C21" w:rsidRDefault="006D4D8A" w:rsidP="00F44C21">
      <w:pPr>
        <w:pStyle w:val="ListParagraph"/>
        <w:numPr>
          <w:ilvl w:val="0"/>
          <w:numId w:val="2"/>
        </w:numPr>
        <w:spacing w:before="120" w:after="120" w:line="259" w:lineRule="auto"/>
        <w:rPr>
          <w:rFonts w:ascii="Times New Roman" w:eastAsia="Calibri" w:hAnsi="Times New Roman"/>
          <w:sz w:val="24"/>
        </w:rPr>
      </w:pPr>
      <w:r w:rsidRPr="00F44C21">
        <w:rPr>
          <w:rFonts w:ascii="Times New Roman" w:eastAsia="Calibri" w:hAnsi="Times New Roman"/>
          <w:sz w:val="24"/>
        </w:rPr>
        <w:t>countries or jurisdictions in which the other financial institution operates including quality of AML/CTF regulation and supervision;</w:t>
      </w:r>
    </w:p>
    <w:p w:rsidR="006D4D8A" w:rsidRPr="00F44C21" w:rsidRDefault="006D4D8A" w:rsidP="00F44C21">
      <w:pPr>
        <w:pStyle w:val="ListParagraph"/>
        <w:numPr>
          <w:ilvl w:val="0"/>
          <w:numId w:val="2"/>
        </w:numPr>
        <w:spacing w:before="120" w:after="120" w:line="259" w:lineRule="auto"/>
        <w:rPr>
          <w:rFonts w:ascii="Times New Roman" w:eastAsia="Calibri" w:hAnsi="Times New Roman"/>
          <w:sz w:val="24"/>
        </w:rPr>
      </w:pPr>
      <w:r w:rsidRPr="00F44C21">
        <w:rPr>
          <w:rFonts w:ascii="Times New Roman" w:eastAsia="Calibri" w:hAnsi="Times New Roman"/>
          <w:sz w:val="24"/>
        </w:rPr>
        <w:t>the adequacy and effectiveness of AML/CTF controls;</w:t>
      </w:r>
    </w:p>
    <w:p w:rsidR="006D4D8A" w:rsidRPr="00F44C21" w:rsidRDefault="006D4D8A" w:rsidP="00F44C21">
      <w:pPr>
        <w:pStyle w:val="ListParagraph"/>
        <w:numPr>
          <w:ilvl w:val="0"/>
          <w:numId w:val="2"/>
        </w:numPr>
        <w:spacing w:before="120" w:after="120" w:line="259" w:lineRule="auto"/>
        <w:rPr>
          <w:rFonts w:ascii="Times New Roman" w:eastAsia="Calibri" w:hAnsi="Times New Roman"/>
          <w:sz w:val="24"/>
        </w:rPr>
      </w:pPr>
      <w:r w:rsidRPr="00F44C21">
        <w:rPr>
          <w:rFonts w:ascii="Times New Roman" w:eastAsia="Calibri" w:hAnsi="Times New Roman"/>
          <w:sz w:val="24"/>
        </w:rPr>
        <w:t>publicly available information on the other financial institution;</w:t>
      </w:r>
    </w:p>
    <w:p w:rsidR="006D4D8A" w:rsidRPr="00F44C21" w:rsidRDefault="006D4D8A" w:rsidP="00F44C21">
      <w:pPr>
        <w:pStyle w:val="ListParagraph"/>
        <w:numPr>
          <w:ilvl w:val="0"/>
          <w:numId w:val="2"/>
        </w:numPr>
        <w:spacing w:before="120" w:after="120" w:line="259" w:lineRule="auto"/>
        <w:rPr>
          <w:rFonts w:ascii="Times New Roman" w:eastAsia="Calibri" w:hAnsi="Times New Roman"/>
          <w:sz w:val="24"/>
        </w:rPr>
      </w:pPr>
      <w:proofErr w:type="gramStart"/>
      <w:r w:rsidRPr="00F44C21">
        <w:rPr>
          <w:rFonts w:ascii="Times New Roman" w:eastAsia="Calibri" w:hAnsi="Times New Roman"/>
          <w:sz w:val="24"/>
        </w:rPr>
        <w:t>the</w:t>
      </w:r>
      <w:proofErr w:type="gramEnd"/>
      <w:r w:rsidRPr="00F44C21">
        <w:rPr>
          <w:rFonts w:ascii="Times New Roman" w:eastAsia="Calibri" w:hAnsi="Times New Roman"/>
          <w:sz w:val="24"/>
        </w:rPr>
        <w:t xml:space="preserve"> comprehensiveness of the other financial institution’s customer due diligence (CDD) records and the reporting entity’s level of access to those records.</w:t>
      </w:r>
    </w:p>
    <w:p w:rsidR="00492927" w:rsidRPr="00F44C21" w:rsidRDefault="00492927"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A</w:t>
      </w:r>
      <w:r w:rsidR="009E3AD0" w:rsidRPr="00F44C21">
        <w:rPr>
          <w:rFonts w:ascii="Times New Roman" w:eastAsia="Calibri" w:hAnsi="Times New Roman"/>
          <w:sz w:val="24"/>
        </w:rPr>
        <w:t xml:space="preserve"> senior officer of the reporting entity must consider the assessment of these factors in the written record before providing their approval</w:t>
      </w:r>
      <w:r w:rsidRPr="00F44C21">
        <w:rPr>
          <w:rFonts w:ascii="Times New Roman" w:eastAsia="Calibri" w:hAnsi="Times New Roman"/>
          <w:sz w:val="24"/>
        </w:rPr>
        <w:t xml:space="preserve"> under paragraph 3.1.4</w:t>
      </w:r>
      <w:r w:rsidR="009E3AD0" w:rsidRPr="00F44C21">
        <w:rPr>
          <w:rFonts w:ascii="Times New Roman" w:eastAsia="Calibri" w:hAnsi="Times New Roman"/>
          <w:sz w:val="24"/>
        </w:rPr>
        <w:t>.</w:t>
      </w:r>
      <w:r w:rsidR="00612BA5" w:rsidRPr="00F44C21">
        <w:rPr>
          <w:rFonts w:ascii="Times New Roman" w:eastAsia="Calibri" w:hAnsi="Times New Roman"/>
          <w:sz w:val="24"/>
        </w:rPr>
        <w:t xml:space="preserve"> </w:t>
      </w:r>
      <w:r w:rsidRPr="00F44C21">
        <w:rPr>
          <w:rFonts w:ascii="Times New Roman" w:eastAsia="Calibri" w:hAnsi="Times New Roman"/>
          <w:sz w:val="24"/>
        </w:rPr>
        <w:t xml:space="preserve">If the correspondent maintains payable-through accounts, the requirements in paragraph 3.1.5 </w:t>
      </w:r>
      <w:proofErr w:type="gramStart"/>
      <w:r w:rsidRPr="00F44C21">
        <w:rPr>
          <w:rFonts w:ascii="Times New Roman" w:eastAsia="Calibri" w:hAnsi="Times New Roman"/>
          <w:sz w:val="24"/>
        </w:rPr>
        <w:t>must be met</w:t>
      </w:r>
      <w:proofErr w:type="gramEnd"/>
      <w:r w:rsidRPr="00F44C21">
        <w:rPr>
          <w:rFonts w:ascii="Times New Roman" w:eastAsia="Calibri" w:hAnsi="Times New Roman"/>
          <w:sz w:val="24"/>
        </w:rPr>
        <w:t xml:space="preserve"> to the satisfaction of the senior officer.</w:t>
      </w:r>
    </w:p>
    <w:p w:rsidR="009E3AD0" w:rsidRPr="00F44C21" w:rsidRDefault="009E3AD0"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With respect to the timing of ongoing due diligence assessments, </w:t>
      </w:r>
      <w:r w:rsidR="00612BA5" w:rsidRPr="00F44C21">
        <w:rPr>
          <w:rFonts w:ascii="Times New Roman" w:eastAsia="Calibri" w:hAnsi="Times New Roman"/>
          <w:sz w:val="24"/>
        </w:rPr>
        <w:t>paragraph 3.2.4</w:t>
      </w:r>
      <w:r w:rsidRPr="00F44C21">
        <w:rPr>
          <w:rFonts w:ascii="Times New Roman" w:eastAsia="Calibri" w:hAnsi="Times New Roman"/>
          <w:sz w:val="24"/>
        </w:rPr>
        <w:t xml:space="preserve"> state</w:t>
      </w:r>
      <w:r w:rsidR="00D330B3" w:rsidRPr="00F44C21">
        <w:rPr>
          <w:rFonts w:ascii="Times New Roman" w:eastAsia="Calibri" w:hAnsi="Times New Roman"/>
          <w:sz w:val="24"/>
        </w:rPr>
        <w:t>s</w:t>
      </w:r>
      <w:r w:rsidRPr="00F44C21">
        <w:rPr>
          <w:rFonts w:ascii="Times New Roman" w:eastAsia="Calibri" w:hAnsi="Times New Roman"/>
          <w:sz w:val="24"/>
        </w:rPr>
        <w:t xml:space="preserve"> that assessments should be undertaken </w:t>
      </w:r>
      <w:proofErr w:type="gramStart"/>
      <w:r w:rsidRPr="00F44C21">
        <w:rPr>
          <w:rFonts w:ascii="Times New Roman" w:eastAsia="Calibri" w:hAnsi="Times New Roman"/>
          <w:sz w:val="24"/>
        </w:rPr>
        <w:t>periodically</w:t>
      </w:r>
      <w:r w:rsidR="00D330B3" w:rsidRPr="00F44C21">
        <w:rPr>
          <w:rFonts w:ascii="Times New Roman" w:eastAsia="Calibri" w:hAnsi="Times New Roman"/>
          <w:sz w:val="24"/>
        </w:rPr>
        <w:t>,</w:t>
      </w:r>
      <w:proofErr w:type="gramEnd"/>
      <w:r w:rsidR="00D330B3" w:rsidRPr="00F44C21">
        <w:rPr>
          <w:rFonts w:ascii="Times New Roman" w:eastAsia="Calibri" w:hAnsi="Times New Roman"/>
          <w:sz w:val="24"/>
        </w:rPr>
        <w:t xml:space="preserve"> or</w:t>
      </w:r>
      <w:r w:rsidRPr="00F44C21">
        <w:rPr>
          <w:rFonts w:ascii="Times New Roman" w:eastAsia="Calibri" w:hAnsi="Times New Roman"/>
          <w:sz w:val="24"/>
        </w:rPr>
        <w:t xml:space="preserve"> at least every 2 years. </w:t>
      </w:r>
      <w:r w:rsidR="00492927" w:rsidRPr="00F44C21">
        <w:rPr>
          <w:rFonts w:ascii="Times New Roman" w:eastAsia="Calibri" w:hAnsi="Times New Roman"/>
          <w:sz w:val="24"/>
        </w:rPr>
        <w:t xml:space="preserve">The level of </w:t>
      </w:r>
      <w:r w:rsidR="008320A3" w:rsidRPr="00F44C21">
        <w:rPr>
          <w:rFonts w:ascii="Times New Roman" w:eastAsia="Calibri" w:hAnsi="Times New Roman"/>
          <w:sz w:val="24"/>
        </w:rPr>
        <w:t>ML/TF risk</w:t>
      </w:r>
      <w:r w:rsidR="00492927" w:rsidRPr="00F44C21">
        <w:rPr>
          <w:rFonts w:ascii="Times New Roman" w:eastAsia="Calibri" w:hAnsi="Times New Roman"/>
          <w:sz w:val="24"/>
        </w:rPr>
        <w:t xml:space="preserve"> of the correspondent banking relationship, and any material change in respect of those risks, may require the correspondent to conduct ongoing due diligence assessments on a more regular basis. </w:t>
      </w:r>
    </w:p>
    <w:p w:rsidR="00FC480D" w:rsidRPr="00F44C21" w:rsidRDefault="00FC480D" w:rsidP="00F44C21">
      <w:pPr>
        <w:pStyle w:val="ListParagraph"/>
        <w:spacing w:before="120" w:after="120" w:line="259" w:lineRule="auto"/>
        <w:ind w:left="0"/>
        <w:rPr>
          <w:rFonts w:ascii="Times New Roman" w:eastAsia="Calibri" w:hAnsi="Times New Roman"/>
          <w:b/>
          <w:i/>
          <w:sz w:val="24"/>
        </w:rPr>
      </w:pPr>
      <w:r w:rsidRPr="00F44C21">
        <w:rPr>
          <w:rFonts w:ascii="Times New Roman" w:eastAsia="Calibri" w:hAnsi="Times New Roman"/>
          <w:b/>
          <w:i/>
          <w:sz w:val="24"/>
        </w:rPr>
        <w:t>Amendment</w:t>
      </w:r>
      <w:r w:rsidR="00684C5B" w:rsidRPr="00F44C21">
        <w:rPr>
          <w:rFonts w:ascii="Times New Roman" w:eastAsia="Calibri" w:hAnsi="Times New Roman"/>
          <w:b/>
          <w:i/>
          <w:sz w:val="24"/>
        </w:rPr>
        <w:t>s</w:t>
      </w:r>
      <w:r w:rsidRPr="00F44C21">
        <w:rPr>
          <w:rFonts w:ascii="Times New Roman" w:eastAsia="Calibri" w:hAnsi="Times New Roman"/>
          <w:b/>
          <w:i/>
          <w:sz w:val="24"/>
        </w:rPr>
        <w:t xml:space="preserve"> to Chapter 6</w:t>
      </w:r>
    </w:p>
    <w:p w:rsidR="00DC410E" w:rsidRPr="00F44C21" w:rsidRDefault="005C3227"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The </w:t>
      </w:r>
      <w:r w:rsidR="00D330B3" w:rsidRPr="00F44C21">
        <w:rPr>
          <w:rFonts w:ascii="Times New Roman" w:eastAsia="Calibri" w:hAnsi="Times New Roman"/>
          <w:sz w:val="24"/>
        </w:rPr>
        <w:t>Amendment</w:t>
      </w:r>
      <w:r w:rsidRPr="00F44C21">
        <w:rPr>
          <w:rFonts w:ascii="Times New Roman" w:eastAsia="Calibri" w:hAnsi="Times New Roman"/>
          <w:sz w:val="24"/>
        </w:rPr>
        <w:t xml:space="preserve"> Act clarified the requirement for a reporting entity to complete the applicable customer identification procedure (</w:t>
      </w:r>
      <w:r w:rsidRPr="00F44C21">
        <w:rPr>
          <w:rFonts w:ascii="Times New Roman" w:eastAsia="Calibri" w:hAnsi="Times New Roman"/>
          <w:b/>
          <w:sz w:val="24"/>
        </w:rPr>
        <w:t>ACIP</w:t>
      </w:r>
      <w:r w:rsidRPr="00F44C21">
        <w:rPr>
          <w:rFonts w:ascii="Times New Roman" w:eastAsia="Calibri" w:hAnsi="Times New Roman"/>
          <w:sz w:val="24"/>
        </w:rPr>
        <w:t>) before providing a designated service</w:t>
      </w:r>
      <w:r w:rsidR="00684C5B" w:rsidRPr="00F44C21">
        <w:rPr>
          <w:rFonts w:ascii="Times New Roman" w:eastAsia="Calibri" w:hAnsi="Times New Roman"/>
          <w:sz w:val="24"/>
        </w:rPr>
        <w:t xml:space="preserve"> to a customer</w:t>
      </w:r>
      <w:r w:rsidRPr="00F44C21">
        <w:rPr>
          <w:rFonts w:ascii="Times New Roman" w:eastAsia="Calibri" w:hAnsi="Times New Roman"/>
          <w:sz w:val="24"/>
        </w:rPr>
        <w:t>.</w:t>
      </w:r>
    </w:p>
    <w:p w:rsidR="00684C5B" w:rsidRPr="00F44C21" w:rsidRDefault="00684C5B"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Chapter 6 </w:t>
      </w:r>
      <w:r w:rsidR="00226A90" w:rsidRPr="00F44C21">
        <w:rPr>
          <w:rFonts w:ascii="Times New Roman" w:eastAsia="Calibri" w:hAnsi="Times New Roman"/>
          <w:sz w:val="24"/>
        </w:rPr>
        <w:t xml:space="preserve">now </w:t>
      </w:r>
      <w:r w:rsidRPr="00F44C21">
        <w:rPr>
          <w:rFonts w:ascii="Times New Roman" w:eastAsia="Calibri" w:hAnsi="Times New Roman"/>
          <w:sz w:val="24"/>
        </w:rPr>
        <w:t>specif</w:t>
      </w:r>
      <w:r w:rsidR="00226A90" w:rsidRPr="00F44C21">
        <w:rPr>
          <w:rFonts w:ascii="Times New Roman" w:eastAsia="Calibri" w:hAnsi="Times New Roman"/>
          <w:sz w:val="24"/>
        </w:rPr>
        <w:t>ies</w:t>
      </w:r>
      <w:r w:rsidRPr="00F44C21">
        <w:rPr>
          <w:rFonts w:ascii="Times New Roman" w:eastAsia="Calibri" w:hAnsi="Times New Roman"/>
          <w:sz w:val="24"/>
        </w:rPr>
        <w:t xml:space="preserve"> the requirements for a reporting entity when it has doubts about the veracity or adequacy of previously obtained know your customer information. </w:t>
      </w:r>
    </w:p>
    <w:p w:rsidR="00684C5B" w:rsidRPr="00F44C21" w:rsidRDefault="00684C5B"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The amendments to Chapter 6 require consequential amendments to Chapter 10 to update the references made in that Chapter to Chapter </w:t>
      </w:r>
      <w:proofErr w:type="gramStart"/>
      <w:r w:rsidRPr="00F44C21">
        <w:rPr>
          <w:rFonts w:ascii="Times New Roman" w:eastAsia="Calibri" w:hAnsi="Times New Roman"/>
          <w:sz w:val="24"/>
        </w:rPr>
        <w:t>6</w:t>
      </w:r>
      <w:proofErr w:type="gramEnd"/>
      <w:r w:rsidRPr="00F44C21">
        <w:rPr>
          <w:rFonts w:ascii="Times New Roman" w:eastAsia="Calibri" w:hAnsi="Times New Roman"/>
          <w:sz w:val="24"/>
        </w:rPr>
        <w:t>.</w:t>
      </w:r>
    </w:p>
    <w:p w:rsidR="00F02FC6" w:rsidRPr="00F44C21" w:rsidRDefault="00F02FC6" w:rsidP="00F44C21">
      <w:pPr>
        <w:pStyle w:val="ListParagraph"/>
        <w:spacing w:before="120" w:after="120" w:line="259" w:lineRule="auto"/>
        <w:ind w:left="0"/>
        <w:rPr>
          <w:rFonts w:ascii="Times New Roman" w:eastAsia="Calibri" w:hAnsi="Times New Roman"/>
          <w:b/>
          <w:i/>
          <w:sz w:val="24"/>
        </w:rPr>
      </w:pPr>
      <w:r w:rsidRPr="00F44C21">
        <w:rPr>
          <w:rFonts w:ascii="Times New Roman" w:eastAsia="Calibri" w:hAnsi="Times New Roman"/>
          <w:b/>
          <w:i/>
          <w:sz w:val="24"/>
        </w:rPr>
        <w:t>Amendments to Chapter 7</w:t>
      </w:r>
    </w:p>
    <w:p w:rsidR="00F02FC6" w:rsidRPr="00F44C21" w:rsidRDefault="00F02FC6"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The </w:t>
      </w:r>
      <w:r w:rsidR="00D330B3" w:rsidRPr="00F44C21">
        <w:rPr>
          <w:rFonts w:ascii="Times New Roman" w:eastAsia="Calibri" w:hAnsi="Times New Roman"/>
          <w:sz w:val="24"/>
        </w:rPr>
        <w:t>Amendment</w:t>
      </w:r>
      <w:r w:rsidRPr="00F44C21">
        <w:rPr>
          <w:rFonts w:ascii="Times New Roman" w:eastAsia="Calibri" w:hAnsi="Times New Roman"/>
          <w:sz w:val="24"/>
        </w:rPr>
        <w:t xml:space="preserve"> Act expand</w:t>
      </w:r>
      <w:r w:rsidR="00D330B3" w:rsidRPr="00F44C21">
        <w:rPr>
          <w:rFonts w:ascii="Times New Roman" w:eastAsia="Calibri" w:hAnsi="Times New Roman"/>
          <w:sz w:val="24"/>
        </w:rPr>
        <w:t>ed</w:t>
      </w:r>
      <w:r w:rsidRPr="00F44C21">
        <w:rPr>
          <w:rFonts w:ascii="Times New Roman" w:eastAsia="Calibri" w:hAnsi="Times New Roman"/>
          <w:sz w:val="24"/>
        </w:rPr>
        <w:t xml:space="preserve"> the circumstances in which a reporting entity may rely on </w:t>
      </w:r>
      <w:r w:rsidR="00226A90" w:rsidRPr="00F44C21">
        <w:rPr>
          <w:rFonts w:ascii="Times New Roman" w:eastAsia="Calibri" w:hAnsi="Times New Roman"/>
          <w:sz w:val="24"/>
        </w:rPr>
        <w:t xml:space="preserve">the </w:t>
      </w:r>
      <w:r w:rsidRPr="00F44C21">
        <w:rPr>
          <w:rFonts w:ascii="Times New Roman" w:eastAsia="Calibri" w:hAnsi="Times New Roman"/>
          <w:sz w:val="24"/>
        </w:rPr>
        <w:t xml:space="preserve">ACIP or other procedure undertaken by another person. This includes </w:t>
      </w:r>
      <w:r w:rsidRPr="00F44C21">
        <w:rPr>
          <w:rFonts w:ascii="Times New Roman" w:eastAsia="Calibri" w:hAnsi="Times New Roman"/>
          <w:sz w:val="24"/>
        </w:rPr>
        <w:lastRenderedPageBreak/>
        <w:t>permitting reporting entities to enter into an agreement or arrangement for reliance on another person.</w:t>
      </w:r>
    </w:p>
    <w:p w:rsidR="00603BF0" w:rsidRDefault="00E94B56"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Part 7.1 prescribes procedures other than</w:t>
      </w:r>
      <w:r w:rsidR="00226A90" w:rsidRPr="00F44C21">
        <w:rPr>
          <w:rFonts w:ascii="Times New Roman" w:eastAsia="Calibri" w:hAnsi="Times New Roman"/>
          <w:sz w:val="24"/>
        </w:rPr>
        <w:t xml:space="preserve"> the</w:t>
      </w:r>
      <w:r w:rsidRPr="00F44C21">
        <w:rPr>
          <w:rFonts w:ascii="Times New Roman" w:eastAsia="Calibri" w:hAnsi="Times New Roman"/>
          <w:sz w:val="24"/>
        </w:rPr>
        <w:t xml:space="preserve"> ACIP that </w:t>
      </w:r>
      <w:proofErr w:type="gramStart"/>
      <w:r w:rsidRPr="00F44C21">
        <w:rPr>
          <w:rFonts w:ascii="Times New Roman" w:eastAsia="Calibri" w:hAnsi="Times New Roman"/>
          <w:sz w:val="24"/>
        </w:rPr>
        <w:t>can be relied on</w:t>
      </w:r>
      <w:proofErr w:type="gramEnd"/>
      <w:r w:rsidRPr="00F44C21">
        <w:rPr>
          <w:rFonts w:ascii="Times New Roman" w:eastAsia="Calibri" w:hAnsi="Times New Roman"/>
          <w:sz w:val="24"/>
        </w:rPr>
        <w:t xml:space="preserve"> under a reliance agreement or arrangement. These are customer due diligence procedures that </w:t>
      </w:r>
      <w:proofErr w:type="gramStart"/>
      <w:r w:rsidRPr="00F44C21">
        <w:rPr>
          <w:rFonts w:ascii="Times New Roman" w:eastAsia="Calibri" w:hAnsi="Times New Roman"/>
          <w:sz w:val="24"/>
        </w:rPr>
        <w:t>have been carried out</w:t>
      </w:r>
      <w:proofErr w:type="gramEnd"/>
      <w:r w:rsidRPr="00F44C21">
        <w:rPr>
          <w:rFonts w:ascii="Times New Roman" w:eastAsia="Calibri" w:hAnsi="Times New Roman"/>
          <w:sz w:val="24"/>
        </w:rPr>
        <w:t xml:space="preserve"> by another person in accordance with one or more laws of a foreign country</w:t>
      </w:r>
      <w:r w:rsidR="00226A90" w:rsidRPr="00F44C21">
        <w:rPr>
          <w:rFonts w:ascii="Times New Roman" w:eastAsia="Calibri" w:hAnsi="Times New Roman"/>
          <w:sz w:val="24"/>
        </w:rPr>
        <w:t>. The foreign law or laws must give effect to the FATF Recommendations relating to</w:t>
      </w:r>
      <w:r w:rsidR="00BF5792">
        <w:rPr>
          <w:rFonts w:ascii="Times New Roman" w:eastAsia="Calibri" w:hAnsi="Times New Roman"/>
          <w:sz w:val="24"/>
        </w:rPr>
        <w:t xml:space="preserve"> </w:t>
      </w:r>
      <w:r w:rsidRPr="00F44C21">
        <w:rPr>
          <w:rFonts w:ascii="Times New Roman" w:eastAsia="Calibri" w:hAnsi="Times New Roman"/>
          <w:sz w:val="24"/>
        </w:rPr>
        <w:t>the identification and verification of customers, beneficial owners and agents</w:t>
      </w:r>
      <w:r w:rsidR="00226A90" w:rsidRPr="00F44C21">
        <w:rPr>
          <w:rFonts w:ascii="Times New Roman" w:eastAsia="Calibri" w:hAnsi="Times New Roman"/>
          <w:sz w:val="24"/>
        </w:rPr>
        <w:t xml:space="preserve">, and </w:t>
      </w:r>
      <w:proofErr w:type="gramStart"/>
      <w:r w:rsidR="00226A90" w:rsidRPr="00F44C21">
        <w:rPr>
          <w:rFonts w:ascii="Times New Roman" w:eastAsia="Calibri" w:hAnsi="Times New Roman"/>
          <w:sz w:val="24"/>
        </w:rPr>
        <w:t>record-keeping</w:t>
      </w:r>
      <w:proofErr w:type="gramEnd"/>
      <w:r w:rsidR="00226A90" w:rsidRPr="00F44C21">
        <w:rPr>
          <w:rFonts w:ascii="Times New Roman" w:eastAsia="Calibri" w:hAnsi="Times New Roman"/>
          <w:sz w:val="24"/>
        </w:rPr>
        <w:t xml:space="preserve"> of these procedures</w:t>
      </w:r>
      <w:r w:rsidRPr="00F44C21">
        <w:rPr>
          <w:rFonts w:ascii="Times New Roman" w:eastAsia="Calibri" w:hAnsi="Times New Roman"/>
          <w:sz w:val="24"/>
        </w:rPr>
        <w:t xml:space="preserve">. </w:t>
      </w:r>
      <w:r w:rsidR="00603BF0">
        <w:rPr>
          <w:rFonts w:ascii="Times New Roman" w:eastAsia="Calibri" w:hAnsi="Times New Roman"/>
          <w:sz w:val="24"/>
        </w:rPr>
        <w:t>Section 5 of the AML/CTF Act defines ‘FATF Recommendations’ as follows:</w:t>
      </w:r>
    </w:p>
    <w:p w:rsidR="00603BF0" w:rsidRPr="002132AC" w:rsidRDefault="00603BF0" w:rsidP="002132AC">
      <w:pPr>
        <w:pStyle w:val="Definition"/>
        <w:ind w:left="426"/>
        <w:rPr>
          <w:rFonts w:eastAsia="Calibri"/>
          <w:sz w:val="24"/>
          <w:szCs w:val="24"/>
          <w:lang w:eastAsia="en-US"/>
        </w:rPr>
      </w:pPr>
      <w:r w:rsidRPr="002132AC">
        <w:rPr>
          <w:rFonts w:eastAsia="Calibri"/>
          <w:b/>
          <w:sz w:val="24"/>
          <w:szCs w:val="24"/>
          <w:lang w:eastAsia="en-US"/>
        </w:rPr>
        <w:t xml:space="preserve">FATF Recommendations </w:t>
      </w:r>
      <w:r w:rsidRPr="002132AC">
        <w:rPr>
          <w:rFonts w:eastAsia="Calibri"/>
          <w:sz w:val="24"/>
          <w:szCs w:val="24"/>
          <w:lang w:eastAsia="en-US"/>
        </w:rPr>
        <w:t>(short for Financial Action Task Force Recommendations) means:</w:t>
      </w:r>
    </w:p>
    <w:p w:rsidR="00603BF0" w:rsidRPr="002132AC" w:rsidRDefault="00603BF0" w:rsidP="0038568B">
      <w:pPr>
        <w:pStyle w:val="paragraph0"/>
        <w:ind w:left="426" w:firstLine="294"/>
        <w:rPr>
          <w:rFonts w:eastAsia="Calibri"/>
          <w:lang w:eastAsia="en-US"/>
        </w:rPr>
      </w:pPr>
      <w:r w:rsidRPr="002132AC">
        <w:rPr>
          <w:rFonts w:eastAsia="Calibri"/>
          <w:lang w:eastAsia="en-US"/>
        </w:rPr>
        <w:t>(</w:t>
      </w:r>
      <w:proofErr w:type="gramStart"/>
      <w:r w:rsidRPr="002132AC">
        <w:rPr>
          <w:rFonts w:eastAsia="Calibri"/>
          <w:lang w:eastAsia="en-US"/>
        </w:rPr>
        <w:t>a</w:t>
      </w:r>
      <w:proofErr w:type="gramEnd"/>
      <w:r w:rsidRPr="002132AC">
        <w:rPr>
          <w:rFonts w:eastAsia="Calibri"/>
          <w:lang w:eastAsia="en-US"/>
        </w:rPr>
        <w:t>)</w:t>
      </w:r>
      <w:r w:rsidR="002132AC">
        <w:rPr>
          <w:rFonts w:eastAsia="Calibri"/>
          <w:lang w:eastAsia="en-US"/>
        </w:rPr>
        <w:t xml:space="preserve"> </w:t>
      </w:r>
      <w:r w:rsidRPr="002132AC">
        <w:rPr>
          <w:rFonts w:eastAsia="Calibri"/>
          <w:lang w:eastAsia="en-US"/>
        </w:rPr>
        <w:t>all of the following Recommendations:</w:t>
      </w:r>
    </w:p>
    <w:p w:rsidR="00603BF0" w:rsidRPr="002132AC" w:rsidRDefault="002132AC" w:rsidP="002132AC">
      <w:pPr>
        <w:pStyle w:val="paragraphsub"/>
        <w:ind w:left="2127" w:hanging="426"/>
        <w:rPr>
          <w:rFonts w:eastAsia="Calibri"/>
          <w:sz w:val="24"/>
          <w:szCs w:val="24"/>
          <w:lang w:eastAsia="en-US"/>
        </w:rPr>
      </w:pPr>
      <w:r>
        <w:rPr>
          <w:rFonts w:eastAsia="Calibri"/>
          <w:sz w:val="24"/>
          <w:szCs w:val="24"/>
          <w:lang w:eastAsia="en-US"/>
        </w:rPr>
        <w:tab/>
      </w:r>
      <w:r w:rsidR="00603BF0" w:rsidRPr="002132AC">
        <w:rPr>
          <w:rFonts w:eastAsia="Calibri"/>
          <w:sz w:val="24"/>
          <w:szCs w:val="24"/>
          <w:lang w:eastAsia="en-US"/>
        </w:rPr>
        <w:t>(</w:t>
      </w:r>
      <w:proofErr w:type="spellStart"/>
      <w:r w:rsidR="00603BF0" w:rsidRPr="002132AC">
        <w:rPr>
          <w:rFonts w:eastAsia="Calibri"/>
          <w:sz w:val="24"/>
          <w:szCs w:val="24"/>
          <w:lang w:eastAsia="en-US"/>
        </w:rPr>
        <w:t>i</w:t>
      </w:r>
      <w:proofErr w:type="spellEnd"/>
      <w:r w:rsidR="00603BF0" w:rsidRPr="002132AC">
        <w:rPr>
          <w:rFonts w:eastAsia="Calibri"/>
          <w:sz w:val="24"/>
          <w:szCs w:val="24"/>
          <w:lang w:eastAsia="en-US"/>
        </w:rPr>
        <w:t>)</w:t>
      </w:r>
      <w:r w:rsidR="00603BF0" w:rsidRPr="002132AC">
        <w:rPr>
          <w:rFonts w:eastAsia="Calibri"/>
          <w:sz w:val="24"/>
          <w:szCs w:val="24"/>
          <w:lang w:eastAsia="en-US"/>
        </w:rPr>
        <w:tab/>
        <w:t>the Forty Recommendations adopted by the Financial Action Task Force on Money Laundering (FATF) at its plenary meeting on 20 June 2003;</w:t>
      </w:r>
    </w:p>
    <w:p w:rsidR="00603BF0" w:rsidRPr="002132AC" w:rsidRDefault="002132AC" w:rsidP="002132AC">
      <w:pPr>
        <w:pStyle w:val="paragraphsub"/>
        <w:ind w:left="2127" w:hanging="426"/>
        <w:rPr>
          <w:rFonts w:eastAsia="Calibri"/>
          <w:sz w:val="24"/>
          <w:szCs w:val="24"/>
          <w:lang w:eastAsia="en-US"/>
        </w:rPr>
      </w:pPr>
      <w:r>
        <w:rPr>
          <w:rFonts w:eastAsia="Calibri"/>
          <w:sz w:val="24"/>
          <w:szCs w:val="24"/>
          <w:lang w:eastAsia="en-US"/>
        </w:rPr>
        <w:tab/>
      </w:r>
      <w:r w:rsidR="00603BF0" w:rsidRPr="002132AC">
        <w:rPr>
          <w:rFonts w:eastAsia="Calibri"/>
          <w:sz w:val="24"/>
          <w:szCs w:val="24"/>
          <w:lang w:eastAsia="en-US"/>
        </w:rPr>
        <w:t>(ii)</w:t>
      </w:r>
      <w:r w:rsidR="00603BF0" w:rsidRPr="002132AC">
        <w:rPr>
          <w:rFonts w:eastAsia="Calibri"/>
          <w:sz w:val="24"/>
          <w:szCs w:val="24"/>
          <w:lang w:eastAsia="en-US"/>
        </w:rPr>
        <w:tab/>
      </w:r>
      <w:proofErr w:type="gramStart"/>
      <w:r w:rsidR="00603BF0" w:rsidRPr="002132AC">
        <w:rPr>
          <w:rFonts w:eastAsia="Calibri"/>
          <w:sz w:val="24"/>
          <w:szCs w:val="24"/>
          <w:lang w:eastAsia="en-US"/>
        </w:rPr>
        <w:t>the</w:t>
      </w:r>
      <w:proofErr w:type="gramEnd"/>
      <w:r w:rsidR="00603BF0" w:rsidRPr="002132AC">
        <w:rPr>
          <w:rFonts w:eastAsia="Calibri"/>
          <w:sz w:val="24"/>
          <w:szCs w:val="24"/>
          <w:lang w:eastAsia="en-US"/>
        </w:rPr>
        <w:t xml:space="preserve"> Special Recommendations on Terrorist Financing adopted by the Financial Action Task Force on Money Laundering (FATF) at its special plenary meeting on 31 October 2001;</w:t>
      </w:r>
    </w:p>
    <w:p w:rsidR="00603BF0" w:rsidRPr="002132AC" w:rsidRDefault="002132AC" w:rsidP="002132AC">
      <w:pPr>
        <w:pStyle w:val="paragraphsub"/>
        <w:ind w:left="2127" w:hanging="426"/>
        <w:rPr>
          <w:rFonts w:eastAsia="Calibri"/>
          <w:sz w:val="24"/>
          <w:szCs w:val="24"/>
          <w:lang w:eastAsia="en-US"/>
        </w:rPr>
      </w:pPr>
      <w:r>
        <w:rPr>
          <w:rFonts w:eastAsia="Calibri"/>
          <w:sz w:val="24"/>
          <w:szCs w:val="24"/>
          <w:lang w:eastAsia="en-US"/>
        </w:rPr>
        <w:tab/>
      </w:r>
      <w:r w:rsidR="00603BF0" w:rsidRPr="002132AC">
        <w:rPr>
          <w:rFonts w:eastAsia="Calibri"/>
          <w:sz w:val="24"/>
          <w:szCs w:val="24"/>
          <w:lang w:eastAsia="en-US"/>
        </w:rPr>
        <w:t>(iii)</w:t>
      </w:r>
      <w:r w:rsidR="00603BF0" w:rsidRPr="002132AC">
        <w:rPr>
          <w:rFonts w:eastAsia="Calibri"/>
          <w:sz w:val="24"/>
          <w:szCs w:val="24"/>
          <w:lang w:eastAsia="en-US"/>
        </w:rPr>
        <w:tab/>
        <w:t>Special Recommendation IX on Terrorist Financing adopted by the Financial Action Task Force on Money Laundering (FATF) at its plenary meeting on 20</w:t>
      </w:r>
      <w:r w:rsidR="00603BF0" w:rsidRPr="002132AC">
        <w:rPr>
          <w:rFonts w:eastAsia="Calibri"/>
          <w:sz w:val="24"/>
          <w:szCs w:val="24"/>
          <w:lang w:eastAsia="en-US"/>
        </w:rPr>
        <w:noBreakHyphen/>
        <w:t>22 October 2004; or</w:t>
      </w:r>
    </w:p>
    <w:p w:rsidR="00603BF0" w:rsidRPr="002132AC" w:rsidRDefault="00603BF0" w:rsidP="0038568B">
      <w:pPr>
        <w:pStyle w:val="paragraph0"/>
        <w:ind w:left="1077" w:hanging="357"/>
        <w:rPr>
          <w:rFonts w:eastAsia="Calibri"/>
          <w:lang w:eastAsia="en-US"/>
        </w:rPr>
      </w:pPr>
      <w:r w:rsidRPr="002132AC">
        <w:rPr>
          <w:rFonts w:eastAsia="Calibri"/>
          <w:lang w:eastAsia="en-US"/>
        </w:rPr>
        <w:t>(b)</w:t>
      </w:r>
      <w:r w:rsidR="002132AC">
        <w:rPr>
          <w:rFonts w:eastAsia="Calibri"/>
          <w:lang w:eastAsia="en-US"/>
        </w:rPr>
        <w:t xml:space="preserve"> </w:t>
      </w:r>
      <w:proofErr w:type="gramStart"/>
      <w:r w:rsidRPr="002132AC">
        <w:rPr>
          <w:rFonts w:eastAsia="Calibri"/>
          <w:lang w:eastAsia="en-US"/>
        </w:rPr>
        <w:t>if</w:t>
      </w:r>
      <w:proofErr w:type="gramEnd"/>
      <w:r w:rsidRPr="002132AC">
        <w:rPr>
          <w:rFonts w:eastAsia="Calibri"/>
          <w:lang w:eastAsia="en-US"/>
        </w:rPr>
        <w:t xml:space="preserve"> any or all of those Recommendations are amended—the Recommendations as so amended.</w:t>
      </w:r>
    </w:p>
    <w:p w:rsidR="00E94B56" w:rsidRPr="00F44C21" w:rsidRDefault="00603BF0" w:rsidP="00156A70">
      <w:pPr>
        <w:pStyle w:val="notetext"/>
        <w:ind w:left="1077" w:hanging="651"/>
        <w:rPr>
          <w:rFonts w:eastAsia="Calibri"/>
          <w:sz w:val="24"/>
        </w:rPr>
      </w:pPr>
      <w:r w:rsidRPr="002132AC">
        <w:rPr>
          <w:rFonts w:eastAsia="Calibri"/>
          <w:sz w:val="22"/>
          <w:szCs w:val="22"/>
          <w:lang w:eastAsia="en-US"/>
        </w:rPr>
        <w:t>Note:</w:t>
      </w:r>
      <w:r w:rsidR="002132AC">
        <w:rPr>
          <w:rFonts w:eastAsia="Calibri"/>
          <w:sz w:val="22"/>
          <w:szCs w:val="22"/>
          <w:lang w:eastAsia="en-US"/>
        </w:rPr>
        <w:t xml:space="preserve"> </w:t>
      </w:r>
      <w:r w:rsidR="0038568B">
        <w:rPr>
          <w:rFonts w:eastAsia="Calibri"/>
          <w:sz w:val="22"/>
          <w:szCs w:val="22"/>
          <w:lang w:eastAsia="en-US"/>
        </w:rPr>
        <w:tab/>
      </w:r>
      <w:r w:rsidRPr="002132AC">
        <w:rPr>
          <w:rFonts w:eastAsia="Calibri"/>
          <w:sz w:val="22"/>
          <w:szCs w:val="22"/>
          <w:lang w:eastAsia="en-US"/>
        </w:rPr>
        <w:t>In 2006, the text of the FATF Recommendations was available on the FATF</w:t>
      </w:r>
      <w:r w:rsidR="002132AC">
        <w:rPr>
          <w:rFonts w:eastAsia="Calibri"/>
          <w:sz w:val="22"/>
          <w:szCs w:val="22"/>
          <w:lang w:eastAsia="en-US"/>
        </w:rPr>
        <w:t xml:space="preserve"> </w:t>
      </w:r>
      <w:r w:rsidRPr="002132AC">
        <w:rPr>
          <w:rFonts w:eastAsia="Calibri"/>
          <w:sz w:val="22"/>
          <w:szCs w:val="22"/>
          <w:lang w:eastAsia="en-US"/>
        </w:rPr>
        <w:t>website (www.fatf</w:t>
      </w:r>
      <w:r w:rsidRPr="002132AC">
        <w:rPr>
          <w:rFonts w:eastAsia="Calibri"/>
          <w:sz w:val="22"/>
          <w:szCs w:val="22"/>
          <w:lang w:eastAsia="en-US"/>
        </w:rPr>
        <w:noBreakHyphen/>
        <w:t>gafi.org).</w:t>
      </w:r>
      <w:r>
        <w:rPr>
          <w:rFonts w:eastAsia="Calibri"/>
          <w:sz w:val="24"/>
        </w:rPr>
        <w:t xml:space="preserve"> </w:t>
      </w:r>
    </w:p>
    <w:p w:rsidR="00E94B56" w:rsidRPr="00F44C21" w:rsidRDefault="00E94B56"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Part 7.2 sets out the requirements relating to reliance agreements or arrangements. The written agreement or arrangement must:</w:t>
      </w:r>
    </w:p>
    <w:p w:rsidR="00E94B56" w:rsidRPr="00F44C21" w:rsidRDefault="00E94B56" w:rsidP="00F44C21">
      <w:pPr>
        <w:pStyle w:val="ListParagraph"/>
        <w:numPr>
          <w:ilvl w:val="0"/>
          <w:numId w:val="3"/>
        </w:numPr>
        <w:spacing w:before="120" w:after="120" w:line="259" w:lineRule="auto"/>
        <w:rPr>
          <w:rFonts w:ascii="Times New Roman" w:eastAsia="Calibri" w:hAnsi="Times New Roman"/>
          <w:sz w:val="24"/>
        </w:rPr>
      </w:pPr>
      <w:r w:rsidRPr="00F44C21">
        <w:rPr>
          <w:rFonts w:ascii="Times New Roman" w:eastAsia="Calibri" w:hAnsi="Times New Roman"/>
          <w:sz w:val="24"/>
        </w:rPr>
        <w:t>document the responsibilities of each party; and</w:t>
      </w:r>
    </w:p>
    <w:p w:rsidR="00E94B56" w:rsidRPr="00F44C21" w:rsidRDefault="00E94B56" w:rsidP="00F44C21">
      <w:pPr>
        <w:pStyle w:val="ListParagraph"/>
        <w:numPr>
          <w:ilvl w:val="0"/>
          <w:numId w:val="3"/>
        </w:numPr>
        <w:spacing w:before="120" w:after="120" w:line="259" w:lineRule="auto"/>
        <w:rPr>
          <w:rFonts w:ascii="Times New Roman" w:eastAsia="Calibri" w:hAnsi="Times New Roman"/>
          <w:sz w:val="24"/>
        </w:rPr>
      </w:pPr>
      <w:r w:rsidRPr="00F44C21">
        <w:rPr>
          <w:rFonts w:ascii="Times New Roman" w:eastAsia="Calibri" w:hAnsi="Times New Roman"/>
          <w:sz w:val="24"/>
        </w:rPr>
        <w:t>allow for the reporting entity to obtain all relevant KYC information; and</w:t>
      </w:r>
    </w:p>
    <w:p w:rsidR="00E94B56" w:rsidRPr="00F44C21" w:rsidRDefault="00E94B56" w:rsidP="00F44C21">
      <w:pPr>
        <w:pStyle w:val="ListParagraph"/>
        <w:numPr>
          <w:ilvl w:val="0"/>
          <w:numId w:val="3"/>
        </w:numPr>
        <w:spacing w:before="120" w:after="120" w:line="259" w:lineRule="auto"/>
        <w:rPr>
          <w:rFonts w:ascii="Times New Roman" w:eastAsia="Calibri" w:hAnsi="Times New Roman"/>
          <w:sz w:val="24"/>
        </w:rPr>
      </w:pPr>
      <w:r w:rsidRPr="00F44C21">
        <w:rPr>
          <w:rFonts w:ascii="Times New Roman" w:eastAsia="Calibri" w:hAnsi="Times New Roman"/>
          <w:sz w:val="24"/>
        </w:rPr>
        <w:t>enable the reporting entity to obtain a record of the ACIP or other procedures specified; and</w:t>
      </w:r>
    </w:p>
    <w:p w:rsidR="00E94B56" w:rsidRPr="00F44C21" w:rsidRDefault="00E94B56" w:rsidP="00F44C21">
      <w:pPr>
        <w:pStyle w:val="ListParagraph"/>
        <w:numPr>
          <w:ilvl w:val="0"/>
          <w:numId w:val="3"/>
        </w:numPr>
        <w:spacing w:before="120" w:after="120" w:line="259" w:lineRule="auto"/>
        <w:rPr>
          <w:rFonts w:ascii="Times New Roman" w:eastAsia="Calibri" w:hAnsi="Times New Roman"/>
          <w:sz w:val="24"/>
        </w:rPr>
      </w:pPr>
      <w:proofErr w:type="gramStart"/>
      <w:r w:rsidRPr="00F44C21">
        <w:rPr>
          <w:rFonts w:ascii="Times New Roman" w:eastAsia="Calibri" w:hAnsi="Times New Roman"/>
          <w:sz w:val="24"/>
        </w:rPr>
        <w:t>be</w:t>
      </w:r>
      <w:proofErr w:type="gramEnd"/>
      <w:r w:rsidRPr="00F44C21">
        <w:rPr>
          <w:rFonts w:ascii="Times New Roman" w:eastAsia="Calibri" w:hAnsi="Times New Roman"/>
          <w:sz w:val="24"/>
        </w:rPr>
        <w:t xml:space="preserve"> approved by the board or a senior management official of the reporting entity.</w:t>
      </w:r>
    </w:p>
    <w:p w:rsidR="009B3D69" w:rsidRPr="00F44C21" w:rsidRDefault="009B3D69"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Part 7.2 requires the reporting entity, when determining if it is appropriate to rely upon another person’s ACIP or other procedures</w:t>
      </w:r>
      <w:r w:rsidR="00226A90" w:rsidRPr="00F44C21">
        <w:rPr>
          <w:rFonts w:ascii="Times New Roman" w:eastAsia="Calibri" w:hAnsi="Times New Roman"/>
          <w:sz w:val="24"/>
        </w:rPr>
        <w:t xml:space="preserve"> (as prescribed in Part 7.1)</w:t>
      </w:r>
      <w:r w:rsidRPr="00F44C21">
        <w:rPr>
          <w:rFonts w:ascii="Times New Roman" w:eastAsia="Calibri" w:hAnsi="Times New Roman"/>
          <w:sz w:val="24"/>
        </w:rPr>
        <w:t>, to consider:</w:t>
      </w:r>
    </w:p>
    <w:p w:rsidR="009B3D69" w:rsidRPr="00F44C21" w:rsidRDefault="009B3D69" w:rsidP="00F44C21">
      <w:pPr>
        <w:pStyle w:val="ListParagraph"/>
        <w:numPr>
          <w:ilvl w:val="0"/>
          <w:numId w:val="3"/>
        </w:numPr>
        <w:spacing w:before="120" w:after="120" w:line="259" w:lineRule="auto"/>
        <w:rPr>
          <w:rFonts w:ascii="Times New Roman" w:eastAsia="Calibri" w:hAnsi="Times New Roman"/>
          <w:sz w:val="24"/>
        </w:rPr>
      </w:pPr>
      <w:r w:rsidRPr="00F44C21">
        <w:rPr>
          <w:rFonts w:ascii="Times New Roman" w:eastAsia="Calibri" w:hAnsi="Times New Roman"/>
          <w:sz w:val="24"/>
        </w:rPr>
        <w:t>the type and level of ML/TF risk that the relying entity may reasonably be expected to face in its provision of designated services; and</w:t>
      </w:r>
    </w:p>
    <w:p w:rsidR="009B3D69" w:rsidRPr="00F44C21" w:rsidRDefault="009B3D69" w:rsidP="00F44C21">
      <w:pPr>
        <w:pStyle w:val="ListParagraph"/>
        <w:numPr>
          <w:ilvl w:val="0"/>
          <w:numId w:val="3"/>
        </w:numPr>
        <w:spacing w:before="120" w:after="120" w:line="259" w:lineRule="auto"/>
        <w:rPr>
          <w:rFonts w:ascii="Times New Roman" w:eastAsia="Calibri" w:hAnsi="Times New Roman"/>
          <w:sz w:val="24"/>
        </w:rPr>
      </w:pPr>
      <w:r w:rsidRPr="00F44C21">
        <w:rPr>
          <w:rFonts w:ascii="Times New Roman" w:eastAsia="Calibri" w:hAnsi="Times New Roman"/>
          <w:sz w:val="24"/>
        </w:rPr>
        <w:lastRenderedPageBreak/>
        <w:t>the nature, size, and complexity of the other party’s business, including its products, services, delivery channels, and customer types; and</w:t>
      </w:r>
    </w:p>
    <w:p w:rsidR="009B3D69" w:rsidRPr="00F44C21" w:rsidRDefault="009B3D69" w:rsidP="00F44C21">
      <w:pPr>
        <w:pStyle w:val="ListParagraph"/>
        <w:numPr>
          <w:ilvl w:val="0"/>
          <w:numId w:val="3"/>
        </w:numPr>
        <w:spacing w:before="120" w:after="120" w:line="259" w:lineRule="auto"/>
        <w:rPr>
          <w:rFonts w:ascii="Times New Roman" w:eastAsia="Calibri" w:hAnsi="Times New Roman"/>
          <w:sz w:val="24"/>
        </w:rPr>
      </w:pPr>
      <w:proofErr w:type="gramStart"/>
      <w:r w:rsidRPr="00F44C21">
        <w:rPr>
          <w:rFonts w:ascii="Times New Roman" w:eastAsia="Calibri" w:hAnsi="Times New Roman"/>
          <w:sz w:val="24"/>
        </w:rPr>
        <w:t>the</w:t>
      </w:r>
      <w:proofErr w:type="gramEnd"/>
      <w:r w:rsidRPr="00F44C21">
        <w:rPr>
          <w:rFonts w:ascii="Times New Roman" w:eastAsia="Calibri" w:hAnsi="Times New Roman"/>
          <w:sz w:val="24"/>
        </w:rPr>
        <w:t xml:space="preserve"> level of ML/TF risk in the country or jurisdiction in which the other party operates.</w:t>
      </w:r>
    </w:p>
    <w:p w:rsidR="00564C8E" w:rsidRPr="00F44C21" w:rsidRDefault="00564C8E"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Part 7.2 also requires that the other </w:t>
      </w:r>
      <w:r w:rsidR="008257C6" w:rsidRPr="00F44C21">
        <w:rPr>
          <w:rFonts w:ascii="Times New Roman" w:eastAsia="Calibri" w:hAnsi="Times New Roman"/>
          <w:sz w:val="24"/>
        </w:rPr>
        <w:t>person</w:t>
      </w:r>
      <w:r w:rsidRPr="00F44C21">
        <w:rPr>
          <w:rFonts w:ascii="Times New Roman" w:eastAsia="Calibri" w:hAnsi="Times New Roman"/>
          <w:sz w:val="24"/>
        </w:rPr>
        <w:t xml:space="preserve"> must be subject to, and supervised or monitored for compliance with, AML/CTF obligations relating to customer due diligence and </w:t>
      </w:r>
      <w:proofErr w:type="gramStart"/>
      <w:r w:rsidRPr="00F44C21">
        <w:rPr>
          <w:rFonts w:ascii="Times New Roman" w:eastAsia="Calibri" w:hAnsi="Times New Roman"/>
          <w:sz w:val="24"/>
        </w:rPr>
        <w:t>record-keeping</w:t>
      </w:r>
      <w:proofErr w:type="gramEnd"/>
      <w:r w:rsidRPr="00F44C21">
        <w:rPr>
          <w:rFonts w:ascii="Times New Roman" w:eastAsia="Calibri" w:hAnsi="Times New Roman"/>
          <w:sz w:val="24"/>
        </w:rPr>
        <w:t xml:space="preserve"> and have appropriate measures in place to comply with those obligations.</w:t>
      </w:r>
    </w:p>
    <w:p w:rsidR="008257C6" w:rsidRPr="00F44C21" w:rsidRDefault="008257C6"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Part 7.3 sets out the requirements that </w:t>
      </w:r>
      <w:proofErr w:type="gramStart"/>
      <w:r w:rsidRPr="00F44C21">
        <w:rPr>
          <w:rFonts w:ascii="Times New Roman" w:eastAsia="Calibri" w:hAnsi="Times New Roman"/>
          <w:sz w:val="24"/>
        </w:rPr>
        <w:t>must be met</w:t>
      </w:r>
      <w:proofErr w:type="gramEnd"/>
      <w:r w:rsidRPr="00F44C21">
        <w:rPr>
          <w:rFonts w:ascii="Times New Roman" w:eastAsia="Calibri" w:hAnsi="Times New Roman"/>
          <w:sz w:val="24"/>
        </w:rPr>
        <w:t xml:space="preserve"> by a reporting entity </w:t>
      </w:r>
      <w:r w:rsidR="00C46410" w:rsidRPr="00F44C21">
        <w:rPr>
          <w:rFonts w:ascii="Times New Roman" w:eastAsia="Calibri" w:hAnsi="Times New Roman"/>
          <w:sz w:val="24"/>
        </w:rPr>
        <w:t>before the entity relies</w:t>
      </w:r>
      <w:r w:rsidRPr="00F44C21">
        <w:rPr>
          <w:rFonts w:ascii="Times New Roman" w:eastAsia="Calibri" w:hAnsi="Times New Roman"/>
          <w:sz w:val="24"/>
        </w:rPr>
        <w:t xml:space="preserve"> on the ACIP or other identification procedures carried out by another person</w:t>
      </w:r>
      <w:r w:rsidR="00C46410" w:rsidRPr="00F44C21">
        <w:rPr>
          <w:rFonts w:ascii="Times New Roman" w:eastAsia="Calibri" w:hAnsi="Times New Roman"/>
          <w:sz w:val="24"/>
        </w:rPr>
        <w:t xml:space="preserve"> on a case-by-case basis</w:t>
      </w:r>
      <w:r w:rsidRPr="00F44C21">
        <w:rPr>
          <w:rFonts w:ascii="Times New Roman" w:eastAsia="Calibri" w:hAnsi="Times New Roman"/>
          <w:sz w:val="24"/>
        </w:rPr>
        <w:t>.</w:t>
      </w:r>
    </w:p>
    <w:p w:rsidR="008257C6" w:rsidRPr="00F44C21" w:rsidRDefault="008257C6"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In addition to the same requirements set out in Part 7.2 for determining </w:t>
      </w:r>
      <w:r w:rsidR="00C46410" w:rsidRPr="00F44C21">
        <w:rPr>
          <w:rFonts w:ascii="Times New Roman" w:eastAsia="Calibri" w:hAnsi="Times New Roman"/>
          <w:sz w:val="24"/>
        </w:rPr>
        <w:t>whether it is appropriate to rely</w:t>
      </w:r>
      <w:r w:rsidRPr="00F44C21">
        <w:rPr>
          <w:rFonts w:ascii="Times New Roman" w:eastAsia="Calibri" w:hAnsi="Times New Roman"/>
          <w:sz w:val="24"/>
        </w:rPr>
        <w:t xml:space="preserve"> upon another person’s ACIP or other procedures, the relying entity must reasonably believe that the data and documents relevant to the verification of KYC information will be:</w:t>
      </w:r>
    </w:p>
    <w:p w:rsidR="008257C6" w:rsidRPr="00F44C21" w:rsidRDefault="008257C6" w:rsidP="00F44C21">
      <w:pPr>
        <w:pStyle w:val="ListParagraph"/>
        <w:numPr>
          <w:ilvl w:val="0"/>
          <w:numId w:val="3"/>
        </w:numPr>
        <w:spacing w:before="120" w:after="120" w:line="259" w:lineRule="auto"/>
        <w:rPr>
          <w:rFonts w:ascii="Times New Roman" w:eastAsia="Calibri" w:hAnsi="Times New Roman"/>
          <w:sz w:val="24"/>
        </w:rPr>
      </w:pPr>
      <w:r w:rsidRPr="00F44C21">
        <w:rPr>
          <w:rFonts w:ascii="Times New Roman" w:eastAsia="Calibri" w:hAnsi="Times New Roman"/>
          <w:sz w:val="24"/>
        </w:rPr>
        <w:t>immediately accessible to the relying entity under an agreement; or</w:t>
      </w:r>
    </w:p>
    <w:p w:rsidR="008257C6" w:rsidRPr="00F44C21" w:rsidRDefault="008257C6" w:rsidP="00F44C21">
      <w:pPr>
        <w:pStyle w:val="ListParagraph"/>
        <w:numPr>
          <w:ilvl w:val="0"/>
          <w:numId w:val="3"/>
        </w:numPr>
        <w:spacing w:before="120" w:after="120" w:line="259" w:lineRule="auto"/>
        <w:rPr>
          <w:rFonts w:ascii="Times New Roman" w:eastAsia="Calibri" w:hAnsi="Times New Roman"/>
          <w:sz w:val="24"/>
        </w:rPr>
      </w:pPr>
      <w:proofErr w:type="gramStart"/>
      <w:r w:rsidRPr="00F44C21">
        <w:rPr>
          <w:rFonts w:ascii="Times New Roman" w:eastAsia="Calibri" w:hAnsi="Times New Roman"/>
          <w:sz w:val="24"/>
        </w:rPr>
        <w:t>made</w:t>
      </w:r>
      <w:proofErr w:type="gramEnd"/>
      <w:r w:rsidRPr="00F44C21">
        <w:rPr>
          <w:rFonts w:ascii="Times New Roman" w:eastAsia="Calibri" w:hAnsi="Times New Roman"/>
          <w:sz w:val="24"/>
        </w:rPr>
        <w:t xml:space="preserve"> available within 7 calendar days of a written request being made.</w:t>
      </w:r>
    </w:p>
    <w:p w:rsidR="00753207" w:rsidRPr="00F44C21" w:rsidRDefault="00753207"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Section 37B of the AML/CTF Act </w:t>
      </w:r>
      <w:r w:rsidR="00C46410" w:rsidRPr="00F44C21">
        <w:rPr>
          <w:rFonts w:ascii="Times New Roman" w:eastAsia="Calibri" w:hAnsi="Times New Roman"/>
          <w:sz w:val="24"/>
        </w:rPr>
        <w:t>requires</w:t>
      </w:r>
      <w:r w:rsidRPr="00F44C21">
        <w:rPr>
          <w:rFonts w:ascii="Times New Roman" w:eastAsia="Calibri" w:hAnsi="Times New Roman"/>
          <w:sz w:val="24"/>
        </w:rPr>
        <w:t xml:space="preserve"> a reporting entity that enters into an agreement or arrangement under section 37A to carry out regular assessments of the agreement or arrangement in accordance with requirements in the AML/CTF Rules. This includes the conduct and timing of the assessments, and associated </w:t>
      </w:r>
      <w:proofErr w:type="gramStart"/>
      <w:r w:rsidRPr="00F44C21">
        <w:rPr>
          <w:rFonts w:ascii="Times New Roman" w:eastAsia="Calibri" w:hAnsi="Times New Roman"/>
          <w:sz w:val="24"/>
        </w:rPr>
        <w:t>record-keeping</w:t>
      </w:r>
      <w:proofErr w:type="gramEnd"/>
      <w:r w:rsidRPr="00F44C21">
        <w:rPr>
          <w:rFonts w:ascii="Times New Roman" w:eastAsia="Calibri" w:hAnsi="Times New Roman"/>
          <w:sz w:val="24"/>
        </w:rPr>
        <w:t>.</w:t>
      </w:r>
    </w:p>
    <w:p w:rsidR="00753207" w:rsidRPr="00F44C21" w:rsidRDefault="00753207"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Chapter 7 specifies that the purpose of the regular assessments is to:</w:t>
      </w:r>
    </w:p>
    <w:p w:rsidR="00753207" w:rsidRPr="00F44C21" w:rsidRDefault="00753207" w:rsidP="00F44C21">
      <w:pPr>
        <w:pStyle w:val="ListParagraph"/>
        <w:numPr>
          <w:ilvl w:val="0"/>
          <w:numId w:val="3"/>
        </w:numPr>
        <w:spacing w:before="120" w:after="120" w:line="259" w:lineRule="auto"/>
        <w:rPr>
          <w:rFonts w:ascii="Times New Roman" w:eastAsia="Calibri" w:hAnsi="Times New Roman"/>
          <w:sz w:val="24"/>
        </w:rPr>
      </w:pPr>
      <w:r w:rsidRPr="00F44C21">
        <w:rPr>
          <w:rFonts w:ascii="Times New Roman" w:eastAsia="Calibri" w:hAnsi="Times New Roman"/>
          <w:sz w:val="24"/>
        </w:rPr>
        <w:t>enable the reporting entity to determine the level of ML/TF risk involved in continuing to rely on an ACIP or other identification procedures undertaken by the other person; and</w:t>
      </w:r>
    </w:p>
    <w:p w:rsidR="00753207" w:rsidRPr="00F44C21" w:rsidRDefault="00753207" w:rsidP="00F44C21">
      <w:pPr>
        <w:pStyle w:val="ListParagraph"/>
        <w:numPr>
          <w:ilvl w:val="0"/>
          <w:numId w:val="3"/>
        </w:numPr>
        <w:spacing w:before="120" w:after="120" w:line="259" w:lineRule="auto"/>
        <w:rPr>
          <w:rFonts w:ascii="Times New Roman" w:eastAsia="Calibri" w:hAnsi="Times New Roman"/>
          <w:sz w:val="24"/>
        </w:rPr>
      </w:pPr>
      <w:proofErr w:type="gramStart"/>
      <w:r w:rsidRPr="00F44C21">
        <w:rPr>
          <w:rFonts w:ascii="Times New Roman" w:eastAsia="Calibri" w:hAnsi="Times New Roman"/>
          <w:sz w:val="24"/>
        </w:rPr>
        <w:t>identify</w:t>
      </w:r>
      <w:proofErr w:type="gramEnd"/>
      <w:r w:rsidRPr="00F44C21">
        <w:rPr>
          <w:rFonts w:ascii="Times New Roman" w:eastAsia="Calibri" w:hAnsi="Times New Roman"/>
          <w:sz w:val="24"/>
        </w:rPr>
        <w:t xml:space="preserve"> any deficiencies in the effectiveness of the agreement or arrangement.</w:t>
      </w:r>
    </w:p>
    <w:p w:rsidR="00682BAA" w:rsidRPr="00F44C21" w:rsidRDefault="00682BAA"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These regular assessments are to be carried out at appropriate and regular intervals having regard to:</w:t>
      </w:r>
    </w:p>
    <w:p w:rsidR="00682BAA" w:rsidRPr="00F44C21" w:rsidRDefault="00682BAA" w:rsidP="00F44C21">
      <w:pPr>
        <w:pStyle w:val="ListParagraph"/>
        <w:numPr>
          <w:ilvl w:val="0"/>
          <w:numId w:val="3"/>
        </w:numPr>
        <w:spacing w:before="120" w:after="120" w:line="259" w:lineRule="auto"/>
        <w:rPr>
          <w:rFonts w:ascii="Times New Roman" w:eastAsia="Calibri" w:hAnsi="Times New Roman"/>
          <w:sz w:val="24"/>
        </w:rPr>
      </w:pPr>
      <w:r w:rsidRPr="00F44C21">
        <w:rPr>
          <w:rFonts w:ascii="Times New Roman" w:eastAsia="Calibri" w:hAnsi="Times New Roman"/>
          <w:sz w:val="24"/>
        </w:rPr>
        <w:t>the type and level of ML/TF risk faced by the reporting entity; and</w:t>
      </w:r>
    </w:p>
    <w:p w:rsidR="00682BAA" w:rsidRPr="00F44C21" w:rsidRDefault="00682BAA" w:rsidP="00F44C21">
      <w:pPr>
        <w:pStyle w:val="ListParagraph"/>
        <w:numPr>
          <w:ilvl w:val="0"/>
          <w:numId w:val="3"/>
        </w:numPr>
        <w:spacing w:before="120" w:after="120" w:line="259" w:lineRule="auto"/>
        <w:rPr>
          <w:rFonts w:ascii="Times New Roman" w:eastAsia="Calibri" w:hAnsi="Times New Roman"/>
          <w:sz w:val="24"/>
        </w:rPr>
      </w:pPr>
      <w:proofErr w:type="gramStart"/>
      <w:r w:rsidRPr="00F44C21">
        <w:rPr>
          <w:rFonts w:ascii="Times New Roman" w:eastAsia="Calibri" w:hAnsi="Times New Roman"/>
          <w:sz w:val="24"/>
        </w:rPr>
        <w:t>any</w:t>
      </w:r>
      <w:proofErr w:type="gramEnd"/>
      <w:r w:rsidRPr="00F44C21">
        <w:rPr>
          <w:rFonts w:ascii="Times New Roman" w:eastAsia="Calibri" w:hAnsi="Times New Roman"/>
          <w:sz w:val="24"/>
        </w:rPr>
        <w:t xml:space="preserve"> material change in respect of the matters specified in subparagraph</w:t>
      </w:r>
      <w:r w:rsidR="00C46410" w:rsidRPr="00F44C21">
        <w:rPr>
          <w:rFonts w:ascii="Times New Roman" w:eastAsia="Calibri" w:hAnsi="Times New Roman"/>
          <w:sz w:val="24"/>
        </w:rPr>
        <w:t>s</w:t>
      </w:r>
      <w:r w:rsidRPr="00F44C21">
        <w:rPr>
          <w:rFonts w:ascii="Times New Roman" w:eastAsia="Calibri" w:hAnsi="Times New Roman"/>
          <w:sz w:val="24"/>
        </w:rPr>
        <w:t xml:space="preserve"> 7.2.2(2)–(5) of the AML/CTF Rules.</w:t>
      </w:r>
    </w:p>
    <w:p w:rsidR="000217EC" w:rsidRPr="00F44C21" w:rsidRDefault="00035CF9"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 xml:space="preserve">However, the assessments </w:t>
      </w:r>
      <w:proofErr w:type="gramStart"/>
      <w:r w:rsidRPr="00F44C21">
        <w:rPr>
          <w:rFonts w:ascii="Times New Roman" w:eastAsia="Calibri" w:hAnsi="Times New Roman"/>
          <w:sz w:val="24"/>
        </w:rPr>
        <w:t>must be done</w:t>
      </w:r>
      <w:proofErr w:type="gramEnd"/>
      <w:r w:rsidRPr="00F44C21">
        <w:rPr>
          <w:rFonts w:ascii="Times New Roman" w:eastAsia="Calibri" w:hAnsi="Times New Roman"/>
          <w:sz w:val="24"/>
        </w:rPr>
        <w:t xml:space="preserve"> at least every 2 years. Chapter 7 also specifies that a reporting entity must ensure that any changes to the agreement or arrangement considered necessary to correct any deficiencies identified as part of the assessment are implemented as soon as practicable.</w:t>
      </w:r>
    </w:p>
    <w:p w:rsidR="007D6927" w:rsidRPr="00F44C21" w:rsidRDefault="007D6927" w:rsidP="00F44C21">
      <w:pPr>
        <w:pStyle w:val="ListParagraph"/>
        <w:spacing w:before="120" w:after="120" w:line="259" w:lineRule="auto"/>
        <w:ind w:left="0"/>
        <w:rPr>
          <w:rFonts w:ascii="Times New Roman" w:eastAsia="Calibri" w:hAnsi="Times New Roman"/>
          <w:b/>
          <w:i/>
          <w:sz w:val="24"/>
        </w:rPr>
      </w:pPr>
      <w:r w:rsidRPr="00F44C21">
        <w:rPr>
          <w:rFonts w:ascii="Times New Roman" w:eastAsia="Calibri" w:hAnsi="Times New Roman"/>
          <w:b/>
          <w:i/>
          <w:sz w:val="24"/>
        </w:rPr>
        <w:t>Amendments to Chapter 10</w:t>
      </w:r>
    </w:p>
    <w:p w:rsidR="007D6927" w:rsidRPr="00F44C21" w:rsidRDefault="007D6927" w:rsidP="00F44C21">
      <w:pPr>
        <w:pStyle w:val="ListParagraph"/>
        <w:numPr>
          <w:ilvl w:val="0"/>
          <w:numId w:val="1"/>
        </w:numPr>
        <w:spacing w:before="120" w:after="120" w:line="259" w:lineRule="auto"/>
        <w:rPr>
          <w:rFonts w:ascii="Times New Roman" w:eastAsia="Calibri" w:hAnsi="Times New Roman"/>
          <w:sz w:val="24"/>
        </w:rPr>
      </w:pPr>
      <w:r w:rsidRPr="00F44C21">
        <w:rPr>
          <w:rFonts w:ascii="Times New Roman" w:eastAsia="Calibri" w:hAnsi="Times New Roman"/>
          <w:sz w:val="24"/>
        </w:rPr>
        <w:t>The amendments to Chapter 6 required consequential amendments to paragraphs 10.1.7 and 10.2.7</w:t>
      </w:r>
      <w:r w:rsidR="00C46410" w:rsidRPr="00F44C21">
        <w:rPr>
          <w:rFonts w:ascii="Times New Roman" w:eastAsia="Calibri" w:hAnsi="Times New Roman"/>
          <w:sz w:val="24"/>
        </w:rPr>
        <w:t xml:space="preserve"> of the AML/CTF Rules</w:t>
      </w:r>
      <w:r w:rsidRPr="00F44C21">
        <w:rPr>
          <w:rFonts w:ascii="Times New Roman" w:eastAsia="Calibri" w:hAnsi="Times New Roman"/>
          <w:sz w:val="24"/>
        </w:rPr>
        <w:t xml:space="preserve">. These paragraphs </w:t>
      </w:r>
      <w:proofErr w:type="gramStart"/>
      <w:r w:rsidRPr="00F44C21">
        <w:rPr>
          <w:rFonts w:ascii="Times New Roman" w:eastAsia="Calibri" w:hAnsi="Times New Roman"/>
          <w:sz w:val="24"/>
        </w:rPr>
        <w:t>have been renumbered</w:t>
      </w:r>
      <w:proofErr w:type="gramEnd"/>
      <w:r w:rsidRPr="00F44C21">
        <w:rPr>
          <w:rFonts w:ascii="Times New Roman" w:eastAsia="Calibri" w:hAnsi="Times New Roman"/>
          <w:sz w:val="24"/>
        </w:rPr>
        <w:t xml:space="preserve"> as paragraphs 10.1.6 and 10.2.6. </w:t>
      </w:r>
      <w:r w:rsidR="00C46410" w:rsidRPr="00F44C21">
        <w:rPr>
          <w:rFonts w:ascii="Times New Roman" w:eastAsia="Calibri" w:hAnsi="Times New Roman"/>
          <w:sz w:val="24"/>
        </w:rPr>
        <w:t xml:space="preserve">The </w:t>
      </w:r>
      <w:r w:rsidRPr="00F44C21">
        <w:rPr>
          <w:rFonts w:ascii="Times New Roman" w:eastAsia="Calibri" w:hAnsi="Times New Roman"/>
          <w:sz w:val="24"/>
        </w:rPr>
        <w:t>consequential amendments</w:t>
      </w:r>
      <w:r w:rsidR="00C46410" w:rsidRPr="00F44C21">
        <w:rPr>
          <w:rFonts w:ascii="Times New Roman" w:eastAsia="Calibri" w:hAnsi="Times New Roman"/>
          <w:sz w:val="24"/>
        </w:rPr>
        <w:t xml:space="preserve"> also</w:t>
      </w:r>
      <w:r w:rsidRPr="00F44C21">
        <w:rPr>
          <w:rFonts w:ascii="Times New Roman" w:eastAsia="Calibri" w:hAnsi="Times New Roman"/>
          <w:sz w:val="24"/>
        </w:rPr>
        <w:t xml:space="preserve"> </w:t>
      </w:r>
      <w:r w:rsidRPr="00F44C21">
        <w:rPr>
          <w:rFonts w:ascii="Times New Roman" w:eastAsia="Calibri" w:hAnsi="Times New Roman"/>
          <w:sz w:val="24"/>
        </w:rPr>
        <w:lastRenderedPageBreak/>
        <w:t xml:space="preserve">update the references to Chapter 6 in Chapter 10, and do not change the requirements set out in </w:t>
      </w:r>
      <w:r w:rsidR="00C46410" w:rsidRPr="00F44C21">
        <w:rPr>
          <w:rFonts w:ascii="Times New Roman" w:eastAsia="Calibri" w:hAnsi="Times New Roman"/>
          <w:sz w:val="24"/>
        </w:rPr>
        <w:t>the relevant paragraphs.</w:t>
      </w:r>
      <w:r w:rsidRPr="00F44C21">
        <w:rPr>
          <w:rFonts w:ascii="Times New Roman" w:eastAsia="Calibri" w:hAnsi="Times New Roman"/>
          <w:sz w:val="24"/>
        </w:rPr>
        <w:t xml:space="preserve"> </w:t>
      </w:r>
    </w:p>
    <w:p w:rsidR="00017141" w:rsidRPr="00C46410" w:rsidRDefault="009B309E" w:rsidP="00C1088D">
      <w:pPr>
        <w:spacing w:before="360" w:after="160" w:line="259" w:lineRule="auto"/>
        <w:rPr>
          <w:rFonts w:ascii="Times New Roman" w:eastAsia="Calibri" w:hAnsi="Times New Roman"/>
          <w:b/>
          <w:caps/>
          <w:sz w:val="24"/>
        </w:rPr>
      </w:pPr>
      <w:r w:rsidRPr="00C46410">
        <w:rPr>
          <w:rFonts w:ascii="Times New Roman" w:eastAsia="Calibri" w:hAnsi="Times New Roman"/>
          <w:b/>
          <w:caps/>
          <w:sz w:val="24"/>
        </w:rPr>
        <w:t>Consultation</w:t>
      </w:r>
    </w:p>
    <w:p w:rsidR="0058710C" w:rsidRPr="00BF5792" w:rsidRDefault="0058710C" w:rsidP="00BF5792">
      <w:pPr>
        <w:pStyle w:val="ListParagraph"/>
        <w:numPr>
          <w:ilvl w:val="0"/>
          <w:numId w:val="1"/>
        </w:numPr>
        <w:spacing w:before="120" w:after="120" w:line="259" w:lineRule="auto"/>
        <w:rPr>
          <w:rFonts w:ascii="Times New Roman" w:eastAsia="Calibri" w:hAnsi="Times New Roman"/>
          <w:sz w:val="24"/>
        </w:rPr>
      </w:pPr>
      <w:r w:rsidRPr="00BF5792">
        <w:rPr>
          <w:rFonts w:ascii="Times New Roman" w:eastAsia="Calibri" w:hAnsi="Times New Roman"/>
          <w:sz w:val="24"/>
        </w:rPr>
        <w:t xml:space="preserve">Draft AML/CTF Rules </w:t>
      </w:r>
      <w:proofErr w:type="gramStart"/>
      <w:r w:rsidRPr="00BF5792">
        <w:rPr>
          <w:rFonts w:ascii="Times New Roman" w:eastAsia="Calibri" w:hAnsi="Times New Roman"/>
          <w:sz w:val="24"/>
        </w:rPr>
        <w:t>were released</w:t>
      </w:r>
      <w:proofErr w:type="gramEnd"/>
      <w:r w:rsidRPr="00BF5792">
        <w:rPr>
          <w:rFonts w:ascii="Times New Roman" w:eastAsia="Calibri" w:hAnsi="Times New Roman"/>
          <w:sz w:val="24"/>
        </w:rPr>
        <w:t xml:space="preserve"> on 28 January 2021 for a six-week period of public consultation. Ongoing consultation with industry</w:t>
      </w:r>
      <w:r w:rsidR="008320A3" w:rsidRPr="00BF5792">
        <w:rPr>
          <w:rFonts w:ascii="Times New Roman" w:eastAsia="Calibri" w:hAnsi="Times New Roman"/>
          <w:sz w:val="24"/>
        </w:rPr>
        <w:t xml:space="preserve"> associations</w:t>
      </w:r>
      <w:r w:rsidRPr="00BF5792">
        <w:rPr>
          <w:rFonts w:ascii="Times New Roman" w:eastAsia="Calibri" w:hAnsi="Times New Roman"/>
          <w:sz w:val="24"/>
        </w:rPr>
        <w:t xml:space="preserve"> </w:t>
      </w:r>
      <w:proofErr w:type="gramStart"/>
      <w:r w:rsidRPr="00BF5792">
        <w:rPr>
          <w:rFonts w:ascii="Times New Roman" w:eastAsia="Calibri" w:hAnsi="Times New Roman"/>
          <w:sz w:val="24"/>
        </w:rPr>
        <w:t>was undertaken</w:t>
      </w:r>
      <w:proofErr w:type="gramEnd"/>
      <w:r w:rsidR="008320A3" w:rsidRPr="00BF5792">
        <w:rPr>
          <w:rFonts w:ascii="Times New Roman" w:eastAsia="Calibri" w:hAnsi="Times New Roman"/>
          <w:sz w:val="24"/>
        </w:rPr>
        <w:t xml:space="preserve"> following the public consultation period</w:t>
      </w:r>
      <w:r w:rsidRPr="00BF5792">
        <w:rPr>
          <w:rFonts w:ascii="Times New Roman" w:eastAsia="Calibri" w:hAnsi="Times New Roman"/>
          <w:sz w:val="24"/>
        </w:rPr>
        <w:t>.</w:t>
      </w:r>
    </w:p>
    <w:p w:rsidR="00017141" w:rsidRPr="00C46410" w:rsidRDefault="009B309E" w:rsidP="00BF5792">
      <w:pPr>
        <w:spacing w:before="360" w:after="160" w:line="259" w:lineRule="auto"/>
        <w:rPr>
          <w:rFonts w:ascii="Times New Roman" w:eastAsia="Calibri" w:hAnsi="Times New Roman"/>
          <w:b/>
          <w:caps/>
          <w:sz w:val="24"/>
        </w:rPr>
      </w:pPr>
      <w:r w:rsidRPr="00C46410">
        <w:rPr>
          <w:rFonts w:ascii="Times New Roman" w:eastAsia="Calibri" w:hAnsi="Times New Roman"/>
          <w:b/>
          <w:caps/>
          <w:sz w:val="24"/>
        </w:rPr>
        <w:t xml:space="preserve">Regulation impact statement </w:t>
      </w:r>
    </w:p>
    <w:p w:rsidR="00A05511" w:rsidRPr="00BF5792" w:rsidRDefault="002F62ED" w:rsidP="00BF5792">
      <w:pPr>
        <w:numPr>
          <w:ilvl w:val="0"/>
          <w:numId w:val="1"/>
        </w:numPr>
        <w:spacing w:line="259" w:lineRule="auto"/>
        <w:rPr>
          <w:rFonts w:ascii="Times New Roman" w:eastAsia="Calibri" w:hAnsi="Times New Roman"/>
          <w:sz w:val="24"/>
        </w:rPr>
      </w:pPr>
      <w:r w:rsidRPr="00BF5792">
        <w:rPr>
          <w:rFonts w:ascii="Times New Roman" w:eastAsia="Calibri" w:hAnsi="Times New Roman"/>
          <w:sz w:val="24"/>
        </w:rPr>
        <w:t xml:space="preserve">The Office of Best Practice </w:t>
      </w:r>
      <w:r w:rsidR="00C46410" w:rsidRPr="00BF5792">
        <w:rPr>
          <w:rFonts w:ascii="Times New Roman" w:eastAsia="Calibri" w:hAnsi="Times New Roman"/>
          <w:sz w:val="24"/>
        </w:rPr>
        <w:t xml:space="preserve">and </w:t>
      </w:r>
      <w:r w:rsidRPr="00BF5792">
        <w:rPr>
          <w:rFonts w:ascii="Times New Roman" w:eastAsia="Calibri" w:hAnsi="Times New Roman"/>
          <w:sz w:val="24"/>
        </w:rPr>
        <w:t>Regulation has advised that a Regulatory Impact Statement (</w:t>
      </w:r>
      <w:r w:rsidRPr="00BF5792">
        <w:rPr>
          <w:rFonts w:ascii="Times New Roman" w:eastAsia="Calibri" w:hAnsi="Times New Roman"/>
          <w:b/>
          <w:sz w:val="24"/>
        </w:rPr>
        <w:t>RIS</w:t>
      </w:r>
      <w:r w:rsidRPr="00BF5792">
        <w:rPr>
          <w:rFonts w:ascii="Times New Roman" w:eastAsia="Calibri" w:hAnsi="Times New Roman"/>
          <w:sz w:val="24"/>
        </w:rPr>
        <w:t xml:space="preserve">) is not </w:t>
      </w:r>
      <w:proofErr w:type="gramStart"/>
      <w:r w:rsidRPr="00BF5792">
        <w:rPr>
          <w:rFonts w:ascii="Times New Roman" w:eastAsia="Calibri" w:hAnsi="Times New Roman"/>
          <w:sz w:val="24"/>
        </w:rPr>
        <w:t>required</w:t>
      </w:r>
      <w:proofErr w:type="gramEnd"/>
      <w:r w:rsidRPr="00BF5792">
        <w:rPr>
          <w:rFonts w:ascii="Times New Roman" w:eastAsia="Calibri" w:hAnsi="Times New Roman"/>
          <w:sz w:val="24"/>
        </w:rPr>
        <w:t xml:space="preserve"> as the amendments to the AML/CTF Rules are machinery in nature and covered by the RIS prepared for the </w:t>
      </w:r>
      <w:r w:rsidR="00C46410" w:rsidRPr="00BF5792">
        <w:rPr>
          <w:rFonts w:ascii="Times New Roman" w:eastAsia="Calibri" w:hAnsi="Times New Roman"/>
          <w:sz w:val="24"/>
        </w:rPr>
        <w:t>Amendment Act</w:t>
      </w:r>
      <w:r w:rsidRPr="00BF5792">
        <w:rPr>
          <w:rFonts w:ascii="Times New Roman" w:eastAsia="Calibri" w:hAnsi="Times New Roman"/>
          <w:sz w:val="24"/>
        </w:rPr>
        <w:t>.</w:t>
      </w:r>
    </w:p>
    <w:p w:rsidR="00017141" w:rsidRPr="00733D11" w:rsidRDefault="00017141" w:rsidP="00733D11">
      <w:pPr>
        <w:spacing w:line="276" w:lineRule="auto"/>
        <w:rPr>
          <w:rFonts w:ascii="Times New Roman" w:eastAsia="Calibri" w:hAnsi="Times New Roman"/>
          <w:sz w:val="24"/>
          <w:szCs w:val="22"/>
        </w:rPr>
      </w:pPr>
    </w:p>
    <w:p w:rsidR="009B309E" w:rsidRPr="0060668C" w:rsidRDefault="009B309E" w:rsidP="00BF5792">
      <w:pPr>
        <w:spacing w:after="160" w:line="360" w:lineRule="auto"/>
        <w:jc w:val="right"/>
        <w:rPr>
          <w:rFonts w:ascii="Times New Roman" w:eastAsia="Calibri" w:hAnsi="Times New Roman"/>
          <w:b/>
          <w:caps/>
          <w:sz w:val="24"/>
          <w:u w:val="single"/>
        </w:rPr>
      </w:pPr>
      <w:r w:rsidRPr="00733D11">
        <w:rPr>
          <w:rFonts w:ascii="Times New Roman" w:eastAsia="Calibri" w:hAnsi="Times New Roman"/>
          <w:b/>
          <w:caps/>
          <w:sz w:val="24"/>
        </w:rPr>
        <w:br w:type="page"/>
      </w:r>
      <w:r w:rsidRPr="0060668C">
        <w:rPr>
          <w:rFonts w:ascii="Times New Roman" w:eastAsia="Calibri" w:hAnsi="Times New Roman"/>
          <w:b/>
          <w:caps/>
          <w:sz w:val="24"/>
          <w:u w:val="single"/>
        </w:rPr>
        <w:lastRenderedPageBreak/>
        <w:t>ATTACHMENT A</w:t>
      </w:r>
    </w:p>
    <w:p w:rsidR="00B04F55" w:rsidRDefault="00B04F55" w:rsidP="00B04F55">
      <w:pPr>
        <w:spacing w:before="240"/>
        <w:rPr>
          <w:rFonts w:ascii="Times New Roman" w:hAnsi="Times New Roman"/>
          <w:b/>
          <w:sz w:val="24"/>
        </w:rPr>
      </w:pPr>
    </w:p>
    <w:p w:rsidR="00B04F55" w:rsidRPr="00C1088D" w:rsidRDefault="00B04F55" w:rsidP="00C1088D">
      <w:pPr>
        <w:spacing w:before="240" w:after="160" w:line="259" w:lineRule="auto"/>
        <w:rPr>
          <w:rFonts w:ascii="Times New Roman" w:eastAsia="Calibri" w:hAnsi="Times New Roman"/>
          <w:b/>
          <w:i/>
          <w:sz w:val="24"/>
        </w:rPr>
      </w:pPr>
      <w:r w:rsidRPr="00BF6A36">
        <w:rPr>
          <w:rFonts w:ascii="Times New Roman" w:eastAsia="Calibri" w:hAnsi="Times New Roman"/>
          <w:b/>
          <w:i/>
          <w:sz w:val="24"/>
        </w:rPr>
        <w:t>Anti-Money Laundering and Counter-Terrorism Financing Rules Amendment Instrument 20</w:t>
      </w:r>
      <w:r w:rsidR="005C28B5" w:rsidRPr="00BF6A36">
        <w:rPr>
          <w:rFonts w:ascii="Times New Roman" w:eastAsia="Calibri" w:hAnsi="Times New Roman"/>
          <w:b/>
          <w:i/>
          <w:sz w:val="24"/>
        </w:rPr>
        <w:t>2</w:t>
      </w:r>
      <w:r w:rsidR="00C46410" w:rsidRPr="00BF6A36">
        <w:rPr>
          <w:rFonts w:ascii="Times New Roman" w:eastAsia="Calibri" w:hAnsi="Times New Roman"/>
          <w:b/>
          <w:i/>
          <w:sz w:val="24"/>
        </w:rPr>
        <w:t>1</w:t>
      </w:r>
      <w:r w:rsidRPr="00C1088D">
        <w:rPr>
          <w:rFonts w:ascii="Times New Roman" w:eastAsia="Calibri" w:hAnsi="Times New Roman"/>
          <w:b/>
          <w:i/>
          <w:sz w:val="24"/>
        </w:rPr>
        <w:t xml:space="preserve"> (No. </w:t>
      </w:r>
      <w:r w:rsidR="00C46410" w:rsidRPr="00C1088D">
        <w:rPr>
          <w:rFonts w:ascii="Times New Roman" w:eastAsia="Calibri" w:hAnsi="Times New Roman"/>
          <w:b/>
          <w:i/>
          <w:sz w:val="24"/>
        </w:rPr>
        <w:t>1</w:t>
      </w:r>
      <w:r w:rsidRPr="00C1088D">
        <w:rPr>
          <w:rFonts w:ascii="Times New Roman" w:eastAsia="Calibri" w:hAnsi="Times New Roman"/>
          <w:b/>
          <w:i/>
          <w:sz w:val="24"/>
        </w:rPr>
        <w:t xml:space="preserve">) </w:t>
      </w:r>
    </w:p>
    <w:p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Section 1—Name</w:t>
      </w:r>
    </w:p>
    <w:p w:rsidR="00B04F55" w:rsidRPr="0060668C" w:rsidRDefault="00B04F55" w:rsidP="00BC6A40">
      <w:pPr>
        <w:autoSpaceDE w:val="0"/>
        <w:autoSpaceDN w:val="0"/>
        <w:adjustRightInd w:val="0"/>
        <w:spacing w:before="240" w:line="259" w:lineRule="auto"/>
        <w:rPr>
          <w:rFonts w:ascii="Times New Roman" w:hAnsi="Times New Roman"/>
          <w:sz w:val="24"/>
        </w:rPr>
      </w:pPr>
      <w:r w:rsidRPr="0060668C">
        <w:rPr>
          <w:rFonts w:ascii="Times New Roman" w:hAnsi="Times New Roman"/>
          <w:sz w:val="24"/>
        </w:rPr>
        <w:t xml:space="preserve">This section </w:t>
      </w:r>
      <w:r w:rsidR="00206C4A" w:rsidRPr="0060668C">
        <w:rPr>
          <w:rFonts w:ascii="Times New Roman" w:hAnsi="Times New Roman"/>
          <w:sz w:val="24"/>
        </w:rPr>
        <w:t>provides that the name of the Instrument is</w:t>
      </w:r>
      <w:r w:rsidRPr="0060668C">
        <w:rPr>
          <w:rFonts w:ascii="Times New Roman" w:hAnsi="Times New Roman"/>
          <w:sz w:val="24"/>
        </w:rPr>
        <w:t xml:space="preserve"> the </w:t>
      </w:r>
      <w:r w:rsidRPr="0060668C">
        <w:rPr>
          <w:rFonts w:ascii="Times New Roman" w:hAnsi="Times New Roman"/>
          <w:i/>
          <w:sz w:val="24"/>
        </w:rPr>
        <w:t>Anti-Money Laundering and Counter-Terrorism Financing Rules Amendment Instrument 20</w:t>
      </w:r>
      <w:r w:rsidR="005C28B5" w:rsidRPr="0060668C">
        <w:rPr>
          <w:rFonts w:ascii="Times New Roman" w:hAnsi="Times New Roman"/>
          <w:i/>
          <w:sz w:val="24"/>
        </w:rPr>
        <w:t>2</w:t>
      </w:r>
      <w:r w:rsidR="00FE31BF" w:rsidRPr="0060668C">
        <w:rPr>
          <w:rFonts w:ascii="Times New Roman" w:hAnsi="Times New Roman"/>
          <w:i/>
          <w:sz w:val="24"/>
        </w:rPr>
        <w:t>1</w:t>
      </w:r>
      <w:r w:rsidRPr="0060668C">
        <w:rPr>
          <w:rFonts w:ascii="Times New Roman" w:hAnsi="Times New Roman"/>
          <w:i/>
          <w:sz w:val="24"/>
        </w:rPr>
        <w:t xml:space="preserve"> (No. </w:t>
      </w:r>
      <w:r w:rsidR="00FE31BF" w:rsidRPr="0060668C">
        <w:rPr>
          <w:rFonts w:ascii="Times New Roman" w:hAnsi="Times New Roman"/>
          <w:i/>
          <w:sz w:val="24"/>
        </w:rPr>
        <w:t>1</w:t>
      </w:r>
      <w:r w:rsidRPr="0060668C">
        <w:rPr>
          <w:rFonts w:ascii="Times New Roman" w:hAnsi="Times New Roman"/>
          <w:sz w:val="24"/>
        </w:rPr>
        <w:t>).</w:t>
      </w:r>
    </w:p>
    <w:p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Section 2—Commencement</w:t>
      </w:r>
    </w:p>
    <w:p w:rsidR="00206C4A" w:rsidRPr="0060668C" w:rsidRDefault="00B04F55" w:rsidP="0060668C">
      <w:pPr>
        <w:autoSpaceDE w:val="0"/>
        <w:autoSpaceDN w:val="0"/>
        <w:adjustRightInd w:val="0"/>
        <w:spacing w:before="240" w:line="259" w:lineRule="auto"/>
        <w:rPr>
          <w:rFonts w:ascii="Times New Roman" w:hAnsi="Times New Roman"/>
          <w:sz w:val="24"/>
        </w:rPr>
      </w:pPr>
      <w:r w:rsidRPr="0060668C">
        <w:rPr>
          <w:rFonts w:ascii="Times New Roman" w:hAnsi="Times New Roman"/>
          <w:sz w:val="24"/>
        </w:rPr>
        <w:t>This section</w:t>
      </w:r>
      <w:r w:rsidR="00BF6A36">
        <w:rPr>
          <w:rFonts w:ascii="Times New Roman" w:hAnsi="Times New Roman"/>
          <w:sz w:val="24"/>
        </w:rPr>
        <w:t xml:space="preserve"> provides for the commencement of each provision in the Instrument, as set out in the table in subsection 2(2).</w:t>
      </w:r>
      <w:r w:rsidRPr="0060668C">
        <w:rPr>
          <w:rFonts w:ascii="Times New Roman" w:hAnsi="Times New Roman"/>
          <w:sz w:val="24"/>
        </w:rPr>
        <w:t xml:space="preserve"> </w:t>
      </w:r>
    </w:p>
    <w:p w:rsidR="00B04F55" w:rsidRPr="0060668C" w:rsidRDefault="00206C4A" w:rsidP="00B04F55">
      <w:pPr>
        <w:autoSpaceDE w:val="0"/>
        <w:autoSpaceDN w:val="0"/>
        <w:adjustRightInd w:val="0"/>
        <w:spacing w:before="240"/>
        <w:rPr>
          <w:rFonts w:ascii="Times New Roman" w:hAnsi="Times New Roman"/>
          <w:sz w:val="24"/>
        </w:rPr>
      </w:pPr>
      <w:r w:rsidRPr="0060668C">
        <w:rPr>
          <w:rFonts w:ascii="Times New Roman" w:hAnsi="Times New Roman"/>
          <w:sz w:val="24"/>
        </w:rPr>
        <w:t xml:space="preserve">The </w:t>
      </w:r>
      <w:r w:rsidR="00BF6A36">
        <w:rPr>
          <w:rFonts w:ascii="Times New Roman" w:hAnsi="Times New Roman"/>
          <w:sz w:val="24"/>
        </w:rPr>
        <w:t>amendments in Schedule 1 commence</w:t>
      </w:r>
      <w:r w:rsidR="00B04F55" w:rsidRPr="0060668C">
        <w:rPr>
          <w:rFonts w:ascii="Times New Roman" w:hAnsi="Times New Roman"/>
          <w:sz w:val="24"/>
        </w:rPr>
        <w:t xml:space="preserve"> </w:t>
      </w:r>
      <w:r w:rsidRPr="0060668C">
        <w:rPr>
          <w:rFonts w:ascii="Times New Roman" w:hAnsi="Times New Roman"/>
          <w:sz w:val="24"/>
        </w:rPr>
        <w:t xml:space="preserve">on </w:t>
      </w:r>
      <w:r w:rsidR="00FE31BF" w:rsidRPr="0060668C">
        <w:rPr>
          <w:rFonts w:ascii="Times New Roman" w:hAnsi="Times New Roman"/>
          <w:sz w:val="24"/>
        </w:rPr>
        <w:t>17 June 2021</w:t>
      </w:r>
      <w:r w:rsidR="00B04F55" w:rsidRPr="0060668C">
        <w:rPr>
          <w:rFonts w:ascii="Times New Roman" w:hAnsi="Times New Roman"/>
          <w:sz w:val="24"/>
        </w:rPr>
        <w:t>.</w:t>
      </w:r>
    </w:p>
    <w:p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Section 3—Authority</w:t>
      </w:r>
    </w:p>
    <w:p w:rsidR="00B04F55" w:rsidRPr="0060108F" w:rsidRDefault="00B04F55" w:rsidP="0060668C">
      <w:pPr>
        <w:autoSpaceDE w:val="0"/>
        <w:autoSpaceDN w:val="0"/>
        <w:adjustRightInd w:val="0"/>
        <w:spacing w:before="240" w:line="259" w:lineRule="auto"/>
        <w:rPr>
          <w:rFonts w:ascii="Times New Roman" w:hAnsi="Times New Roman"/>
          <w:sz w:val="24"/>
        </w:rPr>
      </w:pPr>
      <w:r w:rsidRPr="0060668C">
        <w:rPr>
          <w:rFonts w:ascii="Times New Roman" w:hAnsi="Times New Roman"/>
          <w:sz w:val="24"/>
        </w:rPr>
        <w:t>This section</w:t>
      </w:r>
      <w:r w:rsidR="00BF6A36">
        <w:rPr>
          <w:rFonts w:ascii="Times New Roman" w:hAnsi="Times New Roman"/>
          <w:sz w:val="24"/>
        </w:rPr>
        <w:t xml:space="preserve"> provides that the Instrument </w:t>
      </w:r>
      <w:proofErr w:type="gramStart"/>
      <w:r w:rsidR="00BF6A36">
        <w:rPr>
          <w:rFonts w:ascii="Times New Roman" w:hAnsi="Times New Roman"/>
          <w:sz w:val="24"/>
        </w:rPr>
        <w:t>is</w:t>
      </w:r>
      <w:proofErr w:type="gramEnd"/>
      <w:r w:rsidR="00BF6A36">
        <w:rPr>
          <w:rFonts w:ascii="Times New Roman" w:hAnsi="Times New Roman"/>
          <w:sz w:val="24"/>
        </w:rPr>
        <w:t xml:space="preserve"> made under section 229 of the </w:t>
      </w:r>
      <w:r w:rsidR="00BF6A36">
        <w:rPr>
          <w:rFonts w:ascii="Times New Roman" w:hAnsi="Times New Roman"/>
          <w:i/>
          <w:sz w:val="24"/>
        </w:rPr>
        <w:t>Anti-Money Laundering and Counter-Terrorism Financing Act 2006</w:t>
      </w:r>
      <w:r w:rsidR="00BF6A36">
        <w:rPr>
          <w:rFonts w:ascii="Times New Roman" w:hAnsi="Times New Roman"/>
          <w:sz w:val="24"/>
        </w:rPr>
        <w:t xml:space="preserve">. </w:t>
      </w:r>
    </w:p>
    <w:p w:rsidR="00C46410" w:rsidRPr="00BF6A36" w:rsidRDefault="00C46410" w:rsidP="00C46410">
      <w:pPr>
        <w:autoSpaceDE w:val="0"/>
        <w:autoSpaceDN w:val="0"/>
        <w:adjustRightInd w:val="0"/>
        <w:spacing w:before="240" w:line="259" w:lineRule="auto"/>
        <w:rPr>
          <w:rFonts w:ascii="Times New Roman" w:hAnsi="Times New Roman"/>
          <w:b/>
          <w:sz w:val="24"/>
        </w:rPr>
      </w:pPr>
      <w:r w:rsidRPr="00BF6A36">
        <w:rPr>
          <w:rFonts w:ascii="Times New Roman" w:hAnsi="Times New Roman"/>
          <w:b/>
          <w:sz w:val="24"/>
        </w:rPr>
        <w:t>Section 4—Schedules</w:t>
      </w:r>
    </w:p>
    <w:p w:rsidR="00206C4A" w:rsidRPr="0060108F" w:rsidRDefault="00206C4A" w:rsidP="0060108F">
      <w:pPr>
        <w:autoSpaceDE w:val="0"/>
        <w:autoSpaceDN w:val="0"/>
        <w:adjustRightInd w:val="0"/>
        <w:spacing w:before="240" w:line="259" w:lineRule="auto"/>
        <w:rPr>
          <w:rFonts w:ascii="Times New Roman" w:hAnsi="Times New Roman"/>
          <w:sz w:val="24"/>
        </w:rPr>
      </w:pPr>
      <w:r w:rsidRPr="0060108F">
        <w:rPr>
          <w:rFonts w:ascii="Times New Roman" w:hAnsi="Times New Roman"/>
          <w:sz w:val="24"/>
        </w:rPr>
        <w:t xml:space="preserve">This section provides that the </w:t>
      </w:r>
      <w:r w:rsidR="00BF6A36">
        <w:rPr>
          <w:rFonts w:ascii="Times New Roman" w:hAnsi="Times New Roman"/>
          <w:sz w:val="24"/>
        </w:rPr>
        <w:t>i</w:t>
      </w:r>
      <w:r w:rsidRPr="0060108F">
        <w:rPr>
          <w:rFonts w:ascii="Times New Roman" w:hAnsi="Times New Roman"/>
          <w:sz w:val="24"/>
        </w:rPr>
        <w:t xml:space="preserve">nstrument specified in Schedule 1 </w:t>
      </w:r>
      <w:proofErr w:type="gramStart"/>
      <w:r w:rsidRPr="0060108F">
        <w:rPr>
          <w:rFonts w:ascii="Times New Roman" w:hAnsi="Times New Roman"/>
          <w:sz w:val="24"/>
        </w:rPr>
        <w:t>is</w:t>
      </w:r>
      <w:proofErr w:type="gramEnd"/>
      <w:r w:rsidRPr="0060108F">
        <w:rPr>
          <w:rFonts w:ascii="Times New Roman" w:hAnsi="Times New Roman"/>
          <w:sz w:val="24"/>
        </w:rPr>
        <w:t xml:space="preserve"> amended as set out in the applicable items in that Schedule.</w:t>
      </w:r>
    </w:p>
    <w:p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Schedule 1—Amendments</w:t>
      </w:r>
    </w:p>
    <w:p w:rsidR="00206C4A" w:rsidRPr="0060108F" w:rsidRDefault="00206C4A" w:rsidP="0060108F">
      <w:pPr>
        <w:spacing w:before="240" w:line="259" w:lineRule="auto"/>
        <w:rPr>
          <w:rFonts w:ascii="Times New Roman" w:hAnsi="Times New Roman"/>
          <w:b/>
          <w:sz w:val="24"/>
        </w:rPr>
      </w:pPr>
      <w:r w:rsidRPr="0060108F">
        <w:rPr>
          <w:rFonts w:ascii="Times New Roman" w:hAnsi="Times New Roman"/>
          <w:i/>
          <w:sz w:val="24"/>
        </w:rPr>
        <w:t xml:space="preserve">Anti-Money Laundering and Counter-Terrorism Financing Rules Instrument 2007 (No. </w:t>
      </w:r>
      <w:r w:rsidR="004B5627" w:rsidRPr="0060108F">
        <w:rPr>
          <w:rFonts w:ascii="Times New Roman" w:hAnsi="Times New Roman"/>
          <w:i/>
          <w:sz w:val="24"/>
        </w:rPr>
        <w:t>1</w:t>
      </w:r>
      <w:r w:rsidR="005C28B5" w:rsidRPr="0060108F">
        <w:rPr>
          <w:rFonts w:ascii="Times New Roman" w:hAnsi="Times New Roman"/>
          <w:i/>
          <w:sz w:val="24"/>
        </w:rPr>
        <w:t>)</w:t>
      </w:r>
    </w:p>
    <w:p w:rsidR="00B04F55" w:rsidRPr="0060108F" w:rsidRDefault="00B04F55" w:rsidP="00B04F55">
      <w:pPr>
        <w:keepNext/>
        <w:spacing w:before="240"/>
        <w:rPr>
          <w:rFonts w:ascii="Times New Roman" w:hAnsi="Times New Roman"/>
          <w:b/>
          <w:sz w:val="24"/>
        </w:rPr>
      </w:pPr>
      <w:r w:rsidRPr="0060108F">
        <w:rPr>
          <w:rFonts w:ascii="Times New Roman" w:hAnsi="Times New Roman"/>
          <w:b/>
          <w:sz w:val="24"/>
        </w:rPr>
        <w:t>Notes on items</w:t>
      </w:r>
    </w:p>
    <w:p w:rsidR="00C46410" w:rsidRPr="00BF6A36" w:rsidRDefault="00C46410" w:rsidP="00C46410">
      <w:pPr>
        <w:keepNext/>
        <w:spacing w:before="240" w:line="259" w:lineRule="auto"/>
        <w:rPr>
          <w:rFonts w:ascii="Times New Roman" w:hAnsi="Times New Roman"/>
          <w:b/>
          <w:sz w:val="24"/>
        </w:rPr>
      </w:pPr>
      <w:r w:rsidRPr="00BF6A36">
        <w:rPr>
          <w:rFonts w:ascii="Times New Roman" w:hAnsi="Times New Roman"/>
          <w:b/>
          <w:sz w:val="24"/>
        </w:rPr>
        <w:t xml:space="preserve">Item </w:t>
      </w:r>
      <w:proofErr w:type="gramStart"/>
      <w:r w:rsidRPr="00BF6A36">
        <w:rPr>
          <w:rFonts w:ascii="Times New Roman" w:hAnsi="Times New Roman"/>
          <w:b/>
          <w:sz w:val="24"/>
        </w:rPr>
        <w:t>1—</w:t>
      </w:r>
      <w:proofErr w:type="gramEnd"/>
      <w:r w:rsidR="00BF6A36" w:rsidRPr="00BF6A36">
        <w:rPr>
          <w:rFonts w:ascii="Times New Roman" w:hAnsi="Times New Roman"/>
          <w:b/>
          <w:sz w:val="24"/>
        </w:rPr>
        <w:t>Chapter 3</w:t>
      </w:r>
    </w:p>
    <w:p w:rsidR="00B04F55" w:rsidRDefault="00B04F55" w:rsidP="00D37C18">
      <w:pPr>
        <w:autoSpaceDE w:val="0"/>
        <w:autoSpaceDN w:val="0"/>
        <w:adjustRightInd w:val="0"/>
        <w:spacing w:before="240" w:line="259" w:lineRule="auto"/>
        <w:rPr>
          <w:rFonts w:ascii="Times New Roman" w:hAnsi="Times New Roman"/>
          <w:sz w:val="24"/>
        </w:rPr>
      </w:pPr>
      <w:r w:rsidRPr="0060108F">
        <w:rPr>
          <w:rFonts w:ascii="Times New Roman" w:hAnsi="Times New Roman"/>
          <w:sz w:val="24"/>
        </w:rPr>
        <w:t xml:space="preserve">This item </w:t>
      </w:r>
      <w:r w:rsidR="004B5627" w:rsidRPr="0060108F">
        <w:rPr>
          <w:rFonts w:ascii="Times New Roman" w:hAnsi="Times New Roman"/>
          <w:sz w:val="24"/>
        </w:rPr>
        <w:t xml:space="preserve">repeals and substitutes a new </w:t>
      </w:r>
      <w:r w:rsidR="00C52C1F" w:rsidRPr="0060108F">
        <w:rPr>
          <w:rFonts w:ascii="Times New Roman" w:hAnsi="Times New Roman"/>
          <w:sz w:val="24"/>
        </w:rPr>
        <w:t>Chapter 3</w:t>
      </w:r>
      <w:r w:rsidR="002F525A" w:rsidRPr="0060108F">
        <w:rPr>
          <w:rFonts w:ascii="Times New Roman" w:hAnsi="Times New Roman"/>
          <w:sz w:val="24"/>
        </w:rPr>
        <w:t xml:space="preserve"> of the AML/CTF Rules.</w:t>
      </w:r>
    </w:p>
    <w:p w:rsidR="00633ACE" w:rsidRPr="00633ACE" w:rsidRDefault="00633ACE" w:rsidP="00633ACE">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3.1.1 provides that </w:t>
      </w:r>
      <w:r w:rsidRPr="00633ACE">
        <w:rPr>
          <w:rFonts w:ascii="Times New Roman" w:hAnsi="Times New Roman"/>
          <w:sz w:val="24"/>
        </w:rPr>
        <w:t xml:space="preserve">Part </w:t>
      </w:r>
      <w:r>
        <w:rPr>
          <w:rFonts w:ascii="Times New Roman" w:hAnsi="Times New Roman"/>
          <w:sz w:val="24"/>
        </w:rPr>
        <w:t xml:space="preserve">3.1 </w:t>
      </w:r>
      <w:proofErr w:type="gramStart"/>
      <w:r w:rsidRPr="00633ACE">
        <w:rPr>
          <w:rFonts w:ascii="Times New Roman" w:hAnsi="Times New Roman"/>
          <w:sz w:val="24"/>
        </w:rPr>
        <w:t>is</w:t>
      </w:r>
      <w:proofErr w:type="gramEnd"/>
      <w:r w:rsidRPr="00633ACE">
        <w:rPr>
          <w:rFonts w:ascii="Times New Roman" w:hAnsi="Times New Roman"/>
          <w:sz w:val="24"/>
        </w:rPr>
        <w:t xml:space="preserve"> made for subsection 96(1) of the </w:t>
      </w:r>
      <w:r>
        <w:rPr>
          <w:rFonts w:ascii="Times New Roman" w:hAnsi="Times New Roman"/>
          <w:sz w:val="24"/>
        </w:rPr>
        <w:t>AML/CTF Act</w:t>
      </w:r>
      <w:r w:rsidRPr="00633ACE">
        <w:rPr>
          <w:rFonts w:ascii="Times New Roman" w:hAnsi="Times New Roman"/>
          <w:sz w:val="24"/>
        </w:rPr>
        <w:t>.</w:t>
      </w:r>
    </w:p>
    <w:p w:rsidR="00633ACE" w:rsidRPr="00633ACE" w:rsidRDefault="00633ACE" w:rsidP="00633ACE">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Pr="00633ACE">
        <w:rPr>
          <w:rFonts w:ascii="Times New Roman" w:hAnsi="Times New Roman"/>
          <w:sz w:val="24"/>
        </w:rPr>
        <w:t>3.1.2</w:t>
      </w:r>
      <w:r w:rsidR="0084370A">
        <w:rPr>
          <w:rFonts w:ascii="Times New Roman" w:hAnsi="Times New Roman"/>
          <w:sz w:val="24"/>
        </w:rPr>
        <w:t xml:space="preserve"> requires that</w:t>
      </w:r>
      <w:r w:rsidRPr="00633ACE">
        <w:rPr>
          <w:rFonts w:ascii="Times New Roman" w:hAnsi="Times New Roman"/>
          <w:sz w:val="24"/>
        </w:rPr>
        <w:t xml:space="preserve"> </w:t>
      </w:r>
      <w:r w:rsidR="0084370A">
        <w:rPr>
          <w:rFonts w:ascii="Times New Roman" w:hAnsi="Times New Roman"/>
          <w:sz w:val="24"/>
        </w:rPr>
        <w:t xml:space="preserve">the correspondent </w:t>
      </w:r>
      <w:r w:rsidRPr="00633ACE">
        <w:rPr>
          <w:rFonts w:ascii="Times New Roman" w:hAnsi="Times New Roman"/>
          <w:sz w:val="24"/>
        </w:rPr>
        <w:t xml:space="preserve">must conduct due diligence to assess the money laundering, financing of terrorism or other serious crime risks associated with entry into a correspondent banking relationship with another financial institution (the respondent) that will involve a </w:t>
      </w:r>
      <w:proofErr w:type="spellStart"/>
      <w:r w:rsidRPr="00633ACE">
        <w:rPr>
          <w:rFonts w:ascii="Times New Roman" w:hAnsi="Times New Roman"/>
          <w:sz w:val="24"/>
        </w:rPr>
        <w:t>vostro</w:t>
      </w:r>
      <w:proofErr w:type="spellEnd"/>
      <w:r w:rsidRPr="00633ACE">
        <w:rPr>
          <w:rFonts w:ascii="Times New Roman" w:hAnsi="Times New Roman"/>
          <w:sz w:val="24"/>
        </w:rPr>
        <w:t xml:space="preserve"> account.</w:t>
      </w:r>
    </w:p>
    <w:p w:rsidR="00633ACE" w:rsidRPr="00633ACE" w:rsidRDefault="0084370A" w:rsidP="00633ACE">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00633ACE" w:rsidRPr="00633ACE">
        <w:rPr>
          <w:rFonts w:ascii="Times New Roman" w:hAnsi="Times New Roman"/>
          <w:sz w:val="24"/>
        </w:rPr>
        <w:t>3.1.3</w:t>
      </w:r>
      <w:r>
        <w:rPr>
          <w:rFonts w:ascii="Times New Roman" w:hAnsi="Times New Roman"/>
          <w:sz w:val="24"/>
        </w:rPr>
        <w:t xml:space="preserve"> sets out the </w:t>
      </w:r>
      <w:r w:rsidR="00633ACE" w:rsidRPr="00633ACE">
        <w:rPr>
          <w:rFonts w:ascii="Times New Roman" w:hAnsi="Times New Roman"/>
          <w:sz w:val="24"/>
        </w:rPr>
        <w:t xml:space="preserve">factors </w:t>
      </w:r>
      <w:r>
        <w:rPr>
          <w:rFonts w:ascii="Times New Roman" w:hAnsi="Times New Roman"/>
          <w:sz w:val="24"/>
        </w:rPr>
        <w:t xml:space="preserve">that the correspondent must consider </w:t>
      </w:r>
      <w:r w:rsidR="00633ACE" w:rsidRPr="00633ACE">
        <w:rPr>
          <w:rFonts w:ascii="Times New Roman" w:hAnsi="Times New Roman"/>
          <w:sz w:val="24"/>
        </w:rPr>
        <w:t xml:space="preserve">when assessing </w:t>
      </w:r>
      <w:r>
        <w:rPr>
          <w:rFonts w:ascii="Times New Roman" w:hAnsi="Times New Roman"/>
          <w:sz w:val="24"/>
        </w:rPr>
        <w:t>the risks specified in paragraph 3.1.2.</w:t>
      </w:r>
    </w:p>
    <w:p w:rsidR="00633ACE" w:rsidRPr="00633ACE" w:rsidRDefault="0084370A" w:rsidP="00633ACE">
      <w:pPr>
        <w:autoSpaceDE w:val="0"/>
        <w:autoSpaceDN w:val="0"/>
        <w:adjustRightInd w:val="0"/>
        <w:spacing w:before="240" w:line="259" w:lineRule="auto"/>
        <w:rPr>
          <w:rFonts w:ascii="Times New Roman" w:hAnsi="Times New Roman"/>
          <w:sz w:val="24"/>
        </w:rPr>
      </w:pPr>
      <w:proofErr w:type="gramStart"/>
      <w:r>
        <w:rPr>
          <w:rFonts w:ascii="Times New Roman" w:hAnsi="Times New Roman"/>
          <w:sz w:val="24"/>
        </w:rPr>
        <w:lastRenderedPageBreak/>
        <w:t xml:space="preserve">Paragraph </w:t>
      </w:r>
      <w:r w:rsidR="00633ACE" w:rsidRPr="00633ACE">
        <w:rPr>
          <w:rFonts w:ascii="Times New Roman" w:hAnsi="Times New Roman"/>
          <w:sz w:val="24"/>
        </w:rPr>
        <w:t>3.1.4</w:t>
      </w:r>
      <w:r>
        <w:rPr>
          <w:rFonts w:ascii="Times New Roman" w:hAnsi="Times New Roman"/>
          <w:sz w:val="24"/>
        </w:rPr>
        <w:t xml:space="preserve"> requires that</w:t>
      </w:r>
      <w:r w:rsidR="00633ACE" w:rsidRPr="00633ACE">
        <w:rPr>
          <w:rFonts w:ascii="Times New Roman" w:hAnsi="Times New Roman"/>
          <w:sz w:val="24"/>
        </w:rPr>
        <w:t xml:space="preserve"> </w:t>
      </w:r>
      <w:r>
        <w:rPr>
          <w:rFonts w:ascii="Times New Roman" w:hAnsi="Times New Roman"/>
          <w:sz w:val="24"/>
        </w:rPr>
        <w:t xml:space="preserve">before a </w:t>
      </w:r>
      <w:r w:rsidR="00633ACE" w:rsidRPr="00633ACE">
        <w:rPr>
          <w:rFonts w:ascii="Times New Roman" w:hAnsi="Times New Roman"/>
          <w:sz w:val="24"/>
        </w:rPr>
        <w:t xml:space="preserve">senior officer of the correspondent </w:t>
      </w:r>
      <w:r w:rsidR="00D831F7">
        <w:rPr>
          <w:rFonts w:ascii="Times New Roman" w:hAnsi="Times New Roman"/>
          <w:sz w:val="24"/>
        </w:rPr>
        <w:t xml:space="preserve">(senior officer) </w:t>
      </w:r>
      <w:r>
        <w:rPr>
          <w:rFonts w:ascii="Times New Roman" w:hAnsi="Times New Roman"/>
          <w:sz w:val="24"/>
        </w:rPr>
        <w:t xml:space="preserve">approves the entry of the correspondent into a correspondent banking relationship, the senior officer </w:t>
      </w:r>
      <w:r w:rsidR="00633ACE" w:rsidRPr="00633ACE">
        <w:rPr>
          <w:rFonts w:ascii="Times New Roman" w:hAnsi="Times New Roman"/>
          <w:sz w:val="24"/>
        </w:rPr>
        <w:t>must have regard to</w:t>
      </w:r>
      <w:r>
        <w:rPr>
          <w:rFonts w:ascii="Times New Roman" w:hAnsi="Times New Roman"/>
          <w:sz w:val="24"/>
        </w:rPr>
        <w:t xml:space="preserve"> </w:t>
      </w:r>
      <w:r w:rsidR="00633ACE" w:rsidRPr="00633ACE">
        <w:rPr>
          <w:rFonts w:ascii="Times New Roman" w:hAnsi="Times New Roman"/>
          <w:sz w:val="24"/>
        </w:rPr>
        <w:t>the money laundering, financing of terrorism or other serious crime risks assessed</w:t>
      </w:r>
      <w:r>
        <w:rPr>
          <w:rFonts w:ascii="Times New Roman" w:hAnsi="Times New Roman"/>
          <w:sz w:val="24"/>
        </w:rPr>
        <w:t>,</w:t>
      </w:r>
      <w:r w:rsidR="00633ACE" w:rsidRPr="00633ACE">
        <w:rPr>
          <w:rFonts w:ascii="Times New Roman" w:hAnsi="Times New Roman"/>
          <w:sz w:val="24"/>
        </w:rPr>
        <w:t xml:space="preserve"> and</w:t>
      </w:r>
      <w:r>
        <w:rPr>
          <w:rFonts w:ascii="Times New Roman" w:hAnsi="Times New Roman"/>
          <w:sz w:val="24"/>
        </w:rPr>
        <w:t xml:space="preserve"> </w:t>
      </w:r>
      <w:r w:rsidR="00633ACE" w:rsidRPr="00633ACE">
        <w:rPr>
          <w:rFonts w:ascii="Times New Roman" w:hAnsi="Times New Roman"/>
          <w:sz w:val="24"/>
        </w:rPr>
        <w:t>the adequacy and effectiveness of the correspondent’s anti-money laundering and counter-terrorism financing program to manage those risks</w:t>
      </w:r>
      <w:r>
        <w:rPr>
          <w:rFonts w:ascii="Times New Roman" w:hAnsi="Times New Roman"/>
          <w:sz w:val="24"/>
        </w:rPr>
        <w:t>.</w:t>
      </w:r>
      <w:proofErr w:type="gramEnd"/>
    </w:p>
    <w:p w:rsidR="00B165C0" w:rsidRPr="00633ACE" w:rsidRDefault="00D831F7" w:rsidP="00B165C0">
      <w:pPr>
        <w:autoSpaceDE w:val="0"/>
        <w:autoSpaceDN w:val="0"/>
        <w:adjustRightInd w:val="0"/>
        <w:spacing w:before="240" w:line="259" w:lineRule="auto"/>
        <w:rPr>
          <w:rFonts w:ascii="Times New Roman" w:hAnsi="Times New Roman"/>
          <w:sz w:val="24"/>
        </w:rPr>
      </w:pPr>
      <w:r>
        <w:rPr>
          <w:rFonts w:ascii="Times New Roman" w:hAnsi="Times New Roman"/>
          <w:sz w:val="24"/>
        </w:rPr>
        <w:t>Paragraph 3.1.5 sets out that if</w:t>
      </w:r>
      <w:r w:rsidRPr="00633ACE">
        <w:rPr>
          <w:rFonts w:ascii="Times New Roman" w:hAnsi="Times New Roman"/>
          <w:sz w:val="24"/>
        </w:rPr>
        <w:t xml:space="preserve"> the correspondent maintains payable-through accounts,</w:t>
      </w:r>
      <w:r>
        <w:rPr>
          <w:rFonts w:ascii="Times New Roman" w:hAnsi="Times New Roman"/>
          <w:sz w:val="24"/>
        </w:rPr>
        <w:t xml:space="preserve"> the senior officer must</w:t>
      </w:r>
      <w:r w:rsidR="00633ACE" w:rsidRPr="00633ACE">
        <w:rPr>
          <w:rFonts w:ascii="Times New Roman" w:hAnsi="Times New Roman"/>
          <w:sz w:val="24"/>
        </w:rPr>
        <w:t xml:space="preserve"> be satisfied that the respondent</w:t>
      </w:r>
      <w:r w:rsidR="00B165C0">
        <w:rPr>
          <w:rFonts w:ascii="Times New Roman" w:hAnsi="Times New Roman"/>
          <w:sz w:val="24"/>
        </w:rPr>
        <w:t xml:space="preserve"> carries out the actions and can provide the information, specified, to the correspondent.</w:t>
      </w:r>
    </w:p>
    <w:p w:rsidR="00633ACE" w:rsidRPr="00633ACE" w:rsidRDefault="00A8111F" w:rsidP="00633ACE">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00633ACE" w:rsidRPr="00633ACE">
        <w:rPr>
          <w:rFonts w:ascii="Times New Roman" w:hAnsi="Times New Roman"/>
          <w:sz w:val="24"/>
        </w:rPr>
        <w:t>3.2.1</w:t>
      </w:r>
      <w:r>
        <w:rPr>
          <w:rFonts w:ascii="Times New Roman" w:hAnsi="Times New Roman"/>
          <w:sz w:val="24"/>
        </w:rPr>
        <w:t xml:space="preserve"> provides t</w:t>
      </w:r>
      <w:r w:rsidR="00633ACE" w:rsidRPr="00633ACE">
        <w:rPr>
          <w:rFonts w:ascii="Times New Roman" w:hAnsi="Times New Roman"/>
          <w:sz w:val="24"/>
        </w:rPr>
        <w:t>h</w:t>
      </w:r>
      <w:r>
        <w:rPr>
          <w:rFonts w:ascii="Times New Roman" w:hAnsi="Times New Roman"/>
          <w:sz w:val="24"/>
        </w:rPr>
        <w:t>at</w:t>
      </w:r>
      <w:r w:rsidR="00633ACE" w:rsidRPr="00633ACE">
        <w:rPr>
          <w:rFonts w:ascii="Times New Roman" w:hAnsi="Times New Roman"/>
          <w:sz w:val="24"/>
        </w:rPr>
        <w:t xml:space="preserve"> Part </w:t>
      </w:r>
      <w:r>
        <w:rPr>
          <w:rFonts w:ascii="Times New Roman" w:hAnsi="Times New Roman"/>
          <w:sz w:val="24"/>
        </w:rPr>
        <w:t xml:space="preserve">3.2 </w:t>
      </w:r>
      <w:proofErr w:type="gramStart"/>
      <w:r w:rsidR="00633ACE" w:rsidRPr="00633ACE">
        <w:rPr>
          <w:rFonts w:ascii="Times New Roman" w:hAnsi="Times New Roman"/>
          <w:sz w:val="24"/>
        </w:rPr>
        <w:t>is</w:t>
      </w:r>
      <w:proofErr w:type="gramEnd"/>
      <w:r w:rsidR="00633ACE" w:rsidRPr="00633ACE">
        <w:rPr>
          <w:rFonts w:ascii="Times New Roman" w:hAnsi="Times New Roman"/>
          <w:sz w:val="24"/>
        </w:rPr>
        <w:t xml:space="preserve"> made for subsection 96(3) of the </w:t>
      </w:r>
      <w:r>
        <w:rPr>
          <w:rFonts w:ascii="Times New Roman" w:hAnsi="Times New Roman"/>
          <w:sz w:val="24"/>
        </w:rPr>
        <w:t xml:space="preserve">AML/CTF </w:t>
      </w:r>
      <w:r w:rsidR="00633ACE" w:rsidRPr="00633ACE">
        <w:rPr>
          <w:rFonts w:ascii="Times New Roman" w:hAnsi="Times New Roman"/>
          <w:sz w:val="24"/>
        </w:rPr>
        <w:t>Act.</w:t>
      </w:r>
    </w:p>
    <w:p w:rsidR="00633ACE" w:rsidRPr="00633ACE" w:rsidRDefault="00570B58" w:rsidP="00633ACE">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00633ACE" w:rsidRPr="00633ACE">
        <w:rPr>
          <w:rFonts w:ascii="Times New Roman" w:hAnsi="Times New Roman"/>
          <w:sz w:val="24"/>
        </w:rPr>
        <w:t>3.2.2</w:t>
      </w:r>
      <w:r>
        <w:rPr>
          <w:rFonts w:ascii="Times New Roman" w:hAnsi="Times New Roman"/>
          <w:sz w:val="24"/>
        </w:rPr>
        <w:t xml:space="preserve"> requires</w:t>
      </w:r>
      <w:r w:rsidR="00116245">
        <w:rPr>
          <w:rFonts w:ascii="Times New Roman" w:hAnsi="Times New Roman"/>
          <w:sz w:val="24"/>
        </w:rPr>
        <w:t xml:space="preserve"> </w:t>
      </w:r>
      <w:r w:rsidR="00633ACE" w:rsidRPr="00633ACE">
        <w:rPr>
          <w:rFonts w:ascii="Times New Roman" w:hAnsi="Times New Roman"/>
          <w:sz w:val="24"/>
        </w:rPr>
        <w:t xml:space="preserve">the correspondent </w:t>
      </w:r>
      <w:r w:rsidR="00116245">
        <w:rPr>
          <w:rFonts w:ascii="Times New Roman" w:hAnsi="Times New Roman"/>
          <w:sz w:val="24"/>
        </w:rPr>
        <w:t>to</w:t>
      </w:r>
      <w:r w:rsidR="00633ACE" w:rsidRPr="00633ACE">
        <w:rPr>
          <w:rFonts w:ascii="Times New Roman" w:hAnsi="Times New Roman"/>
          <w:sz w:val="24"/>
        </w:rPr>
        <w:t xml:space="preserve"> conduct </w:t>
      </w:r>
      <w:r>
        <w:rPr>
          <w:rFonts w:ascii="Times New Roman" w:hAnsi="Times New Roman"/>
          <w:sz w:val="24"/>
        </w:rPr>
        <w:t xml:space="preserve">ongoing </w:t>
      </w:r>
      <w:r w:rsidR="00633ACE" w:rsidRPr="00633ACE">
        <w:rPr>
          <w:rFonts w:ascii="Times New Roman" w:hAnsi="Times New Roman"/>
          <w:sz w:val="24"/>
        </w:rPr>
        <w:t xml:space="preserve">due diligence </w:t>
      </w:r>
      <w:r w:rsidR="00116245">
        <w:rPr>
          <w:rFonts w:ascii="Times New Roman" w:hAnsi="Times New Roman"/>
          <w:sz w:val="24"/>
        </w:rPr>
        <w:t>assessments.</w:t>
      </w:r>
    </w:p>
    <w:p w:rsidR="00633ACE" w:rsidRPr="00633ACE" w:rsidRDefault="00116245" w:rsidP="00633ACE">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00633ACE" w:rsidRPr="00633ACE">
        <w:rPr>
          <w:rFonts w:ascii="Times New Roman" w:hAnsi="Times New Roman"/>
          <w:sz w:val="24"/>
        </w:rPr>
        <w:t>3.2.3</w:t>
      </w:r>
      <w:r>
        <w:rPr>
          <w:rFonts w:ascii="Times New Roman" w:hAnsi="Times New Roman"/>
          <w:sz w:val="24"/>
        </w:rPr>
        <w:t xml:space="preserve"> specifies that the </w:t>
      </w:r>
      <w:proofErr w:type="gramStart"/>
      <w:r w:rsidRPr="00633ACE">
        <w:rPr>
          <w:rFonts w:ascii="Times New Roman" w:hAnsi="Times New Roman"/>
          <w:sz w:val="24"/>
        </w:rPr>
        <w:t>factors set out in subparagraphs 3.1.3(1)–(7)</w:t>
      </w:r>
      <w:r>
        <w:rPr>
          <w:rFonts w:ascii="Times New Roman" w:hAnsi="Times New Roman"/>
          <w:sz w:val="24"/>
        </w:rPr>
        <w:t xml:space="preserve"> must be considered by the correspondent </w:t>
      </w:r>
      <w:r w:rsidRPr="00633ACE">
        <w:rPr>
          <w:rFonts w:ascii="Times New Roman" w:hAnsi="Times New Roman"/>
          <w:sz w:val="24"/>
        </w:rPr>
        <w:t xml:space="preserve">when </w:t>
      </w:r>
      <w:r>
        <w:rPr>
          <w:rFonts w:ascii="Times New Roman" w:hAnsi="Times New Roman"/>
          <w:sz w:val="24"/>
        </w:rPr>
        <w:t>conducting the ongoing due diligence assessments</w:t>
      </w:r>
      <w:proofErr w:type="gramEnd"/>
      <w:r>
        <w:rPr>
          <w:rFonts w:ascii="Times New Roman" w:hAnsi="Times New Roman"/>
          <w:sz w:val="24"/>
        </w:rPr>
        <w:t xml:space="preserve">. </w:t>
      </w:r>
    </w:p>
    <w:p w:rsidR="00633ACE" w:rsidRPr="00633ACE" w:rsidRDefault="00116245" w:rsidP="00116245">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00633ACE" w:rsidRPr="00633ACE">
        <w:rPr>
          <w:rFonts w:ascii="Times New Roman" w:hAnsi="Times New Roman"/>
          <w:sz w:val="24"/>
        </w:rPr>
        <w:t>3.2.4</w:t>
      </w:r>
      <w:r>
        <w:rPr>
          <w:rFonts w:ascii="Times New Roman" w:hAnsi="Times New Roman"/>
          <w:sz w:val="24"/>
        </w:rPr>
        <w:t xml:space="preserve"> sets out what must considered by the correspondent when determining the frequency of the due diligence assessments.</w:t>
      </w:r>
      <w:r w:rsidR="00633ACE" w:rsidRPr="00633ACE">
        <w:rPr>
          <w:rFonts w:ascii="Times New Roman" w:hAnsi="Times New Roman"/>
          <w:sz w:val="24"/>
        </w:rPr>
        <w:tab/>
      </w:r>
    </w:p>
    <w:p w:rsidR="00C46410" w:rsidRPr="00BF6A36" w:rsidRDefault="00C46410" w:rsidP="00C46410">
      <w:pPr>
        <w:keepNext/>
        <w:spacing w:before="240" w:line="259" w:lineRule="auto"/>
        <w:rPr>
          <w:rFonts w:ascii="Times New Roman" w:hAnsi="Times New Roman"/>
          <w:b/>
          <w:sz w:val="24"/>
        </w:rPr>
      </w:pPr>
      <w:r w:rsidRPr="00BF6A36">
        <w:rPr>
          <w:rFonts w:ascii="Times New Roman" w:hAnsi="Times New Roman"/>
          <w:b/>
          <w:sz w:val="24"/>
        </w:rPr>
        <w:t xml:space="preserve">Item </w:t>
      </w:r>
      <w:proofErr w:type="gramStart"/>
      <w:r w:rsidRPr="00BF6A36">
        <w:rPr>
          <w:rFonts w:ascii="Times New Roman" w:hAnsi="Times New Roman"/>
          <w:b/>
          <w:sz w:val="24"/>
        </w:rPr>
        <w:t>2—</w:t>
      </w:r>
      <w:proofErr w:type="gramEnd"/>
      <w:r w:rsidR="00BF6A36" w:rsidRPr="00BF6A36">
        <w:rPr>
          <w:rFonts w:ascii="Times New Roman" w:hAnsi="Times New Roman"/>
          <w:b/>
          <w:sz w:val="24"/>
        </w:rPr>
        <w:t>Chapter 6</w:t>
      </w:r>
    </w:p>
    <w:p w:rsidR="00C52C1F" w:rsidRDefault="00C52C1F" w:rsidP="00D37C18">
      <w:pPr>
        <w:autoSpaceDE w:val="0"/>
        <w:autoSpaceDN w:val="0"/>
        <w:adjustRightInd w:val="0"/>
        <w:spacing w:before="240" w:line="259" w:lineRule="auto"/>
        <w:rPr>
          <w:rFonts w:ascii="Times New Roman" w:hAnsi="Times New Roman"/>
          <w:sz w:val="24"/>
        </w:rPr>
      </w:pPr>
      <w:r w:rsidRPr="0060108F">
        <w:rPr>
          <w:rFonts w:ascii="Times New Roman" w:hAnsi="Times New Roman"/>
          <w:sz w:val="24"/>
        </w:rPr>
        <w:t>This item repeals and substitutes a new Chapter 6 of the AML/CTF Rules.</w:t>
      </w:r>
    </w:p>
    <w:p w:rsidR="00A45F3B" w:rsidRPr="00A45F3B" w:rsidRDefault="00A45F3B" w:rsidP="00A45F3B">
      <w:pPr>
        <w:autoSpaceDE w:val="0"/>
        <w:autoSpaceDN w:val="0"/>
        <w:adjustRightInd w:val="0"/>
        <w:spacing w:before="240" w:line="259" w:lineRule="auto"/>
        <w:rPr>
          <w:rFonts w:ascii="Times New Roman" w:hAnsi="Times New Roman"/>
          <w:sz w:val="24"/>
        </w:rPr>
      </w:pPr>
      <w:r w:rsidRPr="00A45F3B">
        <w:rPr>
          <w:rFonts w:ascii="Times New Roman" w:hAnsi="Times New Roman"/>
          <w:sz w:val="24"/>
        </w:rPr>
        <w:t>Part 6.1—Re-verification of KYC information</w:t>
      </w:r>
    </w:p>
    <w:p w:rsidR="00A45F3B" w:rsidRPr="00A45F3B" w:rsidRDefault="00163115" w:rsidP="00A45F3B">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00A45F3B" w:rsidRPr="00A45F3B">
        <w:rPr>
          <w:rFonts w:ascii="Times New Roman" w:hAnsi="Times New Roman"/>
          <w:sz w:val="24"/>
        </w:rPr>
        <w:t>6.1.1</w:t>
      </w:r>
      <w:r>
        <w:rPr>
          <w:rFonts w:ascii="Times New Roman" w:hAnsi="Times New Roman"/>
          <w:sz w:val="24"/>
        </w:rPr>
        <w:t xml:space="preserve"> provides that</w:t>
      </w:r>
      <w:r w:rsidR="00A45F3B" w:rsidRPr="00A45F3B">
        <w:rPr>
          <w:rFonts w:ascii="Times New Roman" w:hAnsi="Times New Roman"/>
          <w:sz w:val="24"/>
        </w:rPr>
        <w:tab/>
        <w:t xml:space="preserve">Part </w:t>
      </w:r>
      <w:r>
        <w:rPr>
          <w:rFonts w:ascii="Times New Roman" w:hAnsi="Times New Roman"/>
          <w:sz w:val="24"/>
        </w:rPr>
        <w:t xml:space="preserve">6.1 </w:t>
      </w:r>
      <w:r w:rsidR="00A45F3B" w:rsidRPr="00A45F3B">
        <w:rPr>
          <w:rFonts w:ascii="Times New Roman" w:hAnsi="Times New Roman"/>
          <w:sz w:val="24"/>
        </w:rPr>
        <w:t xml:space="preserve">is made for </w:t>
      </w:r>
      <w:r>
        <w:rPr>
          <w:rFonts w:ascii="Times New Roman" w:hAnsi="Times New Roman"/>
          <w:sz w:val="24"/>
        </w:rPr>
        <w:t xml:space="preserve">the purposes of </w:t>
      </w:r>
      <w:r w:rsidR="00A45F3B" w:rsidRPr="00A45F3B">
        <w:rPr>
          <w:rFonts w:ascii="Times New Roman" w:hAnsi="Times New Roman"/>
          <w:sz w:val="24"/>
        </w:rPr>
        <w:t>subparagraph 35(1</w:t>
      </w:r>
      <w:proofErr w:type="gramStart"/>
      <w:r w:rsidR="00A45F3B" w:rsidRPr="00A45F3B">
        <w:rPr>
          <w:rFonts w:ascii="Times New Roman" w:hAnsi="Times New Roman"/>
          <w:sz w:val="24"/>
        </w:rPr>
        <w:t>)(</w:t>
      </w:r>
      <w:proofErr w:type="gramEnd"/>
      <w:r w:rsidR="00A45F3B" w:rsidRPr="00A45F3B">
        <w:rPr>
          <w:rFonts w:ascii="Times New Roman" w:hAnsi="Times New Roman"/>
          <w:sz w:val="24"/>
        </w:rPr>
        <w:t xml:space="preserve">b) and subsection 35(2) of the </w:t>
      </w:r>
      <w:r>
        <w:rPr>
          <w:rFonts w:ascii="Times New Roman" w:hAnsi="Times New Roman"/>
          <w:sz w:val="24"/>
        </w:rPr>
        <w:t xml:space="preserve">AML/CTF </w:t>
      </w:r>
      <w:r w:rsidR="00A45F3B" w:rsidRPr="00A45F3B">
        <w:rPr>
          <w:rFonts w:ascii="Times New Roman" w:hAnsi="Times New Roman"/>
          <w:sz w:val="24"/>
        </w:rPr>
        <w:t>Act.</w:t>
      </w:r>
    </w:p>
    <w:p w:rsidR="00A45F3B" w:rsidRPr="00A45F3B" w:rsidRDefault="00163115" w:rsidP="00163115">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00A45F3B" w:rsidRPr="00A45F3B">
        <w:rPr>
          <w:rFonts w:ascii="Times New Roman" w:hAnsi="Times New Roman"/>
          <w:sz w:val="24"/>
        </w:rPr>
        <w:t>6.1.2</w:t>
      </w:r>
      <w:r>
        <w:rPr>
          <w:rFonts w:ascii="Times New Roman" w:hAnsi="Times New Roman"/>
          <w:sz w:val="24"/>
        </w:rPr>
        <w:t xml:space="preserve"> specifies the circumstances that require a</w:t>
      </w:r>
      <w:r w:rsidR="00A45F3B" w:rsidRPr="00A45F3B">
        <w:rPr>
          <w:rFonts w:ascii="Times New Roman" w:hAnsi="Times New Roman"/>
          <w:sz w:val="24"/>
        </w:rPr>
        <w:t xml:space="preserve"> reporting entity </w:t>
      </w:r>
      <w:r>
        <w:rPr>
          <w:rFonts w:ascii="Times New Roman" w:hAnsi="Times New Roman"/>
          <w:sz w:val="24"/>
        </w:rPr>
        <w:t xml:space="preserve">to take </w:t>
      </w:r>
      <w:r w:rsidR="00A45F3B" w:rsidRPr="00A45F3B">
        <w:rPr>
          <w:rFonts w:ascii="Times New Roman" w:hAnsi="Times New Roman"/>
          <w:sz w:val="24"/>
        </w:rPr>
        <w:t>the action set out in paragraph 6.1.3</w:t>
      </w:r>
      <w:r>
        <w:rPr>
          <w:rFonts w:ascii="Times New Roman" w:hAnsi="Times New Roman"/>
          <w:sz w:val="24"/>
        </w:rPr>
        <w:t>.</w:t>
      </w:r>
      <w:r w:rsidR="00A45F3B" w:rsidRPr="00A45F3B">
        <w:rPr>
          <w:rFonts w:ascii="Times New Roman" w:hAnsi="Times New Roman"/>
          <w:sz w:val="24"/>
        </w:rPr>
        <w:t xml:space="preserve"> </w:t>
      </w:r>
    </w:p>
    <w:p w:rsidR="00A45F3B" w:rsidRPr="00A45F3B" w:rsidRDefault="00163115" w:rsidP="00A45F3B">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00A45F3B" w:rsidRPr="00A45F3B">
        <w:rPr>
          <w:rFonts w:ascii="Times New Roman" w:hAnsi="Times New Roman"/>
          <w:sz w:val="24"/>
        </w:rPr>
        <w:t>6.1.3</w:t>
      </w:r>
      <w:r>
        <w:rPr>
          <w:rFonts w:ascii="Times New Roman" w:hAnsi="Times New Roman"/>
          <w:sz w:val="24"/>
        </w:rPr>
        <w:t xml:space="preserve"> specifies the steps that a reporting entity must take to satisfy the reporting entity that </w:t>
      </w:r>
      <w:r w:rsidR="00A45F3B" w:rsidRPr="00A45F3B">
        <w:rPr>
          <w:rFonts w:ascii="Times New Roman" w:hAnsi="Times New Roman"/>
          <w:sz w:val="24"/>
        </w:rPr>
        <w:t>the customer, beneficial owner or person purporting to act on behalf of the customer is the person that the customer, beneficial owner or person purporting to act on behalf of the customer claims to be.</w:t>
      </w:r>
    </w:p>
    <w:p w:rsidR="00A45F3B" w:rsidRPr="00A45F3B" w:rsidRDefault="00163115" w:rsidP="00A45F3B">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00A45F3B" w:rsidRPr="00A45F3B">
        <w:rPr>
          <w:rFonts w:ascii="Times New Roman" w:hAnsi="Times New Roman"/>
          <w:sz w:val="24"/>
        </w:rPr>
        <w:t>6.2.1</w:t>
      </w:r>
      <w:r>
        <w:rPr>
          <w:rFonts w:ascii="Times New Roman" w:hAnsi="Times New Roman"/>
          <w:sz w:val="24"/>
        </w:rPr>
        <w:t xml:space="preserve"> provides that </w:t>
      </w:r>
      <w:r w:rsidR="00A45F3B" w:rsidRPr="00A45F3B">
        <w:rPr>
          <w:rFonts w:ascii="Times New Roman" w:hAnsi="Times New Roman"/>
          <w:sz w:val="24"/>
        </w:rPr>
        <w:t xml:space="preserve">Part </w:t>
      </w:r>
      <w:r>
        <w:rPr>
          <w:rFonts w:ascii="Times New Roman" w:hAnsi="Times New Roman"/>
          <w:sz w:val="24"/>
        </w:rPr>
        <w:t xml:space="preserve">6.2 </w:t>
      </w:r>
      <w:proofErr w:type="gramStart"/>
      <w:r w:rsidR="00A45F3B" w:rsidRPr="00A45F3B">
        <w:rPr>
          <w:rFonts w:ascii="Times New Roman" w:hAnsi="Times New Roman"/>
          <w:sz w:val="24"/>
        </w:rPr>
        <w:t>is</w:t>
      </w:r>
      <w:proofErr w:type="gramEnd"/>
      <w:r w:rsidR="00A45F3B" w:rsidRPr="00A45F3B">
        <w:rPr>
          <w:rFonts w:ascii="Times New Roman" w:hAnsi="Times New Roman"/>
          <w:sz w:val="24"/>
        </w:rPr>
        <w:t xml:space="preserve"> made for </w:t>
      </w:r>
      <w:r>
        <w:rPr>
          <w:rFonts w:ascii="Times New Roman" w:hAnsi="Times New Roman"/>
          <w:sz w:val="24"/>
        </w:rPr>
        <w:t xml:space="preserve">the purposes of </w:t>
      </w:r>
      <w:r w:rsidR="00A45F3B" w:rsidRPr="00A45F3B">
        <w:rPr>
          <w:rFonts w:ascii="Times New Roman" w:hAnsi="Times New Roman"/>
          <w:sz w:val="24"/>
        </w:rPr>
        <w:t xml:space="preserve">subsection 29(2) of the </w:t>
      </w:r>
      <w:r>
        <w:rPr>
          <w:rFonts w:ascii="Times New Roman" w:hAnsi="Times New Roman"/>
          <w:sz w:val="24"/>
        </w:rPr>
        <w:t xml:space="preserve">AML/CTF </w:t>
      </w:r>
      <w:r w:rsidR="00A45F3B" w:rsidRPr="00A45F3B">
        <w:rPr>
          <w:rFonts w:ascii="Times New Roman" w:hAnsi="Times New Roman"/>
          <w:sz w:val="24"/>
        </w:rPr>
        <w:t>Act.</w:t>
      </w:r>
    </w:p>
    <w:p w:rsidR="00A45F3B" w:rsidRPr="00A45F3B" w:rsidRDefault="000851F0" w:rsidP="00A45F3B">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00A45F3B" w:rsidRPr="00A45F3B">
        <w:rPr>
          <w:rFonts w:ascii="Times New Roman" w:hAnsi="Times New Roman"/>
          <w:sz w:val="24"/>
        </w:rPr>
        <w:t xml:space="preserve">6.2.2 </w:t>
      </w:r>
      <w:r>
        <w:rPr>
          <w:rFonts w:ascii="Times New Roman" w:hAnsi="Times New Roman"/>
          <w:sz w:val="24"/>
        </w:rPr>
        <w:t>specifies the actions that a reporting entity must take</w:t>
      </w:r>
      <w:r w:rsidR="00A45F3B" w:rsidRPr="00A45F3B">
        <w:rPr>
          <w:rFonts w:ascii="Times New Roman" w:hAnsi="Times New Roman"/>
          <w:sz w:val="24"/>
        </w:rPr>
        <w:t xml:space="preserve"> </w:t>
      </w:r>
      <w:r>
        <w:rPr>
          <w:rFonts w:ascii="Times New Roman" w:hAnsi="Times New Roman"/>
          <w:sz w:val="24"/>
        </w:rPr>
        <w:t>if</w:t>
      </w:r>
      <w:r w:rsidR="00A45F3B" w:rsidRPr="00A45F3B">
        <w:rPr>
          <w:rFonts w:ascii="Times New Roman" w:hAnsi="Times New Roman"/>
          <w:sz w:val="24"/>
        </w:rPr>
        <w:t xml:space="preserve"> a suspicious </w:t>
      </w:r>
      <w:proofErr w:type="gramStart"/>
      <w:r w:rsidR="00A45F3B" w:rsidRPr="00A45F3B">
        <w:rPr>
          <w:rFonts w:ascii="Times New Roman" w:hAnsi="Times New Roman"/>
          <w:sz w:val="24"/>
        </w:rPr>
        <w:t>matter reporting</w:t>
      </w:r>
      <w:proofErr w:type="gramEnd"/>
      <w:r w:rsidR="00A45F3B" w:rsidRPr="00A45F3B">
        <w:rPr>
          <w:rFonts w:ascii="Times New Roman" w:hAnsi="Times New Roman"/>
          <w:sz w:val="24"/>
        </w:rPr>
        <w:t xml:space="preserve"> obligation arises </w:t>
      </w:r>
      <w:r>
        <w:rPr>
          <w:rFonts w:ascii="Times New Roman" w:hAnsi="Times New Roman"/>
          <w:sz w:val="24"/>
        </w:rPr>
        <w:t xml:space="preserve">in respect of a </w:t>
      </w:r>
      <w:r w:rsidR="00A45F3B" w:rsidRPr="00A45F3B">
        <w:rPr>
          <w:rFonts w:ascii="Times New Roman" w:hAnsi="Times New Roman"/>
          <w:sz w:val="24"/>
        </w:rPr>
        <w:t>pre-commencement customer, so that the reporting entity is reasonably satisfied that the customer is the person that the customer claims to be.</w:t>
      </w:r>
    </w:p>
    <w:p w:rsidR="00A45F3B" w:rsidRPr="00A45F3B" w:rsidRDefault="000851F0" w:rsidP="000851F0">
      <w:pPr>
        <w:autoSpaceDE w:val="0"/>
        <w:autoSpaceDN w:val="0"/>
        <w:adjustRightInd w:val="0"/>
        <w:spacing w:before="240" w:line="259" w:lineRule="auto"/>
        <w:rPr>
          <w:rFonts w:ascii="Times New Roman" w:hAnsi="Times New Roman"/>
          <w:sz w:val="24"/>
        </w:rPr>
      </w:pPr>
      <w:r>
        <w:rPr>
          <w:rFonts w:ascii="Times New Roman" w:hAnsi="Times New Roman"/>
          <w:sz w:val="24"/>
        </w:rPr>
        <w:lastRenderedPageBreak/>
        <w:t xml:space="preserve">Paragraph </w:t>
      </w:r>
      <w:r w:rsidR="00A45F3B" w:rsidRPr="00A45F3B">
        <w:rPr>
          <w:rFonts w:ascii="Times New Roman" w:hAnsi="Times New Roman"/>
          <w:sz w:val="24"/>
        </w:rPr>
        <w:t xml:space="preserve">6.2.3 </w:t>
      </w:r>
      <w:r>
        <w:rPr>
          <w:rFonts w:ascii="Times New Roman" w:hAnsi="Times New Roman"/>
          <w:sz w:val="24"/>
        </w:rPr>
        <w:t xml:space="preserve">prescribes the timeframe in which the actions required by paragraph 6.2.2 </w:t>
      </w:r>
      <w:proofErr w:type="gramStart"/>
      <w:r>
        <w:rPr>
          <w:rFonts w:ascii="Times New Roman" w:hAnsi="Times New Roman"/>
          <w:sz w:val="24"/>
        </w:rPr>
        <w:t>must be taken</w:t>
      </w:r>
      <w:proofErr w:type="gramEnd"/>
      <w:r w:rsidR="0093152C">
        <w:rPr>
          <w:rFonts w:ascii="Times New Roman" w:hAnsi="Times New Roman"/>
          <w:sz w:val="24"/>
        </w:rPr>
        <w:t xml:space="preserve"> by the reporting entity</w:t>
      </w:r>
      <w:r>
        <w:rPr>
          <w:rFonts w:ascii="Times New Roman" w:hAnsi="Times New Roman"/>
          <w:sz w:val="24"/>
        </w:rPr>
        <w:t>.</w:t>
      </w:r>
      <w:r w:rsidR="00A45F3B" w:rsidRPr="00A45F3B">
        <w:rPr>
          <w:rFonts w:ascii="Times New Roman" w:hAnsi="Times New Roman"/>
          <w:sz w:val="24"/>
        </w:rPr>
        <w:t xml:space="preserve">    </w:t>
      </w:r>
    </w:p>
    <w:p w:rsidR="00A45F3B" w:rsidRPr="00A45F3B" w:rsidRDefault="00C44F54" w:rsidP="00A45F3B">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6.3.1 provides that </w:t>
      </w:r>
      <w:r w:rsidR="00A45F3B" w:rsidRPr="00A45F3B">
        <w:rPr>
          <w:rFonts w:ascii="Times New Roman" w:hAnsi="Times New Roman"/>
          <w:sz w:val="24"/>
        </w:rPr>
        <w:t xml:space="preserve">Part </w:t>
      </w:r>
      <w:r>
        <w:rPr>
          <w:rFonts w:ascii="Times New Roman" w:hAnsi="Times New Roman"/>
          <w:sz w:val="24"/>
        </w:rPr>
        <w:t xml:space="preserve">6.3 </w:t>
      </w:r>
      <w:proofErr w:type="gramStart"/>
      <w:r w:rsidR="00A45F3B" w:rsidRPr="00A45F3B">
        <w:rPr>
          <w:rFonts w:ascii="Times New Roman" w:hAnsi="Times New Roman"/>
          <w:sz w:val="24"/>
        </w:rPr>
        <w:t>is</w:t>
      </w:r>
      <w:proofErr w:type="gramEnd"/>
      <w:r w:rsidR="00A45F3B" w:rsidRPr="00A45F3B">
        <w:rPr>
          <w:rFonts w:ascii="Times New Roman" w:hAnsi="Times New Roman"/>
          <w:sz w:val="24"/>
        </w:rPr>
        <w:t xml:space="preserve"> made for </w:t>
      </w:r>
      <w:r>
        <w:rPr>
          <w:rFonts w:ascii="Times New Roman" w:hAnsi="Times New Roman"/>
          <w:sz w:val="24"/>
        </w:rPr>
        <w:t xml:space="preserve">the purposes of </w:t>
      </w:r>
      <w:r w:rsidR="00A45F3B" w:rsidRPr="00A45F3B">
        <w:rPr>
          <w:rFonts w:ascii="Times New Roman" w:hAnsi="Times New Roman"/>
          <w:sz w:val="24"/>
        </w:rPr>
        <w:t xml:space="preserve">subsection 31(2) of the </w:t>
      </w:r>
      <w:r>
        <w:rPr>
          <w:rFonts w:ascii="Times New Roman" w:hAnsi="Times New Roman"/>
          <w:sz w:val="24"/>
        </w:rPr>
        <w:t xml:space="preserve">AML/CTF </w:t>
      </w:r>
      <w:r w:rsidR="00A45F3B" w:rsidRPr="00A45F3B">
        <w:rPr>
          <w:rFonts w:ascii="Times New Roman" w:hAnsi="Times New Roman"/>
          <w:sz w:val="24"/>
        </w:rPr>
        <w:t>Act.</w:t>
      </w:r>
    </w:p>
    <w:p w:rsidR="00A45F3B" w:rsidRPr="00A45F3B" w:rsidRDefault="00330292" w:rsidP="00330292">
      <w:pPr>
        <w:autoSpaceDE w:val="0"/>
        <w:autoSpaceDN w:val="0"/>
        <w:adjustRightInd w:val="0"/>
        <w:spacing w:before="240" w:line="259" w:lineRule="auto"/>
        <w:rPr>
          <w:rFonts w:ascii="Times New Roman" w:hAnsi="Times New Roman"/>
          <w:sz w:val="24"/>
        </w:rPr>
      </w:pPr>
      <w:r>
        <w:rPr>
          <w:rFonts w:ascii="Times New Roman" w:hAnsi="Times New Roman"/>
          <w:sz w:val="24"/>
        </w:rPr>
        <w:t>Paragraph 6.3.2 specifies the actions that a reporting entity must take</w:t>
      </w:r>
      <w:r w:rsidRPr="00A45F3B">
        <w:rPr>
          <w:rFonts w:ascii="Times New Roman" w:hAnsi="Times New Roman"/>
          <w:sz w:val="24"/>
        </w:rPr>
        <w:t xml:space="preserve"> </w:t>
      </w:r>
      <w:r>
        <w:rPr>
          <w:rFonts w:ascii="Times New Roman" w:hAnsi="Times New Roman"/>
          <w:sz w:val="24"/>
        </w:rPr>
        <w:t>if</w:t>
      </w:r>
      <w:r w:rsidRPr="00A45F3B">
        <w:rPr>
          <w:rFonts w:ascii="Times New Roman" w:hAnsi="Times New Roman"/>
          <w:sz w:val="24"/>
        </w:rPr>
        <w:t xml:space="preserve"> a suspicious </w:t>
      </w:r>
      <w:proofErr w:type="gramStart"/>
      <w:r w:rsidRPr="00A45F3B">
        <w:rPr>
          <w:rFonts w:ascii="Times New Roman" w:hAnsi="Times New Roman"/>
          <w:sz w:val="24"/>
        </w:rPr>
        <w:t>matter reporting</w:t>
      </w:r>
      <w:proofErr w:type="gramEnd"/>
      <w:r w:rsidRPr="00A45F3B">
        <w:rPr>
          <w:rFonts w:ascii="Times New Roman" w:hAnsi="Times New Roman"/>
          <w:sz w:val="24"/>
        </w:rPr>
        <w:t xml:space="preserve"> obligation arises </w:t>
      </w:r>
      <w:r>
        <w:rPr>
          <w:rFonts w:ascii="Times New Roman" w:hAnsi="Times New Roman"/>
          <w:sz w:val="24"/>
        </w:rPr>
        <w:t xml:space="preserve">in respect of </w:t>
      </w:r>
      <w:r w:rsidRPr="00A45F3B">
        <w:rPr>
          <w:rFonts w:ascii="Times New Roman" w:hAnsi="Times New Roman"/>
          <w:sz w:val="24"/>
        </w:rPr>
        <w:t>low-risk service customer, so that the reporting entity is reasonably satisfied that the customer is the person that the customer claims to be.</w:t>
      </w:r>
    </w:p>
    <w:p w:rsidR="00A45F3B" w:rsidRPr="0060108F" w:rsidRDefault="00330292" w:rsidP="00A45F3B">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w:t>
      </w:r>
      <w:r w:rsidRPr="00A45F3B">
        <w:rPr>
          <w:rFonts w:ascii="Times New Roman" w:hAnsi="Times New Roman"/>
          <w:sz w:val="24"/>
        </w:rPr>
        <w:t>6.</w:t>
      </w:r>
      <w:r>
        <w:rPr>
          <w:rFonts w:ascii="Times New Roman" w:hAnsi="Times New Roman"/>
          <w:sz w:val="24"/>
        </w:rPr>
        <w:t>3</w:t>
      </w:r>
      <w:r w:rsidRPr="00A45F3B">
        <w:rPr>
          <w:rFonts w:ascii="Times New Roman" w:hAnsi="Times New Roman"/>
          <w:sz w:val="24"/>
        </w:rPr>
        <w:t xml:space="preserve">.3 </w:t>
      </w:r>
      <w:r>
        <w:rPr>
          <w:rFonts w:ascii="Times New Roman" w:hAnsi="Times New Roman"/>
          <w:sz w:val="24"/>
        </w:rPr>
        <w:t xml:space="preserve">prescribes the timeframe in which the actions required by paragraph 6.3.2 </w:t>
      </w:r>
      <w:proofErr w:type="gramStart"/>
      <w:r>
        <w:rPr>
          <w:rFonts w:ascii="Times New Roman" w:hAnsi="Times New Roman"/>
          <w:sz w:val="24"/>
        </w:rPr>
        <w:t>must be taken</w:t>
      </w:r>
      <w:proofErr w:type="gramEnd"/>
      <w:r>
        <w:rPr>
          <w:rFonts w:ascii="Times New Roman" w:hAnsi="Times New Roman"/>
          <w:sz w:val="24"/>
        </w:rPr>
        <w:t xml:space="preserve"> by the reporting entity.</w:t>
      </w:r>
    </w:p>
    <w:p w:rsidR="00BF6A36" w:rsidRPr="00BF6A36" w:rsidRDefault="00BF6A36" w:rsidP="00BF6A36">
      <w:pPr>
        <w:keepNext/>
        <w:spacing w:before="240" w:line="259" w:lineRule="auto"/>
        <w:rPr>
          <w:rFonts w:ascii="Times New Roman" w:hAnsi="Times New Roman"/>
          <w:b/>
          <w:sz w:val="24"/>
        </w:rPr>
      </w:pPr>
      <w:r w:rsidRPr="00BF6A36">
        <w:rPr>
          <w:rFonts w:ascii="Times New Roman" w:hAnsi="Times New Roman"/>
          <w:b/>
          <w:sz w:val="24"/>
        </w:rPr>
        <w:t xml:space="preserve">Item </w:t>
      </w:r>
      <w:proofErr w:type="gramStart"/>
      <w:r w:rsidRPr="00BF6A36">
        <w:rPr>
          <w:rFonts w:ascii="Times New Roman" w:hAnsi="Times New Roman"/>
          <w:b/>
          <w:sz w:val="24"/>
        </w:rPr>
        <w:t>3—</w:t>
      </w:r>
      <w:proofErr w:type="gramEnd"/>
      <w:r w:rsidRPr="00BF6A36">
        <w:rPr>
          <w:rFonts w:ascii="Times New Roman" w:hAnsi="Times New Roman"/>
          <w:b/>
          <w:sz w:val="24"/>
        </w:rPr>
        <w:t>Chapter 7</w:t>
      </w:r>
    </w:p>
    <w:p w:rsidR="00C52C1F" w:rsidRDefault="00C52C1F" w:rsidP="00D37C18">
      <w:pPr>
        <w:autoSpaceDE w:val="0"/>
        <w:autoSpaceDN w:val="0"/>
        <w:adjustRightInd w:val="0"/>
        <w:spacing w:before="240" w:line="259" w:lineRule="auto"/>
        <w:rPr>
          <w:rFonts w:ascii="Times New Roman" w:hAnsi="Times New Roman"/>
          <w:sz w:val="24"/>
        </w:rPr>
      </w:pPr>
      <w:r w:rsidRPr="0060108F">
        <w:rPr>
          <w:rFonts w:ascii="Times New Roman" w:hAnsi="Times New Roman"/>
          <w:sz w:val="24"/>
        </w:rPr>
        <w:t>This item repeals and substitutes a new Chapter 7 of the AML/CTF Rules.</w:t>
      </w:r>
    </w:p>
    <w:p w:rsidR="00B91449" w:rsidRDefault="00B91449"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Paragraph 7.1.1 provides that Part 7.1 is made for the purposes of paragraphs </w:t>
      </w:r>
      <w:proofErr w:type="gramStart"/>
      <w:r>
        <w:rPr>
          <w:rFonts w:ascii="Times New Roman" w:hAnsi="Times New Roman"/>
          <w:sz w:val="24"/>
        </w:rPr>
        <w:t>37A(</w:t>
      </w:r>
      <w:proofErr w:type="gramEnd"/>
      <w:r>
        <w:rPr>
          <w:rFonts w:ascii="Times New Roman" w:hAnsi="Times New Roman"/>
          <w:sz w:val="24"/>
        </w:rPr>
        <w:t>1)(a) and 38(b) of the AML/CTF Act.</w:t>
      </w:r>
    </w:p>
    <w:p w:rsidR="00B91449" w:rsidRDefault="00B91449"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7.1.2 provides that the procedures </w:t>
      </w:r>
      <w:r w:rsidR="00007EFC">
        <w:rPr>
          <w:rFonts w:ascii="Times New Roman" w:hAnsi="Times New Roman"/>
          <w:sz w:val="24"/>
        </w:rPr>
        <w:t xml:space="preserve">set out </w:t>
      </w:r>
      <w:r>
        <w:rPr>
          <w:rFonts w:ascii="Times New Roman" w:hAnsi="Times New Roman"/>
          <w:sz w:val="24"/>
        </w:rPr>
        <w:t xml:space="preserve">in 7.1.3 </w:t>
      </w:r>
      <w:proofErr w:type="gramStart"/>
      <w:r>
        <w:rPr>
          <w:rFonts w:ascii="Times New Roman" w:hAnsi="Times New Roman"/>
          <w:sz w:val="24"/>
        </w:rPr>
        <w:t>are</w:t>
      </w:r>
      <w:proofErr w:type="gramEnd"/>
      <w:r>
        <w:rPr>
          <w:rFonts w:ascii="Times New Roman" w:hAnsi="Times New Roman"/>
          <w:sz w:val="24"/>
        </w:rPr>
        <w:t xml:space="preserve"> prescribed.</w:t>
      </w:r>
    </w:p>
    <w:p w:rsidR="00B91449" w:rsidRDefault="00B91449"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7.1.3 specifies the customer due diligence procedures that </w:t>
      </w:r>
      <w:proofErr w:type="gramStart"/>
      <w:r>
        <w:rPr>
          <w:rFonts w:ascii="Times New Roman" w:hAnsi="Times New Roman"/>
          <w:sz w:val="24"/>
        </w:rPr>
        <w:t>may be relied upon</w:t>
      </w:r>
      <w:proofErr w:type="gramEnd"/>
      <w:r>
        <w:rPr>
          <w:rFonts w:ascii="Times New Roman" w:hAnsi="Times New Roman"/>
          <w:sz w:val="24"/>
        </w:rPr>
        <w:t xml:space="preserve"> for customer identification.</w:t>
      </w:r>
    </w:p>
    <w:p w:rsidR="00B91449" w:rsidRDefault="00B91449"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7.2.1 provides that Part 7.2 is made for paragraph </w:t>
      </w:r>
      <w:proofErr w:type="gramStart"/>
      <w:r>
        <w:rPr>
          <w:rFonts w:ascii="Times New Roman" w:hAnsi="Times New Roman"/>
          <w:sz w:val="24"/>
        </w:rPr>
        <w:t>37A(</w:t>
      </w:r>
      <w:proofErr w:type="gramEnd"/>
      <w:r>
        <w:rPr>
          <w:rFonts w:ascii="Times New Roman" w:hAnsi="Times New Roman"/>
          <w:sz w:val="24"/>
        </w:rPr>
        <w:t>1)(b) and subsection 37B(1) of the AML/CTF Act.</w:t>
      </w:r>
    </w:p>
    <w:p w:rsidR="00B91449" w:rsidRDefault="00B91449"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7.2.2 </w:t>
      </w:r>
      <w:r w:rsidR="00096B85">
        <w:rPr>
          <w:rFonts w:ascii="Times New Roman" w:hAnsi="Times New Roman"/>
          <w:sz w:val="24"/>
        </w:rPr>
        <w:t>prescribes requirements relating to agreements or arrangements for reliance.</w:t>
      </w:r>
    </w:p>
    <w:p w:rsidR="00096B85" w:rsidRDefault="00096B85"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7.2.3 </w:t>
      </w:r>
      <w:r w:rsidR="0010107B">
        <w:rPr>
          <w:rFonts w:ascii="Times New Roman" w:hAnsi="Times New Roman"/>
          <w:sz w:val="24"/>
        </w:rPr>
        <w:t>requires</w:t>
      </w:r>
      <w:r>
        <w:rPr>
          <w:rFonts w:ascii="Times New Roman" w:hAnsi="Times New Roman"/>
          <w:sz w:val="24"/>
        </w:rPr>
        <w:t xml:space="preserve"> </w:t>
      </w:r>
      <w:r w:rsidR="0010107B">
        <w:rPr>
          <w:rFonts w:ascii="Times New Roman" w:hAnsi="Times New Roman"/>
          <w:sz w:val="24"/>
        </w:rPr>
        <w:t xml:space="preserve">the reporting entity to carry out </w:t>
      </w:r>
      <w:r>
        <w:rPr>
          <w:rFonts w:ascii="Times New Roman" w:hAnsi="Times New Roman"/>
          <w:sz w:val="24"/>
        </w:rPr>
        <w:t>regular assessments of the requirements prescribed by par</w:t>
      </w:r>
      <w:r w:rsidR="0010107B">
        <w:rPr>
          <w:rFonts w:ascii="Times New Roman" w:hAnsi="Times New Roman"/>
          <w:sz w:val="24"/>
        </w:rPr>
        <w:t>agraph 7.2.2</w:t>
      </w:r>
      <w:r>
        <w:rPr>
          <w:rFonts w:ascii="Times New Roman" w:hAnsi="Times New Roman"/>
          <w:sz w:val="24"/>
        </w:rPr>
        <w:t>.</w:t>
      </w:r>
    </w:p>
    <w:p w:rsidR="00096B85" w:rsidRDefault="00096B85"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7.2.4 prescribes the timeframes in which the actions required by paragraph 7.2.3 </w:t>
      </w:r>
      <w:proofErr w:type="gramStart"/>
      <w:r>
        <w:rPr>
          <w:rFonts w:ascii="Times New Roman" w:hAnsi="Times New Roman"/>
          <w:sz w:val="24"/>
        </w:rPr>
        <w:t>must be taken</w:t>
      </w:r>
      <w:proofErr w:type="gramEnd"/>
      <w:r>
        <w:rPr>
          <w:rFonts w:ascii="Times New Roman" w:hAnsi="Times New Roman"/>
          <w:sz w:val="24"/>
        </w:rPr>
        <w:t xml:space="preserve"> by the reporting entity.</w:t>
      </w:r>
    </w:p>
    <w:p w:rsidR="00096B85" w:rsidRDefault="00096B85"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7.3.1 provides that part 7.3 </w:t>
      </w:r>
      <w:proofErr w:type="gramStart"/>
      <w:r>
        <w:rPr>
          <w:rFonts w:ascii="Times New Roman" w:hAnsi="Times New Roman"/>
          <w:sz w:val="24"/>
        </w:rPr>
        <w:t>is</w:t>
      </w:r>
      <w:proofErr w:type="gramEnd"/>
      <w:r>
        <w:rPr>
          <w:rFonts w:ascii="Times New Roman" w:hAnsi="Times New Roman"/>
          <w:sz w:val="24"/>
        </w:rPr>
        <w:t xml:space="preserve"> made for the purposes of paragraph 38(e) of the AML/CTF Act.</w:t>
      </w:r>
    </w:p>
    <w:p w:rsidR="00096B85" w:rsidRDefault="00096B85"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7.3.2 specifies the circumstances in which the </w:t>
      </w:r>
      <w:r w:rsidR="0010107B">
        <w:rPr>
          <w:rFonts w:ascii="Times New Roman" w:hAnsi="Times New Roman"/>
          <w:sz w:val="24"/>
        </w:rPr>
        <w:t xml:space="preserve">reporting entity may rely on the customer </w:t>
      </w:r>
      <w:r w:rsidR="00C61803">
        <w:rPr>
          <w:rFonts w:ascii="Times New Roman" w:hAnsi="Times New Roman"/>
          <w:sz w:val="24"/>
        </w:rPr>
        <w:t>due diligence</w:t>
      </w:r>
      <w:r w:rsidR="0010107B">
        <w:rPr>
          <w:rFonts w:ascii="Times New Roman" w:hAnsi="Times New Roman"/>
          <w:sz w:val="24"/>
        </w:rPr>
        <w:t xml:space="preserve"> procedures prescribed by paragraph 7.1.2 carried out by the </w:t>
      </w:r>
      <w:r w:rsidR="00C61803">
        <w:rPr>
          <w:rFonts w:ascii="Times New Roman" w:hAnsi="Times New Roman"/>
          <w:sz w:val="24"/>
        </w:rPr>
        <w:t>other person</w:t>
      </w:r>
      <w:r w:rsidR="0010107B">
        <w:rPr>
          <w:rFonts w:ascii="Times New Roman" w:hAnsi="Times New Roman"/>
          <w:sz w:val="24"/>
        </w:rPr>
        <w:t>.</w:t>
      </w:r>
    </w:p>
    <w:p w:rsidR="00C61803" w:rsidRDefault="00C61803"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7.3.3 specifies </w:t>
      </w:r>
      <w:r w:rsidR="006D6196">
        <w:rPr>
          <w:rFonts w:ascii="Times New Roman" w:hAnsi="Times New Roman"/>
          <w:sz w:val="24"/>
        </w:rPr>
        <w:t xml:space="preserve">the </w:t>
      </w:r>
      <w:r>
        <w:rPr>
          <w:rFonts w:ascii="Times New Roman" w:hAnsi="Times New Roman"/>
          <w:sz w:val="24"/>
        </w:rPr>
        <w:t>circumstances in which a belief formed under paragraph 7.3.2 will be reasonable.</w:t>
      </w:r>
    </w:p>
    <w:p w:rsidR="00C61803" w:rsidRDefault="00C61803" w:rsidP="00D37C18">
      <w:pPr>
        <w:autoSpaceDE w:val="0"/>
        <w:autoSpaceDN w:val="0"/>
        <w:adjustRightInd w:val="0"/>
        <w:spacing w:before="240" w:line="259" w:lineRule="auto"/>
        <w:rPr>
          <w:rFonts w:ascii="Times New Roman" w:hAnsi="Times New Roman"/>
          <w:sz w:val="24"/>
        </w:rPr>
      </w:pPr>
      <w:r>
        <w:rPr>
          <w:rFonts w:ascii="Times New Roman" w:hAnsi="Times New Roman"/>
          <w:sz w:val="24"/>
        </w:rPr>
        <w:t>Paragraph 7.3.4 provides that the reporting entity must make a written record of how the reporting entity met the requirements in paragraph 7.3.2 and 7.3.3.</w:t>
      </w:r>
    </w:p>
    <w:p w:rsidR="0010107B" w:rsidRDefault="00C61803" w:rsidP="00D37C18">
      <w:pPr>
        <w:autoSpaceDE w:val="0"/>
        <w:autoSpaceDN w:val="0"/>
        <w:adjustRightInd w:val="0"/>
        <w:spacing w:before="240" w:line="259" w:lineRule="auto"/>
        <w:rPr>
          <w:rFonts w:ascii="Times New Roman" w:hAnsi="Times New Roman"/>
          <w:sz w:val="24"/>
        </w:rPr>
      </w:pPr>
      <w:r>
        <w:rPr>
          <w:rFonts w:ascii="Times New Roman" w:hAnsi="Times New Roman"/>
          <w:sz w:val="24"/>
        </w:rPr>
        <w:lastRenderedPageBreak/>
        <w:t xml:space="preserve">Paragraph 7.3.5 specifies </w:t>
      </w:r>
      <w:r w:rsidR="006D6196">
        <w:rPr>
          <w:rFonts w:ascii="Times New Roman" w:hAnsi="Times New Roman"/>
          <w:sz w:val="24"/>
        </w:rPr>
        <w:t xml:space="preserve">the </w:t>
      </w:r>
      <w:r>
        <w:rPr>
          <w:rFonts w:ascii="Times New Roman" w:hAnsi="Times New Roman"/>
          <w:sz w:val="24"/>
        </w:rPr>
        <w:t xml:space="preserve">circumstances in which the reporting entity </w:t>
      </w:r>
      <w:proofErr w:type="gramStart"/>
      <w:r>
        <w:rPr>
          <w:rFonts w:ascii="Times New Roman" w:hAnsi="Times New Roman"/>
          <w:sz w:val="24"/>
        </w:rPr>
        <w:t>is deemed</w:t>
      </w:r>
      <w:proofErr w:type="gramEnd"/>
      <w:r>
        <w:rPr>
          <w:rFonts w:ascii="Times New Roman" w:hAnsi="Times New Roman"/>
          <w:sz w:val="24"/>
        </w:rPr>
        <w:t xml:space="preserve"> to comply with the requirements of paragraphs 7.3.2 and 7.3.3.</w:t>
      </w:r>
    </w:p>
    <w:p w:rsidR="00BF6A36" w:rsidRPr="00BF6A36" w:rsidRDefault="00BF6A36" w:rsidP="00BF6A36">
      <w:pPr>
        <w:keepNext/>
        <w:spacing w:before="240" w:line="259" w:lineRule="auto"/>
        <w:rPr>
          <w:rFonts w:ascii="Times New Roman" w:hAnsi="Times New Roman"/>
          <w:b/>
          <w:sz w:val="24"/>
        </w:rPr>
      </w:pPr>
      <w:r w:rsidRPr="00BF6A36">
        <w:rPr>
          <w:rFonts w:ascii="Times New Roman" w:hAnsi="Times New Roman"/>
          <w:b/>
          <w:sz w:val="24"/>
        </w:rPr>
        <w:t xml:space="preserve">Item </w:t>
      </w:r>
      <w:proofErr w:type="gramStart"/>
      <w:r w:rsidRPr="00BF6A36">
        <w:rPr>
          <w:rFonts w:ascii="Times New Roman" w:hAnsi="Times New Roman"/>
          <w:b/>
          <w:sz w:val="24"/>
        </w:rPr>
        <w:t>4—</w:t>
      </w:r>
      <w:proofErr w:type="gramEnd"/>
      <w:r w:rsidRPr="00BF6A36">
        <w:rPr>
          <w:rFonts w:ascii="Times New Roman" w:hAnsi="Times New Roman"/>
          <w:b/>
          <w:sz w:val="24"/>
        </w:rPr>
        <w:t>Chapter 10</w:t>
      </w:r>
    </w:p>
    <w:p w:rsidR="00BF6A36" w:rsidRDefault="00C52C1F" w:rsidP="0060108F">
      <w:pPr>
        <w:autoSpaceDE w:val="0"/>
        <w:autoSpaceDN w:val="0"/>
        <w:adjustRightInd w:val="0"/>
        <w:spacing w:before="240" w:after="240" w:line="259" w:lineRule="auto"/>
        <w:rPr>
          <w:rFonts w:ascii="Times New Roman" w:hAnsi="Times New Roman"/>
          <w:sz w:val="24"/>
        </w:rPr>
      </w:pPr>
      <w:r w:rsidRPr="0060108F">
        <w:rPr>
          <w:rFonts w:ascii="Times New Roman" w:hAnsi="Times New Roman"/>
          <w:sz w:val="24"/>
        </w:rPr>
        <w:t>This item repeals and substitutes a new Chapter 10 of the AML/CTF Rules.</w:t>
      </w:r>
    </w:p>
    <w:p w:rsidR="00684A1B" w:rsidRPr="00684A1B" w:rsidRDefault="00684A1B" w:rsidP="00684A1B">
      <w:pPr>
        <w:spacing w:before="240"/>
        <w:rPr>
          <w:rFonts w:ascii="Times New Roman" w:hAnsi="Times New Roman"/>
          <w:sz w:val="24"/>
          <w:lang w:eastAsia="en-AU"/>
        </w:rPr>
      </w:pPr>
      <w:r>
        <w:rPr>
          <w:rFonts w:ascii="Times New Roman" w:hAnsi="Times New Roman"/>
          <w:sz w:val="24"/>
          <w:lang w:eastAsia="en-AU"/>
        </w:rPr>
        <w:t xml:space="preserve">Paragraph </w:t>
      </w:r>
      <w:r w:rsidRPr="00684A1B">
        <w:rPr>
          <w:rFonts w:ascii="Times New Roman" w:hAnsi="Times New Roman"/>
          <w:sz w:val="24"/>
          <w:lang w:eastAsia="en-AU"/>
        </w:rPr>
        <w:t>10.1.1</w:t>
      </w:r>
      <w:r>
        <w:rPr>
          <w:rFonts w:ascii="Times New Roman" w:hAnsi="Times New Roman"/>
          <w:sz w:val="24"/>
          <w:lang w:eastAsia="en-AU"/>
        </w:rPr>
        <w:t xml:space="preserve"> provides that</w:t>
      </w:r>
      <w:r w:rsidRPr="00684A1B">
        <w:rPr>
          <w:rFonts w:ascii="Times New Roman" w:hAnsi="Times New Roman"/>
          <w:sz w:val="24"/>
          <w:lang w:eastAsia="en-AU"/>
        </w:rPr>
        <w:t xml:space="preserve"> Part </w:t>
      </w:r>
      <w:r>
        <w:rPr>
          <w:rFonts w:ascii="Times New Roman" w:hAnsi="Times New Roman"/>
          <w:sz w:val="24"/>
          <w:lang w:eastAsia="en-AU"/>
        </w:rPr>
        <w:t xml:space="preserve">10.1 </w:t>
      </w:r>
      <w:proofErr w:type="gramStart"/>
      <w:r w:rsidRPr="00684A1B">
        <w:rPr>
          <w:rFonts w:ascii="Times New Roman" w:hAnsi="Times New Roman"/>
          <w:sz w:val="24"/>
          <w:lang w:eastAsia="en-AU"/>
        </w:rPr>
        <w:t>is</w:t>
      </w:r>
      <w:proofErr w:type="gramEnd"/>
      <w:r w:rsidRPr="00684A1B">
        <w:rPr>
          <w:rFonts w:ascii="Times New Roman" w:hAnsi="Times New Roman"/>
          <w:sz w:val="24"/>
          <w:lang w:eastAsia="en-AU"/>
        </w:rPr>
        <w:t xml:space="preserve"> made for </w:t>
      </w:r>
      <w:r>
        <w:rPr>
          <w:rFonts w:ascii="Times New Roman" w:hAnsi="Times New Roman"/>
          <w:sz w:val="24"/>
          <w:lang w:eastAsia="en-AU"/>
        </w:rPr>
        <w:t xml:space="preserve">the purposes of </w:t>
      </w:r>
      <w:r w:rsidRPr="00684A1B">
        <w:rPr>
          <w:rFonts w:ascii="Times New Roman" w:hAnsi="Times New Roman"/>
          <w:sz w:val="24"/>
          <w:lang w:eastAsia="en-AU"/>
        </w:rPr>
        <w:t xml:space="preserve">subsections 39(4), 118(2) and 118(4) of the </w:t>
      </w:r>
      <w:r>
        <w:rPr>
          <w:rFonts w:ascii="Times New Roman" w:hAnsi="Times New Roman"/>
          <w:sz w:val="24"/>
          <w:lang w:eastAsia="en-AU"/>
        </w:rPr>
        <w:t xml:space="preserve">AML/CTF </w:t>
      </w:r>
      <w:r w:rsidRPr="00684A1B">
        <w:rPr>
          <w:rFonts w:ascii="Times New Roman" w:hAnsi="Times New Roman"/>
          <w:sz w:val="24"/>
          <w:lang w:eastAsia="en-AU"/>
        </w:rPr>
        <w:t>Act.</w:t>
      </w:r>
    </w:p>
    <w:p w:rsidR="00684A1B" w:rsidRPr="00684A1B" w:rsidRDefault="00684A1B" w:rsidP="00684A1B">
      <w:pPr>
        <w:tabs>
          <w:tab w:val="left" w:pos="851"/>
        </w:tabs>
        <w:spacing w:before="240"/>
        <w:rPr>
          <w:rFonts w:ascii="Times New Roman" w:hAnsi="Times New Roman"/>
          <w:sz w:val="24"/>
          <w:lang w:eastAsia="en-AU"/>
        </w:rPr>
      </w:pPr>
      <w:r>
        <w:rPr>
          <w:rFonts w:ascii="Times New Roman" w:hAnsi="Times New Roman"/>
          <w:sz w:val="24"/>
          <w:lang w:val="en-US" w:eastAsia="en-AU"/>
        </w:rPr>
        <w:t xml:space="preserve">Paragraph </w:t>
      </w:r>
      <w:r w:rsidRPr="00684A1B">
        <w:rPr>
          <w:rFonts w:ascii="Times New Roman" w:hAnsi="Times New Roman"/>
          <w:sz w:val="24"/>
          <w:lang w:val="en-US" w:eastAsia="en-AU"/>
        </w:rPr>
        <w:t>10.1.2</w:t>
      </w:r>
      <w:r>
        <w:rPr>
          <w:rFonts w:ascii="Times New Roman" w:hAnsi="Times New Roman"/>
          <w:sz w:val="24"/>
          <w:lang w:val="en-US" w:eastAsia="en-AU"/>
        </w:rPr>
        <w:t xml:space="preserve"> specifies that</w:t>
      </w:r>
      <w:r w:rsidRPr="00684A1B">
        <w:rPr>
          <w:rFonts w:ascii="Times New Roman" w:hAnsi="Times New Roman"/>
          <w:sz w:val="24"/>
          <w:lang w:eastAsia="en-AU"/>
        </w:rPr>
        <w:t xml:space="preserve"> Part </w:t>
      </w:r>
      <w:r>
        <w:rPr>
          <w:rFonts w:ascii="Times New Roman" w:hAnsi="Times New Roman"/>
          <w:sz w:val="24"/>
          <w:lang w:eastAsia="en-AU"/>
        </w:rPr>
        <w:t xml:space="preserve">10.1 </w:t>
      </w:r>
      <w:proofErr w:type="gramStart"/>
      <w:r w:rsidRPr="00684A1B">
        <w:rPr>
          <w:rFonts w:ascii="Times New Roman" w:hAnsi="Times New Roman"/>
          <w:sz w:val="24"/>
          <w:lang w:eastAsia="en-AU"/>
        </w:rPr>
        <w:t>applies</w:t>
      </w:r>
      <w:proofErr w:type="gramEnd"/>
      <w:r w:rsidRPr="00684A1B">
        <w:rPr>
          <w:rFonts w:ascii="Times New Roman" w:hAnsi="Times New Roman"/>
          <w:sz w:val="24"/>
          <w:lang w:eastAsia="en-AU"/>
        </w:rPr>
        <w:t xml:space="preserve"> </w:t>
      </w:r>
      <w:r>
        <w:rPr>
          <w:rFonts w:ascii="Times New Roman" w:hAnsi="Times New Roman"/>
          <w:sz w:val="24"/>
          <w:lang w:eastAsia="en-AU"/>
        </w:rPr>
        <w:t xml:space="preserve">only </w:t>
      </w:r>
      <w:r w:rsidRPr="00684A1B">
        <w:rPr>
          <w:rFonts w:ascii="Times New Roman" w:hAnsi="Times New Roman"/>
          <w:sz w:val="24"/>
          <w:lang w:eastAsia="en-AU"/>
        </w:rPr>
        <w:t>to designated services provided by a casino other than online gambling services.</w:t>
      </w:r>
    </w:p>
    <w:p w:rsidR="00684A1B" w:rsidRPr="00684A1B" w:rsidRDefault="00684A1B" w:rsidP="009B6097">
      <w:pPr>
        <w:spacing w:before="240"/>
        <w:rPr>
          <w:rFonts w:ascii="Times New Roman" w:hAnsi="Times New Roman"/>
          <w:sz w:val="24"/>
          <w:lang w:eastAsia="en-AU"/>
        </w:rPr>
      </w:pPr>
      <w:r>
        <w:rPr>
          <w:rFonts w:ascii="Times New Roman" w:hAnsi="Times New Roman"/>
          <w:sz w:val="24"/>
          <w:lang w:eastAsia="en-AU"/>
        </w:rPr>
        <w:t xml:space="preserve">Paragraph </w:t>
      </w:r>
      <w:r w:rsidRPr="00684A1B">
        <w:rPr>
          <w:rFonts w:ascii="Times New Roman" w:hAnsi="Times New Roman"/>
          <w:sz w:val="24"/>
          <w:lang w:eastAsia="en-AU"/>
        </w:rPr>
        <w:t>10.1.3</w:t>
      </w:r>
      <w:r>
        <w:rPr>
          <w:rFonts w:ascii="Times New Roman" w:hAnsi="Times New Roman"/>
          <w:sz w:val="24"/>
          <w:lang w:eastAsia="en-AU"/>
        </w:rPr>
        <w:t xml:space="preserve"> provides an exemption from </w:t>
      </w:r>
      <w:r w:rsidRPr="00684A1B">
        <w:rPr>
          <w:rFonts w:ascii="Times New Roman" w:hAnsi="Times New Roman"/>
          <w:sz w:val="24"/>
          <w:lang w:eastAsia="en-AU"/>
        </w:rPr>
        <w:t xml:space="preserve">Division 4 of Part 2 of the </w:t>
      </w:r>
      <w:r>
        <w:rPr>
          <w:rFonts w:ascii="Times New Roman" w:hAnsi="Times New Roman"/>
          <w:sz w:val="24"/>
          <w:lang w:eastAsia="en-AU"/>
        </w:rPr>
        <w:t>AML</w:t>
      </w:r>
      <w:r w:rsidR="00324BFE">
        <w:rPr>
          <w:rFonts w:ascii="Times New Roman" w:hAnsi="Times New Roman"/>
          <w:sz w:val="24"/>
          <w:lang w:eastAsia="en-AU"/>
        </w:rPr>
        <w:t>/CTF</w:t>
      </w:r>
      <w:r w:rsidR="009B6097">
        <w:rPr>
          <w:rFonts w:ascii="Times New Roman" w:hAnsi="Times New Roman"/>
          <w:sz w:val="24"/>
          <w:lang w:eastAsia="en-AU"/>
        </w:rPr>
        <w:t xml:space="preserve"> </w:t>
      </w:r>
      <w:r w:rsidRPr="00684A1B">
        <w:rPr>
          <w:rFonts w:ascii="Times New Roman" w:hAnsi="Times New Roman"/>
          <w:sz w:val="24"/>
          <w:lang w:eastAsia="en-AU"/>
        </w:rPr>
        <w:t xml:space="preserve">Act, to </w:t>
      </w:r>
      <w:r w:rsidR="009B6097">
        <w:rPr>
          <w:rFonts w:ascii="Times New Roman" w:hAnsi="Times New Roman"/>
          <w:sz w:val="24"/>
          <w:lang w:eastAsia="en-AU"/>
        </w:rPr>
        <w:t xml:space="preserve">certain </w:t>
      </w:r>
      <w:r w:rsidRPr="00684A1B">
        <w:rPr>
          <w:rFonts w:ascii="Times New Roman" w:hAnsi="Times New Roman"/>
          <w:sz w:val="24"/>
          <w:lang w:eastAsia="en-AU"/>
        </w:rPr>
        <w:t>designated service</w:t>
      </w:r>
      <w:r w:rsidR="009B6097">
        <w:rPr>
          <w:rFonts w:ascii="Times New Roman" w:hAnsi="Times New Roman"/>
          <w:sz w:val="24"/>
          <w:lang w:eastAsia="en-AU"/>
        </w:rPr>
        <w:t>s provided in circumstances</w:t>
      </w:r>
      <w:r w:rsidRPr="00684A1B">
        <w:rPr>
          <w:rFonts w:ascii="Times New Roman" w:hAnsi="Times New Roman"/>
          <w:sz w:val="24"/>
          <w:lang w:eastAsia="en-AU"/>
        </w:rPr>
        <w:t xml:space="preserve"> </w:t>
      </w:r>
      <w:r w:rsidR="009B6097">
        <w:rPr>
          <w:rFonts w:ascii="Times New Roman" w:hAnsi="Times New Roman"/>
          <w:sz w:val="24"/>
          <w:lang w:eastAsia="en-AU"/>
        </w:rPr>
        <w:t>specified in paragraph 10.1.3.</w:t>
      </w:r>
    </w:p>
    <w:p w:rsidR="00684A1B" w:rsidRPr="00684A1B" w:rsidRDefault="009B6097" w:rsidP="009B6097">
      <w:pPr>
        <w:spacing w:before="240"/>
        <w:rPr>
          <w:rFonts w:ascii="Times New Roman" w:hAnsi="Times New Roman"/>
          <w:sz w:val="24"/>
          <w:lang w:eastAsia="en-AU"/>
        </w:rPr>
      </w:pPr>
      <w:r>
        <w:rPr>
          <w:rFonts w:ascii="Times New Roman" w:hAnsi="Times New Roman"/>
          <w:sz w:val="24"/>
          <w:lang w:eastAsia="en-AU"/>
        </w:rPr>
        <w:t xml:space="preserve">Paragraph </w:t>
      </w:r>
      <w:r w:rsidR="00684A1B" w:rsidRPr="00684A1B">
        <w:rPr>
          <w:rFonts w:ascii="Times New Roman" w:hAnsi="Times New Roman"/>
          <w:sz w:val="24"/>
          <w:lang w:eastAsia="en-AU"/>
        </w:rPr>
        <w:t>10.1.4</w:t>
      </w:r>
      <w:r w:rsidRPr="009B6097">
        <w:rPr>
          <w:rFonts w:ascii="Times New Roman" w:hAnsi="Times New Roman"/>
          <w:sz w:val="24"/>
          <w:lang w:eastAsia="en-AU"/>
        </w:rPr>
        <w:t xml:space="preserve"> </w:t>
      </w:r>
      <w:r>
        <w:rPr>
          <w:rFonts w:ascii="Times New Roman" w:hAnsi="Times New Roman"/>
          <w:sz w:val="24"/>
          <w:lang w:eastAsia="en-AU"/>
        </w:rPr>
        <w:t xml:space="preserve">provides an exemption from </w:t>
      </w:r>
      <w:r w:rsidRPr="00684A1B">
        <w:rPr>
          <w:rFonts w:ascii="Times New Roman" w:hAnsi="Times New Roman"/>
          <w:sz w:val="24"/>
          <w:lang w:eastAsia="en-AU"/>
        </w:rPr>
        <w:t xml:space="preserve">Division 4 of Part 2 of the </w:t>
      </w:r>
      <w:r>
        <w:rPr>
          <w:rFonts w:ascii="Times New Roman" w:hAnsi="Times New Roman"/>
          <w:sz w:val="24"/>
          <w:lang w:eastAsia="en-AU"/>
        </w:rPr>
        <w:t>AML</w:t>
      </w:r>
      <w:r w:rsidR="00324BFE">
        <w:rPr>
          <w:rFonts w:ascii="Times New Roman" w:hAnsi="Times New Roman"/>
          <w:sz w:val="24"/>
          <w:lang w:eastAsia="en-AU"/>
        </w:rPr>
        <w:t>/CTF</w:t>
      </w:r>
      <w:r>
        <w:rPr>
          <w:rFonts w:ascii="Times New Roman" w:hAnsi="Times New Roman"/>
          <w:sz w:val="24"/>
          <w:lang w:eastAsia="en-AU"/>
        </w:rPr>
        <w:t xml:space="preserve"> </w:t>
      </w:r>
      <w:r w:rsidRPr="00684A1B">
        <w:rPr>
          <w:rFonts w:ascii="Times New Roman" w:hAnsi="Times New Roman"/>
          <w:sz w:val="24"/>
          <w:lang w:eastAsia="en-AU"/>
        </w:rPr>
        <w:t xml:space="preserve">Act, to </w:t>
      </w:r>
      <w:r>
        <w:rPr>
          <w:rFonts w:ascii="Times New Roman" w:hAnsi="Times New Roman"/>
          <w:sz w:val="24"/>
          <w:lang w:eastAsia="en-AU"/>
        </w:rPr>
        <w:t xml:space="preserve">certain </w:t>
      </w:r>
      <w:r w:rsidRPr="00684A1B">
        <w:rPr>
          <w:rFonts w:ascii="Times New Roman" w:hAnsi="Times New Roman"/>
          <w:sz w:val="24"/>
          <w:lang w:eastAsia="en-AU"/>
        </w:rPr>
        <w:t>designated service</w:t>
      </w:r>
      <w:r>
        <w:rPr>
          <w:rFonts w:ascii="Times New Roman" w:hAnsi="Times New Roman"/>
          <w:sz w:val="24"/>
          <w:lang w:eastAsia="en-AU"/>
        </w:rPr>
        <w:t>s provided in circumstances</w:t>
      </w:r>
      <w:r w:rsidRPr="00684A1B">
        <w:rPr>
          <w:rFonts w:ascii="Times New Roman" w:hAnsi="Times New Roman"/>
          <w:sz w:val="24"/>
          <w:lang w:eastAsia="en-AU"/>
        </w:rPr>
        <w:t xml:space="preserve"> </w:t>
      </w:r>
      <w:r>
        <w:rPr>
          <w:rFonts w:ascii="Times New Roman" w:hAnsi="Times New Roman"/>
          <w:sz w:val="24"/>
          <w:lang w:eastAsia="en-AU"/>
        </w:rPr>
        <w:t>specified in paragraph 10.1.4.</w:t>
      </w:r>
    </w:p>
    <w:p w:rsidR="00684A1B" w:rsidRPr="00684A1B" w:rsidRDefault="00AC605B" w:rsidP="00AC605B">
      <w:pPr>
        <w:spacing w:before="240"/>
        <w:rPr>
          <w:rFonts w:ascii="Times New Roman" w:hAnsi="Times New Roman"/>
          <w:sz w:val="24"/>
          <w:lang w:eastAsia="en-AU"/>
        </w:rPr>
      </w:pPr>
      <w:r>
        <w:rPr>
          <w:rFonts w:ascii="Times New Roman" w:hAnsi="Times New Roman"/>
          <w:sz w:val="24"/>
          <w:lang w:eastAsia="en-AU"/>
        </w:rPr>
        <w:t xml:space="preserve">Paragraph </w:t>
      </w:r>
      <w:r w:rsidR="00684A1B" w:rsidRPr="00684A1B">
        <w:rPr>
          <w:rFonts w:ascii="Times New Roman" w:hAnsi="Times New Roman"/>
          <w:sz w:val="24"/>
          <w:lang w:eastAsia="en-AU"/>
        </w:rPr>
        <w:t>10.1.5</w:t>
      </w:r>
      <w:r>
        <w:rPr>
          <w:rFonts w:ascii="Times New Roman" w:hAnsi="Times New Roman"/>
          <w:sz w:val="24"/>
          <w:lang w:eastAsia="en-AU"/>
        </w:rPr>
        <w:t xml:space="preserve"> specifies circumstances in which the exemptions set out in paragraphs 10.1.3 and 10.1.4 do not apply.</w:t>
      </w:r>
    </w:p>
    <w:p w:rsidR="00684A1B" w:rsidRPr="00684A1B" w:rsidRDefault="00B45933" w:rsidP="00B45933">
      <w:pPr>
        <w:spacing w:before="240"/>
        <w:rPr>
          <w:rFonts w:ascii="Times New Roman" w:hAnsi="Times New Roman"/>
          <w:sz w:val="24"/>
          <w:lang w:eastAsia="en-AU"/>
        </w:rPr>
      </w:pPr>
      <w:r>
        <w:rPr>
          <w:rFonts w:ascii="Times New Roman" w:hAnsi="Times New Roman"/>
          <w:sz w:val="24"/>
          <w:lang w:eastAsia="en-AU"/>
        </w:rPr>
        <w:t xml:space="preserve">Paragraph </w:t>
      </w:r>
      <w:r w:rsidR="00684A1B" w:rsidRPr="00684A1B">
        <w:rPr>
          <w:rFonts w:ascii="Times New Roman" w:hAnsi="Times New Roman"/>
          <w:sz w:val="24"/>
          <w:lang w:eastAsia="en-AU"/>
        </w:rPr>
        <w:t>10.1.6</w:t>
      </w:r>
      <w:r>
        <w:rPr>
          <w:rFonts w:ascii="Times New Roman" w:hAnsi="Times New Roman"/>
          <w:sz w:val="24"/>
          <w:lang w:eastAsia="en-AU"/>
        </w:rPr>
        <w:t xml:space="preserve"> sets out the modifications to </w:t>
      </w:r>
      <w:r w:rsidR="00684A1B" w:rsidRPr="00684A1B">
        <w:rPr>
          <w:rFonts w:ascii="Times New Roman" w:hAnsi="Times New Roman"/>
          <w:sz w:val="24"/>
          <w:lang w:eastAsia="en-AU"/>
        </w:rPr>
        <w:t xml:space="preserve">Chapter 6 </w:t>
      </w:r>
      <w:r>
        <w:rPr>
          <w:rFonts w:ascii="Times New Roman" w:hAnsi="Times New Roman"/>
          <w:sz w:val="24"/>
          <w:lang w:eastAsia="en-AU"/>
        </w:rPr>
        <w:t>of the AML/CTF Rules for the purposes of Part 10.1.</w:t>
      </w:r>
    </w:p>
    <w:p w:rsidR="00684A1B" w:rsidRPr="00684A1B" w:rsidRDefault="00B45933" w:rsidP="00B45933">
      <w:pPr>
        <w:spacing w:before="240"/>
        <w:rPr>
          <w:rFonts w:ascii="Times New Roman" w:hAnsi="Times New Roman"/>
          <w:sz w:val="24"/>
          <w:lang w:eastAsia="en-AU"/>
        </w:rPr>
      </w:pPr>
      <w:r>
        <w:rPr>
          <w:rFonts w:ascii="Times New Roman" w:hAnsi="Times New Roman"/>
          <w:sz w:val="24"/>
          <w:lang w:eastAsia="en-AU"/>
        </w:rPr>
        <w:t>Paragraph 10.1.</w:t>
      </w:r>
      <w:r w:rsidR="00684A1B" w:rsidRPr="00684A1B">
        <w:rPr>
          <w:rFonts w:ascii="Times New Roman" w:hAnsi="Times New Roman"/>
          <w:sz w:val="24"/>
          <w:lang w:eastAsia="en-AU"/>
        </w:rPr>
        <w:t>7</w:t>
      </w:r>
      <w:r>
        <w:rPr>
          <w:rFonts w:ascii="Times New Roman" w:hAnsi="Times New Roman"/>
          <w:sz w:val="24"/>
          <w:lang w:eastAsia="en-AU"/>
        </w:rPr>
        <w:t xml:space="preserve"> provides that s</w:t>
      </w:r>
      <w:r w:rsidR="00684A1B" w:rsidRPr="00684A1B">
        <w:rPr>
          <w:rFonts w:ascii="Times New Roman" w:hAnsi="Times New Roman"/>
          <w:sz w:val="24"/>
          <w:lang w:eastAsia="en-AU"/>
        </w:rPr>
        <w:t xml:space="preserve">ections 106 and 107 of the </w:t>
      </w:r>
      <w:r>
        <w:rPr>
          <w:rFonts w:ascii="Times New Roman" w:hAnsi="Times New Roman"/>
          <w:sz w:val="24"/>
          <w:lang w:eastAsia="en-AU"/>
        </w:rPr>
        <w:t>AML/CTF Act</w:t>
      </w:r>
      <w:r w:rsidR="00684A1B" w:rsidRPr="00684A1B">
        <w:rPr>
          <w:rFonts w:ascii="Times New Roman" w:hAnsi="Times New Roman"/>
          <w:sz w:val="24"/>
          <w:lang w:eastAsia="en-AU"/>
        </w:rPr>
        <w:t xml:space="preserve"> do not apply </w:t>
      </w:r>
      <w:r>
        <w:rPr>
          <w:rFonts w:ascii="Times New Roman" w:hAnsi="Times New Roman"/>
          <w:sz w:val="24"/>
          <w:lang w:eastAsia="en-AU"/>
        </w:rPr>
        <w:t xml:space="preserve">to certain </w:t>
      </w:r>
      <w:r w:rsidRPr="00684A1B">
        <w:rPr>
          <w:rFonts w:ascii="Times New Roman" w:hAnsi="Times New Roman"/>
          <w:sz w:val="24"/>
          <w:lang w:eastAsia="en-AU"/>
        </w:rPr>
        <w:t>designated service</w:t>
      </w:r>
      <w:r>
        <w:rPr>
          <w:rFonts w:ascii="Times New Roman" w:hAnsi="Times New Roman"/>
          <w:sz w:val="24"/>
          <w:lang w:eastAsia="en-AU"/>
        </w:rPr>
        <w:t>s provided in circumstances</w:t>
      </w:r>
      <w:r w:rsidRPr="00684A1B">
        <w:rPr>
          <w:rFonts w:ascii="Times New Roman" w:hAnsi="Times New Roman"/>
          <w:sz w:val="24"/>
          <w:lang w:eastAsia="en-AU"/>
        </w:rPr>
        <w:t xml:space="preserve"> </w:t>
      </w:r>
      <w:r>
        <w:rPr>
          <w:rFonts w:ascii="Times New Roman" w:hAnsi="Times New Roman"/>
          <w:sz w:val="24"/>
          <w:lang w:eastAsia="en-AU"/>
        </w:rPr>
        <w:t>specified in paragraph 10.1.7.</w:t>
      </w:r>
      <w:r w:rsidRPr="00684A1B">
        <w:rPr>
          <w:rFonts w:ascii="Times New Roman" w:hAnsi="Times New Roman"/>
          <w:sz w:val="24"/>
          <w:lang w:eastAsia="en-AU"/>
        </w:rPr>
        <w:t xml:space="preserve"> </w:t>
      </w:r>
    </w:p>
    <w:p w:rsidR="00684A1B" w:rsidRPr="00684A1B" w:rsidRDefault="00805867" w:rsidP="00805867">
      <w:pPr>
        <w:spacing w:before="240"/>
        <w:rPr>
          <w:rFonts w:ascii="Times New Roman" w:hAnsi="Times New Roman"/>
          <w:sz w:val="24"/>
          <w:lang w:eastAsia="en-AU"/>
        </w:rPr>
      </w:pPr>
      <w:r>
        <w:rPr>
          <w:rFonts w:ascii="Times New Roman" w:hAnsi="Times New Roman"/>
          <w:sz w:val="24"/>
          <w:lang w:eastAsia="en-AU"/>
        </w:rPr>
        <w:t xml:space="preserve">Paragraph </w:t>
      </w:r>
      <w:r w:rsidRPr="00684A1B">
        <w:rPr>
          <w:rFonts w:ascii="Times New Roman" w:hAnsi="Times New Roman"/>
          <w:sz w:val="24"/>
          <w:lang w:eastAsia="en-AU"/>
        </w:rPr>
        <w:t>10.</w:t>
      </w:r>
      <w:r>
        <w:rPr>
          <w:rFonts w:ascii="Times New Roman" w:hAnsi="Times New Roman"/>
          <w:sz w:val="24"/>
          <w:lang w:eastAsia="en-AU"/>
        </w:rPr>
        <w:t>2</w:t>
      </w:r>
      <w:r w:rsidRPr="00684A1B">
        <w:rPr>
          <w:rFonts w:ascii="Times New Roman" w:hAnsi="Times New Roman"/>
          <w:sz w:val="24"/>
          <w:lang w:eastAsia="en-AU"/>
        </w:rPr>
        <w:t>.1</w:t>
      </w:r>
      <w:r>
        <w:rPr>
          <w:rFonts w:ascii="Times New Roman" w:hAnsi="Times New Roman"/>
          <w:sz w:val="24"/>
          <w:lang w:eastAsia="en-AU"/>
        </w:rPr>
        <w:t xml:space="preserve"> provides that</w:t>
      </w:r>
      <w:r w:rsidRPr="00684A1B">
        <w:rPr>
          <w:rFonts w:ascii="Times New Roman" w:hAnsi="Times New Roman"/>
          <w:sz w:val="24"/>
          <w:lang w:eastAsia="en-AU"/>
        </w:rPr>
        <w:t xml:space="preserve"> Part </w:t>
      </w:r>
      <w:r>
        <w:rPr>
          <w:rFonts w:ascii="Times New Roman" w:hAnsi="Times New Roman"/>
          <w:sz w:val="24"/>
          <w:lang w:eastAsia="en-AU"/>
        </w:rPr>
        <w:t xml:space="preserve">10.2 </w:t>
      </w:r>
      <w:proofErr w:type="gramStart"/>
      <w:r w:rsidRPr="00684A1B">
        <w:rPr>
          <w:rFonts w:ascii="Times New Roman" w:hAnsi="Times New Roman"/>
          <w:sz w:val="24"/>
          <w:lang w:eastAsia="en-AU"/>
        </w:rPr>
        <w:t>is</w:t>
      </w:r>
      <w:proofErr w:type="gramEnd"/>
      <w:r w:rsidRPr="00684A1B">
        <w:rPr>
          <w:rFonts w:ascii="Times New Roman" w:hAnsi="Times New Roman"/>
          <w:sz w:val="24"/>
          <w:lang w:eastAsia="en-AU"/>
        </w:rPr>
        <w:t xml:space="preserve"> made for </w:t>
      </w:r>
      <w:r>
        <w:rPr>
          <w:rFonts w:ascii="Times New Roman" w:hAnsi="Times New Roman"/>
          <w:sz w:val="24"/>
          <w:lang w:eastAsia="en-AU"/>
        </w:rPr>
        <w:t xml:space="preserve">the purposes of </w:t>
      </w:r>
      <w:r w:rsidRPr="00684A1B">
        <w:rPr>
          <w:rFonts w:ascii="Times New Roman" w:hAnsi="Times New Roman"/>
          <w:sz w:val="24"/>
          <w:lang w:eastAsia="en-AU"/>
        </w:rPr>
        <w:t xml:space="preserve">subsections 39(4), 118(2) and 118(4) of the </w:t>
      </w:r>
      <w:r>
        <w:rPr>
          <w:rFonts w:ascii="Times New Roman" w:hAnsi="Times New Roman"/>
          <w:sz w:val="24"/>
          <w:lang w:eastAsia="en-AU"/>
        </w:rPr>
        <w:t xml:space="preserve">AML/CTF </w:t>
      </w:r>
      <w:r w:rsidRPr="00684A1B">
        <w:rPr>
          <w:rFonts w:ascii="Times New Roman" w:hAnsi="Times New Roman"/>
          <w:sz w:val="24"/>
          <w:lang w:eastAsia="en-AU"/>
        </w:rPr>
        <w:t>Act.</w:t>
      </w:r>
    </w:p>
    <w:p w:rsidR="00805867" w:rsidRPr="00684A1B" w:rsidRDefault="00805867" w:rsidP="00805867">
      <w:pPr>
        <w:tabs>
          <w:tab w:val="left" w:pos="851"/>
        </w:tabs>
        <w:spacing w:before="240"/>
        <w:rPr>
          <w:rFonts w:ascii="Times New Roman" w:hAnsi="Times New Roman"/>
          <w:sz w:val="24"/>
          <w:lang w:eastAsia="en-AU"/>
        </w:rPr>
      </w:pPr>
      <w:r>
        <w:rPr>
          <w:rFonts w:ascii="Times New Roman" w:hAnsi="Times New Roman"/>
          <w:sz w:val="24"/>
          <w:lang w:val="en-US" w:eastAsia="en-AU"/>
        </w:rPr>
        <w:t xml:space="preserve">Paragraph </w:t>
      </w:r>
      <w:r w:rsidRPr="00684A1B">
        <w:rPr>
          <w:rFonts w:ascii="Times New Roman" w:hAnsi="Times New Roman"/>
          <w:sz w:val="24"/>
          <w:lang w:val="en-US" w:eastAsia="en-AU"/>
        </w:rPr>
        <w:t>10.</w:t>
      </w:r>
      <w:r w:rsidR="00C91A7C">
        <w:rPr>
          <w:rFonts w:ascii="Times New Roman" w:hAnsi="Times New Roman"/>
          <w:sz w:val="24"/>
          <w:lang w:val="en-US" w:eastAsia="en-AU"/>
        </w:rPr>
        <w:t>2</w:t>
      </w:r>
      <w:r w:rsidRPr="00684A1B">
        <w:rPr>
          <w:rFonts w:ascii="Times New Roman" w:hAnsi="Times New Roman"/>
          <w:sz w:val="24"/>
          <w:lang w:val="en-US" w:eastAsia="en-AU"/>
        </w:rPr>
        <w:t>.2</w:t>
      </w:r>
      <w:r>
        <w:rPr>
          <w:rFonts w:ascii="Times New Roman" w:hAnsi="Times New Roman"/>
          <w:sz w:val="24"/>
          <w:lang w:val="en-US" w:eastAsia="en-AU"/>
        </w:rPr>
        <w:t xml:space="preserve"> specifies that</w:t>
      </w:r>
      <w:r w:rsidRPr="00684A1B">
        <w:rPr>
          <w:rFonts w:ascii="Times New Roman" w:hAnsi="Times New Roman"/>
          <w:sz w:val="24"/>
          <w:lang w:eastAsia="en-AU"/>
        </w:rPr>
        <w:t xml:space="preserve"> Part </w:t>
      </w:r>
      <w:r>
        <w:rPr>
          <w:rFonts w:ascii="Times New Roman" w:hAnsi="Times New Roman"/>
          <w:sz w:val="24"/>
          <w:lang w:eastAsia="en-AU"/>
        </w:rPr>
        <w:t xml:space="preserve">10.2 </w:t>
      </w:r>
      <w:proofErr w:type="gramStart"/>
      <w:r w:rsidRPr="00684A1B">
        <w:rPr>
          <w:rFonts w:ascii="Times New Roman" w:hAnsi="Times New Roman"/>
          <w:sz w:val="24"/>
          <w:lang w:eastAsia="en-AU"/>
        </w:rPr>
        <w:t>applies</w:t>
      </w:r>
      <w:proofErr w:type="gramEnd"/>
      <w:r w:rsidRPr="00684A1B">
        <w:rPr>
          <w:rFonts w:ascii="Times New Roman" w:hAnsi="Times New Roman"/>
          <w:sz w:val="24"/>
          <w:lang w:eastAsia="en-AU"/>
        </w:rPr>
        <w:t xml:space="preserve"> </w:t>
      </w:r>
      <w:r>
        <w:rPr>
          <w:rFonts w:ascii="Times New Roman" w:hAnsi="Times New Roman"/>
          <w:sz w:val="24"/>
          <w:lang w:eastAsia="en-AU"/>
        </w:rPr>
        <w:t xml:space="preserve">only </w:t>
      </w:r>
      <w:r w:rsidRPr="00684A1B">
        <w:rPr>
          <w:rFonts w:ascii="Times New Roman" w:hAnsi="Times New Roman"/>
          <w:sz w:val="24"/>
          <w:lang w:eastAsia="en-AU"/>
        </w:rPr>
        <w:t>to designated services provided by an on</w:t>
      </w:r>
      <w:r w:rsidRPr="00684A1B">
        <w:rPr>
          <w:rFonts w:ascii="Times New Roman" w:hAnsi="Times New Roman"/>
          <w:sz w:val="24"/>
          <w:lang w:eastAsia="en-AU"/>
        </w:rPr>
        <w:noBreakHyphen/>
        <w:t>course bookmaker or a totalisator agency board.</w:t>
      </w:r>
    </w:p>
    <w:p w:rsidR="00C91A7C" w:rsidRPr="00684A1B" w:rsidRDefault="00C91A7C" w:rsidP="00C91A7C">
      <w:pPr>
        <w:spacing w:before="240"/>
        <w:rPr>
          <w:rFonts w:ascii="Times New Roman" w:hAnsi="Times New Roman"/>
          <w:sz w:val="24"/>
          <w:lang w:eastAsia="en-AU"/>
        </w:rPr>
      </w:pPr>
      <w:r>
        <w:rPr>
          <w:rFonts w:ascii="Times New Roman" w:hAnsi="Times New Roman"/>
          <w:sz w:val="24"/>
          <w:lang w:eastAsia="en-AU"/>
        </w:rPr>
        <w:t xml:space="preserve">Paragraph </w:t>
      </w:r>
      <w:r w:rsidRPr="00684A1B">
        <w:rPr>
          <w:rFonts w:ascii="Times New Roman" w:hAnsi="Times New Roman"/>
          <w:sz w:val="24"/>
          <w:lang w:eastAsia="en-AU"/>
        </w:rPr>
        <w:t>10.</w:t>
      </w:r>
      <w:r>
        <w:rPr>
          <w:rFonts w:ascii="Times New Roman" w:hAnsi="Times New Roman"/>
          <w:sz w:val="24"/>
          <w:lang w:eastAsia="en-AU"/>
        </w:rPr>
        <w:t>2</w:t>
      </w:r>
      <w:r w:rsidRPr="00684A1B">
        <w:rPr>
          <w:rFonts w:ascii="Times New Roman" w:hAnsi="Times New Roman"/>
          <w:sz w:val="24"/>
          <w:lang w:eastAsia="en-AU"/>
        </w:rPr>
        <w:t>.3</w:t>
      </w:r>
      <w:r>
        <w:rPr>
          <w:rFonts w:ascii="Times New Roman" w:hAnsi="Times New Roman"/>
          <w:sz w:val="24"/>
          <w:lang w:eastAsia="en-AU"/>
        </w:rPr>
        <w:t xml:space="preserve"> provides an exemption from </w:t>
      </w:r>
      <w:r w:rsidRPr="00684A1B">
        <w:rPr>
          <w:rFonts w:ascii="Times New Roman" w:hAnsi="Times New Roman"/>
          <w:sz w:val="24"/>
          <w:lang w:eastAsia="en-AU"/>
        </w:rPr>
        <w:t xml:space="preserve">Division 4 of Part 2 of the </w:t>
      </w:r>
      <w:r>
        <w:rPr>
          <w:rFonts w:ascii="Times New Roman" w:hAnsi="Times New Roman"/>
          <w:sz w:val="24"/>
          <w:lang w:eastAsia="en-AU"/>
        </w:rPr>
        <w:t>AML</w:t>
      </w:r>
      <w:r w:rsidR="00C9657D">
        <w:rPr>
          <w:rFonts w:ascii="Times New Roman" w:hAnsi="Times New Roman"/>
          <w:sz w:val="24"/>
          <w:lang w:eastAsia="en-AU"/>
        </w:rPr>
        <w:t>/CTF</w:t>
      </w:r>
      <w:r>
        <w:rPr>
          <w:rFonts w:ascii="Times New Roman" w:hAnsi="Times New Roman"/>
          <w:sz w:val="24"/>
          <w:lang w:eastAsia="en-AU"/>
        </w:rPr>
        <w:t xml:space="preserve"> </w:t>
      </w:r>
      <w:r w:rsidRPr="00684A1B">
        <w:rPr>
          <w:rFonts w:ascii="Times New Roman" w:hAnsi="Times New Roman"/>
          <w:sz w:val="24"/>
          <w:lang w:eastAsia="en-AU"/>
        </w:rPr>
        <w:t xml:space="preserve">Act, to </w:t>
      </w:r>
      <w:r>
        <w:rPr>
          <w:rFonts w:ascii="Times New Roman" w:hAnsi="Times New Roman"/>
          <w:sz w:val="24"/>
          <w:lang w:eastAsia="en-AU"/>
        </w:rPr>
        <w:t xml:space="preserve">certain </w:t>
      </w:r>
      <w:r w:rsidRPr="00684A1B">
        <w:rPr>
          <w:rFonts w:ascii="Times New Roman" w:hAnsi="Times New Roman"/>
          <w:sz w:val="24"/>
          <w:lang w:eastAsia="en-AU"/>
        </w:rPr>
        <w:t>designated service</w:t>
      </w:r>
      <w:r>
        <w:rPr>
          <w:rFonts w:ascii="Times New Roman" w:hAnsi="Times New Roman"/>
          <w:sz w:val="24"/>
          <w:lang w:eastAsia="en-AU"/>
        </w:rPr>
        <w:t>s provided in circumstances</w:t>
      </w:r>
      <w:r w:rsidRPr="00684A1B">
        <w:rPr>
          <w:rFonts w:ascii="Times New Roman" w:hAnsi="Times New Roman"/>
          <w:sz w:val="24"/>
          <w:lang w:eastAsia="en-AU"/>
        </w:rPr>
        <w:t xml:space="preserve"> </w:t>
      </w:r>
      <w:r>
        <w:rPr>
          <w:rFonts w:ascii="Times New Roman" w:hAnsi="Times New Roman"/>
          <w:sz w:val="24"/>
          <w:lang w:eastAsia="en-AU"/>
        </w:rPr>
        <w:t>specified in paragraph 10.2.3.</w:t>
      </w:r>
    </w:p>
    <w:p w:rsidR="00C91A7C" w:rsidRPr="00684A1B" w:rsidRDefault="00C91A7C" w:rsidP="00C91A7C">
      <w:pPr>
        <w:spacing w:before="240"/>
        <w:rPr>
          <w:rFonts w:ascii="Times New Roman" w:hAnsi="Times New Roman"/>
          <w:sz w:val="24"/>
          <w:lang w:eastAsia="en-AU"/>
        </w:rPr>
      </w:pPr>
      <w:r>
        <w:rPr>
          <w:rFonts w:ascii="Times New Roman" w:hAnsi="Times New Roman"/>
          <w:sz w:val="24"/>
          <w:lang w:eastAsia="en-AU"/>
        </w:rPr>
        <w:t xml:space="preserve">Paragraph </w:t>
      </w:r>
      <w:r w:rsidRPr="00684A1B">
        <w:rPr>
          <w:rFonts w:ascii="Times New Roman" w:hAnsi="Times New Roman"/>
          <w:sz w:val="24"/>
          <w:lang w:eastAsia="en-AU"/>
        </w:rPr>
        <w:t>10.</w:t>
      </w:r>
      <w:r>
        <w:rPr>
          <w:rFonts w:ascii="Times New Roman" w:hAnsi="Times New Roman"/>
          <w:sz w:val="24"/>
          <w:lang w:eastAsia="en-AU"/>
        </w:rPr>
        <w:t>2</w:t>
      </w:r>
      <w:r w:rsidRPr="00684A1B">
        <w:rPr>
          <w:rFonts w:ascii="Times New Roman" w:hAnsi="Times New Roman"/>
          <w:sz w:val="24"/>
          <w:lang w:eastAsia="en-AU"/>
        </w:rPr>
        <w:t>.4</w:t>
      </w:r>
      <w:r w:rsidRPr="009B6097">
        <w:rPr>
          <w:rFonts w:ascii="Times New Roman" w:hAnsi="Times New Roman"/>
          <w:sz w:val="24"/>
          <w:lang w:eastAsia="en-AU"/>
        </w:rPr>
        <w:t xml:space="preserve"> </w:t>
      </w:r>
      <w:r>
        <w:rPr>
          <w:rFonts w:ascii="Times New Roman" w:hAnsi="Times New Roman"/>
          <w:sz w:val="24"/>
          <w:lang w:eastAsia="en-AU"/>
        </w:rPr>
        <w:t xml:space="preserve">provides an exemption from </w:t>
      </w:r>
      <w:r w:rsidRPr="00684A1B">
        <w:rPr>
          <w:rFonts w:ascii="Times New Roman" w:hAnsi="Times New Roman"/>
          <w:sz w:val="24"/>
          <w:lang w:eastAsia="en-AU"/>
        </w:rPr>
        <w:t xml:space="preserve">Division 4 of Part 2 of the </w:t>
      </w:r>
      <w:r>
        <w:rPr>
          <w:rFonts w:ascii="Times New Roman" w:hAnsi="Times New Roman"/>
          <w:sz w:val="24"/>
          <w:lang w:eastAsia="en-AU"/>
        </w:rPr>
        <w:t>AML</w:t>
      </w:r>
      <w:r w:rsidR="00C9657D">
        <w:rPr>
          <w:rFonts w:ascii="Times New Roman" w:hAnsi="Times New Roman"/>
          <w:sz w:val="24"/>
          <w:lang w:eastAsia="en-AU"/>
        </w:rPr>
        <w:t>/CTF</w:t>
      </w:r>
      <w:r>
        <w:rPr>
          <w:rFonts w:ascii="Times New Roman" w:hAnsi="Times New Roman"/>
          <w:sz w:val="24"/>
          <w:lang w:eastAsia="en-AU"/>
        </w:rPr>
        <w:t xml:space="preserve"> </w:t>
      </w:r>
      <w:r w:rsidRPr="00684A1B">
        <w:rPr>
          <w:rFonts w:ascii="Times New Roman" w:hAnsi="Times New Roman"/>
          <w:sz w:val="24"/>
          <w:lang w:eastAsia="en-AU"/>
        </w:rPr>
        <w:t xml:space="preserve">Act, to </w:t>
      </w:r>
      <w:r>
        <w:rPr>
          <w:rFonts w:ascii="Times New Roman" w:hAnsi="Times New Roman"/>
          <w:sz w:val="24"/>
          <w:lang w:eastAsia="en-AU"/>
        </w:rPr>
        <w:t xml:space="preserve">certain </w:t>
      </w:r>
      <w:r w:rsidRPr="00684A1B">
        <w:rPr>
          <w:rFonts w:ascii="Times New Roman" w:hAnsi="Times New Roman"/>
          <w:sz w:val="24"/>
          <w:lang w:eastAsia="en-AU"/>
        </w:rPr>
        <w:t>designated service</w:t>
      </w:r>
      <w:r>
        <w:rPr>
          <w:rFonts w:ascii="Times New Roman" w:hAnsi="Times New Roman"/>
          <w:sz w:val="24"/>
          <w:lang w:eastAsia="en-AU"/>
        </w:rPr>
        <w:t>s provided in circumstances</w:t>
      </w:r>
      <w:r w:rsidRPr="00684A1B">
        <w:rPr>
          <w:rFonts w:ascii="Times New Roman" w:hAnsi="Times New Roman"/>
          <w:sz w:val="24"/>
          <w:lang w:eastAsia="en-AU"/>
        </w:rPr>
        <w:t xml:space="preserve"> </w:t>
      </w:r>
      <w:r>
        <w:rPr>
          <w:rFonts w:ascii="Times New Roman" w:hAnsi="Times New Roman"/>
          <w:sz w:val="24"/>
          <w:lang w:eastAsia="en-AU"/>
        </w:rPr>
        <w:t>specified in paragraph 10.2.4.</w:t>
      </w:r>
    </w:p>
    <w:p w:rsidR="00C91A7C" w:rsidRPr="00684A1B" w:rsidRDefault="00C91A7C" w:rsidP="00C91A7C">
      <w:pPr>
        <w:spacing w:before="240"/>
        <w:rPr>
          <w:rFonts w:ascii="Times New Roman" w:hAnsi="Times New Roman"/>
          <w:sz w:val="24"/>
          <w:lang w:eastAsia="en-AU"/>
        </w:rPr>
      </w:pPr>
      <w:r>
        <w:rPr>
          <w:rFonts w:ascii="Times New Roman" w:hAnsi="Times New Roman"/>
          <w:sz w:val="24"/>
          <w:lang w:eastAsia="en-AU"/>
        </w:rPr>
        <w:t xml:space="preserve">Paragraph </w:t>
      </w:r>
      <w:r w:rsidRPr="00684A1B">
        <w:rPr>
          <w:rFonts w:ascii="Times New Roman" w:hAnsi="Times New Roman"/>
          <w:sz w:val="24"/>
          <w:lang w:eastAsia="en-AU"/>
        </w:rPr>
        <w:t>10.</w:t>
      </w:r>
      <w:r>
        <w:rPr>
          <w:rFonts w:ascii="Times New Roman" w:hAnsi="Times New Roman"/>
          <w:sz w:val="24"/>
          <w:lang w:eastAsia="en-AU"/>
        </w:rPr>
        <w:t>2</w:t>
      </w:r>
      <w:r w:rsidRPr="00684A1B">
        <w:rPr>
          <w:rFonts w:ascii="Times New Roman" w:hAnsi="Times New Roman"/>
          <w:sz w:val="24"/>
          <w:lang w:eastAsia="en-AU"/>
        </w:rPr>
        <w:t>.5</w:t>
      </w:r>
      <w:r>
        <w:rPr>
          <w:rFonts w:ascii="Times New Roman" w:hAnsi="Times New Roman"/>
          <w:sz w:val="24"/>
          <w:lang w:eastAsia="en-AU"/>
        </w:rPr>
        <w:t xml:space="preserve"> specifies circumstances in which the exemptions set out in paragraphs 10.2.3 and 10.2.4 do not apply.</w:t>
      </w:r>
    </w:p>
    <w:p w:rsidR="00C91A7C" w:rsidRPr="00684A1B" w:rsidRDefault="00C91A7C" w:rsidP="00C91A7C">
      <w:pPr>
        <w:spacing w:before="240"/>
        <w:rPr>
          <w:rFonts w:ascii="Times New Roman" w:hAnsi="Times New Roman"/>
          <w:sz w:val="24"/>
          <w:lang w:eastAsia="en-AU"/>
        </w:rPr>
      </w:pPr>
      <w:r>
        <w:rPr>
          <w:rFonts w:ascii="Times New Roman" w:hAnsi="Times New Roman"/>
          <w:sz w:val="24"/>
          <w:lang w:eastAsia="en-AU"/>
        </w:rPr>
        <w:t xml:space="preserve">Paragraph </w:t>
      </w:r>
      <w:r w:rsidRPr="00684A1B">
        <w:rPr>
          <w:rFonts w:ascii="Times New Roman" w:hAnsi="Times New Roman"/>
          <w:sz w:val="24"/>
          <w:lang w:eastAsia="en-AU"/>
        </w:rPr>
        <w:t>10.</w:t>
      </w:r>
      <w:r>
        <w:rPr>
          <w:rFonts w:ascii="Times New Roman" w:hAnsi="Times New Roman"/>
          <w:sz w:val="24"/>
          <w:lang w:eastAsia="en-AU"/>
        </w:rPr>
        <w:t>2</w:t>
      </w:r>
      <w:r w:rsidRPr="00684A1B">
        <w:rPr>
          <w:rFonts w:ascii="Times New Roman" w:hAnsi="Times New Roman"/>
          <w:sz w:val="24"/>
          <w:lang w:eastAsia="en-AU"/>
        </w:rPr>
        <w:t>.6</w:t>
      </w:r>
      <w:r>
        <w:rPr>
          <w:rFonts w:ascii="Times New Roman" w:hAnsi="Times New Roman"/>
          <w:sz w:val="24"/>
          <w:lang w:eastAsia="en-AU"/>
        </w:rPr>
        <w:t xml:space="preserve"> sets out the modifications to </w:t>
      </w:r>
      <w:r w:rsidRPr="00684A1B">
        <w:rPr>
          <w:rFonts w:ascii="Times New Roman" w:hAnsi="Times New Roman"/>
          <w:sz w:val="24"/>
          <w:lang w:eastAsia="en-AU"/>
        </w:rPr>
        <w:t xml:space="preserve">Chapter 6 </w:t>
      </w:r>
      <w:r>
        <w:rPr>
          <w:rFonts w:ascii="Times New Roman" w:hAnsi="Times New Roman"/>
          <w:sz w:val="24"/>
          <w:lang w:eastAsia="en-AU"/>
        </w:rPr>
        <w:t>of the AML/CTF Rules for the purposes of Part 10.2.</w:t>
      </w:r>
    </w:p>
    <w:p w:rsidR="00C91A7C" w:rsidRPr="00684A1B" w:rsidRDefault="00C91A7C" w:rsidP="00C91A7C">
      <w:pPr>
        <w:spacing w:before="240"/>
        <w:rPr>
          <w:rFonts w:ascii="Times New Roman" w:hAnsi="Times New Roman"/>
          <w:sz w:val="24"/>
          <w:lang w:eastAsia="en-AU"/>
        </w:rPr>
      </w:pPr>
      <w:r>
        <w:rPr>
          <w:rFonts w:ascii="Times New Roman" w:hAnsi="Times New Roman"/>
          <w:sz w:val="24"/>
          <w:lang w:eastAsia="en-AU"/>
        </w:rPr>
        <w:lastRenderedPageBreak/>
        <w:t>Paragraph 10.2.</w:t>
      </w:r>
      <w:r w:rsidRPr="00684A1B">
        <w:rPr>
          <w:rFonts w:ascii="Times New Roman" w:hAnsi="Times New Roman"/>
          <w:sz w:val="24"/>
          <w:lang w:eastAsia="en-AU"/>
        </w:rPr>
        <w:t>7</w:t>
      </w:r>
      <w:r>
        <w:rPr>
          <w:rFonts w:ascii="Times New Roman" w:hAnsi="Times New Roman"/>
          <w:sz w:val="24"/>
          <w:lang w:eastAsia="en-AU"/>
        </w:rPr>
        <w:t xml:space="preserve"> provides that s</w:t>
      </w:r>
      <w:r w:rsidRPr="00684A1B">
        <w:rPr>
          <w:rFonts w:ascii="Times New Roman" w:hAnsi="Times New Roman"/>
          <w:sz w:val="24"/>
          <w:lang w:eastAsia="en-AU"/>
        </w:rPr>
        <w:t xml:space="preserve">ections 106 and 107 of the </w:t>
      </w:r>
      <w:r>
        <w:rPr>
          <w:rFonts w:ascii="Times New Roman" w:hAnsi="Times New Roman"/>
          <w:sz w:val="24"/>
          <w:lang w:eastAsia="en-AU"/>
        </w:rPr>
        <w:t>AML/CTF Act</w:t>
      </w:r>
      <w:r w:rsidRPr="00684A1B">
        <w:rPr>
          <w:rFonts w:ascii="Times New Roman" w:hAnsi="Times New Roman"/>
          <w:sz w:val="24"/>
          <w:lang w:eastAsia="en-AU"/>
        </w:rPr>
        <w:t xml:space="preserve"> do not apply </w:t>
      </w:r>
      <w:r>
        <w:rPr>
          <w:rFonts w:ascii="Times New Roman" w:hAnsi="Times New Roman"/>
          <w:sz w:val="24"/>
          <w:lang w:eastAsia="en-AU"/>
        </w:rPr>
        <w:t xml:space="preserve">to certain </w:t>
      </w:r>
      <w:r w:rsidRPr="00684A1B">
        <w:rPr>
          <w:rFonts w:ascii="Times New Roman" w:hAnsi="Times New Roman"/>
          <w:sz w:val="24"/>
          <w:lang w:eastAsia="en-AU"/>
        </w:rPr>
        <w:t>designated service</w:t>
      </w:r>
      <w:r>
        <w:rPr>
          <w:rFonts w:ascii="Times New Roman" w:hAnsi="Times New Roman"/>
          <w:sz w:val="24"/>
          <w:lang w:eastAsia="en-AU"/>
        </w:rPr>
        <w:t>s provided in circumstances</w:t>
      </w:r>
      <w:r w:rsidRPr="00684A1B">
        <w:rPr>
          <w:rFonts w:ascii="Times New Roman" w:hAnsi="Times New Roman"/>
          <w:sz w:val="24"/>
          <w:lang w:eastAsia="en-AU"/>
        </w:rPr>
        <w:t xml:space="preserve"> </w:t>
      </w:r>
      <w:r>
        <w:rPr>
          <w:rFonts w:ascii="Times New Roman" w:hAnsi="Times New Roman"/>
          <w:sz w:val="24"/>
          <w:lang w:eastAsia="en-AU"/>
        </w:rPr>
        <w:t>specified in paragraph 10.2.7.</w:t>
      </w:r>
      <w:r w:rsidRPr="00684A1B">
        <w:rPr>
          <w:rFonts w:ascii="Times New Roman" w:hAnsi="Times New Roman"/>
          <w:sz w:val="24"/>
          <w:lang w:eastAsia="en-AU"/>
        </w:rPr>
        <w:t xml:space="preserve"> </w:t>
      </w:r>
    </w:p>
    <w:p w:rsidR="00684A1B" w:rsidRPr="00684A1B" w:rsidRDefault="00554C4D" w:rsidP="00554C4D">
      <w:pPr>
        <w:spacing w:before="240"/>
        <w:rPr>
          <w:rFonts w:ascii="Times New Roman" w:hAnsi="Times New Roman"/>
          <w:sz w:val="24"/>
          <w:lang w:eastAsia="en-AU"/>
        </w:rPr>
      </w:pPr>
      <w:r>
        <w:rPr>
          <w:rFonts w:ascii="Times New Roman" w:hAnsi="Times New Roman"/>
          <w:sz w:val="24"/>
          <w:lang w:eastAsia="en-AU"/>
        </w:rPr>
        <w:t xml:space="preserve">Paragraph </w:t>
      </w:r>
      <w:r w:rsidRPr="00684A1B">
        <w:rPr>
          <w:rFonts w:ascii="Times New Roman" w:hAnsi="Times New Roman"/>
          <w:sz w:val="24"/>
          <w:lang w:eastAsia="en-AU"/>
        </w:rPr>
        <w:t>10.</w:t>
      </w:r>
      <w:r>
        <w:rPr>
          <w:rFonts w:ascii="Times New Roman" w:hAnsi="Times New Roman"/>
          <w:sz w:val="24"/>
          <w:lang w:eastAsia="en-AU"/>
        </w:rPr>
        <w:t>3</w:t>
      </w:r>
      <w:r w:rsidRPr="00684A1B">
        <w:rPr>
          <w:rFonts w:ascii="Times New Roman" w:hAnsi="Times New Roman"/>
          <w:sz w:val="24"/>
          <w:lang w:eastAsia="en-AU"/>
        </w:rPr>
        <w:t>.1</w:t>
      </w:r>
      <w:r>
        <w:rPr>
          <w:rFonts w:ascii="Times New Roman" w:hAnsi="Times New Roman"/>
          <w:sz w:val="24"/>
          <w:lang w:eastAsia="en-AU"/>
        </w:rPr>
        <w:t xml:space="preserve"> provides that</w:t>
      </w:r>
      <w:r w:rsidRPr="00684A1B">
        <w:rPr>
          <w:rFonts w:ascii="Times New Roman" w:hAnsi="Times New Roman"/>
          <w:sz w:val="24"/>
          <w:lang w:eastAsia="en-AU"/>
        </w:rPr>
        <w:t xml:space="preserve"> Part </w:t>
      </w:r>
      <w:r>
        <w:rPr>
          <w:rFonts w:ascii="Times New Roman" w:hAnsi="Times New Roman"/>
          <w:sz w:val="24"/>
          <w:lang w:eastAsia="en-AU"/>
        </w:rPr>
        <w:t xml:space="preserve">10.1 </w:t>
      </w:r>
      <w:proofErr w:type="gramStart"/>
      <w:r w:rsidRPr="00684A1B">
        <w:rPr>
          <w:rFonts w:ascii="Times New Roman" w:hAnsi="Times New Roman"/>
          <w:sz w:val="24"/>
          <w:lang w:eastAsia="en-AU"/>
        </w:rPr>
        <w:t>is</w:t>
      </w:r>
      <w:proofErr w:type="gramEnd"/>
      <w:r w:rsidRPr="00684A1B">
        <w:rPr>
          <w:rFonts w:ascii="Times New Roman" w:hAnsi="Times New Roman"/>
          <w:sz w:val="24"/>
          <w:lang w:eastAsia="en-AU"/>
        </w:rPr>
        <w:t xml:space="preserve"> made for </w:t>
      </w:r>
      <w:r>
        <w:rPr>
          <w:rFonts w:ascii="Times New Roman" w:hAnsi="Times New Roman"/>
          <w:sz w:val="24"/>
          <w:lang w:eastAsia="en-AU"/>
        </w:rPr>
        <w:t xml:space="preserve">the purposes of </w:t>
      </w:r>
      <w:r w:rsidRPr="00684A1B">
        <w:rPr>
          <w:rFonts w:ascii="Times New Roman" w:hAnsi="Times New Roman"/>
          <w:sz w:val="24"/>
          <w:lang w:eastAsia="en-AU"/>
        </w:rPr>
        <w:t>subsections 39(4</w:t>
      </w:r>
      <w:r w:rsidR="003628A3" w:rsidRPr="00684A1B">
        <w:rPr>
          <w:rFonts w:ascii="Times New Roman" w:hAnsi="Times New Roman"/>
          <w:sz w:val="24"/>
          <w:lang w:eastAsia="en-AU"/>
        </w:rPr>
        <w:t>) of</w:t>
      </w:r>
      <w:r w:rsidR="00684A1B" w:rsidRPr="00684A1B">
        <w:rPr>
          <w:rFonts w:ascii="Times New Roman" w:hAnsi="Times New Roman"/>
          <w:sz w:val="24"/>
          <w:lang w:eastAsia="en-AU"/>
        </w:rPr>
        <w:t xml:space="preserve"> the Act.</w:t>
      </w:r>
    </w:p>
    <w:p w:rsidR="00684A1B" w:rsidRPr="00684A1B" w:rsidRDefault="00554C4D" w:rsidP="00554C4D">
      <w:pPr>
        <w:spacing w:before="240"/>
        <w:rPr>
          <w:rFonts w:ascii="Times New Roman" w:hAnsi="Times New Roman"/>
          <w:sz w:val="24"/>
          <w:lang w:eastAsia="en-AU"/>
        </w:rPr>
      </w:pPr>
      <w:r>
        <w:rPr>
          <w:rFonts w:ascii="Times New Roman" w:hAnsi="Times New Roman"/>
          <w:sz w:val="24"/>
          <w:lang w:val="en-US" w:eastAsia="en-AU"/>
        </w:rPr>
        <w:t xml:space="preserve">Paragraph </w:t>
      </w:r>
      <w:r w:rsidRPr="00684A1B">
        <w:rPr>
          <w:rFonts w:ascii="Times New Roman" w:hAnsi="Times New Roman"/>
          <w:sz w:val="24"/>
          <w:lang w:val="en-US" w:eastAsia="en-AU"/>
        </w:rPr>
        <w:t>10.</w:t>
      </w:r>
      <w:r>
        <w:rPr>
          <w:rFonts w:ascii="Times New Roman" w:hAnsi="Times New Roman"/>
          <w:sz w:val="24"/>
          <w:lang w:val="en-US" w:eastAsia="en-AU"/>
        </w:rPr>
        <w:t>3</w:t>
      </w:r>
      <w:r w:rsidRPr="00684A1B">
        <w:rPr>
          <w:rFonts w:ascii="Times New Roman" w:hAnsi="Times New Roman"/>
          <w:sz w:val="24"/>
          <w:lang w:val="en-US" w:eastAsia="en-AU"/>
        </w:rPr>
        <w:t>.2</w:t>
      </w:r>
      <w:r>
        <w:rPr>
          <w:rFonts w:ascii="Times New Roman" w:hAnsi="Times New Roman"/>
          <w:sz w:val="24"/>
          <w:lang w:val="en-US" w:eastAsia="en-AU"/>
        </w:rPr>
        <w:t xml:space="preserve"> specifies that</w:t>
      </w:r>
      <w:r w:rsidRPr="00684A1B">
        <w:rPr>
          <w:rFonts w:ascii="Times New Roman" w:hAnsi="Times New Roman"/>
          <w:sz w:val="24"/>
          <w:lang w:eastAsia="en-AU"/>
        </w:rPr>
        <w:t xml:space="preserve"> Part </w:t>
      </w:r>
      <w:r>
        <w:rPr>
          <w:rFonts w:ascii="Times New Roman" w:hAnsi="Times New Roman"/>
          <w:sz w:val="24"/>
          <w:lang w:eastAsia="en-AU"/>
        </w:rPr>
        <w:t xml:space="preserve">10.3 </w:t>
      </w:r>
      <w:proofErr w:type="gramStart"/>
      <w:r w:rsidRPr="00684A1B">
        <w:rPr>
          <w:rFonts w:ascii="Times New Roman" w:hAnsi="Times New Roman"/>
          <w:sz w:val="24"/>
          <w:lang w:eastAsia="en-AU"/>
        </w:rPr>
        <w:t>applies</w:t>
      </w:r>
      <w:proofErr w:type="gramEnd"/>
      <w:r w:rsidRPr="00684A1B">
        <w:rPr>
          <w:rFonts w:ascii="Times New Roman" w:hAnsi="Times New Roman"/>
          <w:sz w:val="24"/>
          <w:lang w:eastAsia="en-AU"/>
        </w:rPr>
        <w:t xml:space="preserve"> </w:t>
      </w:r>
      <w:r>
        <w:rPr>
          <w:rFonts w:ascii="Times New Roman" w:hAnsi="Times New Roman"/>
          <w:sz w:val="24"/>
          <w:lang w:eastAsia="en-AU"/>
        </w:rPr>
        <w:t xml:space="preserve">only </w:t>
      </w:r>
      <w:r w:rsidRPr="00684A1B">
        <w:rPr>
          <w:rFonts w:ascii="Times New Roman" w:hAnsi="Times New Roman"/>
          <w:sz w:val="24"/>
          <w:lang w:eastAsia="en-AU"/>
        </w:rPr>
        <w:t>to</w:t>
      </w:r>
      <w:r w:rsidR="00684A1B" w:rsidRPr="00684A1B">
        <w:rPr>
          <w:rFonts w:ascii="Times New Roman" w:hAnsi="Times New Roman"/>
          <w:sz w:val="24"/>
          <w:lang w:eastAsia="en-AU"/>
        </w:rPr>
        <w:t xml:space="preserve"> designated services provided by a reporting entity by way of a gaming machine other than designated services provided at a casino.</w:t>
      </w:r>
    </w:p>
    <w:p w:rsidR="00684A1B" w:rsidRPr="00684A1B" w:rsidRDefault="00C9657D" w:rsidP="00C9657D">
      <w:pPr>
        <w:spacing w:before="240"/>
        <w:rPr>
          <w:rFonts w:ascii="Times New Roman" w:hAnsi="Times New Roman"/>
          <w:sz w:val="24"/>
          <w:lang w:eastAsia="en-AU"/>
        </w:rPr>
      </w:pPr>
      <w:r>
        <w:rPr>
          <w:rFonts w:ascii="Times New Roman" w:hAnsi="Times New Roman"/>
          <w:sz w:val="24"/>
          <w:lang w:eastAsia="en-AU"/>
        </w:rPr>
        <w:t>Paragraph</w:t>
      </w:r>
      <w:r w:rsidR="00684A1B" w:rsidRPr="00684A1B">
        <w:rPr>
          <w:rFonts w:ascii="Times New Roman" w:hAnsi="Times New Roman"/>
          <w:sz w:val="24"/>
          <w:lang w:eastAsia="en-AU"/>
        </w:rPr>
        <w:t>10.3.3</w:t>
      </w:r>
      <w:r w:rsidRPr="00C9657D">
        <w:rPr>
          <w:rFonts w:ascii="Times New Roman" w:hAnsi="Times New Roman"/>
          <w:sz w:val="24"/>
          <w:lang w:eastAsia="en-AU"/>
        </w:rPr>
        <w:t xml:space="preserve"> </w:t>
      </w:r>
      <w:r>
        <w:rPr>
          <w:rFonts w:ascii="Times New Roman" w:hAnsi="Times New Roman"/>
          <w:sz w:val="24"/>
          <w:lang w:eastAsia="en-AU"/>
        </w:rPr>
        <w:t xml:space="preserve">provides an exemption from </w:t>
      </w:r>
      <w:r w:rsidRPr="00684A1B">
        <w:rPr>
          <w:rFonts w:ascii="Times New Roman" w:hAnsi="Times New Roman"/>
          <w:sz w:val="24"/>
          <w:lang w:eastAsia="en-AU"/>
        </w:rPr>
        <w:t xml:space="preserve">Division 4 of Part 2 of the </w:t>
      </w:r>
      <w:r>
        <w:rPr>
          <w:rFonts w:ascii="Times New Roman" w:hAnsi="Times New Roman"/>
          <w:sz w:val="24"/>
          <w:lang w:eastAsia="en-AU"/>
        </w:rPr>
        <w:t xml:space="preserve">AML/CTF </w:t>
      </w:r>
      <w:r w:rsidRPr="00684A1B">
        <w:rPr>
          <w:rFonts w:ascii="Times New Roman" w:hAnsi="Times New Roman"/>
          <w:sz w:val="24"/>
          <w:lang w:eastAsia="en-AU"/>
        </w:rPr>
        <w:t xml:space="preserve">Act, to </w:t>
      </w:r>
      <w:r>
        <w:rPr>
          <w:rFonts w:ascii="Times New Roman" w:hAnsi="Times New Roman"/>
          <w:sz w:val="24"/>
          <w:lang w:eastAsia="en-AU"/>
        </w:rPr>
        <w:t xml:space="preserve">specified </w:t>
      </w:r>
      <w:r w:rsidRPr="00684A1B">
        <w:rPr>
          <w:rFonts w:ascii="Times New Roman" w:hAnsi="Times New Roman"/>
          <w:sz w:val="24"/>
          <w:lang w:eastAsia="en-AU"/>
        </w:rPr>
        <w:t>designated service</w:t>
      </w:r>
      <w:r>
        <w:rPr>
          <w:rFonts w:ascii="Times New Roman" w:hAnsi="Times New Roman"/>
          <w:sz w:val="24"/>
          <w:lang w:eastAsia="en-AU"/>
        </w:rPr>
        <w:t>s</w:t>
      </w:r>
      <w:r w:rsidR="00684A1B" w:rsidRPr="00684A1B">
        <w:rPr>
          <w:rFonts w:ascii="Times New Roman" w:hAnsi="Times New Roman"/>
          <w:sz w:val="24"/>
          <w:lang w:eastAsia="en-AU"/>
        </w:rPr>
        <w:t>.</w:t>
      </w:r>
    </w:p>
    <w:p w:rsidR="00324BFE" w:rsidRPr="00684A1B" w:rsidRDefault="00324BFE" w:rsidP="00324BFE">
      <w:pPr>
        <w:spacing w:before="240"/>
        <w:rPr>
          <w:rFonts w:ascii="Times New Roman" w:hAnsi="Times New Roman"/>
          <w:sz w:val="24"/>
          <w:lang w:eastAsia="en-AU"/>
        </w:rPr>
      </w:pPr>
      <w:r>
        <w:rPr>
          <w:rFonts w:ascii="Times New Roman" w:hAnsi="Times New Roman"/>
          <w:sz w:val="24"/>
          <w:lang w:eastAsia="en-AU"/>
        </w:rPr>
        <w:t xml:space="preserve">Paragraph </w:t>
      </w:r>
      <w:r w:rsidRPr="00684A1B">
        <w:rPr>
          <w:rFonts w:ascii="Times New Roman" w:hAnsi="Times New Roman"/>
          <w:sz w:val="24"/>
          <w:lang w:eastAsia="en-AU"/>
        </w:rPr>
        <w:t>10.</w:t>
      </w:r>
      <w:r>
        <w:rPr>
          <w:rFonts w:ascii="Times New Roman" w:hAnsi="Times New Roman"/>
          <w:sz w:val="24"/>
          <w:lang w:eastAsia="en-AU"/>
        </w:rPr>
        <w:t>3</w:t>
      </w:r>
      <w:r w:rsidRPr="00684A1B">
        <w:rPr>
          <w:rFonts w:ascii="Times New Roman" w:hAnsi="Times New Roman"/>
          <w:sz w:val="24"/>
          <w:lang w:eastAsia="en-AU"/>
        </w:rPr>
        <w:t>.4</w:t>
      </w:r>
      <w:r w:rsidRPr="009B6097">
        <w:rPr>
          <w:rFonts w:ascii="Times New Roman" w:hAnsi="Times New Roman"/>
          <w:sz w:val="24"/>
          <w:lang w:eastAsia="en-AU"/>
        </w:rPr>
        <w:t xml:space="preserve"> </w:t>
      </w:r>
      <w:r>
        <w:rPr>
          <w:rFonts w:ascii="Times New Roman" w:hAnsi="Times New Roman"/>
          <w:sz w:val="24"/>
          <w:lang w:eastAsia="en-AU"/>
        </w:rPr>
        <w:t xml:space="preserve">provides an exemption from </w:t>
      </w:r>
      <w:r w:rsidRPr="00684A1B">
        <w:rPr>
          <w:rFonts w:ascii="Times New Roman" w:hAnsi="Times New Roman"/>
          <w:sz w:val="24"/>
          <w:lang w:eastAsia="en-AU"/>
        </w:rPr>
        <w:t xml:space="preserve">Division 4 of Part 2 of the </w:t>
      </w:r>
      <w:r>
        <w:rPr>
          <w:rFonts w:ascii="Times New Roman" w:hAnsi="Times New Roman"/>
          <w:sz w:val="24"/>
          <w:lang w:eastAsia="en-AU"/>
        </w:rPr>
        <w:t xml:space="preserve">AML/CTF </w:t>
      </w:r>
      <w:r w:rsidRPr="00684A1B">
        <w:rPr>
          <w:rFonts w:ascii="Times New Roman" w:hAnsi="Times New Roman"/>
          <w:sz w:val="24"/>
          <w:lang w:eastAsia="en-AU"/>
        </w:rPr>
        <w:t xml:space="preserve">Act, to </w:t>
      </w:r>
      <w:r>
        <w:rPr>
          <w:rFonts w:ascii="Times New Roman" w:hAnsi="Times New Roman"/>
          <w:sz w:val="24"/>
          <w:lang w:eastAsia="en-AU"/>
        </w:rPr>
        <w:t xml:space="preserve">certain </w:t>
      </w:r>
      <w:r w:rsidRPr="00684A1B">
        <w:rPr>
          <w:rFonts w:ascii="Times New Roman" w:hAnsi="Times New Roman"/>
          <w:sz w:val="24"/>
          <w:lang w:eastAsia="en-AU"/>
        </w:rPr>
        <w:t>designated service</w:t>
      </w:r>
      <w:r>
        <w:rPr>
          <w:rFonts w:ascii="Times New Roman" w:hAnsi="Times New Roman"/>
          <w:sz w:val="24"/>
          <w:lang w:eastAsia="en-AU"/>
        </w:rPr>
        <w:t>s provided in circumstances</w:t>
      </w:r>
      <w:r w:rsidRPr="00684A1B">
        <w:rPr>
          <w:rFonts w:ascii="Times New Roman" w:hAnsi="Times New Roman"/>
          <w:sz w:val="24"/>
          <w:lang w:eastAsia="en-AU"/>
        </w:rPr>
        <w:t xml:space="preserve"> </w:t>
      </w:r>
      <w:r>
        <w:rPr>
          <w:rFonts w:ascii="Times New Roman" w:hAnsi="Times New Roman"/>
          <w:sz w:val="24"/>
          <w:lang w:eastAsia="en-AU"/>
        </w:rPr>
        <w:t>specified in paragraph 10.3.4.</w:t>
      </w:r>
    </w:p>
    <w:p w:rsidR="00324BFE" w:rsidRPr="00684A1B" w:rsidRDefault="00324BFE" w:rsidP="00324BFE">
      <w:pPr>
        <w:spacing w:before="240"/>
        <w:rPr>
          <w:rFonts w:ascii="Times New Roman" w:hAnsi="Times New Roman"/>
          <w:sz w:val="24"/>
          <w:lang w:eastAsia="en-AU"/>
        </w:rPr>
      </w:pPr>
      <w:r>
        <w:rPr>
          <w:rFonts w:ascii="Times New Roman" w:hAnsi="Times New Roman"/>
          <w:sz w:val="24"/>
          <w:lang w:eastAsia="en-AU"/>
        </w:rPr>
        <w:t xml:space="preserve">Paragraph </w:t>
      </w:r>
      <w:r w:rsidRPr="00684A1B">
        <w:rPr>
          <w:rFonts w:ascii="Times New Roman" w:hAnsi="Times New Roman"/>
          <w:sz w:val="24"/>
          <w:lang w:eastAsia="en-AU"/>
        </w:rPr>
        <w:t>10.</w:t>
      </w:r>
      <w:r>
        <w:rPr>
          <w:rFonts w:ascii="Times New Roman" w:hAnsi="Times New Roman"/>
          <w:sz w:val="24"/>
          <w:lang w:eastAsia="en-AU"/>
        </w:rPr>
        <w:t>3</w:t>
      </w:r>
      <w:r w:rsidRPr="00684A1B">
        <w:rPr>
          <w:rFonts w:ascii="Times New Roman" w:hAnsi="Times New Roman"/>
          <w:sz w:val="24"/>
          <w:lang w:eastAsia="en-AU"/>
        </w:rPr>
        <w:t>.5</w:t>
      </w:r>
      <w:r>
        <w:rPr>
          <w:rFonts w:ascii="Times New Roman" w:hAnsi="Times New Roman"/>
          <w:sz w:val="24"/>
          <w:lang w:eastAsia="en-AU"/>
        </w:rPr>
        <w:t xml:space="preserve"> specifies circumstances in which the exemptions set out in paragraphs 10.3.3 and 10.3.4 do not apply.</w:t>
      </w:r>
    </w:p>
    <w:p w:rsidR="00684A1B" w:rsidRPr="00684A1B" w:rsidRDefault="00442AD4" w:rsidP="00442AD4">
      <w:pPr>
        <w:spacing w:before="240"/>
        <w:rPr>
          <w:rFonts w:ascii="Times New Roman" w:hAnsi="Times New Roman"/>
          <w:sz w:val="24"/>
          <w:lang w:eastAsia="en-AU"/>
        </w:rPr>
      </w:pPr>
      <w:r>
        <w:rPr>
          <w:rFonts w:ascii="Times New Roman" w:hAnsi="Times New Roman"/>
          <w:sz w:val="24"/>
          <w:lang w:eastAsia="en-AU"/>
        </w:rPr>
        <w:t xml:space="preserve">Paragraph </w:t>
      </w:r>
      <w:r w:rsidR="00684A1B" w:rsidRPr="00684A1B">
        <w:rPr>
          <w:rFonts w:ascii="Times New Roman" w:hAnsi="Times New Roman"/>
          <w:sz w:val="24"/>
          <w:lang w:eastAsia="en-AU"/>
        </w:rPr>
        <w:t>10.4.1</w:t>
      </w:r>
      <w:r w:rsidR="00B91449">
        <w:rPr>
          <w:rFonts w:ascii="Times New Roman" w:hAnsi="Times New Roman"/>
          <w:sz w:val="24"/>
          <w:lang w:eastAsia="en-AU"/>
        </w:rPr>
        <w:t xml:space="preserve"> </w:t>
      </w:r>
      <w:r>
        <w:rPr>
          <w:rFonts w:ascii="Times New Roman" w:hAnsi="Times New Roman"/>
          <w:sz w:val="24"/>
          <w:lang w:eastAsia="en-AU"/>
        </w:rPr>
        <w:t>provides that</w:t>
      </w:r>
      <w:r w:rsidR="00684A1B" w:rsidRPr="00684A1B">
        <w:rPr>
          <w:rFonts w:ascii="Times New Roman" w:hAnsi="Times New Roman"/>
          <w:sz w:val="24"/>
          <w:lang w:eastAsia="en-AU"/>
        </w:rPr>
        <w:t xml:space="preserve"> Part </w:t>
      </w:r>
      <w:r>
        <w:rPr>
          <w:rFonts w:ascii="Times New Roman" w:hAnsi="Times New Roman"/>
          <w:sz w:val="24"/>
          <w:lang w:eastAsia="en-AU"/>
        </w:rPr>
        <w:t xml:space="preserve">10.4 </w:t>
      </w:r>
      <w:r w:rsidR="00684A1B" w:rsidRPr="00684A1B">
        <w:rPr>
          <w:rFonts w:ascii="Times New Roman" w:hAnsi="Times New Roman"/>
          <w:sz w:val="24"/>
          <w:lang w:eastAsia="en-AU"/>
        </w:rPr>
        <w:t>is made for paragraphs 33(a) and (b) and subparagraph 34(1</w:t>
      </w:r>
      <w:proofErr w:type="gramStart"/>
      <w:r w:rsidR="00684A1B" w:rsidRPr="00684A1B">
        <w:rPr>
          <w:rFonts w:ascii="Times New Roman" w:hAnsi="Times New Roman"/>
          <w:sz w:val="24"/>
          <w:lang w:eastAsia="en-AU"/>
        </w:rPr>
        <w:t>)(</w:t>
      </w:r>
      <w:proofErr w:type="gramEnd"/>
      <w:r w:rsidR="00684A1B" w:rsidRPr="00684A1B">
        <w:rPr>
          <w:rFonts w:ascii="Times New Roman" w:hAnsi="Times New Roman"/>
          <w:sz w:val="24"/>
          <w:lang w:eastAsia="en-AU"/>
        </w:rPr>
        <w:t>d)(</w:t>
      </w:r>
      <w:proofErr w:type="spellStart"/>
      <w:r w:rsidR="00684A1B" w:rsidRPr="00684A1B">
        <w:rPr>
          <w:rFonts w:ascii="Times New Roman" w:hAnsi="Times New Roman"/>
          <w:sz w:val="24"/>
          <w:lang w:eastAsia="en-AU"/>
        </w:rPr>
        <w:t>i</w:t>
      </w:r>
      <w:proofErr w:type="spellEnd"/>
      <w:r w:rsidR="00684A1B" w:rsidRPr="00684A1B">
        <w:rPr>
          <w:rFonts w:ascii="Times New Roman" w:hAnsi="Times New Roman"/>
          <w:sz w:val="24"/>
          <w:lang w:eastAsia="en-AU"/>
        </w:rPr>
        <w:t xml:space="preserve">) of the </w:t>
      </w:r>
      <w:r w:rsidR="004A1634">
        <w:rPr>
          <w:rFonts w:ascii="Times New Roman" w:hAnsi="Times New Roman"/>
          <w:sz w:val="24"/>
          <w:lang w:eastAsia="en-AU"/>
        </w:rPr>
        <w:t xml:space="preserve">AML/CTF </w:t>
      </w:r>
      <w:r w:rsidR="00684A1B" w:rsidRPr="00684A1B">
        <w:rPr>
          <w:rFonts w:ascii="Times New Roman" w:hAnsi="Times New Roman"/>
          <w:sz w:val="24"/>
          <w:lang w:eastAsia="en-AU"/>
        </w:rPr>
        <w:t>Act.</w:t>
      </w:r>
    </w:p>
    <w:p w:rsidR="00684A1B" w:rsidRPr="00684A1B" w:rsidRDefault="00442AD4" w:rsidP="00442AD4">
      <w:pPr>
        <w:spacing w:before="240"/>
        <w:rPr>
          <w:rFonts w:ascii="Times New Roman" w:hAnsi="Times New Roman"/>
          <w:sz w:val="24"/>
          <w:lang w:eastAsia="en-AU"/>
        </w:rPr>
      </w:pPr>
      <w:r>
        <w:rPr>
          <w:rFonts w:ascii="Times New Roman" w:hAnsi="Times New Roman"/>
          <w:sz w:val="24"/>
          <w:lang w:eastAsia="en-AU"/>
        </w:rPr>
        <w:t xml:space="preserve">Paragraph </w:t>
      </w:r>
      <w:r w:rsidR="00684A1B" w:rsidRPr="00684A1B">
        <w:rPr>
          <w:rFonts w:ascii="Times New Roman" w:hAnsi="Times New Roman"/>
          <w:sz w:val="24"/>
          <w:lang w:eastAsia="en-AU"/>
        </w:rPr>
        <w:t>10.4.2</w:t>
      </w:r>
      <w:r>
        <w:rPr>
          <w:rFonts w:ascii="Times New Roman" w:hAnsi="Times New Roman"/>
          <w:sz w:val="24"/>
          <w:lang w:eastAsia="en-AU"/>
        </w:rPr>
        <w:t xml:space="preserve"> sets out </w:t>
      </w:r>
      <w:proofErr w:type="gramStart"/>
      <w:r>
        <w:rPr>
          <w:rFonts w:ascii="Times New Roman" w:hAnsi="Times New Roman"/>
          <w:sz w:val="24"/>
          <w:lang w:eastAsia="en-AU"/>
        </w:rPr>
        <w:t>that</w:t>
      </w:r>
      <w:r w:rsidR="00684A1B" w:rsidRPr="00684A1B">
        <w:rPr>
          <w:rFonts w:ascii="Times New Roman" w:hAnsi="Times New Roman"/>
          <w:sz w:val="24"/>
          <w:lang w:eastAsia="en-AU"/>
        </w:rPr>
        <w:tab/>
      </w:r>
      <w:r>
        <w:rPr>
          <w:rFonts w:ascii="Times New Roman" w:hAnsi="Times New Roman"/>
          <w:sz w:val="24"/>
          <w:lang w:eastAsia="en-AU"/>
        </w:rPr>
        <w:t>o</w:t>
      </w:r>
      <w:r w:rsidR="00684A1B" w:rsidRPr="00684A1B">
        <w:rPr>
          <w:rFonts w:ascii="Times New Roman" w:hAnsi="Times New Roman"/>
          <w:sz w:val="24"/>
          <w:lang w:eastAsia="en-AU"/>
        </w:rPr>
        <w:t>nline gambling services</w:t>
      </w:r>
      <w:proofErr w:type="gramEnd"/>
      <w:r w:rsidR="00684A1B" w:rsidRPr="00684A1B">
        <w:rPr>
          <w:rFonts w:ascii="Times New Roman" w:hAnsi="Times New Roman"/>
          <w:sz w:val="24"/>
          <w:lang w:eastAsia="en-AU"/>
        </w:rPr>
        <w:t xml:space="preserve">, subject to the conditions specified in paragraph 10.4.3, are specified for the purposes of paragraph 33(a) of the </w:t>
      </w:r>
      <w:r>
        <w:rPr>
          <w:rFonts w:ascii="Times New Roman" w:hAnsi="Times New Roman"/>
          <w:sz w:val="24"/>
          <w:lang w:eastAsia="en-AU"/>
        </w:rPr>
        <w:t xml:space="preserve">AML/CTF </w:t>
      </w:r>
      <w:r w:rsidR="00684A1B" w:rsidRPr="00684A1B">
        <w:rPr>
          <w:rFonts w:ascii="Times New Roman" w:hAnsi="Times New Roman"/>
          <w:sz w:val="24"/>
          <w:lang w:eastAsia="en-AU"/>
        </w:rPr>
        <w:t>Act.</w:t>
      </w:r>
    </w:p>
    <w:p w:rsidR="00442AD4" w:rsidRPr="00684A1B" w:rsidRDefault="00442AD4" w:rsidP="00442AD4">
      <w:pPr>
        <w:spacing w:before="240"/>
        <w:rPr>
          <w:rFonts w:ascii="Times New Roman" w:hAnsi="Times New Roman"/>
          <w:sz w:val="24"/>
          <w:lang w:eastAsia="en-AU"/>
        </w:rPr>
      </w:pPr>
      <w:r>
        <w:rPr>
          <w:rFonts w:ascii="Times New Roman" w:hAnsi="Times New Roman"/>
          <w:sz w:val="24"/>
          <w:lang w:eastAsia="en-AU"/>
        </w:rPr>
        <w:t xml:space="preserve">Paragraph </w:t>
      </w:r>
      <w:r w:rsidR="00684A1B" w:rsidRPr="00684A1B">
        <w:rPr>
          <w:rFonts w:ascii="Times New Roman" w:hAnsi="Times New Roman"/>
          <w:sz w:val="24"/>
          <w:lang w:eastAsia="en-AU"/>
        </w:rPr>
        <w:t>10.4.3</w:t>
      </w:r>
      <w:r>
        <w:rPr>
          <w:rFonts w:ascii="Times New Roman" w:hAnsi="Times New Roman"/>
          <w:sz w:val="24"/>
          <w:lang w:eastAsia="en-AU"/>
        </w:rPr>
        <w:t xml:space="preserve"> sets out the conditions that must exist for the </w:t>
      </w:r>
      <w:r w:rsidR="00684A1B" w:rsidRPr="00684A1B">
        <w:rPr>
          <w:rFonts w:ascii="Times New Roman" w:hAnsi="Times New Roman"/>
          <w:sz w:val="24"/>
          <w:lang w:eastAsia="en-AU"/>
        </w:rPr>
        <w:t xml:space="preserve">special circumstances </w:t>
      </w:r>
      <w:r>
        <w:rPr>
          <w:rFonts w:ascii="Times New Roman" w:hAnsi="Times New Roman"/>
          <w:sz w:val="24"/>
          <w:lang w:eastAsia="en-AU"/>
        </w:rPr>
        <w:t>to be</w:t>
      </w:r>
      <w:r w:rsidR="00684A1B" w:rsidRPr="00684A1B">
        <w:rPr>
          <w:rFonts w:ascii="Times New Roman" w:hAnsi="Times New Roman"/>
          <w:sz w:val="24"/>
          <w:lang w:eastAsia="en-AU"/>
        </w:rPr>
        <w:t xml:space="preserve"> available to the reporting entity</w:t>
      </w:r>
      <w:r>
        <w:rPr>
          <w:rFonts w:ascii="Times New Roman" w:hAnsi="Times New Roman"/>
          <w:sz w:val="24"/>
          <w:lang w:eastAsia="en-AU"/>
        </w:rPr>
        <w:t>.</w:t>
      </w:r>
    </w:p>
    <w:p w:rsidR="00684A1B" w:rsidRDefault="004A1634" w:rsidP="004A1634">
      <w:pPr>
        <w:pStyle w:val="ItemHead"/>
        <w:ind w:left="0" w:firstLine="0"/>
        <w:rPr>
          <w:rFonts w:ascii="Times New Roman" w:hAnsi="Times New Roman"/>
          <w:b w:val="0"/>
          <w:kern w:val="0"/>
          <w:szCs w:val="24"/>
        </w:rPr>
      </w:pPr>
      <w:proofErr w:type="gramStart"/>
      <w:r>
        <w:rPr>
          <w:rFonts w:ascii="Times New Roman" w:hAnsi="Times New Roman"/>
          <w:b w:val="0"/>
          <w:kern w:val="0"/>
          <w:szCs w:val="24"/>
        </w:rPr>
        <w:t xml:space="preserve">Paragraph </w:t>
      </w:r>
      <w:r w:rsidR="00684A1B" w:rsidRPr="00684A1B">
        <w:rPr>
          <w:rFonts w:ascii="Times New Roman" w:hAnsi="Times New Roman"/>
          <w:b w:val="0"/>
          <w:kern w:val="0"/>
          <w:szCs w:val="24"/>
        </w:rPr>
        <w:t>10.4.4</w:t>
      </w:r>
      <w:r>
        <w:rPr>
          <w:rFonts w:ascii="Times New Roman" w:hAnsi="Times New Roman"/>
          <w:b w:val="0"/>
          <w:kern w:val="0"/>
          <w:szCs w:val="24"/>
        </w:rPr>
        <w:t xml:space="preserve"> specifies t</w:t>
      </w:r>
      <w:r w:rsidR="00684A1B" w:rsidRPr="00684A1B">
        <w:rPr>
          <w:rFonts w:ascii="Times New Roman" w:hAnsi="Times New Roman"/>
          <w:b w:val="0"/>
          <w:kern w:val="0"/>
          <w:szCs w:val="24"/>
        </w:rPr>
        <w:t xml:space="preserve">he period </w:t>
      </w:r>
      <w:r>
        <w:rPr>
          <w:rFonts w:ascii="Times New Roman" w:hAnsi="Times New Roman"/>
          <w:b w:val="0"/>
          <w:kern w:val="0"/>
          <w:szCs w:val="24"/>
        </w:rPr>
        <w:t>for the purposes of subparagraph 34(1)(d)(</w:t>
      </w:r>
      <w:proofErr w:type="spellStart"/>
      <w:r>
        <w:rPr>
          <w:rFonts w:ascii="Times New Roman" w:hAnsi="Times New Roman"/>
          <w:b w:val="0"/>
          <w:kern w:val="0"/>
          <w:szCs w:val="24"/>
        </w:rPr>
        <w:t>i</w:t>
      </w:r>
      <w:proofErr w:type="spellEnd"/>
      <w:r>
        <w:rPr>
          <w:rFonts w:ascii="Times New Roman" w:hAnsi="Times New Roman"/>
          <w:b w:val="0"/>
          <w:kern w:val="0"/>
          <w:szCs w:val="24"/>
        </w:rPr>
        <w:t>) of the AML/CTF Act, after which the reporting entity if they have not carried out the applicable customer identification procedure in respect of the customer, must not continue to provide and must not commence to provide any designated service to the customer until the reporting entity carries out the applicable customer identification procedure in respect of the customer.</w:t>
      </w:r>
      <w:proofErr w:type="gramEnd"/>
    </w:p>
    <w:p w:rsidR="004A1634" w:rsidRPr="004A1634" w:rsidRDefault="004A1634" w:rsidP="004A1634">
      <w:pPr>
        <w:rPr>
          <w:lang w:eastAsia="en-AU"/>
        </w:rPr>
      </w:pPr>
    </w:p>
    <w:p w:rsidR="009B309E" w:rsidRPr="009A29DA" w:rsidRDefault="009B309E" w:rsidP="00BF6A36">
      <w:pPr>
        <w:spacing w:after="160" w:line="360" w:lineRule="auto"/>
        <w:jc w:val="right"/>
        <w:rPr>
          <w:rFonts w:ascii="Times New Roman" w:eastAsia="Calibri" w:hAnsi="Times New Roman"/>
          <w:b/>
          <w:caps/>
          <w:sz w:val="24"/>
          <w:u w:val="single"/>
        </w:rPr>
      </w:pPr>
      <w:r w:rsidRPr="009A29DA">
        <w:rPr>
          <w:rFonts w:ascii="Times New Roman" w:eastAsia="Calibri" w:hAnsi="Times New Roman"/>
          <w:b/>
          <w:caps/>
          <w:sz w:val="24"/>
          <w:u w:val="single"/>
        </w:rPr>
        <w:t>ATTACHMENT B</w:t>
      </w:r>
    </w:p>
    <w:p w:rsidR="00733D11" w:rsidRDefault="00733D11" w:rsidP="00017141">
      <w:pPr>
        <w:spacing w:after="160" w:line="360" w:lineRule="auto"/>
        <w:rPr>
          <w:rFonts w:ascii="Times New Roman" w:eastAsia="Calibri" w:hAnsi="Times New Roman"/>
          <w:b/>
          <w:caps/>
          <w:sz w:val="24"/>
        </w:rPr>
      </w:pPr>
    </w:p>
    <w:p w:rsidR="00017141" w:rsidRPr="00017141" w:rsidRDefault="00017141" w:rsidP="00D54B98">
      <w:pPr>
        <w:spacing w:after="160" w:line="360" w:lineRule="auto"/>
        <w:jc w:val="center"/>
        <w:rPr>
          <w:rFonts w:ascii="Times New Roman" w:eastAsia="Calibri" w:hAnsi="Times New Roman"/>
          <w:b/>
          <w:caps/>
          <w:sz w:val="24"/>
        </w:rPr>
      </w:pPr>
      <w:r w:rsidRPr="00017141">
        <w:rPr>
          <w:rFonts w:ascii="Times New Roman" w:eastAsia="Calibri" w:hAnsi="Times New Roman"/>
          <w:b/>
          <w:caps/>
          <w:sz w:val="24"/>
        </w:rPr>
        <w:t>Statement of Compatibility with Human Rights</w:t>
      </w:r>
    </w:p>
    <w:p w:rsidR="00017141" w:rsidRPr="00D54B98" w:rsidRDefault="00017141" w:rsidP="00D54B98">
      <w:pPr>
        <w:spacing w:after="160" w:line="360" w:lineRule="auto"/>
        <w:jc w:val="center"/>
        <w:rPr>
          <w:rFonts w:ascii="Times New Roman" w:eastAsia="Calibri" w:hAnsi="Times New Roman"/>
          <w:sz w:val="24"/>
        </w:rPr>
      </w:pPr>
      <w:r w:rsidRPr="00D54B98">
        <w:rPr>
          <w:rFonts w:ascii="Times New Roman" w:eastAsia="Calibri" w:hAnsi="Times New Roman"/>
          <w:i/>
          <w:iCs/>
          <w:sz w:val="24"/>
        </w:rPr>
        <w:t>Prepared in accordance with Part 3 of the Human Rights (Parliamentary Scrutiny) Act 2011</w:t>
      </w:r>
    </w:p>
    <w:p w:rsidR="00017141" w:rsidRPr="00D54B98" w:rsidRDefault="00017141" w:rsidP="00017141">
      <w:pPr>
        <w:spacing w:after="160" w:line="360" w:lineRule="auto"/>
        <w:rPr>
          <w:rFonts w:ascii="Times New Roman" w:eastAsia="Calibri" w:hAnsi="Times New Roman"/>
          <w:b/>
          <w:i/>
          <w:sz w:val="24"/>
        </w:rPr>
      </w:pPr>
      <w:r w:rsidRPr="00D54B98">
        <w:rPr>
          <w:rFonts w:ascii="Times New Roman" w:eastAsia="Calibri" w:hAnsi="Times New Roman"/>
          <w:b/>
          <w:i/>
          <w:sz w:val="24"/>
        </w:rPr>
        <w:t xml:space="preserve">Australian Human Rights Commission Regulations 2019 </w:t>
      </w:r>
    </w:p>
    <w:p w:rsidR="00017141" w:rsidRPr="00D54B98" w:rsidRDefault="00017141" w:rsidP="00D54B98">
      <w:pPr>
        <w:spacing w:after="160" w:line="259" w:lineRule="auto"/>
        <w:rPr>
          <w:rFonts w:ascii="Times New Roman" w:eastAsia="Calibri" w:hAnsi="Times New Roman"/>
          <w:sz w:val="24"/>
        </w:rPr>
      </w:pPr>
      <w:r w:rsidRPr="00D54B98">
        <w:rPr>
          <w:rFonts w:ascii="Times New Roman" w:eastAsia="Calibri" w:hAnsi="Times New Roman"/>
          <w:sz w:val="24"/>
        </w:rPr>
        <w:lastRenderedPageBreak/>
        <w:t>This Disallowable Legislative Instrument</w:t>
      </w:r>
      <w:r w:rsidR="00BF6A36">
        <w:rPr>
          <w:rFonts w:ascii="Times New Roman" w:eastAsia="Calibri" w:hAnsi="Times New Roman"/>
          <w:sz w:val="24"/>
        </w:rPr>
        <w:t xml:space="preserve"> (the </w:t>
      </w:r>
      <w:r w:rsidR="00BF6A36" w:rsidRPr="00D54B98">
        <w:rPr>
          <w:rFonts w:ascii="Times New Roman" w:eastAsia="Calibri" w:hAnsi="Times New Roman"/>
          <w:b/>
          <w:sz w:val="24"/>
        </w:rPr>
        <w:t>Instrument</w:t>
      </w:r>
      <w:r w:rsidR="00BF6A36">
        <w:rPr>
          <w:rFonts w:ascii="Times New Roman" w:eastAsia="Calibri" w:hAnsi="Times New Roman"/>
          <w:sz w:val="24"/>
        </w:rPr>
        <w:t>)</w:t>
      </w:r>
      <w:r w:rsidRPr="00D54B98">
        <w:rPr>
          <w:rFonts w:ascii="Times New Roman" w:eastAsia="Calibri" w:hAnsi="Times New Roman"/>
          <w:sz w:val="24"/>
        </w:rPr>
        <w:t xml:space="preserve"> is compatible with the human rights and freedoms recognised or declared in the international instruments listed in section 3 of the </w:t>
      </w:r>
      <w:r w:rsidRPr="00D54B98">
        <w:rPr>
          <w:rFonts w:ascii="Times New Roman" w:eastAsia="Calibri" w:hAnsi="Times New Roman"/>
          <w:i/>
          <w:sz w:val="24"/>
        </w:rPr>
        <w:t>Human Rights (Parliamentary Scrutiny) Act 2011</w:t>
      </w:r>
      <w:r w:rsidRPr="00D54B98">
        <w:rPr>
          <w:rFonts w:ascii="Times New Roman" w:eastAsia="Calibri" w:hAnsi="Times New Roman"/>
          <w:sz w:val="24"/>
        </w:rPr>
        <w:t>.</w:t>
      </w:r>
    </w:p>
    <w:p w:rsidR="00017141" w:rsidRPr="00D54B98" w:rsidRDefault="00017141" w:rsidP="00017141">
      <w:pPr>
        <w:spacing w:after="160" w:line="360" w:lineRule="auto"/>
        <w:rPr>
          <w:rFonts w:ascii="Times New Roman" w:eastAsia="Calibri" w:hAnsi="Times New Roman"/>
          <w:b/>
          <w:sz w:val="24"/>
        </w:rPr>
      </w:pPr>
      <w:r w:rsidRPr="00D54B98">
        <w:rPr>
          <w:rFonts w:ascii="Times New Roman" w:eastAsia="Calibri" w:hAnsi="Times New Roman"/>
          <w:b/>
          <w:sz w:val="24"/>
        </w:rPr>
        <w:t>Overview of the Instrument</w:t>
      </w:r>
    </w:p>
    <w:p w:rsidR="00606CF2" w:rsidRPr="00D54B98" w:rsidRDefault="007037F4" w:rsidP="00D54B98">
      <w:pPr>
        <w:spacing w:after="160" w:line="259" w:lineRule="auto"/>
        <w:rPr>
          <w:rFonts w:ascii="Times New Roman" w:eastAsia="Calibri" w:hAnsi="Times New Roman"/>
          <w:sz w:val="24"/>
        </w:rPr>
      </w:pPr>
      <w:r w:rsidRPr="00D54B98">
        <w:rPr>
          <w:rFonts w:ascii="Times New Roman" w:eastAsia="Calibri" w:hAnsi="Times New Roman"/>
          <w:sz w:val="24"/>
        </w:rPr>
        <w:t xml:space="preserve">The Instrument </w:t>
      </w:r>
      <w:r w:rsidR="00F55C52" w:rsidRPr="00D54B98">
        <w:rPr>
          <w:rFonts w:ascii="Times New Roman" w:eastAsia="Calibri" w:hAnsi="Times New Roman"/>
          <w:sz w:val="24"/>
        </w:rPr>
        <w:t>sets out the requirements of the expanded circumstances in which reporting entities may rely on identification procedures undertaken by a third party, and strengthens protections around correspondent banking.</w:t>
      </w:r>
    </w:p>
    <w:p w:rsidR="00606CF2" w:rsidRPr="00D54B98" w:rsidRDefault="009B309E" w:rsidP="009823D3">
      <w:pPr>
        <w:spacing w:after="160" w:line="360" w:lineRule="auto"/>
        <w:rPr>
          <w:rFonts w:ascii="Times New Roman" w:eastAsia="Calibri" w:hAnsi="Times New Roman"/>
          <w:b/>
          <w:sz w:val="24"/>
        </w:rPr>
      </w:pPr>
      <w:r w:rsidRPr="00D54B98">
        <w:rPr>
          <w:rFonts w:ascii="Times New Roman" w:eastAsia="Calibri" w:hAnsi="Times New Roman"/>
          <w:b/>
          <w:sz w:val="24"/>
        </w:rPr>
        <w:t>Human rights implications</w:t>
      </w:r>
    </w:p>
    <w:p w:rsidR="00606CF2" w:rsidRPr="00D54B98" w:rsidRDefault="00C34C45" w:rsidP="00D54B98">
      <w:pPr>
        <w:spacing w:after="160" w:line="259" w:lineRule="auto"/>
        <w:rPr>
          <w:rFonts w:ascii="Times New Roman" w:hAnsi="Times New Roman"/>
          <w:sz w:val="24"/>
        </w:rPr>
      </w:pPr>
      <w:r w:rsidRPr="00D54B98">
        <w:rPr>
          <w:rFonts w:ascii="Times New Roman" w:hAnsi="Times New Roman"/>
          <w:sz w:val="24"/>
        </w:rPr>
        <w:t xml:space="preserve">The </w:t>
      </w:r>
      <w:r w:rsidRPr="00D54B98">
        <w:rPr>
          <w:rFonts w:ascii="Times New Roman" w:hAnsi="Times New Roman"/>
          <w:i/>
          <w:sz w:val="24"/>
        </w:rPr>
        <w:t>Human Rights (Parliamentary Scrutiny) Act 2011</w:t>
      </w:r>
      <w:r w:rsidRPr="00D54B98">
        <w:rPr>
          <w:rFonts w:ascii="Times New Roman" w:hAnsi="Times New Roman"/>
          <w:sz w:val="24"/>
        </w:rPr>
        <w:t xml:space="preserve"> requires that Statements of Compatibility </w:t>
      </w:r>
      <w:proofErr w:type="gramStart"/>
      <w:r w:rsidRPr="00D54B98">
        <w:rPr>
          <w:rFonts w:ascii="Times New Roman" w:hAnsi="Times New Roman"/>
          <w:sz w:val="24"/>
        </w:rPr>
        <w:t>must be made</w:t>
      </w:r>
      <w:proofErr w:type="gramEnd"/>
      <w:r w:rsidRPr="00D54B98">
        <w:rPr>
          <w:rFonts w:ascii="Times New Roman" w:hAnsi="Times New Roman"/>
          <w:sz w:val="24"/>
        </w:rPr>
        <w:t xml:space="preserve"> by the rule-maker with regard to disallowable legislative instruments, and must contain an assessment of whether the legislative instrument is compatible with the rights and freedoms recognised in the seven core international human rights treaties that Australia has ratified.</w:t>
      </w:r>
    </w:p>
    <w:p w:rsidR="00C1088D" w:rsidRDefault="00F55C52" w:rsidP="00D54B98">
      <w:pPr>
        <w:spacing w:after="160" w:line="259" w:lineRule="auto"/>
        <w:rPr>
          <w:rFonts w:ascii="Times New Roman" w:hAnsi="Times New Roman"/>
          <w:sz w:val="24"/>
        </w:rPr>
      </w:pPr>
      <w:r w:rsidRPr="00D54B98">
        <w:rPr>
          <w:rFonts w:ascii="Times New Roman" w:hAnsi="Times New Roman"/>
          <w:sz w:val="24"/>
        </w:rPr>
        <w:t xml:space="preserve">The amendments to Chapter 7 of the AML/CTF Rules engage the right to privacy in Article 17 of the </w:t>
      </w:r>
      <w:r w:rsidRPr="00D54B98">
        <w:rPr>
          <w:rFonts w:ascii="Times New Roman" w:hAnsi="Times New Roman"/>
          <w:i/>
          <w:sz w:val="24"/>
        </w:rPr>
        <w:t>International Covenant on Civil and Political Rights</w:t>
      </w:r>
      <w:r w:rsidRPr="00D54B98">
        <w:rPr>
          <w:rFonts w:ascii="Times New Roman" w:hAnsi="Times New Roman"/>
          <w:sz w:val="24"/>
        </w:rPr>
        <w:t xml:space="preserve"> (</w:t>
      </w:r>
      <w:r w:rsidRPr="00D54B98">
        <w:rPr>
          <w:rFonts w:ascii="Times New Roman" w:hAnsi="Times New Roman"/>
          <w:b/>
          <w:sz w:val="24"/>
        </w:rPr>
        <w:t>ICCPR</w:t>
      </w:r>
      <w:r w:rsidRPr="00D54B98">
        <w:rPr>
          <w:rFonts w:ascii="Times New Roman" w:hAnsi="Times New Roman"/>
          <w:sz w:val="24"/>
        </w:rPr>
        <w:t xml:space="preserve">) by expanding the circumstances in which reporting entities may rely on identification procedures undertaken by a third party. Article 17 of the ICCPR provides that no one </w:t>
      </w:r>
      <w:proofErr w:type="gramStart"/>
      <w:r w:rsidRPr="00D54B98">
        <w:rPr>
          <w:rFonts w:ascii="Times New Roman" w:hAnsi="Times New Roman"/>
          <w:sz w:val="24"/>
        </w:rPr>
        <w:t>shall be subjected</w:t>
      </w:r>
      <w:proofErr w:type="gramEnd"/>
      <w:r w:rsidRPr="00D54B98">
        <w:rPr>
          <w:rFonts w:ascii="Times New Roman" w:hAnsi="Times New Roman"/>
          <w:sz w:val="24"/>
        </w:rPr>
        <w:t xml:space="preserve"> to arbitrary or unlawful interference with their privacy, family, home or correspondence.</w:t>
      </w:r>
      <w:r w:rsidR="00C1088D">
        <w:rPr>
          <w:rFonts w:ascii="Times New Roman" w:hAnsi="Times New Roman"/>
          <w:sz w:val="24"/>
        </w:rPr>
        <w:t xml:space="preserve"> The right to privacy also requires respect for private and confidential information, including the storing, use and sharing of such information. </w:t>
      </w:r>
    </w:p>
    <w:p w:rsidR="00F55C52" w:rsidRPr="00D54B98" w:rsidRDefault="00F55C52" w:rsidP="00D54B98">
      <w:pPr>
        <w:spacing w:after="160" w:line="259" w:lineRule="auto"/>
        <w:rPr>
          <w:rFonts w:ascii="Times New Roman" w:hAnsi="Times New Roman"/>
          <w:sz w:val="24"/>
        </w:rPr>
      </w:pPr>
      <w:r w:rsidRPr="00D54B98">
        <w:rPr>
          <w:rFonts w:ascii="Times New Roman" w:hAnsi="Times New Roman"/>
          <w:sz w:val="24"/>
        </w:rPr>
        <w:t xml:space="preserve">The use of the term ‘arbitrary’ means that any interference with privacy must be in accordance with the provisions, aims and objectives of the ICCPR and should be reasonable in the particular circumstances. The United Nations Human Rights Committee has interpreted ‘reasonableness’ to imply that any limitation must be proportionate and necessary in the circumstances. The right to privacy </w:t>
      </w:r>
      <w:proofErr w:type="gramStart"/>
      <w:r w:rsidRPr="00D54B98">
        <w:rPr>
          <w:rFonts w:ascii="Times New Roman" w:hAnsi="Times New Roman"/>
          <w:sz w:val="24"/>
        </w:rPr>
        <w:t>can be limited</w:t>
      </w:r>
      <w:proofErr w:type="gramEnd"/>
      <w:r w:rsidRPr="00D54B98">
        <w:rPr>
          <w:rFonts w:ascii="Times New Roman" w:hAnsi="Times New Roman"/>
          <w:sz w:val="24"/>
        </w:rPr>
        <w:t xml:space="preserve"> by necessity in a democratic society in the interests of national security or public order.</w:t>
      </w:r>
    </w:p>
    <w:p w:rsidR="00F55C52" w:rsidRPr="00D54B98" w:rsidRDefault="00F55C52" w:rsidP="00D54B98">
      <w:pPr>
        <w:spacing w:after="160" w:line="259" w:lineRule="auto"/>
        <w:rPr>
          <w:rFonts w:ascii="Times New Roman" w:hAnsi="Times New Roman"/>
          <w:sz w:val="24"/>
        </w:rPr>
      </w:pPr>
      <w:r w:rsidRPr="00D54B98">
        <w:rPr>
          <w:rFonts w:ascii="Times New Roman" w:hAnsi="Times New Roman"/>
          <w:sz w:val="24"/>
        </w:rPr>
        <w:t>The amendments to Chapter 7 of the AML/CTF Rules</w:t>
      </w:r>
      <w:r w:rsidR="008A68C3">
        <w:rPr>
          <w:rFonts w:ascii="Times New Roman" w:hAnsi="Times New Roman"/>
          <w:sz w:val="24"/>
        </w:rPr>
        <w:t xml:space="preserve"> are a permissible limitation on the right to privacy because the measures </w:t>
      </w:r>
      <w:r w:rsidR="00C1088D">
        <w:rPr>
          <w:rFonts w:ascii="Times New Roman" w:hAnsi="Times New Roman"/>
          <w:sz w:val="24"/>
        </w:rPr>
        <w:t>are reasonable, necessary and proportionate in the pursuit of a legitimate objective. The measures</w:t>
      </w:r>
      <w:r w:rsidRPr="00D54B98">
        <w:rPr>
          <w:rFonts w:ascii="Times New Roman" w:hAnsi="Times New Roman"/>
          <w:sz w:val="24"/>
        </w:rPr>
        <w:t xml:space="preserve"> will expand the circumstances in which reporting entities may rely on identification procedures undertaken by a third party. This will include the exchange of personal information such as transactional information.  </w:t>
      </w:r>
      <w:r w:rsidR="008A68C3">
        <w:rPr>
          <w:rFonts w:ascii="Times New Roman" w:hAnsi="Times New Roman"/>
          <w:sz w:val="24"/>
        </w:rPr>
        <w:t xml:space="preserve">Chapter 7 will also </w:t>
      </w:r>
      <w:r w:rsidRPr="00D54B98">
        <w:rPr>
          <w:rFonts w:ascii="Times New Roman" w:hAnsi="Times New Roman"/>
          <w:sz w:val="24"/>
        </w:rPr>
        <w:t xml:space="preserve">facilitate </w:t>
      </w:r>
      <w:proofErr w:type="gramStart"/>
      <w:r w:rsidRPr="00D54B98">
        <w:rPr>
          <w:rFonts w:ascii="Times New Roman" w:hAnsi="Times New Roman"/>
          <w:sz w:val="24"/>
        </w:rPr>
        <w:t>more efficient information sharing between reporting entities and other entities to ensure the proper identification of customers</w:t>
      </w:r>
      <w:proofErr w:type="gramEnd"/>
      <w:r w:rsidRPr="00D54B98">
        <w:rPr>
          <w:rFonts w:ascii="Times New Roman" w:hAnsi="Times New Roman"/>
          <w:sz w:val="24"/>
        </w:rPr>
        <w:t xml:space="preserve">. This outcome supports cooperation and collaboration to detect, deter and disrupt money laundering, </w:t>
      </w:r>
      <w:r w:rsidR="008A68C3">
        <w:rPr>
          <w:rFonts w:ascii="Times New Roman" w:hAnsi="Times New Roman"/>
          <w:sz w:val="24"/>
        </w:rPr>
        <w:t>financing</w:t>
      </w:r>
      <w:r w:rsidR="00C1088D">
        <w:rPr>
          <w:rFonts w:ascii="Times New Roman" w:hAnsi="Times New Roman"/>
          <w:sz w:val="24"/>
        </w:rPr>
        <w:t xml:space="preserve"> of </w:t>
      </w:r>
      <w:r w:rsidRPr="00D54B98">
        <w:rPr>
          <w:rFonts w:ascii="Times New Roman" w:hAnsi="Times New Roman"/>
          <w:sz w:val="24"/>
        </w:rPr>
        <w:t xml:space="preserve">terrorism and other serious crimes.  </w:t>
      </w:r>
    </w:p>
    <w:p w:rsidR="00F55C52" w:rsidRPr="00BC6A40" w:rsidRDefault="00F55C52" w:rsidP="00D54B98">
      <w:pPr>
        <w:spacing w:after="160" w:line="259" w:lineRule="auto"/>
        <w:rPr>
          <w:rFonts w:ascii="Times New Roman" w:hAnsi="Times New Roman"/>
          <w:sz w:val="24"/>
        </w:rPr>
      </w:pPr>
      <w:r w:rsidRPr="00D54B98">
        <w:rPr>
          <w:rFonts w:ascii="Times New Roman" w:hAnsi="Times New Roman"/>
          <w:sz w:val="24"/>
        </w:rPr>
        <w:t xml:space="preserve">The limitation on the right to privacy is proportionate and not arbitrary as there are appropriate safeguards and controls. For instance, because of section 6E of the </w:t>
      </w:r>
      <w:r w:rsidRPr="00BC6A40">
        <w:rPr>
          <w:rFonts w:ascii="Times New Roman" w:hAnsi="Times New Roman"/>
          <w:i/>
          <w:sz w:val="24"/>
        </w:rPr>
        <w:t>Privacy Act 1988</w:t>
      </w:r>
      <w:r w:rsidRPr="00BC6A40">
        <w:rPr>
          <w:rFonts w:ascii="Times New Roman" w:hAnsi="Times New Roman"/>
          <w:sz w:val="24"/>
        </w:rPr>
        <w:t xml:space="preserve"> (the </w:t>
      </w:r>
      <w:r w:rsidRPr="00BC6A40">
        <w:rPr>
          <w:rFonts w:ascii="Times New Roman" w:hAnsi="Times New Roman"/>
          <w:b/>
          <w:sz w:val="24"/>
        </w:rPr>
        <w:t>Privacy Act</w:t>
      </w:r>
      <w:r w:rsidRPr="00BC6A40">
        <w:rPr>
          <w:rFonts w:ascii="Times New Roman" w:hAnsi="Times New Roman"/>
          <w:sz w:val="24"/>
        </w:rPr>
        <w:t>), all reporting entities are subject to the Privacy Act and must abide by the Australian Privacy Principles (</w:t>
      </w:r>
      <w:r w:rsidRPr="00BC6A40">
        <w:rPr>
          <w:rFonts w:ascii="Times New Roman" w:hAnsi="Times New Roman"/>
          <w:b/>
          <w:sz w:val="24"/>
        </w:rPr>
        <w:t>APP</w:t>
      </w:r>
      <w:r w:rsidR="008A68C3" w:rsidRPr="008A68C3">
        <w:rPr>
          <w:rFonts w:ascii="Times New Roman" w:hAnsi="Times New Roman"/>
          <w:b/>
          <w:sz w:val="24"/>
        </w:rPr>
        <w:t>s</w:t>
      </w:r>
      <w:r w:rsidRPr="00BC6A40">
        <w:rPr>
          <w:rFonts w:ascii="Times New Roman" w:hAnsi="Times New Roman"/>
          <w:sz w:val="24"/>
        </w:rPr>
        <w:t xml:space="preserve">). This ensures that when reporting entities </w:t>
      </w:r>
      <w:r w:rsidR="008A68C3">
        <w:rPr>
          <w:rFonts w:ascii="Times New Roman" w:hAnsi="Times New Roman"/>
          <w:sz w:val="24"/>
        </w:rPr>
        <w:t>are subject to APP 8.1 when they engage</w:t>
      </w:r>
      <w:r w:rsidRPr="00BC6A40">
        <w:rPr>
          <w:rFonts w:ascii="Times New Roman" w:hAnsi="Times New Roman"/>
          <w:sz w:val="24"/>
        </w:rPr>
        <w:t xml:space="preserve"> with foreign entities </w:t>
      </w:r>
      <w:r w:rsidRPr="00BC6A40">
        <w:rPr>
          <w:rFonts w:ascii="Times New Roman" w:hAnsi="Times New Roman"/>
          <w:sz w:val="24"/>
        </w:rPr>
        <w:lastRenderedPageBreak/>
        <w:t>for the purposes of a reliance agreement or arrangement</w:t>
      </w:r>
      <w:r w:rsidR="008A68C3">
        <w:rPr>
          <w:rFonts w:ascii="Times New Roman" w:hAnsi="Times New Roman"/>
          <w:sz w:val="24"/>
        </w:rPr>
        <w:t>.</w:t>
      </w:r>
      <w:r w:rsidRPr="00BC6A40">
        <w:rPr>
          <w:rFonts w:ascii="Times New Roman" w:hAnsi="Times New Roman"/>
          <w:sz w:val="24"/>
        </w:rPr>
        <w:t xml:space="preserve"> </w:t>
      </w:r>
      <w:r w:rsidR="008A68C3">
        <w:rPr>
          <w:rFonts w:ascii="Times New Roman" w:hAnsi="Times New Roman"/>
          <w:sz w:val="24"/>
        </w:rPr>
        <w:t xml:space="preserve">To comply with </w:t>
      </w:r>
      <w:r w:rsidRPr="00BC6A40">
        <w:rPr>
          <w:rFonts w:ascii="Times New Roman" w:hAnsi="Times New Roman"/>
          <w:sz w:val="24"/>
        </w:rPr>
        <w:t>APP 8.1</w:t>
      </w:r>
      <w:r w:rsidR="008A68C3">
        <w:rPr>
          <w:rFonts w:ascii="Times New Roman" w:hAnsi="Times New Roman"/>
          <w:sz w:val="24"/>
        </w:rPr>
        <w:t>,</w:t>
      </w:r>
      <w:r w:rsidRPr="00BC6A40">
        <w:rPr>
          <w:rFonts w:ascii="Times New Roman" w:hAnsi="Times New Roman"/>
          <w:sz w:val="24"/>
        </w:rPr>
        <w:t xml:space="preserve"> </w:t>
      </w:r>
      <w:r w:rsidR="008A68C3">
        <w:rPr>
          <w:rFonts w:ascii="Times New Roman" w:hAnsi="Times New Roman"/>
          <w:sz w:val="24"/>
        </w:rPr>
        <w:t>a</w:t>
      </w:r>
      <w:r w:rsidRPr="00BC6A40">
        <w:rPr>
          <w:rFonts w:ascii="Times New Roman" w:hAnsi="Times New Roman"/>
          <w:sz w:val="24"/>
        </w:rPr>
        <w:t xml:space="preserve"> reporting entity must take such steps as are reasonable in the circumstances to ensure that an overseas entity does not breach the APPs (excluding APP 1) before it discloses personal information to that overseas entity.</w:t>
      </w:r>
    </w:p>
    <w:p w:rsidR="00F55C52" w:rsidRPr="00BC6A40" w:rsidRDefault="00F55C52" w:rsidP="00BC6A40">
      <w:pPr>
        <w:spacing w:after="160" w:line="360" w:lineRule="auto"/>
        <w:rPr>
          <w:rFonts w:ascii="Times New Roman" w:eastAsia="Calibri" w:hAnsi="Times New Roman"/>
          <w:b/>
          <w:sz w:val="24"/>
        </w:rPr>
      </w:pPr>
      <w:r w:rsidRPr="00BC6A40">
        <w:rPr>
          <w:rFonts w:ascii="Times New Roman" w:eastAsia="Calibri" w:hAnsi="Times New Roman"/>
          <w:b/>
          <w:sz w:val="24"/>
        </w:rPr>
        <w:t xml:space="preserve">Conclusion  </w:t>
      </w:r>
    </w:p>
    <w:p w:rsidR="009B309E" w:rsidRPr="00BC6A40" w:rsidRDefault="00F55C52" w:rsidP="00BC6A40">
      <w:pPr>
        <w:spacing w:after="160" w:line="259" w:lineRule="auto"/>
        <w:rPr>
          <w:rFonts w:ascii="Times New Roman" w:hAnsi="Times New Roman"/>
          <w:sz w:val="24"/>
        </w:rPr>
      </w:pPr>
      <w:r w:rsidRPr="00BC6A40">
        <w:rPr>
          <w:rFonts w:ascii="Times New Roman" w:hAnsi="Times New Roman"/>
          <w:sz w:val="24"/>
        </w:rPr>
        <w:t>The Instrument is compatible with human rights because, to the extent that the amendments to the AML/CTF Rules may limit human rights, those limitations are reasonable, necessary and proportionate</w:t>
      </w:r>
      <w:r w:rsidR="008A68C3">
        <w:rPr>
          <w:rFonts w:ascii="Times New Roman" w:hAnsi="Times New Roman"/>
          <w:sz w:val="24"/>
        </w:rPr>
        <w:t xml:space="preserve"> in the pursuit of a legitimate objective</w:t>
      </w:r>
      <w:r w:rsidRPr="00BC6A40">
        <w:rPr>
          <w:rFonts w:ascii="Times New Roman" w:hAnsi="Times New Roman"/>
          <w:sz w:val="24"/>
        </w:rPr>
        <w:t>.</w:t>
      </w:r>
    </w:p>
    <w:p w:rsidR="00B94668" w:rsidRPr="00BC6A40" w:rsidRDefault="00B94668" w:rsidP="009B309E">
      <w:pPr>
        <w:spacing w:before="240"/>
        <w:rPr>
          <w:rFonts w:ascii="Times New Roman" w:hAnsi="Times New Roman"/>
          <w:sz w:val="24"/>
        </w:rPr>
      </w:pPr>
    </w:p>
    <w:p w:rsidR="00B94668" w:rsidRDefault="00B94668" w:rsidP="009B309E">
      <w:pPr>
        <w:rPr>
          <w:rFonts w:ascii="Times New Roman" w:hAnsi="Times New Roman"/>
          <w:sz w:val="24"/>
        </w:rPr>
      </w:pPr>
    </w:p>
    <w:p w:rsidR="00A97B24" w:rsidRDefault="00A97B24" w:rsidP="009B309E">
      <w:pPr>
        <w:rPr>
          <w:rFonts w:ascii="Times New Roman" w:hAnsi="Times New Roman"/>
          <w:sz w:val="24"/>
        </w:rPr>
      </w:pPr>
    </w:p>
    <w:p w:rsidR="00A97B24" w:rsidRPr="00BC6A40" w:rsidRDefault="00A97B24" w:rsidP="009B309E">
      <w:pPr>
        <w:rPr>
          <w:rFonts w:ascii="Times New Roman" w:hAnsi="Times New Roman"/>
          <w:sz w:val="24"/>
        </w:rPr>
      </w:pPr>
    </w:p>
    <w:p w:rsidR="009B309E" w:rsidRPr="00BC6A40" w:rsidRDefault="009B309E" w:rsidP="009B309E">
      <w:pPr>
        <w:rPr>
          <w:rFonts w:ascii="Times New Roman" w:hAnsi="Times New Roman"/>
          <w:sz w:val="24"/>
        </w:rPr>
      </w:pPr>
      <w:r w:rsidRPr="00BC6A40">
        <w:rPr>
          <w:rFonts w:ascii="Times New Roman" w:hAnsi="Times New Roman"/>
          <w:sz w:val="24"/>
        </w:rPr>
        <w:t>Nicole Rose PSM</w:t>
      </w:r>
    </w:p>
    <w:p w:rsidR="009B309E" w:rsidRPr="00BC6A40" w:rsidRDefault="009B309E" w:rsidP="009B309E">
      <w:pPr>
        <w:rPr>
          <w:rFonts w:ascii="Times New Roman" w:hAnsi="Times New Roman"/>
          <w:sz w:val="24"/>
        </w:rPr>
      </w:pPr>
      <w:r w:rsidRPr="00BC6A40">
        <w:rPr>
          <w:rFonts w:ascii="Times New Roman" w:hAnsi="Times New Roman"/>
          <w:sz w:val="24"/>
        </w:rPr>
        <w:t>Chief Executive Officer</w:t>
      </w:r>
    </w:p>
    <w:p w:rsidR="009B309E" w:rsidRPr="00BC6A40" w:rsidRDefault="009B309E" w:rsidP="009B309E">
      <w:pPr>
        <w:rPr>
          <w:rFonts w:ascii="Times New Roman" w:hAnsi="Times New Roman"/>
          <w:sz w:val="24"/>
        </w:rPr>
      </w:pPr>
      <w:r w:rsidRPr="00BC6A40">
        <w:rPr>
          <w:rFonts w:ascii="Times New Roman" w:hAnsi="Times New Roman"/>
          <w:sz w:val="24"/>
        </w:rPr>
        <w:t>Australian Transaction Reports and Analysis Centre</w:t>
      </w:r>
    </w:p>
    <w:sectPr w:rsidR="009B309E" w:rsidRPr="00BC6A40" w:rsidSect="007A53C1">
      <w:footerReference w:type="even" r:id="rId8"/>
      <w:footerReference w:type="default" r:id="rId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FE7" w:rsidRDefault="00E51FE7">
      <w:r>
        <w:separator/>
      </w:r>
    </w:p>
  </w:endnote>
  <w:endnote w:type="continuationSeparator" w:id="0">
    <w:p w:rsidR="00E51FE7" w:rsidRDefault="00E5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B5B" w:rsidRDefault="00860B5B" w:rsidP="003F2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60B5B" w:rsidRDefault="00860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B5B" w:rsidRPr="007A53C1" w:rsidRDefault="00860B5B" w:rsidP="003F250A">
    <w:pPr>
      <w:pStyle w:val="Footer"/>
      <w:framePr w:wrap="around" w:vAnchor="text" w:hAnchor="margin" w:xAlign="center" w:y="1"/>
      <w:rPr>
        <w:rStyle w:val="PageNumber"/>
        <w:rFonts w:ascii="Times New Roman" w:hAnsi="Times New Roman"/>
      </w:rPr>
    </w:pPr>
    <w:r w:rsidRPr="007A53C1">
      <w:rPr>
        <w:rStyle w:val="PageNumber"/>
        <w:rFonts w:ascii="Times New Roman" w:hAnsi="Times New Roman"/>
      </w:rPr>
      <w:fldChar w:fldCharType="begin"/>
    </w:r>
    <w:r w:rsidRPr="007A53C1">
      <w:rPr>
        <w:rStyle w:val="PageNumber"/>
        <w:rFonts w:ascii="Times New Roman" w:hAnsi="Times New Roman"/>
      </w:rPr>
      <w:instrText xml:space="preserve">PAGE  </w:instrText>
    </w:r>
    <w:r w:rsidRPr="007A53C1">
      <w:rPr>
        <w:rStyle w:val="PageNumber"/>
        <w:rFonts w:ascii="Times New Roman" w:hAnsi="Times New Roman"/>
      </w:rPr>
      <w:fldChar w:fldCharType="separate"/>
    </w:r>
    <w:r w:rsidR="00DA14DF">
      <w:rPr>
        <w:rStyle w:val="PageNumber"/>
        <w:rFonts w:ascii="Times New Roman" w:hAnsi="Times New Roman"/>
        <w:noProof/>
      </w:rPr>
      <w:t>12</w:t>
    </w:r>
    <w:r w:rsidRPr="007A53C1">
      <w:rPr>
        <w:rStyle w:val="PageNumber"/>
        <w:rFonts w:ascii="Times New Roman" w:hAnsi="Times New Roman"/>
      </w:rPr>
      <w:fldChar w:fldCharType="end"/>
    </w:r>
  </w:p>
  <w:p w:rsidR="00860B5B" w:rsidRPr="007A53C1" w:rsidRDefault="00860B5B" w:rsidP="003B7524">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FE7" w:rsidRDefault="00E51FE7">
      <w:r>
        <w:separator/>
      </w:r>
    </w:p>
  </w:footnote>
  <w:footnote w:type="continuationSeparator" w:id="0">
    <w:p w:rsidR="00E51FE7" w:rsidRDefault="00E51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8D1"/>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 w15:restartNumberingAfterBreak="0">
    <w:nsid w:val="1B3B4CE9"/>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 w15:restartNumberingAfterBreak="0">
    <w:nsid w:val="26FC397F"/>
    <w:multiLevelType w:val="hybridMultilevel"/>
    <w:tmpl w:val="F766CC2E"/>
    <w:lvl w:ilvl="0" w:tplc="0C090001">
      <w:start w:val="1"/>
      <w:numFmt w:val="bullet"/>
      <w:lvlText w:val=""/>
      <w:lvlJc w:val="left"/>
      <w:pPr>
        <w:ind w:left="720" w:hanging="360"/>
      </w:pPr>
      <w:rPr>
        <w:rFonts w:ascii="Symbol" w:hAnsi="Symbol"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4C6776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 w15:restartNumberingAfterBreak="0">
    <w:nsid w:val="58B67EA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 w15:restartNumberingAfterBreak="0">
    <w:nsid w:val="616E069F"/>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 w15:restartNumberingAfterBreak="0">
    <w:nsid w:val="78A64D45"/>
    <w:multiLevelType w:val="hybridMultilevel"/>
    <w:tmpl w:val="9B966D8C"/>
    <w:lvl w:ilvl="0" w:tplc="79A4F224">
      <w:start w:val="1"/>
      <w:numFmt w:val="decimal"/>
      <w:lvlText w:val="%1."/>
      <w:lvlJc w:val="left"/>
      <w:pPr>
        <w:ind w:left="360" w:hanging="360"/>
      </w:pPr>
      <w:rPr>
        <w:color w:val="0000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C692AEE"/>
    <w:multiLevelType w:val="hybridMultilevel"/>
    <w:tmpl w:val="3446BBBA"/>
    <w:lvl w:ilvl="0" w:tplc="0C090001">
      <w:start w:val="1"/>
      <w:numFmt w:val="bullet"/>
      <w:lvlText w:val=""/>
      <w:lvlJc w:val="left"/>
      <w:pPr>
        <w:ind w:left="720" w:hanging="360"/>
      </w:pPr>
      <w:rPr>
        <w:rFonts w:ascii="Symbol" w:hAnsi="Symbol"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E3E69DE"/>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6"/>
  </w:num>
  <w:num w:numId="2">
    <w:abstractNumId w:val="2"/>
  </w:num>
  <w:num w:numId="3">
    <w:abstractNumId w:val="7"/>
  </w:num>
  <w:num w:numId="4">
    <w:abstractNumId w:val="8"/>
  </w:num>
  <w:num w:numId="5">
    <w:abstractNumId w:val="0"/>
  </w:num>
  <w:num w:numId="6">
    <w:abstractNumId w:val="1"/>
  </w:num>
  <w:num w:numId="7">
    <w:abstractNumId w:val="5"/>
  </w:num>
  <w:num w:numId="8">
    <w:abstractNumId w:val="3"/>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524"/>
    <w:rsid w:val="0000129C"/>
    <w:rsid w:val="00002D59"/>
    <w:rsid w:val="000041E4"/>
    <w:rsid w:val="00004237"/>
    <w:rsid w:val="00005185"/>
    <w:rsid w:val="00007EFC"/>
    <w:rsid w:val="0001158F"/>
    <w:rsid w:val="00011BFD"/>
    <w:rsid w:val="00013686"/>
    <w:rsid w:val="00017141"/>
    <w:rsid w:val="0001730D"/>
    <w:rsid w:val="000217EC"/>
    <w:rsid w:val="00021CB1"/>
    <w:rsid w:val="000222A4"/>
    <w:rsid w:val="00024783"/>
    <w:rsid w:val="00024980"/>
    <w:rsid w:val="00024C66"/>
    <w:rsid w:val="00027747"/>
    <w:rsid w:val="0003033B"/>
    <w:rsid w:val="00031690"/>
    <w:rsid w:val="00033B8D"/>
    <w:rsid w:val="00035748"/>
    <w:rsid w:val="00035795"/>
    <w:rsid w:val="000358DA"/>
    <w:rsid w:val="00035AF4"/>
    <w:rsid w:val="00035CF9"/>
    <w:rsid w:val="00037327"/>
    <w:rsid w:val="00042863"/>
    <w:rsid w:val="000430D4"/>
    <w:rsid w:val="00050B40"/>
    <w:rsid w:val="00050CE5"/>
    <w:rsid w:val="00051713"/>
    <w:rsid w:val="00053A7A"/>
    <w:rsid w:val="000552BF"/>
    <w:rsid w:val="000572EA"/>
    <w:rsid w:val="00057C98"/>
    <w:rsid w:val="0006328D"/>
    <w:rsid w:val="00064B1E"/>
    <w:rsid w:val="000673A4"/>
    <w:rsid w:val="00072759"/>
    <w:rsid w:val="00075472"/>
    <w:rsid w:val="0008191B"/>
    <w:rsid w:val="00083A52"/>
    <w:rsid w:val="000851F0"/>
    <w:rsid w:val="000869B9"/>
    <w:rsid w:val="000926BD"/>
    <w:rsid w:val="00092891"/>
    <w:rsid w:val="0009363E"/>
    <w:rsid w:val="000942AF"/>
    <w:rsid w:val="0009570F"/>
    <w:rsid w:val="00095CB4"/>
    <w:rsid w:val="000961DD"/>
    <w:rsid w:val="00096B85"/>
    <w:rsid w:val="00097839"/>
    <w:rsid w:val="000A0109"/>
    <w:rsid w:val="000A1B36"/>
    <w:rsid w:val="000A25BE"/>
    <w:rsid w:val="000A448C"/>
    <w:rsid w:val="000A71FF"/>
    <w:rsid w:val="000B07C2"/>
    <w:rsid w:val="000B3A73"/>
    <w:rsid w:val="000B3D22"/>
    <w:rsid w:val="000B4EE1"/>
    <w:rsid w:val="000B7D16"/>
    <w:rsid w:val="000C048B"/>
    <w:rsid w:val="000C26E9"/>
    <w:rsid w:val="000C3669"/>
    <w:rsid w:val="000C4CBB"/>
    <w:rsid w:val="000C4DEC"/>
    <w:rsid w:val="000C5E2A"/>
    <w:rsid w:val="000D0E25"/>
    <w:rsid w:val="000D13F2"/>
    <w:rsid w:val="000D143A"/>
    <w:rsid w:val="000D180A"/>
    <w:rsid w:val="000D1DA2"/>
    <w:rsid w:val="000D261E"/>
    <w:rsid w:val="000D4F84"/>
    <w:rsid w:val="000D658D"/>
    <w:rsid w:val="000E22B7"/>
    <w:rsid w:val="000E63EE"/>
    <w:rsid w:val="000F0AA0"/>
    <w:rsid w:val="00100A29"/>
    <w:rsid w:val="00100E9D"/>
    <w:rsid w:val="0010107B"/>
    <w:rsid w:val="00101CDF"/>
    <w:rsid w:val="0010234E"/>
    <w:rsid w:val="0010649D"/>
    <w:rsid w:val="00112B9E"/>
    <w:rsid w:val="001138C2"/>
    <w:rsid w:val="00114B13"/>
    <w:rsid w:val="00115CA1"/>
    <w:rsid w:val="001161BA"/>
    <w:rsid w:val="00116245"/>
    <w:rsid w:val="001212F7"/>
    <w:rsid w:val="00121FC3"/>
    <w:rsid w:val="00122D9B"/>
    <w:rsid w:val="00133529"/>
    <w:rsid w:val="0013429C"/>
    <w:rsid w:val="00134CA6"/>
    <w:rsid w:val="00135E20"/>
    <w:rsid w:val="001369B9"/>
    <w:rsid w:val="00142343"/>
    <w:rsid w:val="00142983"/>
    <w:rsid w:val="00143BAA"/>
    <w:rsid w:val="00146670"/>
    <w:rsid w:val="00146C29"/>
    <w:rsid w:val="001475BE"/>
    <w:rsid w:val="00151851"/>
    <w:rsid w:val="00151CE0"/>
    <w:rsid w:val="0015491C"/>
    <w:rsid w:val="00156041"/>
    <w:rsid w:val="0015621A"/>
    <w:rsid w:val="00156A70"/>
    <w:rsid w:val="00156C39"/>
    <w:rsid w:val="00157B80"/>
    <w:rsid w:val="00160041"/>
    <w:rsid w:val="001602B8"/>
    <w:rsid w:val="001625EF"/>
    <w:rsid w:val="00162CC7"/>
    <w:rsid w:val="00163115"/>
    <w:rsid w:val="001663D5"/>
    <w:rsid w:val="0017034F"/>
    <w:rsid w:val="00190C40"/>
    <w:rsid w:val="00193377"/>
    <w:rsid w:val="001941DA"/>
    <w:rsid w:val="00194C14"/>
    <w:rsid w:val="0019595E"/>
    <w:rsid w:val="001970B1"/>
    <w:rsid w:val="00197E8A"/>
    <w:rsid w:val="001A03E1"/>
    <w:rsid w:val="001A11DA"/>
    <w:rsid w:val="001A25CB"/>
    <w:rsid w:val="001A58BA"/>
    <w:rsid w:val="001A63E8"/>
    <w:rsid w:val="001B005E"/>
    <w:rsid w:val="001B3A61"/>
    <w:rsid w:val="001B679A"/>
    <w:rsid w:val="001B6FCC"/>
    <w:rsid w:val="001B7562"/>
    <w:rsid w:val="001B7DCC"/>
    <w:rsid w:val="001C001A"/>
    <w:rsid w:val="001C2371"/>
    <w:rsid w:val="001C37C9"/>
    <w:rsid w:val="001C55AA"/>
    <w:rsid w:val="001C57DA"/>
    <w:rsid w:val="001C5B36"/>
    <w:rsid w:val="001C5B6B"/>
    <w:rsid w:val="001C60F1"/>
    <w:rsid w:val="001C6C6F"/>
    <w:rsid w:val="001D022F"/>
    <w:rsid w:val="001D3034"/>
    <w:rsid w:val="001D3559"/>
    <w:rsid w:val="001D3968"/>
    <w:rsid w:val="001D3C6E"/>
    <w:rsid w:val="001D5E25"/>
    <w:rsid w:val="001D5F12"/>
    <w:rsid w:val="001D6003"/>
    <w:rsid w:val="001D63FB"/>
    <w:rsid w:val="001E005B"/>
    <w:rsid w:val="001E23BF"/>
    <w:rsid w:val="001E2728"/>
    <w:rsid w:val="001E4D8A"/>
    <w:rsid w:val="001E52A5"/>
    <w:rsid w:val="001F108A"/>
    <w:rsid w:val="001F396D"/>
    <w:rsid w:val="001F4CE5"/>
    <w:rsid w:val="002027D7"/>
    <w:rsid w:val="0020292C"/>
    <w:rsid w:val="002041BC"/>
    <w:rsid w:val="00205D35"/>
    <w:rsid w:val="00205D9F"/>
    <w:rsid w:val="00206C4A"/>
    <w:rsid w:val="0020702F"/>
    <w:rsid w:val="00207A4E"/>
    <w:rsid w:val="00207D34"/>
    <w:rsid w:val="00210C12"/>
    <w:rsid w:val="002132AC"/>
    <w:rsid w:val="002222BA"/>
    <w:rsid w:val="002227A8"/>
    <w:rsid w:val="00226A90"/>
    <w:rsid w:val="00231302"/>
    <w:rsid w:val="00232C59"/>
    <w:rsid w:val="00234EE9"/>
    <w:rsid w:val="002358FE"/>
    <w:rsid w:val="00236988"/>
    <w:rsid w:val="00237735"/>
    <w:rsid w:val="00241858"/>
    <w:rsid w:val="00243298"/>
    <w:rsid w:val="00243B31"/>
    <w:rsid w:val="00243C97"/>
    <w:rsid w:val="00244D95"/>
    <w:rsid w:val="00246666"/>
    <w:rsid w:val="00247043"/>
    <w:rsid w:val="002475AC"/>
    <w:rsid w:val="002526C4"/>
    <w:rsid w:val="00252A86"/>
    <w:rsid w:val="00252D90"/>
    <w:rsid w:val="0025603C"/>
    <w:rsid w:val="002570AB"/>
    <w:rsid w:val="00261776"/>
    <w:rsid w:val="002632D9"/>
    <w:rsid w:val="00263EDA"/>
    <w:rsid w:val="002700FC"/>
    <w:rsid w:val="00270F89"/>
    <w:rsid w:val="00272368"/>
    <w:rsid w:val="0027417D"/>
    <w:rsid w:val="002748A5"/>
    <w:rsid w:val="00276CC0"/>
    <w:rsid w:val="00285066"/>
    <w:rsid w:val="00285882"/>
    <w:rsid w:val="00291994"/>
    <w:rsid w:val="00292115"/>
    <w:rsid w:val="002948D1"/>
    <w:rsid w:val="0029686B"/>
    <w:rsid w:val="002A02FC"/>
    <w:rsid w:val="002A0A5F"/>
    <w:rsid w:val="002A2BE8"/>
    <w:rsid w:val="002A4E4A"/>
    <w:rsid w:val="002A5004"/>
    <w:rsid w:val="002A6852"/>
    <w:rsid w:val="002A6B5F"/>
    <w:rsid w:val="002B0655"/>
    <w:rsid w:val="002B0D2D"/>
    <w:rsid w:val="002B4D5C"/>
    <w:rsid w:val="002C10AE"/>
    <w:rsid w:val="002C2936"/>
    <w:rsid w:val="002C3BD6"/>
    <w:rsid w:val="002C5045"/>
    <w:rsid w:val="002C6AC2"/>
    <w:rsid w:val="002C7537"/>
    <w:rsid w:val="002C75DD"/>
    <w:rsid w:val="002C76AE"/>
    <w:rsid w:val="002D123A"/>
    <w:rsid w:val="002D18EA"/>
    <w:rsid w:val="002D6746"/>
    <w:rsid w:val="002D67A4"/>
    <w:rsid w:val="002D7A9B"/>
    <w:rsid w:val="002E74AC"/>
    <w:rsid w:val="002E7AC9"/>
    <w:rsid w:val="002F38AD"/>
    <w:rsid w:val="002F4E2A"/>
    <w:rsid w:val="002F525A"/>
    <w:rsid w:val="002F62ED"/>
    <w:rsid w:val="003017CC"/>
    <w:rsid w:val="00301D3F"/>
    <w:rsid w:val="00303AFD"/>
    <w:rsid w:val="00304398"/>
    <w:rsid w:val="0030476E"/>
    <w:rsid w:val="00304ACF"/>
    <w:rsid w:val="00304F89"/>
    <w:rsid w:val="00304F91"/>
    <w:rsid w:val="0030571B"/>
    <w:rsid w:val="00306189"/>
    <w:rsid w:val="00306D9E"/>
    <w:rsid w:val="0030748F"/>
    <w:rsid w:val="003112C7"/>
    <w:rsid w:val="00313FAF"/>
    <w:rsid w:val="00314530"/>
    <w:rsid w:val="00316294"/>
    <w:rsid w:val="003206F6"/>
    <w:rsid w:val="0032216B"/>
    <w:rsid w:val="00322542"/>
    <w:rsid w:val="00322DBF"/>
    <w:rsid w:val="00324521"/>
    <w:rsid w:val="00324BFE"/>
    <w:rsid w:val="00325102"/>
    <w:rsid w:val="00326047"/>
    <w:rsid w:val="00326E01"/>
    <w:rsid w:val="00327A8D"/>
    <w:rsid w:val="00330292"/>
    <w:rsid w:val="00330393"/>
    <w:rsid w:val="003340DB"/>
    <w:rsid w:val="00337B46"/>
    <w:rsid w:val="00341E53"/>
    <w:rsid w:val="00344E15"/>
    <w:rsid w:val="00345884"/>
    <w:rsid w:val="00345CA1"/>
    <w:rsid w:val="0034729E"/>
    <w:rsid w:val="003559A1"/>
    <w:rsid w:val="00356306"/>
    <w:rsid w:val="003568F8"/>
    <w:rsid w:val="00360349"/>
    <w:rsid w:val="003628A3"/>
    <w:rsid w:val="00363F21"/>
    <w:rsid w:val="00365FD7"/>
    <w:rsid w:val="003676D9"/>
    <w:rsid w:val="003747EE"/>
    <w:rsid w:val="00375A0F"/>
    <w:rsid w:val="00384116"/>
    <w:rsid w:val="0038568B"/>
    <w:rsid w:val="003911F4"/>
    <w:rsid w:val="003912AD"/>
    <w:rsid w:val="003932F4"/>
    <w:rsid w:val="00393952"/>
    <w:rsid w:val="00393D2A"/>
    <w:rsid w:val="00394650"/>
    <w:rsid w:val="00394850"/>
    <w:rsid w:val="003975CF"/>
    <w:rsid w:val="003A0C67"/>
    <w:rsid w:val="003A1795"/>
    <w:rsid w:val="003A3B0B"/>
    <w:rsid w:val="003A49E8"/>
    <w:rsid w:val="003A73B8"/>
    <w:rsid w:val="003B2DDD"/>
    <w:rsid w:val="003B4F88"/>
    <w:rsid w:val="003B5048"/>
    <w:rsid w:val="003B7524"/>
    <w:rsid w:val="003C0500"/>
    <w:rsid w:val="003C1A25"/>
    <w:rsid w:val="003C43B6"/>
    <w:rsid w:val="003C57E7"/>
    <w:rsid w:val="003D1772"/>
    <w:rsid w:val="003D672A"/>
    <w:rsid w:val="003D7390"/>
    <w:rsid w:val="003D75BA"/>
    <w:rsid w:val="003D7A85"/>
    <w:rsid w:val="003D7BC9"/>
    <w:rsid w:val="003E07F4"/>
    <w:rsid w:val="003E13D0"/>
    <w:rsid w:val="003E22BE"/>
    <w:rsid w:val="003E2DC9"/>
    <w:rsid w:val="003E6AA6"/>
    <w:rsid w:val="003F12F1"/>
    <w:rsid w:val="003F166D"/>
    <w:rsid w:val="003F16C9"/>
    <w:rsid w:val="003F250A"/>
    <w:rsid w:val="003F2F59"/>
    <w:rsid w:val="003F55FC"/>
    <w:rsid w:val="003F5ADD"/>
    <w:rsid w:val="003F623E"/>
    <w:rsid w:val="00402D9E"/>
    <w:rsid w:val="0040415D"/>
    <w:rsid w:val="00404190"/>
    <w:rsid w:val="0040525D"/>
    <w:rsid w:val="004062DD"/>
    <w:rsid w:val="004065F6"/>
    <w:rsid w:val="00407EE4"/>
    <w:rsid w:val="00410457"/>
    <w:rsid w:val="00412303"/>
    <w:rsid w:val="004132BB"/>
    <w:rsid w:val="00413391"/>
    <w:rsid w:val="00413620"/>
    <w:rsid w:val="0041386C"/>
    <w:rsid w:val="0041387C"/>
    <w:rsid w:val="0041480B"/>
    <w:rsid w:val="004171CA"/>
    <w:rsid w:val="00420679"/>
    <w:rsid w:val="00420F02"/>
    <w:rsid w:val="0042132D"/>
    <w:rsid w:val="004253AB"/>
    <w:rsid w:val="004255A4"/>
    <w:rsid w:val="00426515"/>
    <w:rsid w:val="00430DA3"/>
    <w:rsid w:val="00430E99"/>
    <w:rsid w:val="00431575"/>
    <w:rsid w:val="004321FD"/>
    <w:rsid w:val="00433B24"/>
    <w:rsid w:val="00433C9D"/>
    <w:rsid w:val="00435A0B"/>
    <w:rsid w:val="0043626D"/>
    <w:rsid w:val="004379C6"/>
    <w:rsid w:val="004404EC"/>
    <w:rsid w:val="00442AD4"/>
    <w:rsid w:val="004444B7"/>
    <w:rsid w:val="00445B35"/>
    <w:rsid w:val="004479B7"/>
    <w:rsid w:val="00451459"/>
    <w:rsid w:val="004516ED"/>
    <w:rsid w:val="004521B8"/>
    <w:rsid w:val="004571E2"/>
    <w:rsid w:val="00460652"/>
    <w:rsid w:val="00460BA8"/>
    <w:rsid w:val="00460E86"/>
    <w:rsid w:val="004619BB"/>
    <w:rsid w:val="00464460"/>
    <w:rsid w:val="004661D5"/>
    <w:rsid w:val="004671D0"/>
    <w:rsid w:val="00474718"/>
    <w:rsid w:val="00474DE4"/>
    <w:rsid w:val="00475F7C"/>
    <w:rsid w:val="004760F8"/>
    <w:rsid w:val="0048013E"/>
    <w:rsid w:val="0048014C"/>
    <w:rsid w:val="004811E8"/>
    <w:rsid w:val="00482B80"/>
    <w:rsid w:val="004849C5"/>
    <w:rsid w:val="00484BF4"/>
    <w:rsid w:val="00486E49"/>
    <w:rsid w:val="0048754E"/>
    <w:rsid w:val="004878CA"/>
    <w:rsid w:val="0049116B"/>
    <w:rsid w:val="00492927"/>
    <w:rsid w:val="0049443F"/>
    <w:rsid w:val="004A034C"/>
    <w:rsid w:val="004A1634"/>
    <w:rsid w:val="004A2AEF"/>
    <w:rsid w:val="004A3E59"/>
    <w:rsid w:val="004A47D4"/>
    <w:rsid w:val="004A49A4"/>
    <w:rsid w:val="004A4CD9"/>
    <w:rsid w:val="004B06CC"/>
    <w:rsid w:val="004B06F0"/>
    <w:rsid w:val="004B17CA"/>
    <w:rsid w:val="004B231F"/>
    <w:rsid w:val="004B264D"/>
    <w:rsid w:val="004B37C0"/>
    <w:rsid w:val="004B3BB2"/>
    <w:rsid w:val="004B3D32"/>
    <w:rsid w:val="004B5627"/>
    <w:rsid w:val="004C1454"/>
    <w:rsid w:val="004C42D1"/>
    <w:rsid w:val="004D1BEF"/>
    <w:rsid w:val="004D29B8"/>
    <w:rsid w:val="004D3937"/>
    <w:rsid w:val="004D4B9B"/>
    <w:rsid w:val="004D6131"/>
    <w:rsid w:val="004E2FA0"/>
    <w:rsid w:val="004E3315"/>
    <w:rsid w:val="004F00BC"/>
    <w:rsid w:val="004F566E"/>
    <w:rsid w:val="004F6865"/>
    <w:rsid w:val="005039C9"/>
    <w:rsid w:val="00504315"/>
    <w:rsid w:val="00504EFC"/>
    <w:rsid w:val="005063DE"/>
    <w:rsid w:val="00506FF0"/>
    <w:rsid w:val="005073C6"/>
    <w:rsid w:val="00507EC4"/>
    <w:rsid w:val="005107A4"/>
    <w:rsid w:val="005114F2"/>
    <w:rsid w:val="005117CC"/>
    <w:rsid w:val="0051246A"/>
    <w:rsid w:val="00512702"/>
    <w:rsid w:val="00512DE8"/>
    <w:rsid w:val="005132E2"/>
    <w:rsid w:val="00514F91"/>
    <w:rsid w:val="00515AE5"/>
    <w:rsid w:val="00515F66"/>
    <w:rsid w:val="00517752"/>
    <w:rsid w:val="00521F8E"/>
    <w:rsid w:val="0052299B"/>
    <w:rsid w:val="00523442"/>
    <w:rsid w:val="00524990"/>
    <w:rsid w:val="00525E3E"/>
    <w:rsid w:val="00527C66"/>
    <w:rsid w:val="005300D6"/>
    <w:rsid w:val="00531FCB"/>
    <w:rsid w:val="005352F5"/>
    <w:rsid w:val="00535FD4"/>
    <w:rsid w:val="0054012A"/>
    <w:rsid w:val="00540572"/>
    <w:rsid w:val="00541242"/>
    <w:rsid w:val="00542129"/>
    <w:rsid w:val="00543C45"/>
    <w:rsid w:val="00543FD3"/>
    <w:rsid w:val="0054466C"/>
    <w:rsid w:val="0054647D"/>
    <w:rsid w:val="005467A0"/>
    <w:rsid w:val="005472C1"/>
    <w:rsid w:val="005474A0"/>
    <w:rsid w:val="005516F3"/>
    <w:rsid w:val="005522D5"/>
    <w:rsid w:val="00554C4D"/>
    <w:rsid w:val="00555A1B"/>
    <w:rsid w:val="0055701C"/>
    <w:rsid w:val="00560220"/>
    <w:rsid w:val="0056172E"/>
    <w:rsid w:val="00564C8E"/>
    <w:rsid w:val="00565748"/>
    <w:rsid w:val="00570274"/>
    <w:rsid w:val="00570B58"/>
    <w:rsid w:val="00570F9B"/>
    <w:rsid w:val="00571128"/>
    <w:rsid w:val="005723CF"/>
    <w:rsid w:val="00573FB1"/>
    <w:rsid w:val="00575F3B"/>
    <w:rsid w:val="00577445"/>
    <w:rsid w:val="0058089B"/>
    <w:rsid w:val="00580BF2"/>
    <w:rsid w:val="00582944"/>
    <w:rsid w:val="00583869"/>
    <w:rsid w:val="0058606F"/>
    <w:rsid w:val="0058695A"/>
    <w:rsid w:val="0058710C"/>
    <w:rsid w:val="00592027"/>
    <w:rsid w:val="0059487B"/>
    <w:rsid w:val="00596868"/>
    <w:rsid w:val="005A36E3"/>
    <w:rsid w:val="005A3C8A"/>
    <w:rsid w:val="005A3F83"/>
    <w:rsid w:val="005A489D"/>
    <w:rsid w:val="005B003B"/>
    <w:rsid w:val="005B0550"/>
    <w:rsid w:val="005B43BF"/>
    <w:rsid w:val="005B52F4"/>
    <w:rsid w:val="005B548D"/>
    <w:rsid w:val="005B5AD3"/>
    <w:rsid w:val="005B5D9A"/>
    <w:rsid w:val="005B64EA"/>
    <w:rsid w:val="005B6807"/>
    <w:rsid w:val="005B69DB"/>
    <w:rsid w:val="005B7452"/>
    <w:rsid w:val="005C0442"/>
    <w:rsid w:val="005C0E87"/>
    <w:rsid w:val="005C28B5"/>
    <w:rsid w:val="005C3227"/>
    <w:rsid w:val="005C51C8"/>
    <w:rsid w:val="005C60A5"/>
    <w:rsid w:val="005C77BF"/>
    <w:rsid w:val="005D07B2"/>
    <w:rsid w:val="005D1AAB"/>
    <w:rsid w:val="005D4A0E"/>
    <w:rsid w:val="005D51C8"/>
    <w:rsid w:val="005D58B2"/>
    <w:rsid w:val="005D59E2"/>
    <w:rsid w:val="005D650F"/>
    <w:rsid w:val="005D67E7"/>
    <w:rsid w:val="005D7052"/>
    <w:rsid w:val="005E5849"/>
    <w:rsid w:val="005E5E7F"/>
    <w:rsid w:val="005E600A"/>
    <w:rsid w:val="005E7F24"/>
    <w:rsid w:val="005F2719"/>
    <w:rsid w:val="005F2F3D"/>
    <w:rsid w:val="005F4536"/>
    <w:rsid w:val="005F5E52"/>
    <w:rsid w:val="005F5F9C"/>
    <w:rsid w:val="005F6A22"/>
    <w:rsid w:val="005F7110"/>
    <w:rsid w:val="0060028C"/>
    <w:rsid w:val="0060108F"/>
    <w:rsid w:val="006032DC"/>
    <w:rsid w:val="00603BC5"/>
    <w:rsid w:val="00603BF0"/>
    <w:rsid w:val="00604416"/>
    <w:rsid w:val="00604EF2"/>
    <w:rsid w:val="00605791"/>
    <w:rsid w:val="0060668C"/>
    <w:rsid w:val="00606CF2"/>
    <w:rsid w:val="00607A71"/>
    <w:rsid w:val="00611827"/>
    <w:rsid w:val="00612BA5"/>
    <w:rsid w:val="006138A7"/>
    <w:rsid w:val="006138E4"/>
    <w:rsid w:val="00613E6B"/>
    <w:rsid w:val="00617B8E"/>
    <w:rsid w:val="00617ECA"/>
    <w:rsid w:val="00621D05"/>
    <w:rsid w:val="00624DF2"/>
    <w:rsid w:val="00625479"/>
    <w:rsid w:val="006262A1"/>
    <w:rsid w:val="00626E80"/>
    <w:rsid w:val="00627996"/>
    <w:rsid w:val="00627C0B"/>
    <w:rsid w:val="0063048E"/>
    <w:rsid w:val="00631254"/>
    <w:rsid w:val="00631371"/>
    <w:rsid w:val="00633ACE"/>
    <w:rsid w:val="00633BBF"/>
    <w:rsid w:val="006361B8"/>
    <w:rsid w:val="00637851"/>
    <w:rsid w:val="00640917"/>
    <w:rsid w:val="00640C28"/>
    <w:rsid w:val="00642710"/>
    <w:rsid w:val="006469CC"/>
    <w:rsid w:val="00647174"/>
    <w:rsid w:val="006474D5"/>
    <w:rsid w:val="00650E63"/>
    <w:rsid w:val="006552E8"/>
    <w:rsid w:val="006568C2"/>
    <w:rsid w:val="00656B01"/>
    <w:rsid w:val="00657A4D"/>
    <w:rsid w:val="006613BC"/>
    <w:rsid w:val="00661BFE"/>
    <w:rsid w:val="00662190"/>
    <w:rsid w:val="00662796"/>
    <w:rsid w:val="006757A9"/>
    <w:rsid w:val="006760CB"/>
    <w:rsid w:val="006825A8"/>
    <w:rsid w:val="00682BAA"/>
    <w:rsid w:val="00682BC5"/>
    <w:rsid w:val="00684A1B"/>
    <w:rsid w:val="00684C5B"/>
    <w:rsid w:val="00685865"/>
    <w:rsid w:val="00685FBE"/>
    <w:rsid w:val="006867FD"/>
    <w:rsid w:val="00686BF3"/>
    <w:rsid w:val="006906D3"/>
    <w:rsid w:val="006A0527"/>
    <w:rsid w:val="006A21D1"/>
    <w:rsid w:val="006A400D"/>
    <w:rsid w:val="006A44F1"/>
    <w:rsid w:val="006A5671"/>
    <w:rsid w:val="006B0CA0"/>
    <w:rsid w:val="006B1285"/>
    <w:rsid w:val="006B2808"/>
    <w:rsid w:val="006B3A2F"/>
    <w:rsid w:val="006B520D"/>
    <w:rsid w:val="006C1ED7"/>
    <w:rsid w:val="006C3F77"/>
    <w:rsid w:val="006C6AC0"/>
    <w:rsid w:val="006D0503"/>
    <w:rsid w:val="006D1068"/>
    <w:rsid w:val="006D1560"/>
    <w:rsid w:val="006D1C08"/>
    <w:rsid w:val="006D41AF"/>
    <w:rsid w:val="006D4D8A"/>
    <w:rsid w:val="006D6196"/>
    <w:rsid w:val="006D7DED"/>
    <w:rsid w:val="006E438F"/>
    <w:rsid w:val="006E51E2"/>
    <w:rsid w:val="006E5F4D"/>
    <w:rsid w:val="006E645F"/>
    <w:rsid w:val="006E65FD"/>
    <w:rsid w:val="006E6DFF"/>
    <w:rsid w:val="006F4E28"/>
    <w:rsid w:val="006F5D16"/>
    <w:rsid w:val="0070191D"/>
    <w:rsid w:val="0070277B"/>
    <w:rsid w:val="007030C7"/>
    <w:rsid w:val="007037F4"/>
    <w:rsid w:val="00703DE2"/>
    <w:rsid w:val="0070408F"/>
    <w:rsid w:val="00704289"/>
    <w:rsid w:val="00706BE4"/>
    <w:rsid w:val="007102B3"/>
    <w:rsid w:val="007103FF"/>
    <w:rsid w:val="00710EA7"/>
    <w:rsid w:val="00712840"/>
    <w:rsid w:val="00712D1D"/>
    <w:rsid w:val="00713311"/>
    <w:rsid w:val="00715DED"/>
    <w:rsid w:val="007202F1"/>
    <w:rsid w:val="00720D25"/>
    <w:rsid w:val="00722B4C"/>
    <w:rsid w:val="00722E42"/>
    <w:rsid w:val="00723200"/>
    <w:rsid w:val="007242D1"/>
    <w:rsid w:val="00725474"/>
    <w:rsid w:val="00730049"/>
    <w:rsid w:val="00731178"/>
    <w:rsid w:val="00731CAB"/>
    <w:rsid w:val="00733D11"/>
    <w:rsid w:val="007350B4"/>
    <w:rsid w:val="00736E51"/>
    <w:rsid w:val="007402D2"/>
    <w:rsid w:val="00740E05"/>
    <w:rsid w:val="00743DDD"/>
    <w:rsid w:val="007442E3"/>
    <w:rsid w:val="00745E6D"/>
    <w:rsid w:val="007466A5"/>
    <w:rsid w:val="00746C4A"/>
    <w:rsid w:val="00747409"/>
    <w:rsid w:val="00747548"/>
    <w:rsid w:val="007506AC"/>
    <w:rsid w:val="00752598"/>
    <w:rsid w:val="00753207"/>
    <w:rsid w:val="00753E95"/>
    <w:rsid w:val="00760411"/>
    <w:rsid w:val="00761556"/>
    <w:rsid w:val="00765492"/>
    <w:rsid w:val="0076566A"/>
    <w:rsid w:val="00766E95"/>
    <w:rsid w:val="00774219"/>
    <w:rsid w:val="00775723"/>
    <w:rsid w:val="00775BBE"/>
    <w:rsid w:val="00776474"/>
    <w:rsid w:val="00777624"/>
    <w:rsid w:val="00780E18"/>
    <w:rsid w:val="0078172D"/>
    <w:rsid w:val="00781EFF"/>
    <w:rsid w:val="00784906"/>
    <w:rsid w:val="00785B2D"/>
    <w:rsid w:val="00786207"/>
    <w:rsid w:val="007868DF"/>
    <w:rsid w:val="00787D9C"/>
    <w:rsid w:val="00791450"/>
    <w:rsid w:val="007929FC"/>
    <w:rsid w:val="00794DB6"/>
    <w:rsid w:val="00797E4D"/>
    <w:rsid w:val="007A4967"/>
    <w:rsid w:val="007A53C1"/>
    <w:rsid w:val="007A7979"/>
    <w:rsid w:val="007B0B01"/>
    <w:rsid w:val="007B0ECA"/>
    <w:rsid w:val="007B174A"/>
    <w:rsid w:val="007B1B95"/>
    <w:rsid w:val="007B404C"/>
    <w:rsid w:val="007C1E79"/>
    <w:rsid w:val="007C52B3"/>
    <w:rsid w:val="007C6B20"/>
    <w:rsid w:val="007C7671"/>
    <w:rsid w:val="007D0554"/>
    <w:rsid w:val="007D0816"/>
    <w:rsid w:val="007D191E"/>
    <w:rsid w:val="007D1961"/>
    <w:rsid w:val="007D1A54"/>
    <w:rsid w:val="007D2DBB"/>
    <w:rsid w:val="007D32B1"/>
    <w:rsid w:val="007D3E7B"/>
    <w:rsid w:val="007D52F8"/>
    <w:rsid w:val="007D57F7"/>
    <w:rsid w:val="007D5F87"/>
    <w:rsid w:val="007D6927"/>
    <w:rsid w:val="007D7E86"/>
    <w:rsid w:val="007E08A2"/>
    <w:rsid w:val="007E2861"/>
    <w:rsid w:val="007E2D73"/>
    <w:rsid w:val="007E32CD"/>
    <w:rsid w:val="007E53E1"/>
    <w:rsid w:val="007E6720"/>
    <w:rsid w:val="007E67BF"/>
    <w:rsid w:val="007E7D66"/>
    <w:rsid w:val="007F2F0F"/>
    <w:rsid w:val="007F550C"/>
    <w:rsid w:val="007F6190"/>
    <w:rsid w:val="007F6303"/>
    <w:rsid w:val="007F7874"/>
    <w:rsid w:val="00800032"/>
    <w:rsid w:val="00800383"/>
    <w:rsid w:val="00800465"/>
    <w:rsid w:val="008017F2"/>
    <w:rsid w:val="008018B5"/>
    <w:rsid w:val="00801D69"/>
    <w:rsid w:val="00802A94"/>
    <w:rsid w:val="00803999"/>
    <w:rsid w:val="00805867"/>
    <w:rsid w:val="00807BFF"/>
    <w:rsid w:val="00813180"/>
    <w:rsid w:val="008156AC"/>
    <w:rsid w:val="008158AC"/>
    <w:rsid w:val="0081645F"/>
    <w:rsid w:val="008169EF"/>
    <w:rsid w:val="00816F93"/>
    <w:rsid w:val="0082090C"/>
    <w:rsid w:val="008211B5"/>
    <w:rsid w:val="00821DE1"/>
    <w:rsid w:val="00822A17"/>
    <w:rsid w:val="00822B6C"/>
    <w:rsid w:val="008257C6"/>
    <w:rsid w:val="008275EE"/>
    <w:rsid w:val="008320A3"/>
    <w:rsid w:val="00832FD7"/>
    <w:rsid w:val="00833CEC"/>
    <w:rsid w:val="0083420B"/>
    <w:rsid w:val="008344D1"/>
    <w:rsid w:val="00834E6A"/>
    <w:rsid w:val="00836D05"/>
    <w:rsid w:val="00842441"/>
    <w:rsid w:val="008429C5"/>
    <w:rsid w:val="0084370A"/>
    <w:rsid w:val="00844BEE"/>
    <w:rsid w:val="00846965"/>
    <w:rsid w:val="00847D82"/>
    <w:rsid w:val="00850188"/>
    <w:rsid w:val="00850EFB"/>
    <w:rsid w:val="00851AE0"/>
    <w:rsid w:val="00851B71"/>
    <w:rsid w:val="00853BDB"/>
    <w:rsid w:val="00853EB5"/>
    <w:rsid w:val="00854825"/>
    <w:rsid w:val="00854C0D"/>
    <w:rsid w:val="00854FDF"/>
    <w:rsid w:val="00856FD6"/>
    <w:rsid w:val="00860109"/>
    <w:rsid w:val="00860B5B"/>
    <w:rsid w:val="00862CF5"/>
    <w:rsid w:val="00862E9E"/>
    <w:rsid w:val="008634E5"/>
    <w:rsid w:val="00866A85"/>
    <w:rsid w:val="00870E6D"/>
    <w:rsid w:val="008759D0"/>
    <w:rsid w:val="00881FF0"/>
    <w:rsid w:val="0088590B"/>
    <w:rsid w:val="008908C3"/>
    <w:rsid w:val="00890E98"/>
    <w:rsid w:val="008929D0"/>
    <w:rsid w:val="00893479"/>
    <w:rsid w:val="00893E97"/>
    <w:rsid w:val="008944A3"/>
    <w:rsid w:val="00896697"/>
    <w:rsid w:val="008A4E5F"/>
    <w:rsid w:val="008A5AE5"/>
    <w:rsid w:val="008A602F"/>
    <w:rsid w:val="008A6095"/>
    <w:rsid w:val="008A68C3"/>
    <w:rsid w:val="008B14C4"/>
    <w:rsid w:val="008B2491"/>
    <w:rsid w:val="008B4637"/>
    <w:rsid w:val="008B5AA2"/>
    <w:rsid w:val="008C002C"/>
    <w:rsid w:val="008C3631"/>
    <w:rsid w:val="008C3CEA"/>
    <w:rsid w:val="008C67CA"/>
    <w:rsid w:val="008D00E8"/>
    <w:rsid w:val="008D0498"/>
    <w:rsid w:val="008D0E3B"/>
    <w:rsid w:val="008D128E"/>
    <w:rsid w:val="008D1D16"/>
    <w:rsid w:val="008D25B6"/>
    <w:rsid w:val="008D2782"/>
    <w:rsid w:val="008E016D"/>
    <w:rsid w:val="008E09CA"/>
    <w:rsid w:val="008E4A3B"/>
    <w:rsid w:val="008E4D07"/>
    <w:rsid w:val="008E7F86"/>
    <w:rsid w:val="008F238F"/>
    <w:rsid w:val="008F36B9"/>
    <w:rsid w:val="008F5EA5"/>
    <w:rsid w:val="008F6EB6"/>
    <w:rsid w:val="00900F7E"/>
    <w:rsid w:val="00901510"/>
    <w:rsid w:val="00901A26"/>
    <w:rsid w:val="00903128"/>
    <w:rsid w:val="00903A21"/>
    <w:rsid w:val="00906E18"/>
    <w:rsid w:val="009103AC"/>
    <w:rsid w:val="009143FB"/>
    <w:rsid w:val="00915C8B"/>
    <w:rsid w:val="0091656F"/>
    <w:rsid w:val="00920455"/>
    <w:rsid w:val="00922EA2"/>
    <w:rsid w:val="00923554"/>
    <w:rsid w:val="00923713"/>
    <w:rsid w:val="0093152C"/>
    <w:rsid w:val="00935459"/>
    <w:rsid w:val="0094121A"/>
    <w:rsid w:val="009413B8"/>
    <w:rsid w:val="009430AC"/>
    <w:rsid w:val="0094470E"/>
    <w:rsid w:val="009451CB"/>
    <w:rsid w:val="00945CFF"/>
    <w:rsid w:val="009471D1"/>
    <w:rsid w:val="0094760B"/>
    <w:rsid w:val="00951A7D"/>
    <w:rsid w:val="0095227F"/>
    <w:rsid w:val="009531E4"/>
    <w:rsid w:val="00955AF7"/>
    <w:rsid w:val="00956137"/>
    <w:rsid w:val="0096018A"/>
    <w:rsid w:val="00961209"/>
    <w:rsid w:val="00961CA2"/>
    <w:rsid w:val="00961E2A"/>
    <w:rsid w:val="00962024"/>
    <w:rsid w:val="0096237A"/>
    <w:rsid w:val="00965575"/>
    <w:rsid w:val="009671EF"/>
    <w:rsid w:val="00972512"/>
    <w:rsid w:val="0097268A"/>
    <w:rsid w:val="0097373B"/>
    <w:rsid w:val="00976AF8"/>
    <w:rsid w:val="00977E50"/>
    <w:rsid w:val="009808DB"/>
    <w:rsid w:val="00980BB2"/>
    <w:rsid w:val="00981803"/>
    <w:rsid w:val="009823D3"/>
    <w:rsid w:val="00983976"/>
    <w:rsid w:val="0098428C"/>
    <w:rsid w:val="00986F88"/>
    <w:rsid w:val="00987A3A"/>
    <w:rsid w:val="00992FA8"/>
    <w:rsid w:val="00995FE6"/>
    <w:rsid w:val="009A05A7"/>
    <w:rsid w:val="009A188F"/>
    <w:rsid w:val="009A29DA"/>
    <w:rsid w:val="009A5B10"/>
    <w:rsid w:val="009A70D8"/>
    <w:rsid w:val="009A7C0B"/>
    <w:rsid w:val="009B18E1"/>
    <w:rsid w:val="009B309E"/>
    <w:rsid w:val="009B30D9"/>
    <w:rsid w:val="009B3D69"/>
    <w:rsid w:val="009B6097"/>
    <w:rsid w:val="009B66AA"/>
    <w:rsid w:val="009C2AEA"/>
    <w:rsid w:val="009C4EAC"/>
    <w:rsid w:val="009C6DD3"/>
    <w:rsid w:val="009C7626"/>
    <w:rsid w:val="009D1541"/>
    <w:rsid w:val="009D1CD1"/>
    <w:rsid w:val="009D20F2"/>
    <w:rsid w:val="009D4EDA"/>
    <w:rsid w:val="009D7365"/>
    <w:rsid w:val="009E0B1E"/>
    <w:rsid w:val="009E2403"/>
    <w:rsid w:val="009E3615"/>
    <w:rsid w:val="009E3ABB"/>
    <w:rsid w:val="009E3AD0"/>
    <w:rsid w:val="009E3D62"/>
    <w:rsid w:val="009F1526"/>
    <w:rsid w:val="009F24E4"/>
    <w:rsid w:val="009F55D4"/>
    <w:rsid w:val="009F7B8D"/>
    <w:rsid w:val="00A0370A"/>
    <w:rsid w:val="00A040D4"/>
    <w:rsid w:val="00A046E3"/>
    <w:rsid w:val="00A04F48"/>
    <w:rsid w:val="00A05511"/>
    <w:rsid w:val="00A15D25"/>
    <w:rsid w:val="00A15FD8"/>
    <w:rsid w:val="00A20C58"/>
    <w:rsid w:val="00A220EF"/>
    <w:rsid w:val="00A247CD"/>
    <w:rsid w:val="00A265DF"/>
    <w:rsid w:val="00A3206B"/>
    <w:rsid w:val="00A3220B"/>
    <w:rsid w:val="00A33486"/>
    <w:rsid w:val="00A33736"/>
    <w:rsid w:val="00A3493F"/>
    <w:rsid w:val="00A35354"/>
    <w:rsid w:val="00A364BC"/>
    <w:rsid w:val="00A40D24"/>
    <w:rsid w:val="00A41DC2"/>
    <w:rsid w:val="00A42783"/>
    <w:rsid w:val="00A427FE"/>
    <w:rsid w:val="00A42967"/>
    <w:rsid w:val="00A434EF"/>
    <w:rsid w:val="00A435EB"/>
    <w:rsid w:val="00A44FB5"/>
    <w:rsid w:val="00A45F3B"/>
    <w:rsid w:val="00A52F00"/>
    <w:rsid w:val="00A55140"/>
    <w:rsid w:val="00A55530"/>
    <w:rsid w:val="00A55E30"/>
    <w:rsid w:val="00A56A87"/>
    <w:rsid w:val="00A57F33"/>
    <w:rsid w:val="00A629AC"/>
    <w:rsid w:val="00A66647"/>
    <w:rsid w:val="00A66E81"/>
    <w:rsid w:val="00A673EB"/>
    <w:rsid w:val="00A67B86"/>
    <w:rsid w:val="00A70225"/>
    <w:rsid w:val="00A70400"/>
    <w:rsid w:val="00A72496"/>
    <w:rsid w:val="00A72603"/>
    <w:rsid w:val="00A73A2F"/>
    <w:rsid w:val="00A743E1"/>
    <w:rsid w:val="00A76C79"/>
    <w:rsid w:val="00A80293"/>
    <w:rsid w:val="00A810CD"/>
    <w:rsid w:val="00A8111F"/>
    <w:rsid w:val="00A81A7B"/>
    <w:rsid w:val="00A825E5"/>
    <w:rsid w:val="00A82F52"/>
    <w:rsid w:val="00A83001"/>
    <w:rsid w:val="00A83FE8"/>
    <w:rsid w:val="00A84F00"/>
    <w:rsid w:val="00A91296"/>
    <w:rsid w:val="00A920E5"/>
    <w:rsid w:val="00A92202"/>
    <w:rsid w:val="00A93FC1"/>
    <w:rsid w:val="00A969F6"/>
    <w:rsid w:val="00A97B24"/>
    <w:rsid w:val="00AA0188"/>
    <w:rsid w:val="00AA28B4"/>
    <w:rsid w:val="00AA6218"/>
    <w:rsid w:val="00AA6A5E"/>
    <w:rsid w:val="00AB3147"/>
    <w:rsid w:val="00AB4A86"/>
    <w:rsid w:val="00AC2B2D"/>
    <w:rsid w:val="00AC3AA5"/>
    <w:rsid w:val="00AC4DF8"/>
    <w:rsid w:val="00AC4EFE"/>
    <w:rsid w:val="00AC605B"/>
    <w:rsid w:val="00AD12F4"/>
    <w:rsid w:val="00AD168B"/>
    <w:rsid w:val="00AD1949"/>
    <w:rsid w:val="00AE0609"/>
    <w:rsid w:val="00AE0E61"/>
    <w:rsid w:val="00AE10CB"/>
    <w:rsid w:val="00AE23BF"/>
    <w:rsid w:val="00AE52B2"/>
    <w:rsid w:val="00AE63D5"/>
    <w:rsid w:val="00AE7619"/>
    <w:rsid w:val="00AF361F"/>
    <w:rsid w:val="00AF543F"/>
    <w:rsid w:val="00AF6BAB"/>
    <w:rsid w:val="00B00638"/>
    <w:rsid w:val="00B024FE"/>
    <w:rsid w:val="00B0398F"/>
    <w:rsid w:val="00B04F55"/>
    <w:rsid w:val="00B05B5F"/>
    <w:rsid w:val="00B06115"/>
    <w:rsid w:val="00B0751C"/>
    <w:rsid w:val="00B12DE7"/>
    <w:rsid w:val="00B12E5F"/>
    <w:rsid w:val="00B14265"/>
    <w:rsid w:val="00B142A8"/>
    <w:rsid w:val="00B14DFD"/>
    <w:rsid w:val="00B165C0"/>
    <w:rsid w:val="00B177C9"/>
    <w:rsid w:val="00B20C44"/>
    <w:rsid w:val="00B21FD1"/>
    <w:rsid w:val="00B235C2"/>
    <w:rsid w:val="00B26413"/>
    <w:rsid w:val="00B268B2"/>
    <w:rsid w:val="00B3042A"/>
    <w:rsid w:val="00B304FD"/>
    <w:rsid w:val="00B3179F"/>
    <w:rsid w:val="00B319D0"/>
    <w:rsid w:val="00B35542"/>
    <w:rsid w:val="00B414A6"/>
    <w:rsid w:val="00B41C9C"/>
    <w:rsid w:val="00B42965"/>
    <w:rsid w:val="00B45933"/>
    <w:rsid w:val="00B45F8C"/>
    <w:rsid w:val="00B4677F"/>
    <w:rsid w:val="00B47D6F"/>
    <w:rsid w:val="00B51AAC"/>
    <w:rsid w:val="00B52D72"/>
    <w:rsid w:val="00B53805"/>
    <w:rsid w:val="00B572B0"/>
    <w:rsid w:val="00B647FD"/>
    <w:rsid w:val="00B66083"/>
    <w:rsid w:val="00B7008F"/>
    <w:rsid w:val="00B70663"/>
    <w:rsid w:val="00B75210"/>
    <w:rsid w:val="00B76175"/>
    <w:rsid w:val="00B77480"/>
    <w:rsid w:val="00B804DA"/>
    <w:rsid w:val="00B85A4C"/>
    <w:rsid w:val="00B85D0F"/>
    <w:rsid w:val="00B8667B"/>
    <w:rsid w:val="00B907A6"/>
    <w:rsid w:val="00B91449"/>
    <w:rsid w:val="00B925C6"/>
    <w:rsid w:val="00B936F6"/>
    <w:rsid w:val="00B94373"/>
    <w:rsid w:val="00B94668"/>
    <w:rsid w:val="00B950C0"/>
    <w:rsid w:val="00B95901"/>
    <w:rsid w:val="00B96862"/>
    <w:rsid w:val="00B969D5"/>
    <w:rsid w:val="00BA0C4A"/>
    <w:rsid w:val="00BA11F5"/>
    <w:rsid w:val="00BA1275"/>
    <w:rsid w:val="00BA2CFE"/>
    <w:rsid w:val="00BA3130"/>
    <w:rsid w:val="00BA7E86"/>
    <w:rsid w:val="00BB186F"/>
    <w:rsid w:val="00BB454B"/>
    <w:rsid w:val="00BB57CE"/>
    <w:rsid w:val="00BB59CE"/>
    <w:rsid w:val="00BB6C62"/>
    <w:rsid w:val="00BB6FC8"/>
    <w:rsid w:val="00BC0846"/>
    <w:rsid w:val="00BC0F96"/>
    <w:rsid w:val="00BC1C66"/>
    <w:rsid w:val="00BC221B"/>
    <w:rsid w:val="00BC451A"/>
    <w:rsid w:val="00BC6A40"/>
    <w:rsid w:val="00BC6FD6"/>
    <w:rsid w:val="00BC71EB"/>
    <w:rsid w:val="00BD06AD"/>
    <w:rsid w:val="00BD07E8"/>
    <w:rsid w:val="00BD14DB"/>
    <w:rsid w:val="00BD2466"/>
    <w:rsid w:val="00BD3813"/>
    <w:rsid w:val="00BE3197"/>
    <w:rsid w:val="00BE3D82"/>
    <w:rsid w:val="00BE509D"/>
    <w:rsid w:val="00BF0E87"/>
    <w:rsid w:val="00BF295D"/>
    <w:rsid w:val="00BF4F6F"/>
    <w:rsid w:val="00BF5792"/>
    <w:rsid w:val="00BF6A36"/>
    <w:rsid w:val="00BF7EAB"/>
    <w:rsid w:val="00C00D41"/>
    <w:rsid w:val="00C011CA"/>
    <w:rsid w:val="00C0291D"/>
    <w:rsid w:val="00C039F5"/>
    <w:rsid w:val="00C049C9"/>
    <w:rsid w:val="00C07A56"/>
    <w:rsid w:val="00C1088D"/>
    <w:rsid w:val="00C13200"/>
    <w:rsid w:val="00C13686"/>
    <w:rsid w:val="00C1446B"/>
    <w:rsid w:val="00C14E21"/>
    <w:rsid w:val="00C15AD7"/>
    <w:rsid w:val="00C21C37"/>
    <w:rsid w:val="00C32017"/>
    <w:rsid w:val="00C320D4"/>
    <w:rsid w:val="00C32255"/>
    <w:rsid w:val="00C3257C"/>
    <w:rsid w:val="00C33980"/>
    <w:rsid w:val="00C33C4F"/>
    <w:rsid w:val="00C34C45"/>
    <w:rsid w:val="00C35234"/>
    <w:rsid w:val="00C3543E"/>
    <w:rsid w:val="00C35547"/>
    <w:rsid w:val="00C37EE6"/>
    <w:rsid w:val="00C40447"/>
    <w:rsid w:val="00C406E5"/>
    <w:rsid w:val="00C40751"/>
    <w:rsid w:val="00C40AA3"/>
    <w:rsid w:val="00C40CB3"/>
    <w:rsid w:val="00C44C32"/>
    <w:rsid w:val="00C44F54"/>
    <w:rsid w:val="00C46410"/>
    <w:rsid w:val="00C47BCA"/>
    <w:rsid w:val="00C47FFC"/>
    <w:rsid w:val="00C50A36"/>
    <w:rsid w:val="00C52C1F"/>
    <w:rsid w:val="00C53B7B"/>
    <w:rsid w:val="00C562F5"/>
    <w:rsid w:val="00C5647C"/>
    <w:rsid w:val="00C57C3B"/>
    <w:rsid w:val="00C61803"/>
    <w:rsid w:val="00C6204F"/>
    <w:rsid w:val="00C64858"/>
    <w:rsid w:val="00C66A1A"/>
    <w:rsid w:val="00C672BC"/>
    <w:rsid w:val="00C67BBA"/>
    <w:rsid w:val="00C70146"/>
    <w:rsid w:val="00C74DF5"/>
    <w:rsid w:val="00C813A6"/>
    <w:rsid w:val="00C822A4"/>
    <w:rsid w:val="00C83B9B"/>
    <w:rsid w:val="00C83C74"/>
    <w:rsid w:val="00C86384"/>
    <w:rsid w:val="00C87509"/>
    <w:rsid w:val="00C878B0"/>
    <w:rsid w:val="00C91A7C"/>
    <w:rsid w:val="00C9657D"/>
    <w:rsid w:val="00CA0D07"/>
    <w:rsid w:val="00CA1878"/>
    <w:rsid w:val="00CA215F"/>
    <w:rsid w:val="00CA239D"/>
    <w:rsid w:val="00CA3485"/>
    <w:rsid w:val="00CA497D"/>
    <w:rsid w:val="00CB020A"/>
    <w:rsid w:val="00CB12E9"/>
    <w:rsid w:val="00CB2871"/>
    <w:rsid w:val="00CB2E92"/>
    <w:rsid w:val="00CB3BA0"/>
    <w:rsid w:val="00CB3DC6"/>
    <w:rsid w:val="00CB435E"/>
    <w:rsid w:val="00CB5002"/>
    <w:rsid w:val="00CB5B8C"/>
    <w:rsid w:val="00CB5CDA"/>
    <w:rsid w:val="00CB6711"/>
    <w:rsid w:val="00CB675F"/>
    <w:rsid w:val="00CC054E"/>
    <w:rsid w:val="00CC0775"/>
    <w:rsid w:val="00CC34D4"/>
    <w:rsid w:val="00CC3776"/>
    <w:rsid w:val="00CC5DDC"/>
    <w:rsid w:val="00CD1629"/>
    <w:rsid w:val="00CD4FA5"/>
    <w:rsid w:val="00CD5822"/>
    <w:rsid w:val="00CD7CBE"/>
    <w:rsid w:val="00CE05AD"/>
    <w:rsid w:val="00CE2AEB"/>
    <w:rsid w:val="00CE3A3D"/>
    <w:rsid w:val="00CE3E37"/>
    <w:rsid w:val="00CE3FFF"/>
    <w:rsid w:val="00CE532B"/>
    <w:rsid w:val="00CE7678"/>
    <w:rsid w:val="00CE7F16"/>
    <w:rsid w:val="00CF081A"/>
    <w:rsid w:val="00CF3A4F"/>
    <w:rsid w:val="00CF684B"/>
    <w:rsid w:val="00D008C3"/>
    <w:rsid w:val="00D01CB0"/>
    <w:rsid w:val="00D035FD"/>
    <w:rsid w:val="00D071F3"/>
    <w:rsid w:val="00D07AC3"/>
    <w:rsid w:val="00D1119E"/>
    <w:rsid w:val="00D13DE2"/>
    <w:rsid w:val="00D13F7F"/>
    <w:rsid w:val="00D14754"/>
    <w:rsid w:val="00D16B20"/>
    <w:rsid w:val="00D17CB5"/>
    <w:rsid w:val="00D202CE"/>
    <w:rsid w:val="00D21F50"/>
    <w:rsid w:val="00D25D42"/>
    <w:rsid w:val="00D26799"/>
    <w:rsid w:val="00D300A2"/>
    <w:rsid w:val="00D30F52"/>
    <w:rsid w:val="00D330B3"/>
    <w:rsid w:val="00D335F0"/>
    <w:rsid w:val="00D34049"/>
    <w:rsid w:val="00D342EB"/>
    <w:rsid w:val="00D35C24"/>
    <w:rsid w:val="00D36795"/>
    <w:rsid w:val="00D37860"/>
    <w:rsid w:val="00D37C18"/>
    <w:rsid w:val="00D426F8"/>
    <w:rsid w:val="00D4382C"/>
    <w:rsid w:val="00D447B2"/>
    <w:rsid w:val="00D44977"/>
    <w:rsid w:val="00D44DEA"/>
    <w:rsid w:val="00D456F1"/>
    <w:rsid w:val="00D4591E"/>
    <w:rsid w:val="00D52BF2"/>
    <w:rsid w:val="00D548E2"/>
    <w:rsid w:val="00D54B98"/>
    <w:rsid w:val="00D5606C"/>
    <w:rsid w:val="00D569FC"/>
    <w:rsid w:val="00D575BF"/>
    <w:rsid w:val="00D62B18"/>
    <w:rsid w:val="00D62BC3"/>
    <w:rsid w:val="00D62E3F"/>
    <w:rsid w:val="00D631C4"/>
    <w:rsid w:val="00D65393"/>
    <w:rsid w:val="00D656CC"/>
    <w:rsid w:val="00D70C84"/>
    <w:rsid w:val="00D71B84"/>
    <w:rsid w:val="00D72E28"/>
    <w:rsid w:val="00D74443"/>
    <w:rsid w:val="00D763EF"/>
    <w:rsid w:val="00D808DA"/>
    <w:rsid w:val="00D80A79"/>
    <w:rsid w:val="00D80B64"/>
    <w:rsid w:val="00D831F7"/>
    <w:rsid w:val="00D852BA"/>
    <w:rsid w:val="00D92A32"/>
    <w:rsid w:val="00D932DB"/>
    <w:rsid w:val="00DA141C"/>
    <w:rsid w:val="00DA14DF"/>
    <w:rsid w:val="00DA2AA1"/>
    <w:rsid w:val="00DA5511"/>
    <w:rsid w:val="00DA6249"/>
    <w:rsid w:val="00DA6BA2"/>
    <w:rsid w:val="00DA6E85"/>
    <w:rsid w:val="00DA7965"/>
    <w:rsid w:val="00DB2BA3"/>
    <w:rsid w:val="00DB317D"/>
    <w:rsid w:val="00DB32A9"/>
    <w:rsid w:val="00DB46BA"/>
    <w:rsid w:val="00DB59B1"/>
    <w:rsid w:val="00DB626B"/>
    <w:rsid w:val="00DB62BE"/>
    <w:rsid w:val="00DB6EF1"/>
    <w:rsid w:val="00DB7E90"/>
    <w:rsid w:val="00DC0D48"/>
    <w:rsid w:val="00DC3F5A"/>
    <w:rsid w:val="00DC410E"/>
    <w:rsid w:val="00DC5399"/>
    <w:rsid w:val="00DC6773"/>
    <w:rsid w:val="00DC73ED"/>
    <w:rsid w:val="00DD029B"/>
    <w:rsid w:val="00DD17DD"/>
    <w:rsid w:val="00DD3A09"/>
    <w:rsid w:val="00DD464C"/>
    <w:rsid w:val="00DD4AD5"/>
    <w:rsid w:val="00DD5873"/>
    <w:rsid w:val="00DE08BE"/>
    <w:rsid w:val="00DE43EB"/>
    <w:rsid w:val="00DE4563"/>
    <w:rsid w:val="00DE4DCD"/>
    <w:rsid w:val="00DE6A9B"/>
    <w:rsid w:val="00DE7AA1"/>
    <w:rsid w:val="00DE7DBA"/>
    <w:rsid w:val="00DF0101"/>
    <w:rsid w:val="00DF3630"/>
    <w:rsid w:val="00E00882"/>
    <w:rsid w:val="00E02648"/>
    <w:rsid w:val="00E0591C"/>
    <w:rsid w:val="00E064BE"/>
    <w:rsid w:val="00E06A12"/>
    <w:rsid w:val="00E07FA9"/>
    <w:rsid w:val="00E108DB"/>
    <w:rsid w:val="00E1250A"/>
    <w:rsid w:val="00E1267D"/>
    <w:rsid w:val="00E13361"/>
    <w:rsid w:val="00E15115"/>
    <w:rsid w:val="00E157F5"/>
    <w:rsid w:val="00E1765C"/>
    <w:rsid w:val="00E22266"/>
    <w:rsid w:val="00E2277B"/>
    <w:rsid w:val="00E2389C"/>
    <w:rsid w:val="00E266EA"/>
    <w:rsid w:val="00E32833"/>
    <w:rsid w:val="00E32F27"/>
    <w:rsid w:val="00E33030"/>
    <w:rsid w:val="00E33BDF"/>
    <w:rsid w:val="00E34D58"/>
    <w:rsid w:val="00E36D58"/>
    <w:rsid w:val="00E454F8"/>
    <w:rsid w:val="00E45F28"/>
    <w:rsid w:val="00E51FE7"/>
    <w:rsid w:val="00E53131"/>
    <w:rsid w:val="00E5533D"/>
    <w:rsid w:val="00E567C6"/>
    <w:rsid w:val="00E600DC"/>
    <w:rsid w:val="00E61D36"/>
    <w:rsid w:val="00E635EC"/>
    <w:rsid w:val="00E64F1D"/>
    <w:rsid w:val="00E66000"/>
    <w:rsid w:val="00E67FF6"/>
    <w:rsid w:val="00E72232"/>
    <w:rsid w:val="00E773B9"/>
    <w:rsid w:val="00E83DF0"/>
    <w:rsid w:val="00E90EF9"/>
    <w:rsid w:val="00E9115C"/>
    <w:rsid w:val="00E912AF"/>
    <w:rsid w:val="00E93F84"/>
    <w:rsid w:val="00E943AE"/>
    <w:rsid w:val="00E94B56"/>
    <w:rsid w:val="00E961FB"/>
    <w:rsid w:val="00EA1048"/>
    <w:rsid w:val="00EA32FC"/>
    <w:rsid w:val="00EA5F4F"/>
    <w:rsid w:val="00EB1C10"/>
    <w:rsid w:val="00EB51D0"/>
    <w:rsid w:val="00EB5A54"/>
    <w:rsid w:val="00EB5C57"/>
    <w:rsid w:val="00EB5F44"/>
    <w:rsid w:val="00EB6E3B"/>
    <w:rsid w:val="00EC4A44"/>
    <w:rsid w:val="00EC51D6"/>
    <w:rsid w:val="00EC58C8"/>
    <w:rsid w:val="00EC638E"/>
    <w:rsid w:val="00ED0231"/>
    <w:rsid w:val="00ED38BE"/>
    <w:rsid w:val="00ED6C78"/>
    <w:rsid w:val="00ED7333"/>
    <w:rsid w:val="00EE04A8"/>
    <w:rsid w:val="00EE3472"/>
    <w:rsid w:val="00EE7D92"/>
    <w:rsid w:val="00EF1910"/>
    <w:rsid w:val="00EF197E"/>
    <w:rsid w:val="00EF1BAE"/>
    <w:rsid w:val="00EF30D3"/>
    <w:rsid w:val="00EF3F73"/>
    <w:rsid w:val="00EF7964"/>
    <w:rsid w:val="00F00884"/>
    <w:rsid w:val="00F021D4"/>
    <w:rsid w:val="00F02FC6"/>
    <w:rsid w:val="00F0383E"/>
    <w:rsid w:val="00F03C63"/>
    <w:rsid w:val="00F053E4"/>
    <w:rsid w:val="00F06A0F"/>
    <w:rsid w:val="00F10923"/>
    <w:rsid w:val="00F15258"/>
    <w:rsid w:val="00F17295"/>
    <w:rsid w:val="00F21CB2"/>
    <w:rsid w:val="00F228A0"/>
    <w:rsid w:val="00F22D44"/>
    <w:rsid w:val="00F239B5"/>
    <w:rsid w:val="00F24D4D"/>
    <w:rsid w:val="00F2653B"/>
    <w:rsid w:val="00F26ECE"/>
    <w:rsid w:val="00F30B06"/>
    <w:rsid w:val="00F30D1C"/>
    <w:rsid w:val="00F35A73"/>
    <w:rsid w:val="00F36D4C"/>
    <w:rsid w:val="00F3748B"/>
    <w:rsid w:val="00F43694"/>
    <w:rsid w:val="00F43D4C"/>
    <w:rsid w:val="00F44835"/>
    <w:rsid w:val="00F44C21"/>
    <w:rsid w:val="00F45001"/>
    <w:rsid w:val="00F474CA"/>
    <w:rsid w:val="00F47B4B"/>
    <w:rsid w:val="00F53284"/>
    <w:rsid w:val="00F55412"/>
    <w:rsid w:val="00F55C52"/>
    <w:rsid w:val="00F62A16"/>
    <w:rsid w:val="00F65A0D"/>
    <w:rsid w:val="00F72014"/>
    <w:rsid w:val="00F7392E"/>
    <w:rsid w:val="00F74E13"/>
    <w:rsid w:val="00F76DE0"/>
    <w:rsid w:val="00F7776E"/>
    <w:rsid w:val="00F81405"/>
    <w:rsid w:val="00F82B9F"/>
    <w:rsid w:val="00F83A54"/>
    <w:rsid w:val="00F83DEF"/>
    <w:rsid w:val="00F8508D"/>
    <w:rsid w:val="00F85165"/>
    <w:rsid w:val="00F86738"/>
    <w:rsid w:val="00F90296"/>
    <w:rsid w:val="00F905A2"/>
    <w:rsid w:val="00F910C0"/>
    <w:rsid w:val="00F927A7"/>
    <w:rsid w:val="00F92905"/>
    <w:rsid w:val="00FA17AB"/>
    <w:rsid w:val="00FA1EEF"/>
    <w:rsid w:val="00FA2372"/>
    <w:rsid w:val="00FA4351"/>
    <w:rsid w:val="00FA45DE"/>
    <w:rsid w:val="00FA4A39"/>
    <w:rsid w:val="00FA5793"/>
    <w:rsid w:val="00FA5799"/>
    <w:rsid w:val="00FA7AE1"/>
    <w:rsid w:val="00FB5536"/>
    <w:rsid w:val="00FC34E7"/>
    <w:rsid w:val="00FC3DE0"/>
    <w:rsid w:val="00FC42B9"/>
    <w:rsid w:val="00FC480D"/>
    <w:rsid w:val="00FC504D"/>
    <w:rsid w:val="00FC6595"/>
    <w:rsid w:val="00FC730B"/>
    <w:rsid w:val="00FD0BB4"/>
    <w:rsid w:val="00FD3177"/>
    <w:rsid w:val="00FD557A"/>
    <w:rsid w:val="00FD5727"/>
    <w:rsid w:val="00FD5819"/>
    <w:rsid w:val="00FD6954"/>
    <w:rsid w:val="00FE31BF"/>
    <w:rsid w:val="00FE38AB"/>
    <w:rsid w:val="00FE415A"/>
    <w:rsid w:val="00FE5A97"/>
    <w:rsid w:val="00FE78D3"/>
    <w:rsid w:val="00FF299A"/>
    <w:rsid w:val="00FF525E"/>
    <w:rsid w:val="00FF7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7CBEC"/>
  <w15:docId w15:val="{D9B1A4E2-8787-4765-930B-B285905E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867"/>
    <w:rPr>
      <w:rFonts w:ascii="CG Omega" w:hAnsi="CG Omega"/>
      <w:sz w:val="22"/>
      <w:szCs w:val="24"/>
      <w:lang w:eastAsia="en-US"/>
    </w:rPr>
  </w:style>
  <w:style w:type="paragraph" w:styleId="Heading1">
    <w:name w:val="heading 1"/>
    <w:basedOn w:val="Normal"/>
    <w:next w:val="Normal"/>
    <w:link w:val="Heading1Char"/>
    <w:qFormat/>
    <w:rsid w:val="001A03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B32A9"/>
    <w:pPr>
      <w:keepNext/>
      <w:keepLines/>
      <w:spacing w:before="200"/>
      <w:outlineLvl w:val="1"/>
    </w:pPr>
    <w:rPr>
      <w:rFonts w:ascii="Times New Roman" w:hAnsi="Times New Roman"/>
      <w:b/>
      <w:bCs/>
      <w:color w:val="4F81BD"/>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7524"/>
    <w:pPr>
      <w:numPr>
        <w:ilvl w:val="12"/>
      </w:numPr>
      <w:spacing w:before="240"/>
    </w:pPr>
    <w:rPr>
      <w:rFonts w:ascii="Times New Roman" w:hAnsi="Times New Roman"/>
      <w:sz w:val="24"/>
      <w:szCs w:val="20"/>
      <w:lang w:eastAsia="en-AU"/>
    </w:rPr>
  </w:style>
  <w:style w:type="paragraph" w:customStyle="1" w:styleId="StyleLeft349cmRight-011cm">
    <w:name w:val="Style Left:  3.49 cm Right:  -0.11 cm"/>
    <w:basedOn w:val="Normal"/>
    <w:rsid w:val="003B7524"/>
    <w:pPr>
      <w:ind w:left="1979" w:right="1701"/>
    </w:pPr>
    <w:rPr>
      <w:rFonts w:ascii="Times New Roman" w:hAnsi="Times New Roman"/>
      <w:sz w:val="24"/>
      <w:szCs w:val="20"/>
      <w:lang w:eastAsia="en-AU"/>
    </w:rPr>
  </w:style>
  <w:style w:type="paragraph" w:styleId="Footer">
    <w:name w:val="footer"/>
    <w:basedOn w:val="Normal"/>
    <w:rsid w:val="003B7524"/>
    <w:pPr>
      <w:tabs>
        <w:tab w:val="center" w:pos="4153"/>
        <w:tab w:val="right" w:pos="8306"/>
      </w:tabs>
    </w:pPr>
  </w:style>
  <w:style w:type="character" w:styleId="PageNumber">
    <w:name w:val="page number"/>
    <w:basedOn w:val="DefaultParagraphFont"/>
    <w:rsid w:val="003B7524"/>
  </w:style>
  <w:style w:type="paragraph" w:customStyle="1" w:styleId="Default1">
    <w:name w:val="Default1"/>
    <w:basedOn w:val="Normal"/>
    <w:next w:val="Normal"/>
    <w:rsid w:val="003B7524"/>
    <w:pPr>
      <w:autoSpaceDE w:val="0"/>
      <w:autoSpaceDN w:val="0"/>
      <w:adjustRightInd w:val="0"/>
      <w:spacing w:after="240"/>
    </w:pPr>
    <w:rPr>
      <w:rFonts w:ascii="Times New Roman" w:hAnsi="Times New Roman"/>
      <w:sz w:val="24"/>
      <w:lang w:eastAsia="en-AU"/>
    </w:rPr>
  </w:style>
  <w:style w:type="paragraph" w:styleId="Header">
    <w:name w:val="header"/>
    <w:aliases w:val="h"/>
    <w:basedOn w:val="Normal"/>
    <w:link w:val="HeaderChar"/>
    <w:uiPriority w:val="99"/>
    <w:rsid w:val="003B7524"/>
    <w:pPr>
      <w:tabs>
        <w:tab w:val="center" w:pos="4153"/>
        <w:tab w:val="right" w:pos="8306"/>
      </w:tabs>
    </w:pPr>
  </w:style>
  <w:style w:type="paragraph" w:styleId="BalloonText">
    <w:name w:val="Balloon Text"/>
    <w:basedOn w:val="Normal"/>
    <w:semiHidden/>
    <w:rsid w:val="00146C29"/>
    <w:rPr>
      <w:rFonts w:ascii="Tahoma" w:hAnsi="Tahoma" w:cs="Tahoma"/>
      <w:sz w:val="16"/>
      <w:szCs w:val="16"/>
    </w:rPr>
  </w:style>
  <w:style w:type="character" w:styleId="CommentReference">
    <w:name w:val="annotation reference"/>
    <w:uiPriority w:val="99"/>
    <w:semiHidden/>
    <w:rsid w:val="0009363E"/>
    <w:rPr>
      <w:sz w:val="16"/>
      <w:szCs w:val="16"/>
    </w:rPr>
  </w:style>
  <w:style w:type="paragraph" w:styleId="CommentText">
    <w:name w:val="annotation text"/>
    <w:basedOn w:val="Normal"/>
    <w:link w:val="CommentTextChar"/>
    <w:uiPriority w:val="99"/>
    <w:semiHidden/>
    <w:rsid w:val="0009363E"/>
    <w:rPr>
      <w:sz w:val="20"/>
      <w:szCs w:val="20"/>
    </w:rPr>
  </w:style>
  <w:style w:type="paragraph" w:styleId="CommentSubject">
    <w:name w:val="annotation subject"/>
    <w:basedOn w:val="CommentText"/>
    <w:next w:val="CommentText"/>
    <w:semiHidden/>
    <w:rsid w:val="0009363E"/>
    <w:rPr>
      <w:b/>
      <w:bCs/>
    </w:rPr>
  </w:style>
  <w:style w:type="paragraph" w:customStyle="1" w:styleId="Default">
    <w:name w:val="Default"/>
    <w:rsid w:val="00F7392E"/>
    <w:pPr>
      <w:autoSpaceDE w:val="0"/>
      <w:autoSpaceDN w:val="0"/>
      <w:adjustRightInd w:val="0"/>
    </w:pPr>
    <w:rPr>
      <w:color w:val="000000"/>
      <w:sz w:val="24"/>
      <w:szCs w:val="24"/>
    </w:rPr>
  </w:style>
  <w:style w:type="character" w:styleId="Hyperlink">
    <w:name w:val="Hyperlink"/>
    <w:rsid w:val="004D1BEF"/>
    <w:rPr>
      <w:color w:val="0000FF"/>
      <w:u w:val="single"/>
    </w:rPr>
  </w:style>
  <w:style w:type="paragraph" w:styleId="ListParagraph">
    <w:name w:val="List Paragraph"/>
    <w:basedOn w:val="Normal"/>
    <w:uiPriority w:val="34"/>
    <w:qFormat/>
    <w:rsid w:val="00433B24"/>
    <w:pPr>
      <w:ind w:left="720"/>
    </w:pPr>
  </w:style>
  <w:style w:type="character" w:customStyle="1" w:styleId="CommentTextChar">
    <w:name w:val="Comment Text Char"/>
    <w:link w:val="CommentText"/>
    <w:semiHidden/>
    <w:rsid w:val="00190C40"/>
    <w:rPr>
      <w:rFonts w:ascii="CG Omega" w:hAnsi="CG Omega"/>
      <w:lang w:eastAsia="en-US"/>
    </w:rPr>
  </w:style>
  <w:style w:type="character" w:customStyle="1" w:styleId="Heading2Char">
    <w:name w:val="Heading 2 Char"/>
    <w:link w:val="Heading2"/>
    <w:uiPriority w:val="9"/>
    <w:rsid w:val="00DB32A9"/>
    <w:rPr>
      <w:b/>
      <w:bCs/>
      <w:color w:val="4F81BD"/>
      <w:sz w:val="26"/>
      <w:szCs w:val="26"/>
    </w:rPr>
  </w:style>
  <w:style w:type="table" w:styleId="TableGrid">
    <w:name w:val="Table Grid"/>
    <w:basedOn w:val="TableNormal"/>
    <w:rsid w:val="00DB32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5E3E"/>
    <w:rPr>
      <w:color w:val="800080"/>
      <w:u w:val="single"/>
    </w:rPr>
  </w:style>
  <w:style w:type="character" w:customStyle="1" w:styleId="HeaderChar">
    <w:name w:val="Header Char"/>
    <w:aliases w:val="h Char"/>
    <w:link w:val="Header"/>
    <w:uiPriority w:val="99"/>
    <w:rsid w:val="00800032"/>
    <w:rPr>
      <w:rFonts w:ascii="CG Omega" w:hAnsi="CG Omega"/>
      <w:sz w:val="22"/>
      <w:szCs w:val="24"/>
      <w:lang w:eastAsia="en-US"/>
    </w:rPr>
  </w:style>
  <w:style w:type="paragraph" w:customStyle="1" w:styleId="TableText">
    <w:name w:val="TableText"/>
    <w:basedOn w:val="Normal"/>
    <w:qFormat/>
    <w:rsid w:val="00114B13"/>
    <w:pPr>
      <w:spacing w:before="120" w:after="120"/>
    </w:pPr>
    <w:rPr>
      <w:rFonts w:ascii="Arial" w:hAnsi="Arial" w:cs="Arial"/>
      <w:bCs/>
      <w:sz w:val="20"/>
      <w:szCs w:val="20"/>
    </w:rPr>
  </w:style>
  <w:style w:type="paragraph" w:styleId="Revision">
    <w:name w:val="Revision"/>
    <w:hidden/>
    <w:uiPriority w:val="99"/>
    <w:semiHidden/>
    <w:rsid w:val="006E645F"/>
    <w:rPr>
      <w:rFonts w:ascii="CG Omega" w:hAnsi="CG Omega"/>
      <w:sz w:val="22"/>
      <w:szCs w:val="24"/>
      <w:lang w:eastAsia="en-US"/>
    </w:rPr>
  </w:style>
  <w:style w:type="character" w:customStyle="1" w:styleId="Heading1Char">
    <w:name w:val="Heading 1 Char"/>
    <w:link w:val="Heading1"/>
    <w:rsid w:val="001A03E1"/>
    <w:rPr>
      <w:rFonts w:ascii="Cambria" w:eastAsia="Times New Roman" w:hAnsi="Cambria" w:cs="Times New Roman"/>
      <w:b/>
      <w:bCs/>
      <w:kern w:val="32"/>
      <w:sz w:val="32"/>
      <w:szCs w:val="32"/>
      <w:lang w:eastAsia="en-US"/>
    </w:rPr>
  </w:style>
  <w:style w:type="character" w:customStyle="1" w:styleId="CommentTextChar1">
    <w:name w:val="Comment Text Char1"/>
    <w:uiPriority w:val="99"/>
    <w:semiHidden/>
    <w:rsid w:val="001A03E1"/>
    <w:rPr>
      <w:sz w:val="20"/>
      <w:szCs w:val="20"/>
    </w:rPr>
  </w:style>
  <w:style w:type="paragraph" w:customStyle="1" w:styleId="paragraph0">
    <w:name w:val="paragraph"/>
    <w:aliases w:val="a"/>
    <w:basedOn w:val="Normal"/>
    <w:link w:val="paragraphChar"/>
    <w:rsid w:val="004671D0"/>
    <w:pPr>
      <w:spacing w:before="100" w:beforeAutospacing="1" w:after="100" w:afterAutospacing="1"/>
    </w:pPr>
    <w:rPr>
      <w:rFonts w:ascii="Times New Roman" w:hAnsi="Times New Roman"/>
      <w:sz w:val="24"/>
      <w:lang w:eastAsia="en-AU"/>
    </w:rPr>
  </w:style>
  <w:style w:type="paragraph" w:customStyle="1" w:styleId="ItemHead">
    <w:name w:val="ItemHead"/>
    <w:aliases w:val="ih"/>
    <w:basedOn w:val="Normal"/>
    <w:next w:val="Normal"/>
    <w:rsid w:val="00684A1B"/>
    <w:pPr>
      <w:keepNext/>
      <w:keepLines/>
      <w:spacing w:before="220"/>
      <w:ind w:left="709" w:hanging="709"/>
    </w:pPr>
    <w:rPr>
      <w:rFonts w:ascii="Arial" w:hAnsi="Arial"/>
      <w:b/>
      <w:kern w:val="28"/>
      <w:sz w:val="24"/>
      <w:szCs w:val="20"/>
      <w:lang w:eastAsia="en-AU"/>
    </w:rPr>
  </w:style>
  <w:style w:type="paragraph" w:customStyle="1" w:styleId="notetext">
    <w:name w:val="note(text)"/>
    <w:aliases w:val="n"/>
    <w:basedOn w:val="Normal"/>
    <w:link w:val="notetextChar"/>
    <w:rsid w:val="00603BF0"/>
    <w:pPr>
      <w:spacing w:before="122"/>
      <w:ind w:left="1985" w:hanging="851"/>
    </w:pPr>
    <w:rPr>
      <w:rFonts w:ascii="Times New Roman" w:hAnsi="Times New Roman"/>
      <w:sz w:val="18"/>
      <w:szCs w:val="20"/>
      <w:lang w:eastAsia="en-AU"/>
    </w:rPr>
  </w:style>
  <w:style w:type="paragraph" w:customStyle="1" w:styleId="Definition">
    <w:name w:val="Definition"/>
    <w:aliases w:val="dd"/>
    <w:basedOn w:val="Normal"/>
    <w:link w:val="DefinitionChar"/>
    <w:rsid w:val="00603BF0"/>
    <w:pPr>
      <w:spacing w:before="180"/>
      <w:ind w:left="1134"/>
    </w:pPr>
    <w:rPr>
      <w:rFonts w:ascii="Times New Roman" w:hAnsi="Times New Roman"/>
      <w:szCs w:val="20"/>
      <w:lang w:eastAsia="en-AU"/>
    </w:rPr>
  </w:style>
  <w:style w:type="paragraph" w:customStyle="1" w:styleId="paragraphsub">
    <w:name w:val="paragraph(sub)"/>
    <w:aliases w:val="aa"/>
    <w:basedOn w:val="Normal"/>
    <w:rsid w:val="00603BF0"/>
    <w:pPr>
      <w:tabs>
        <w:tab w:val="right" w:pos="1985"/>
      </w:tabs>
      <w:spacing w:before="40"/>
      <w:ind w:left="2098" w:hanging="2098"/>
    </w:pPr>
    <w:rPr>
      <w:rFonts w:ascii="Times New Roman" w:hAnsi="Times New Roman"/>
      <w:szCs w:val="20"/>
      <w:lang w:eastAsia="en-AU"/>
    </w:rPr>
  </w:style>
  <w:style w:type="character" w:customStyle="1" w:styleId="paragraphChar">
    <w:name w:val="paragraph Char"/>
    <w:aliases w:val="a Char"/>
    <w:link w:val="paragraph0"/>
    <w:rsid w:val="00603BF0"/>
    <w:rPr>
      <w:sz w:val="24"/>
      <w:szCs w:val="24"/>
    </w:rPr>
  </w:style>
  <w:style w:type="character" w:customStyle="1" w:styleId="notetextChar">
    <w:name w:val="note(text) Char"/>
    <w:aliases w:val="n Char"/>
    <w:link w:val="notetext"/>
    <w:rsid w:val="00603BF0"/>
    <w:rPr>
      <w:sz w:val="18"/>
    </w:rPr>
  </w:style>
  <w:style w:type="character" w:customStyle="1" w:styleId="DefinitionChar">
    <w:name w:val="Definition Char"/>
    <w:aliases w:val="dd Char"/>
    <w:link w:val="Definition"/>
    <w:rsid w:val="00603BF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1934">
      <w:bodyDiv w:val="1"/>
      <w:marLeft w:val="0"/>
      <w:marRight w:val="0"/>
      <w:marTop w:val="0"/>
      <w:marBottom w:val="0"/>
      <w:divBdr>
        <w:top w:val="none" w:sz="0" w:space="0" w:color="auto"/>
        <w:left w:val="none" w:sz="0" w:space="0" w:color="auto"/>
        <w:bottom w:val="none" w:sz="0" w:space="0" w:color="auto"/>
        <w:right w:val="none" w:sz="0" w:space="0" w:color="auto"/>
      </w:divBdr>
    </w:div>
    <w:div w:id="144856074">
      <w:bodyDiv w:val="1"/>
      <w:marLeft w:val="0"/>
      <w:marRight w:val="0"/>
      <w:marTop w:val="0"/>
      <w:marBottom w:val="0"/>
      <w:divBdr>
        <w:top w:val="none" w:sz="0" w:space="0" w:color="auto"/>
        <w:left w:val="none" w:sz="0" w:space="0" w:color="auto"/>
        <w:bottom w:val="none" w:sz="0" w:space="0" w:color="auto"/>
        <w:right w:val="none" w:sz="0" w:space="0" w:color="auto"/>
      </w:divBdr>
    </w:div>
    <w:div w:id="268126803">
      <w:bodyDiv w:val="1"/>
      <w:marLeft w:val="0"/>
      <w:marRight w:val="0"/>
      <w:marTop w:val="0"/>
      <w:marBottom w:val="0"/>
      <w:divBdr>
        <w:top w:val="none" w:sz="0" w:space="0" w:color="auto"/>
        <w:left w:val="none" w:sz="0" w:space="0" w:color="auto"/>
        <w:bottom w:val="none" w:sz="0" w:space="0" w:color="auto"/>
        <w:right w:val="none" w:sz="0" w:space="0" w:color="auto"/>
      </w:divBdr>
    </w:div>
    <w:div w:id="327440870">
      <w:bodyDiv w:val="1"/>
      <w:marLeft w:val="0"/>
      <w:marRight w:val="0"/>
      <w:marTop w:val="0"/>
      <w:marBottom w:val="0"/>
      <w:divBdr>
        <w:top w:val="none" w:sz="0" w:space="0" w:color="auto"/>
        <w:left w:val="none" w:sz="0" w:space="0" w:color="auto"/>
        <w:bottom w:val="none" w:sz="0" w:space="0" w:color="auto"/>
        <w:right w:val="none" w:sz="0" w:space="0" w:color="auto"/>
      </w:divBdr>
    </w:div>
    <w:div w:id="1297375660">
      <w:bodyDiv w:val="1"/>
      <w:marLeft w:val="0"/>
      <w:marRight w:val="0"/>
      <w:marTop w:val="0"/>
      <w:marBottom w:val="0"/>
      <w:divBdr>
        <w:top w:val="none" w:sz="0" w:space="0" w:color="auto"/>
        <w:left w:val="none" w:sz="0" w:space="0" w:color="auto"/>
        <w:bottom w:val="none" w:sz="0" w:space="0" w:color="auto"/>
        <w:right w:val="none" w:sz="0" w:space="0" w:color="auto"/>
      </w:divBdr>
    </w:div>
    <w:div w:id="1364942763">
      <w:bodyDiv w:val="1"/>
      <w:marLeft w:val="0"/>
      <w:marRight w:val="0"/>
      <w:marTop w:val="0"/>
      <w:marBottom w:val="0"/>
      <w:divBdr>
        <w:top w:val="none" w:sz="0" w:space="0" w:color="auto"/>
        <w:left w:val="none" w:sz="0" w:space="0" w:color="auto"/>
        <w:bottom w:val="none" w:sz="0" w:space="0" w:color="auto"/>
        <w:right w:val="none" w:sz="0" w:space="0" w:color="auto"/>
      </w:divBdr>
    </w:div>
    <w:div w:id="1506900722">
      <w:bodyDiv w:val="1"/>
      <w:marLeft w:val="0"/>
      <w:marRight w:val="0"/>
      <w:marTop w:val="0"/>
      <w:marBottom w:val="0"/>
      <w:divBdr>
        <w:top w:val="none" w:sz="0" w:space="0" w:color="auto"/>
        <w:left w:val="none" w:sz="0" w:space="0" w:color="auto"/>
        <w:bottom w:val="none" w:sz="0" w:space="0" w:color="auto"/>
        <w:right w:val="none" w:sz="0" w:space="0" w:color="auto"/>
      </w:divBdr>
    </w:div>
    <w:div w:id="1544056451">
      <w:bodyDiv w:val="1"/>
      <w:marLeft w:val="0"/>
      <w:marRight w:val="0"/>
      <w:marTop w:val="0"/>
      <w:marBottom w:val="0"/>
      <w:divBdr>
        <w:top w:val="none" w:sz="0" w:space="0" w:color="auto"/>
        <w:left w:val="none" w:sz="0" w:space="0" w:color="auto"/>
        <w:bottom w:val="none" w:sz="0" w:space="0" w:color="auto"/>
        <w:right w:val="none" w:sz="0" w:space="0" w:color="auto"/>
      </w:divBdr>
    </w:div>
    <w:div w:id="1561791439">
      <w:bodyDiv w:val="1"/>
      <w:marLeft w:val="0"/>
      <w:marRight w:val="0"/>
      <w:marTop w:val="0"/>
      <w:marBottom w:val="0"/>
      <w:divBdr>
        <w:top w:val="none" w:sz="0" w:space="0" w:color="auto"/>
        <w:left w:val="none" w:sz="0" w:space="0" w:color="auto"/>
        <w:bottom w:val="none" w:sz="0" w:space="0" w:color="auto"/>
        <w:right w:val="none" w:sz="0" w:space="0" w:color="auto"/>
      </w:divBdr>
    </w:div>
    <w:div w:id="1677001127">
      <w:bodyDiv w:val="1"/>
      <w:marLeft w:val="0"/>
      <w:marRight w:val="0"/>
      <w:marTop w:val="0"/>
      <w:marBottom w:val="0"/>
      <w:divBdr>
        <w:top w:val="none" w:sz="0" w:space="0" w:color="auto"/>
        <w:left w:val="none" w:sz="0" w:space="0" w:color="auto"/>
        <w:bottom w:val="none" w:sz="0" w:space="0" w:color="auto"/>
        <w:right w:val="none" w:sz="0" w:space="0" w:color="auto"/>
      </w:divBdr>
    </w:div>
    <w:div w:id="20447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600BB-ED11-4F47-B023-86D46E81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3578</Words>
  <Characters>20398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pjohns</dc:creator>
  <cp:lastModifiedBy>Hugh Dixon</cp:lastModifiedBy>
  <cp:revision>3</cp:revision>
  <cp:lastPrinted>2021-06-15T03:26:00Z</cp:lastPrinted>
  <dcterms:created xsi:type="dcterms:W3CDTF">2021-08-26T07:47:00Z</dcterms:created>
  <dcterms:modified xsi:type="dcterms:W3CDTF">2021-08-26T08:03:00Z</dcterms:modified>
</cp:coreProperties>
</file>