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A3380" w14:textId="77777777" w:rsidR="00FB640B" w:rsidRPr="008B24C8" w:rsidRDefault="0057002B" w:rsidP="006C729B">
      <w:pPr>
        <w:pStyle w:val="ESTitleHeader"/>
      </w:pPr>
      <w:r w:rsidRPr="008B24C8">
        <w:t>EXPLANATORY STATEMENT</w:t>
      </w:r>
    </w:p>
    <w:p w14:paraId="14567844" w14:textId="5B089223" w:rsidR="0057002B" w:rsidRPr="008B24C8" w:rsidRDefault="0057002B" w:rsidP="006C729B">
      <w:pPr>
        <w:pStyle w:val="ESTitleDecisionMaker"/>
      </w:pPr>
      <w:r w:rsidRPr="008B24C8">
        <w:t xml:space="preserve">Issued by authority of the </w:t>
      </w:r>
      <w:r w:rsidR="00F4706B">
        <w:t>Minister</w:t>
      </w:r>
    </w:p>
    <w:p w14:paraId="2DCFECDC" w14:textId="74BD3E68" w:rsidR="0057002B" w:rsidRPr="008B24C8" w:rsidRDefault="0057002B" w:rsidP="006C729B">
      <w:pPr>
        <w:spacing w:line="276" w:lineRule="auto"/>
        <w:jc w:val="center"/>
        <w:rPr>
          <w:rFonts w:ascii="Times New Roman" w:hAnsi="Times New Roman" w:cs="Times New Roman"/>
          <w:i/>
        </w:rPr>
      </w:pPr>
      <w:r w:rsidRPr="008B24C8">
        <w:rPr>
          <w:rFonts w:ascii="Times New Roman" w:hAnsi="Times New Roman" w:cs="Times New Roman"/>
          <w:i/>
        </w:rPr>
        <w:t>Migration Regulations 1994</w:t>
      </w:r>
    </w:p>
    <w:p w14:paraId="1CBE81DA" w14:textId="3E5AF7CC" w:rsidR="0057002B" w:rsidRPr="008B24C8" w:rsidRDefault="00F4706B" w:rsidP="00DA48E3">
      <w:pPr>
        <w:pStyle w:val="ESTitleInstrumentName"/>
      </w:pPr>
      <w:bookmarkStart w:id="0" w:name="Title"/>
      <w:r>
        <w:t>Migration</w:t>
      </w:r>
      <w:r w:rsidRPr="00996E26">
        <w:t xml:space="preserve"> </w:t>
      </w:r>
      <w:r>
        <w:t>(Payment of Visa Application Charges and Fees in Foreign Currencies)</w:t>
      </w:r>
      <w:r w:rsidR="00DA48E3">
        <w:t xml:space="preserve"> Instrument (LIN </w:t>
      </w:r>
      <w:r>
        <w:t>21/003)</w:t>
      </w:r>
      <w:r w:rsidR="004867C0" w:rsidRPr="004867C0">
        <w:t xml:space="preserve"> </w:t>
      </w:r>
      <w:r w:rsidR="004867C0">
        <w:t>2021</w:t>
      </w:r>
      <w:r>
        <w:t xml:space="preserve"> </w:t>
      </w:r>
      <w:r w:rsidR="004867C0">
        <w:t>(</w:t>
      </w:r>
      <w:r>
        <w:t>No.</w:t>
      </w:r>
      <w:r w:rsidR="004867C0">
        <w:t> </w:t>
      </w:r>
      <w:bookmarkStart w:id="1" w:name="_GoBack"/>
      <w:bookmarkEnd w:id="1"/>
      <w:r w:rsidR="004867C0">
        <w:t>2)</w:t>
      </w:r>
      <w:bookmarkEnd w:id="0"/>
    </w:p>
    <w:p w14:paraId="53883813" w14:textId="6F488FE3" w:rsidR="0057002B" w:rsidRPr="008B24C8" w:rsidRDefault="0057002B" w:rsidP="008827D3">
      <w:pPr>
        <w:pStyle w:val="ESPara"/>
        <w:jc w:val="both"/>
      </w:pPr>
      <w:r w:rsidRPr="008B24C8">
        <w:t xml:space="preserve">The instrument, Departmental reference </w:t>
      </w:r>
      <w:r w:rsidR="008171B8">
        <w:t>LIN 21/003</w:t>
      </w:r>
      <w:r w:rsidRPr="008B24C8">
        <w:t xml:space="preserve">, is made under </w:t>
      </w:r>
      <w:r w:rsidR="00A65DE2">
        <w:t>paragraph 5.36(1A)(a)</w:t>
      </w:r>
      <w:r w:rsidRPr="008B24C8">
        <w:t xml:space="preserve"> of the </w:t>
      </w:r>
      <w:r w:rsidRPr="008B24C8">
        <w:rPr>
          <w:i/>
        </w:rPr>
        <w:t>Migration Regulations 1994</w:t>
      </w:r>
      <w:r w:rsidR="00A65DE2">
        <w:t xml:space="preserve"> (the </w:t>
      </w:r>
      <w:r w:rsidR="00DA48E3">
        <w:t xml:space="preserve">Migration </w:t>
      </w:r>
      <w:r w:rsidR="00A65DE2">
        <w:t>Regulations)</w:t>
      </w:r>
      <w:r w:rsidRPr="008B24C8">
        <w:t xml:space="preserve">.  </w:t>
      </w:r>
    </w:p>
    <w:p w14:paraId="2BDC0D5E" w14:textId="3335E411" w:rsidR="00EA12C9" w:rsidRDefault="00EA12C9" w:rsidP="008827D3">
      <w:pPr>
        <w:pStyle w:val="ESPara"/>
        <w:jc w:val="both"/>
      </w:pPr>
      <w:r w:rsidRPr="008B24C8">
        <w:t xml:space="preserve">The instrument </w:t>
      </w:r>
      <w:r w:rsidR="00A65DE2">
        <w:t xml:space="preserve">repeals </w:t>
      </w:r>
      <w:r w:rsidR="00A65DE2" w:rsidRPr="0046198D">
        <w:rPr>
          <w:i/>
        </w:rPr>
        <w:t>Migration (LIN 21/001:Payment of Visa Application Charges and Fees in Foreign Currencies) Instrument 2021</w:t>
      </w:r>
      <w:r w:rsidR="00EC4E70">
        <w:t xml:space="preserve"> </w:t>
      </w:r>
      <w:r w:rsidR="00B75478">
        <w:t>(</w:t>
      </w:r>
      <w:r w:rsidR="00100DFC">
        <w:t xml:space="preserve">LIN </w:t>
      </w:r>
      <w:r w:rsidR="00A65DE2">
        <w:t>21/001</w:t>
      </w:r>
      <w:r w:rsidR="00B75478">
        <w:t xml:space="preserve">) </w:t>
      </w:r>
      <w:r w:rsidRPr="008B24C8">
        <w:t xml:space="preserve">in accordance with subsection 33(3) of the </w:t>
      </w:r>
      <w:r w:rsidRPr="008B24C8">
        <w:rPr>
          <w:i/>
        </w:rPr>
        <w:t>Acts Interpretation Act 1901</w:t>
      </w:r>
      <w:r w:rsidR="00BD598E" w:rsidRPr="008B24C8">
        <w:rPr>
          <w:i/>
        </w:rPr>
        <w:t xml:space="preserve"> </w:t>
      </w:r>
      <w:r w:rsidR="00BD598E" w:rsidRPr="008B24C8">
        <w:t>(the Acts Interpretation Act)</w:t>
      </w:r>
      <w:r w:rsidRPr="008B24C8">
        <w:t xml:space="preserve">.  </w:t>
      </w:r>
      <w:r w:rsidR="000F11AA" w:rsidRPr="008B24C8">
        <w:t>Th</w:t>
      </w:r>
      <w:r w:rsidR="000F11AA">
        <w:t>is</w:t>
      </w:r>
      <w:r w:rsidR="000F11AA" w:rsidRPr="008B24C8">
        <w:t xml:space="preserve"> </w:t>
      </w:r>
      <w:r w:rsidRPr="008B24C8">
        <w:t xml:space="preserve">subsection provides that </w:t>
      </w:r>
      <w:r w:rsidR="00100DFC">
        <w:t>a power to make a legislative instrument includes a power to amend or repeal that instrument in the same manner, and subject to the same conditions, as the power to make the instrument</w:t>
      </w:r>
      <w:r w:rsidR="00BD598E" w:rsidRPr="008B24C8">
        <w:t xml:space="preserve">.  </w:t>
      </w:r>
    </w:p>
    <w:p w14:paraId="33F9882C" w14:textId="200AB92C" w:rsidR="00A65DE2" w:rsidRPr="00A65DE2" w:rsidRDefault="00A65DE2" w:rsidP="008827D3">
      <w:pPr>
        <w:pStyle w:val="ListParagraph"/>
        <w:numPr>
          <w:ilvl w:val="0"/>
          <w:numId w:val="1"/>
        </w:numPr>
        <w:spacing w:before="240" w:after="240" w:line="276" w:lineRule="auto"/>
        <w:ind w:left="567" w:hanging="567"/>
        <w:contextualSpacing w:val="0"/>
        <w:jc w:val="both"/>
        <w:rPr>
          <w:rFonts w:ascii="Times New Roman" w:hAnsi="Times New Roman" w:cs="Times New Roman"/>
        </w:rPr>
      </w:pPr>
      <w:r w:rsidRPr="001835F0">
        <w:rPr>
          <w:rFonts w:ascii="Times New Roman" w:hAnsi="Times New Roman" w:cs="Times New Roman"/>
        </w:rPr>
        <w:t xml:space="preserve">Paragraph 13(1)(a) of the </w:t>
      </w:r>
      <w:r w:rsidRPr="001835F0">
        <w:rPr>
          <w:rFonts w:ascii="Times New Roman" w:hAnsi="Times New Roman" w:cs="Times New Roman"/>
          <w:i/>
        </w:rPr>
        <w:t>Legislation Act 2003</w:t>
      </w:r>
      <w:r w:rsidRPr="001835F0">
        <w:rPr>
          <w:rFonts w:ascii="Times New Roman" w:hAnsi="Times New Roman" w:cs="Times New Roman"/>
        </w:rPr>
        <w:t xml:space="preserve"> (the Legislation Act) provides that subsection 33(3) of the Acts Interpretation Act applies to an instrument-making power in the </w:t>
      </w:r>
      <w:r w:rsidR="00DA48E3">
        <w:rPr>
          <w:rFonts w:ascii="Times New Roman" w:hAnsi="Times New Roman" w:cs="Times New Roman"/>
        </w:rPr>
        <w:t xml:space="preserve">Migration </w:t>
      </w:r>
      <w:r w:rsidRPr="001835F0">
        <w:rPr>
          <w:rFonts w:ascii="Times New Roman" w:hAnsi="Times New Roman" w:cs="Times New Roman"/>
        </w:rPr>
        <w:t>Regulations as if the Regulations were an Act.</w:t>
      </w:r>
      <w:r w:rsidR="00DA48E3">
        <w:rPr>
          <w:rFonts w:ascii="Times New Roman" w:hAnsi="Times New Roman" w:cs="Times New Roman"/>
        </w:rPr>
        <w:t xml:space="preserve"> </w:t>
      </w:r>
      <w:r w:rsidRPr="001835F0">
        <w:rPr>
          <w:rFonts w:ascii="Times New Roman" w:hAnsi="Times New Roman" w:cs="Times New Roman"/>
        </w:rPr>
        <w:t xml:space="preserve"> This means that </w:t>
      </w:r>
      <w:r w:rsidR="00F72C22">
        <w:rPr>
          <w:rFonts w:ascii="Times New Roman" w:hAnsi="Times New Roman" w:cs="Times New Roman"/>
        </w:rPr>
        <w:t>paragraph</w:t>
      </w:r>
      <w:r w:rsidRPr="001835F0">
        <w:rPr>
          <w:rFonts w:ascii="Times New Roman" w:hAnsi="Times New Roman" w:cs="Times New Roman"/>
        </w:rPr>
        <w:t xml:space="preserve"> </w:t>
      </w:r>
      <w:r w:rsidR="00F72C22">
        <w:rPr>
          <w:rFonts w:ascii="Times New Roman" w:hAnsi="Times New Roman" w:cs="Times New Roman"/>
        </w:rPr>
        <w:t>5</w:t>
      </w:r>
      <w:r w:rsidRPr="001835F0">
        <w:rPr>
          <w:rFonts w:ascii="Times New Roman" w:hAnsi="Times New Roman" w:cs="Times New Roman"/>
        </w:rPr>
        <w:t>.</w:t>
      </w:r>
      <w:r w:rsidR="00F72C22">
        <w:rPr>
          <w:rFonts w:ascii="Times New Roman" w:hAnsi="Times New Roman" w:cs="Times New Roman"/>
        </w:rPr>
        <w:t>36</w:t>
      </w:r>
      <w:r w:rsidRPr="001835F0">
        <w:rPr>
          <w:rFonts w:ascii="Times New Roman" w:hAnsi="Times New Roman" w:cs="Times New Roman"/>
        </w:rPr>
        <w:t>(</w:t>
      </w:r>
      <w:r w:rsidR="00F72C22">
        <w:rPr>
          <w:rFonts w:ascii="Times New Roman" w:hAnsi="Times New Roman" w:cs="Times New Roman"/>
        </w:rPr>
        <w:t>1A</w:t>
      </w:r>
      <w:r w:rsidRPr="001835F0">
        <w:rPr>
          <w:rFonts w:ascii="Times New Roman" w:hAnsi="Times New Roman" w:cs="Times New Roman"/>
        </w:rPr>
        <w:t>)</w:t>
      </w:r>
      <w:r w:rsidR="00F72C22">
        <w:rPr>
          <w:rFonts w:ascii="Times New Roman" w:hAnsi="Times New Roman" w:cs="Times New Roman"/>
        </w:rPr>
        <w:t>(a)</w:t>
      </w:r>
      <w:r w:rsidRPr="001835F0">
        <w:rPr>
          <w:rFonts w:ascii="Times New Roman" w:hAnsi="Times New Roman" w:cs="Times New Roman"/>
        </w:rPr>
        <w:t xml:space="preserve"> of the </w:t>
      </w:r>
      <w:r w:rsidR="00DA48E3">
        <w:rPr>
          <w:rFonts w:ascii="Times New Roman" w:hAnsi="Times New Roman" w:cs="Times New Roman"/>
        </w:rPr>
        <w:t xml:space="preserve">Migration </w:t>
      </w:r>
      <w:r w:rsidRPr="001835F0">
        <w:rPr>
          <w:rFonts w:ascii="Times New Roman" w:hAnsi="Times New Roman" w:cs="Times New Roman"/>
        </w:rPr>
        <w:t xml:space="preserve">Regulations also includes a power to amend or repeal an instrument made under that provision. </w:t>
      </w:r>
    </w:p>
    <w:p w14:paraId="06E9BC3B" w14:textId="77777777" w:rsidR="00BD598E" w:rsidRPr="008B24C8" w:rsidRDefault="00AA4557" w:rsidP="008827D3">
      <w:pPr>
        <w:pStyle w:val="ESPara"/>
        <w:jc w:val="both"/>
      </w:pPr>
      <w:r>
        <w:t>T</w:t>
      </w:r>
      <w:r w:rsidR="00A65DE2">
        <w:t>he instrument commences on 1 July 2021</w:t>
      </w:r>
      <w:r>
        <w:t>, and i</w:t>
      </w:r>
      <w:r w:rsidR="00BD598E" w:rsidRPr="008B24C8">
        <w:t xml:space="preserve">s a </w:t>
      </w:r>
      <w:r>
        <w:t>legislative</w:t>
      </w:r>
      <w:r w:rsidR="00BD598E" w:rsidRPr="008B24C8">
        <w:t xml:space="preserve"> instrument for </w:t>
      </w:r>
      <w:r w:rsidR="00B75478">
        <w:t xml:space="preserve">the </w:t>
      </w:r>
      <w:r w:rsidR="00100DFC">
        <w:rPr>
          <w:i/>
        </w:rPr>
        <w:t>Legislation Act 2003</w:t>
      </w:r>
      <w:r w:rsidR="00100DFC">
        <w:t xml:space="preserve"> (the Legislation Act)</w:t>
      </w:r>
      <w:r w:rsidR="00BD598E" w:rsidRPr="008B24C8">
        <w:t xml:space="preserve">.  </w:t>
      </w:r>
    </w:p>
    <w:p w14:paraId="4FE6D868" w14:textId="77777777" w:rsidR="00EA12C9" w:rsidRPr="00BB0CF2" w:rsidRDefault="00BD598E" w:rsidP="008827D3">
      <w:pPr>
        <w:pStyle w:val="ESHeading"/>
        <w:jc w:val="both"/>
        <w:rPr>
          <w:color w:val="FF0000"/>
        </w:rPr>
      </w:pPr>
      <w:r w:rsidRPr="008B24C8">
        <w:t>Purpose</w:t>
      </w:r>
    </w:p>
    <w:p w14:paraId="6608F7BA" w14:textId="6CF65420" w:rsidR="00B20B8E" w:rsidRPr="00C45081" w:rsidRDefault="00641BD1" w:rsidP="00DA48E3">
      <w:pPr>
        <w:pStyle w:val="ESPara"/>
        <w:jc w:val="both"/>
      </w:pPr>
      <w:r w:rsidRPr="00C45081">
        <w:t xml:space="preserve">Under paragraph 46(1)(d) of the </w:t>
      </w:r>
      <w:r w:rsidRPr="00C45081">
        <w:rPr>
          <w:i/>
        </w:rPr>
        <w:t xml:space="preserve">Australian Citizenship Act 2007 </w:t>
      </w:r>
      <w:r w:rsidRPr="00C45081">
        <w:t>(Citizenship Act), a</w:t>
      </w:r>
      <w:r w:rsidR="003D4883" w:rsidRPr="00C45081">
        <w:t xml:space="preserve">n application made under </w:t>
      </w:r>
      <w:r w:rsidRPr="00C45081">
        <w:t>that</w:t>
      </w:r>
      <w:r w:rsidR="003D4883" w:rsidRPr="00C45081">
        <w:t xml:space="preserve"> Act, must be accompanied by the fee</w:t>
      </w:r>
      <w:r w:rsidR="00B20B8E" w:rsidRPr="00C45081">
        <w:t xml:space="preserve"> </w:t>
      </w:r>
      <w:r w:rsidR="003D4883" w:rsidRPr="00C45081">
        <w:t xml:space="preserve">(if any) prescribed by the </w:t>
      </w:r>
      <w:r w:rsidRPr="00C45081">
        <w:rPr>
          <w:i/>
        </w:rPr>
        <w:t xml:space="preserve">Australian </w:t>
      </w:r>
      <w:r w:rsidR="003D4883" w:rsidRPr="00C45081">
        <w:rPr>
          <w:i/>
        </w:rPr>
        <w:t xml:space="preserve">Citizenship Regulation </w:t>
      </w:r>
      <w:r w:rsidRPr="00C45081">
        <w:rPr>
          <w:i/>
        </w:rPr>
        <w:t>2016</w:t>
      </w:r>
      <w:r w:rsidR="003D4883" w:rsidRPr="00C45081">
        <w:t xml:space="preserve"> </w:t>
      </w:r>
      <w:r w:rsidR="00B70A66" w:rsidRPr="00C45081">
        <w:t>(Citizenship Regulation)</w:t>
      </w:r>
      <w:r w:rsidR="00B20B8E" w:rsidRPr="00C45081">
        <w:rPr>
          <w:i/>
        </w:rPr>
        <w:t>.</w:t>
      </w:r>
      <w:r w:rsidR="008827D3" w:rsidRPr="00C45081">
        <w:t xml:space="preserve"> </w:t>
      </w:r>
      <w:r w:rsidR="00B20B8E" w:rsidRPr="00C45081">
        <w:t>Subregulation 16(2) of the Citizenship Regulation provides that</w:t>
      </w:r>
      <w:r w:rsidR="00B20B8E" w:rsidRPr="00C45081">
        <w:rPr>
          <w:i/>
        </w:rPr>
        <w:t xml:space="preserve"> </w:t>
      </w:r>
      <w:r w:rsidR="00EA3828" w:rsidRPr="00C45081">
        <w:t>for the purposes of paragraph 46(1)(d) of the Citizenship Act</w:t>
      </w:r>
      <w:r w:rsidR="00EA3828" w:rsidRPr="00C45081">
        <w:rPr>
          <w:i/>
        </w:rPr>
        <w:t>,</w:t>
      </w:r>
      <w:r w:rsidR="00EA3828" w:rsidRPr="00C45081">
        <w:t xml:space="preserve"> the payment of the fee must be made in a currency that is specified in the places and currencies </w:t>
      </w:r>
      <w:r w:rsidR="00881BDE">
        <w:t xml:space="preserve">instrument </w:t>
      </w:r>
      <w:r w:rsidR="00EA3828" w:rsidRPr="00C45081">
        <w:t xml:space="preserve">as a currency in which a fee may be paid in that place. </w:t>
      </w:r>
      <w:r w:rsidR="00B20B8E" w:rsidRPr="00C45081">
        <w:t xml:space="preserve">If the currency in which the payment is to be made is specified in the </w:t>
      </w:r>
      <w:r w:rsidR="00EC4BD5">
        <w:t>places and currencies</w:t>
      </w:r>
      <w:r w:rsidR="00EC4BD5" w:rsidRPr="00C45081">
        <w:t xml:space="preserve"> </w:t>
      </w:r>
      <w:r w:rsidR="00B20B8E" w:rsidRPr="00C45081">
        <w:t>instrument, the amount of the payment is to be worked out using the exchange rate for the currency specified in the</w:t>
      </w:r>
      <w:r w:rsidR="004846FE">
        <w:t xml:space="preserve"> </w:t>
      </w:r>
      <w:r w:rsidR="00EC4BD5" w:rsidRPr="00C45081">
        <w:t xml:space="preserve">conversion </w:t>
      </w:r>
      <w:r w:rsidR="00B20B8E" w:rsidRPr="00C45081">
        <w:t>instrument.</w:t>
      </w:r>
    </w:p>
    <w:p w14:paraId="6323C389" w14:textId="3A2DC549" w:rsidR="009B1343" w:rsidRPr="00C45081" w:rsidRDefault="004E206A" w:rsidP="00DA48E3">
      <w:pPr>
        <w:pStyle w:val="ESPara"/>
        <w:jc w:val="both"/>
      </w:pPr>
      <w:r w:rsidRPr="0083557F">
        <w:t>Conversion instrument has</w:t>
      </w:r>
      <w:r w:rsidRPr="00EC4E70">
        <w:t xml:space="preserve"> the same meaning as in</w:t>
      </w:r>
      <w:r w:rsidRPr="004E206A">
        <w:rPr>
          <w:i/>
        </w:rPr>
        <w:t xml:space="preserve"> </w:t>
      </w:r>
      <w:r w:rsidRPr="00C45081">
        <w:t>subregulation 16(7) of the Citizenship Regulation</w:t>
      </w:r>
      <w:r w:rsidR="00EC4E70">
        <w:t>. T</w:t>
      </w:r>
      <w:r>
        <w:t xml:space="preserve">his </w:t>
      </w:r>
      <w:r w:rsidR="007B2EB1" w:rsidRPr="00C45081">
        <w:t>definition ref</w:t>
      </w:r>
      <w:r w:rsidR="003318E0" w:rsidRPr="00C45081">
        <w:t>ers to the instrument</w:t>
      </w:r>
      <w:r w:rsidR="002167A2" w:rsidRPr="00C45081">
        <w:t xml:space="preserve"> made under subregulation 5.36(1A) of the Migration Regulations</w:t>
      </w:r>
      <w:r w:rsidR="002167A2" w:rsidRPr="00C45081">
        <w:rPr>
          <w:i/>
        </w:rPr>
        <w:t xml:space="preserve">. </w:t>
      </w:r>
      <w:r w:rsidR="009B1343" w:rsidRPr="00C45081">
        <w:rPr>
          <w:lang w:eastAsia="en-AU"/>
        </w:rPr>
        <w:t>Instruments made under the Migration Regulations are incorporate</w:t>
      </w:r>
      <w:r w:rsidR="00CF30A3" w:rsidRPr="00C45081">
        <w:rPr>
          <w:lang w:eastAsia="en-AU"/>
        </w:rPr>
        <w:t>d in the Citizenship Regulation</w:t>
      </w:r>
      <w:r w:rsidR="009B1343" w:rsidRPr="00C45081">
        <w:rPr>
          <w:lang w:eastAsia="en-AU"/>
        </w:rPr>
        <w:t xml:space="preserve"> because the Citizenship Act does not currently perm</w:t>
      </w:r>
      <w:r w:rsidR="00552124" w:rsidRPr="00C45081">
        <w:rPr>
          <w:lang w:eastAsia="en-AU"/>
        </w:rPr>
        <w:t xml:space="preserve">it the Minister </w:t>
      </w:r>
      <w:r w:rsidR="009B1343" w:rsidRPr="00C45081">
        <w:rPr>
          <w:lang w:eastAsia="en-AU"/>
        </w:rPr>
        <w:t>to make instruments u</w:t>
      </w:r>
      <w:r w:rsidR="00CF30A3" w:rsidRPr="00C45081">
        <w:rPr>
          <w:lang w:eastAsia="en-AU"/>
        </w:rPr>
        <w:t>nder the Citizenship Regulation</w:t>
      </w:r>
      <w:r w:rsidR="009B1343" w:rsidRPr="00C45081">
        <w:rPr>
          <w:lang w:eastAsia="en-AU"/>
        </w:rPr>
        <w:t>.</w:t>
      </w:r>
    </w:p>
    <w:p w14:paraId="6E115108" w14:textId="57AEF70B" w:rsidR="009B1343" w:rsidRPr="00C45081" w:rsidRDefault="009B1343" w:rsidP="009B1343">
      <w:pPr>
        <w:pStyle w:val="ESSubparaHeader"/>
        <w:jc w:val="both"/>
        <w:rPr>
          <w:lang w:eastAsia="en-AU"/>
        </w:rPr>
      </w:pPr>
      <w:r w:rsidRPr="00C45081">
        <w:rPr>
          <w:lang w:eastAsia="en-AU"/>
        </w:rPr>
        <w:t>Due to th</w:t>
      </w:r>
      <w:r w:rsidR="00DA48E3" w:rsidRPr="00C45081">
        <w:rPr>
          <w:lang w:eastAsia="en-AU"/>
        </w:rPr>
        <w:t>e operation of section 14 of the Legislation Act</w:t>
      </w:r>
      <w:r w:rsidRPr="00C45081">
        <w:rPr>
          <w:lang w:eastAsia="en-AU"/>
        </w:rPr>
        <w:t xml:space="preserve">, it is not possible to incorporate, by reference, the instrument made under subregulation 5.36(1A) of the </w:t>
      </w:r>
      <w:r w:rsidR="00CF30A3" w:rsidRPr="00C45081">
        <w:rPr>
          <w:lang w:eastAsia="en-AU"/>
        </w:rPr>
        <w:t>Migration</w:t>
      </w:r>
      <w:r w:rsidRPr="00C45081">
        <w:rPr>
          <w:lang w:eastAsia="en-AU"/>
        </w:rPr>
        <w:t xml:space="preserve"> Regulations as in</w:t>
      </w:r>
      <w:r w:rsidR="00CF30A3" w:rsidRPr="00C45081">
        <w:rPr>
          <w:lang w:eastAsia="en-AU"/>
        </w:rPr>
        <w:t xml:space="preserve"> force from time to </w:t>
      </w:r>
      <w:r w:rsidR="00CF30A3" w:rsidRPr="00C45081">
        <w:rPr>
          <w:lang w:eastAsia="en-AU"/>
        </w:rPr>
        <w:lastRenderedPageBreak/>
        <w:t>time.</w:t>
      </w:r>
      <w:r w:rsidRPr="00C45081">
        <w:rPr>
          <w:lang w:eastAsia="en-AU"/>
        </w:rPr>
        <w:t xml:space="preserve"> </w:t>
      </w:r>
      <w:r w:rsidR="00CF30A3" w:rsidRPr="00C45081">
        <w:rPr>
          <w:lang w:eastAsia="en-AU"/>
        </w:rPr>
        <w:t xml:space="preserve"> </w:t>
      </w:r>
      <w:r w:rsidRPr="00C45081">
        <w:rPr>
          <w:lang w:eastAsia="en-AU"/>
        </w:rPr>
        <w:t xml:space="preserve">Rather, the new instrument would have to be incorporated, by reference, </w:t>
      </w:r>
      <w:r w:rsidR="00CF30A3" w:rsidRPr="00C45081">
        <w:rPr>
          <w:lang w:eastAsia="en-AU"/>
        </w:rPr>
        <w:t>every time the Citizenship</w:t>
      </w:r>
      <w:r w:rsidRPr="00C45081">
        <w:rPr>
          <w:lang w:eastAsia="en-AU"/>
        </w:rPr>
        <w:t xml:space="preserve"> Regulation</w:t>
      </w:r>
      <w:r w:rsidR="00CF30A3" w:rsidRPr="00C45081">
        <w:rPr>
          <w:lang w:eastAsia="en-AU"/>
        </w:rPr>
        <w:t xml:space="preserve"> is amended</w:t>
      </w:r>
      <w:r w:rsidRPr="00C45081">
        <w:rPr>
          <w:lang w:eastAsia="en-AU"/>
        </w:rPr>
        <w:t>.</w:t>
      </w:r>
      <w:r w:rsidR="001651B4" w:rsidRPr="00C45081">
        <w:rPr>
          <w:lang w:eastAsia="en-AU"/>
        </w:rPr>
        <w:t xml:space="preserve"> </w:t>
      </w:r>
      <w:r w:rsidR="00B30C3F" w:rsidRPr="00C45081">
        <w:rPr>
          <w:lang w:eastAsia="en-AU"/>
        </w:rPr>
        <w:t>T</w:t>
      </w:r>
      <w:r w:rsidR="001651B4" w:rsidRPr="00C45081">
        <w:rPr>
          <w:lang w:eastAsia="en-AU"/>
        </w:rPr>
        <w:t xml:space="preserve">he Citizenship </w:t>
      </w:r>
      <w:r w:rsidR="00B70A66" w:rsidRPr="00C45081">
        <w:rPr>
          <w:lang w:eastAsia="en-AU"/>
        </w:rPr>
        <w:t>R</w:t>
      </w:r>
      <w:r w:rsidR="00DA48E3" w:rsidRPr="00C45081">
        <w:rPr>
          <w:lang w:eastAsia="en-AU"/>
        </w:rPr>
        <w:t>egulation</w:t>
      </w:r>
      <w:r w:rsidR="001651B4" w:rsidRPr="00C45081">
        <w:rPr>
          <w:lang w:eastAsia="en-AU"/>
        </w:rPr>
        <w:t xml:space="preserve"> </w:t>
      </w:r>
      <w:r w:rsidR="008C53CC" w:rsidRPr="00C45081">
        <w:rPr>
          <w:lang w:eastAsia="en-AU"/>
        </w:rPr>
        <w:t xml:space="preserve">has been </w:t>
      </w:r>
      <w:r w:rsidR="001651B4" w:rsidRPr="00C45081">
        <w:rPr>
          <w:lang w:eastAsia="en-AU"/>
        </w:rPr>
        <w:t xml:space="preserve">amended </w:t>
      </w:r>
      <w:r w:rsidR="008C53CC" w:rsidRPr="00C45081">
        <w:rPr>
          <w:lang w:eastAsia="en-AU"/>
        </w:rPr>
        <w:t>to incorporate</w:t>
      </w:r>
      <w:r w:rsidR="001651B4" w:rsidRPr="00C45081">
        <w:rPr>
          <w:lang w:eastAsia="en-AU"/>
        </w:rPr>
        <w:t xml:space="preserve"> this instrument. </w:t>
      </w:r>
    </w:p>
    <w:p w14:paraId="7EB7973E" w14:textId="5D47B48F" w:rsidR="004656D3" w:rsidRDefault="004656D3" w:rsidP="00641BD1">
      <w:pPr>
        <w:pStyle w:val="ESSubparaHeader"/>
        <w:jc w:val="both"/>
        <w:rPr>
          <w:lang w:eastAsia="en-AU"/>
        </w:rPr>
      </w:pPr>
      <w:r w:rsidRPr="004656D3">
        <w:rPr>
          <w:lang w:eastAsia="en-AU"/>
        </w:rPr>
        <w:t xml:space="preserve">Subregulation 5.36(1) provides that payment of a fee must be made in a place, being Australia or a foreign country, that is specified </w:t>
      </w:r>
      <w:r>
        <w:rPr>
          <w:lang w:eastAsia="en-AU"/>
        </w:rPr>
        <w:t>in a legislative instrument made by the Minister for the purposes of this paragraph; and</w:t>
      </w:r>
      <w:r w:rsidRPr="004656D3">
        <w:rPr>
          <w:lang w:eastAsia="en-AU"/>
        </w:rPr>
        <w:t xml:space="preserve"> in a currency that is specified for the purposes of this paragrap</w:t>
      </w:r>
      <w:r>
        <w:rPr>
          <w:lang w:eastAsia="en-AU"/>
        </w:rPr>
        <w:t>h in an legislative instrument</w:t>
      </w:r>
      <w:r w:rsidRPr="004656D3">
        <w:rPr>
          <w:lang w:eastAsia="en-AU"/>
        </w:rPr>
        <w:t xml:space="preserve"> as a currency in which a fee may be paid in that place.</w:t>
      </w:r>
    </w:p>
    <w:p w14:paraId="4EFC41A1" w14:textId="3D48E5F8" w:rsidR="004656D3" w:rsidRPr="004656D3" w:rsidRDefault="004656D3" w:rsidP="004656D3">
      <w:pPr>
        <w:pStyle w:val="ESSubparaHeader"/>
        <w:jc w:val="both"/>
        <w:rPr>
          <w:lang w:eastAsia="en-AU"/>
        </w:rPr>
      </w:pPr>
      <w:bookmarkStart w:id="2" w:name="JD_53640141"/>
      <w:bookmarkStart w:id="3" w:name="5361b"/>
      <w:bookmarkEnd w:id="2"/>
      <w:bookmarkEnd w:id="3"/>
      <w:r>
        <w:rPr>
          <w:lang w:eastAsia="en-AU"/>
        </w:rPr>
        <w:t>S</w:t>
      </w:r>
      <w:r w:rsidRPr="004656D3">
        <w:rPr>
          <w:lang w:eastAsia="en-AU"/>
        </w:rPr>
        <w:t>ubregulation 5.36(1A) provides that the amount of the payment is to be worked out as follows:</w:t>
      </w:r>
    </w:p>
    <w:p w14:paraId="414790EA" w14:textId="32E059C6" w:rsidR="004656D3" w:rsidRDefault="004656D3" w:rsidP="00641BD1">
      <w:pPr>
        <w:pStyle w:val="ESSubparaHeader"/>
        <w:numPr>
          <w:ilvl w:val="0"/>
          <w:numId w:val="7"/>
        </w:numPr>
        <w:jc w:val="both"/>
        <w:rPr>
          <w:lang w:eastAsia="en-AU"/>
        </w:rPr>
      </w:pPr>
      <w:r w:rsidRPr="004656D3">
        <w:rPr>
          <w:lang w:eastAsia="en-AU"/>
        </w:rPr>
        <w:t>if the currency in which the amount is to be paid is specified by the Minister in an instrument in writing for this paragraph, use the exchange rate for the currency specified in the notice;</w:t>
      </w:r>
    </w:p>
    <w:p w14:paraId="0F2EBAB9" w14:textId="11C82B23" w:rsidR="004656D3" w:rsidRDefault="004656D3" w:rsidP="00641BD1">
      <w:pPr>
        <w:pStyle w:val="ESSubparaHeader"/>
        <w:numPr>
          <w:ilvl w:val="0"/>
          <w:numId w:val="7"/>
        </w:numPr>
        <w:jc w:val="both"/>
        <w:rPr>
          <w:lang w:eastAsia="en-AU"/>
        </w:rPr>
      </w:pPr>
      <w:r w:rsidRPr="004656D3">
        <w:rPr>
          <w:lang w:eastAsia="en-AU"/>
        </w:rPr>
        <w:t>if the currency in which the amount is to be paid is not specified in an instrument for paragraph 5.36(1A)(a), use the formula in subregulation 5.36(2).</w:t>
      </w:r>
    </w:p>
    <w:p w14:paraId="09421C1A" w14:textId="39A6F2E3" w:rsidR="00744298" w:rsidRDefault="001C72B5" w:rsidP="00744298">
      <w:pPr>
        <w:pStyle w:val="ESSubparaHeader"/>
        <w:jc w:val="both"/>
        <w:rPr>
          <w:lang w:eastAsia="en-AU"/>
        </w:rPr>
      </w:pPr>
      <w:r>
        <w:rPr>
          <w:lang w:eastAsia="en-AU"/>
        </w:rPr>
        <w:t>R</w:t>
      </w:r>
      <w:r w:rsidR="00744298">
        <w:rPr>
          <w:lang w:eastAsia="en-AU"/>
        </w:rPr>
        <w:t>egulation 5.36(4) provides that a fee for the purpose of regulation 5.36 includes</w:t>
      </w:r>
      <w:r w:rsidR="0006780D">
        <w:rPr>
          <w:lang w:eastAsia="en-AU"/>
        </w:rPr>
        <w:t>:</w:t>
      </w:r>
      <w:r w:rsidR="00744298">
        <w:rPr>
          <w:lang w:eastAsia="en-AU"/>
        </w:rPr>
        <w:t xml:space="preserve"> an instalment of visa application charge; or an amount of visa evidence charge; or an amount of nomination training contribution charge; or a fee payable under the Migration Regulations except regulation 5.14C. </w:t>
      </w:r>
    </w:p>
    <w:p w14:paraId="1E4711C4" w14:textId="696CAD52" w:rsidR="00E03C91" w:rsidRPr="00DA48E3" w:rsidRDefault="00E71074" w:rsidP="00DA48E3">
      <w:pPr>
        <w:pStyle w:val="ESSubparaHeader"/>
        <w:jc w:val="both"/>
        <w:rPr>
          <w:lang w:eastAsia="en-AU"/>
        </w:rPr>
      </w:pPr>
      <w:r>
        <w:rPr>
          <w:lang w:eastAsia="en-AU"/>
        </w:rPr>
        <w:t xml:space="preserve">LIN 21/003 repeals the </w:t>
      </w:r>
      <w:r>
        <w:rPr>
          <w:i/>
          <w:lang w:eastAsia="en-AU"/>
        </w:rPr>
        <w:t>Migration (LIN 21/001: Payment of Visa Application Charges and Fees in Foreign Currencies) Instrument 2021</w:t>
      </w:r>
      <w:r w:rsidR="009B1343">
        <w:rPr>
          <w:i/>
          <w:lang w:eastAsia="en-AU"/>
        </w:rPr>
        <w:t xml:space="preserve"> </w:t>
      </w:r>
      <w:r w:rsidR="009B1343" w:rsidRPr="008C53CC">
        <w:rPr>
          <w:lang w:eastAsia="en-AU"/>
        </w:rPr>
        <w:t>as in forc</w:t>
      </w:r>
      <w:r w:rsidR="00E03C91" w:rsidRPr="008C53CC">
        <w:rPr>
          <w:lang w:eastAsia="en-AU"/>
        </w:rPr>
        <w:t>e on 1 January 2021</w:t>
      </w:r>
      <w:r w:rsidR="00E03C91">
        <w:rPr>
          <w:i/>
          <w:lang w:eastAsia="en-AU"/>
        </w:rPr>
        <w:t xml:space="preserve"> </w:t>
      </w:r>
      <w:r w:rsidR="00E03C91">
        <w:rPr>
          <w:lang w:eastAsia="en-AU"/>
        </w:rPr>
        <w:t>and operates to specify the currency applicable and the exchange rate for the currenc</w:t>
      </w:r>
      <w:r w:rsidR="008C53CC">
        <w:rPr>
          <w:lang w:eastAsia="en-AU"/>
        </w:rPr>
        <w:t>y specified for the purpose of s</w:t>
      </w:r>
      <w:r w:rsidR="00E03C91">
        <w:rPr>
          <w:lang w:eastAsia="en-AU"/>
        </w:rPr>
        <w:t>ubre</w:t>
      </w:r>
      <w:r w:rsidR="001651B4">
        <w:rPr>
          <w:lang w:eastAsia="en-AU"/>
        </w:rPr>
        <w:t>gulation 5.36(1A) as at 1 July 2021.</w:t>
      </w:r>
    </w:p>
    <w:p w14:paraId="6A72554D" w14:textId="3160683A" w:rsidR="00B75478" w:rsidRPr="00AE6BB4" w:rsidRDefault="00A65DE2" w:rsidP="008827D3">
      <w:pPr>
        <w:pStyle w:val="ESPara"/>
        <w:jc w:val="both"/>
      </w:pPr>
      <w:r>
        <w:rPr>
          <w:color w:val="000000"/>
          <w:shd w:val="clear" w:color="auto" w:fill="FFFFFF"/>
        </w:rPr>
        <w:t>The</w:t>
      </w:r>
      <w:r w:rsidR="00E03C91">
        <w:rPr>
          <w:color w:val="000000"/>
          <w:shd w:val="clear" w:color="auto" w:fill="FFFFFF"/>
        </w:rPr>
        <w:t xml:space="preserve"> Department </w:t>
      </w:r>
      <w:r w:rsidR="00F72EFB">
        <w:rPr>
          <w:color w:val="000000"/>
          <w:shd w:val="clear" w:color="auto" w:fill="FFFFFF"/>
        </w:rPr>
        <w:t xml:space="preserve">of Home Affairs </w:t>
      </w:r>
      <w:r w:rsidR="008F6C87">
        <w:rPr>
          <w:color w:val="000000"/>
          <w:shd w:val="clear" w:color="auto" w:fill="FFFFFF"/>
        </w:rPr>
        <w:t xml:space="preserve">(Home Affairs) </w:t>
      </w:r>
      <w:r>
        <w:rPr>
          <w:color w:val="000000"/>
          <w:shd w:val="clear" w:color="auto" w:fill="FFFFFF"/>
        </w:rPr>
        <w:t>undertake</w:t>
      </w:r>
      <w:r w:rsidR="00E03C91">
        <w:rPr>
          <w:color w:val="000000"/>
          <w:shd w:val="clear" w:color="auto" w:fill="FFFFFF"/>
        </w:rPr>
        <w:t>s</w:t>
      </w:r>
      <w:r>
        <w:rPr>
          <w:color w:val="000000"/>
          <w:shd w:val="clear" w:color="auto" w:fill="FFFFFF"/>
        </w:rPr>
        <w:t xml:space="preserve"> a biannual update of the exchange rates for the specified foreign curre</w:t>
      </w:r>
      <w:r w:rsidR="008C53CC">
        <w:rPr>
          <w:color w:val="000000"/>
          <w:shd w:val="clear" w:color="auto" w:fill="FFFFFF"/>
        </w:rPr>
        <w:t>ncies to the Australian dollar</w:t>
      </w:r>
      <w:r>
        <w:rPr>
          <w:color w:val="000000"/>
          <w:shd w:val="clear" w:color="auto" w:fill="FFFFFF"/>
        </w:rPr>
        <w:t>. The</w:t>
      </w:r>
      <w:r w:rsidR="006C729B">
        <w:rPr>
          <w:color w:val="000000"/>
          <w:shd w:val="clear" w:color="auto" w:fill="FFFFFF"/>
        </w:rPr>
        <w:t xml:space="preserve"> purpose of this instrument is </w:t>
      </w:r>
      <w:r>
        <w:rPr>
          <w:color w:val="000000"/>
          <w:shd w:val="clear" w:color="auto" w:fill="FFFFFF"/>
        </w:rPr>
        <w:t>to reflect changes in foreign currencies exchange rates since the previous update.</w:t>
      </w:r>
      <w:r w:rsidR="00AE6BB4">
        <w:rPr>
          <w:color w:val="000000"/>
          <w:shd w:val="clear" w:color="auto" w:fill="FFFFFF"/>
        </w:rPr>
        <w:t xml:space="preserve"> </w:t>
      </w:r>
      <w:r w:rsidR="00E03C91">
        <w:rPr>
          <w:color w:val="000000"/>
          <w:shd w:val="clear" w:color="auto" w:fill="FFFFFF"/>
        </w:rPr>
        <w:t>LIN 21/003</w:t>
      </w:r>
      <w:r w:rsidR="00D06E80">
        <w:rPr>
          <w:color w:val="000000"/>
          <w:shd w:val="clear" w:color="auto" w:fill="FFFFFF"/>
        </w:rPr>
        <w:t xml:space="preserve"> ensures that </w:t>
      </w:r>
      <w:r w:rsidR="004E5490">
        <w:rPr>
          <w:color w:val="000000"/>
          <w:shd w:val="clear" w:color="auto" w:fill="FFFFFF"/>
        </w:rPr>
        <w:t xml:space="preserve">Home Affairs </w:t>
      </w:r>
      <w:r w:rsidR="00D06E80">
        <w:rPr>
          <w:color w:val="000000"/>
          <w:shd w:val="clear" w:color="auto" w:fill="FFFFFF"/>
        </w:rPr>
        <w:t xml:space="preserve">officers stationed at </w:t>
      </w:r>
      <w:r w:rsidR="00AE6BB4">
        <w:rPr>
          <w:color w:val="000000"/>
          <w:shd w:val="clear" w:color="auto" w:fill="FFFFFF"/>
        </w:rPr>
        <w:t xml:space="preserve">overseas posts </w:t>
      </w:r>
      <w:r w:rsidR="00D06E80">
        <w:rPr>
          <w:color w:val="000000"/>
          <w:shd w:val="clear" w:color="auto" w:fill="FFFFFF"/>
        </w:rPr>
        <w:t xml:space="preserve">can advise on and </w:t>
      </w:r>
      <w:r w:rsidR="00AE6BB4">
        <w:rPr>
          <w:color w:val="000000"/>
          <w:shd w:val="clear" w:color="auto" w:fill="FFFFFF"/>
        </w:rPr>
        <w:t>collect the correct amount of visa application charge payments</w:t>
      </w:r>
      <w:r w:rsidR="00D06E80">
        <w:rPr>
          <w:color w:val="000000"/>
          <w:shd w:val="clear" w:color="auto" w:fill="FFFFFF"/>
        </w:rPr>
        <w:t xml:space="preserve"> from clients</w:t>
      </w:r>
      <w:r w:rsidR="00AE6BB4">
        <w:rPr>
          <w:color w:val="000000"/>
          <w:shd w:val="clear" w:color="auto" w:fill="FFFFFF"/>
        </w:rPr>
        <w:t xml:space="preserve">.  </w:t>
      </w:r>
    </w:p>
    <w:p w14:paraId="3F3F4C58" w14:textId="77777777" w:rsidR="008B24C8" w:rsidRDefault="008B24C8" w:rsidP="008827D3">
      <w:pPr>
        <w:pStyle w:val="ESHeading"/>
        <w:jc w:val="both"/>
      </w:pPr>
      <w:r w:rsidRPr="008B24C8">
        <w:t>Consultation</w:t>
      </w:r>
    </w:p>
    <w:p w14:paraId="3CB9723D" w14:textId="2422FF03" w:rsidR="00EC4E70" w:rsidRDefault="00024922" w:rsidP="00EC4E70">
      <w:pPr>
        <w:pStyle w:val="ESPara"/>
      </w:pPr>
      <w:r>
        <w:t xml:space="preserve">In accordance with paragraph 15J(2)(e) of the </w:t>
      </w:r>
      <w:r>
        <w:rPr>
          <w:i/>
          <w:iCs/>
        </w:rPr>
        <w:t>Legislation Act 2003</w:t>
      </w:r>
      <w:r>
        <w:t>, consultation was not necessary. The instrument is of a minor nature and does not substantially alter existing arrangements.</w:t>
      </w:r>
      <w:r w:rsidR="00EC4E70">
        <w:t xml:space="preserve"> </w:t>
      </w:r>
    </w:p>
    <w:p w14:paraId="66224643" w14:textId="498573EE" w:rsidR="008B24C8" w:rsidRPr="008B24C8" w:rsidRDefault="008B24C8" w:rsidP="008827D3">
      <w:pPr>
        <w:pStyle w:val="ESPara"/>
        <w:jc w:val="both"/>
      </w:pPr>
      <w:r w:rsidRPr="008B24C8">
        <w:t xml:space="preserve">The Office of Best Practice Regulation (OBPR) </w:t>
      </w:r>
      <w:r w:rsidR="005543C0">
        <w:t xml:space="preserve">has advised </w:t>
      </w:r>
      <w:r w:rsidRPr="008B24C8">
        <w:t>that the instrument dealt with m</w:t>
      </w:r>
      <w:r>
        <w:t xml:space="preserve">atters of a minor </w:t>
      </w:r>
      <w:r w:rsidR="00AE6BB4">
        <w:t>machinery</w:t>
      </w:r>
      <w:r w:rsidRPr="008B24C8">
        <w:t xml:space="preserve"> nature and no regulatory impact statement was required.  </w:t>
      </w:r>
      <w:r>
        <w:t>The OBPR re</w:t>
      </w:r>
      <w:r w:rsidR="00AE6BB4">
        <w:t>ference number is 25184</w:t>
      </w:r>
      <w:r w:rsidRPr="008B24C8">
        <w:t>.</w:t>
      </w:r>
    </w:p>
    <w:p w14:paraId="4BEE5B2B" w14:textId="77777777" w:rsidR="00AA4557" w:rsidRDefault="00464080" w:rsidP="008827D3">
      <w:pPr>
        <w:pStyle w:val="ESHeading"/>
        <w:jc w:val="both"/>
      </w:pPr>
      <w:r>
        <w:t>Details</w:t>
      </w:r>
      <w:r w:rsidR="00AA4557">
        <w:t xml:space="preserve"> of the instrument</w:t>
      </w:r>
    </w:p>
    <w:p w14:paraId="122C70DE" w14:textId="1D931F06" w:rsidR="00AA4557" w:rsidRDefault="00D9528D" w:rsidP="008827D3">
      <w:pPr>
        <w:pStyle w:val="ESPara"/>
        <w:jc w:val="both"/>
      </w:pPr>
      <w:r>
        <w:t xml:space="preserve">Paragraph </w:t>
      </w:r>
      <w:r w:rsidR="00E03C91">
        <w:t>(</w:t>
      </w:r>
      <w:r>
        <w:t>a</w:t>
      </w:r>
      <w:r w:rsidR="00E03C91">
        <w:t>)</w:t>
      </w:r>
      <w:r w:rsidR="00CF30A3">
        <w:t xml:space="preserve"> </w:t>
      </w:r>
      <w:r w:rsidR="005335CD">
        <w:t xml:space="preserve">states each currency is specified in </w:t>
      </w:r>
      <w:r w:rsidR="00973888">
        <w:t xml:space="preserve">the table in </w:t>
      </w:r>
      <w:r w:rsidR="005335CD">
        <w:t>Schedule 1 of the instrument</w:t>
      </w:r>
      <w:r w:rsidR="00E03DCC">
        <w:t xml:space="preserve">. </w:t>
      </w:r>
    </w:p>
    <w:p w14:paraId="4DF2ABDF" w14:textId="37F9DD00" w:rsidR="00AA4557" w:rsidRDefault="005335CD" w:rsidP="008827D3">
      <w:pPr>
        <w:pStyle w:val="ESPara"/>
        <w:jc w:val="both"/>
      </w:pPr>
      <w:r>
        <w:t xml:space="preserve">Paragraph </w:t>
      </w:r>
      <w:r w:rsidR="00E03C91">
        <w:t>(</w:t>
      </w:r>
      <w:r>
        <w:t>b</w:t>
      </w:r>
      <w:r w:rsidR="00E03C91">
        <w:t xml:space="preserve">) </w:t>
      </w:r>
      <w:r>
        <w:t xml:space="preserve">states </w:t>
      </w:r>
      <w:r w:rsidR="00973888">
        <w:t>the exchange rate for each currency specified in the table</w:t>
      </w:r>
      <w:r>
        <w:t xml:space="preserve"> in Schedule 1 of the instrument</w:t>
      </w:r>
      <w:r w:rsidR="00AA4557">
        <w:t>.</w:t>
      </w:r>
    </w:p>
    <w:p w14:paraId="29ACE30A" w14:textId="77777777" w:rsidR="005543C0" w:rsidRDefault="005335CD" w:rsidP="006C729B">
      <w:pPr>
        <w:pStyle w:val="ESPara"/>
        <w:jc w:val="both"/>
      </w:pPr>
      <w:r>
        <w:t xml:space="preserve">Paragraph </w:t>
      </w:r>
      <w:r w:rsidR="00973888">
        <w:t>(c)</w:t>
      </w:r>
      <w:r w:rsidR="00CF30A3">
        <w:t xml:space="preserve"> </w:t>
      </w:r>
      <w:r>
        <w:t xml:space="preserve">repeals </w:t>
      </w:r>
      <w:r w:rsidR="00233261" w:rsidRPr="0046198D">
        <w:rPr>
          <w:i/>
        </w:rPr>
        <w:t>Migration (LIN 21/001: Payment of Visa Application Charges and Fees in Foreign Currencies) Instrument 2021</w:t>
      </w:r>
      <w:r w:rsidR="006C729B">
        <w:t>.</w:t>
      </w:r>
      <w:r w:rsidR="005543C0">
        <w:t xml:space="preserve"> </w:t>
      </w:r>
    </w:p>
    <w:p w14:paraId="389DC56E" w14:textId="327E1308" w:rsidR="006C729B" w:rsidRDefault="00233261" w:rsidP="006C729B">
      <w:pPr>
        <w:pStyle w:val="ESPara"/>
        <w:jc w:val="both"/>
      </w:pPr>
      <w:r>
        <w:t xml:space="preserve">Schedule 1 sets out the </w:t>
      </w:r>
      <w:r w:rsidR="005C210D">
        <w:t xml:space="preserve">updated </w:t>
      </w:r>
      <w:r>
        <w:t>currencies and corresponding exchange rate</w:t>
      </w:r>
      <w:r w:rsidR="00973888">
        <w:t xml:space="preserve"> in a table.</w:t>
      </w:r>
      <w:r>
        <w:t xml:space="preserve"> </w:t>
      </w:r>
    </w:p>
    <w:p w14:paraId="69BE3A42" w14:textId="0C8879A0" w:rsidR="006C729B" w:rsidRDefault="006C729B" w:rsidP="006C729B">
      <w:pPr>
        <w:pStyle w:val="ESPara"/>
        <w:jc w:val="both"/>
      </w:pPr>
      <w:r>
        <w:rPr>
          <w:color w:val="000000"/>
          <w:shd w:val="clear" w:color="auto" w:fill="FFFFFF"/>
        </w:rPr>
        <w:lastRenderedPageBreak/>
        <w:t xml:space="preserve">Schedule 1 sets out the </w:t>
      </w:r>
      <w:r>
        <w:t>International Organization for Standardization (ISO) Code listed for each currency in the table for information only.</w:t>
      </w:r>
    </w:p>
    <w:p w14:paraId="268B2E71" w14:textId="77777777" w:rsidR="00AA4557" w:rsidRPr="00AA4557" w:rsidRDefault="00AA4557" w:rsidP="00B70A66">
      <w:pPr>
        <w:pStyle w:val="ESPara"/>
        <w:numPr>
          <w:ilvl w:val="0"/>
          <w:numId w:val="0"/>
        </w:numPr>
        <w:jc w:val="both"/>
      </w:pPr>
      <w:r w:rsidRPr="00B70A66">
        <w:rPr>
          <w:b/>
        </w:rPr>
        <w:t>Parliamentary scrutiny etc</w:t>
      </w:r>
      <w:r>
        <w:t xml:space="preserve">.  </w:t>
      </w:r>
    </w:p>
    <w:p w14:paraId="44816125" w14:textId="77777777" w:rsidR="00E03DCC" w:rsidRDefault="00E03DCC" w:rsidP="008827D3">
      <w:pPr>
        <w:pStyle w:val="ESPara"/>
        <w:jc w:val="both"/>
      </w:pPr>
      <w:r>
        <w:t xml:space="preserve">The instrument is exempt from disallowance under section 42 of the Legislation Act.  This is because </w:t>
      </w:r>
      <w:r w:rsidR="00D06E80">
        <w:rPr>
          <w:rFonts w:ascii="Helvetica Neue" w:hAnsi="Helvetica Neue"/>
        </w:rPr>
        <w:t xml:space="preserve">under paragraph (b) of item 20 of the table in section 10 of the </w:t>
      </w:r>
      <w:r w:rsidR="00D06E80">
        <w:rPr>
          <w:rFonts w:ascii="Helvetica Neue" w:hAnsi="Helvetica Neue"/>
          <w:i/>
          <w:iCs/>
        </w:rPr>
        <w:t>Legislation (Exemptions and Other Matters) Regulation 2015</w:t>
      </w:r>
      <w:r w:rsidR="00D06E80">
        <w:rPr>
          <w:rFonts w:ascii="Helvetica Neue" w:hAnsi="Helvetica Neue"/>
        </w:rPr>
        <w:t>, the instrument is exempt from disallowance and therefore a Statement of Compatibility with Human Rights is not required.</w:t>
      </w:r>
    </w:p>
    <w:p w14:paraId="327895D8" w14:textId="77777777" w:rsidR="00915032" w:rsidRPr="0024066D" w:rsidRDefault="00B75478" w:rsidP="008827D3">
      <w:pPr>
        <w:pStyle w:val="ESPara"/>
        <w:jc w:val="both"/>
      </w:pPr>
      <w:r w:rsidRPr="00B75478">
        <w:t xml:space="preserve">The </w:t>
      </w:r>
      <w:r>
        <w:t xml:space="preserve">instrument was made by </w:t>
      </w:r>
      <w:r w:rsidR="00D06E80">
        <w:t>the Chief Finance Officer, Finance Division</w:t>
      </w:r>
      <w:r>
        <w:t xml:space="preserve">, in accordance with the </w:t>
      </w:r>
      <w:r w:rsidR="0024066D" w:rsidRPr="0024066D">
        <w:rPr>
          <w:i/>
        </w:rPr>
        <w:t>M</w:t>
      </w:r>
      <w:r w:rsidR="0024066D">
        <w:rPr>
          <w:i/>
        </w:rPr>
        <w:t>igration (Minister—Instrument-making powers for Department and Australian Border Force) Delegation 2021</w:t>
      </w:r>
      <w:r>
        <w:t xml:space="preserve">.  </w:t>
      </w:r>
    </w:p>
    <w:sectPr w:rsidR="00915032" w:rsidRPr="0024066D" w:rsidSect="004F5CE4">
      <w:pgSz w:w="11906" w:h="16838"/>
      <w:pgMar w:top="1440"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532A9"/>
    <w:multiLevelType w:val="hybridMultilevel"/>
    <w:tmpl w:val="0CF8EFB2"/>
    <w:lvl w:ilvl="0" w:tplc="12886F5C">
      <w:start w:val="1"/>
      <w:numFmt w:val="decimal"/>
      <w:pStyle w:val="ESSubparaHeader"/>
      <w:lvlText w:val="%1"/>
      <w:lvlJc w:val="left"/>
      <w:pPr>
        <w:ind w:left="720" w:hanging="360"/>
      </w:pPr>
      <w:rPr>
        <w:rFonts w:hint="default"/>
        <w:b w:val="0"/>
        <w:i w:val="0"/>
        <w:color w:val="auto"/>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CE86367"/>
    <w:multiLevelType w:val="multilevel"/>
    <w:tmpl w:val="441C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1214D3"/>
    <w:multiLevelType w:val="multilevel"/>
    <w:tmpl w:val="39AE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070F00"/>
    <w:multiLevelType w:val="hybridMultilevel"/>
    <w:tmpl w:val="4434E2B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2"/>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06B"/>
    <w:rsid w:val="00024922"/>
    <w:rsid w:val="000328DD"/>
    <w:rsid w:val="0006780D"/>
    <w:rsid w:val="000D014F"/>
    <w:rsid w:val="000F11AA"/>
    <w:rsid w:val="00100DFC"/>
    <w:rsid w:val="00125AC6"/>
    <w:rsid w:val="00132DEF"/>
    <w:rsid w:val="00155A97"/>
    <w:rsid w:val="001651B4"/>
    <w:rsid w:val="0019164E"/>
    <w:rsid w:val="001C72B5"/>
    <w:rsid w:val="002167A2"/>
    <w:rsid w:val="00233261"/>
    <w:rsid w:val="002402E0"/>
    <w:rsid w:val="0024066D"/>
    <w:rsid w:val="00275197"/>
    <w:rsid w:val="002D167E"/>
    <w:rsid w:val="003318E0"/>
    <w:rsid w:val="00367D36"/>
    <w:rsid w:val="003D4883"/>
    <w:rsid w:val="00457D4A"/>
    <w:rsid w:val="00464080"/>
    <w:rsid w:val="004656D3"/>
    <w:rsid w:val="004846FE"/>
    <w:rsid w:val="004867C0"/>
    <w:rsid w:val="004D48C2"/>
    <w:rsid w:val="004E206A"/>
    <w:rsid w:val="004E5490"/>
    <w:rsid w:val="004F5CE4"/>
    <w:rsid w:val="00524D61"/>
    <w:rsid w:val="005335CD"/>
    <w:rsid w:val="00552124"/>
    <w:rsid w:val="005543C0"/>
    <w:rsid w:val="00560B24"/>
    <w:rsid w:val="0057002B"/>
    <w:rsid w:val="005C210D"/>
    <w:rsid w:val="00604E06"/>
    <w:rsid w:val="00641BD1"/>
    <w:rsid w:val="006A269B"/>
    <w:rsid w:val="006B61D4"/>
    <w:rsid w:val="006C729B"/>
    <w:rsid w:val="006E406A"/>
    <w:rsid w:val="00744298"/>
    <w:rsid w:val="0076435F"/>
    <w:rsid w:val="007A1D5D"/>
    <w:rsid w:val="007B2EB1"/>
    <w:rsid w:val="007C4E62"/>
    <w:rsid w:val="007E4691"/>
    <w:rsid w:val="007F00EA"/>
    <w:rsid w:val="008171B8"/>
    <w:rsid w:val="0083557F"/>
    <w:rsid w:val="00881BDE"/>
    <w:rsid w:val="008827D3"/>
    <w:rsid w:val="0088407D"/>
    <w:rsid w:val="008B24C8"/>
    <w:rsid w:val="008C53CC"/>
    <w:rsid w:val="008F6C87"/>
    <w:rsid w:val="00915032"/>
    <w:rsid w:val="00965F26"/>
    <w:rsid w:val="00973888"/>
    <w:rsid w:val="00992CB1"/>
    <w:rsid w:val="009B1343"/>
    <w:rsid w:val="00A65DE2"/>
    <w:rsid w:val="00AA4557"/>
    <w:rsid w:val="00AE6BB4"/>
    <w:rsid w:val="00B17BF0"/>
    <w:rsid w:val="00B20B8E"/>
    <w:rsid w:val="00B30C3F"/>
    <w:rsid w:val="00B445D9"/>
    <w:rsid w:val="00B53CDD"/>
    <w:rsid w:val="00B65A06"/>
    <w:rsid w:val="00B70A66"/>
    <w:rsid w:val="00B75478"/>
    <w:rsid w:val="00BB0CF2"/>
    <w:rsid w:val="00BD598E"/>
    <w:rsid w:val="00C45081"/>
    <w:rsid w:val="00C814DC"/>
    <w:rsid w:val="00C81A5E"/>
    <w:rsid w:val="00C930F2"/>
    <w:rsid w:val="00CF30A3"/>
    <w:rsid w:val="00D06E80"/>
    <w:rsid w:val="00D40E1E"/>
    <w:rsid w:val="00D9528D"/>
    <w:rsid w:val="00DA48E3"/>
    <w:rsid w:val="00E03C91"/>
    <w:rsid w:val="00E03DCC"/>
    <w:rsid w:val="00E1306C"/>
    <w:rsid w:val="00E33483"/>
    <w:rsid w:val="00E45FE2"/>
    <w:rsid w:val="00E71074"/>
    <w:rsid w:val="00E8264A"/>
    <w:rsid w:val="00E97AE8"/>
    <w:rsid w:val="00EA12C9"/>
    <w:rsid w:val="00EA3828"/>
    <w:rsid w:val="00EC1C00"/>
    <w:rsid w:val="00EC4BD5"/>
    <w:rsid w:val="00EC4E70"/>
    <w:rsid w:val="00F15B2E"/>
    <w:rsid w:val="00F4706B"/>
    <w:rsid w:val="00F72C22"/>
    <w:rsid w:val="00F72EFB"/>
    <w:rsid w:val="00FE0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C96E"/>
  <w15:chartTrackingRefBased/>
  <w15:docId w15:val="{148312AD-3886-404A-8CA9-A0068332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Hyperlink">
    <w:name w:val="Hyperlink"/>
    <w:basedOn w:val="DefaultParagraphFont"/>
    <w:uiPriority w:val="99"/>
    <w:unhideWhenUsed/>
    <w:rsid w:val="00D06E80"/>
    <w:rPr>
      <w:color w:val="0563C1" w:themeColor="hyperlink"/>
      <w:u w:val="single"/>
    </w:rPr>
  </w:style>
  <w:style w:type="character" w:styleId="CommentReference">
    <w:name w:val="annotation reference"/>
    <w:basedOn w:val="DefaultParagraphFont"/>
    <w:uiPriority w:val="99"/>
    <w:semiHidden/>
    <w:unhideWhenUsed/>
    <w:rsid w:val="0024066D"/>
    <w:rPr>
      <w:sz w:val="16"/>
      <w:szCs w:val="16"/>
    </w:rPr>
  </w:style>
  <w:style w:type="paragraph" w:styleId="CommentText">
    <w:name w:val="annotation text"/>
    <w:basedOn w:val="Normal"/>
    <w:link w:val="CommentTextChar"/>
    <w:uiPriority w:val="99"/>
    <w:semiHidden/>
    <w:unhideWhenUsed/>
    <w:rsid w:val="0024066D"/>
    <w:pPr>
      <w:spacing w:line="240" w:lineRule="auto"/>
    </w:pPr>
    <w:rPr>
      <w:sz w:val="20"/>
      <w:szCs w:val="20"/>
    </w:rPr>
  </w:style>
  <w:style w:type="character" w:customStyle="1" w:styleId="CommentTextChar">
    <w:name w:val="Comment Text Char"/>
    <w:basedOn w:val="DefaultParagraphFont"/>
    <w:link w:val="CommentText"/>
    <w:uiPriority w:val="99"/>
    <w:semiHidden/>
    <w:rsid w:val="0024066D"/>
    <w:rPr>
      <w:sz w:val="20"/>
      <w:szCs w:val="20"/>
    </w:rPr>
  </w:style>
  <w:style w:type="paragraph" w:styleId="CommentSubject">
    <w:name w:val="annotation subject"/>
    <w:basedOn w:val="CommentText"/>
    <w:next w:val="CommentText"/>
    <w:link w:val="CommentSubjectChar"/>
    <w:uiPriority w:val="99"/>
    <w:semiHidden/>
    <w:unhideWhenUsed/>
    <w:rsid w:val="0024066D"/>
    <w:rPr>
      <w:b/>
      <w:bCs/>
    </w:rPr>
  </w:style>
  <w:style w:type="character" w:customStyle="1" w:styleId="CommentSubjectChar">
    <w:name w:val="Comment Subject Char"/>
    <w:basedOn w:val="CommentTextChar"/>
    <w:link w:val="CommentSubject"/>
    <w:uiPriority w:val="99"/>
    <w:semiHidden/>
    <w:rsid w:val="0024066D"/>
    <w:rPr>
      <w:b/>
      <w:bCs/>
      <w:sz w:val="20"/>
      <w:szCs w:val="20"/>
    </w:rPr>
  </w:style>
  <w:style w:type="paragraph" w:styleId="BalloonText">
    <w:name w:val="Balloon Text"/>
    <w:basedOn w:val="Normal"/>
    <w:link w:val="BalloonTextChar"/>
    <w:uiPriority w:val="99"/>
    <w:semiHidden/>
    <w:unhideWhenUsed/>
    <w:rsid w:val="00240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66D"/>
    <w:rPr>
      <w:rFonts w:ascii="Segoe UI" w:hAnsi="Segoe UI" w:cs="Segoe UI"/>
      <w:sz w:val="18"/>
      <w:szCs w:val="18"/>
    </w:rPr>
  </w:style>
  <w:style w:type="character" w:styleId="Emphasis">
    <w:name w:val="Emphasis"/>
    <w:basedOn w:val="DefaultParagraphFont"/>
    <w:uiPriority w:val="20"/>
    <w:qFormat/>
    <w:rsid w:val="000328DD"/>
    <w:rPr>
      <w:i/>
      <w:iCs/>
    </w:rPr>
  </w:style>
  <w:style w:type="character" w:styleId="Strong">
    <w:name w:val="Strong"/>
    <w:basedOn w:val="DefaultParagraphFont"/>
    <w:uiPriority w:val="22"/>
    <w:qFormat/>
    <w:rsid w:val="000328DD"/>
    <w:rPr>
      <w:b/>
      <w:bCs/>
    </w:rPr>
  </w:style>
  <w:style w:type="paragraph" w:customStyle="1" w:styleId="contentelement-indentone1">
    <w:name w:val="contentelement-indentone1"/>
    <w:basedOn w:val="Normal"/>
    <w:rsid w:val="000328DD"/>
    <w:pPr>
      <w:spacing w:before="240" w:after="240" w:line="240" w:lineRule="auto"/>
      <w:ind w:left="468"/>
    </w:pPr>
    <w:rPr>
      <w:rFonts w:ascii="Times New Roman" w:eastAsia="Times New Roman" w:hAnsi="Times New Roman" w:cs="Times New Roman"/>
      <w:sz w:val="24"/>
      <w:szCs w:val="24"/>
      <w:lang w:eastAsia="en-AU"/>
    </w:rPr>
  </w:style>
  <w:style w:type="paragraph" w:customStyle="1" w:styleId="contentelement-indenttwo1">
    <w:name w:val="contentelement-indenttwo1"/>
    <w:basedOn w:val="Normal"/>
    <w:rsid w:val="000328DD"/>
    <w:pPr>
      <w:spacing w:before="240" w:after="240" w:line="240" w:lineRule="auto"/>
      <w:ind w:left="936"/>
    </w:pPr>
    <w:rPr>
      <w:rFonts w:ascii="Times New Roman" w:eastAsia="Times New Roman" w:hAnsi="Times New Roman" w:cs="Times New Roman"/>
      <w:sz w:val="24"/>
      <w:szCs w:val="24"/>
      <w:lang w:eastAsia="en-AU"/>
    </w:rPr>
  </w:style>
  <w:style w:type="paragraph" w:styleId="Revision">
    <w:name w:val="Revision"/>
    <w:hidden/>
    <w:uiPriority w:val="99"/>
    <w:semiHidden/>
    <w:rsid w:val="004E20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070057">
      <w:bodyDiv w:val="1"/>
      <w:marLeft w:val="0"/>
      <w:marRight w:val="0"/>
      <w:marTop w:val="0"/>
      <w:marBottom w:val="0"/>
      <w:divBdr>
        <w:top w:val="none" w:sz="0" w:space="0" w:color="auto"/>
        <w:left w:val="none" w:sz="0" w:space="0" w:color="auto"/>
        <w:bottom w:val="none" w:sz="0" w:space="0" w:color="auto"/>
        <w:right w:val="none" w:sz="0" w:space="0" w:color="auto"/>
      </w:divBdr>
      <w:divsChild>
        <w:div w:id="384567971">
          <w:marLeft w:val="0"/>
          <w:marRight w:val="0"/>
          <w:marTop w:val="0"/>
          <w:marBottom w:val="0"/>
          <w:divBdr>
            <w:top w:val="none" w:sz="0" w:space="0" w:color="auto"/>
            <w:left w:val="none" w:sz="0" w:space="0" w:color="auto"/>
            <w:bottom w:val="none" w:sz="0" w:space="0" w:color="auto"/>
            <w:right w:val="none" w:sz="0" w:space="0" w:color="auto"/>
          </w:divBdr>
          <w:divsChild>
            <w:div w:id="912550206">
              <w:marLeft w:val="0"/>
              <w:marRight w:val="0"/>
              <w:marTop w:val="0"/>
              <w:marBottom w:val="0"/>
              <w:divBdr>
                <w:top w:val="none" w:sz="0" w:space="0" w:color="auto"/>
                <w:left w:val="none" w:sz="0" w:space="0" w:color="auto"/>
                <w:bottom w:val="none" w:sz="0" w:space="0" w:color="auto"/>
                <w:right w:val="none" w:sz="0" w:space="0" w:color="auto"/>
              </w:divBdr>
              <w:divsChild>
                <w:div w:id="328558507">
                  <w:marLeft w:val="0"/>
                  <w:marRight w:val="0"/>
                  <w:marTop w:val="0"/>
                  <w:marBottom w:val="0"/>
                  <w:divBdr>
                    <w:top w:val="none" w:sz="0" w:space="0" w:color="auto"/>
                    <w:left w:val="none" w:sz="0" w:space="0" w:color="auto"/>
                    <w:bottom w:val="none" w:sz="0" w:space="0" w:color="auto"/>
                    <w:right w:val="none" w:sz="0" w:space="0" w:color="auto"/>
                  </w:divBdr>
                  <w:divsChild>
                    <w:div w:id="1488744259">
                      <w:marLeft w:val="0"/>
                      <w:marRight w:val="0"/>
                      <w:marTop w:val="0"/>
                      <w:marBottom w:val="0"/>
                      <w:divBdr>
                        <w:top w:val="none" w:sz="0" w:space="0" w:color="auto"/>
                        <w:left w:val="none" w:sz="0" w:space="0" w:color="auto"/>
                        <w:bottom w:val="none" w:sz="0" w:space="0" w:color="auto"/>
                        <w:right w:val="none" w:sz="0" w:space="0" w:color="auto"/>
                      </w:divBdr>
                      <w:divsChild>
                        <w:div w:id="603270062">
                          <w:marLeft w:val="0"/>
                          <w:marRight w:val="0"/>
                          <w:marTop w:val="0"/>
                          <w:marBottom w:val="0"/>
                          <w:divBdr>
                            <w:top w:val="none" w:sz="0" w:space="0" w:color="auto"/>
                            <w:left w:val="none" w:sz="0" w:space="0" w:color="auto"/>
                            <w:bottom w:val="none" w:sz="0" w:space="0" w:color="auto"/>
                            <w:right w:val="none" w:sz="0" w:space="0" w:color="auto"/>
                          </w:divBdr>
                          <w:divsChild>
                            <w:div w:id="305595296">
                              <w:marLeft w:val="0"/>
                              <w:marRight w:val="0"/>
                              <w:marTop w:val="0"/>
                              <w:marBottom w:val="0"/>
                              <w:divBdr>
                                <w:top w:val="none" w:sz="0" w:space="0" w:color="auto"/>
                                <w:left w:val="none" w:sz="0" w:space="0" w:color="auto"/>
                                <w:bottom w:val="none" w:sz="0" w:space="0" w:color="auto"/>
                                <w:right w:val="none" w:sz="0" w:space="0" w:color="auto"/>
                              </w:divBdr>
                              <w:divsChild>
                                <w:div w:id="1635528494">
                                  <w:marLeft w:val="0"/>
                                  <w:marRight w:val="0"/>
                                  <w:marTop w:val="0"/>
                                  <w:marBottom w:val="0"/>
                                  <w:divBdr>
                                    <w:top w:val="none" w:sz="0" w:space="0" w:color="auto"/>
                                    <w:left w:val="none" w:sz="0" w:space="0" w:color="auto"/>
                                    <w:bottom w:val="none" w:sz="0" w:space="0" w:color="auto"/>
                                    <w:right w:val="none" w:sz="0" w:space="0" w:color="auto"/>
                                  </w:divBdr>
                                  <w:divsChild>
                                    <w:div w:id="2072583282">
                                      <w:marLeft w:val="0"/>
                                      <w:marRight w:val="0"/>
                                      <w:marTop w:val="0"/>
                                      <w:marBottom w:val="0"/>
                                      <w:divBdr>
                                        <w:top w:val="none" w:sz="0" w:space="0" w:color="auto"/>
                                        <w:left w:val="none" w:sz="0" w:space="0" w:color="auto"/>
                                        <w:bottom w:val="none" w:sz="0" w:space="0" w:color="auto"/>
                                        <w:right w:val="none" w:sz="0" w:space="0" w:color="auto"/>
                                      </w:divBdr>
                                      <w:divsChild>
                                        <w:div w:id="128331409">
                                          <w:marLeft w:val="0"/>
                                          <w:marRight w:val="0"/>
                                          <w:marTop w:val="0"/>
                                          <w:marBottom w:val="0"/>
                                          <w:divBdr>
                                            <w:top w:val="none" w:sz="0" w:space="0" w:color="auto"/>
                                            <w:left w:val="none" w:sz="0" w:space="0" w:color="auto"/>
                                            <w:bottom w:val="none" w:sz="0" w:space="0" w:color="auto"/>
                                            <w:right w:val="none" w:sz="0" w:space="0" w:color="auto"/>
                                          </w:divBdr>
                                          <w:divsChild>
                                            <w:div w:id="1060667011">
                                              <w:marLeft w:val="0"/>
                                              <w:marRight w:val="0"/>
                                              <w:marTop w:val="0"/>
                                              <w:marBottom w:val="0"/>
                                              <w:divBdr>
                                                <w:top w:val="none" w:sz="0" w:space="0" w:color="auto"/>
                                                <w:left w:val="none" w:sz="0" w:space="0" w:color="auto"/>
                                                <w:bottom w:val="none" w:sz="0" w:space="0" w:color="auto"/>
                                                <w:right w:val="none" w:sz="0" w:space="0" w:color="auto"/>
                                              </w:divBdr>
                                              <w:divsChild>
                                                <w:div w:id="295258886">
                                                  <w:marLeft w:val="0"/>
                                                  <w:marRight w:val="0"/>
                                                  <w:marTop w:val="0"/>
                                                  <w:marBottom w:val="0"/>
                                                  <w:divBdr>
                                                    <w:top w:val="none" w:sz="0" w:space="0" w:color="auto"/>
                                                    <w:left w:val="none" w:sz="0" w:space="0" w:color="auto"/>
                                                    <w:bottom w:val="none" w:sz="0" w:space="0" w:color="auto"/>
                                                    <w:right w:val="none" w:sz="0" w:space="0" w:color="auto"/>
                                                  </w:divBdr>
                                                  <w:divsChild>
                                                    <w:div w:id="2071879320">
                                                      <w:marLeft w:val="0"/>
                                                      <w:marRight w:val="0"/>
                                                      <w:marTop w:val="0"/>
                                                      <w:marBottom w:val="0"/>
                                                      <w:divBdr>
                                                        <w:top w:val="none" w:sz="0" w:space="0" w:color="auto"/>
                                                        <w:left w:val="none" w:sz="0" w:space="0" w:color="auto"/>
                                                        <w:bottom w:val="none" w:sz="0" w:space="0" w:color="auto"/>
                                                        <w:right w:val="none" w:sz="0" w:space="0" w:color="auto"/>
                                                      </w:divBdr>
                                                      <w:divsChild>
                                                        <w:div w:id="21209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6853892">
      <w:bodyDiv w:val="1"/>
      <w:marLeft w:val="0"/>
      <w:marRight w:val="0"/>
      <w:marTop w:val="0"/>
      <w:marBottom w:val="0"/>
      <w:divBdr>
        <w:top w:val="none" w:sz="0" w:space="0" w:color="auto"/>
        <w:left w:val="none" w:sz="0" w:space="0" w:color="auto"/>
        <w:bottom w:val="none" w:sz="0" w:space="0" w:color="auto"/>
        <w:right w:val="none" w:sz="0" w:space="0" w:color="auto"/>
      </w:divBdr>
      <w:divsChild>
        <w:div w:id="1888569967">
          <w:marLeft w:val="0"/>
          <w:marRight w:val="0"/>
          <w:marTop w:val="0"/>
          <w:marBottom w:val="0"/>
          <w:divBdr>
            <w:top w:val="none" w:sz="0" w:space="0" w:color="auto"/>
            <w:left w:val="none" w:sz="0" w:space="0" w:color="auto"/>
            <w:bottom w:val="none" w:sz="0" w:space="0" w:color="auto"/>
            <w:right w:val="none" w:sz="0" w:space="0" w:color="auto"/>
          </w:divBdr>
          <w:divsChild>
            <w:div w:id="1540387114">
              <w:marLeft w:val="0"/>
              <w:marRight w:val="0"/>
              <w:marTop w:val="0"/>
              <w:marBottom w:val="0"/>
              <w:divBdr>
                <w:top w:val="none" w:sz="0" w:space="0" w:color="auto"/>
                <w:left w:val="none" w:sz="0" w:space="0" w:color="auto"/>
                <w:bottom w:val="none" w:sz="0" w:space="0" w:color="auto"/>
                <w:right w:val="none" w:sz="0" w:space="0" w:color="auto"/>
              </w:divBdr>
              <w:divsChild>
                <w:div w:id="76947617">
                  <w:marLeft w:val="0"/>
                  <w:marRight w:val="0"/>
                  <w:marTop w:val="0"/>
                  <w:marBottom w:val="0"/>
                  <w:divBdr>
                    <w:top w:val="none" w:sz="0" w:space="0" w:color="auto"/>
                    <w:left w:val="none" w:sz="0" w:space="0" w:color="auto"/>
                    <w:bottom w:val="none" w:sz="0" w:space="0" w:color="auto"/>
                    <w:right w:val="none" w:sz="0" w:space="0" w:color="auto"/>
                  </w:divBdr>
                  <w:divsChild>
                    <w:div w:id="649099893">
                      <w:marLeft w:val="0"/>
                      <w:marRight w:val="0"/>
                      <w:marTop w:val="0"/>
                      <w:marBottom w:val="0"/>
                      <w:divBdr>
                        <w:top w:val="none" w:sz="0" w:space="0" w:color="auto"/>
                        <w:left w:val="none" w:sz="0" w:space="0" w:color="auto"/>
                        <w:bottom w:val="none" w:sz="0" w:space="0" w:color="auto"/>
                        <w:right w:val="none" w:sz="0" w:space="0" w:color="auto"/>
                      </w:divBdr>
                      <w:divsChild>
                        <w:div w:id="1160774013">
                          <w:marLeft w:val="0"/>
                          <w:marRight w:val="0"/>
                          <w:marTop w:val="0"/>
                          <w:marBottom w:val="0"/>
                          <w:divBdr>
                            <w:top w:val="none" w:sz="0" w:space="0" w:color="auto"/>
                            <w:left w:val="none" w:sz="0" w:space="0" w:color="auto"/>
                            <w:bottom w:val="none" w:sz="0" w:space="0" w:color="auto"/>
                            <w:right w:val="none" w:sz="0" w:space="0" w:color="auto"/>
                          </w:divBdr>
                          <w:divsChild>
                            <w:div w:id="605041282">
                              <w:marLeft w:val="0"/>
                              <w:marRight w:val="0"/>
                              <w:marTop w:val="0"/>
                              <w:marBottom w:val="0"/>
                              <w:divBdr>
                                <w:top w:val="none" w:sz="0" w:space="0" w:color="auto"/>
                                <w:left w:val="none" w:sz="0" w:space="0" w:color="auto"/>
                                <w:bottom w:val="none" w:sz="0" w:space="0" w:color="auto"/>
                                <w:right w:val="none" w:sz="0" w:space="0" w:color="auto"/>
                              </w:divBdr>
                              <w:divsChild>
                                <w:div w:id="299651269">
                                  <w:marLeft w:val="0"/>
                                  <w:marRight w:val="0"/>
                                  <w:marTop w:val="0"/>
                                  <w:marBottom w:val="0"/>
                                  <w:divBdr>
                                    <w:top w:val="none" w:sz="0" w:space="0" w:color="auto"/>
                                    <w:left w:val="none" w:sz="0" w:space="0" w:color="auto"/>
                                    <w:bottom w:val="none" w:sz="0" w:space="0" w:color="auto"/>
                                    <w:right w:val="none" w:sz="0" w:space="0" w:color="auto"/>
                                  </w:divBdr>
                                  <w:divsChild>
                                    <w:div w:id="1945378989">
                                      <w:marLeft w:val="0"/>
                                      <w:marRight w:val="0"/>
                                      <w:marTop w:val="0"/>
                                      <w:marBottom w:val="0"/>
                                      <w:divBdr>
                                        <w:top w:val="none" w:sz="0" w:space="0" w:color="auto"/>
                                        <w:left w:val="none" w:sz="0" w:space="0" w:color="auto"/>
                                        <w:bottom w:val="none" w:sz="0" w:space="0" w:color="auto"/>
                                        <w:right w:val="none" w:sz="0" w:space="0" w:color="auto"/>
                                      </w:divBdr>
                                      <w:divsChild>
                                        <w:div w:id="1159541299">
                                          <w:marLeft w:val="0"/>
                                          <w:marRight w:val="0"/>
                                          <w:marTop w:val="0"/>
                                          <w:marBottom w:val="0"/>
                                          <w:divBdr>
                                            <w:top w:val="none" w:sz="0" w:space="0" w:color="auto"/>
                                            <w:left w:val="none" w:sz="0" w:space="0" w:color="auto"/>
                                            <w:bottom w:val="none" w:sz="0" w:space="0" w:color="auto"/>
                                            <w:right w:val="none" w:sz="0" w:space="0" w:color="auto"/>
                                          </w:divBdr>
                                          <w:divsChild>
                                            <w:div w:id="1401902625">
                                              <w:marLeft w:val="0"/>
                                              <w:marRight w:val="0"/>
                                              <w:marTop w:val="0"/>
                                              <w:marBottom w:val="0"/>
                                              <w:divBdr>
                                                <w:top w:val="none" w:sz="0" w:space="0" w:color="auto"/>
                                                <w:left w:val="none" w:sz="0" w:space="0" w:color="auto"/>
                                                <w:bottom w:val="none" w:sz="0" w:space="0" w:color="auto"/>
                                                <w:right w:val="none" w:sz="0" w:space="0" w:color="auto"/>
                                              </w:divBdr>
                                              <w:divsChild>
                                                <w:div w:id="334964063">
                                                  <w:marLeft w:val="0"/>
                                                  <w:marRight w:val="0"/>
                                                  <w:marTop w:val="0"/>
                                                  <w:marBottom w:val="0"/>
                                                  <w:divBdr>
                                                    <w:top w:val="none" w:sz="0" w:space="0" w:color="auto"/>
                                                    <w:left w:val="none" w:sz="0" w:space="0" w:color="auto"/>
                                                    <w:bottom w:val="none" w:sz="0" w:space="0" w:color="auto"/>
                                                    <w:right w:val="none" w:sz="0" w:space="0" w:color="auto"/>
                                                  </w:divBdr>
                                                  <w:divsChild>
                                                    <w:div w:id="850336617">
                                                      <w:marLeft w:val="0"/>
                                                      <w:marRight w:val="0"/>
                                                      <w:marTop w:val="0"/>
                                                      <w:marBottom w:val="0"/>
                                                      <w:divBdr>
                                                        <w:top w:val="none" w:sz="0" w:space="0" w:color="auto"/>
                                                        <w:left w:val="none" w:sz="0" w:space="0" w:color="auto"/>
                                                        <w:bottom w:val="none" w:sz="0" w:space="0" w:color="auto"/>
                                                        <w:right w:val="none" w:sz="0" w:space="0" w:color="auto"/>
                                                      </w:divBdr>
                                                      <w:divsChild>
                                                        <w:div w:id="1534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517566">
      <w:bodyDiv w:val="1"/>
      <w:marLeft w:val="0"/>
      <w:marRight w:val="0"/>
      <w:marTop w:val="0"/>
      <w:marBottom w:val="0"/>
      <w:divBdr>
        <w:top w:val="none" w:sz="0" w:space="0" w:color="auto"/>
        <w:left w:val="none" w:sz="0" w:space="0" w:color="auto"/>
        <w:bottom w:val="none" w:sz="0" w:space="0" w:color="auto"/>
        <w:right w:val="none" w:sz="0" w:space="0" w:color="auto"/>
      </w:divBdr>
      <w:divsChild>
        <w:div w:id="1813012598">
          <w:marLeft w:val="0"/>
          <w:marRight w:val="0"/>
          <w:marTop w:val="0"/>
          <w:marBottom w:val="0"/>
          <w:divBdr>
            <w:top w:val="none" w:sz="0" w:space="0" w:color="auto"/>
            <w:left w:val="none" w:sz="0" w:space="0" w:color="auto"/>
            <w:bottom w:val="none" w:sz="0" w:space="0" w:color="auto"/>
            <w:right w:val="none" w:sz="0" w:space="0" w:color="auto"/>
          </w:divBdr>
          <w:divsChild>
            <w:div w:id="118114956">
              <w:marLeft w:val="0"/>
              <w:marRight w:val="0"/>
              <w:marTop w:val="0"/>
              <w:marBottom w:val="0"/>
              <w:divBdr>
                <w:top w:val="none" w:sz="0" w:space="0" w:color="auto"/>
                <w:left w:val="none" w:sz="0" w:space="0" w:color="auto"/>
                <w:bottom w:val="none" w:sz="0" w:space="0" w:color="auto"/>
                <w:right w:val="none" w:sz="0" w:space="0" w:color="auto"/>
              </w:divBdr>
              <w:divsChild>
                <w:div w:id="1093434750">
                  <w:marLeft w:val="0"/>
                  <w:marRight w:val="0"/>
                  <w:marTop w:val="0"/>
                  <w:marBottom w:val="0"/>
                  <w:divBdr>
                    <w:top w:val="none" w:sz="0" w:space="0" w:color="auto"/>
                    <w:left w:val="none" w:sz="0" w:space="0" w:color="auto"/>
                    <w:bottom w:val="none" w:sz="0" w:space="0" w:color="auto"/>
                    <w:right w:val="none" w:sz="0" w:space="0" w:color="auto"/>
                  </w:divBdr>
                  <w:divsChild>
                    <w:div w:id="941189299">
                      <w:marLeft w:val="0"/>
                      <w:marRight w:val="0"/>
                      <w:marTop w:val="0"/>
                      <w:marBottom w:val="0"/>
                      <w:divBdr>
                        <w:top w:val="none" w:sz="0" w:space="0" w:color="auto"/>
                        <w:left w:val="none" w:sz="0" w:space="0" w:color="auto"/>
                        <w:bottom w:val="none" w:sz="0" w:space="0" w:color="auto"/>
                        <w:right w:val="none" w:sz="0" w:space="0" w:color="auto"/>
                      </w:divBdr>
                      <w:divsChild>
                        <w:div w:id="209419264">
                          <w:marLeft w:val="0"/>
                          <w:marRight w:val="0"/>
                          <w:marTop w:val="0"/>
                          <w:marBottom w:val="0"/>
                          <w:divBdr>
                            <w:top w:val="none" w:sz="0" w:space="0" w:color="auto"/>
                            <w:left w:val="none" w:sz="0" w:space="0" w:color="auto"/>
                            <w:bottom w:val="none" w:sz="0" w:space="0" w:color="auto"/>
                            <w:right w:val="none" w:sz="0" w:space="0" w:color="auto"/>
                          </w:divBdr>
                          <w:divsChild>
                            <w:div w:id="388116360">
                              <w:marLeft w:val="0"/>
                              <w:marRight w:val="0"/>
                              <w:marTop w:val="0"/>
                              <w:marBottom w:val="0"/>
                              <w:divBdr>
                                <w:top w:val="none" w:sz="0" w:space="0" w:color="auto"/>
                                <w:left w:val="none" w:sz="0" w:space="0" w:color="auto"/>
                                <w:bottom w:val="none" w:sz="0" w:space="0" w:color="auto"/>
                                <w:right w:val="none" w:sz="0" w:space="0" w:color="auto"/>
                              </w:divBdr>
                              <w:divsChild>
                                <w:div w:id="1300526175">
                                  <w:marLeft w:val="0"/>
                                  <w:marRight w:val="0"/>
                                  <w:marTop w:val="0"/>
                                  <w:marBottom w:val="0"/>
                                  <w:divBdr>
                                    <w:top w:val="none" w:sz="0" w:space="0" w:color="auto"/>
                                    <w:left w:val="none" w:sz="0" w:space="0" w:color="auto"/>
                                    <w:bottom w:val="none" w:sz="0" w:space="0" w:color="auto"/>
                                    <w:right w:val="none" w:sz="0" w:space="0" w:color="auto"/>
                                  </w:divBdr>
                                  <w:divsChild>
                                    <w:div w:id="1680423281">
                                      <w:marLeft w:val="0"/>
                                      <w:marRight w:val="0"/>
                                      <w:marTop w:val="0"/>
                                      <w:marBottom w:val="0"/>
                                      <w:divBdr>
                                        <w:top w:val="none" w:sz="0" w:space="0" w:color="auto"/>
                                        <w:left w:val="none" w:sz="0" w:space="0" w:color="auto"/>
                                        <w:bottom w:val="none" w:sz="0" w:space="0" w:color="auto"/>
                                        <w:right w:val="none" w:sz="0" w:space="0" w:color="auto"/>
                                      </w:divBdr>
                                      <w:divsChild>
                                        <w:div w:id="1559128981">
                                          <w:marLeft w:val="0"/>
                                          <w:marRight w:val="0"/>
                                          <w:marTop w:val="0"/>
                                          <w:marBottom w:val="0"/>
                                          <w:divBdr>
                                            <w:top w:val="none" w:sz="0" w:space="0" w:color="auto"/>
                                            <w:left w:val="none" w:sz="0" w:space="0" w:color="auto"/>
                                            <w:bottom w:val="none" w:sz="0" w:space="0" w:color="auto"/>
                                            <w:right w:val="none" w:sz="0" w:space="0" w:color="auto"/>
                                          </w:divBdr>
                                          <w:divsChild>
                                            <w:div w:id="1454522345">
                                              <w:marLeft w:val="0"/>
                                              <w:marRight w:val="0"/>
                                              <w:marTop w:val="0"/>
                                              <w:marBottom w:val="0"/>
                                              <w:divBdr>
                                                <w:top w:val="none" w:sz="0" w:space="0" w:color="auto"/>
                                                <w:left w:val="none" w:sz="0" w:space="0" w:color="auto"/>
                                                <w:bottom w:val="none" w:sz="0" w:space="0" w:color="auto"/>
                                                <w:right w:val="none" w:sz="0" w:space="0" w:color="auto"/>
                                              </w:divBdr>
                                              <w:divsChild>
                                                <w:div w:id="672877095">
                                                  <w:marLeft w:val="0"/>
                                                  <w:marRight w:val="0"/>
                                                  <w:marTop w:val="0"/>
                                                  <w:marBottom w:val="0"/>
                                                  <w:divBdr>
                                                    <w:top w:val="none" w:sz="0" w:space="0" w:color="auto"/>
                                                    <w:left w:val="none" w:sz="0" w:space="0" w:color="auto"/>
                                                    <w:bottom w:val="none" w:sz="0" w:space="0" w:color="auto"/>
                                                    <w:right w:val="none" w:sz="0" w:space="0" w:color="auto"/>
                                                  </w:divBdr>
                                                  <w:divsChild>
                                                    <w:div w:id="255093525">
                                                      <w:marLeft w:val="0"/>
                                                      <w:marRight w:val="0"/>
                                                      <w:marTop w:val="0"/>
                                                      <w:marBottom w:val="0"/>
                                                      <w:divBdr>
                                                        <w:top w:val="none" w:sz="0" w:space="0" w:color="auto"/>
                                                        <w:left w:val="none" w:sz="0" w:space="0" w:color="auto"/>
                                                        <w:bottom w:val="none" w:sz="0" w:space="0" w:color="auto"/>
                                                        <w:right w:val="none" w:sz="0" w:space="0" w:color="auto"/>
                                                      </w:divBdr>
                                                      <w:divsChild>
                                                        <w:div w:id="8034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6047790">
      <w:bodyDiv w:val="1"/>
      <w:marLeft w:val="0"/>
      <w:marRight w:val="0"/>
      <w:marTop w:val="0"/>
      <w:marBottom w:val="0"/>
      <w:divBdr>
        <w:top w:val="none" w:sz="0" w:space="0" w:color="auto"/>
        <w:left w:val="none" w:sz="0" w:space="0" w:color="auto"/>
        <w:bottom w:val="none" w:sz="0" w:space="0" w:color="auto"/>
        <w:right w:val="none" w:sz="0" w:space="0" w:color="auto"/>
      </w:divBdr>
      <w:divsChild>
        <w:div w:id="35005838">
          <w:marLeft w:val="0"/>
          <w:marRight w:val="0"/>
          <w:marTop w:val="0"/>
          <w:marBottom w:val="0"/>
          <w:divBdr>
            <w:top w:val="none" w:sz="0" w:space="0" w:color="auto"/>
            <w:left w:val="none" w:sz="0" w:space="0" w:color="auto"/>
            <w:bottom w:val="none" w:sz="0" w:space="0" w:color="auto"/>
            <w:right w:val="none" w:sz="0" w:space="0" w:color="auto"/>
          </w:divBdr>
          <w:divsChild>
            <w:div w:id="1260791120">
              <w:marLeft w:val="0"/>
              <w:marRight w:val="0"/>
              <w:marTop w:val="0"/>
              <w:marBottom w:val="0"/>
              <w:divBdr>
                <w:top w:val="none" w:sz="0" w:space="0" w:color="auto"/>
                <w:left w:val="none" w:sz="0" w:space="0" w:color="auto"/>
                <w:bottom w:val="none" w:sz="0" w:space="0" w:color="auto"/>
                <w:right w:val="none" w:sz="0" w:space="0" w:color="auto"/>
              </w:divBdr>
              <w:divsChild>
                <w:div w:id="1354067124">
                  <w:marLeft w:val="0"/>
                  <w:marRight w:val="0"/>
                  <w:marTop w:val="0"/>
                  <w:marBottom w:val="0"/>
                  <w:divBdr>
                    <w:top w:val="none" w:sz="0" w:space="0" w:color="auto"/>
                    <w:left w:val="none" w:sz="0" w:space="0" w:color="auto"/>
                    <w:bottom w:val="none" w:sz="0" w:space="0" w:color="auto"/>
                    <w:right w:val="none" w:sz="0" w:space="0" w:color="auto"/>
                  </w:divBdr>
                  <w:divsChild>
                    <w:div w:id="629551646">
                      <w:marLeft w:val="0"/>
                      <w:marRight w:val="0"/>
                      <w:marTop w:val="0"/>
                      <w:marBottom w:val="0"/>
                      <w:divBdr>
                        <w:top w:val="none" w:sz="0" w:space="0" w:color="auto"/>
                        <w:left w:val="none" w:sz="0" w:space="0" w:color="auto"/>
                        <w:bottom w:val="none" w:sz="0" w:space="0" w:color="auto"/>
                        <w:right w:val="none" w:sz="0" w:space="0" w:color="auto"/>
                      </w:divBdr>
                      <w:divsChild>
                        <w:div w:id="924876766">
                          <w:marLeft w:val="0"/>
                          <w:marRight w:val="0"/>
                          <w:marTop w:val="0"/>
                          <w:marBottom w:val="0"/>
                          <w:divBdr>
                            <w:top w:val="none" w:sz="0" w:space="0" w:color="auto"/>
                            <w:left w:val="none" w:sz="0" w:space="0" w:color="auto"/>
                            <w:bottom w:val="none" w:sz="0" w:space="0" w:color="auto"/>
                            <w:right w:val="none" w:sz="0" w:space="0" w:color="auto"/>
                          </w:divBdr>
                          <w:divsChild>
                            <w:div w:id="1989166233">
                              <w:marLeft w:val="0"/>
                              <w:marRight w:val="0"/>
                              <w:marTop w:val="0"/>
                              <w:marBottom w:val="0"/>
                              <w:divBdr>
                                <w:top w:val="none" w:sz="0" w:space="0" w:color="auto"/>
                                <w:left w:val="none" w:sz="0" w:space="0" w:color="auto"/>
                                <w:bottom w:val="none" w:sz="0" w:space="0" w:color="auto"/>
                                <w:right w:val="none" w:sz="0" w:space="0" w:color="auto"/>
                              </w:divBdr>
                              <w:divsChild>
                                <w:div w:id="1155148282">
                                  <w:marLeft w:val="0"/>
                                  <w:marRight w:val="0"/>
                                  <w:marTop w:val="0"/>
                                  <w:marBottom w:val="0"/>
                                  <w:divBdr>
                                    <w:top w:val="none" w:sz="0" w:space="0" w:color="auto"/>
                                    <w:left w:val="none" w:sz="0" w:space="0" w:color="auto"/>
                                    <w:bottom w:val="none" w:sz="0" w:space="0" w:color="auto"/>
                                    <w:right w:val="none" w:sz="0" w:space="0" w:color="auto"/>
                                  </w:divBdr>
                                  <w:divsChild>
                                    <w:div w:id="796488387">
                                      <w:marLeft w:val="0"/>
                                      <w:marRight w:val="0"/>
                                      <w:marTop w:val="0"/>
                                      <w:marBottom w:val="0"/>
                                      <w:divBdr>
                                        <w:top w:val="none" w:sz="0" w:space="0" w:color="auto"/>
                                        <w:left w:val="none" w:sz="0" w:space="0" w:color="auto"/>
                                        <w:bottom w:val="none" w:sz="0" w:space="0" w:color="auto"/>
                                        <w:right w:val="none" w:sz="0" w:space="0" w:color="auto"/>
                                      </w:divBdr>
                                      <w:divsChild>
                                        <w:div w:id="1282027748">
                                          <w:marLeft w:val="0"/>
                                          <w:marRight w:val="0"/>
                                          <w:marTop w:val="0"/>
                                          <w:marBottom w:val="0"/>
                                          <w:divBdr>
                                            <w:top w:val="none" w:sz="0" w:space="0" w:color="auto"/>
                                            <w:left w:val="none" w:sz="0" w:space="0" w:color="auto"/>
                                            <w:bottom w:val="none" w:sz="0" w:space="0" w:color="auto"/>
                                            <w:right w:val="none" w:sz="0" w:space="0" w:color="auto"/>
                                          </w:divBdr>
                                          <w:divsChild>
                                            <w:div w:id="486940910">
                                              <w:marLeft w:val="0"/>
                                              <w:marRight w:val="0"/>
                                              <w:marTop w:val="0"/>
                                              <w:marBottom w:val="0"/>
                                              <w:divBdr>
                                                <w:top w:val="none" w:sz="0" w:space="0" w:color="auto"/>
                                                <w:left w:val="none" w:sz="0" w:space="0" w:color="auto"/>
                                                <w:bottom w:val="none" w:sz="0" w:space="0" w:color="auto"/>
                                                <w:right w:val="none" w:sz="0" w:space="0" w:color="auto"/>
                                              </w:divBdr>
                                              <w:divsChild>
                                                <w:div w:id="133837798">
                                                  <w:marLeft w:val="0"/>
                                                  <w:marRight w:val="0"/>
                                                  <w:marTop w:val="0"/>
                                                  <w:marBottom w:val="0"/>
                                                  <w:divBdr>
                                                    <w:top w:val="none" w:sz="0" w:space="0" w:color="auto"/>
                                                    <w:left w:val="none" w:sz="0" w:space="0" w:color="auto"/>
                                                    <w:bottom w:val="none" w:sz="0" w:space="0" w:color="auto"/>
                                                    <w:right w:val="none" w:sz="0" w:space="0" w:color="auto"/>
                                                  </w:divBdr>
                                                  <w:divsChild>
                                                    <w:div w:id="645937286">
                                                      <w:marLeft w:val="0"/>
                                                      <w:marRight w:val="0"/>
                                                      <w:marTop w:val="0"/>
                                                      <w:marBottom w:val="0"/>
                                                      <w:divBdr>
                                                        <w:top w:val="none" w:sz="0" w:space="0" w:color="auto"/>
                                                        <w:left w:val="none" w:sz="0" w:space="0" w:color="auto"/>
                                                        <w:bottom w:val="none" w:sz="0" w:space="0" w:color="auto"/>
                                                        <w:right w:val="none" w:sz="0" w:space="0" w:color="auto"/>
                                                      </w:divBdr>
                                                      <w:divsChild>
                                                        <w:div w:id="923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8795303">
      <w:bodyDiv w:val="1"/>
      <w:marLeft w:val="0"/>
      <w:marRight w:val="0"/>
      <w:marTop w:val="0"/>
      <w:marBottom w:val="0"/>
      <w:divBdr>
        <w:top w:val="none" w:sz="0" w:space="0" w:color="auto"/>
        <w:left w:val="none" w:sz="0" w:space="0" w:color="auto"/>
        <w:bottom w:val="none" w:sz="0" w:space="0" w:color="auto"/>
        <w:right w:val="none" w:sz="0" w:space="0" w:color="auto"/>
      </w:divBdr>
      <w:divsChild>
        <w:div w:id="483817132">
          <w:marLeft w:val="0"/>
          <w:marRight w:val="0"/>
          <w:marTop w:val="0"/>
          <w:marBottom w:val="0"/>
          <w:divBdr>
            <w:top w:val="none" w:sz="0" w:space="0" w:color="auto"/>
            <w:left w:val="none" w:sz="0" w:space="0" w:color="auto"/>
            <w:bottom w:val="none" w:sz="0" w:space="0" w:color="auto"/>
            <w:right w:val="none" w:sz="0" w:space="0" w:color="auto"/>
          </w:divBdr>
          <w:divsChild>
            <w:div w:id="2111049870">
              <w:marLeft w:val="0"/>
              <w:marRight w:val="0"/>
              <w:marTop w:val="0"/>
              <w:marBottom w:val="0"/>
              <w:divBdr>
                <w:top w:val="none" w:sz="0" w:space="0" w:color="auto"/>
                <w:left w:val="none" w:sz="0" w:space="0" w:color="auto"/>
                <w:bottom w:val="none" w:sz="0" w:space="0" w:color="auto"/>
                <w:right w:val="none" w:sz="0" w:space="0" w:color="auto"/>
              </w:divBdr>
              <w:divsChild>
                <w:div w:id="663892809">
                  <w:marLeft w:val="0"/>
                  <w:marRight w:val="0"/>
                  <w:marTop w:val="0"/>
                  <w:marBottom w:val="0"/>
                  <w:divBdr>
                    <w:top w:val="none" w:sz="0" w:space="0" w:color="auto"/>
                    <w:left w:val="none" w:sz="0" w:space="0" w:color="auto"/>
                    <w:bottom w:val="none" w:sz="0" w:space="0" w:color="auto"/>
                    <w:right w:val="none" w:sz="0" w:space="0" w:color="auto"/>
                  </w:divBdr>
                  <w:divsChild>
                    <w:div w:id="383332436">
                      <w:marLeft w:val="0"/>
                      <w:marRight w:val="0"/>
                      <w:marTop w:val="0"/>
                      <w:marBottom w:val="0"/>
                      <w:divBdr>
                        <w:top w:val="none" w:sz="0" w:space="0" w:color="auto"/>
                        <w:left w:val="none" w:sz="0" w:space="0" w:color="auto"/>
                        <w:bottom w:val="none" w:sz="0" w:space="0" w:color="auto"/>
                        <w:right w:val="none" w:sz="0" w:space="0" w:color="auto"/>
                      </w:divBdr>
                      <w:divsChild>
                        <w:div w:id="247159625">
                          <w:marLeft w:val="0"/>
                          <w:marRight w:val="0"/>
                          <w:marTop w:val="0"/>
                          <w:marBottom w:val="0"/>
                          <w:divBdr>
                            <w:top w:val="none" w:sz="0" w:space="0" w:color="auto"/>
                            <w:left w:val="none" w:sz="0" w:space="0" w:color="auto"/>
                            <w:bottom w:val="none" w:sz="0" w:space="0" w:color="auto"/>
                            <w:right w:val="none" w:sz="0" w:space="0" w:color="auto"/>
                          </w:divBdr>
                          <w:divsChild>
                            <w:div w:id="88234070">
                              <w:marLeft w:val="0"/>
                              <w:marRight w:val="0"/>
                              <w:marTop w:val="0"/>
                              <w:marBottom w:val="0"/>
                              <w:divBdr>
                                <w:top w:val="none" w:sz="0" w:space="0" w:color="auto"/>
                                <w:left w:val="none" w:sz="0" w:space="0" w:color="auto"/>
                                <w:bottom w:val="none" w:sz="0" w:space="0" w:color="auto"/>
                                <w:right w:val="none" w:sz="0" w:space="0" w:color="auto"/>
                              </w:divBdr>
                              <w:divsChild>
                                <w:div w:id="2103448357">
                                  <w:marLeft w:val="0"/>
                                  <w:marRight w:val="0"/>
                                  <w:marTop w:val="0"/>
                                  <w:marBottom w:val="0"/>
                                  <w:divBdr>
                                    <w:top w:val="none" w:sz="0" w:space="0" w:color="auto"/>
                                    <w:left w:val="none" w:sz="0" w:space="0" w:color="auto"/>
                                    <w:bottom w:val="none" w:sz="0" w:space="0" w:color="auto"/>
                                    <w:right w:val="none" w:sz="0" w:space="0" w:color="auto"/>
                                  </w:divBdr>
                                  <w:divsChild>
                                    <w:div w:id="381372090">
                                      <w:marLeft w:val="0"/>
                                      <w:marRight w:val="0"/>
                                      <w:marTop w:val="240"/>
                                      <w:marBottom w:val="0"/>
                                      <w:divBdr>
                                        <w:top w:val="none" w:sz="0" w:space="0" w:color="auto"/>
                                        <w:left w:val="none" w:sz="0" w:space="0" w:color="auto"/>
                                        <w:bottom w:val="none" w:sz="0" w:space="0" w:color="auto"/>
                                        <w:right w:val="none" w:sz="0" w:space="0" w:color="auto"/>
                                      </w:divBdr>
                                      <w:divsChild>
                                        <w:div w:id="928850106">
                                          <w:marLeft w:val="0"/>
                                          <w:marRight w:val="0"/>
                                          <w:marTop w:val="0"/>
                                          <w:marBottom w:val="0"/>
                                          <w:divBdr>
                                            <w:top w:val="none" w:sz="0" w:space="0" w:color="auto"/>
                                            <w:left w:val="none" w:sz="0" w:space="0" w:color="auto"/>
                                            <w:bottom w:val="none" w:sz="0" w:space="0" w:color="auto"/>
                                            <w:right w:val="none" w:sz="0" w:space="0" w:color="auto"/>
                                          </w:divBdr>
                                          <w:divsChild>
                                            <w:div w:id="5785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502741950">
      <w:bodyDiv w:val="1"/>
      <w:marLeft w:val="0"/>
      <w:marRight w:val="0"/>
      <w:marTop w:val="0"/>
      <w:marBottom w:val="0"/>
      <w:divBdr>
        <w:top w:val="none" w:sz="0" w:space="0" w:color="auto"/>
        <w:left w:val="none" w:sz="0" w:space="0" w:color="auto"/>
        <w:bottom w:val="none" w:sz="0" w:space="0" w:color="auto"/>
        <w:right w:val="none" w:sz="0" w:space="0" w:color="auto"/>
      </w:divBdr>
      <w:divsChild>
        <w:div w:id="895897835">
          <w:marLeft w:val="0"/>
          <w:marRight w:val="0"/>
          <w:marTop w:val="0"/>
          <w:marBottom w:val="0"/>
          <w:divBdr>
            <w:top w:val="none" w:sz="0" w:space="0" w:color="auto"/>
            <w:left w:val="none" w:sz="0" w:space="0" w:color="auto"/>
            <w:bottom w:val="none" w:sz="0" w:space="0" w:color="auto"/>
            <w:right w:val="none" w:sz="0" w:space="0" w:color="auto"/>
          </w:divBdr>
          <w:divsChild>
            <w:div w:id="1241015418">
              <w:marLeft w:val="0"/>
              <w:marRight w:val="0"/>
              <w:marTop w:val="0"/>
              <w:marBottom w:val="0"/>
              <w:divBdr>
                <w:top w:val="none" w:sz="0" w:space="0" w:color="auto"/>
                <w:left w:val="none" w:sz="0" w:space="0" w:color="auto"/>
                <w:bottom w:val="none" w:sz="0" w:space="0" w:color="auto"/>
                <w:right w:val="none" w:sz="0" w:space="0" w:color="auto"/>
              </w:divBdr>
              <w:divsChild>
                <w:div w:id="2109696239">
                  <w:marLeft w:val="0"/>
                  <w:marRight w:val="0"/>
                  <w:marTop w:val="0"/>
                  <w:marBottom w:val="0"/>
                  <w:divBdr>
                    <w:top w:val="none" w:sz="0" w:space="0" w:color="auto"/>
                    <w:left w:val="none" w:sz="0" w:space="0" w:color="auto"/>
                    <w:bottom w:val="none" w:sz="0" w:space="0" w:color="auto"/>
                    <w:right w:val="none" w:sz="0" w:space="0" w:color="auto"/>
                  </w:divBdr>
                  <w:divsChild>
                    <w:div w:id="340788958">
                      <w:marLeft w:val="0"/>
                      <w:marRight w:val="0"/>
                      <w:marTop w:val="0"/>
                      <w:marBottom w:val="0"/>
                      <w:divBdr>
                        <w:top w:val="none" w:sz="0" w:space="0" w:color="auto"/>
                        <w:left w:val="none" w:sz="0" w:space="0" w:color="auto"/>
                        <w:bottom w:val="none" w:sz="0" w:space="0" w:color="auto"/>
                        <w:right w:val="none" w:sz="0" w:space="0" w:color="auto"/>
                      </w:divBdr>
                      <w:divsChild>
                        <w:div w:id="189955141">
                          <w:marLeft w:val="0"/>
                          <w:marRight w:val="0"/>
                          <w:marTop w:val="0"/>
                          <w:marBottom w:val="0"/>
                          <w:divBdr>
                            <w:top w:val="none" w:sz="0" w:space="0" w:color="auto"/>
                            <w:left w:val="none" w:sz="0" w:space="0" w:color="auto"/>
                            <w:bottom w:val="none" w:sz="0" w:space="0" w:color="auto"/>
                            <w:right w:val="none" w:sz="0" w:space="0" w:color="auto"/>
                          </w:divBdr>
                          <w:divsChild>
                            <w:div w:id="1520387120">
                              <w:marLeft w:val="0"/>
                              <w:marRight w:val="0"/>
                              <w:marTop w:val="0"/>
                              <w:marBottom w:val="0"/>
                              <w:divBdr>
                                <w:top w:val="none" w:sz="0" w:space="0" w:color="auto"/>
                                <w:left w:val="none" w:sz="0" w:space="0" w:color="auto"/>
                                <w:bottom w:val="none" w:sz="0" w:space="0" w:color="auto"/>
                                <w:right w:val="none" w:sz="0" w:space="0" w:color="auto"/>
                              </w:divBdr>
                              <w:divsChild>
                                <w:div w:id="1960332042">
                                  <w:marLeft w:val="0"/>
                                  <w:marRight w:val="0"/>
                                  <w:marTop w:val="0"/>
                                  <w:marBottom w:val="0"/>
                                  <w:divBdr>
                                    <w:top w:val="none" w:sz="0" w:space="0" w:color="auto"/>
                                    <w:left w:val="none" w:sz="0" w:space="0" w:color="auto"/>
                                    <w:bottom w:val="none" w:sz="0" w:space="0" w:color="auto"/>
                                    <w:right w:val="none" w:sz="0" w:space="0" w:color="auto"/>
                                  </w:divBdr>
                                  <w:divsChild>
                                    <w:div w:id="1220364893">
                                      <w:marLeft w:val="0"/>
                                      <w:marRight w:val="0"/>
                                      <w:marTop w:val="240"/>
                                      <w:marBottom w:val="0"/>
                                      <w:divBdr>
                                        <w:top w:val="none" w:sz="0" w:space="0" w:color="auto"/>
                                        <w:left w:val="none" w:sz="0" w:space="0" w:color="auto"/>
                                        <w:bottom w:val="none" w:sz="0" w:space="0" w:color="auto"/>
                                        <w:right w:val="none" w:sz="0" w:space="0" w:color="auto"/>
                                      </w:divBdr>
                                      <w:divsChild>
                                        <w:div w:id="2013876011">
                                          <w:marLeft w:val="0"/>
                                          <w:marRight w:val="0"/>
                                          <w:marTop w:val="0"/>
                                          <w:marBottom w:val="0"/>
                                          <w:divBdr>
                                            <w:top w:val="none" w:sz="0" w:space="0" w:color="auto"/>
                                            <w:left w:val="none" w:sz="0" w:space="0" w:color="auto"/>
                                            <w:bottom w:val="none" w:sz="0" w:space="0" w:color="auto"/>
                                            <w:right w:val="none" w:sz="0" w:space="0" w:color="auto"/>
                                          </w:divBdr>
                                          <w:divsChild>
                                            <w:div w:id="4942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9363902">
      <w:bodyDiv w:val="1"/>
      <w:marLeft w:val="0"/>
      <w:marRight w:val="0"/>
      <w:marTop w:val="0"/>
      <w:marBottom w:val="0"/>
      <w:divBdr>
        <w:top w:val="none" w:sz="0" w:space="0" w:color="auto"/>
        <w:left w:val="none" w:sz="0" w:space="0" w:color="auto"/>
        <w:bottom w:val="none" w:sz="0" w:space="0" w:color="auto"/>
        <w:right w:val="none" w:sz="0" w:space="0" w:color="auto"/>
      </w:divBdr>
      <w:divsChild>
        <w:div w:id="1325010087">
          <w:marLeft w:val="0"/>
          <w:marRight w:val="0"/>
          <w:marTop w:val="0"/>
          <w:marBottom w:val="0"/>
          <w:divBdr>
            <w:top w:val="none" w:sz="0" w:space="0" w:color="auto"/>
            <w:left w:val="none" w:sz="0" w:space="0" w:color="auto"/>
            <w:bottom w:val="none" w:sz="0" w:space="0" w:color="auto"/>
            <w:right w:val="none" w:sz="0" w:space="0" w:color="auto"/>
          </w:divBdr>
          <w:divsChild>
            <w:div w:id="44186003">
              <w:marLeft w:val="0"/>
              <w:marRight w:val="0"/>
              <w:marTop w:val="0"/>
              <w:marBottom w:val="0"/>
              <w:divBdr>
                <w:top w:val="none" w:sz="0" w:space="0" w:color="auto"/>
                <w:left w:val="none" w:sz="0" w:space="0" w:color="auto"/>
                <w:bottom w:val="none" w:sz="0" w:space="0" w:color="auto"/>
                <w:right w:val="none" w:sz="0" w:space="0" w:color="auto"/>
              </w:divBdr>
              <w:divsChild>
                <w:div w:id="1102459757">
                  <w:marLeft w:val="0"/>
                  <w:marRight w:val="0"/>
                  <w:marTop w:val="0"/>
                  <w:marBottom w:val="0"/>
                  <w:divBdr>
                    <w:top w:val="none" w:sz="0" w:space="0" w:color="auto"/>
                    <w:left w:val="none" w:sz="0" w:space="0" w:color="auto"/>
                    <w:bottom w:val="none" w:sz="0" w:space="0" w:color="auto"/>
                    <w:right w:val="none" w:sz="0" w:space="0" w:color="auto"/>
                  </w:divBdr>
                  <w:divsChild>
                    <w:div w:id="2128308533">
                      <w:marLeft w:val="0"/>
                      <w:marRight w:val="0"/>
                      <w:marTop w:val="0"/>
                      <w:marBottom w:val="0"/>
                      <w:divBdr>
                        <w:top w:val="none" w:sz="0" w:space="0" w:color="auto"/>
                        <w:left w:val="none" w:sz="0" w:space="0" w:color="auto"/>
                        <w:bottom w:val="none" w:sz="0" w:space="0" w:color="auto"/>
                        <w:right w:val="none" w:sz="0" w:space="0" w:color="auto"/>
                      </w:divBdr>
                      <w:divsChild>
                        <w:div w:id="1665864498">
                          <w:marLeft w:val="0"/>
                          <w:marRight w:val="0"/>
                          <w:marTop w:val="0"/>
                          <w:marBottom w:val="0"/>
                          <w:divBdr>
                            <w:top w:val="none" w:sz="0" w:space="0" w:color="auto"/>
                            <w:left w:val="none" w:sz="0" w:space="0" w:color="auto"/>
                            <w:bottom w:val="none" w:sz="0" w:space="0" w:color="auto"/>
                            <w:right w:val="none" w:sz="0" w:space="0" w:color="auto"/>
                          </w:divBdr>
                          <w:divsChild>
                            <w:div w:id="1991863439">
                              <w:marLeft w:val="0"/>
                              <w:marRight w:val="0"/>
                              <w:marTop w:val="0"/>
                              <w:marBottom w:val="0"/>
                              <w:divBdr>
                                <w:top w:val="none" w:sz="0" w:space="0" w:color="auto"/>
                                <w:left w:val="none" w:sz="0" w:space="0" w:color="auto"/>
                                <w:bottom w:val="none" w:sz="0" w:space="0" w:color="auto"/>
                                <w:right w:val="none" w:sz="0" w:space="0" w:color="auto"/>
                              </w:divBdr>
                              <w:divsChild>
                                <w:div w:id="1760130466">
                                  <w:marLeft w:val="0"/>
                                  <w:marRight w:val="0"/>
                                  <w:marTop w:val="0"/>
                                  <w:marBottom w:val="0"/>
                                  <w:divBdr>
                                    <w:top w:val="none" w:sz="0" w:space="0" w:color="auto"/>
                                    <w:left w:val="none" w:sz="0" w:space="0" w:color="auto"/>
                                    <w:bottom w:val="none" w:sz="0" w:space="0" w:color="auto"/>
                                    <w:right w:val="none" w:sz="0" w:space="0" w:color="auto"/>
                                  </w:divBdr>
                                  <w:divsChild>
                                    <w:div w:id="1589384109">
                                      <w:marLeft w:val="0"/>
                                      <w:marRight w:val="0"/>
                                      <w:marTop w:val="240"/>
                                      <w:marBottom w:val="0"/>
                                      <w:divBdr>
                                        <w:top w:val="none" w:sz="0" w:space="0" w:color="auto"/>
                                        <w:left w:val="none" w:sz="0" w:space="0" w:color="auto"/>
                                        <w:bottom w:val="none" w:sz="0" w:space="0" w:color="auto"/>
                                        <w:right w:val="none" w:sz="0" w:space="0" w:color="auto"/>
                                      </w:divBdr>
                                      <w:divsChild>
                                        <w:div w:id="2070885836">
                                          <w:marLeft w:val="0"/>
                                          <w:marRight w:val="0"/>
                                          <w:marTop w:val="0"/>
                                          <w:marBottom w:val="0"/>
                                          <w:divBdr>
                                            <w:top w:val="none" w:sz="0" w:space="0" w:color="auto"/>
                                            <w:left w:val="none" w:sz="0" w:space="0" w:color="auto"/>
                                            <w:bottom w:val="none" w:sz="0" w:space="0" w:color="auto"/>
                                            <w:right w:val="none" w:sz="0" w:space="0" w:color="auto"/>
                                          </w:divBdr>
                                          <w:divsChild>
                                            <w:div w:id="7145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Yo-ru LEE</dc:creator>
  <cp:keywords/>
  <dc:description/>
  <cp:lastModifiedBy>Yo-ru LEE</cp:lastModifiedBy>
  <cp:revision>3</cp:revision>
  <cp:lastPrinted>2021-06-07T04:14:00Z</cp:lastPrinted>
  <dcterms:created xsi:type="dcterms:W3CDTF">2021-06-09T02:09:00Z</dcterms:created>
  <dcterms:modified xsi:type="dcterms:W3CDTF">2021-06-11T02:11:00Z</dcterms:modified>
</cp:coreProperties>
</file>