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2B4EBF" w14:textId="77777777" w:rsidR="00F109D4" w:rsidRPr="00731FEA" w:rsidRDefault="00F109D4" w:rsidP="00520E16">
      <w:pPr>
        <w:pStyle w:val="Heading1"/>
        <w:spacing w:after="360"/>
        <w:rPr>
          <w:rFonts w:ascii="Times New Roman" w:hAnsi="Times New Roman"/>
          <w:sz w:val="24"/>
          <w:szCs w:val="24"/>
        </w:rPr>
      </w:pPr>
      <w:r w:rsidRPr="00731FEA">
        <w:rPr>
          <w:rFonts w:ascii="Times New Roman" w:hAnsi="Times New Roman"/>
          <w:sz w:val="24"/>
          <w:szCs w:val="24"/>
        </w:rPr>
        <w:t>EXPLANATORY STATEMENT</w:t>
      </w:r>
    </w:p>
    <w:p w14:paraId="3B7901E1" w14:textId="77777777" w:rsidR="007662C7" w:rsidRPr="00731FEA" w:rsidRDefault="00F109D4" w:rsidP="00520E16">
      <w:pPr>
        <w:pStyle w:val="Heading2"/>
        <w:jc w:val="center"/>
        <w:rPr>
          <w:sz w:val="24"/>
          <w:szCs w:val="24"/>
        </w:rPr>
      </w:pPr>
      <w:r w:rsidRPr="007B335E">
        <w:rPr>
          <w:sz w:val="24"/>
          <w:szCs w:val="24"/>
        </w:rPr>
        <w:t>Issued by authority of the</w:t>
      </w:r>
      <w:r w:rsidR="00076178" w:rsidRPr="00731FEA">
        <w:rPr>
          <w:sz w:val="24"/>
          <w:szCs w:val="24"/>
        </w:rPr>
        <w:t xml:space="preserve"> </w:t>
      </w:r>
      <w:sdt>
        <w:sdtPr>
          <w:rPr>
            <w:sz w:val="24"/>
            <w:szCs w:val="24"/>
          </w:rPr>
          <w:id w:val="435951383"/>
          <w:placeholder>
            <w:docPart w:val="E3D816CA7C4C45A5959D968797551403"/>
          </w:placeholder>
          <w:dropDownList>
            <w:listItem w:value="Choose an item."/>
            <w:listItem w:displayText="Treasurer" w:value="Treasurer"/>
            <w:listItem w:displayText="Assistant Treasurer, Minister for Housing and Minister for Homelessness, Social and Community Housing" w:value="Assistant Treasurer, Minister for Housing and Minister for Homelessness, Social and Community Housing"/>
            <w:listItem w:displayText="Minister for Superannuation, Financial Services and the Digital Economy" w:value="Minister for Superannuation, Financial Services and the Digital Economy"/>
            <w:listItem w:displayText="Assistant Treasurer" w:value="Assistant Treasurer"/>
          </w:dropDownList>
        </w:sdtPr>
        <w:sdtEndPr/>
        <w:sdtContent>
          <w:r w:rsidR="002147CC">
            <w:rPr>
              <w:sz w:val="24"/>
              <w:szCs w:val="24"/>
            </w:rPr>
            <w:t>Assistant Treasurer, Minister for Housing and Minister for Homelessness, Social and Community Housing</w:t>
          </w:r>
        </w:sdtContent>
      </w:sdt>
    </w:p>
    <w:p w14:paraId="2C49DE65" w14:textId="77777777" w:rsidR="002147CC" w:rsidRPr="00A71A14" w:rsidRDefault="002147CC" w:rsidP="00520E16">
      <w:pPr>
        <w:spacing w:before="240" w:after="240"/>
        <w:jc w:val="center"/>
        <w:rPr>
          <w:i/>
        </w:rPr>
      </w:pPr>
      <w:r w:rsidRPr="00A71A14">
        <w:rPr>
          <w:i/>
        </w:rPr>
        <w:t>Currency Act 1965</w:t>
      </w:r>
    </w:p>
    <w:p w14:paraId="28E59160" w14:textId="1D237BC6" w:rsidR="002147CC" w:rsidRDefault="002147CC" w:rsidP="00520E16">
      <w:pPr>
        <w:spacing w:before="240"/>
        <w:jc w:val="center"/>
        <w:rPr>
          <w:i/>
        </w:rPr>
      </w:pPr>
      <w:bookmarkStart w:id="0" w:name="_Hlk65678275"/>
      <w:r w:rsidRPr="00F10AD8">
        <w:rPr>
          <w:i/>
        </w:rPr>
        <w:t xml:space="preserve">Currency (Australian Coins) Amendment (2021 Perth Mint No. </w:t>
      </w:r>
      <w:r w:rsidR="007B3BCC">
        <w:rPr>
          <w:i/>
        </w:rPr>
        <w:t>2</w:t>
      </w:r>
      <w:r w:rsidRPr="00F10AD8">
        <w:rPr>
          <w:i/>
        </w:rPr>
        <w:t>) Determination 2021</w:t>
      </w:r>
    </w:p>
    <w:bookmarkEnd w:id="0"/>
    <w:p w14:paraId="0A06CAB3" w14:textId="77777777" w:rsidR="002147CC" w:rsidRPr="00A71A14" w:rsidRDefault="002147CC" w:rsidP="00520E16">
      <w:pPr>
        <w:spacing w:before="240"/>
      </w:pPr>
      <w:r w:rsidRPr="00A71A14">
        <w:t xml:space="preserve">Subsection 13(2) and section 13A of the </w:t>
      </w:r>
      <w:r w:rsidRPr="00A71A14">
        <w:rPr>
          <w:i/>
        </w:rPr>
        <w:t>Currency Act 1965</w:t>
      </w:r>
      <w:r w:rsidRPr="00A71A14">
        <w:t xml:space="preserve"> (the Act) provide that the Treasurer may, by legislative instrument, determine </w:t>
      </w:r>
      <w:r w:rsidRPr="00A71A14">
        <w:rPr>
          <w:szCs w:val="24"/>
        </w:rPr>
        <w:t xml:space="preserve">details of Australian coin characteristics including denomination, standard composition, standard weight, allowable variation from standard weight, </w:t>
      </w:r>
      <w:proofErr w:type="gramStart"/>
      <w:r w:rsidRPr="00A71A14">
        <w:rPr>
          <w:szCs w:val="24"/>
        </w:rPr>
        <w:t>design</w:t>
      </w:r>
      <w:proofErr w:type="gramEnd"/>
      <w:r w:rsidRPr="00A71A14">
        <w:rPr>
          <w:szCs w:val="24"/>
        </w:rPr>
        <w:t xml:space="preserve"> and dimensions.</w:t>
      </w:r>
    </w:p>
    <w:p w14:paraId="419AD8B2" w14:textId="6FD938AC" w:rsidR="002147CC" w:rsidRPr="00A71A14" w:rsidRDefault="002147CC" w:rsidP="00520E16">
      <w:pPr>
        <w:spacing w:before="240"/>
      </w:pPr>
      <w:r w:rsidRPr="00A71A14">
        <w:t xml:space="preserve">The purpose of this legislative instrument is to </w:t>
      </w:r>
      <w:r w:rsidRPr="00A71A14">
        <w:rPr>
          <w:szCs w:val="24"/>
        </w:rPr>
        <w:t xml:space="preserve">determine the characteristics of </w:t>
      </w:r>
      <w:r w:rsidR="00D22421">
        <w:rPr>
          <w:szCs w:val="24"/>
        </w:rPr>
        <w:t>4</w:t>
      </w:r>
      <w:r w:rsidRPr="00A71A14">
        <w:rPr>
          <w:szCs w:val="24"/>
        </w:rPr>
        <w:t xml:space="preserve"> new </w:t>
      </w:r>
      <w:r>
        <w:rPr>
          <w:szCs w:val="24"/>
        </w:rPr>
        <w:t>non-circulating</w:t>
      </w:r>
      <w:r w:rsidRPr="00A71A14">
        <w:rPr>
          <w:szCs w:val="24"/>
        </w:rPr>
        <w:t xml:space="preserve"> coins proposed to be issued by The Perth Mint and to make technical amendments to ensure the Determination operates as intended.</w:t>
      </w:r>
    </w:p>
    <w:p w14:paraId="6C77E9D2" w14:textId="77777777" w:rsidR="002147CC" w:rsidRPr="00A71A14" w:rsidRDefault="002147CC" w:rsidP="00520E16">
      <w:pPr>
        <w:spacing w:before="240"/>
        <w:rPr>
          <w:szCs w:val="24"/>
        </w:rPr>
      </w:pPr>
      <w:r w:rsidRPr="00A71A14">
        <w:rPr>
          <w:szCs w:val="24"/>
        </w:rPr>
        <w:t xml:space="preserve">The Treasurer may authorise the making and issuing of coins specified, or taken to be specified, in the Schedule to the </w:t>
      </w:r>
      <w:r w:rsidRPr="00A71A14">
        <w:rPr>
          <w:i/>
          <w:szCs w:val="24"/>
        </w:rPr>
        <w:t>Currency Act 1965</w:t>
      </w:r>
      <w:r w:rsidRPr="00A71A14">
        <w:rPr>
          <w:szCs w:val="24"/>
        </w:rPr>
        <w:t xml:space="preserve">.  A </w:t>
      </w:r>
      <w:r w:rsidRPr="00A71A14">
        <w:rPr>
          <w:color w:val="000000"/>
          <w:szCs w:val="24"/>
          <w:shd w:val="clear" w:color="auto" w:fill="FFFFFF"/>
        </w:rPr>
        <w:t xml:space="preserve">payment of money is legal tender if it is made in coins that are made and issued under the </w:t>
      </w:r>
      <w:r w:rsidRPr="00A71A14">
        <w:rPr>
          <w:i/>
          <w:color w:val="000000"/>
          <w:szCs w:val="24"/>
          <w:shd w:val="clear" w:color="auto" w:fill="FFFFFF"/>
        </w:rPr>
        <w:t>Currency Act 1965</w:t>
      </w:r>
      <w:r w:rsidRPr="00A71A14">
        <w:rPr>
          <w:color w:val="000000"/>
          <w:szCs w:val="24"/>
          <w:shd w:val="clear" w:color="auto" w:fill="FFFFFF"/>
        </w:rPr>
        <w:t xml:space="preserve">.  Through the issue of a currency determination, the Treasurer can add, </w:t>
      </w:r>
      <w:proofErr w:type="gramStart"/>
      <w:r w:rsidRPr="00A71A14">
        <w:rPr>
          <w:color w:val="000000"/>
          <w:szCs w:val="24"/>
          <w:shd w:val="clear" w:color="auto" w:fill="FFFFFF"/>
        </w:rPr>
        <w:t>remove</w:t>
      </w:r>
      <w:proofErr w:type="gramEnd"/>
      <w:r w:rsidRPr="00A71A14">
        <w:rPr>
          <w:color w:val="000000"/>
          <w:szCs w:val="24"/>
          <w:shd w:val="clear" w:color="auto" w:fill="FFFFFF"/>
        </w:rPr>
        <w:t xml:space="preserve"> and alter the coin characteristics </w:t>
      </w:r>
      <w:r w:rsidRPr="00A71A14">
        <w:rPr>
          <w:szCs w:val="24"/>
        </w:rPr>
        <w:t xml:space="preserve">specified, or taken to be specified, in the Schedule to the </w:t>
      </w:r>
      <w:r w:rsidRPr="00A71A14">
        <w:rPr>
          <w:i/>
          <w:szCs w:val="24"/>
        </w:rPr>
        <w:t>Currency Act 1965</w:t>
      </w:r>
      <w:r w:rsidRPr="00A71A14">
        <w:rPr>
          <w:szCs w:val="24"/>
        </w:rPr>
        <w:t>.</w:t>
      </w:r>
    </w:p>
    <w:p w14:paraId="4F52103A" w14:textId="77777777" w:rsidR="002147CC" w:rsidRPr="00A71A14" w:rsidRDefault="002147CC" w:rsidP="00520E16">
      <w:pPr>
        <w:spacing w:before="240"/>
      </w:pPr>
      <w:r w:rsidRPr="00A71A14">
        <w:t xml:space="preserve">In accordance with section 19 of the </w:t>
      </w:r>
      <w:r w:rsidRPr="00A71A14">
        <w:rPr>
          <w:i/>
        </w:rPr>
        <w:t>Acts Interpretations Act 1901</w:t>
      </w:r>
      <w:r w:rsidRPr="00A71A14">
        <w:t>, any Minister in the Treasury portfolio may, by legislative instrument, determine details of Australian coin characteristics.</w:t>
      </w:r>
    </w:p>
    <w:p w14:paraId="1A45737D" w14:textId="77777777" w:rsidR="002147CC" w:rsidRPr="00A71A14" w:rsidRDefault="002147CC" w:rsidP="00520E16">
      <w:pPr>
        <w:spacing w:before="240"/>
        <w:rPr>
          <w:u w:val="single"/>
        </w:rPr>
      </w:pPr>
      <w:r w:rsidRPr="00A71A14">
        <w:t xml:space="preserve">Details of the legislative instrument are set out in the </w:t>
      </w:r>
      <w:r w:rsidRPr="00A71A14">
        <w:rPr>
          <w:u w:val="single"/>
        </w:rPr>
        <w:t>Attachment</w:t>
      </w:r>
      <w:r w:rsidRPr="00A71A14">
        <w:t>.</w:t>
      </w:r>
    </w:p>
    <w:p w14:paraId="756C43E5" w14:textId="77777777" w:rsidR="002147CC" w:rsidRPr="00A71A14" w:rsidRDefault="002147CC" w:rsidP="00520E16">
      <w:pPr>
        <w:spacing w:before="240"/>
      </w:pPr>
      <w:r w:rsidRPr="00A71A14">
        <w:t>The legislative instrument commenced on the day after it was registered on the Federal Register of Legislation.</w:t>
      </w:r>
    </w:p>
    <w:p w14:paraId="55759EF4" w14:textId="77777777" w:rsidR="002147CC" w:rsidRPr="00A71A14" w:rsidRDefault="002147CC" w:rsidP="00520E16">
      <w:pPr>
        <w:spacing w:before="240"/>
      </w:pPr>
      <w:r w:rsidRPr="00A71A14">
        <w:t xml:space="preserve">The legislative instrument is subject to disallowance </w:t>
      </w:r>
      <w:r w:rsidRPr="00A71A14">
        <w:rPr>
          <w:szCs w:val="24"/>
        </w:rPr>
        <w:t xml:space="preserve">under section 42 of the </w:t>
      </w:r>
      <w:bookmarkStart w:id="1" w:name="OLE_LINK8"/>
      <w:r w:rsidRPr="00A71A14">
        <w:rPr>
          <w:i/>
          <w:szCs w:val="24"/>
        </w:rPr>
        <w:t>Legislation Act 2003</w:t>
      </w:r>
      <w:bookmarkEnd w:id="1"/>
      <w:r w:rsidRPr="00A71A14">
        <w:rPr>
          <w:szCs w:val="24"/>
        </w:rPr>
        <w:t>.</w:t>
      </w:r>
    </w:p>
    <w:p w14:paraId="1C5FCCBC" w14:textId="77777777" w:rsidR="002147CC" w:rsidRPr="00A71A14" w:rsidRDefault="002147CC" w:rsidP="00520E16">
      <w:pPr>
        <w:spacing w:before="240"/>
        <w:rPr>
          <w:b/>
          <w:i/>
        </w:rPr>
      </w:pPr>
      <w:r w:rsidRPr="00A71A14">
        <w:rPr>
          <w:b/>
        </w:rPr>
        <w:t>Consultation</w:t>
      </w:r>
    </w:p>
    <w:p w14:paraId="223E16D3" w14:textId="77777777" w:rsidR="002147CC" w:rsidRPr="00A71A14" w:rsidRDefault="002147CC" w:rsidP="00520E16">
      <w:pPr>
        <w:tabs>
          <w:tab w:val="left" w:pos="3828"/>
          <w:tab w:val="left" w:pos="5670"/>
        </w:tabs>
        <w:jc w:val="both"/>
        <w:rPr>
          <w:szCs w:val="24"/>
        </w:rPr>
      </w:pPr>
      <w:r w:rsidRPr="00A71A14">
        <w:rPr>
          <w:szCs w:val="24"/>
        </w:rPr>
        <w:t>The Perth Mint undertook consultation among its network of Australian and international wholesale distributors.  Authorised Australian distributors of The Perth Mint products are consulted regularly during business meetings and participation at the Australian Numismatic Dealers’ Association Coin, Banknote and Stamp shows.  Likewise, international distributors were consulted during a schedule of individual meetings hosted during the World Money Fair held in Berlin and the American Numismatic Association’s World’s Fair of Money.</w:t>
      </w:r>
    </w:p>
    <w:p w14:paraId="42FE5DEA" w14:textId="77777777" w:rsidR="002147CC" w:rsidRPr="00A71A14" w:rsidRDefault="002147CC" w:rsidP="00520E16">
      <w:pPr>
        <w:tabs>
          <w:tab w:val="left" w:pos="3828"/>
          <w:tab w:val="left" w:pos="5670"/>
        </w:tabs>
        <w:jc w:val="both"/>
        <w:rPr>
          <w:szCs w:val="24"/>
        </w:rPr>
      </w:pPr>
      <w:r w:rsidRPr="00A71A14">
        <w:rPr>
          <w:szCs w:val="24"/>
        </w:rPr>
        <w:t>Limited consultation was conducted with external parties due to the confidentiality of coin themes and artwork, due to the risk of competitors viewing the innovations and potentially releasing similar coins into the market prior to the release.</w:t>
      </w:r>
    </w:p>
    <w:p w14:paraId="3365BBDE" w14:textId="77777777" w:rsidR="002147CC" w:rsidRPr="00A71A14" w:rsidRDefault="002147CC" w:rsidP="00520E16">
      <w:pPr>
        <w:tabs>
          <w:tab w:val="left" w:pos="3828"/>
          <w:tab w:val="left" w:pos="5670"/>
        </w:tabs>
        <w:jc w:val="both"/>
        <w:rPr>
          <w:szCs w:val="24"/>
        </w:rPr>
      </w:pPr>
      <w:r w:rsidRPr="00A71A14">
        <w:rPr>
          <w:szCs w:val="24"/>
        </w:rPr>
        <w:lastRenderedPageBreak/>
        <w:t xml:space="preserve">Members of the public </w:t>
      </w:r>
      <w:proofErr w:type="gramStart"/>
      <w:r w:rsidRPr="00A71A14">
        <w:rPr>
          <w:szCs w:val="24"/>
        </w:rPr>
        <w:t>have the opportunity to</w:t>
      </w:r>
      <w:proofErr w:type="gramEnd"/>
      <w:r w:rsidRPr="00A71A14">
        <w:rPr>
          <w:szCs w:val="24"/>
        </w:rPr>
        <w:t xml:space="preserve"> contact The Perth Mint to present any themes they would like to see commemorated on Australian legal tender. These concepts are then researched and presented to The Perth Mint’s sales and marketing department for consideration and feedback.</w:t>
      </w:r>
    </w:p>
    <w:p w14:paraId="60E4EFAA" w14:textId="77777777" w:rsidR="002147CC" w:rsidRPr="00A71A14" w:rsidRDefault="002147CC" w:rsidP="00520E16">
      <w:pPr>
        <w:pStyle w:val="Heading3"/>
      </w:pPr>
      <w:r w:rsidRPr="00A71A14">
        <w:t>Statement of Compatibility with Human Rights</w:t>
      </w:r>
    </w:p>
    <w:p w14:paraId="49CB398E" w14:textId="77777777" w:rsidR="002147CC" w:rsidRPr="00A71A14" w:rsidRDefault="002147CC" w:rsidP="00520E16">
      <w:pPr>
        <w:spacing w:before="240"/>
        <w:jc w:val="center"/>
        <w:rPr>
          <w:i/>
        </w:rPr>
      </w:pPr>
      <w:r w:rsidRPr="00A71A14">
        <w:rPr>
          <w:i/>
        </w:rPr>
        <w:t>Prepared in accordance with Part 3 of the Human Rights (Parliamentary Scrutiny) Act 2011</w:t>
      </w:r>
    </w:p>
    <w:p w14:paraId="146BCC8A" w14:textId="1EC0955D" w:rsidR="002147CC" w:rsidRPr="00F10AD8" w:rsidRDefault="002147CC" w:rsidP="00520E16">
      <w:pPr>
        <w:pStyle w:val="Heading3"/>
        <w:jc w:val="center"/>
        <w:rPr>
          <w:i/>
        </w:rPr>
      </w:pPr>
      <w:r w:rsidRPr="00F10AD8">
        <w:rPr>
          <w:i/>
        </w:rPr>
        <w:t xml:space="preserve">Currency (Australian Coins) Amendment (2021 Perth Mint No. </w:t>
      </w:r>
      <w:r w:rsidR="007B3BCC">
        <w:rPr>
          <w:i/>
        </w:rPr>
        <w:t>2</w:t>
      </w:r>
      <w:r w:rsidRPr="00F10AD8">
        <w:rPr>
          <w:i/>
        </w:rPr>
        <w:t>) Determination 2021</w:t>
      </w:r>
    </w:p>
    <w:p w14:paraId="06927658" w14:textId="77777777" w:rsidR="002147CC" w:rsidRPr="00A71A14" w:rsidRDefault="002147CC" w:rsidP="00520E16">
      <w:pPr>
        <w:pStyle w:val="Heading3"/>
        <w:jc w:val="center"/>
      </w:pPr>
    </w:p>
    <w:p w14:paraId="3BD2C7E4" w14:textId="77777777" w:rsidR="002147CC" w:rsidRPr="00A71A14" w:rsidRDefault="002147CC" w:rsidP="00520E16">
      <w:pPr>
        <w:spacing w:before="240"/>
      </w:pPr>
      <w:r w:rsidRPr="00A71A14">
        <w:t xml:space="preserve">This Legislative Instrument is compatible with the human rights and freedoms recognised or declared in the international instruments listed in section 3 of the </w:t>
      </w:r>
      <w:r w:rsidRPr="00A71A14">
        <w:rPr>
          <w:i/>
        </w:rPr>
        <w:t>Human Rights (Parliamentary Scrutiny) Act 2011</w:t>
      </w:r>
      <w:r w:rsidRPr="00A71A14">
        <w:t>.</w:t>
      </w:r>
    </w:p>
    <w:p w14:paraId="204B38F7" w14:textId="77777777" w:rsidR="002147CC" w:rsidRPr="00A71A14" w:rsidRDefault="002147CC" w:rsidP="00520E16">
      <w:pPr>
        <w:pStyle w:val="Heading3"/>
      </w:pPr>
      <w:r w:rsidRPr="00A71A14">
        <w:t>Overview of the Legislative Instrument</w:t>
      </w:r>
    </w:p>
    <w:p w14:paraId="00D52BFC" w14:textId="3CC4BCAC" w:rsidR="002147CC" w:rsidRPr="00A71A14" w:rsidRDefault="002147CC" w:rsidP="00520E16">
      <w:pPr>
        <w:spacing w:before="240"/>
      </w:pPr>
      <w:r w:rsidRPr="00A71A14">
        <w:t xml:space="preserve">The purpose of this legislative instrument is to </w:t>
      </w:r>
      <w:r w:rsidRPr="00A71A14">
        <w:rPr>
          <w:szCs w:val="24"/>
        </w:rPr>
        <w:t xml:space="preserve">determine the characteristics of </w:t>
      </w:r>
      <w:r w:rsidR="00FB69B0">
        <w:rPr>
          <w:szCs w:val="24"/>
        </w:rPr>
        <w:t>4</w:t>
      </w:r>
      <w:r w:rsidRPr="00A71A14">
        <w:rPr>
          <w:szCs w:val="24"/>
        </w:rPr>
        <w:t xml:space="preserve"> new </w:t>
      </w:r>
      <w:r>
        <w:rPr>
          <w:szCs w:val="24"/>
        </w:rPr>
        <w:t>non-circulating</w:t>
      </w:r>
      <w:r w:rsidRPr="00A71A14">
        <w:rPr>
          <w:szCs w:val="24"/>
        </w:rPr>
        <w:t xml:space="preserve"> coins proposed to be issued by The Perth Mint and to make technical amendments to ensure the Determination operates as intended.</w:t>
      </w:r>
    </w:p>
    <w:p w14:paraId="0D050445" w14:textId="77777777" w:rsidR="002147CC" w:rsidRPr="00A71A14" w:rsidRDefault="002147CC" w:rsidP="00520E16">
      <w:pPr>
        <w:pStyle w:val="Heading3"/>
      </w:pPr>
      <w:r w:rsidRPr="00A71A14">
        <w:t>Human rights implications</w:t>
      </w:r>
    </w:p>
    <w:p w14:paraId="14817482" w14:textId="77777777" w:rsidR="002147CC" w:rsidRPr="00A71A14" w:rsidRDefault="002147CC" w:rsidP="00520E16">
      <w:pPr>
        <w:spacing w:before="240"/>
      </w:pPr>
      <w:r w:rsidRPr="00A71A14">
        <w:t>This Legislative Instrument does not engage any of the applicable rights or freedoms.</w:t>
      </w:r>
    </w:p>
    <w:p w14:paraId="455F4900" w14:textId="77777777" w:rsidR="002147CC" w:rsidRPr="00A71A14" w:rsidRDefault="002147CC" w:rsidP="00520E16">
      <w:pPr>
        <w:pStyle w:val="Heading3"/>
      </w:pPr>
      <w:r w:rsidRPr="00A71A14">
        <w:t>Conclusion</w:t>
      </w:r>
    </w:p>
    <w:p w14:paraId="738055CF" w14:textId="77777777" w:rsidR="002147CC" w:rsidRPr="00A71A14" w:rsidRDefault="002147CC" w:rsidP="00520E16">
      <w:pPr>
        <w:spacing w:before="240"/>
      </w:pPr>
      <w:r w:rsidRPr="00A71A14">
        <w:t>This Legislative Instrument is compatible with human rights as it does not raise any human rights issues.</w:t>
      </w:r>
    </w:p>
    <w:p w14:paraId="1D68CF67" w14:textId="77777777" w:rsidR="002147CC" w:rsidRPr="00A71A14" w:rsidRDefault="002147CC" w:rsidP="00520E16">
      <w:pPr>
        <w:spacing w:before="240"/>
      </w:pPr>
      <w:r w:rsidRPr="00A71A14">
        <w:br w:type="page"/>
      </w:r>
    </w:p>
    <w:p w14:paraId="58E956CB" w14:textId="77777777" w:rsidR="002147CC" w:rsidRPr="00A71A14" w:rsidRDefault="002147CC" w:rsidP="00520E16">
      <w:pPr>
        <w:pageBreakBefore/>
        <w:spacing w:before="240"/>
        <w:jc w:val="right"/>
        <w:rPr>
          <w:b/>
          <w:u w:val="single"/>
        </w:rPr>
      </w:pPr>
      <w:r w:rsidRPr="00A71A14">
        <w:rPr>
          <w:b/>
          <w:u w:val="single"/>
        </w:rPr>
        <w:lastRenderedPageBreak/>
        <w:t>ATTACHMENT</w:t>
      </w:r>
    </w:p>
    <w:p w14:paraId="0AB38251" w14:textId="7F64B8E8" w:rsidR="002147CC" w:rsidRDefault="002147CC" w:rsidP="00520E16">
      <w:pPr>
        <w:spacing w:before="240"/>
        <w:rPr>
          <w:i/>
        </w:rPr>
      </w:pPr>
      <w:r w:rsidRPr="00A71A14">
        <w:rPr>
          <w:b/>
          <w:bCs/>
          <w:u w:val="single"/>
        </w:rPr>
        <w:t xml:space="preserve">Details of </w:t>
      </w:r>
      <w:r w:rsidRPr="00F10AD8">
        <w:rPr>
          <w:b/>
          <w:bCs/>
          <w:u w:val="single"/>
        </w:rPr>
        <w:t xml:space="preserve">the </w:t>
      </w:r>
      <w:r w:rsidRPr="00F10AD8">
        <w:rPr>
          <w:b/>
          <w:bCs/>
          <w:i/>
          <w:u w:val="single"/>
        </w:rPr>
        <w:t xml:space="preserve">Currency (Australian Coins) Amendment (2021 Perth Mint No. </w:t>
      </w:r>
      <w:r w:rsidR="00816EED">
        <w:rPr>
          <w:b/>
          <w:bCs/>
          <w:i/>
          <w:u w:val="single"/>
        </w:rPr>
        <w:t>2</w:t>
      </w:r>
      <w:r w:rsidRPr="00F10AD8">
        <w:rPr>
          <w:b/>
          <w:bCs/>
          <w:i/>
          <w:u w:val="single"/>
        </w:rPr>
        <w:t>) Determination 2021</w:t>
      </w:r>
    </w:p>
    <w:p w14:paraId="239B055D" w14:textId="77777777" w:rsidR="002147CC" w:rsidRPr="00A71A14" w:rsidRDefault="002147CC" w:rsidP="00520E16">
      <w:pPr>
        <w:spacing w:before="240"/>
        <w:rPr>
          <w:rFonts w:ascii="Calibri" w:hAnsi="Calibri"/>
          <w:sz w:val="22"/>
          <w:szCs w:val="22"/>
          <w:u w:val="single"/>
          <w:lang w:eastAsia="en-US"/>
        </w:rPr>
      </w:pPr>
      <w:r w:rsidRPr="00A71A14">
        <w:rPr>
          <w:u w:val="single"/>
        </w:rPr>
        <w:t>Section 1 – Name of the Determination</w:t>
      </w:r>
    </w:p>
    <w:p w14:paraId="0D299382" w14:textId="3B1C82A0" w:rsidR="002147CC" w:rsidRPr="00F10AD8" w:rsidRDefault="002147CC" w:rsidP="00520E16">
      <w:pPr>
        <w:spacing w:before="240"/>
        <w:rPr>
          <w:i/>
        </w:rPr>
      </w:pPr>
      <w:r w:rsidRPr="00A71A14">
        <w:t xml:space="preserve">This section provides that the name of the Determination is the </w:t>
      </w:r>
      <w:r w:rsidRPr="00F10AD8">
        <w:rPr>
          <w:i/>
        </w:rPr>
        <w:t xml:space="preserve">Currency (Australian Coins) Amendment (2021 Perth Mint No. </w:t>
      </w:r>
      <w:r w:rsidR="00816EED">
        <w:rPr>
          <w:i/>
        </w:rPr>
        <w:t>2</w:t>
      </w:r>
      <w:r w:rsidRPr="00F10AD8">
        <w:rPr>
          <w:i/>
        </w:rPr>
        <w:t>) Determination 2021</w:t>
      </w:r>
      <w:r>
        <w:rPr>
          <w:i/>
        </w:rPr>
        <w:t>.</w:t>
      </w:r>
    </w:p>
    <w:p w14:paraId="0F0CAA16" w14:textId="77777777" w:rsidR="002147CC" w:rsidRPr="00A71A14" w:rsidRDefault="002147CC" w:rsidP="00520E16">
      <w:pPr>
        <w:spacing w:before="240"/>
        <w:ind w:right="91"/>
        <w:rPr>
          <w:u w:val="single"/>
        </w:rPr>
      </w:pPr>
      <w:r w:rsidRPr="00A71A14">
        <w:rPr>
          <w:u w:val="single"/>
        </w:rPr>
        <w:t>Section 2 – Commencement</w:t>
      </w:r>
    </w:p>
    <w:p w14:paraId="73E5C8E2" w14:textId="77777777" w:rsidR="002147CC" w:rsidRPr="00A71A14" w:rsidRDefault="002147CC" w:rsidP="00520E16">
      <w:pPr>
        <w:spacing w:before="240"/>
      </w:pPr>
      <w:r w:rsidRPr="00A71A14">
        <w:t>This section prescribes that the Determination commences the day after the Determination is registered.</w:t>
      </w:r>
    </w:p>
    <w:p w14:paraId="51587D76" w14:textId="77777777" w:rsidR="002147CC" w:rsidRPr="00A71A14" w:rsidRDefault="002147CC" w:rsidP="00520E16">
      <w:pPr>
        <w:spacing w:before="240"/>
        <w:ind w:right="91"/>
        <w:rPr>
          <w:u w:val="single"/>
        </w:rPr>
      </w:pPr>
      <w:r w:rsidRPr="00A71A14">
        <w:rPr>
          <w:u w:val="single"/>
        </w:rPr>
        <w:t>Section 3 – Authority</w:t>
      </w:r>
    </w:p>
    <w:p w14:paraId="4AD1FF58" w14:textId="77777777" w:rsidR="002147CC" w:rsidRPr="00A71A14" w:rsidRDefault="002147CC" w:rsidP="00520E16">
      <w:pPr>
        <w:spacing w:before="240"/>
      </w:pPr>
      <w:r w:rsidRPr="00A71A14">
        <w:t xml:space="preserve">This section provides that the Determination is made under the </w:t>
      </w:r>
      <w:r w:rsidRPr="00A71A14">
        <w:rPr>
          <w:i/>
        </w:rPr>
        <w:t>Currency Act 1965</w:t>
      </w:r>
      <w:r w:rsidRPr="00A71A14">
        <w:t>.</w:t>
      </w:r>
    </w:p>
    <w:p w14:paraId="753DA6E3" w14:textId="77777777" w:rsidR="002147CC" w:rsidRPr="00A71A14" w:rsidRDefault="002147CC" w:rsidP="00520E16">
      <w:pPr>
        <w:spacing w:before="240"/>
        <w:ind w:right="91"/>
        <w:rPr>
          <w:u w:val="single"/>
        </w:rPr>
      </w:pPr>
      <w:r w:rsidRPr="00A71A14">
        <w:rPr>
          <w:u w:val="single"/>
        </w:rPr>
        <w:t>Section 4 – Schedule</w:t>
      </w:r>
    </w:p>
    <w:p w14:paraId="59383D16" w14:textId="77777777" w:rsidR="002147CC" w:rsidRPr="00A71A14" w:rsidRDefault="002147CC" w:rsidP="00520E16">
      <w:pPr>
        <w:spacing w:before="240" w:after="200"/>
        <w:ind w:right="91"/>
      </w:pPr>
      <w:r w:rsidRPr="00A71A14">
        <w:t>This section provides that each instrument that is specified in the Schedule to this Determination will be amended or repealed as set out in this Schedule.</w:t>
      </w:r>
    </w:p>
    <w:p w14:paraId="5D8C611D" w14:textId="77777777" w:rsidR="002147CC" w:rsidRPr="00A71A14" w:rsidRDefault="002147CC" w:rsidP="00520E16">
      <w:pPr>
        <w:spacing w:before="240" w:after="200"/>
        <w:ind w:right="91"/>
        <w:rPr>
          <w:u w:val="single"/>
        </w:rPr>
      </w:pPr>
      <w:r w:rsidRPr="00A71A14">
        <w:rPr>
          <w:u w:val="single"/>
        </w:rPr>
        <w:t>Schedule 1 – Amendments</w:t>
      </w:r>
    </w:p>
    <w:p w14:paraId="6D76737E" w14:textId="36DB2310" w:rsidR="002147CC" w:rsidRPr="00A71A14" w:rsidRDefault="002147CC" w:rsidP="00520E16">
      <w:pPr>
        <w:spacing w:after="0"/>
        <w:ind w:right="91"/>
      </w:pPr>
      <w:r w:rsidRPr="00A71A14">
        <w:t xml:space="preserve">The Schedule amends the </w:t>
      </w:r>
      <w:r w:rsidRPr="00A71A14">
        <w:rPr>
          <w:i/>
        </w:rPr>
        <w:t>Currency (Australian Coins) Determination 2019</w:t>
      </w:r>
      <w:r w:rsidRPr="00A71A14">
        <w:t xml:space="preserve"> by adding new coin specifications and explanations to Part 2 of Schedule 202</w:t>
      </w:r>
      <w:r>
        <w:t>1</w:t>
      </w:r>
      <w:r w:rsidR="00FB69B0">
        <w:t xml:space="preserve"> to the Determination</w:t>
      </w:r>
      <w:r w:rsidRPr="00A71A14">
        <w:t>. The newly determined coin characteristics are set out below.</w:t>
      </w:r>
    </w:p>
    <w:p w14:paraId="7439A06E" w14:textId="77777777" w:rsidR="002147CC" w:rsidRPr="00A71A14" w:rsidRDefault="002147CC" w:rsidP="00520E16">
      <w:pPr>
        <w:spacing w:before="0" w:after="0"/>
      </w:pPr>
    </w:p>
    <w:p w14:paraId="059F6E04" w14:textId="314A64C4" w:rsidR="002147CC" w:rsidRDefault="009F6D8C" w:rsidP="00520E16">
      <w:pPr>
        <w:spacing w:before="0" w:after="0"/>
        <w:rPr>
          <w:b/>
          <w:i/>
        </w:rPr>
      </w:pPr>
      <w:r>
        <w:rPr>
          <w:b/>
          <w:i/>
        </w:rPr>
        <w:t>$200 2021 2oz Gold Queen Elizabeth II 95</w:t>
      </w:r>
      <w:r w:rsidRPr="009F6D8C">
        <w:rPr>
          <w:b/>
          <w:i/>
          <w:vertAlign w:val="superscript"/>
        </w:rPr>
        <w:t>th</w:t>
      </w:r>
      <w:r>
        <w:rPr>
          <w:b/>
          <w:i/>
        </w:rPr>
        <w:t xml:space="preserve"> Birthday Coin</w:t>
      </w:r>
    </w:p>
    <w:p w14:paraId="504C4C85" w14:textId="2907544A" w:rsidR="002147CC" w:rsidRDefault="009F6D8C" w:rsidP="00520E16">
      <w:pPr>
        <w:spacing w:before="0" w:after="0"/>
        <w:rPr>
          <w:b/>
          <w:i/>
        </w:rPr>
      </w:pPr>
      <w:r>
        <w:rPr>
          <w:b/>
          <w:i/>
        </w:rPr>
        <w:t>$25 2021 1/4oz Gold Queen Elizabeth II 95</w:t>
      </w:r>
      <w:r w:rsidRPr="009F6D8C">
        <w:rPr>
          <w:b/>
          <w:i/>
          <w:vertAlign w:val="superscript"/>
        </w:rPr>
        <w:t>th</w:t>
      </w:r>
      <w:r>
        <w:rPr>
          <w:b/>
          <w:i/>
        </w:rPr>
        <w:t xml:space="preserve"> Birthday Coin</w:t>
      </w:r>
    </w:p>
    <w:p w14:paraId="193954E1" w14:textId="1E51DBA6" w:rsidR="009F6D8C" w:rsidRDefault="009F6D8C" w:rsidP="00520E16">
      <w:pPr>
        <w:spacing w:before="0" w:after="0"/>
        <w:rPr>
          <w:b/>
          <w:i/>
        </w:rPr>
      </w:pPr>
      <w:r>
        <w:rPr>
          <w:b/>
          <w:i/>
        </w:rPr>
        <w:t>$1 2021 1oz Silver Queen Elizabeth II 95</w:t>
      </w:r>
      <w:r w:rsidRPr="009F6D8C">
        <w:rPr>
          <w:b/>
          <w:i/>
          <w:vertAlign w:val="superscript"/>
        </w:rPr>
        <w:t>th</w:t>
      </w:r>
      <w:r>
        <w:rPr>
          <w:b/>
          <w:i/>
        </w:rPr>
        <w:t xml:space="preserve"> Birthday Coin</w:t>
      </w:r>
    </w:p>
    <w:p w14:paraId="45642B19" w14:textId="38569A31" w:rsidR="009F6D8C" w:rsidRDefault="009F6D8C" w:rsidP="00520E16">
      <w:pPr>
        <w:spacing w:before="0" w:after="0"/>
        <w:rPr>
          <w:b/>
          <w:i/>
        </w:rPr>
      </w:pPr>
      <w:r>
        <w:rPr>
          <w:b/>
          <w:i/>
        </w:rPr>
        <w:t>$1 2021 13.5g Base Metal Queen Elizabeth II 95</w:t>
      </w:r>
      <w:r w:rsidRPr="009F6D8C">
        <w:rPr>
          <w:b/>
          <w:i/>
          <w:vertAlign w:val="superscript"/>
        </w:rPr>
        <w:t>th</w:t>
      </w:r>
      <w:r>
        <w:rPr>
          <w:b/>
          <w:i/>
        </w:rPr>
        <w:t xml:space="preserve"> Birthday Coin</w:t>
      </w:r>
    </w:p>
    <w:p w14:paraId="6D6610E8" w14:textId="77777777" w:rsidR="009E7F19" w:rsidRDefault="009E7F19" w:rsidP="00520E16">
      <w:pPr>
        <w:spacing w:before="0" w:after="0"/>
        <w:rPr>
          <w:b/>
          <w:i/>
        </w:rPr>
      </w:pPr>
    </w:p>
    <w:p w14:paraId="1A206595" w14:textId="4D215956" w:rsidR="002147CC" w:rsidRDefault="002147CC" w:rsidP="00520E16">
      <w:pPr>
        <w:spacing w:before="0" w:after="0"/>
      </w:pPr>
      <w:r>
        <w:rPr>
          <w:bCs/>
          <w:iCs/>
        </w:rPr>
        <w:t xml:space="preserve">The design on the </w:t>
      </w:r>
      <w:r w:rsidR="00621660">
        <w:rPr>
          <w:bCs/>
          <w:iCs/>
        </w:rPr>
        <w:t>Queen Elizabeth II 95</w:t>
      </w:r>
      <w:r w:rsidR="00621660" w:rsidRPr="00621660">
        <w:rPr>
          <w:bCs/>
          <w:iCs/>
          <w:vertAlign w:val="superscript"/>
        </w:rPr>
        <w:t>th</w:t>
      </w:r>
      <w:r w:rsidR="00621660">
        <w:rPr>
          <w:bCs/>
          <w:iCs/>
        </w:rPr>
        <w:t xml:space="preserve"> Birthday coins</w:t>
      </w:r>
      <w:r>
        <w:rPr>
          <w:bCs/>
          <w:iCs/>
        </w:rPr>
        <w:t xml:space="preserve"> consists of a</w:t>
      </w:r>
      <w:r w:rsidR="00621660">
        <w:rPr>
          <w:bCs/>
          <w:iCs/>
        </w:rPr>
        <w:t xml:space="preserve"> circle immediately inside the rim that is partially obscured by Queen Elizabeth II’s first effigy as designed by Mary Gillick. In the background is </w:t>
      </w:r>
      <w:r w:rsidR="009E7F19">
        <w:rPr>
          <w:bCs/>
          <w:iCs/>
        </w:rPr>
        <w:t xml:space="preserve">a </w:t>
      </w:r>
      <w:r w:rsidR="00621660">
        <w:rPr>
          <w:bCs/>
          <w:iCs/>
        </w:rPr>
        <w:t>stylised wattle</w:t>
      </w:r>
      <w:r w:rsidR="009E7F19">
        <w:rPr>
          <w:bCs/>
          <w:iCs/>
        </w:rPr>
        <w:t xml:space="preserve"> pattern</w:t>
      </w:r>
      <w:r w:rsidR="00621660">
        <w:rPr>
          <w:bCs/>
          <w:iCs/>
        </w:rPr>
        <w:t xml:space="preserve">. </w:t>
      </w:r>
      <w:r>
        <w:rPr>
          <w:bCs/>
          <w:iCs/>
        </w:rPr>
        <w:t xml:space="preserve">The design consists of the following inscriptions: </w:t>
      </w:r>
      <w:r w:rsidR="00621660">
        <w:t>“H.M</w:t>
      </w:r>
      <w:r w:rsidR="009E7F19">
        <w:t>.</w:t>
      </w:r>
      <w:r w:rsidR="00621660">
        <w:t xml:space="preserve"> QUEEN ELIZABETH II”</w:t>
      </w:r>
      <w:r>
        <w:t xml:space="preserve"> “</w:t>
      </w:r>
      <w:r w:rsidR="003D3AF4">
        <w:t>21 APRIL 1926</w:t>
      </w:r>
      <w:r>
        <w:t>”; and</w:t>
      </w:r>
      <w:r w:rsidRPr="00A90777">
        <w:t xml:space="preserve"> </w:t>
      </w:r>
      <w:r>
        <w:t>the letter “P”.</w:t>
      </w:r>
    </w:p>
    <w:p w14:paraId="52B0643C" w14:textId="77777777" w:rsidR="002147CC" w:rsidRDefault="002147CC" w:rsidP="00520E16">
      <w:pPr>
        <w:spacing w:before="0" w:after="0"/>
        <w:rPr>
          <w:b/>
          <w:i/>
        </w:rPr>
      </w:pPr>
    </w:p>
    <w:p w14:paraId="41D70466" w14:textId="6810A326" w:rsidR="00482B81" w:rsidRDefault="002147CC" w:rsidP="00520E16">
      <w:pPr>
        <w:spacing w:before="0" w:after="0"/>
      </w:pPr>
      <w:r w:rsidRPr="00A71A14">
        <w:t>The obverse side of the coins bear an effigy of Queen Elizabeth II as designed by Jody Clark.</w:t>
      </w:r>
    </w:p>
    <w:p w14:paraId="614FE555" w14:textId="511DE9BC" w:rsidR="004C18E0" w:rsidRDefault="004C18E0" w:rsidP="00520E16">
      <w:pPr>
        <w:spacing w:before="0" w:after="0"/>
      </w:pPr>
    </w:p>
    <w:p w14:paraId="039CB4CE" w14:textId="5219B75F" w:rsidR="004C18E0" w:rsidRPr="00EA4DD8" w:rsidRDefault="004C18E0" w:rsidP="00520E16">
      <w:pPr>
        <w:spacing w:before="0" w:after="0"/>
      </w:pPr>
      <w:r>
        <w:t>Schedule 1 also makes a minor refinement to a specification of a previous determined coin</w:t>
      </w:r>
      <w:r w:rsidR="00535B89">
        <w:t>,</w:t>
      </w:r>
      <w:r>
        <w:t xml:space="preserve"> reflecting </w:t>
      </w:r>
      <w:r w:rsidR="00535B89">
        <w:t xml:space="preserve">a </w:t>
      </w:r>
      <w:r w:rsidR="00E50336">
        <w:t xml:space="preserve">design </w:t>
      </w:r>
      <w:r w:rsidR="00535B89">
        <w:t>limitation identified during the manufacturing process.</w:t>
      </w:r>
    </w:p>
    <w:sectPr w:rsidR="004C18E0" w:rsidRPr="00EA4DD8" w:rsidSect="00392BBA">
      <w:headerReference w:type="even" r:id="rId13"/>
      <w:headerReference w:type="default" r:id="rId14"/>
      <w:footerReference w:type="even" r:id="rId15"/>
      <w:footerReference w:type="default" r:id="rId16"/>
      <w:headerReference w:type="first" r:id="rId17"/>
      <w:footerReference w:type="first" r:id="rId18"/>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B054BE" w14:textId="77777777" w:rsidR="00A67490" w:rsidRDefault="00A67490" w:rsidP="00954679">
      <w:pPr>
        <w:spacing w:before="0" w:after="0"/>
      </w:pPr>
      <w:r>
        <w:separator/>
      </w:r>
    </w:p>
  </w:endnote>
  <w:endnote w:type="continuationSeparator" w:id="0">
    <w:p w14:paraId="415D22D4" w14:textId="77777777" w:rsidR="00A67490" w:rsidRDefault="00A67490" w:rsidP="00954679">
      <w:pPr>
        <w:spacing w:before="0" w:after="0"/>
      </w:pPr>
      <w:r>
        <w:continuationSeparator/>
      </w:r>
    </w:p>
  </w:endnote>
  <w:endnote w:type="continuationNotice" w:id="1">
    <w:p w14:paraId="0D416D86" w14:textId="77777777" w:rsidR="00A67490" w:rsidRDefault="00A67490">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CE09A3" w14:textId="77777777" w:rsidR="00FB69B0" w:rsidRDefault="00FB69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08619968"/>
      <w:docPartObj>
        <w:docPartGallery w:val="Page Numbers (Bottom of Page)"/>
        <w:docPartUnique/>
      </w:docPartObj>
    </w:sdtPr>
    <w:sdtEndPr/>
    <w:sdtContent>
      <w:sdt>
        <w:sdtPr>
          <w:id w:val="98381352"/>
          <w:docPartObj>
            <w:docPartGallery w:val="Page Numbers (Top of Page)"/>
            <w:docPartUnique/>
          </w:docPartObj>
        </w:sdtPr>
        <w:sdtEndPr/>
        <w:sdtContent>
          <w:p w14:paraId="37284AA4" w14:textId="1155B012" w:rsidR="00A67490" w:rsidRDefault="00A67490" w:rsidP="00013390">
            <w:pPr>
              <w:pStyle w:val="Footer"/>
              <w:jc w:val="right"/>
            </w:pPr>
            <w:r w:rsidRPr="00954679">
              <w:rPr>
                <w:bCs/>
                <w:szCs w:val="24"/>
              </w:rPr>
              <w:fldChar w:fldCharType="begin"/>
            </w:r>
            <w:r w:rsidRPr="00954679">
              <w:rPr>
                <w:bCs/>
              </w:rPr>
              <w:instrText xml:space="preserve"> PAGE </w:instrText>
            </w:r>
            <w:r w:rsidRPr="00954679">
              <w:rPr>
                <w:bCs/>
                <w:szCs w:val="24"/>
              </w:rPr>
              <w:fldChar w:fldCharType="separate"/>
            </w:r>
            <w:r>
              <w:rPr>
                <w:bCs/>
                <w:noProof/>
              </w:rPr>
              <w:t>1</w:t>
            </w:r>
            <w:r w:rsidRPr="00954679">
              <w:rPr>
                <w:bCs/>
                <w:szCs w:val="24"/>
              </w:rPr>
              <w:fldChar w:fldCharType="end"/>
            </w:r>
            <w:r w:rsidRPr="00954679">
              <w:t xml:space="preserve"> of </w:t>
            </w:r>
            <w:r w:rsidRPr="00954679">
              <w:rPr>
                <w:bCs/>
                <w:szCs w:val="24"/>
              </w:rPr>
              <w:fldChar w:fldCharType="begin"/>
            </w:r>
            <w:r w:rsidRPr="00954679">
              <w:rPr>
                <w:bCs/>
              </w:rPr>
              <w:instrText xml:space="preserve"> NUMPAGES  </w:instrText>
            </w:r>
            <w:r w:rsidRPr="00954679">
              <w:rPr>
                <w:bCs/>
                <w:szCs w:val="24"/>
              </w:rPr>
              <w:fldChar w:fldCharType="separate"/>
            </w:r>
            <w:r>
              <w:rPr>
                <w:bCs/>
                <w:noProof/>
              </w:rPr>
              <w:t>9</w:t>
            </w:r>
            <w:r w:rsidRPr="00954679">
              <w:rPr>
                <w:bCs/>
                <w:szCs w:val="24"/>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DCC9D9" w14:textId="77777777" w:rsidR="00FB69B0" w:rsidRDefault="00FB69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266F66" w14:textId="77777777" w:rsidR="00A67490" w:rsidRDefault="00A67490" w:rsidP="00954679">
      <w:pPr>
        <w:spacing w:before="0" w:after="0"/>
      </w:pPr>
      <w:r>
        <w:separator/>
      </w:r>
    </w:p>
  </w:footnote>
  <w:footnote w:type="continuationSeparator" w:id="0">
    <w:p w14:paraId="6766D680" w14:textId="77777777" w:rsidR="00A67490" w:rsidRDefault="00A67490" w:rsidP="00954679">
      <w:pPr>
        <w:spacing w:before="0" w:after="0"/>
      </w:pPr>
      <w:r>
        <w:continuationSeparator/>
      </w:r>
    </w:p>
  </w:footnote>
  <w:footnote w:type="continuationNotice" w:id="1">
    <w:p w14:paraId="004C1F61" w14:textId="77777777" w:rsidR="00A67490" w:rsidRDefault="00A67490">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3BE7F5" w14:textId="77777777" w:rsidR="00FB69B0" w:rsidRDefault="00FB69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67078C" w14:textId="34F8F024" w:rsidR="00FB69B0" w:rsidRDefault="00FB69B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003F34" w14:textId="77777777" w:rsidR="00FB69B0" w:rsidRDefault="00FB69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176E2C"/>
    <w:multiLevelType w:val="multilevel"/>
    <w:tmpl w:val="51CEC5BC"/>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2C7552C0"/>
    <w:multiLevelType w:val="singleLevel"/>
    <w:tmpl w:val="BBF66F10"/>
    <w:lvl w:ilvl="0">
      <w:start w:val="1"/>
      <w:numFmt w:val="bullet"/>
      <w:pStyle w:val="Dotpoint"/>
      <w:lvlText w:val=""/>
      <w:lvlJc w:val="left"/>
      <w:pPr>
        <w:tabs>
          <w:tab w:val="num" w:pos="360"/>
        </w:tabs>
        <w:ind w:left="360" w:hanging="360"/>
      </w:pPr>
      <w:rPr>
        <w:rFonts w:ascii="Symbol" w:hAnsi="Symbol" w:hint="default"/>
        <w:sz w:val="24"/>
      </w:rPr>
    </w:lvl>
  </w:abstractNum>
  <w:abstractNum w:abstractNumId="2" w15:restartNumberingAfterBreak="0">
    <w:nsid w:val="67A43C0B"/>
    <w:multiLevelType w:val="multilevel"/>
    <w:tmpl w:val="045CA2A8"/>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embedSystemFonts/>
  <w:proofState w:spelling="clean" w:grammar="clean"/>
  <w:attachedTemplate r:id="rId1"/>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7CC"/>
    <w:rsid w:val="00013390"/>
    <w:rsid w:val="00016EA2"/>
    <w:rsid w:val="00076178"/>
    <w:rsid w:val="00095211"/>
    <w:rsid w:val="000B39A1"/>
    <w:rsid w:val="000C10DF"/>
    <w:rsid w:val="000C6935"/>
    <w:rsid w:val="000E32E3"/>
    <w:rsid w:val="000F25BD"/>
    <w:rsid w:val="00113B45"/>
    <w:rsid w:val="001B7535"/>
    <w:rsid w:val="001E6A74"/>
    <w:rsid w:val="001F41D0"/>
    <w:rsid w:val="002147CC"/>
    <w:rsid w:val="00220F16"/>
    <w:rsid w:val="00254C5B"/>
    <w:rsid w:val="002A7E1F"/>
    <w:rsid w:val="002B0476"/>
    <w:rsid w:val="002C226C"/>
    <w:rsid w:val="003041FA"/>
    <w:rsid w:val="003342CD"/>
    <w:rsid w:val="00335042"/>
    <w:rsid w:val="00362B70"/>
    <w:rsid w:val="00392BBA"/>
    <w:rsid w:val="003954FD"/>
    <w:rsid w:val="003C7907"/>
    <w:rsid w:val="003D3AF4"/>
    <w:rsid w:val="003D60D7"/>
    <w:rsid w:val="003E1CE3"/>
    <w:rsid w:val="003E5CB9"/>
    <w:rsid w:val="00462095"/>
    <w:rsid w:val="00482B81"/>
    <w:rsid w:val="00482D4C"/>
    <w:rsid w:val="00487422"/>
    <w:rsid w:val="004B3787"/>
    <w:rsid w:val="004B3C0F"/>
    <w:rsid w:val="004C05E4"/>
    <w:rsid w:val="004C18E0"/>
    <w:rsid w:val="004E39E1"/>
    <w:rsid w:val="004F56D0"/>
    <w:rsid w:val="00503E44"/>
    <w:rsid w:val="00515283"/>
    <w:rsid w:val="00520E16"/>
    <w:rsid w:val="00533926"/>
    <w:rsid w:val="00535B89"/>
    <w:rsid w:val="0055675D"/>
    <w:rsid w:val="00566E8F"/>
    <w:rsid w:val="0057422E"/>
    <w:rsid w:val="005833BE"/>
    <w:rsid w:val="005D7D5A"/>
    <w:rsid w:val="005E4BAC"/>
    <w:rsid w:val="0060130D"/>
    <w:rsid w:val="00621660"/>
    <w:rsid w:val="0064129F"/>
    <w:rsid w:val="00647BB7"/>
    <w:rsid w:val="00680297"/>
    <w:rsid w:val="006873CE"/>
    <w:rsid w:val="006A0786"/>
    <w:rsid w:val="00710E94"/>
    <w:rsid w:val="00727D8A"/>
    <w:rsid w:val="00731FEA"/>
    <w:rsid w:val="00736F61"/>
    <w:rsid w:val="00742253"/>
    <w:rsid w:val="007662C7"/>
    <w:rsid w:val="00776306"/>
    <w:rsid w:val="007A55A7"/>
    <w:rsid w:val="007B1F10"/>
    <w:rsid w:val="007B335E"/>
    <w:rsid w:val="007B3BCC"/>
    <w:rsid w:val="007E018D"/>
    <w:rsid w:val="007F1B71"/>
    <w:rsid w:val="00807E7D"/>
    <w:rsid w:val="00816EED"/>
    <w:rsid w:val="00831675"/>
    <w:rsid w:val="00832DEE"/>
    <w:rsid w:val="0088467C"/>
    <w:rsid w:val="00894579"/>
    <w:rsid w:val="008A5B67"/>
    <w:rsid w:val="008D16F7"/>
    <w:rsid w:val="008E1427"/>
    <w:rsid w:val="009143A0"/>
    <w:rsid w:val="00936902"/>
    <w:rsid w:val="00954679"/>
    <w:rsid w:val="009C6A1E"/>
    <w:rsid w:val="009E2F86"/>
    <w:rsid w:val="009E7F19"/>
    <w:rsid w:val="009F6D8C"/>
    <w:rsid w:val="00A12209"/>
    <w:rsid w:val="00A36DF3"/>
    <w:rsid w:val="00A532DD"/>
    <w:rsid w:val="00A67490"/>
    <w:rsid w:val="00A80BCF"/>
    <w:rsid w:val="00A8369C"/>
    <w:rsid w:val="00AA1689"/>
    <w:rsid w:val="00AA5770"/>
    <w:rsid w:val="00AC1D15"/>
    <w:rsid w:val="00B07B0C"/>
    <w:rsid w:val="00B25563"/>
    <w:rsid w:val="00B26D48"/>
    <w:rsid w:val="00B42EE1"/>
    <w:rsid w:val="00B8293D"/>
    <w:rsid w:val="00B92478"/>
    <w:rsid w:val="00BA6188"/>
    <w:rsid w:val="00BD23B3"/>
    <w:rsid w:val="00BD61A2"/>
    <w:rsid w:val="00BE484D"/>
    <w:rsid w:val="00C37E05"/>
    <w:rsid w:val="00C55D29"/>
    <w:rsid w:val="00CA0BE9"/>
    <w:rsid w:val="00CA138D"/>
    <w:rsid w:val="00CC7641"/>
    <w:rsid w:val="00D13794"/>
    <w:rsid w:val="00D22421"/>
    <w:rsid w:val="00D24052"/>
    <w:rsid w:val="00D24386"/>
    <w:rsid w:val="00D31575"/>
    <w:rsid w:val="00D34626"/>
    <w:rsid w:val="00D34FB4"/>
    <w:rsid w:val="00D4257A"/>
    <w:rsid w:val="00D62665"/>
    <w:rsid w:val="00D82E47"/>
    <w:rsid w:val="00DC0CDE"/>
    <w:rsid w:val="00DC4D72"/>
    <w:rsid w:val="00E0624D"/>
    <w:rsid w:val="00E4438C"/>
    <w:rsid w:val="00E457F3"/>
    <w:rsid w:val="00E50336"/>
    <w:rsid w:val="00E82C20"/>
    <w:rsid w:val="00EA4DD8"/>
    <w:rsid w:val="00EB2AEF"/>
    <w:rsid w:val="00EB4072"/>
    <w:rsid w:val="00EB7E71"/>
    <w:rsid w:val="00F109D4"/>
    <w:rsid w:val="00F15EE9"/>
    <w:rsid w:val="00F47585"/>
    <w:rsid w:val="00F52165"/>
    <w:rsid w:val="00F85E6F"/>
    <w:rsid w:val="00FB69B0"/>
    <w:rsid w:val="00FE04E4"/>
    <w:rsid w:val="00FE73F9"/>
    <w:rsid w:val="00FF1057"/>
    <w:rsid w:val="00FF3E2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E8C1613"/>
  <w15:docId w15:val="{D55699F7-E53A-470E-9679-CA64ABD88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130D"/>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E1CE3"/>
    <w:pPr>
      <w:tabs>
        <w:tab w:val="left" w:pos="1987"/>
      </w:tabs>
      <w:spacing w:after="120"/>
      <w:outlineLvl w:val="2"/>
    </w:pPr>
    <w:rPr>
      <w:kern w:val="28"/>
      <w:sz w:val="24"/>
      <w:u w:val="none"/>
    </w:rPr>
  </w:style>
  <w:style w:type="paragraph" w:styleId="Heading4">
    <w:name w:val="heading 4"/>
    <w:basedOn w:val="Heading3"/>
    <w:next w:val="base-text-paragraph"/>
    <w:qFormat/>
    <w:rsid w:val="00E4438C"/>
    <w:pPr>
      <w:spacing w:before="12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basedOn w:val="Normal"/>
    <w:link w:val="BulletChar"/>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3E1CE3"/>
    <w:rPr>
      <w:b/>
      <w:kern w:val="28"/>
      <w:sz w:val="24"/>
    </w:rPr>
  </w:style>
  <w:style w:type="paragraph" w:styleId="Header">
    <w:name w:val="header"/>
    <w:basedOn w:val="Normal"/>
    <w:link w:val="HeaderChar"/>
    <w:uiPriority w:val="99"/>
    <w:unhideWhenUsed/>
    <w:rsid w:val="00954679"/>
    <w:pPr>
      <w:tabs>
        <w:tab w:val="center" w:pos="4513"/>
        <w:tab w:val="right" w:pos="9026"/>
      </w:tabs>
      <w:spacing w:before="0" w:after="0"/>
    </w:pPr>
  </w:style>
  <w:style w:type="character" w:customStyle="1" w:styleId="HeaderChar">
    <w:name w:val="Header Char"/>
    <w:basedOn w:val="DefaultParagraphFont"/>
    <w:link w:val="Header"/>
    <w:uiPriority w:val="99"/>
    <w:rsid w:val="00954679"/>
    <w:rPr>
      <w:sz w:val="24"/>
    </w:rPr>
  </w:style>
  <w:style w:type="paragraph" w:styleId="Footer">
    <w:name w:val="footer"/>
    <w:basedOn w:val="Normal"/>
    <w:link w:val="FooterChar"/>
    <w:uiPriority w:val="99"/>
    <w:unhideWhenUsed/>
    <w:rsid w:val="00954679"/>
    <w:pPr>
      <w:tabs>
        <w:tab w:val="center" w:pos="4513"/>
        <w:tab w:val="right" w:pos="9026"/>
      </w:tabs>
      <w:spacing w:before="0" w:after="0"/>
    </w:pPr>
  </w:style>
  <w:style w:type="character" w:customStyle="1" w:styleId="FooterChar">
    <w:name w:val="Footer Char"/>
    <w:basedOn w:val="DefaultParagraphFont"/>
    <w:link w:val="Footer"/>
    <w:uiPriority w:val="99"/>
    <w:rsid w:val="00954679"/>
    <w:rPr>
      <w:sz w:val="24"/>
    </w:rPr>
  </w:style>
  <w:style w:type="character" w:styleId="CommentReference">
    <w:name w:val="annotation reference"/>
    <w:basedOn w:val="DefaultParagraphFont"/>
    <w:uiPriority w:val="99"/>
    <w:semiHidden/>
    <w:unhideWhenUsed/>
    <w:rsid w:val="005E4BAC"/>
    <w:rPr>
      <w:sz w:val="16"/>
      <w:szCs w:val="16"/>
    </w:rPr>
  </w:style>
  <w:style w:type="paragraph" w:styleId="CommentText">
    <w:name w:val="annotation text"/>
    <w:basedOn w:val="Normal"/>
    <w:link w:val="CommentTextChar"/>
    <w:uiPriority w:val="99"/>
    <w:semiHidden/>
    <w:unhideWhenUsed/>
    <w:rsid w:val="005E4BAC"/>
    <w:rPr>
      <w:sz w:val="20"/>
    </w:rPr>
  </w:style>
  <w:style w:type="character" w:customStyle="1" w:styleId="CommentTextChar">
    <w:name w:val="Comment Text Char"/>
    <w:basedOn w:val="DefaultParagraphFont"/>
    <w:link w:val="CommentText"/>
    <w:uiPriority w:val="99"/>
    <w:semiHidden/>
    <w:rsid w:val="005E4BAC"/>
  </w:style>
  <w:style w:type="paragraph" w:styleId="CommentSubject">
    <w:name w:val="annotation subject"/>
    <w:basedOn w:val="CommentText"/>
    <w:next w:val="CommentText"/>
    <w:link w:val="CommentSubjectChar"/>
    <w:uiPriority w:val="99"/>
    <w:semiHidden/>
    <w:unhideWhenUsed/>
    <w:rsid w:val="005E4BAC"/>
    <w:rPr>
      <w:b/>
      <w:bCs/>
    </w:rPr>
  </w:style>
  <w:style w:type="character" w:customStyle="1" w:styleId="CommentSubjectChar">
    <w:name w:val="Comment Subject Char"/>
    <w:basedOn w:val="CommentTextChar"/>
    <w:link w:val="CommentSubject"/>
    <w:uiPriority w:val="99"/>
    <w:semiHidden/>
    <w:rsid w:val="005E4BAC"/>
    <w:rPr>
      <w:b/>
      <w:bCs/>
    </w:rPr>
  </w:style>
  <w:style w:type="character" w:styleId="FollowedHyperlink">
    <w:name w:val="FollowedHyperlink"/>
    <w:basedOn w:val="DefaultParagraphFont"/>
    <w:uiPriority w:val="99"/>
    <w:semiHidden/>
    <w:unhideWhenUsed/>
    <w:rsid w:val="00680297"/>
    <w:rPr>
      <w:color w:val="800080" w:themeColor="followedHyperlink"/>
      <w:u w:val="single"/>
    </w:rPr>
  </w:style>
  <w:style w:type="paragraph" w:styleId="ListParagraph">
    <w:name w:val="List Paragraph"/>
    <w:basedOn w:val="Normal"/>
    <w:uiPriority w:val="34"/>
    <w:qFormat/>
    <w:rsid w:val="002147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5684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Legislation\Sub-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E3D816CA7C4C45A5959D968797551403"/>
        <w:category>
          <w:name w:val="General"/>
          <w:gallery w:val="placeholder"/>
        </w:category>
        <w:types>
          <w:type w:val="bbPlcHdr"/>
        </w:types>
        <w:behaviors>
          <w:behavior w:val="content"/>
        </w:behaviors>
        <w:guid w:val="{BDBBE71C-C5E7-470D-A78B-35AAB2A7EAEB}"/>
      </w:docPartPr>
      <w:docPartBody>
        <w:p w:rsidR="00AC3948" w:rsidRDefault="00AC3948">
          <w:pPr>
            <w:pStyle w:val="E3D816CA7C4C45A5959D968797551403"/>
          </w:pPr>
          <w:r w:rsidRPr="003C7907">
            <w:rPr>
              <w:rStyle w:val="PlaceholderText"/>
              <w:sz w:val="24"/>
              <w:szCs w:val="24"/>
            </w:rPr>
            <w:t>Select a Minister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3948"/>
    <w:rsid w:val="00AC394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E3D816CA7C4C45A5959D968797551403">
    <w:name w:val="E3D816CA7C4C45A5959D968797551403"/>
  </w:style>
  <w:style w:type="paragraph" w:customStyle="1" w:styleId="97BB3F517AE74019BB2930F989EB01C1">
    <w:name w:val="97BB3F517AE74019BB2930F989EB01C1"/>
  </w:style>
  <w:style w:type="paragraph" w:customStyle="1" w:styleId="8B918AE5FC514DDE81C7246FE2132FC0">
    <w:name w:val="8B918AE5FC514DDE81C7246FE2132FC0"/>
  </w:style>
  <w:style w:type="paragraph" w:customStyle="1" w:styleId="557A6EC2A21D40CB8E94FDD222F3713A">
    <w:name w:val="557A6EC2A21D40CB8E94FDD222F3713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reasury Document" ma:contentTypeID="0x01010036BB8DE7EC542E42A8B2E98CC20CB69700D5C18F41BA18FB44827A222ACD6776F5" ma:contentTypeVersion="38328" ma:contentTypeDescription=" " ma:contentTypeScope="" ma:versionID="48456c573ce254d7f4f0fa30858cba29">
  <xsd:schema xmlns:xsd="http://www.w3.org/2001/XMLSchema" xmlns:xs="http://www.w3.org/2001/XMLSchema" xmlns:p="http://schemas.microsoft.com/office/2006/metadata/properties" xmlns:ns1="http://schemas.microsoft.com/sharepoint/v3" xmlns:ns2="0f563589-9cf9-4143-b1eb-fb0534803d38" xmlns:ns3="9f7bc583-7cbe-45b9-a2bd-8bbb6543b37e" xmlns:ns5="http://schemas.microsoft.com/sharepoint/v4" targetNamespace="http://schemas.microsoft.com/office/2006/metadata/properties" ma:root="true" ma:fieldsID="5b8581aea00d179ae3db921e097a81a7" ns1:_="" ns2:_="" ns3:_="" ns5:_="">
    <xsd:import namespace="http://schemas.microsoft.com/sharepoint/v3"/>
    <xsd:import namespace="0f563589-9cf9-4143-b1eb-fb0534803d38"/>
    <xsd:import namespace="9f7bc583-7cbe-45b9-a2bd-8bbb6543b37e"/>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3:lb508a4dc5e84436a0fe496b536466aa" minOccurs="0"/>
                <xsd:element ref="ns2:TaxCatchAll" minOccurs="0"/>
                <xsd:element ref="ns2:TaxCatchAllLabel" minOccurs="0"/>
                <xsd:element ref="ns5:IconOverlay" minOccurs="0"/>
                <xsd:element ref="ns3:i6880fa62fd2465ea894b48b45824d1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563589-9cf9-4143-b1eb-fb0534803d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3" nillable="true" ma:displayName="Taxonomy Catch All Column" ma:hidden="true" ma:list="{a5426e91-c895-42ba-91bf-fe5e23c4f0ec}" ma:internalName="TaxCatchAll" ma:showField="CatchAllData" ma:web="9f7bc583-7cbe-45b9-a2bd-8bbb6543b37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a5426e91-c895-42ba-91bf-fe5e23c4f0ec}" ma:internalName="TaxCatchAllLabel" ma:readOnly="true" ma:showField="CatchAllDataLabel" ma:web="9f7bc583-7cbe-45b9-a2bd-8bbb6543b3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f7bc583-7cbe-45b9-a2bd-8bbb6543b37e" elementFormDefault="qualified">
    <xsd:import namespace="http://schemas.microsoft.com/office/2006/documentManagement/types"/>
    <xsd:import namespace="http://schemas.microsoft.com/office/infopath/2007/PartnerControls"/>
    <xsd:element name="lb508a4dc5e84436a0fe496b536466aa" ma:index="12" nillable="true" ma:taxonomy="true" ma:internalName="lb508a4dc5e84436a0fe496b536466aa" ma:taxonomyFieldName="TSYRecordClass" ma:displayName="Record Class" ma:readOnly="false" ma:default="11;#TSY RA-9237 - Destroy 5 years after action completed|9f1a030e-81bf-44c5-98eb-4d5d869a40d5"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element name="i6880fa62fd2465ea894b48b45824d1c" ma:index="19" nillable="true" ma:taxonomy="true" ma:internalName="i6880fa62fd2465ea894b48b45824d1c" ma:taxonomyFieldName="TSYTopic" ma:displayName="TSYTopic" ma:default="" ma:fieldId="{26880fa6-2fd2-465e-a894-b48b45824d1c}" ma:sspId="77b7a547-5880-464f-83f8-cefe583c3af4" ma:termSetId="5ad9bdc0-881e-4a06-8325-cf02134be2c9"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lb508a4dc5e84436a0fe496b536466aa xmlns="9f7bc583-7cbe-45b9-a2bd-8bbb6543b37e">
      <Terms xmlns="http://schemas.microsoft.com/office/infopath/2007/PartnerControls">
        <TermInfo xmlns="http://schemas.microsoft.com/office/infopath/2007/PartnerControls">
          <TermName xmlns="http://schemas.microsoft.com/office/infopath/2007/PartnerControls">AE-20260-Destroy 7 years after action completed</TermName>
          <TermId xmlns="http://schemas.microsoft.com/office/infopath/2007/PartnerControls">623f5ec9-ec5d-4824-8e13-9c9bfc51fe7e</TermId>
        </TermInfo>
      </Terms>
    </lb508a4dc5e84436a0fe496b536466aa>
    <IconOverlay xmlns="http://schemas.microsoft.com/sharepoint/v4" xsi:nil="true"/>
    <TaxCatchAll xmlns="0f563589-9cf9-4143-b1eb-fb0534803d38">
      <Value>1</Value>
    </TaxCatchAll>
    <_dlc_DocId xmlns="0f563589-9cf9-4143-b1eb-fb0534803d38">2021RG-111-19244</_dlc_DocId>
    <_dlc_DocIdUrl xmlns="0f563589-9cf9-4143-b1eb-fb0534803d38">
      <Url>http://tweb/sites/rg/ldp/lmu/_layouts/15/DocIdRedir.aspx?ID=2021RG-111-19244</Url>
      <Description>2021RG-111-19244</Description>
    </_dlc_DocIdUrl>
    <i6880fa62fd2465ea894b48b45824d1c xmlns="9f7bc583-7cbe-45b9-a2bd-8bbb6543b37e">
      <Terms xmlns="http://schemas.microsoft.com/office/infopath/2007/PartnerControls"/>
    </i6880fa62fd2465ea894b48b45824d1c>
  </documentManagement>
</p:properties>
</file>

<file path=customXml/item6.xml><?xml version="1.0" encoding="utf-8"?>
<?mso-contentType ?>
<p:Policy xmlns:p="office.server.policy" id="" local="true">
  <p:Name>Treasury Document</p:Name>
  <p:Description/>
  <p:Statement/>
  <p:PolicyItems>
    <p:PolicyItem featureId="Microsoft.Office.RecordsManagement.PolicyFeatures.PolicyAudit" staticId="0x01010036BB8DE7EC542E42A8B2E98CC20CB697|1757814118" UniqueId="eb9354fb-4177-4e01-8c43-989761893d04">
      <p:Name>Auditing</p:Name>
      <p:Description>Audits user actions on documents and list items to the Audit Log.</p:Description>
      <p:CustomData>
        <Audit>
          <Update/>
          <DeleteRestore/>
        </Audit>
      </p:CustomData>
    </p:PolicyItem>
  </p:PolicyItems>
</p:Policy>
</file>

<file path=customXml/itemProps1.xml><?xml version="1.0" encoding="utf-8"?>
<ds:datastoreItem xmlns:ds="http://schemas.openxmlformats.org/officeDocument/2006/customXml" ds:itemID="{7FE07210-1BFA-44C2-84D3-51F405546273}">
  <ds:schemaRefs>
    <ds:schemaRef ds:uri="http://schemas.microsoft.com/sharepoint/v3/contenttype/forms"/>
  </ds:schemaRefs>
</ds:datastoreItem>
</file>

<file path=customXml/itemProps2.xml><?xml version="1.0" encoding="utf-8"?>
<ds:datastoreItem xmlns:ds="http://schemas.openxmlformats.org/officeDocument/2006/customXml" ds:itemID="{4E3D982B-05B4-4987-BE68-3E4CE5A83E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f563589-9cf9-4143-b1eb-fb0534803d38"/>
    <ds:schemaRef ds:uri="9f7bc583-7cbe-45b9-a2bd-8bbb6543b37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5C72698-8E4D-4321-B35C-459C1F6DDF8B}">
  <ds:schemaRefs>
    <ds:schemaRef ds:uri="http://schemas.microsoft.com/sharepoint/events"/>
  </ds:schemaRefs>
</ds:datastoreItem>
</file>

<file path=customXml/itemProps4.xml><?xml version="1.0" encoding="utf-8"?>
<ds:datastoreItem xmlns:ds="http://schemas.openxmlformats.org/officeDocument/2006/customXml" ds:itemID="{269443E0-E6C4-433B-A47D-549697C9AADE}">
  <ds:schemaRefs>
    <ds:schemaRef ds:uri="http://schemas.openxmlformats.org/officeDocument/2006/bibliography"/>
  </ds:schemaRefs>
</ds:datastoreItem>
</file>

<file path=customXml/itemProps5.xml><?xml version="1.0" encoding="utf-8"?>
<ds:datastoreItem xmlns:ds="http://schemas.openxmlformats.org/officeDocument/2006/customXml" ds:itemID="{46278533-3486-40E5-9013-DD26FD164D39}">
  <ds:schemaRefs>
    <ds:schemaRef ds:uri="9f7bc583-7cbe-45b9-a2bd-8bbb6543b37e"/>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0f563589-9cf9-4143-b1eb-fb0534803d38"/>
    <ds:schemaRef ds:uri="http://purl.org/dc/elements/1.1/"/>
    <ds:schemaRef ds:uri="http://schemas.microsoft.com/office/2006/metadata/properties"/>
    <ds:schemaRef ds:uri="http://schemas.microsoft.com/sharepoint/v3"/>
    <ds:schemaRef ds:uri="http://schemas.microsoft.com/sharepoint/v4"/>
    <ds:schemaRef ds:uri="http://www.w3.org/XML/1998/namespace"/>
    <ds:schemaRef ds:uri="http://purl.org/dc/dcmitype/"/>
  </ds:schemaRefs>
</ds:datastoreItem>
</file>

<file path=customXml/itemProps6.xml><?xml version="1.0" encoding="utf-8"?>
<ds:datastoreItem xmlns:ds="http://schemas.openxmlformats.org/officeDocument/2006/customXml" ds:itemID="{8C9C95AF-DC3D-454D-876B-A90DFB6AC3F1}">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Sub-ES.dotx</Template>
  <TotalTime>34</TotalTime>
  <Pages>3</Pages>
  <Words>831</Words>
  <Characters>4702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EXPLANATORY MEMORANDUM</vt:lpstr>
    </vt:vector>
  </TitlesOfParts>
  <Company>Treasury</Company>
  <LinksUpToDate>false</LinksUpToDate>
  <CharactersWithSpaces>5522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MEMORANDUM</dc:title>
  <dc:creator>Lloyd, Madeleine</dc:creator>
  <cp:lastModifiedBy>Cooper, Faith</cp:lastModifiedBy>
  <cp:revision>15</cp:revision>
  <cp:lastPrinted>2021-05-20T06:32:00Z</cp:lastPrinted>
  <dcterms:created xsi:type="dcterms:W3CDTF">2021-05-04T04:00:00Z</dcterms:created>
  <dcterms:modified xsi:type="dcterms:W3CDTF">2021-06-02T06:08:00Z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-1533705720</vt:i4>
  </property>
  <property fmtid="{D5CDD505-2E9C-101B-9397-08002B2CF9AE}" pid="3" name="_NewReviewCycle">
    <vt:lpwstr/>
  </property>
  <property fmtid="{D5CDD505-2E9C-101B-9397-08002B2CF9AE}" pid="4" name="_EmailSubject">
    <vt:lpwstr>Templates Assist job attachments [SEC=UNCLASSIFIED]</vt:lpwstr>
  </property>
  <property fmtid="{D5CDD505-2E9C-101B-9397-08002B2CF9AE}" pid="5" name="_AuthorEmail">
    <vt:lpwstr>Lea.Osborne@TREASURY.GOV.AU</vt:lpwstr>
  </property>
  <property fmtid="{D5CDD505-2E9C-101B-9397-08002B2CF9AE}" pid="6" name="_AuthorEmailDisplayName">
    <vt:lpwstr>Osborne, Lea</vt:lpwstr>
  </property>
  <property fmtid="{D5CDD505-2E9C-101B-9397-08002B2CF9AE}" pid="7" name="ContentTypeId">
    <vt:lpwstr>0x01010036BB8DE7EC542E42A8B2E98CC20CB69700D5C18F41BA18FB44827A222ACD6776F5</vt:lpwstr>
  </property>
  <property fmtid="{D5CDD505-2E9C-101B-9397-08002B2CF9AE}" pid="8" name="TSYRecordClass">
    <vt:lpwstr>1;#AE-20260-Destroy 7 years after action completed|623f5ec9-ec5d-4824-8e13-9c9bfc51fe7e</vt:lpwstr>
  </property>
  <property fmtid="{D5CDD505-2E9C-101B-9397-08002B2CF9AE}" pid="9" name="_dlc_DocIdItemGuid">
    <vt:lpwstr>ff4b9fba-786b-4aec-8d15-adc5b36db7a5</vt:lpwstr>
  </property>
  <property fmtid="{D5CDD505-2E9C-101B-9397-08002B2CF9AE}" pid="10" name="_PreviousAdHocReviewCycleID">
    <vt:i4>1180105450</vt:i4>
  </property>
  <property fmtid="{D5CDD505-2E9C-101B-9397-08002B2CF9AE}" pid="11" name="_ReviewingToolsShownOnce">
    <vt:lpwstr/>
  </property>
  <property fmtid="{D5CDD505-2E9C-101B-9397-08002B2CF9AE}" pid="12" name="TSYTopic">
    <vt:lpwstr/>
  </property>
  <property fmtid="{D5CDD505-2E9C-101B-9397-08002B2CF9AE}" pid="13" name="RecordPoint_WorkflowType">
    <vt:lpwstr>ActiveSubmitStub</vt:lpwstr>
  </property>
  <property fmtid="{D5CDD505-2E9C-101B-9397-08002B2CF9AE}" pid="14" name="RecordPoint_ActiveItemUniqueId">
    <vt:lpwstr>{5b2a443d-b860-46b6-96ee-1067dfaa9610}</vt:lpwstr>
  </property>
</Properties>
</file>