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C9D86" w14:textId="77777777" w:rsidR="0093796F" w:rsidRPr="002C6D26" w:rsidRDefault="0093796F" w:rsidP="0093796F">
      <w:pPr>
        <w:pStyle w:val="Heading"/>
        <w:spacing w:after="240"/>
        <w:jc w:val="center"/>
        <w:rPr>
          <w:rFonts w:ascii="Times New Roman" w:hAnsi="Times New Roman"/>
          <w:sz w:val="24"/>
          <w:szCs w:val="24"/>
        </w:rPr>
      </w:pPr>
      <w:bookmarkStart w:id="0" w:name="_GoBack"/>
      <w:bookmarkEnd w:id="0"/>
      <w:r w:rsidRPr="00D8647B">
        <w:rPr>
          <w:rFonts w:ascii="Times New Roman" w:hAnsi="Times New Roman"/>
          <w:sz w:val="24"/>
          <w:szCs w:val="24"/>
        </w:rPr>
        <w:t xml:space="preserve">Banking exemption No. </w:t>
      </w:r>
      <w:r w:rsidRPr="009F7FBD">
        <w:rPr>
          <w:rFonts w:ascii="Times New Roman" w:hAnsi="Times New Roman"/>
          <w:sz w:val="24"/>
          <w:szCs w:val="24"/>
        </w:rPr>
        <w:t>1</w:t>
      </w:r>
      <w:r w:rsidRPr="00D8647B">
        <w:rPr>
          <w:rFonts w:ascii="Times New Roman" w:hAnsi="Times New Roman"/>
          <w:sz w:val="24"/>
          <w:szCs w:val="24"/>
        </w:rPr>
        <w:t xml:space="preserve"> of 20</w:t>
      </w:r>
      <w:r>
        <w:rPr>
          <w:rFonts w:ascii="Times New Roman" w:hAnsi="Times New Roman"/>
          <w:sz w:val="24"/>
          <w:szCs w:val="24"/>
        </w:rPr>
        <w:t>21</w:t>
      </w:r>
    </w:p>
    <w:p w14:paraId="2083CCBD" w14:textId="77777777" w:rsidR="0093796F" w:rsidRPr="002C6D26" w:rsidRDefault="0093796F" w:rsidP="0093796F">
      <w:pPr>
        <w:pStyle w:val="Heading"/>
        <w:tabs>
          <w:tab w:val="left" w:pos="360"/>
        </w:tabs>
        <w:spacing w:after="240"/>
        <w:jc w:val="center"/>
        <w:rPr>
          <w:rFonts w:ascii="Times New Roman" w:hAnsi="Times New Roman"/>
          <w:sz w:val="24"/>
          <w:szCs w:val="24"/>
          <w:u w:val="single"/>
        </w:rPr>
      </w:pPr>
      <w:bookmarkStart w:id="1" w:name="bkInstrumentSubTitle"/>
      <w:bookmarkEnd w:id="1"/>
      <w:r w:rsidRPr="002C6D26">
        <w:rPr>
          <w:rFonts w:ascii="Times New Roman" w:hAnsi="Times New Roman"/>
          <w:sz w:val="24"/>
          <w:szCs w:val="24"/>
          <w:u w:val="single"/>
        </w:rPr>
        <w:t>EXPLANATORY STATEMENT</w:t>
      </w:r>
    </w:p>
    <w:p w14:paraId="7B5224D4" w14:textId="77777777" w:rsidR="0093796F" w:rsidRPr="002C6D26" w:rsidRDefault="0093796F" w:rsidP="0093796F">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195BE5BC" w14:textId="77777777" w:rsidR="0093796F" w:rsidRPr="002C6D26" w:rsidRDefault="0093796F" w:rsidP="0093796F">
      <w:pPr>
        <w:pStyle w:val="Heading"/>
        <w:tabs>
          <w:tab w:val="left" w:pos="360"/>
        </w:tabs>
        <w:spacing w:after="240"/>
        <w:jc w:val="center"/>
        <w:rPr>
          <w:rFonts w:ascii="Times New Roman" w:hAnsi="Times New Roman"/>
          <w:b w:val="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w:t>
      </w:r>
    </w:p>
    <w:p w14:paraId="75891591" w14:textId="77777777" w:rsidR="0093796F" w:rsidRPr="00BC7834" w:rsidRDefault="0093796F" w:rsidP="0093796F">
      <w:pPr>
        <w:pStyle w:val="Heading"/>
        <w:spacing w:after="240"/>
        <w:rPr>
          <w:rFonts w:ascii="Times New Roman" w:hAnsi="Times New Roman"/>
          <w:b w:val="0"/>
          <w:color w:val="000000"/>
          <w:sz w:val="24"/>
          <w:szCs w:val="24"/>
        </w:rPr>
      </w:pPr>
      <w:bookmarkStart w:id="2" w:name="bkAct"/>
      <w:bookmarkStart w:id="3" w:name="bkExplanatory"/>
      <w:bookmarkEnd w:id="2"/>
      <w:bookmarkEnd w:id="3"/>
      <w:r w:rsidRPr="00BC7834">
        <w:rPr>
          <w:rFonts w:ascii="Times New Roman" w:hAnsi="Times New Roman"/>
          <w:b w:val="0"/>
          <w:sz w:val="24"/>
          <w:szCs w:val="24"/>
        </w:rPr>
        <w:t xml:space="preserve">Under subsection 11(1) of the </w:t>
      </w:r>
      <w:r w:rsidRPr="00BC7834">
        <w:rPr>
          <w:rFonts w:ascii="Times New Roman" w:hAnsi="Times New Roman"/>
          <w:b w:val="0"/>
          <w:i/>
          <w:color w:val="000000"/>
          <w:sz w:val="24"/>
          <w:szCs w:val="24"/>
        </w:rPr>
        <w:t xml:space="preserve">Banking Act 1959 </w:t>
      </w:r>
      <w:r w:rsidRPr="00BC7834">
        <w:rPr>
          <w:rFonts w:ascii="Times New Roman" w:hAnsi="Times New Roman"/>
          <w:b w:val="0"/>
          <w:color w:val="000000"/>
          <w:sz w:val="24"/>
          <w:szCs w:val="24"/>
        </w:rPr>
        <w:t>(</w:t>
      </w:r>
      <w:r>
        <w:rPr>
          <w:rFonts w:ascii="Times New Roman" w:hAnsi="Times New Roman"/>
          <w:b w:val="0"/>
          <w:color w:val="000000"/>
          <w:sz w:val="24"/>
          <w:szCs w:val="24"/>
        </w:rPr>
        <w:t xml:space="preserve">the </w:t>
      </w:r>
      <w:r w:rsidRPr="00F62242">
        <w:rPr>
          <w:rFonts w:ascii="Times New Roman" w:hAnsi="Times New Roman"/>
          <w:b w:val="0"/>
          <w:color w:val="000000"/>
          <w:sz w:val="24"/>
          <w:szCs w:val="24"/>
        </w:rPr>
        <w:t>Act</w:t>
      </w:r>
      <w:r w:rsidRPr="00BC7834">
        <w:rPr>
          <w:rFonts w:ascii="Times New Roman" w:hAnsi="Times New Roman"/>
          <w:b w:val="0"/>
          <w:color w:val="000000"/>
          <w:sz w:val="24"/>
          <w:szCs w:val="24"/>
        </w:rPr>
        <w:t xml:space="preserve">), APRA </w:t>
      </w:r>
      <w:r w:rsidRPr="00145A8A">
        <w:rPr>
          <w:rFonts w:ascii="Times New Roman" w:hAnsi="Times New Roman"/>
          <w:b w:val="0"/>
          <w:sz w:val="24"/>
          <w:szCs w:val="24"/>
        </w:rPr>
        <w:t>may, in writing, determine that any or all of the provisions of the Act referred to in paragraphs 11(1)(a) to (e) do not apply to a person while the determination is in force</w:t>
      </w:r>
      <w:r w:rsidRPr="00BC7834">
        <w:rPr>
          <w:rFonts w:ascii="Times New Roman" w:hAnsi="Times New Roman"/>
          <w:b w:val="0"/>
          <w:color w:val="000000"/>
          <w:sz w:val="24"/>
          <w:szCs w:val="24"/>
        </w:rPr>
        <w:t xml:space="preserve">. </w:t>
      </w:r>
    </w:p>
    <w:p w14:paraId="270D4554" w14:textId="4DB9F1BF" w:rsidR="0093796F" w:rsidRDefault="0093796F" w:rsidP="0093796F">
      <w:pPr>
        <w:pStyle w:val="Heading"/>
        <w:spacing w:after="240"/>
        <w:rPr>
          <w:rFonts w:ascii="Times New Roman" w:hAnsi="Times New Roman"/>
          <w:b w:val="0"/>
          <w:sz w:val="24"/>
          <w:szCs w:val="24"/>
        </w:rPr>
      </w:pPr>
      <w:r>
        <w:rPr>
          <w:rFonts w:ascii="Times New Roman" w:hAnsi="Times New Roman"/>
          <w:b w:val="0"/>
          <w:sz w:val="24"/>
          <w:szCs w:val="24"/>
        </w:rPr>
        <w:t xml:space="preserve">On </w:t>
      </w:r>
      <w:r w:rsidR="000A757D">
        <w:rPr>
          <w:rFonts w:ascii="Times New Roman" w:hAnsi="Times New Roman"/>
          <w:b w:val="0"/>
          <w:sz w:val="24"/>
          <w:szCs w:val="24"/>
        </w:rPr>
        <w:t>24 May 2021</w:t>
      </w:r>
      <w:r>
        <w:rPr>
          <w:rFonts w:ascii="Times New Roman" w:hAnsi="Times New Roman"/>
          <w:b w:val="0"/>
          <w:sz w:val="24"/>
          <w:szCs w:val="24"/>
        </w:rPr>
        <w:t xml:space="preserve">, APRA made </w:t>
      </w:r>
      <w:r w:rsidRPr="00F62242">
        <w:rPr>
          <w:rFonts w:ascii="Times New Roman" w:hAnsi="Times New Roman"/>
          <w:b w:val="0"/>
          <w:sz w:val="24"/>
          <w:szCs w:val="24"/>
        </w:rPr>
        <w:t xml:space="preserve">Banking exemption No. </w:t>
      </w:r>
      <w:r>
        <w:rPr>
          <w:rFonts w:ascii="Times New Roman" w:hAnsi="Times New Roman"/>
          <w:b w:val="0"/>
          <w:sz w:val="24"/>
          <w:szCs w:val="24"/>
        </w:rPr>
        <w:t>1</w:t>
      </w:r>
      <w:r w:rsidRPr="00F62242">
        <w:rPr>
          <w:rFonts w:ascii="Times New Roman" w:hAnsi="Times New Roman"/>
          <w:b w:val="0"/>
          <w:sz w:val="24"/>
          <w:szCs w:val="24"/>
        </w:rPr>
        <w:t xml:space="preserve"> of </w:t>
      </w:r>
      <w:r>
        <w:rPr>
          <w:rFonts w:ascii="Times New Roman" w:hAnsi="Times New Roman"/>
          <w:b w:val="0"/>
          <w:sz w:val="24"/>
          <w:szCs w:val="24"/>
        </w:rPr>
        <w:t>2021</w:t>
      </w:r>
      <w:r w:rsidRPr="001B7DF3">
        <w:rPr>
          <w:rFonts w:ascii="Times New Roman" w:hAnsi="Times New Roman"/>
          <w:b w:val="0"/>
          <w:sz w:val="24"/>
          <w:szCs w:val="24"/>
        </w:rPr>
        <w:t xml:space="preserve"> (</w:t>
      </w:r>
      <w:r>
        <w:rPr>
          <w:rFonts w:ascii="Times New Roman" w:hAnsi="Times New Roman"/>
          <w:b w:val="0"/>
          <w:sz w:val="24"/>
          <w:szCs w:val="24"/>
        </w:rPr>
        <w:t>the instrument</w:t>
      </w:r>
      <w:r w:rsidRPr="001B7DF3">
        <w:rPr>
          <w:rFonts w:ascii="Times New Roman" w:hAnsi="Times New Roman"/>
          <w:b w:val="0"/>
          <w:sz w:val="24"/>
          <w:szCs w:val="24"/>
        </w:rPr>
        <w:t>)</w:t>
      </w:r>
      <w:r>
        <w:rPr>
          <w:rFonts w:ascii="Times New Roman" w:hAnsi="Times New Roman"/>
          <w:b w:val="0"/>
          <w:sz w:val="24"/>
          <w:szCs w:val="24"/>
        </w:rPr>
        <w:t xml:space="preserve">, which replaces </w:t>
      </w:r>
      <w:r w:rsidRPr="00B32FB5">
        <w:rPr>
          <w:rFonts w:ascii="Times New Roman" w:hAnsi="Times New Roman"/>
          <w:b w:val="0"/>
          <w:sz w:val="24"/>
          <w:szCs w:val="24"/>
        </w:rPr>
        <w:t xml:space="preserve">Banking exemption No. </w:t>
      </w:r>
      <w:r>
        <w:rPr>
          <w:rFonts w:ascii="Times New Roman" w:hAnsi="Times New Roman"/>
          <w:b w:val="0"/>
          <w:sz w:val="24"/>
          <w:szCs w:val="24"/>
        </w:rPr>
        <w:t>1</w:t>
      </w:r>
      <w:r w:rsidRPr="00B32FB5">
        <w:rPr>
          <w:rFonts w:ascii="Times New Roman" w:hAnsi="Times New Roman"/>
          <w:b w:val="0"/>
          <w:sz w:val="24"/>
          <w:szCs w:val="24"/>
        </w:rPr>
        <w:t xml:space="preserve"> of </w:t>
      </w:r>
      <w:r>
        <w:rPr>
          <w:rFonts w:ascii="Times New Roman" w:hAnsi="Times New Roman"/>
          <w:b w:val="0"/>
          <w:sz w:val="24"/>
          <w:szCs w:val="24"/>
        </w:rPr>
        <w:t>2017</w:t>
      </w:r>
      <w:r w:rsidRPr="00B32FB5">
        <w:rPr>
          <w:rFonts w:ascii="Times New Roman" w:hAnsi="Times New Roman"/>
          <w:b w:val="0"/>
          <w:sz w:val="24"/>
          <w:szCs w:val="24"/>
        </w:rPr>
        <w:t xml:space="preserve"> (</w:t>
      </w:r>
      <w:r>
        <w:rPr>
          <w:rFonts w:ascii="Times New Roman" w:hAnsi="Times New Roman"/>
          <w:b w:val="0"/>
          <w:sz w:val="24"/>
          <w:szCs w:val="24"/>
        </w:rPr>
        <w:t>2017</w:t>
      </w:r>
      <w:r w:rsidRPr="00B32FB5">
        <w:rPr>
          <w:rFonts w:ascii="Times New Roman" w:hAnsi="Times New Roman"/>
          <w:b w:val="0"/>
          <w:sz w:val="24"/>
          <w:szCs w:val="24"/>
        </w:rPr>
        <w:t xml:space="preserve"> Exemption)</w:t>
      </w:r>
      <w:r>
        <w:rPr>
          <w:rFonts w:ascii="Times New Roman" w:hAnsi="Times New Roman"/>
          <w:b w:val="0"/>
          <w:sz w:val="24"/>
          <w:szCs w:val="24"/>
        </w:rPr>
        <w:t xml:space="preserve">. </w:t>
      </w:r>
    </w:p>
    <w:p w14:paraId="43295F7D" w14:textId="5171A2A9" w:rsidR="0093796F" w:rsidRPr="00BC7834" w:rsidRDefault="0093796F" w:rsidP="0093796F">
      <w:pPr>
        <w:pStyle w:val="Heading"/>
        <w:spacing w:after="240"/>
        <w:rPr>
          <w:rFonts w:ascii="Times New Roman" w:hAnsi="Times New Roman"/>
          <w:b w:val="0"/>
          <w:sz w:val="24"/>
          <w:szCs w:val="24"/>
        </w:rPr>
      </w:pPr>
      <w:r>
        <w:rPr>
          <w:rFonts w:ascii="Times New Roman" w:hAnsi="Times New Roman"/>
          <w:b w:val="0"/>
          <w:sz w:val="24"/>
          <w:szCs w:val="24"/>
        </w:rPr>
        <w:t xml:space="preserve">The instrument commences on </w:t>
      </w:r>
      <w:r w:rsidR="000A757D">
        <w:rPr>
          <w:rFonts w:ascii="Times New Roman" w:hAnsi="Times New Roman"/>
          <w:b w:val="0"/>
          <w:sz w:val="24"/>
          <w:szCs w:val="24"/>
        </w:rPr>
        <w:t xml:space="preserve">24 May </w:t>
      </w:r>
      <w:r w:rsidR="00917B4B">
        <w:rPr>
          <w:rFonts w:ascii="Times New Roman" w:hAnsi="Times New Roman"/>
          <w:b w:val="0"/>
          <w:sz w:val="24"/>
          <w:szCs w:val="24"/>
        </w:rPr>
        <w:t>2021</w:t>
      </w:r>
      <w:r>
        <w:rPr>
          <w:rFonts w:ascii="Times New Roman" w:hAnsi="Times New Roman"/>
          <w:b w:val="0"/>
          <w:sz w:val="24"/>
          <w:szCs w:val="24"/>
        </w:rPr>
        <w:t>.</w:t>
      </w:r>
    </w:p>
    <w:p w14:paraId="25410C30" w14:textId="77777777" w:rsidR="0093796F" w:rsidRDefault="0093796F" w:rsidP="0093796F">
      <w:pPr>
        <w:pStyle w:val="Heading"/>
        <w:keepNext/>
        <w:numPr>
          <w:ilvl w:val="0"/>
          <w:numId w:val="1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B7D55BE" w14:textId="77777777" w:rsidR="0093796F" w:rsidRDefault="0093796F" w:rsidP="0093796F">
      <w:pPr>
        <w:pStyle w:val="Heading"/>
        <w:spacing w:after="240"/>
        <w:rPr>
          <w:rFonts w:ascii="Times New Roman" w:hAnsi="Times New Roman"/>
          <w:b w:val="0"/>
          <w:sz w:val="24"/>
          <w:szCs w:val="24"/>
        </w:rPr>
      </w:pPr>
      <w:bookmarkStart w:id="4" w:name="bkBackground"/>
      <w:bookmarkEnd w:id="4"/>
      <w:r w:rsidRPr="00B000B9">
        <w:rPr>
          <w:rFonts w:ascii="Times New Roman" w:hAnsi="Times New Roman"/>
          <w:b w:val="0"/>
          <w:sz w:val="24"/>
          <w:szCs w:val="24"/>
        </w:rPr>
        <w:t>Under section 7 of the Act, it is an offence for a person who is not a body corporate to carry on banking business in Australia</w:t>
      </w:r>
      <w:r>
        <w:rPr>
          <w:rFonts w:ascii="Times New Roman" w:hAnsi="Times New Roman"/>
          <w:b w:val="0"/>
          <w:sz w:val="24"/>
          <w:szCs w:val="24"/>
        </w:rPr>
        <w:t>,</w:t>
      </w:r>
      <w:r w:rsidRPr="00B000B9">
        <w:rPr>
          <w:rFonts w:ascii="Times New Roman" w:hAnsi="Times New Roman"/>
          <w:b w:val="0"/>
          <w:sz w:val="24"/>
          <w:szCs w:val="24"/>
        </w:rPr>
        <w:t xml:space="preserve"> except where there is a determination in force under section 11 of the Act that section 7 does not apply to the person. Under section 8 of the Act, it is an offence for a body corporate to carry on banking business in Australia if the body corporate is not an authorised deposit-taking institution or the Reserve Bank, except where there is a determination in force under section 11 of the Act that section 8 does not apply to the body corporate.  </w:t>
      </w:r>
    </w:p>
    <w:p w14:paraId="224F3EBB" w14:textId="370A5B16" w:rsidR="0093796F" w:rsidRDefault="0093796F" w:rsidP="0093796F">
      <w:pPr>
        <w:pStyle w:val="Heading"/>
        <w:spacing w:after="240"/>
        <w:rPr>
          <w:rFonts w:ascii="Times New Roman" w:hAnsi="Times New Roman"/>
          <w:b w:val="0"/>
          <w:sz w:val="24"/>
          <w:szCs w:val="24"/>
        </w:rPr>
      </w:pPr>
      <w:r>
        <w:rPr>
          <w:rFonts w:ascii="Times New Roman" w:hAnsi="Times New Roman"/>
          <w:b w:val="0"/>
          <w:sz w:val="24"/>
          <w:szCs w:val="24"/>
        </w:rPr>
        <w:t>The persons administering the</w:t>
      </w:r>
      <w:r w:rsidR="007F15E5">
        <w:rPr>
          <w:rFonts w:ascii="Times New Roman" w:hAnsi="Times New Roman"/>
          <w:b w:val="0"/>
          <w:sz w:val="24"/>
          <w:szCs w:val="24"/>
        </w:rPr>
        <w:t xml:space="preserve"> religious charitable development funds</w:t>
      </w:r>
      <w:r>
        <w:rPr>
          <w:rFonts w:ascii="Times New Roman" w:hAnsi="Times New Roman"/>
          <w:b w:val="0"/>
          <w:sz w:val="24"/>
          <w:szCs w:val="24"/>
        </w:rPr>
        <w:t xml:space="preserve"> </w:t>
      </w:r>
      <w:r w:rsidR="007F15E5">
        <w:rPr>
          <w:rFonts w:ascii="Times New Roman" w:hAnsi="Times New Roman"/>
          <w:b w:val="0"/>
          <w:sz w:val="24"/>
          <w:szCs w:val="24"/>
        </w:rPr>
        <w:t>(</w:t>
      </w:r>
      <w:r w:rsidRPr="00F62242">
        <w:rPr>
          <w:rFonts w:ascii="Times New Roman" w:hAnsi="Times New Roman"/>
          <w:b w:val="0"/>
          <w:sz w:val="24"/>
          <w:szCs w:val="24"/>
        </w:rPr>
        <w:t>RCDFs</w:t>
      </w:r>
      <w:r w:rsidR="007F15E5">
        <w:rPr>
          <w:rFonts w:ascii="Times New Roman" w:hAnsi="Times New Roman"/>
          <w:b w:val="0"/>
          <w:sz w:val="24"/>
          <w:szCs w:val="24"/>
        </w:rPr>
        <w:t>)</w:t>
      </w:r>
      <w:r>
        <w:rPr>
          <w:rFonts w:ascii="Times New Roman" w:hAnsi="Times New Roman"/>
          <w:b w:val="0"/>
          <w:sz w:val="24"/>
          <w:szCs w:val="24"/>
        </w:rPr>
        <w:t xml:space="preserve"> listed in</w:t>
      </w:r>
      <w:r w:rsidR="007F15E5">
        <w:rPr>
          <w:rFonts w:ascii="Times New Roman" w:hAnsi="Times New Roman"/>
          <w:b w:val="0"/>
          <w:sz w:val="24"/>
          <w:szCs w:val="24"/>
        </w:rPr>
        <w:t xml:space="preserve"> the</w:t>
      </w:r>
      <w:r>
        <w:rPr>
          <w:rFonts w:ascii="Times New Roman" w:hAnsi="Times New Roman"/>
          <w:b w:val="0"/>
          <w:sz w:val="24"/>
          <w:szCs w:val="24"/>
        </w:rPr>
        <w:t xml:space="preserve"> Schedule </w:t>
      </w:r>
      <w:r w:rsidR="007F15E5">
        <w:rPr>
          <w:rFonts w:ascii="Times New Roman" w:hAnsi="Times New Roman"/>
          <w:b w:val="0"/>
          <w:sz w:val="24"/>
          <w:szCs w:val="24"/>
        </w:rPr>
        <w:t xml:space="preserve">to </w:t>
      </w:r>
      <w:r>
        <w:rPr>
          <w:rFonts w:ascii="Times New Roman" w:hAnsi="Times New Roman"/>
          <w:b w:val="0"/>
          <w:sz w:val="24"/>
          <w:szCs w:val="24"/>
        </w:rPr>
        <w:t xml:space="preserve">the </w:t>
      </w:r>
      <w:r w:rsidR="00917B4B">
        <w:rPr>
          <w:rFonts w:ascii="Times New Roman" w:hAnsi="Times New Roman"/>
          <w:b w:val="0"/>
          <w:sz w:val="24"/>
          <w:szCs w:val="24"/>
        </w:rPr>
        <w:t>instrument</w:t>
      </w:r>
      <w:r>
        <w:rPr>
          <w:rFonts w:ascii="Times New Roman" w:hAnsi="Times New Roman"/>
          <w:b w:val="0"/>
          <w:sz w:val="24"/>
          <w:szCs w:val="24"/>
        </w:rPr>
        <w:t xml:space="preserve"> are exempt from the prohibitions in sections 7 and 8 of the Act, provided that they comply with the conditions specified in Schedule 2 of the </w:t>
      </w:r>
      <w:r w:rsidR="00917B4B">
        <w:rPr>
          <w:rFonts w:ascii="Times New Roman" w:hAnsi="Times New Roman"/>
          <w:b w:val="0"/>
          <w:sz w:val="24"/>
          <w:szCs w:val="24"/>
        </w:rPr>
        <w:t>instrument</w:t>
      </w:r>
      <w:r>
        <w:rPr>
          <w:rFonts w:ascii="Times New Roman" w:hAnsi="Times New Roman"/>
          <w:b w:val="0"/>
          <w:sz w:val="24"/>
          <w:szCs w:val="24"/>
        </w:rPr>
        <w:t>.</w:t>
      </w:r>
    </w:p>
    <w:p w14:paraId="55264434" w14:textId="08E52223" w:rsidR="0093796F" w:rsidRDefault="0093796F" w:rsidP="0093796F">
      <w:pPr>
        <w:pStyle w:val="Heading"/>
        <w:tabs>
          <w:tab w:val="left" w:pos="3005"/>
        </w:tabs>
        <w:spacing w:after="240"/>
        <w:rPr>
          <w:rFonts w:ascii="Times New Roman" w:hAnsi="Times New Roman"/>
          <w:b w:val="0"/>
          <w:sz w:val="24"/>
          <w:szCs w:val="24"/>
        </w:rPr>
      </w:pPr>
      <w:r>
        <w:rPr>
          <w:rFonts w:ascii="Times New Roman" w:hAnsi="Times New Roman"/>
          <w:b w:val="0"/>
          <w:sz w:val="24"/>
          <w:szCs w:val="24"/>
        </w:rPr>
        <w:t xml:space="preserve">RCDFs are funds that have been set up to borrow and use money for religious and charitable purposes. While the business of such entities has traditionally fallen within the definition of ‘banking </w:t>
      </w:r>
      <w:proofErr w:type="gramStart"/>
      <w:r>
        <w:rPr>
          <w:rFonts w:ascii="Times New Roman" w:hAnsi="Times New Roman"/>
          <w:b w:val="0"/>
          <w:sz w:val="24"/>
          <w:szCs w:val="24"/>
        </w:rPr>
        <w:t>business’</w:t>
      </w:r>
      <w:proofErr w:type="gramEnd"/>
      <w:r>
        <w:rPr>
          <w:rFonts w:ascii="Times New Roman" w:hAnsi="Times New Roman"/>
          <w:b w:val="0"/>
          <w:sz w:val="24"/>
          <w:szCs w:val="24"/>
        </w:rPr>
        <w:t xml:space="preserve"> under the Act, such entities have historically been exempt from the need to be authorised under the Act through a series of exemptions under subsection 11(1) of the Act, the most recent of which was the 2017 Exemption. The </w:t>
      </w:r>
      <w:r w:rsidR="003F25FA">
        <w:rPr>
          <w:rFonts w:ascii="Times New Roman" w:hAnsi="Times New Roman"/>
          <w:b w:val="0"/>
          <w:sz w:val="24"/>
          <w:szCs w:val="24"/>
        </w:rPr>
        <w:t xml:space="preserve">2017 Exemption is </w:t>
      </w:r>
      <w:r w:rsidR="0082369B">
        <w:rPr>
          <w:rFonts w:ascii="Times New Roman" w:hAnsi="Times New Roman"/>
          <w:b w:val="0"/>
          <w:sz w:val="24"/>
          <w:szCs w:val="24"/>
        </w:rPr>
        <w:t>subject to</w:t>
      </w:r>
      <w:r>
        <w:rPr>
          <w:rFonts w:ascii="Times New Roman" w:hAnsi="Times New Roman"/>
          <w:b w:val="0"/>
          <w:sz w:val="24"/>
          <w:szCs w:val="24"/>
        </w:rPr>
        <w:t xml:space="preserve"> conditions </w:t>
      </w:r>
      <w:r w:rsidR="0082369B">
        <w:rPr>
          <w:rFonts w:ascii="Times New Roman" w:hAnsi="Times New Roman"/>
          <w:b w:val="0"/>
          <w:sz w:val="24"/>
          <w:szCs w:val="24"/>
        </w:rPr>
        <w:t xml:space="preserve">imposed </w:t>
      </w:r>
      <w:r w:rsidR="00FE004D">
        <w:rPr>
          <w:rFonts w:ascii="Times New Roman" w:hAnsi="Times New Roman"/>
          <w:b w:val="0"/>
          <w:sz w:val="24"/>
          <w:szCs w:val="24"/>
        </w:rPr>
        <w:t>on RCDFs,</w:t>
      </w:r>
      <w:r w:rsidR="0082369B">
        <w:rPr>
          <w:rFonts w:ascii="Times New Roman" w:hAnsi="Times New Roman"/>
          <w:b w:val="0"/>
          <w:sz w:val="24"/>
          <w:szCs w:val="24"/>
        </w:rPr>
        <w:t xml:space="preserve"> </w:t>
      </w:r>
      <w:r w:rsidR="00702D4C">
        <w:rPr>
          <w:rFonts w:ascii="Times New Roman" w:hAnsi="Times New Roman"/>
          <w:b w:val="0"/>
          <w:sz w:val="24"/>
          <w:szCs w:val="24"/>
        </w:rPr>
        <w:t>which are</w:t>
      </w:r>
      <w:r w:rsidR="00FE004D">
        <w:rPr>
          <w:rFonts w:ascii="Times New Roman" w:hAnsi="Times New Roman"/>
          <w:b w:val="0"/>
          <w:sz w:val="24"/>
          <w:szCs w:val="24"/>
        </w:rPr>
        <w:t xml:space="preserve"> </w:t>
      </w:r>
      <w:r w:rsidR="00FB11A7">
        <w:rPr>
          <w:rFonts w:ascii="Times New Roman" w:hAnsi="Times New Roman"/>
          <w:b w:val="0"/>
          <w:sz w:val="24"/>
          <w:szCs w:val="24"/>
        </w:rPr>
        <w:t>intended</w:t>
      </w:r>
      <w:r>
        <w:rPr>
          <w:rFonts w:ascii="Times New Roman" w:hAnsi="Times New Roman"/>
          <w:b w:val="0"/>
          <w:sz w:val="24"/>
          <w:szCs w:val="24"/>
        </w:rPr>
        <w:t xml:space="preserve"> to reduce the likelihood that an investor in an RCDF might confuse such an investment with a deposit. These conditions include:</w:t>
      </w:r>
    </w:p>
    <w:p w14:paraId="3813688A" w14:textId="5D7BC3B4" w:rsidR="0093796F" w:rsidRPr="005A1664" w:rsidRDefault="0093796F" w:rsidP="0093796F">
      <w:pPr>
        <w:pStyle w:val="Heading"/>
        <w:numPr>
          <w:ilvl w:val="0"/>
          <w:numId w:val="14"/>
        </w:numPr>
        <w:spacing w:after="240"/>
        <w:ind w:left="425" w:hanging="425"/>
        <w:outlineLvl w:val="0"/>
        <w:rPr>
          <w:rFonts w:ascii="Times New Roman" w:hAnsi="Times New Roman"/>
          <w:sz w:val="24"/>
          <w:szCs w:val="24"/>
        </w:rPr>
      </w:pPr>
      <w:r>
        <w:rPr>
          <w:rFonts w:ascii="Times New Roman" w:hAnsi="Times New Roman"/>
          <w:b w:val="0"/>
          <w:sz w:val="24"/>
          <w:szCs w:val="24"/>
        </w:rPr>
        <w:t>retail products offered to retail investors have a minimum term or call period of 31 days;</w:t>
      </w:r>
    </w:p>
    <w:p w14:paraId="5B9E5451" w14:textId="700FB132" w:rsidR="0093796F" w:rsidRPr="00385BE7" w:rsidRDefault="0093796F" w:rsidP="0093796F">
      <w:pPr>
        <w:pStyle w:val="Heading"/>
        <w:numPr>
          <w:ilvl w:val="0"/>
          <w:numId w:val="14"/>
        </w:numPr>
        <w:spacing w:after="240"/>
        <w:ind w:left="425" w:hanging="425"/>
        <w:outlineLvl w:val="0"/>
        <w:rPr>
          <w:rFonts w:ascii="Times New Roman" w:hAnsi="Times New Roman"/>
          <w:sz w:val="24"/>
          <w:szCs w:val="24"/>
        </w:rPr>
      </w:pPr>
      <w:r>
        <w:rPr>
          <w:rFonts w:ascii="Times New Roman" w:hAnsi="Times New Roman"/>
          <w:b w:val="0"/>
          <w:sz w:val="24"/>
          <w:szCs w:val="24"/>
        </w:rPr>
        <w:t xml:space="preserve">RCDFs </w:t>
      </w:r>
      <w:r w:rsidR="00FB11A7">
        <w:rPr>
          <w:rFonts w:ascii="Times New Roman" w:hAnsi="Times New Roman"/>
          <w:b w:val="0"/>
          <w:sz w:val="24"/>
          <w:szCs w:val="24"/>
        </w:rPr>
        <w:t xml:space="preserve">may </w:t>
      </w:r>
      <w:r>
        <w:rPr>
          <w:rFonts w:ascii="Times New Roman" w:hAnsi="Times New Roman"/>
          <w:b w:val="0"/>
          <w:sz w:val="24"/>
          <w:szCs w:val="24"/>
        </w:rPr>
        <w:t>release funds early where exceptional circumstances exist that warrant the early release;</w:t>
      </w:r>
    </w:p>
    <w:p w14:paraId="64158DA0" w14:textId="77777777" w:rsidR="0093796F" w:rsidRPr="005A1664" w:rsidRDefault="0093796F" w:rsidP="0093796F">
      <w:pPr>
        <w:pStyle w:val="Heading"/>
        <w:numPr>
          <w:ilvl w:val="0"/>
          <w:numId w:val="14"/>
        </w:numPr>
        <w:spacing w:after="240"/>
        <w:ind w:left="425" w:hanging="425"/>
        <w:outlineLvl w:val="0"/>
        <w:rPr>
          <w:rFonts w:ascii="Times New Roman" w:hAnsi="Times New Roman"/>
          <w:sz w:val="24"/>
          <w:szCs w:val="24"/>
        </w:rPr>
      </w:pPr>
      <w:r>
        <w:rPr>
          <w:rFonts w:ascii="Times New Roman" w:hAnsi="Times New Roman"/>
          <w:b w:val="0"/>
          <w:sz w:val="24"/>
          <w:szCs w:val="24"/>
        </w:rPr>
        <w:t>certain transactional banking facilities such as Electronic Funds Transfer at Point of Sale (EFTPOS), BPAY facilities and Automatic Teller Machine (ATM) facilities must not be offered to retail investors; and</w:t>
      </w:r>
    </w:p>
    <w:p w14:paraId="29E72A0A" w14:textId="77777777" w:rsidR="0093796F" w:rsidRPr="002C2599" w:rsidRDefault="0093796F" w:rsidP="0093796F">
      <w:pPr>
        <w:pStyle w:val="Heading"/>
        <w:numPr>
          <w:ilvl w:val="0"/>
          <w:numId w:val="14"/>
        </w:numPr>
        <w:spacing w:after="240"/>
        <w:ind w:left="425" w:hanging="425"/>
        <w:outlineLvl w:val="0"/>
        <w:rPr>
          <w:rFonts w:ascii="Times New Roman" w:hAnsi="Times New Roman"/>
          <w:sz w:val="24"/>
          <w:szCs w:val="24"/>
        </w:rPr>
      </w:pPr>
      <w:r>
        <w:rPr>
          <w:rFonts w:ascii="Times New Roman" w:hAnsi="Times New Roman"/>
          <w:b w:val="0"/>
          <w:sz w:val="24"/>
          <w:szCs w:val="24"/>
        </w:rPr>
        <w:lastRenderedPageBreak/>
        <w:t>restrictions on use of certain words and expressions including ‘at-call’ and ‘deposit’.</w:t>
      </w:r>
    </w:p>
    <w:p w14:paraId="72D19362" w14:textId="46742982" w:rsidR="0093796F" w:rsidRDefault="0093796F" w:rsidP="0093796F">
      <w:pPr>
        <w:pStyle w:val="Heading"/>
        <w:keepNext/>
        <w:numPr>
          <w:ilvl w:val="0"/>
          <w:numId w:val="12"/>
        </w:numPr>
        <w:spacing w:after="240"/>
        <w:outlineLvl w:val="0"/>
        <w:rPr>
          <w:rFonts w:ascii="Times New Roman" w:hAnsi="Times New Roman"/>
          <w:sz w:val="24"/>
          <w:szCs w:val="24"/>
        </w:rPr>
      </w:pPr>
      <w:r w:rsidRPr="002C6D26">
        <w:rPr>
          <w:rFonts w:ascii="Times New Roman" w:hAnsi="Times New Roman"/>
          <w:sz w:val="24"/>
          <w:szCs w:val="24"/>
        </w:rPr>
        <w:t xml:space="preserve">Purpose </w:t>
      </w:r>
      <w:r>
        <w:rPr>
          <w:rFonts w:ascii="Times New Roman" w:hAnsi="Times New Roman"/>
          <w:sz w:val="24"/>
          <w:szCs w:val="24"/>
        </w:rPr>
        <w:t xml:space="preserve">and operation </w:t>
      </w:r>
      <w:r w:rsidRPr="002C6D26">
        <w:rPr>
          <w:rFonts w:ascii="Times New Roman" w:hAnsi="Times New Roman"/>
          <w:sz w:val="24"/>
          <w:szCs w:val="24"/>
        </w:rPr>
        <w:t>of the instrument</w:t>
      </w:r>
    </w:p>
    <w:p w14:paraId="4918E377" w14:textId="31BEE1FD" w:rsidR="00582A55" w:rsidRPr="003F25FA" w:rsidRDefault="0093796F" w:rsidP="00660AF9">
      <w:pPr>
        <w:pStyle w:val="Heading"/>
        <w:spacing w:after="240"/>
        <w:rPr>
          <w:rFonts w:ascii="Times New Roman" w:hAnsi="Times New Roman"/>
          <w:b w:val="0"/>
          <w:sz w:val="24"/>
          <w:szCs w:val="24"/>
        </w:rPr>
      </w:pPr>
      <w:bookmarkStart w:id="5" w:name="bkPurpose"/>
      <w:bookmarkEnd w:id="5"/>
      <w:r>
        <w:rPr>
          <w:rFonts w:ascii="Times New Roman" w:hAnsi="Times New Roman"/>
          <w:b w:val="0"/>
          <w:sz w:val="24"/>
          <w:szCs w:val="24"/>
        </w:rPr>
        <w:t xml:space="preserve">The purpose of the instrument is to continue the exemptions </w:t>
      </w:r>
      <w:r w:rsidR="00134DFF">
        <w:rPr>
          <w:rFonts w:ascii="Times New Roman" w:hAnsi="Times New Roman"/>
          <w:b w:val="0"/>
          <w:sz w:val="24"/>
          <w:szCs w:val="24"/>
        </w:rPr>
        <w:t xml:space="preserve">currently provided </w:t>
      </w:r>
      <w:r w:rsidR="00850FAC">
        <w:rPr>
          <w:rFonts w:ascii="Times New Roman" w:hAnsi="Times New Roman"/>
          <w:b w:val="0"/>
          <w:sz w:val="24"/>
          <w:szCs w:val="24"/>
        </w:rPr>
        <w:t xml:space="preserve">in the 2017 Exemption </w:t>
      </w:r>
      <w:r w:rsidR="00134DFF">
        <w:rPr>
          <w:rFonts w:ascii="Times New Roman" w:hAnsi="Times New Roman"/>
          <w:b w:val="0"/>
          <w:sz w:val="24"/>
          <w:szCs w:val="24"/>
        </w:rPr>
        <w:t xml:space="preserve">to RCDFs </w:t>
      </w:r>
      <w:r>
        <w:rPr>
          <w:rFonts w:ascii="Times New Roman" w:hAnsi="Times New Roman"/>
          <w:b w:val="0"/>
          <w:sz w:val="24"/>
          <w:szCs w:val="24"/>
        </w:rPr>
        <w:t>under</w:t>
      </w:r>
      <w:r w:rsidRPr="00F70B8B">
        <w:rPr>
          <w:rFonts w:ascii="Times New Roman" w:hAnsi="Times New Roman"/>
          <w:sz w:val="24"/>
          <w:szCs w:val="24"/>
        </w:rPr>
        <w:t xml:space="preserve"> </w:t>
      </w:r>
      <w:r w:rsidRPr="00F70B8B">
        <w:rPr>
          <w:rFonts w:ascii="Times New Roman" w:hAnsi="Times New Roman"/>
          <w:b w:val="0"/>
          <w:sz w:val="24"/>
          <w:szCs w:val="24"/>
        </w:rPr>
        <w:t>subsection 11(1) of the Act</w:t>
      </w:r>
      <w:r w:rsidR="00850FAC">
        <w:rPr>
          <w:rFonts w:ascii="Times New Roman" w:hAnsi="Times New Roman"/>
          <w:b w:val="0"/>
          <w:sz w:val="24"/>
          <w:szCs w:val="24"/>
        </w:rPr>
        <w:t>,</w:t>
      </w:r>
      <w:r>
        <w:rPr>
          <w:rFonts w:ascii="Times New Roman" w:hAnsi="Times New Roman"/>
          <w:b w:val="0"/>
          <w:sz w:val="24"/>
          <w:szCs w:val="24"/>
        </w:rPr>
        <w:t xml:space="preserve"> </w:t>
      </w:r>
      <w:r w:rsidR="004C7E7B">
        <w:rPr>
          <w:rFonts w:ascii="Times New Roman" w:hAnsi="Times New Roman"/>
          <w:b w:val="0"/>
          <w:sz w:val="24"/>
          <w:szCs w:val="24"/>
        </w:rPr>
        <w:t xml:space="preserve">and </w:t>
      </w:r>
      <w:r w:rsidR="000508F1">
        <w:rPr>
          <w:rFonts w:ascii="Times New Roman" w:hAnsi="Times New Roman"/>
          <w:b w:val="0"/>
          <w:sz w:val="24"/>
          <w:szCs w:val="24"/>
        </w:rPr>
        <w:t xml:space="preserve">provide the </w:t>
      </w:r>
      <w:r w:rsidR="003F25FA">
        <w:rPr>
          <w:rFonts w:ascii="Times New Roman" w:hAnsi="Times New Roman"/>
          <w:b w:val="0"/>
          <w:sz w:val="24"/>
          <w:szCs w:val="24"/>
        </w:rPr>
        <w:t xml:space="preserve">below </w:t>
      </w:r>
      <w:r w:rsidR="000508F1">
        <w:rPr>
          <w:rFonts w:ascii="Times New Roman" w:hAnsi="Times New Roman"/>
          <w:b w:val="0"/>
          <w:sz w:val="24"/>
          <w:szCs w:val="24"/>
        </w:rPr>
        <w:t xml:space="preserve">minor </w:t>
      </w:r>
      <w:r w:rsidR="004C7E7B">
        <w:rPr>
          <w:rFonts w:ascii="Times New Roman" w:hAnsi="Times New Roman"/>
          <w:b w:val="0"/>
          <w:sz w:val="24"/>
          <w:szCs w:val="24"/>
        </w:rPr>
        <w:t>update</w:t>
      </w:r>
      <w:r w:rsidR="000508F1">
        <w:rPr>
          <w:rFonts w:ascii="Times New Roman" w:hAnsi="Times New Roman"/>
          <w:b w:val="0"/>
          <w:sz w:val="24"/>
          <w:szCs w:val="24"/>
        </w:rPr>
        <w:t xml:space="preserve"> to</w:t>
      </w:r>
      <w:r w:rsidR="004C7E7B">
        <w:rPr>
          <w:rFonts w:ascii="Times New Roman" w:hAnsi="Times New Roman"/>
          <w:b w:val="0"/>
          <w:sz w:val="24"/>
          <w:szCs w:val="24"/>
        </w:rPr>
        <w:t xml:space="preserve"> </w:t>
      </w:r>
      <w:r w:rsidR="00B83545" w:rsidRPr="00B4471D">
        <w:rPr>
          <w:rFonts w:ascii="Times New Roman" w:hAnsi="Times New Roman"/>
          <w:b w:val="0"/>
          <w:sz w:val="24"/>
          <w:szCs w:val="24"/>
        </w:rPr>
        <w:t>paragraph 2 of Schedule</w:t>
      </w:r>
      <w:r w:rsidR="00B67C4F" w:rsidRPr="00B4471D">
        <w:rPr>
          <w:rFonts w:ascii="Times New Roman" w:hAnsi="Times New Roman"/>
          <w:b w:val="0"/>
          <w:sz w:val="24"/>
          <w:szCs w:val="24"/>
        </w:rPr>
        <w:t xml:space="preserve"> 1 </w:t>
      </w:r>
      <w:r w:rsidR="004C7E7B" w:rsidRPr="00B4471D">
        <w:rPr>
          <w:rFonts w:ascii="Times New Roman" w:hAnsi="Times New Roman"/>
          <w:b w:val="0"/>
          <w:sz w:val="24"/>
          <w:szCs w:val="24"/>
        </w:rPr>
        <w:t xml:space="preserve">to reflect </w:t>
      </w:r>
      <w:r w:rsidR="0068495B">
        <w:rPr>
          <w:rFonts w:ascii="Times New Roman" w:hAnsi="Times New Roman"/>
          <w:b w:val="0"/>
          <w:sz w:val="24"/>
          <w:szCs w:val="24"/>
        </w:rPr>
        <w:t xml:space="preserve">the </w:t>
      </w:r>
      <w:r w:rsidR="003F25FA">
        <w:rPr>
          <w:rFonts w:ascii="Times New Roman" w:hAnsi="Times New Roman"/>
          <w:b w:val="0"/>
          <w:sz w:val="24"/>
          <w:szCs w:val="24"/>
        </w:rPr>
        <w:t xml:space="preserve">correct </w:t>
      </w:r>
      <w:r w:rsidR="004C7E7B" w:rsidRPr="00B4471D">
        <w:rPr>
          <w:rFonts w:ascii="Times New Roman" w:hAnsi="Times New Roman"/>
          <w:b w:val="0"/>
          <w:sz w:val="24"/>
          <w:szCs w:val="24"/>
        </w:rPr>
        <w:t>entity name</w:t>
      </w:r>
      <w:r w:rsidR="000508F1" w:rsidRPr="00B4471D">
        <w:rPr>
          <w:rFonts w:ascii="Times New Roman" w:hAnsi="Times New Roman"/>
          <w:b w:val="0"/>
          <w:sz w:val="24"/>
          <w:szCs w:val="24"/>
        </w:rPr>
        <w:t>:</w:t>
      </w:r>
    </w:p>
    <w:p w14:paraId="1A53B086" w14:textId="42D5A781" w:rsidR="0093796F" w:rsidRPr="00B4471D" w:rsidRDefault="000508F1" w:rsidP="00B4471D">
      <w:pPr>
        <w:pStyle w:val="ListParagraph"/>
        <w:numPr>
          <w:ilvl w:val="0"/>
          <w:numId w:val="19"/>
        </w:numPr>
        <w:autoSpaceDE w:val="0"/>
        <w:autoSpaceDN w:val="0"/>
        <w:adjustRightInd w:val="0"/>
        <w:spacing w:after="0"/>
        <w:jc w:val="left"/>
        <w:rPr>
          <w:rFonts w:ascii="Times New Roman" w:hAnsi="Times New Roman" w:cs="Times New Roman"/>
          <w:iCs/>
          <w:sz w:val="24"/>
          <w:szCs w:val="24"/>
        </w:rPr>
      </w:pPr>
      <w:r w:rsidRPr="009B4FD2">
        <w:rPr>
          <w:rFonts w:ascii="Times New Roman" w:hAnsi="Times New Roman" w:cs="Times New Roman"/>
          <w:sz w:val="24"/>
          <w:szCs w:val="24"/>
        </w:rPr>
        <w:t>"</w:t>
      </w:r>
      <w:r w:rsidRPr="009B4FD2">
        <w:rPr>
          <w:rFonts w:ascii="Times New Roman" w:hAnsi="Times New Roman" w:cs="Times New Roman"/>
          <w:iCs/>
          <w:sz w:val="24"/>
          <w:szCs w:val="24"/>
        </w:rPr>
        <w:t>Diocese of Maitland – Newcastle – Catholic Development Fund (or The Trustees of</w:t>
      </w:r>
      <w:r w:rsidR="004F366E" w:rsidRPr="009B4FD2">
        <w:rPr>
          <w:rFonts w:ascii="Times New Roman" w:hAnsi="Times New Roman" w:cs="Times New Roman"/>
          <w:iCs/>
          <w:sz w:val="24"/>
          <w:szCs w:val="24"/>
        </w:rPr>
        <w:t xml:space="preserve"> </w:t>
      </w:r>
      <w:r w:rsidRPr="009B4FD2">
        <w:rPr>
          <w:rFonts w:ascii="Times New Roman" w:hAnsi="Times New Roman" w:cs="Times New Roman"/>
          <w:iCs/>
          <w:sz w:val="24"/>
          <w:szCs w:val="24"/>
        </w:rPr>
        <w:t>Church Property for the Diocese of Newcastle)</w:t>
      </w:r>
      <w:r w:rsidRPr="009B4FD2">
        <w:rPr>
          <w:rFonts w:ascii="Times New Roman" w:hAnsi="Times New Roman" w:cs="Times New Roman"/>
          <w:sz w:val="24"/>
          <w:szCs w:val="24"/>
        </w:rPr>
        <w:t xml:space="preserve">" </w:t>
      </w:r>
      <w:r w:rsidR="00AF1E76" w:rsidRPr="009B4FD2">
        <w:rPr>
          <w:rFonts w:ascii="Times New Roman" w:hAnsi="Times New Roman" w:cs="Times New Roman"/>
          <w:sz w:val="24"/>
          <w:szCs w:val="24"/>
        </w:rPr>
        <w:t xml:space="preserve">is </w:t>
      </w:r>
      <w:r w:rsidR="00CB3E3C">
        <w:rPr>
          <w:rFonts w:ascii="Times New Roman" w:hAnsi="Times New Roman" w:cs="Times New Roman"/>
          <w:sz w:val="24"/>
          <w:szCs w:val="24"/>
        </w:rPr>
        <w:t xml:space="preserve">removed and </w:t>
      </w:r>
      <w:r w:rsidR="00AF1E76" w:rsidRPr="009B4FD2">
        <w:rPr>
          <w:rFonts w:ascii="Times New Roman" w:hAnsi="Times New Roman" w:cs="Times New Roman"/>
          <w:sz w:val="24"/>
          <w:szCs w:val="24"/>
        </w:rPr>
        <w:t>replaced with “</w:t>
      </w:r>
      <w:r w:rsidR="00AF1E76" w:rsidRPr="009B4FD2">
        <w:rPr>
          <w:rFonts w:ascii="Times New Roman" w:hAnsi="Times New Roman" w:cs="Times New Roman"/>
          <w:iCs/>
          <w:sz w:val="24"/>
          <w:szCs w:val="24"/>
        </w:rPr>
        <w:t>Diocese of Maitland</w:t>
      </w:r>
      <w:r w:rsidR="003F25FA">
        <w:rPr>
          <w:rFonts w:ascii="Times New Roman" w:hAnsi="Times New Roman" w:cs="Times New Roman"/>
          <w:iCs/>
          <w:sz w:val="24"/>
          <w:szCs w:val="24"/>
        </w:rPr>
        <w:t>-</w:t>
      </w:r>
      <w:r w:rsidR="00AF1E76" w:rsidRPr="009B4FD2">
        <w:rPr>
          <w:rFonts w:ascii="Times New Roman" w:hAnsi="Times New Roman" w:cs="Times New Roman"/>
          <w:iCs/>
          <w:sz w:val="24"/>
          <w:szCs w:val="24"/>
        </w:rPr>
        <w:t xml:space="preserve">Newcastle – Catholic Development Fund (or </w:t>
      </w:r>
      <w:r w:rsidR="00AF1E76" w:rsidRPr="009B4FD2">
        <w:rPr>
          <w:rFonts w:ascii="Times New Roman" w:hAnsi="Times New Roman" w:cs="Times New Roman"/>
          <w:sz w:val="24"/>
          <w:szCs w:val="24"/>
        </w:rPr>
        <w:t>The Trustees of the Roman Catholic Church for the Diocese of Maitland-Newcastle</w:t>
      </w:r>
      <w:r w:rsidR="00CB3E3C" w:rsidRPr="009B4FD2">
        <w:rPr>
          <w:rFonts w:ascii="Times New Roman" w:hAnsi="Times New Roman" w:cs="Times New Roman"/>
          <w:sz w:val="24"/>
          <w:szCs w:val="24"/>
        </w:rPr>
        <w:t>)</w:t>
      </w:r>
      <w:r w:rsidR="00AF1E76" w:rsidRPr="009B4FD2">
        <w:rPr>
          <w:rFonts w:ascii="Times New Roman" w:hAnsi="Times New Roman" w:cs="Times New Roman"/>
          <w:sz w:val="24"/>
          <w:szCs w:val="24"/>
        </w:rPr>
        <w:t>"</w:t>
      </w:r>
    </w:p>
    <w:p w14:paraId="1641ED87" w14:textId="77777777" w:rsidR="0093796F" w:rsidRDefault="0093796F" w:rsidP="00B4471D">
      <w:pPr>
        <w:pStyle w:val="Heading"/>
        <w:numPr>
          <w:ilvl w:val="0"/>
          <w:numId w:val="12"/>
        </w:numPr>
        <w:spacing w:before="240" w:after="240"/>
        <w:rPr>
          <w:rFonts w:ascii="Times New Roman" w:hAnsi="Times New Roman"/>
          <w:sz w:val="24"/>
          <w:szCs w:val="24"/>
        </w:rPr>
      </w:pPr>
      <w:bookmarkStart w:id="6" w:name="bkoperation"/>
      <w:bookmarkStart w:id="7" w:name="bkConsultationNo"/>
      <w:bookmarkEnd w:id="6"/>
      <w:bookmarkEnd w:id="7"/>
      <w:r w:rsidRPr="002C6D26">
        <w:rPr>
          <w:rFonts w:ascii="Times New Roman" w:hAnsi="Times New Roman"/>
          <w:sz w:val="24"/>
          <w:szCs w:val="24"/>
        </w:rPr>
        <w:t>Consultation</w:t>
      </w:r>
    </w:p>
    <w:p w14:paraId="7A42111B" w14:textId="60EE9E1C" w:rsidR="0093796F" w:rsidRPr="00D8647B" w:rsidRDefault="003F25FA" w:rsidP="00B4471D">
      <w:pPr>
        <w:numPr>
          <w:ilvl w:val="0"/>
          <w:numId w:val="0"/>
        </w:numPr>
        <w:rPr>
          <w:b/>
        </w:rPr>
      </w:pPr>
      <w:r>
        <w:rPr>
          <w:rFonts w:ascii="Times New Roman" w:hAnsi="Times New Roman"/>
          <w:sz w:val="24"/>
          <w:szCs w:val="24"/>
        </w:rPr>
        <w:t>This instrument does not substantially alter existing arrangement</w:t>
      </w:r>
      <w:r w:rsidR="00FD20EA" w:rsidRPr="00AC0054">
        <w:rPr>
          <w:rFonts w:ascii="Times New Roman" w:hAnsi="Times New Roman" w:cs="Times New Roman"/>
          <w:sz w:val="24"/>
        </w:rPr>
        <w:t>s applicable to RCDFs in the 2017 Exemption</w:t>
      </w:r>
      <w:r w:rsidR="00FD20EA">
        <w:rPr>
          <w:rFonts w:ascii="Times New Roman" w:hAnsi="Times New Roman" w:cs="Times New Roman"/>
          <w:sz w:val="24"/>
        </w:rPr>
        <w:t>.</w:t>
      </w:r>
      <w:r>
        <w:rPr>
          <w:rFonts w:ascii="Times New Roman" w:hAnsi="Times New Roman"/>
          <w:sz w:val="24"/>
          <w:szCs w:val="24"/>
        </w:rPr>
        <w:t xml:space="preserve"> Consequently, APRA did not consult externally in relation to the instrument</w:t>
      </w:r>
      <w:r w:rsidR="00671F49">
        <w:rPr>
          <w:rFonts w:ascii="Times New Roman" w:hAnsi="Times New Roman"/>
          <w:sz w:val="24"/>
          <w:szCs w:val="24"/>
        </w:rPr>
        <w:t xml:space="preserve"> </w:t>
      </w:r>
      <w:r w:rsidR="00812D69">
        <w:rPr>
          <w:rFonts w:ascii="Times New Roman" w:hAnsi="Times New Roman"/>
          <w:sz w:val="24"/>
          <w:szCs w:val="24"/>
        </w:rPr>
        <w:t xml:space="preserve">other than with the </w:t>
      </w:r>
      <w:r w:rsidR="00E418F1">
        <w:rPr>
          <w:rFonts w:ascii="Times New Roman" w:hAnsi="Times New Roman"/>
          <w:sz w:val="24"/>
          <w:szCs w:val="24"/>
        </w:rPr>
        <w:t>entity whose name has been updated in the instrument</w:t>
      </w:r>
      <w:r w:rsidR="0093796F">
        <w:rPr>
          <w:rFonts w:ascii="Times New Roman" w:hAnsi="Times New Roman"/>
          <w:sz w:val="24"/>
          <w:szCs w:val="24"/>
        </w:rPr>
        <w:t>.</w:t>
      </w:r>
    </w:p>
    <w:p w14:paraId="53973A6F" w14:textId="77777777" w:rsidR="0093796F" w:rsidRDefault="0093796F" w:rsidP="0093796F">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Pr="002C6D26">
        <w:rPr>
          <w:rFonts w:ascii="Times New Roman" w:hAnsi="Times New Roman"/>
          <w:sz w:val="24"/>
          <w:szCs w:val="24"/>
        </w:rPr>
        <w:t xml:space="preserve">. </w:t>
      </w:r>
      <w:r w:rsidRPr="002C6D26">
        <w:rPr>
          <w:rFonts w:ascii="Times New Roman" w:hAnsi="Times New Roman"/>
          <w:sz w:val="24"/>
          <w:szCs w:val="24"/>
        </w:rPr>
        <w:tab/>
        <w:t>R</w:t>
      </w:r>
      <w:r>
        <w:rPr>
          <w:rFonts w:ascii="Times New Roman" w:hAnsi="Times New Roman"/>
          <w:sz w:val="24"/>
          <w:szCs w:val="24"/>
        </w:rPr>
        <w:t xml:space="preserve">egulation </w:t>
      </w:r>
      <w:r w:rsidRPr="002C6D26">
        <w:rPr>
          <w:rFonts w:ascii="Times New Roman" w:hAnsi="Times New Roman"/>
          <w:sz w:val="24"/>
          <w:szCs w:val="24"/>
        </w:rPr>
        <w:t>I</w:t>
      </w:r>
      <w:r>
        <w:rPr>
          <w:rFonts w:ascii="Times New Roman" w:hAnsi="Times New Roman"/>
          <w:sz w:val="24"/>
          <w:szCs w:val="24"/>
        </w:rPr>
        <w:t xml:space="preserve">mpact </w:t>
      </w:r>
      <w:r w:rsidRPr="002C6D26">
        <w:rPr>
          <w:rFonts w:ascii="Times New Roman" w:hAnsi="Times New Roman"/>
          <w:sz w:val="24"/>
          <w:szCs w:val="24"/>
        </w:rPr>
        <w:t>S</w:t>
      </w:r>
      <w:r>
        <w:rPr>
          <w:rFonts w:ascii="Times New Roman" w:hAnsi="Times New Roman"/>
          <w:sz w:val="24"/>
          <w:szCs w:val="24"/>
        </w:rPr>
        <w:t>tatement</w:t>
      </w:r>
    </w:p>
    <w:bookmarkEnd w:id="10"/>
    <w:p w14:paraId="6BA99774" w14:textId="77777777" w:rsidR="0093796F" w:rsidRDefault="0093796F" w:rsidP="0093796F">
      <w:pPr>
        <w:pStyle w:val="Heading"/>
        <w:spacing w:after="240"/>
        <w:rPr>
          <w:rFonts w:ascii="Times New Roman" w:hAnsi="Times New Roman"/>
          <w:b w:val="0"/>
          <w:sz w:val="24"/>
          <w:szCs w:val="24"/>
        </w:rPr>
      </w:pPr>
      <w:r w:rsidRPr="00D3484E">
        <w:rPr>
          <w:rFonts w:ascii="Times New Roman" w:hAnsi="Times New Roman"/>
          <w:b w:val="0"/>
          <w:sz w:val="24"/>
          <w:szCs w:val="24"/>
        </w:rPr>
        <w:t xml:space="preserve">The Office of Best Practice Regulation </w:t>
      </w:r>
      <w:r>
        <w:rPr>
          <w:rFonts w:ascii="Times New Roman" w:hAnsi="Times New Roman"/>
          <w:b w:val="0"/>
          <w:sz w:val="24"/>
          <w:szCs w:val="24"/>
        </w:rPr>
        <w:t>h</w:t>
      </w:r>
      <w:r w:rsidRPr="00D3484E">
        <w:rPr>
          <w:rFonts w:ascii="Times New Roman" w:hAnsi="Times New Roman"/>
          <w:b w:val="0"/>
          <w:sz w:val="24"/>
          <w:szCs w:val="24"/>
        </w:rPr>
        <w:t xml:space="preserve">as advised that a Regulation Impact Statement </w:t>
      </w:r>
      <w:r>
        <w:rPr>
          <w:rFonts w:ascii="Times New Roman" w:hAnsi="Times New Roman"/>
          <w:b w:val="0"/>
          <w:sz w:val="24"/>
          <w:szCs w:val="24"/>
        </w:rPr>
        <w:t>is not required for this legislative instrument</w:t>
      </w:r>
      <w:r w:rsidRPr="00D3484E">
        <w:rPr>
          <w:rFonts w:ascii="Times New Roman" w:hAnsi="Times New Roman"/>
          <w:b w:val="0"/>
          <w:sz w:val="24"/>
          <w:szCs w:val="24"/>
        </w:rPr>
        <w:t>.</w:t>
      </w:r>
    </w:p>
    <w:p w14:paraId="642422E4" w14:textId="77777777" w:rsidR="0093796F" w:rsidRPr="00B3165F" w:rsidRDefault="0093796F" w:rsidP="0093796F">
      <w:pPr>
        <w:pStyle w:val="Heading"/>
        <w:tabs>
          <w:tab w:val="left" w:pos="360"/>
        </w:tabs>
        <w:spacing w:after="240"/>
        <w:rPr>
          <w:rFonts w:ascii="Times New Roman" w:hAnsi="Times New Roman"/>
          <w:sz w:val="24"/>
          <w:szCs w:val="24"/>
        </w:rPr>
      </w:pPr>
      <w:r>
        <w:rPr>
          <w:rFonts w:ascii="Times New Roman" w:hAnsi="Times New Roman"/>
          <w:sz w:val="24"/>
          <w:szCs w:val="24"/>
        </w:rPr>
        <w:t>5</w:t>
      </w:r>
      <w:r w:rsidRPr="00B3165F">
        <w:rPr>
          <w:rFonts w:ascii="Times New Roman" w:hAnsi="Times New Roman"/>
          <w:sz w:val="24"/>
          <w:szCs w:val="24"/>
        </w:rPr>
        <w:t>.</w:t>
      </w:r>
      <w:r w:rsidRPr="00B3165F">
        <w:rPr>
          <w:rFonts w:ascii="Times New Roman" w:hAnsi="Times New Roman"/>
          <w:sz w:val="24"/>
          <w:szCs w:val="24"/>
        </w:rPr>
        <w:tab/>
        <w:t xml:space="preserve">Statement of compatibility prepared in accordance with Part 3 of the </w:t>
      </w:r>
      <w:r w:rsidRPr="0051446B">
        <w:rPr>
          <w:rFonts w:ascii="Times New Roman" w:hAnsi="Times New Roman"/>
          <w:i/>
          <w:sz w:val="24"/>
          <w:szCs w:val="24"/>
        </w:rPr>
        <w:t>Human Rights (Parliamentary Scrutiny) Act 2011</w:t>
      </w:r>
    </w:p>
    <w:p w14:paraId="595B7871" w14:textId="77777777" w:rsidR="0093796F" w:rsidRDefault="0093796F" w:rsidP="0093796F">
      <w:pPr>
        <w:pStyle w:val="Heading"/>
        <w:spacing w:after="240"/>
        <w:rPr>
          <w:rFonts w:ascii="Times New Roman" w:hAnsi="Times New Roman"/>
          <w:b w:val="0"/>
          <w:sz w:val="24"/>
          <w:szCs w:val="24"/>
        </w:rPr>
        <w:sectPr w:rsidR="0093796F" w:rsidSect="00163C4A">
          <w:headerReference w:type="even" r:id="rId13"/>
          <w:headerReference w:type="default" r:id="rId14"/>
          <w:footerReference w:type="even" r:id="rId15"/>
          <w:footerReference w:type="default" r:id="rId16"/>
          <w:headerReference w:type="first" r:id="rId17"/>
          <w:footerReference w:type="first" r:id="rId18"/>
          <w:pgSz w:w="11906" w:h="16838" w:code="9"/>
          <w:pgMar w:top="1440" w:right="1800" w:bottom="1440" w:left="1800" w:header="709" w:footer="709" w:gutter="0"/>
          <w:cols w:space="708"/>
          <w:docGrid w:linePitch="360"/>
        </w:sect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AA96A87" w14:textId="1F1F5E9B" w:rsidR="0093796F" w:rsidRPr="009F7FBD" w:rsidRDefault="0093796F" w:rsidP="009F7FBD">
      <w:pPr>
        <w:rPr>
          <w:rFonts w:ascii="Times New Roman" w:hAnsi="Times New Roman"/>
          <w:b/>
          <w:sz w:val="24"/>
        </w:rPr>
      </w:pPr>
      <w:r w:rsidRPr="00D8647B">
        <w:rPr>
          <w:rFonts w:ascii="Times New Roman" w:hAnsi="Times New Roman"/>
          <w:b/>
          <w:sz w:val="24"/>
          <w:szCs w:val="24"/>
        </w:rPr>
        <w:lastRenderedPageBreak/>
        <w:t xml:space="preserve">Attachment A </w:t>
      </w:r>
    </w:p>
    <w:p w14:paraId="706872B0" w14:textId="77777777" w:rsidR="0093796F" w:rsidRDefault="0093796F" w:rsidP="0093796F">
      <w:pPr>
        <w:autoSpaceDE w:val="0"/>
        <w:autoSpaceDN w:val="0"/>
        <w:adjustRightInd w:val="0"/>
        <w:jc w:val="center"/>
        <w:rPr>
          <w:rFonts w:ascii="Times New Roman" w:hAnsi="Times New Roman"/>
          <w:b/>
          <w:sz w:val="24"/>
        </w:rPr>
      </w:pPr>
    </w:p>
    <w:p w14:paraId="3D1C1534" w14:textId="5CE382D7" w:rsidR="0093796F" w:rsidRPr="009F7FBD" w:rsidRDefault="0093796F" w:rsidP="009F7FBD">
      <w:pPr>
        <w:autoSpaceDE w:val="0"/>
        <w:autoSpaceDN w:val="0"/>
        <w:adjustRightInd w:val="0"/>
        <w:jc w:val="center"/>
        <w:rPr>
          <w:rFonts w:ascii="Times New Roman" w:hAnsi="Times New Roman" w:cs="Times New Roman"/>
          <w:b/>
        </w:rPr>
      </w:pPr>
      <w:r w:rsidRPr="009F7FBD">
        <w:rPr>
          <w:rFonts w:ascii="Times New Roman" w:hAnsi="Times New Roman" w:cs="Times New Roman"/>
          <w:b/>
        </w:rPr>
        <w:t>Statement of Compatibility with Human Rights</w:t>
      </w:r>
    </w:p>
    <w:p w14:paraId="79664C05" w14:textId="670AACC7" w:rsidR="0093796F" w:rsidRDefault="0093796F" w:rsidP="0093796F">
      <w:pPr>
        <w:autoSpaceDE w:val="0"/>
        <w:autoSpaceDN w:val="0"/>
        <w:adjustRightInd w:val="0"/>
        <w:rPr>
          <w:rFonts w:ascii="Times New Roman" w:hAnsi="Times New Roman" w:cs="Times New Roman"/>
          <w:i/>
        </w:rPr>
      </w:pPr>
      <w:r w:rsidRPr="009F7FBD">
        <w:rPr>
          <w:rFonts w:ascii="Times New Roman" w:hAnsi="Times New Roman" w:cs="Times New Roman"/>
          <w:i/>
        </w:rPr>
        <w:t>Prepared in accordance with Part 3 of the Human Rights (Parliamentary Scrutiny) Act 2011</w:t>
      </w:r>
    </w:p>
    <w:p w14:paraId="1F932A88" w14:textId="77777777" w:rsidR="00EB2DAC" w:rsidRPr="009F7FBD" w:rsidRDefault="00EB2DAC" w:rsidP="0093796F">
      <w:pPr>
        <w:autoSpaceDE w:val="0"/>
        <w:autoSpaceDN w:val="0"/>
        <w:adjustRightInd w:val="0"/>
        <w:rPr>
          <w:rFonts w:ascii="Times New Roman" w:hAnsi="Times New Roman" w:cs="Times New Roman"/>
          <w:i/>
        </w:rPr>
      </w:pPr>
    </w:p>
    <w:p w14:paraId="647F5DBD" w14:textId="61629FCC" w:rsidR="0093796F" w:rsidRPr="00870489" w:rsidRDefault="00870489" w:rsidP="009F7FBD">
      <w:pPr>
        <w:pStyle w:val="Title"/>
        <w:jc w:val="center"/>
        <w:rPr>
          <w:rFonts w:ascii="Times New Roman" w:hAnsi="Times New Roman" w:cs="Times New Roman"/>
          <w:sz w:val="22"/>
          <w:szCs w:val="22"/>
        </w:rPr>
      </w:pPr>
      <w:r w:rsidRPr="00870489">
        <w:rPr>
          <w:rFonts w:ascii="Times New Roman" w:hAnsi="Times New Roman" w:cs="Times New Roman"/>
          <w:caps w:val="0"/>
          <w:sz w:val="22"/>
          <w:szCs w:val="22"/>
        </w:rPr>
        <w:t xml:space="preserve">Banking </w:t>
      </w:r>
      <w:r>
        <w:rPr>
          <w:rFonts w:ascii="Times New Roman" w:hAnsi="Times New Roman" w:cs="Times New Roman"/>
          <w:caps w:val="0"/>
          <w:sz w:val="22"/>
          <w:szCs w:val="22"/>
        </w:rPr>
        <w:t>e</w:t>
      </w:r>
      <w:r w:rsidRPr="00870489">
        <w:rPr>
          <w:rFonts w:ascii="Times New Roman" w:hAnsi="Times New Roman" w:cs="Times New Roman"/>
          <w:caps w:val="0"/>
          <w:sz w:val="22"/>
          <w:szCs w:val="22"/>
        </w:rPr>
        <w:t xml:space="preserve">xemption No. 1 </w:t>
      </w:r>
      <w:r>
        <w:rPr>
          <w:rFonts w:ascii="Times New Roman" w:hAnsi="Times New Roman" w:cs="Times New Roman"/>
          <w:caps w:val="0"/>
          <w:sz w:val="22"/>
          <w:szCs w:val="22"/>
        </w:rPr>
        <w:t>o</w:t>
      </w:r>
      <w:r w:rsidRPr="00870489">
        <w:rPr>
          <w:rFonts w:ascii="Times New Roman" w:hAnsi="Times New Roman" w:cs="Times New Roman"/>
          <w:caps w:val="0"/>
          <w:sz w:val="22"/>
          <w:szCs w:val="22"/>
        </w:rPr>
        <w:t>f 2021</w:t>
      </w:r>
    </w:p>
    <w:p w14:paraId="053C1AAB" w14:textId="77777777" w:rsidR="0093796F" w:rsidRPr="009F7FBD" w:rsidRDefault="0093796F" w:rsidP="0093796F">
      <w:pPr>
        <w:pStyle w:val="BodyText"/>
        <w:rPr>
          <w:rFonts w:ascii="Times New Roman" w:hAnsi="Times New Roman" w:cs="Times New Roman"/>
          <w:i/>
        </w:rPr>
      </w:pPr>
      <w:r w:rsidRPr="009F7FBD">
        <w:rPr>
          <w:rFonts w:ascii="Times New Roman" w:hAnsi="Times New Roman" w:cs="Times New Roman"/>
        </w:rPr>
        <w:t xml:space="preserve">This Legislative Instrument is compatible with the human rights and freedoms recognised or declared in the international instruments listed in section 3 of the </w:t>
      </w:r>
      <w:r w:rsidRPr="009F7FBD">
        <w:rPr>
          <w:rFonts w:ascii="Times New Roman" w:hAnsi="Times New Roman" w:cs="Times New Roman"/>
          <w:i/>
        </w:rPr>
        <w:t>Human Rights (Parliamentary Scrutiny) Act 2011.</w:t>
      </w:r>
    </w:p>
    <w:p w14:paraId="6DD7C106" w14:textId="77777777" w:rsidR="0093796F" w:rsidRPr="009F7FBD" w:rsidRDefault="0093796F" w:rsidP="0093796F">
      <w:pPr>
        <w:pStyle w:val="BodyText"/>
        <w:rPr>
          <w:rFonts w:ascii="Times New Roman" w:hAnsi="Times New Roman" w:cs="Times New Roman"/>
          <w:b/>
        </w:rPr>
      </w:pPr>
      <w:r w:rsidRPr="009F7FBD">
        <w:rPr>
          <w:rFonts w:ascii="Times New Roman" w:hAnsi="Times New Roman" w:cs="Times New Roman"/>
          <w:b/>
        </w:rPr>
        <w:t>Overview of the Legislative Instrument</w:t>
      </w:r>
    </w:p>
    <w:p w14:paraId="0914F825" w14:textId="77777777" w:rsidR="0093796F" w:rsidRPr="009F7FBD" w:rsidRDefault="0093796F" w:rsidP="0093796F">
      <w:pPr>
        <w:pStyle w:val="BodyText"/>
        <w:rPr>
          <w:rFonts w:ascii="Times New Roman" w:hAnsi="Times New Roman" w:cs="Times New Roman"/>
        </w:rPr>
      </w:pPr>
      <w:r w:rsidRPr="009F7FBD">
        <w:rPr>
          <w:rFonts w:ascii="Times New Roman" w:hAnsi="Times New Roman" w:cs="Times New Roman"/>
        </w:rPr>
        <w:t xml:space="preserve">Under section 7 of the </w:t>
      </w:r>
      <w:r w:rsidRPr="009F7FBD">
        <w:rPr>
          <w:rFonts w:ascii="Times New Roman" w:hAnsi="Times New Roman" w:cs="Times New Roman"/>
          <w:i/>
        </w:rPr>
        <w:t xml:space="preserve">Banking Act 1959 </w:t>
      </w:r>
      <w:r w:rsidRPr="009F7FBD">
        <w:rPr>
          <w:rFonts w:ascii="Times New Roman" w:hAnsi="Times New Roman" w:cs="Times New Roman"/>
        </w:rPr>
        <w:t xml:space="preserve">(Banking Act), it is an offence for a person who is not a body corporate to carry on banking business in Australia except where there is a determination in force that section 7 does not apply to the person. Under section 8 of the Banking Act, it is an offence for a body corporate to carry on banking business in Australia if the body corporate is not an authorised deposit-taking institution or the Reserve Bank, except where there is a determination in force that section 8 does not apply to the body corporate.  </w:t>
      </w:r>
    </w:p>
    <w:p w14:paraId="04806BC0" w14:textId="77777777" w:rsidR="0093796F" w:rsidRPr="009F7FBD" w:rsidRDefault="0093796F" w:rsidP="0093796F">
      <w:pPr>
        <w:pStyle w:val="BodyText"/>
        <w:rPr>
          <w:rFonts w:ascii="Times New Roman" w:hAnsi="Times New Roman" w:cs="Times New Roman"/>
        </w:rPr>
      </w:pPr>
      <w:r w:rsidRPr="009F7FBD">
        <w:rPr>
          <w:rFonts w:ascii="Times New Roman" w:hAnsi="Times New Roman" w:cs="Times New Roman"/>
        </w:rPr>
        <w:t>This Legislative Instrument determines that sections 7 and 8 of the Banking Act do not apply to Religious Charitable Development Funds, subject to conditions relating to the facilities offered in connection with the financial products, and any advertising or marketing in connection with the financial products. Religious Charitable Development Funds are funds formed for religious and charitable purposes and operated on a not-for-profit basis.</w:t>
      </w:r>
    </w:p>
    <w:p w14:paraId="4DB26317" w14:textId="77777777" w:rsidR="0093796F" w:rsidRPr="009F7FBD" w:rsidRDefault="0093796F" w:rsidP="0093796F">
      <w:pPr>
        <w:pStyle w:val="BodyText"/>
        <w:rPr>
          <w:rFonts w:ascii="Times New Roman" w:hAnsi="Times New Roman" w:cs="Times New Roman"/>
          <w:b/>
        </w:rPr>
      </w:pPr>
      <w:r w:rsidRPr="009F7FBD">
        <w:rPr>
          <w:rFonts w:ascii="Times New Roman" w:hAnsi="Times New Roman" w:cs="Times New Roman"/>
          <w:b/>
        </w:rPr>
        <w:t>Human rights implications</w:t>
      </w:r>
    </w:p>
    <w:p w14:paraId="4F9047FD" w14:textId="77777777" w:rsidR="0093796F" w:rsidRPr="009F7FBD" w:rsidRDefault="0093796F" w:rsidP="0093796F">
      <w:pPr>
        <w:pStyle w:val="BodyText"/>
        <w:rPr>
          <w:rFonts w:ascii="Times New Roman" w:hAnsi="Times New Roman" w:cs="Times New Roman"/>
        </w:rPr>
      </w:pPr>
      <w:r w:rsidRPr="009F7FBD">
        <w:rPr>
          <w:rFonts w:ascii="Times New Roman" w:hAnsi="Times New Roman" w:cs="Times New Roman"/>
        </w:rPr>
        <w:t xml:space="preserve">APRA has assessed this Legislative Instrument and is of the view that it does not engage any of the applicable rights or freedoms recognised or declared in the international instruments listed in section 3 of the </w:t>
      </w:r>
      <w:r w:rsidRPr="009F7FBD">
        <w:rPr>
          <w:rFonts w:ascii="Times New Roman" w:hAnsi="Times New Roman" w:cs="Times New Roman"/>
          <w:i/>
        </w:rPr>
        <w:t>Human Rights (Parliamentary Scrutiny) Act 2011</w:t>
      </w:r>
      <w:r w:rsidRPr="009F7FBD">
        <w:rPr>
          <w:rFonts w:ascii="Times New Roman" w:hAnsi="Times New Roman" w:cs="Times New Roman"/>
        </w:rPr>
        <w:t xml:space="preserve">. Accordingly, in APRA’s assessment, the instrument is compatible with human rights. </w:t>
      </w:r>
    </w:p>
    <w:p w14:paraId="6D269E8E" w14:textId="77777777" w:rsidR="0093796F" w:rsidRPr="009F7FBD" w:rsidRDefault="0093796F" w:rsidP="0093796F">
      <w:pPr>
        <w:pStyle w:val="BodyText"/>
        <w:rPr>
          <w:rFonts w:ascii="Times New Roman" w:hAnsi="Times New Roman" w:cs="Times New Roman"/>
          <w:b/>
        </w:rPr>
      </w:pPr>
      <w:r w:rsidRPr="009F7FBD">
        <w:rPr>
          <w:rFonts w:ascii="Times New Roman" w:hAnsi="Times New Roman" w:cs="Times New Roman"/>
          <w:b/>
        </w:rPr>
        <w:t>Conclusion</w:t>
      </w:r>
    </w:p>
    <w:p w14:paraId="7D9DB221" w14:textId="77777777" w:rsidR="0093796F" w:rsidRPr="009F7FBD" w:rsidRDefault="0093796F" w:rsidP="0093796F">
      <w:pPr>
        <w:pStyle w:val="BodyText"/>
        <w:rPr>
          <w:rFonts w:ascii="Times New Roman" w:hAnsi="Times New Roman" w:cs="Times New Roman"/>
        </w:rPr>
      </w:pPr>
      <w:r w:rsidRPr="009F7FBD">
        <w:rPr>
          <w:rFonts w:ascii="Times New Roman" w:hAnsi="Times New Roman" w:cs="Times New Roman"/>
        </w:rPr>
        <w:t>This Legislative Instrument is compatible with human rights as it does not raise any human rights issues.</w:t>
      </w:r>
    </w:p>
    <w:p w14:paraId="25C7A8A1" w14:textId="77777777" w:rsidR="0093796F" w:rsidRPr="009F7FBD" w:rsidRDefault="0093796F" w:rsidP="0093796F">
      <w:pPr>
        <w:rPr>
          <w:rFonts w:ascii="Times New Roman" w:hAnsi="Times New Roman" w:cs="Times New Roman"/>
        </w:rPr>
      </w:pPr>
    </w:p>
    <w:p w14:paraId="779D0014" w14:textId="77777777" w:rsidR="00A533A9" w:rsidRPr="00A34ADD" w:rsidRDefault="00A533A9" w:rsidP="00A34ADD"/>
    <w:sectPr w:rsidR="00A533A9" w:rsidRPr="00A34ADD" w:rsidSect="00163C4A">
      <w:headerReference w:type="default" r:id="rId19"/>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36B6" w14:textId="77777777" w:rsidR="00163C4A" w:rsidRPr="000D4EDE" w:rsidRDefault="00163C4A" w:rsidP="000D4EDE">
      <w:r>
        <w:separator/>
      </w:r>
    </w:p>
  </w:endnote>
  <w:endnote w:type="continuationSeparator" w:id="0">
    <w:p w14:paraId="20514DAB" w14:textId="77777777" w:rsidR="00163C4A" w:rsidRPr="000D4EDE" w:rsidRDefault="00163C4A" w:rsidP="000D4EDE">
      <w:r>
        <w:continuationSeparator/>
      </w:r>
    </w:p>
  </w:endnote>
  <w:endnote w:type="continuationNotice" w:id="1">
    <w:p w14:paraId="37EC9918" w14:textId="77777777" w:rsidR="001F0BDA" w:rsidRDefault="001F0B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390D" w14:textId="77777777" w:rsidR="007E3287" w:rsidRDefault="007E3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082579"/>
      <w:docPartObj>
        <w:docPartGallery w:val="Page Numbers (Top of Page)"/>
        <w:docPartUnique/>
      </w:docPartObj>
    </w:sdtPr>
    <w:sdtEndPr>
      <w:rPr>
        <w:rFonts w:ascii="Times New Roman" w:hAnsi="Times New Roman"/>
        <w:sz w:val="24"/>
        <w:szCs w:val="24"/>
      </w:rPr>
    </w:sdtEndPr>
    <w:sdtContent>
      <w:p w14:paraId="3C86566A" w14:textId="77777777" w:rsidR="00163C4A" w:rsidRPr="00D85E77" w:rsidRDefault="00163C4A" w:rsidP="00163C4A">
        <w:pPr>
          <w:pStyle w:val="Footer"/>
          <w:jc w:val="center"/>
          <w:rPr>
            <w:rFonts w:ascii="Times New Roman" w:hAnsi="Times New Roman"/>
            <w:sz w:val="24"/>
            <w:szCs w:val="24"/>
          </w:rPr>
        </w:pPr>
        <w:r w:rsidRPr="00D85E77">
          <w:rPr>
            <w:rFonts w:ascii="Times New Roman" w:hAnsi="Times New Roman"/>
            <w:bCs/>
            <w:sz w:val="24"/>
            <w:szCs w:val="24"/>
          </w:rPr>
          <w:fldChar w:fldCharType="begin"/>
        </w:r>
        <w:r w:rsidRPr="00D85E77">
          <w:rPr>
            <w:rFonts w:ascii="Times New Roman" w:hAnsi="Times New Roman"/>
            <w:bCs/>
            <w:sz w:val="24"/>
            <w:szCs w:val="24"/>
          </w:rPr>
          <w:instrText xml:space="preserve"> PAGE </w:instrText>
        </w:r>
        <w:r w:rsidRPr="00D85E77">
          <w:rPr>
            <w:rFonts w:ascii="Times New Roman" w:hAnsi="Times New Roman"/>
            <w:bCs/>
            <w:sz w:val="24"/>
            <w:szCs w:val="24"/>
          </w:rPr>
          <w:fldChar w:fldCharType="separate"/>
        </w:r>
        <w:r>
          <w:rPr>
            <w:rFonts w:ascii="Times New Roman" w:hAnsi="Times New Roman"/>
            <w:bCs/>
            <w:noProof/>
            <w:sz w:val="24"/>
            <w:szCs w:val="24"/>
          </w:rPr>
          <w:t>3</w:t>
        </w:r>
        <w:r w:rsidRPr="00D85E77">
          <w:rPr>
            <w:rFonts w:ascii="Times New Roman" w:hAnsi="Times New Roman"/>
            <w:bCs/>
            <w:sz w:val="24"/>
            <w:szCs w:val="24"/>
          </w:rPr>
          <w:fldChar w:fldCharType="end"/>
        </w:r>
      </w:p>
    </w:sdtContent>
  </w:sdt>
  <w:p w14:paraId="08ADF6C1" w14:textId="77777777" w:rsidR="00163C4A" w:rsidRDefault="00163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24DDC" w14:textId="77777777" w:rsidR="007E3287" w:rsidRDefault="007E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5D0E4" w14:textId="77777777" w:rsidR="00163C4A" w:rsidRPr="000D4EDE" w:rsidRDefault="00163C4A" w:rsidP="000D4EDE">
      <w:r>
        <w:separator/>
      </w:r>
    </w:p>
  </w:footnote>
  <w:footnote w:type="continuationSeparator" w:id="0">
    <w:p w14:paraId="3E06560E" w14:textId="77777777" w:rsidR="00163C4A" w:rsidRPr="000D4EDE" w:rsidRDefault="00163C4A" w:rsidP="000D4EDE">
      <w:r>
        <w:continuationSeparator/>
      </w:r>
    </w:p>
  </w:footnote>
  <w:footnote w:type="continuationNotice" w:id="1">
    <w:p w14:paraId="0750992D" w14:textId="77777777" w:rsidR="001F0BDA" w:rsidRDefault="001F0B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ADAAE" w14:textId="77777777" w:rsidR="007E3287" w:rsidRDefault="007E3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C441" w14:textId="1D27D372" w:rsidR="00163C4A" w:rsidRDefault="00163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B112" w14:textId="77777777" w:rsidR="007E3287" w:rsidRDefault="007E32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1C386" w14:textId="7F4D5F86" w:rsidR="00163C4A" w:rsidRDefault="00163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335CDAA6"/>
    <w:lvl w:ilvl="0">
      <w:start w:val="1"/>
      <w:numFmt w:val="decimal"/>
      <w:lvlText w:val="%1.1.1"/>
      <w:lvlJc w:val="left"/>
      <w:pPr>
        <w:ind w:left="926" w:hanging="360"/>
      </w:pPr>
      <w:rPr>
        <w:rFonts w:ascii="Trebuchet MS" w:hAnsi="Trebuchet MS" w:hint="default"/>
      </w:r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FD626A4"/>
    <w:multiLevelType w:val="hybridMultilevel"/>
    <w:tmpl w:val="3B8CF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A81249"/>
    <w:multiLevelType w:val="hybridMultilevel"/>
    <w:tmpl w:val="DE449322"/>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60F57F3"/>
    <w:multiLevelType w:val="hybridMultilevel"/>
    <w:tmpl w:val="B6B84ED8"/>
    <w:lvl w:ilvl="0" w:tplc="0C090001">
      <w:start w:val="1"/>
      <w:numFmt w:val="bullet"/>
      <w:lvlText w:val=""/>
      <w:lvlJc w:val="left"/>
      <w:pPr>
        <w:ind w:left="-2136"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4548A8"/>
    <w:multiLevelType w:val="hybridMultilevel"/>
    <w:tmpl w:val="21A06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3C44575"/>
    <w:multiLevelType w:val="hybridMultilevel"/>
    <w:tmpl w:val="6A2200F8"/>
    <w:lvl w:ilvl="0" w:tplc="F1F253D4">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78115DD"/>
    <w:multiLevelType w:val="hybridMultilevel"/>
    <w:tmpl w:val="C7E2B08A"/>
    <w:lvl w:ilvl="0" w:tplc="0C090001">
      <w:start w:val="1"/>
      <w:numFmt w:val="bullet"/>
      <w:lvlText w:val=""/>
      <w:lvlJc w:val="left"/>
      <w:pPr>
        <w:ind w:left="-2136" w:hanging="360"/>
      </w:pPr>
      <w:rPr>
        <w:rFonts w:ascii="Symbol" w:hAnsi="Symbol" w:hint="default"/>
      </w:rPr>
    </w:lvl>
    <w:lvl w:ilvl="1" w:tplc="0C090003" w:tentative="1">
      <w:start w:val="1"/>
      <w:numFmt w:val="bullet"/>
      <w:lvlText w:val="o"/>
      <w:lvlJc w:val="left"/>
      <w:pPr>
        <w:ind w:left="-1416" w:hanging="360"/>
      </w:pPr>
      <w:rPr>
        <w:rFonts w:ascii="Courier New" w:hAnsi="Courier New" w:cs="Courier New" w:hint="default"/>
      </w:rPr>
    </w:lvl>
    <w:lvl w:ilvl="2" w:tplc="0C090005" w:tentative="1">
      <w:start w:val="1"/>
      <w:numFmt w:val="bullet"/>
      <w:lvlText w:val=""/>
      <w:lvlJc w:val="left"/>
      <w:pPr>
        <w:ind w:left="-696" w:hanging="360"/>
      </w:pPr>
      <w:rPr>
        <w:rFonts w:ascii="Wingdings" w:hAnsi="Wingdings" w:hint="default"/>
      </w:rPr>
    </w:lvl>
    <w:lvl w:ilvl="3" w:tplc="0C090001" w:tentative="1">
      <w:start w:val="1"/>
      <w:numFmt w:val="bullet"/>
      <w:lvlText w:val=""/>
      <w:lvlJc w:val="left"/>
      <w:pPr>
        <w:ind w:left="24" w:hanging="360"/>
      </w:pPr>
      <w:rPr>
        <w:rFonts w:ascii="Symbol" w:hAnsi="Symbol" w:hint="default"/>
      </w:rPr>
    </w:lvl>
    <w:lvl w:ilvl="4" w:tplc="0C090003" w:tentative="1">
      <w:start w:val="1"/>
      <w:numFmt w:val="bullet"/>
      <w:lvlText w:val="o"/>
      <w:lvlJc w:val="left"/>
      <w:pPr>
        <w:ind w:left="744" w:hanging="360"/>
      </w:pPr>
      <w:rPr>
        <w:rFonts w:ascii="Courier New" w:hAnsi="Courier New" w:cs="Courier New" w:hint="default"/>
      </w:rPr>
    </w:lvl>
    <w:lvl w:ilvl="5" w:tplc="0C090005" w:tentative="1">
      <w:start w:val="1"/>
      <w:numFmt w:val="bullet"/>
      <w:lvlText w:val=""/>
      <w:lvlJc w:val="left"/>
      <w:pPr>
        <w:ind w:left="1464" w:hanging="360"/>
      </w:pPr>
      <w:rPr>
        <w:rFonts w:ascii="Wingdings" w:hAnsi="Wingdings" w:hint="default"/>
      </w:rPr>
    </w:lvl>
    <w:lvl w:ilvl="6" w:tplc="0C090001" w:tentative="1">
      <w:start w:val="1"/>
      <w:numFmt w:val="bullet"/>
      <w:lvlText w:val=""/>
      <w:lvlJc w:val="left"/>
      <w:pPr>
        <w:ind w:left="2184" w:hanging="360"/>
      </w:pPr>
      <w:rPr>
        <w:rFonts w:ascii="Symbol" w:hAnsi="Symbol" w:hint="default"/>
      </w:rPr>
    </w:lvl>
    <w:lvl w:ilvl="7" w:tplc="0C090003" w:tentative="1">
      <w:start w:val="1"/>
      <w:numFmt w:val="bullet"/>
      <w:lvlText w:val="o"/>
      <w:lvlJc w:val="left"/>
      <w:pPr>
        <w:ind w:left="2904" w:hanging="360"/>
      </w:pPr>
      <w:rPr>
        <w:rFonts w:ascii="Courier New" w:hAnsi="Courier New" w:cs="Courier New" w:hint="default"/>
      </w:rPr>
    </w:lvl>
    <w:lvl w:ilvl="8" w:tplc="0C090005" w:tentative="1">
      <w:start w:val="1"/>
      <w:numFmt w:val="bullet"/>
      <w:lvlText w:val=""/>
      <w:lvlJc w:val="left"/>
      <w:pPr>
        <w:ind w:left="3624" w:hanging="360"/>
      </w:pPr>
      <w:rPr>
        <w:rFonts w:ascii="Wingdings" w:hAnsi="Wingdings" w:hint="default"/>
      </w:rPr>
    </w:lvl>
  </w:abstractNum>
  <w:abstractNum w:abstractNumId="16"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
  </w:num>
  <w:num w:numId="2">
    <w:abstractNumId w:val="0"/>
  </w:num>
  <w:num w:numId="3">
    <w:abstractNumId w:val="5"/>
  </w:num>
  <w:num w:numId="4">
    <w:abstractNumId w:val="14"/>
  </w:num>
  <w:num w:numId="5">
    <w:abstractNumId w:val="16"/>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3"/>
  </w:num>
  <w:num w:numId="10">
    <w:abstractNumId w:val="6"/>
  </w:num>
  <w:num w:numId="11">
    <w:abstractNumId w:val="4"/>
  </w:num>
  <w:num w:numId="12">
    <w:abstractNumId w:val="8"/>
  </w:num>
  <w:num w:numId="13">
    <w:abstractNumId w:val="13"/>
  </w:num>
  <w:num w:numId="14">
    <w:abstractNumId w:val="15"/>
  </w:num>
  <w:num w:numId="15">
    <w:abstractNumId w:val="17"/>
  </w:num>
  <w:num w:numId="16">
    <w:abstractNumId w:val="1"/>
  </w:num>
  <w:num w:numId="17">
    <w:abstractNumId w:val="9"/>
  </w:num>
  <w:num w:numId="18">
    <w:abstractNumId w:val="10"/>
  </w:num>
  <w:num w:numId="1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styleLockTheme/>
  <w:styleLockQFSet/>
  <w:defaultTabStop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6F"/>
    <w:rsid w:val="00004ED1"/>
    <w:rsid w:val="00005D98"/>
    <w:rsid w:val="00005F96"/>
    <w:rsid w:val="00007262"/>
    <w:rsid w:val="00011C96"/>
    <w:rsid w:val="000141B9"/>
    <w:rsid w:val="0002711C"/>
    <w:rsid w:val="00034A19"/>
    <w:rsid w:val="00036F9E"/>
    <w:rsid w:val="000413B3"/>
    <w:rsid w:val="000453D9"/>
    <w:rsid w:val="000508F1"/>
    <w:rsid w:val="000573E5"/>
    <w:rsid w:val="00057B71"/>
    <w:rsid w:val="0007202C"/>
    <w:rsid w:val="00072B30"/>
    <w:rsid w:val="0007319C"/>
    <w:rsid w:val="000732AA"/>
    <w:rsid w:val="000767DD"/>
    <w:rsid w:val="0008011A"/>
    <w:rsid w:val="00084F8B"/>
    <w:rsid w:val="000851D0"/>
    <w:rsid w:val="00086D07"/>
    <w:rsid w:val="00086F71"/>
    <w:rsid w:val="00093915"/>
    <w:rsid w:val="000949AD"/>
    <w:rsid w:val="00095109"/>
    <w:rsid w:val="00096B0F"/>
    <w:rsid w:val="000A490E"/>
    <w:rsid w:val="000A757D"/>
    <w:rsid w:val="000B04C5"/>
    <w:rsid w:val="000B1F6C"/>
    <w:rsid w:val="000B63CA"/>
    <w:rsid w:val="000B752A"/>
    <w:rsid w:val="000C14D9"/>
    <w:rsid w:val="000C15C7"/>
    <w:rsid w:val="000D4EDE"/>
    <w:rsid w:val="000E2460"/>
    <w:rsid w:val="000E43AC"/>
    <w:rsid w:val="000E6E37"/>
    <w:rsid w:val="000F0A3C"/>
    <w:rsid w:val="000F0E6F"/>
    <w:rsid w:val="001018A5"/>
    <w:rsid w:val="00103444"/>
    <w:rsid w:val="00106F56"/>
    <w:rsid w:val="00115A39"/>
    <w:rsid w:val="00117479"/>
    <w:rsid w:val="00123576"/>
    <w:rsid w:val="001241CB"/>
    <w:rsid w:val="00124B21"/>
    <w:rsid w:val="001327B8"/>
    <w:rsid w:val="0013471B"/>
    <w:rsid w:val="00134DFF"/>
    <w:rsid w:val="001352D4"/>
    <w:rsid w:val="00155789"/>
    <w:rsid w:val="00157C98"/>
    <w:rsid w:val="00163C4A"/>
    <w:rsid w:val="001653B6"/>
    <w:rsid w:val="00165BF6"/>
    <w:rsid w:val="00174B0F"/>
    <w:rsid w:val="0018235E"/>
    <w:rsid w:val="00184187"/>
    <w:rsid w:val="001A4EA4"/>
    <w:rsid w:val="001A664F"/>
    <w:rsid w:val="001B2DB7"/>
    <w:rsid w:val="001B3A9F"/>
    <w:rsid w:val="001C463F"/>
    <w:rsid w:val="001D0C02"/>
    <w:rsid w:val="001D3D43"/>
    <w:rsid w:val="001E0F51"/>
    <w:rsid w:val="001E55BF"/>
    <w:rsid w:val="001F0BDA"/>
    <w:rsid w:val="001F6E1A"/>
    <w:rsid w:val="001F780A"/>
    <w:rsid w:val="001F7917"/>
    <w:rsid w:val="00200613"/>
    <w:rsid w:val="002065D4"/>
    <w:rsid w:val="00214883"/>
    <w:rsid w:val="002156F6"/>
    <w:rsid w:val="00220550"/>
    <w:rsid w:val="002301A2"/>
    <w:rsid w:val="00236C2D"/>
    <w:rsid w:val="002374B7"/>
    <w:rsid w:val="00240126"/>
    <w:rsid w:val="00241D16"/>
    <w:rsid w:val="00242384"/>
    <w:rsid w:val="0024304D"/>
    <w:rsid w:val="00244826"/>
    <w:rsid w:val="00247ACA"/>
    <w:rsid w:val="00252E6A"/>
    <w:rsid w:val="00255A20"/>
    <w:rsid w:val="0025782A"/>
    <w:rsid w:val="00257C13"/>
    <w:rsid w:val="00263414"/>
    <w:rsid w:val="002661A6"/>
    <w:rsid w:val="00266C23"/>
    <w:rsid w:val="00277D6C"/>
    <w:rsid w:val="00286EAD"/>
    <w:rsid w:val="00292A60"/>
    <w:rsid w:val="002930F6"/>
    <w:rsid w:val="0029389B"/>
    <w:rsid w:val="002A1894"/>
    <w:rsid w:val="002A2188"/>
    <w:rsid w:val="002A36F2"/>
    <w:rsid w:val="002A7D14"/>
    <w:rsid w:val="002B0913"/>
    <w:rsid w:val="002B28E4"/>
    <w:rsid w:val="002B7504"/>
    <w:rsid w:val="002C0D97"/>
    <w:rsid w:val="002C66D1"/>
    <w:rsid w:val="002C7065"/>
    <w:rsid w:val="002C7F4A"/>
    <w:rsid w:val="002D2804"/>
    <w:rsid w:val="002D4B6C"/>
    <w:rsid w:val="002D5274"/>
    <w:rsid w:val="002E1EE3"/>
    <w:rsid w:val="002F0135"/>
    <w:rsid w:val="002F0C2C"/>
    <w:rsid w:val="00300655"/>
    <w:rsid w:val="00303D18"/>
    <w:rsid w:val="00307ADD"/>
    <w:rsid w:val="00307E55"/>
    <w:rsid w:val="00312A66"/>
    <w:rsid w:val="003130CA"/>
    <w:rsid w:val="0032180D"/>
    <w:rsid w:val="003306A5"/>
    <w:rsid w:val="00347ADB"/>
    <w:rsid w:val="00355D40"/>
    <w:rsid w:val="00371AAC"/>
    <w:rsid w:val="00371F54"/>
    <w:rsid w:val="0037770C"/>
    <w:rsid w:val="00377C8B"/>
    <w:rsid w:val="0038397C"/>
    <w:rsid w:val="00383A95"/>
    <w:rsid w:val="00385CA0"/>
    <w:rsid w:val="003A2733"/>
    <w:rsid w:val="003A3021"/>
    <w:rsid w:val="003A627E"/>
    <w:rsid w:val="003A79EE"/>
    <w:rsid w:val="003B6E16"/>
    <w:rsid w:val="003C180A"/>
    <w:rsid w:val="003C1E25"/>
    <w:rsid w:val="003D27CB"/>
    <w:rsid w:val="003D329D"/>
    <w:rsid w:val="003E6BF6"/>
    <w:rsid w:val="003F0F0D"/>
    <w:rsid w:val="003F25FA"/>
    <w:rsid w:val="0040173E"/>
    <w:rsid w:val="004275D8"/>
    <w:rsid w:val="00435339"/>
    <w:rsid w:val="004410DC"/>
    <w:rsid w:val="0044447D"/>
    <w:rsid w:val="00450C67"/>
    <w:rsid w:val="00460CF7"/>
    <w:rsid w:val="00463FA8"/>
    <w:rsid w:val="00466648"/>
    <w:rsid w:val="00472CBC"/>
    <w:rsid w:val="004765B3"/>
    <w:rsid w:val="004843CA"/>
    <w:rsid w:val="00493DAA"/>
    <w:rsid w:val="00494335"/>
    <w:rsid w:val="00494BFF"/>
    <w:rsid w:val="00495A4C"/>
    <w:rsid w:val="004967A1"/>
    <w:rsid w:val="004B584E"/>
    <w:rsid w:val="004C1106"/>
    <w:rsid w:val="004C6D4B"/>
    <w:rsid w:val="004C766B"/>
    <w:rsid w:val="004C7E7B"/>
    <w:rsid w:val="004D33E3"/>
    <w:rsid w:val="004D76C1"/>
    <w:rsid w:val="004D7C22"/>
    <w:rsid w:val="004E2269"/>
    <w:rsid w:val="004E451A"/>
    <w:rsid w:val="004F3339"/>
    <w:rsid w:val="004F366E"/>
    <w:rsid w:val="004F72A2"/>
    <w:rsid w:val="004F78E5"/>
    <w:rsid w:val="005026D4"/>
    <w:rsid w:val="00503A51"/>
    <w:rsid w:val="00506774"/>
    <w:rsid w:val="00512309"/>
    <w:rsid w:val="00541D54"/>
    <w:rsid w:val="00542522"/>
    <w:rsid w:val="0054526E"/>
    <w:rsid w:val="00545CE1"/>
    <w:rsid w:val="005476B5"/>
    <w:rsid w:val="005549D7"/>
    <w:rsid w:val="005602DA"/>
    <w:rsid w:val="005618DF"/>
    <w:rsid w:val="00562087"/>
    <w:rsid w:val="005678FC"/>
    <w:rsid w:val="0057138A"/>
    <w:rsid w:val="00573327"/>
    <w:rsid w:val="00582A55"/>
    <w:rsid w:val="00592F64"/>
    <w:rsid w:val="005A2BB0"/>
    <w:rsid w:val="005A3F63"/>
    <w:rsid w:val="005A59D0"/>
    <w:rsid w:val="005B073E"/>
    <w:rsid w:val="005B227F"/>
    <w:rsid w:val="005B7801"/>
    <w:rsid w:val="005C5891"/>
    <w:rsid w:val="005D04CC"/>
    <w:rsid w:val="005D5FAE"/>
    <w:rsid w:val="005E4BC9"/>
    <w:rsid w:val="005F29B7"/>
    <w:rsid w:val="00606EB5"/>
    <w:rsid w:val="00606FC8"/>
    <w:rsid w:val="00616C90"/>
    <w:rsid w:val="00617FDA"/>
    <w:rsid w:val="0062116F"/>
    <w:rsid w:val="00623FD7"/>
    <w:rsid w:val="00625DFF"/>
    <w:rsid w:val="00626087"/>
    <w:rsid w:val="00634E4C"/>
    <w:rsid w:val="00636B8B"/>
    <w:rsid w:val="00641EAA"/>
    <w:rsid w:val="006427FE"/>
    <w:rsid w:val="006506C1"/>
    <w:rsid w:val="00657459"/>
    <w:rsid w:val="0065747A"/>
    <w:rsid w:val="00660AF9"/>
    <w:rsid w:val="00662E28"/>
    <w:rsid w:val="0066674D"/>
    <w:rsid w:val="00666A78"/>
    <w:rsid w:val="00671DDE"/>
    <w:rsid w:val="00671F49"/>
    <w:rsid w:val="00676C12"/>
    <w:rsid w:val="0068396B"/>
    <w:rsid w:val="0068495B"/>
    <w:rsid w:val="0069375D"/>
    <w:rsid w:val="0069407C"/>
    <w:rsid w:val="0069574E"/>
    <w:rsid w:val="006969C0"/>
    <w:rsid w:val="006A1921"/>
    <w:rsid w:val="006A2303"/>
    <w:rsid w:val="006A2C82"/>
    <w:rsid w:val="006D2A45"/>
    <w:rsid w:val="006D315C"/>
    <w:rsid w:val="006D71B8"/>
    <w:rsid w:val="006E0E52"/>
    <w:rsid w:val="006E4272"/>
    <w:rsid w:val="006F145A"/>
    <w:rsid w:val="006F27CB"/>
    <w:rsid w:val="006F359B"/>
    <w:rsid w:val="006F562D"/>
    <w:rsid w:val="006F5865"/>
    <w:rsid w:val="00701EC6"/>
    <w:rsid w:val="00702D4C"/>
    <w:rsid w:val="00706179"/>
    <w:rsid w:val="00714F78"/>
    <w:rsid w:val="007152B0"/>
    <w:rsid w:val="007170F7"/>
    <w:rsid w:val="00717589"/>
    <w:rsid w:val="00722F9F"/>
    <w:rsid w:val="00725397"/>
    <w:rsid w:val="007253B8"/>
    <w:rsid w:val="00736E7D"/>
    <w:rsid w:val="007509A6"/>
    <w:rsid w:val="00753F83"/>
    <w:rsid w:val="007541B0"/>
    <w:rsid w:val="0075469B"/>
    <w:rsid w:val="00755163"/>
    <w:rsid w:val="00756AAB"/>
    <w:rsid w:val="00757F63"/>
    <w:rsid w:val="007645AE"/>
    <w:rsid w:val="00764992"/>
    <w:rsid w:val="00765749"/>
    <w:rsid w:val="00775AA0"/>
    <w:rsid w:val="007770FA"/>
    <w:rsid w:val="007827B0"/>
    <w:rsid w:val="00791738"/>
    <w:rsid w:val="00791780"/>
    <w:rsid w:val="00792D37"/>
    <w:rsid w:val="007A0EB7"/>
    <w:rsid w:val="007B6871"/>
    <w:rsid w:val="007B7899"/>
    <w:rsid w:val="007C08B1"/>
    <w:rsid w:val="007C2CC2"/>
    <w:rsid w:val="007C38BD"/>
    <w:rsid w:val="007C79AA"/>
    <w:rsid w:val="007D31DA"/>
    <w:rsid w:val="007D72C5"/>
    <w:rsid w:val="007D7516"/>
    <w:rsid w:val="007E3287"/>
    <w:rsid w:val="007E525D"/>
    <w:rsid w:val="007E5745"/>
    <w:rsid w:val="007F0323"/>
    <w:rsid w:val="007F15E5"/>
    <w:rsid w:val="007F379E"/>
    <w:rsid w:val="007F471C"/>
    <w:rsid w:val="00800C90"/>
    <w:rsid w:val="008125F8"/>
    <w:rsid w:val="00812D69"/>
    <w:rsid w:val="008208A8"/>
    <w:rsid w:val="0082369B"/>
    <w:rsid w:val="00826012"/>
    <w:rsid w:val="00834CE0"/>
    <w:rsid w:val="0084110F"/>
    <w:rsid w:val="00844B1D"/>
    <w:rsid w:val="00844F5C"/>
    <w:rsid w:val="00845843"/>
    <w:rsid w:val="00846D34"/>
    <w:rsid w:val="00850FAC"/>
    <w:rsid w:val="00852671"/>
    <w:rsid w:val="00863020"/>
    <w:rsid w:val="008637EC"/>
    <w:rsid w:val="00870489"/>
    <w:rsid w:val="00870BC6"/>
    <w:rsid w:val="00875DAD"/>
    <w:rsid w:val="00877B84"/>
    <w:rsid w:val="00877E5F"/>
    <w:rsid w:val="0088036D"/>
    <w:rsid w:val="00881155"/>
    <w:rsid w:val="00882892"/>
    <w:rsid w:val="00885A14"/>
    <w:rsid w:val="0088689B"/>
    <w:rsid w:val="00890FA0"/>
    <w:rsid w:val="008947BF"/>
    <w:rsid w:val="008A0CBE"/>
    <w:rsid w:val="008A1CA8"/>
    <w:rsid w:val="008A214D"/>
    <w:rsid w:val="008A72D2"/>
    <w:rsid w:val="008A74A3"/>
    <w:rsid w:val="008B6868"/>
    <w:rsid w:val="008B6D24"/>
    <w:rsid w:val="008C34F7"/>
    <w:rsid w:val="008C6A43"/>
    <w:rsid w:val="008D080C"/>
    <w:rsid w:val="008D1867"/>
    <w:rsid w:val="008D6437"/>
    <w:rsid w:val="008D6EDF"/>
    <w:rsid w:val="008E3EF5"/>
    <w:rsid w:val="008F33B5"/>
    <w:rsid w:val="008F4CB9"/>
    <w:rsid w:val="00901414"/>
    <w:rsid w:val="00906799"/>
    <w:rsid w:val="00917B4B"/>
    <w:rsid w:val="00922193"/>
    <w:rsid w:val="00923F22"/>
    <w:rsid w:val="00924152"/>
    <w:rsid w:val="00926FA1"/>
    <w:rsid w:val="0093194D"/>
    <w:rsid w:val="00934C3F"/>
    <w:rsid w:val="0093796F"/>
    <w:rsid w:val="009417AE"/>
    <w:rsid w:val="00945B3F"/>
    <w:rsid w:val="00950DCB"/>
    <w:rsid w:val="00952D47"/>
    <w:rsid w:val="00952D4C"/>
    <w:rsid w:val="00960246"/>
    <w:rsid w:val="009720E1"/>
    <w:rsid w:val="00974F0E"/>
    <w:rsid w:val="00975CD7"/>
    <w:rsid w:val="00980CA1"/>
    <w:rsid w:val="00985E70"/>
    <w:rsid w:val="0098783B"/>
    <w:rsid w:val="00993C2B"/>
    <w:rsid w:val="009979F4"/>
    <w:rsid w:val="009A246D"/>
    <w:rsid w:val="009A45B2"/>
    <w:rsid w:val="009A5585"/>
    <w:rsid w:val="009A59D5"/>
    <w:rsid w:val="009B2CB7"/>
    <w:rsid w:val="009B4FD2"/>
    <w:rsid w:val="009C2198"/>
    <w:rsid w:val="009C49A9"/>
    <w:rsid w:val="009D2DDD"/>
    <w:rsid w:val="009E0C10"/>
    <w:rsid w:val="009E4116"/>
    <w:rsid w:val="009E529F"/>
    <w:rsid w:val="009F7FBD"/>
    <w:rsid w:val="00A10DA6"/>
    <w:rsid w:val="00A151E9"/>
    <w:rsid w:val="00A15DBB"/>
    <w:rsid w:val="00A259F2"/>
    <w:rsid w:val="00A2758A"/>
    <w:rsid w:val="00A33802"/>
    <w:rsid w:val="00A34ADD"/>
    <w:rsid w:val="00A37162"/>
    <w:rsid w:val="00A37E51"/>
    <w:rsid w:val="00A43A30"/>
    <w:rsid w:val="00A51E2D"/>
    <w:rsid w:val="00A5319F"/>
    <w:rsid w:val="00A533A9"/>
    <w:rsid w:val="00A53690"/>
    <w:rsid w:val="00A56E3D"/>
    <w:rsid w:val="00A62D31"/>
    <w:rsid w:val="00A63380"/>
    <w:rsid w:val="00A8129D"/>
    <w:rsid w:val="00A82188"/>
    <w:rsid w:val="00A865C7"/>
    <w:rsid w:val="00A909CC"/>
    <w:rsid w:val="00A964A5"/>
    <w:rsid w:val="00A97E3B"/>
    <w:rsid w:val="00AA00CB"/>
    <w:rsid w:val="00AA20A1"/>
    <w:rsid w:val="00AA41F2"/>
    <w:rsid w:val="00AB039E"/>
    <w:rsid w:val="00AB4206"/>
    <w:rsid w:val="00AC7E54"/>
    <w:rsid w:val="00AE6A4E"/>
    <w:rsid w:val="00AE7B98"/>
    <w:rsid w:val="00AF129F"/>
    <w:rsid w:val="00AF1E76"/>
    <w:rsid w:val="00B12DC9"/>
    <w:rsid w:val="00B13F84"/>
    <w:rsid w:val="00B14604"/>
    <w:rsid w:val="00B15ABA"/>
    <w:rsid w:val="00B20FA0"/>
    <w:rsid w:val="00B24DD4"/>
    <w:rsid w:val="00B34339"/>
    <w:rsid w:val="00B40B7D"/>
    <w:rsid w:val="00B42B2F"/>
    <w:rsid w:val="00B4471D"/>
    <w:rsid w:val="00B44900"/>
    <w:rsid w:val="00B467F6"/>
    <w:rsid w:val="00B472E1"/>
    <w:rsid w:val="00B52821"/>
    <w:rsid w:val="00B56C63"/>
    <w:rsid w:val="00B664C7"/>
    <w:rsid w:val="00B67C4F"/>
    <w:rsid w:val="00B71170"/>
    <w:rsid w:val="00B80BCE"/>
    <w:rsid w:val="00B81524"/>
    <w:rsid w:val="00B81740"/>
    <w:rsid w:val="00B83542"/>
    <w:rsid w:val="00B83545"/>
    <w:rsid w:val="00B842B0"/>
    <w:rsid w:val="00B84D9C"/>
    <w:rsid w:val="00B85D7B"/>
    <w:rsid w:val="00B900EA"/>
    <w:rsid w:val="00B91069"/>
    <w:rsid w:val="00B92842"/>
    <w:rsid w:val="00B96312"/>
    <w:rsid w:val="00BA2713"/>
    <w:rsid w:val="00BA2941"/>
    <w:rsid w:val="00BA4C61"/>
    <w:rsid w:val="00BA627A"/>
    <w:rsid w:val="00BA7FB1"/>
    <w:rsid w:val="00BB22FA"/>
    <w:rsid w:val="00BD12A1"/>
    <w:rsid w:val="00BD1D09"/>
    <w:rsid w:val="00BD7B83"/>
    <w:rsid w:val="00BF17C6"/>
    <w:rsid w:val="00BF6F09"/>
    <w:rsid w:val="00C00FDA"/>
    <w:rsid w:val="00C02EB9"/>
    <w:rsid w:val="00C0373C"/>
    <w:rsid w:val="00C04E4B"/>
    <w:rsid w:val="00C11531"/>
    <w:rsid w:val="00C11B56"/>
    <w:rsid w:val="00C14C04"/>
    <w:rsid w:val="00C1529E"/>
    <w:rsid w:val="00C16045"/>
    <w:rsid w:val="00C21E27"/>
    <w:rsid w:val="00C2332A"/>
    <w:rsid w:val="00C42EA5"/>
    <w:rsid w:val="00C62BF5"/>
    <w:rsid w:val="00C636DA"/>
    <w:rsid w:val="00C67E22"/>
    <w:rsid w:val="00C72271"/>
    <w:rsid w:val="00C72A17"/>
    <w:rsid w:val="00C81356"/>
    <w:rsid w:val="00C813CD"/>
    <w:rsid w:val="00C858D9"/>
    <w:rsid w:val="00C87DA0"/>
    <w:rsid w:val="00CA4E4D"/>
    <w:rsid w:val="00CA6FF9"/>
    <w:rsid w:val="00CB3E3C"/>
    <w:rsid w:val="00CB4238"/>
    <w:rsid w:val="00CB5938"/>
    <w:rsid w:val="00CB5B27"/>
    <w:rsid w:val="00CC13F5"/>
    <w:rsid w:val="00CC1A64"/>
    <w:rsid w:val="00CC34EB"/>
    <w:rsid w:val="00CC66EA"/>
    <w:rsid w:val="00CD3C17"/>
    <w:rsid w:val="00CE1F9C"/>
    <w:rsid w:val="00CE2E48"/>
    <w:rsid w:val="00CE7248"/>
    <w:rsid w:val="00CF0184"/>
    <w:rsid w:val="00CF55F6"/>
    <w:rsid w:val="00CF59E0"/>
    <w:rsid w:val="00CF6672"/>
    <w:rsid w:val="00D021F7"/>
    <w:rsid w:val="00D069C7"/>
    <w:rsid w:val="00D078A2"/>
    <w:rsid w:val="00D21123"/>
    <w:rsid w:val="00D26BB7"/>
    <w:rsid w:val="00D367EB"/>
    <w:rsid w:val="00D36C91"/>
    <w:rsid w:val="00D41871"/>
    <w:rsid w:val="00D45954"/>
    <w:rsid w:val="00D461C2"/>
    <w:rsid w:val="00D61AAE"/>
    <w:rsid w:val="00D64CB8"/>
    <w:rsid w:val="00D720AE"/>
    <w:rsid w:val="00D72FD8"/>
    <w:rsid w:val="00D92A45"/>
    <w:rsid w:val="00D9697A"/>
    <w:rsid w:val="00DA3023"/>
    <w:rsid w:val="00DA4C48"/>
    <w:rsid w:val="00DA727D"/>
    <w:rsid w:val="00DB53A7"/>
    <w:rsid w:val="00DC5092"/>
    <w:rsid w:val="00DD170F"/>
    <w:rsid w:val="00DE0A8A"/>
    <w:rsid w:val="00DF2D48"/>
    <w:rsid w:val="00DF2F8B"/>
    <w:rsid w:val="00DF6837"/>
    <w:rsid w:val="00DF68E4"/>
    <w:rsid w:val="00DF6E54"/>
    <w:rsid w:val="00E04228"/>
    <w:rsid w:val="00E04457"/>
    <w:rsid w:val="00E04BBC"/>
    <w:rsid w:val="00E10450"/>
    <w:rsid w:val="00E1478E"/>
    <w:rsid w:val="00E159D7"/>
    <w:rsid w:val="00E213AB"/>
    <w:rsid w:val="00E21653"/>
    <w:rsid w:val="00E21C9B"/>
    <w:rsid w:val="00E2414E"/>
    <w:rsid w:val="00E26830"/>
    <w:rsid w:val="00E26FAF"/>
    <w:rsid w:val="00E40B36"/>
    <w:rsid w:val="00E418F1"/>
    <w:rsid w:val="00E51672"/>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48AE"/>
    <w:rsid w:val="00EB09E2"/>
    <w:rsid w:val="00EB2DAC"/>
    <w:rsid w:val="00EB74A5"/>
    <w:rsid w:val="00EC1B07"/>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2ECA"/>
    <w:rsid w:val="00F24F8F"/>
    <w:rsid w:val="00F275DB"/>
    <w:rsid w:val="00F303B2"/>
    <w:rsid w:val="00F307E0"/>
    <w:rsid w:val="00F34D63"/>
    <w:rsid w:val="00F57F7A"/>
    <w:rsid w:val="00F62D33"/>
    <w:rsid w:val="00F64AB3"/>
    <w:rsid w:val="00F6547A"/>
    <w:rsid w:val="00F6570B"/>
    <w:rsid w:val="00F67615"/>
    <w:rsid w:val="00F76C98"/>
    <w:rsid w:val="00F804CD"/>
    <w:rsid w:val="00F80750"/>
    <w:rsid w:val="00F85F59"/>
    <w:rsid w:val="00F86538"/>
    <w:rsid w:val="00F86717"/>
    <w:rsid w:val="00F86DD4"/>
    <w:rsid w:val="00F919F0"/>
    <w:rsid w:val="00F97C7A"/>
    <w:rsid w:val="00FA2909"/>
    <w:rsid w:val="00FA3CEC"/>
    <w:rsid w:val="00FB11A7"/>
    <w:rsid w:val="00FB4CF2"/>
    <w:rsid w:val="00FC4845"/>
    <w:rsid w:val="00FC6B03"/>
    <w:rsid w:val="00FD06D5"/>
    <w:rsid w:val="00FD20EA"/>
    <w:rsid w:val="00FD24F2"/>
    <w:rsid w:val="00FD28FF"/>
    <w:rsid w:val="00FD68A1"/>
    <w:rsid w:val="00FE004D"/>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5ED21C"/>
  <w15:chartTrackingRefBased/>
  <w15:docId w15:val="{553190A7-2BE7-4D23-AD0E-4C0C3B1FC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nhideWhenUsed="1" w:qFormat="1"/>
    <w:lsdException w:name="List Number 4" w:uiPriority="16" w:unhideWhenUsed="1" w:qFormat="1"/>
    <w:lsdException w:name="List Number 5" w:semiHidden="1" w:unhideWhenUsed="1"/>
    <w:lsdException w:name="Title" w:uiPriority="10" w:qFormat="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99"/>
    <w:qFormat/>
    <w:rsid w:val="00662E28"/>
    <w:pPr>
      <w:numPr>
        <w:ilvl w:val="2"/>
        <w:numId w:val="11"/>
      </w:numPr>
    </w:pPr>
  </w:style>
  <w:style w:type="paragraph" w:styleId="Title">
    <w:name w:val="Title"/>
    <w:basedOn w:val="Normal"/>
    <w:next w:val="Normal"/>
    <w:link w:val="TitleChar"/>
    <w:uiPriority w:val="10"/>
    <w:qFormat/>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0"/>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unhideWhenUsed/>
    <w:locked/>
    <w:rsid w:val="00F80750"/>
  </w:style>
  <w:style w:type="character" w:customStyle="1" w:styleId="BodyTextChar">
    <w:name w:val="Body Text Char"/>
    <w:basedOn w:val="DefaultParagraphFont"/>
    <w:link w:val="BodyText"/>
    <w:uiPriority w:val="99"/>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93796F"/>
    <w:pPr>
      <w:numPr>
        <w:numId w:val="0"/>
      </w:numPr>
      <w:spacing w:after="0"/>
    </w:pPr>
    <w:rPr>
      <w:rFonts w:ascii="Trebuchet MS" w:eastAsia="Times New Roman" w:hAnsi="Trebuchet MS" w:cs="Times New Roman"/>
      <w:b/>
      <w:color w:val="auto"/>
      <w:sz w:val="26"/>
      <w:lang w:eastAsia="en-AU"/>
    </w:rPr>
  </w:style>
  <w:style w:type="paragraph" w:customStyle="1" w:styleId="Bullet">
    <w:name w:val="Bullet"/>
    <w:basedOn w:val="Normal"/>
    <w:rsid w:val="0093796F"/>
    <w:pPr>
      <w:numPr>
        <w:numId w:val="15"/>
      </w:numPr>
      <w:tabs>
        <w:tab w:val="left" w:pos="1935"/>
      </w:tabs>
      <w:spacing w:before="120" w:after="120"/>
      <w:jc w:val="left"/>
    </w:pPr>
    <w:rPr>
      <w:rFonts w:ascii="Trebuchet MS" w:hAnsi="Trebuchet MS"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00962853">
      <w:bodyDiv w:val="1"/>
      <w:marLeft w:val="0"/>
      <w:marRight w:val="0"/>
      <w:marTop w:val="0"/>
      <w:marBottom w:val="0"/>
      <w:divBdr>
        <w:top w:val="none" w:sz="0" w:space="0" w:color="auto"/>
        <w:left w:val="none" w:sz="0" w:space="0" w:color="auto"/>
        <w:bottom w:val="none" w:sz="0" w:space="0" w:color="auto"/>
        <w:right w:val="none" w:sz="0" w:space="0" w:color="auto"/>
      </w:divBdr>
      <w:divsChild>
        <w:div w:id="1449279798">
          <w:marLeft w:val="0"/>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5JENXJJSCC7A-445999044-11474</_dlc_DocId>
    <TaxCatchAll xmlns="814d62cb-2db6-4c25-ab62-b9075facbc11">
      <Value>24</Value>
      <Value>134</Value>
      <Value>83</Value>
      <Value>234</Value>
      <Value>10</Value>
      <Value>26</Value>
      <Value>93</Value>
      <Value>109</Value>
      <Value>230</Value>
      <Value>4</Value>
      <Value>19</Value>
    </TaxCatchAll>
    <_dlc_DocIdUrl xmlns="814d62cb-2db6-4c25-ab62-b9075facbc11">
      <Url>https://im/teams/LEGAL/_layouts/15/DocIdRedir.aspx?ID=5JENXJJSCC7A-445999044-11474</Url>
      <Description>5JENXJJSCC7A-445999044-11474</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Exemption No 1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E7FE-56BE-492A-AC05-468661090977}">
  <ds:schemaRef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 ds:uri="814d62cb-2db6-4c25-ab62-b9075facbc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31FA690-A91A-4ECF-98BA-850271688036}">
  <ds:schemaRefs>
    <ds:schemaRef ds:uri="http://schemas.microsoft.com/sharepoint/v3/contenttype/forms"/>
  </ds:schemaRefs>
</ds:datastoreItem>
</file>

<file path=customXml/itemProps3.xml><?xml version="1.0" encoding="utf-8"?>
<ds:datastoreItem xmlns:ds="http://schemas.openxmlformats.org/officeDocument/2006/customXml" ds:itemID="{64DCC2DA-0EDA-4184-B144-10DBB897B1AC}">
  <ds:schemaRefs>
    <ds:schemaRef ds:uri="http://schemas.microsoft.com/sharepoint/events"/>
  </ds:schemaRefs>
</ds:datastoreItem>
</file>

<file path=customXml/itemProps4.xml><?xml version="1.0" encoding="utf-8"?>
<ds:datastoreItem xmlns:ds="http://schemas.openxmlformats.org/officeDocument/2006/customXml" ds:itemID="{AAFA7464-ED86-47F1-B3C8-053B3C73F924}">
  <ds:schemaRefs>
    <ds:schemaRef ds:uri="Microsoft.SharePoint.Taxonomy.ContentTypeSync"/>
  </ds:schemaRefs>
</ds:datastoreItem>
</file>

<file path=customXml/itemProps5.xml><?xml version="1.0" encoding="utf-8"?>
<ds:datastoreItem xmlns:ds="http://schemas.openxmlformats.org/officeDocument/2006/customXml" ds:itemID="{47F7CB40-E96B-4D04-8A86-0CED92BA1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6E0C32D-FB90-41B8-B5E6-6F9676861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929</Words>
  <Characters>4870</Characters>
  <Application>Microsoft Office Word</Application>
  <DocSecurity>0</DocSecurity>
  <Lines>93</Lines>
  <Paragraphs>42</Paragraphs>
  <ScaleCrop>false</ScaleCrop>
  <HeadingPairs>
    <vt:vector size="2" baseType="variant">
      <vt:variant>
        <vt:lpstr>Title</vt:lpstr>
      </vt:variant>
      <vt:variant>
        <vt:i4>1</vt:i4>
      </vt:variant>
    </vt:vector>
  </HeadingPairs>
  <TitlesOfParts>
    <vt:vector size="1" baseType="lpstr">
      <vt:lpstr>Draft ES - Banking exemption No1 of 2021</vt:lpstr>
    </vt:vector>
  </TitlesOfParts>
  <Company>APRA</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Exemption No 1 of 2021</dc:title>
  <dc:subject/>
  <dc:creator>Mobbs, Sabrina</dc:creator>
  <cp:keywords>[SEC=OFFICIAL]</cp:keywords>
  <dc:description/>
  <cp:lastModifiedBy>Michalis, Toni</cp:lastModifiedBy>
  <cp:revision>2</cp:revision>
  <cp:lastPrinted>2014-02-02T12:10:00Z</cp:lastPrinted>
  <dcterms:created xsi:type="dcterms:W3CDTF">2021-05-26T03:31:00Z</dcterms:created>
  <dcterms:modified xsi:type="dcterms:W3CDTF">2021-05-26T03:31:00Z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7A268887DB904DB6B5BD1BE8CB7928FA</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2021-05-26T03:31:17Z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2018.3</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5B999007826F7946D12C1773013F1FBC</vt:lpwstr>
  </property>
  <property fmtid="{D5CDD505-2E9C-101B-9397-08002B2CF9AE}" pid="20" name="PM_Hash_Salt">
    <vt:lpwstr>76BF284DA119B2979DD8939ABB45EBF5</vt:lpwstr>
  </property>
  <property fmtid="{D5CDD505-2E9C-101B-9397-08002B2CF9AE}" pid="21" name="PM_Hash_SHA1">
    <vt:lpwstr>BF9014603D4037B11FDAEABD7FBB65DA04FF6CD3</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IsLocked">
    <vt:lpwstr>False</vt:lpwstr>
  </property>
  <property fmtid="{D5CDD505-2E9C-101B-9397-08002B2CF9AE}" pid="25" name="ContentTypeId">
    <vt:lpwstr>0x0101008CA7A4F8331B45C7B0D3158B4994D0CA0200577EC0F5A1FBFC498F9A8436B963F8A6</vt:lpwstr>
  </property>
  <property fmtid="{D5CDD505-2E9C-101B-9397-08002B2CF9AE}" pid="26" name="_dlc_DocIdItemGuid">
    <vt:lpwstr>e57d66ce-6d00-4dda-b929-ff22b67ed478</vt:lpwstr>
  </property>
  <property fmtid="{D5CDD505-2E9C-101B-9397-08002B2CF9AE}" pid="27" name="APRAStatus">
    <vt:lpwstr>19;#Final|84d6b2d0-8498-4d62-bf46-bab38babbe9e</vt:lpwstr>
  </property>
  <property fmtid="{D5CDD505-2E9C-101B-9397-08002B2CF9AE}" pid="28"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PRSG">
    <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Industry">
    <vt:lpwstr/>
  </property>
  <property fmtid="{D5CDD505-2E9C-101B-9397-08002B2CF9AE}" pid="35" name="APRALegislation">
    <vt:lpwstr/>
  </property>
  <property fmtid="{D5CDD505-2E9C-101B-9397-08002B2CF9AE}" pid="36" name="APRAYear">
    <vt:lpwstr>230;#2021|0e1e43df-81ea-47af-89d8-970d5d5956ff</vt:lpwstr>
  </property>
  <property fmtid="{D5CDD505-2E9C-101B-9397-08002B2CF9AE}" pid="37" name="APRAExternalOrganisation">
    <vt:lpwstr/>
  </property>
  <property fmtid="{D5CDD505-2E9C-101B-9397-08002B2CF9AE}" pid="38" name="APRAIRTR">
    <vt:lpwstr/>
  </property>
  <property fmtid="{D5CDD505-2E9C-101B-9397-08002B2CF9AE}" pid="39" name="APRAPeriod">
    <vt:lpwstr/>
  </property>
  <property fmtid="{D5CDD505-2E9C-101B-9397-08002B2CF9AE}" pid="40" name="RecordPoint_WorkflowType">
    <vt:lpwstr>ActiveSubmitStub</vt:lpwstr>
  </property>
  <property fmtid="{D5CDD505-2E9C-101B-9397-08002B2CF9AE}" pid="41" name="IT system type">
    <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{e57d66ce-6d00-4dda-b929-ff22b67ed478}</vt:lpwstr>
  </property>
  <property fmtid="{D5CDD505-2E9C-101B-9397-08002B2CF9AE}" pid="45" name="RecordPoint_ActiveItemWebId">
    <vt:lpwstr>{75a71c27-8d66-4282-ae60-1bfc22a83be1}</vt:lpwstr>
  </property>
  <property fmtid="{D5CDD505-2E9C-101B-9397-08002B2CF9AE}" pid="46" name="RecordPoint_RecordNumberSubmitted">
    <vt:lpwstr/>
  </property>
  <property fmtid="{D5CDD505-2E9C-101B-9397-08002B2CF9AE}" pid="47" name="RecordPoint_SubmissionCompleted">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ies>
</file>