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Pr="00E5390A" w:rsidRDefault="005E317F" w:rsidP="005E317F">
      <w:pPr>
        <w:rPr>
          <w:sz w:val="28"/>
        </w:rPr>
      </w:pPr>
      <w:r w:rsidRPr="00E5390A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11430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503328" cy="1105200"/>
            <wp:effectExtent l="0" t="0" r="1905" b="0"/>
            <wp:wrapSquare wrapText="bothSides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6C9F" w:rsidRPr="00E5390A">
        <w:rPr>
          <w:sz w:val="28"/>
        </w:rPr>
        <w:br w:type="textWrapping" w:clear="all"/>
      </w:r>
    </w:p>
    <w:p w:rsidR="005044B0" w:rsidRPr="00E5390A" w:rsidRDefault="005044B0" w:rsidP="005E317F">
      <w:pPr>
        <w:rPr>
          <w:sz w:val="28"/>
        </w:rPr>
      </w:pPr>
    </w:p>
    <w:p w:rsidR="005044B0" w:rsidRPr="00E5390A" w:rsidRDefault="00BF2483" w:rsidP="005E317F">
      <w:pPr>
        <w:rPr>
          <w:rFonts w:ascii="Arial" w:hAnsi="Arial" w:cs="Arial"/>
          <w:b/>
          <w:szCs w:val="22"/>
        </w:rPr>
      </w:pPr>
      <w:r w:rsidRPr="00E5390A">
        <w:rPr>
          <w:rFonts w:ascii="Arial" w:hAnsi="Arial" w:cs="Arial"/>
          <w:b/>
          <w:szCs w:val="22"/>
        </w:rPr>
        <w:t xml:space="preserve">PB </w:t>
      </w:r>
      <w:r w:rsidR="00324A74" w:rsidRPr="00E5390A">
        <w:rPr>
          <w:rFonts w:ascii="Arial" w:hAnsi="Arial" w:cs="Arial"/>
          <w:b/>
          <w:szCs w:val="22"/>
        </w:rPr>
        <w:t>5</w:t>
      </w:r>
      <w:r w:rsidR="00FC5918" w:rsidRPr="00E5390A">
        <w:rPr>
          <w:rFonts w:ascii="Arial" w:hAnsi="Arial" w:cs="Arial"/>
          <w:b/>
          <w:szCs w:val="22"/>
        </w:rPr>
        <w:t>6</w:t>
      </w:r>
      <w:r w:rsidR="005044B0" w:rsidRPr="00E5390A">
        <w:rPr>
          <w:rFonts w:ascii="Arial" w:hAnsi="Arial" w:cs="Arial"/>
          <w:b/>
          <w:szCs w:val="22"/>
        </w:rPr>
        <w:t xml:space="preserve"> of 202</w:t>
      </w:r>
      <w:r w:rsidR="00626155" w:rsidRPr="00E5390A">
        <w:rPr>
          <w:rFonts w:ascii="Arial" w:hAnsi="Arial" w:cs="Arial"/>
          <w:b/>
          <w:szCs w:val="22"/>
        </w:rPr>
        <w:t>1</w:t>
      </w:r>
    </w:p>
    <w:p w:rsidR="005E317F" w:rsidRPr="00E5390A" w:rsidRDefault="005E317F" w:rsidP="005E317F">
      <w:pPr>
        <w:rPr>
          <w:sz w:val="19"/>
        </w:rPr>
      </w:pPr>
    </w:p>
    <w:p w:rsidR="005044B0" w:rsidRPr="00E5390A" w:rsidRDefault="005044B0" w:rsidP="005044B0">
      <w:pPr>
        <w:rPr>
          <w:rFonts w:cs="Times New Roman"/>
          <w:b/>
          <w:sz w:val="40"/>
          <w:szCs w:val="40"/>
        </w:rPr>
      </w:pPr>
      <w:r w:rsidRPr="00E5390A">
        <w:rPr>
          <w:rFonts w:cs="Times New Roman"/>
          <w:b/>
          <w:sz w:val="40"/>
          <w:szCs w:val="40"/>
        </w:rPr>
        <w:t>National Health (Price and Special Patient Contribution) Amendment Determination 202</w:t>
      </w:r>
      <w:r w:rsidR="00626155" w:rsidRPr="00E5390A">
        <w:rPr>
          <w:rFonts w:cs="Times New Roman"/>
          <w:b/>
          <w:sz w:val="40"/>
          <w:szCs w:val="40"/>
        </w:rPr>
        <w:t>1</w:t>
      </w:r>
      <w:r w:rsidRPr="00E5390A">
        <w:rPr>
          <w:rFonts w:cs="Times New Roman"/>
          <w:b/>
          <w:sz w:val="40"/>
          <w:szCs w:val="40"/>
        </w:rPr>
        <w:t xml:space="preserve"> (No. </w:t>
      </w:r>
      <w:r w:rsidR="00423883" w:rsidRPr="00E5390A">
        <w:rPr>
          <w:rFonts w:cs="Times New Roman"/>
          <w:b/>
          <w:sz w:val="40"/>
          <w:szCs w:val="40"/>
        </w:rPr>
        <w:t>3</w:t>
      </w:r>
      <w:r w:rsidRPr="00E5390A">
        <w:rPr>
          <w:rFonts w:cs="Times New Roman"/>
          <w:b/>
          <w:sz w:val="40"/>
          <w:szCs w:val="40"/>
        </w:rPr>
        <w:t>)</w:t>
      </w:r>
    </w:p>
    <w:p w:rsidR="005E317F" w:rsidRPr="00E5390A" w:rsidRDefault="005E317F" w:rsidP="005E317F">
      <w:pPr>
        <w:pStyle w:val="SignCoverPageStart"/>
        <w:spacing w:before="240"/>
        <w:ind w:right="91"/>
        <w:rPr>
          <w:szCs w:val="22"/>
        </w:rPr>
      </w:pPr>
      <w:r w:rsidRPr="00E5390A">
        <w:rPr>
          <w:szCs w:val="22"/>
        </w:rPr>
        <w:t>I,</w:t>
      </w:r>
      <w:r w:rsidR="005044B0" w:rsidRPr="00E5390A">
        <w:rPr>
          <w:szCs w:val="22"/>
        </w:rPr>
        <w:t xml:space="preserve"> </w:t>
      </w:r>
      <w:r w:rsidR="00423883" w:rsidRPr="00E5390A">
        <w:rPr>
          <w:szCs w:val="22"/>
        </w:rPr>
        <w:t>Nikolai Tsyganov</w:t>
      </w:r>
      <w:r w:rsidR="005044B0" w:rsidRPr="00E5390A">
        <w:rPr>
          <w:szCs w:val="22"/>
        </w:rPr>
        <w:t xml:space="preserve">, </w:t>
      </w:r>
      <w:r w:rsidR="00423883" w:rsidRPr="00E5390A">
        <w:rPr>
          <w:szCs w:val="22"/>
        </w:rPr>
        <w:t xml:space="preserve">Acting </w:t>
      </w:r>
      <w:r w:rsidR="00FA7231" w:rsidRPr="00E5390A">
        <w:rPr>
          <w:szCs w:val="22"/>
        </w:rPr>
        <w:t>A</w:t>
      </w:r>
      <w:r w:rsidR="005044B0" w:rsidRPr="00E5390A">
        <w:rPr>
          <w:szCs w:val="22"/>
        </w:rPr>
        <w:t xml:space="preserve">ssistant Secretary, Pricing and PBS Policy Branch, Technology Assessment and Access Division, Department of Health, delegate of the </w:t>
      </w:r>
      <w:r w:rsidR="00B671F8" w:rsidRPr="00E5390A">
        <w:rPr>
          <w:szCs w:val="22"/>
        </w:rPr>
        <w:t>Minister for Health and Aged Care</w:t>
      </w:r>
      <w:r w:rsidR="005044B0" w:rsidRPr="00E5390A">
        <w:rPr>
          <w:szCs w:val="22"/>
        </w:rPr>
        <w:t>, make the following Determination.</w:t>
      </w:r>
      <w:r w:rsidRPr="00E5390A">
        <w:rPr>
          <w:szCs w:val="22"/>
        </w:rPr>
        <w:t xml:space="preserve"> </w:t>
      </w:r>
    </w:p>
    <w:p w:rsidR="005E317F" w:rsidRPr="00E5390A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E5390A">
        <w:rPr>
          <w:szCs w:val="22"/>
        </w:rPr>
        <w:t>Dated</w:t>
      </w:r>
      <w:r w:rsidR="00E5390A" w:rsidRPr="00E5390A">
        <w:rPr>
          <w:szCs w:val="22"/>
        </w:rPr>
        <w:t xml:space="preserve"> 27 </w:t>
      </w:r>
      <w:r w:rsidR="00423883" w:rsidRPr="00E5390A">
        <w:rPr>
          <w:szCs w:val="22"/>
        </w:rPr>
        <w:t>May</w:t>
      </w:r>
      <w:r w:rsidR="005044B0" w:rsidRPr="00E5390A">
        <w:rPr>
          <w:szCs w:val="22"/>
        </w:rPr>
        <w:t xml:space="preserve"> 202</w:t>
      </w:r>
      <w:r w:rsidR="00626155" w:rsidRPr="00E5390A">
        <w:rPr>
          <w:szCs w:val="22"/>
        </w:rPr>
        <w:t>1</w:t>
      </w:r>
      <w:r w:rsidRPr="00E5390A">
        <w:rPr>
          <w:szCs w:val="22"/>
        </w:rPr>
        <w:tab/>
      </w:r>
      <w:r w:rsidRPr="00E5390A">
        <w:rPr>
          <w:szCs w:val="22"/>
        </w:rPr>
        <w:tab/>
      </w:r>
    </w:p>
    <w:p w:rsidR="00665ED9" w:rsidRPr="00E5390A" w:rsidRDefault="00423883" w:rsidP="00665ED9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5390A">
        <w:rPr>
          <w:b/>
          <w:szCs w:val="22"/>
        </w:rPr>
        <w:t>NIKOLAI TSYGANOV</w:t>
      </w:r>
    </w:p>
    <w:p w:rsidR="00665ED9" w:rsidRPr="00E5390A" w:rsidRDefault="00423883" w:rsidP="00665ED9">
      <w:pPr>
        <w:pStyle w:val="SignCoverPageEnd"/>
        <w:ind w:right="91"/>
      </w:pPr>
      <w:r w:rsidRPr="00E5390A">
        <w:t xml:space="preserve">Acting </w:t>
      </w:r>
      <w:r w:rsidR="00665ED9" w:rsidRPr="00E5390A">
        <w:t>Assistant Secretary</w:t>
      </w:r>
    </w:p>
    <w:p w:rsidR="00665ED9" w:rsidRPr="00E5390A" w:rsidRDefault="00665ED9" w:rsidP="00665ED9">
      <w:pPr>
        <w:pStyle w:val="SignCoverPageEnd"/>
        <w:ind w:right="91"/>
      </w:pPr>
      <w:r w:rsidRPr="00E5390A">
        <w:t>Pricing and PBS Policy Branch</w:t>
      </w:r>
    </w:p>
    <w:p w:rsidR="00665ED9" w:rsidRPr="00E5390A" w:rsidRDefault="00665ED9" w:rsidP="00665ED9">
      <w:pPr>
        <w:pStyle w:val="SignCoverPageEnd"/>
        <w:ind w:right="91"/>
      </w:pPr>
      <w:r w:rsidRPr="00E5390A">
        <w:t xml:space="preserve">Technology Assessment and Access Division </w:t>
      </w:r>
    </w:p>
    <w:p w:rsidR="00665ED9" w:rsidRPr="00E5390A" w:rsidRDefault="00665ED9" w:rsidP="00665ED9">
      <w:pPr>
        <w:pStyle w:val="SignCoverPageEnd"/>
        <w:ind w:right="91"/>
      </w:pPr>
      <w:r w:rsidRPr="00E5390A">
        <w:t xml:space="preserve">Department of Health </w:t>
      </w:r>
      <w:bookmarkStart w:id="0" w:name="_GoBack"/>
      <w:bookmarkEnd w:id="0"/>
    </w:p>
    <w:p w:rsidR="005E317F" w:rsidRPr="00E5390A" w:rsidRDefault="005E317F" w:rsidP="005E317F">
      <w:pPr>
        <w:pStyle w:val="SignCoverPageEnd"/>
        <w:ind w:right="91"/>
        <w:rPr>
          <w:sz w:val="22"/>
        </w:rPr>
      </w:pPr>
    </w:p>
    <w:p w:rsidR="00B20990" w:rsidRPr="00E5390A" w:rsidRDefault="00B20990" w:rsidP="00B20990"/>
    <w:p w:rsidR="00B20990" w:rsidRPr="00E5390A" w:rsidRDefault="00B20990" w:rsidP="00B20990">
      <w:pPr>
        <w:sectPr w:rsidR="00B20990" w:rsidRPr="00E5390A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Pr="00E5390A" w:rsidRDefault="00B20990" w:rsidP="00B20990">
      <w:pPr>
        <w:outlineLvl w:val="0"/>
        <w:rPr>
          <w:sz w:val="36"/>
        </w:rPr>
      </w:pPr>
      <w:r w:rsidRPr="00E5390A">
        <w:rPr>
          <w:sz w:val="36"/>
        </w:rPr>
        <w:lastRenderedPageBreak/>
        <w:t>Contents</w:t>
      </w:r>
    </w:p>
    <w:bookmarkStart w:id="1" w:name="BKCheck15B_2"/>
    <w:bookmarkEnd w:id="1"/>
    <w:p w:rsidR="00E5390A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5390A">
        <w:fldChar w:fldCharType="begin"/>
      </w:r>
      <w:r w:rsidRPr="00E5390A">
        <w:instrText xml:space="preserve"> TOC \o "1-9" </w:instrText>
      </w:r>
      <w:r w:rsidRPr="00E5390A">
        <w:fldChar w:fldCharType="separate"/>
      </w:r>
      <w:r w:rsidR="00E5390A">
        <w:rPr>
          <w:noProof/>
        </w:rPr>
        <w:t>1  Name</w:t>
      </w:r>
      <w:r w:rsidR="00E5390A">
        <w:rPr>
          <w:noProof/>
        </w:rPr>
        <w:tab/>
      </w:r>
      <w:r w:rsidR="00E5390A">
        <w:rPr>
          <w:noProof/>
        </w:rPr>
        <w:fldChar w:fldCharType="begin"/>
      </w:r>
      <w:r w:rsidR="00E5390A">
        <w:rPr>
          <w:noProof/>
        </w:rPr>
        <w:instrText xml:space="preserve"> PAGEREF _Toc73027121 \h </w:instrText>
      </w:r>
      <w:r w:rsidR="00E5390A">
        <w:rPr>
          <w:noProof/>
        </w:rPr>
      </w:r>
      <w:r w:rsidR="00E5390A">
        <w:rPr>
          <w:noProof/>
        </w:rPr>
        <w:fldChar w:fldCharType="separate"/>
      </w:r>
      <w:r w:rsidR="00E5390A">
        <w:rPr>
          <w:noProof/>
        </w:rPr>
        <w:t>1</w:t>
      </w:r>
      <w:r w:rsidR="00E5390A">
        <w:rPr>
          <w:noProof/>
        </w:rPr>
        <w:fldChar w:fldCharType="end"/>
      </w:r>
    </w:p>
    <w:p w:rsidR="00E5390A" w:rsidRDefault="00E539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_Toc73027122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E5390A" w:rsidRDefault="00E539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_Toc73027123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E5390A" w:rsidRDefault="00E539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_Toc73027124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E5390A" w:rsidRDefault="00E5390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_Toc73027125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E5390A" w:rsidRDefault="00E5390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(Price and Special Patient Contribution) Determination 2021 (PB 35 of 2021)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_Toc73027126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B20990" w:rsidRPr="00E5390A" w:rsidRDefault="00B20990" w:rsidP="005E317F">
      <w:r w:rsidRPr="00E5390A">
        <w:rPr>
          <w:rFonts w:cs="Times New Roman"/>
          <w:sz w:val="20"/>
        </w:rPr>
        <w:fldChar w:fldCharType="end"/>
      </w:r>
    </w:p>
    <w:p w:rsidR="00B20990" w:rsidRPr="00E5390A" w:rsidRDefault="00B20990" w:rsidP="00B20990"/>
    <w:p w:rsidR="00B20990" w:rsidRPr="00E5390A" w:rsidRDefault="00B20990" w:rsidP="00B20990">
      <w:pPr>
        <w:sectPr w:rsidR="00B20990" w:rsidRPr="00E5390A" w:rsidSect="001F6F0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E5390A" w:rsidRDefault="005E317F" w:rsidP="005E317F">
      <w:pPr>
        <w:pStyle w:val="ActHead5"/>
      </w:pPr>
      <w:bookmarkStart w:id="2" w:name="_Toc73027121"/>
      <w:r w:rsidRPr="00E5390A">
        <w:rPr>
          <w:rStyle w:val="CharSectno"/>
        </w:rPr>
        <w:lastRenderedPageBreak/>
        <w:t>1</w:t>
      </w:r>
      <w:r w:rsidRPr="00E5390A">
        <w:t xml:space="preserve">  Name</w:t>
      </w:r>
      <w:bookmarkEnd w:id="2"/>
    </w:p>
    <w:p w:rsidR="005E317F" w:rsidRPr="00E5390A" w:rsidRDefault="005E317F" w:rsidP="005E317F">
      <w:pPr>
        <w:pStyle w:val="subsection"/>
        <w:rPr>
          <w:sz w:val="24"/>
          <w:szCs w:val="24"/>
        </w:rPr>
      </w:pPr>
      <w:r w:rsidRPr="00E5390A">
        <w:tab/>
      </w:r>
      <w:r w:rsidRPr="00E5390A">
        <w:tab/>
        <w:t xml:space="preserve">This instrument is the </w:t>
      </w:r>
      <w:bookmarkStart w:id="3" w:name="BKCheck15B_3"/>
      <w:bookmarkEnd w:id="3"/>
      <w:r w:rsidR="00744393" w:rsidRPr="00E5390A">
        <w:rPr>
          <w:i/>
          <w:szCs w:val="24"/>
        </w:rPr>
        <w:t>National Health (Price and Special Patient Contribution) Amendment Determination 202</w:t>
      </w:r>
      <w:r w:rsidR="00626155" w:rsidRPr="00E5390A">
        <w:rPr>
          <w:i/>
          <w:szCs w:val="24"/>
        </w:rPr>
        <w:t>1</w:t>
      </w:r>
      <w:r w:rsidR="00744393" w:rsidRPr="00E5390A">
        <w:rPr>
          <w:i/>
          <w:szCs w:val="24"/>
        </w:rPr>
        <w:t xml:space="preserve"> (No. </w:t>
      </w:r>
      <w:r w:rsidR="00423883" w:rsidRPr="00E5390A">
        <w:rPr>
          <w:i/>
          <w:szCs w:val="24"/>
        </w:rPr>
        <w:t>3</w:t>
      </w:r>
      <w:r w:rsidR="00744393" w:rsidRPr="00E5390A">
        <w:rPr>
          <w:i/>
          <w:szCs w:val="24"/>
        </w:rPr>
        <w:t>)</w:t>
      </w:r>
      <w:r w:rsidR="00744393" w:rsidRPr="00E5390A">
        <w:rPr>
          <w:szCs w:val="24"/>
        </w:rPr>
        <w:t>.</w:t>
      </w:r>
    </w:p>
    <w:p w:rsidR="002D2078" w:rsidRPr="00E5390A" w:rsidRDefault="002D2078" w:rsidP="005E317F">
      <w:pPr>
        <w:pStyle w:val="subsection"/>
      </w:pPr>
      <w:r w:rsidRPr="00E5390A">
        <w:tab/>
      </w:r>
      <w:r w:rsidRPr="00E5390A">
        <w:tab/>
        <w:t>This inst</w:t>
      </w:r>
      <w:r w:rsidR="00D5193F" w:rsidRPr="00E5390A">
        <w:t xml:space="preserve">rument may also be cited as PB </w:t>
      </w:r>
      <w:r w:rsidR="00324A74" w:rsidRPr="00E5390A">
        <w:t>5</w:t>
      </w:r>
      <w:r w:rsidR="00FC5918" w:rsidRPr="00E5390A">
        <w:t>6</w:t>
      </w:r>
      <w:r w:rsidRPr="00E5390A">
        <w:t xml:space="preserve"> of 202</w:t>
      </w:r>
      <w:r w:rsidR="00626155" w:rsidRPr="00E5390A">
        <w:t>1</w:t>
      </w:r>
    </w:p>
    <w:p w:rsidR="005E317F" w:rsidRPr="00E5390A" w:rsidRDefault="005E317F" w:rsidP="005E317F">
      <w:pPr>
        <w:pStyle w:val="ActHead5"/>
      </w:pPr>
      <w:bookmarkStart w:id="4" w:name="_Toc73027122"/>
      <w:r w:rsidRPr="00E5390A">
        <w:rPr>
          <w:rStyle w:val="CharSectno"/>
        </w:rPr>
        <w:t>2</w:t>
      </w:r>
      <w:r w:rsidRPr="00E5390A">
        <w:t xml:space="preserve">  Commencement</w:t>
      </w:r>
      <w:bookmarkEnd w:id="4"/>
    </w:p>
    <w:p w:rsidR="00002BCC" w:rsidRPr="00E5390A" w:rsidRDefault="00002BCC" w:rsidP="00002BCC">
      <w:pPr>
        <w:pStyle w:val="subsection"/>
      </w:pPr>
      <w:r w:rsidRPr="00E5390A">
        <w:tab/>
        <w:t>(1)</w:t>
      </w:r>
      <w:r w:rsidRPr="00E5390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02BCC" w:rsidRPr="00E5390A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E5390A" w:rsidTr="001F6F0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E5390A" w:rsidRDefault="00002BCC" w:rsidP="001F6F0D">
            <w:pPr>
              <w:pStyle w:val="TableHeading"/>
            </w:pPr>
            <w:r w:rsidRPr="00E5390A">
              <w:t>Commencement information</w:t>
            </w:r>
          </w:p>
        </w:tc>
      </w:tr>
      <w:tr w:rsidR="00002BCC" w:rsidRPr="00E5390A" w:rsidTr="00744393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E5390A" w:rsidRDefault="00002BCC" w:rsidP="001F6F0D">
            <w:pPr>
              <w:pStyle w:val="TableHeading"/>
            </w:pPr>
            <w:r w:rsidRPr="00E5390A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E5390A" w:rsidRDefault="00002BCC" w:rsidP="001F6F0D">
            <w:pPr>
              <w:pStyle w:val="TableHeading"/>
            </w:pPr>
            <w:r w:rsidRPr="00E5390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E5390A" w:rsidRDefault="00002BCC" w:rsidP="001F6F0D">
            <w:pPr>
              <w:pStyle w:val="TableHeading"/>
            </w:pPr>
            <w:r w:rsidRPr="00E5390A">
              <w:t>Column 3</w:t>
            </w:r>
          </w:p>
        </w:tc>
      </w:tr>
      <w:tr w:rsidR="00002BCC" w:rsidRPr="00E5390A" w:rsidTr="00744393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E5390A" w:rsidRDefault="00002BCC" w:rsidP="001F6F0D">
            <w:pPr>
              <w:pStyle w:val="TableHeading"/>
            </w:pPr>
            <w:r w:rsidRPr="00E5390A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E5390A" w:rsidRDefault="00002BCC" w:rsidP="001F6F0D">
            <w:pPr>
              <w:pStyle w:val="TableHeading"/>
            </w:pPr>
            <w:r w:rsidRPr="00E5390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E5390A" w:rsidRDefault="00002BCC" w:rsidP="001F6F0D">
            <w:pPr>
              <w:pStyle w:val="TableHeading"/>
            </w:pPr>
            <w:r w:rsidRPr="00E5390A">
              <w:t>Date/Details</w:t>
            </w:r>
          </w:p>
        </w:tc>
      </w:tr>
      <w:tr w:rsidR="00002BCC" w:rsidRPr="00E5390A" w:rsidTr="00744393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E5390A" w:rsidRDefault="00002BCC" w:rsidP="002D2078">
            <w:pPr>
              <w:pStyle w:val="Tabletext"/>
              <w:rPr>
                <w:i/>
              </w:rPr>
            </w:pPr>
            <w:r w:rsidRPr="00E5390A">
              <w:t xml:space="preserve">1. </w:t>
            </w:r>
            <w:r w:rsidR="00744393" w:rsidRPr="00E5390A">
              <w:t xml:space="preserve"> The whole of this instrument</w:t>
            </w:r>
            <w:r w:rsidR="00744393" w:rsidRPr="00E5390A">
              <w:rPr>
                <w:i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E5390A" w:rsidRDefault="009F0C2D" w:rsidP="00423883">
            <w:pPr>
              <w:pStyle w:val="Tabletext"/>
            </w:pPr>
            <w:r w:rsidRPr="00E5390A">
              <w:t>1</w:t>
            </w:r>
            <w:r w:rsidR="00744393" w:rsidRPr="00E5390A">
              <w:t xml:space="preserve"> </w:t>
            </w:r>
            <w:r w:rsidR="00423883" w:rsidRPr="00E5390A">
              <w:t>June</w:t>
            </w:r>
            <w:r w:rsidR="00744393" w:rsidRPr="00E5390A">
              <w:t xml:space="preserve"> 202</w:t>
            </w:r>
            <w:r w:rsidR="00626155" w:rsidRPr="00E5390A">
              <w:t>1</w:t>
            </w:r>
            <w:r w:rsidR="00002BCC" w:rsidRPr="00E5390A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2BCC" w:rsidRPr="00E5390A" w:rsidRDefault="00002BCC" w:rsidP="001F6F0D">
            <w:pPr>
              <w:pStyle w:val="Tabletext"/>
              <w:rPr>
                <w:i/>
              </w:rPr>
            </w:pPr>
          </w:p>
        </w:tc>
      </w:tr>
    </w:tbl>
    <w:p w:rsidR="00002BCC" w:rsidRPr="00E5390A" w:rsidRDefault="00002BCC" w:rsidP="00002BCC">
      <w:pPr>
        <w:pStyle w:val="notetext"/>
      </w:pPr>
      <w:r w:rsidRPr="00E5390A">
        <w:rPr>
          <w:snapToGrid w:val="0"/>
          <w:lang w:eastAsia="en-US"/>
        </w:rPr>
        <w:t>Note:</w:t>
      </w:r>
      <w:r w:rsidRPr="00E5390A">
        <w:rPr>
          <w:snapToGrid w:val="0"/>
          <w:lang w:eastAsia="en-US"/>
        </w:rPr>
        <w:tab/>
        <w:t>This table relates only to the provisions of this instrument</w:t>
      </w:r>
      <w:r w:rsidRPr="00E5390A">
        <w:t xml:space="preserve"> </w:t>
      </w:r>
      <w:r w:rsidRPr="00E5390A">
        <w:rPr>
          <w:snapToGrid w:val="0"/>
          <w:lang w:eastAsia="en-US"/>
        </w:rPr>
        <w:t>as originally made. It will not be amended to deal with any later amendments of this instrument.</w:t>
      </w:r>
    </w:p>
    <w:p w:rsidR="00002BCC" w:rsidRPr="00E5390A" w:rsidRDefault="00002BCC" w:rsidP="00002BCC">
      <w:pPr>
        <w:pStyle w:val="subsection"/>
      </w:pPr>
      <w:r w:rsidRPr="00E5390A">
        <w:tab/>
        <w:t>(2)</w:t>
      </w:r>
      <w:r w:rsidRPr="00E5390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E5390A" w:rsidRDefault="005E317F" w:rsidP="005E317F">
      <w:pPr>
        <w:pStyle w:val="ActHead5"/>
      </w:pPr>
      <w:bookmarkStart w:id="5" w:name="_Toc73027123"/>
      <w:r w:rsidRPr="00E5390A">
        <w:rPr>
          <w:rStyle w:val="CharSectno"/>
        </w:rPr>
        <w:t>3</w:t>
      </w:r>
      <w:r w:rsidRPr="00E5390A">
        <w:t xml:space="preserve">  Authority</w:t>
      </w:r>
      <w:bookmarkEnd w:id="5"/>
    </w:p>
    <w:p w:rsidR="005E317F" w:rsidRPr="00E5390A" w:rsidRDefault="005E317F" w:rsidP="005E317F">
      <w:pPr>
        <w:pStyle w:val="subsection"/>
      </w:pPr>
      <w:r w:rsidRPr="00E5390A">
        <w:tab/>
      </w:r>
      <w:r w:rsidRPr="00E5390A">
        <w:tab/>
        <w:t xml:space="preserve">This instrument is made under </w:t>
      </w:r>
      <w:r w:rsidR="00744393" w:rsidRPr="00E5390A">
        <w:t xml:space="preserve">section 85B of the </w:t>
      </w:r>
      <w:r w:rsidR="00744393" w:rsidRPr="00E5390A">
        <w:rPr>
          <w:i/>
        </w:rPr>
        <w:t>National Health Act 1953</w:t>
      </w:r>
      <w:r w:rsidR="002A3922" w:rsidRPr="00E5390A">
        <w:rPr>
          <w:i/>
        </w:rPr>
        <w:t>.</w:t>
      </w:r>
    </w:p>
    <w:p w:rsidR="005E317F" w:rsidRPr="00E5390A" w:rsidRDefault="005E317F" w:rsidP="005E317F">
      <w:pPr>
        <w:pStyle w:val="ActHead5"/>
      </w:pPr>
      <w:bookmarkStart w:id="6" w:name="_Toc73027124"/>
      <w:r w:rsidRPr="00E5390A">
        <w:t>4  Schedules</w:t>
      </w:r>
      <w:bookmarkEnd w:id="6"/>
    </w:p>
    <w:p w:rsidR="005E317F" w:rsidRPr="00E5390A" w:rsidRDefault="005E317F" w:rsidP="005E317F">
      <w:pPr>
        <w:pStyle w:val="subsection"/>
      </w:pPr>
      <w:r w:rsidRPr="00E5390A">
        <w:tab/>
      </w:r>
      <w:r w:rsidRPr="00E5390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20159E" w:rsidRPr="00E5390A" w:rsidRDefault="0020159E" w:rsidP="005E317F">
      <w:pPr>
        <w:pStyle w:val="ActHead6"/>
        <w:pageBreakBefore/>
        <w:rPr>
          <w:rStyle w:val="CharAmSchNo"/>
        </w:rPr>
        <w:sectPr w:rsidR="0020159E" w:rsidRPr="00E5390A" w:rsidSect="00B20990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  <w:bookmarkStart w:id="7" w:name="_Toc478567691"/>
    </w:p>
    <w:p w:rsidR="005E317F" w:rsidRPr="00E5390A" w:rsidRDefault="005E317F" w:rsidP="005E317F">
      <w:pPr>
        <w:pStyle w:val="ActHead6"/>
        <w:pageBreakBefore/>
      </w:pPr>
      <w:bookmarkStart w:id="8" w:name="_Toc73027125"/>
      <w:r w:rsidRPr="00E5390A">
        <w:rPr>
          <w:rStyle w:val="CharAmSchNo"/>
        </w:rPr>
        <w:lastRenderedPageBreak/>
        <w:t>Schedule 1</w:t>
      </w:r>
      <w:r w:rsidRPr="00E5390A">
        <w:t>—</w:t>
      </w:r>
      <w:r w:rsidRPr="00E5390A">
        <w:rPr>
          <w:rStyle w:val="CharAmSchText"/>
        </w:rPr>
        <w:t>Amendments</w:t>
      </w:r>
      <w:bookmarkEnd w:id="7"/>
      <w:bookmarkEnd w:id="8"/>
    </w:p>
    <w:p w:rsidR="005E317F" w:rsidRPr="00E5390A" w:rsidRDefault="000B7ABB" w:rsidP="005E317F">
      <w:pPr>
        <w:pStyle w:val="ActHead9"/>
      </w:pPr>
      <w:bookmarkStart w:id="9" w:name="_Toc478567692"/>
      <w:bookmarkStart w:id="10" w:name="_Toc73027126"/>
      <w:r w:rsidRPr="00E5390A">
        <w:t>National Health (Price and Special Patient Contribution) Determination 20</w:t>
      </w:r>
      <w:r w:rsidR="00423883" w:rsidRPr="00E5390A">
        <w:t>21</w:t>
      </w:r>
      <w:r w:rsidRPr="00E5390A">
        <w:t xml:space="preserve"> (PB </w:t>
      </w:r>
      <w:r w:rsidR="00423883" w:rsidRPr="00E5390A">
        <w:t>35</w:t>
      </w:r>
      <w:r w:rsidRPr="00E5390A">
        <w:t xml:space="preserve"> of 20</w:t>
      </w:r>
      <w:r w:rsidR="00423883" w:rsidRPr="00E5390A">
        <w:t>21</w:t>
      </w:r>
      <w:r w:rsidRPr="00E5390A">
        <w:t>)</w:t>
      </w:r>
      <w:bookmarkEnd w:id="9"/>
      <w:bookmarkEnd w:id="10"/>
    </w:p>
    <w:p w:rsidR="00423883" w:rsidRPr="00E5390A" w:rsidRDefault="00423883" w:rsidP="00423883">
      <w:pPr>
        <w:pStyle w:val="ItemHead"/>
      </w:pPr>
      <w:r w:rsidRPr="00E5390A">
        <w:t>1  Schedule 1, entry for Allopurinol in the form Tablet 100 mg</w:t>
      </w:r>
    </w:p>
    <w:p w:rsidR="00423883" w:rsidRPr="00E5390A" w:rsidRDefault="00423883" w:rsidP="00423883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="00BD2BE0"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7.75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="00BD2BE0"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8.21</w:t>
      </w:r>
    </w:p>
    <w:p w:rsidR="00BD2BE0" w:rsidRPr="00E5390A" w:rsidRDefault="00BD2BE0" w:rsidP="00BD2BE0">
      <w:pPr>
        <w:pStyle w:val="ItemHead"/>
      </w:pPr>
      <w:r w:rsidRPr="00E5390A">
        <w:t>2  Schedule 1, entry for Allopurinol in the form Tablet 300 mg</w:t>
      </w:r>
    </w:p>
    <w:p w:rsidR="00BD2BE0" w:rsidRPr="00E5390A" w:rsidRDefault="00BD2BE0" w:rsidP="00BD2BE0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6.51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6.98</w:t>
      </w:r>
    </w:p>
    <w:p w:rsidR="00BD2BE0" w:rsidRPr="00E5390A" w:rsidRDefault="00BD2BE0" w:rsidP="00BD2BE0">
      <w:pPr>
        <w:pStyle w:val="ItemHead"/>
      </w:pPr>
      <w:r w:rsidRPr="00E5390A">
        <w:t xml:space="preserve">3  Schedule 1, entry for Candesartan </w:t>
      </w:r>
    </w:p>
    <w:p w:rsidR="00BD2BE0" w:rsidRPr="00E5390A" w:rsidRDefault="00BD2BE0" w:rsidP="00BD2BE0">
      <w:pPr>
        <w:pStyle w:val="Item"/>
      </w:pPr>
      <w:r w:rsidRPr="00E5390A">
        <w:t xml:space="preserve">Omit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BD2BE0" w:rsidRPr="00E5390A" w:rsidTr="001F6F0D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Candesartan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Tablet containing candesartan cilexetil 4 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Atacand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12.96</w:t>
            </w:r>
          </w:p>
        </w:tc>
      </w:tr>
      <w:tr w:rsidR="00BD2BE0" w:rsidRPr="00E5390A" w:rsidTr="001F6F0D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Tablet containing candesartan cilexetil 8 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Atacand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13.82</w:t>
            </w:r>
          </w:p>
        </w:tc>
      </w:tr>
      <w:tr w:rsidR="00BD2BE0" w:rsidRPr="00E5390A" w:rsidTr="001F6F0D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Tablet containing candesartan cilexetil 32 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Atacand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4.64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17.17</w:t>
            </w:r>
          </w:p>
        </w:tc>
      </w:tr>
    </w:tbl>
    <w:p w:rsidR="00BD2BE0" w:rsidRPr="00E5390A" w:rsidRDefault="00BD2BE0" w:rsidP="00BD2BE0">
      <w:pPr>
        <w:pStyle w:val="Item"/>
      </w:pPr>
      <w:r w:rsidRPr="00E5390A">
        <w:t xml:space="preserve">Substitute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BD2BE0" w:rsidRPr="00E5390A" w:rsidTr="001F6F0D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Candesartan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Tablet containing candesartan cilexetil 4 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Atacand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12.96</w:t>
            </w:r>
          </w:p>
        </w:tc>
      </w:tr>
      <w:tr w:rsidR="00BD2BE0" w:rsidRPr="00E5390A" w:rsidTr="001F6F0D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Tablet containing candesartan cilexetil 8 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Atacand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E0" w:rsidRPr="00E5390A" w:rsidRDefault="00BD2BE0" w:rsidP="001F6F0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13.82</w:t>
            </w:r>
          </w:p>
        </w:tc>
      </w:tr>
      <w:tr w:rsidR="00A457F9" w:rsidRPr="00E5390A" w:rsidTr="001F6F0D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457F9" w:rsidRPr="00E5390A" w:rsidRDefault="00A457F9" w:rsidP="00A45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457F9" w:rsidRPr="00E5390A" w:rsidRDefault="00A457F9" w:rsidP="00A45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Tablet containing candesartan cilexetil 16 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457F9" w:rsidRPr="00E5390A" w:rsidRDefault="00A457F9" w:rsidP="00A45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457F9" w:rsidRPr="00E5390A" w:rsidRDefault="00A457F9" w:rsidP="00A45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Atacand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457F9" w:rsidRPr="00E5390A" w:rsidRDefault="00A457F9" w:rsidP="00A457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457F9" w:rsidRPr="00E5390A" w:rsidRDefault="00A457F9" w:rsidP="00A457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3.84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457F9" w:rsidRPr="00E5390A" w:rsidRDefault="00A457F9" w:rsidP="00A457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16.37</w:t>
            </w:r>
          </w:p>
        </w:tc>
      </w:tr>
      <w:tr w:rsidR="00A457F9" w:rsidRPr="00E5390A" w:rsidTr="001F6F0D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457F9" w:rsidRPr="00E5390A" w:rsidRDefault="00A457F9" w:rsidP="00A45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457F9" w:rsidRPr="00E5390A" w:rsidRDefault="00A457F9" w:rsidP="00A45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Tablet containing candesartan cilexetil 32 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457F9" w:rsidRPr="00E5390A" w:rsidRDefault="00A457F9" w:rsidP="00A45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457F9" w:rsidRPr="00E5390A" w:rsidRDefault="00A457F9" w:rsidP="00A457F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Atacand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457F9" w:rsidRPr="00E5390A" w:rsidRDefault="00A457F9" w:rsidP="00A457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457F9" w:rsidRPr="00E5390A" w:rsidRDefault="00A457F9" w:rsidP="00A457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4.64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457F9" w:rsidRPr="00E5390A" w:rsidRDefault="00A457F9" w:rsidP="00A457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17.17</w:t>
            </w:r>
          </w:p>
        </w:tc>
      </w:tr>
    </w:tbl>
    <w:p w:rsidR="00BD2BE0" w:rsidRPr="00E5390A" w:rsidRDefault="00BD2BE0" w:rsidP="00BD2BE0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</w:p>
    <w:p w:rsidR="00BD2BE0" w:rsidRPr="00E5390A" w:rsidRDefault="00A457F9" w:rsidP="00BD2BE0">
      <w:pPr>
        <w:pStyle w:val="ItemHead"/>
      </w:pPr>
      <w:r w:rsidRPr="00E5390A">
        <w:lastRenderedPageBreak/>
        <w:t>4</w:t>
      </w:r>
      <w:r w:rsidR="00BD2BE0" w:rsidRPr="00E5390A">
        <w:t xml:space="preserve">  Schedule 1, entry for </w:t>
      </w:r>
      <w:r w:rsidRPr="00E5390A">
        <w:t>Diphenoxylate with Atropine</w:t>
      </w:r>
      <w:r w:rsidR="00BD2BE0" w:rsidRPr="00E5390A">
        <w:t xml:space="preserve"> in the form</w:t>
      </w:r>
      <w:r w:rsidRPr="00E5390A">
        <w:t xml:space="preserve"> Tablet containing diphenoxylate hydrochloride 2.5 mg with atropine sulfate monohydrate 25 micrograms</w:t>
      </w:r>
    </w:p>
    <w:p w:rsidR="00BD2BE0" w:rsidRPr="00E5390A" w:rsidRDefault="00BD2BE0" w:rsidP="00BD2BE0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="00A457F9"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3.06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="00A457F9"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4.96</w:t>
      </w:r>
    </w:p>
    <w:p w:rsidR="009D102B" w:rsidRPr="00E5390A" w:rsidRDefault="009D102B" w:rsidP="009D102B">
      <w:pPr>
        <w:pStyle w:val="ItemHead"/>
      </w:pPr>
      <w:r w:rsidRPr="00E5390A">
        <w:t>5  Schedule 1, entry for Ezetimibe in the form Tablet 10 mg</w:t>
      </w:r>
    </w:p>
    <w:p w:rsidR="009D102B" w:rsidRPr="00E5390A" w:rsidRDefault="009D102B" w:rsidP="009D102B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13.21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13.62</w:t>
      </w:r>
    </w:p>
    <w:p w:rsidR="009D102B" w:rsidRPr="00E5390A" w:rsidRDefault="009D102B" w:rsidP="009D102B">
      <w:pPr>
        <w:pStyle w:val="ItemHead"/>
      </w:pPr>
      <w:r w:rsidRPr="00E5390A">
        <w:t xml:space="preserve">6  Schedule 1, entry for Ezetimibe and rosuvastatin in the form Pack containing 30 tablets ezetimibe 10 </w:t>
      </w:r>
      <w:r w:rsidR="00517BF0" w:rsidRPr="00E5390A">
        <w:t>mg and 30 tablets rosuvastatin 5</w:t>
      </w:r>
      <w:r w:rsidRPr="00E5390A">
        <w:t xml:space="preserve"> mg (as calcium)</w:t>
      </w:r>
    </w:p>
    <w:p w:rsidR="009D102B" w:rsidRPr="00E5390A" w:rsidRDefault="009D102B" w:rsidP="009D102B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="00517BF0"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14.10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</w:t>
      </w:r>
      <w:r w:rsidR="00517BF0"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14.58</w:t>
      </w:r>
    </w:p>
    <w:p w:rsidR="00517BF0" w:rsidRPr="00E5390A" w:rsidRDefault="00517BF0" w:rsidP="00517BF0">
      <w:pPr>
        <w:pStyle w:val="ItemHead"/>
      </w:pPr>
      <w:r w:rsidRPr="00E5390A">
        <w:t>7  Schedule 1, entry for Ezetimibe and rosuvastatin in the form Pack containing 30 tablets ezetimibe 10 mg and 30 tablets rosuvastatin 10 mg (as calcium)</w:t>
      </w:r>
    </w:p>
    <w:p w:rsidR="00517BF0" w:rsidRPr="00E5390A" w:rsidRDefault="00517BF0" w:rsidP="00517BF0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15.70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16.03</w:t>
      </w:r>
    </w:p>
    <w:p w:rsidR="00517BF0" w:rsidRPr="00E5390A" w:rsidRDefault="00517BF0" w:rsidP="00517BF0">
      <w:pPr>
        <w:pStyle w:val="ItemHead"/>
      </w:pPr>
      <w:r w:rsidRPr="00E5390A">
        <w:t>8  Schedule 1, entry for Ezetimibe and rosuvastatin in the form Pack containing 30 tablets ezetimibe 10 mg and 30 tablets rosuvastatin 20 mg (as calcium)</w:t>
      </w:r>
    </w:p>
    <w:p w:rsidR="00517BF0" w:rsidRPr="00E5390A" w:rsidRDefault="00517BF0" w:rsidP="00517BF0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15.13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15.67</w:t>
      </w:r>
    </w:p>
    <w:p w:rsidR="00517BF0" w:rsidRPr="00E5390A" w:rsidRDefault="00517BF0" w:rsidP="00517BF0">
      <w:pPr>
        <w:pStyle w:val="ItemHead"/>
      </w:pPr>
      <w:r w:rsidRPr="00E5390A">
        <w:t>9  Schedule 1, entry for Ezetimibe and rosuvastatin in the form Pack containing 30 tablets ezetimibe 10 mg and 30 tablets rosuvastatin 40 mg (as calcium)</w:t>
      </w:r>
    </w:p>
    <w:p w:rsidR="00517BF0" w:rsidRPr="00E5390A" w:rsidRDefault="00517BF0" w:rsidP="00517BF0">
      <w:pPr>
        <w:spacing w:before="60" w:after="60" w:line="276" w:lineRule="auto"/>
        <w:ind w:firstLine="567"/>
        <w:rPr>
          <w:rFonts w:ascii="Arial" w:eastAsia="Times New Roman" w:hAnsi="Arial" w:cs="Arial"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hAnsi="Arial" w:cs="Arial"/>
          <w:b/>
          <w:color w:val="000000"/>
          <w:sz w:val="18"/>
          <w:szCs w:val="18"/>
        </w:rPr>
        <w:t>16.00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16.57</w:t>
      </w:r>
    </w:p>
    <w:p w:rsidR="00E6331B" w:rsidRPr="00E5390A" w:rsidRDefault="00E6331B" w:rsidP="00E6331B">
      <w:pPr>
        <w:pStyle w:val="ItemHead"/>
      </w:pPr>
      <w:r w:rsidRPr="00E5390A">
        <w:t>10  Schedule 1, entry for Felodipine in the form Tablet 2.5 mg (extended release)</w:t>
      </w:r>
    </w:p>
    <w:p w:rsidR="00E6331B" w:rsidRPr="00E5390A" w:rsidRDefault="00E6331B" w:rsidP="00E6331B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hAnsi="Arial" w:cs="Arial"/>
          <w:b/>
          <w:sz w:val="18"/>
          <w:szCs w:val="18"/>
        </w:rPr>
        <w:t>4.55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5.30</w:t>
      </w:r>
    </w:p>
    <w:p w:rsidR="00E6331B" w:rsidRPr="00E5390A" w:rsidRDefault="00E6331B" w:rsidP="00E6331B">
      <w:pPr>
        <w:pStyle w:val="ItemHead"/>
      </w:pPr>
      <w:r w:rsidRPr="00E5390A">
        <w:t>11  Schedule 1, entry for Felodipine in the form Tablet 5 mg (extended release)</w:t>
      </w:r>
    </w:p>
    <w:p w:rsidR="00E6331B" w:rsidRPr="00E5390A" w:rsidRDefault="00E6331B" w:rsidP="00E6331B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hAnsi="Arial" w:cs="Arial"/>
          <w:b/>
          <w:sz w:val="18"/>
          <w:szCs w:val="18"/>
        </w:rPr>
        <w:t>5.69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</w:t>
      </w:r>
      <w:r w:rsidR="00F3037E"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6.36</w:t>
      </w:r>
    </w:p>
    <w:p w:rsidR="00F3037E" w:rsidRPr="00E5390A" w:rsidRDefault="00F3037E" w:rsidP="00F3037E">
      <w:pPr>
        <w:pStyle w:val="ItemHead"/>
      </w:pPr>
      <w:r w:rsidRPr="00E5390A">
        <w:t>12  Schedule 1, entry for Felodipine in the form Tablet 10 mg (extended release)</w:t>
      </w:r>
    </w:p>
    <w:p w:rsidR="00F3037E" w:rsidRPr="00E5390A" w:rsidRDefault="00F3037E" w:rsidP="00F3037E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</w:t>
      </w:r>
      <w:r w:rsidRPr="00E5390A">
        <w:rPr>
          <w:rFonts w:ascii="Arial" w:hAnsi="Arial" w:cs="Arial"/>
          <w:b/>
          <w:sz w:val="18"/>
          <w:szCs w:val="18"/>
        </w:rPr>
        <w:t>8.73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9.28</w:t>
      </w:r>
    </w:p>
    <w:p w:rsidR="00F3037E" w:rsidRPr="00E5390A" w:rsidRDefault="00F3037E" w:rsidP="00F3037E">
      <w:pPr>
        <w:pStyle w:val="ItemHead"/>
      </w:pPr>
      <w:r w:rsidRPr="00E5390A">
        <w:lastRenderedPageBreak/>
        <w:t>13  Schedule 1, after entry for Felodipine in the form Tablet 10 mg (extended release)</w:t>
      </w:r>
    </w:p>
    <w:p w:rsidR="00F3037E" w:rsidRPr="00E5390A" w:rsidRDefault="00F3037E" w:rsidP="00F851FD">
      <w:pPr>
        <w:pStyle w:val="ItemHead"/>
        <w:ind w:firstLine="0"/>
        <w:rPr>
          <w:rFonts w:ascii="Times New Roman" w:hAnsi="Times New Roman"/>
          <w:b w:val="0"/>
          <w:sz w:val="22"/>
          <w:szCs w:val="22"/>
        </w:rPr>
      </w:pPr>
      <w:r w:rsidRPr="00E5390A">
        <w:rPr>
          <w:rFonts w:ascii="Times New Roman" w:hAnsi="Times New Roman"/>
          <w:b w:val="0"/>
          <w:sz w:val="22"/>
          <w:szCs w:val="22"/>
        </w:rPr>
        <w:t>Insert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F851FD" w:rsidRPr="00E5390A" w:rsidTr="001F6F0D">
        <w:trPr>
          <w:trHeight w:val="67"/>
        </w:trPr>
        <w:tc>
          <w:tcPr>
            <w:tcW w:w="270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51FD" w:rsidRPr="00E5390A" w:rsidRDefault="00F851FD" w:rsidP="00F851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Flecainide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51FD" w:rsidRPr="00E5390A" w:rsidRDefault="00F851FD" w:rsidP="00F851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Tablet containing flecainide acetate 50 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51FD" w:rsidRPr="00E5390A" w:rsidRDefault="00F851FD" w:rsidP="00F851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51FD" w:rsidRPr="00E5390A" w:rsidRDefault="00F851FD" w:rsidP="00F851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Tambocor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51FD" w:rsidRPr="00E5390A" w:rsidRDefault="00F851FD" w:rsidP="00F851F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51FD" w:rsidRPr="00E5390A" w:rsidRDefault="00F851FD" w:rsidP="00F851F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21.28</w:t>
            </w:r>
          </w:p>
        </w:tc>
        <w:tc>
          <w:tcPr>
            <w:tcW w:w="1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51FD" w:rsidRPr="00E5390A" w:rsidRDefault="00F851FD" w:rsidP="00F851F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22.95</w:t>
            </w:r>
          </w:p>
        </w:tc>
      </w:tr>
      <w:tr w:rsidR="00F851FD" w:rsidRPr="00E5390A" w:rsidTr="001F6F0D">
        <w:trPr>
          <w:trHeight w:val="67"/>
        </w:trPr>
        <w:tc>
          <w:tcPr>
            <w:tcW w:w="270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51FD" w:rsidRPr="00E5390A" w:rsidRDefault="00F851FD" w:rsidP="00F851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51FD" w:rsidRPr="00E5390A" w:rsidRDefault="00F851FD" w:rsidP="00F851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Tablet containing flecainide acetate 100 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51FD" w:rsidRPr="00E5390A" w:rsidRDefault="00F851FD" w:rsidP="00F851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51FD" w:rsidRPr="00E5390A" w:rsidRDefault="00F851FD" w:rsidP="00F851F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Tambocor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51FD" w:rsidRPr="00E5390A" w:rsidRDefault="00F851FD" w:rsidP="00F851F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51FD" w:rsidRPr="00E5390A" w:rsidRDefault="00F851FD" w:rsidP="00F851F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26.38</w:t>
            </w:r>
          </w:p>
        </w:tc>
        <w:tc>
          <w:tcPr>
            <w:tcW w:w="166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51FD" w:rsidRPr="00E5390A" w:rsidRDefault="00F851FD" w:rsidP="00F851F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28.05</w:t>
            </w:r>
          </w:p>
        </w:tc>
      </w:tr>
    </w:tbl>
    <w:p w:rsidR="00A21D57" w:rsidRPr="00E5390A" w:rsidRDefault="00A21D57" w:rsidP="00A21D57">
      <w:pPr>
        <w:pStyle w:val="ItemHead"/>
      </w:pPr>
      <w:r w:rsidRPr="00E5390A">
        <w:t>14  Schedule 1, entry for Imiquimod in the form Cream 50 mg per g, 2 g, 2</w:t>
      </w:r>
    </w:p>
    <w:p w:rsidR="00A21D57" w:rsidRPr="00E5390A" w:rsidRDefault="00A21D57" w:rsidP="00A21D57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</w:t>
      </w:r>
      <w:r w:rsidRPr="00E5390A">
        <w:rPr>
          <w:rFonts w:ascii="Arial" w:hAnsi="Arial" w:cs="Arial"/>
          <w:b/>
          <w:sz w:val="18"/>
          <w:szCs w:val="18"/>
        </w:rPr>
        <w:t>74.48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78.01</w:t>
      </w:r>
    </w:p>
    <w:p w:rsidR="00A21D57" w:rsidRPr="00E5390A" w:rsidRDefault="00A21D57" w:rsidP="00A21D57">
      <w:pPr>
        <w:pStyle w:val="ItemHead"/>
      </w:pPr>
      <w:r w:rsidRPr="00E5390A">
        <w:t>15  Schedule 1, entry for Imiquimod in the form Cream 50 mg per g, 250 mg single use sachets, 12</w:t>
      </w:r>
    </w:p>
    <w:p w:rsidR="00A21D57" w:rsidRPr="00E5390A" w:rsidRDefault="00A21D57" w:rsidP="00A21D57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</w:t>
      </w:r>
      <w:r w:rsidRPr="00E5390A">
        <w:rPr>
          <w:rFonts w:ascii="Arial" w:hAnsi="Arial" w:cs="Arial"/>
          <w:b/>
          <w:sz w:val="18"/>
          <w:szCs w:val="18"/>
        </w:rPr>
        <w:t>72.37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73.32</w:t>
      </w:r>
    </w:p>
    <w:p w:rsidR="001203B7" w:rsidRPr="00E5390A" w:rsidRDefault="001203B7" w:rsidP="001203B7">
      <w:pPr>
        <w:pStyle w:val="ItemHead"/>
      </w:pPr>
      <w:r w:rsidRPr="00E5390A">
        <w:t>16  Schedule 1, entry for Lamivudine in the form Tablet 100 mg</w:t>
      </w:r>
    </w:p>
    <w:p w:rsidR="001203B7" w:rsidRPr="00E5390A" w:rsidRDefault="001203B7" w:rsidP="001203B7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</w:t>
      </w:r>
      <w:r w:rsidRPr="00E5390A">
        <w:rPr>
          <w:rFonts w:ascii="Arial" w:hAnsi="Arial" w:cs="Arial"/>
          <w:b/>
          <w:sz w:val="18"/>
          <w:szCs w:val="18"/>
        </w:rPr>
        <w:t>35.30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36.44</w:t>
      </w:r>
    </w:p>
    <w:p w:rsidR="00F10087" w:rsidRPr="00E5390A" w:rsidRDefault="00F10087" w:rsidP="00F10087">
      <w:pPr>
        <w:pStyle w:val="ItemHead"/>
      </w:pPr>
      <w:r w:rsidRPr="00E5390A">
        <w:t>17  Schedule 1, entry for Metoclopramide in the form Tablet containing 10 mg metoclopramide hydrochloride (as monohydrate)</w:t>
      </w:r>
    </w:p>
    <w:p w:rsidR="00F10087" w:rsidRPr="00E5390A" w:rsidRDefault="00F10087" w:rsidP="00F10087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</w:t>
      </w:r>
      <w:r w:rsidRPr="00E5390A">
        <w:rPr>
          <w:rFonts w:ascii="Arial" w:hAnsi="Arial" w:cs="Arial"/>
          <w:b/>
          <w:sz w:val="18"/>
          <w:szCs w:val="18"/>
        </w:rPr>
        <w:t>2.83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4.35</w:t>
      </w:r>
    </w:p>
    <w:p w:rsidR="001203B7" w:rsidRPr="00E5390A" w:rsidRDefault="001203B7" w:rsidP="001203B7">
      <w:pPr>
        <w:pStyle w:val="ItemHead"/>
      </w:pPr>
      <w:r w:rsidRPr="00E5390A">
        <w:t>1</w:t>
      </w:r>
      <w:r w:rsidR="00F10087" w:rsidRPr="00E5390A">
        <w:t>8</w:t>
      </w:r>
      <w:r w:rsidRPr="00E5390A">
        <w:t xml:space="preserve">  Schedule 1, entry for Olmesartan with amlodipine in the form Tablet containing olmesartan medoxomil 40 mg with amlodipine 5 mg (as besilate)</w:t>
      </w:r>
    </w:p>
    <w:p w:rsidR="001203B7" w:rsidRPr="00E5390A" w:rsidRDefault="001203B7" w:rsidP="001203B7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</w:t>
      </w:r>
      <w:r w:rsidRPr="00E5390A">
        <w:rPr>
          <w:rFonts w:ascii="Arial" w:hAnsi="Arial" w:cs="Arial"/>
          <w:b/>
          <w:sz w:val="18"/>
          <w:szCs w:val="18"/>
        </w:rPr>
        <w:t>10.37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10.70</w:t>
      </w:r>
    </w:p>
    <w:p w:rsidR="001203B7" w:rsidRPr="00E5390A" w:rsidRDefault="001203B7" w:rsidP="001203B7">
      <w:pPr>
        <w:pStyle w:val="ItemHead"/>
      </w:pPr>
      <w:r w:rsidRPr="00E5390A">
        <w:t>1</w:t>
      </w:r>
      <w:r w:rsidR="00F10087" w:rsidRPr="00E5390A">
        <w:t>9</w:t>
      </w:r>
      <w:r w:rsidRPr="00E5390A">
        <w:t xml:space="preserve">  Schedule 1, entry for Olmesartan with amlodipine in the form Tablet containing olmesartan medoxomil 40 mg with amlodipine 10 mg (as besilate)</w:t>
      </w:r>
    </w:p>
    <w:p w:rsidR="001203B7" w:rsidRPr="00E5390A" w:rsidRDefault="001203B7" w:rsidP="001203B7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</w:t>
      </w:r>
      <w:r w:rsidRPr="00E5390A">
        <w:rPr>
          <w:rFonts w:ascii="Arial" w:hAnsi="Arial" w:cs="Arial"/>
          <w:b/>
          <w:sz w:val="18"/>
          <w:szCs w:val="18"/>
        </w:rPr>
        <w:t>10.94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11.27</w:t>
      </w:r>
    </w:p>
    <w:p w:rsidR="001203B7" w:rsidRPr="00E5390A" w:rsidRDefault="00F10087" w:rsidP="001203B7">
      <w:pPr>
        <w:pStyle w:val="ItemHead"/>
      </w:pPr>
      <w:r w:rsidRPr="00E5390A">
        <w:lastRenderedPageBreak/>
        <w:t>20</w:t>
      </w:r>
      <w:r w:rsidR="001203B7" w:rsidRPr="00E5390A">
        <w:t xml:space="preserve">  Schedule 1, entry for Olmesartan with amlodipine and hydrochlorothiazide </w:t>
      </w:r>
      <w:r w:rsidR="001F6F0D" w:rsidRPr="00E5390A">
        <w:t>i</w:t>
      </w:r>
      <w:r w:rsidR="001203B7" w:rsidRPr="00E5390A">
        <w:t>n the form</w:t>
      </w:r>
      <w:r w:rsidR="001F6F0D" w:rsidRPr="00E5390A">
        <w:t xml:space="preserve"> Tablet containing olmesartan medoxomil 20 mg with amlodipine 5 mg (as besilate) and hydrochlorothiazide 12.5 mg</w:t>
      </w:r>
    </w:p>
    <w:p w:rsidR="001203B7" w:rsidRPr="00E5390A" w:rsidRDefault="001203B7" w:rsidP="001203B7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</w:t>
      </w:r>
      <w:r w:rsidR="001F6F0D" w:rsidRPr="00E5390A">
        <w:rPr>
          <w:rFonts w:ascii="Arial" w:hAnsi="Arial" w:cs="Arial"/>
          <w:b/>
          <w:sz w:val="18"/>
          <w:szCs w:val="18"/>
        </w:rPr>
        <w:t>8.11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="001F6F0D"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8.36</w:t>
      </w:r>
    </w:p>
    <w:p w:rsidR="001F6F0D" w:rsidRPr="00E5390A" w:rsidRDefault="001F6F0D" w:rsidP="001F6F0D">
      <w:pPr>
        <w:pStyle w:val="ItemHead"/>
      </w:pPr>
      <w:r w:rsidRPr="00E5390A">
        <w:t>2</w:t>
      </w:r>
      <w:r w:rsidR="00F10087" w:rsidRPr="00E5390A">
        <w:t>1</w:t>
      </w:r>
      <w:r w:rsidRPr="00E5390A">
        <w:t xml:space="preserve">  Schedule 1, entry for Olmesartan with amlodipine and hydrochlorothiazide in the form Tablet containing olmesartan medoxomil 40 mg with amlodipine 5 mg (as besilate) and hydrochlorothiazide 12.5 mg</w:t>
      </w:r>
    </w:p>
    <w:p w:rsidR="001F6F0D" w:rsidRPr="00E5390A" w:rsidRDefault="001F6F0D" w:rsidP="001F6F0D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hAnsi="Arial" w:cs="Arial"/>
          <w:b/>
          <w:sz w:val="18"/>
          <w:szCs w:val="18"/>
        </w:rPr>
        <w:t>11.88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12.16</w:t>
      </w:r>
    </w:p>
    <w:p w:rsidR="001F6F0D" w:rsidRPr="00E5390A" w:rsidRDefault="001F6F0D" w:rsidP="001F6F0D">
      <w:pPr>
        <w:pStyle w:val="ItemHead"/>
      </w:pPr>
      <w:r w:rsidRPr="00E5390A">
        <w:t>2</w:t>
      </w:r>
      <w:r w:rsidR="00F10087" w:rsidRPr="00E5390A">
        <w:t>2</w:t>
      </w:r>
      <w:r w:rsidRPr="00E5390A">
        <w:t xml:space="preserve">  Schedule 1, entry for Olmesartan with amlodipine and hydrochlorothiazide in the form Tablet containing olmesartan medoxomil 40 mg with amlodipine 5 mg (as besilate) and hydrochlorothiazide 25 mg</w:t>
      </w:r>
    </w:p>
    <w:p w:rsidR="001F6F0D" w:rsidRPr="00E5390A" w:rsidRDefault="001F6F0D" w:rsidP="001F6F0D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1</w:t>
      </w:r>
      <w:r w:rsidRPr="00E5390A">
        <w:rPr>
          <w:rFonts w:ascii="Arial" w:hAnsi="Arial" w:cs="Arial"/>
          <w:b/>
          <w:sz w:val="18"/>
          <w:szCs w:val="18"/>
        </w:rPr>
        <w:t>3.37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13.62</w:t>
      </w:r>
    </w:p>
    <w:p w:rsidR="001F6F0D" w:rsidRPr="00E5390A" w:rsidRDefault="001F6F0D" w:rsidP="001F6F0D">
      <w:pPr>
        <w:pStyle w:val="ItemHead"/>
      </w:pPr>
      <w:r w:rsidRPr="00E5390A">
        <w:t>2</w:t>
      </w:r>
      <w:r w:rsidR="00F10087" w:rsidRPr="00E5390A">
        <w:t>3</w:t>
      </w:r>
      <w:r w:rsidRPr="00E5390A">
        <w:t xml:space="preserve">  Schedule 1, entry for Olmesartan with amlodipine and hydrochlorothiazide in the form </w:t>
      </w:r>
      <w:r w:rsidR="00A83E41" w:rsidRPr="00E5390A">
        <w:t>Tablet containing olmesartan medoxomil 40 mg with amlodipine 10 mg (as besilate) and hydrochlorothiazide 12.5 mg</w:t>
      </w:r>
    </w:p>
    <w:p w:rsidR="001F6F0D" w:rsidRPr="00E5390A" w:rsidRDefault="001F6F0D" w:rsidP="001F6F0D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="00A83E41" w:rsidRPr="00E5390A">
        <w:rPr>
          <w:rFonts w:ascii="Arial" w:hAnsi="Arial" w:cs="Arial"/>
          <w:b/>
          <w:sz w:val="18"/>
          <w:szCs w:val="18"/>
        </w:rPr>
        <w:t>12.45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="00A83E41"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12.73</w:t>
      </w:r>
    </w:p>
    <w:p w:rsidR="00A83E41" w:rsidRPr="00E5390A" w:rsidRDefault="00A83E41" w:rsidP="00A83E41">
      <w:pPr>
        <w:pStyle w:val="ItemHead"/>
      </w:pPr>
      <w:r w:rsidRPr="00E5390A">
        <w:t>2</w:t>
      </w:r>
      <w:r w:rsidR="00F10087" w:rsidRPr="00E5390A">
        <w:t>4</w:t>
      </w:r>
      <w:r w:rsidRPr="00E5390A">
        <w:t xml:space="preserve">  Schedule 1, entry for Olmesartan with amlodipine and hydrochlorothiazide in the form Tablet containing olmesartan medoxomil 40 mg with amlodipine 10 mg (as besilate) and hydrochlorothiazide 25 mg</w:t>
      </w:r>
    </w:p>
    <w:p w:rsidR="00A83E41" w:rsidRPr="00E5390A" w:rsidRDefault="00A83E41" w:rsidP="00A83E41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hAnsi="Arial" w:cs="Arial"/>
          <w:b/>
          <w:sz w:val="18"/>
          <w:szCs w:val="18"/>
        </w:rPr>
        <w:t>13.94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="00343C2A"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14.19</w:t>
      </w:r>
    </w:p>
    <w:p w:rsidR="00A83E41" w:rsidRPr="00E5390A" w:rsidRDefault="00A83E41" w:rsidP="00A83E41">
      <w:pPr>
        <w:pStyle w:val="ItemHead"/>
      </w:pPr>
      <w:r w:rsidRPr="00E5390A">
        <w:t>2</w:t>
      </w:r>
      <w:r w:rsidR="00F10087" w:rsidRPr="00E5390A">
        <w:t>5</w:t>
      </w:r>
      <w:r w:rsidRPr="00E5390A">
        <w:t xml:space="preserve">  Schedule 1, entry for Oxazepam </w:t>
      </w:r>
    </w:p>
    <w:p w:rsidR="00A83E41" w:rsidRPr="00E5390A" w:rsidRDefault="00A83E41" w:rsidP="00A83E41">
      <w:pPr>
        <w:pStyle w:val="Item"/>
      </w:pPr>
      <w:r w:rsidRPr="00E5390A">
        <w:t xml:space="preserve">Omit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A83E41" w:rsidRPr="00E5390A" w:rsidTr="00AB517A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E41" w:rsidRPr="00E5390A" w:rsidRDefault="00A83E41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Oxazepam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E41" w:rsidRPr="00E5390A" w:rsidRDefault="00A83E41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Tablet 30 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E41" w:rsidRPr="00E5390A" w:rsidRDefault="00A83E41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E41" w:rsidRPr="00E5390A" w:rsidRDefault="00A83E41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Serepax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E41" w:rsidRPr="00E5390A" w:rsidRDefault="00A83E41" w:rsidP="00AB51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E41" w:rsidRPr="00E5390A" w:rsidRDefault="00A83E41" w:rsidP="00AB51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E41" w:rsidRPr="00E5390A" w:rsidRDefault="00A83E41" w:rsidP="00AB51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</w:tbl>
    <w:p w:rsidR="00A83E41" w:rsidRPr="00E5390A" w:rsidRDefault="00A83E41" w:rsidP="00A83E41">
      <w:pPr>
        <w:pStyle w:val="Item"/>
      </w:pPr>
      <w:r w:rsidRPr="00E5390A">
        <w:t xml:space="preserve">Substitute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A83E41" w:rsidRPr="00E5390A" w:rsidTr="00AB517A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E41" w:rsidRPr="00E5390A" w:rsidRDefault="00A83E41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Oxazepam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E41" w:rsidRPr="00E5390A" w:rsidRDefault="00A83E41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Tablet 30 mg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E41" w:rsidRPr="00E5390A" w:rsidRDefault="00A83E41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E41" w:rsidRPr="00E5390A" w:rsidRDefault="00AB5560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Murelax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E41" w:rsidRPr="00E5390A" w:rsidRDefault="00A83E41" w:rsidP="00AB51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E41" w:rsidRPr="00E5390A" w:rsidRDefault="00A83E41" w:rsidP="00343C2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343C2A" w:rsidRPr="00E5390A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83E41" w:rsidRPr="00E5390A" w:rsidRDefault="00AB5560" w:rsidP="00AB51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1.80</w:t>
            </w:r>
          </w:p>
        </w:tc>
      </w:tr>
      <w:tr w:rsidR="00AB5560" w:rsidRPr="00E5390A" w:rsidTr="00AB517A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B5560" w:rsidRPr="00E5390A" w:rsidRDefault="00AB5560" w:rsidP="00A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B5560" w:rsidRPr="00E5390A" w:rsidRDefault="00AB5560" w:rsidP="00A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B5560" w:rsidRPr="00E5390A" w:rsidRDefault="00AB5560" w:rsidP="00A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B5560" w:rsidRPr="00E5390A" w:rsidRDefault="00AB5560" w:rsidP="00AB55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Serepax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B5560" w:rsidRPr="00E5390A" w:rsidRDefault="00AB5560" w:rsidP="00AB55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B5560" w:rsidRPr="00E5390A" w:rsidRDefault="00AB5560" w:rsidP="00AB55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B5560" w:rsidRPr="00E5390A" w:rsidRDefault="00AB5560" w:rsidP="00AB556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3.17</w:t>
            </w:r>
          </w:p>
        </w:tc>
      </w:tr>
    </w:tbl>
    <w:p w:rsidR="00343C2A" w:rsidRPr="00E5390A" w:rsidRDefault="006A422E" w:rsidP="00C8001C">
      <w:pPr>
        <w:pStyle w:val="ItemHead"/>
      </w:pPr>
      <w:r w:rsidRPr="00E5390A">
        <w:t>26</w:t>
      </w:r>
      <w:r w:rsidR="00293A31" w:rsidRPr="00E5390A">
        <w:t xml:space="preserve">  Schedule 1, entry for Pravastatin</w:t>
      </w:r>
      <w:r w:rsidR="00DE649A" w:rsidRPr="00E5390A">
        <w:t xml:space="preserve"> </w:t>
      </w:r>
      <w:r w:rsidR="00293A31" w:rsidRPr="00E5390A">
        <w:t>in the form Tablet containing pravastatin sodium 10 mg</w:t>
      </w:r>
    </w:p>
    <w:p w:rsidR="00293A31" w:rsidRPr="00E5390A" w:rsidRDefault="00293A31" w:rsidP="00293A31">
      <w:pPr>
        <w:pStyle w:val="Item"/>
      </w:pPr>
      <w:r w:rsidRPr="00E5390A">
        <w:t xml:space="preserve">Omit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293A31" w:rsidRPr="00E5390A" w:rsidTr="003D30A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293A31">
            <w:pPr>
              <w:pStyle w:val="Default"/>
              <w:rPr>
                <w:sz w:val="18"/>
                <w:szCs w:val="18"/>
              </w:rPr>
            </w:pPr>
            <w:r w:rsidRPr="00E5390A">
              <w:rPr>
                <w:sz w:val="18"/>
                <w:szCs w:val="18"/>
              </w:rPr>
              <w:lastRenderedPageBreak/>
              <w:t xml:space="preserve">Pravastatin </w:t>
            </w:r>
          </w:p>
          <w:p w:rsidR="00293A31" w:rsidRPr="00E5390A" w:rsidRDefault="00293A31" w:rsidP="00293A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293A31">
            <w:pPr>
              <w:pStyle w:val="Default"/>
              <w:rPr>
                <w:sz w:val="18"/>
                <w:szCs w:val="18"/>
              </w:rPr>
            </w:pPr>
            <w:r w:rsidRPr="00E5390A">
              <w:rPr>
                <w:sz w:val="18"/>
                <w:szCs w:val="18"/>
              </w:rPr>
              <w:t xml:space="preserve">Tablet containing pravastatin sodium 10 mg </w:t>
            </w:r>
          </w:p>
          <w:p w:rsidR="00293A31" w:rsidRPr="00E5390A" w:rsidRDefault="00293A31" w:rsidP="00293A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293A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293A31">
            <w:pPr>
              <w:pStyle w:val="Default"/>
              <w:rPr>
                <w:sz w:val="18"/>
                <w:szCs w:val="18"/>
              </w:rPr>
            </w:pPr>
            <w:r w:rsidRPr="00E5390A">
              <w:rPr>
                <w:sz w:val="18"/>
                <w:szCs w:val="18"/>
              </w:rPr>
              <w:t xml:space="preserve">Cholstat 10 </w:t>
            </w:r>
          </w:p>
          <w:p w:rsidR="00293A31" w:rsidRPr="00E5390A" w:rsidRDefault="00293A31" w:rsidP="00293A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293A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293A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293A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4.18</w:t>
            </w:r>
          </w:p>
        </w:tc>
      </w:tr>
      <w:tr w:rsidR="00293A31" w:rsidRPr="00E5390A" w:rsidTr="003D30A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293A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293A31">
            <w:pPr>
              <w:pStyle w:val="Default"/>
              <w:rPr>
                <w:sz w:val="18"/>
                <w:szCs w:val="18"/>
              </w:rPr>
            </w:pPr>
            <w:r w:rsidRPr="00E5390A">
              <w:rPr>
                <w:sz w:val="18"/>
                <w:szCs w:val="18"/>
              </w:rPr>
              <w:t xml:space="preserve">Tablet containing pravastatin sodium 10 mg </w:t>
            </w:r>
          </w:p>
          <w:p w:rsidR="00293A31" w:rsidRPr="00E5390A" w:rsidRDefault="00293A31" w:rsidP="00293A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293A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293A31">
            <w:pPr>
              <w:pStyle w:val="Default"/>
              <w:rPr>
                <w:sz w:val="18"/>
                <w:szCs w:val="18"/>
              </w:rPr>
            </w:pPr>
            <w:r w:rsidRPr="00E5390A">
              <w:rPr>
                <w:sz w:val="18"/>
                <w:szCs w:val="18"/>
              </w:rPr>
              <w:t xml:space="preserve">Pravachol </w:t>
            </w:r>
          </w:p>
          <w:p w:rsidR="00293A31" w:rsidRPr="00E5390A" w:rsidRDefault="00293A31" w:rsidP="00293A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293A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293A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293A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4.17</w:t>
            </w:r>
          </w:p>
        </w:tc>
      </w:tr>
    </w:tbl>
    <w:p w:rsidR="00293A31" w:rsidRPr="00E5390A" w:rsidRDefault="00293A31" w:rsidP="00293A31">
      <w:pPr>
        <w:pStyle w:val="Item"/>
      </w:pPr>
      <w:r w:rsidRPr="00E5390A">
        <w:t xml:space="preserve">Substitute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293A31" w:rsidRPr="00E5390A" w:rsidTr="003D30A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3D30A6">
            <w:pPr>
              <w:pStyle w:val="Default"/>
              <w:rPr>
                <w:sz w:val="18"/>
                <w:szCs w:val="18"/>
              </w:rPr>
            </w:pPr>
            <w:r w:rsidRPr="00E5390A">
              <w:rPr>
                <w:sz w:val="18"/>
                <w:szCs w:val="18"/>
              </w:rPr>
              <w:t xml:space="preserve">Pravastatin </w:t>
            </w:r>
          </w:p>
          <w:p w:rsidR="00293A31" w:rsidRPr="00E5390A" w:rsidRDefault="00293A31" w:rsidP="003D30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3D30A6">
            <w:pPr>
              <w:pStyle w:val="Default"/>
              <w:rPr>
                <w:sz w:val="18"/>
                <w:szCs w:val="18"/>
              </w:rPr>
            </w:pPr>
            <w:r w:rsidRPr="00E5390A">
              <w:rPr>
                <w:sz w:val="18"/>
                <w:szCs w:val="18"/>
              </w:rPr>
              <w:t xml:space="preserve">Tablet containing pravastatin sodium 10 mg </w:t>
            </w:r>
          </w:p>
          <w:p w:rsidR="00293A31" w:rsidRPr="00E5390A" w:rsidRDefault="00293A31" w:rsidP="003D30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3D30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3D30A6">
            <w:pPr>
              <w:pStyle w:val="Default"/>
              <w:rPr>
                <w:sz w:val="18"/>
                <w:szCs w:val="18"/>
              </w:rPr>
            </w:pPr>
            <w:r w:rsidRPr="00E5390A">
              <w:rPr>
                <w:sz w:val="18"/>
                <w:szCs w:val="18"/>
              </w:rPr>
              <w:t xml:space="preserve">Cholstat 10 </w:t>
            </w:r>
          </w:p>
          <w:p w:rsidR="00293A31" w:rsidRPr="00E5390A" w:rsidRDefault="00293A31" w:rsidP="003D30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3D30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3D30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3D30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4.18</w:t>
            </w:r>
          </w:p>
        </w:tc>
      </w:tr>
      <w:tr w:rsidR="00293A31" w:rsidRPr="00E5390A" w:rsidTr="003D30A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3D30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3D30A6">
            <w:pPr>
              <w:pStyle w:val="Default"/>
              <w:rPr>
                <w:sz w:val="18"/>
                <w:szCs w:val="18"/>
              </w:rPr>
            </w:pPr>
            <w:r w:rsidRPr="00E5390A">
              <w:rPr>
                <w:sz w:val="18"/>
                <w:szCs w:val="18"/>
              </w:rPr>
              <w:t xml:space="preserve">Tablet containing pravastatin sodium 10 mg </w:t>
            </w:r>
          </w:p>
          <w:p w:rsidR="00293A31" w:rsidRPr="00E5390A" w:rsidRDefault="00293A31" w:rsidP="003D30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3D30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3D30A6">
            <w:pPr>
              <w:pStyle w:val="Default"/>
              <w:rPr>
                <w:sz w:val="18"/>
                <w:szCs w:val="18"/>
              </w:rPr>
            </w:pPr>
            <w:r w:rsidRPr="00E5390A">
              <w:rPr>
                <w:sz w:val="18"/>
                <w:szCs w:val="18"/>
              </w:rPr>
              <w:t xml:space="preserve">Pravachol </w:t>
            </w:r>
          </w:p>
          <w:p w:rsidR="00293A31" w:rsidRPr="00E5390A" w:rsidRDefault="00293A31" w:rsidP="003D30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3D30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3D30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93A31" w:rsidRPr="00E5390A" w:rsidRDefault="00293A31" w:rsidP="00293A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4.52</w:t>
            </w:r>
          </w:p>
        </w:tc>
      </w:tr>
    </w:tbl>
    <w:p w:rsidR="00293A31" w:rsidRPr="00E5390A" w:rsidRDefault="00293A31" w:rsidP="00293A31">
      <w:pPr>
        <w:pStyle w:val="ItemHead"/>
      </w:pPr>
      <w:r w:rsidRPr="00E5390A">
        <w:t>2</w:t>
      </w:r>
      <w:r w:rsidR="006A422E" w:rsidRPr="00E5390A">
        <w:t>7</w:t>
      </w:r>
      <w:r w:rsidRPr="00E5390A">
        <w:t xml:space="preserve">  Schedule 1, entry for Pravastatin</w:t>
      </w:r>
      <w:r w:rsidR="00943E81" w:rsidRPr="00E5390A">
        <w:t xml:space="preserve"> </w:t>
      </w:r>
      <w:r w:rsidRPr="00E5390A">
        <w:t>in the form Tablet containing pravastatin sodium 20 mg</w:t>
      </w:r>
    </w:p>
    <w:p w:rsidR="00293A31" w:rsidRPr="00E5390A" w:rsidRDefault="00293A31" w:rsidP="00293A31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hAnsi="Arial" w:cs="Arial"/>
          <w:b/>
          <w:sz w:val="18"/>
          <w:szCs w:val="18"/>
        </w:rPr>
        <w:t>5.02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5.37</w:t>
      </w:r>
    </w:p>
    <w:p w:rsidR="00293A31" w:rsidRPr="00E5390A" w:rsidRDefault="00293A31" w:rsidP="000D68B3">
      <w:pPr>
        <w:pStyle w:val="Item"/>
      </w:pPr>
    </w:p>
    <w:p w:rsidR="00293A31" w:rsidRPr="00E5390A" w:rsidRDefault="00293A31" w:rsidP="00293A31">
      <w:pPr>
        <w:pStyle w:val="ItemHead"/>
      </w:pPr>
      <w:r w:rsidRPr="00E5390A">
        <w:t>2</w:t>
      </w:r>
      <w:r w:rsidR="006A422E" w:rsidRPr="00E5390A">
        <w:t>8</w:t>
      </w:r>
      <w:r w:rsidRPr="00E5390A">
        <w:t xml:space="preserve">  Schedule 1, entry for Pravastatin</w:t>
      </w:r>
      <w:r w:rsidR="00943E81" w:rsidRPr="00E5390A">
        <w:t xml:space="preserve"> </w:t>
      </w:r>
      <w:r w:rsidRPr="00E5390A">
        <w:t>in the form Tablet containing pravastatin sodium 40 mg</w:t>
      </w:r>
    </w:p>
    <w:p w:rsidR="00293A31" w:rsidRPr="00E5390A" w:rsidRDefault="00293A31" w:rsidP="00293A31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hAnsi="Arial" w:cs="Arial"/>
          <w:b/>
          <w:sz w:val="18"/>
          <w:szCs w:val="18"/>
        </w:rPr>
        <w:t>6.33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6.63</w:t>
      </w:r>
    </w:p>
    <w:p w:rsidR="00293A31" w:rsidRPr="00E5390A" w:rsidRDefault="00293A31" w:rsidP="000D68B3">
      <w:pPr>
        <w:pStyle w:val="Item"/>
      </w:pPr>
    </w:p>
    <w:p w:rsidR="00343C2A" w:rsidRPr="00E5390A" w:rsidRDefault="006A422E" w:rsidP="00293A31">
      <w:pPr>
        <w:pStyle w:val="ItemHead"/>
      </w:pPr>
      <w:r w:rsidRPr="00E5390A">
        <w:t>29</w:t>
      </w:r>
      <w:r w:rsidR="00293A31" w:rsidRPr="00E5390A">
        <w:t xml:space="preserve">  Schedule 1, entry for Pravastatin</w:t>
      </w:r>
      <w:r w:rsidR="00943E81" w:rsidRPr="00E5390A">
        <w:t xml:space="preserve"> </w:t>
      </w:r>
      <w:r w:rsidR="00293A31" w:rsidRPr="00E5390A">
        <w:t>in the form Tablet containing pravastatin sodium 80 mg</w:t>
      </w:r>
    </w:p>
    <w:p w:rsidR="00293A31" w:rsidRPr="00E5390A" w:rsidRDefault="00293A31" w:rsidP="001413A4">
      <w:pPr>
        <w:spacing w:before="60" w:after="60" w:line="276" w:lineRule="auto"/>
        <w:ind w:firstLine="567"/>
        <w:rPr>
          <w:rFonts w:cs="Arial"/>
          <w:sz w:val="18"/>
          <w:szCs w:val="18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hAnsi="Arial" w:cs="Arial"/>
          <w:b/>
          <w:sz w:val="18"/>
          <w:szCs w:val="18"/>
        </w:rPr>
        <w:t>8.23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8.68</w:t>
      </w:r>
    </w:p>
    <w:p w:rsidR="00293A31" w:rsidRPr="00E5390A" w:rsidRDefault="00293A31" w:rsidP="000D68B3">
      <w:pPr>
        <w:spacing w:before="60" w:after="60" w:line="276" w:lineRule="auto"/>
        <w:ind w:firstLine="567"/>
        <w:rPr>
          <w:rFonts w:cs="Arial"/>
          <w:sz w:val="18"/>
          <w:szCs w:val="18"/>
        </w:rPr>
      </w:pPr>
    </w:p>
    <w:p w:rsidR="006A422E" w:rsidRPr="00E5390A" w:rsidRDefault="006A422E" w:rsidP="006A422E">
      <w:pPr>
        <w:pStyle w:val="ItemHead"/>
      </w:pPr>
      <w:r w:rsidRPr="00E5390A">
        <w:t>30  Schedule 1, entry for Quinapril</w:t>
      </w:r>
    </w:p>
    <w:p w:rsidR="006A422E" w:rsidRPr="00E5390A" w:rsidRDefault="006A422E" w:rsidP="006A422E">
      <w:pPr>
        <w:pStyle w:val="Item"/>
      </w:pPr>
      <w:r w:rsidRPr="00E5390A">
        <w:t xml:space="preserve"> Omit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6A422E" w:rsidRPr="00E5390A" w:rsidTr="003D30A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3D30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Quinapril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3D30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Tablet 10 mg (as hydrochloride)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3D30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3D30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Accupril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3D30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3D30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3.71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3D30A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7.62</w:t>
            </w:r>
          </w:p>
        </w:tc>
      </w:tr>
    </w:tbl>
    <w:p w:rsidR="006A422E" w:rsidRPr="00E5390A" w:rsidRDefault="006A422E" w:rsidP="001413A4">
      <w:pPr>
        <w:pStyle w:val="Item"/>
        <w:keepNext/>
      </w:pPr>
      <w:r w:rsidRPr="00E5390A">
        <w:lastRenderedPageBreak/>
        <w:t xml:space="preserve">Substitute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6A422E" w:rsidRPr="00E5390A" w:rsidTr="003D30A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Quinapril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Tablet 5 mg (as hydrochloride)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Accupril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6.82</w:t>
            </w:r>
          </w:p>
        </w:tc>
      </w:tr>
      <w:tr w:rsidR="006A422E" w:rsidRPr="00E5390A" w:rsidTr="003D30A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Tablet 10 mg (as hydrochloride)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Accupril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3.71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7.62</w:t>
            </w:r>
          </w:p>
        </w:tc>
      </w:tr>
      <w:tr w:rsidR="006A422E" w:rsidRPr="00E5390A" w:rsidTr="003D30A6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Tablet 20 mg (as hydrochloride)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Accupril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4.58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A422E" w:rsidRPr="00E5390A" w:rsidRDefault="006A422E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8.55</w:t>
            </w:r>
          </w:p>
        </w:tc>
      </w:tr>
    </w:tbl>
    <w:p w:rsidR="006A422E" w:rsidRPr="00E5390A" w:rsidRDefault="006A422E" w:rsidP="000634E9">
      <w:pPr>
        <w:spacing w:before="60" w:after="60" w:line="276" w:lineRule="auto"/>
        <w:rPr>
          <w:rFonts w:cs="Arial"/>
          <w:sz w:val="18"/>
          <w:szCs w:val="18"/>
        </w:rPr>
      </w:pPr>
    </w:p>
    <w:p w:rsidR="00C8001C" w:rsidRPr="00E5390A" w:rsidRDefault="00293A31" w:rsidP="00C8001C">
      <w:pPr>
        <w:pStyle w:val="ItemHead"/>
      </w:pPr>
      <w:r w:rsidRPr="00E5390A">
        <w:t>31</w:t>
      </w:r>
      <w:r w:rsidR="00C8001C" w:rsidRPr="00E5390A">
        <w:t xml:space="preserve">  Schedule 1, entry for Rosuvastatin in the form Tablet 5 mg (as calcium)</w:t>
      </w:r>
    </w:p>
    <w:p w:rsidR="00C8001C" w:rsidRPr="00E5390A" w:rsidRDefault="00C8001C" w:rsidP="00C8001C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hAnsi="Arial" w:cs="Arial"/>
          <w:b/>
          <w:sz w:val="18"/>
          <w:szCs w:val="18"/>
        </w:rPr>
        <w:t>3.09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4.56</w:t>
      </w:r>
    </w:p>
    <w:p w:rsidR="00C8001C" w:rsidRPr="00E5390A" w:rsidRDefault="00293A31" w:rsidP="00C8001C">
      <w:pPr>
        <w:pStyle w:val="ItemHead"/>
      </w:pPr>
      <w:r w:rsidRPr="00E5390A">
        <w:t>32</w:t>
      </w:r>
      <w:r w:rsidR="00C8001C" w:rsidRPr="00E5390A">
        <w:t xml:space="preserve">  Schedule 1, entry for Rosuvastatin in the form Tablet 10 mg (as calcium)</w:t>
      </w:r>
    </w:p>
    <w:p w:rsidR="00C8001C" w:rsidRPr="00E5390A" w:rsidRDefault="00C8001C" w:rsidP="00C8001C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hAnsi="Arial" w:cs="Arial"/>
          <w:b/>
          <w:sz w:val="18"/>
          <w:szCs w:val="18"/>
        </w:rPr>
        <w:t>5.16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5.98</w:t>
      </w:r>
    </w:p>
    <w:p w:rsidR="00C8001C" w:rsidRPr="00E5390A" w:rsidRDefault="00293A31" w:rsidP="00C8001C">
      <w:pPr>
        <w:pStyle w:val="ItemHead"/>
      </w:pPr>
      <w:r w:rsidRPr="00E5390A">
        <w:t>33</w:t>
      </w:r>
      <w:r w:rsidR="00C8001C" w:rsidRPr="00E5390A">
        <w:t xml:space="preserve">  Schedule 1, entry for Rosuvastatin in the form Tablet 20 mg (as calcium)</w:t>
      </w:r>
    </w:p>
    <w:p w:rsidR="00C8001C" w:rsidRPr="00E5390A" w:rsidRDefault="00C8001C" w:rsidP="00C8001C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="00DE69CF" w:rsidRPr="00E5390A">
        <w:rPr>
          <w:rFonts w:ascii="Arial" w:hAnsi="Arial" w:cs="Arial"/>
          <w:b/>
          <w:sz w:val="18"/>
          <w:szCs w:val="18"/>
        </w:rPr>
        <w:t>4.94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="00DE69CF"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6.34</w:t>
      </w:r>
    </w:p>
    <w:p w:rsidR="00DE69CF" w:rsidRPr="00E5390A" w:rsidRDefault="00293A31" w:rsidP="00DE69CF">
      <w:pPr>
        <w:pStyle w:val="ItemHead"/>
      </w:pPr>
      <w:r w:rsidRPr="00E5390A">
        <w:t>34</w:t>
      </w:r>
      <w:r w:rsidR="00DE69CF" w:rsidRPr="00E5390A">
        <w:t xml:space="preserve">  Schedule 1, entry for Rosuvastatin in the form Tablet 40 mg (as calcium)</w:t>
      </w:r>
    </w:p>
    <w:p w:rsidR="00DE69CF" w:rsidRPr="00E5390A" w:rsidRDefault="00DE69CF" w:rsidP="00DE69CF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hAnsi="Arial" w:cs="Arial"/>
          <w:b/>
          <w:sz w:val="18"/>
          <w:szCs w:val="18"/>
        </w:rPr>
        <w:t>7.07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="006A422E"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8.65</w:t>
      </w:r>
    </w:p>
    <w:p w:rsidR="00394BD0" w:rsidRPr="00E5390A" w:rsidRDefault="00394BD0" w:rsidP="00394BD0">
      <w:pPr>
        <w:pStyle w:val="ItemHead"/>
      </w:pPr>
      <w:r w:rsidRPr="00E5390A">
        <w:t>3</w:t>
      </w:r>
      <w:r w:rsidR="00293A31" w:rsidRPr="00E5390A">
        <w:t>5</w:t>
      </w:r>
      <w:r w:rsidRPr="00E5390A">
        <w:t xml:space="preserve">  Schedule 1, entry for Sotalol in the form Tablet containing sotalol hydrochloride 80 mg</w:t>
      </w:r>
    </w:p>
    <w:p w:rsidR="00394BD0" w:rsidRPr="00E5390A" w:rsidRDefault="00394BD0" w:rsidP="00394BD0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hAnsi="Arial" w:cs="Arial"/>
          <w:b/>
          <w:sz w:val="18"/>
          <w:szCs w:val="18"/>
        </w:rPr>
        <w:t>7.01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7.39</w:t>
      </w:r>
    </w:p>
    <w:p w:rsidR="007B190A" w:rsidRPr="00E5390A" w:rsidRDefault="007B190A" w:rsidP="007B190A">
      <w:pPr>
        <w:pStyle w:val="ItemHead"/>
      </w:pPr>
      <w:r w:rsidRPr="00E5390A">
        <w:t>3</w:t>
      </w:r>
      <w:r w:rsidR="00293A31" w:rsidRPr="00E5390A">
        <w:t>6</w:t>
      </w:r>
      <w:r w:rsidRPr="00E5390A">
        <w:t xml:space="preserve">  Schedule 1, entry for Sotalol in the form Tablet containing sotalol hydrochloride 160 mg </w:t>
      </w:r>
    </w:p>
    <w:p w:rsidR="007B190A" w:rsidRPr="00E5390A" w:rsidRDefault="007B190A" w:rsidP="007B190A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hAnsi="Arial" w:cs="Arial"/>
          <w:b/>
          <w:sz w:val="18"/>
          <w:szCs w:val="18"/>
        </w:rPr>
        <w:t>10.45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11.07</w:t>
      </w:r>
    </w:p>
    <w:p w:rsidR="00861952" w:rsidRPr="00E5390A" w:rsidRDefault="00861952" w:rsidP="00861952">
      <w:pPr>
        <w:pStyle w:val="ItemHead"/>
      </w:pPr>
      <w:r w:rsidRPr="00E5390A">
        <w:t>3</w:t>
      </w:r>
      <w:r w:rsidR="00293A31" w:rsidRPr="00E5390A">
        <w:t>7</w:t>
      </w:r>
      <w:r w:rsidRPr="00E5390A">
        <w:t xml:space="preserve">  Schedule 1, entry for Trimethoprim in the form Tablet 300 mg </w:t>
      </w:r>
    </w:p>
    <w:p w:rsidR="00861952" w:rsidRPr="00E5390A" w:rsidRDefault="00861952" w:rsidP="00861952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  <w:r w:rsidRPr="00E5390A">
        <w:rPr>
          <w:rFonts w:eastAsia="Times New Roman" w:cs="Times New Roman"/>
          <w:i/>
          <w:sz w:val="18"/>
          <w:szCs w:val="18"/>
          <w:lang w:eastAsia="en-AU"/>
        </w:rPr>
        <w:t>omit from the column headed “Claimed Price”: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rPr>
          <w:rFonts w:ascii="Arial" w:hAnsi="Arial" w:cs="Arial"/>
          <w:b/>
          <w:sz w:val="18"/>
          <w:szCs w:val="18"/>
        </w:rPr>
        <w:t>5.00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  <w:t>substitute:</w:t>
      </w:r>
      <w:r w:rsidRPr="00E5390A">
        <w:rPr>
          <w:rFonts w:eastAsia="Times New Roman" w:cs="Times New Roman"/>
          <w:i/>
          <w:sz w:val="18"/>
          <w:szCs w:val="18"/>
          <w:lang w:eastAsia="en-AU"/>
        </w:rPr>
        <w:tab/>
      </w:r>
      <w:r w:rsidRPr="00E5390A">
        <w:t xml:space="preserve">  </w:t>
      </w:r>
      <w:r w:rsidRPr="00E5390A">
        <w:rPr>
          <w:rFonts w:ascii="Arial" w:eastAsia="Times New Roman" w:hAnsi="Arial" w:cs="Arial"/>
          <w:b/>
          <w:sz w:val="18"/>
          <w:szCs w:val="18"/>
          <w:lang w:eastAsia="en-AU"/>
        </w:rPr>
        <w:t>5.28</w:t>
      </w:r>
    </w:p>
    <w:p w:rsidR="00861952" w:rsidRPr="00E5390A" w:rsidRDefault="00861952" w:rsidP="00861952">
      <w:pPr>
        <w:pStyle w:val="ItemHead"/>
      </w:pPr>
      <w:r w:rsidRPr="00E5390A">
        <w:lastRenderedPageBreak/>
        <w:t>3</w:t>
      </w:r>
      <w:r w:rsidR="00293A31" w:rsidRPr="00E5390A">
        <w:t>8</w:t>
      </w:r>
      <w:r w:rsidRPr="00E5390A">
        <w:t xml:space="preserve">  Schedule 1, entry for Valaciclovir</w:t>
      </w:r>
    </w:p>
    <w:p w:rsidR="00861952" w:rsidRPr="00E5390A" w:rsidRDefault="00861952" w:rsidP="001413A4">
      <w:pPr>
        <w:pStyle w:val="Item"/>
        <w:keepNext/>
      </w:pPr>
      <w:r w:rsidRPr="00E5390A">
        <w:t xml:space="preserve">Omit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861952" w:rsidRPr="00E5390A" w:rsidTr="00AB517A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Valaciclovir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sz w:val="18"/>
              </w:rPr>
              <w:t>Tablet 500 mg (as hydrochloride)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Valtrex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4.42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5.47</w:t>
            </w:r>
          </w:p>
        </w:tc>
      </w:tr>
      <w:tr w:rsidR="00861952" w:rsidRPr="00E5390A" w:rsidTr="00AB517A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Valtrex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15.36</w:t>
            </w:r>
          </w:p>
        </w:tc>
      </w:tr>
      <w:tr w:rsidR="00861952" w:rsidRPr="00E5390A" w:rsidTr="00AB517A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Valtrex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20.67</w:t>
            </w:r>
          </w:p>
        </w:tc>
      </w:tr>
      <w:tr w:rsidR="00861952" w:rsidRPr="00E5390A" w:rsidTr="00AB517A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Valtrex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1413A4">
            <w:pPr>
              <w:keepNext/>
              <w:keepLines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44.64</w:t>
            </w:r>
          </w:p>
        </w:tc>
      </w:tr>
    </w:tbl>
    <w:p w:rsidR="00861952" w:rsidRPr="00E5390A" w:rsidRDefault="00861952" w:rsidP="00861952">
      <w:pPr>
        <w:pStyle w:val="Item"/>
      </w:pPr>
      <w:r w:rsidRPr="00E5390A">
        <w:t xml:space="preserve">Substitute </w:t>
      </w:r>
    </w:p>
    <w:tbl>
      <w:tblPr>
        <w:tblW w:w="141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794"/>
        <w:gridCol w:w="1759"/>
        <w:gridCol w:w="1763"/>
        <w:gridCol w:w="1621"/>
        <w:gridCol w:w="1799"/>
        <w:gridCol w:w="1666"/>
      </w:tblGrid>
      <w:tr w:rsidR="00861952" w:rsidRPr="00E5390A" w:rsidTr="00AB517A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Valaciclovir</w:t>
            </w: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sz w:val="18"/>
              </w:rPr>
              <w:t>Tablet 500 mg (as hydrochloride)</w:t>
            </w: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Oral</w:t>
            </w: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Valtrex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4.42</w:t>
            </w: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7.19</w:t>
            </w:r>
          </w:p>
        </w:tc>
      </w:tr>
      <w:tr w:rsidR="00861952" w:rsidRPr="00E5390A" w:rsidTr="00AB517A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Valtrex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376317" w:rsidP="00AB51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15.76</w:t>
            </w:r>
          </w:p>
        </w:tc>
      </w:tr>
      <w:tr w:rsidR="00861952" w:rsidRPr="00E5390A" w:rsidTr="00AB517A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Valtrex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376317" w:rsidP="00AB51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21.06</w:t>
            </w:r>
          </w:p>
        </w:tc>
      </w:tr>
      <w:tr w:rsidR="00861952" w:rsidTr="00AB517A">
        <w:trPr>
          <w:trHeight w:val="67"/>
        </w:trPr>
        <w:tc>
          <w:tcPr>
            <w:tcW w:w="2708" w:type="dxa"/>
            <w:tcBorders>
              <w:lef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94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Valtrex</w:t>
            </w:r>
          </w:p>
        </w:tc>
        <w:tc>
          <w:tcPr>
            <w:tcW w:w="1621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99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E5390A" w:rsidRDefault="00861952" w:rsidP="00AB51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61952" w:rsidRPr="00293A31" w:rsidRDefault="00861952" w:rsidP="0037631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390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376317" w:rsidRPr="00E5390A">
              <w:rPr>
                <w:rFonts w:ascii="Arial" w:hAnsi="Arial" w:cs="Arial"/>
                <w:color w:val="000000"/>
                <w:sz w:val="18"/>
                <w:szCs w:val="18"/>
              </w:rPr>
              <w:t>7.18</w:t>
            </w:r>
          </w:p>
        </w:tc>
      </w:tr>
    </w:tbl>
    <w:p w:rsidR="00861952" w:rsidRDefault="00861952" w:rsidP="00861952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</w:p>
    <w:p w:rsidR="00861952" w:rsidRDefault="00861952" w:rsidP="007B190A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</w:p>
    <w:p w:rsidR="00861952" w:rsidRDefault="00861952" w:rsidP="007B190A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</w:p>
    <w:p w:rsidR="00C8001C" w:rsidRDefault="00C8001C" w:rsidP="00C8001C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</w:p>
    <w:p w:rsidR="00C8001C" w:rsidRDefault="00C8001C" w:rsidP="00C8001C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</w:p>
    <w:p w:rsidR="00A83E41" w:rsidRDefault="00A83E41" w:rsidP="001F6F0D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</w:p>
    <w:p w:rsidR="001F6F0D" w:rsidRDefault="001F6F0D" w:rsidP="001F6F0D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</w:p>
    <w:p w:rsidR="001203B7" w:rsidRDefault="001203B7" w:rsidP="001203B7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</w:p>
    <w:p w:rsidR="001203B7" w:rsidRDefault="001203B7" w:rsidP="001203B7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</w:p>
    <w:p w:rsidR="001203B7" w:rsidRDefault="001203B7" w:rsidP="001203B7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</w:p>
    <w:p w:rsidR="00A21D57" w:rsidRDefault="00A21D57" w:rsidP="00A21D57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</w:p>
    <w:p w:rsidR="00F3037E" w:rsidRDefault="00F3037E" w:rsidP="00E6331B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</w:p>
    <w:p w:rsidR="00517BF0" w:rsidRDefault="00517BF0" w:rsidP="00517BF0">
      <w:pPr>
        <w:spacing w:before="60" w:after="60" w:line="276" w:lineRule="auto"/>
        <w:ind w:firstLine="567"/>
        <w:rPr>
          <w:rFonts w:ascii="Arial" w:eastAsia="Times New Roman" w:hAnsi="Arial" w:cs="Arial"/>
          <w:b/>
          <w:sz w:val="18"/>
          <w:szCs w:val="18"/>
          <w:lang w:eastAsia="en-AU"/>
        </w:rPr>
      </w:pPr>
    </w:p>
    <w:p w:rsidR="00517BF0" w:rsidRDefault="00517BF0" w:rsidP="000634E9">
      <w:pPr>
        <w:spacing w:before="60" w:after="60" w:line="276" w:lineRule="auto"/>
        <w:rPr>
          <w:rFonts w:ascii="Arial" w:eastAsia="Times New Roman" w:hAnsi="Arial" w:cs="Arial"/>
          <w:b/>
          <w:sz w:val="18"/>
          <w:szCs w:val="18"/>
          <w:lang w:eastAsia="en-AU"/>
        </w:rPr>
      </w:pPr>
    </w:p>
    <w:sectPr w:rsidR="00517BF0" w:rsidSect="002A3922">
      <w:pgSz w:w="16839" w:h="11907" w:orient="landscape"/>
      <w:pgMar w:top="1797" w:right="1673" w:bottom="1797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F0D" w:rsidRDefault="001F6F0D" w:rsidP="0048364F">
      <w:pPr>
        <w:spacing w:line="240" w:lineRule="auto"/>
      </w:pPr>
      <w:r>
        <w:separator/>
      </w:r>
    </w:p>
  </w:endnote>
  <w:endnote w:type="continuationSeparator" w:id="0">
    <w:p w:rsidR="001F6F0D" w:rsidRDefault="001F6F0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1F6F0D" w:rsidTr="001F6F0D">
      <w:tc>
        <w:tcPr>
          <w:tcW w:w="5000" w:type="pct"/>
        </w:tcPr>
        <w:p w:rsidR="001F6F0D" w:rsidRDefault="001F6F0D" w:rsidP="001F6F0D">
          <w:pPr>
            <w:rPr>
              <w:sz w:val="18"/>
            </w:rPr>
          </w:pPr>
        </w:p>
      </w:tc>
    </w:tr>
  </w:tbl>
  <w:p w:rsidR="001F6F0D" w:rsidRPr="005F1388" w:rsidRDefault="001F6F0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1F6F0D" w:rsidTr="001F6F0D">
      <w:tc>
        <w:tcPr>
          <w:tcW w:w="5000" w:type="pct"/>
        </w:tcPr>
        <w:p w:rsidR="001F6F0D" w:rsidRDefault="001F6F0D" w:rsidP="001F6F0D">
          <w:pPr>
            <w:rPr>
              <w:sz w:val="18"/>
            </w:rPr>
          </w:pPr>
        </w:p>
      </w:tc>
    </w:tr>
  </w:tbl>
  <w:p w:rsidR="001F6F0D" w:rsidRPr="006D3667" w:rsidRDefault="001F6F0D" w:rsidP="001F6F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F0D" w:rsidRDefault="001F6F0D" w:rsidP="001F6F0D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1F6F0D" w:rsidTr="001F6F0D">
      <w:tc>
        <w:tcPr>
          <w:tcW w:w="5000" w:type="pct"/>
        </w:tcPr>
        <w:p w:rsidR="001F6F0D" w:rsidRDefault="001F6F0D" w:rsidP="001F6F0D">
          <w:pPr>
            <w:rPr>
              <w:sz w:val="18"/>
            </w:rPr>
          </w:pPr>
        </w:p>
      </w:tc>
    </w:tr>
  </w:tbl>
  <w:p w:rsidR="001F6F0D" w:rsidRPr="00486382" w:rsidRDefault="001F6F0D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F0D" w:rsidRPr="00E33C1C" w:rsidRDefault="001F6F0D" w:rsidP="001F6F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1F6F0D" w:rsidTr="001F6F0D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1F6F0D" w:rsidRDefault="001F6F0D" w:rsidP="001F6F0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1F6F0D" w:rsidRDefault="001F6F0D" w:rsidP="001F6F0D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1F6F0D" w:rsidRDefault="001F6F0D" w:rsidP="001F6F0D">
          <w:pPr>
            <w:spacing w:line="0" w:lineRule="atLeast"/>
            <w:jc w:val="right"/>
            <w:rPr>
              <w:sz w:val="18"/>
            </w:rPr>
          </w:pPr>
        </w:p>
      </w:tc>
    </w:tr>
    <w:tr w:rsidR="001F6F0D" w:rsidTr="001F6F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1F6F0D" w:rsidRDefault="001F6F0D" w:rsidP="001F6F0D">
          <w:pPr>
            <w:jc w:val="right"/>
            <w:rPr>
              <w:sz w:val="18"/>
            </w:rPr>
          </w:pPr>
        </w:p>
      </w:tc>
    </w:tr>
  </w:tbl>
  <w:p w:rsidR="001F6F0D" w:rsidRPr="00ED79B6" w:rsidRDefault="001F6F0D" w:rsidP="001F6F0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F0D" w:rsidRPr="00E33C1C" w:rsidRDefault="001F6F0D" w:rsidP="001F6F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1F6F0D" w:rsidTr="001F6F0D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1F6F0D" w:rsidRDefault="001F6F0D" w:rsidP="001F6F0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1F6F0D" w:rsidRPr="00B20990" w:rsidRDefault="001F6F0D" w:rsidP="00FC591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Instrument number </w:t>
          </w:r>
          <w:r w:rsidRPr="00D33EB9">
            <w:rPr>
              <w:i/>
              <w:sz w:val="18"/>
            </w:rPr>
            <w:t xml:space="preserve">PB </w:t>
          </w:r>
          <w:r w:rsidR="00324A74">
            <w:rPr>
              <w:i/>
              <w:sz w:val="18"/>
            </w:rPr>
            <w:t>5</w:t>
          </w:r>
          <w:r w:rsidR="00FC5918">
            <w:rPr>
              <w:i/>
              <w:sz w:val="18"/>
            </w:rPr>
            <w:t>6</w:t>
          </w:r>
          <w:r w:rsidRPr="00D33EB9">
            <w:rPr>
              <w:i/>
              <w:sz w:val="18"/>
            </w:rPr>
            <w:t xml:space="preserve"> of 202</w:t>
          </w:r>
          <w:r>
            <w:rPr>
              <w:i/>
              <w:sz w:val="18"/>
            </w:rPr>
            <w:t>1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1F6F0D" w:rsidRDefault="001F6F0D" w:rsidP="001F6F0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390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F6F0D" w:rsidTr="001F6F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1F6F0D" w:rsidRDefault="001F6F0D" w:rsidP="001F6F0D">
          <w:pPr>
            <w:rPr>
              <w:sz w:val="18"/>
            </w:rPr>
          </w:pPr>
        </w:p>
      </w:tc>
    </w:tr>
  </w:tbl>
  <w:p w:rsidR="001F6F0D" w:rsidRPr="00ED79B6" w:rsidRDefault="001F6F0D" w:rsidP="001F6F0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F0D" w:rsidRPr="00E33C1C" w:rsidRDefault="001F6F0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F6F0D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F6F0D" w:rsidRDefault="001F6F0D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F6F0D" w:rsidRDefault="001F6F0D" w:rsidP="00EC034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Instrument number PB 97 of 2020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F6F0D" w:rsidRDefault="001F6F0D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1F6F0D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1F6F0D" w:rsidRDefault="001F6F0D" w:rsidP="00EE57E8">
          <w:pPr>
            <w:jc w:val="right"/>
            <w:rPr>
              <w:sz w:val="18"/>
            </w:rPr>
          </w:pPr>
        </w:p>
      </w:tc>
    </w:tr>
  </w:tbl>
  <w:p w:rsidR="001F6F0D" w:rsidRPr="00ED79B6" w:rsidRDefault="001F6F0D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F0D" w:rsidRPr="00E33C1C" w:rsidRDefault="001F6F0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  <w:gridCol w:w="709"/>
    </w:tblGrid>
    <w:tr w:rsidR="001F6F0D" w:rsidTr="001F6F0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F6F0D" w:rsidRDefault="001F6F0D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F6F0D" w:rsidRDefault="001F6F0D" w:rsidP="00FC591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Instrument number PB</w:t>
          </w:r>
          <w:r w:rsidRPr="00D33EB9">
            <w:rPr>
              <w:i/>
              <w:sz w:val="18"/>
            </w:rPr>
            <w:t xml:space="preserve"> </w:t>
          </w:r>
          <w:r w:rsidR="00324A74">
            <w:rPr>
              <w:i/>
              <w:sz w:val="18"/>
            </w:rPr>
            <w:t>5</w:t>
          </w:r>
          <w:r w:rsidR="00FC5918">
            <w:rPr>
              <w:i/>
              <w:sz w:val="18"/>
            </w:rPr>
            <w:t>6</w:t>
          </w:r>
          <w:r w:rsidRPr="00D33EB9">
            <w:rPr>
              <w:i/>
              <w:sz w:val="18"/>
            </w:rPr>
            <w:t xml:space="preserve"> </w:t>
          </w:r>
          <w:r>
            <w:rPr>
              <w:i/>
              <w:sz w:val="18"/>
            </w:rPr>
            <w:t>of 2021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F6F0D" w:rsidRDefault="001F6F0D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5390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F6F0D" w:rsidRPr="00ED79B6" w:rsidRDefault="001F6F0D" w:rsidP="00EE57E8">
          <w:pPr>
            <w:spacing w:line="0" w:lineRule="atLeast"/>
            <w:jc w:val="right"/>
            <w:rPr>
              <w:i/>
              <w:sz w:val="18"/>
            </w:rPr>
          </w:pPr>
        </w:p>
      </w:tc>
    </w:tr>
    <w:tr w:rsidR="001F6F0D" w:rsidTr="001F6F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1F6F0D" w:rsidRDefault="001F6F0D" w:rsidP="00EE57E8">
          <w:pPr>
            <w:rPr>
              <w:sz w:val="18"/>
            </w:rPr>
          </w:pPr>
        </w:p>
      </w:tc>
      <w:tc>
        <w:tcPr>
          <w:tcW w:w="709" w:type="dxa"/>
        </w:tcPr>
        <w:p w:rsidR="001F6F0D" w:rsidRDefault="001F6F0D" w:rsidP="00EE57E8">
          <w:pPr>
            <w:rPr>
              <w:sz w:val="18"/>
            </w:rPr>
          </w:pPr>
        </w:p>
      </w:tc>
    </w:tr>
  </w:tbl>
  <w:p w:rsidR="001F6F0D" w:rsidRPr="00ED79B6" w:rsidRDefault="001F6F0D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F0D" w:rsidRPr="00E33C1C" w:rsidRDefault="001F6F0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F6F0D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F6F0D" w:rsidRDefault="001F6F0D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F6F0D" w:rsidRDefault="001F6F0D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F6F0D" w:rsidRDefault="001F6F0D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43E8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1F6F0D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1F6F0D" w:rsidRDefault="001F6F0D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="00943E81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5390A">
            <w:rPr>
              <w:i/>
              <w:noProof/>
              <w:sz w:val="18"/>
            </w:rPr>
            <w:t>27/5/2021 4:58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F6F0D" w:rsidRPr="00ED79B6" w:rsidRDefault="001F6F0D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F0D" w:rsidRDefault="001F6F0D" w:rsidP="0048364F">
      <w:pPr>
        <w:spacing w:line="240" w:lineRule="auto"/>
      </w:pPr>
      <w:r>
        <w:separator/>
      </w:r>
    </w:p>
  </w:footnote>
  <w:footnote w:type="continuationSeparator" w:id="0">
    <w:p w:rsidR="001F6F0D" w:rsidRDefault="001F6F0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F0D" w:rsidRPr="005F1388" w:rsidRDefault="001F6F0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F0D" w:rsidRPr="005F1388" w:rsidRDefault="001F6F0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F0D" w:rsidRPr="005F1388" w:rsidRDefault="001F6F0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F0D" w:rsidRPr="00ED79B6" w:rsidRDefault="001F6F0D" w:rsidP="001F6F0D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F0D" w:rsidRPr="00ED79B6" w:rsidRDefault="001F6F0D" w:rsidP="001F6F0D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F0D" w:rsidRPr="00ED79B6" w:rsidRDefault="001F6F0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F0D" w:rsidRPr="00A961C4" w:rsidRDefault="001F6F0D" w:rsidP="0048364F">
    <w:pPr>
      <w:rPr>
        <w:b/>
        <w:sz w:val="20"/>
      </w:rPr>
    </w:pPr>
  </w:p>
  <w:p w:rsidR="001F6F0D" w:rsidRPr="00A961C4" w:rsidRDefault="001F6F0D" w:rsidP="0048364F">
    <w:pPr>
      <w:rPr>
        <w:b/>
        <w:sz w:val="20"/>
      </w:rPr>
    </w:pPr>
  </w:p>
  <w:p w:rsidR="001F6F0D" w:rsidRPr="00A961C4" w:rsidRDefault="001F6F0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F0D" w:rsidRPr="00A961C4" w:rsidRDefault="001F6F0D" w:rsidP="0048364F">
    <w:pPr>
      <w:jc w:val="right"/>
      <w:rPr>
        <w:sz w:val="20"/>
      </w:rPr>
    </w:pPr>
  </w:p>
  <w:p w:rsidR="001F6F0D" w:rsidRPr="00A961C4" w:rsidRDefault="001F6F0D" w:rsidP="0048364F">
    <w:pPr>
      <w:jc w:val="right"/>
      <w:rPr>
        <w:b/>
        <w:sz w:val="20"/>
      </w:rPr>
    </w:pPr>
  </w:p>
  <w:p w:rsidR="001F6F0D" w:rsidRPr="00A961C4" w:rsidRDefault="001F6F0D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61585"/>
    <w:multiLevelType w:val="hybridMultilevel"/>
    <w:tmpl w:val="C81C829E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62C7B99"/>
    <w:multiLevelType w:val="hybridMultilevel"/>
    <w:tmpl w:val="C81C829E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F1409E4"/>
    <w:multiLevelType w:val="hybridMultilevel"/>
    <w:tmpl w:val="782E195E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7A63A12"/>
    <w:multiLevelType w:val="hybridMultilevel"/>
    <w:tmpl w:val="C81C829E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80C7C41"/>
    <w:multiLevelType w:val="hybridMultilevel"/>
    <w:tmpl w:val="C81C829E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BE7441"/>
    <w:multiLevelType w:val="hybridMultilevel"/>
    <w:tmpl w:val="C81C829E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50190531"/>
    <w:multiLevelType w:val="hybridMultilevel"/>
    <w:tmpl w:val="C81C829E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1AA2F24"/>
    <w:multiLevelType w:val="hybridMultilevel"/>
    <w:tmpl w:val="C81C829E"/>
    <w:lvl w:ilvl="0" w:tplc="76C27816">
      <w:start w:val="1"/>
      <w:numFmt w:val="lowerLetter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  <w:num w:numId="16">
    <w:abstractNumId w:val="19"/>
  </w:num>
  <w:num w:numId="17">
    <w:abstractNumId w:val="20"/>
  </w:num>
  <w:num w:numId="18">
    <w:abstractNumId w:val="15"/>
  </w:num>
  <w:num w:numId="19">
    <w:abstractNumId w:val="16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78"/>
    <w:rsid w:val="00000263"/>
    <w:rsid w:val="00002BCC"/>
    <w:rsid w:val="000113BC"/>
    <w:rsid w:val="000136AF"/>
    <w:rsid w:val="0004044E"/>
    <w:rsid w:val="00047D19"/>
    <w:rsid w:val="0005120E"/>
    <w:rsid w:val="00054577"/>
    <w:rsid w:val="000614BF"/>
    <w:rsid w:val="000634E9"/>
    <w:rsid w:val="0007169C"/>
    <w:rsid w:val="00077593"/>
    <w:rsid w:val="00083F48"/>
    <w:rsid w:val="000A2E80"/>
    <w:rsid w:val="000A479A"/>
    <w:rsid w:val="000A7DF9"/>
    <w:rsid w:val="000B7ABB"/>
    <w:rsid w:val="000D05EF"/>
    <w:rsid w:val="000D3FB9"/>
    <w:rsid w:val="000D5485"/>
    <w:rsid w:val="000D68B3"/>
    <w:rsid w:val="000E598E"/>
    <w:rsid w:val="000E5A3D"/>
    <w:rsid w:val="000F0ADA"/>
    <w:rsid w:val="000F21C1"/>
    <w:rsid w:val="0010745C"/>
    <w:rsid w:val="001122FF"/>
    <w:rsid w:val="001203B7"/>
    <w:rsid w:val="001413A4"/>
    <w:rsid w:val="001466CE"/>
    <w:rsid w:val="00154BFD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C738F"/>
    <w:rsid w:val="001E0A8D"/>
    <w:rsid w:val="001E3590"/>
    <w:rsid w:val="001E7407"/>
    <w:rsid w:val="001F1A46"/>
    <w:rsid w:val="001F6F0D"/>
    <w:rsid w:val="001F710B"/>
    <w:rsid w:val="0020159E"/>
    <w:rsid w:val="00201D27"/>
    <w:rsid w:val="0021153A"/>
    <w:rsid w:val="0022147B"/>
    <w:rsid w:val="002245A6"/>
    <w:rsid w:val="002302EA"/>
    <w:rsid w:val="00236622"/>
    <w:rsid w:val="00237614"/>
    <w:rsid w:val="002376CF"/>
    <w:rsid w:val="00240749"/>
    <w:rsid w:val="002468D7"/>
    <w:rsid w:val="00247E97"/>
    <w:rsid w:val="00253C32"/>
    <w:rsid w:val="00256C81"/>
    <w:rsid w:val="0028543C"/>
    <w:rsid w:val="00285CDD"/>
    <w:rsid w:val="00291167"/>
    <w:rsid w:val="00293A31"/>
    <w:rsid w:val="0029489E"/>
    <w:rsid w:val="00297ECB"/>
    <w:rsid w:val="002A3922"/>
    <w:rsid w:val="002C152A"/>
    <w:rsid w:val="002C456C"/>
    <w:rsid w:val="002D043A"/>
    <w:rsid w:val="002D2078"/>
    <w:rsid w:val="0031713F"/>
    <w:rsid w:val="003222D1"/>
    <w:rsid w:val="00324A74"/>
    <w:rsid w:val="0032750F"/>
    <w:rsid w:val="00335E08"/>
    <w:rsid w:val="003415D3"/>
    <w:rsid w:val="00343C2A"/>
    <w:rsid w:val="003442F6"/>
    <w:rsid w:val="00346335"/>
    <w:rsid w:val="00352B0F"/>
    <w:rsid w:val="003561B0"/>
    <w:rsid w:val="00356688"/>
    <w:rsid w:val="00363DBF"/>
    <w:rsid w:val="00376317"/>
    <w:rsid w:val="0039061F"/>
    <w:rsid w:val="00394BD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05994"/>
    <w:rsid w:val="004116CD"/>
    <w:rsid w:val="00414ADE"/>
    <w:rsid w:val="00423883"/>
    <w:rsid w:val="00424206"/>
    <w:rsid w:val="00424CA9"/>
    <w:rsid w:val="004257BB"/>
    <w:rsid w:val="0044291A"/>
    <w:rsid w:val="004600B0"/>
    <w:rsid w:val="00460499"/>
    <w:rsid w:val="00460FBA"/>
    <w:rsid w:val="00461B25"/>
    <w:rsid w:val="00465C78"/>
    <w:rsid w:val="00474835"/>
    <w:rsid w:val="004819C7"/>
    <w:rsid w:val="0048364F"/>
    <w:rsid w:val="004877FC"/>
    <w:rsid w:val="00490F2E"/>
    <w:rsid w:val="00496F97"/>
    <w:rsid w:val="004A53EA"/>
    <w:rsid w:val="004A614A"/>
    <w:rsid w:val="004B35E7"/>
    <w:rsid w:val="004F1FAC"/>
    <w:rsid w:val="004F43BF"/>
    <w:rsid w:val="004F676E"/>
    <w:rsid w:val="004F71C0"/>
    <w:rsid w:val="005044B0"/>
    <w:rsid w:val="00516B8D"/>
    <w:rsid w:val="00517BF0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1E77"/>
    <w:rsid w:val="00593AA6"/>
    <w:rsid w:val="00594161"/>
    <w:rsid w:val="00594749"/>
    <w:rsid w:val="00594956"/>
    <w:rsid w:val="00597A77"/>
    <w:rsid w:val="005B1555"/>
    <w:rsid w:val="005B4067"/>
    <w:rsid w:val="005C3F41"/>
    <w:rsid w:val="005C4EF0"/>
    <w:rsid w:val="005D5EA1"/>
    <w:rsid w:val="005E098C"/>
    <w:rsid w:val="005E1F8D"/>
    <w:rsid w:val="005E270A"/>
    <w:rsid w:val="005E317F"/>
    <w:rsid w:val="005E41E0"/>
    <w:rsid w:val="005E5C62"/>
    <w:rsid w:val="005E61D3"/>
    <w:rsid w:val="005F4B08"/>
    <w:rsid w:val="00600219"/>
    <w:rsid w:val="006065DA"/>
    <w:rsid w:val="00606AA4"/>
    <w:rsid w:val="00625FF7"/>
    <w:rsid w:val="00626155"/>
    <w:rsid w:val="00640402"/>
    <w:rsid w:val="00640F78"/>
    <w:rsid w:val="00650184"/>
    <w:rsid w:val="00655D6A"/>
    <w:rsid w:val="00656DE9"/>
    <w:rsid w:val="00665ED9"/>
    <w:rsid w:val="00672876"/>
    <w:rsid w:val="00677CC2"/>
    <w:rsid w:val="00685072"/>
    <w:rsid w:val="00685BD0"/>
    <w:rsid w:val="00685F42"/>
    <w:rsid w:val="0069207B"/>
    <w:rsid w:val="006A304E"/>
    <w:rsid w:val="006A422E"/>
    <w:rsid w:val="006B7006"/>
    <w:rsid w:val="006C7F8C"/>
    <w:rsid w:val="006D3495"/>
    <w:rsid w:val="006D63BD"/>
    <w:rsid w:val="006D7AB9"/>
    <w:rsid w:val="00700B2C"/>
    <w:rsid w:val="0070682F"/>
    <w:rsid w:val="00713084"/>
    <w:rsid w:val="00717463"/>
    <w:rsid w:val="00720FC2"/>
    <w:rsid w:val="00722E89"/>
    <w:rsid w:val="00731E00"/>
    <w:rsid w:val="007339C7"/>
    <w:rsid w:val="007440B7"/>
    <w:rsid w:val="00744393"/>
    <w:rsid w:val="00747993"/>
    <w:rsid w:val="007634AD"/>
    <w:rsid w:val="007715C9"/>
    <w:rsid w:val="00774EDD"/>
    <w:rsid w:val="007757EC"/>
    <w:rsid w:val="00793F0B"/>
    <w:rsid w:val="007A6863"/>
    <w:rsid w:val="007B190A"/>
    <w:rsid w:val="007C78B4"/>
    <w:rsid w:val="007E135A"/>
    <w:rsid w:val="007E1D7E"/>
    <w:rsid w:val="007E32B6"/>
    <w:rsid w:val="007E486B"/>
    <w:rsid w:val="007E7D4A"/>
    <w:rsid w:val="007F48ED"/>
    <w:rsid w:val="007F5E3F"/>
    <w:rsid w:val="007F7F80"/>
    <w:rsid w:val="00812F45"/>
    <w:rsid w:val="008154D9"/>
    <w:rsid w:val="00832DAC"/>
    <w:rsid w:val="00836FE9"/>
    <w:rsid w:val="0084172C"/>
    <w:rsid w:val="0085175E"/>
    <w:rsid w:val="00856A31"/>
    <w:rsid w:val="00861952"/>
    <w:rsid w:val="008754D0"/>
    <w:rsid w:val="00877C69"/>
    <w:rsid w:val="00877D48"/>
    <w:rsid w:val="0088345B"/>
    <w:rsid w:val="00896DE2"/>
    <w:rsid w:val="008A16A5"/>
    <w:rsid w:val="008A5C57"/>
    <w:rsid w:val="008C0629"/>
    <w:rsid w:val="008D0EE0"/>
    <w:rsid w:val="008D7A27"/>
    <w:rsid w:val="008E4702"/>
    <w:rsid w:val="008E4772"/>
    <w:rsid w:val="008E69AA"/>
    <w:rsid w:val="008F4F1C"/>
    <w:rsid w:val="009069AD"/>
    <w:rsid w:val="00910E64"/>
    <w:rsid w:val="00920102"/>
    <w:rsid w:val="00922764"/>
    <w:rsid w:val="009278C1"/>
    <w:rsid w:val="00932377"/>
    <w:rsid w:val="009346E3"/>
    <w:rsid w:val="00943E81"/>
    <w:rsid w:val="0094523D"/>
    <w:rsid w:val="00976A63"/>
    <w:rsid w:val="009A1B1D"/>
    <w:rsid w:val="009B2490"/>
    <w:rsid w:val="009B50E5"/>
    <w:rsid w:val="009C3431"/>
    <w:rsid w:val="009C5989"/>
    <w:rsid w:val="009C6A32"/>
    <w:rsid w:val="009D08DA"/>
    <w:rsid w:val="009D102B"/>
    <w:rsid w:val="009F0C2D"/>
    <w:rsid w:val="00A06860"/>
    <w:rsid w:val="00A136F5"/>
    <w:rsid w:val="00A21D57"/>
    <w:rsid w:val="00A231E2"/>
    <w:rsid w:val="00A2550D"/>
    <w:rsid w:val="00A379BB"/>
    <w:rsid w:val="00A4169B"/>
    <w:rsid w:val="00A457F9"/>
    <w:rsid w:val="00A50D55"/>
    <w:rsid w:val="00A52FDA"/>
    <w:rsid w:val="00A64912"/>
    <w:rsid w:val="00A70A74"/>
    <w:rsid w:val="00A827AF"/>
    <w:rsid w:val="00A83E41"/>
    <w:rsid w:val="00A9231A"/>
    <w:rsid w:val="00A95BC7"/>
    <w:rsid w:val="00AA0343"/>
    <w:rsid w:val="00AA78CE"/>
    <w:rsid w:val="00AA7B26"/>
    <w:rsid w:val="00AB5560"/>
    <w:rsid w:val="00AC5BB5"/>
    <w:rsid w:val="00AC767C"/>
    <w:rsid w:val="00AD3467"/>
    <w:rsid w:val="00AD5641"/>
    <w:rsid w:val="00AE6757"/>
    <w:rsid w:val="00AF33DB"/>
    <w:rsid w:val="00AF354F"/>
    <w:rsid w:val="00B02B15"/>
    <w:rsid w:val="00B032D8"/>
    <w:rsid w:val="00B05D72"/>
    <w:rsid w:val="00B20990"/>
    <w:rsid w:val="00B23FAF"/>
    <w:rsid w:val="00B33B3C"/>
    <w:rsid w:val="00B35E3E"/>
    <w:rsid w:val="00B40D74"/>
    <w:rsid w:val="00B42649"/>
    <w:rsid w:val="00B46467"/>
    <w:rsid w:val="00B52663"/>
    <w:rsid w:val="00B56DCB"/>
    <w:rsid w:val="00B61728"/>
    <w:rsid w:val="00B671F8"/>
    <w:rsid w:val="00B770D2"/>
    <w:rsid w:val="00B93516"/>
    <w:rsid w:val="00B96776"/>
    <w:rsid w:val="00B973E5"/>
    <w:rsid w:val="00BA47A3"/>
    <w:rsid w:val="00BA5026"/>
    <w:rsid w:val="00BA7B5B"/>
    <w:rsid w:val="00BB3EFB"/>
    <w:rsid w:val="00BB6E79"/>
    <w:rsid w:val="00BD2BE0"/>
    <w:rsid w:val="00BE42C5"/>
    <w:rsid w:val="00BE719A"/>
    <w:rsid w:val="00BE720A"/>
    <w:rsid w:val="00BF0723"/>
    <w:rsid w:val="00BF2483"/>
    <w:rsid w:val="00BF6650"/>
    <w:rsid w:val="00C067E5"/>
    <w:rsid w:val="00C10CA4"/>
    <w:rsid w:val="00C164CA"/>
    <w:rsid w:val="00C20747"/>
    <w:rsid w:val="00C26051"/>
    <w:rsid w:val="00C42BF8"/>
    <w:rsid w:val="00C460AE"/>
    <w:rsid w:val="00C50043"/>
    <w:rsid w:val="00C5015F"/>
    <w:rsid w:val="00C50A0F"/>
    <w:rsid w:val="00C50F4A"/>
    <w:rsid w:val="00C60D4E"/>
    <w:rsid w:val="00C66C9F"/>
    <w:rsid w:val="00C72D10"/>
    <w:rsid w:val="00C7573B"/>
    <w:rsid w:val="00C76CF3"/>
    <w:rsid w:val="00C8001C"/>
    <w:rsid w:val="00C93205"/>
    <w:rsid w:val="00C945DC"/>
    <w:rsid w:val="00C94C32"/>
    <w:rsid w:val="00CA7844"/>
    <w:rsid w:val="00CB58EF"/>
    <w:rsid w:val="00CD105C"/>
    <w:rsid w:val="00CE0A93"/>
    <w:rsid w:val="00CE105D"/>
    <w:rsid w:val="00CF0BB2"/>
    <w:rsid w:val="00D07B82"/>
    <w:rsid w:val="00D12B0D"/>
    <w:rsid w:val="00D13441"/>
    <w:rsid w:val="00D20E9B"/>
    <w:rsid w:val="00D243A3"/>
    <w:rsid w:val="00D33440"/>
    <w:rsid w:val="00D33EB9"/>
    <w:rsid w:val="00D35F66"/>
    <w:rsid w:val="00D408FF"/>
    <w:rsid w:val="00D5193F"/>
    <w:rsid w:val="00D52EFE"/>
    <w:rsid w:val="00D56A0D"/>
    <w:rsid w:val="00D63EF6"/>
    <w:rsid w:val="00D66280"/>
    <w:rsid w:val="00D66518"/>
    <w:rsid w:val="00D70DFB"/>
    <w:rsid w:val="00D71EEA"/>
    <w:rsid w:val="00D727F2"/>
    <w:rsid w:val="00D735CD"/>
    <w:rsid w:val="00D766DF"/>
    <w:rsid w:val="00D90841"/>
    <w:rsid w:val="00DA0C3A"/>
    <w:rsid w:val="00DA2439"/>
    <w:rsid w:val="00DA2B21"/>
    <w:rsid w:val="00DA6F05"/>
    <w:rsid w:val="00DB64FC"/>
    <w:rsid w:val="00DC7C0C"/>
    <w:rsid w:val="00DD66EF"/>
    <w:rsid w:val="00DE149E"/>
    <w:rsid w:val="00DE649A"/>
    <w:rsid w:val="00DE69CF"/>
    <w:rsid w:val="00E034DB"/>
    <w:rsid w:val="00E05704"/>
    <w:rsid w:val="00E12F1A"/>
    <w:rsid w:val="00E22935"/>
    <w:rsid w:val="00E273AD"/>
    <w:rsid w:val="00E3334E"/>
    <w:rsid w:val="00E369E6"/>
    <w:rsid w:val="00E41C6A"/>
    <w:rsid w:val="00E5390A"/>
    <w:rsid w:val="00E54292"/>
    <w:rsid w:val="00E60191"/>
    <w:rsid w:val="00E6331B"/>
    <w:rsid w:val="00E64F65"/>
    <w:rsid w:val="00E71706"/>
    <w:rsid w:val="00E74DC7"/>
    <w:rsid w:val="00E87699"/>
    <w:rsid w:val="00E92E27"/>
    <w:rsid w:val="00E9586B"/>
    <w:rsid w:val="00E97334"/>
    <w:rsid w:val="00EB3A99"/>
    <w:rsid w:val="00EB65F8"/>
    <w:rsid w:val="00EC034C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0087"/>
    <w:rsid w:val="00F13E86"/>
    <w:rsid w:val="00F1772B"/>
    <w:rsid w:val="00F20B52"/>
    <w:rsid w:val="00F3037E"/>
    <w:rsid w:val="00F32FCB"/>
    <w:rsid w:val="00F33523"/>
    <w:rsid w:val="00F677A9"/>
    <w:rsid w:val="00F8121C"/>
    <w:rsid w:val="00F84CF5"/>
    <w:rsid w:val="00F851FD"/>
    <w:rsid w:val="00F8612E"/>
    <w:rsid w:val="00F94583"/>
    <w:rsid w:val="00FA420B"/>
    <w:rsid w:val="00FA7231"/>
    <w:rsid w:val="00FB6AEE"/>
    <w:rsid w:val="00FC3EAC"/>
    <w:rsid w:val="00FC5918"/>
    <w:rsid w:val="00FD1AD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47E140C"/>
  <w15:docId w15:val="{D7FFA5DA-9C27-42D3-9EFD-029F0901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B556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schedule">
    <w:name w:val="schedule"/>
    <w:basedOn w:val="Normal"/>
    <w:rsid w:val="002376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94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C3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C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C32"/>
    <w:rPr>
      <w:b/>
      <w:bCs/>
    </w:rPr>
  </w:style>
  <w:style w:type="paragraph" w:customStyle="1" w:styleId="Default">
    <w:name w:val="Default"/>
    <w:rsid w:val="00293A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43E8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622E2-98B5-4FA3-8D11-F0D4A4C6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10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HENNESSY, Rhondda</dc:creator>
  <cp:lastModifiedBy>NG, Jason</cp:lastModifiedBy>
  <cp:revision>18</cp:revision>
  <dcterms:created xsi:type="dcterms:W3CDTF">2021-05-10T22:02:00Z</dcterms:created>
  <dcterms:modified xsi:type="dcterms:W3CDTF">2021-05-27T06:58:00Z</dcterms:modified>
</cp:coreProperties>
</file>