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1B4F" w14:textId="77777777" w:rsidR="001F2A16" w:rsidRPr="008C0DCE" w:rsidRDefault="001F2A16" w:rsidP="008C0DCE">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sidRPr="008C0DCE">
        <w:rPr>
          <w:rFonts w:ascii="Arial" w:hAnsi="Arial" w:cs="Arial"/>
          <w:sz w:val="34"/>
          <w:szCs w:val="34"/>
        </w:rPr>
        <w:t>Explanatory Statement</w:t>
      </w:r>
    </w:p>
    <w:p w14:paraId="59F25997" w14:textId="01DF8780" w:rsidR="00AC2448" w:rsidRPr="008C0DCE" w:rsidRDefault="00AC2448" w:rsidP="008C0DCE">
      <w:pPr>
        <w:pStyle w:val="Header"/>
        <w:pBdr>
          <w:top w:val="double" w:sz="4" w:space="1" w:color="auto"/>
          <w:bottom w:val="double" w:sz="4" w:space="1" w:color="auto"/>
        </w:pBdr>
        <w:tabs>
          <w:tab w:val="clear" w:pos="4153"/>
          <w:tab w:val="clear" w:pos="8306"/>
        </w:tabs>
        <w:jc w:val="center"/>
        <w:rPr>
          <w:rFonts w:ascii="Arial" w:hAnsi="Arial" w:cs="Arial"/>
          <w:sz w:val="34"/>
          <w:szCs w:val="34"/>
        </w:rPr>
      </w:pPr>
    </w:p>
    <w:p w14:paraId="4847D72C" w14:textId="77777777" w:rsidR="008C0DCE" w:rsidRDefault="00564EB1" w:rsidP="008C0DCE">
      <w:pPr>
        <w:pBdr>
          <w:top w:val="double" w:sz="4" w:space="1" w:color="auto"/>
          <w:bottom w:val="double" w:sz="4" w:space="1" w:color="auto"/>
        </w:pBdr>
        <w:jc w:val="center"/>
        <w:rPr>
          <w:rFonts w:ascii="Arial" w:hAnsi="Arial" w:cs="Arial"/>
          <w:sz w:val="34"/>
          <w:szCs w:val="34"/>
        </w:rPr>
      </w:pPr>
      <w:bookmarkStart w:id="0" w:name="_Hlk51335226"/>
      <w:r w:rsidRPr="008C0DCE">
        <w:rPr>
          <w:rFonts w:ascii="Arial" w:hAnsi="Arial" w:cs="Arial"/>
          <w:sz w:val="34"/>
          <w:szCs w:val="34"/>
        </w:rPr>
        <w:t xml:space="preserve">Goods and Services Tax: Waiver of </w:t>
      </w:r>
      <w:r w:rsidR="00B32582" w:rsidRPr="008C0DCE">
        <w:rPr>
          <w:rFonts w:ascii="Arial" w:hAnsi="Arial" w:cs="Arial"/>
          <w:sz w:val="34"/>
          <w:szCs w:val="34"/>
        </w:rPr>
        <w:t xml:space="preserve">Adjustment Note </w:t>
      </w:r>
      <w:r w:rsidRPr="008C0DCE">
        <w:rPr>
          <w:rFonts w:ascii="Arial" w:hAnsi="Arial" w:cs="Arial"/>
          <w:sz w:val="34"/>
          <w:szCs w:val="34"/>
        </w:rPr>
        <w:t xml:space="preserve">Requirement </w:t>
      </w:r>
      <w:r w:rsidR="00EB4F8C" w:rsidRPr="008C0DCE">
        <w:rPr>
          <w:rFonts w:ascii="Arial" w:hAnsi="Arial" w:cs="Arial"/>
          <w:sz w:val="34"/>
          <w:szCs w:val="34"/>
        </w:rPr>
        <w:t xml:space="preserve">(eftpos Interchange Services Reports) </w:t>
      </w:r>
      <w:r w:rsidRPr="008C0DCE">
        <w:rPr>
          <w:rFonts w:ascii="Arial" w:hAnsi="Arial" w:cs="Arial"/>
          <w:sz w:val="34"/>
          <w:szCs w:val="34"/>
        </w:rPr>
        <w:t>Determination 202</w:t>
      </w:r>
      <w:r w:rsidR="00EB4F8C" w:rsidRPr="008C0DCE">
        <w:rPr>
          <w:rFonts w:ascii="Arial" w:hAnsi="Arial" w:cs="Arial"/>
          <w:sz w:val="34"/>
          <w:szCs w:val="34"/>
        </w:rPr>
        <w:t>1</w:t>
      </w:r>
      <w:bookmarkEnd w:id="0"/>
    </w:p>
    <w:p w14:paraId="15AC1B52" w14:textId="1160C3E5" w:rsidR="0099555F" w:rsidRPr="008C0DCE" w:rsidRDefault="0099555F" w:rsidP="008C0DCE">
      <w:pPr>
        <w:pStyle w:val="Header"/>
        <w:tabs>
          <w:tab w:val="clear" w:pos="4153"/>
          <w:tab w:val="clear" w:pos="8306"/>
        </w:tabs>
        <w:jc w:val="center"/>
        <w:rPr>
          <w:rFonts w:ascii="Arial" w:hAnsi="Arial" w:cs="Arial"/>
          <w:szCs w:val="24"/>
        </w:rPr>
      </w:pPr>
    </w:p>
    <w:p w14:paraId="15AC1B53" w14:textId="77777777" w:rsidR="001F2A16" w:rsidRPr="008C0DCE" w:rsidRDefault="001F2A16" w:rsidP="008C0DCE">
      <w:pPr>
        <w:pStyle w:val="Header"/>
        <w:tabs>
          <w:tab w:val="clear" w:pos="4153"/>
          <w:tab w:val="clear" w:pos="8306"/>
        </w:tabs>
        <w:jc w:val="center"/>
        <w:rPr>
          <w:rFonts w:ascii="Arial" w:hAnsi="Arial" w:cs="Arial"/>
          <w:szCs w:val="24"/>
        </w:rPr>
      </w:pPr>
    </w:p>
    <w:p w14:paraId="15AC1B54" w14:textId="12C4FC63" w:rsidR="00486653" w:rsidRPr="008C0DCE" w:rsidRDefault="00486653" w:rsidP="008C0DCE">
      <w:pPr>
        <w:pStyle w:val="Heading2"/>
      </w:pPr>
      <w:r w:rsidRPr="008C0DCE">
        <w:t xml:space="preserve">General Outline of </w:t>
      </w:r>
      <w:r w:rsidR="005F78D9" w:rsidRPr="008C0DCE">
        <w:t>Determination</w:t>
      </w:r>
    </w:p>
    <w:p w14:paraId="15AC1B56" w14:textId="43FCAEE9" w:rsidR="00486653" w:rsidRPr="008C0DCE" w:rsidRDefault="00486653" w:rsidP="008C0DCE">
      <w:pPr>
        <w:numPr>
          <w:ilvl w:val="0"/>
          <w:numId w:val="16"/>
        </w:numPr>
        <w:tabs>
          <w:tab w:val="clear" w:pos="360"/>
        </w:tabs>
        <w:spacing w:after="120"/>
        <w:ind w:left="0" w:firstLine="0"/>
        <w:rPr>
          <w:rFonts w:ascii="Arial" w:hAnsi="Arial" w:cs="Arial"/>
          <w:sz w:val="22"/>
          <w:szCs w:val="22"/>
        </w:rPr>
      </w:pPr>
      <w:r w:rsidRPr="008C0DCE">
        <w:rPr>
          <w:rFonts w:ascii="Arial" w:hAnsi="Arial" w:cs="Arial"/>
          <w:sz w:val="22"/>
          <w:szCs w:val="22"/>
        </w:rPr>
        <w:t xml:space="preserve">This </w:t>
      </w:r>
      <w:r w:rsidR="005F78D9" w:rsidRPr="008C0DCE">
        <w:rPr>
          <w:rFonts w:ascii="Arial" w:hAnsi="Arial" w:cs="Arial"/>
          <w:sz w:val="22"/>
          <w:szCs w:val="22"/>
        </w:rPr>
        <w:t>determination</w:t>
      </w:r>
      <w:r w:rsidRPr="008C0DCE">
        <w:rPr>
          <w:rFonts w:ascii="Arial" w:hAnsi="Arial" w:cs="Arial"/>
          <w:sz w:val="22"/>
          <w:szCs w:val="22"/>
        </w:rPr>
        <w:t xml:space="preserve"> is made under</w:t>
      </w:r>
      <w:r w:rsidR="00564EB1" w:rsidRPr="008C0DCE">
        <w:rPr>
          <w:rFonts w:ascii="Arial" w:hAnsi="Arial" w:cs="Arial"/>
          <w:sz w:val="22"/>
          <w:szCs w:val="22"/>
        </w:rPr>
        <w:t xml:space="preserve"> subsection 29-</w:t>
      </w:r>
      <w:r w:rsidR="00B32582" w:rsidRPr="008C0DCE">
        <w:rPr>
          <w:rFonts w:ascii="Arial" w:hAnsi="Arial" w:cs="Arial"/>
          <w:sz w:val="22"/>
          <w:szCs w:val="22"/>
        </w:rPr>
        <w:t>20</w:t>
      </w:r>
      <w:r w:rsidR="00564EB1" w:rsidRPr="008C0DCE">
        <w:rPr>
          <w:rFonts w:ascii="Arial" w:hAnsi="Arial" w:cs="Arial"/>
          <w:sz w:val="22"/>
          <w:szCs w:val="22"/>
        </w:rPr>
        <w:t xml:space="preserve">(3) of the </w:t>
      </w:r>
      <w:r w:rsidR="00564EB1" w:rsidRPr="008C0DCE">
        <w:rPr>
          <w:rFonts w:ascii="Arial" w:hAnsi="Arial" w:cs="Arial"/>
          <w:i/>
          <w:iCs/>
          <w:sz w:val="22"/>
          <w:szCs w:val="22"/>
        </w:rPr>
        <w:t>A New Tax System (Goods and Services Tax) Act 1999</w:t>
      </w:r>
      <w:r w:rsidR="00564EB1" w:rsidRPr="008C0DCE">
        <w:rPr>
          <w:rFonts w:ascii="Arial" w:hAnsi="Arial" w:cs="Arial"/>
          <w:sz w:val="22"/>
          <w:szCs w:val="22"/>
        </w:rPr>
        <w:t xml:space="preserve"> (GST Act).</w:t>
      </w:r>
    </w:p>
    <w:p w14:paraId="75AB6486" w14:textId="197A6599" w:rsidR="009371D0" w:rsidRPr="008C0DCE" w:rsidRDefault="00564EB1" w:rsidP="008C0DCE">
      <w:pPr>
        <w:numPr>
          <w:ilvl w:val="0"/>
          <w:numId w:val="16"/>
        </w:numPr>
        <w:tabs>
          <w:tab w:val="clear" w:pos="360"/>
        </w:tabs>
        <w:spacing w:after="120"/>
        <w:ind w:left="0" w:firstLine="0"/>
        <w:rPr>
          <w:rFonts w:ascii="Arial" w:hAnsi="Arial" w:cs="Arial"/>
          <w:sz w:val="22"/>
          <w:szCs w:val="22"/>
        </w:rPr>
      </w:pPr>
      <w:r w:rsidRPr="008C0DCE">
        <w:rPr>
          <w:rFonts w:ascii="Arial" w:hAnsi="Arial" w:cs="Arial"/>
          <w:sz w:val="22"/>
          <w:szCs w:val="22"/>
        </w:rPr>
        <w:t xml:space="preserve">This </w:t>
      </w:r>
      <w:r w:rsidR="005F78D9" w:rsidRPr="008C0DCE">
        <w:rPr>
          <w:rFonts w:ascii="Arial" w:hAnsi="Arial" w:cs="Arial"/>
          <w:sz w:val="22"/>
          <w:szCs w:val="22"/>
        </w:rPr>
        <w:t>determination</w:t>
      </w:r>
      <w:r w:rsidRPr="008C0DCE">
        <w:rPr>
          <w:rFonts w:ascii="Arial" w:hAnsi="Arial" w:cs="Arial"/>
          <w:sz w:val="22"/>
          <w:szCs w:val="22"/>
        </w:rPr>
        <w:t xml:space="preserve"> allows a member to </w:t>
      </w:r>
      <w:r w:rsidR="00B32582" w:rsidRPr="008C0DCE">
        <w:rPr>
          <w:rFonts w:ascii="Arial" w:hAnsi="Arial" w:cs="Arial"/>
          <w:sz w:val="22"/>
          <w:szCs w:val="22"/>
        </w:rPr>
        <w:t xml:space="preserve">attribute a decreasing adjustment arising from an adjustment event </w:t>
      </w:r>
      <w:r w:rsidR="005A56F9" w:rsidRPr="008C0DCE">
        <w:rPr>
          <w:rFonts w:ascii="Arial" w:hAnsi="Arial" w:cs="Arial"/>
          <w:sz w:val="22"/>
          <w:szCs w:val="22"/>
        </w:rPr>
        <w:t xml:space="preserve">in respect of an </w:t>
      </w:r>
      <w:r w:rsidR="00EB4F8C" w:rsidRPr="008C0DCE">
        <w:rPr>
          <w:rFonts w:ascii="Arial" w:hAnsi="Arial" w:cs="Arial"/>
          <w:sz w:val="22"/>
          <w:szCs w:val="22"/>
        </w:rPr>
        <w:t xml:space="preserve">eftpos </w:t>
      </w:r>
      <w:r w:rsidRPr="008C0DCE">
        <w:rPr>
          <w:rFonts w:ascii="Arial" w:hAnsi="Arial" w:cs="Arial"/>
          <w:sz w:val="22"/>
          <w:szCs w:val="22"/>
        </w:rPr>
        <w:t>interchange service without holding</w:t>
      </w:r>
      <w:r w:rsidR="00B32582" w:rsidRPr="008C0DCE">
        <w:rPr>
          <w:rFonts w:ascii="Arial" w:hAnsi="Arial" w:cs="Arial"/>
          <w:sz w:val="22"/>
          <w:szCs w:val="22"/>
        </w:rPr>
        <w:t xml:space="preserve"> an adjustment note </w:t>
      </w:r>
      <w:r w:rsidRPr="008C0DCE">
        <w:rPr>
          <w:rFonts w:ascii="Arial" w:hAnsi="Arial" w:cs="Arial"/>
          <w:sz w:val="22"/>
          <w:szCs w:val="22"/>
        </w:rPr>
        <w:t>in certain circumstances.</w:t>
      </w:r>
    </w:p>
    <w:p w14:paraId="15AC1B5F" w14:textId="52EADBBA" w:rsidR="00486653" w:rsidRPr="008C0DCE" w:rsidRDefault="00486653" w:rsidP="008C0DCE">
      <w:pPr>
        <w:numPr>
          <w:ilvl w:val="0"/>
          <w:numId w:val="16"/>
        </w:numPr>
        <w:tabs>
          <w:tab w:val="clear" w:pos="360"/>
        </w:tabs>
        <w:spacing w:after="120"/>
        <w:ind w:left="0" w:firstLine="0"/>
        <w:rPr>
          <w:rFonts w:ascii="Arial" w:hAnsi="Arial" w:cs="Arial"/>
          <w:sz w:val="22"/>
          <w:szCs w:val="22"/>
        </w:rPr>
      </w:pPr>
      <w:r w:rsidRPr="008C0DCE">
        <w:rPr>
          <w:rFonts w:ascii="Arial" w:hAnsi="Arial" w:cs="Arial"/>
          <w:sz w:val="22"/>
          <w:szCs w:val="22"/>
        </w:rPr>
        <w:t>Th</w:t>
      </w:r>
      <w:r w:rsidR="00B32582" w:rsidRPr="008C0DCE">
        <w:rPr>
          <w:rFonts w:ascii="Arial" w:hAnsi="Arial" w:cs="Arial"/>
          <w:sz w:val="22"/>
          <w:szCs w:val="22"/>
        </w:rPr>
        <w:t>is</w:t>
      </w:r>
      <w:r w:rsidRPr="008C0DCE">
        <w:rPr>
          <w:rFonts w:ascii="Arial" w:hAnsi="Arial" w:cs="Arial"/>
          <w:sz w:val="22"/>
          <w:szCs w:val="22"/>
        </w:rPr>
        <w:t xml:space="preserve"> </w:t>
      </w:r>
      <w:r w:rsidR="005F78D9" w:rsidRPr="008C0DCE">
        <w:rPr>
          <w:rFonts w:ascii="Arial" w:hAnsi="Arial" w:cs="Arial"/>
          <w:sz w:val="22"/>
          <w:szCs w:val="22"/>
        </w:rPr>
        <w:t>determination</w:t>
      </w:r>
      <w:r w:rsidRPr="008C0DCE">
        <w:rPr>
          <w:rFonts w:ascii="Arial" w:hAnsi="Arial" w:cs="Arial"/>
          <w:sz w:val="22"/>
          <w:szCs w:val="22"/>
        </w:rPr>
        <w:t xml:space="preserve"> is a legislative instrument for the purposes of the </w:t>
      </w:r>
      <w:r w:rsidR="00C4143E" w:rsidRPr="008C0DCE">
        <w:rPr>
          <w:rFonts w:ascii="Arial" w:hAnsi="Arial" w:cs="Arial"/>
          <w:i/>
          <w:sz w:val="22"/>
          <w:szCs w:val="22"/>
        </w:rPr>
        <w:t xml:space="preserve">Legislation </w:t>
      </w:r>
      <w:r w:rsidRPr="008C0DCE">
        <w:rPr>
          <w:rFonts w:ascii="Arial" w:hAnsi="Arial" w:cs="Arial"/>
          <w:i/>
          <w:sz w:val="22"/>
          <w:szCs w:val="22"/>
        </w:rPr>
        <w:t>Act 2003</w:t>
      </w:r>
      <w:r w:rsidRPr="008C0DCE">
        <w:rPr>
          <w:rFonts w:ascii="Arial" w:hAnsi="Arial" w:cs="Arial"/>
          <w:sz w:val="22"/>
          <w:szCs w:val="22"/>
        </w:rPr>
        <w:t>.</w:t>
      </w:r>
    </w:p>
    <w:p w14:paraId="15AC1B61" w14:textId="2EF1023B" w:rsidR="00B31550" w:rsidRPr="008C0DCE" w:rsidRDefault="00B31550" w:rsidP="008C0DCE">
      <w:pPr>
        <w:numPr>
          <w:ilvl w:val="0"/>
          <w:numId w:val="16"/>
        </w:numPr>
        <w:tabs>
          <w:tab w:val="clear" w:pos="360"/>
        </w:tabs>
        <w:spacing w:after="120"/>
        <w:ind w:left="0" w:firstLine="0"/>
        <w:rPr>
          <w:rFonts w:ascii="Arial" w:hAnsi="Arial" w:cs="Arial"/>
          <w:sz w:val="22"/>
          <w:szCs w:val="22"/>
        </w:rPr>
      </w:pPr>
      <w:r w:rsidRPr="008C0DCE">
        <w:rPr>
          <w:rFonts w:ascii="Arial" w:hAnsi="Arial" w:cs="Arial"/>
          <w:sz w:val="22"/>
          <w:szCs w:val="22"/>
        </w:rPr>
        <w:t xml:space="preserve">Under subsection 33(3) of the </w:t>
      </w:r>
      <w:r w:rsidRPr="008C0DCE">
        <w:rPr>
          <w:rFonts w:ascii="Arial" w:hAnsi="Arial" w:cs="Arial"/>
          <w:i/>
          <w:sz w:val="22"/>
          <w:szCs w:val="22"/>
        </w:rPr>
        <w:t>Acts Interpretation Act 1901</w:t>
      </w:r>
      <w:r w:rsidRPr="008C0DCE">
        <w:rPr>
          <w:rFonts w:ascii="Arial" w:hAnsi="Arial" w:cs="Arial"/>
          <w:sz w:val="22"/>
          <w:szCs w:val="22"/>
        </w:rPr>
        <w:t>, where an Act confers a power to make, grant or issue any instrument of a legislative or administrative character (including rules, regulations or by-laws)</w:t>
      </w:r>
      <w:r w:rsidR="00564EB1" w:rsidRPr="008C0DCE">
        <w:rPr>
          <w:rFonts w:ascii="Arial" w:hAnsi="Arial" w:cs="Arial"/>
          <w:sz w:val="22"/>
          <w:szCs w:val="22"/>
        </w:rPr>
        <w:t>,</w:t>
      </w:r>
      <w:r w:rsidRPr="008C0DCE">
        <w:rPr>
          <w:rFonts w:ascii="Arial" w:hAnsi="Arial" w:cs="Arial"/>
          <w:sz w:val="22"/>
          <w:szCs w:val="22"/>
        </w:rPr>
        <w:t xml:space="preserve"> the power shall be construed as including a power exercisable in the like manner and subject to the like conditions (if any) to repeal, rescind, revoke, amend, or vary any such instrument.</w:t>
      </w:r>
    </w:p>
    <w:p w14:paraId="15AC1B62" w14:textId="77777777" w:rsidR="006302F7" w:rsidRPr="008C0DCE" w:rsidRDefault="006302F7" w:rsidP="008C0DCE">
      <w:pPr>
        <w:spacing w:after="120"/>
        <w:rPr>
          <w:rFonts w:ascii="Arial" w:hAnsi="Arial" w:cs="Arial"/>
          <w:sz w:val="22"/>
          <w:szCs w:val="22"/>
        </w:rPr>
      </w:pPr>
    </w:p>
    <w:p w14:paraId="15AC1B63" w14:textId="77777777" w:rsidR="001D02E6" w:rsidRPr="008C0DCE" w:rsidRDefault="001D02E6" w:rsidP="008C0DCE">
      <w:pPr>
        <w:pStyle w:val="Heading2"/>
      </w:pPr>
      <w:r w:rsidRPr="008C0DCE">
        <w:t>Date of effect</w:t>
      </w:r>
    </w:p>
    <w:p w14:paraId="15AC1B65" w14:textId="61D0D114" w:rsidR="00222AFB" w:rsidRPr="008C0DCE" w:rsidRDefault="00222AFB" w:rsidP="008C0DCE">
      <w:pPr>
        <w:numPr>
          <w:ilvl w:val="0"/>
          <w:numId w:val="16"/>
        </w:numPr>
        <w:tabs>
          <w:tab w:val="clear" w:pos="360"/>
        </w:tabs>
        <w:spacing w:after="120"/>
        <w:ind w:left="0" w:firstLine="0"/>
        <w:rPr>
          <w:rFonts w:ascii="Arial" w:hAnsi="Arial" w:cs="Arial"/>
          <w:sz w:val="22"/>
          <w:szCs w:val="22"/>
        </w:rPr>
      </w:pPr>
      <w:r w:rsidRPr="008C0DCE">
        <w:rPr>
          <w:rFonts w:ascii="Arial" w:hAnsi="Arial" w:cs="Arial"/>
          <w:sz w:val="22"/>
          <w:szCs w:val="22"/>
        </w:rPr>
        <w:t xml:space="preserve">This </w:t>
      </w:r>
      <w:r w:rsidR="005F78D9" w:rsidRPr="008C0DCE">
        <w:rPr>
          <w:rFonts w:ascii="Arial" w:hAnsi="Arial" w:cs="Arial"/>
          <w:sz w:val="22"/>
          <w:szCs w:val="22"/>
        </w:rPr>
        <w:t>determination</w:t>
      </w:r>
      <w:r w:rsidRPr="008C0DCE">
        <w:rPr>
          <w:rFonts w:ascii="Arial" w:hAnsi="Arial" w:cs="Arial"/>
          <w:sz w:val="22"/>
          <w:szCs w:val="22"/>
        </w:rPr>
        <w:t xml:space="preserve"> commences on the day after it is registered on the Federal Register of Legislation.</w:t>
      </w:r>
    </w:p>
    <w:p w14:paraId="15AC1B6A" w14:textId="78E742C0" w:rsidR="001D02E6" w:rsidRPr="008C0DCE" w:rsidRDefault="001D02E6" w:rsidP="008C0DCE">
      <w:pPr>
        <w:numPr>
          <w:ilvl w:val="0"/>
          <w:numId w:val="16"/>
        </w:numPr>
        <w:tabs>
          <w:tab w:val="clear" w:pos="360"/>
        </w:tabs>
        <w:spacing w:after="120"/>
        <w:ind w:left="0" w:firstLine="0"/>
        <w:rPr>
          <w:rFonts w:ascii="Arial" w:hAnsi="Arial" w:cs="Arial"/>
          <w:i/>
          <w:sz w:val="22"/>
          <w:szCs w:val="22"/>
        </w:rPr>
      </w:pPr>
      <w:r w:rsidRPr="008C0DCE">
        <w:rPr>
          <w:rFonts w:ascii="Arial" w:hAnsi="Arial" w:cs="Arial"/>
          <w:sz w:val="22"/>
          <w:szCs w:val="22"/>
        </w:rPr>
        <w:t xml:space="preserve">Under section 12(2) of the </w:t>
      </w:r>
      <w:r w:rsidR="00B31550" w:rsidRPr="008C0DCE">
        <w:rPr>
          <w:rFonts w:ascii="Arial" w:hAnsi="Arial" w:cs="Arial"/>
          <w:i/>
          <w:sz w:val="22"/>
          <w:szCs w:val="22"/>
        </w:rPr>
        <w:t xml:space="preserve">Legislation </w:t>
      </w:r>
      <w:r w:rsidRPr="008C0DCE">
        <w:rPr>
          <w:rFonts w:ascii="Arial" w:hAnsi="Arial" w:cs="Arial"/>
          <w:i/>
          <w:sz w:val="22"/>
          <w:szCs w:val="22"/>
        </w:rPr>
        <w:t>Act 2003</w:t>
      </w:r>
      <w:r w:rsidR="007F5EED" w:rsidRPr="008C0DCE">
        <w:rPr>
          <w:rFonts w:ascii="Arial" w:hAnsi="Arial" w:cs="Arial"/>
          <w:iCs/>
          <w:sz w:val="22"/>
          <w:szCs w:val="22"/>
        </w:rPr>
        <w:t>,</w:t>
      </w:r>
      <w:r w:rsidRPr="008C0DCE">
        <w:rPr>
          <w:rFonts w:ascii="Arial" w:hAnsi="Arial" w:cs="Arial"/>
          <w:sz w:val="22"/>
          <w:szCs w:val="22"/>
        </w:rPr>
        <w:t xml:space="preserve"> </w:t>
      </w:r>
      <w:r w:rsidR="00021827" w:rsidRPr="008C0DCE">
        <w:rPr>
          <w:rFonts w:ascii="Arial" w:hAnsi="Arial" w:cs="Arial"/>
          <w:sz w:val="22"/>
          <w:szCs w:val="22"/>
        </w:rPr>
        <w:t xml:space="preserve">this </w:t>
      </w:r>
      <w:r w:rsidR="00F929B4" w:rsidRPr="008C0DCE">
        <w:rPr>
          <w:rFonts w:ascii="Arial" w:hAnsi="Arial" w:cs="Arial"/>
          <w:sz w:val="22"/>
          <w:szCs w:val="22"/>
        </w:rPr>
        <w:t>determination</w:t>
      </w:r>
      <w:r w:rsidRPr="008C0DCE">
        <w:rPr>
          <w:rFonts w:ascii="Arial" w:hAnsi="Arial" w:cs="Arial"/>
          <w:sz w:val="22"/>
          <w:szCs w:val="22"/>
        </w:rPr>
        <w:t xml:space="preserve"> does not adversely affect the rights or liabilities of any person other than the Commonwealth.</w:t>
      </w:r>
    </w:p>
    <w:p w14:paraId="15AC1B6B" w14:textId="77777777" w:rsidR="00486653" w:rsidRPr="008C0DCE" w:rsidRDefault="00486653" w:rsidP="008C0DCE">
      <w:pPr>
        <w:spacing w:after="120"/>
        <w:rPr>
          <w:rFonts w:ascii="Arial" w:hAnsi="Arial" w:cs="Arial"/>
          <w:sz w:val="22"/>
          <w:szCs w:val="22"/>
        </w:rPr>
      </w:pPr>
    </w:p>
    <w:p w14:paraId="068173B3" w14:textId="77777777" w:rsidR="008C0DCE" w:rsidRDefault="00486653" w:rsidP="008C0DCE">
      <w:pPr>
        <w:pStyle w:val="Heading2"/>
      </w:pPr>
      <w:bookmarkStart w:id="1" w:name="_Hlk51582078"/>
      <w:r w:rsidRPr="008C0DCE">
        <w:t>What is th</w:t>
      </w:r>
      <w:r w:rsidR="00F929B4" w:rsidRPr="008C0DCE">
        <w:t>is</w:t>
      </w:r>
      <w:r w:rsidRPr="008C0DCE">
        <w:t xml:space="preserve"> </w:t>
      </w:r>
      <w:r w:rsidR="005F78D9" w:rsidRPr="008C0DCE">
        <w:t>determination</w:t>
      </w:r>
      <w:r w:rsidR="00F47FBE" w:rsidRPr="008C0DCE">
        <w:t xml:space="preserve"> about?</w:t>
      </w:r>
      <w:bookmarkEnd w:id="1"/>
    </w:p>
    <w:p w14:paraId="0A0A5C97" w14:textId="0716888E" w:rsidR="00F47FBE" w:rsidRPr="008C0DCE" w:rsidRDefault="00F47FBE" w:rsidP="008C0DCE">
      <w:pPr>
        <w:numPr>
          <w:ilvl w:val="0"/>
          <w:numId w:val="16"/>
        </w:numPr>
        <w:tabs>
          <w:tab w:val="clear" w:pos="360"/>
        </w:tabs>
        <w:spacing w:after="120"/>
        <w:ind w:left="0" w:firstLine="0"/>
        <w:rPr>
          <w:rFonts w:ascii="Arial" w:hAnsi="Arial" w:cs="Arial"/>
          <w:sz w:val="22"/>
          <w:szCs w:val="22"/>
        </w:rPr>
      </w:pPr>
      <w:r w:rsidRPr="008C0DCE">
        <w:rPr>
          <w:rFonts w:ascii="Arial" w:hAnsi="Arial" w:cs="Arial"/>
          <w:sz w:val="22"/>
          <w:szCs w:val="22"/>
        </w:rPr>
        <w:t>The basic attribution rules in subsection 29-</w:t>
      </w:r>
      <w:r w:rsidR="00B32582" w:rsidRPr="008C0DCE">
        <w:rPr>
          <w:rFonts w:ascii="Arial" w:hAnsi="Arial" w:cs="Arial"/>
          <w:sz w:val="22"/>
          <w:szCs w:val="22"/>
        </w:rPr>
        <w:t>20</w:t>
      </w:r>
      <w:r w:rsidRPr="008C0DCE">
        <w:rPr>
          <w:rFonts w:ascii="Arial" w:hAnsi="Arial" w:cs="Arial"/>
          <w:sz w:val="22"/>
          <w:szCs w:val="22"/>
        </w:rPr>
        <w:t>(3) of the GST Act generally require an entity to hold a</w:t>
      </w:r>
      <w:r w:rsidR="00B32582" w:rsidRPr="008C0DCE">
        <w:rPr>
          <w:rFonts w:ascii="Arial" w:hAnsi="Arial" w:cs="Arial"/>
          <w:sz w:val="22"/>
          <w:szCs w:val="22"/>
        </w:rPr>
        <w:t xml:space="preserve">n adjustment note </w:t>
      </w:r>
      <w:r w:rsidRPr="008C0DCE">
        <w:rPr>
          <w:rFonts w:ascii="Arial" w:hAnsi="Arial" w:cs="Arial"/>
          <w:sz w:val="22"/>
          <w:szCs w:val="22"/>
        </w:rPr>
        <w:t xml:space="preserve">before being able to attribute the </w:t>
      </w:r>
      <w:r w:rsidR="00B32582" w:rsidRPr="008C0DCE">
        <w:rPr>
          <w:rFonts w:ascii="Arial" w:hAnsi="Arial" w:cs="Arial"/>
          <w:sz w:val="22"/>
          <w:szCs w:val="22"/>
        </w:rPr>
        <w:t>adjustment</w:t>
      </w:r>
      <w:r w:rsidRPr="008C0DCE">
        <w:rPr>
          <w:rFonts w:ascii="Arial" w:hAnsi="Arial" w:cs="Arial"/>
          <w:sz w:val="22"/>
          <w:szCs w:val="22"/>
        </w:rPr>
        <w:t xml:space="preserve"> (or any part of the </w:t>
      </w:r>
      <w:r w:rsidR="00037C8F" w:rsidRPr="008C0DCE">
        <w:rPr>
          <w:rFonts w:ascii="Arial" w:hAnsi="Arial" w:cs="Arial"/>
          <w:sz w:val="22"/>
          <w:szCs w:val="22"/>
        </w:rPr>
        <w:t>adjustment</w:t>
      </w:r>
      <w:r w:rsidRPr="008C0DCE">
        <w:rPr>
          <w:rFonts w:ascii="Arial" w:hAnsi="Arial" w:cs="Arial"/>
          <w:sz w:val="22"/>
          <w:szCs w:val="22"/>
        </w:rPr>
        <w:t>) to a tax period</w:t>
      </w:r>
      <w:r w:rsidR="009D6566" w:rsidRPr="008C0DCE">
        <w:rPr>
          <w:rFonts w:ascii="Arial" w:hAnsi="Arial" w:cs="Arial"/>
          <w:sz w:val="22"/>
          <w:szCs w:val="22"/>
        </w:rPr>
        <w:t xml:space="preserve"> if the decreasing adjustment arises from an adjustment event</w:t>
      </w:r>
      <w:r w:rsidRPr="008C0DCE">
        <w:rPr>
          <w:rFonts w:ascii="Arial" w:hAnsi="Arial" w:cs="Arial"/>
          <w:sz w:val="22"/>
          <w:szCs w:val="22"/>
        </w:rPr>
        <w:t>.</w:t>
      </w:r>
    </w:p>
    <w:p w14:paraId="02E3452C" w14:textId="66563C29" w:rsidR="00F47FBE" w:rsidRPr="008C0DCE" w:rsidRDefault="00F47FBE" w:rsidP="008C0DCE">
      <w:pPr>
        <w:numPr>
          <w:ilvl w:val="0"/>
          <w:numId w:val="16"/>
        </w:numPr>
        <w:tabs>
          <w:tab w:val="clear" w:pos="360"/>
        </w:tabs>
        <w:spacing w:after="120"/>
        <w:ind w:left="0" w:firstLine="0"/>
        <w:rPr>
          <w:rFonts w:ascii="Arial" w:hAnsi="Arial" w:cs="Arial"/>
          <w:sz w:val="22"/>
          <w:szCs w:val="22"/>
        </w:rPr>
      </w:pPr>
      <w:r w:rsidRPr="008C0DCE">
        <w:rPr>
          <w:rFonts w:ascii="Arial" w:hAnsi="Arial" w:cs="Arial"/>
          <w:sz w:val="22"/>
          <w:szCs w:val="22"/>
        </w:rPr>
        <w:t>Subsection 29-</w:t>
      </w:r>
      <w:r w:rsidR="00037C8F" w:rsidRPr="008C0DCE">
        <w:rPr>
          <w:rFonts w:ascii="Arial" w:hAnsi="Arial" w:cs="Arial"/>
          <w:sz w:val="22"/>
          <w:szCs w:val="22"/>
        </w:rPr>
        <w:t>20</w:t>
      </w:r>
      <w:r w:rsidRPr="008C0DCE">
        <w:rPr>
          <w:rFonts w:ascii="Arial" w:hAnsi="Arial" w:cs="Arial"/>
          <w:sz w:val="22"/>
          <w:szCs w:val="22"/>
        </w:rPr>
        <w:t xml:space="preserve">(3) of the GST Act also provides that the requirement to hold </w:t>
      </w:r>
      <w:r w:rsidR="00037C8F" w:rsidRPr="008C0DCE">
        <w:rPr>
          <w:rFonts w:ascii="Arial" w:hAnsi="Arial" w:cs="Arial"/>
          <w:sz w:val="22"/>
          <w:szCs w:val="22"/>
        </w:rPr>
        <w:t>an adjustment note</w:t>
      </w:r>
      <w:r w:rsidRPr="008C0DCE">
        <w:rPr>
          <w:rFonts w:ascii="Arial" w:hAnsi="Arial" w:cs="Arial"/>
          <w:sz w:val="22"/>
          <w:szCs w:val="22"/>
        </w:rPr>
        <w:t xml:space="preserve"> does not apply in circumstances of a kind determined in writing by the Commissioner to be circumstances in which the requirement for a</w:t>
      </w:r>
      <w:r w:rsidR="00037C8F" w:rsidRPr="008C0DCE">
        <w:rPr>
          <w:rFonts w:ascii="Arial" w:hAnsi="Arial" w:cs="Arial"/>
          <w:sz w:val="22"/>
          <w:szCs w:val="22"/>
        </w:rPr>
        <w:t xml:space="preserve">n adjustment note </w:t>
      </w:r>
      <w:r w:rsidRPr="008C0DCE">
        <w:rPr>
          <w:rFonts w:ascii="Arial" w:hAnsi="Arial" w:cs="Arial"/>
          <w:sz w:val="22"/>
          <w:szCs w:val="22"/>
        </w:rPr>
        <w:t>does not apply.</w:t>
      </w:r>
    </w:p>
    <w:p w14:paraId="3074961C" w14:textId="173E55CC" w:rsidR="009371D0" w:rsidRPr="008C0DCE" w:rsidRDefault="0017089F" w:rsidP="008C0DCE">
      <w:pPr>
        <w:numPr>
          <w:ilvl w:val="0"/>
          <w:numId w:val="16"/>
        </w:numPr>
        <w:tabs>
          <w:tab w:val="clear" w:pos="360"/>
        </w:tabs>
        <w:spacing w:after="120"/>
        <w:ind w:left="0" w:firstLine="0"/>
        <w:rPr>
          <w:rFonts w:ascii="Arial" w:hAnsi="Arial" w:cs="Arial"/>
          <w:sz w:val="22"/>
          <w:szCs w:val="22"/>
        </w:rPr>
      </w:pPr>
      <w:r w:rsidRPr="008C0DCE">
        <w:rPr>
          <w:rFonts w:ascii="Arial" w:hAnsi="Arial" w:cs="Arial"/>
          <w:sz w:val="22"/>
          <w:szCs w:val="22"/>
        </w:rPr>
        <w:t xml:space="preserve">This determination </w:t>
      </w:r>
      <w:r w:rsidR="004E5BEC">
        <w:rPr>
          <w:rFonts w:ascii="Arial" w:hAnsi="Arial" w:cs="Arial"/>
          <w:sz w:val="22"/>
          <w:szCs w:val="22"/>
        </w:rPr>
        <w:t>specifies when</w:t>
      </w:r>
      <w:r w:rsidR="004E5BEC" w:rsidRPr="008C0DCE">
        <w:rPr>
          <w:rFonts w:ascii="Arial" w:hAnsi="Arial" w:cs="Arial"/>
          <w:sz w:val="22"/>
          <w:szCs w:val="22"/>
        </w:rPr>
        <w:t xml:space="preserve"> </w:t>
      </w:r>
      <w:r w:rsidRPr="008C0DCE">
        <w:rPr>
          <w:rFonts w:ascii="Arial" w:hAnsi="Arial" w:cs="Arial"/>
          <w:sz w:val="22"/>
          <w:szCs w:val="22"/>
        </w:rPr>
        <w:t>the</w:t>
      </w:r>
      <w:r w:rsidR="004E5BEC">
        <w:rPr>
          <w:rFonts w:ascii="Arial" w:hAnsi="Arial" w:cs="Arial"/>
          <w:sz w:val="22"/>
          <w:szCs w:val="22"/>
        </w:rPr>
        <w:t>re is no</w:t>
      </w:r>
      <w:r w:rsidRPr="008C0DCE">
        <w:rPr>
          <w:rFonts w:ascii="Arial" w:hAnsi="Arial" w:cs="Arial"/>
          <w:sz w:val="22"/>
          <w:szCs w:val="22"/>
        </w:rPr>
        <w:t xml:space="preserve"> requirement to hold an adjustment note before being able to attribute a decreasing adjustment that relates to the acquisition of eftpos interchange services.</w:t>
      </w:r>
    </w:p>
    <w:p w14:paraId="7E5E6621" w14:textId="6468851A" w:rsidR="00F47FBE" w:rsidRPr="008C0DCE" w:rsidRDefault="00F47FBE" w:rsidP="008C0DCE">
      <w:pPr>
        <w:spacing w:after="120"/>
        <w:rPr>
          <w:rFonts w:ascii="Arial" w:hAnsi="Arial" w:cs="Arial"/>
          <w:sz w:val="22"/>
          <w:szCs w:val="22"/>
        </w:rPr>
      </w:pPr>
    </w:p>
    <w:p w14:paraId="4C6BD305" w14:textId="247D1EF0" w:rsidR="00F47FBE" w:rsidRPr="008C0DCE" w:rsidRDefault="00F47FBE" w:rsidP="008C0DCE">
      <w:pPr>
        <w:pStyle w:val="Heading2"/>
      </w:pPr>
      <w:r w:rsidRPr="008C0DCE">
        <w:t xml:space="preserve">What is the effect of this </w:t>
      </w:r>
      <w:r w:rsidR="005F78D9" w:rsidRPr="008C0DCE">
        <w:t>determination</w:t>
      </w:r>
      <w:r w:rsidRPr="008C0DCE">
        <w:t>?</w:t>
      </w:r>
    </w:p>
    <w:p w14:paraId="6DCC8042" w14:textId="6CEB7EA7" w:rsidR="00420546" w:rsidRPr="008C0DCE" w:rsidRDefault="004E5BEC" w:rsidP="008C0DCE">
      <w:pPr>
        <w:numPr>
          <w:ilvl w:val="0"/>
          <w:numId w:val="16"/>
        </w:numPr>
        <w:tabs>
          <w:tab w:val="clear" w:pos="360"/>
        </w:tabs>
        <w:spacing w:after="120"/>
        <w:ind w:left="0" w:firstLine="0"/>
        <w:rPr>
          <w:rFonts w:ascii="Arial" w:hAnsi="Arial" w:cs="Arial"/>
          <w:sz w:val="22"/>
          <w:szCs w:val="22"/>
        </w:rPr>
      </w:pPr>
      <w:r w:rsidRPr="008C0DCE">
        <w:rPr>
          <w:rFonts w:ascii="Arial" w:hAnsi="Arial" w:cs="Arial"/>
          <w:sz w:val="22"/>
          <w:szCs w:val="22"/>
        </w:rPr>
        <w:t>Th</w:t>
      </w:r>
      <w:r>
        <w:rPr>
          <w:rFonts w:ascii="Arial" w:hAnsi="Arial" w:cs="Arial"/>
          <w:sz w:val="22"/>
          <w:szCs w:val="22"/>
        </w:rPr>
        <w:t>e</w:t>
      </w:r>
      <w:r w:rsidRPr="008C0DCE">
        <w:rPr>
          <w:rFonts w:ascii="Arial" w:hAnsi="Arial" w:cs="Arial"/>
          <w:sz w:val="22"/>
          <w:szCs w:val="22"/>
        </w:rPr>
        <w:t xml:space="preserve"> </w:t>
      </w:r>
      <w:r>
        <w:rPr>
          <w:rFonts w:ascii="Arial" w:hAnsi="Arial" w:cs="Arial"/>
          <w:sz w:val="22"/>
          <w:szCs w:val="22"/>
        </w:rPr>
        <w:t xml:space="preserve">effect of this </w:t>
      </w:r>
      <w:r w:rsidR="00420546" w:rsidRPr="008C0DCE">
        <w:rPr>
          <w:rFonts w:ascii="Arial" w:hAnsi="Arial" w:cs="Arial"/>
          <w:sz w:val="22"/>
          <w:szCs w:val="22"/>
        </w:rPr>
        <w:t xml:space="preserve">determination </w:t>
      </w:r>
      <w:r>
        <w:rPr>
          <w:rFonts w:ascii="Arial" w:hAnsi="Arial" w:cs="Arial"/>
          <w:sz w:val="22"/>
          <w:szCs w:val="22"/>
        </w:rPr>
        <w:t>is</w:t>
      </w:r>
      <w:r w:rsidRPr="008C0DCE">
        <w:rPr>
          <w:rFonts w:ascii="Arial" w:hAnsi="Arial" w:cs="Arial"/>
          <w:sz w:val="22"/>
          <w:szCs w:val="22"/>
        </w:rPr>
        <w:t xml:space="preserve"> </w:t>
      </w:r>
      <w:r w:rsidR="00420546" w:rsidRPr="008C0DCE">
        <w:rPr>
          <w:rFonts w:ascii="Arial" w:hAnsi="Arial" w:cs="Arial"/>
          <w:sz w:val="22"/>
          <w:szCs w:val="22"/>
        </w:rPr>
        <w:t>that a member that satisfies the requirement</w:t>
      </w:r>
      <w:r>
        <w:rPr>
          <w:rFonts w:ascii="Arial" w:hAnsi="Arial" w:cs="Arial"/>
          <w:sz w:val="22"/>
          <w:szCs w:val="22"/>
        </w:rPr>
        <w:t>s</w:t>
      </w:r>
      <w:r w:rsidR="00420546" w:rsidRPr="008C0DCE">
        <w:rPr>
          <w:rFonts w:ascii="Arial" w:hAnsi="Arial" w:cs="Arial"/>
          <w:sz w:val="22"/>
          <w:szCs w:val="22"/>
        </w:rPr>
        <w:t xml:space="preserve"> in section </w:t>
      </w:r>
      <w:r>
        <w:rPr>
          <w:rFonts w:ascii="Arial" w:hAnsi="Arial" w:cs="Arial"/>
          <w:sz w:val="22"/>
          <w:szCs w:val="22"/>
        </w:rPr>
        <w:t>7</w:t>
      </w:r>
      <w:r w:rsidRPr="008C0DCE">
        <w:rPr>
          <w:rFonts w:ascii="Arial" w:hAnsi="Arial" w:cs="Arial"/>
          <w:sz w:val="22"/>
          <w:szCs w:val="22"/>
        </w:rPr>
        <w:t xml:space="preserve"> </w:t>
      </w:r>
      <w:r w:rsidR="00420546" w:rsidRPr="008C0DCE">
        <w:rPr>
          <w:rFonts w:ascii="Arial" w:hAnsi="Arial" w:cs="Arial"/>
          <w:sz w:val="22"/>
          <w:szCs w:val="22"/>
        </w:rPr>
        <w:t>of this determination</w:t>
      </w:r>
      <w:r>
        <w:rPr>
          <w:rFonts w:ascii="Arial" w:hAnsi="Arial" w:cs="Arial"/>
          <w:sz w:val="22"/>
          <w:szCs w:val="22"/>
        </w:rPr>
        <w:t xml:space="preserve"> is not required to hold an adjustment note in order to attribute a decreasing adjustment relating to the acquisition of eftpos interchange services</w:t>
      </w:r>
      <w:r w:rsidR="00420546" w:rsidRPr="008C0DCE">
        <w:rPr>
          <w:rFonts w:ascii="Arial" w:hAnsi="Arial" w:cs="Arial"/>
          <w:sz w:val="22"/>
          <w:szCs w:val="22"/>
        </w:rPr>
        <w:t>.</w:t>
      </w:r>
    </w:p>
    <w:p w14:paraId="0E05C5A4" w14:textId="18C72BA3" w:rsidR="00021827" w:rsidRPr="008C0DCE" w:rsidRDefault="00021827" w:rsidP="008C0DCE">
      <w:pPr>
        <w:spacing w:after="120"/>
        <w:rPr>
          <w:rFonts w:ascii="Arial" w:hAnsi="Arial" w:cs="Arial"/>
          <w:sz w:val="22"/>
          <w:szCs w:val="22"/>
        </w:rPr>
      </w:pPr>
    </w:p>
    <w:p w14:paraId="518DF82A" w14:textId="77777777" w:rsidR="008C0DCE" w:rsidRDefault="00640CC2" w:rsidP="008C0DCE">
      <w:pPr>
        <w:pStyle w:val="Heading2"/>
      </w:pPr>
      <w:r w:rsidRPr="008C0DCE">
        <w:t>Compliance cost assessment</w:t>
      </w:r>
    </w:p>
    <w:p w14:paraId="284C62AE" w14:textId="77777777" w:rsidR="008C0DCE" w:rsidRDefault="0068399C" w:rsidP="008C0DCE">
      <w:pPr>
        <w:numPr>
          <w:ilvl w:val="0"/>
          <w:numId w:val="48"/>
        </w:numPr>
        <w:tabs>
          <w:tab w:val="clear" w:pos="360"/>
        </w:tabs>
        <w:spacing w:after="120"/>
        <w:ind w:left="0" w:firstLine="0"/>
        <w:rPr>
          <w:rFonts w:ascii="Arial" w:hAnsi="Arial" w:cs="Arial"/>
          <w:sz w:val="22"/>
          <w:szCs w:val="22"/>
        </w:rPr>
      </w:pPr>
      <w:r w:rsidRPr="008C0DCE">
        <w:rPr>
          <w:rFonts w:ascii="Arial" w:hAnsi="Arial" w:cs="Arial"/>
          <w:sz w:val="22"/>
          <w:szCs w:val="22"/>
        </w:rPr>
        <w:t xml:space="preserve">Compliance Cost Impact: Minor – there will be minimal impact for both implementation and ongoing compliance costs. The </w:t>
      </w:r>
      <w:r w:rsidR="00EB4F8C" w:rsidRPr="008C0DCE">
        <w:rPr>
          <w:rFonts w:ascii="Arial" w:hAnsi="Arial" w:cs="Arial"/>
          <w:sz w:val="22"/>
          <w:szCs w:val="22"/>
        </w:rPr>
        <w:t>determination</w:t>
      </w:r>
      <w:r w:rsidRPr="008C0DCE">
        <w:rPr>
          <w:rFonts w:ascii="Arial" w:hAnsi="Arial" w:cs="Arial"/>
          <w:sz w:val="22"/>
          <w:szCs w:val="22"/>
        </w:rPr>
        <w:t xml:space="preserve"> is minor or machinery in nature.</w:t>
      </w:r>
    </w:p>
    <w:p w14:paraId="70D8C1CE" w14:textId="2BE1C2FD" w:rsidR="00021827" w:rsidRPr="008C0DCE" w:rsidRDefault="00021827" w:rsidP="008C0DCE">
      <w:pPr>
        <w:spacing w:after="120"/>
        <w:rPr>
          <w:rFonts w:ascii="Arial" w:hAnsi="Arial" w:cs="Arial"/>
          <w:sz w:val="22"/>
          <w:szCs w:val="22"/>
        </w:rPr>
      </w:pPr>
    </w:p>
    <w:p w14:paraId="15AC1B73" w14:textId="77777777" w:rsidR="00486653" w:rsidRPr="008C0DCE" w:rsidRDefault="00486653" w:rsidP="008C0DCE">
      <w:pPr>
        <w:pStyle w:val="Heading2"/>
      </w:pPr>
      <w:r w:rsidRPr="008C0DCE">
        <w:t>Background</w:t>
      </w:r>
    </w:p>
    <w:p w14:paraId="082DFD6C" w14:textId="73707905" w:rsidR="009371D0" w:rsidRPr="008C0DCE" w:rsidRDefault="00486653" w:rsidP="008C0DCE">
      <w:pPr>
        <w:numPr>
          <w:ilvl w:val="0"/>
          <w:numId w:val="48"/>
        </w:numPr>
        <w:tabs>
          <w:tab w:val="clear" w:pos="360"/>
        </w:tabs>
        <w:spacing w:after="120"/>
        <w:ind w:left="0" w:firstLine="0"/>
        <w:rPr>
          <w:rFonts w:ascii="Arial" w:eastAsia="Calibri" w:hAnsi="Arial" w:cs="Arial"/>
          <w:sz w:val="22"/>
          <w:szCs w:val="22"/>
          <w:lang w:eastAsia="en-US"/>
        </w:rPr>
      </w:pPr>
      <w:r w:rsidRPr="008C0DCE">
        <w:rPr>
          <w:rFonts w:ascii="Arial" w:hAnsi="Arial" w:cs="Arial"/>
          <w:sz w:val="22"/>
          <w:szCs w:val="22"/>
        </w:rPr>
        <w:t xml:space="preserve">This </w:t>
      </w:r>
      <w:r w:rsidR="005F78D9" w:rsidRPr="008C0DCE">
        <w:rPr>
          <w:rFonts w:ascii="Arial" w:hAnsi="Arial" w:cs="Arial"/>
          <w:sz w:val="22"/>
          <w:szCs w:val="22"/>
        </w:rPr>
        <w:t>determination</w:t>
      </w:r>
      <w:r w:rsidRPr="008C0DCE">
        <w:rPr>
          <w:rFonts w:ascii="Arial" w:hAnsi="Arial" w:cs="Arial"/>
          <w:sz w:val="22"/>
          <w:szCs w:val="22"/>
        </w:rPr>
        <w:t xml:space="preserve"> has been developed to</w:t>
      </w:r>
      <w:r w:rsidR="00A67B16" w:rsidRPr="008C0DCE">
        <w:rPr>
          <w:rFonts w:ascii="Arial" w:hAnsi="Arial" w:cs="Arial"/>
          <w:sz w:val="22"/>
          <w:szCs w:val="22"/>
        </w:rPr>
        <w:t xml:space="preserve"> reduce the compliance costs </w:t>
      </w:r>
      <w:r w:rsidR="00E80563" w:rsidRPr="008C0DCE">
        <w:rPr>
          <w:rFonts w:ascii="Arial" w:hAnsi="Arial" w:cs="Arial"/>
          <w:sz w:val="22"/>
          <w:szCs w:val="22"/>
        </w:rPr>
        <w:t>of</w:t>
      </w:r>
      <w:r w:rsidR="00A67B16" w:rsidRPr="008C0DCE">
        <w:rPr>
          <w:rFonts w:ascii="Arial" w:hAnsi="Arial" w:cs="Arial"/>
          <w:sz w:val="22"/>
          <w:szCs w:val="22"/>
        </w:rPr>
        <w:t xml:space="preserve"> members </w:t>
      </w:r>
      <w:r w:rsidR="00E80563" w:rsidRPr="008C0DCE">
        <w:rPr>
          <w:rFonts w:ascii="Arial" w:hAnsi="Arial" w:cs="Arial"/>
          <w:sz w:val="22"/>
          <w:szCs w:val="22"/>
        </w:rPr>
        <w:t>of the eftpos payment system</w:t>
      </w:r>
      <w:r w:rsidR="000425A2" w:rsidRPr="008C0DCE">
        <w:rPr>
          <w:rFonts w:ascii="Arial" w:hAnsi="Arial" w:cs="Arial"/>
          <w:sz w:val="22"/>
          <w:szCs w:val="22"/>
        </w:rPr>
        <w:t xml:space="preserve">. </w:t>
      </w:r>
    </w:p>
    <w:p w14:paraId="15AC1B76" w14:textId="28CE2A00" w:rsidR="00486653" w:rsidRPr="008C0DCE" w:rsidRDefault="00486653" w:rsidP="008C0DCE">
      <w:pPr>
        <w:spacing w:after="120"/>
        <w:rPr>
          <w:rFonts w:ascii="Arial" w:hAnsi="Arial" w:cs="Arial"/>
          <w:sz w:val="22"/>
          <w:szCs w:val="22"/>
        </w:rPr>
      </w:pPr>
    </w:p>
    <w:p w14:paraId="15AC1B77" w14:textId="77777777" w:rsidR="00486653" w:rsidRPr="008C0DCE" w:rsidRDefault="00E10B37" w:rsidP="008C0DCE">
      <w:pPr>
        <w:pStyle w:val="Heading2"/>
      </w:pPr>
      <w:r w:rsidRPr="008C0DCE">
        <w:t>Consultation</w:t>
      </w:r>
    </w:p>
    <w:p w14:paraId="30169E42" w14:textId="77777777" w:rsidR="007937DF" w:rsidRPr="008C0DCE" w:rsidRDefault="007937DF" w:rsidP="007937DF">
      <w:pPr>
        <w:numPr>
          <w:ilvl w:val="0"/>
          <w:numId w:val="48"/>
        </w:numPr>
        <w:tabs>
          <w:tab w:val="clear" w:pos="360"/>
        </w:tabs>
        <w:spacing w:after="120"/>
        <w:ind w:left="0" w:firstLine="0"/>
        <w:rPr>
          <w:rFonts w:ascii="Arial" w:hAnsi="Arial" w:cs="Arial"/>
          <w:sz w:val="22"/>
          <w:szCs w:val="22"/>
        </w:rPr>
      </w:pPr>
      <w:r w:rsidRPr="008C0DCE">
        <w:rPr>
          <w:rFonts w:ascii="Arial" w:hAnsi="Arial" w:cs="Arial"/>
          <w:sz w:val="22"/>
          <w:szCs w:val="22"/>
        </w:rPr>
        <w:t xml:space="preserve">Subsection 17(1) of the </w:t>
      </w:r>
      <w:r w:rsidRPr="008C0DCE">
        <w:rPr>
          <w:rFonts w:ascii="Arial" w:hAnsi="Arial" w:cs="Arial"/>
          <w:i/>
          <w:iCs/>
          <w:sz w:val="22"/>
          <w:szCs w:val="22"/>
        </w:rPr>
        <w:t>Legislation Act 2003</w:t>
      </w:r>
      <w:r w:rsidRPr="008C0DCE">
        <w:rPr>
          <w:rFonts w:ascii="Arial" w:hAnsi="Arial" w:cs="Arial"/>
          <w:sz w:val="22"/>
          <w:szCs w:val="22"/>
        </w:rPr>
        <w:t xml:space="preserve"> requires, before the making of a determination, that the Commissioner is satisfied that appropriate and reasonably practicable consultation has been undertaken.</w:t>
      </w:r>
    </w:p>
    <w:p w14:paraId="6EC215BA" w14:textId="77777777" w:rsidR="007937DF" w:rsidRPr="00F97DB7" w:rsidRDefault="007937DF" w:rsidP="007937DF">
      <w:pPr>
        <w:numPr>
          <w:ilvl w:val="0"/>
          <w:numId w:val="48"/>
        </w:numPr>
        <w:tabs>
          <w:tab w:val="clear" w:pos="360"/>
        </w:tabs>
        <w:spacing w:after="120"/>
        <w:ind w:left="0" w:firstLine="0"/>
        <w:rPr>
          <w:rFonts w:ascii="Arial" w:hAnsi="Arial" w:cs="Arial"/>
          <w:sz w:val="22"/>
          <w:szCs w:val="22"/>
        </w:rPr>
      </w:pPr>
      <w:r w:rsidRPr="00F97DB7">
        <w:rPr>
          <w:rFonts w:ascii="Arial" w:hAnsi="Arial" w:cs="Arial"/>
          <w:sz w:val="22"/>
          <w:szCs w:val="22"/>
        </w:rPr>
        <w:t>For this instrument, public consultation was undertaken for a period of 4 weeks commencing on 5 March 2021.</w:t>
      </w:r>
    </w:p>
    <w:p w14:paraId="26C872EA" w14:textId="77777777" w:rsidR="007937DF" w:rsidRPr="00F97DB7" w:rsidRDefault="007937DF" w:rsidP="007937DF">
      <w:pPr>
        <w:numPr>
          <w:ilvl w:val="0"/>
          <w:numId w:val="48"/>
        </w:numPr>
        <w:tabs>
          <w:tab w:val="clear" w:pos="360"/>
        </w:tabs>
        <w:spacing w:after="120"/>
        <w:ind w:left="0" w:firstLine="0"/>
        <w:rPr>
          <w:rFonts w:ascii="Arial" w:hAnsi="Arial" w:cs="Arial"/>
          <w:sz w:val="22"/>
          <w:szCs w:val="22"/>
        </w:rPr>
      </w:pPr>
      <w:r w:rsidRPr="00F97DB7">
        <w:rPr>
          <w:rFonts w:ascii="Arial" w:hAnsi="Arial" w:cs="Arial"/>
          <w:sz w:val="22"/>
          <w:szCs w:val="22"/>
        </w:rPr>
        <w:t>The draft instrument and draft explanatory statement were published on the ATO Legal database. Publication was advertised via the ‘What’s new’ page on that system and via the ‘Open Consultation’ page on ato.gov.au.  Major tax and superannuation publishers and associations monitor these pages and include the details in the daily and weekly Alerts and newsletters to their subscribers and members. This ensures advice of the draft is disseminated widely across the tax professional community, and that they are in an informed position to provide comments and feedback.</w:t>
      </w:r>
    </w:p>
    <w:p w14:paraId="72ED35AD" w14:textId="77777777" w:rsidR="007937DF" w:rsidRDefault="007937DF" w:rsidP="007937DF">
      <w:pPr>
        <w:numPr>
          <w:ilvl w:val="0"/>
          <w:numId w:val="48"/>
        </w:numPr>
        <w:tabs>
          <w:tab w:val="clear" w:pos="360"/>
        </w:tabs>
        <w:spacing w:after="120"/>
        <w:ind w:left="0" w:firstLine="0"/>
        <w:rPr>
          <w:rFonts w:ascii="Arial" w:hAnsi="Arial" w:cs="Arial"/>
          <w:sz w:val="22"/>
          <w:szCs w:val="22"/>
        </w:rPr>
      </w:pPr>
      <w:r w:rsidRPr="00F97DB7">
        <w:rPr>
          <w:rFonts w:ascii="Arial" w:hAnsi="Arial" w:cs="Arial"/>
          <w:sz w:val="22"/>
          <w:szCs w:val="22"/>
        </w:rPr>
        <w:t>No feedback was received.</w:t>
      </w:r>
    </w:p>
    <w:p w14:paraId="20265FB8" w14:textId="77777777" w:rsidR="00910595" w:rsidRPr="008C0DCE" w:rsidRDefault="00910595" w:rsidP="008C0DCE">
      <w:pPr>
        <w:spacing w:after="120"/>
        <w:rPr>
          <w:rFonts w:ascii="Arial" w:hAnsi="Arial" w:cs="Arial"/>
          <w:sz w:val="22"/>
          <w:szCs w:val="22"/>
        </w:rPr>
      </w:pPr>
    </w:p>
    <w:p w14:paraId="69FE8C27" w14:textId="77777777" w:rsidR="009371D0" w:rsidRPr="009365E6" w:rsidRDefault="007E0A01" w:rsidP="008C0DCE">
      <w:pPr>
        <w:pStyle w:val="Heading3"/>
        <w:rPr>
          <w:iCs/>
          <w:sz w:val="20"/>
          <w:szCs w:val="20"/>
        </w:rPr>
      </w:pPr>
      <w:r w:rsidRPr="009365E6">
        <w:rPr>
          <w:iCs/>
          <w:sz w:val="20"/>
          <w:szCs w:val="20"/>
        </w:rPr>
        <w:t>Legislative references</w:t>
      </w:r>
    </w:p>
    <w:p w14:paraId="15AC1B98" w14:textId="77777777" w:rsidR="0076271C" w:rsidRPr="009365E6" w:rsidRDefault="0076271C" w:rsidP="008C0DCE">
      <w:pPr>
        <w:rPr>
          <w:rFonts w:ascii="Arial" w:hAnsi="Arial" w:cs="Arial"/>
          <w:i/>
          <w:sz w:val="20"/>
        </w:rPr>
      </w:pPr>
      <w:r w:rsidRPr="009365E6">
        <w:rPr>
          <w:rFonts w:ascii="Arial" w:hAnsi="Arial" w:cs="Arial"/>
          <w:i/>
          <w:sz w:val="20"/>
        </w:rPr>
        <w:t>Acts Interpretation Act 1901</w:t>
      </w:r>
    </w:p>
    <w:p w14:paraId="5B402E0C" w14:textId="77777777" w:rsidR="00910595" w:rsidRPr="009365E6" w:rsidRDefault="0076271C" w:rsidP="008C0DCE">
      <w:pPr>
        <w:rPr>
          <w:rFonts w:ascii="Arial" w:hAnsi="Arial" w:cs="Arial"/>
          <w:i/>
          <w:sz w:val="20"/>
        </w:rPr>
      </w:pPr>
      <w:r w:rsidRPr="009365E6">
        <w:rPr>
          <w:rFonts w:ascii="Arial" w:hAnsi="Arial" w:cs="Arial"/>
          <w:i/>
          <w:sz w:val="20"/>
        </w:rPr>
        <w:t>A New Tax System (Goods and Services) Tax Act 1999</w:t>
      </w:r>
    </w:p>
    <w:p w14:paraId="2A168E8D" w14:textId="77777777" w:rsidR="00910595" w:rsidRPr="009365E6" w:rsidRDefault="0076271C" w:rsidP="008C0DCE">
      <w:pPr>
        <w:rPr>
          <w:rFonts w:ascii="Arial" w:hAnsi="Arial" w:cs="Arial"/>
          <w:i/>
          <w:sz w:val="20"/>
        </w:rPr>
      </w:pPr>
      <w:r w:rsidRPr="009365E6">
        <w:rPr>
          <w:rFonts w:ascii="Arial" w:hAnsi="Arial" w:cs="Arial"/>
          <w:i/>
          <w:sz w:val="20"/>
        </w:rPr>
        <w:t>Legislation Act 2003</w:t>
      </w:r>
    </w:p>
    <w:p w14:paraId="2414A896" w14:textId="77777777" w:rsidR="008C0DCE" w:rsidRPr="009365E6" w:rsidRDefault="008C04E5" w:rsidP="008C0DCE">
      <w:pPr>
        <w:spacing w:after="120"/>
        <w:rPr>
          <w:rFonts w:ascii="Arial" w:hAnsi="Arial" w:cs="Arial"/>
          <w:i/>
          <w:iCs/>
          <w:sz w:val="20"/>
        </w:rPr>
      </w:pPr>
      <w:r w:rsidRPr="009365E6">
        <w:rPr>
          <w:rFonts w:ascii="Arial" w:hAnsi="Arial" w:cs="Arial"/>
          <w:i/>
          <w:iCs/>
          <w:sz w:val="20"/>
        </w:rPr>
        <w:t>Human Rights (Parliamentary Scrutiny) Act 2011</w:t>
      </w:r>
    </w:p>
    <w:p w14:paraId="15AC1BA6" w14:textId="2B277733" w:rsidR="00101CD5" w:rsidRPr="008C0DCE" w:rsidRDefault="00101CD5" w:rsidP="008C0DCE">
      <w:pPr>
        <w:spacing w:after="120"/>
        <w:rPr>
          <w:rFonts w:ascii="Arial" w:hAnsi="Arial" w:cs="Arial"/>
          <w:i/>
          <w:iCs/>
          <w:sz w:val="22"/>
          <w:szCs w:val="22"/>
        </w:rPr>
      </w:pPr>
      <w:r w:rsidRPr="008C0DCE">
        <w:rPr>
          <w:rFonts w:ascii="Arial" w:hAnsi="Arial" w:cs="Arial"/>
          <w:i/>
          <w:iCs/>
          <w:sz w:val="22"/>
          <w:szCs w:val="22"/>
        </w:rPr>
        <w:br w:type="page"/>
      </w:r>
    </w:p>
    <w:p w14:paraId="15AC1BAC" w14:textId="6B4B8273" w:rsidR="00333567" w:rsidRPr="008C0DCE" w:rsidRDefault="00E53399" w:rsidP="008C0DCE">
      <w:pPr>
        <w:pStyle w:val="Heading3"/>
        <w:spacing w:before="0" w:after="120"/>
        <w:jc w:val="center"/>
        <w:rPr>
          <w:sz w:val="24"/>
        </w:rPr>
      </w:pPr>
      <w:r w:rsidRPr="008C0DCE">
        <w:rPr>
          <w:sz w:val="24"/>
        </w:rPr>
        <w:lastRenderedPageBreak/>
        <w:t xml:space="preserve">Statement of compatibility </w:t>
      </w:r>
      <w:r w:rsidR="00C11D03" w:rsidRPr="008C0DCE">
        <w:rPr>
          <w:sz w:val="24"/>
        </w:rPr>
        <w:t>with Human Rights</w:t>
      </w:r>
    </w:p>
    <w:p w14:paraId="15AC1BAD" w14:textId="32C2275D" w:rsidR="00E53399" w:rsidRPr="008C0DCE" w:rsidRDefault="004F5EB1" w:rsidP="008C0DCE">
      <w:pPr>
        <w:pStyle w:val="Heading3"/>
        <w:spacing w:before="0" w:after="120"/>
        <w:rPr>
          <w:iCs/>
          <w:sz w:val="24"/>
        </w:rPr>
      </w:pPr>
      <w:r w:rsidRPr="008C0DCE">
        <w:rPr>
          <w:b w:val="0"/>
          <w:sz w:val="22"/>
          <w:szCs w:val="20"/>
        </w:rPr>
        <w:t>P</w:t>
      </w:r>
      <w:r w:rsidR="00E53399" w:rsidRPr="008C0DCE">
        <w:rPr>
          <w:b w:val="0"/>
          <w:sz w:val="22"/>
          <w:szCs w:val="20"/>
        </w:rPr>
        <w:t xml:space="preserve">repared in accordance with Part 3 of the </w:t>
      </w:r>
      <w:r w:rsidR="00E53399" w:rsidRPr="008C0DCE">
        <w:rPr>
          <w:b w:val="0"/>
          <w:i/>
          <w:sz w:val="22"/>
          <w:szCs w:val="20"/>
        </w:rPr>
        <w:t>Human Rights (Parliamentary Scrutiny) Act 2011</w:t>
      </w:r>
      <w:r w:rsidR="0088606A" w:rsidRPr="008C0DCE">
        <w:rPr>
          <w:b w:val="0"/>
          <w:iCs/>
          <w:sz w:val="22"/>
          <w:szCs w:val="20"/>
        </w:rPr>
        <w:t>.</w:t>
      </w:r>
    </w:p>
    <w:p w14:paraId="15AC1BAE" w14:textId="68DA81E7" w:rsidR="00D77015" w:rsidRPr="008C0DCE" w:rsidRDefault="00D77015" w:rsidP="008C0DCE">
      <w:pPr>
        <w:spacing w:after="120"/>
        <w:rPr>
          <w:rFonts w:ascii="Arial" w:hAnsi="Arial" w:cs="Arial"/>
          <w:sz w:val="22"/>
          <w:szCs w:val="22"/>
        </w:rPr>
      </w:pPr>
    </w:p>
    <w:p w14:paraId="62415719" w14:textId="77777777" w:rsidR="008C0DCE" w:rsidRPr="00D250A1" w:rsidRDefault="003E0088" w:rsidP="008C0DCE">
      <w:pPr>
        <w:pStyle w:val="Heading2"/>
        <w:jc w:val="center"/>
        <w:rPr>
          <w:i/>
          <w:iCs/>
        </w:rPr>
      </w:pPr>
      <w:r w:rsidRPr="00D250A1">
        <w:rPr>
          <w:i/>
          <w:iCs/>
        </w:rPr>
        <w:t xml:space="preserve">Goods and Services Tax: Waiver of </w:t>
      </w:r>
      <w:r w:rsidR="006C0AC7" w:rsidRPr="00D250A1">
        <w:rPr>
          <w:i/>
          <w:iCs/>
        </w:rPr>
        <w:t xml:space="preserve">Adjustment Note </w:t>
      </w:r>
      <w:r w:rsidRPr="00D250A1">
        <w:rPr>
          <w:i/>
          <w:iCs/>
        </w:rPr>
        <w:t xml:space="preserve">Requirement </w:t>
      </w:r>
      <w:r w:rsidR="00BD0C43" w:rsidRPr="00D250A1">
        <w:rPr>
          <w:i/>
          <w:iCs/>
        </w:rPr>
        <w:br/>
        <w:t xml:space="preserve">(eftpos Interchange Services Reports) </w:t>
      </w:r>
      <w:r w:rsidRPr="00D250A1">
        <w:rPr>
          <w:i/>
          <w:iCs/>
        </w:rPr>
        <w:t xml:space="preserve">Determination </w:t>
      </w:r>
      <w:r w:rsidR="00BD0C43" w:rsidRPr="00D250A1">
        <w:rPr>
          <w:i/>
          <w:iCs/>
        </w:rPr>
        <w:t>2021</w:t>
      </w:r>
    </w:p>
    <w:p w14:paraId="54F9AC2D" w14:textId="3184E0AA" w:rsidR="009371D0" w:rsidRPr="008C0DCE" w:rsidRDefault="00075B58" w:rsidP="008C0DCE">
      <w:pPr>
        <w:autoSpaceDE w:val="0"/>
        <w:autoSpaceDN w:val="0"/>
        <w:adjustRightInd w:val="0"/>
        <w:spacing w:after="120"/>
        <w:rPr>
          <w:rFonts w:ascii="Arial" w:hAnsi="Arial" w:cs="Arial"/>
          <w:sz w:val="22"/>
        </w:rPr>
      </w:pPr>
      <w:r w:rsidRPr="008C0DCE">
        <w:rPr>
          <w:rFonts w:ascii="Arial" w:hAnsi="Arial" w:cs="Arial"/>
          <w:sz w:val="22"/>
        </w:rPr>
        <w:t xml:space="preserve">This Legislative Instrument is compatible with the human rights and freedoms recognised or declared in the international instruments listed in section 3 of the </w:t>
      </w:r>
      <w:r w:rsidRPr="008C0DCE">
        <w:rPr>
          <w:rFonts w:ascii="Arial" w:hAnsi="Arial" w:cs="Arial"/>
          <w:i/>
          <w:sz w:val="22"/>
        </w:rPr>
        <w:t>Human Righ</w:t>
      </w:r>
      <w:r w:rsidR="00101CD5" w:rsidRPr="008C0DCE">
        <w:rPr>
          <w:rFonts w:ascii="Arial" w:hAnsi="Arial" w:cs="Arial"/>
          <w:i/>
          <w:sz w:val="22"/>
        </w:rPr>
        <w:t>ts (Parliamentary Scrutiny) Act </w:t>
      </w:r>
      <w:r w:rsidRPr="008C0DCE">
        <w:rPr>
          <w:rFonts w:ascii="Arial" w:hAnsi="Arial" w:cs="Arial"/>
          <w:i/>
          <w:sz w:val="22"/>
        </w:rPr>
        <w:t>2011.</w:t>
      </w:r>
    </w:p>
    <w:p w14:paraId="15AC1BB2" w14:textId="6553A54F" w:rsidR="00075B58" w:rsidRPr="008C0DCE" w:rsidRDefault="00075B58" w:rsidP="008C0DCE">
      <w:pPr>
        <w:spacing w:after="120"/>
        <w:rPr>
          <w:rFonts w:ascii="Arial" w:hAnsi="Arial" w:cs="Arial"/>
          <w:sz w:val="22"/>
          <w:szCs w:val="22"/>
        </w:rPr>
      </w:pPr>
    </w:p>
    <w:p w14:paraId="15AC1BB3" w14:textId="77777777" w:rsidR="00075B58" w:rsidRPr="008C0DCE" w:rsidRDefault="00075B58" w:rsidP="008C0DCE">
      <w:pPr>
        <w:pStyle w:val="Heading2"/>
      </w:pPr>
      <w:r w:rsidRPr="008C0DCE">
        <w:t xml:space="preserve">Overview of </w:t>
      </w:r>
      <w:r w:rsidR="007E0A01" w:rsidRPr="008C0DCE">
        <w:t xml:space="preserve">the </w:t>
      </w:r>
      <w:r w:rsidRPr="008C0DCE">
        <w:t>Legislative Instrument</w:t>
      </w:r>
    </w:p>
    <w:p w14:paraId="43C80D83" w14:textId="7D76861E" w:rsidR="00645125" w:rsidRPr="008C0DCE" w:rsidRDefault="00645125" w:rsidP="008C0DCE">
      <w:pPr>
        <w:spacing w:after="120"/>
        <w:rPr>
          <w:rFonts w:ascii="Arial" w:hAnsi="Arial" w:cs="Arial"/>
          <w:bCs/>
          <w:sz w:val="22"/>
          <w:szCs w:val="22"/>
        </w:rPr>
      </w:pPr>
      <w:r w:rsidRPr="008C0DCE">
        <w:rPr>
          <w:rFonts w:ascii="Arial" w:hAnsi="Arial" w:cs="Arial"/>
          <w:bCs/>
          <w:sz w:val="22"/>
          <w:szCs w:val="22"/>
        </w:rPr>
        <w:t>The Commissioner determines under subsection 29-</w:t>
      </w:r>
      <w:r w:rsidR="006C0AC7" w:rsidRPr="008C0DCE">
        <w:rPr>
          <w:rFonts w:ascii="Arial" w:hAnsi="Arial" w:cs="Arial"/>
          <w:bCs/>
          <w:sz w:val="22"/>
          <w:szCs w:val="22"/>
        </w:rPr>
        <w:t>2</w:t>
      </w:r>
      <w:r w:rsidRPr="008C0DCE">
        <w:rPr>
          <w:rFonts w:ascii="Arial" w:hAnsi="Arial" w:cs="Arial"/>
          <w:bCs/>
          <w:sz w:val="22"/>
          <w:szCs w:val="22"/>
        </w:rPr>
        <w:t xml:space="preserve">0(3) of the </w:t>
      </w:r>
      <w:r w:rsidRPr="008C0DCE">
        <w:rPr>
          <w:rFonts w:ascii="Arial" w:hAnsi="Arial" w:cs="Arial"/>
          <w:bCs/>
          <w:i/>
          <w:iCs/>
          <w:sz w:val="22"/>
          <w:szCs w:val="22"/>
        </w:rPr>
        <w:t xml:space="preserve">A New Tax System (Goods and Services Tax) Act 1999 </w:t>
      </w:r>
      <w:r w:rsidRPr="008C0DCE">
        <w:rPr>
          <w:rFonts w:ascii="Arial" w:hAnsi="Arial" w:cs="Arial"/>
          <w:bCs/>
          <w:sz w:val="22"/>
          <w:szCs w:val="22"/>
        </w:rPr>
        <w:t xml:space="preserve">that the requirement to hold </w:t>
      </w:r>
      <w:r w:rsidR="006C0AC7" w:rsidRPr="008C0DCE">
        <w:rPr>
          <w:rFonts w:ascii="Arial" w:hAnsi="Arial" w:cs="Arial"/>
          <w:bCs/>
          <w:sz w:val="22"/>
          <w:szCs w:val="22"/>
        </w:rPr>
        <w:t>an adjustment note</w:t>
      </w:r>
      <w:r w:rsidRPr="008C0DCE">
        <w:rPr>
          <w:rFonts w:ascii="Arial" w:hAnsi="Arial" w:cs="Arial"/>
          <w:bCs/>
          <w:sz w:val="22"/>
          <w:szCs w:val="22"/>
        </w:rPr>
        <w:t xml:space="preserve"> does not apply in circumstances where a </w:t>
      </w:r>
      <w:r w:rsidRPr="008C0DCE">
        <w:rPr>
          <w:rFonts w:ascii="Arial" w:hAnsi="Arial" w:cs="Arial"/>
          <w:sz w:val="22"/>
          <w:szCs w:val="22"/>
        </w:rPr>
        <w:t xml:space="preserve">member </w:t>
      </w:r>
      <w:r w:rsidRPr="008C0DCE">
        <w:rPr>
          <w:rFonts w:ascii="Arial" w:hAnsi="Arial" w:cs="Arial"/>
          <w:bCs/>
          <w:sz w:val="22"/>
          <w:szCs w:val="22"/>
        </w:rPr>
        <w:t>holds a</w:t>
      </w:r>
      <w:r w:rsidR="00BD0C43" w:rsidRPr="008C0DCE">
        <w:rPr>
          <w:rFonts w:ascii="Arial" w:hAnsi="Arial" w:cs="Arial"/>
          <w:bCs/>
          <w:sz w:val="22"/>
          <w:szCs w:val="22"/>
        </w:rPr>
        <w:t xml:space="preserve">n </w:t>
      </w:r>
      <w:r w:rsidR="00BD0C43" w:rsidRPr="008C0DCE">
        <w:rPr>
          <w:rFonts w:ascii="Arial" w:hAnsi="Arial" w:cs="Arial"/>
          <w:sz w:val="22"/>
          <w:szCs w:val="22"/>
        </w:rPr>
        <w:t xml:space="preserve">eftpos </w:t>
      </w:r>
      <w:r w:rsidRPr="008C0DCE">
        <w:rPr>
          <w:rFonts w:ascii="Arial" w:hAnsi="Arial" w:cs="Arial"/>
          <w:sz w:val="22"/>
          <w:szCs w:val="22"/>
        </w:rPr>
        <w:t>interchange services report</w:t>
      </w:r>
      <w:r w:rsidRPr="008C0DCE">
        <w:rPr>
          <w:rFonts w:ascii="Arial" w:hAnsi="Arial" w:cs="Arial"/>
          <w:bCs/>
          <w:sz w:val="22"/>
          <w:szCs w:val="22"/>
        </w:rPr>
        <w:t xml:space="preserve"> that satisfies the requirement</w:t>
      </w:r>
      <w:bookmarkStart w:id="2" w:name="_GoBack"/>
      <w:bookmarkEnd w:id="2"/>
      <w:r w:rsidR="00B13B2A">
        <w:rPr>
          <w:rFonts w:ascii="Arial" w:hAnsi="Arial" w:cs="Arial"/>
          <w:bCs/>
          <w:sz w:val="22"/>
          <w:szCs w:val="22"/>
        </w:rPr>
        <w:t>s</w:t>
      </w:r>
      <w:r w:rsidRPr="008C0DCE">
        <w:rPr>
          <w:rFonts w:ascii="Arial" w:hAnsi="Arial" w:cs="Arial"/>
          <w:bCs/>
          <w:sz w:val="22"/>
          <w:szCs w:val="22"/>
        </w:rPr>
        <w:t xml:space="preserve"> set out in </w:t>
      </w:r>
      <w:r w:rsidR="005A56F9" w:rsidRPr="008C0DCE">
        <w:rPr>
          <w:rFonts w:ascii="Arial" w:hAnsi="Arial" w:cs="Arial"/>
          <w:bCs/>
          <w:sz w:val="22"/>
          <w:szCs w:val="22"/>
        </w:rPr>
        <w:t>section</w:t>
      </w:r>
      <w:r w:rsidR="00132BB0" w:rsidRPr="008C0DCE">
        <w:rPr>
          <w:rFonts w:ascii="Arial" w:hAnsi="Arial" w:cs="Arial"/>
          <w:bCs/>
          <w:sz w:val="22"/>
          <w:szCs w:val="22"/>
        </w:rPr>
        <w:t xml:space="preserve"> </w:t>
      </w:r>
      <w:r w:rsidR="00BD0C43" w:rsidRPr="008C0DCE">
        <w:rPr>
          <w:rFonts w:ascii="Arial" w:hAnsi="Arial" w:cs="Arial"/>
          <w:bCs/>
          <w:sz w:val="22"/>
          <w:szCs w:val="22"/>
        </w:rPr>
        <w:t xml:space="preserve">8 </w:t>
      </w:r>
      <w:r w:rsidRPr="008C0DCE">
        <w:rPr>
          <w:rFonts w:ascii="Arial" w:hAnsi="Arial" w:cs="Arial"/>
          <w:bCs/>
          <w:sz w:val="22"/>
          <w:szCs w:val="22"/>
        </w:rPr>
        <w:t xml:space="preserve">of the </w:t>
      </w:r>
      <w:r w:rsidR="005F78D9" w:rsidRPr="008C0DCE">
        <w:rPr>
          <w:rFonts w:ascii="Arial" w:hAnsi="Arial" w:cs="Arial"/>
          <w:bCs/>
          <w:sz w:val="22"/>
          <w:szCs w:val="22"/>
        </w:rPr>
        <w:t>determination</w:t>
      </w:r>
      <w:r w:rsidRPr="008C0DCE">
        <w:rPr>
          <w:rFonts w:ascii="Arial" w:hAnsi="Arial" w:cs="Arial"/>
          <w:bCs/>
          <w:sz w:val="22"/>
          <w:szCs w:val="22"/>
        </w:rPr>
        <w:t>.</w:t>
      </w:r>
    </w:p>
    <w:p w14:paraId="3D67527E" w14:textId="77777777" w:rsidR="00E26E3E" w:rsidRPr="008C0DCE" w:rsidRDefault="00E26E3E" w:rsidP="008C0DCE">
      <w:pPr>
        <w:spacing w:after="120"/>
        <w:rPr>
          <w:rFonts w:ascii="Arial" w:hAnsi="Arial" w:cs="Arial"/>
          <w:sz w:val="22"/>
          <w:szCs w:val="22"/>
        </w:rPr>
      </w:pPr>
    </w:p>
    <w:p w14:paraId="15AC1BB6" w14:textId="77777777" w:rsidR="00075B58" w:rsidRPr="008C0DCE" w:rsidRDefault="00075B58" w:rsidP="008C0DCE">
      <w:pPr>
        <w:pStyle w:val="Heading2"/>
      </w:pPr>
      <w:r w:rsidRPr="008C0DCE">
        <w:t>Human rights implications</w:t>
      </w:r>
    </w:p>
    <w:p w14:paraId="321ED89B" w14:textId="77777777" w:rsidR="008C0DCE" w:rsidRDefault="00075B58" w:rsidP="008C0DCE">
      <w:pPr>
        <w:spacing w:after="120"/>
        <w:rPr>
          <w:rFonts w:ascii="Arial" w:hAnsi="Arial" w:cs="Arial"/>
          <w:bCs/>
          <w:sz w:val="22"/>
          <w:szCs w:val="22"/>
        </w:rPr>
      </w:pPr>
      <w:r w:rsidRPr="008C0DCE">
        <w:rPr>
          <w:rFonts w:ascii="Arial" w:hAnsi="Arial" w:cs="Arial"/>
          <w:sz w:val="22"/>
        </w:rPr>
        <w:t xml:space="preserve">This Legislative Instrument does not engage any of the applicable rights or freedoms. </w:t>
      </w:r>
      <w:r w:rsidR="00E26E3E" w:rsidRPr="008C0DCE">
        <w:rPr>
          <w:rFonts w:ascii="Arial" w:hAnsi="Arial" w:cs="Arial"/>
          <w:bCs/>
          <w:sz w:val="22"/>
          <w:szCs w:val="22"/>
        </w:rPr>
        <w:t xml:space="preserve">It allows for a member to attribute </w:t>
      </w:r>
      <w:r w:rsidR="006C0AC7" w:rsidRPr="008C0DCE">
        <w:rPr>
          <w:rFonts w:ascii="Arial" w:hAnsi="Arial" w:cs="Arial"/>
          <w:bCs/>
          <w:sz w:val="22"/>
          <w:szCs w:val="22"/>
        </w:rPr>
        <w:t xml:space="preserve">a decreasing adjustment </w:t>
      </w:r>
      <w:r w:rsidR="003F4335" w:rsidRPr="008C0DCE">
        <w:rPr>
          <w:rFonts w:ascii="Arial" w:hAnsi="Arial" w:cs="Arial"/>
          <w:bCs/>
          <w:sz w:val="22"/>
          <w:szCs w:val="22"/>
        </w:rPr>
        <w:t xml:space="preserve">without holding an adjustment note </w:t>
      </w:r>
      <w:r w:rsidR="00E26E3E" w:rsidRPr="008C0DCE">
        <w:rPr>
          <w:rFonts w:ascii="Arial" w:hAnsi="Arial" w:cs="Arial"/>
          <w:bCs/>
          <w:sz w:val="22"/>
          <w:szCs w:val="22"/>
        </w:rPr>
        <w:t>in certain circumstances.</w:t>
      </w:r>
    </w:p>
    <w:p w14:paraId="62529A3A" w14:textId="7FB732A5" w:rsidR="00021827" w:rsidRPr="008C0DCE" w:rsidRDefault="00021827" w:rsidP="008C0DCE">
      <w:pPr>
        <w:spacing w:after="120"/>
        <w:rPr>
          <w:rFonts w:ascii="Arial" w:hAnsi="Arial" w:cs="Arial"/>
          <w:sz w:val="22"/>
          <w:szCs w:val="22"/>
        </w:rPr>
      </w:pPr>
    </w:p>
    <w:p w14:paraId="15AC1BB9" w14:textId="77777777" w:rsidR="00075B58" w:rsidRPr="008C0DCE" w:rsidRDefault="00075B58" w:rsidP="008C0DCE">
      <w:pPr>
        <w:pStyle w:val="Heading2"/>
      </w:pPr>
      <w:r w:rsidRPr="008C0DCE">
        <w:t>Conclusion</w:t>
      </w:r>
    </w:p>
    <w:p w14:paraId="19DB01FC" w14:textId="272E3C9D" w:rsidR="00101CD5" w:rsidRPr="008C0DCE" w:rsidRDefault="00075B58" w:rsidP="008C0DCE">
      <w:pPr>
        <w:spacing w:after="120"/>
        <w:rPr>
          <w:rFonts w:ascii="Arial" w:hAnsi="Arial" w:cs="Arial"/>
          <w:sz w:val="22"/>
          <w:szCs w:val="22"/>
        </w:rPr>
      </w:pPr>
      <w:r w:rsidRPr="008C0DCE">
        <w:rPr>
          <w:rFonts w:ascii="Arial" w:hAnsi="Arial" w:cs="Arial"/>
          <w:sz w:val="22"/>
          <w:szCs w:val="22"/>
        </w:rPr>
        <w:t>This Legislative Instrument is compatible with human rights as it does not raise any human rights issues.</w:t>
      </w:r>
    </w:p>
    <w:sectPr w:rsidR="00101CD5" w:rsidRPr="008C0DCE" w:rsidSect="00081520">
      <w:headerReference w:type="even" r:id="rId14"/>
      <w:headerReference w:type="default" r:id="rId15"/>
      <w:headerReference w:type="first" r:id="rId16"/>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C2192" w14:textId="77777777" w:rsidR="00B91AD5" w:rsidRDefault="00B91AD5">
      <w:r>
        <w:separator/>
      </w:r>
    </w:p>
  </w:endnote>
  <w:endnote w:type="continuationSeparator" w:id="0">
    <w:p w14:paraId="234D871D" w14:textId="77777777" w:rsidR="00B91AD5" w:rsidRDefault="00B9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F233A" w14:textId="77777777" w:rsidR="00B91AD5" w:rsidRDefault="00B91AD5">
      <w:r>
        <w:separator/>
      </w:r>
    </w:p>
  </w:footnote>
  <w:footnote w:type="continuationSeparator" w:id="0">
    <w:p w14:paraId="29B7F3A5" w14:textId="77777777" w:rsidR="00B91AD5" w:rsidRDefault="00B91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1BCA" w14:textId="77777777" w:rsidR="00587C50" w:rsidRPr="0067541C" w:rsidRDefault="00587C50">
    <w:pPr>
      <w:pStyle w:val="Header"/>
      <w:rPr>
        <w:rFonts w:ascii="Arial" w:hAnsi="Arial" w:cs="Arial"/>
        <w:sz w:val="52"/>
      </w:rPr>
    </w:pPr>
    <w:r w:rsidRPr="0067541C">
      <w:rPr>
        <w:rFonts w:ascii="Arial" w:hAnsi="Arial" w:cs="Arial"/>
        <w:sz w:val="20"/>
      </w:rPr>
      <w:t>Taxation Determination</w:t>
    </w:r>
  </w:p>
  <w:p w14:paraId="15AC1BCB" w14:textId="77777777" w:rsidR="00587C50" w:rsidRPr="0067541C" w:rsidRDefault="00587C50">
    <w:pPr>
      <w:pStyle w:val="Header"/>
      <w:rPr>
        <w:rFonts w:ascii="Arial" w:hAnsi="Arial" w:cs="Arial"/>
        <w:sz w:val="52"/>
      </w:rPr>
    </w:pPr>
    <w:r w:rsidRPr="0067541C">
      <w:rPr>
        <w:rFonts w:ascii="Arial" w:hAnsi="Arial" w:cs="Arial"/>
        <w:b/>
        <w:sz w:val="52"/>
      </w:rPr>
      <w:t xml:space="preserve">TD </w:t>
    </w:r>
    <w:r w:rsidRPr="0067541C">
      <w:rPr>
        <w:rFonts w:ascii="Arial" w:hAnsi="Arial" w:cs="Arial"/>
        <w:sz w:val="52"/>
      </w:rPr>
      <w:fldChar w:fldCharType="begin"/>
    </w:r>
    <w:r w:rsidRPr="0067541C">
      <w:rPr>
        <w:rFonts w:ascii="Arial" w:hAnsi="Arial" w:cs="Arial"/>
        <w:sz w:val="52"/>
      </w:rPr>
      <w:instrText xml:space="preserve"> REF CDocNum </w:instrText>
    </w:r>
    <w:r>
      <w:rPr>
        <w:rFonts w:ascii="Arial" w:hAnsi="Arial" w:cs="Arial"/>
        <w:sz w:val="52"/>
      </w:rPr>
      <w:instrText xml:space="preserve"> \* MERGEFORMAT </w:instrText>
    </w:r>
    <w:r w:rsidRPr="0067541C">
      <w:rPr>
        <w:rFonts w:ascii="Arial" w:hAnsi="Arial" w:cs="Arial"/>
        <w:sz w:val="52"/>
      </w:rPr>
      <w:fldChar w:fldCharType="end"/>
    </w:r>
  </w:p>
  <w:p w14:paraId="15AC1BCC" w14:textId="77777777"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45590D">
      <w:rPr>
        <w:rFonts w:ascii="Arial" w:hAnsi="Arial" w:cs="Arial"/>
        <w:noProof/>
        <w:snapToGrid w:val="0"/>
        <w:sz w:val="20"/>
        <w:lang w:eastAsia="en-US"/>
      </w:rPr>
      <w:t>5</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1BCD" w14:textId="77777777"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1BCE" w14:textId="51A2AB8D" w:rsidR="00146ED8" w:rsidRPr="00767CE8" w:rsidRDefault="00146ED8" w:rsidP="00767CE8">
    <w:pPr>
      <w:framePr w:w="3241" w:h="526" w:hSpace="180" w:wrap="around" w:vAnchor="page" w:hAnchor="page" w:x="7711" w:y="1141"/>
      <w:pBdr>
        <w:top w:val="single" w:sz="12" w:space="1" w:color="auto"/>
        <w:left w:val="single" w:sz="12" w:space="1" w:color="auto"/>
        <w:bottom w:val="single" w:sz="12" w:space="1" w:color="auto"/>
        <w:right w:val="single" w:sz="12" w:space="1" w:color="auto"/>
      </w:pBdr>
      <w:rPr>
        <w:rFonts w:ascii="Arial" w:hAnsi="Arial" w:cs="Arial"/>
        <w:sz w:val="22"/>
        <w:szCs w:val="22"/>
      </w:rPr>
    </w:pPr>
    <w:r w:rsidRPr="00767CE8">
      <w:rPr>
        <w:rFonts w:ascii="Arial" w:hAnsi="Arial" w:cs="Arial"/>
        <w:b/>
        <w:sz w:val="22"/>
        <w:szCs w:val="22"/>
      </w:rPr>
      <w:t xml:space="preserve">Instrument ID: </w:t>
    </w:r>
    <w:r w:rsidR="00C83446">
      <w:rPr>
        <w:rFonts w:ascii="Arial" w:hAnsi="Arial" w:cs="Arial"/>
        <w:b/>
        <w:sz w:val="22"/>
        <w:szCs w:val="22"/>
      </w:rPr>
      <w:t>2020</w:t>
    </w:r>
    <w:r w:rsidRPr="00767CE8">
      <w:rPr>
        <w:rFonts w:ascii="Arial" w:hAnsi="Arial" w:cs="Arial"/>
        <w:b/>
        <w:sz w:val="22"/>
        <w:szCs w:val="22"/>
      </w:rPr>
      <w:t>/</w:t>
    </w:r>
    <w:r w:rsidR="00C83446">
      <w:rPr>
        <w:rFonts w:ascii="Arial" w:hAnsi="Arial" w:cs="Arial"/>
        <w:b/>
        <w:sz w:val="22"/>
        <w:szCs w:val="22"/>
      </w:rPr>
      <w:t>GST</w:t>
    </w:r>
    <w:r w:rsidRPr="00767CE8">
      <w:rPr>
        <w:rFonts w:ascii="Arial" w:hAnsi="Arial" w:cs="Arial"/>
        <w:b/>
        <w:sz w:val="22"/>
        <w:szCs w:val="22"/>
      </w:rPr>
      <w:t>/</w:t>
    </w:r>
    <w:r w:rsidR="00C83446">
      <w:rPr>
        <w:rFonts w:ascii="Arial" w:hAnsi="Arial" w:cs="Arial"/>
        <w:b/>
        <w:sz w:val="22"/>
        <w:szCs w:val="22"/>
      </w:rPr>
      <w:t>0035</w:t>
    </w:r>
  </w:p>
  <w:p w14:paraId="15AC1BCF" w14:textId="77777777"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AC1BD1" wp14:editId="15AC1BD2">
          <wp:extent cx="2413635" cy="701675"/>
          <wp:effectExtent l="0" t="0" r="5715" b="3175"/>
          <wp:docPr id="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77777777" w:rsidR="00CC1833" w:rsidRPr="001A6644" w:rsidRDefault="00CC1833"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E555A7"/>
    <w:multiLevelType w:val="hybridMultilevel"/>
    <w:tmpl w:val="53F4446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B7EC8BD2">
      <w:start w:val="1"/>
      <w:numFmt w:val="decimal"/>
      <w:lvlText w:val="(%4)"/>
      <w:lvlJc w:val="lef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02AD9"/>
    <w:multiLevelType w:val="hybridMultilevel"/>
    <w:tmpl w:val="F6A0E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8" w15:restartNumberingAfterBreak="0">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9" w15:restartNumberingAfterBreak="0">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0674AFC"/>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16" w15:restartNumberingAfterBreak="0">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0" w15:restartNumberingAfterBreak="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1" w15:restartNumberingAfterBreak="0">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D4C35"/>
    <w:multiLevelType w:val="hybridMultilevel"/>
    <w:tmpl w:val="11983F5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1B">
      <w:start w:val="1"/>
      <w:numFmt w:val="lowerRoman"/>
      <w:lvlText w:val="%4."/>
      <w:lvlJc w:val="righ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3" w15:restartNumberingAfterBreak="0">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EC6F16"/>
    <w:multiLevelType w:val="hybridMultilevel"/>
    <w:tmpl w:val="BBC64A3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3FCC3903"/>
    <w:multiLevelType w:val="hybridMultilevel"/>
    <w:tmpl w:val="91142CF6"/>
    <w:lvl w:ilvl="0" w:tplc="8F10BC4C">
      <w:start w:val="1"/>
      <w:numFmt w:val="decimal"/>
      <w:lvlText w:val="%1."/>
      <w:lvlJc w:val="left"/>
      <w:pPr>
        <w:tabs>
          <w:tab w:val="num" w:pos="360"/>
        </w:tabs>
        <w:ind w:left="360" w:hanging="360"/>
      </w:pPr>
      <w:rPr>
        <w:rFonts w:hint="default"/>
        <w:b w:val="0"/>
        <w:i w:val="0"/>
        <w:color w:val="auto"/>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28" w15:restartNumberingAfterBreak="0">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4B5B30B7"/>
    <w:multiLevelType w:val="hybridMultilevel"/>
    <w:tmpl w:val="470858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A8178D"/>
    <w:multiLevelType w:val="hybridMultilevel"/>
    <w:tmpl w:val="768C5DE4"/>
    <w:lvl w:ilvl="0" w:tplc="02224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0A8750E"/>
    <w:multiLevelType w:val="hybridMultilevel"/>
    <w:tmpl w:val="C3BA6ABC"/>
    <w:lvl w:ilvl="0" w:tplc="A91E7E46">
      <w:start w:val="10"/>
      <w:numFmt w:val="decimal"/>
      <w:lvlText w:val="%1."/>
      <w:lvlJc w:val="left"/>
      <w:pPr>
        <w:tabs>
          <w:tab w:val="num" w:pos="360"/>
        </w:tabs>
        <w:ind w:left="360" w:hanging="360"/>
      </w:pPr>
      <w:rPr>
        <w:rFonts w:hint="default"/>
        <w:b w:val="0"/>
        <w:i w:val="0"/>
        <w:color w:val="auto"/>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6F7099B"/>
    <w:multiLevelType w:val="hybridMultilevel"/>
    <w:tmpl w:val="3DB83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36" w15:restartNumberingAfterBreak="0">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15:restartNumberingAfterBreak="0">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FD19AF"/>
    <w:multiLevelType w:val="hybridMultilevel"/>
    <w:tmpl w:val="04080700"/>
    <w:lvl w:ilvl="0" w:tplc="38684066">
      <w:start w:val="11"/>
      <w:numFmt w:val="decimal"/>
      <w:lvlText w:val="%1."/>
      <w:lvlJc w:val="left"/>
      <w:pPr>
        <w:tabs>
          <w:tab w:val="num" w:pos="360"/>
        </w:tabs>
        <w:ind w:left="360" w:hanging="360"/>
      </w:pPr>
      <w:rPr>
        <w:rFonts w:hint="default"/>
        <w:b w:val="0"/>
        <w:i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26"/>
  </w:num>
  <w:num w:numId="4">
    <w:abstractNumId w:val="43"/>
  </w:num>
  <w:num w:numId="5">
    <w:abstractNumId w:val="6"/>
  </w:num>
  <w:num w:numId="6">
    <w:abstractNumId w:val="14"/>
  </w:num>
  <w:num w:numId="7">
    <w:abstractNumId w:val="38"/>
  </w:num>
  <w:num w:numId="8">
    <w:abstractNumId w:val="37"/>
  </w:num>
  <w:num w:numId="9">
    <w:abstractNumId w:val="28"/>
  </w:num>
  <w:num w:numId="10">
    <w:abstractNumId w:val="23"/>
  </w:num>
  <w:num w:numId="11">
    <w:abstractNumId w:val="45"/>
  </w:num>
  <w:num w:numId="12">
    <w:abstractNumId w:val="39"/>
  </w:num>
  <w:num w:numId="13">
    <w:abstractNumId w:val="42"/>
  </w:num>
  <w:num w:numId="14">
    <w:abstractNumId w:val="41"/>
  </w:num>
  <w:num w:numId="15">
    <w:abstractNumId w:val="21"/>
  </w:num>
  <w:num w:numId="16">
    <w:abstractNumId w:val="25"/>
  </w:num>
  <w:num w:numId="17">
    <w:abstractNumId w:val="11"/>
  </w:num>
  <w:num w:numId="18">
    <w:abstractNumId w:val="17"/>
  </w:num>
  <w:num w:numId="19">
    <w:abstractNumId w:val="3"/>
  </w:num>
  <w:num w:numId="20">
    <w:abstractNumId w:val="1"/>
  </w:num>
  <w:num w:numId="21">
    <w:abstractNumId w:val="13"/>
  </w:num>
  <w:num w:numId="22">
    <w:abstractNumId w:val="35"/>
  </w:num>
  <w:num w:numId="23">
    <w:abstractNumId w:val="10"/>
  </w:num>
  <w:num w:numId="24">
    <w:abstractNumId w:val="20"/>
  </w:num>
  <w:num w:numId="25">
    <w:abstractNumId w:val="33"/>
  </w:num>
  <w:num w:numId="26">
    <w:abstractNumId w:val="31"/>
  </w:num>
  <w:num w:numId="27">
    <w:abstractNumId w:val="9"/>
  </w:num>
  <w:num w:numId="28">
    <w:abstractNumId w:val="36"/>
  </w:num>
  <w:num w:numId="29">
    <w:abstractNumId w:val="19"/>
  </w:num>
  <w:num w:numId="30">
    <w:abstractNumId w:val="15"/>
  </w:num>
  <w:num w:numId="31">
    <w:abstractNumId w:val="7"/>
  </w:num>
  <w:num w:numId="32">
    <w:abstractNumId w:val="0"/>
  </w:num>
  <w:num w:numId="33">
    <w:abstractNumId w:val="8"/>
  </w:num>
  <w:num w:numId="34">
    <w:abstractNumId w:val="27"/>
  </w:num>
  <w:num w:numId="35">
    <w:abstractNumId w:val="40"/>
  </w:num>
  <w:num w:numId="36">
    <w:abstractNumId w:val="18"/>
  </w:num>
  <w:num w:numId="37">
    <w:abstractNumId w:val="12"/>
  </w:num>
  <w:num w:numId="38">
    <w:abstractNumId w:val="22"/>
  </w:num>
  <w:num w:numId="39">
    <w:abstractNumId w:val="22"/>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0"/>
  </w:num>
  <w:num w:numId="43">
    <w:abstractNumId w:val="2"/>
  </w:num>
  <w:num w:numId="44">
    <w:abstractNumId w:val="5"/>
  </w:num>
  <w:num w:numId="45">
    <w:abstractNumId w:val="34"/>
  </w:num>
  <w:num w:numId="46">
    <w:abstractNumId w:val="29"/>
  </w:num>
  <w:num w:numId="47">
    <w:abstractNumId w:val="32"/>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117B2"/>
    <w:rsid w:val="0001796D"/>
    <w:rsid w:val="00017BF0"/>
    <w:rsid w:val="00021827"/>
    <w:rsid w:val="0002568B"/>
    <w:rsid w:val="00037C8F"/>
    <w:rsid w:val="000425A2"/>
    <w:rsid w:val="00043FA7"/>
    <w:rsid w:val="000552E8"/>
    <w:rsid w:val="00056585"/>
    <w:rsid w:val="00056712"/>
    <w:rsid w:val="0005674F"/>
    <w:rsid w:val="00063392"/>
    <w:rsid w:val="00065C6E"/>
    <w:rsid w:val="00072E6E"/>
    <w:rsid w:val="00073F1B"/>
    <w:rsid w:val="00075B58"/>
    <w:rsid w:val="00081520"/>
    <w:rsid w:val="00095B5B"/>
    <w:rsid w:val="00097D8D"/>
    <w:rsid w:val="000B11DD"/>
    <w:rsid w:val="000B1785"/>
    <w:rsid w:val="000C390A"/>
    <w:rsid w:val="000C77DD"/>
    <w:rsid w:val="000E295B"/>
    <w:rsid w:val="000E45A0"/>
    <w:rsid w:val="00101CD5"/>
    <w:rsid w:val="00107460"/>
    <w:rsid w:val="00112415"/>
    <w:rsid w:val="001134B4"/>
    <w:rsid w:val="00132BB0"/>
    <w:rsid w:val="0013678D"/>
    <w:rsid w:val="00140A34"/>
    <w:rsid w:val="00143129"/>
    <w:rsid w:val="00146ED8"/>
    <w:rsid w:val="0015108A"/>
    <w:rsid w:val="00157D45"/>
    <w:rsid w:val="00167202"/>
    <w:rsid w:val="0017089F"/>
    <w:rsid w:val="00176B7A"/>
    <w:rsid w:val="001828A4"/>
    <w:rsid w:val="001A3BE2"/>
    <w:rsid w:val="001C35E7"/>
    <w:rsid w:val="001C4578"/>
    <w:rsid w:val="001D02E6"/>
    <w:rsid w:val="001F0184"/>
    <w:rsid w:val="001F28A6"/>
    <w:rsid w:val="001F2A16"/>
    <w:rsid w:val="001F5069"/>
    <w:rsid w:val="001F6921"/>
    <w:rsid w:val="001F7C3E"/>
    <w:rsid w:val="00201969"/>
    <w:rsid w:val="002075C6"/>
    <w:rsid w:val="0021222C"/>
    <w:rsid w:val="00213FA5"/>
    <w:rsid w:val="0021496E"/>
    <w:rsid w:val="00221376"/>
    <w:rsid w:val="00222AFB"/>
    <w:rsid w:val="0023733A"/>
    <w:rsid w:val="0024044F"/>
    <w:rsid w:val="00240CFB"/>
    <w:rsid w:val="00245D00"/>
    <w:rsid w:val="00257F2D"/>
    <w:rsid w:val="00262F9F"/>
    <w:rsid w:val="00266D2D"/>
    <w:rsid w:val="0027331F"/>
    <w:rsid w:val="00283788"/>
    <w:rsid w:val="00285E76"/>
    <w:rsid w:val="002949C3"/>
    <w:rsid w:val="002A10A4"/>
    <w:rsid w:val="002A26FE"/>
    <w:rsid w:val="002A533F"/>
    <w:rsid w:val="002B1423"/>
    <w:rsid w:val="002C55BD"/>
    <w:rsid w:val="002F1257"/>
    <w:rsid w:val="0030208D"/>
    <w:rsid w:val="00310C61"/>
    <w:rsid w:val="003171B3"/>
    <w:rsid w:val="0032559D"/>
    <w:rsid w:val="00331616"/>
    <w:rsid w:val="00333567"/>
    <w:rsid w:val="00344575"/>
    <w:rsid w:val="0035113C"/>
    <w:rsid w:val="0035359B"/>
    <w:rsid w:val="00354525"/>
    <w:rsid w:val="00374385"/>
    <w:rsid w:val="00380CC4"/>
    <w:rsid w:val="003B6A2B"/>
    <w:rsid w:val="003C0686"/>
    <w:rsid w:val="003C2D10"/>
    <w:rsid w:val="003D08CF"/>
    <w:rsid w:val="003D0CBA"/>
    <w:rsid w:val="003D0F6A"/>
    <w:rsid w:val="003D4BA8"/>
    <w:rsid w:val="003E0088"/>
    <w:rsid w:val="003E5269"/>
    <w:rsid w:val="003F3122"/>
    <w:rsid w:val="003F4335"/>
    <w:rsid w:val="00405394"/>
    <w:rsid w:val="004066E4"/>
    <w:rsid w:val="0040680B"/>
    <w:rsid w:val="00407361"/>
    <w:rsid w:val="00417C55"/>
    <w:rsid w:val="00420546"/>
    <w:rsid w:val="00424A7B"/>
    <w:rsid w:val="004370DA"/>
    <w:rsid w:val="004447C1"/>
    <w:rsid w:val="00444AF9"/>
    <w:rsid w:val="00446AA8"/>
    <w:rsid w:val="0045590D"/>
    <w:rsid w:val="0046211F"/>
    <w:rsid w:val="0046787B"/>
    <w:rsid w:val="00473279"/>
    <w:rsid w:val="00486653"/>
    <w:rsid w:val="00493CA7"/>
    <w:rsid w:val="004A5FDA"/>
    <w:rsid w:val="004D098C"/>
    <w:rsid w:val="004D24A9"/>
    <w:rsid w:val="004D41FE"/>
    <w:rsid w:val="004E5357"/>
    <w:rsid w:val="004E5BEC"/>
    <w:rsid w:val="004F4A07"/>
    <w:rsid w:val="004F5EB1"/>
    <w:rsid w:val="004F6887"/>
    <w:rsid w:val="005030AD"/>
    <w:rsid w:val="0051249C"/>
    <w:rsid w:val="005176E7"/>
    <w:rsid w:val="00520330"/>
    <w:rsid w:val="0052252F"/>
    <w:rsid w:val="00524B6B"/>
    <w:rsid w:val="00526403"/>
    <w:rsid w:val="005413EE"/>
    <w:rsid w:val="00564EB1"/>
    <w:rsid w:val="00587443"/>
    <w:rsid w:val="00587C50"/>
    <w:rsid w:val="00590325"/>
    <w:rsid w:val="005917F3"/>
    <w:rsid w:val="005A56F9"/>
    <w:rsid w:val="005B0ACD"/>
    <w:rsid w:val="005B50A2"/>
    <w:rsid w:val="005C3408"/>
    <w:rsid w:val="005D611B"/>
    <w:rsid w:val="005D6E8D"/>
    <w:rsid w:val="005F1ACE"/>
    <w:rsid w:val="005F256D"/>
    <w:rsid w:val="005F78D9"/>
    <w:rsid w:val="0060183A"/>
    <w:rsid w:val="00603110"/>
    <w:rsid w:val="00611C8E"/>
    <w:rsid w:val="006302F7"/>
    <w:rsid w:val="00631F30"/>
    <w:rsid w:val="00640CC2"/>
    <w:rsid w:val="00642420"/>
    <w:rsid w:val="00645125"/>
    <w:rsid w:val="00646158"/>
    <w:rsid w:val="006513F4"/>
    <w:rsid w:val="0066622C"/>
    <w:rsid w:val="00666487"/>
    <w:rsid w:val="00673B37"/>
    <w:rsid w:val="0068399C"/>
    <w:rsid w:val="00692F90"/>
    <w:rsid w:val="006945EA"/>
    <w:rsid w:val="006B5470"/>
    <w:rsid w:val="006C0AC7"/>
    <w:rsid w:val="006D0138"/>
    <w:rsid w:val="006D02D6"/>
    <w:rsid w:val="006D6F52"/>
    <w:rsid w:val="006F1AA8"/>
    <w:rsid w:val="00701718"/>
    <w:rsid w:val="00710359"/>
    <w:rsid w:val="00712FFF"/>
    <w:rsid w:val="00722DBF"/>
    <w:rsid w:val="00735157"/>
    <w:rsid w:val="0076271C"/>
    <w:rsid w:val="00767CE8"/>
    <w:rsid w:val="00775490"/>
    <w:rsid w:val="007937DF"/>
    <w:rsid w:val="00795D0C"/>
    <w:rsid w:val="00797F42"/>
    <w:rsid w:val="007A524E"/>
    <w:rsid w:val="007A55BA"/>
    <w:rsid w:val="007C1FBD"/>
    <w:rsid w:val="007C54B3"/>
    <w:rsid w:val="007C5C8E"/>
    <w:rsid w:val="007D37CC"/>
    <w:rsid w:val="007E0A01"/>
    <w:rsid w:val="007E22F5"/>
    <w:rsid w:val="007F25F3"/>
    <w:rsid w:val="007F4901"/>
    <w:rsid w:val="007F5EED"/>
    <w:rsid w:val="00826DEB"/>
    <w:rsid w:val="00832A78"/>
    <w:rsid w:val="00836B02"/>
    <w:rsid w:val="008467D4"/>
    <w:rsid w:val="008503E1"/>
    <w:rsid w:val="00850FB0"/>
    <w:rsid w:val="0085238E"/>
    <w:rsid w:val="00853428"/>
    <w:rsid w:val="008540EA"/>
    <w:rsid w:val="00866A00"/>
    <w:rsid w:val="008702A6"/>
    <w:rsid w:val="008757CE"/>
    <w:rsid w:val="0088392C"/>
    <w:rsid w:val="0088606A"/>
    <w:rsid w:val="00897C0E"/>
    <w:rsid w:val="00897E31"/>
    <w:rsid w:val="008A046F"/>
    <w:rsid w:val="008A405A"/>
    <w:rsid w:val="008A6A6A"/>
    <w:rsid w:val="008B650A"/>
    <w:rsid w:val="008B787C"/>
    <w:rsid w:val="008B7C80"/>
    <w:rsid w:val="008C04E5"/>
    <w:rsid w:val="008C0DCE"/>
    <w:rsid w:val="008C1131"/>
    <w:rsid w:val="008C3898"/>
    <w:rsid w:val="008C66CC"/>
    <w:rsid w:val="008F344D"/>
    <w:rsid w:val="008F483C"/>
    <w:rsid w:val="00910595"/>
    <w:rsid w:val="00910756"/>
    <w:rsid w:val="00912D61"/>
    <w:rsid w:val="00915BC2"/>
    <w:rsid w:val="009322D7"/>
    <w:rsid w:val="00932BDE"/>
    <w:rsid w:val="009365E6"/>
    <w:rsid w:val="009371D0"/>
    <w:rsid w:val="00957E28"/>
    <w:rsid w:val="00967725"/>
    <w:rsid w:val="0098195F"/>
    <w:rsid w:val="009902F8"/>
    <w:rsid w:val="00993BB8"/>
    <w:rsid w:val="0099555F"/>
    <w:rsid w:val="009A22A1"/>
    <w:rsid w:val="009B1B8C"/>
    <w:rsid w:val="009B37F6"/>
    <w:rsid w:val="009B3A1B"/>
    <w:rsid w:val="009B6332"/>
    <w:rsid w:val="009C0912"/>
    <w:rsid w:val="009C7443"/>
    <w:rsid w:val="009D6566"/>
    <w:rsid w:val="009D6694"/>
    <w:rsid w:val="009F0300"/>
    <w:rsid w:val="00A15183"/>
    <w:rsid w:val="00A167A8"/>
    <w:rsid w:val="00A21F0A"/>
    <w:rsid w:val="00A26011"/>
    <w:rsid w:val="00A41FF0"/>
    <w:rsid w:val="00A506C2"/>
    <w:rsid w:val="00A62886"/>
    <w:rsid w:val="00A67B16"/>
    <w:rsid w:val="00A74C38"/>
    <w:rsid w:val="00A77D24"/>
    <w:rsid w:val="00A8572F"/>
    <w:rsid w:val="00A93E07"/>
    <w:rsid w:val="00A979CF"/>
    <w:rsid w:val="00AA4DF8"/>
    <w:rsid w:val="00AB780C"/>
    <w:rsid w:val="00AC2448"/>
    <w:rsid w:val="00AD0B0B"/>
    <w:rsid w:val="00AD5ADE"/>
    <w:rsid w:val="00AE7138"/>
    <w:rsid w:val="00AF4CAF"/>
    <w:rsid w:val="00B117BA"/>
    <w:rsid w:val="00B13B2A"/>
    <w:rsid w:val="00B15F23"/>
    <w:rsid w:val="00B16508"/>
    <w:rsid w:val="00B20D87"/>
    <w:rsid w:val="00B24053"/>
    <w:rsid w:val="00B31550"/>
    <w:rsid w:val="00B32582"/>
    <w:rsid w:val="00B50D29"/>
    <w:rsid w:val="00B578AC"/>
    <w:rsid w:val="00B62F06"/>
    <w:rsid w:val="00B6433F"/>
    <w:rsid w:val="00B64CF5"/>
    <w:rsid w:val="00B75301"/>
    <w:rsid w:val="00B76C9B"/>
    <w:rsid w:val="00B823A1"/>
    <w:rsid w:val="00B8428B"/>
    <w:rsid w:val="00B91AD5"/>
    <w:rsid w:val="00BA41F5"/>
    <w:rsid w:val="00BB3C9C"/>
    <w:rsid w:val="00BC3CEE"/>
    <w:rsid w:val="00BD0C43"/>
    <w:rsid w:val="00BE6416"/>
    <w:rsid w:val="00BF4822"/>
    <w:rsid w:val="00C01D22"/>
    <w:rsid w:val="00C06B63"/>
    <w:rsid w:val="00C104B6"/>
    <w:rsid w:val="00C10F02"/>
    <w:rsid w:val="00C114F4"/>
    <w:rsid w:val="00C11D03"/>
    <w:rsid w:val="00C31967"/>
    <w:rsid w:val="00C34C96"/>
    <w:rsid w:val="00C371DE"/>
    <w:rsid w:val="00C409AE"/>
    <w:rsid w:val="00C4143E"/>
    <w:rsid w:val="00C42D50"/>
    <w:rsid w:val="00C54DF8"/>
    <w:rsid w:val="00C60B49"/>
    <w:rsid w:val="00C7440A"/>
    <w:rsid w:val="00C74D86"/>
    <w:rsid w:val="00C83446"/>
    <w:rsid w:val="00C865ED"/>
    <w:rsid w:val="00C8775A"/>
    <w:rsid w:val="00CA0877"/>
    <w:rsid w:val="00CA6B59"/>
    <w:rsid w:val="00CB12A0"/>
    <w:rsid w:val="00CB3B6C"/>
    <w:rsid w:val="00CB75F1"/>
    <w:rsid w:val="00CC1833"/>
    <w:rsid w:val="00CC189F"/>
    <w:rsid w:val="00CC3368"/>
    <w:rsid w:val="00CF19C4"/>
    <w:rsid w:val="00CF2B0A"/>
    <w:rsid w:val="00D13C04"/>
    <w:rsid w:val="00D13F33"/>
    <w:rsid w:val="00D20A78"/>
    <w:rsid w:val="00D250A1"/>
    <w:rsid w:val="00D278BA"/>
    <w:rsid w:val="00D36F12"/>
    <w:rsid w:val="00D40454"/>
    <w:rsid w:val="00D4059C"/>
    <w:rsid w:val="00D53D8F"/>
    <w:rsid w:val="00D61C76"/>
    <w:rsid w:val="00D77015"/>
    <w:rsid w:val="00D82300"/>
    <w:rsid w:val="00D92B48"/>
    <w:rsid w:val="00DB1693"/>
    <w:rsid w:val="00DB69DB"/>
    <w:rsid w:val="00DD5B07"/>
    <w:rsid w:val="00DE6821"/>
    <w:rsid w:val="00DF2022"/>
    <w:rsid w:val="00DF34BE"/>
    <w:rsid w:val="00DF5D59"/>
    <w:rsid w:val="00E10B37"/>
    <w:rsid w:val="00E239E4"/>
    <w:rsid w:val="00E26E3E"/>
    <w:rsid w:val="00E36A38"/>
    <w:rsid w:val="00E53399"/>
    <w:rsid w:val="00E77995"/>
    <w:rsid w:val="00E80563"/>
    <w:rsid w:val="00E87099"/>
    <w:rsid w:val="00E97101"/>
    <w:rsid w:val="00EA28E6"/>
    <w:rsid w:val="00EA7522"/>
    <w:rsid w:val="00EB4F8C"/>
    <w:rsid w:val="00EF78C4"/>
    <w:rsid w:val="00F04CD7"/>
    <w:rsid w:val="00F22036"/>
    <w:rsid w:val="00F23E15"/>
    <w:rsid w:val="00F244A2"/>
    <w:rsid w:val="00F35064"/>
    <w:rsid w:val="00F374D8"/>
    <w:rsid w:val="00F47FBE"/>
    <w:rsid w:val="00F539FB"/>
    <w:rsid w:val="00F5684D"/>
    <w:rsid w:val="00F57AB6"/>
    <w:rsid w:val="00F6480F"/>
    <w:rsid w:val="00F64868"/>
    <w:rsid w:val="00F657B4"/>
    <w:rsid w:val="00F70C2E"/>
    <w:rsid w:val="00F84DF2"/>
    <w:rsid w:val="00F86713"/>
    <w:rsid w:val="00F929B4"/>
    <w:rsid w:val="00F932E0"/>
    <w:rsid w:val="00FA0EA8"/>
    <w:rsid w:val="00FB7701"/>
    <w:rsid w:val="00FC40F0"/>
    <w:rsid w:val="00FC6D3B"/>
    <w:rsid w:val="00FD0129"/>
    <w:rsid w:val="00FE17ED"/>
    <w:rsid w:val="00FF4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AC1B4F"/>
  <w15:docId w15:val="{C9309E70-B130-4D8F-A47F-5F79B840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9555F"/>
    <w:rPr>
      <w:sz w:val="24"/>
    </w:rPr>
  </w:style>
  <w:style w:type="paragraph" w:styleId="Heading2">
    <w:name w:val="heading 2"/>
    <w:basedOn w:val="Normal"/>
    <w:next w:val="Normal"/>
    <w:link w:val="Heading2Char"/>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uiPriority w:val="99"/>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semiHidden/>
    <w:rsid w:val="00640CC2"/>
  </w:style>
  <w:style w:type="character" w:customStyle="1" w:styleId="Heading2Char">
    <w:name w:val="Heading 2 Char"/>
    <w:basedOn w:val="DefaultParagraphFont"/>
    <w:link w:val="Heading2"/>
    <w:rsid w:val="00F47FBE"/>
    <w:rPr>
      <w:rFonts w:ascii="Arial" w:hAnsi="Arial" w:cs="Arial"/>
      <w:b/>
      <w:sz w:val="22"/>
      <w:szCs w:val="22"/>
    </w:rPr>
  </w:style>
  <w:style w:type="character" w:styleId="UnresolvedMention">
    <w:name w:val="Unresolved Mention"/>
    <w:basedOn w:val="DefaultParagraphFont"/>
    <w:uiPriority w:val="99"/>
    <w:semiHidden/>
    <w:unhideWhenUsed/>
    <w:rsid w:val="0088606A"/>
    <w:rPr>
      <w:color w:val="605E5C"/>
      <w:shd w:val="clear" w:color="auto" w:fill="E1DFDD"/>
    </w:rPr>
  </w:style>
  <w:style w:type="character" w:styleId="FollowedHyperlink">
    <w:name w:val="FollowedHyperlink"/>
    <w:basedOn w:val="DefaultParagraphFont"/>
    <w:semiHidden/>
    <w:unhideWhenUsed/>
    <w:rsid w:val="008860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494680">
      <w:bodyDiv w:val="1"/>
      <w:marLeft w:val="0"/>
      <w:marRight w:val="0"/>
      <w:marTop w:val="0"/>
      <w:marBottom w:val="0"/>
      <w:divBdr>
        <w:top w:val="none" w:sz="0" w:space="0" w:color="auto"/>
        <w:left w:val="none" w:sz="0" w:space="0" w:color="auto"/>
        <w:bottom w:val="none" w:sz="0" w:space="0" w:color="auto"/>
        <w:right w:val="none" w:sz="0" w:space="0" w:color="auto"/>
      </w:divBdr>
    </w:div>
    <w:div w:id="935017285">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493839204">
      <w:bodyDiv w:val="1"/>
      <w:marLeft w:val="0"/>
      <w:marRight w:val="0"/>
      <w:marTop w:val="0"/>
      <w:marBottom w:val="0"/>
      <w:divBdr>
        <w:top w:val="none" w:sz="0" w:space="0" w:color="auto"/>
        <w:left w:val="none" w:sz="0" w:space="0" w:color="auto"/>
        <w:bottom w:val="none" w:sz="0" w:space="0" w:color="auto"/>
        <w:right w:val="none" w:sz="0" w:space="0" w:color="auto"/>
      </w:divBdr>
    </w:div>
    <w:div w:id="1680934971">
      <w:bodyDiv w:val="1"/>
      <w:marLeft w:val="0"/>
      <w:marRight w:val="0"/>
      <w:marTop w:val="0"/>
      <w:marBottom w:val="0"/>
      <w:divBdr>
        <w:top w:val="none" w:sz="0" w:space="0" w:color="auto"/>
        <w:left w:val="none" w:sz="0" w:space="0" w:color="auto"/>
        <w:bottom w:val="none" w:sz="0" w:space="0" w:color="auto"/>
        <w:right w:val="none" w:sz="0" w:space="0" w:color="auto"/>
      </w:divBdr>
    </w:div>
    <w:div w:id="1743140341">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TaxCatchAll xmlns="5e039acd-daf0-4ba3-b421-e9b9ae1a3620">
      <Value>1</Value>
    </TaxCatchAll>
    <_dlc_ExpireDateSaved xmlns="http://schemas.microsoft.com/sharepoint/v3" xsi:nil="true"/>
    <_dlc_ExpireDate xmlns="http://schemas.microsoft.com/sharepoint/v3">2030-03-11T23:37:38+00:00</_dlc_ExpireDate>
    <_dlc_DocId xmlns="5e039acd-daf0-4ba3-b421-e9b9ae1a3620">5YHNKJZSV77T-1836078025-98</_dlc_DocId>
    <_dlc_DocIdUrl xmlns="5e039acd-daf0-4ba3-b421-e9b9ae1a3620">
      <Url>http://sharepoint/GASites/IntegratedTaxDesign/_layouts/DocIdRedir.aspx?ID=5YHNKJZSV77T-1836078025-98</Url>
      <Description>5YHNKJZSV77T-1836078025-98</Description>
    </_dlc_DocIdUrl>
    <Status xmlns="73f15a1b-1c2d-48b3-bd42-7790edb030af">Active</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5.xml><?xml version="1.0" encoding="utf-8"?>
<?mso-contentType ?>
<customXsn xmlns="http://schemas.microsoft.com/office/2006/metadata/customXsn">
  <xsnLocation/>
  <cached>True</cached>
  <openByDefault>False</openByDefault>
  <xsnScope>http://sharepoint</xsnScope>
</customXsn>
</file>

<file path=customXml/item6.xml><?xml version="1.0" encoding="utf-8"?>
<ct:contentTypeSchema xmlns:ct="http://schemas.microsoft.com/office/2006/metadata/contentType" xmlns:ma="http://schemas.microsoft.com/office/2006/metadata/properties/metaAttributes" ct:_="" ma:_="" ma:contentTypeName="Word" ma:contentTypeID="0x010100A64679C44DADA04984EEB770C479187300D671BAA6A2837143B656620068115792" ma:contentTypeVersion="25" ma:contentTypeDescription="" ma:contentTypeScope="" ma:versionID="6ce1968ccf2735bc2307e87f862e4992">
  <xsd:schema xmlns:xsd="http://www.w3.org/2001/XMLSchema" xmlns:xs="http://www.w3.org/2001/XMLSchema" xmlns:p="http://schemas.microsoft.com/office/2006/metadata/properties" xmlns:ns1="http://schemas.microsoft.com/sharepoint/v3" xmlns:ns2="5e039acd-daf0-4ba3-b421-e9b9ae1a3620" xmlns:ns3="73f15a1b-1c2d-48b3-bd42-7790edb030af" targetNamespace="http://schemas.microsoft.com/office/2006/metadata/properties" ma:root="true" ma:fieldsID="0fa5d1947a5e64abc8b203e03fa56932" ns1:_="" ns2:_="" ns3:_="">
    <xsd:import namespace="http://schemas.microsoft.com/sharepoint/v3"/>
    <xsd:import namespace="5e039acd-daf0-4ba3-b421-e9b9ae1a3620"/>
    <xsd:import namespace="73f15a1b-1c2d-48b3-bd42-7790edb030af"/>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element ref="ns3: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default="3110;#OFFICIAL|5d128361-bbb7-4b9a-ac60-b26612a0ec1b"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f15a1b-1c2d-48b3-bd42-7790edb030af" elementFormDefault="qualified">
    <xsd:import namespace="http://schemas.microsoft.com/office/2006/documentManagement/types"/>
    <xsd:import namespace="http://schemas.microsoft.com/office/infopath/2007/PartnerControls"/>
    <xsd:element name="Status" ma:index="18" ma:displayName="Status" ma:default="Active" ma:format="Dropdown" ma:internalName="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85714-5C5B-4717-9196-607E8D8B59D5}">
  <ds:schemaRefs>
    <ds:schemaRef ds:uri="http://schemas.microsoft.com/sharepoint/events"/>
  </ds:schemaRefs>
</ds:datastoreItem>
</file>

<file path=customXml/itemProps2.xml><?xml version="1.0" encoding="utf-8"?>
<ds:datastoreItem xmlns:ds="http://schemas.openxmlformats.org/officeDocument/2006/customXml" ds:itemID="{2CD597C1-B965-4E1A-A465-326C0C3A3173}">
  <ds:schemaRef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 ds:uri="http://schemas.microsoft.com/sharepoint/v3"/>
    <ds:schemaRef ds:uri="73f15a1b-1c2d-48b3-bd42-7790edb030af"/>
    <ds:schemaRef ds:uri="5e039acd-daf0-4ba3-b421-e9b9ae1a3620"/>
    <ds:schemaRef ds:uri="http://schemas.microsoft.com/office/2006/metadata/properties"/>
  </ds:schemaRefs>
</ds:datastoreItem>
</file>

<file path=customXml/itemProps3.xml><?xml version="1.0" encoding="utf-8"?>
<ds:datastoreItem xmlns:ds="http://schemas.openxmlformats.org/officeDocument/2006/customXml" ds:itemID="{A9D21B34-0B68-411B-A3EA-94C6FDB92CD2}">
  <ds:schemaRefs>
    <ds:schemaRef ds:uri="http://schemas.microsoft.com/sharepoint/v3/contenttype/forms"/>
  </ds:schemaRefs>
</ds:datastoreItem>
</file>

<file path=customXml/itemProps4.xml><?xml version="1.0" encoding="utf-8"?>
<ds:datastoreItem xmlns:ds="http://schemas.openxmlformats.org/officeDocument/2006/customXml" ds:itemID="{9092B523-521B-4F01-8DAB-0EC284B7888D}">
  <ds:schemaRefs>
    <ds:schemaRef ds:uri="office.server.policy"/>
  </ds:schemaRefs>
</ds:datastoreItem>
</file>

<file path=customXml/itemProps5.xml><?xml version="1.0" encoding="utf-8"?>
<ds:datastoreItem xmlns:ds="http://schemas.openxmlformats.org/officeDocument/2006/customXml" ds:itemID="{D3BF56F5-71FC-48FA-B98E-E9A58F8032CA}">
  <ds:schemaRefs>
    <ds:schemaRef ds:uri="http://schemas.microsoft.com/office/2006/metadata/customXsn"/>
  </ds:schemaRefs>
</ds:datastoreItem>
</file>

<file path=customXml/itemProps6.xml><?xml version="1.0" encoding="utf-8"?>
<ds:datastoreItem xmlns:ds="http://schemas.openxmlformats.org/officeDocument/2006/customXml" ds:itemID="{6E8303CE-A80B-48B6-BCEA-63B3C2764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73f15a1b-1c2d-48b3-bd42-7790edb03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CAFA2B4-F1BE-4128-A546-5E7CCC46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Taxation Office</Company>
  <LinksUpToDate>false</LinksUpToDate>
  <CharactersWithSpaces>4966</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Tammita</dc:creator>
  <cp:keywords/>
  <dc:description/>
  <cp:lastModifiedBy>Andrea Tammita</cp:lastModifiedBy>
  <cp:revision>3</cp:revision>
  <cp:lastPrinted>2017-04-21T01:19:00Z</cp:lastPrinted>
  <dcterms:created xsi:type="dcterms:W3CDTF">2021-04-29T05:24:00Z</dcterms:created>
  <dcterms:modified xsi:type="dcterms:W3CDTF">2021-05-19T07:23:00Z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0x010100A64679C44DADA04984EEB770C479187300D671BAA6A2837143B656620068115792</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fcbb74d9-da8b-45bf-9c94-0c3ff9f11397</vt:lpwstr>
  </property>
  <property fmtid="{D5CDD505-2E9C-101B-9397-08002B2CF9AE}" pid="6" name="TaxKeyword">
    <vt:lpwstr/>
  </property>
  <property fmtid="{D5CDD505-2E9C-101B-9397-08002B2CF9AE}" pid="7" name="Security Classification">
    <vt:lpwstr>1;#UNCLASSIFIED|1bbb598d-ed8e-4faa-b9b5-c952cc7313f8</vt:lpwstr>
  </property>
  <property fmtid="{D5CDD505-2E9C-101B-9397-08002B2CF9AE}" pid="8" name="_DocHome">
    <vt:i4>-2097574561</vt:i4>
  </property>
</Properties>
</file>