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58" w:rsidRPr="00920058" w:rsidRDefault="00920058" w:rsidP="00920058">
      <w:pPr>
        <w:spacing w:after="0"/>
        <w:jc w:val="center"/>
        <w:rPr>
          <w:rFonts w:ascii="Times New Roman" w:hAnsi="Times New Roman" w:cs="Times New Roman"/>
          <w:b/>
          <w:sz w:val="28"/>
          <w:szCs w:val="28"/>
        </w:rPr>
      </w:pPr>
      <w:r w:rsidRPr="00920058">
        <w:rPr>
          <w:rFonts w:ascii="Times New Roman" w:hAnsi="Times New Roman" w:cs="Times New Roman"/>
          <w:b/>
          <w:sz w:val="28"/>
          <w:szCs w:val="28"/>
        </w:rPr>
        <w:t>Replacement Explanatory Statement</w:t>
      </w:r>
    </w:p>
    <w:p w:rsidR="00920058" w:rsidRDefault="00920058" w:rsidP="00920058">
      <w:pPr>
        <w:spacing w:after="0"/>
        <w:rPr>
          <w:rFonts w:ascii="Times New Roman" w:hAnsi="Times New Roman" w:cs="Times New Roman"/>
          <w:sz w:val="24"/>
          <w:szCs w:val="24"/>
        </w:rPr>
      </w:pPr>
    </w:p>
    <w:p w:rsidR="00920058" w:rsidRDefault="00920058" w:rsidP="00920058">
      <w:pPr>
        <w:spacing w:after="0"/>
        <w:rPr>
          <w:rFonts w:ascii="Times New Roman" w:hAnsi="Times New Roman" w:cs="Times New Roman"/>
          <w:sz w:val="24"/>
          <w:szCs w:val="24"/>
        </w:rPr>
      </w:pPr>
    </w:p>
    <w:p w:rsidR="00920058" w:rsidRDefault="00920058" w:rsidP="00920058">
      <w:pPr>
        <w:spacing w:after="0"/>
        <w:rPr>
          <w:rFonts w:ascii="Times New Roman" w:hAnsi="Times New Roman" w:cs="Times New Roman"/>
          <w:sz w:val="24"/>
          <w:szCs w:val="24"/>
        </w:rPr>
      </w:pPr>
    </w:p>
    <w:p w:rsidR="00920058" w:rsidRDefault="00920058" w:rsidP="00920058">
      <w:pPr>
        <w:spacing w:after="0"/>
        <w:rPr>
          <w:rFonts w:ascii="Times New Roman" w:hAnsi="Times New Roman" w:cs="Times New Roman"/>
          <w:sz w:val="24"/>
          <w:szCs w:val="24"/>
        </w:rPr>
      </w:pPr>
    </w:p>
    <w:p w:rsidR="00920058" w:rsidRDefault="00920058" w:rsidP="00920058">
      <w:p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Amendment Instrument 2021 (No.1)</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rPr>
          <w:rFonts w:ascii="Times New Roman" w:hAnsi="Times New Roman" w:cs="Times New Roman"/>
          <w:sz w:val="24"/>
          <w:szCs w:val="24"/>
        </w:rPr>
      </w:pPr>
    </w:p>
    <w:p w:rsidR="00920058" w:rsidRDefault="00920058" w:rsidP="00920058">
      <w:pPr>
        <w:spacing w:after="0"/>
        <w:rPr>
          <w:rFonts w:ascii="Times New Roman" w:hAnsi="Times New Roman" w:cs="Times New Roman"/>
          <w:sz w:val="24"/>
          <w:szCs w:val="24"/>
        </w:rPr>
      </w:pPr>
      <w:r w:rsidRPr="00920058">
        <w:rPr>
          <w:rFonts w:ascii="Times New Roman" w:hAnsi="Times New Roman" w:cs="Times New Roman"/>
          <w:sz w:val="24"/>
          <w:szCs w:val="24"/>
        </w:rPr>
        <w:t>Approved by The Hon Kevin Hogan MP, Assistant Minister to the Deputy Prime Minister</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rPr>
          <w:rFonts w:ascii="Times New Roman" w:hAnsi="Times New Roman" w:cs="Times New Roman"/>
          <w:sz w:val="24"/>
          <w:szCs w:val="24"/>
        </w:rPr>
      </w:pPr>
    </w:p>
    <w:p w:rsidR="00920058" w:rsidRPr="00920058" w:rsidRDefault="00920058" w:rsidP="00920058">
      <w:pPr>
        <w:spacing w:after="0"/>
        <w:jc w:val="center"/>
        <w:rPr>
          <w:rFonts w:ascii="Times New Roman" w:hAnsi="Times New Roman" w:cs="Times New Roman"/>
          <w:b/>
          <w:sz w:val="28"/>
          <w:szCs w:val="28"/>
        </w:rPr>
      </w:pPr>
      <w:r w:rsidRPr="00920058">
        <w:rPr>
          <w:rFonts w:ascii="Times New Roman" w:hAnsi="Times New Roman" w:cs="Times New Roman"/>
          <w:b/>
          <w:sz w:val="28"/>
          <w:szCs w:val="28"/>
        </w:rPr>
        <w:t>August 2021</w:t>
      </w:r>
    </w:p>
    <w:p w:rsidR="00920058" w:rsidRDefault="00920058" w:rsidP="00920058">
      <w:pPr>
        <w:spacing w:after="0"/>
        <w:rPr>
          <w:rFonts w:ascii="Times New Roman" w:hAnsi="Times New Roman" w:cs="Times New Roman"/>
          <w:sz w:val="24"/>
          <w:szCs w:val="24"/>
        </w:rPr>
      </w:pPr>
      <w:r>
        <w:rPr>
          <w:rFonts w:ascii="Times New Roman" w:hAnsi="Times New Roman" w:cs="Times New Roman"/>
          <w:sz w:val="24"/>
          <w:szCs w:val="24"/>
        </w:rPr>
        <w:br w:type="page"/>
      </w:r>
    </w:p>
    <w:sdt>
      <w:sdtPr>
        <w:id w:val="1793020675"/>
        <w:docPartObj>
          <w:docPartGallery w:val="Table of Contents"/>
          <w:docPartUnique/>
        </w:docPartObj>
      </w:sdtPr>
      <w:sdtEndPr>
        <w:rPr>
          <w:rFonts w:asciiTheme="minorHAnsi" w:eastAsiaTheme="minorHAnsi" w:hAnsiTheme="minorHAnsi" w:cstheme="minorBidi"/>
          <w:b/>
          <w:bCs/>
          <w:noProof/>
          <w:color w:val="auto"/>
          <w:sz w:val="22"/>
          <w:szCs w:val="22"/>
          <w:lang w:val="en-AU"/>
        </w:rPr>
      </w:sdtEndPr>
      <w:sdtContent>
        <w:p w:rsidR="007610E8" w:rsidRDefault="007610E8" w:rsidP="007610E8">
          <w:pPr>
            <w:pStyle w:val="TOCHeading"/>
            <w:jc w:val="center"/>
            <w:rPr>
              <w:rFonts w:ascii="Times New Roman" w:hAnsi="Times New Roman" w:cs="Times New Roman"/>
              <w:b/>
              <w:color w:val="auto"/>
              <w:sz w:val="24"/>
              <w:szCs w:val="24"/>
            </w:rPr>
          </w:pPr>
          <w:r w:rsidRPr="007610E8">
            <w:rPr>
              <w:rFonts w:ascii="Times New Roman" w:hAnsi="Times New Roman" w:cs="Times New Roman"/>
              <w:b/>
              <w:color w:val="auto"/>
              <w:sz w:val="24"/>
              <w:szCs w:val="24"/>
            </w:rPr>
            <w:t>CONTENTS</w:t>
          </w:r>
        </w:p>
        <w:p w:rsidR="007610E8" w:rsidRPr="007610E8" w:rsidRDefault="007610E8" w:rsidP="007610E8">
          <w:pPr>
            <w:rPr>
              <w:lang w:val="en-US"/>
            </w:rPr>
          </w:pPr>
        </w:p>
        <w:p w:rsidR="007610E8" w:rsidRPr="007610E8" w:rsidRDefault="007610E8">
          <w:pPr>
            <w:pStyle w:val="TOC1"/>
            <w:tabs>
              <w:tab w:val="left" w:pos="440"/>
              <w:tab w:val="right" w:leader="dot" w:pos="9016"/>
            </w:tabs>
            <w:rPr>
              <w:rFonts w:ascii="Times New Roman" w:hAnsi="Times New Roman" w:cs="Times New Roman"/>
              <w:noProof/>
              <w:sz w:val="24"/>
              <w:szCs w:val="24"/>
            </w:rPr>
          </w:pPr>
          <w:r w:rsidRPr="007610E8">
            <w:rPr>
              <w:rFonts w:ascii="Times New Roman" w:hAnsi="Times New Roman" w:cs="Times New Roman"/>
              <w:sz w:val="24"/>
              <w:szCs w:val="24"/>
            </w:rPr>
            <w:fldChar w:fldCharType="begin"/>
          </w:r>
          <w:r w:rsidRPr="007610E8">
            <w:rPr>
              <w:rFonts w:ascii="Times New Roman" w:hAnsi="Times New Roman" w:cs="Times New Roman"/>
              <w:sz w:val="24"/>
              <w:szCs w:val="24"/>
            </w:rPr>
            <w:instrText xml:space="preserve"> TOC \o "1-3" \h \z \u </w:instrText>
          </w:r>
          <w:r w:rsidRPr="007610E8">
            <w:rPr>
              <w:rFonts w:ascii="Times New Roman" w:hAnsi="Times New Roman" w:cs="Times New Roman"/>
              <w:sz w:val="24"/>
              <w:szCs w:val="24"/>
            </w:rPr>
            <w:fldChar w:fldCharType="separate"/>
          </w:r>
          <w:hyperlink w:anchor="_Toc82590474" w:history="1">
            <w:r w:rsidRPr="007610E8">
              <w:rPr>
                <w:rStyle w:val="Hyperlink"/>
                <w:rFonts w:ascii="Times New Roman" w:hAnsi="Times New Roman" w:cs="Times New Roman"/>
                <w:noProof/>
                <w:color w:val="auto"/>
                <w:sz w:val="24"/>
                <w:szCs w:val="24"/>
              </w:rPr>
              <w:t>1.</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LEGISLATIVE AUTHORITY</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_Toc82590474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3</w:t>
            </w:r>
            <w:r w:rsidRPr="007610E8">
              <w:rPr>
                <w:rFonts w:ascii="Times New Roman" w:hAnsi="Times New Roman" w:cs="Times New Roman"/>
                <w:noProof/>
                <w:webHidden/>
                <w:sz w:val="24"/>
                <w:szCs w:val="24"/>
              </w:rPr>
              <w:fldChar w:fldCharType="end"/>
            </w:r>
          </w:hyperlink>
        </w:p>
        <w:p w:rsidR="007610E8" w:rsidRPr="007610E8" w:rsidRDefault="007610E8">
          <w:pPr>
            <w:pStyle w:val="TOC1"/>
            <w:tabs>
              <w:tab w:val="left" w:pos="440"/>
              <w:tab w:val="right" w:leader="dot" w:pos="9016"/>
            </w:tabs>
            <w:rPr>
              <w:rFonts w:ascii="Times New Roman" w:hAnsi="Times New Roman" w:cs="Times New Roman"/>
              <w:noProof/>
              <w:sz w:val="24"/>
              <w:szCs w:val="24"/>
            </w:rPr>
          </w:pPr>
          <w:hyperlink w:anchor="_Toc82590475" w:history="1">
            <w:r w:rsidRPr="007610E8">
              <w:rPr>
                <w:rStyle w:val="Hyperlink"/>
                <w:rFonts w:ascii="Times New Roman" w:hAnsi="Times New Roman" w:cs="Times New Roman"/>
                <w:noProof/>
                <w:color w:val="auto"/>
                <w:sz w:val="24"/>
                <w:szCs w:val="24"/>
              </w:rPr>
              <w:t>2.</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PURPOSE AND OPERATION</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_Toc82590475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3</w:t>
            </w:r>
            <w:r w:rsidRPr="007610E8">
              <w:rPr>
                <w:rFonts w:ascii="Times New Roman" w:hAnsi="Times New Roman" w:cs="Times New Roman"/>
                <w:noProof/>
                <w:webHidden/>
                <w:sz w:val="24"/>
                <w:szCs w:val="24"/>
              </w:rPr>
              <w:fldChar w:fldCharType="end"/>
            </w:r>
          </w:hyperlink>
        </w:p>
        <w:p w:rsidR="007610E8" w:rsidRPr="007610E8" w:rsidRDefault="007610E8">
          <w:pPr>
            <w:pStyle w:val="TOC1"/>
            <w:tabs>
              <w:tab w:val="left" w:pos="440"/>
              <w:tab w:val="right" w:leader="dot" w:pos="9016"/>
            </w:tabs>
            <w:rPr>
              <w:rFonts w:ascii="Times New Roman" w:hAnsi="Times New Roman" w:cs="Times New Roman"/>
              <w:noProof/>
              <w:sz w:val="24"/>
              <w:szCs w:val="24"/>
            </w:rPr>
          </w:pPr>
          <w:hyperlink w:anchor="_Toc82590476" w:history="1">
            <w:r w:rsidRPr="007610E8">
              <w:rPr>
                <w:rStyle w:val="Hyperlink"/>
                <w:rFonts w:ascii="Times New Roman" w:hAnsi="Times New Roman" w:cs="Times New Roman"/>
                <w:noProof/>
                <w:color w:val="auto"/>
                <w:sz w:val="24"/>
                <w:szCs w:val="24"/>
              </w:rPr>
              <w:t>3.</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MATTERS INCORPORATED BY REFERENCE</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_Toc82590476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5</w:t>
            </w:r>
            <w:r w:rsidRPr="007610E8">
              <w:rPr>
                <w:rFonts w:ascii="Times New Roman" w:hAnsi="Times New Roman" w:cs="Times New Roman"/>
                <w:noProof/>
                <w:webHidden/>
                <w:sz w:val="24"/>
                <w:szCs w:val="24"/>
              </w:rPr>
              <w:fldChar w:fldCharType="end"/>
            </w:r>
          </w:hyperlink>
        </w:p>
        <w:p w:rsidR="007610E8" w:rsidRPr="007610E8" w:rsidRDefault="007610E8">
          <w:pPr>
            <w:pStyle w:val="TOC1"/>
            <w:tabs>
              <w:tab w:val="left" w:pos="440"/>
              <w:tab w:val="right" w:leader="dot" w:pos="9016"/>
            </w:tabs>
            <w:rPr>
              <w:rFonts w:ascii="Times New Roman" w:hAnsi="Times New Roman" w:cs="Times New Roman"/>
              <w:noProof/>
              <w:sz w:val="24"/>
              <w:szCs w:val="24"/>
            </w:rPr>
          </w:pPr>
          <w:hyperlink w:anchor="_Toc82590477" w:history="1">
            <w:r w:rsidRPr="007610E8">
              <w:rPr>
                <w:rStyle w:val="Hyperlink"/>
                <w:rFonts w:ascii="Times New Roman" w:hAnsi="Times New Roman" w:cs="Times New Roman"/>
                <w:noProof/>
                <w:color w:val="auto"/>
                <w:sz w:val="24"/>
                <w:szCs w:val="24"/>
              </w:rPr>
              <w:t>4.</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CONSULTATION</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_Toc82590477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6</w:t>
            </w:r>
            <w:r w:rsidRPr="007610E8">
              <w:rPr>
                <w:rFonts w:ascii="Times New Roman" w:hAnsi="Times New Roman" w:cs="Times New Roman"/>
                <w:noProof/>
                <w:webHidden/>
                <w:sz w:val="24"/>
                <w:szCs w:val="24"/>
              </w:rPr>
              <w:fldChar w:fldCharType="end"/>
            </w:r>
          </w:hyperlink>
        </w:p>
        <w:p w:rsidR="007610E8" w:rsidRPr="007610E8" w:rsidRDefault="007610E8">
          <w:pPr>
            <w:pStyle w:val="TOC1"/>
            <w:tabs>
              <w:tab w:val="left" w:pos="440"/>
              <w:tab w:val="right" w:leader="dot" w:pos="9016"/>
            </w:tabs>
            <w:rPr>
              <w:rFonts w:ascii="Times New Roman" w:hAnsi="Times New Roman" w:cs="Times New Roman"/>
              <w:noProof/>
              <w:sz w:val="24"/>
              <w:szCs w:val="24"/>
            </w:rPr>
          </w:pPr>
          <w:hyperlink w:anchor="_Toc82590478" w:history="1">
            <w:r w:rsidRPr="007610E8">
              <w:rPr>
                <w:rStyle w:val="Hyperlink"/>
                <w:rFonts w:ascii="Times New Roman" w:hAnsi="Times New Roman" w:cs="Times New Roman"/>
                <w:noProof/>
                <w:color w:val="auto"/>
                <w:sz w:val="24"/>
                <w:szCs w:val="24"/>
              </w:rPr>
              <w:t>5.</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REGULATORY IMPACT</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_Toc82590478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6</w:t>
            </w:r>
            <w:r w:rsidRPr="007610E8">
              <w:rPr>
                <w:rFonts w:ascii="Times New Roman" w:hAnsi="Times New Roman" w:cs="Times New Roman"/>
                <w:noProof/>
                <w:webHidden/>
                <w:sz w:val="24"/>
                <w:szCs w:val="24"/>
              </w:rPr>
              <w:fldChar w:fldCharType="end"/>
            </w:r>
          </w:hyperlink>
        </w:p>
        <w:p w:rsidR="007610E8" w:rsidRPr="007610E8" w:rsidRDefault="007610E8">
          <w:pPr>
            <w:pStyle w:val="TOC1"/>
            <w:tabs>
              <w:tab w:val="left" w:pos="440"/>
              <w:tab w:val="right" w:leader="dot" w:pos="9016"/>
            </w:tabs>
            <w:rPr>
              <w:rFonts w:ascii="Times New Roman" w:hAnsi="Times New Roman" w:cs="Times New Roman"/>
              <w:noProof/>
              <w:sz w:val="24"/>
              <w:szCs w:val="24"/>
            </w:rPr>
          </w:pPr>
          <w:hyperlink w:anchor="_Toc82590479" w:history="1">
            <w:r w:rsidRPr="007610E8">
              <w:rPr>
                <w:rStyle w:val="Hyperlink"/>
                <w:rFonts w:ascii="Times New Roman" w:hAnsi="Times New Roman" w:cs="Times New Roman"/>
                <w:noProof/>
                <w:color w:val="auto"/>
                <w:sz w:val="24"/>
                <w:szCs w:val="24"/>
              </w:rPr>
              <w:t>6.</w:t>
            </w:r>
            <w:r w:rsidRPr="007610E8">
              <w:rPr>
                <w:rFonts w:ascii="Times New Roman" w:hAnsi="Times New Roman" w:cs="Times New Roman"/>
                <w:noProof/>
                <w:sz w:val="24"/>
                <w:szCs w:val="24"/>
              </w:rPr>
              <w:tab/>
            </w:r>
            <w:r w:rsidRPr="007610E8">
              <w:rPr>
                <w:rStyle w:val="Hyperlink"/>
                <w:rFonts w:ascii="Times New Roman" w:hAnsi="Times New Roman" w:cs="Times New Roman"/>
                <w:noProof/>
                <w:color w:val="auto"/>
                <w:sz w:val="24"/>
                <w:szCs w:val="24"/>
              </w:rPr>
              <w:t>STATEMENT OF COMPATIBILITY WITH HUMAN RIGHTS</w:t>
            </w:r>
            <w:r w:rsidRPr="007610E8">
              <w:rPr>
                <w:rFonts w:ascii="Times New Roman" w:hAnsi="Times New Roman" w:cs="Times New Roman"/>
                <w:noProof/>
                <w:webHidden/>
                <w:sz w:val="24"/>
                <w:szCs w:val="24"/>
              </w:rPr>
              <w:tab/>
            </w:r>
            <w:r w:rsidRPr="007610E8">
              <w:rPr>
                <w:rFonts w:ascii="Times New Roman" w:hAnsi="Times New Roman" w:cs="Times New Roman"/>
                <w:noProof/>
                <w:webHidden/>
                <w:sz w:val="24"/>
                <w:szCs w:val="24"/>
              </w:rPr>
              <w:fldChar w:fldCharType="begin"/>
            </w:r>
            <w:r w:rsidRPr="007610E8">
              <w:rPr>
                <w:rFonts w:ascii="Times New Roman" w:hAnsi="Times New Roman" w:cs="Times New Roman"/>
                <w:noProof/>
                <w:webHidden/>
                <w:sz w:val="24"/>
                <w:szCs w:val="24"/>
              </w:rPr>
              <w:instrText xml:space="preserve"> PAGEREF _Toc82590479 \h </w:instrText>
            </w:r>
            <w:r w:rsidRPr="007610E8">
              <w:rPr>
                <w:rFonts w:ascii="Times New Roman" w:hAnsi="Times New Roman" w:cs="Times New Roman"/>
                <w:noProof/>
                <w:webHidden/>
                <w:sz w:val="24"/>
                <w:szCs w:val="24"/>
              </w:rPr>
            </w:r>
            <w:r w:rsidRPr="007610E8">
              <w:rPr>
                <w:rFonts w:ascii="Times New Roman" w:hAnsi="Times New Roman" w:cs="Times New Roman"/>
                <w:noProof/>
                <w:webHidden/>
                <w:sz w:val="24"/>
                <w:szCs w:val="24"/>
              </w:rPr>
              <w:fldChar w:fldCharType="separate"/>
            </w:r>
            <w:r w:rsidRPr="007610E8">
              <w:rPr>
                <w:rFonts w:ascii="Times New Roman" w:hAnsi="Times New Roman" w:cs="Times New Roman"/>
                <w:noProof/>
                <w:webHidden/>
                <w:sz w:val="24"/>
                <w:szCs w:val="24"/>
              </w:rPr>
              <w:t>6</w:t>
            </w:r>
            <w:r w:rsidRPr="007610E8">
              <w:rPr>
                <w:rFonts w:ascii="Times New Roman" w:hAnsi="Times New Roman" w:cs="Times New Roman"/>
                <w:noProof/>
                <w:webHidden/>
                <w:sz w:val="24"/>
                <w:szCs w:val="24"/>
              </w:rPr>
              <w:fldChar w:fldCharType="end"/>
            </w:r>
          </w:hyperlink>
        </w:p>
        <w:p w:rsidR="007610E8" w:rsidRDefault="007610E8">
          <w:pPr>
            <w:rPr>
              <w:b/>
              <w:bCs/>
              <w:noProof/>
            </w:rPr>
          </w:pPr>
          <w:r w:rsidRPr="007610E8">
            <w:rPr>
              <w:rFonts w:ascii="Times New Roman" w:hAnsi="Times New Roman" w:cs="Times New Roman"/>
              <w:b/>
              <w:bCs/>
              <w:noProof/>
              <w:sz w:val="24"/>
              <w:szCs w:val="24"/>
            </w:rPr>
            <w:fldChar w:fldCharType="end"/>
          </w:r>
        </w:p>
      </w:sdtContent>
    </w:sdt>
    <w:p w:rsidR="00920058" w:rsidRPr="007610E8" w:rsidRDefault="00920058">
      <w:r>
        <w:rPr>
          <w:rFonts w:ascii="Times New Roman" w:hAnsi="Times New Roman" w:cs="Times New Roman"/>
          <w:sz w:val="24"/>
          <w:szCs w:val="24"/>
        </w:rPr>
        <w:br w:type="page"/>
      </w:r>
      <w:bookmarkStart w:id="0" w:name="_GoBack"/>
      <w:bookmarkEnd w:id="0"/>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1" w:name="_Toc82590474"/>
      <w:r w:rsidRPr="007610E8">
        <w:rPr>
          <w:rFonts w:ascii="Times New Roman" w:hAnsi="Times New Roman" w:cs="Times New Roman"/>
          <w:b/>
          <w:color w:val="auto"/>
          <w:sz w:val="24"/>
          <w:szCs w:val="24"/>
        </w:rPr>
        <w:t>LEGISLATIVE AUTHORITY</w:t>
      </w:r>
      <w:bookmarkEnd w:id="1"/>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Vehicle Standard (Australian Design Rule) Amendment Instrument 2021 (No.1) (the Amendment Instrument) is made under section 7 of the </w:t>
      </w:r>
      <w:r w:rsidRPr="00920058">
        <w:rPr>
          <w:rFonts w:ascii="Times New Roman" w:hAnsi="Times New Roman" w:cs="Times New Roman"/>
          <w:i/>
          <w:sz w:val="24"/>
          <w:szCs w:val="24"/>
        </w:rPr>
        <w:t>Motor Vehicle Standards Act 1989</w:t>
      </w:r>
      <w:r w:rsidRPr="00920058">
        <w:rPr>
          <w:rFonts w:ascii="Times New Roman" w:hAnsi="Times New Roman" w:cs="Times New Roman"/>
          <w:sz w:val="24"/>
          <w:szCs w:val="24"/>
        </w:rPr>
        <w:t xml:space="preserve"> (MVSA). Section 7 of the MVSA allows the Minister to determine vehicle standards for road vehicles or vehicle components.</w:t>
      </w:r>
    </w:p>
    <w:p w:rsidR="00920058" w:rsidRDefault="00920058" w:rsidP="00920058">
      <w:pPr>
        <w:spacing w:after="0"/>
        <w:ind w:firstLine="36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Subsection 33(3) of the </w:t>
      </w:r>
      <w:r w:rsidRPr="00920058">
        <w:rPr>
          <w:rFonts w:ascii="Times New Roman" w:hAnsi="Times New Roman" w:cs="Times New Roman"/>
          <w:i/>
          <w:sz w:val="24"/>
          <w:szCs w:val="24"/>
        </w:rPr>
        <w:t>Acts Interpretation Act 1901</w:t>
      </w:r>
      <w:r w:rsidRPr="00920058">
        <w:rPr>
          <w:rFonts w:ascii="Times New Roman" w:hAnsi="Times New Roman" w:cs="Times New Roman"/>
          <w:sz w:val="24"/>
          <w:szCs w:val="24"/>
        </w:rPr>
        <w:t xml:space="preserve"> provides, in part, that the power to amend instruments is conferred by the same power to make the instrument.</w:t>
      </w:r>
    </w:p>
    <w:p w:rsidR="00920058" w:rsidRDefault="00920058" w:rsidP="00920058">
      <w:pPr>
        <w:spacing w:after="0"/>
        <w:ind w:firstLine="360"/>
        <w:rPr>
          <w:rFonts w:ascii="Times New Roman" w:hAnsi="Times New Roman" w:cs="Times New Roman"/>
          <w:sz w:val="24"/>
          <w:szCs w:val="24"/>
        </w:rPr>
      </w:pPr>
    </w:p>
    <w:p w:rsid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Note: On 1 July 2021 the </w:t>
      </w:r>
      <w:r w:rsidRPr="00920058">
        <w:rPr>
          <w:rFonts w:ascii="Times New Roman" w:hAnsi="Times New Roman" w:cs="Times New Roman"/>
          <w:i/>
          <w:sz w:val="24"/>
          <w:szCs w:val="24"/>
        </w:rPr>
        <w:t>Motor Vehicle Standards Act 1989</w:t>
      </w:r>
      <w:r w:rsidRPr="00920058">
        <w:rPr>
          <w:rFonts w:ascii="Times New Roman" w:hAnsi="Times New Roman" w:cs="Times New Roman"/>
          <w:sz w:val="24"/>
          <w:szCs w:val="24"/>
        </w:rPr>
        <w:t xml:space="preserve"> was repealed by the </w:t>
      </w:r>
      <w:r w:rsidRPr="00920058">
        <w:rPr>
          <w:rFonts w:ascii="Times New Roman" w:hAnsi="Times New Roman" w:cs="Times New Roman"/>
          <w:i/>
          <w:sz w:val="24"/>
          <w:szCs w:val="24"/>
        </w:rPr>
        <w:t>Road Vehicle Standards (Consequential and Transitional Provisions) Act 2018</w:t>
      </w:r>
      <w:r w:rsidRPr="00920058">
        <w:rPr>
          <w:rFonts w:ascii="Times New Roman" w:hAnsi="Times New Roman" w:cs="Times New Roman"/>
          <w:sz w:val="24"/>
          <w:szCs w:val="24"/>
        </w:rPr>
        <w:t xml:space="preserve">. At the same time a vehicle standard in force under section 7 of the MVSA continues in force as if it were a national road vehicle standard determined under section 12 of the </w:t>
      </w:r>
      <w:r w:rsidRPr="00920058">
        <w:rPr>
          <w:rFonts w:ascii="Times New Roman" w:hAnsi="Times New Roman" w:cs="Times New Roman"/>
          <w:i/>
          <w:sz w:val="24"/>
          <w:szCs w:val="24"/>
        </w:rPr>
        <w:t>Road Vehicle Standards Act 2018</w:t>
      </w:r>
      <w:r w:rsidRPr="00920058">
        <w:rPr>
          <w:rFonts w:ascii="Times New Roman" w:hAnsi="Times New Roman" w:cs="Times New Roman"/>
          <w:sz w:val="24"/>
          <w:szCs w:val="24"/>
        </w:rPr>
        <w:t>.</w:t>
      </w:r>
    </w:p>
    <w:p w:rsidR="00920058" w:rsidRPr="00920058" w:rsidRDefault="00920058" w:rsidP="00920058">
      <w:pPr>
        <w:spacing w:after="0"/>
        <w:ind w:left="360"/>
        <w:rPr>
          <w:rFonts w:ascii="Times New Roman" w:hAnsi="Times New Roman" w:cs="Times New Roman"/>
          <w:sz w:val="24"/>
          <w:szCs w:val="24"/>
        </w:rPr>
      </w:pPr>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2" w:name="_Toc82590475"/>
      <w:r w:rsidRPr="007610E8">
        <w:rPr>
          <w:rFonts w:ascii="Times New Roman" w:hAnsi="Times New Roman" w:cs="Times New Roman"/>
          <w:b/>
          <w:color w:val="auto"/>
          <w:sz w:val="24"/>
          <w:szCs w:val="24"/>
        </w:rPr>
        <w:t>PURPOSE AND OPERATION</w:t>
      </w:r>
      <w:bookmarkEnd w:id="2"/>
      <w:r w:rsidRPr="007610E8">
        <w:rPr>
          <w:rFonts w:ascii="Times New Roman" w:hAnsi="Times New Roman" w:cs="Times New Roman"/>
          <w:b/>
          <w:color w:val="auto"/>
          <w:sz w:val="24"/>
          <w:szCs w:val="24"/>
        </w:rPr>
        <w:t xml:space="preserve"> </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firstLine="360"/>
        <w:rPr>
          <w:rFonts w:ascii="Times New Roman" w:hAnsi="Times New Roman" w:cs="Times New Roman"/>
          <w:sz w:val="24"/>
          <w:szCs w:val="24"/>
          <w:u w:val="single"/>
        </w:rPr>
      </w:pPr>
      <w:r w:rsidRPr="00920058">
        <w:rPr>
          <w:rFonts w:ascii="Times New Roman" w:hAnsi="Times New Roman" w:cs="Times New Roman"/>
          <w:sz w:val="24"/>
          <w:szCs w:val="24"/>
          <w:u w:val="single"/>
        </w:rPr>
        <w:t>Overview of the MVSA and Australian Design Rules</w:t>
      </w:r>
    </w:p>
    <w:p w:rsidR="00920058" w:rsidRDefault="00920058" w:rsidP="00920058">
      <w:pPr>
        <w:spacing w:after="0"/>
        <w:ind w:firstLine="36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The MVSA establishes a regulatory framework to regulate the importation and first supply of road vehicles to the market in Australia. The core principle of this framework is that vehicles that comply with appropriate standards are suitable for importation and supply to the market in Australia. The Australian Design Rules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determined as national standards.</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Australian vehicle sales represent less than 1% of the global vehicle market. As a result, the Australian Government’s policy has been where possible to harmonise with international regulations adopted by the United Nations. This policy provides access for Australians to the safest vehicles at the lowest price.</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Once a vehicle has been supplied to the market, responsibility for regulation passes to the relevant state or territory government. States and territories have adopted model law into their own legislation that requires vehicles to maintain compliance with the Australian Design Rules that were applicable to the vehicle at the time it was originally manufactured and supplied to the market in Australia. For this reason, it is important that the Australian Design Rules are maintained, even though the Rule may have been superseded b</w:t>
      </w:r>
      <w:r>
        <w:rPr>
          <w:rFonts w:ascii="Times New Roman" w:hAnsi="Times New Roman" w:cs="Times New Roman"/>
          <w:sz w:val="24"/>
          <w:szCs w:val="24"/>
        </w:rPr>
        <w:t>y a new Rule with more stringen</w:t>
      </w:r>
      <w:r w:rsidRPr="00920058">
        <w:rPr>
          <w:rFonts w:ascii="Times New Roman" w:hAnsi="Times New Roman" w:cs="Times New Roman"/>
          <w:sz w:val="24"/>
          <w:szCs w:val="24"/>
        </w:rPr>
        <w:t>t requirements.</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firstLine="360"/>
        <w:rPr>
          <w:rFonts w:ascii="Times New Roman" w:hAnsi="Times New Roman" w:cs="Times New Roman"/>
          <w:sz w:val="24"/>
          <w:szCs w:val="24"/>
          <w:u w:val="single"/>
        </w:rPr>
      </w:pPr>
      <w:r w:rsidRPr="00920058">
        <w:rPr>
          <w:rFonts w:ascii="Times New Roman" w:hAnsi="Times New Roman" w:cs="Times New Roman"/>
          <w:sz w:val="24"/>
          <w:szCs w:val="24"/>
          <w:u w:val="single"/>
        </w:rPr>
        <w:t>Operation of the Amendment Instrument</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firstLine="360"/>
        <w:rPr>
          <w:rFonts w:ascii="Times New Roman" w:hAnsi="Times New Roman" w:cs="Times New Roman"/>
          <w:sz w:val="24"/>
          <w:szCs w:val="24"/>
        </w:rPr>
      </w:pPr>
      <w:r w:rsidRPr="00920058">
        <w:rPr>
          <w:rFonts w:ascii="Times New Roman" w:hAnsi="Times New Roman" w:cs="Times New Roman"/>
          <w:sz w:val="24"/>
          <w:szCs w:val="24"/>
        </w:rPr>
        <w:t>The amendment instrument is intended to amend the following instruments: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lastRenderedPageBreak/>
        <w:t>Vehicle Standard (Australian Design Rule 2/00 - Side Door Latches and Hinges) 2006, corrections to clause number 2.1.0 to 2.2.0.</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3/02 – Seats and Seat Anchorages) 2005, amends the applicability table to state MD3, MD4 and ME vehicle categories are not applicable.</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5/04 – Anchorages for Seatbelts) 2005, clause 11.1.1, formatting correction to identify ADR Definitions correctly.</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6/00 – Direction Indicators) 2005, (1) Correction to cover page title, and (2) Grammatical correction to Appendix A, paragraph 1.1 omit “letter’s” and substitute “latter’s”.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23/00 – Passenger Car Tyres) 2006, omit clauses 23.4, 23.4.1 and substitute with clause 23.3.5.3 for high-speed testing requirements.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25/02 – Anti-Theft Lock) 2006, clause 6.1.4 identify that only PART I of UN R116 applies.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31/02 – Brake Systems for Passenger Cars) 2009, clause 0.1.1, correction to the year stated in the clause 2005to 2009.</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31/03 – Brake Systems for Passenger Cars) 2013, numbered applicability table as clause 2.8.</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34/01 - Child Restraint Anchorages and Child Restraint Anchor Fittings) 2005, clause 34.3.1.2, formatting correction to identify ADR Definitions correctly.</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35/00 – Commercial Vehicle Brake Systems) 2006, clause 35.6.1.6.2 correction to formatting the unit of measurement 288o 0C to 288°C.</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35/02 – Commercial Vehicle Brake Systems) 2007, clause 4.7.5.2, correction to incorrect reference to clause number 7.17 to 7.12.</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35/03 – Commercial Vehicle Brake Systems) 2009, clause 4.7.5.2, correction to incorrect reference to clause number 7.17 to 7.12.</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42/04 – General Safety Requirements) 2005, Table 1.1, correction to the number of pin connectors 14 Pin to 12 Pin.</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44/02 – Specific Purpose Vehicle Requirements) 2006, (1) clause 44.8.3 correction to referenced clause 44.2.5 to 44.4.5, (2) clause 44.9.8 formatting change to bold as a subheading, (3) insert optional LPG Fuel System Standard AS1425.</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82/00 – Engine Immobilisers) 2006, clause 7.3, identify that only PART IV of UN R116 applies.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84/00 – Front Underrun Impact Protection) 2009, clause 1.1.1 corrects year referenced 2007 to 2009.</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86/00 – Parking Lamps) 2016, Clause 7.1, correction to the title of UN R 77 Cornering Lamps to Parking Lamps.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Vehicle Standard (Australian Design Rule 87/00 – Cornering Lamps) 2016, clause 7.1, correction to the title of UN R119 Parking Lamps to Cornering Lamps.</w:t>
      </w:r>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3" w:name="_Toc82590476"/>
      <w:r w:rsidRPr="007610E8">
        <w:rPr>
          <w:rFonts w:ascii="Times New Roman" w:hAnsi="Times New Roman" w:cs="Times New Roman"/>
          <w:b/>
          <w:color w:val="auto"/>
          <w:sz w:val="24"/>
          <w:szCs w:val="24"/>
        </w:rPr>
        <w:lastRenderedPageBreak/>
        <w:t>MATTERS INCORPORATED BY REFERENCE</w:t>
      </w:r>
      <w:bookmarkEnd w:id="3"/>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The Amendment Instrument inserts into Vehicle Standard (Australian Design Rule 44/02 – Specific Purpose Vehicle Requirements) 2006 references to the following standard, as permitted by section 7A(b) of the MVSA:</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i/>
          <w:sz w:val="24"/>
          <w:szCs w:val="24"/>
        </w:rPr>
        <w:t>Australian Standard 1425 LP Gas for Fuel Systems for Vehicle Engines</w:t>
      </w:r>
      <w:r w:rsidRPr="00920058">
        <w:rPr>
          <w:rFonts w:ascii="Times New Roman" w:hAnsi="Times New Roman" w:cs="Times New Roman"/>
          <w:sz w:val="24"/>
          <w:szCs w:val="24"/>
        </w:rPr>
        <w:t xml:space="preserve"> (AS 1425) as in force from time to time. AS 1425, is available from SAI Global and </w:t>
      </w:r>
      <w:proofErr w:type="spellStart"/>
      <w:r w:rsidRPr="00920058">
        <w:rPr>
          <w:rFonts w:ascii="Times New Roman" w:hAnsi="Times New Roman" w:cs="Times New Roman"/>
          <w:sz w:val="24"/>
          <w:szCs w:val="24"/>
        </w:rPr>
        <w:t>Techstreet</w:t>
      </w:r>
      <w:proofErr w:type="spellEnd"/>
      <w:r w:rsidRPr="00920058">
        <w:rPr>
          <w:rFonts w:ascii="Times New Roman" w:hAnsi="Times New Roman" w:cs="Times New Roman"/>
          <w:sz w:val="24"/>
          <w:szCs w:val="24"/>
        </w:rPr>
        <w:t xml:space="preserve"> for a fee. Subject to copyright conditions, the Department will make a copy of the standard available for viewing at its offices in Canberra.</w:t>
      </w:r>
    </w:p>
    <w:p w:rsidR="00920058" w:rsidRDefault="00920058" w:rsidP="00920058">
      <w:pPr>
        <w:spacing w:after="0"/>
        <w:rPr>
          <w:rFonts w:ascii="Times New Roman" w:hAnsi="Times New Roman" w:cs="Times New Roman"/>
          <w:sz w:val="24"/>
          <w:szCs w:val="24"/>
        </w:rPr>
      </w:pPr>
    </w:p>
    <w:p w:rsid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This amendment also continues to list the following existing documents, which were incorporated by reference at a fixed point in time:</w:t>
      </w:r>
    </w:p>
    <w:p w:rsidR="00920058" w:rsidRPr="00920058" w:rsidRDefault="00920058" w:rsidP="00920058">
      <w:pPr>
        <w:spacing w:after="0"/>
        <w:ind w:left="360"/>
        <w:rPr>
          <w:rFonts w:ascii="Times New Roman" w:hAnsi="Times New Roman" w:cs="Times New Roman"/>
          <w:sz w:val="24"/>
          <w:szCs w:val="24"/>
        </w:rPr>
      </w:pP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Society of Automotive Engineers (SAE) document J826,</w:t>
      </w:r>
      <w:r>
        <w:rPr>
          <w:rFonts w:ascii="Times New Roman" w:hAnsi="Times New Roman" w:cs="Times New Roman"/>
          <w:sz w:val="24"/>
          <w:szCs w:val="24"/>
        </w:rPr>
        <w:t xml:space="preserve"> </w:t>
      </w:r>
      <w:r w:rsidRPr="00920058">
        <w:rPr>
          <w:rFonts w:ascii="Times New Roman" w:hAnsi="Times New Roman" w:cs="Times New Roman"/>
          <w:sz w:val="24"/>
          <w:szCs w:val="24"/>
        </w:rPr>
        <w:t xml:space="preserve">“Manikins </w:t>
      </w:r>
      <w:proofErr w:type="gramStart"/>
      <w:r w:rsidRPr="00920058">
        <w:rPr>
          <w:rFonts w:ascii="Times New Roman" w:hAnsi="Times New Roman" w:cs="Times New Roman"/>
          <w:sz w:val="24"/>
          <w:szCs w:val="24"/>
        </w:rPr>
        <w:t>For</w:t>
      </w:r>
      <w:proofErr w:type="gramEnd"/>
      <w:r w:rsidRPr="00920058">
        <w:rPr>
          <w:rFonts w:ascii="Times New Roman" w:hAnsi="Times New Roman" w:cs="Times New Roman"/>
          <w:sz w:val="24"/>
          <w:szCs w:val="24"/>
        </w:rPr>
        <w:t xml:space="preserve"> Use In Defining Vehicle Seating Accommodation”, November</w:t>
      </w:r>
      <w:r>
        <w:rPr>
          <w:rFonts w:ascii="Times New Roman" w:hAnsi="Times New Roman" w:cs="Times New Roman"/>
          <w:sz w:val="24"/>
          <w:szCs w:val="24"/>
        </w:rPr>
        <w:t xml:space="preserve"> 1962</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SAE document J826a “Devices for Use in Defining and Measuring Vehicle Seating Accommodation”, August 1970</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International Organisation for Standardization (ISO) 3583-1984 “Road vehicles – Pressure test connection for compressed-air pneumatic braking equipment”</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United Nations Regulation No. 30 - UNIFORM PROVISIONS CONCERNING THE APPROVAL OF PNEUMATIC TYRES FOR MOTOR VEHICLES AND THEIR TRAILERS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United Nations Regulation No. 77 – UNIFORM PROVISIONS CONCERNING THE APPROVAL OF PARKING LAMPS FOR POWER-DRIVEN VEHICLES</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United Nations Regulation No. 116 UNIFORM TECHNICAL PRESCRIPTIONS CONCERNING THE PROTECTION OF MOTOR VEHICLES AGAINST UNAUTHORIZED USE</w:t>
      </w: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United Nations Regulation No. 119 – UNIFORM PROVISIONS CONCERNING THE APPROVAL OF CORNERING LAMPS FOR POWER-DRIVEN VEHICLES</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SAE Technical Standards are available for a fee from SAI Global and </w:t>
      </w:r>
      <w:proofErr w:type="spellStart"/>
      <w:r w:rsidRPr="00920058">
        <w:rPr>
          <w:rFonts w:ascii="Times New Roman" w:hAnsi="Times New Roman" w:cs="Times New Roman"/>
          <w:sz w:val="24"/>
          <w:szCs w:val="24"/>
        </w:rPr>
        <w:t>Techstreet</w:t>
      </w:r>
      <w:proofErr w:type="spellEnd"/>
      <w:r w:rsidRPr="00920058">
        <w:rPr>
          <w:rFonts w:ascii="Times New Roman" w:hAnsi="Times New Roman" w:cs="Times New Roman"/>
          <w:sz w:val="24"/>
          <w:szCs w:val="24"/>
        </w:rPr>
        <w:t>. Subject to copyright conditions, the Department will also make a copy of the standard available for viewing at its offices in Canberra.</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ISO Standards are available for a fee from the ISO and </w:t>
      </w:r>
      <w:proofErr w:type="spellStart"/>
      <w:r w:rsidRPr="00920058">
        <w:rPr>
          <w:rFonts w:ascii="Times New Roman" w:hAnsi="Times New Roman" w:cs="Times New Roman"/>
          <w:sz w:val="24"/>
          <w:szCs w:val="24"/>
        </w:rPr>
        <w:t>Techstreet</w:t>
      </w:r>
      <w:proofErr w:type="spellEnd"/>
      <w:r w:rsidRPr="00920058">
        <w:rPr>
          <w:rFonts w:ascii="Times New Roman" w:hAnsi="Times New Roman" w:cs="Times New Roman"/>
          <w:sz w:val="24"/>
          <w:szCs w:val="24"/>
        </w:rPr>
        <w:t>. Subject to copyright conditions, the Department will also make a copy of the standard available for viewing at its offices in Canberra.</w:t>
      </w:r>
    </w:p>
    <w:p w:rsidR="00920058" w:rsidRDefault="00920058" w:rsidP="00920058">
      <w:pPr>
        <w:spacing w:after="0"/>
        <w:rPr>
          <w:rFonts w:ascii="Times New Roman" w:hAnsi="Times New Roman" w:cs="Times New Roman"/>
          <w:sz w:val="24"/>
          <w:szCs w:val="24"/>
        </w:rPr>
      </w:pPr>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 xml:space="preserve">SAI </w:t>
      </w:r>
      <w:proofErr w:type="spellStart"/>
      <w:r w:rsidRPr="00920058">
        <w:rPr>
          <w:rFonts w:ascii="Times New Roman" w:hAnsi="Times New Roman" w:cs="Times New Roman"/>
          <w:sz w:val="24"/>
          <w:szCs w:val="24"/>
        </w:rPr>
        <w:t>Global’s</w:t>
      </w:r>
      <w:proofErr w:type="spellEnd"/>
      <w:r w:rsidRPr="00920058">
        <w:rPr>
          <w:rFonts w:ascii="Times New Roman" w:hAnsi="Times New Roman" w:cs="Times New Roman"/>
          <w:sz w:val="24"/>
          <w:szCs w:val="24"/>
        </w:rPr>
        <w:t xml:space="preserve"> website is </w:t>
      </w:r>
      <w:hyperlink r:id="rId8" w:history="1">
        <w:r w:rsidRPr="00347944">
          <w:rPr>
            <w:rStyle w:val="Hyperlink"/>
            <w:rFonts w:ascii="Times New Roman" w:hAnsi="Times New Roman" w:cs="Times New Roman"/>
            <w:sz w:val="24"/>
            <w:szCs w:val="24"/>
          </w:rPr>
          <w:t>www.infostore.saiglobal.com/en-au/</w:t>
        </w:r>
      </w:hyperlink>
    </w:p>
    <w:p w:rsidR="00920058" w:rsidRPr="00920058" w:rsidRDefault="00920058" w:rsidP="00920058">
      <w:pPr>
        <w:pStyle w:val="ListParagraph"/>
        <w:numPr>
          <w:ilvl w:val="0"/>
          <w:numId w:val="3"/>
        </w:numPr>
        <w:spacing w:after="0"/>
        <w:rPr>
          <w:rFonts w:ascii="Times New Roman" w:hAnsi="Times New Roman" w:cs="Times New Roman"/>
          <w:sz w:val="24"/>
          <w:szCs w:val="24"/>
        </w:rPr>
      </w:pPr>
      <w:r w:rsidRPr="00920058">
        <w:rPr>
          <w:rFonts w:ascii="Times New Roman" w:hAnsi="Times New Roman" w:cs="Times New Roman"/>
          <w:sz w:val="24"/>
          <w:szCs w:val="24"/>
        </w:rPr>
        <w:t>ISO’s web</w:t>
      </w:r>
      <w:r>
        <w:rPr>
          <w:rFonts w:ascii="Times New Roman" w:hAnsi="Times New Roman" w:cs="Times New Roman"/>
          <w:sz w:val="24"/>
          <w:szCs w:val="24"/>
        </w:rPr>
        <w:t xml:space="preserve">site is </w:t>
      </w:r>
      <w:hyperlink r:id="rId9" w:history="1">
        <w:r w:rsidRPr="00347944">
          <w:rPr>
            <w:rStyle w:val="Hyperlink"/>
            <w:rFonts w:ascii="Times New Roman" w:hAnsi="Times New Roman" w:cs="Times New Roman"/>
            <w:sz w:val="24"/>
            <w:szCs w:val="24"/>
          </w:rPr>
          <w:t>www.iso.org/store.html</w:t>
        </w:r>
      </w:hyperlink>
    </w:p>
    <w:p w:rsidR="00920058" w:rsidRPr="00920058" w:rsidRDefault="00920058" w:rsidP="00920058">
      <w:pPr>
        <w:pStyle w:val="ListParagraph"/>
        <w:numPr>
          <w:ilvl w:val="0"/>
          <w:numId w:val="3"/>
        </w:numPr>
        <w:spacing w:after="0"/>
        <w:rPr>
          <w:rFonts w:ascii="Times New Roman" w:hAnsi="Times New Roman" w:cs="Times New Roman"/>
          <w:sz w:val="24"/>
          <w:szCs w:val="24"/>
        </w:rPr>
      </w:pPr>
      <w:proofErr w:type="spellStart"/>
      <w:r w:rsidRPr="00920058">
        <w:rPr>
          <w:rFonts w:ascii="Times New Roman" w:hAnsi="Times New Roman" w:cs="Times New Roman"/>
          <w:sz w:val="24"/>
          <w:szCs w:val="24"/>
        </w:rPr>
        <w:t>Techstreet’s</w:t>
      </w:r>
      <w:proofErr w:type="spellEnd"/>
      <w:r w:rsidRPr="00920058">
        <w:rPr>
          <w:rFonts w:ascii="Times New Roman" w:hAnsi="Times New Roman" w:cs="Times New Roman"/>
          <w:sz w:val="24"/>
          <w:szCs w:val="24"/>
        </w:rPr>
        <w:t xml:space="preserve"> website for technical standards is</w:t>
      </w:r>
      <w:r>
        <w:rPr>
          <w:rFonts w:ascii="Times New Roman" w:hAnsi="Times New Roman" w:cs="Times New Roman"/>
          <w:sz w:val="24"/>
          <w:szCs w:val="24"/>
        </w:rPr>
        <w:t xml:space="preserve"> </w:t>
      </w:r>
      <w:hyperlink r:id="rId10" w:history="1">
        <w:r w:rsidRPr="00347944">
          <w:rPr>
            <w:rStyle w:val="Hyperlink"/>
            <w:rFonts w:ascii="Times New Roman" w:hAnsi="Times New Roman" w:cs="Times New Roman"/>
            <w:sz w:val="24"/>
            <w:szCs w:val="24"/>
          </w:rPr>
          <w:t>www.techstreet.com/pages/home</w:t>
        </w:r>
      </w:hyperlink>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United Nation Regulations may be freely accessed online through the UN World Forum for the Harmonization of Vehicle Regulations (WP.29). The WP.29 website is </w:t>
      </w:r>
      <w:hyperlink r:id="rId11" w:history="1">
        <w:r w:rsidRPr="00347944">
          <w:rPr>
            <w:rStyle w:val="Hyperlink"/>
            <w:rFonts w:ascii="Times New Roman" w:hAnsi="Times New Roman" w:cs="Times New Roman"/>
            <w:sz w:val="24"/>
            <w:szCs w:val="24"/>
          </w:rPr>
          <w:t>www.unece.org/trans/main/welcwp29.html</w:t>
        </w:r>
      </w:hyperlink>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4" w:name="_Toc82590477"/>
      <w:r w:rsidRPr="007610E8">
        <w:rPr>
          <w:rFonts w:ascii="Times New Roman" w:hAnsi="Times New Roman" w:cs="Times New Roman"/>
          <w:b/>
          <w:color w:val="auto"/>
          <w:sz w:val="24"/>
          <w:szCs w:val="24"/>
        </w:rPr>
        <w:lastRenderedPageBreak/>
        <w:t>CONSULTATION</w:t>
      </w:r>
      <w:bookmarkEnd w:id="4"/>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It has been a longstanding practice to consult widely on proposed new or amended vehicle standards. For many years, there has been an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depending on the degree of impact the new or amended standard is expected to have on industry or road users.</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In this case, the Department consulted on the proposed amendments through the Technical Liaison Group. TLG consists of technical representatives of government (Australian and state/territory), the manufacturing and operational arms of the industry (including organisations such as the Federal Chamber of Automotive Industries and the Australian Trucking Association) and representative organisations of consumers and road users (particularly through the Australian Automobile Association).</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On 30 September 2020, the Department presented the proposed amendments to a meeting of the TLG seeking endorsement. The proposed amendments were endorsed without change.</w:t>
      </w:r>
    </w:p>
    <w:p w:rsidR="00920058" w:rsidRDefault="00920058" w:rsidP="00920058">
      <w:pPr>
        <w:spacing w:after="0"/>
        <w:rPr>
          <w:rFonts w:ascii="Times New Roman" w:hAnsi="Times New Roman" w:cs="Times New Roman"/>
          <w:sz w:val="24"/>
          <w:szCs w:val="24"/>
        </w:rPr>
      </w:pPr>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5" w:name="_Toc82590478"/>
      <w:r w:rsidRPr="007610E8">
        <w:rPr>
          <w:rFonts w:ascii="Times New Roman" w:hAnsi="Times New Roman" w:cs="Times New Roman"/>
          <w:b/>
          <w:color w:val="auto"/>
          <w:sz w:val="24"/>
          <w:szCs w:val="24"/>
        </w:rPr>
        <w:t>REGULATORY IMPACT</w:t>
      </w:r>
      <w:bookmarkEnd w:id="5"/>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The Department considered these amendments to be minor in nature and consulted with the OBPR on the requirement for a RIS. The OBPR advised that the Amendment Instrument does not warrant the preparation of a RIS because the proposed regulatory changes in the Amendment Instrument are minor and machinery in nature The reference number for OBPR’s assessment is OBPR ID 43171.</w:t>
      </w:r>
    </w:p>
    <w:p w:rsidR="00920058" w:rsidRDefault="00920058" w:rsidP="00920058">
      <w:pPr>
        <w:spacing w:after="0"/>
        <w:rPr>
          <w:rFonts w:ascii="Times New Roman" w:hAnsi="Times New Roman" w:cs="Times New Roman"/>
          <w:sz w:val="24"/>
          <w:szCs w:val="24"/>
        </w:rPr>
      </w:pPr>
    </w:p>
    <w:p w:rsidR="00920058" w:rsidRPr="007610E8" w:rsidRDefault="00920058" w:rsidP="007610E8">
      <w:pPr>
        <w:pStyle w:val="Heading1"/>
        <w:numPr>
          <w:ilvl w:val="0"/>
          <w:numId w:val="4"/>
        </w:numPr>
        <w:rPr>
          <w:rFonts w:ascii="Times New Roman" w:hAnsi="Times New Roman" w:cs="Times New Roman"/>
          <w:b/>
          <w:color w:val="auto"/>
          <w:sz w:val="24"/>
          <w:szCs w:val="24"/>
        </w:rPr>
      </w:pPr>
      <w:bookmarkStart w:id="6" w:name="_Toc82590479"/>
      <w:r w:rsidRPr="007610E8">
        <w:rPr>
          <w:rFonts w:ascii="Times New Roman" w:hAnsi="Times New Roman" w:cs="Times New Roman"/>
          <w:b/>
          <w:color w:val="auto"/>
          <w:sz w:val="24"/>
          <w:szCs w:val="24"/>
        </w:rPr>
        <w:t>STATEMENT OF COMPATIBILITY WITH HUMAN RIGHTS</w:t>
      </w:r>
      <w:bookmarkEnd w:id="6"/>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The following Statement is prepared in accordance with Part 3 of the </w:t>
      </w:r>
      <w:r w:rsidRPr="007610E8">
        <w:rPr>
          <w:rFonts w:ascii="Times New Roman" w:hAnsi="Times New Roman" w:cs="Times New Roman"/>
          <w:i/>
          <w:sz w:val="24"/>
          <w:szCs w:val="24"/>
        </w:rPr>
        <w:t>Human Rights (Parliamentary Scrutiny) Act 2011</w:t>
      </w:r>
      <w:r w:rsidRPr="00920058">
        <w:rPr>
          <w:rFonts w:ascii="Times New Roman" w:hAnsi="Times New Roman" w:cs="Times New Roman"/>
          <w:sz w:val="24"/>
          <w:szCs w:val="24"/>
        </w:rPr>
        <w:t>.</w:t>
      </w:r>
    </w:p>
    <w:p w:rsidR="00920058" w:rsidRDefault="00920058" w:rsidP="00920058">
      <w:pPr>
        <w:spacing w:after="0"/>
        <w:rPr>
          <w:rFonts w:ascii="Times New Roman" w:hAnsi="Times New Roman" w:cs="Times New Roman"/>
          <w:sz w:val="24"/>
          <w:szCs w:val="24"/>
        </w:rPr>
      </w:pPr>
    </w:p>
    <w:p w:rsidR="00920058" w:rsidRPr="00920058" w:rsidRDefault="00920058" w:rsidP="00920058">
      <w:pPr>
        <w:spacing w:after="0"/>
        <w:ind w:left="360"/>
        <w:rPr>
          <w:rFonts w:ascii="Times New Roman" w:hAnsi="Times New Roman" w:cs="Times New Roman"/>
          <w:sz w:val="24"/>
          <w:szCs w:val="24"/>
        </w:rPr>
      </w:pPr>
      <w:r w:rsidRPr="00920058">
        <w:rPr>
          <w:rFonts w:ascii="Times New Roman" w:hAnsi="Times New Roman" w:cs="Times New Roman"/>
          <w:sz w:val="24"/>
          <w:szCs w:val="24"/>
        </w:rPr>
        <w:t xml:space="preserve">The Department has assessed whether the instrument is compatible with human rights, being the rights and freedoms recognised or declared by the international instruments listed in subsection 3(1) of the </w:t>
      </w:r>
      <w:r w:rsidRPr="007610E8">
        <w:rPr>
          <w:rFonts w:ascii="Times New Roman" w:hAnsi="Times New Roman" w:cs="Times New Roman"/>
          <w:i/>
          <w:sz w:val="24"/>
          <w:szCs w:val="24"/>
        </w:rPr>
        <w:t>Human Rights (Parliamentary Scrutiny) Act 2011</w:t>
      </w:r>
      <w:r w:rsidRPr="00920058">
        <w:rPr>
          <w:rFonts w:ascii="Times New Roman" w:hAnsi="Times New Roman" w:cs="Times New Roman"/>
          <w:sz w:val="24"/>
          <w:szCs w:val="24"/>
        </w:rPr>
        <w:t xml:space="preserve"> as they apply to Australia.</w:t>
      </w:r>
    </w:p>
    <w:p w:rsidR="00920058" w:rsidRDefault="00920058" w:rsidP="00920058">
      <w:pPr>
        <w:spacing w:after="0"/>
        <w:rPr>
          <w:rFonts w:ascii="Times New Roman" w:hAnsi="Times New Roman" w:cs="Times New Roman"/>
          <w:sz w:val="24"/>
          <w:szCs w:val="24"/>
        </w:rPr>
      </w:pPr>
    </w:p>
    <w:p w:rsidR="003639EC" w:rsidRPr="00920058" w:rsidRDefault="00920058" w:rsidP="00920058">
      <w:pPr>
        <w:spacing w:after="0"/>
        <w:ind w:firstLine="360"/>
        <w:rPr>
          <w:rFonts w:ascii="Times New Roman" w:hAnsi="Times New Roman" w:cs="Times New Roman"/>
          <w:sz w:val="24"/>
          <w:szCs w:val="24"/>
        </w:rPr>
      </w:pPr>
      <w:r w:rsidRPr="00920058">
        <w:rPr>
          <w:rFonts w:ascii="Times New Roman" w:hAnsi="Times New Roman" w:cs="Times New Roman"/>
          <w:sz w:val="24"/>
          <w:szCs w:val="24"/>
        </w:rPr>
        <w:t>The amendment instrument does not raise any human rights issues.</w:t>
      </w:r>
    </w:p>
    <w:sectPr w:rsidR="003639EC" w:rsidRPr="00920058" w:rsidSect="007610E8">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E8" w:rsidRDefault="007610E8" w:rsidP="007610E8">
      <w:pPr>
        <w:spacing w:after="0" w:line="240" w:lineRule="auto"/>
      </w:pPr>
      <w:r>
        <w:separator/>
      </w:r>
    </w:p>
  </w:endnote>
  <w:endnote w:type="continuationSeparator" w:id="0">
    <w:p w:rsidR="007610E8" w:rsidRDefault="007610E8" w:rsidP="0076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60181"/>
      <w:docPartObj>
        <w:docPartGallery w:val="Page Numbers (Bottom of Page)"/>
        <w:docPartUnique/>
      </w:docPartObj>
    </w:sdtPr>
    <w:sdtEndPr>
      <w:rPr>
        <w:rFonts w:ascii="Times New Roman" w:hAnsi="Times New Roman" w:cs="Times New Roman"/>
        <w:noProof/>
        <w:sz w:val="20"/>
        <w:szCs w:val="20"/>
      </w:rPr>
    </w:sdtEndPr>
    <w:sdtContent>
      <w:p w:rsidR="007610E8" w:rsidRPr="007610E8" w:rsidRDefault="007610E8">
        <w:pPr>
          <w:pStyle w:val="Footer"/>
          <w:jc w:val="right"/>
          <w:rPr>
            <w:rFonts w:ascii="Times New Roman" w:hAnsi="Times New Roman" w:cs="Times New Roman"/>
            <w:sz w:val="20"/>
            <w:szCs w:val="20"/>
          </w:rPr>
        </w:pPr>
        <w:r w:rsidRPr="007610E8">
          <w:rPr>
            <w:rFonts w:ascii="Times New Roman" w:hAnsi="Times New Roman" w:cs="Times New Roman"/>
            <w:sz w:val="20"/>
            <w:szCs w:val="20"/>
          </w:rPr>
          <w:fldChar w:fldCharType="begin"/>
        </w:r>
        <w:r w:rsidRPr="007610E8">
          <w:rPr>
            <w:rFonts w:ascii="Times New Roman" w:hAnsi="Times New Roman" w:cs="Times New Roman"/>
            <w:sz w:val="20"/>
            <w:szCs w:val="20"/>
          </w:rPr>
          <w:instrText xml:space="preserve"> PAGE   \* MERGEFORMAT </w:instrText>
        </w:r>
        <w:r w:rsidRPr="007610E8">
          <w:rPr>
            <w:rFonts w:ascii="Times New Roman" w:hAnsi="Times New Roman" w:cs="Times New Roman"/>
            <w:sz w:val="20"/>
            <w:szCs w:val="20"/>
          </w:rPr>
          <w:fldChar w:fldCharType="separate"/>
        </w:r>
        <w:r>
          <w:rPr>
            <w:rFonts w:ascii="Times New Roman" w:hAnsi="Times New Roman" w:cs="Times New Roman"/>
            <w:noProof/>
            <w:sz w:val="20"/>
            <w:szCs w:val="20"/>
          </w:rPr>
          <w:t>2</w:t>
        </w:r>
        <w:r w:rsidRPr="007610E8">
          <w:rPr>
            <w:rFonts w:ascii="Times New Roman" w:hAnsi="Times New Roman" w:cs="Times New Roman"/>
            <w:noProof/>
            <w:sz w:val="20"/>
            <w:szCs w:val="20"/>
          </w:rPr>
          <w:fldChar w:fldCharType="end"/>
        </w:r>
      </w:p>
    </w:sdtContent>
  </w:sdt>
  <w:p w:rsidR="007610E8" w:rsidRDefault="0076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E8" w:rsidRDefault="007610E8" w:rsidP="007610E8">
      <w:pPr>
        <w:spacing w:after="0" w:line="240" w:lineRule="auto"/>
      </w:pPr>
      <w:r>
        <w:separator/>
      </w:r>
    </w:p>
  </w:footnote>
  <w:footnote w:type="continuationSeparator" w:id="0">
    <w:p w:rsidR="007610E8" w:rsidRDefault="007610E8" w:rsidP="0076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0E8" w:rsidRPr="007610E8" w:rsidRDefault="007610E8" w:rsidP="007610E8">
    <w:pPr>
      <w:pStyle w:val="Header"/>
      <w:jc w:val="center"/>
      <w:rPr>
        <w:rFonts w:ascii="Times New Roman" w:hAnsi="Times New Roman" w:cs="Times New Roman"/>
        <w:sz w:val="20"/>
        <w:szCs w:val="20"/>
      </w:rPr>
    </w:pPr>
    <w:r w:rsidRPr="007610E8">
      <w:rPr>
        <w:rFonts w:ascii="Times New Roman" w:hAnsi="Times New Roman" w:cs="Times New Roman"/>
        <w:sz w:val="20"/>
        <w:szCs w:val="20"/>
      </w:rPr>
      <w:t>Amendment Instrument 2021 (No.1) Replacement Explanatory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6357"/>
    <w:multiLevelType w:val="hybridMultilevel"/>
    <w:tmpl w:val="93325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B57C4F"/>
    <w:multiLevelType w:val="hybridMultilevel"/>
    <w:tmpl w:val="84C28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540633"/>
    <w:multiLevelType w:val="hybridMultilevel"/>
    <w:tmpl w:val="15E0A5A0"/>
    <w:lvl w:ilvl="0" w:tplc="E8C0B57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C8706F"/>
    <w:multiLevelType w:val="hybridMultilevel"/>
    <w:tmpl w:val="62548E9E"/>
    <w:lvl w:ilvl="0" w:tplc="E9DA105E">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58"/>
    <w:rsid w:val="0045351E"/>
    <w:rsid w:val="004B307D"/>
    <w:rsid w:val="007610E8"/>
    <w:rsid w:val="00920058"/>
    <w:rsid w:val="00AF4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0997"/>
  <w15:chartTrackingRefBased/>
  <w15:docId w15:val="{1D3FD2BE-B20A-4347-82C8-43BE90D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1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058"/>
    <w:pPr>
      <w:ind w:left="720"/>
      <w:contextualSpacing/>
    </w:pPr>
  </w:style>
  <w:style w:type="character" w:styleId="Hyperlink">
    <w:name w:val="Hyperlink"/>
    <w:basedOn w:val="DefaultParagraphFont"/>
    <w:uiPriority w:val="99"/>
    <w:unhideWhenUsed/>
    <w:rsid w:val="00920058"/>
    <w:rPr>
      <w:color w:val="0563C1" w:themeColor="hyperlink"/>
      <w:u w:val="single"/>
    </w:rPr>
  </w:style>
  <w:style w:type="character" w:customStyle="1" w:styleId="Heading1Char">
    <w:name w:val="Heading 1 Char"/>
    <w:basedOn w:val="DefaultParagraphFont"/>
    <w:link w:val="Heading1"/>
    <w:uiPriority w:val="9"/>
    <w:rsid w:val="007610E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610E8"/>
    <w:pPr>
      <w:outlineLvl w:val="9"/>
    </w:pPr>
    <w:rPr>
      <w:lang w:val="en-US"/>
    </w:rPr>
  </w:style>
  <w:style w:type="paragraph" w:styleId="TOC1">
    <w:name w:val="toc 1"/>
    <w:basedOn w:val="Normal"/>
    <w:next w:val="Normal"/>
    <w:autoRedefine/>
    <w:uiPriority w:val="39"/>
    <w:unhideWhenUsed/>
    <w:rsid w:val="007610E8"/>
    <w:pPr>
      <w:spacing w:after="100"/>
    </w:pPr>
  </w:style>
  <w:style w:type="paragraph" w:styleId="Header">
    <w:name w:val="header"/>
    <w:basedOn w:val="Normal"/>
    <w:link w:val="HeaderChar"/>
    <w:uiPriority w:val="99"/>
    <w:unhideWhenUsed/>
    <w:rsid w:val="00761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0E8"/>
  </w:style>
  <w:style w:type="paragraph" w:styleId="Footer">
    <w:name w:val="footer"/>
    <w:basedOn w:val="Normal"/>
    <w:link w:val="FooterChar"/>
    <w:uiPriority w:val="99"/>
    <w:unhideWhenUsed/>
    <w:rsid w:val="00761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store.saiglobal.com/en-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trans/main/welcwp29.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techstreet.com/pages/home" TargetMode="External"/><Relationship Id="rId4" Type="http://schemas.openxmlformats.org/officeDocument/2006/relationships/settings" Target="settings.xml"/><Relationship Id="rId9" Type="http://schemas.openxmlformats.org/officeDocument/2006/relationships/hyperlink" Target="http://www.iso.org/store.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16"/>
    <w:rsid w:val="00A24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FFB8ABA1C2454788F9ACFF73E08F36">
    <w:name w:val="4CFFB8ABA1C2454788F9ACFF73E08F36"/>
    <w:rsid w:val="00A24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26A3-DBDA-49E1-B088-62137B43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Heidi</dc:creator>
  <cp:keywords/>
  <dc:description/>
  <cp:lastModifiedBy>CONNELL Heidi</cp:lastModifiedBy>
  <cp:revision>1</cp:revision>
  <dcterms:created xsi:type="dcterms:W3CDTF">2021-09-14T23:07:00Z</dcterms:created>
  <dcterms:modified xsi:type="dcterms:W3CDTF">2021-09-14T23:33:00Z</dcterms:modified>
</cp:coreProperties>
</file>