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B888F5" w14:textId="77777777" w:rsidR="002E3895" w:rsidRPr="007011D6" w:rsidRDefault="45DFBDCB" w:rsidP="45DFBDCB">
      <w:pPr>
        <w:jc w:val="center"/>
        <w:rPr>
          <w:rFonts w:ascii="Times New Roman" w:hAnsi="Times New Roman" w:cs="Times New Roman"/>
          <w:b/>
          <w:bCs/>
          <w:sz w:val="24"/>
          <w:szCs w:val="24"/>
          <w:u w:val="single"/>
        </w:rPr>
      </w:pPr>
      <w:r w:rsidRPr="007011D6">
        <w:rPr>
          <w:rFonts w:ascii="Times New Roman" w:hAnsi="Times New Roman" w:cs="Times New Roman"/>
          <w:b/>
          <w:bCs/>
          <w:sz w:val="24"/>
          <w:szCs w:val="24"/>
          <w:u w:val="single"/>
        </w:rPr>
        <w:t>EXPLANATORY STATEMENT</w:t>
      </w:r>
    </w:p>
    <w:p w14:paraId="046AE152" w14:textId="77777777" w:rsidR="008F1E01" w:rsidRPr="007011D6" w:rsidRDefault="45DFBDCB" w:rsidP="45DFBDCB">
      <w:pPr>
        <w:spacing w:before="240" w:after="240"/>
        <w:jc w:val="center"/>
        <w:rPr>
          <w:rFonts w:ascii="Times New Roman" w:hAnsi="Times New Roman" w:cs="Times New Roman"/>
          <w:sz w:val="24"/>
          <w:szCs w:val="24"/>
          <w:u w:val="single"/>
        </w:rPr>
      </w:pPr>
      <w:r w:rsidRPr="007011D6">
        <w:rPr>
          <w:rFonts w:ascii="Times New Roman" w:hAnsi="Times New Roman" w:cs="Times New Roman"/>
          <w:sz w:val="24"/>
          <w:szCs w:val="24"/>
          <w:u w:val="single"/>
        </w:rPr>
        <w:t xml:space="preserve">Issued by the authority of the Minister for Resources, Water and Northern Australia </w:t>
      </w:r>
    </w:p>
    <w:p w14:paraId="1352B0C1" w14:textId="77777777" w:rsidR="008F1E01" w:rsidRPr="007011D6" w:rsidRDefault="45DFBDCB" w:rsidP="45DFBDCB">
      <w:pPr>
        <w:spacing w:before="240" w:after="240"/>
        <w:jc w:val="center"/>
        <w:rPr>
          <w:rFonts w:ascii="Times New Roman" w:hAnsi="Times New Roman" w:cs="Times New Roman"/>
          <w:i/>
          <w:iCs/>
          <w:sz w:val="24"/>
          <w:szCs w:val="24"/>
        </w:rPr>
      </w:pPr>
      <w:r w:rsidRPr="007011D6">
        <w:rPr>
          <w:rFonts w:ascii="Times New Roman" w:hAnsi="Times New Roman" w:cs="Times New Roman"/>
          <w:i/>
          <w:iCs/>
          <w:sz w:val="24"/>
          <w:szCs w:val="24"/>
        </w:rPr>
        <w:t>Industry Research and Development Act 1986</w:t>
      </w:r>
    </w:p>
    <w:p w14:paraId="665384CC" w14:textId="77777777" w:rsidR="000D0E22" w:rsidRPr="007011D6" w:rsidRDefault="7A73114D" w:rsidP="7A73114D">
      <w:pPr>
        <w:spacing w:before="240" w:after="240"/>
        <w:jc w:val="center"/>
        <w:rPr>
          <w:rFonts w:ascii="Times New Roman" w:hAnsi="Times New Roman" w:cs="Times New Roman"/>
          <w:i/>
          <w:iCs/>
          <w:sz w:val="24"/>
          <w:szCs w:val="24"/>
          <w:u w:val="single"/>
        </w:rPr>
      </w:pPr>
      <w:r w:rsidRPr="007011D6">
        <w:rPr>
          <w:rFonts w:ascii="Times New Roman" w:hAnsi="Times New Roman" w:cs="Times New Roman"/>
          <w:i/>
          <w:iCs/>
          <w:sz w:val="24"/>
          <w:szCs w:val="24"/>
        </w:rPr>
        <w:t>Industry Research and Development (Beetaloo Cooperative Drilling Program) Instrument 2021</w:t>
      </w:r>
    </w:p>
    <w:p w14:paraId="2D1A7827" w14:textId="77777777" w:rsidR="008F1E01" w:rsidRPr="007011D6" w:rsidRDefault="7A73114D" w:rsidP="7A73114D">
      <w:pPr>
        <w:spacing w:before="240" w:after="240"/>
        <w:rPr>
          <w:rFonts w:ascii="Times New Roman" w:hAnsi="Times New Roman" w:cs="Times New Roman"/>
          <w:sz w:val="24"/>
          <w:szCs w:val="24"/>
        </w:rPr>
      </w:pPr>
      <w:r w:rsidRPr="007011D6">
        <w:rPr>
          <w:rFonts w:ascii="Times New Roman" w:hAnsi="Times New Roman" w:cs="Times New Roman"/>
          <w:sz w:val="24"/>
          <w:szCs w:val="24"/>
        </w:rPr>
        <w:t xml:space="preserve">Section 33 of the </w:t>
      </w:r>
      <w:bookmarkStart w:id="0" w:name="_GoBack"/>
      <w:r w:rsidRPr="007011D6">
        <w:rPr>
          <w:rFonts w:ascii="Times New Roman" w:hAnsi="Times New Roman" w:cs="Times New Roman"/>
          <w:i/>
          <w:iCs/>
          <w:sz w:val="24"/>
          <w:szCs w:val="24"/>
        </w:rPr>
        <w:t>Industry Research and Development Act 1986</w:t>
      </w:r>
      <w:r w:rsidRPr="007011D6">
        <w:rPr>
          <w:rFonts w:ascii="Times New Roman" w:hAnsi="Times New Roman" w:cs="Times New Roman"/>
          <w:sz w:val="24"/>
          <w:szCs w:val="24"/>
        </w:rPr>
        <w:t xml:space="preserve"> </w:t>
      </w:r>
      <w:bookmarkEnd w:id="0"/>
      <w:r w:rsidRPr="007011D6">
        <w:rPr>
          <w:rFonts w:ascii="Times New Roman" w:hAnsi="Times New Roman" w:cs="Times New Roman"/>
          <w:sz w:val="24"/>
          <w:szCs w:val="24"/>
        </w:rPr>
        <w:t xml:space="preserve">(the IR&amp;D Act) provides a mechanism for the Minister to prescribe programs, by disallowable legislative instrument, in relation to industry, innovation, science or research, including in relation to the expenditure of Commonwealth money under such programs. </w:t>
      </w:r>
    </w:p>
    <w:p w14:paraId="6B80352D" w14:textId="77777777" w:rsidR="008F1E01" w:rsidRPr="007011D6" w:rsidRDefault="45DFBDCB" w:rsidP="45DFBDCB">
      <w:pPr>
        <w:spacing w:before="240" w:after="240"/>
        <w:rPr>
          <w:rFonts w:ascii="Times New Roman" w:hAnsi="Times New Roman" w:cs="Times New Roman"/>
          <w:sz w:val="24"/>
          <w:szCs w:val="24"/>
        </w:rPr>
      </w:pPr>
      <w:r w:rsidRPr="007011D6">
        <w:rPr>
          <w:rFonts w:ascii="Times New Roman" w:hAnsi="Times New Roman" w:cs="Times New Roman"/>
          <w:sz w:val="24"/>
          <w:szCs w:val="24"/>
        </w:rPr>
        <w:t xml:space="preserve">The statutory framework provided by section 33 of the IR&amp;D Act enables a level of flexibility to provide authority for Commonwealth spending activities in relation to industry, innovation, science and research programs. This allows the Government to respond quickly and appropriately to the need to implement innovative ideas and pilot programs on an ongoing basis and as opportunities arise. Prescribing programs in legislative instruments provides transparency and parliamentary oversight of Government programs and spending activities, whilst reducing administrative burden on the Commonwealth. </w:t>
      </w:r>
    </w:p>
    <w:p w14:paraId="3084E45A" w14:textId="77777777" w:rsidR="008F1E01" w:rsidRPr="007011D6" w:rsidRDefault="45DFBDCB" w:rsidP="45DFBDCB">
      <w:pPr>
        <w:spacing w:before="240" w:after="240"/>
        <w:rPr>
          <w:rFonts w:ascii="Times New Roman" w:hAnsi="Times New Roman" w:cs="Times New Roman"/>
          <w:sz w:val="24"/>
          <w:szCs w:val="24"/>
        </w:rPr>
      </w:pPr>
      <w:r w:rsidRPr="007011D6">
        <w:rPr>
          <w:rFonts w:ascii="Times New Roman" w:hAnsi="Times New Roman" w:cs="Times New Roman"/>
          <w:sz w:val="24"/>
          <w:szCs w:val="24"/>
        </w:rPr>
        <w:t xml:space="preserve">Once a program is prescribed by the Minister under section 33, subsection 34(1) allows the Commonwealth to make, vary or administer arrangements in relation to activities under the prescribed program. Arrangements may include contracts, funding agreements or other arrangements, and may provide for money to be payable by the Commonwealth to one or more third parties. The power conferred on the Commonwealth by subsection 34(1) may be exercised on behalf of the Commonwealth by a Minister or an accountable authority of a non-corporate entity, or by their delegate (under section 36). </w:t>
      </w:r>
    </w:p>
    <w:p w14:paraId="753924D6" w14:textId="1C2545E1" w:rsidR="00E7414C" w:rsidRPr="007011D6" w:rsidRDefault="45DFBDCB" w:rsidP="45DFBDCB">
      <w:pPr>
        <w:spacing w:before="240" w:after="240"/>
        <w:rPr>
          <w:rFonts w:ascii="Times New Roman" w:hAnsi="Times New Roman" w:cs="Times New Roman"/>
          <w:sz w:val="24"/>
          <w:szCs w:val="24"/>
        </w:rPr>
      </w:pPr>
      <w:r w:rsidRPr="007011D6">
        <w:rPr>
          <w:rFonts w:ascii="Times New Roman" w:hAnsi="Times New Roman" w:cs="Times New Roman"/>
          <w:sz w:val="24"/>
          <w:szCs w:val="24"/>
        </w:rPr>
        <w:t xml:space="preserve">The purpose of the </w:t>
      </w:r>
      <w:r w:rsidRPr="007011D6">
        <w:rPr>
          <w:rFonts w:ascii="Times New Roman" w:hAnsi="Times New Roman" w:cs="Times New Roman"/>
          <w:i/>
          <w:iCs/>
          <w:sz w:val="24"/>
          <w:szCs w:val="24"/>
        </w:rPr>
        <w:t xml:space="preserve">Industry Research and Development (Beetaloo Cooperative Drilling Program) Instrument 2021 </w:t>
      </w:r>
      <w:r w:rsidRPr="007011D6">
        <w:rPr>
          <w:rFonts w:ascii="Times New Roman" w:hAnsi="Times New Roman" w:cs="Times New Roman"/>
          <w:sz w:val="24"/>
          <w:szCs w:val="24"/>
        </w:rPr>
        <w:t xml:space="preserve">(the Legislative Instrument) is to prescribe the Beetaloo Cooperative Drilling Program (the Program). </w:t>
      </w:r>
      <w:r w:rsidR="004C7CDA" w:rsidRPr="007011D6">
        <w:rPr>
          <w:rFonts w:ascii="Times New Roman" w:hAnsi="Times New Roman" w:cs="Times New Roman"/>
          <w:sz w:val="24"/>
          <w:szCs w:val="24"/>
        </w:rPr>
        <w:t>The purpose of the P</w:t>
      </w:r>
      <w:r w:rsidR="00F0659D" w:rsidRPr="007011D6">
        <w:rPr>
          <w:rFonts w:ascii="Times New Roman" w:hAnsi="Times New Roman" w:cs="Times New Roman"/>
          <w:sz w:val="24"/>
          <w:szCs w:val="24"/>
        </w:rPr>
        <w:t>rogram is to encourage and facilitate</w:t>
      </w:r>
      <w:r w:rsidR="00CA113D" w:rsidRPr="007011D6">
        <w:rPr>
          <w:rFonts w:ascii="Times New Roman" w:hAnsi="Times New Roman" w:cs="Times New Roman"/>
          <w:sz w:val="24"/>
          <w:szCs w:val="24"/>
        </w:rPr>
        <w:t xml:space="preserve"> accelerated</w:t>
      </w:r>
      <w:r w:rsidR="00F0659D" w:rsidRPr="007011D6">
        <w:rPr>
          <w:rFonts w:ascii="Times New Roman" w:hAnsi="Times New Roman" w:cs="Times New Roman"/>
          <w:sz w:val="24"/>
          <w:szCs w:val="24"/>
        </w:rPr>
        <w:t xml:space="preserve"> gas exploration in the Beetaloo sub-basin</w:t>
      </w:r>
      <w:r w:rsidR="00343CC6" w:rsidRPr="007011D6">
        <w:rPr>
          <w:rFonts w:ascii="Times New Roman" w:hAnsi="Times New Roman" w:cs="Times New Roman"/>
          <w:sz w:val="24"/>
          <w:szCs w:val="24"/>
        </w:rPr>
        <w:t xml:space="preserve"> through the provision of grants</w:t>
      </w:r>
      <w:r w:rsidR="00AC3882" w:rsidRPr="007011D6">
        <w:rPr>
          <w:rFonts w:ascii="Times New Roman" w:hAnsi="Times New Roman" w:cs="Times New Roman"/>
          <w:sz w:val="24"/>
          <w:szCs w:val="24"/>
        </w:rPr>
        <w:t xml:space="preserve">. </w:t>
      </w:r>
      <w:r w:rsidR="004C7CDA" w:rsidRPr="007011D6">
        <w:rPr>
          <w:rFonts w:ascii="Times New Roman" w:hAnsi="Times New Roman" w:cs="Times New Roman"/>
          <w:sz w:val="24"/>
          <w:szCs w:val="24"/>
        </w:rPr>
        <w:t>The P</w:t>
      </w:r>
      <w:r w:rsidR="00343CC6" w:rsidRPr="007011D6">
        <w:rPr>
          <w:rFonts w:ascii="Times New Roman" w:hAnsi="Times New Roman" w:cs="Times New Roman"/>
          <w:sz w:val="24"/>
          <w:szCs w:val="24"/>
        </w:rPr>
        <w:t>rogram</w:t>
      </w:r>
      <w:r w:rsidR="00AC3882" w:rsidRPr="007011D6">
        <w:rPr>
          <w:rFonts w:ascii="Times New Roman" w:hAnsi="Times New Roman" w:cs="Times New Roman"/>
          <w:sz w:val="24"/>
          <w:szCs w:val="24"/>
        </w:rPr>
        <w:t xml:space="preserve"> </w:t>
      </w:r>
      <w:r w:rsidR="00E7414C" w:rsidRPr="007011D6">
        <w:rPr>
          <w:rFonts w:ascii="Times New Roman" w:hAnsi="Times New Roman" w:cs="Times New Roman"/>
          <w:sz w:val="24"/>
          <w:szCs w:val="24"/>
        </w:rPr>
        <w:t>will support the development of the Northern Territory gas industry while building</w:t>
      </w:r>
      <w:r w:rsidR="00AC3882" w:rsidRPr="007011D6">
        <w:rPr>
          <w:rFonts w:ascii="Times New Roman" w:hAnsi="Times New Roman" w:cs="Times New Roman"/>
          <w:sz w:val="24"/>
          <w:szCs w:val="24"/>
        </w:rPr>
        <w:t xml:space="preserve"> on the Australian Government’s commitment to unlock</w:t>
      </w:r>
      <w:r w:rsidR="00815272" w:rsidRPr="007011D6">
        <w:rPr>
          <w:rFonts w:ascii="Times New Roman" w:hAnsi="Times New Roman" w:cs="Times New Roman"/>
          <w:sz w:val="24"/>
          <w:szCs w:val="24"/>
        </w:rPr>
        <w:t>ing</w:t>
      </w:r>
      <w:r w:rsidR="00AC3882" w:rsidRPr="007011D6">
        <w:rPr>
          <w:rFonts w:ascii="Times New Roman" w:hAnsi="Times New Roman" w:cs="Times New Roman"/>
          <w:sz w:val="24"/>
          <w:szCs w:val="24"/>
        </w:rPr>
        <w:t xml:space="preserve"> gas supply</w:t>
      </w:r>
      <w:r w:rsidR="00AF289D" w:rsidRPr="007011D6">
        <w:rPr>
          <w:rFonts w:ascii="Times New Roman" w:hAnsi="Times New Roman" w:cs="Times New Roman"/>
          <w:sz w:val="24"/>
          <w:szCs w:val="24"/>
        </w:rPr>
        <w:t xml:space="preserve"> and contributing to gas security across Australia</w:t>
      </w:r>
      <w:r w:rsidR="001B1D1B">
        <w:rPr>
          <w:rFonts w:ascii="Times New Roman" w:hAnsi="Times New Roman" w:cs="Times New Roman"/>
          <w:sz w:val="24"/>
          <w:szCs w:val="24"/>
        </w:rPr>
        <w:t>.</w:t>
      </w:r>
      <w:r w:rsidR="00AF289D" w:rsidRPr="007011D6">
        <w:rPr>
          <w:rFonts w:ascii="Times New Roman" w:hAnsi="Times New Roman" w:cs="Times New Roman"/>
          <w:sz w:val="24"/>
          <w:szCs w:val="24"/>
        </w:rPr>
        <w:t xml:space="preserve"> </w:t>
      </w:r>
    </w:p>
    <w:p w14:paraId="2C472546" w14:textId="5DE7752A" w:rsidR="003B3B5B" w:rsidRPr="007011D6" w:rsidRDefault="45DFBDCB" w:rsidP="45DFBDCB">
      <w:pPr>
        <w:spacing w:before="240" w:after="240"/>
        <w:rPr>
          <w:rFonts w:ascii="Times New Roman" w:hAnsi="Times New Roman" w:cs="Times New Roman"/>
          <w:i/>
          <w:iCs/>
          <w:sz w:val="24"/>
          <w:szCs w:val="24"/>
          <w:u w:val="single"/>
        </w:rPr>
      </w:pPr>
      <w:r w:rsidRPr="007011D6">
        <w:rPr>
          <w:rFonts w:ascii="Times New Roman" w:hAnsi="Times New Roman" w:cs="Times New Roman"/>
          <w:sz w:val="24"/>
          <w:szCs w:val="24"/>
        </w:rPr>
        <w:t>The funding for the Program has been secured through the Department of Industry, Science, Energy and Resou</w:t>
      </w:r>
      <w:r w:rsidR="00BC02F5" w:rsidRPr="007011D6">
        <w:rPr>
          <w:rFonts w:ascii="Times New Roman" w:hAnsi="Times New Roman" w:cs="Times New Roman"/>
          <w:sz w:val="24"/>
          <w:szCs w:val="24"/>
        </w:rPr>
        <w:t xml:space="preserve">rces 2020-21 Mid-Year Economic and Fiscal Outlook (MYEFO) </w:t>
      </w:r>
      <w:r w:rsidR="00DF1A28" w:rsidRPr="007011D6">
        <w:rPr>
          <w:rFonts w:ascii="Times New Roman" w:hAnsi="Times New Roman" w:cs="Times New Roman"/>
          <w:sz w:val="24"/>
          <w:szCs w:val="24"/>
        </w:rPr>
        <w:t>update</w:t>
      </w:r>
      <w:r w:rsidR="008A4361" w:rsidRPr="007011D6">
        <w:rPr>
          <w:rFonts w:ascii="Times New Roman" w:hAnsi="Times New Roman" w:cs="Times New Roman"/>
          <w:sz w:val="24"/>
          <w:szCs w:val="24"/>
        </w:rPr>
        <w:t>. T</w:t>
      </w:r>
      <w:r w:rsidR="00F0659D" w:rsidRPr="007011D6">
        <w:rPr>
          <w:rFonts w:ascii="Times New Roman" w:hAnsi="Times New Roman" w:cs="Times New Roman"/>
          <w:sz w:val="24"/>
          <w:szCs w:val="24"/>
        </w:rPr>
        <w:t>he Program provides $50 millio</w:t>
      </w:r>
      <w:r w:rsidR="00AC3882" w:rsidRPr="007011D6">
        <w:rPr>
          <w:rFonts w:ascii="Times New Roman" w:hAnsi="Times New Roman" w:cs="Times New Roman"/>
          <w:sz w:val="24"/>
          <w:szCs w:val="24"/>
        </w:rPr>
        <w:t>n and will fund</w:t>
      </w:r>
      <w:r w:rsidR="00DD213D">
        <w:rPr>
          <w:rFonts w:ascii="Times New Roman" w:hAnsi="Times New Roman" w:cs="Times New Roman"/>
          <w:sz w:val="24"/>
          <w:szCs w:val="24"/>
        </w:rPr>
        <w:t xml:space="preserve"> accelerated</w:t>
      </w:r>
      <w:r w:rsidR="003C7677" w:rsidRPr="007011D6">
        <w:rPr>
          <w:rFonts w:ascii="Times New Roman" w:hAnsi="Times New Roman" w:cs="Times New Roman"/>
          <w:sz w:val="24"/>
          <w:szCs w:val="24"/>
        </w:rPr>
        <w:t xml:space="preserve"> exploration </w:t>
      </w:r>
      <w:r w:rsidR="00730ABE" w:rsidRPr="007011D6">
        <w:rPr>
          <w:rFonts w:ascii="Times New Roman" w:hAnsi="Times New Roman" w:cs="Times New Roman"/>
          <w:sz w:val="24"/>
          <w:szCs w:val="24"/>
        </w:rPr>
        <w:t xml:space="preserve">and appraisal </w:t>
      </w:r>
      <w:r w:rsidR="003C7677" w:rsidRPr="007011D6">
        <w:rPr>
          <w:rFonts w:ascii="Times New Roman" w:hAnsi="Times New Roman" w:cs="Times New Roman"/>
          <w:sz w:val="24"/>
          <w:szCs w:val="24"/>
        </w:rPr>
        <w:t>activities to be undertaken in the</w:t>
      </w:r>
      <w:r w:rsidR="00CA113D" w:rsidRPr="007011D6">
        <w:rPr>
          <w:rFonts w:ascii="Times New Roman" w:hAnsi="Times New Roman" w:cs="Times New Roman"/>
          <w:sz w:val="24"/>
          <w:szCs w:val="24"/>
        </w:rPr>
        <w:t xml:space="preserve"> Beetaloo</w:t>
      </w:r>
      <w:r w:rsidR="003C7677" w:rsidRPr="007011D6">
        <w:rPr>
          <w:rFonts w:ascii="Times New Roman" w:hAnsi="Times New Roman" w:cs="Times New Roman"/>
          <w:sz w:val="24"/>
          <w:szCs w:val="24"/>
        </w:rPr>
        <w:t xml:space="preserve"> </w:t>
      </w:r>
      <w:r w:rsidR="00CA113D" w:rsidRPr="007011D6">
        <w:rPr>
          <w:rFonts w:ascii="Times New Roman" w:hAnsi="Times New Roman" w:cs="Times New Roman"/>
          <w:sz w:val="24"/>
          <w:szCs w:val="24"/>
        </w:rPr>
        <w:t xml:space="preserve">sub-basin. </w:t>
      </w:r>
      <w:r w:rsidRPr="007011D6">
        <w:rPr>
          <w:rFonts w:ascii="Times New Roman" w:hAnsi="Times New Roman" w:cs="Times New Roman"/>
          <w:sz w:val="24"/>
          <w:szCs w:val="24"/>
        </w:rPr>
        <w:t>Funding authorised by this Legislative</w:t>
      </w:r>
      <w:r w:rsidR="002D069B" w:rsidRPr="007011D6">
        <w:rPr>
          <w:rFonts w:ascii="Times New Roman" w:hAnsi="Times New Roman" w:cs="Times New Roman"/>
          <w:sz w:val="24"/>
          <w:szCs w:val="24"/>
        </w:rPr>
        <w:t xml:space="preserve"> Instrument comes from Program 1.3: Supporting a Strong Resources Sector, Outcome 1</w:t>
      </w:r>
      <w:r w:rsidRPr="007011D6">
        <w:rPr>
          <w:rFonts w:ascii="Times New Roman" w:hAnsi="Times New Roman" w:cs="Times New Roman"/>
          <w:sz w:val="24"/>
          <w:szCs w:val="24"/>
        </w:rPr>
        <w:t xml:space="preserve">, as set out in the </w:t>
      </w:r>
      <w:r w:rsidRPr="007011D6">
        <w:rPr>
          <w:rFonts w:ascii="Times New Roman" w:hAnsi="Times New Roman" w:cs="Times New Roman"/>
          <w:i/>
          <w:iCs/>
          <w:sz w:val="24"/>
          <w:szCs w:val="24"/>
        </w:rPr>
        <w:t xml:space="preserve">Portfolio </w:t>
      </w:r>
      <w:r w:rsidR="002D069B" w:rsidRPr="007011D6">
        <w:rPr>
          <w:rFonts w:ascii="Times New Roman" w:hAnsi="Times New Roman" w:cs="Times New Roman"/>
          <w:i/>
          <w:iCs/>
          <w:sz w:val="24"/>
          <w:szCs w:val="24"/>
        </w:rPr>
        <w:t>Additional Estimates Statements 2020-21,</w:t>
      </w:r>
      <w:r w:rsidRPr="007011D6">
        <w:rPr>
          <w:rFonts w:ascii="Times New Roman" w:hAnsi="Times New Roman" w:cs="Times New Roman"/>
          <w:i/>
          <w:iCs/>
          <w:sz w:val="24"/>
          <w:szCs w:val="24"/>
        </w:rPr>
        <w:t xml:space="preserve"> Industry, Science, E</w:t>
      </w:r>
      <w:r w:rsidR="002D069B" w:rsidRPr="007011D6">
        <w:rPr>
          <w:rFonts w:ascii="Times New Roman" w:hAnsi="Times New Roman" w:cs="Times New Roman"/>
          <w:i/>
          <w:iCs/>
          <w:sz w:val="24"/>
          <w:szCs w:val="24"/>
        </w:rPr>
        <w:t>ner</w:t>
      </w:r>
      <w:r w:rsidR="004C7CDA" w:rsidRPr="007011D6">
        <w:rPr>
          <w:rFonts w:ascii="Times New Roman" w:hAnsi="Times New Roman" w:cs="Times New Roman"/>
          <w:i/>
          <w:iCs/>
          <w:sz w:val="24"/>
          <w:szCs w:val="24"/>
        </w:rPr>
        <w:t>gy and Resources Portfolio (</w:t>
      </w:r>
      <w:hyperlink r:id="rId11" w:history="1">
        <w:r w:rsidR="0089642B" w:rsidRPr="007011D6">
          <w:rPr>
            <w:rStyle w:val="Hyperlink"/>
            <w:rFonts w:ascii="Times New Roman" w:hAnsi="Times New Roman" w:cs="Times New Roman"/>
            <w:i/>
            <w:iCs/>
            <w:sz w:val="24"/>
            <w:szCs w:val="24"/>
          </w:rPr>
          <w:t>https://www.industry.gov.au/sites/default/files/2021-02/2020-21-department-of-industry-science-energy-and-resources-paes.pdf</w:t>
        </w:r>
      </w:hyperlink>
      <w:r w:rsidR="0089642B" w:rsidRPr="007011D6">
        <w:rPr>
          <w:rFonts w:ascii="Times New Roman" w:hAnsi="Times New Roman" w:cs="Times New Roman"/>
          <w:i/>
          <w:iCs/>
          <w:sz w:val="24"/>
          <w:szCs w:val="24"/>
        </w:rPr>
        <w:t>)</w:t>
      </w:r>
      <w:r w:rsidR="002D069B" w:rsidRPr="007011D6">
        <w:rPr>
          <w:rFonts w:ascii="Times New Roman" w:hAnsi="Times New Roman" w:cs="Times New Roman"/>
          <w:i/>
          <w:iCs/>
          <w:sz w:val="24"/>
          <w:szCs w:val="24"/>
        </w:rPr>
        <w:t xml:space="preserve"> </w:t>
      </w:r>
      <w:r w:rsidR="002D069B" w:rsidRPr="007011D6">
        <w:rPr>
          <w:rFonts w:ascii="Times New Roman" w:hAnsi="Times New Roman" w:cs="Times New Roman"/>
          <w:iCs/>
          <w:sz w:val="24"/>
          <w:szCs w:val="24"/>
        </w:rPr>
        <w:t xml:space="preserve">at page </w:t>
      </w:r>
      <w:r w:rsidR="00232005" w:rsidRPr="007011D6">
        <w:rPr>
          <w:rFonts w:ascii="Times New Roman" w:hAnsi="Times New Roman" w:cs="Times New Roman"/>
          <w:iCs/>
          <w:sz w:val="24"/>
          <w:szCs w:val="24"/>
        </w:rPr>
        <w:t>18</w:t>
      </w:r>
      <w:r w:rsidR="002D069B" w:rsidRPr="007011D6">
        <w:rPr>
          <w:rFonts w:ascii="Times New Roman" w:hAnsi="Times New Roman" w:cs="Times New Roman"/>
          <w:iCs/>
          <w:sz w:val="24"/>
          <w:szCs w:val="24"/>
        </w:rPr>
        <w:t>.</w:t>
      </w:r>
    </w:p>
    <w:p w14:paraId="406DA7E6" w14:textId="77777777" w:rsidR="00283BDB" w:rsidRPr="007011D6" w:rsidRDefault="45DFBDCB" w:rsidP="45DFBDCB">
      <w:pPr>
        <w:spacing w:before="240" w:after="240"/>
        <w:rPr>
          <w:rFonts w:ascii="Times New Roman" w:hAnsi="Times New Roman" w:cs="Times New Roman"/>
          <w:sz w:val="24"/>
          <w:szCs w:val="24"/>
        </w:rPr>
      </w:pPr>
      <w:r w:rsidRPr="007011D6">
        <w:rPr>
          <w:rFonts w:ascii="Times New Roman" w:hAnsi="Times New Roman" w:cs="Times New Roman"/>
          <w:sz w:val="24"/>
          <w:szCs w:val="24"/>
        </w:rPr>
        <w:lastRenderedPageBreak/>
        <w:t>The Pr</w:t>
      </w:r>
      <w:r w:rsidR="005265D9" w:rsidRPr="007011D6">
        <w:rPr>
          <w:rFonts w:ascii="Times New Roman" w:hAnsi="Times New Roman" w:cs="Times New Roman"/>
          <w:sz w:val="24"/>
          <w:szCs w:val="24"/>
        </w:rPr>
        <w:t xml:space="preserve">ogram will be delivered by the </w:t>
      </w:r>
      <w:r w:rsidRPr="007011D6">
        <w:rPr>
          <w:rFonts w:ascii="Times New Roman" w:hAnsi="Times New Roman" w:cs="Times New Roman"/>
          <w:sz w:val="24"/>
          <w:szCs w:val="24"/>
        </w:rPr>
        <w:t>Department’s Business Grants Hub, which is a specialised design, management and delivery body with extensive expertise and capability in deliverin</w:t>
      </w:r>
      <w:r w:rsidR="005265D9" w:rsidRPr="007011D6">
        <w:rPr>
          <w:rFonts w:ascii="Times New Roman" w:hAnsi="Times New Roman" w:cs="Times New Roman"/>
          <w:sz w:val="24"/>
          <w:szCs w:val="24"/>
        </w:rPr>
        <w:t>g similar programs.</w:t>
      </w:r>
    </w:p>
    <w:p w14:paraId="49CF089B" w14:textId="77777777" w:rsidR="00283BDB" w:rsidRPr="007011D6" w:rsidRDefault="45DFBDCB" w:rsidP="45DFBDCB">
      <w:pPr>
        <w:spacing w:before="240" w:after="240"/>
        <w:rPr>
          <w:rFonts w:ascii="Times New Roman" w:hAnsi="Times New Roman" w:cs="Times New Roman"/>
          <w:sz w:val="24"/>
          <w:szCs w:val="24"/>
        </w:rPr>
      </w:pPr>
      <w:r w:rsidRPr="007011D6">
        <w:rPr>
          <w:rFonts w:ascii="Times New Roman" w:hAnsi="Times New Roman" w:cs="Times New Roman"/>
          <w:sz w:val="24"/>
          <w:szCs w:val="24"/>
        </w:rPr>
        <w:t>The Program</w:t>
      </w:r>
      <w:r w:rsidR="00D81928" w:rsidRPr="007011D6">
        <w:rPr>
          <w:rFonts w:ascii="Times New Roman" w:hAnsi="Times New Roman" w:cs="Times New Roman"/>
          <w:sz w:val="24"/>
          <w:szCs w:val="24"/>
        </w:rPr>
        <w:t xml:space="preserve"> is an open non-competitive grant opportunity</w:t>
      </w:r>
      <w:r w:rsidRPr="007011D6">
        <w:rPr>
          <w:rFonts w:ascii="Times New Roman" w:hAnsi="Times New Roman" w:cs="Times New Roman"/>
          <w:sz w:val="24"/>
          <w:szCs w:val="24"/>
        </w:rPr>
        <w:t>.</w:t>
      </w:r>
      <w:r w:rsidR="00D81928" w:rsidRPr="007011D6">
        <w:rPr>
          <w:rFonts w:ascii="Times New Roman" w:hAnsi="Times New Roman" w:cs="Times New Roman"/>
          <w:sz w:val="24"/>
          <w:szCs w:val="24"/>
        </w:rPr>
        <w:t xml:space="preserve"> That is</w:t>
      </w:r>
      <w:r w:rsidR="004C7CDA" w:rsidRPr="007011D6">
        <w:rPr>
          <w:rFonts w:ascii="Times New Roman" w:hAnsi="Times New Roman" w:cs="Times New Roman"/>
          <w:sz w:val="24"/>
          <w:szCs w:val="24"/>
        </w:rPr>
        <w:t>,</w:t>
      </w:r>
      <w:r w:rsidR="00D81928" w:rsidRPr="007011D6">
        <w:rPr>
          <w:rFonts w:ascii="Times New Roman" w:hAnsi="Times New Roman" w:cs="Times New Roman"/>
          <w:sz w:val="24"/>
          <w:szCs w:val="24"/>
        </w:rPr>
        <w:t xml:space="preserve"> applications may be submitted at any time over the application period or until the </w:t>
      </w:r>
      <w:r w:rsidR="00B83919" w:rsidRPr="007011D6">
        <w:rPr>
          <w:rFonts w:ascii="Times New Roman" w:hAnsi="Times New Roman" w:cs="Times New Roman"/>
          <w:sz w:val="24"/>
          <w:szCs w:val="24"/>
        </w:rPr>
        <w:t xml:space="preserve">grant </w:t>
      </w:r>
      <w:r w:rsidR="00D81928" w:rsidRPr="007011D6">
        <w:rPr>
          <w:rFonts w:ascii="Times New Roman" w:hAnsi="Times New Roman" w:cs="Times New Roman"/>
          <w:sz w:val="24"/>
          <w:szCs w:val="24"/>
        </w:rPr>
        <w:t>opportunity</w:t>
      </w:r>
      <w:r w:rsidR="004C7CDA" w:rsidRPr="007011D6">
        <w:rPr>
          <w:rFonts w:ascii="Times New Roman" w:hAnsi="Times New Roman" w:cs="Times New Roman"/>
          <w:sz w:val="24"/>
          <w:szCs w:val="24"/>
        </w:rPr>
        <w:t xml:space="preserve"> is fully subscribed and </w:t>
      </w:r>
      <w:r w:rsidR="00260517" w:rsidRPr="007011D6">
        <w:rPr>
          <w:rFonts w:ascii="Times New Roman" w:hAnsi="Times New Roman" w:cs="Times New Roman"/>
          <w:sz w:val="24"/>
          <w:szCs w:val="24"/>
        </w:rPr>
        <w:t>are assessed on a first-come</w:t>
      </w:r>
      <w:r w:rsidR="00B83919" w:rsidRPr="007011D6">
        <w:rPr>
          <w:rFonts w:ascii="Times New Roman" w:hAnsi="Times New Roman" w:cs="Times New Roman"/>
          <w:sz w:val="24"/>
          <w:szCs w:val="24"/>
        </w:rPr>
        <w:t>-</w:t>
      </w:r>
      <w:r w:rsidR="00D81928" w:rsidRPr="007011D6">
        <w:rPr>
          <w:rFonts w:ascii="Times New Roman" w:hAnsi="Times New Roman" w:cs="Times New Roman"/>
          <w:sz w:val="24"/>
          <w:szCs w:val="24"/>
        </w:rPr>
        <w:t xml:space="preserve">first-served basis against established assessment criteria. </w:t>
      </w:r>
      <w:r w:rsidR="004C7CDA" w:rsidRPr="007011D6">
        <w:rPr>
          <w:rFonts w:ascii="Times New Roman" w:hAnsi="Times New Roman" w:cs="Times New Roman"/>
          <w:sz w:val="24"/>
          <w:szCs w:val="24"/>
        </w:rPr>
        <w:t>The non-competitive nature means that f</w:t>
      </w:r>
      <w:r w:rsidR="00D81928" w:rsidRPr="007011D6">
        <w:rPr>
          <w:rFonts w:ascii="Times New Roman" w:hAnsi="Times New Roman" w:cs="Times New Roman"/>
          <w:sz w:val="24"/>
          <w:szCs w:val="24"/>
        </w:rPr>
        <w:t xml:space="preserve">unding decisions are determined without reference to the comparative merits of other applications. </w:t>
      </w:r>
      <w:r w:rsidRPr="007011D6">
        <w:rPr>
          <w:rFonts w:ascii="Times New Roman" w:hAnsi="Times New Roman" w:cs="Times New Roman"/>
          <w:sz w:val="24"/>
          <w:szCs w:val="24"/>
        </w:rPr>
        <w:t>The Program is administered by the Dep</w:t>
      </w:r>
      <w:r w:rsidR="0081782A" w:rsidRPr="007011D6">
        <w:rPr>
          <w:rFonts w:ascii="Times New Roman" w:hAnsi="Times New Roman" w:cs="Times New Roman"/>
          <w:sz w:val="24"/>
          <w:szCs w:val="24"/>
        </w:rPr>
        <w:t xml:space="preserve">artment in accordance with the </w:t>
      </w:r>
      <w:r w:rsidRPr="007011D6">
        <w:rPr>
          <w:rFonts w:ascii="Times New Roman" w:hAnsi="Times New Roman" w:cs="Times New Roman"/>
          <w:i/>
          <w:iCs/>
          <w:sz w:val="24"/>
          <w:szCs w:val="24"/>
        </w:rPr>
        <w:t xml:space="preserve">Commonwealth Grant Rules and Guidelines 2017 </w:t>
      </w:r>
      <w:r w:rsidRPr="007011D6">
        <w:rPr>
          <w:rFonts w:ascii="Times New Roman" w:hAnsi="Times New Roman" w:cs="Times New Roman"/>
          <w:sz w:val="24"/>
          <w:szCs w:val="24"/>
        </w:rPr>
        <w:t>(</w:t>
      </w:r>
      <w:r w:rsidR="002A619E" w:rsidRPr="002A619E">
        <w:rPr>
          <w:rStyle w:val="Hyperlink"/>
          <w:rFonts w:ascii="Times New Roman" w:hAnsi="Times New Roman" w:cs="Times New Roman"/>
          <w:i/>
          <w:iCs/>
          <w:sz w:val="24"/>
          <w:szCs w:val="24"/>
        </w:rPr>
        <w:t>https://www.finance.gov.au/sites/default/files/2019-11/commonwealth-grants-rules-and-guidelines.pdf</w:t>
      </w:r>
      <w:r w:rsidR="00D81928" w:rsidRPr="007011D6">
        <w:rPr>
          <w:rFonts w:ascii="Times New Roman" w:hAnsi="Times New Roman" w:cs="Times New Roman"/>
          <w:sz w:val="24"/>
          <w:szCs w:val="24"/>
        </w:rPr>
        <w:t xml:space="preserve">). </w:t>
      </w:r>
      <w:r w:rsidRPr="007011D6">
        <w:rPr>
          <w:rFonts w:ascii="Times New Roman" w:hAnsi="Times New Roman" w:cs="Times New Roman"/>
          <w:sz w:val="24"/>
          <w:szCs w:val="24"/>
        </w:rPr>
        <w:t xml:space="preserve">Eligibility and </w:t>
      </w:r>
      <w:r w:rsidR="00D81928" w:rsidRPr="007011D6">
        <w:rPr>
          <w:rFonts w:ascii="Times New Roman" w:hAnsi="Times New Roman" w:cs="Times New Roman"/>
          <w:sz w:val="24"/>
          <w:szCs w:val="24"/>
        </w:rPr>
        <w:t>assessment</w:t>
      </w:r>
      <w:r w:rsidRPr="007011D6">
        <w:rPr>
          <w:rFonts w:ascii="Times New Roman" w:hAnsi="Times New Roman" w:cs="Times New Roman"/>
          <w:sz w:val="24"/>
          <w:szCs w:val="24"/>
        </w:rPr>
        <w:t xml:space="preserve"> criteria are outlined in the Program guideli</w:t>
      </w:r>
      <w:r w:rsidR="00D81928" w:rsidRPr="007011D6">
        <w:rPr>
          <w:rFonts w:ascii="Times New Roman" w:hAnsi="Times New Roman" w:cs="Times New Roman"/>
          <w:sz w:val="24"/>
          <w:szCs w:val="24"/>
        </w:rPr>
        <w:t xml:space="preserve">nes, available at </w:t>
      </w:r>
      <w:hyperlink r:id="rId12" w:history="1">
        <w:r w:rsidR="004C7CDA" w:rsidRPr="007011D6">
          <w:rPr>
            <w:rStyle w:val="Hyperlink"/>
            <w:rFonts w:ascii="Times New Roman" w:hAnsi="Times New Roman" w:cs="Times New Roman"/>
            <w:sz w:val="24"/>
            <w:szCs w:val="24"/>
          </w:rPr>
          <w:t>www.business.gov.au</w:t>
        </w:r>
      </w:hyperlink>
      <w:r w:rsidR="004C7CDA" w:rsidRPr="007011D6">
        <w:rPr>
          <w:rFonts w:ascii="Times New Roman" w:hAnsi="Times New Roman" w:cs="Times New Roman"/>
          <w:sz w:val="24"/>
          <w:szCs w:val="24"/>
        </w:rPr>
        <w:t>.</w:t>
      </w:r>
    </w:p>
    <w:p w14:paraId="268A0B49" w14:textId="77777777" w:rsidR="00C736D1" w:rsidRPr="007011D6" w:rsidRDefault="45DFBDCB" w:rsidP="00C736D1">
      <w:pPr>
        <w:rPr>
          <w:rFonts w:ascii="Times New Roman" w:hAnsi="Times New Roman" w:cs="Times New Roman"/>
          <w:sz w:val="24"/>
          <w:szCs w:val="24"/>
        </w:rPr>
      </w:pPr>
      <w:r w:rsidRPr="007011D6">
        <w:rPr>
          <w:rFonts w:ascii="Times New Roman" w:hAnsi="Times New Roman" w:cs="Times New Roman"/>
          <w:sz w:val="24"/>
          <w:szCs w:val="24"/>
        </w:rPr>
        <w:t xml:space="preserve">Spending decisions will be made by the Minister for </w:t>
      </w:r>
      <w:r w:rsidR="00B533C5" w:rsidRPr="007011D6">
        <w:rPr>
          <w:rFonts w:ascii="Times New Roman" w:hAnsi="Times New Roman" w:cs="Times New Roman"/>
          <w:sz w:val="24"/>
          <w:szCs w:val="24"/>
        </w:rPr>
        <w:t>Resources</w:t>
      </w:r>
      <w:r w:rsidRPr="007011D6">
        <w:rPr>
          <w:rFonts w:ascii="Times New Roman" w:hAnsi="Times New Roman" w:cs="Times New Roman"/>
          <w:sz w:val="24"/>
          <w:szCs w:val="24"/>
        </w:rPr>
        <w:t xml:space="preserve">, </w:t>
      </w:r>
      <w:r w:rsidR="00B533C5" w:rsidRPr="007011D6">
        <w:rPr>
          <w:rFonts w:ascii="Times New Roman" w:hAnsi="Times New Roman" w:cs="Times New Roman"/>
          <w:sz w:val="24"/>
          <w:szCs w:val="24"/>
        </w:rPr>
        <w:t>Water</w:t>
      </w:r>
      <w:r w:rsidRPr="007011D6">
        <w:rPr>
          <w:rFonts w:ascii="Times New Roman" w:hAnsi="Times New Roman" w:cs="Times New Roman"/>
          <w:sz w:val="24"/>
          <w:szCs w:val="24"/>
        </w:rPr>
        <w:t xml:space="preserve"> and </w:t>
      </w:r>
      <w:r w:rsidR="00B533C5" w:rsidRPr="007011D6">
        <w:rPr>
          <w:rFonts w:ascii="Times New Roman" w:hAnsi="Times New Roman" w:cs="Times New Roman"/>
          <w:sz w:val="24"/>
          <w:szCs w:val="24"/>
        </w:rPr>
        <w:t>Northern Australia</w:t>
      </w:r>
      <w:r w:rsidRPr="007011D6">
        <w:rPr>
          <w:rFonts w:ascii="Times New Roman" w:hAnsi="Times New Roman" w:cs="Times New Roman"/>
          <w:sz w:val="24"/>
          <w:szCs w:val="24"/>
        </w:rPr>
        <w:t xml:space="preserve">, taking into account the recommendations of </w:t>
      </w:r>
      <w:r w:rsidR="00B533C5" w:rsidRPr="007011D6">
        <w:rPr>
          <w:rFonts w:ascii="Times New Roman" w:hAnsi="Times New Roman" w:cs="Times New Roman"/>
          <w:sz w:val="24"/>
          <w:szCs w:val="24"/>
        </w:rPr>
        <w:t>an independent assessment committee</w:t>
      </w:r>
      <w:r w:rsidRPr="007011D6">
        <w:rPr>
          <w:rFonts w:ascii="Times New Roman" w:hAnsi="Times New Roman" w:cs="Times New Roman"/>
          <w:sz w:val="24"/>
          <w:szCs w:val="24"/>
        </w:rPr>
        <w:t xml:space="preserve">. </w:t>
      </w:r>
    </w:p>
    <w:p w14:paraId="18DFB55B" w14:textId="77777777" w:rsidR="00283BDB" w:rsidRPr="007011D6" w:rsidRDefault="00750690" w:rsidP="00C736D1">
      <w:pPr>
        <w:rPr>
          <w:rFonts w:ascii="Times New Roman" w:hAnsi="Times New Roman" w:cs="Times New Roman"/>
          <w:sz w:val="24"/>
          <w:szCs w:val="24"/>
        </w:rPr>
      </w:pPr>
      <w:r w:rsidRPr="007011D6">
        <w:rPr>
          <w:rFonts w:ascii="Times New Roman" w:hAnsi="Times New Roman" w:cs="Times New Roman"/>
          <w:sz w:val="24"/>
          <w:szCs w:val="24"/>
        </w:rPr>
        <w:t>Grant amounts will</w:t>
      </w:r>
      <w:r w:rsidR="00E929B3" w:rsidRPr="007011D6">
        <w:rPr>
          <w:rFonts w:ascii="Times New Roman" w:hAnsi="Times New Roman" w:cs="Times New Roman"/>
          <w:sz w:val="24"/>
          <w:szCs w:val="24"/>
        </w:rPr>
        <w:t xml:space="preserve"> vary depending on the project</w:t>
      </w:r>
      <w:r w:rsidR="00AE26E9" w:rsidRPr="007011D6">
        <w:rPr>
          <w:rFonts w:ascii="Times New Roman" w:hAnsi="Times New Roman" w:cs="Times New Roman"/>
          <w:sz w:val="24"/>
          <w:szCs w:val="24"/>
        </w:rPr>
        <w:t xml:space="preserve"> but are capped at 25</w:t>
      </w:r>
      <w:r w:rsidR="009C24CD" w:rsidRPr="007011D6">
        <w:rPr>
          <w:rFonts w:ascii="Times New Roman" w:hAnsi="Times New Roman" w:cs="Times New Roman"/>
          <w:sz w:val="24"/>
          <w:szCs w:val="24"/>
        </w:rPr>
        <w:t xml:space="preserve"> percent of eligible project costs</w:t>
      </w:r>
      <w:r w:rsidR="00662FA2" w:rsidRPr="007011D6">
        <w:rPr>
          <w:rFonts w:ascii="Times New Roman" w:hAnsi="Times New Roman" w:cs="Times New Roman"/>
          <w:sz w:val="24"/>
          <w:szCs w:val="24"/>
        </w:rPr>
        <w:t xml:space="preserve"> (see Program guidelines)</w:t>
      </w:r>
      <w:r w:rsidR="009C24CD" w:rsidRPr="007011D6">
        <w:rPr>
          <w:rFonts w:ascii="Times New Roman" w:hAnsi="Times New Roman" w:cs="Times New Roman"/>
          <w:sz w:val="24"/>
          <w:szCs w:val="24"/>
        </w:rPr>
        <w:t>. The m</w:t>
      </w:r>
      <w:r w:rsidR="00E929B3" w:rsidRPr="007011D6">
        <w:rPr>
          <w:rFonts w:ascii="Times New Roman" w:hAnsi="Times New Roman" w:cs="Times New Roman"/>
          <w:sz w:val="24"/>
          <w:szCs w:val="24"/>
        </w:rPr>
        <w:t>inimum</w:t>
      </w:r>
      <w:r w:rsidR="009C24CD" w:rsidRPr="007011D6">
        <w:rPr>
          <w:rFonts w:ascii="Times New Roman" w:hAnsi="Times New Roman" w:cs="Times New Roman"/>
          <w:sz w:val="24"/>
          <w:szCs w:val="24"/>
        </w:rPr>
        <w:t xml:space="preserve"> grant</w:t>
      </w:r>
      <w:r w:rsidR="00E929B3" w:rsidRPr="007011D6">
        <w:rPr>
          <w:rFonts w:ascii="Times New Roman" w:hAnsi="Times New Roman" w:cs="Times New Roman"/>
          <w:sz w:val="24"/>
          <w:szCs w:val="24"/>
        </w:rPr>
        <w:t xml:space="preserve"> amount is set at</w:t>
      </w:r>
      <w:r w:rsidR="45DFBDCB" w:rsidRPr="007011D6">
        <w:rPr>
          <w:rFonts w:ascii="Times New Roman" w:hAnsi="Times New Roman" w:cs="Times New Roman"/>
          <w:sz w:val="24"/>
          <w:szCs w:val="24"/>
        </w:rPr>
        <w:t xml:space="preserve"> $</w:t>
      </w:r>
      <w:r w:rsidR="00C736D1" w:rsidRPr="007011D6">
        <w:rPr>
          <w:rFonts w:ascii="Times New Roman" w:hAnsi="Times New Roman" w:cs="Times New Roman"/>
          <w:sz w:val="24"/>
          <w:szCs w:val="24"/>
        </w:rPr>
        <w:t>750,000</w:t>
      </w:r>
      <w:r w:rsidR="45DFBDCB" w:rsidRPr="007011D6">
        <w:rPr>
          <w:rFonts w:ascii="Times New Roman" w:hAnsi="Times New Roman" w:cs="Times New Roman"/>
          <w:sz w:val="24"/>
          <w:szCs w:val="24"/>
        </w:rPr>
        <w:t xml:space="preserve"> </w:t>
      </w:r>
      <w:r w:rsidR="00E929B3" w:rsidRPr="007011D6">
        <w:rPr>
          <w:rFonts w:ascii="Times New Roman" w:hAnsi="Times New Roman" w:cs="Times New Roman"/>
          <w:sz w:val="24"/>
          <w:szCs w:val="24"/>
        </w:rPr>
        <w:t>and the maximum amount at</w:t>
      </w:r>
      <w:r w:rsidR="45DFBDCB" w:rsidRPr="007011D6">
        <w:rPr>
          <w:rFonts w:ascii="Times New Roman" w:hAnsi="Times New Roman" w:cs="Times New Roman"/>
          <w:sz w:val="24"/>
          <w:szCs w:val="24"/>
        </w:rPr>
        <w:t xml:space="preserve"> $</w:t>
      </w:r>
      <w:r w:rsidR="00C736D1" w:rsidRPr="007011D6">
        <w:rPr>
          <w:rFonts w:ascii="Times New Roman" w:hAnsi="Times New Roman" w:cs="Times New Roman"/>
          <w:sz w:val="24"/>
          <w:szCs w:val="24"/>
        </w:rPr>
        <w:t>7,500,000. E</w:t>
      </w:r>
      <w:r w:rsidR="45DFBDCB" w:rsidRPr="007011D6">
        <w:rPr>
          <w:rFonts w:ascii="Times New Roman" w:hAnsi="Times New Roman" w:cs="Times New Roman"/>
          <w:sz w:val="24"/>
          <w:szCs w:val="24"/>
        </w:rPr>
        <w:t>ligible project costs can</w:t>
      </w:r>
      <w:r w:rsidR="00C736D1" w:rsidRPr="007011D6">
        <w:rPr>
          <w:rFonts w:ascii="Times New Roman" w:hAnsi="Times New Roman" w:cs="Times New Roman"/>
          <w:sz w:val="24"/>
          <w:szCs w:val="24"/>
        </w:rPr>
        <w:t>not</w:t>
      </w:r>
      <w:r w:rsidR="45DFBDCB" w:rsidRPr="007011D6">
        <w:rPr>
          <w:rFonts w:ascii="Times New Roman" w:hAnsi="Times New Roman" w:cs="Times New Roman"/>
          <w:sz w:val="24"/>
          <w:szCs w:val="24"/>
        </w:rPr>
        <w:t xml:space="preserve"> be funded from </w:t>
      </w:r>
      <w:r w:rsidR="00C736D1" w:rsidRPr="007011D6">
        <w:rPr>
          <w:rFonts w:ascii="Times New Roman" w:hAnsi="Times New Roman" w:cs="Times New Roman"/>
          <w:sz w:val="24"/>
          <w:szCs w:val="24"/>
        </w:rPr>
        <w:t xml:space="preserve">other </w:t>
      </w:r>
      <w:r w:rsidR="45DFBDCB" w:rsidRPr="007011D6">
        <w:rPr>
          <w:rFonts w:ascii="Times New Roman" w:hAnsi="Times New Roman" w:cs="Times New Roman"/>
          <w:sz w:val="24"/>
          <w:szCs w:val="24"/>
        </w:rPr>
        <w:t>Commonwealth, State,</w:t>
      </w:r>
      <w:r w:rsidR="0013712C" w:rsidRPr="007011D6">
        <w:rPr>
          <w:rFonts w:ascii="Times New Roman" w:hAnsi="Times New Roman" w:cs="Times New Roman"/>
          <w:sz w:val="24"/>
          <w:szCs w:val="24"/>
        </w:rPr>
        <w:t xml:space="preserve"> Territory or local government g</w:t>
      </w:r>
      <w:r w:rsidR="45DFBDCB" w:rsidRPr="007011D6">
        <w:rPr>
          <w:rFonts w:ascii="Times New Roman" w:hAnsi="Times New Roman" w:cs="Times New Roman"/>
          <w:sz w:val="24"/>
          <w:szCs w:val="24"/>
        </w:rPr>
        <w:t>rants.</w:t>
      </w:r>
    </w:p>
    <w:p w14:paraId="593D229F" w14:textId="77777777" w:rsidR="00283BDB" w:rsidRPr="007011D6" w:rsidRDefault="45DFBDCB" w:rsidP="45DFBDCB">
      <w:pPr>
        <w:spacing w:before="240" w:after="240"/>
        <w:rPr>
          <w:rFonts w:ascii="Times New Roman" w:hAnsi="Times New Roman" w:cs="Times New Roman"/>
          <w:sz w:val="24"/>
          <w:szCs w:val="24"/>
        </w:rPr>
      </w:pPr>
      <w:r w:rsidRPr="007011D6">
        <w:rPr>
          <w:rFonts w:ascii="Times New Roman" w:hAnsi="Times New Roman" w:cs="Times New Roman"/>
          <w:sz w:val="24"/>
          <w:szCs w:val="24"/>
        </w:rPr>
        <w:t xml:space="preserve">The Program involves the allocation of finite </w:t>
      </w:r>
      <w:r w:rsidR="006A10AD" w:rsidRPr="007011D6">
        <w:rPr>
          <w:rFonts w:ascii="Times New Roman" w:hAnsi="Times New Roman" w:cs="Times New Roman"/>
          <w:sz w:val="24"/>
          <w:szCs w:val="24"/>
        </w:rPr>
        <w:t>funds</w:t>
      </w:r>
      <w:r w:rsidRPr="007011D6">
        <w:rPr>
          <w:rFonts w:ascii="Times New Roman" w:hAnsi="Times New Roman" w:cs="Times New Roman"/>
          <w:sz w:val="24"/>
          <w:szCs w:val="24"/>
        </w:rPr>
        <w:t xml:space="preserve"> between </w:t>
      </w:r>
      <w:r w:rsidR="00C12E63" w:rsidRPr="007011D6">
        <w:rPr>
          <w:rFonts w:ascii="Times New Roman" w:hAnsi="Times New Roman" w:cs="Times New Roman"/>
          <w:sz w:val="24"/>
          <w:szCs w:val="24"/>
        </w:rPr>
        <w:t xml:space="preserve">eligible applicants. The nature of the grant opportunity is such that applicants must meet all of </w:t>
      </w:r>
      <w:r w:rsidR="003D1DC4" w:rsidRPr="007011D6">
        <w:rPr>
          <w:rFonts w:ascii="Times New Roman" w:hAnsi="Times New Roman" w:cs="Times New Roman"/>
          <w:sz w:val="24"/>
          <w:szCs w:val="24"/>
        </w:rPr>
        <w:t xml:space="preserve">the </w:t>
      </w:r>
      <w:r w:rsidR="00C12E63" w:rsidRPr="007011D6">
        <w:rPr>
          <w:rFonts w:ascii="Times New Roman" w:hAnsi="Times New Roman" w:cs="Times New Roman"/>
          <w:sz w:val="24"/>
          <w:szCs w:val="24"/>
        </w:rPr>
        <w:t>established assessment criteria to the satisfaction of an independent assessment committee. This</w:t>
      </w:r>
      <w:r w:rsidR="006A10AD" w:rsidRPr="007011D6">
        <w:rPr>
          <w:rFonts w:ascii="Times New Roman" w:hAnsi="Times New Roman" w:cs="Times New Roman"/>
          <w:sz w:val="24"/>
          <w:szCs w:val="24"/>
        </w:rPr>
        <w:t xml:space="preserve"> determinative</w:t>
      </w:r>
      <w:r w:rsidR="00C12E63" w:rsidRPr="007011D6">
        <w:rPr>
          <w:rFonts w:ascii="Times New Roman" w:hAnsi="Times New Roman" w:cs="Times New Roman"/>
          <w:sz w:val="24"/>
          <w:szCs w:val="24"/>
        </w:rPr>
        <w:t xml:space="preserve"> process is</w:t>
      </w:r>
      <w:r w:rsidR="006A10AD" w:rsidRPr="007011D6">
        <w:rPr>
          <w:rFonts w:ascii="Times New Roman" w:hAnsi="Times New Roman" w:cs="Times New Roman"/>
          <w:sz w:val="24"/>
          <w:szCs w:val="24"/>
        </w:rPr>
        <w:t xml:space="preserve"> accompanied by </w:t>
      </w:r>
      <w:r w:rsidR="00C12E63" w:rsidRPr="007011D6">
        <w:rPr>
          <w:rFonts w:ascii="Times New Roman" w:hAnsi="Times New Roman" w:cs="Times New Roman"/>
          <w:sz w:val="24"/>
          <w:szCs w:val="24"/>
        </w:rPr>
        <w:t>an enquiry and feedback process for applicants that were unsuccessful in receiving a grant</w:t>
      </w:r>
      <w:r w:rsidRPr="007011D6">
        <w:rPr>
          <w:rFonts w:ascii="Times New Roman" w:hAnsi="Times New Roman" w:cs="Times New Roman"/>
          <w:sz w:val="24"/>
          <w:szCs w:val="24"/>
        </w:rPr>
        <w:t>.</w:t>
      </w:r>
      <w:r w:rsidR="006A10AD" w:rsidRPr="007011D6">
        <w:rPr>
          <w:rFonts w:ascii="Times New Roman" w:hAnsi="Times New Roman" w:cs="Times New Roman"/>
          <w:sz w:val="24"/>
          <w:szCs w:val="24"/>
        </w:rPr>
        <w:t xml:space="preserve"> </w:t>
      </w:r>
      <w:r w:rsidR="00AE26E9" w:rsidRPr="007011D6">
        <w:rPr>
          <w:rFonts w:ascii="Times New Roman" w:hAnsi="Times New Roman" w:cs="Times New Roman"/>
          <w:sz w:val="24"/>
          <w:szCs w:val="24"/>
        </w:rPr>
        <w:t xml:space="preserve">Accordingly, external merits review does not apply to decisions about the provision of grants under the Program. </w:t>
      </w:r>
    </w:p>
    <w:p w14:paraId="1966214E" w14:textId="77777777" w:rsidR="005107EB" w:rsidRPr="007011D6" w:rsidRDefault="005107EB" w:rsidP="45DFBDCB">
      <w:pPr>
        <w:spacing w:before="240" w:after="240"/>
        <w:rPr>
          <w:rFonts w:ascii="Times New Roman" w:hAnsi="Times New Roman" w:cs="Times New Roman"/>
          <w:sz w:val="24"/>
          <w:szCs w:val="24"/>
        </w:rPr>
      </w:pPr>
      <w:r w:rsidRPr="007011D6">
        <w:rPr>
          <w:rFonts w:ascii="Times New Roman" w:hAnsi="Times New Roman" w:cs="Times New Roman"/>
          <w:sz w:val="24"/>
          <w:szCs w:val="24"/>
        </w:rPr>
        <w:t xml:space="preserve">Applications must address the eligibility and </w:t>
      </w:r>
      <w:r w:rsidR="00DF1A28" w:rsidRPr="007011D6">
        <w:rPr>
          <w:rFonts w:ascii="Times New Roman" w:hAnsi="Times New Roman" w:cs="Times New Roman"/>
          <w:sz w:val="24"/>
          <w:szCs w:val="24"/>
        </w:rPr>
        <w:t>assessment</w:t>
      </w:r>
      <w:r w:rsidRPr="007011D6">
        <w:rPr>
          <w:rFonts w:ascii="Times New Roman" w:hAnsi="Times New Roman" w:cs="Times New Roman"/>
          <w:sz w:val="24"/>
          <w:szCs w:val="24"/>
        </w:rPr>
        <w:t xml:space="preserve"> criteria, and provide relevant supporting information. </w:t>
      </w:r>
      <w:r w:rsidR="00DF1A28" w:rsidRPr="007011D6">
        <w:rPr>
          <w:rFonts w:ascii="Times New Roman" w:hAnsi="Times New Roman" w:cs="Times New Roman"/>
          <w:sz w:val="24"/>
          <w:szCs w:val="24"/>
        </w:rPr>
        <w:t>E</w:t>
      </w:r>
      <w:r w:rsidRPr="007011D6">
        <w:rPr>
          <w:rFonts w:ascii="Times New Roman" w:hAnsi="Times New Roman" w:cs="Times New Roman"/>
          <w:sz w:val="24"/>
          <w:szCs w:val="24"/>
        </w:rPr>
        <w:t xml:space="preserve">vidence </w:t>
      </w:r>
      <w:r w:rsidR="00DF1A28" w:rsidRPr="007011D6">
        <w:rPr>
          <w:rFonts w:ascii="Times New Roman" w:hAnsi="Times New Roman" w:cs="Times New Roman"/>
          <w:sz w:val="24"/>
          <w:szCs w:val="24"/>
        </w:rPr>
        <w:t xml:space="preserve">provided </w:t>
      </w:r>
      <w:r w:rsidRPr="007011D6">
        <w:rPr>
          <w:rFonts w:ascii="Times New Roman" w:hAnsi="Times New Roman" w:cs="Times New Roman"/>
          <w:sz w:val="24"/>
          <w:szCs w:val="24"/>
        </w:rPr>
        <w:t>should be relative to the project size, complexit</w:t>
      </w:r>
      <w:r w:rsidR="00DF1A28" w:rsidRPr="007011D6">
        <w:rPr>
          <w:rFonts w:ascii="Times New Roman" w:hAnsi="Times New Roman" w:cs="Times New Roman"/>
          <w:sz w:val="24"/>
          <w:szCs w:val="24"/>
        </w:rPr>
        <w:t>y and funding amount requested. It must be sufficient to satisfy the independent assessment committee and the final decision maker that the proposed project will meet the policy objectives of the program.</w:t>
      </w:r>
    </w:p>
    <w:p w14:paraId="7E186441" w14:textId="77777777" w:rsidR="00A54804" w:rsidRPr="007011D6" w:rsidRDefault="00A54804" w:rsidP="45DFBDCB">
      <w:pPr>
        <w:spacing w:before="240" w:after="240"/>
        <w:rPr>
          <w:rFonts w:ascii="Times New Roman" w:hAnsi="Times New Roman" w:cs="Times New Roman"/>
          <w:sz w:val="24"/>
          <w:szCs w:val="24"/>
        </w:rPr>
      </w:pPr>
      <w:r w:rsidRPr="007011D6">
        <w:rPr>
          <w:rFonts w:ascii="Times New Roman" w:hAnsi="Times New Roman" w:cs="Times New Roman"/>
          <w:sz w:val="24"/>
          <w:szCs w:val="24"/>
        </w:rPr>
        <w:t xml:space="preserve">Applications </w:t>
      </w:r>
      <w:r w:rsidR="00501408" w:rsidRPr="007011D6">
        <w:rPr>
          <w:rFonts w:ascii="Times New Roman" w:hAnsi="Times New Roman" w:cs="Times New Roman"/>
          <w:sz w:val="24"/>
          <w:szCs w:val="24"/>
        </w:rPr>
        <w:t>will be assessed in two stages</w:t>
      </w:r>
      <w:r w:rsidR="009D6B89" w:rsidRPr="007011D6">
        <w:rPr>
          <w:rFonts w:ascii="Times New Roman" w:hAnsi="Times New Roman" w:cs="Times New Roman"/>
          <w:sz w:val="24"/>
          <w:szCs w:val="24"/>
        </w:rPr>
        <w:t xml:space="preserve">. </w:t>
      </w:r>
      <w:r w:rsidR="00501408" w:rsidRPr="007011D6">
        <w:rPr>
          <w:rFonts w:ascii="Times New Roman" w:hAnsi="Times New Roman" w:cs="Times New Roman"/>
          <w:sz w:val="24"/>
          <w:szCs w:val="24"/>
        </w:rPr>
        <w:t xml:space="preserve">AusIndustry </w:t>
      </w:r>
      <w:r w:rsidR="009D6B89" w:rsidRPr="007011D6">
        <w:rPr>
          <w:rFonts w:ascii="Times New Roman" w:hAnsi="Times New Roman" w:cs="Times New Roman"/>
          <w:sz w:val="24"/>
          <w:szCs w:val="24"/>
        </w:rPr>
        <w:t>will</w:t>
      </w:r>
      <w:r w:rsidR="00C76056" w:rsidRPr="007011D6">
        <w:rPr>
          <w:rFonts w:ascii="Times New Roman" w:hAnsi="Times New Roman" w:cs="Times New Roman"/>
          <w:sz w:val="24"/>
          <w:szCs w:val="24"/>
        </w:rPr>
        <w:t xml:space="preserve"> first</w:t>
      </w:r>
      <w:r w:rsidR="009D6B89" w:rsidRPr="007011D6">
        <w:rPr>
          <w:rFonts w:ascii="Times New Roman" w:hAnsi="Times New Roman" w:cs="Times New Roman"/>
          <w:sz w:val="24"/>
          <w:szCs w:val="24"/>
        </w:rPr>
        <w:t xml:space="preserve"> conduct preliminary eli</w:t>
      </w:r>
      <w:r w:rsidR="000E173C" w:rsidRPr="007011D6">
        <w:rPr>
          <w:rFonts w:ascii="Times New Roman" w:hAnsi="Times New Roman" w:cs="Times New Roman"/>
          <w:sz w:val="24"/>
          <w:szCs w:val="24"/>
        </w:rPr>
        <w:t xml:space="preserve">gibility checks and if eligible, applications are then </w:t>
      </w:r>
      <w:r w:rsidR="00C76056" w:rsidRPr="007011D6">
        <w:rPr>
          <w:rFonts w:ascii="Times New Roman" w:hAnsi="Times New Roman" w:cs="Times New Roman"/>
          <w:sz w:val="24"/>
          <w:szCs w:val="24"/>
        </w:rPr>
        <w:t>considered by an</w:t>
      </w:r>
      <w:r w:rsidR="00501408" w:rsidRPr="007011D6">
        <w:rPr>
          <w:rFonts w:ascii="Times New Roman" w:hAnsi="Times New Roman" w:cs="Times New Roman"/>
          <w:sz w:val="24"/>
          <w:szCs w:val="24"/>
        </w:rPr>
        <w:t xml:space="preserve"> independent assessment committee </w:t>
      </w:r>
      <w:r w:rsidR="005107EB" w:rsidRPr="007011D6">
        <w:rPr>
          <w:rFonts w:ascii="Times New Roman" w:hAnsi="Times New Roman" w:cs="Times New Roman"/>
          <w:sz w:val="24"/>
          <w:szCs w:val="24"/>
        </w:rPr>
        <w:t>that</w:t>
      </w:r>
      <w:r w:rsidR="00501408" w:rsidRPr="007011D6">
        <w:rPr>
          <w:rFonts w:ascii="Times New Roman" w:hAnsi="Times New Roman" w:cs="Times New Roman"/>
          <w:sz w:val="24"/>
          <w:szCs w:val="24"/>
        </w:rPr>
        <w:t xml:space="preserve"> assess</w:t>
      </w:r>
      <w:r w:rsidR="00941197" w:rsidRPr="007011D6">
        <w:rPr>
          <w:rFonts w:ascii="Times New Roman" w:hAnsi="Times New Roman" w:cs="Times New Roman"/>
          <w:sz w:val="24"/>
          <w:szCs w:val="24"/>
        </w:rPr>
        <w:t>es</w:t>
      </w:r>
      <w:r w:rsidR="00501408" w:rsidRPr="007011D6">
        <w:rPr>
          <w:rFonts w:ascii="Times New Roman" w:hAnsi="Times New Roman" w:cs="Times New Roman"/>
          <w:sz w:val="24"/>
          <w:szCs w:val="24"/>
        </w:rPr>
        <w:t xml:space="preserve"> them against assessment criteria.</w:t>
      </w:r>
      <w:r w:rsidR="005107EB" w:rsidRPr="007011D6">
        <w:rPr>
          <w:rFonts w:ascii="Times New Roman" w:hAnsi="Times New Roman" w:cs="Times New Roman"/>
          <w:sz w:val="24"/>
          <w:szCs w:val="24"/>
        </w:rPr>
        <w:t xml:space="preserve"> </w:t>
      </w:r>
      <w:r w:rsidR="00501408" w:rsidRPr="007011D6">
        <w:rPr>
          <w:rFonts w:ascii="Times New Roman" w:hAnsi="Times New Roman" w:cs="Times New Roman"/>
          <w:sz w:val="24"/>
          <w:szCs w:val="24"/>
        </w:rPr>
        <w:t>Both the eligibility</w:t>
      </w:r>
      <w:r w:rsidR="00670ACF" w:rsidRPr="007011D6">
        <w:rPr>
          <w:rFonts w:ascii="Times New Roman" w:hAnsi="Times New Roman" w:cs="Times New Roman"/>
          <w:sz w:val="24"/>
          <w:szCs w:val="24"/>
        </w:rPr>
        <w:t xml:space="preserve"> criteria</w:t>
      </w:r>
      <w:r w:rsidR="00501408" w:rsidRPr="007011D6">
        <w:rPr>
          <w:rFonts w:ascii="Times New Roman" w:hAnsi="Times New Roman" w:cs="Times New Roman"/>
          <w:sz w:val="24"/>
          <w:szCs w:val="24"/>
        </w:rPr>
        <w:t xml:space="preserve"> and assessment criteria are set out in the program guidelines.</w:t>
      </w:r>
      <w:r w:rsidR="005107EB" w:rsidRPr="007011D6">
        <w:rPr>
          <w:rFonts w:ascii="Times New Roman" w:hAnsi="Times New Roman" w:cs="Times New Roman"/>
          <w:sz w:val="24"/>
          <w:szCs w:val="24"/>
        </w:rPr>
        <w:t xml:space="preserve"> Committee mem</w:t>
      </w:r>
      <w:r w:rsidR="00793B9E" w:rsidRPr="007011D6">
        <w:rPr>
          <w:rFonts w:ascii="Times New Roman" w:hAnsi="Times New Roman" w:cs="Times New Roman"/>
          <w:sz w:val="24"/>
          <w:szCs w:val="24"/>
        </w:rPr>
        <w:t>bership may include Commonwealth representatives and external experts engaged on the basis of their specific expertise</w:t>
      </w:r>
      <w:r w:rsidR="005107EB" w:rsidRPr="007011D6">
        <w:rPr>
          <w:rFonts w:ascii="Times New Roman" w:hAnsi="Times New Roman" w:cs="Times New Roman"/>
          <w:sz w:val="24"/>
          <w:szCs w:val="24"/>
        </w:rPr>
        <w:t>. The committee may also seek additional advice from independent technical experts.</w:t>
      </w:r>
      <w:r w:rsidR="00501408" w:rsidRPr="007011D6">
        <w:rPr>
          <w:rFonts w:ascii="Times New Roman" w:hAnsi="Times New Roman" w:cs="Times New Roman"/>
          <w:sz w:val="24"/>
          <w:szCs w:val="24"/>
        </w:rPr>
        <w:t xml:space="preserve"> </w:t>
      </w:r>
      <w:r w:rsidR="009D6B89" w:rsidRPr="007011D6">
        <w:rPr>
          <w:rFonts w:ascii="Times New Roman" w:hAnsi="Times New Roman" w:cs="Times New Roman"/>
          <w:sz w:val="24"/>
          <w:szCs w:val="24"/>
        </w:rPr>
        <w:t xml:space="preserve">The role of the committee is to evaluate </w:t>
      </w:r>
      <w:r w:rsidR="005107EB" w:rsidRPr="007011D6">
        <w:rPr>
          <w:rFonts w:ascii="Times New Roman" w:hAnsi="Times New Roman" w:cs="Times New Roman"/>
          <w:sz w:val="24"/>
          <w:szCs w:val="24"/>
        </w:rPr>
        <w:t>whether</w:t>
      </w:r>
      <w:r w:rsidR="00670ACF" w:rsidRPr="007011D6">
        <w:rPr>
          <w:rFonts w:ascii="Times New Roman" w:hAnsi="Times New Roman" w:cs="Times New Roman"/>
          <w:sz w:val="24"/>
          <w:szCs w:val="24"/>
        </w:rPr>
        <w:t xml:space="preserve"> </w:t>
      </w:r>
      <w:r w:rsidR="000E173C" w:rsidRPr="007011D6">
        <w:rPr>
          <w:rFonts w:ascii="Times New Roman" w:hAnsi="Times New Roman" w:cs="Times New Roman"/>
          <w:sz w:val="24"/>
          <w:szCs w:val="24"/>
        </w:rPr>
        <w:t>an eligible application</w:t>
      </w:r>
      <w:r w:rsidR="00670ACF" w:rsidRPr="007011D6">
        <w:rPr>
          <w:rFonts w:ascii="Times New Roman" w:hAnsi="Times New Roman" w:cs="Times New Roman"/>
          <w:sz w:val="24"/>
          <w:szCs w:val="24"/>
        </w:rPr>
        <w:t xml:space="preserve"> meet</w:t>
      </w:r>
      <w:r w:rsidR="000E173C" w:rsidRPr="007011D6">
        <w:rPr>
          <w:rFonts w:ascii="Times New Roman" w:hAnsi="Times New Roman" w:cs="Times New Roman"/>
          <w:sz w:val="24"/>
          <w:szCs w:val="24"/>
        </w:rPr>
        <w:t>s</w:t>
      </w:r>
      <w:r w:rsidR="00670ACF" w:rsidRPr="007011D6">
        <w:rPr>
          <w:rFonts w:ascii="Times New Roman" w:hAnsi="Times New Roman" w:cs="Times New Roman"/>
          <w:sz w:val="24"/>
          <w:szCs w:val="24"/>
        </w:rPr>
        <w:t xml:space="preserve"> established criteria and whether the proposal provides value for</w:t>
      </w:r>
      <w:r w:rsidR="000E173C" w:rsidRPr="007011D6">
        <w:rPr>
          <w:rFonts w:ascii="Times New Roman" w:hAnsi="Times New Roman" w:cs="Times New Roman"/>
          <w:sz w:val="24"/>
          <w:szCs w:val="24"/>
        </w:rPr>
        <w:t xml:space="preserve"> money. Given the</w:t>
      </w:r>
      <w:r w:rsidR="00670ACF" w:rsidRPr="007011D6">
        <w:rPr>
          <w:rFonts w:ascii="Times New Roman" w:hAnsi="Times New Roman" w:cs="Times New Roman"/>
          <w:sz w:val="24"/>
          <w:szCs w:val="24"/>
        </w:rPr>
        <w:t xml:space="preserve"> non-competitive</w:t>
      </w:r>
      <w:r w:rsidR="00451E92" w:rsidRPr="007011D6">
        <w:rPr>
          <w:rFonts w:ascii="Times New Roman" w:hAnsi="Times New Roman" w:cs="Times New Roman"/>
          <w:sz w:val="24"/>
          <w:szCs w:val="24"/>
        </w:rPr>
        <w:t>, first-come</w:t>
      </w:r>
      <w:r w:rsidR="005107EB" w:rsidRPr="007011D6">
        <w:rPr>
          <w:rFonts w:ascii="Times New Roman" w:hAnsi="Times New Roman" w:cs="Times New Roman"/>
          <w:sz w:val="24"/>
          <w:szCs w:val="24"/>
        </w:rPr>
        <w:t>-first-</w:t>
      </w:r>
      <w:r w:rsidR="000E173C" w:rsidRPr="007011D6">
        <w:rPr>
          <w:rFonts w:ascii="Times New Roman" w:hAnsi="Times New Roman" w:cs="Times New Roman"/>
          <w:sz w:val="24"/>
          <w:szCs w:val="24"/>
        </w:rPr>
        <w:t>served nature of the</w:t>
      </w:r>
      <w:r w:rsidR="00670ACF" w:rsidRPr="007011D6">
        <w:rPr>
          <w:rFonts w:ascii="Times New Roman" w:hAnsi="Times New Roman" w:cs="Times New Roman"/>
          <w:sz w:val="24"/>
          <w:szCs w:val="24"/>
        </w:rPr>
        <w:t xml:space="preserve"> grant opportunity, the Committee </w:t>
      </w:r>
      <w:r w:rsidR="000E173C" w:rsidRPr="007011D6">
        <w:rPr>
          <w:rFonts w:ascii="Times New Roman" w:hAnsi="Times New Roman" w:cs="Times New Roman"/>
          <w:sz w:val="24"/>
          <w:szCs w:val="24"/>
        </w:rPr>
        <w:t xml:space="preserve">makes their determinations by concluding whether responses are </w:t>
      </w:r>
      <w:r w:rsidR="009D6B89" w:rsidRPr="007011D6">
        <w:rPr>
          <w:rFonts w:ascii="Times New Roman" w:hAnsi="Times New Roman" w:cs="Times New Roman"/>
          <w:sz w:val="24"/>
          <w:szCs w:val="24"/>
        </w:rPr>
        <w:t xml:space="preserve">satisfactory or unsatisfactory. </w:t>
      </w:r>
      <w:r w:rsidR="009D6B89" w:rsidRPr="007011D6">
        <w:rPr>
          <w:rFonts w:ascii="Times New Roman" w:hAnsi="Times New Roman" w:cs="Times New Roman"/>
          <w:sz w:val="24"/>
          <w:szCs w:val="24"/>
        </w:rPr>
        <w:lastRenderedPageBreak/>
        <w:t>Applications will only be considered f</w:t>
      </w:r>
      <w:r w:rsidR="00C76056" w:rsidRPr="007011D6">
        <w:rPr>
          <w:rFonts w:ascii="Times New Roman" w:hAnsi="Times New Roman" w:cs="Times New Roman"/>
          <w:sz w:val="24"/>
          <w:szCs w:val="24"/>
        </w:rPr>
        <w:t xml:space="preserve">or a grant if they </w:t>
      </w:r>
      <w:r w:rsidR="009D6B89" w:rsidRPr="007011D6">
        <w:rPr>
          <w:rFonts w:ascii="Times New Roman" w:hAnsi="Times New Roman" w:cs="Times New Roman"/>
          <w:sz w:val="24"/>
          <w:szCs w:val="24"/>
        </w:rPr>
        <w:t xml:space="preserve">can </w:t>
      </w:r>
      <w:r w:rsidR="00C76056" w:rsidRPr="007011D6">
        <w:rPr>
          <w:rFonts w:ascii="Times New Roman" w:hAnsi="Times New Roman" w:cs="Times New Roman"/>
          <w:sz w:val="24"/>
          <w:szCs w:val="24"/>
        </w:rPr>
        <w:t xml:space="preserve">satisfactorily </w:t>
      </w:r>
      <w:r w:rsidR="009D6B89" w:rsidRPr="007011D6">
        <w:rPr>
          <w:rFonts w:ascii="Times New Roman" w:hAnsi="Times New Roman" w:cs="Times New Roman"/>
          <w:sz w:val="24"/>
          <w:szCs w:val="24"/>
        </w:rPr>
        <w:t xml:space="preserve">demonstrate that </w:t>
      </w:r>
      <w:r w:rsidR="00E63712" w:rsidRPr="007011D6">
        <w:rPr>
          <w:rFonts w:ascii="Times New Roman" w:hAnsi="Times New Roman" w:cs="Times New Roman"/>
          <w:sz w:val="24"/>
          <w:szCs w:val="24"/>
        </w:rPr>
        <w:t>the nominated</w:t>
      </w:r>
      <w:r w:rsidR="009D6B89" w:rsidRPr="007011D6">
        <w:rPr>
          <w:rFonts w:ascii="Times New Roman" w:hAnsi="Times New Roman" w:cs="Times New Roman"/>
          <w:sz w:val="24"/>
          <w:szCs w:val="24"/>
        </w:rPr>
        <w:t xml:space="preserve"> exploration project meets all of the assessment criteria.  </w:t>
      </w:r>
    </w:p>
    <w:p w14:paraId="08CB174A" w14:textId="77777777" w:rsidR="00152E85" w:rsidRPr="007011D6" w:rsidRDefault="45DFBDCB" w:rsidP="45DFBDCB">
      <w:pPr>
        <w:spacing w:before="240" w:after="240"/>
        <w:rPr>
          <w:rFonts w:ascii="Times New Roman" w:hAnsi="Times New Roman" w:cs="Times New Roman"/>
          <w:sz w:val="24"/>
          <w:szCs w:val="24"/>
        </w:rPr>
      </w:pPr>
      <w:r w:rsidRPr="007011D6">
        <w:rPr>
          <w:rFonts w:ascii="Times New Roman" w:hAnsi="Times New Roman" w:cs="Times New Roman"/>
          <w:sz w:val="24"/>
          <w:szCs w:val="24"/>
        </w:rPr>
        <w:t xml:space="preserve">After considering the applications, the independent assessment committee will make recommendations to the </w:t>
      </w:r>
      <w:r w:rsidR="00E05843" w:rsidRPr="007011D6">
        <w:rPr>
          <w:rFonts w:ascii="Times New Roman" w:hAnsi="Times New Roman" w:cs="Times New Roman"/>
          <w:sz w:val="24"/>
          <w:szCs w:val="24"/>
        </w:rPr>
        <w:t>Minister</w:t>
      </w:r>
      <w:r w:rsidRPr="007011D6">
        <w:rPr>
          <w:rFonts w:ascii="Times New Roman" w:hAnsi="Times New Roman" w:cs="Times New Roman"/>
          <w:sz w:val="24"/>
          <w:szCs w:val="24"/>
        </w:rPr>
        <w:t xml:space="preserve"> regarding those applications suitable for funding. The </w:t>
      </w:r>
      <w:r w:rsidR="00E05843" w:rsidRPr="007011D6">
        <w:rPr>
          <w:rFonts w:ascii="Times New Roman" w:hAnsi="Times New Roman" w:cs="Times New Roman"/>
          <w:sz w:val="24"/>
          <w:szCs w:val="24"/>
        </w:rPr>
        <w:t>Minister</w:t>
      </w:r>
      <w:r w:rsidRPr="007011D6">
        <w:rPr>
          <w:rFonts w:ascii="Times New Roman" w:hAnsi="Times New Roman" w:cs="Times New Roman"/>
          <w:sz w:val="24"/>
          <w:szCs w:val="24"/>
        </w:rPr>
        <w:t xml:space="preserve"> will make the final decision about which grants to approve, taking into consideration the independent assessment committee’s recommendations, and the availability of grant funds. The </w:t>
      </w:r>
      <w:r w:rsidR="00941197" w:rsidRPr="007011D6">
        <w:rPr>
          <w:rFonts w:ascii="Times New Roman" w:hAnsi="Times New Roman" w:cs="Times New Roman"/>
          <w:sz w:val="24"/>
          <w:szCs w:val="24"/>
        </w:rPr>
        <w:t>Minister</w:t>
      </w:r>
      <w:r w:rsidRPr="007011D6">
        <w:rPr>
          <w:rFonts w:ascii="Times New Roman" w:hAnsi="Times New Roman" w:cs="Times New Roman"/>
          <w:sz w:val="24"/>
          <w:szCs w:val="24"/>
        </w:rPr>
        <w:t xml:space="preserve"> will not approve fun</w:t>
      </w:r>
      <w:r w:rsidR="000402E2" w:rsidRPr="007011D6">
        <w:rPr>
          <w:rFonts w:ascii="Times New Roman" w:hAnsi="Times New Roman" w:cs="Times New Roman"/>
          <w:sz w:val="24"/>
          <w:szCs w:val="24"/>
        </w:rPr>
        <w:t>ding if there are insufficient p</w:t>
      </w:r>
      <w:r w:rsidRPr="007011D6">
        <w:rPr>
          <w:rFonts w:ascii="Times New Roman" w:hAnsi="Times New Roman" w:cs="Times New Roman"/>
          <w:sz w:val="24"/>
          <w:szCs w:val="24"/>
        </w:rPr>
        <w:t xml:space="preserve">rogram funds available across relevant </w:t>
      </w:r>
      <w:r w:rsidR="00941197" w:rsidRPr="007011D6">
        <w:rPr>
          <w:rFonts w:ascii="Times New Roman" w:hAnsi="Times New Roman" w:cs="Times New Roman"/>
          <w:sz w:val="24"/>
          <w:szCs w:val="24"/>
        </w:rPr>
        <w:t>financial years for the Program.</w:t>
      </w:r>
    </w:p>
    <w:p w14:paraId="72492727" w14:textId="77777777" w:rsidR="002E4586" w:rsidRPr="007011D6" w:rsidRDefault="45DFBDCB" w:rsidP="45DFBDCB">
      <w:pPr>
        <w:spacing w:before="240" w:after="240"/>
        <w:rPr>
          <w:rFonts w:ascii="Times New Roman" w:hAnsi="Times New Roman" w:cs="Times New Roman"/>
          <w:sz w:val="24"/>
          <w:szCs w:val="24"/>
        </w:rPr>
      </w:pPr>
      <w:r w:rsidRPr="007011D6">
        <w:rPr>
          <w:rFonts w:ascii="Times New Roman" w:hAnsi="Times New Roman" w:cs="Times New Roman"/>
          <w:sz w:val="24"/>
          <w:szCs w:val="24"/>
        </w:rPr>
        <w:t>Both successful and unsuccessful applicants will be informed in writing. Unsuccessful applicants have an opportunity to discuss the outcome with the Department, and can submit a new application f</w:t>
      </w:r>
      <w:r w:rsidR="001902C0" w:rsidRPr="007011D6">
        <w:rPr>
          <w:rFonts w:ascii="Times New Roman" w:hAnsi="Times New Roman" w:cs="Times New Roman"/>
          <w:sz w:val="24"/>
          <w:szCs w:val="24"/>
        </w:rPr>
        <w:t xml:space="preserve">or the same or similar project, provided the Program is </w:t>
      </w:r>
      <w:r w:rsidR="001D2C9A">
        <w:rPr>
          <w:rFonts w:ascii="Times New Roman" w:hAnsi="Times New Roman" w:cs="Times New Roman"/>
          <w:sz w:val="24"/>
          <w:szCs w:val="24"/>
        </w:rPr>
        <w:t xml:space="preserve">still </w:t>
      </w:r>
      <w:r w:rsidR="001902C0" w:rsidRPr="007011D6">
        <w:rPr>
          <w:rFonts w:ascii="Times New Roman" w:hAnsi="Times New Roman" w:cs="Times New Roman"/>
          <w:sz w:val="24"/>
          <w:szCs w:val="24"/>
        </w:rPr>
        <w:t xml:space="preserve">open. </w:t>
      </w:r>
      <w:r w:rsidRPr="007011D6">
        <w:rPr>
          <w:rFonts w:ascii="Times New Roman" w:hAnsi="Times New Roman" w:cs="Times New Roman"/>
          <w:sz w:val="24"/>
          <w:szCs w:val="24"/>
        </w:rPr>
        <w:t>Where this occurs, applicants should include new or more information to address the weaknesses identified in their previous application.</w:t>
      </w:r>
    </w:p>
    <w:p w14:paraId="7B7008FD" w14:textId="77777777" w:rsidR="002E4586" w:rsidRPr="007011D6" w:rsidRDefault="45DFBDCB" w:rsidP="45DFBDCB">
      <w:pPr>
        <w:spacing w:before="240" w:after="240"/>
        <w:rPr>
          <w:rFonts w:ascii="Times New Roman" w:hAnsi="Times New Roman" w:cs="Times New Roman"/>
          <w:sz w:val="24"/>
          <w:szCs w:val="24"/>
        </w:rPr>
      </w:pPr>
      <w:r w:rsidRPr="007011D6">
        <w:rPr>
          <w:rFonts w:ascii="Times New Roman" w:hAnsi="Times New Roman" w:cs="Times New Roman"/>
          <w:sz w:val="24"/>
          <w:szCs w:val="24"/>
        </w:rPr>
        <w:t>Persons who are otherwise affected by decisions or who have complaints about the Program will also have recourse to the Department. The Department investigates any complaints about the Program in accordance with its complaints policy and procedures. If a person is not satisfied with the way the Department handles the complaint, they may lodge a complaint with the Commonwealth Ombudsman.</w:t>
      </w:r>
    </w:p>
    <w:p w14:paraId="1415BBA3" w14:textId="77777777" w:rsidR="00261880" w:rsidRDefault="00261880" w:rsidP="45DFBDCB">
      <w:pPr>
        <w:spacing w:before="240" w:after="240"/>
        <w:rPr>
          <w:rFonts w:ascii="Times New Roman" w:hAnsi="Times New Roman" w:cs="Times New Roman"/>
          <w:sz w:val="24"/>
          <w:szCs w:val="24"/>
        </w:rPr>
      </w:pPr>
      <w:r w:rsidRPr="008F548B">
        <w:rPr>
          <w:rFonts w:ascii="Times New Roman" w:hAnsi="Times New Roman" w:cs="Times New Roman"/>
          <w:sz w:val="24"/>
          <w:szCs w:val="24"/>
        </w:rPr>
        <w:t>The Legislative Instrument specifies that the legislative powers in respect of which the Instrument is made</w:t>
      </w:r>
      <w:r>
        <w:rPr>
          <w:rFonts w:ascii="Times New Roman" w:hAnsi="Times New Roman" w:cs="Times New Roman"/>
          <w:sz w:val="24"/>
          <w:szCs w:val="24"/>
        </w:rPr>
        <w:t xml:space="preserve"> is the following:</w:t>
      </w:r>
    </w:p>
    <w:p w14:paraId="20CC1B15" w14:textId="77777777" w:rsidR="00DF6712" w:rsidRPr="00680693" w:rsidRDefault="00261880" w:rsidP="45DFBDCB">
      <w:pPr>
        <w:spacing w:before="240" w:after="240"/>
        <w:rPr>
          <w:rFonts w:ascii="Times New Roman" w:hAnsi="Times New Roman" w:cs="Times New Roman"/>
          <w:sz w:val="24"/>
          <w:szCs w:val="24"/>
          <w:u w:val="single"/>
        </w:rPr>
      </w:pPr>
      <w:r w:rsidRPr="00680693">
        <w:rPr>
          <w:rFonts w:ascii="Times New Roman" w:hAnsi="Times New Roman" w:cs="Times New Roman"/>
          <w:sz w:val="24"/>
          <w:szCs w:val="24"/>
          <w:u w:val="single"/>
        </w:rPr>
        <w:t>Territories</w:t>
      </w:r>
      <w:r w:rsidR="00DF6712" w:rsidRPr="00680693">
        <w:rPr>
          <w:rFonts w:ascii="Times New Roman" w:hAnsi="Times New Roman" w:cs="Times New Roman"/>
          <w:sz w:val="24"/>
          <w:szCs w:val="24"/>
          <w:u w:val="single"/>
        </w:rPr>
        <w:t xml:space="preserve"> Power</w:t>
      </w:r>
    </w:p>
    <w:p w14:paraId="5137B750" w14:textId="2AB911FB" w:rsidR="004659C8" w:rsidRPr="007011D6" w:rsidRDefault="45DFBDCB" w:rsidP="00F1510B">
      <w:pPr>
        <w:spacing w:before="240" w:after="240"/>
        <w:rPr>
          <w:rFonts w:ascii="Times New Roman" w:hAnsi="Times New Roman" w:cs="Times New Roman"/>
          <w:sz w:val="24"/>
          <w:szCs w:val="24"/>
        </w:rPr>
      </w:pPr>
      <w:r w:rsidRPr="007011D6">
        <w:rPr>
          <w:rFonts w:ascii="Times New Roman" w:hAnsi="Times New Roman" w:cs="Times New Roman"/>
          <w:sz w:val="24"/>
          <w:szCs w:val="24"/>
        </w:rPr>
        <w:t xml:space="preserve">The Legislative Instrument specifies that the legislative power in respect of which it is made is the territories power (s 122 of the Constitution). The territories power </w:t>
      </w:r>
      <w:r w:rsidR="00F1510B">
        <w:rPr>
          <w:rFonts w:ascii="Times New Roman" w:hAnsi="Times New Roman" w:cs="Times New Roman"/>
          <w:sz w:val="24"/>
          <w:szCs w:val="24"/>
        </w:rPr>
        <w:t>empowers</w:t>
      </w:r>
      <w:r w:rsidR="00074F2E" w:rsidRPr="007011D6">
        <w:rPr>
          <w:rFonts w:ascii="Times New Roman" w:hAnsi="Times New Roman" w:cs="Times New Roman"/>
          <w:sz w:val="24"/>
          <w:szCs w:val="24"/>
        </w:rPr>
        <w:t xml:space="preserve"> </w:t>
      </w:r>
      <w:r w:rsidRPr="007011D6">
        <w:rPr>
          <w:rFonts w:ascii="Times New Roman" w:hAnsi="Times New Roman" w:cs="Times New Roman"/>
          <w:sz w:val="24"/>
          <w:szCs w:val="24"/>
        </w:rPr>
        <w:t xml:space="preserve">the </w:t>
      </w:r>
      <w:r w:rsidR="00F1510B">
        <w:rPr>
          <w:rFonts w:ascii="Times New Roman" w:hAnsi="Times New Roman" w:cs="Times New Roman"/>
          <w:sz w:val="24"/>
          <w:szCs w:val="24"/>
        </w:rPr>
        <w:t>Parliament</w:t>
      </w:r>
      <w:r w:rsidR="00F1510B" w:rsidRPr="007011D6">
        <w:rPr>
          <w:rFonts w:ascii="Times New Roman" w:hAnsi="Times New Roman" w:cs="Times New Roman"/>
          <w:sz w:val="24"/>
          <w:szCs w:val="24"/>
        </w:rPr>
        <w:t xml:space="preserve"> </w:t>
      </w:r>
      <w:r w:rsidR="00723043">
        <w:rPr>
          <w:rFonts w:ascii="Times New Roman" w:hAnsi="Times New Roman" w:cs="Times New Roman"/>
          <w:sz w:val="24"/>
          <w:szCs w:val="24"/>
        </w:rPr>
        <w:t xml:space="preserve">to </w:t>
      </w:r>
      <w:r w:rsidR="00F1510B">
        <w:rPr>
          <w:rFonts w:ascii="Times New Roman" w:hAnsi="Times New Roman" w:cs="Times New Roman"/>
          <w:sz w:val="24"/>
          <w:szCs w:val="24"/>
        </w:rPr>
        <w:t>‘make laws for the government of any territory’</w:t>
      </w:r>
      <w:r w:rsidRPr="007011D6">
        <w:rPr>
          <w:rFonts w:ascii="Times New Roman" w:hAnsi="Times New Roman" w:cs="Times New Roman"/>
          <w:sz w:val="24"/>
          <w:szCs w:val="24"/>
        </w:rPr>
        <w:t xml:space="preserve">. </w:t>
      </w:r>
    </w:p>
    <w:p w14:paraId="61806B3A" w14:textId="18F3878D" w:rsidR="007011D6" w:rsidRPr="007011D6" w:rsidRDefault="00F1510B" w:rsidP="00F1510B">
      <w:pPr>
        <w:spacing w:before="240" w:after="240"/>
        <w:rPr>
          <w:rFonts w:ascii="Times New Roman" w:hAnsi="Times New Roman" w:cs="Times New Roman"/>
          <w:sz w:val="24"/>
          <w:szCs w:val="24"/>
        </w:rPr>
      </w:pPr>
      <w:r>
        <w:rPr>
          <w:rFonts w:ascii="Times New Roman" w:hAnsi="Times New Roman" w:cs="Times New Roman"/>
          <w:sz w:val="24"/>
          <w:szCs w:val="24"/>
        </w:rPr>
        <w:t>F</w:t>
      </w:r>
      <w:r w:rsidR="45DFBDCB" w:rsidRPr="007011D6">
        <w:rPr>
          <w:rFonts w:ascii="Times New Roman" w:hAnsi="Times New Roman" w:cs="Times New Roman"/>
          <w:sz w:val="24"/>
          <w:szCs w:val="24"/>
        </w:rPr>
        <w:t xml:space="preserve">unding provided under the Legislative Instrument </w:t>
      </w:r>
      <w:r w:rsidR="00261880">
        <w:rPr>
          <w:rFonts w:ascii="Times New Roman" w:hAnsi="Times New Roman" w:cs="Times New Roman"/>
          <w:sz w:val="24"/>
          <w:szCs w:val="24"/>
        </w:rPr>
        <w:t xml:space="preserve">is intended to support the acceleration of exploration activities in the Beetaloo sub-basin, which is wholly located in the Northern Territory. </w:t>
      </w:r>
    </w:p>
    <w:p w14:paraId="169E70E1" w14:textId="77777777" w:rsidR="000D0E22" w:rsidRPr="007011D6" w:rsidRDefault="45DFBDCB" w:rsidP="45DFBDCB">
      <w:pPr>
        <w:spacing w:before="240" w:after="240"/>
        <w:rPr>
          <w:rFonts w:ascii="Times New Roman" w:hAnsi="Times New Roman" w:cs="Times New Roman"/>
          <w:b/>
          <w:bCs/>
          <w:sz w:val="24"/>
          <w:szCs w:val="24"/>
          <w:u w:val="single"/>
        </w:rPr>
      </w:pPr>
      <w:r w:rsidRPr="007011D6">
        <w:rPr>
          <w:rFonts w:ascii="Times New Roman" w:hAnsi="Times New Roman" w:cs="Times New Roman"/>
          <w:b/>
          <w:bCs/>
          <w:sz w:val="24"/>
          <w:szCs w:val="24"/>
          <w:u w:val="single"/>
        </w:rPr>
        <w:t>Authority</w:t>
      </w:r>
    </w:p>
    <w:p w14:paraId="575D354A" w14:textId="77777777" w:rsidR="005B0B52" w:rsidRPr="007011D6" w:rsidRDefault="45DFBDCB" w:rsidP="45DFBDCB">
      <w:pPr>
        <w:spacing w:before="240" w:after="240"/>
        <w:rPr>
          <w:rFonts w:ascii="Times New Roman" w:hAnsi="Times New Roman" w:cs="Times New Roman"/>
          <w:sz w:val="24"/>
          <w:szCs w:val="24"/>
        </w:rPr>
      </w:pPr>
      <w:r w:rsidRPr="007011D6">
        <w:rPr>
          <w:rFonts w:ascii="Times New Roman" w:hAnsi="Times New Roman" w:cs="Times New Roman"/>
          <w:sz w:val="24"/>
          <w:szCs w:val="24"/>
        </w:rPr>
        <w:t xml:space="preserve">Section 33 of the </w:t>
      </w:r>
      <w:r w:rsidRPr="00680693">
        <w:rPr>
          <w:rFonts w:ascii="Times New Roman" w:hAnsi="Times New Roman" w:cs="Times New Roman"/>
          <w:sz w:val="24"/>
          <w:szCs w:val="24"/>
        </w:rPr>
        <w:t>IR&amp;D Act</w:t>
      </w:r>
      <w:r w:rsidRPr="007011D6">
        <w:rPr>
          <w:rFonts w:ascii="Times New Roman" w:hAnsi="Times New Roman" w:cs="Times New Roman"/>
          <w:sz w:val="24"/>
          <w:szCs w:val="24"/>
        </w:rPr>
        <w:t xml:space="preserve"> provides authority for the Legislative Instrument. </w:t>
      </w:r>
    </w:p>
    <w:p w14:paraId="2DD231A6" w14:textId="77777777" w:rsidR="0072540E" w:rsidRPr="007011D6" w:rsidRDefault="45DFBDCB" w:rsidP="00FB1B8F">
      <w:pPr>
        <w:spacing w:before="240" w:after="240"/>
        <w:rPr>
          <w:rFonts w:ascii="Times New Roman" w:hAnsi="Times New Roman" w:cs="Times New Roman"/>
          <w:b/>
          <w:bCs/>
          <w:sz w:val="24"/>
          <w:szCs w:val="24"/>
          <w:u w:val="single"/>
        </w:rPr>
      </w:pPr>
      <w:r w:rsidRPr="007011D6">
        <w:rPr>
          <w:rFonts w:ascii="Times New Roman" w:hAnsi="Times New Roman" w:cs="Times New Roman"/>
          <w:b/>
          <w:bCs/>
          <w:sz w:val="24"/>
          <w:szCs w:val="24"/>
          <w:u w:val="single"/>
        </w:rPr>
        <w:t>Consultation</w:t>
      </w:r>
    </w:p>
    <w:p w14:paraId="73C77801" w14:textId="77777777" w:rsidR="003419A9" w:rsidRPr="003419A9" w:rsidRDefault="003419A9" w:rsidP="003419A9">
      <w:pPr>
        <w:spacing w:before="120" w:after="120"/>
        <w:rPr>
          <w:rFonts w:ascii="Times New Roman" w:hAnsi="Times New Roman" w:cs="Times New Roman"/>
          <w:b/>
          <w:bCs/>
          <w:sz w:val="24"/>
          <w:szCs w:val="24"/>
        </w:rPr>
      </w:pPr>
      <w:r w:rsidRPr="003419A9">
        <w:rPr>
          <w:rFonts w:ascii="Times New Roman" w:hAnsi="Times New Roman" w:cs="Times New Roman"/>
          <w:b/>
          <w:bCs/>
          <w:sz w:val="24"/>
          <w:szCs w:val="24"/>
        </w:rPr>
        <w:t>Consultation</w:t>
      </w:r>
    </w:p>
    <w:p w14:paraId="4653C23D" w14:textId="77777777" w:rsidR="003419A9" w:rsidRPr="003419A9" w:rsidRDefault="003419A9" w:rsidP="003419A9">
      <w:pPr>
        <w:spacing w:before="120" w:after="120"/>
        <w:rPr>
          <w:rFonts w:ascii="Times New Roman" w:hAnsi="Times New Roman" w:cs="Times New Roman"/>
          <w:sz w:val="24"/>
          <w:szCs w:val="24"/>
        </w:rPr>
      </w:pPr>
      <w:r w:rsidRPr="003419A9">
        <w:rPr>
          <w:rFonts w:ascii="Times New Roman" w:hAnsi="Times New Roman" w:cs="Times New Roman"/>
          <w:sz w:val="24"/>
          <w:szCs w:val="24"/>
        </w:rPr>
        <w:t xml:space="preserve">In accordance with section 17 of the </w:t>
      </w:r>
      <w:r w:rsidRPr="003419A9">
        <w:rPr>
          <w:rFonts w:ascii="Times New Roman" w:hAnsi="Times New Roman" w:cs="Times New Roman"/>
          <w:i/>
          <w:iCs/>
          <w:sz w:val="24"/>
          <w:szCs w:val="24"/>
        </w:rPr>
        <w:t>Legislation Act 2003</w:t>
      </w:r>
      <w:r w:rsidRPr="003419A9">
        <w:rPr>
          <w:rFonts w:ascii="Times New Roman" w:hAnsi="Times New Roman" w:cs="Times New Roman"/>
          <w:sz w:val="24"/>
          <w:szCs w:val="24"/>
        </w:rPr>
        <w:t>, the Attorney-General’s Department was consulted on this Legislative Instrument.</w:t>
      </w:r>
    </w:p>
    <w:p w14:paraId="164F6C03" w14:textId="55768505" w:rsidR="003419A9" w:rsidRPr="003419A9" w:rsidRDefault="003419A9" w:rsidP="003419A9">
      <w:pPr>
        <w:spacing w:before="120" w:after="120"/>
        <w:rPr>
          <w:rFonts w:ascii="Times New Roman" w:hAnsi="Times New Roman" w:cs="Times New Roman"/>
          <w:sz w:val="24"/>
          <w:szCs w:val="24"/>
        </w:rPr>
      </w:pPr>
      <w:r w:rsidRPr="003419A9">
        <w:rPr>
          <w:rFonts w:ascii="Times New Roman" w:hAnsi="Times New Roman" w:cs="Times New Roman"/>
          <w:sz w:val="24"/>
          <w:szCs w:val="24"/>
        </w:rPr>
        <w:t xml:space="preserve">Relevant exploration companies were consulted through the policy development process for the instrument. The Department of the Prime Minister and Cabinet, the Department of </w:t>
      </w:r>
      <w:r w:rsidR="00954664">
        <w:rPr>
          <w:rFonts w:ascii="Times New Roman" w:hAnsi="Times New Roman" w:cs="Times New Roman"/>
          <w:sz w:val="24"/>
          <w:szCs w:val="24"/>
        </w:rPr>
        <w:t>Finance and</w:t>
      </w:r>
      <w:r w:rsidRPr="003419A9">
        <w:rPr>
          <w:rFonts w:ascii="Times New Roman" w:hAnsi="Times New Roman" w:cs="Times New Roman"/>
          <w:sz w:val="24"/>
          <w:szCs w:val="24"/>
        </w:rPr>
        <w:t xml:space="preserve"> the Department of Foreign Affairs and Trade were consulted on the Program guidelines. Technical advice was sought from the Northern Territory Government on key aspects of the guidelines including the parameters that were set for applicants. </w:t>
      </w:r>
    </w:p>
    <w:p w14:paraId="7FEF7E5C" w14:textId="77777777" w:rsidR="000D0E22" w:rsidRPr="007011D6" w:rsidRDefault="45DFBDCB" w:rsidP="45DFBDCB">
      <w:pPr>
        <w:spacing w:before="240" w:after="240"/>
        <w:rPr>
          <w:rFonts w:ascii="Times New Roman" w:hAnsi="Times New Roman" w:cs="Times New Roman"/>
          <w:b/>
          <w:bCs/>
          <w:sz w:val="24"/>
          <w:szCs w:val="24"/>
          <w:u w:val="single"/>
        </w:rPr>
      </w:pPr>
      <w:r w:rsidRPr="007011D6">
        <w:rPr>
          <w:rFonts w:ascii="Times New Roman" w:hAnsi="Times New Roman" w:cs="Times New Roman"/>
          <w:b/>
          <w:bCs/>
          <w:sz w:val="24"/>
          <w:szCs w:val="24"/>
          <w:u w:val="single"/>
        </w:rPr>
        <w:t>Regulatory Impact</w:t>
      </w:r>
    </w:p>
    <w:p w14:paraId="21CF965F" w14:textId="77777777" w:rsidR="000D0E22" w:rsidRPr="007011D6" w:rsidDel="007011D6" w:rsidRDefault="009D1DD1" w:rsidP="45DFBDCB">
      <w:pPr>
        <w:spacing w:before="120" w:after="120"/>
        <w:rPr>
          <w:rFonts w:ascii="Times New Roman" w:hAnsi="Times New Roman" w:cs="Times New Roman"/>
          <w:sz w:val="24"/>
          <w:szCs w:val="24"/>
        </w:rPr>
      </w:pPr>
      <w:r w:rsidRPr="007011D6" w:rsidDel="007011D6">
        <w:rPr>
          <w:rFonts w:ascii="Times New Roman" w:hAnsi="Times New Roman" w:cs="Times New Roman"/>
          <w:sz w:val="24"/>
          <w:szCs w:val="24"/>
        </w:rPr>
        <w:t>The Program is non-regulatory and therefore carries no regulatory burden (OBPR reference number 43292</w:t>
      </w:r>
      <w:r w:rsidR="45DFBDCB" w:rsidRPr="007011D6" w:rsidDel="007011D6">
        <w:rPr>
          <w:rFonts w:ascii="Times New Roman" w:hAnsi="Times New Roman" w:cs="Times New Roman"/>
          <w:sz w:val="24"/>
          <w:szCs w:val="24"/>
        </w:rPr>
        <w:t xml:space="preserve">). </w:t>
      </w:r>
    </w:p>
    <w:p w14:paraId="33C8733C" w14:textId="77777777" w:rsidR="000D0E22" w:rsidRPr="007011D6" w:rsidRDefault="000D0E22" w:rsidP="000D0E22">
      <w:pPr>
        <w:spacing w:before="240" w:after="240"/>
        <w:rPr>
          <w:rFonts w:ascii="Times New Roman" w:hAnsi="Times New Roman" w:cs="Times New Roman"/>
          <w:b/>
          <w:sz w:val="24"/>
          <w:szCs w:val="24"/>
          <w:u w:val="single"/>
        </w:rPr>
      </w:pPr>
    </w:p>
    <w:p w14:paraId="2BF98B88" w14:textId="77777777" w:rsidR="005B0B52" w:rsidRPr="006877BA" w:rsidRDefault="005B0B52" w:rsidP="000D0E22">
      <w:pPr>
        <w:spacing w:before="240" w:after="240"/>
        <w:rPr>
          <w:rFonts w:ascii="Times New Roman" w:hAnsi="Times New Roman" w:cs="Times New Roman"/>
          <w:b/>
          <w:sz w:val="24"/>
          <w:szCs w:val="24"/>
          <w:u w:val="single"/>
        </w:rPr>
        <w:sectPr w:rsidR="005B0B52" w:rsidRPr="006877BA">
          <w:pgSz w:w="11906" w:h="16838"/>
          <w:pgMar w:top="1440" w:right="1440" w:bottom="1440" w:left="1440" w:header="708" w:footer="708" w:gutter="0"/>
          <w:cols w:space="708"/>
          <w:docGrid w:linePitch="360"/>
        </w:sectPr>
      </w:pPr>
    </w:p>
    <w:p w14:paraId="1F6AA5DE" w14:textId="77777777" w:rsidR="000D0E22" w:rsidRPr="006877BA" w:rsidRDefault="00F13A13" w:rsidP="45DFBDCB">
      <w:pPr>
        <w:spacing w:before="240" w:after="240"/>
        <w:rPr>
          <w:rFonts w:ascii="Times New Roman" w:hAnsi="Times New Roman" w:cs="Times New Roman"/>
          <w:b/>
          <w:bCs/>
          <w:sz w:val="24"/>
          <w:szCs w:val="24"/>
        </w:rPr>
      </w:pPr>
      <w:r w:rsidRPr="00E17A46">
        <w:rPr>
          <w:rFonts w:ascii="Times New Roman" w:hAnsi="Times New Roman" w:cs="Times New Roman"/>
          <w:b/>
          <w:bCs/>
          <w:sz w:val="24"/>
          <w:szCs w:val="24"/>
          <w:u w:val="single"/>
        </w:rPr>
        <w:t xml:space="preserve">Details of the </w:t>
      </w:r>
      <w:r w:rsidR="00533DED" w:rsidRPr="00E17A46">
        <w:rPr>
          <w:rFonts w:ascii="Times New Roman" w:hAnsi="Times New Roman" w:cs="Times New Roman"/>
          <w:b/>
          <w:bCs/>
          <w:i/>
          <w:sz w:val="24"/>
          <w:szCs w:val="24"/>
          <w:u w:val="single"/>
        </w:rPr>
        <w:t>Industry Research and Development (Beetaloo Cooperative Drilling Program) Instrument 2021</w:t>
      </w:r>
    </w:p>
    <w:p w14:paraId="5969F7BC" w14:textId="77777777" w:rsidR="006745C3" w:rsidRPr="00BC0378" w:rsidRDefault="45DFBDCB" w:rsidP="45DFBDCB">
      <w:pPr>
        <w:spacing w:before="360"/>
        <w:rPr>
          <w:rFonts w:ascii="Times New Roman" w:hAnsi="Times New Roman" w:cs="Times New Roman"/>
          <w:b/>
          <w:bCs/>
          <w:sz w:val="24"/>
          <w:szCs w:val="24"/>
        </w:rPr>
      </w:pPr>
      <w:r w:rsidRPr="00BC0378">
        <w:rPr>
          <w:rFonts w:ascii="Times New Roman" w:hAnsi="Times New Roman" w:cs="Times New Roman"/>
          <w:b/>
          <w:bCs/>
          <w:sz w:val="24"/>
          <w:szCs w:val="24"/>
        </w:rPr>
        <w:t>Section 1 – Name of Instrument</w:t>
      </w:r>
    </w:p>
    <w:p w14:paraId="5151C914" w14:textId="77777777" w:rsidR="006745C3" w:rsidRPr="00E17A46" w:rsidRDefault="45DFBDCB" w:rsidP="45DFBDCB">
      <w:pPr>
        <w:spacing w:before="240"/>
        <w:rPr>
          <w:rFonts w:ascii="Times New Roman" w:hAnsi="Times New Roman" w:cs="Times New Roman"/>
          <w:i/>
          <w:iCs/>
          <w:sz w:val="24"/>
          <w:szCs w:val="24"/>
          <w:u w:val="single"/>
        </w:rPr>
      </w:pPr>
      <w:r w:rsidRPr="007011D6">
        <w:rPr>
          <w:rFonts w:ascii="Times New Roman" w:hAnsi="Times New Roman" w:cs="Times New Roman"/>
          <w:sz w:val="24"/>
          <w:szCs w:val="24"/>
        </w:rPr>
        <w:t xml:space="preserve">This section specifies the name of the Legislative Instrument as the </w:t>
      </w:r>
      <w:r w:rsidR="00533DED" w:rsidRPr="007011D6">
        <w:rPr>
          <w:rFonts w:ascii="Times New Roman" w:hAnsi="Times New Roman" w:cs="Times New Roman"/>
          <w:i/>
          <w:iCs/>
          <w:sz w:val="24"/>
          <w:szCs w:val="24"/>
        </w:rPr>
        <w:t>Industry Research and Development (Beetaloo Cooperative Drilling Program) Instrument 2021</w:t>
      </w:r>
      <w:r w:rsidR="00533DED" w:rsidRPr="00E17A46">
        <w:rPr>
          <w:rFonts w:ascii="Times New Roman" w:hAnsi="Times New Roman" w:cs="Times New Roman"/>
          <w:i/>
          <w:iCs/>
          <w:sz w:val="24"/>
          <w:szCs w:val="24"/>
        </w:rPr>
        <w:t>.</w:t>
      </w:r>
    </w:p>
    <w:p w14:paraId="499BDFAE" w14:textId="77777777" w:rsidR="006745C3" w:rsidRPr="00BC0378" w:rsidRDefault="45DFBDCB" w:rsidP="45DFBDCB">
      <w:pPr>
        <w:tabs>
          <w:tab w:val="left" w:pos="5220"/>
        </w:tabs>
        <w:spacing w:before="240"/>
        <w:rPr>
          <w:rFonts w:ascii="Times New Roman" w:hAnsi="Times New Roman" w:cs="Times New Roman"/>
          <w:b/>
          <w:bCs/>
          <w:sz w:val="24"/>
          <w:szCs w:val="24"/>
        </w:rPr>
      </w:pPr>
      <w:r w:rsidRPr="00BC0378">
        <w:rPr>
          <w:rFonts w:ascii="Times New Roman" w:hAnsi="Times New Roman" w:cs="Times New Roman"/>
          <w:b/>
          <w:bCs/>
          <w:sz w:val="24"/>
          <w:szCs w:val="24"/>
        </w:rPr>
        <w:t>Section 2 – Commencement</w:t>
      </w:r>
    </w:p>
    <w:p w14:paraId="7BE0E0C3" w14:textId="77777777" w:rsidR="00AC32C5" w:rsidRPr="00E17A46" w:rsidRDefault="45DFBDCB" w:rsidP="45DFBDCB">
      <w:pPr>
        <w:spacing w:before="240" w:after="100" w:afterAutospacing="1"/>
        <w:rPr>
          <w:rFonts w:ascii="Times New Roman" w:hAnsi="Times New Roman" w:cs="Times New Roman"/>
          <w:sz w:val="24"/>
          <w:szCs w:val="24"/>
        </w:rPr>
      </w:pPr>
      <w:r w:rsidRPr="007011D6">
        <w:rPr>
          <w:rFonts w:ascii="Times New Roman" w:hAnsi="Times New Roman" w:cs="Times New Roman"/>
          <w:sz w:val="24"/>
          <w:szCs w:val="24"/>
        </w:rPr>
        <w:t>This section provides that the</w:t>
      </w:r>
      <w:r w:rsidR="001C56E3" w:rsidRPr="007011D6">
        <w:rPr>
          <w:rFonts w:ascii="Times New Roman" w:hAnsi="Times New Roman" w:cs="Times New Roman"/>
          <w:sz w:val="24"/>
          <w:szCs w:val="24"/>
        </w:rPr>
        <w:t xml:space="preserve"> whole of the</w:t>
      </w:r>
      <w:r w:rsidRPr="007011D6">
        <w:rPr>
          <w:rFonts w:ascii="Times New Roman" w:hAnsi="Times New Roman" w:cs="Times New Roman"/>
          <w:sz w:val="24"/>
          <w:szCs w:val="24"/>
        </w:rPr>
        <w:t xml:space="preserve"> Legis</w:t>
      </w:r>
      <w:r w:rsidR="00533DED" w:rsidRPr="007011D6">
        <w:rPr>
          <w:rFonts w:ascii="Times New Roman" w:hAnsi="Times New Roman" w:cs="Times New Roman"/>
          <w:sz w:val="24"/>
          <w:szCs w:val="24"/>
        </w:rPr>
        <w:t xml:space="preserve">lative Instrument commences on </w:t>
      </w:r>
      <w:r w:rsidRPr="007011D6">
        <w:rPr>
          <w:rFonts w:ascii="Times New Roman" w:hAnsi="Times New Roman" w:cs="Times New Roman"/>
          <w:sz w:val="24"/>
          <w:szCs w:val="24"/>
        </w:rPr>
        <w:t>the day after registration on the Federal Register of Legislation</w:t>
      </w:r>
      <w:r w:rsidRPr="00E17A46">
        <w:rPr>
          <w:rFonts w:ascii="Times New Roman" w:hAnsi="Times New Roman" w:cs="Times New Roman"/>
          <w:sz w:val="24"/>
          <w:szCs w:val="24"/>
        </w:rPr>
        <w:t xml:space="preserve">.  </w:t>
      </w:r>
    </w:p>
    <w:p w14:paraId="7D1B8EC6" w14:textId="77777777" w:rsidR="006745C3" w:rsidRPr="00BC0378" w:rsidRDefault="45DFBDCB" w:rsidP="45DFBDCB">
      <w:pPr>
        <w:tabs>
          <w:tab w:val="left" w:pos="2610"/>
        </w:tabs>
        <w:spacing w:before="240"/>
        <w:rPr>
          <w:rFonts w:ascii="Times New Roman" w:hAnsi="Times New Roman" w:cs="Times New Roman"/>
          <w:b/>
          <w:bCs/>
          <w:sz w:val="24"/>
          <w:szCs w:val="24"/>
        </w:rPr>
      </w:pPr>
      <w:r w:rsidRPr="00BC0378">
        <w:rPr>
          <w:rFonts w:ascii="Times New Roman" w:hAnsi="Times New Roman" w:cs="Times New Roman"/>
          <w:b/>
          <w:bCs/>
          <w:sz w:val="24"/>
          <w:szCs w:val="24"/>
        </w:rPr>
        <w:t>Section 3 – Authority</w:t>
      </w:r>
    </w:p>
    <w:p w14:paraId="25413E8A" w14:textId="77777777" w:rsidR="00AC32C5" w:rsidRPr="00E17A46" w:rsidRDefault="45DFBDCB" w:rsidP="45DFBDCB">
      <w:pPr>
        <w:spacing w:before="240"/>
        <w:rPr>
          <w:rFonts w:ascii="Times New Roman" w:hAnsi="Times New Roman" w:cs="Times New Roman"/>
          <w:sz w:val="24"/>
          <w:szCs w:val="24"/>
        </w:rPr>
      </w:pPr>
      <w:r w:rsidRPr="007011D6">
        <w:rPr>
          <w:rFonts w:ascii="Times New Roman" w:hAnsi="Times New Roman" w:cs="Times New Roman"/>
          <w:sz w:val="24"/>
          <w:szCs w:val="24"/>
        </w:rPr>
        <w:t xml:space="preserve">This section specifies the provision of the </w:t>
      </w:r>
      <w:r w:rsidRPr="007011D6">
        <w:rPr>
          <w:rFonts w:ascii="Times New Roman" w:hAnsi="Times New Roman" w:cs="Times New Roman"/>
          <w:i/>
          <w:iCs/>
          <w:sz w:val="24"/>
          <w:szCs w:val="24"/>
        </w:rPr>
        <w:t>Industry, Research and Development Act 1986</w:t>
      </w:r>
      <w:r w:rsidRPr="007011D6">
        <w:rPr>
          <w:rFonts w:ascii="Times New Roman" w:hAnsi="Times New Roman" w:cs="Times New Roman"/>
          <w:sz w:val="24"/>
          <w:szCs w:val="24"/>
        </w:rPr>
        <w:t xml:space="preserve"> (the IR&amp;D Act) under which the Legislative Instrument is made. </w:t>
      </w:r>
    </w:p>
    <w:p w14:paraId="5308EA4E" w14:textId="77777777" w:rsidR="006745C3" w:rsidRPr="00BC0378" w:rsidRDefault="45DFBDCB" w:rsidP="45DFBDCB">
      <w:pPr>
        <w:spacing w:before="240"/>
        <w:rPr>
          <w:rFonts w:ascii="Times New Roman" w:hAnsi="Times New Roman" w:cs="Times New Roman"/>
          <w:b/>
          <w:bCs/>
          <w:sz w:val="24"/>
          <w:szCs w:val="24"/>
        </w:rPr>
      </w:pPr>
      <w:r w:rsidRPr="00BC0378">
        <w:rPr>
          <w:rFonts w:ascii="Times New Roman" w:hAnsi="Times New Roman" w:cs="Times New Roman"/>
          <w:b/>
          <w:bCs/>
          <w:sz w:val="24"/>
          <w:szCs w:val="24"/>
        </w:rPr>
        <w:t>Section 4 – Definitions</w:t>
      </w:r>
    </w:p>
    <w:p w14:paraId="181198B1" w14:textId="77777777" w:rsidR="006745C3" w:rsidRPr="007011D6" w:rsidRDefault="45DFBDCB" w:rsidP="45DFBDCB">
      <w:pPr>
        <w:spacing w:before="240"/>
        <w:rPr>
          <w:rFonts w:ascii="Times New Roman" w:hAnsi="Times New Roman" w:cs="Times New Roman"/>
          <w:sz w:val="24"/>
          <w:szCs w:val="24"/>
        </w:rPr>
      </w:pPr>
      <w:r w:rsidRPr="007011D6">
        <w:rPr>
          <w:rFonts w:ascii="Times New Roman" w:hAnsi="Times New Roman" w:cs="Times New Roman"/>
          <w:sz w:val="24"/>
          <w:szCs w:val="24"/>
        </w:rPr>
        <w:t>This item provides for definitions of terms used in the Legislative Instrument.</w:t>
      </w:r>
    </w:p>
    <w:p w14:paraId="761B766B" w14:textId="77777777" w:rsidR="006745C3" w:rsidRPr="00BC0378" w:rsidRDefault="001C56E3" w:rsidP="45DFBDCB">
      <w:pPr>
        <w:spacing w:before="240"/>
        <w:rPr>
          <w:rFonts w:ascii="Times New Roman" w:hAnsi="Times New Roman" w:cs="Times New Roman"/>
          <w:b/>
          <w:bCs/>
          <w:sz w:val="24"/>
          <w:szCs w:val="24"/>
        </w:rPr>
      </w:pPr>
      <w:r w:rsidRPr="00BC0378">
        <w:rPr>
          <w:rFonts w:ascii="Times New Roman" w:hAnsi="Times New Roman" w:cs="Times New Roman"/>
          <w:b/>
          <w:bCs/>
          <w:sz w:val="24"/>
          <w:szCs w:val="24"/>
        </w:rPr>
        <w:t xml:space="preserve">Section 5 – </w:t>
      </w:r>
      <w:r w:rsidR="45DFBDCB" w:rsidRPr="00BC0378">
        <w:rPr>
          <w:rFonts w:ascii="Times New Roman" w:hAnsi="Times New Roman" w:cs="Times New Roman"/>
          <w:b/>
          <w:bCs/>
          <w:sz w:val="24"/>
          <w:szCs w:val="24"/>
        </w:rPr>
        <w:t>Prescribed Program</w:t>
      </w:r>
    </w:p>
    <w:p w14:paraId="169AE8F3" w14:textId="77777777" w:rsidR="00AC32C5" w:rsidRPr="00E17A46" w:rsidRDefault="00A976A3" w:rsidP="45DFBDCB">
      <w:pPr>
        <w:spacing w:before="240" w:after="240"/>
        <w:rPr>
          <w:rFonts w:ascii="Times New Roman" w:hAnsi="Times New Roman" w:cs="Times New Roman"/>
          <w:sz w:val="24"/>
          <w:szCs w:val="24"/>
        </w:rPr>
      </w:pPr>
      <w:r w:rsidRPr="007011D6">
        <w:rPr>
          <w:rFonts w:ascii="Times New Roman" w:hAnsi="Times New Roman" w:cs="Times New Roman"/>
          <w:sz w:val="24"/>
          <w:szCs w:val="24"/>
        </w:rPr>
        <w:t>This section prescribes the Beetaloo Cooperative Drilling Program</w:t>
      </w:r>
      <w:r w:rsidR="45DFBDCB" w:rsidRPr="007011D6">
        <w:rPr>
          <w:rFonts w:ascii="Times New Roman" w:hAnsi="Times New Roman" w:cs="Times New Roman"/>
          <w:sz w:val="24"/>
          <w:szCs w:val="24"/>
        </w:rPr>
        <w:t xml:space="preserve"> (the Program) for the purposes of section 33 of the IR&amp;D Act. </w:t>
      </w:r>
    </w:p>
    <w:p w14:paraId="4FE77257" w14:textId="77777777" w:rsidR="00242B2A" w:rsidRPr="006877BA" w:rsidRDefault="00A976A3" w:rsidP="45DFBDCB">
      <w:pPr>
        <w:spacing w:before="240" w:after="240"/>
        <w:rPr>
          <w:rFonts w:ascii="Times New Roman" w:hAnsi="Times New Roman" w:cs="Times New Roman"/>
          <w:sz w:val="24"/>
          <w:szCs w:val="24"/>
        </w:rPr>
      </w:pPr>
      <w:r w:rsidRPr="006877BA">
        <w:rPr>
          <w:rFonts w:ascii="Times New Roman" w:hAnsi="Times New Roman" w:cs="Times New Roman"/>
          <w:sz w:val="24"/>
          <w:szCs w:val="24"/>
        </w:rPr>
        <w:t xml:space="preserve">The Program provides grants to encourage and facilitate accelerated gas exploration in the Beetaloo sub-basin and in turn support the development of the Northern Territory gas industry. </w:t>
      </w:r>
    </w:p>
    <w:p w14:paraId="7D1A590E" w14:textId="77777777" w:rsidR="00FE7F0E" w:rsidRPr="00BC0378" w:rsidRDefault="00A976A3" w:rsidP="45DFBDCB">
      <w:pPr>
        <w:spacing w:before="240" w:after="240"/>
        <w:rPr>
          <w:rFonts w:ascii="Times New Roman" w:hAnsi="Times New Roman" w:cs="Times New Roman"/>
          <w:b/>
          <w:bCs/>
          <w:sz w:val="24"/>
          <w:szCs w:val="24"/>
        </w:rPr>
      </w:pPr>
      <w:r w:rsidRPr="00BC0378">
        <w:rPr>
          <w:rFonts w:ascii="Times New Roman" w:hAnsi="Times New Roman" w:cs="Times New Roman"/>
          <w:b/>
          <w:bCs/>
          <w:sz w:val="24"/>
          <w:szCs w:val="24"/>
        </w:rPr>
        <w:t xml:space="preserve">Section 6 – </w:t>
      </w:r>
      <w:r w:rsidR="45DFBDCB" w:rsidRPr="00BC0378">
        <w:rPr>
          <w:rFonts w:ascii="Times New Roman" w:hAnsi="Times New Roman" w:cs="Times New Roman"/>
          <w:b/>
          <w:bCs/>
          <w:sz w:val="24"/>
          <w:szCs w:val="24"/>
        </w:rPr>
        <w:t>Specified Legislative Power</w:t>
      </w:r>
    </w:p>
    <w:p w14:paraId="76D76C0A" w14:textId="6DA7E61C" w:rsidR="00FE7F0E" w:rsidRPr="006877BA" w:rsidRDefault="45DFBDCB" w:rsidP="45DFBDCB">
      <w:pPr>
        <w:spacing w:before="240" w:after="240"/>
        <w:rPr>
          <w:rFonts w:ascii="Times New Roman" w:hAnsi="Times New Roman" w:cs="Times New Roman"/>
          <w:b/>
          <w:bCs/>
          <w:sz w:val="24"/>
          <w:szCs w:val="24"/>
        </w:rPr>
      </w:pPr>
      <w:r w:rsidRPr="007011D6">
        <w:rPr>
          <w:rFonts w:ascii="Times New Roman" w:hAnsi="Times New Roman" w:cs="Times New Roman"/>
          <w:sz w:val="24"/>
          <w:szCs w:val="24"/>
        </w:rPr>
        <w:t xml:space="preserve">This section specifies that the legislative power in respect of which the </w:t>
      </w:r>
      <w:r w:rsidR="00E73C0E" w:rsidRPr="007011D6">
        <w:rPr>
          <w:rFonts w:ascii="Times New Roman" w:hAnsi="Times New Roman" w:cs="Times New Roman"/>
          <w:sz w:val="24"/>
          <w:szCs w:val="24"/>
        </w:rPr>
        <w:t xml:space="preserve">Legislative Instrument is made </w:t>
      </w:r>
      <w:r w:rsidR="00074F2E">
        <w:rPr>
          <w:rFonts w:ascii="Times New Roman" w:hAnsi="Times New Roman" w:cs="Times New Roman"/>
          <w:sz w:val="24"/>
          <w:szCs w:val="24"/>
        </w:rPr>
        <w:t>i</w:t>
      </w:r>
      <w:r w:rsidRPr="007011D6">
        <w:rPr>
          <w:rFonts w:ascii="Times New Roman" w:hAnsi="Times New Roman" w:cs="Times New Roman"/>
          <w:sz w:val="24"/>
          <w:szCs w:val="24"/>
        </w:rPr>
        <w:t>s the power of the Parliament to m</w:t>
      </w:r>
      <w:r w:rsidR="001C6B2D" w:rsidRPr="00E17A46">
        <w:rPr>
          <w:rFonts w:ascii="Times New Roman" w:hAnsi="Times New Roman" w:cs="Times New Roman"/>
          <w:sz w:val="24"/>
          <w:szCs w:val="24"/>
        </w:rPr>
        <w:t>ake laws with respect to the government of a Territory (section</w:t>
      </w:r>
      <w:r w:rsidRPr="00E17A46">
        <w:rPr>
          <w:rFonts w:ascii="Times New Roman" w:hAnsi="Times New Roman" w:cs="Times New Roman"/>
          <w:sz w:val="24"/>
          <w:szCs w:val="24"/>
        </w:rPr>
        <w:t xml:space="preserve"> </w:t>
      </w:r>
      <w:r w:rsidR="001C6B2D" w:rsidRPr="006877BA">
        <w:rPr>
          <w:rFonts w:ascii="Times New Roman" w:hAnsi="Times New Roman" w:cs="Times New Roman"/>
          <w:sz w:val="24"/>
          <w:szCs w:val="24"/>
        </w:rPr>
        <w:t>122 of the Constitution)</w:t>
      </w:r>
      <w:r w:rsidR="00126190" w:rsidRPr="006877BA">
        <w:rPr>
          <w:rFonts w:ascii="Times New Roman" w:hAnsi="Times New Roman" w:cs="Times New Roman"/>
          <w:sz w:val="24"/>
          <w:szCs w:val="24"/>
        </w:rPr>
        <w:t>.</w:t>
      </w:r>
    </w:p>
    <w:p w14:paraId="4158A282" w14:textId="77777777" w:rsidR="006472E0" w:rsidRPr="006877BA" w:rsidRDefault="006472E0" w:rsidP="000D0E22">
      <w:pPr>
        <w:spacing w:before="240" w:after="240"/>
        <w:rPr>
          <w:rFonts w:ascii="Times New Roman" w:hAnsi="Times New Roman" w:cs="Times New Roman"/>
          <w:b/>
          <w:sz w:val="24"/>
          <w:szCs w:val="24"/>
        </w:rPr>
        <w:sectPr w:rsidR="006472E0" w:rsidRPr="006877BA">
          <w:pgSz w:w="11906" w:h="16838"/>
          <w:pgMar w:top="1440" w:right="1440" w:bottom="1440" w:left="1440" w:header="708" w:footer="708" w:gutter="0"/>
          <w:cols w:space="708"/>
          <w:docGrid w:linePitch="360"/>
        </w:sectPr>
      </w:pPr>
    </w:p>
    <w:p w14:paraId="005F3E35" w14:textId="77777777" w:rsidR="00547F8D" w:rsidRPr="00BC0378" w:rsidRDefault="45DFBDCB" w:rsidP="45DFBDCB">
      <w:pPr>
        <w:spacing w:before="360" w:after="120"/>
        <w:jc w:val="center"/>
        <w:rPr>
          <w:rFonts w:ascii="Times New Roman" w:hAnsi="Times New Roman" w:cs="Times New Roman"/>
          <w:b/>
          <w:bCs/>
          <w:sz w:val="24"/>
          <w:szCs w:val="24"/>
        </w:rPr>
      </w:pPr>
      <w:r w:rsidRPr="00BC0378">
        <w:rPr>
          <w:rFonts w:ascii="Times New Roman" w:hAnsi="Times New Roman" w:cs="Times New Roman"/>
          <w:b/>
          <w:bCs/>
          <w:sz w:val="24"/>
          <w:szCs w:val="24"/>
        </w:rPr>
        <w:t>Statement of Compatibility with Human Rights</w:t>
      </w:r>
    </w:p>
    <w:p w14:paraId="60E216B9" w14:textId="77777777" w:rsidR="00547F8D" w:rsidRPr="007011D6" w:rsidRDefault="45DFBDCB" w:rsidP="45DFBDCB">
      <w:pPr>
        <w:spacing w:before="240" w:after="240"/>
        <w:jc w:val="center"/>
        <w:rPr>
          <w:rFonts w:ascii="Times New Roman" w:hAnsi="Times New Roman" w:cs="Times New Roman"/>
          <w:sz w:val="24"/>
          <w:szCs w:val="24"/>
        </w:rPr>
      </w:pPr>
      <w:r w:rsidRPr="007011D6">
        <w:rPr>
          <w:rFonts w:ascii="Times New Roman" w:hAnsi="Times New Roman" w:cs="Times New Roman"/>
          <w:i/>
          <w:iCs/>
          <w:sz w:val="24"/>
          <w:szCs w:val="24"/>
        </w:rPr>
        <w:t>Prepared in accordance with Part 3 of the Human Rights (Parliamentary Scrutiny) Act 2011</w:t>
      </w:r>
    </w:p>
    <w:p w14:paraId="5C8E9C23" w14:textId="77777777" w:rsidR="005C531E" w:rsidRPr="00BC0378" w:rsidRDefault="005C531E" w:rsidP="005C531E">
      <w:pPr>
        <w:spacing w:before="240" w:after="240"/>
        <w:jc w:val="center"/>
        <w:rPr>
          <w:rFonts w:ascii="Times New Roman" w:hAnsi="Times New Roman" w:cs="Times New Roman"/>
          <w:i/>
          <w:iCs/>
          <w:sz w:val="24"/>
          <w:szCs w:val="24"/>
          <w:u w:val="single"/>
        </w:rPr>
      </w:pPr>
      <w:r w:rsidRPr="00680693">
        <w:rPr>
          <w:rFonts w:ascii="Times New Roman" w:hAnsi="Times New Roman" w:cs="Times New Roman"/>
          <w:i/>
          <w:iCs/>
          <w:sz w:val="24"/>
          <w:szCs w:val="24"/>
        </w:rPr>
        <w:t xml:space="preserve">Industry Research and Development (Beetaloo Cooperative Drilling Program) </w:t>
      </w:r>
      <w:r w:rsidR="007011D6" w:rsidRPr="00680693">
        <w:rPr>
          <w:rFonts w:ascii="Times New Roman" w:hAnsi="Times New Roman" w:cs="Times New Roman"/>
          <w:i/>
          <w:iCs/>
          <w:sz w:val="24"/>
          <w:szCs w:val="24"/>
        </w:rPr>
        <w:br/>
      </w:r>
      <w:r w:rsidRPr="00680693">
        <w:rPr>
          <w:rFonts w:ascii="Times New Roman" w:hAnsi="Times New Roman" w:cs="Times New Roman"/>
          <w:i/>
          <w:iCs/>
          <w:sz w:val="24"/>
          <w:szCs w:val="24"/>
        </w:rPr>
        <w:t>Instrument 2021</w:t>
      </w:r>
    </w:p>
    <w:p w14:paraId="6608C646" w14:textId="77777777" w:rsidR="00547F8D" w:rsidRPr="006877BA" w:rsidRDefault="45DFBDCB" w:rsidP="00BC0378">
      <w:pPr>
        <w:spacing w:before="240" w:after="240"/>
        <w:jc w:val="center"/>
        <w:rPr>
          <w:rFonts w:ascii="Times New Roman" w:hAnsi="Times New Roman" w:cs="Times New Roman"/>
          <w:sz w:val="24"/>
          <w:szCs w:val="24"/>
        </w:rPr>
      </w:pPr>
      <w:r w:rsidRPr="007011D6">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E17A46">
        <w:rPr>
          <w:rFonts w:ascii="Times New Roman" w:hAnsi="Times New Roman" w:cs="Times New Roman"/>
          <w:i/>
          <w:iCs/>
          <w:sz w:val="24"/>
          <w:szCs w:val="24"/>
        </w:rPr>
        <w:t>Human Rights (Parliamentary Scrutiny) Act 2011</w:t>
      </w:r>
      <w:r w:rsidRPr="006877BA">
        <w:rPr>
          <w:rFonts w:ascii="Times New Roman" w:hAnsi="Times New Roman" w:cs="Times New Roman"/>
          <w:sz w:val="24"/>
          <w:szCs w:val="24"/>
        </w:rPr>
        <w:t>.</w:t>
      </w:r>
    </w:p>
    <w:p w14:paraId="79AB6A48" w14:textId="77777777" w:rsidR="00547F8D" w:rsidRPr="006877BA" w:rsidRDefault="45DFBDCB" w:rsidP="008C0C03">
      <w:pPr>
        <w:tabs>
          <w:tab w:val="left" w:pos="6000"/>
        </w:tabs>
        <w:spacing w:before="240" w:after="240"/>
        <w:jc w:val="both"/>
        <w:rPr>
          <w:rFonts w:ascii="Times New Roman" w:hAnsi="Times New Roman" w:cs="Times New Roman"/>
          <w:b/>
          <w:bCs/>
          <w:sz w:val="24"/>
          <w:szCs w:val="24"/>
        </w:rPr>
      </w:pPr>
      <w:r w:rsidRPr="006877BA">
        <w:rPr>
          <w:rFonts w:ascii="Times New Roman" w:hAnsi="Times New Roman" w:cs="Times New Roman"/>
          <w:b/>
          <w:bCs/>
          <w:sz w:val="24"/>
          <w:szCs w:val="24"/>
        </w:rPr>
        <w:t>Overview of the Legislative Instrument</w:t>
      </w:r>
    </w:p>
    <w:p w14:paraId="401939DA" w14:textId="77777777" w:rsidR="00A8329B" w:rsidRPr="006877BA" w:rsidRDefault="008C0C03" w:rsidP="45DFBDCB">
      <w:pPr>
        <w:spacing w:before="120" w:after="120"/>
        <w:rPr>
          <w:rFonts w:ascii="Times New Roman" w:hAnsi="Times New Roman" w:cs="Times New Roman"/>
          <w:sz w:val="24"/>
          <w:szCs w:val="24"/>
        </w:rPr>
      </w:pPr>
      <w:r w:rsidRPr="006877BA">
        <w:rPr>
          <w:rFonts w:ascii="Times New Roman" w:hAnsi="Times New Roman" w:cs="Times New Roman"/>
          <w:sz w:val="24"/>
          <w:szCs w:val="24"/>
        </w:rPr>
        <w:t xml:space="preserve">The purpose of the </w:t>
      </w:r>
      <w:r w:rsidRPr="006877BA">
        <w:rPr>
          <w:rFonts w:ascii="Times New Roman" w:hAnsi="Times New Roman" w:cs="Times New Roman"/>
          <w:i/>
          <w:sz w:val="24"/>
          <w:szCs w:val="24"/>
        </w:rPr>
        <w:t>Industry Research and Development (Beetaloo Cooperative Drilling Program) Instrument 2021</w:t>
      </w:r>
      <w:r w:rsidRPr="006877BA">
        <w:rPr>
          <w:rFonts w:ascii="Times New Roman" w:hAnsi="Times New Roman" w:cs="Times New Roman"/>
          <w:sz w:val="24"/>
          <w:szCs w:val="24"/>
        </w:rPr>
        <w:t xml:space="preserve"> is to prescribe the Beetaloo Cooperative Drilling Program (the Program). The purpose of the program is to encourage and facilitate accelerated gas exploration in the Beetaloo sub-basin. </w:t>
      </w:r>
    </w:p>
    <w:p w14:paraId="22CD370A" w14:textId="77777777" w:rsidR="00547F8D" w:rsidRPr="006877BA" w:rsidRDefault="45DFBDCB" w:rsidP="45DFBDCB">
      <w:pPr>
        <w:spacing w:before="240" w:after="240"/>
        <w:rPr>
          <w:rFonts w:ascii="Times New Roman" w:hAnsi="Times New Roman" w:cs="Times New Roman"/>
          <w:b/>
          <w:bCs/>
          <w:sz w:val="24"/>
          <w:szCs w:val="24"/>
        </w:rPr>
      </w:pPr>
      <w:r w:rsidRPr="006877BA">
        <w:rPr>
          <w:rFonts w:ascii="Times New Roman" w:hAnsi="Times New Roman" w:cs="Times New Roman"/>
          <w:b/>
          <w:bCs/>
          <w:sz w:val="24"/>
          <w:szCs w:val="24"/>
        </w:rPr>
        <w:t>Human rights implications</w:t>
      </w:r>
    </w:p>
    <w:p w14:paraId="35C5421E" w14:textId="77777777" w:rsidR="00C14989" w:rsidRPr="007011D6" w:rsidRDefault="45DFBDCB" w:rsidP="45DFBDCB">
      <w:pPr>
        <w:spacing w:after="0"/>
        <w:rPr>
          <w:rFonts w:ascii="Times New Roman" w:hAnsi="Times New Roman" w:cs="Times New Roman"/>
          <w:sz w:val="24"/>
          <w:szCs w:val="24"/>
        </w:rPr>
      </w:pPr>
      <w:r w:rsidRPr="006877BA">
        <w:rPr>
          <w:rFonts w:ascii="Times New Roman" w:hAnsi="Times New Roman" w:cs="Times New Roman"/>
          <w:sz w:val="24"/>
          <w:szCs w:val="24"/>
        </w:rPr>
        <w:t>This Legislative Instrument</w:t>
      </w:r>
      <w:r w:rsidR="00A8329B" w:rsidRPr="006877BA">
        <w:rPr>
          <w:rFonts w:ascii="Times New Roman" w:hAnsi="Times New Roman" w:cs="Times New Roman"/>
          <w:sz w:val="24"/>
          <w:szCs w:val="24"/>
        </w:rPr>
        <w:t xml:space="preserve"> does not engage any of the applicable rights or freedoms</w:t>
      </w:r>
      <w:r w:rsidR="00A8329B" w:rsidRPr="007011D6">
        <w:rPr>
          <w:rFonts w:ascii="Times New Roman" w:hAnsi="Times New Roman" w:cs="Times New Roman"/>
          <w:sz w:val="24"/>
          <w:szCs w:val="24"/>
        </w:rPr>
        <w:t>.</w:t>
      </w:r>
    </w:p>
    <w:p w14:paraId="6B863750" w14:textId="77777777" w:rsidR="00547F8D" w:rsidRPr="00E17A46" w:rsidRDefault="45DFBDCB" w:rsidP="45DFBDCB">
      <w:pPr>
        <w:spacing w:before="240" w:after="240"/>
        <w:rPr>
          <w:rFonts w:ascii="Times New Roman" w:hAnsi="Times New Roman" w:cs="Times New Roman"/>
          <w:b/>
          <w:bCs/>
          <w:sz w:val="24"/>
          <w:szCs w:val="24"/>
        </w:rPr>
      </w:pPr>
      <w:r w:rsidRPr="00E17A46">
        <w:rPr>
          <w:rFonts w:ascii="Times New Roman" w:hAnsi="Times New Roman" w:cs="Times New Roman"/>
          <w:b/>
          <w:bCs/>
          <w:sz w:val="24"/>
          <w:szCs w:val="24"/>
        </w:rPr>
        <w:t>Conclusion</w:t>
      </w:r>
    </w:p>
    <w:p w14:paraId="1704DDAB" w14:textId="77777777" w:rsidR="00547F8D" w:rsidRPr="006877BA" w:rsidRDefault="45DFBDCB" w:rsidP="45DFBDCB">
      <w:pPr>
        <w:spacing w:before="120" w:after="120"/>
        <w:rPr>
          <w:rFonts w:ascii="Times New Roman" w:hAnsi="Times New Roman" w:cs="Times New Roman"/>
          <w:sz w:val="24"/>
          <w:szCs w:val="24"/>
        </w:rPr>
      </w:pPr>
      <w:r w:rsidRPr="006877BA">
        <w:rPr>
          <w:rFonts w:ascii="Times New Roman" w:hAnsi="Times New Roman" w:cs="Times New Roman"/>
          <w:sz w:val="24"/>
          <w:szCs w:val="24"/>
        </w:rPr>
        <w:t>This Legislative Instrument is compatible with human rights as</w:t>
      </w:r>
      <w:r w:rsidR="00A8329B" w:rsidRPr="006877BA">
        <w:rPr>
          <w:rFonts w:ascii="Times New Roman" w:hAnsi="Times New Roman" w:cs="Times New Roman"/>
          <w:sz w:val="24"/>
          <w:szCs w:val="24"/>
        </w:rPr>
        <w:t xml:space="preserve"> it does not raise any human rights issues.</w:t>
      </w:r>
    </w:p>
    <w:p w14:paraId="30B8A849" w14:textId="77777777" w:rsidR="00547F8D" w:rsidRPr="006877BA" w:rsidRDefault="00547F8D" w:rsidP="00547F8D">
      <w:pPr>
        <w:spacing w:before="120" w:after="120"/>
        <w:jc w:val="center"/>
        <w:rPr>
          <w:rFonts w:ascii="Times New Roman" w:hAnsi="Times New Roman" w:cs="Times New Roman"/>
          <w:sz w:val="24"/>
          <w:szCs w:val="24"/>
        </w:rPr>
      </w:pPr>
    </w:p>
    <w:p w14:paraId="371CD714" w14:textId="77777777" w:rsidR="00882263" w:rsidRPr="007011D6" w:rsidRDefault="45DFBDCB" w:rsidP="45DFBDCB">
      <w:pPr>
        <w:spacing w:before="120" w:after="120"/>
        <w:jc w:val="center"/>
        <w:rPr>
          <w:rFonts w:ascii="Times New Roman" w:hAnsi="Times New Roman" w:cs="Times New Roman"/>
          <w:b/>
          <w:bCs/>
          <w:sz w:val="24"/>
          <w:szCs w:val="24"/>
        </w:rPr>
      </w:pPr>
      <w:r w:rsidRPr="007011D6">
        <w:rPr>
          <w:rFonts w:ascii="Times New Roman" w:hAnsi="Times New Roman" w:cs="Times New Roman"/>
          <w:b/>
          <w:bCs/>
          <w:sz w:val="24"/>
          <w:szCs w:val="24"/>
        </w:rPr>
        <w:t>The</w:t>
      </w:r>
      <w:r w:rsidR="00A8329B" w:rsidRPr="007011D6">
        <w:rPr>
          <w:rFonts w:ascii="Times New Roman" w:hAnsi="Times New Roman" w:cs="Times New Roman"/>
          <w:b/>
          <w:bCs/>
          <w:sz w:val="24"/>
          <w:szCs w:val="24"/>
        </w:rPr>
        <w:t xml:space="preserve"> Hon Keith Pitt MP</w:t>
      </w:r>
    </w:p>
    <w:p w14:paraId="6873FCF2" w14:textId="77777777" w:rsidR="006472E0" w:rsidRPr="007011D6" w:rsidRDefault="45DFBDCB" w:rsidP="45DFBDCB">
      <w:pPr>
        <w:spacing w:before="120" w:after="120"/>
        <w:jc w:val="center"/>
        <w:rPr>
          <w:rFonts w:ascii="Times New Roman" w:hAnsi="Times New Roman" w:cs="Times New Roman"/>
          <w:b/>
          <w:bCs/>
          <w:sz w:val="24"/>
          <w:szCs w:val="24"/>
        </w:rPr>
      </w:pPr>
      <w:r w:rsidRPr="00E17A46">
        <w:rPr>
          <w:rFonts w:ascii="Times New Roman" w:hAnsi="Times New Roman" w:cs="Times New Roman"/>
          <w:b/>
          <w:bCs/>
          <w:sz w:val="24"/>
          <w:szCs w:val="24"/>
        </w:rPr>
        <w:t xml:space="preserve">Minister for Resources, Water and Northern Australia </w:t>
      </w:r>
    </w:p>
    <w:sectPr w:rsidR="006472E0" w:rsidRPr="007011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E66B9" w14:textId="77777777" w:rsidR="00A232F3" w:rsidRDefault="00A232F3" w:rsidP="007173D4">
      <w:pPr>
        <w:spacing w:after="0" w:line="240" w:lineRule="auto"/>
      </w:pPr>
      <w:r>
        <w:separator/>
      </w:r>
    </w:p>
  </w:endnote>
  <w:endnote w:type="continuationSeparator" w:id="0">
    <w:p w14:paraId="52474776" w14:textId="77777777" w:rsidR="00A232F3" w:rsidRDefault="00A232F3" w:rsidP="0071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ACDDC4" w14:textId="77777777" w:rsidR="00A232F3" w:rsidRDefault="00A232F3" w:rsidP="007173D4">
      <w:pPr>
        <w:spacing w:after="0" w:line="240" w:lineRule="auto"/>
      </w:pPr>
      <w:r>
        <w:separator/>
      </w:r>
    </w:p>
  </w:footnote>
  <w:footnote w:type="continuationSeparator" w:id="0">
    <w:p w14:paraId="04591633" w14:textId="77777777" w:rsidR="00A232F3" w:rsidRDefault="00A232F3" w:rsidP="007173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46A3582"/>
    <w:lvl w:ilvl="0">
      <w:start w:val="1"/>
      <w:numFmt w:val="decimal"/>
      <w:lvlText w:val="%1."/>
      <w:lvlJc w:val="left"/>
      <w:pPr>
        <w:tabs>
          <w:tab w:val="num" w:pos="360"/>
        </w:tabs>
        <w:ind w:left="360" w:hanging="360"/>
      </w:pPr>
    </w:lvl>
  </w:abstractNum>
  <w:abstractNum w:abstractNumId="1" w15:restartNumberingAfterBreak="0">
    <w:nsid w:val="01490B42"/>
    <w:multiLevelType w:val="hybridMultilevel"/>
    <w:tmpl w:val="192E7ABA"/>
    <w:lvl w:ilvl="0" w:tplc="B30C7A7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4E2756"/>
    <w:multiLevelType w:val="hybridMultilevel"/>
    <w:tmpl w:val="F60CDCA2"/>
    <w:lvl w:ilvl="0" w:tplc="E244F4CA">
      <w:start w:val="1"/>
      <w:numFmt w:val="decimal"/>
      <w:pStyle w:val="ListNumber"/>
      <w:lvlText w:val="%1."/>
      <w:lvlJc w:val="left"/>
      <w:pPr>
        <w:ind w:left="720" w:hanging="360"/>
      </w:pPr>
      <w:rPr>
        <w:color w:val="auto"/>
      </w:rPr>
    </w:lvl>
    <w:lvl w:ilvl="1" w:tplc="E7C639A8">
      <w:start w:val="1"/>
      <w:numFmt w:val="lowerLetter"/>
      <w:lvlText w:val="%2."/>
      <w:lvlJc w:val="left"/>
      <w:pPr>
        <w:ind w:left="1440" w:hanging="360"/>
      </w:pPr>
      <w:rPr>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51133CA"/>
    <w:multiLevelType w:val="hybridMultilevel"/>
    <w:tmpl w:val="AF723E18"/>
    <w:lvl w:ilvl="0" w:tplc="73B2CD8E">
      <w:start w:val="1"/>
      <w:numFmt w:val="decimal"/>
      <w:lvlText w:val="%1."/>
      <w:lvlJc w:val="left"/>
      <w:pPr>
        <w:ind w:left="720" w:hanging="360"/>
      </w:pPr>
      <w:rPr>
        <w:rFonts w:ascii="Arial" w:eastAsia="Arial" w:hAnsi="Arial" w:cs="Aria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2484B37"/>
    <w:multiLevelType w:val="hybridMultilevel"/>
    <w:tmpl w:val="4D844CD0"/>
    <w:lvl w:ilvl="0" w:tplc="6EFC2296">
      <w:start w:val="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C3C3257"/>
    <w:multiLevelType w:val="hybridMultilevel"/>
    <w:tmpl w:val="F67A5C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5456429"/>
    <w:multiLevelType w:val="multilevel"/>
    <w:tmpl w:val="12E2B3A2"/>
    <w:lvl w:ilvl="0">
      <w:start w:val="1"/>
      <w:numFmt w:val="decimal"/>
      <w:lvlText w:val="%1."/>
      <w:lvlJc w:val="left"/>
      <w:pPr>
        <w:ind w:left="369" w:hanging="369"/>
      </w:pPr>
      <w:rPr>
        <w:rFonts w:ascii="Times New Roman" w:hAnsi="Times New Roman" w:cs="Times New Roman" w:hint="default"/>
        <w:color w:val="auto"/>
        <w:sz w:val="24"/>
        <w:szCs w:val="24"/>
      </w:rPr>
    </w:lvl>
    <w:lvl w:ilvl="1">
      <w:start w:val="1"/>
      <w:numFmt w:val="bullet"/>
      <w:lvlText w:val=""/>
      <w:lvlJc w:val="left"/>
      <w:pPr>
        <w:ind w:left="738" w:hanging="369"/>
      </w:pPr>
      <w:rPr>
        <w:rFonts w:ascii="Symbol" w:hAnsi="Symbol"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num w:numId="1">
    <w:abstractNumId w:val="4"/>
  </w:num>
  <w:num w:numId="2">
    <w:abstractNumId w:val="3"/>
  </w:num>
  <w:num w:numId="3">
    <w:abstractNumId w:val="2"/>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E01"/>
    <w:rsid w:val="00005FB1"/>
    <w:rsid w:val="0002688F"/>
    <w:rsid w:val="00032F84"/>
    <w:rsid w:val="000402E2"/>
    <w:rsid w:val="00040B83"/>
    <w:rsid w:val="0004580C"/>
    <w:rsid w:val="0006495A"/>
    <w:rsid w:val="00065E2B"/>
    <w:rsid w:val="00074F2E"/>
    <w:rsid w:val="000828DA"/>
    <w:rsid w:val="00087A04"/>
    <w:rsid w:val="000903E2"/>
    <w:rsid w:val="000A0B1A"/>
    <w:rsid w:val="000A408C"/>
    <w:rsid w:val="000B1964"/>
    <w:rsid w:val="000C6073"/>
    <w:rsid w:val="000D0E22"/>
    <w:rsid w:val="000D4B27"/>
    <w:rsid w:val="000E173C"/>
    <w:rsid w:val="000E645D"/>
    <w:rsid w:val="000F60A7"/>
    <w:rsid w:val="00104050"/>
    <w:rsid w:val="00126190"/>
    <w:rsid w:val="0013712C"/>
    <w:rsid w:val="0013767C"/>
    <w:rsid w:val="001433A2"/>
    <w:rsid w:val="00147BA2"/>
    <w:rsid w:val="00152E85"/>
    <w:rsid w:val="00162FBC"/>
    <w:rsid w:val="00176597"/>
    <w:rsid w:val="001902C0"/>
    <w:rsid w:val="00190B6E"/>
    <w:rsid w:val="00194B5B"/>
    <w:rsid w:val="001A1275"/>
    <w:rsid w:val="001B156C"/>
    <w:rsid w:val="001B15A9"/>
    <w:rsid w:val="001B1D1B"/>
    <w:rsid w:val="001C56E3"/>
    <w:rsid w:val="001C6B2D"/>
    <w:rsid w:val="001D2C9A"/>
    <w:rsid w:val="001D2D89"/>
    <w:rsid w:val="001E3CF1"/>
    <w:rsid w:val="001F10FA"/>
    <w:rsid w:val="00206A0D"/>
    <w:rsid w:val="00212BF5"/>
    <w:rsid w:val="0022060E"/>
    <w:rsid w:val="002254B9"/>
    <w:rsid w:val="00232005"/>
    <w:rsid w:val="0023269D"/>
    <w:rsid w:val="00242A93"/>
    <w:rsid w:val="00242B2A"/>
    <w:rsid w:val="00255598"/>
    <w:rsid w:val="0025664B"/>
    <w:rsid w:val="00260517"/>
    <w:rsid w:val="00261880"/>
    <w:rsid w:val="00266CC0"/>
    <w:rsid w:val="00283BDB"/>
    <w:rsid w:val="002A2EBB"/>
    <w:rsid w:val="002A3B78"/>
    <w:rsid w:val="002A619E"/>
    <w:rsid w:val="002B5F95"/>
    <w:rsid w:val="002C5EDB"/>
    <w:rsid w:val="002D069B"/>
    <w:rsid w:val="002D299D"/>
    <w:rsid w:val="002D598A"/>
    <w:rsid w:val="002E3309"/>
    <w:rsid w:val="002E3895"/>
    <w:rsid w:val="002E4586"/>
    <w:rsid w:val="00301CB7"/>
    <w:rsid w:val="00306C59"/>
    <w:rsid w:val="00306E8B"/>
    <w:rsid w:val="00317CE3"/>
    <w:rsid w:val="00327C3F"/>
    <w:rsid w:val="0033742F"/>
    <w:rsid w:val="003419A9"/>
    <w:rsid w:val="00343CC6"/>
    <w:rsid w:val="003615C3"/>
    <w:rsid w:val="00366EF0"/>
    <w:rsid w:val="003673FD"/>
    <w:rsid w:val="00374C86"/>
    <w:rsid w:val="0038466A"/>
    <w:rsid w:val="0039597F"/>
    <w:rsid w:val="003A1B4E"/>
    <w:rsid w:val="003B3B5B"/>
    <w:rsid w:val="003B4811"/>
    <w:rsid w:val="003B4AC9"/>
    <w:rsid w:val="003C4665"/>
    <w:rsid w:val="003C7677"/>
    <w:rsid w:val="003D1BAB"/>
    <w:rsid w:val="003D1DC4"/>
    <w:rsid w:val="003F2867"/>
    <w:rsid w:val="00404BDD"/>
    <w:rsid w:val="00406E53"/>
    <w:rsid w:val="00413E37"/>
    <w:rsid w:val="00451E92"/>
    <w:rsid w:val="00460C11"/>
    <w:rsid w:val="004659C8"/>
    <w:rsid w:val="004712B2"/>
    <w:rsid w:val="00480CD6"/>
    <w:rsid w:val="0048767D"/>
    <w:rsid w:val="00493058"/>
    <w:rsid w:val="00493166"/>
    <w:rsid w:val="004C7CDA"/>
    <w:rsid w:val="004D572A"/>
    <w:rsid w:val="004E6CE8"/>
    <w:rsid w:val="00501408"/>
    <w:rsid w:val="00504D87"/>
    <w:rsid w:val="005107EB"/>
    <w:rsid w:val="005265D9"/>
    <w:rsid w:val="00533DED"/>
    <w:rsid w:val="00547F8D"/>
    <w:rsid w:val="0057377C"/>
    <w:rsid w:val="00583ABF"/>
    <w:rsid w:val="005A3FDE"/>
    <w:rsid w:val="005B0B52"/>
    <w:rsid w:val="005B0E82"/>
    <w:rsid w:val="005B1AB6"/>
    <w:rsid w:val="005B41D2"/>
    <w:rsid w:val="005B4EA6"/>
    <w:rsid w:val="005C531E"/>
    <w:rsid w:val="005C610B"/>
    <w:rsid w:val="005F309E"/>
    <w:rsid w:val="005F7812"/>
    <w:rsid w:val="00601822"/>
    <w:rsid w:val="006153A2"/>
    <w:rsid w:val="00620CB9"/>
    <w:rsid w:val="006256D9"/>
    <w:rsid w:val="0063417F"/>
    <w:rsid w:val="00645402"/>
    <w:rsid w:val="006472E0"/>
    <w:rsid w:val="006573D4"/>
    <w:rsid w:val="006623FA"/>
    <w:rsid w:val="00662FA2"/>
    <w:rsid w:val="00670ACF"/>
    <w:rsid w:val="006745C3"/>
    <w:rsid w:val="00680693"/>
    <w:rsid w:val="0068100C"/>
    <w:rsid w:val="00682070"/>
    <w:rsid w:val="006874FF"/>
    <w:rsid w:val="006877BA"/>
    <w:rsid w:val="00697982"/>
    <w:rsid w:val="006A0DC5"/>
    <w:rsid w:val="006A10AD"/>
    <w:rsid w:val="006C7EA6"/>
    <w:rsid w:val="006D66BD"/>
    <w:rsid w:val="007011D6"/>
    <w:rsid w:val="007173D4"/>
    <w:rsid w:val="00723043"/>
    <w:rsid w:val="0072540E"/>
    <w:rsid w:val="00726F25"/>
    <w:rsid w:val="00730ABE"/>
    <w:rsid w:val="00744A9B"/>
    <w:rsid w:val="00750690"/>
    <w:rsid w:val="00750EDE"/>
    <w:rsid w:val="00757485"/>
    <w:rsid w:val="00757C94"/>
    <w:rsid w:val="007646EF"/>
    <w:rsid w:val="00777EE7"/>
    <w:rsid w:val="00787B2D"/>
    <w:rsid w:val="00793B9E"/>
    <w:rsid w:val="00796E1D"/>
    <w:rsid w:val="007A5B12"/>
    <w:rsid w:val="007B2920"/>
    <w:rsid w:val="007C19F5"/>
    <w:rsid w:val="007C6B4D"/>
    <w:rsid w:val="007D1141"/>
    <w:rsid w:val="007D5141"/>
    <w:rsid w:val="007D6DAE"/>
    <w:rsid w:val="007D78EB"/>
    <w:rsid w:val="00806CB2"/>
    <w:rsid w:val="00815272"/>
    <w:rsid w:val="0081782A"/>
    <w:rsid w:val="0082344B"/>
    <w:rsid w:val="008260B2"/>
    <w:rsid w:val="00843270"/>
    <w:rsid w:val="00867E86"/>
    <w:rsid w:val="00870772"/>
    <w:rsid w:val="00875AF8"/>
    <w:rsid w:val="008802DC"/>
    <w:rsid w:val="00882263"/>
    <w:rsid w:val="0089642B"/>
    <w:rsid w:val="008A4361"/>
    <w:rsid w:val="008B2A85"/>
    <w:rsid w:val="008C0C03"/>
    <w:rsid w:val="008D25E4"/>
    <w:rsid w:val="008D4229"/>
    <w:rsid w:val="008F1E01"/>
    <w:rsid w:val="00901AC9"/>
    <w:rsid w:val="00907689"/>
    <w:rsid w:val="0091181F"/>
    <w:rsid w:val="00912273"/>
    <w:rsid w:val="0091379A"/>
    <w:rsid w:val="00920C4F"/>
    <w:rsid w:val="00941197"/>
    <w:rsid w:val="00945804"/>
    <w:rsid w:val="00954664"/>
    <w:rsid w:val="00956FD8"/>
    <w:rsid w:val="00984893"/>
    <w:rsid w:val="009876E0"/>
    <w:rsid w:val="0099387B"/>
    <w:rsid w:val="009A7451"/>
    <w:rsid w:val="009B5B3F"/>
    <w:rsid w:val="009C07B5"/>
    <w:rsid w:val="009C24CD"/>
    <w:rsid w:val="009C61F0"/>
    <w:rsid w:val="009D1DD1"/>
    <w:rsid w:val="009D316C"/>
    <w:rsid w:val="009D6B89"/>
    <w:rsid w:val="009E64DB"/>
    <w:rsid w:val="009F1B8B"/>
    <w:rsid w:val="00A232F3"/>
    <w:rsid w:val="00A24DE6"/>
    <w:rsid w:val="00A30ACB"/>
    <w:rsid w:val="00A3123F"/>
    <w:rsid w:val="00A32E68"/>
    <w:rsid w:val="00A3450D"/>
    <w:rsid w:val="00A35024"/>
    <w:rsid w:val="00A54804"/>
    <w:rsid w:val="00A61AC3"/>
    <w:rsid w:val="00A652E3"/>
    <w:rsid w:val="00A8329B"/>
    <w:rsid w:val="00A976A3"/>
    <w:rsid w:val="00AA1DCF"/>
    <w:rsid w:val="00AB1798"/>
    <w:rsid w:val="00AB5F99"/>
    <w:rsid w:val="00AC32C5"/>
    <w:rsid w:val="00AC3882"/>
    <w:rsid w:val="00AE26E9"/>
    <w:rsid w:val="00AE2D73"/>
    <w:rsid w:val="00AF289D"/>
    <w:rsid w:val="00B00CEB"/>
    <w:rsid w:val="00B144E3"/>
    <w:rsid w:val="00B3040D"/>
    <w:rsid w:val="00B340BE"/>
    <w:rsid w:val="00B42EE3"/>
    <w:rsid w:val="00B52363"/>
    <w:rsid w:val="00B533C5"/>
    <w:rsid w:val="00B5792D"/>
    <w:rsid w:val="00B60242"/>
    <w:rsid w:val="00B60369"/>
    <w:rsid w:val="00B622B6"/>
    <w:rsid w:val="00B722F0"/>
    <w:rsid w:val="00B803C4"/>
    <w:rsid w:val="00B83919"/>
    <w:rsid w:val="00B902FB"/>
    <w:rsid w:val="00B94870"/>
    <w:rsid w:val="00B95D50"/>
    <w:rsid w:val="00B962EA"/>
    <w:rsid w:val="00BB01E0"/>
    <w:rsid w:val="00BB5AFD"/>
    <w:rsid w:val="00BB70FB"/>
    <w:rsid w:val="00BC02F5"/>
    <w:rsid w:val="00BC0378"/>
    <w:rsid w:val="00BC04F7"/>
    <w:rsid w:val="00BC7B57"/>
    <w:rsid w:val="00BD26DE"/>
    <w:rsid w:val="00BD7DBD"/>
    <w:rsid w:val="00BE433B"/>
    <w:rsid w:val="00BF2933"/>
    <w:rsid w:val="00C12E63"/>
    <w:rsid w:val="00C13374"/>
    <w:rsid w:val="00C14989"/>
    <w:rsid w:val="00C16C1C"/>
    <w:rsid w:val="00C27CBA"/>
    <w:rsid w:val="00C410EA"/>
    <w:rsid w:val="00C41137"/>
    <w:rsid w:val="00C46681"/>
    <w:rsid w:val="00C5469D"/>
    <w:rsid w:val="00C55EE5"/>
    <w:rsid w:val="00C72542"/>
    <w:rsid w:val="00C736D1"/>
    <w:rsid w:val="00C76056"/>
    <w:rsid w:val="00C84A75"/>
    <w:rsid w:val="00C9603A"/>
    <w:rsid w:val="00CA113D"/>
    <w:rsid w:val="00CB51AB"/>
    <w:rsid w:val="00CD29AE"/>
    <w:rsid w:val="00CF55B4"/>
    <w:rsid w:val="00D32812"/>
    <w:rsid w:val="00D37D88"/>
    <w:rsid w:val="00D45DFF"/>
    <w:rsid w:val="00D574DD"/>
    <w:rsid w:val="00D66F9A"/>
    <w:rsid w:val="00D71859"/>
    <w:rsid w:val="00D81928"/>
    <w:rsid w:val="00D834C0"/>
    <w:rsid w:val="00D91658"/>
    <w:rsid w:val="00DB0463"/>
    <w:rsid w:val="00DC396C"/>
    <w:rsid w:val="00DD213D"/>
    <w:rsid w:val="00DD529E"/>
    <w:rsid w:val="00DE1726"/>
    <w:rsid w:val="00DF1A28"/>
    <w:rsid w:val="00DF1D41"/>
    <w:rsid w:val="00DF314A"/>
    <w:rsid w:val="00DF6712"/>
    <w:rsid w:val="00DF78AE"/>
    <w:rsid w:val="00E045BF"/>
    <w:rsid w:val="00E047FE"/>
    <w:rsid w:val="00E05843"/>
    <w:rsid w:val="00E17A46"/>
    <w:rsid w:val="00E25A00"/>
    <w:rsid w:val="00E46ABB"/>
    <w:rsid w:val="00E60DB3"/>
    <w:rsid w:val="00E62471"/>
    <w:rsid w:val="00E63712"/>
    <w:rsid w:val="00E72C5F"/>
    <w:rsid w:val="00E73C0E"/>
    <w:rsid w:val="00E7414C"/>
    <w:rsid w:val="00E8256F"/>
    <w:rsid w:val="00E929B3"/>
    <w:rsid w:val="00E94E87"/>
    <w:rsid w:val="00EA191F"/>
    <w:rsid w:val="00EA5758"/>
    <w:rsid w:val="00EA6127"/>
    <w:rsid w:val="00EA689D"/>
    <w:rsid w:val="00EB48AB"/>
    <w:rsid w:val="00EB646E"/>
    <w:rsid w:val="00ED4698"/>
    <w:rsid w:val="00EE0A25"/>
    <w:rsid w:val="00EE1BD4"/>
    <w:rsid w:val="00F0359F"/>
    <w:rsid w:val="00F05F4B"/>
    <w:rsid w:val="00F0659D"/>
    <w:rsid w:val="00F078AB"/>
    <w:rsid w:val="00F07A71"/>
    <w:rsid w:val="00F13A13"/>
    <w:rsid w:val="00F1510B"/>
    <w:rsid w:val="00F2138D"/>
    <w:rsid w:val="00F22880"/>
    <w:rsid w:val="00F3683D"/>
    <w:rsid w:val="00F512F2"/>
    <w:rsid w:val="00F610BA"/>
    <w:rsid w:val="00F629AB"/>
    <w:rsid w:val="00F655F7"/>
    <w:rsid w:val="00F71859"/>
    <w:rsid w:val="00F93161"/>
    <w:rsid w:val="00F971AD"/>
    <w:rsid w:val="00FA6F9C"/>
    <w:rsid w:val="00FB1B8F"/>
    <w:rsid w:val="00FB1C63"/>
    <w:rsid w:val="00FC74D4"/>
    <w:rsid w:val="00FD4858"/>
    <w:rsid w:val="00FD4B77"/>
    <w:rsid w:val="00FE7F0E"/>
    <w:rsid w:val="00FF6938"/>
    <w:rsid w:val="45DFBDCB"/>
    <w:rsid w:val="7A73114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45930D"/>
  <w15:docId w15:val="{11A18BC6-5C7C-4838-A4E4-4B2BBBC45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next w:val="Body"/>
    <w:link w:val="Heading2Char"/>
    <w:qFormat/>
    <w:rsid w:val="00A652E3"/>
    <w:pPr>
      <w:keepNext/>
      <w:pBdr>
        <w:top w:val="nil"/>
        <w:left w:val="nil"/>
        <w:bottom w:val="nil"/>
        <w:right w:val="nil"/>
        <w:between w:val="nil"/>
        <w:bar w:val="nil"/>
      </w:pBdr>
      <w:tabs>
        <w:tab w:val="left" w:pos="1134"/>
      </w:tabs>
      <w:spacing w:after="0" w:line="240" w:lineRule="auto"/>
      <w:outlineLvl w:val="1"/>
    </w:pPr>
    <w:rPr>
      <w:rFonts w:ascii="Arial" w:eastAsia="Arial Unicode MS" w:hAnsi="Arial" w:cs="Arial Unicode MS"/>
      <w:b/>
      <w:bCs/>
      <w:color w:val="264F90"/>
      <w:sz w:val="28"/>
      <w:szCs w:val="28"/>
      <w:u w:color="264F90"/>
      <w:bdr w:val="nil"/>
      <w:lang w:val="fr-FR"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B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B5B"/>
    <w:rPr>
      <w:rFonts w:ascii="Segoe UI" w:hAnsi="Segoe UI" w:cs="Segoe UI"/>
      <w:sz w:val="18"/>
      <w:szCs w:val="18"/>
    </w:rPr>
  </w:style>
  <w:style w:type="character" w:styleId="Hyperlink">
    <w:name w:val="Hyperlink"/>
    <w:basedOn w:val="DefaultParagraphFont"/>
    <w:uiPriority w:val="99"/>
    <w:unhideWhenUsed/>
    <w:rsid w:val="00283BDB"/>
    <w:rPr>
      <w:color w:val="0000FF" w:themeColor="hyperlink"/>
      <w:u w:val="single"/>
    </w:rPr>
  </w:style>
  <w:style w:type="character" w:customStyle="1" w:styleId="Heading2Char">
    <w:name w:val="Heading 2 Char"/>
    <w:basedOn w:val="DefaultParagraphFont"/>
    <w:link w:val="Heading2"/>
    <w:rsid w:val="00A652E3"/>
    <w:rPr>
      <w:rFonts w:ascii="Arial" w:eastAsia="Arial Unicode MS" w:hAnsi="Arial" w:cs="Arial Unicode MS"/>
      <w:b/>
      <w:bCs/>
      <w:color w:val="264F90"/>
      <w:sz w:val="28"/>
      <w:szCs w:val="28"/>
      <w:u w:color="264F90"/>
      <w:bdr w:val="nil"/>
      <w:lang w:val="fr-FR" w:eastAsia="en-AU"/>
    </w:rPr>
  </w:style>
  <w:style w:type="paragraph" w:customStyle="1" w:styleId="Body">
    <w:name w:val="Body"/>
    <w:rsid w:val="00A652E3"/>
    <w:pPr>
      <w:pBdr>
        <w:top w:val="nil"/>
        <w:left w:val="nil"/>
        <w:bottom w:val="nil"/>
        <w:right w:val="nil"/>
        <w:between w:val="nil"/>
        <w:bar w:val="nil"/>
      </w:pBdr>
      <w:spacing w:before="40" w:after="120" w:line="280" w:lineRule="atLeast"/>
    </w:pPr>
    <w:rPr>
      <w:rFonts w:ascii="Arial" w:eastAsia="Arial" w:hAnsi="Arial" w:cs="Arial"/>
      <w:color w:val="000000"/>
      <w:sz w:val="20"/>
      <w:szCs w:val="20"/>
      <w:u w:color="000000"/>
      <w:bdr w:val="nil"/>
      <w:lang w:eastAsia="en-AU"/>
    </w:rPr>
  </w:style>
  <w:style w:type="paragraph" w:styleId="ListParagraph">
    <w:name w:val="List Paragraph"/>
    <w:basedOn w:val="Normal"/>
    <w:uiPriority w:val="34"/>
    <w:qFormat/>
    <w:rsid w:val="00AE2D73"/>
    <w:pPr>
      <w:ind w:left="720"/>
      <w:contextualSpacing/>
    </w:pPr>
  </w:style>
  <w:style w:type="paragraph" w:styleId="Header">
    <w:name w:val="header"/>
    <w:basedOn w:val="Normal"/>
    <w:link w:val="HeaderChar"/>
    <w:uiPriority w:val="99"/>
    <w:unhideWhenUsed/>
    <w:rsid w:val="0071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3D4"/>
  </w:style>
  <w:style w:type="paragraph" w:styleId="Footer">
    <w:name w:val="footer"/>
    <w:basedOn w:val="Normal"/>
    <w:link w:val="FooterChar"/>
    <w:uiPriority w:val="99"/>
    <w:unhideWhenUsed/>
    <w:rsid w:val="0071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3D4"/>
  </w:style>
  <w:style w:type="paragraph" w:styleId="ListNumber">
    <w:name w:val="List Number"/>
    <w:basedOn w:val="ListParagraph"/>
    <w:uiPriority w:val="99"/>
    <w:unhideWhenUsed/>
    <w:qFormat/>
    <w:rsid w:val="005C610B"/>
    <w:pPr>
      <w:numPr>
        <w:numId w:val="3"/>
      </w:numPr>
      <w:spacing w:before="240" w:after="240" w:line="300" w:lineRule="auto"/>
    </w:pPr>
    <w:rPr>
      <w:rFonts w:ascii="Arial" w:hAnsi="Arial"/>
    </w:rPr>
  </w:style>
  <w:style w:type="character" w:styleId="CommentReference">
    <w:name w:val="annotation reference"/>
    <w:basedOn w:val="DefaultParagraphFont"/>
    <w:uiPriority w:val="99"/>
    <w:semiHidden/>
    <w:unhideWhenUsed/>
    <w:rsid w:val="00C410EA"/>
    <w:rPr>
      <w:sz w:val="16"/>
      <w:szCs w:val="16"/>
    </w:rPr>
  </w:style>
  <w:style w:type="paragraph" w:styleId="CommentText">
    <w:name w:val="annotation text"/>
    <w:basedOn w:val="Normal"/>
    <w:link w:val="CommentTextChar"/>
    <w:uiPriority w:val="99"/>
    <w:semiHidden/>
    <w:unhideWhenUsed/>
    <w:rsid w:val="00C410EA"/>
    <w:pPr>
      <w:spacing w:line="240" w:lineRule="auto"/>
    </w:pPr>
    <w:rPr>
      <w:sz w:val="20"/>
      <w:szCs w:val="20"/>
    </w:rPr>
  </w:style>
  <w:style w:type="character" w:customStyle="1" w:styleId="CommentTextChar">
    <w:name w:val="Comment Text Char"/>
    <w:basedOn w:val="DefaultParagraphFont"/>
    <w:link w:val="CommentText"/>
    <w:uiPriority w:val="99"/>
    <w:semiHidden/>
    <w:rsid w:val="00C410EA"/>
    <w:rPr>
      <w:sz w:val="20"/>
      <w:szCs w:val="20"/>
    </w:rPr>
  </w:style>
  <w:style w:type="paragraph" w:styleId="CommentSubject">
    <w:name w:val="annotation subject"/>
    <w:basedOn w:val="CommentText"/>
    <w:next w:val="CommentText"/>
    <w:link w:val="CommentSubjectChar"/>
    <w:uiPriority w:val="99"/>
    <w:semiHidden/>
    <w:unhideWhenUsed/>
    <w:rsid w:val="00C410EA"/>
    <w:rPr>
      <w:b/>
      <w:bCs/>
    </w:rPr>
  </w:style>
  <w:style w:type="character" w:customStyle="1" w:styleId="CommentSubjectChar">
    <w:name w:val="Comment Subject Char"/>
    <w:basedOn w:val="CommentTextChar"/>
    <w:link w:val="CommentSubject"/>
    <w:uiPriority w:val="99"/>
    <w:semiHidden/>
    <w:rsid w:val="00C410EA"/>
    <w:rPr>
      <w:b/>
      <w:bCs/>
      <w:sz w:val="20"/>
      <w:szCs w:val="20"/>
    </w:rPr>
  </w:style>
  <w:style w:type="character" w:styleId="FollowedHyperlink">
    <w:name w:val="FollowedHyperlink"/>
    <w:basedOn w:val="DefaultParagraphFont"/>
    <w:uiPriority w:val="99"/>
    <w:semiHidden/>
    <w:unhideWhenUsed/>
    <w:rsid w:val="004D572A"/>
    <w:rPr>
      <w:color w:val="800080" w:themeColor="followedHyperlink"/>
      <w:u w:val="single"/>
    </w:rPr>
  </w:style>
  <w:style w:type="paragraph" w:styleId="ListNumber2">
    <w:name w:val="List Number 2"/>
    <w:basedOn w:val="Normal"/>
    <w:uiPriority w:val="99"/>
    <w:rsid w:val="0022060E"/>
    <w:pPr>
      <w:ind w:left="738" w:hanging="369"/>
    </w:pPr>
    <w:rPr>
      <w:rFonts w:ascii="Arial" w:eastAsia="Calibri" w:hAnsi="Arial" w:cs="Times New Roman"/>
    </w:rPr>
  </w:style>
  <w:style w:type="paragraph" w:styleId="ListNumber3">
    <w:name w:val="List Number 3"/>
    <w:basedOn w:val="Normal"/>
    <w:uiPriority w:val="99"/>
    <w:rsid w:val="0022060E"/>
    <w:pPr>
      <w:ind w:left="1107" w:hanging="369"/>
    </w:pPr>
    <w:rPr>
      <w:rFonts w:ascii="Arial" w:eastAsia="Calibri" w:hAnsi="Arial" w:cs="Times New Roman"/>
    </w:rPr>
  </w:style>
  <w:style w:type="paragraph" w:styleId="ListNumber4">
    <w:name w:val="List Number 4"/>
    <w:basedOn w:val="Normal"/>
    <w:uiPriority w:val="99"/>
    <w:rsid w:val="0022060E"/>
    <w:pPr>
      <w:ind w:left="1476" w:hanging="369"/>
    </w:pPr>
    <w:rPr>
      <w:rFonts w:ascii="Arial" w:eastAsia="Calibri" w:hAnsi="Arial" w:cs="Times New Roman"/>
    </w:rPr>
  </w:style>
  <w:style w:type="paragraph" w:styleId="ListNumber5">
    <w:name w:val="List Number 5"/>
    <w:basedOn w:val="Normal"/>
    <w:uiPriority w:val="99"/>
    <w:rsid w:val="0022060E"/>
    <w:pPr>
      <w:ind w:left="1845" w:hanging="369"/>
    </w:pPr>
    <w:rPr>
      <w:rFonts w:ascii="Arial" w:eastAsia="Calibri" w:hAnsi="Arial" w:cs="Times New Roman"/>
    </w:rPr>
  </w:style>
  <w:style w:type="paragraph" w:styleId="Revision">
    <w:name w:val="Revision"/>
    <w:hidden/>
    <w:uiPriority w:val="99"/>
    <w:semiHidden/>
    <w:rsid w:val="006877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29213">
      <w:bodyDiv w:val="1"/>
      <w:marLeft w:val="0"/>
      <w:marRight w:val="0"/>
      <w:marTop w:val="0"/>
      <w:marBottom w:val="0"/>
      <w:divBdr>
        <w:top w:val="none" w:sz="0" w:space="0" w:color="auto"/>
        <w:left w:val="none" w:sz="0" w:space="0" w:color="auto"/>
        <w:bottom w:val="none" w:sz="0" w:space="0" w:color="auto"/>
        <w:right w:val="none" w:sz="0" w:space="0" w:color="auto"/>
      </w:divBdr>
    </w:div>
    <w:div w:id="1096637792">
      <w:bodyDiv w:val="1"/>
      <w:marLeft w:val="0"/>
      <w:marRight w:val="0"/>
      <w:marTop w:val="0"/>
      <w:marBottom w:val="0"/>
      <w:divBdr>
        <w:top w:val="none" w:sz="0" w:space="0" w:color="auto"/>
        <w:left w:val="none" w:sz="0" w:space="0" w:color="auto"/>
        <w:bottom w:val="none" w:sz="0" w:space="0" w:color="auto"/>
        <w:right w:val="none" w:sz="0" w:space="0" w:color="auto"/>
      </w:divBdr>
    </w:div>
    <w:div w:id="146015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usiness.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dustry.gov.au/sites/default/files/2021-02/2020-21-department-of-industry-science-energy-and-resources-paes.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942650F57D18B46ABDBB17F78763366" ma:contentTypeVersion="" ma:contentTypeDescription="PDMS Document Site Content Type" ma:contentTypeScope="" ma:versionID="0845553be66c72497793347b7800d4fe">
  <xsd:schema xmlns:xsd="http://www.w3.org/2001/XMLSchema" xmlns:xs="http://www.w3.org/2001/XMLSchema" xmlns:p="http://schemas.microsoft.com/office/2006/metadata/properties" xmlns:ns2="FA8864FA-9397-42EF-94D1-91F710615CDD" targetNamespace="http://schemas.microsoft.com/office/2006/metadata/properties" ma:root="true" ma:fieldsID="61dd69cf4cafcd3c3b26dff34eee4003" ns2:_="">
    <xsd:import namespace="FA8864FA-9397-42EF-94D1-91F710615CD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864FA-9397-42EF-94D1-91F710615CD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FA8864FA-9397-42EF-94D1-91F710615CD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9E357-83C7-4FDE-A716-9ACF1200D5B4}">
  <ds:schemaRefs>
    <ds:schemaRef ds:uri="http://schemas.microsoft.com/sharepoint/v3/contenttype/forms"/>
  </ds:schemaRefs>
</ds:datastoreItem>
</file>

<file path=customXml/itemProps2.xml><?xml version="1.0" encoding="utf-8"?>
<ds:datastoreItem xmlns:ds="http://schemas.openxmlformats.org/officeDocument/2006/customXml" ds:itemID="{9667E28B-1B69-4C41-88C2-642F0AA73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8864FA-9397-42EF-94D1-91F710615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608A6D-DDAB-4356-947F-F239DB1ED05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A8864FA-9397-42EF-94D1-91F710615CDD"/>
    <ds:schemaRef ds:uri="http://www.w3.org/XML/1998/namespace"/>
    <ds:schemaRef ds:uri="http://purl.org/dc/dcmitype/"/>
  </ds:schemaRefs>
</ds:datastoreItem>
</file>

<file path=customXml/itemProps4.xml><?xml version="1.0" encoding="utf-8"?>
<ds:datastoreItem xmlns:ds="http://schemas.openxmlformats.org/officeDocument/2006/customXml" ds:itemID="{3D08D098-BEC6-4850-8919-5D9277D14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1747</Words>
  <Characters>9960</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INDUSTRY</Company>
  <LinksUpToDate>false</LinksUpToDate>
  <CharactersWithSpaces>11684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Legislation Liaison Officer</dc:creator>
  <cp:keywords/>
  <dc:description/>
  <cp:lastModifiedBy>Osborne, Lea</cp:lastModifiedBy>
  <cp:revision>2</cp:revision>
  <dcterms:created xsi:type="dcterms:W3CDTF">2021-05-12T00:53:00Z</dcterms:created>
  <dcterms:modified xsi:type="dcterms:W3CDTF">2021-05-12T00:53:00Z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0x010100266966F133664895A6EE3632470D45F5001942650F57D18B46ABDBB17F78763366</vt:lpwstr>
  </property>
  <property fmtid="{D5CDD505-2E9C-101B-9397-08002B2CF9AE}" pid="3" name="DocHub_LegalKeywords">
    <vt:lpwstr>689;#Legislation - Regulations and Legislative Instruments|12c6059b-8ffc-46b3-a510-3f53d267eb42</vt:lpwstr>
  </property>
  <property fmtid="{D5CDD505-2E9C-101B-9397-08002B2CF9AE}" pid="4" name="DocHub_Year">
    <vt:lpwstr>136;#2017|5f6de30b-6e1e-4c09-9e51-982258231536</vt:lpwstr>
  </property>
  <property fmtid="{D5CDD505-2E9C-101B-9397-08002B2CF9AE}" pid="5" name="DocHub_LegalToolPurpose">
    <vt:lpwstr>4832;#Standing Advice|ed74bdb8-e7d0-4e35-8cfa-142834146cc4</vt:lpwstr>
  </property>
  <property fmtid="{D5CDD505-2E9C-101B-9397-08002B2CF9AE}" pid="6" name="DocHub_WorkActivity">
    <vt:lpwstr>513;#Legislation and Regulation|6cbc66f5-f4a2-4565-a58b-d5f2d2ac9bd0</vt:lpwstr>
  </property>
  <property fmtid="{D5CDD505-2E9C-101B-9397-08002B2CF9AE}" pid="7" name="DocHub_Keywords">
    <vt:lpwstr/>
  </property>
  <property fmtid="{D5CDD505-2E9C-101B-9397-08002B2CF9AE}" pid="8" name="DocHub_DocumentType">
    <vt:lpwstr>512;#Explanatory Memorandum|e1baf4eb-cfb1-4562-a99a-5aebab1aca70</vt:lpwstr>
  </property>
  <property fmtid="{D5CDD505-2E9C-101B-9397-08002B2CF9AE}" pid="9" name="DocHub_SecurityClassification">
    <vt:lpwstr>3;#OFFICIAL|6106d03b-a1a0-4e30-9d91-d5e9fb4314f9</vt:lpwstr>
  </property>
  <property fmtid="{D5CDD505-2E9C-101B-9397-08002B2CF9AE}" pid="10" name="_dlc_DocIdItemGuid">
    <vt:lpwstr>397e60e4-e79a-4276-a32b-f0798965b994</vt:lpwstr>
  </property>
  <property fmtid="{D5CDD505-2E9C-101B-9397-08002B2CF9AE}" pid="11" name="CheckForSharePointFields">
    <vt:lpwstr>True</vt:lpwstr>
  </property>
  <property fmtid="{D5CDD505-2E9C-101B-9397-08002B2CF9AE}" pid="12" name="DocHub_LegalClient">
    <vt:lpwstr/>
  </property>
  <property fmtid="{D5CDD505-2E9C-101B-9397-08002B2CF9AE}" pid="13" name="Template Filename">
    <vt:lpwstr/>
  </property>
  <property fmtid="{D5CDD505-2E9C-101B-9397-08002B2CF9AE}" pid="14" name="ObjectiveRef">
    <vt:lpwstr>Removed</vt:lpwstr>
  </property>
  <property fmtid="{D5CDD505-2E9C-101B-9397-08002B2CF9AE}" pid="15" name="LeadingLawyers">
    <vt:lpwstr>Removed</vt:lpwstr>
  </property>
</Properties>
</file>