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FFF0BE" w14:textId="62BE03E6" w:rsidR="007C4FED" w:rsidRPr="008E62FF" w:rsidRDefault="007C4FED" w:rsidP="000917D6">
      <w:pPr>
        <w:pStyle w:val="ESTitle"/>
        <w:spacing w:line="276" w:lineRule="auto"/>
      </w:pPr>
      <w:r w:rsidRPr="008E62FF">
        <w:t>EXPLANATORY STATEMENT</w:t>
      </w:r>
      <w:r w:rsidR="00370598">
        <w:t xml:space="preserve">  </w:t>
      </w:r>
    </w:p>
    <w:p w14:paraId="62C379F2" w14:textId="77777777" w:rsidR="007C4FED" w:rsidRPr="008E62FF" w:rsidRDefault="007C4FED" w:rsidP="000917D6">
      <w:pPr>
        <w:pStyle w:val="ESSubtitle"/>
        <w:rPr>
          <w:b/>
        </w:rPr>
      </w:pPr>
      <w:r w:rsidRPr="008E62FF">
        <w:t xml:space="preserve">Carbon Credits (Carbon Farming Initiative) Act </w:t>
      </w:r>
      <w:r w:rsidRPr="00BE17E7">
        <w:t>2011</w:t>
      </w:r>
    </w:p>
    <w:p w14:paraId="002A195A" w14:textId="7E07ED76" w:rsidR="00806B54" w:rsidRPr="004B1EC2" w:rsidRDefault="00D97741" w:rsidP="000917D6">
      <w:pPr>
        <w:jc w:val="center"/>
        <w:rPr>
          <w:b/>
        </w:rPr>
      </w:pPr>
      <w:bookmarkStart w:id="0" w:name="_Hlk61350719"/>
      <w:r w:rsidRPr="004B1EC2">
        <w:rPr>
          <w:bCs/>
          <w:i/>
          <w:iCs/>
          <w:color w:val="000000" w:themeColor="text1"/>
          <w:kern w:val="36"/>
          <w:szCs w:val="24"/>
          <w:lang w:eastAsia="en-AU"/>
        </w:rPr>
        <w:t>Carbon Credits (Carbon Farming Initiative—</w:t>
      </w:r>
      <w:r w:rsidR="004C7820" w:rsidRPr="004B1EC2">
        <w:rPr>
          <w:bCs/>
          <w:i/>
          <w:iCs/>
          <w:color w:val="000000" w:themeColor="text1"/>
          <w:kern w:val="36"/>
          <w:szCs w:val="24"/>
          <w:lang w:eastAsia="en-AU"/>
        </w:rPr>
        <w:t>Landfill Gas</w:t>
      </w:r>
      <w:r w:rsidRPr="004B1EC2">
        <w:rPr>
          <w:bCs/>
          <w:i/>
          <w:iCs/>
          <w:color w:val="000000" w:themeColor="text1"/>
          <w:kern w:val="36"/>
          <w:szCs w:val="24"/>
          <w:lang w:eastAsia="en-AU"/>
        </w:rPr>
        <w:t xml:space="preserve">) Methodology </w:t>
      </w:r>
      <w:r w:rsidR="00A521C3" w:rsidRPr="004B1EC2">
        <w:rPr>
          <w:bCs/>
          <w:i/>
          <w:iCs/>
          <w:color w:val="000000" w:themeColor="text1"/>
          <w:kern w:val="36"/>
          <w:szCs w:val="24"/>
          <w:lang w:eastAsia="en-AU"/>
        </w:rPr>
        <w:t xml:space="preserve">Determination </w:t>
      </w:r>
      <w:r w:rsidR="00D14256" w:rsidRPr="004B1EC2">
        <w:rPr>
          <w:bCs/>
          <w:i/>
          <w:iCs/>
          <w:color w:val="000000" w:themeColor="text1"/>
          <w:kern w:val="36"/>
          <w:szCs w:val="24"/>
          <w:lang w:eastAsia="en-AU"/>
        </w:rPr>
        <w:t xml:space="preserve">Variation </w:t>
      </w:r>
      <w:r w:rsidR="006207D3" w:rsidRPr="004B1EC2">
        <w:rPr>
          <w:bCs/>
          <w:i/>
          <w:iCs/>
          <w:color w:val="000000" w:themeColor="text1"/>
          <w:kern w:val="36"/>
          <w:szCs w:val="24"/>
          <w:lang w:eastAsia="en-AU"/>
        </w:rPr>
        <w:t>202</w:t>
      </w:r>
      <w:r w:rsidR="00AA2FCF" w:rsidRPr="004B1EC2">
        <w:rPr>
          <w:bCs/>
          <w:i/>
          <w:iCs/>
          <w:color w:val="000000" w:themeColor="text1"/>
          <w:kern w:val="36"/>
          <w:szCs w:val="24"/>
          <w:lang w:eastAsia="en-AU"/>
        </w:rPr>
        <w:t>1</w:t>
      </w:r>
      <w:bookmarkEnd w:id="0"/>
    </w:p>
    <w:p w14:paraId="6A1B3C67" w14:textId="0510A6E1" w:rsidR="00806B54" w:rsidRDefault="00806B54" w:rsidP="007256DD">
      <w:pPr>
        <w:pStyle w:val="ESHeading"/>
        <w:spacing w:line="276" w:lineRule="auto"/>
      </w:pPr>
      <w:r w:rsidRPr="002C0D2D">
        <w:t>Purpose</w:t>
      </w:r>
    </w:p>
    <w:p w14:paraId="31E929CA" w14:textId="022647FC" w:rsidR="00806B54" w:rsidRDefault="00806B54" w:rsidP="007256DD">
      <w:pPr>
        <w:pStyle w:val="ShortT"/>
        <w:spacing w:line="276" w:lineRule="auto"/>
        <w:rPr>
          <w:rFonts w:eastAsia="Calibri"/>
          <w:b w:val="0"/>
          <w:bCs/>
          <w:i/>
          <w:iCs/>
          <w:color w:val="000000" w:themeColor="text1"/>
          <w:kern w:val="36"/>
          <w:sz w:val="24"/>
          <w:szCs w:val="24"/>
        </w:rPr>
      </w:pPr>
      <w:r w:rsidRPr="004B1EC2">
        <w:rPr>
          <w:rFonts w:eastAsia="Calibri"/>
          <w:b w:val="0"/>
          <w:sz w:val="24"/>
          <w:szCs w:val="22"/>
        </w:rPr>
        <w:t>The</w:t>
      </w:r>
      <w:r w:rsidRPr="004B1EC2">
        <w:t xml:space="preserve"> </w:t>
      </w:r>
      <w:r w:rsidR="00B24DB9" w:rsidRPr="004B1EC2">
        <w:rPr>
          <w:rFonts w:eastAsia="Calibri"/>
          <w:b w:val="0"/>
          <w:bCs/>
          <w:i/>
          <w:iCs/>
          <w:color w:val="000000" w:themeColor="text1"/>
          <w:kern w:val="36"/>
          <w:sz w:val="24"/>
          <w:szCs w:val="24"/>
        </w:rPr>
        <w:t>Carbon Credits (Carbon Farming Initiative—</w:t>
      </w:r>
      <w:r w:rsidR="004C7820" w:rsidRPr="004B1EC2">
        <w:rPr>
          <w:rFonts w:eastAsia="Calibri"/>
          <w:b w:val="0"/>
          <w:bCs/>
          <w:i/>
          <w:iCs/>
          <w:color w:val="000000" w:themeColor="text1"/>
          <w:kern w:val="36"/>
          <w:sz w:val="24"/>
          <w:szCs w:val="24"/>
        </w:rPr>
        <w:t>Landfill Gas</w:t>
      </w:r>
      <w:r w:rsidR="00B24DB9" w:rsidRPr="004B1EC2">
        <w:rPr>
          <w:rFonts w:eastAsia="Calibri"/>
          <w:b w:val="0"/>
          <w:bCs/>
          <w:i/>
          <w:iCs/>
          <w:color w:val="000000" w:themeColor="text1"/>
          <w:kern w:val="36"/>
          <w:sz w:val="24"/>
          <w:szCs w:val="24"/>
        </w:rPr>
        <w:t xml:space="preserve">) Methodology </w:t>
      </w:r>
      <w:r w:rsidR="00A521C3" w:rsidRPr="004B1EC2">
        <w:rPr>
          <w:rFonts w:eastAsia="Calibri"/>
          <w:b w:val="0"/>
          <w:bCs/>
          <w:i/>
          <w:iCs/>
          <w:color w:val="000000" w:themeColor="text1"/>
          <w:kern w:val="36"/>
          <w:sz w:val="24"/>
          <w:szCs w:val="24"/>
        </w:rPr>
        <w:t xml:space="preserve">Determination </w:t>
      </w:r>
      <w:r w:rsidR="00D14256" w:rsidRPr="004B1EC2">
        <w:rPr>
          <w:rFonts w:eastAsia="Calibri"/>
          <w:b w:val="0"/>
          <w:bCs/>
          <w:i/>
          <w:iCs/>
          <w:color w:val="000000" w:themeColor="text1"/>
          <w:kern w:val="36"/>
          <w:sz w:val="24"/>
          <w:szCs w:val="24"/>
        </w:rPr>
        <w:t xml:space="preserve">Variation </w:t>
      </w:r>
      <w:r w:rsidR="006207D3" w:rsidRPr="004B1EC2">
        <w:rPr>
          <w:rFonts w:eastAsia="Calibri"/>
          <w:b w:val="0"/>
          <w:bCs/>
          <w:i/>
          <w:iCs/>
          <w:color w:val="000000" w:themeColor="text1"/>
          <w:kern w:val="36"/>
          <w:sz w:val="24"/>
          <w:szCs w:val="24"/>
        </w:rPr>
        <w:t>202</w:t>
      </w:r>
      <w:r w:rsidR="00AA2FCF" w:rsidRPr="004B1EC2">
        <w:rPr>
          <w:rFonts w:eastAsia="Calibri"/>
          <w:b w:val="0"/>
          <w:bCs/>
          <w:i/>
          <w:iCs/>
          <w:color w:val="000000" w:themeColor="text1"/>
          <w:kern w:val="36"/>
          <w:sz w:val="24"/>
          <w:szCs w:val="24"/>
        </w:rPr>
        <w:t>1</w:t>
      </w:r>
      <w:r w:rsidR="006207D3" w:rsidRPr="004B1EC2">
        <w:rPr>
          <w:rFonts w:eastAsia="Calibri"/>
          <w:b w:val="0"/>
          <w:sz w:val="24"/>
          <w:szCs w:val="22"/>
        </w:rPr>
        <w:t xml:space="preserve"> </w:t>
      </w:r>
      <w:r w:rsidRPr="004B1EC2">
        <w:rPr>
          <w:rFonts w:eastAsia="Calibri"/>
          <w:b w:val="0"/>
          <w:sz w:val="24"/>
          <w:szCs w:val="22"/>
        </w:rPr>
        <w:t>(th</w:t>
      </w:r>
      <w:r w:rsidRPr="002C0D2D">
        <w:rPr>
          <w:rFonts w:eastAsia="Calibri"/>
          <w:b w:val="0"/>
          <w:sz w:val="24"/>
          <w:szCs w:val="22"/>
        </w:rPr>
        <w:t xml:space="preserve">e Variation) </w:t>
      </w:r>
      <w:r w:rsidR="005A7FEE">
        <w:rPr>
          <w:rFonts w:eastAsia="Calibri"/>
          <w:b w:val="0"/>
          <w:sz w:val="24"/>
          <w:szCs w:val="22"/>
        </w:rPr>
        <w:t>amend</w:t>
      </w:r>
      <w:r w:rsidR="00B81E79">
        <w:rPr>
          <w:rFonts w:eastAsia="Calibri"/>
          <w:b w:val="0"/>
          <w:sz w:val="24"/>
          <w:szCs w:val="22"/>
        </w:rPr>
        <w:t>s</w:t>
      </w:r>
      <w:r w:rsidRPr="002C0D2D">
        <w:rPr>
          <w:rFonts w:eastAsia="Calibri"/>
          <w:b w:val="0"/>
          <w:sz w:val="24"/>
          <w:szCs w:val="22"/>
        </w:rPr>
        <w:t xml:space="preserve"> the </w:t>
      </w:r>
      <w:r w:rsidRPr="002C0D2D">
        <w:rPr>
          <w:rFonts w:eastAsia="Calibri"/>
          <w:b w:val="0"/>
          <w:bCs/>
          <w:i/>
          <w:iCs/>
          <w:color w:val="000000" w:themeColor="text1"/>
          <w:kern w:val="36"/>
          <w:sz w:val="24"/>
          <w:szCs w:val="24"/>
        </w:rPr>
        <w:t>Carbon Credits (Carbon Farming Initiative—</w:t>
      </w:r>
      <w:r w:rsidR="004C7820">
        <w:rPr>
          <w:rFonts w:eastAsia="Calibri"/>
          <w:b w:val="0"/>
          <w:bCs/>
          <w:i/>
          <w:iCs/>
          <w:color w:val="000000" w:themeColor="text1"/>
          <w:kern w:val="36"/>
          <w:sz w:val="24"/>
          <w:szCs w:val="24"/>
        </w:rPr>
        <w:t>Landfill Gas</w:t>
      </w:r>
      <w:r w:rsidRPr="002C0D2D">
        <w:rPr>
          <w:rFonts w:eastAsia="Calibri"/>
          <w:b w:val="0"/>
          <w:bCs/>
          <w:i/>
          <w:iCs/>
          <w:color w:val="000000" w:themeColor="text1"/>
          <w:kern w:val="36"/>
          <w:sz w:val="24"/>
          <w:szCs w:val="24"/>
        </w:rPr>
        <w:t>) Methodology Determination 2015</w:t>
      </w:r>
      <w:r>
        <w:rPr>
          <w:rFonts w:eastAsia="Calibri"/>
          <w:b w:val="0"/>
          <w:bCs/>
          <w:i/>
          <w:iCs/>
          <w:color w:val="000000" w:themeColor="text1"/>
          <w:kern w:val="36"/>
          <w:sz w:val="24"/>
          <w:szCs w:val="24"/>
        </w:rPr>
        <w:t xml:space="preserve"> </w:t>
      </w:r>
      <w:r w:rsidRPr="001A0110">
        <w:rPr>
          <w:rFonts w:eastAsia="Calibri"/>
          <w:b w:val="0"/>
          <w:sz w:val="24"/>
          <w:szCs w:val="22"/>
        </w:rPr>
        <w:t xml:space="preserve">(the Determination). </w:t>
      </w:r>
    </w:p>
    <w:p w14:paraId="074C5471" w14:textId="0AF85ED6" w:rsidR="00091AA0" w:rsidRDefault="00C550EA" w:rsidP="007256DD">
      <w:pPr>
        <w:rPr>
          <w:szCs w:val="24"/>
        </w:rPr>
      </w:pPr>
      <w:bookmarkStart w:id="1" w:name="_GoBack"/>
      <w:r>
        <w:rPr>
          <w:lang w:eastAsia="en-AU"/>
        </w:rPr>
        <w:t xml:space="preserve">The Determination </w:t>
      </w:r>
      <w:r w:rsidRPr="00C550EA">
        <w:rPr>
          <w:lang w:eastAsia="en-AU"/>
        </w:rPr>
        <w:t xml:space="preserve">credits </w:t>
      </w:r>
      <w:r>
        <w:rPr>
          <w:lang w:eastAsia="en-AU"/>
        </w:rPr>
        <w:t>emissions reductions achieve</w:t>
      </w:r>
      <w:r w:rsidR="00D045F4">
        <w:rPr>
          <w:lang w:eastAsia="en-AU"/>
        </w:rPr>
        <w:t>d</w:t>
      </w:r>
      <w:r>
        <w:rPr>
          <w:lang w:eastAsia="en-AU"/>
        </w:rPr>
        <w:t xml:space="preserve"> through </w:t>
      </w:r>
      <w:r w:rsidRPr="00C550EA">
        <w:rPr>
          <w:lang w:eastAsia="en-AU"/>
        </w:rPr>
        <w:t xml:space="preserve">the destruction of methane generated by decomposing waste at landfill. </w:t>
      </w:r>
      <w:r w:rsidR="00806B54" w:rsidRPr="00831AF5">
        <w:rPr>
          <w:lang w:eastAsia="en-AU"/>
        </w:rPr>
        <w:t xml:space="preserve">The Variation </w:t>
      </w:r>
      <w:r w:rsidR="00DB7716" w:rsidRPr="00831AF5">
        <w:rPr>
          <w:lang w:eastAsia="en-AU"/>
        </w:rPr>
        <w:t>implements</w:t>
      </w:r>
      <w:r w:rsidR="00806B54" w:rsidRPr="00831AF5">
        <w:rPr>
          <w:lang w:eastAsia="en-AU"/>
        </w:rPr>
        <w:t xml:space="preserve"> </w:t>
      </w:r>
      <w:r w:rsidR="00091AA0">
        <w:rPr>
          <w:lang w:eastAsia="en-AU"/>
        </w:rPr>
        <w:t xml:space="preserve">the findings of </w:t>
      </w:r>
      <w:r w:rsidR="00B74CC2">
        <w:rPr>
          <w:lang w:eastAsia="en-AU"/>
        </w:rPr>
        <w:t>two statutory reviews of the Determination by the</w:t>
      </w:r>
      <w:r w:rsidR="00091AA0">
        <w:rPr>
          <w:lang w:eastAsia="en-AU"/>
        </w:rPr>
        <w:t xml:space="preserve"> </w:t>
      </w:r>
      <w:r w:rsidR="00B74CC2">
        <w:rPr>
          <w:lang w:eastAsia="en-AU"/>
        </w:rPr>
        <w:t>Emissions Reduction Assurance Committee</w:t>
      </w:r>
      <w:r w:rsidR="00B75D3A">
        <w:rPr>
          <w:lang w:eastAsia="en-AU"/>
        </w:rPr>
        <w:t xml:space="preserve"> (the Committee)</w:t>
      </w:r>
      <w:r w:rsidR="00806B54" w:rsidRPr="00831AF5">
        <w:rPr>
          <w:lang w:eastAsia="en-AU"/>
        </w:rPr>
        <w:t xml:space="preserve">. </w:t>
      </w:r>
      <w:r w:rsidR="00091AA0">
        <w:rPr>
          <w:lang w:eastAsia="en-AU"/>
        </w:rPr>
        <w:t xml:space="preserve">These reviews recommended changes to the </w:t>
      </w:r>
      <w:r>
        <w:rPr>
          <w:lang w:eastAsia="en-AU"/>
        </w:rPr>
        <w:t xml:space="preserve">Determination </w:t>
      </w:r>
      <w:r w:rsidR="00091AA0">
        <w:rPr>
          <w:lang w:eastAsia="en-AU"/>
        </w:rPr>
        <w:t xml:space="preserve">to ensure </w:t>
      </w:r>
      <w:r>
        <w:rPr>
          <w:lang w:eastAsia="en-AU"/>
        </w:rPr>
        <w:t xml:space="preserve">credited </w:t>
      </w:r>
      <w:r w:rsidR="00091AA0" w:rsidRPr="008B22D7">
        <w:rPr>
          <w:szCs w:val="24"/>
        </w:rPr>
        <w:t xml:space="preserve">emissions reductions </w:t>
      </w:r>
      <w:r w:rsidR="00091AA0">
        <w:rPr>
          <w:szCs w:val="24"/>
        </w:rPr>
        <w:t>continue to be</w:t>
      </w:r>
      <w:r w:rsidR="00091AA0" w:rsidRPr="008B22D7">
        <w:rPr>
          <w:szCs w:val="24"/>
        </w:rPr>
        <w:t xml:space="preserve"> genuine—both real and additional to</w:t>
      </w:r>
      <w:r w:rsidR="00091AA0">
        <w:rPr>
          <w:szCs w:val="24"/>
        </w:rPr>
        <w:t xml:space="preserve"> </w:t>
      </w:r>
      <w:r w:rsidR="00091AA0" w:rsidRPr="008B22D7">
        <w:rPr>
          <w:szCs w:val="24"/>
        </w:rPr>
        <w:t>business as usual</w:t>
      </w:r>
      <w:r w:rsidR="00091AA0">
        <w:rPr>
          <w:szCs w:val="24"/>
        </w:rPr>
        <w:t>.</w:t>
      </w:r>
    </w:p>
    <w:bookmarkEnd w:id="1"/>
    <w:p w14:paraId="2A9B57E2" w14:textId="34CA497B" w:rsidR="004E1940" w:rsidRPr="001755FD" w:rsidRDefault="00091AA0" w:rsidP="007256DD">
      <w:pPr>
        <w:rPr>
          <w:lang w:eastAsia="en-AU"/>
        </w:rPr>
      </w:pPr>
      <w:r w:rsidRPr="001755FD">
        <w:rPr>
          <w:szCs w:val="24"/>
        </w:rPr>
        <w:t>Th</w:t>
      </w:r>
      <w:r w:rsidR="00B74CC2" w:rsidRPr="001755FD">
        <w:rPr>
          <w:szCs w:val="24"/>
        </w:rPr>
        <w:t>e</w:t>
      </w:r>
      <w:r w:rsidRPr="001755FD">
        <w:rPr>
          <w:szCs w:val="24"/>
        </w:rPr>
        <w:t xml:space="preserve"> </w:t>
      </w:r>
      <w:r w:rsidR="00B74CC2" w:rsidRPr="001755FD">
        <w:rPr>
          <w:szCs w:val="24"/>
        </w:rPr>
        <w:t>V</w:t>
      </w:r>
      <w:r w:rsidRPr="001755FD">
        <w:rPr>
          <w:szCs w:val="24"/>
        </w:rPr>
        <w:t xml:space="preserve">ariation </w:t>
      </w:r>
      <w:r w:rsidR="004E1940" w:rsidRPr="001755FD">
        <w:rPr>
          <w:lang w:eastAsia="en-AU"/>
        </w:rPr>
        <w:t xml:space="preserve">changes the </w:t>
      </w:r>
      <w:r w:rsidR="00A521C3">
        <w:rPr>
          <w:lang w:eastAsia="en-AU"/>
        </w:rPr>
        <w:t>Determination</w:t>
      </w:r>
      <w:r w:rsidR="00A521C3" w:rsidRPr="001755FD">
        <w:rPr>
          <w:lang w:eastAsia="en-AU"/>
        </w:rPr>
        <w:t xml:space="preserve"> </w:t>
      </w:r>
      <w:r w:rsidR="004E1940" w:rsidRPr="001755FD">
        <w:rPr>
          <w:lang w:eastAsia="en-AU"/>
        </w:rPr>
        <w:t xml:space="preserve">in </w:t>
      </w:r>
      <w:r w:rsidR="0007057E">
        <w:rPr>
          <w:lang w:eastAsia="en-AU"/>
        </w:rPr>
        <w:t>four</w:t>
      </w:r>
      <w:r w:rsidR="0007057E" w:rsidRPr="001755FD">
        <w:rPr>
          <w:lang w:eastAsia="en-AU"/>
        </w:rPr>
        <w:t xml:space="preserve"> </w:t>
      </w:r>
      <w:r w:rsidR="004E1940" w:rsidRPr="001755FD">
        <w:rPr>
          <w:lang w:eastAsia="en-AU"/>
        </w:rPr>
        <w:t xml:space="preserve">ways. </w:t>
      </w:r>
      <w:r w:rsidR="00806B54" w:rsidRPr="001755FD">
        <w:rPr>
          <w:lang w:eastAsia="en-AU"/>
        </w:rPr>
        <w:t xml:space="preserve">First, </w:t>
      </w:r>
      <w:r w:rsidR="00B81E79" w:rsidRPr="001755FD">
        <w:rPr>
          <w:lang w:eastAsia="en-AU"/>
        </w:rPr>
        <w:t xml:space="preserve">it </w:t>
      </w:r>
      <w:r w:rsidR="00AF60B9" w:rsidRPr="001755FD">
        <w:rPr>
          <w:lang w:eastAsia="en-AU"/>
        </w:rPr>
        <w:t>strengthens the definition of an upgrade project</w:t>
      </w:r>
      <w:r w:rsidR="00A6420C" w:rsidRPr="001755FD">
        <w:rPr>
          <w:lang w:eastAsia="en-AU"/>
        </w:rPr>
        <w:t>.</w:t>
      </w:r>
      <w:r w:rsidR="00AF60B9" w:rsidRPr="001755FD">
        <w:rPr>
          <w:lang w:eastAsia="en-AU"/>
        </w:rPr>
        <w:t xml:space="preserve"> </w:t>
      </w:r>
      <w:r w:rsidR="00A6420C" w:rsidRPr="001755FD">
        <w:rPr>
          <w:lang w:eastAsia="en-AU"/>
        </w:rPr>
        <w:t xml:space="preserve">This </w:t>
      </w:r>
      <w:r w:rsidR="00AF60B9" w:rsidRPr="001755FD">
        <w:rPr>
          <w:lang w:eastAsia="en-AU"/>
        </w:rPr>
        <w:t>ensure</w:t>
      </w:r>
      <w:r w:rsidR="00A6420C" w:rsidRPr="001755FD">
        <w:rPr>
          <w:lang w:eastAsia="en-AU"/>
        </w:rPr>
        <w:t>s</w:t>
      </w:r>
      <w:r w:rsidR="00AF60B9" w:rsidRPr="001755FD">
        <w:rPr>
          <w:lang w:eastAsia="en-AU"/>
        </w:rPr>
        <w:t xml:space="preserve"> that </w:t>
      </w:r>
      <w:r w:rsidR="00C550EA" w:rsidRPr="001755FD">
        <w:rPr>
          <w:lang w:eastAsia="en-AU"/>
        </w:rPr>
        <w:t xml:space="preserve">eligible </w:t>
      </w:r>
      <w:r w:rsidR="00AF60B9" w:rsidRPr="001755FD">
        <w:rPr>
          <w:lang w:eastAsia="en-AU"/>
        </w:rPr>
        <w:t>upgrade</w:t>
      </w:r>
      <w:r w:rsidR="00C550EA" w:rsidRPr="001755FD">
        <w:rPr>
          <w:lang w:eastAsia="en-AU"/>
        </w:rPr>
        <w:t>s</w:t>
      </w:r>
      <w:r w:rsidR="00AF60B9" w:rsidRPr="001755FD">
        <w:rPr>
          <w:lang w:eastAsia="en-AU"/>
        </w:rPr>
        <w:t xml:space="preserve"> involve an increase in gas capture and combustion beyond what would occur</w:t>
      </w:r>
      <w:r w:rsidR="00B74CC2" w:rsidRPr="001755FD">
        <w:rPr>
          <w:lang w:eastAsia="en-AU"/>
        </w:rPr>
        <w:t xml:space="preserve"> in the ordinary course of business</w:t>
      </w:r>
      <w:r w:rsidR="00411D8F" w:rsidRPr="001755FD">
        <w:rPr>
          <w:lang w:eastAsia="en-AU"/>
        </w:rPr>
        <w:t>.</w:t>
      </w:r>
      <w:r w:rsidR="00806B54" w:rsidRPr="001755FD">
        <w:rPr>
          <w:lang w:eastAsia="en-AU"/>
        </w:rPr>
        <w:t xml:space="preserve"> </w:t>
      </w:r>
    </w:p>
    <w:p w14:paraId="428A2D69" w14:textId="363BCC8E" w:rsidR="004E1940" w:rsidRPr="001755FD" w:rsidRDefault="00806B54" w:rsidP="007256DD">
      <w:pPr>
        <w:rPr>
          <w:lang w:eastAsia="en-AU"/>
        </w:rPr>
      </w:pPr>
      <w:r w:rsidRPr="001755FD">
        <w:rPr>
          <w:lang w:eastAsia="en-AU"/>
        </w:rPr>
        <w:t xml:space="preserve">Secondly, </w:t>
      </w:r>
      <w:r w:rsidR="008F5843" w:rsidRPr="001755FD">
        <w:rPr>
          <w:lang w:eastAsia="en-AU"/>
        </w:rPr>
        <w:t xml:space="preserve">it </w:t>
      </w:r>
      <w:r w:rsidR="001B2962" w:rsidRPr="001755FD">
        <w:rPr>
          <w:lang w:eastAsia="en-AU"/>
        </w:rPr>
        <w:t>encourages additional</w:t>
      </w:r>
      <w:r w:rsidR="001B2962" w:rsidRPr="001755FD">
        <w:t xml:space="preserve"> gas capture </w:t>
      </w:r>
      <w:r w:rsidR="00D01731" w:rsidRPr="001755FD">
        <w:t xml:space="preserve">and combustion activities </w:t>
      </w:r>
      <w:r w:rsidR="001B2962" w:rsidRPr="001755FD">
        <w:t>by</w:t>
      </w:r>
      <w:r w:rsidR="002028F3" w:rsidRPr="001755FD">
        <w:t xml:space="preserve"> </w:t>
      </w:r>
      <w:r w:rsidR="00D87D1A" w:rsidRPr="001755FD">
        <w:t xml:space="preserve">extending the crediting period to 12 years </w:t>
      </w:r>
      <w:r w:rsidR="00ED137D" w:rsidRPr="001755FD">
        <w:t>for projects that</w:t>
      </w:r>
      <w:r w:rsidR="00D87D1A" w:rsidRPr="001755FD">
        <w:t xml:space="preserve"> </w:t>
      </w:r>
      <w:r w:rsidR="00D01731" w:rsidRPr="001755FD">
        <w:t xml:space="preserve">capture and </w:t>
      </w:r>
      <w:r w:rsidR="00ED137D" w:rsidRPr="001755FD">
        <w:t>combust</w:t>
      </w:r>
      <w:r w:rsidR="00327CA2">
        <w:t xml:space="preserve"> landfill gas </w:t>
      </w:r>
      <w:r w:rsidR="00ED137D" w:rsidRPr="001755FD">
        <w:t xml:space="preserve">using </w:t>
      </w:r>
      <w:r w:rsidR="00D01731" w:rsidRPr="001755FD">
        <w:t>flar</w:t>
      </w:r>
      <w:r w:rsidR="00ED137D" w:rsidRPr="001755FD">
        <w:t>es</w:t>
      </w:r>
      <w:r w:rsidR="00D01731" w:rsidRPr="001755FD">
        <w:t xml:space="preserve"> (flaring </w:t>
      </w:r>
      <w:r w:rsidR="00214AFC">
        <w:t xml:space="preserve">only </w:t>
      </w:r>
      <w:r w:rsidR="00D01731" w:rsidRPr="001755FD">
        <w:t>projects)</w:t>
      </w:r>
      <w:r w:rsidR="00D87D1A" w:rsidRPr="001755FD">
        <w:t>.</w:t>
      </w:r>
      <w:r w:rsidR="00F43DCC" w:rsidRPr="001755FD">
        <w:t xml:space="preserve"> </w:t>
      </w:r>
      <w:r w:rsidR="00B8121F">
        <w:t xml:space="preserve">For projects that switch </w:t>
      </w:r>
      <w:r w:rsidR="00327CA2">
        <w:t>from</w:t>
      </w:r>
      <w:r w:rsidR="00B8121F">
        <w:t xml:space="preserve"> flaring</w:t>
      </w:r>
      <w:r w:rsidR="00327CA2">
        <w:t xml:space="preserve"> to generation</w:t>
      </w:r>
      <w:r w:rsidR="00B8121F">
        <w:t>,</w:t>
      </w:r>
      <w:r w:rsidR="00B529BF">
        <w:t xml:space="preserve"> crediting for the</w:t>
      </w:r>
      <w:r w:rsidR="00B8121F">
        <w:t xml:space="preserve"> generation component </w:t>
      </w:r>
      <w:r w:rsidR="00B529BF">
        <w:t>is limited to</w:t>
      </w:r>
      <w:r w:rsidR="00B8121F">
        <w:t xml:space="preserve"> 7 years</w:t>
      </w:r>
      <w:r w:rsidR="00214AFC">
        <w:t xml:space="preserve">, with the crediting period ceasing after </w:t>
      </w:r>
      <w:r w:rsidR="007256DD">
        <w:t xml:space="preserve">7 </w:t>
      </w:r>
      <w:r w:rsidR="00214AFC">
        <w:t>years of generation</w:t>
      </w:r>
      <w:r w:rsidR="00B8121F" w:rsidRPr="006207D3">
        <w:t xml:space="preserve">. </w:t>
      </w:r>
      <w:r w:rsidR="006207D3">
        <w:rPr>
          <w:lang w:eastAsia="en-AU"/>
        </w:rPr>
        <w:t>T</w:t>
      </w:r>
      <w:r w:rsidR="006207D3" w:rsidRPr="006207D3">
        <w:rPr>
          <w:lang w:eastAsia="en-AU"/>
        </w:rPr>
        <w:t xml:space="preserve">he variation </w:t>
      </w:r>
      <w:r w:rsidR="006207D3">
        <w:rPr>
          <w:lang w:eastAsia="en-AU"/>
        </w:rPr>
        <w:t>introduces</w:t>
      </w:r>
      <w:r w:rsidR="006207D3" w:rsidRPr="006207D3">
        <w:rPr>
          <w:lang w:eastAsia="en-AU"/>
        </w:rPr>
        <w:t xml:space="preserve"> </w:t>
      </w:r>
      <w:r w:rsidR="006207D3">
        <w:rPr>
          <w:lang w:eastAsia="en-AU"/>
        </w:rPr>
        <w:t>the</w:t>
      </w:r>
      <w:r w:rsidR="006207D3" w:rsidRPr="006207D3">
        <w:rPr>
          <w:lang w:eastAsia="en-AU"/>
        </w:rPr>
        <w:t xml:space="preserve"> restarting flaring project </w:t>
      </w:r>
      <w:r w:rsidR="006207D3">
        <w:rPr>
          <w:lang w:eastAsia="en-AU"/>
        </w:rPr>
        <w:t>as a new type of landfill gas project, t</w:t>
      </w:r>
      <w:r w:rsidR="00192C79" w:rsidRPr="006207D3">
        <w:t xml:space="preserve">o </w:t>
      </w:r>
      <w:r w:rsidR="006207D3">
        <w:t>set out</w:t>
      </w:r>
      <w:r w:rsidR="006207D3" w:rsidRPr="006207D3">
        <w:t xml:space="preserve"> </w:t>
      </w:r>
      <w:r w:rsidR="00B529BF" w:rsidRPr="006207D3">
        <w:t xml:space="preserve">the conditions </w:t>
      </w:r>
      <w:r w:rsidR="006207D3">
        <w:t>under which</w:t>
      </w:r>
      <w:r w:rsidR="006207D3" w:rsidRPr="006207D3">
        <w:t xml:space="preserve"> </w:t>
      </w:r>
      <w:r w:rsidR="00B529BF" w:rsidRPr="006207D3">
        <w:t xml:space="preserve">projects </w:t>
      </w:r>
      <w:r w:rsidR="006207D3">
        <w:t>can</w:t>
      </w:r>
      <w:r w:rsidR="006207D3" w:rsidRPr="006207D3">
        <w:t xml:space="preserve"> </w:t>
      </w:r>
      <w:r w:rsidR="00B8121F" w:rsidRPr="006207D3">
        <w:t>switch</w:t>
      </w:r>
      <w:r w:rsidR="0087691A" w:rsidRPr="006207D3">
        <w:t xml:space="preserve"> back to flaring after a period of generation</w:t>
      </w:r>
      <w:r w:rsidR="0087691A" w:rsidRPr="006207D3">
        <w:rPr>
          <w:lang w:eastAsia="en-AU"/>
        </w:rPr>
        <w:t>.</w:t>
      </w:r>
      <w:r w:rsidR="0087691A" w:rsidRPr="002F3B4B">
        <w:rPr>
          <w:highlight w:val="yellow"/>
          <w:lang w:eastAsia="en-AU"/>
        </w:rPr>
        <w:t xml:space="preserve"> </w:t>
      </w:r>
    </w:p>
    <w:p w14:paraId="6A3C2DA7" w14:textId="77BF9BBB" w:rsidR="000F03F8" w:rsidRDefault="00192C79" w:rsidP="000F03F8">
      <w:r w:rsidRPr="00E27B2C">
        <w:t>Thirdly, t</w:t>
      </w:r>
      <w:r w:rsidR="00ED137D" w:rsidRPr="00E27B2C">
        <w:t>his variati</w:t>
      </w:r>
      <w:r w:rsidRPr="00E27B2C">
        <w:t xml:space="preserve">on </w:t>
      </w:r>
      <w:r w:rsidR="00ED137D" w:rsidRPr="00E27B2C">
        <w:t>amends the proportion of landfill gas that is methane</w:t>
      </w:r>
      <w:r w:rsidRPr="00E27B2C">
        <w:t xml:space="preserve"> (W</w:t>
      </w:r>
      <w:r w:rsidRPr="00044512">
        <w:rPr>
          <w:vertAlign w:val="subscript"/>
        </w:rPr>
        <w:t>LFG,CH4</w:t>
      </w:r>
      <w:r w:rsidRPr="00E27B2C">
        <w:t>)</w:t>
      </w:r>
      <w:r w:rsidR="00ED137D" w:rsidRPr="00E27B2C">
        <w:t xml:space="preserve">, </w:t>
      </w:r>
      <w:r w:rsidR="006F6CD5" w:rsidRPr="00E27B2C">
        <w:t xml:space="preserve">which is </w:t>
      </w:r>
      <w:r w:rsidR="001755FD" w:rsidRPr="00E27B2C">
        <w:t xml:space="preserve">used to </w:t>
      </w:r>
      <w:r w:rsidR="000F03F8">
        <w:t xml:space="preserve">calculate the methane sent to a combustion device. </w:t>
      </w:r>
    </w:p>
    <w:p w14:paraId="47BF72B2" w14:textId="3BE5CD0B" w:rsidR="002F3B4B" w:rsidRPr="002F3B4B" w:rsidRDefault="000F03F8" w:rsidP="000F03F8">
      <w:r>
        <w:t>Fourthly, this variation amends the average proportion of methane from the landfill that is collected and destroyed before an upgrade project is started (</w:t>
      </w:r>
      <w:r w:rsidRPr="006B1E19">
        <w:rPr>
          <w:bCs/>
          <w:iCs/>
        </w:rPr>
        <w:t>W</w:t>
      </w:r>
      <w:r w:rsidRPr="006B1E19">
        <w:rPr>
          <w:bCs/>
          <w:iCs/>
          <w:vertAlign w:val="subscript"/>
        </w:rPr>
        <w:t>Com,Bef</w:t>
      </w:r>
      <w:r>
        <w:t xml:space="preserve">), which is used to </w:t>
      </w:r>
      <w:r w:rsidR="001755FD" w:rsidRPr="00E27B2C">
        <w:t>estimate the methane that would have been combusted under the baseline emissions calculations</w:t>
      </w:r>
      <w:r>
        <w:t xml:space="preserve"> for upgrade projects</w:t>
      </w:r>
      <w:r w:rsidR="001755FD" w:rsidRPr="002F3B4B">
        <w:t xml:space="preserve">. </w:t>
      </w:r>
    </w:p>
    <w:p w14:paraId="4A4B34E8" w14:textId="5A8669CB" w:rsidR="006875C2" w:rsidRPr="002F3B4B" w:rsidRDefault="006875C2" w:rsidP="007256DD">
      <w:pPr>
        <w:pStyle w:val="ESHeading"/>
        <w:spacing w:line="276" w:lineRule="auto"/>
      </w:pPr>
      <w:r w:rsidRPr="002F3B4B">
        <w:t xml:space="preserve">Legislative provisions </w:t>
      </w:r>
    </w:p>
    <w:p w14:paraId="42397874" w14:textId="77777777" w:rsidR="006875C2" w:rsidRDefault="006875C2" w:rsidP="007256DD">
      <w:r>
        <w:rPr>
          <w:lang w:eastAsia="en-AU"/>
        </w:rPr>
        <w:t xml:space="preserve">The </w:t>
      </w:r>
      <w:r w:rsidRPr="001A0110">
        <w:rPr>
          <w:lang w:eastAsia="en-AU"/>
        </w:rPr>
        <w:t>Determination</w:t>
      </w:r>
      <w:r>
        <w:rPr>
          <w:lang w:eastAsia="en-AU"/>
        </w:rPr>
        <w:t xml:space="preserve"> was made under subsection 106(1) of the </w:t>
      </w:r>
      <w:r>
        <w:rPr>
          <w:i/>
          <w:iCs/>
        </w:rPr>
        <w:t>Carbon Credits (Carbon Farming Initiative) Act 2011</w:t>
      </w:r>
      <w:r>
        <w:t xml:space="preserve"> (the Act).</w:t>
      </w:r>
    </w:p>
    <w:p w14:paraId="68B23E51" w14:textId="42A18B00" w:rsidR="006875C2" w:rsidRDefault="006875C2" w:rsidP="007256DD">
      <w:r>
        <w:t xml:space="preserve">The Variation </w:t>
      </w:r>
      <w:r w:rsidR="00DB7716">
        <w:t>amends</w:t>
      </w:r>
      <w:r>
        <w:t xml:space="preserve"> the Determination, and </w:t>
      </w:r>
      <w:r w:rsidR="00DB7716">
        <w:t>is made</w:t>
      </w:r>
      <w:r>
        <w:t xml:space="preserve"> under subsection 114(1) of the Act</w:t>
      </w:r>
      <w:r w:rsidR="008F5843">
        <w:t>,</w:t>
      </w:r>
      <w:r>
        <w:t xml:space="preserve"> which empowers the Minister to vary, by legislative instrument, a methodology determination.</w:t>
      </w:r>
    </w:p>
    <w:p w14:paraId="190D940D" w14:textId="77777777" w:rsidR="006875C2" w:rsidRPr="00164FC8" w:rsidRDefault="006875C2" w:rsidP="007256DD">
      <w:pPr>
        <w:pStyle w:val="ESHeading"/>
        <w:spacing w:line="276" w:lineRule="auto"/>
      </w:pPr>
      <w:r w:rsidRPr="006875C2">
        <w:lastRenderedPageBreak/>
        <w:t>Bac</w:t>
      </w:r>
      <w:r w:rsidRPr="00164FC8">
        <w:t>kground</w:t>
      </w:r>
    </w:p>
    <w:p w14:paraId="38F57C68" w14:textId="195352AF" w:rsidR="00252F9A" w:rsidRPr="008E62FF" w:rsidRDefault="00252F9A" w:rsidP="007256DD">
      <w:pPr>
        <w:spacing w:after="120"/>
        <w:rPr>
          <w:szCs w:val="24"/>
        </w:rPr>
      </w:pPr>
      <w:r w:rsidRPr="008E62FF">
        <w:rPr>
          <w:szCs w:val="24"/>
        </w:rPr>
        <w:t xml:space="preserve">The </w:t>
      </w:r>
      <w:r>
        <w:rPr>
          <w:szCs w:val="24"/>
        </w:rPr>
        <w:t>Act</w:t>
      </w:r>
      <w:r w:rsidRPr="008E62FF">
        <w:rPr>
          <w:szCs w:val="24"/>
        </w:rPr>
        <w:t xml:space="preserve"> enables the crediting of greenhouse gas abatement from emissions reduction activities across the economy. </w:t>
      </w:r>
      <w:r w:rsidR="004E1940">
        <w:rPr>
          <w:szCs w:val="24"/>
        </w:rPr>
        <w:t>Activities achieve g</w:t>
      </w:r>
      <w:r w:rsidRPr="008E62FF">
        <w:rPr>
          <w:szCs w:val="24"/>
        </w:rPr>
        <w:t xml:space="preserve">reenhouse gas abatement </w:t>
      </w:r>
      <w:r>
        <w:rPr>
          <w:szCs w:val="24"/>
        </w:rPr>
        <w:t xml:space="preserve">either </w:t>
      </w:r>
      <w:r w:rsidRPr="008E62FF">
        <w:rPr>
          <w:szCs w:val="24"/>
        </w:rPr>
        <w:t>by reducing or avoiding emissions or by removing carbon from the atmosphere and storing it in soil or trees.</w:t>
      </w:r>
    </w:p>
    <w:p w14:paraId="3CB278C6" w14:textId="777D5DE1" w:rsidR="00252F9A" w:rsidRPr="008B22D7" w:rsidRDefault="00252F9A" w:rsidP="007256DD">
      <w:pPr>
        <w:rPr>
          <w:szCs w:val="24"/>
        </w:rPr>
      </w:pPr>
      <w:r w:rsidRPr="008B22D7">
        <w:rPr>
          <w:szCs w:val="24"/>
        </w:rPr>
        <w:t>Emissions reduction activities are undertaken as offsets projects. The process involved in</w:t>
      </w:r>
      <w:r>
        <w:rPr>
          <w:szCs w:val="24"/>
        </w:rPr>
        <w:t xml:space="preserve"> </w:t>
      </w:r>
      <w:r w:rsidRPr="008B22D7">
        <w:rPr>
          <w:szCs w:val="24"/>
        </w:rPr>
        <w:t>establishing an offsets project is set out in Part 3 of the Act. An offsets project must be</w:t>
      </w:r>
      <w:r>
        <w:rPr>
          <w:szCs w:val="24"/>
        </w:rPr>
        <w:t xml:space="preserve"> </w:t>
      </w:r>
      <w:r w:rsidR="004E1940">
        <w:rPr>
          <w:szCs w:val="24"/>
        </w:rPr>
        <w:t xml:space="preserve">covered by </w:t>
      </w:r>
      <w:r w:rsidRPr="008B22D7">
        <w:rPr>
          <w:szCs w:val="24"/>
        </w:rPr>
        <w:t>an</w:t>
      </w:r>
      <w:r w:rsidR="004E1940">
        <w:rPr>
          <w:szCs w:val="24"/>
        </w:rPr>
        <w:t>d undertaken in accordance with</w:t>
      </w:r>
      <w:r w:rsidRPr="008B22D7">
        <w:rPr>
          <w:szCs w:val="24"/>
        </w:rPr>
        <w:t xml:space="preserve"> a </w:t>
      </w:r>
      <w:r>
        <w:rPr>
          <w:szCs w:val="24"/>
        </w:rPr>
        <w:t>methodology determination</w:t>
      </w:r>
      <w:r w:rsidRPr="008B22D7">
        <w:rPr>
          <w:szCs w:val="24"/>
        </w:rPr>
        <w:t>.</w:t>
      </w:r>
    </w:p>
    <w:p w14:paraId="25D0195A" w14:textId="77777777" w:rsidR="006875C2" w:rsidRDefault="00252F9A" w:rsidP="007256DD">
      <w:pPr>
        <w:rPr>
          <w:szCs w:val="24"/>
        </w:rPr>
      </w:pPr>
      <w:r w:rsidRPr="008B22D7">
        <w:rPr>
          <w:szCs w:val="24"/>
        </w:rPr>
        <w:t>Subsection 106(1) of the Act empowers the Minister to make, by legislative instrument, a</w:t>
      </w:r>
      <w:r>
        <w:rPr>
          <w:szCs w:val="24"/>
        </w:rPr>
        <w:t xml:space="preserve"> methodology determination</w:t>
      </w:r>
      <w:r w:rsidRPr="008B22D7">
        <w:rPr>
          <w:szCs w:val="24"/>
        </w:rPr>
        <w:t xml:space="preserve">. The purpose of a </w:t>
      </w:r>
      <w:r>
        <w:rPr>
          <w:szCs w:val="24"/>
        </w:rPr>
        <w:t>methodology determination</w:t>
      </w:r>
      <w:r w:rsidRPr="008B22D7">
        <w:rPr>
          <w:szCs w:val="24"/>
        </w:rPr>
        <w:t xml:space="preserve"> is to establish</w:t>
      </w:r>
      <w:r>
        <w:rPr>
          <w:szCs w:val="24"/>
        </w:rPr>
        <w:t xml:space="preserve"> </w:t>
      </w:r>
      <w:r w:rsidRPr="008B22D7">
        <w:rPr>
          <w:szCs w:val="24"/>
        </w:rPr>
        <w:t>procedures for estimating abatement (emissions avoidance or sequestration) from eligible</w:t>
      </w:r>
      <w:r>
        <w:rPr>
          <w:szCs w:val="24"/>
        </w:rPr>
        <w:t xml:space="preserve"> </w:t>
      </w:r>
      <w:r w:rsidRPr="008B22D7">
        <w:rPr>
          <w:szCs w:val="24"/>
        </w:rPr>
        <w:t>projects</w:t>
      </w:r>
      <w:r w:rsidR="006F334E">
        <w:rPr>
          <w:szCs w:val="24"/>
        </w:rPr>
        <w:t>,</w:t>
      </w:r>
      <w:r w:rsidRPr="008B22D7">
        <w:rPr>
          <w:szCs w:val="24"/>
        </w:rPr>
        <w:t xml:space="preserve"> and rules for monitoring, record keeping and reporting. These </w:t>
      </w:r>
      <w:r>
        <w:rPr>
          <w:szCs w:val="24"/>
        </w:rPr>
        <w:t xml:space="preserve">determinations </w:t>
      </w:r>
      <w:r w:rsidR="008B2D8A">
        <w:rPr>
          <w:szCs w:val="24"/>
        </w:rPr>
        <w:t>help</w:t>
      </w:r>
      <w:r>
        <w:rPr>
          <w:szCs w:val="24"/>
        </w:rPr>
        <w:t xml:space="preserve"> </w:t>
      </w:r>
      <w:r w:rsidRPr="008B22D7">
        <w:rPr>
          <w:szCs w:val="24"/>
        </w:rPr>
        <w:t>ensure that emissions reductions are genuine—that they are both real and additional to</w:t>
      </w:r>
      <w:r>
        <w:rPr>
          <w:szCs w:val="24"/>
        </w:rPr>
        <w:t xml:space="preserve"> </w:t>
      </w:r>
      <w:r w:rsidRPr="008B22D7">
        <w:rPr>
          <w:szCs w:val="24"/>
        </w:rPr>
        <w:t>business as usual.</w:t>
      </w:r>
    </w:p>
    <w:p w14:paraId="4B186A6B" w14:textId="065FA95C" w:rsidR="009700B5" w:rsidRDefault="009700B5" w:rsidP="007256DD">
      <w:pPr>
        <w:rPr>
          <w:szCs w:val="24"/>
          <w:lang w:eastAsia="en-AU"/>
        </w:rPr>
      </w:pPr>
      <w:r w:rsidRPr="009700B5">
        <w:rPr>
          <w:szCs w:val="24"/>
          <w:lang w:eastAsia="en-AU"/>
        </w:rPr>
        <w:t xml:space="preserve">Emissions Reduction Fund methods must comply with the offsets integrity standards—defined in </w:t>
      </w:r>
      <w:r w:rsidR="00764A1A">
        <w:rPr>
          <w:szCs w:val="24"/>
          <w:lang w:eastAsia="en-AU"/>
        </w:rPr>
        <w:t xml:space="preserve">section </w:t>
      </w:r>
      <w:r>
        <w:rPr>
          <w:szCs w:val="24"/>
          <w:lang w:eastAsia="en-AU"/>
        </w:rPr>
        <w:t>133</w:t>
      </w:r>
      <w:r w:rsidRPr="009700B5">
        <w:rPr>
          <w:szCs w:val="24"/>
          <w:lang w:eastAsia="en-AU"/>
        </w:rPr>
        <w:t xml:space="preserve"> </w:t>
      </w:r>
      <w:r>
        <w:rPr>
          <w:szCs w:val="24"/>
          <w:lang w:eastAsia="en-AU"/>
        </w:rPr>
        <w:t xml:space="preserve">of </w:t>
      </w:r>
      <w:r w:rsidR="00764A1A">
        <w:rPr>
          <w:szCs w:val="24"/>
          <w:lang w:eastAsia="en-AU"/>
        </w:rPr>
        <w:t xml:space="preserve">the </w:t>
      </w:r>
      <w:r w:rsidRPr="009700B5">
        <w:rPr>
          <w:szCs w:val="24"/>
          <w:lang w:eastAsia="en-AU"/>
        </w:rPr>
        <w:t>Act. The</w:t>
      </w:r>
      <w:r>
        <w:rPr>
          <w:szCs w:val="24"/>
          <w:lang w:eastAsia="en-AU"/>
        </w:rPr>
        <w:t>se</w:t>
      </w:r>
      <w:r w:rsidRPr="009700B5">
        <w:rPr>
          <w:szCs w:val="24"/>
          <w:lang w:eastAsia="en-AU"/>
        </w:rPr>
        <w:t xml:space="preserve"> standards ensure abatement credited by a method is genuine and additional to what would occur through business as usual practices.</w:t>
      </w:r>
    </w:p>
    <w:p w14:paraId="459DFAAB" w14:textId="1EF0D144" w:rsidR="00C550EA" w:rsidRPr="00CE3B59" w:rsidRDefault="00C550EA" w:rsidP="007256DD">
      <w:pPr>
        <w:rPr>
          <w:sz w:val="22"/>
        </w:rPr>
      </w:pPr>
      <w:r>
        <w:rPr>
          <w:szCs w:val="24"/>
          <w:lang w:eastAsia="en-AU"/>
        </w:rPr>
        <w:t xml:space="preserve">The Determination was made on 12 January 2015, and sets out the detailed rules for implementing and monitoring landfill gas projects. </w:t>
      </w:r>
      <w:r>
        <w:rPr>
          <w:lang w:eastAsia="en-AU"/>
        </w:rPr>
        <w:t>W</w:t>
      </w:r>
      <w:r>
        <w:t xml:space="preserve">hen organic waste decomposes in landfill it produces methane, a potent greenhouse gas. The </w:t>
      </w:r>
      <w:r w:rsidR="00461B06">
        <w:t xml:space="preserve">Determination </w:t>
      </w:r>
      <w:r>
        <w:t>allows crediting of activities which collect and combust landfill gas. The captured landfill gas can be combusted using flares or boilers, or can be used to generate renewable electricity. Combusting methane</w:t>
      </w:r>
      <w:r w:rsidR="00D33AF7">
        <w:t xml:space="preserve"> </w:t>
      </w:r>
      <w:r>
        <w:t xml:space="preserve">in the presence of oxygen generates carbon dioxide, which has a lower global warming potential. </w:t>
      </w:r>
    </w:p>
    <w:p w14:paraId="77044C7D" w14:textId="3DC1C814" w:rsidR="00E9208F" w:rsidRDefault="00B75D3A" w:rsidP="007256DD">
      <w:pPr>
        <w:rPr>
          <w:szCs w:val="24"/>
          <w:lang w:eastAsia="en-AU"/>
        </w:rPr>
      </w:pPr>
      <w:r w:rsidRPr="00B75D3A">
        <w:rPr>
          <w:szCs w:val="24"/>
          <w:lang w:eastAsia="en-AU"/>
        </w:rPr>
        <w:t xml:space="preserve">The Committee is </w:t>
      </w:r>
      <w:r>
        <w:rPr>
          <w:szCs w:val="24"/>
          <w:lang w:eastAsia="en-AU"/>
        </w:rPr>
        <w:t xml:space="preserve">established by the Act as </w:t>
      </w:r>
      <w:r w:rsidRPr="00B75D3A">
        <w:rPr>
          <w:szCs w:val="24"/>
          <w:lang w:eastAsia="en-AU"/>
        </w:rPr>
        <w:t xml:space="preserve">an independent, expert committee which assesses whether </w:t>
      </w:r>
      <w:r>
        <w:rPr>
          <w:szCs w:val="24"/>
          <w:lang w:eastAsia="en-AU"/>
        </w:rPr>
        <w:t>methods</w:t>
      </w:r>
      <w:r w:rsidRPr="00B75D3A">
        <w:rPr>
          <w:szCs w:val="24"/>
          <w:lang w:eastAsia="en-AU"/>
        </w:rPr>
        <w:t xml:space="preserve"> meet the requirements of the Emissions Reduction Fund. </w:t>
      </w:r>
      <w:r>
        <w:rPr>
          <w:szCs w:val="24"/>
          <w:lang w:eastAsia="en-AU"/>
        </w:rPr>
        <w:t>One of the</w:t>
      </w:r>
      <w:r w:rsidRPr="00B75D3A">
        <w:rPr>
          <w:szCs w:val="24"/>
          <w:lang w:eastAsia="en-AU"/>
        </w:rPr>
        <w:t xml:space="preserve"> role</w:t>
      </w:r>
      <w:r>
        <w:rPr>
          <w:szCs w:val="24"/>
          <w:lang w:eastAsia="en-AU"/>
        </w:rPr>
        <w:t>s</w:t>
      </w:r>
      <w:r w:rsidRPr="00B75D3A">
        <w:rPr>
          <w:szCs w:val="24"/>
          <w:lang w:eastAsia="en-AU"/>
        </w:rPr>
        <w:t xml:space="preserve"> of the Committee is to conduct reviews of methods</w:t>
      </w:r>
      <w:r>
        <w:rPr>
          <w:szCs w:val="24"/>
          <w:lang w:eastAsia="en-AU"/>
        </w:rPr>
        <w:t xml:space="preserve"> to ensure they continue to meet the offsets integrity standards and to conduct reviews of the crediting periods of methods</w:t>
      </w:r>
      <w:r w:rsidRPr="00B75D3A">
        <w:rPr>
          <w:szCs w:val="24"/>
          <w:lang w:eastAsia="en-AU"/>
        </w:rPr>
        <w:t xml:space="preserve">. </w:t>
      </w:r>
      <w:r w:rsidRPr="00D56885">
        <w:rPr>
          <w:szCs w:val="24"/>
          <w:lang w:eastAsia="en-AU"/>
        </w:rPr>
        <w:t>The</w:t>
      </w:r>
      <w:r w:rsidR="007256DD">
        <w:rPr>
          <w:szCs w:val="24"/>
          <w:lang w:eastAsia="en-AU"/>
        </w:rPr>
        <w:t> </w:t>
      </w:r>
      <w:r w:rsidRPr="00D56885">
        <w:rPr>
          <w:szCs w:val="24"/>
          <w:lang w:eastAsia="en-AU"/>
        </w:rPr>
        <w:t xml:space="preserve">Committee </w:t>
      </w:r>
      <w:r w:rsidR="00EE2CB0" w:rsidRPr="00D56885">
        <w:rPr>
          <w:szCs w:val="24"/>
          <w:lang w:eastAsia="en-AU"/>
        </w:rPr>
        <w:t>completed</w:t>
      </w:r>
      <w:r w:rsidRPr="00D56885">
        <w:rPr>
          <w:szCs w:val="24"/>
          <w:lang w:eastAsia="en-AU"/>
        </w:rPr>
        <w:t xml:space="preserve"> the crediting period review of the </w:t>
      </w:r>
      <w:r w:rsidR="00032DD0">
        <w:rPr>
          <w:szCs w:val="24"/>
          <w:lang w:eastAsia="en-AU"/>
        </w:rPr>
        <w:t>Determination</w:t>
      </w:r>
      <w:r w:rsidRPr="00D56885">
        <w:rPr>
          <w:szCs w:val="24"/>
          <w:lang w:eastAsia="en-AU"/>
        </w:rPr>
        <w:t xml:space="preserve"> in March 2018</w:t>
      </w:r>
      <w:r w:rsidR="002F3B4B">
        <w:rPr>
          <w:szCs w:val="24"/>
          <w:lang w:eastAsia="en-AU"/>
        </w:rPr>
        <w:t xml:space="preserve"> </w:t>
      </w:r>
      <w:r w:rsidRPr="00D56885">
        <w:rPr>
          <w:szCs w:val="24"/>
          <w:lang w:eastAsia="en-AU"/>
        </w:rPr>
        <w:t xml:space="preserve">and the periodic review of the method in </w:t>
      </w:r>
      <w:r w:rsidR="00C15585" w:rsidRPr="00D56885">
        <w:rPr>
          <w:szCs w:val="24"/>
          <w:lang w:eastAsia="en-AU"/>
        </w:rPr>
        <w:t>March</w:t>
      </w:r>
      <w:r w:rsidRPr="00D56885">
        <w:rPr>
          <w:szCs w:val="24"/>
          <w:lang w:eastAsia="en-AU"/>
        </w:rPr>
        <w:t xml:space="preserve"> 2019</w:t>
      </w:r>
      <w:r w:rsidR="00A00CF2" w:rsidRPr="00D56885">
        <w:rPr>
          <w:szCs w:val="24"/>
          <w:lang w:eastAsia="en-AU"/>
        </w:rPr>
        <w:t xml:space="preserve">. </w:t>
      </w:r>
      <w:r w:rsidR="00E9208F" w:rsidRPr="00D56885">
        <w:rPr>
          <w:szCs w:val="24"/>
          <w:lang w:eastAsia="en-AU"/>
        </w:rPr>
        <w:t>The Variation implements findings of these two reviews.</w:t>
      </w:r>
      <w:r w:rsidR="00E9208F">
        <w:rPr>
          <w:szCs w:val="24"/>
          <w:lang w:eastAsia="en-AU"/>
        </w:rPr>
        <w:t xml:space="preserve"> </w:t>
      </w:r>
    </w:p>
    <w:p w14:paraId="0679D734" w14:textId="62E9DD61" w:rsidR="009B242F" w:rsidRPr="0056133F" w:rsidRDefault="00EE2CB0" w:rsidP="0056133F">
      <w:pPr>
        <w:rPr>
          <w:szCs w:val="24"/>
          <w:lang w:eastAsia="en-AU"/>
        </w:rPr>
      </w:pPr>
      <w:r w:rsidRPr="004B1EC2">
        <w:rPr>
          <w:szCs w:val="24"/>
          <w:lang w:eastAsia="en-AU"/>
        </w:rPr>
        <w:t xml:space="preserve">The Committee released proposed variations for public consultation during March-April 2019, </w:t>
      </w:r>
      <w:r w:rsidR="00E9208F" w:rsidRPr="004B1EC2">
        <w:rPr>
          <w:szCs w:val="24"/>
          <w:lang w:eastAsia="en-AU"/>
        </w:rPr>
        <w:t xml:space="preserve">receiving 7 submissions. After </w:t>
      </w:r>
      <w:r w:rsidRPr="004B1EC2">
        <w:rPr>
          <w:szCs w:val="24"/>
          <w:lang w:eastAsia="en-AU"/>
        </w:rPr>
        <w:t xml:space="preserve">consideration of industry submissions </w:t>
      </w:r>
      <w:r w:rsidR="00E9208F" w:rsidRPr="004B1EC2">
        <w:rPr>
          <w:szCs w:val="24"/>
          <w:lang w:eastAsia="en-AU"/>
        </w:rPr>
        <w:t xml:space="preserve">the Committee sought and </w:t>
      </w:r>
      <w:r w:rsidR="005F2759" w:rsidRPr="004B1EC2">
        <w:rPr>
          <w:szCs w:val="24"/>
          <w:lang w:eastAsia="en-AU"/>
        </w:rPr>
        <w:t>analysed data from industry and</w:t>
      </w:r>
      <w:r w:rsidR="005A0471" w:rsidRPr="004B1EC2">
        <w:rPr>
          <w:szCs w:val="24"/>
          <w:lang w:eastAsia="en-AU"/>
        </w:rPr>
        <w:t xml:space="preserve"> </w:t>
      </w:r>
      <w:r w:rsidR="005F2759" w:rsidRPr="004B1EC2">
        <w:rPr>
          <w:szCs w:val="24"/>
          <w:lang w:eastAsia="en-AU"/>
        </w:rPr>
        <w:t>considered propos</w:t>
      </w:r>
      <w:r w:rsidR="001440D2" w:rsidRPr="004B1EC2">
        <w:rPr>
          <w:szCs w:val="24"/>
          <w:lang w:eastAsia="en-AU"/>
        </w:rPr>
        <w:t>ed</w:t>
      </w:r>
      <w:r w:rsidRPr="004B1EC2">
        <w:rPr>
          <w:szCs w:val="24"/>
          <w:lang w:eastAsia="en-AU"/>
        </w:rPr>
        <w:t xml:space="preserve"> </w:t>
      </w:r>
      <w:r w:rsidR="006F6CD5" w:rsidRPr="004B1EC2">
        <w:rPr>
          <w:szCs w:val="24"/>
          <w:lang w:eastAsia="en-AU"/>
        </w:rPr>
        <w:t>further</w:t>
      </w:r>
      <w:r w:rsidRPr="004B1EC2">
        <w:rPr>
          <w:szCs w:val="24"/>
          <w:lang w:eastAsia="en-AU"/>
        </w:rPr>
        <w:t xml:space="preserve"> amendments.</w:t>
      </w:r>
      <w:r w:rsidR="002F3B4B" w:rsidRPr="004B1EC2">
        <w:rPr>
          <w:szCs w:val="24"/>
          <w:lang w:eastAsia="en-AU"/>
        </w:rPr>
        <w:t xml:space="preserve"> </w:t>
      </w:r>
      <w:r w:rsidR="003218A5" w:rsidRPr="004B1EC2">
        <w:rPr>
          <w:szCs w:val="24"/>
          <w:lang w:eastAsia="en-AU"/>
        </w:rPr>
        <w:t xml:space="preserve">A revised proposed version of the </w:t>
      </w:r>
      <w:r w:rsidR="009B242F" w:rsidRPr="004B1EC2">
        <w:rPr>
          <w:szCs w:val="24"/>
          <w:lang w:eastAsia="en-AU"/>
        </w:rPr>
        <w:t>variation</w:t>
      </w:r>
      <w:r w:rsidR="00AE6708" w:rsidRPr="004B1EC2">
        <w:rPr>
          <w:szCs w:val="24"/>
          <w:lang w:eastAsia="en-AU"/>
        </w:rPr>
        <w:t xml:space="preserve"> </w:t>
      </w:r>
      <w:r w:rsidR="00032DD0" w:rsidRPr="004B1EC2">
        <w:rPr>
          <w:szCs w:val="24"/>
          <w:lang w:eastAsia="en-AU"/>
        </w:rPr>
        <w:t>to the Determination</w:t>
      </w:r>
      <w:r w:rsidR="009B242F" w:rsidRPr="004B1EC2">
        <w:rPr>
          <w:szCs w:val="24"/>
          <w:lang w:eastAsia="en-AU"/>
        </w:rPr>
        <w:t xml:space="preserve"> was released for public consultation on 26 October 2020. Stakeholder </w:t>
      </w:r>
      <w:r w:rsidR="003218A5" w:rsidRPr="004B1EC2">
        <w:rPr>
          <w:szCs w:val="24"/>
          <w:lang w:eastAsia="en-AU"/>
        </w:rPr>
        <w:t>feedback</w:t>
      </w:r>
      <w:r w:rsidR="009B242F" w:rsidRPr="004B1EC2">
        <w:rPr>
          <w:szCs w:val="24"/>
          <w:lang w:eastAsia="en-AU"/>
        </w:rPr>
        <w:t xml:space="preserve"> </w:t>
      </w:r>
      <w:r w:rsidR="003218A5" w:rsidRPr="004B1EC2">
        <w:rPr>
          <w:szCs w:val="24"/>
          <w:lang w:eastAsia="en-AU"/>
        </w:rPr>
        <w:t xml:space="preserve">through the public consultation process </w:t>
      </w:r>
      <w:r w:rsidR="009B242F" w:rsidRPr="004B1EC2">
        <w:rPr>
          <w:szCs w:val="24"/>
          <w:lang w:eastAsia="en-AU"/>
        </w:rPr>
        <w:t xml:space="preserve">and </w:t>
      </w:r>
      <w:r w:rsidR="003218A5" w:rsidRPr="004B1EC2">
        <w:rPr>
          <w:szCs w:val="24"/>
          <w:lang w:eastAsia="en-AU"/>
        </w:rPr>
        <w:t xml:space="preserve">from </w:t>
      </w:r>
      <w:r w:rsidR="009B242F" w:rsidRPr="004B1EC2">
        <w:rPr>
          <w:szCs w:val="24"/>
          <w:lang w:eastAsia="en-AU"/>
        </w:rPr>
        <w:t>a stakeholder forum held on 12 November 2020</w:t>
      </w:r>
      <w:r w:rsidR="003218A5" w:rsidRPr="004B1EC2">
        <w:rPr>
          <w:szCs w:val="24"/>
          <w:lang w:eastAsia="en-AU"/>
        </w:rPr>
        <w:t xml:space="preserve"> were considered by the Committee in the final drafting of the Variation</w:t>
      </w:r>
      <w:r w:rsidR="009B242F" w:rsidRPr="004B1EC2">
        <w:rPr>
          <w:szCs w:val="24"/>
          <w:lang w:eastAsia="en-AU"/>
        </w:rPr>
        <w:t>.</w:t>
      </w:r>
      <w:r w:rsidR="009B242F" w:rsidRPr="0056133F">
        <w:rPr>
          <w:szCs w:val="24"/>
          <w:lang w:eastAsia="en-AU"/>
        </w:rPr>
        <w:t xml:space="preserve"> </w:t>
      </w:r>
    </w:p>
    <w:p w14:paraId="50F6F600" w14:textId="77777777" w:rsidR="00366EE5" w:rsidRDefault="00366EE5" w:rsidP="007256DD">
      <w:pPr>
        <w:pStyle w:val="ESHeading"/>
        <w:spacing w:line="276" w:lineRule="auto"/>
      </w:pPr>
      <w:r w:rsidRPr="00366EE5">
        <w:lastRenderedPageBreak/>
        <w:t>Operation</w:t>
      </w:r>
    </w:p>
    <w:p w14:paraId="3F57453B" w14:textId="2E646898" w:rsidR="00313A08" w:rsidRDefault="00C550EA" w:rsidP="007256DD">
      <w:pPr>
        <w:rPr>
          <w:lang w:eastAsia="en-AU"/>
        </w:rPr>
      </w:pPr>
      <w:r>
        <w:rPr>
          <w:lang w:eastAsia="en-AU"/>
        </w:rPr>
        <w:t>Under the Determination eligible activitie</w:t>
      </w:r>
      <w:r w:rsidR="00405E7A">
        <w:rPr>
          <w:lang w:eastAsia="en-AU"/>
        </w:rPr>
        <w:t>s</w:t>
      </w:r>
      <w:r>
        <w:rPr>
          <w:lang w:eastAsia="en-AU"/>
        </w:rPr>
        <w:t xml:space="preserve"> may be new, recommencing, upgrade or transitioning activities. </w:t>
      </w:r>
      <w:r w:rsidRPr="00D56885">
        <w:rPr>
          <w:lang w:eastAsia="en-AU"/>
        </w:rPr>
        <w:t xml:space="preserve">The Determination requires an </w:t>
      </w:r>
      <w:r w:rsidRPr="00D56885">
        <w:t>upgrade project to have a higher gas collection efficiency than applied in the two years before a project is registered. The</w:t>
      </w:r>
      <w:r w:rsidR="007256DD">
        <w:t> </w:t>
      </w:r>
      <w:r w:rsidRPr="00D56885">
        <w:t xml:space="preserve">Committee found in its periodic review that </w:t>
      </w:r>
      <w:r w:rsidR="00313A08" w:rsidRPr="00D56885">
        <w:t>requirements for an upgrade project should ensure that the upgrade involves an increase in gas capture and combustion beyond what would ordinarily occur.</w:t>
      </w:r>
      <w:r>
        <w:rPr>
          <w:lang w:eastAsia="en-AU"/>
        </w:rPr>
        <w:t xml:space="preserve"> </w:t>
      </w:r>
    </w:p>
    <w:p w14:paraId="1CCAFCED" w14:textId="6A4FA2D5" w:rsidR="001A05F5" w:rsidRDefault="00706B70" w:rsidP="007256DD">
      <w:pPr>
        <w:rPr>
          <w:lang w:eastAsia="en-AU"/>
        </w:rPr>
      </w:pPr>
      <w:r>
        <w:rPr>
          <w:lang w:eastAsia="en-AU"/>
        </w:rPr>
        <w:t>The V</w:t>
      </w:r>
      <w:r w:rsidR="00366EE5">
        <w:rPr>
          <w:lang w:eastAsia="en-AU"/>
        </w:rPr>
        <w:t xml:space="preserve">ariation </w:t>
      </w:r>
      <w:r w:rsidR="00B81E79">
        <w:rPr>
          <w:lang w:eastAsia="en-AU"/>
        </w:rPr>
        <w:t>amends</w:t>
      </w:r>
      <w:r w:rsidR="00112129">
        <w:rPr>
          <w:lang w:eastAsia="en-AU"/>
        </w:rPr>
        <w:t xml:space="preserve"> section</w:t>
      </w:r>
      <w:r w:rsidR="00BE0BF6">
        <w:rPr>
          <w:lang w:eastAsia="en-AU"/>
        </w:rPr>
        <w:t>s</w:t>
      </w:r>
      <w:r w:rsidR="00366EE5" w:rsidRPr="00347681">
        <w:rPr>
          <w:lang w:eastAsia="en-AU"/>
        </w:rPr>
        <w:t xml:space="preserve"> 11</w:t>
      </w:r>
      <w:r w:rsidR="00FA6343" w:rsidRPr="00347681">
        <w:rPr>
          <w:lang w:eastAsia="en-AU"/>
        </w:rPr>
        <w:t xml:space="preserve"> </w:t>
      </w:r>
      <w:r w:rsidR="00BE0BF6">
        <w:rPr>
          <w:lang w:eastAsia="en-AU"/>
        </w:rPr>
        <w:t xml:space="preserve">and 29 </w:t>
      </w:r>
      <w:r w:rsidRPr="00347681">
        <w:rPr>
          <w:lang w:eastAsia="en-AU"/>
        </w:rPr>
        <w:t>of the Determination</w:t>
      </w:r>
      <w:r w:rsidR="00112129">
        <w:rPr>
          <w:lang w:eastAsia="en-AU"/>
        </w:rPr>
        <w:t xml:space="preserve"> and adds a new section 13A after section 13 in Part 3 – Project requirements</w:t>
      </w:r>
      <w:r w:rsidR="00366EE5" w:rsidRPr="00D56885">
        <w:rPr>
          <w:lang w:eastAsia="en-AU"/>
        </w:rPr>
        <w:t>. The amendment</w:t>
      </w:r>
      <w:r w:rsidR="00CE3B59" w:rsidRPr="00D56885">
        <w:rPr>
          <w:lang w:eastAsia="en-AU"/>
        </w:rPr>
        <w:t>s</w:t>
      </w:r>
      <w:r w:rsidR="00366EE5" w:rsidRPr="00D56885">
        <w:rPr>
          <w:lang w:eastAsia="en-AU"/>
        </w:rPr>
        <w:t xml:space="preserve"> to section</w:t>
      </w:r>
      <w:r w:rsidR="00BE0BF6" w:rsidRPr="00D56885">
        <w:rPr>
          <w:lang w:eastAsia="en-AU"/>
        </w:rPr>
        <w:t>s</w:t>
      </w:r>
      <w:r w:rsidR="00366EE5" w:rsidRPr="00D56885">
        <w:rPr>
          <w:lang w:eastAsia="en-AU"/>
        </w:rPr>
        <w:t xml:space="preserve"> 11</w:t>
      </w:r>
      <w:r w:rsidR="00BE0BF6" w:rsidRPr="00D56885">
        <w:rPr>
          <w:lang w:eastAsia="en-AU"/>
        </w:rPr>
        <w:t xml:space="preserve"> and 29</w:t>
      </w:r>
      <w:r w:rsidR="00366EE5" w:rsidRPr="00D56885">
        <w:rPr>
          <w:lang w:eastAsia="en-AU"/>
        </w:rPr>
        <w:t xml:space="preserve"> </w:t>
      </w:r>
      <w:r w:rsidR="00CE3B59" w:rsidRPr="00D56885">
        <w:rPr>
          <w:lang w:eastAsia="en-AU"/>
        </w:rPr>
        <w:t xml:space="preserve">strengthen </w:t>
      </w:r>
      <w:r w:rsidR="00112129" w:rsidRPr="00D56885">
        <w:rPr>
          <w:lang w:eastAsia="en-AU"/>
        </w:rPr>
        <w:t xml:space="preserve">the definition of an upgrade project </w:t>
      </w:r>
      <w:r w:rsidR="00313A08" w:rsidRPr="00D56885">
        <w:rPr>
          <w:lang w:eastAsia="en-AU"/>
        </w:rPr>
        <w:t xml:space="preserve">by including additional requirements </w:t>
      </w:r>
      <w:r w:rsidR="00671ADE" w:rsidRPr="00D56885">
        <w:rPr>
          <w:lang w:eastAsia="en-AU"/>
        </w:rPr>
        <w:t xml:space="preserve">such as installing new wells </w:t>
      </w:r>
      <w:r w:rsidR="00ED4E36" w:rsidRPr="00D56885">
        <w:rPr>
          <w:lang w:eastAsia="en-AU"/>
        </w:rPr>
        <w:t xml:space="preserve">and providing operational records </w:t>
      </w:r>
      <w:r w:rsidR="002E2ACA" w:rsidRPr="00D56885">
        <w:rPr>
          <w:lang w:eastAsia="en-AU"/>
        </w:rPr>
        <w:t xml:space="preserve">for </w:t>
      </w:r>
      <w:r w:rsidR="003A4A2C" w:rsidRPr="00D56885">
        <w:rPr>
          <w:lang w:eastAsia="en-AU"/>
        </w:rPr>
        <w:t>four</w:t>
      </w:r>
      <w:r w:rsidR="00ED4E36" w:rsidRPr="00D56885">
        <w:rPr>
          <w:lang w:eastAsia="en-AU"/>
        </w:rPr>
        <w:t xml:space="preserve"> years</w:t>
      </w:r>
      <w:r w:rsidR="00313A08" w:rsidRPr="00D56885">
        <w:rPr>
          <w:lang w:eastAsia="en-AU"/>
        </w:rPr>
        <w:t>. These requirements</w:t>
      </w:r>
      <w:r w:rsidR="00671ADE" w:rsidRPr="00D56885">
        <w:rPr>
          <w:lang w:eastAsia="en-AU"/>
        </w:rPr>
        <w:t xml:space="preserve"> ensure the upgrade involves an increase in gas capture and combustion beyond what would ordinarily occur. </w:t>
      </w:r>
      <w:r w:rsidR="00927CD3" w:rsidRPr="00D56885">
        <w:rPr>
          <w:lang w:eastAsia="en-AU"/>
        </w:rPr>
        <w:t>The amendment</w:t>
      </w:r>
      <w:r w:rsidR="00BE0BF6" w:rsidRPr="00D56885">
        <w:rPr>
          <w:lang w:eastAsia="en-AU"/>
        </w:rPr>
        <w:t xml:space="preserve"> to section 29 </w:t>
      </w:r>
      <w:r w:rsidR="00313A08" w:rsidRPr="00D56885">
        <w:rPr>
          <w:lang w:eastAsia="en-AU"/>
        </w:rPr>
        <w:t xml:space="preserve">also </w:t>
      </w:r>
      <w:r w:rsidR="00927CD3" w:rsidRPr="00D56885">
        <w:rPr>
          <w:lang w:eastAsia="en-AU"/>
        </w:rPr>
        <w:t>specifies</w:t>
      </w:r>
      <w:r w:rsidR="00BE0BF6" w:rsidRPr="00D56885">
        <w:rPr>
          <w:lang w:eastAsia="en-AU"/>
        </w:rPr>
        <w:t xml:space="preserve"> that the collection efficiency of the existing landfill gas system is the</w:t>
      </w:r>
      <w:r w:rsidR="00A00CF2" w:rsidRPr="00D56885">
        <w:rPr>
          <w:lang w:eastAsia="en-AU"/>
        </w:rPr>
        <w:t xml:space="preserve"> </w:t>
      </w:r>
      <w:r w:rsidR="00C719A3">
        <w:rPr>
          <w:lang w:eastAsia="en-AU"/>
        </w:rPr>
        <w:t xml:space="preserve">higher of </w:t>
      </w:r>
      <w:r w:rsidR="00147D3E" w:rsidRPr="00D56885">
        <w:rPr>
          <w:lang w:eastAsia="en-AU"/>
        </w:rPr>
        <w:t xml:space="preserve">the </w:t>
      </w:r>
      <w:r w:rsidR="00422F78" w:rsidRPr="00D56885">
        <w:rPr>
          <w:lang w:eastAsia="en-AU"/>
        </w:rPr>
        <w:t xml:space="preserve">annual </w:t>
      </w:r>
      <w:r w:rsidR="00A00CF2" w:rsidRPr="00D56885">
        <w:rPr>
          <w:lang w:eastAsia="en-AU"/>
        </w:rPr>
        <w:t>average</w:t>
      </w:r>
      <w:r w:rsidR="00BE0BF6" w:rsidRPr="00D56885">
        <w:rPr>
          <w:lang w:eastAsia="en-AU"/>
        </w:rPr>
        <w:t xml:space="preserve"> </w:t>
      </w:r>
      <w:r w:rsidR="00B541EB" w:rsidRPr="00D56885">
        <w:rPr>
          <w:lang w:eastAsia="en-AU"/>
        </w:rPr>
        <w:t xml:space="preserve">efficiency achieved in the </w:t>
      </w:r>
      <w:r w:rsidR="00A00CF2" w:rsidRPr="00D56885">
        <w:rPr>
          <w:lang w:eastAsia="en-AU"/>
        </w:rPr>
        <w:t xml:space="preserve">two </w:t>
      </w:r>
      <w:r w:rsidR="00147D3E" w:rsidRPr="00D56885">
        <w:rPr>
          <w:lang w:eastAsia="en-AU"/>
        </w:rPr>
        <w:t xml:space="preserve">or </w:t>
      </w:r>
      <w:r w:rsidR="00313A08" w:rsidRPr="00D56885">
        <w:rPr>
          <w:lang w:eastAsia="en-AU"/>
        </w:rPr>
        <w:t>four</w:t>
      </w:r>
      <w:r w:rsidR="00B541EB" w:rsidRPr="00D56885">
        <w:rPr>
          <w:lang w:eastAsia="en-AU"/>
        </w:rPr>
        <w:t xml:space="preserve"> years </w:t>
      </w:r>
      <w:r w:rsidR="00D56885" w:rsidRPr="00D56885">
        <w:rPr>
          <w:lang w:eastAsia="en-AU"/>
        </w:rPr>
        <w:t xml:space="preserve">immediately prior to </w:t>
      </w:r>
      <w:r w:rsidR="00B541EB" w:rsidRPr="00D56885">
        <w:rPr>
          <w:lang w:eastAsia="en-AU"/>
        </w:rPr>
        <w:t xml:space="preserve">the upgrade </w:t>
      </w:r>
      <w:r w:rsidR="00D56885" w:rsidRPr="00D56885">
        <w:rPr>
          <w:lang w:eastAsia="en-AU"/>
        </w:rPr>
        <w:t>being</w:t>
      </w:r>
      <w:r w:rsidR="00B541EB" w:rsidRPr="00D56885">
        <w:rPr>
          <w:lang w:eastAsia="en-AU"/>
        </w:rPr>
        <w:t xml:space="preserve"> implemented</w:t>
      </w:r>
      <w:r w:rsidR="00B541EB">
        <w:rPr>
          <w:lang w:eastAsia="en-AU"/>
        </w:rPr>
        <w:t xml:space="preserve">. </w:t>
      </w:r>
      <w:r w:rsidR="00B8121F">
        <w:rPr>
          <w:lang w:eastAsia="en-AU"/>
        </w:rPr>
        <w:t>Applying</w:t>
      </w:r>
      <w:r w:rsidR="0075041F">
        <w:rPr>
          <w:lang w:eastAsia="en-AU"/>
        </w:rPr>
        <w:t xml:space="preserve"> the hi</w:t>
      </w:r>
      <w:r w:rsidR="008D5ADA">
        <w:rPr>
          <w:lang w:eastAsia="en-AU"/>
        </w:rPr>
        <w:t xml:space="preserve">gher of the two annual averages </w:t>
      </w:r>
      <w:r w:rsidR="0075041F">
        <w:rPr>
          <w:lang w:eastAsia="en-AU"/>
        </w:rPr>
        <w:t xml:space="preserve">applies a </w:t>
      </w:r>
      <w:r w:rsidR="00CA3D8B">
        <w:rPr>
          <w:lang w:eastAsia="en-AU"/>
        </w:rPr>
        <w:t>wider</w:t>
      </w:r>
      <w:r w:rsidR="00572BF7">
        <w:rPr>
          <w:lang w:eastAsia="en-AU"/>
        </w:rPr>
        <w:t xml:space="preserve"> range of </w:t>
      </w:r>
      <w:r w:rsidR="008D5ADA">
        <w:rPr>
          <w:lang w:eastAsia="en-AU"/>
        </w:rPr>
        <w:t xml:space="preserve">historical </w:t>
      </w:r>
      <w:r w:rsidR="00572BF7">
        <w:rPr>
          <w:lang w:eastAsia="en-AU"/>
        </w:rPr>
        <w:t>data</w:t>
      </w:r>
      <w:r w:rsidR="00B8121F">
        <w:rPr>
          <w:lang w:eastAsia="en-AU"/>
        </w:rPr>
        <w:t xml:space="preserve"> to determining previous site operational levels,</w:t>
      </w:r>
      <w:r w:rsidR="0082393C">
        <w:rPr>
          <w:lang w:eastAsia="en-AU"/>
        </w:rPr>
        <w:t xml:space="preserve"> maintaining </w:t>
      </w:r>
      <w:r w:rsidR="006F6CD5">
        <w:rPr>
          <w:lang w:eastAsia="en-AU"/>
        </w:rPr>
        <w:t xml:space="preserve">the </w:t>
      </w:r>
      <w:r w:rsidR="00CA3D8B">
        <w:rPr>
          <w:lang w:eastAsia="en-AU"/>
        </w:rPr>
        <w:t>conservati</w:t>
      </w:r>
      <w:r w:rsidR="006F6CD5">
        <w:rPr>
          <w:lang w:eastAsia="en-AU"/>
        </w:rPr>
        <w:t>veness</w:t>
      </w:r>
      <w:r w:rsidR="00CA3D8B">
        <w:rPr>
          <w:lang w:eastAsia="en-AU"/>
        </w:rPr>
        <w:t xml:space="preserve"> of the abatement calculations</w:t>
      </w:r>
      <w:r w:rsidR="00B8121F">
        <w:rPr>
          <w:lang w:eastAsia="en-AU"/>
        </w:rPr>
        <w:t>.</w:t>
      </w:r>
      <w:r w:rsidR="00F238A4">
        <w:rPr>
          <w:lang w:eastAsia="en-AU"/>
        </w:rPr>
        <w:t xml:space="preserve"> </w:t>
      </w:r>
      <w:r w:rsidR="00905CAE">
        <w:rPr>
          <w:lang w:eastAsia="en-AU"/>
        </w:rPr>
        <w:t>U</w:t>
      </w:r>
      <w:r w:rsidR="00EF1AB0">
        <w:rPr>
          <w:lang w:eastAsia="en-AU"/>
        </w:rPr>
        <w:t xml:space="preserve">pgrade projects </w:t>
      </w:r>
      <w:r w:rsidR="00905CAE">
        <w:rPr>
          <w:lang w:eastAsia="en-AU"/>
        </w:rPr>
        <w:t xml:space="preserve">declared as eligible offsets projects </w:t>
      </w:r>
      <w:r w:rsidR="00787E35">
        <w:rPr>
          <w:lang w:eastAsia="en-AU"/>
        </w:rPr>
        <w:t xml:space="preserve">before the Variation </w:t>
      </w:r>
      <w:r w:rsidR="00DD0FE5">
        <w:rPr>
          <w:lang w:eastAsia="en-AU"/>
        </w:rPr>
        <w:t xml:space="preserve">commenced </w:t>
      </w:r>
      <w:r w:rsidR="007A75C4">
        <w:rPr>
          <w:lang w:eastAsia="en-AU"/>
        </w:rPr>
        <w:t xml:space="preserve">that </w:t>
      </w:r>
      <w:r w:rsidR="00B074A7">
        <w:rPr>
          <w:lang w:eastAsia="en-AU"/>
        </w:rPr>
        <w:t xml:space="preserve">apply </w:t>
      </w:r>
      <w:r w:rsidR="007A75C4">
        <w:rPr>
          <w:lang w:eastAsia="en-AU"/>
        </w:rPr>
        <w:t xml:space="preserve">the varied Determination through an application </w:t>
      </w:r>
      <w:r w:rsidR="00340432">
        <w:rPr>
          <w:lang w:eastAsia="en-AU"/>
        </w:rPr>
        <w:t xml:space="preserve">approved </w:t>
      </w:r>
      <w:r w:rsidR="007A75C4">
        <w:rPr>
          <w:lang w:eastAsia="en-AU"/>
        </w:rPr>
        <w:t xml:space="preserve">under section </w:t>
      </w:r>
      <w:r w:rsidR="00340432">
        <w:rPr>
          <w:lang w:eastAsia="en-AU"/>
        </w:rPr>
        <w:t xml:space="preserve">130 </w:t>
      </w:r>
      <w:r w:rsidR="007A75C4">
        <w:rPr>
          <w:lang w:eastAsia="en-AU"/>
        </w:rPr>
        <w:t xml:space="preserve">of the Act </w:t>
      </w:r>
      <w:r w:rsidR="00A077EE">
        <w:rPr>
          <w:lang w:eastAsia="en-AU"/>
        </w:rPr>
        <w:t xml:space="preserve">have their collection efficiency </w:t>
      </w:r>
      <w:r w:rsidR="00910576">
        <w:rPr>
          <w:lang w:eastAsia="en-AU"/>
        </w:rPr>
        <w:t>determined</w:t>
      </w:r>
      <w:r w:rsidR="00434A71">
        <w:rPr>
          <w:lang w:eastAsia="en-AU"/>
        </w:rPr>
        <w:t xml:space="preserve"> on the basis of annual average efficiency achieved </w:t>
      </w:r>
      <w:r w:rsidR="00E440CD">
        <w:rPr>
          <w:lang w:eastAsia="en-AU"/>
        </w:rPr>
        <w:t>over</w:t>
      </w:r>
      <w:r w:rsidR="009F4452">
        <w:rPr>
          <w:lang w:eastAsia="en-AU"/>
        </w:rPr>
        <w:t xml:space="preserve"> as many as four years and as few as two years</w:t>
      </w:r>
      <w:r w:rsidR="00596D38">
        <w:rPr>
          <w:lang w:eastAsia="en-AU"/>
        </w:rPr>
        <w:t xml:space="preserve"> prior to the upgrade</w:t>
      </w:r>
      <w:r w:rsidR="009F4452">
        <w:rPr>
          <w:lang w:eastAsia="en-AU"/>
        </w:rPr>
        <w:t xml:space="preserve">, depending upon the </w:t>
      </w:r>
      <w:r w:rsidR="00E440CD">
        <w:rPr>
          <w:lang w:eastAsia="en-AU"/>
        </w:rPr>
        <w:t xml:space="preserve">length of time for which </w:t>
      </w:r>
      <w:r w:rsidR="009F4452">
        <w:rPr>
          <w:lang w:eastAsia="en-AU"/>
        </w:rPr>
        <w:t xml:space="preserve">data </w:t>
      </w:r>
      <w:r w:rsidR="00E440CD">
        <w:rPr>
          <w:lang w:eastAsia="en-AU"/>
        </w:rPr>
        <w:t xml:space="preserve">is </w:t>
      </w:r>
      <w:r w:rsidR="009F4452">
        <w:rPr>
          <w:lang w:eastAsia="en-AU"/>
        </w:rPr>
        <w:t xml:space="preserve">available to the project participants. </w:t>
      </w:r>
      <w:r w:rsidR="00787E35">
        <w:rPr>
          <w:lang w:eastAsia="en-AU"/>
        </w:rPr>
        <w:t xml:space="preserve"> </w:t>
      </w:r>
    </w:p>
    <w:p w14:paraId="2D483C7C" w14:textId="3C912E6C" w:rsidR="00366EE5" w:rsidRDefault="00833460" w:rsidP="007256DD">
      <w:pPr>
        <w:rPr>
          <w:rFonts w:cs="Arial"/>
        </w:rPr>
      </w:pPr>
      <w:r w:rsidRPr="00D56885">
        <w:rPr>
          <w:lang w:eastAsia="en-AU"/>
        </w:rPr>
        <w:t xml:space="preserve">The new section 13A </w:t>
      </w:r>
      <w:r w:rsidR="006F3D7B" w:rsidRPr="00D56885">
        <w:rPr>
          <w:lang w:eastAsia="en-AU"/>
        </w:rPr>
        <w:t xml:space="preserve">extends the </w:t>
      </w:r>
      <w:r w:rsidR="00ED2E1E">
        <w:rPr>
          <w:lang w:eastAsia="en-AU"/>
        </w:rPr>
        <w:t xml:space="preserve">only </w:t>
      </w:r>
      <w:r w:rsidR="006F3D7B" w:rsidRPr="00D56885">
        <w:rPr>
          <w:lang w:eastAsia="en-AU"/>
        </w:rPr>
        <w:t xml:space="preserve">crediting period </w:t>
      </w:r>
      <w:r w:rsidR="00134CDA">
        <w:rPr>
          <w:lang w:eastAsia="en-AU"/>
        </w:rPr>
        <w:t xml:space="preserve">under </w:t>
      </w:r>
      <w:r w:rsidR="00BC2747">
        <w:rPr>
          <w:lang w:eastAsia="en-AU"/>
        </w:rPr>
        <w:t>subsection</w:t>
      </w:r>
      <w:r w:rsidR="00134CDA">
        <w:rPr>
          <w:lang w:eastAsia="en-AU"/>
        </w:rPr>
        <w:t xml:space="preserve"> 69(3)</w:t>
      </w:r>
      <w:r w:rsidR="00BC2747">
        <w:rPr>
          <w:lang w:eastAsia="en-AU"/>
        </w:rPr>
        <w:t xml:space="preserve"> </w:t>
      </w:r>
      <w:r w:rsidR="00134CDA">
        <w:rPr>
          <w:lang w:eastAsia="en-AU"/>
        </w:rPr>
        <w:t xml:space="preserve">of the Act, </w:t>
      </w:r>
      <w:r w:rsidR="00D82AAD">
        <w:rPr>
          <w:lang w:eastAsia="en-AU"/>
        </w:rPr>
        <w:t>and</w:t>
      </w:r>
      <w:r w:rsidR="00134CDA">
        <w:rPr>
          <w:lang w:eastAsia="en-AU"/>
        </w:rPr>
        <w:t xml:space="preserve"> the second crediting period under paragraph </w:t>
      </w:r>
      <w:r w:rsidR="00DD1383">
        <w:rPr>
          <w:lang w:eastAsia="en-AU"/>
        </w:rPr>
        <w:t>70(3)(d)</w:t>
      </w:r>
      <w:r w:rsidR="008609C0">
        <w:rPr>
          <w:lang w:eastAsia="en-AU"/>
        </w:rPr>
        <w:t xml:space="preserve"> </w:t>
      </w:r>
      <w:r w:rsidR="00DD1383">
        <w:rPr>
          <w:lang w:eastAsia="en-AU"/>
        </w:rPr>
        <w:t>of the Act,</w:t>
      </w:r>
      <w:r w:rsidR="00134CDA">
        <w:rPr>
          <w:lang w:eastAsia="en-AU"/>
        </w:rPr>
        <w:t xml:space="preserve"> </w:t>
      </w:r>
      <w:r w:rsidR="006F3D7B" w:rsidRPr="00D56885">
        <w:rPr>
          <w:lang w:eastAsia="en-AU"/>
        </w:rPr>
        <w:t xml:space="preserve">for projects </w:t>
      </w:r>
      <w:r w:rsidR="00CE3B59" w:rsidRPr="00D56885">
        <w:rPr>
          <w:lang w:eastAsia="en-AU"/>
        </w:rPr>
        <w:t xml:space="preserve">that </w:t>
      </w:r>
      <w:r w:rsidR="00457D2F" w:rsidRPr="00D56885">
        <w:rPr>
          <w:lang w:eastAsia="en-AU"/>
        </w:rPr>
        <w:t xml:space="preserve">switch between </w:t>
      </w:r>
      <w:r w:rsidR="00CE3B59" w:rsidRPr="00D56885">
        <w:rPr>
          <w:lang w:eastAsia="en-AU"/>
        </w:rPr>
        <w:t>flar</w:t>
      </w:r>
      <w:r w:rsidR="00457D2F" w:rsidRPr="00D56885">
        <w:rPr>
          <w:lang w:eastAsia="en-AU"/>
        </w:rPr>
        <w:t>ing</w:t>
      </w:r>
      <w:r w:rsidR="00313A08" w:rsidRPr="00D56885">
        <w:rPr>
          <w:lang w:eastAsia="en-AU"/>
        </w:rPr>
        <w:t xml:space="preserve"> </w:t>
      </w:r>
      <w:r w:rsidR="00457D2F" w:rsidRPr="00D56885">
        <w:rPr>
          <w:lang w:eastAsia="en-AU"/>
        </w:rPr>
        <w:t xml:space="preserve">and </w:t>
      </w:r>
      <w:r w:rsidR="00CE3B59" w:rsidRPr="00D56885">
        <w:rPr>
          <w:lang w:eastAsia="en-AU"/>
        </w:rPr>
        <w:t>generat</w:t>
      </w:r>
      <w:r w:rsidR="00457D2F" w:rsidRPr="00D56885">
        <w:rPr>
          <w:lang w:eastAsia="en-AU"/>
        </w:rPr>
        <w:t>ing</w:t>
      </w:r>
      <w:r w:rsidR="00CE3B59" w:rsidRPr="00D56885">
        <w:rPr>
          <w:lang w:eastAsia="en-AU"/>
        </w:rPr>
        <w:t xml:space="preserve"> electricity</w:t>
      </w:r>
      <w:r w:rsidR="00457D2F" w:rsidRPr="00D56885">
        <w:rPr>
          <w:lang w:eastAsia="en-AU"/>
        </w:rPr>
        <w:t>, and vice-versa,</w:t>
      </w:r>
      <w:r w:rsidR="00CE3B59" w:rsidRPr="00D56885">
        <w:rPr>
          <w:lang w:eastAsia="en-AU"/>
        </w:rPr>
        <w:t xml:space="preserve"> </w:t>
      </w:r>
      <w:r w:rsidR="006F3D7B" w:rsidRPr="00D56885">
        <w:rPr>
          <w:lang w:eastAsia="en-AU"/>
        </w:rPr>
        <w:t xml:space="preserve">to </w:t>
      </w:r>
      <w:r w:rsidR="00CE3B59" w:rsidRPr="00D56885">
        <w:rPr>
          <w:lang w:eastAsia="en-AU"/>
        </w:rPr>
        <w:t xml:space="preserve">a total of </w:t>
      </w:r>
      <w:r w:rsidR="003A4A2C" w:rsidRPr="00D56885">
        <w:rPr>
          <w:lang w:eastAsia="en-AU"/>
        </w:rPr>
        <w:t>twelve</w:t>
      </w:r>
      <w:r w:rsidR="006F3D7B" w:rsidRPr="00D56885">
        <w:rPr>
          <w:lang w:eastAsia="en-AU"/>
        </w:rPr>
        <w:t xml:space="preserve"> years</w:t>
      </w:r>
      <w:r w:rsidR="00E95953" w:rsidRPr="00D56885">
        <w:rPr>
          <w:lang w:eastAsia="en-AU"/>
        </w:rPr>
        <w:t xml:space="preserve">, but with a maximum of seven years </w:t>
      </w:r>
      <w:r w:rsidR="006F6CD5">
        <w:rPr>
          <w:lang w:eastAsia="en-AU"/>
        </w:rPr>
        <w:t xml:space="preserve">of </w:t>
      </w:r>
      <w:r w:rsidR="00E95953" w:rsidRPr="00D56885">
        <w:rPr>
          <w:lang w:eastAsia="en-AU"/>
        </w:rPr>
        <w:t>generation</w:t>
      </w:r>
      <w:r w:rsidR="002C1D84">
        <w:rPr>
          <w:lang w:eastAsia="en-AU"/>
        </w:rPr>
        <w:t xml:space="preserve"> during </w:t>
      </w:r>
      <w:r w:rsidR="00B545DC">
        <w:rPr>
          <w:lang w:eastAsia="en-AU"/>
        </w:rPr>
        <w:t>the extended</w:t>
      </w:r>
      <w:r w:rsidR="002C1D84">
        <w:rPr>
          <w:lang w:eastAsia="en-AU"/>
        </w:rPr>
        <w:t xml:space="preserve"> crediting period</w:t>
      </w:r>
      <w:r w:rsidR="006F3D7B" w:rsidRPr="00D56885">
        <w:rPr>
          <w:lang w:eastAsia="en-AU"/>
        </w:rPr>
        <w:t xml:space="preserve">. </w:t>
      </w:r>
      <w:r w:rsidR="00E95953" w:rsidRPr="00D56885">
        <w:rPr>
          <w:lang w:eastAsia="en-AU"/>
        </w:rPr>
        <w:t xml:space="preserve">The increased flexibility will ensure continued capture and combustion, by encouraging flaring projects to shift to generation as gas collection expands, and conversely for generation projects to switch to flaring as gas collection declines. </w:t>
      </w:r>
      <w:r w:rsidR="00C33955">
        <w:t xml:space="preserve">The </w:t>
      </w:r>
      <w:r w:rsidR="006F6CD5">
        <w:t>longer crediting</w:t>
      </w:r>
      <w:r w:rsidR="00C33955">
        <w:t xml:space="preserve"> period</w:t>
      </w:r>
      <w:r w:rsidR="00147D3E">
        <w:t xml:space="preserve"> </w:t>
      </w:r>
      <w:r w:rsidR="00E95953">
        <w:t xml:space="preserve">also </w:t>
      </w:r>
      <w:r w:rsidR="00405E7A">
        <w:t xml:space="preserve">allows </w:t>
      </w:r>
      <w:r w:rsidR="00E95953">
        <w:t xml:space="preserve">flaring </w:t>
      </w:r>
      <w:r w:rsidR="00405E7A">
        <w:t>project</w:t>
      </w:r>
      <w:r w:rsidR="006F6CD5">
        <w:t xml:space="preserve"> proponents</w:t>
      </w:r>
      <w:r w:rsidR="00405E7A">
        <w:t xml:space="preserve"> </w:t>
      </w:r>
      <w:r w:rsidR="00E95953">
        <w:t xml:space="preserve">time to determine feasibility of switching to generation, including time to </w:t>
      </w:r>
      <w:r w:rsidR="001B2962">
        <w:t>verify the resource</w:t>
      </w:r>
      <w:r w:rsidR="00405E7A">
        <w:t>;</w:t>
      </w:r>
      <w:r w:rsidR="001B2962">
        <w:t xml:space="preserve"> design, procure and commission the generation system</w:t>
      </w:r>
      <w:r w:rsidR="00405E7A">
        <w:t>;</w:t>
      </w:r>
      <w:r w:rsidR="001B2962">
        <w:t xml:space="preserve"> and establish a</w:t>
      </w:r>
      <w:r w:rsidR="00746132">
        <w:t>n electricity</w:t>
      </w:r>
      <w:r w:rsidR="001B2962">
        <w:t xml:space="preserve"> grid connection.</w:t>
      </w:r>
      <w:r w:rsidR="001B2962">
        <w:rPr>
          <w:rFonts w:cs="Arial"/>
        </w:rPr>
        <w:t xml:space="preserve"> </w:t>
      </w:r>
    </w:p>
    <w:p w14:paraId="45A1AF6A" w14:textId="50166DE8" w:rsidR="00C719A3" w:rsidRDefault="00C719A3" w:rsidP="007256DD">
      <w:pPr>
        <w:rPr>
          <w:lang w:eastAsia="en-AU"/>
        </w:rPr>
      </w:pPr>
      <w:r>
        <w:rPr>
          <w:lang w:eastAsia="en-AU"/>
        </w:rPr>
        <w:t xml:space="preserve">The Variation also adds a </w:t>
      </w:r>
      <w:r w:rsidRPr="00D56885">
        <w:rPr>
          <w:lang w:eastAsia="en-AU"/>
        </w:rPr>
        <w:t>new section 11A</w:t>
      </w:r>
      <w:r>
        <w:rPr>
          <w:lang w:eastAsia="en-AU"/>
        </w:rPr>
        <w:t xml:space="preserve"> after section 11 to provide</w:t>
      </w:r>
      <w:r w:rsidRPr="00D56885">
        <w:rPr>
          <w:lang w:eastAsia="en-AU"/>
        </w:rPr>
        <w:t xml:space="preserve"> a definition for a restarting flaring project</w:t>
      </w:r>
      <w:r w:rsidR="006F6CD5">
        <w:rPr>
          <w:lang w:eastAsia="en-AU"/>
        </w:rPr>
        <w:t>. This provision sets out the conditions under which a</w:t>
      </w:r>
      <w:r>
        <w:rPr>
          <w:lang w:eastAsia="en-AU"/>
        </w:rPr>
        <w:t xml:space="preserve"> project</w:t>
      </w:r>
      <w:r w:rsidR="006F6CD5">
        <w:rPr>
          <w:lang w:eastAsia="en-AU"/>
        </w:rPr>
        <w:t xml:space="preserve"> proponent can apply to </w:t>
      </w:r>
      <w:r w:rsidR="00746132">
        <w:rPr>
          <w:lang w:eastAsia="en-AU"/>
        </w:rPr>
        <w:t xml:space="preserve">restart </w:t>
      </w:r>
      <w:r w:rsidR="000B4D2C">
        <w:rPr>
          <w:lang w:eastAsia="en-AU"/>
        </w:rPr>
        <w:t xml:space="preserve">a previous </w:t>
      </w:r>
      <w:r w:rsidR="005C540B">
        <w:rPr>
          <w:lang w:eastAsia="en-AU"/>
        </w:rPr>
        <w:t xml:space="preserve">new, recommencing, upgrade or transitioning </w:t>
      </w:r>
      <w:r w:rsidR="000B4D2C">
        <w:rPr>
          <w:lang w:eastAsia="en-AU"/>
        </w:rPr>
        <w:t xml:space="preserve">landfill gas project that </w:t>
      </w:r>
      <w:r w:rsidR="00EA4E62">
        <w:rPr>
          <w:lang w:eastAsia="en-AU"/>
        </w:rPr>
        <w:t>generated</w:t>
      </w:r>
      <w:r w:rsidR="000B4D2C">
        <w:rPr>
          <w:lang w:eastAsia="en-AU"/>
        </w:rPr>
        <w:t xml:space="preserve"> electric</w:t>
      </w:r>
      <w:r w:rsidR="005F44EF">
        <w:rPr>
          <w:lang w:eastAsia="en-AU"/>
        </w:rPr>
        <w:t>it</w:t>
      </w:r>
      <w:r w:rsidR="000B4D2C">
        <w:rPr>
          <w:lang w:eastAsia="en-AU"/>
        </w:rPr>
        <w:t xml:space="preserve">y </w:t>
      </w:r>
      <w:r w:rsidR="00746132">
        <w:rPr>
          <w:lang w:eastAsia="en-AU"/>
        </w:rPr>
        <w:t>as a</w:t>
      </w:r>
      <w:r>
        <w:rPr>
          <w:lang w:eastAsia="en-AU"/>
        </w:rPr>
        <w:t xml:space="preserve"> flaring</w:t>
      </w:r>
      <w:r w:rsidR="005A0471">
        <w:rPr>
          <w:lang w:eastAsia="en-AU"/>
        </w:rPr>
        <w:t xml:space="preserve"> </w:t>
      </w:r>
      <w:r w:rsidR="00746132">
        <w:rPr>
          <w:lang w:eastAsia="en-AU"/>
        </w:rPr>
        <w:t xml:space="preserve">project </w:t>
      </w:r>
      <w:r w:rsidR="005A0471">
        <w:rPr>
          <w:lang w:eastAsia="en-AU"/>
        </w:rPr>
        <w:t xml:space="preserve">once </w:t>
      </w:r>
      <w:r w:rsidR="008C12F3">
        <w:rPr>
          <w:lang w:eastAsia="en-AU"/>
        </w:rPr>
        <w:t xml:space="preserve">its </w:t>
      </w:r>
      <w:r w:rsidR="005A0471">
        <w:rPr>
          <w:lang w:eastAsia="en-AU"/>
        </w:rPr>
        <w:t>crediting period has ended</w:t>
      </w:r>
      <w:r>
        <w:rPr>
          <w:lang w:eastAsia="en-AU"/>
        </w:rPr>
        <w:t>. Section 11A sets out requirements to apply for a restarting flaring project.</w:t>
      </w:r>
      <w:r w:rsidR="00532885">
        <w:rPr>
          <w:lang w:eastAsia="en-AU"/>
        </w:rPr>
        <w:t xml:space="preserve"> The crediting period for a restarting flaring project </w:t>
      </w:r>
      <w:r w:rsidR="006B48A5">
        <w:rPr>
          <w:lang w:eastAsia="en-AU"/>
        </w:rPr>
        <w:t xml:space="preserve">is </w:t>
      </w:r>
      <w:r w:rsidR="00FE1056">
        <w:rPr>
          <w:lang w:eastAsia="en-AU"/>
        </w:rPr>
        <w:t xml:space="preserve">12 years minus </w:t>
      </w:r>
      <w:r w:rsidR="00B52B9C">
        <w:rPr>
          <w:lang w:eastAsia="en-AU"/>
        </w:rPr>
        <w:t xml:space="preserve">its previous crediting period when it was </w:t>
      </w:r>
      <w:r w:rsidR="00EB1902">
        <w:rPr>
          <w:lang w:eastAsia="en-AU"/>
        </w:rPr>
        <w:t>a new, recommencing, upgrade or transition</w:t>
      </w:r>
      <w:r w:rsidR="00DA4E67">
        <w:rPr>
          <w:lang w:eastAsia="en-AU"/>
        </w:rPr>
        <w:t>ing</w:t>
      </w:r>
      <w:r w:rsidR="00EB1902">
        <w:rPr>
          <w:lang w:eastAsia="en-AU"/>
        </w:rPr>
        <w:t xml:space="preserve"> landfill gas project</w:t>
      </w:r>
      <w:r w:rsidR="00874A27">
        <w:rPr>
          <w:lang w:eastAsia="en-AU"/>
        </w:rPr>
        <w:t xml:space="preserve">. The crediting period </w:t>
      </w:r>
      <w:r w:rsidR="00FD5288">
        <w:rPr>
          <w:lang w:eastAsia="en-AU"/>
        </w:rPr>
        <w:t>ends</w:t>
      </w:r>
      <w:r w:rsidR="00874A27">
        <w:rPr>
          <w:lang w:eastAsia="en-AU"/>
        </w:rPr>
        <w:t xml:space="preserve"> </w:t>
      </w:r>
      <w:r w:rsidR="00FD5288">
        <w:rPr>
          <w:lang w:eastAsia="en-AU"/>
        </w:rPr>
        <w:t xml:space="preserve">when </w:t>
      </w:r>
      <w:r w:rsidR="0022140E">
        <w:rPr>
          <w:lang w:eastAsia="en-AU"/>
        </w:rPr>
        <w:t xml:space="preserve">the restarting flaring project </w:t>
      </w:r>
      <w:r w:rsidR="00FD5288">
        <w:rPr>
          <w:lang w:eastAsia="en-AU"/>
        </w:rPr>
        <w:t>uses landfill gas to generate electricity</w:t>
      </w:r>
      <w:r w:rsidR="00874A27">
        <w:rPr>
          <w:lang w:eastAsia="en-AU"/>
        </w:rPr>
        <w:t xml:space="preserve"> or at the end of the 12 years minus the previous crediting period when it was a new, recommencing, upgrade or transitioning landfill gas project</w:t>
      </w:r>
      <w:r w:rsidR="00FD5288">
        <w:rPr>
          <w:lang w:eastAsia="en-AU"/>
        </w:rPr>
        <w:t xml:space="preserve">. </w:t>
      </w:r>
    </w:p>
    <w:p w14:paraId="30432658" w14:textId="77777777" w:rsidR="006D65E2" w:rsidRDefault="00A00899" w:rsidP="007256DD">
      <w:r>
        <w:t xml:space="preserve">The Variation </w:t>
      </w:r>
      <w:r w:rsidR="00BF15CC" w:rsidRPr="008F5843">
        <w:t>does</w:t>
      </w:r>
      <w:r>
        <w:t xml:space="preserve"> not affect projects that are already registered and using the existing Determination. </w:t>
      </w:r>
      <w:r w:rsidR="00C15585">
        <w:t>Section 126 of the Act sets out that e</w:t>
      </w:r>
      <w:r>
        <w:t>ven after a determination has been varied, a</w:t>
      </w:r>
      <w:r w:rsidR="00C15585">
        <w:t xml:space="preserve"> registered</w:t>
      </w:r>
      <w:r>
        <w:t xml:space="preserve"> eligible offsets project can continue to use the </w:t>
      </w:r>
      <w:r w:rsidR="006072EA">
        <w:t>d</w:t>
      </w:r>
      <w:r>
        <w:t xml:space="preserve">etermination </w:t>
      </w:r>
      <w:r w:rsidR="008F027D">
        <w:t xml:space="preserve">for the remainder of its crediting period </w:t>
      </w:r>
      <w:r>
        <w:t xml:space="preserve">in the form it was at the time the project was registered. </w:t>
      </w:r>
      <w:r w:rsidR="009B6716">
        <w:t xml:space="preserve">Under section 128 of the Act </w:t>
      </w:r>
      <w:r w:rsidR="004A30DB">
        <w:t xml:space="preserve">a </w:t>
      </w:r>
      <w:r>
        <w:t>project proponent may choose to apply to the</w:t>
      </w:r>
      <w:r w:rsidR="00BF15CC">
        <w:t xml:space="preserve"> Clean Energy</w:t>
      </w:r>
      <w:r>
        <w:t xml:space="preserve"> Regulator for approval to move</w:t>
      </w:r>
      <w:r w:rsidR="004A30DB">
        <w:t xml:space="preserve"> their project</w:t>
      </w:r>
      <w:r>
        <w:t xml:space="preserve"> </w:t>
      </w:r>
      <w:r w:rsidRPr="00154FD8">
        <w:t xml:space="preserve">to the varied </w:t>
      </w:r>
      <w:r w:rsidR="004A30DB" w:rsidRPr="00154FD8">
        <w:t>D</w:t>
      </w:r>
      <w:r w:rsidRPr="00154FD8">
        <w:t>etermination</w:t>
      </w:r>
      <w:r w:rsidR="003218A5" w:rsidRPr="00154FD8">
        <w:t xml:space="preserve"> from the start of their </w:t>
      </w:r>
      <w:r w:rsidR="004A30DB" w:rsidRPr="00154FD8">
        <w:t xml:space="preserve">current </w:t>
      </w:r>
      <w:r w:rsidR="003218A5" w:rsidRPr="00154FD8">
        <w:t>reporting period</w:t>
      </w:r>
      <w:r w:rsidRPr="00154FD8">
        <w:t>.</w:t>
      </w:r>
      <w:r>
        <w:t xml:space="preserve"> </w:t>
      </w:r>
    </w:p>
    <w:p w14:paraId="5E053D9E" w14:textId="622E9626" w:rsidR="00CC4FB2" w:rsidRDefault="00A00899" w:rsidP="007256DD">
      <w:r>
        <w:t>All decisions to approve eligible offsets projects after the commencement of the Variation will need to comply with the Determination as varied by the Variation, even if the applications were submitted before the Variation commenced.</w:t>
      </w:r>
    </w:p>
    <w:p w14:paraId="69A611D5" w14:textId="1EA08E8F" w:rsidR="004A30DB" w:rsidRDefault="00CC43B8" w:rsidP="007256DD">
      <w:r>
        <w:t>T</w:t>
      </w:r>
      <w:r w:rsidR="00FB2548">
        <w:t>he third aspect of this</w:t>
      </w:r>
      <w:r w:rsidRPr="001755FD">
        <w:t xml:space="preserve"> variation amends the proportion of landfill gas that is methane (W</w:t>
      </w:r>
      <w:r w:rsidRPr="001755FD">
        <w:rPr>
          <w:vertAlign w:val="subscript"/>
        </w:rPr>
        <w:t>LFG,CH4</w:t>
      </w:r>
      <w:r w:rsidRPr="001755FD">
        <w:t>)</w:t>
      </w:r>
      <w:r>
        <w:t xml:space="preserve">, </w:t>
      </w:r>
      <w:r w:rsidRPr="00746132">
        <w:t>from the default value of 0.50 applied under the</w:t>
      </w:r>
      <w:r w:rsidR="00DF025A">
        <w:t xml:space="preserve"> National Greenhouse and Energy Reporting (Measurement) Determination 2008 (the</w:t>
      </w:r>
      <w:r w:rsidRPr="00746132">
        <w:t xml:space="preserve"> NGER (Measurement) Determination</w:t>
      </w:r>
      <w:r w:rsidR="00DF025A">
        <w:t>)</w:t>
      </w:r>
      <w:r w:rsidRPr="00746132">
        <w:t xml:space="preserve"> to</w:t>
      </w:r>
      <w:r w:rsidR="007256DD">
        <w:t xml:space="preserve"> a</w:t>
      </w:r>
      <w:r w:rsidRPr="00746132">
        <w:t xml:space="preserve"> value of 0.42. The proportion is used under subsection 24(2) to </w:t>
      </w:r>
      <w:r w:rsidR="004A30DB" w:rsidRPr="00E27B2C">
        <w:t xml:space="preserve">to </w:t>
      </w:r>
      <w:r w:rsidR="004A30DB">
        <w:t>calculate the methane sent to a combustion device.</w:t>
      </w:r>
      <w:r w:rsidR="004A30DB" w:rsidRPr="00746132">
        <w:t xml:space="preserve"> </w:t>
      </w:r>
    </w:p>
    <w:p w14:paraId="49AB70EB" w14:textId="1EC93600" w:rsidR="00DF7E7C" w:rsidRDefault="004A30DB" w:rsidP="007256DD">
      <w:r>
        <w:t>The fourth and final aspect of this variation amends the average proportion of methane from the landfill that is collected and destroyed before an upgrade project is started (</w:t>
      </w:r>
      <w:r w:rsidRPr="006B1E19">
        <w:rPr>
          <w:bCs/>
          <w:iCs/>
        </w:rPr>
        <w:t>W</w:t>
      </w:r>
      <w:r w:rsidRPr="006B1E19">
        <w:rPr>
          <w:bCs/>
          <w:iCs/>
          <w:vertAlign w:val="subscript"/>
        </w:rPr>
        <w:t>Com,Bef</w:t>
      </w:r>
      <w:r>
        <w:t>)</w:t>
      </w:r>
      <w:r w:rsidR="00F978BB">
        <w:t>.</w:t>
      </w:r>
      <w:r>
        <w:t xml:space="preserve"> </w:t>
      </w:r>
      <w:r w:rsidR="00F978BB">
        <w:t xml:space="preserve">This factor </w:t>
      </w:r>
      <w:r>
        <w:t xml:space="preserve">is used to </w:t>
      </w:r>
      <w:r w:rsidR="00CC43B8" w:rsidRPr="00746132">
        <w:t xml:space="preserve">estimate the methane </w:t>
      </w:r>
      <w:r w:rsidR="00DF7E7C">
        <w:t>that would have been combusted</w:t>
      </w:r>
      <w:r w:rsidR="00DF7E7C" w:rsidRPr="00746132">
        <w:t xml:space="preserve"> </w:t>
      </w:r>
      <w:r w:rsidR="00DF7E7C">
        <w:t xml:space="preserve">under </w:t>
      </w:r>
      <w:r w:rsidR="00CC43B8" w:rsidRPr="00746132">
        <w:t>the baseline emissions calculations</w:t>
      </w:r>
      <w:r w:rsidR="00F978BB">
        <w:t xml:space="preserve"> for an upgrade project</w:t>
      </w:r>
      <w:r w:rsidR="00CC43B8" w:rsidRPr="00746132">
        <w:t xml:space="preserve">. </w:t>
      </w:r>
    </w:p>
    <w:p w14:paraId="3BB4D510" w14:textId="6DC230E4" w:rsidR="00CC43B8" w:rsidRPr="00366EE5" w:rsidRDefault="00DF7E7C" w:rsidP="007256DD">
      <w:pPr>
        <w:rPr>
          <w:lang w:eastAsia="en-AU"/>
        </w:rPr>
      </w:pPr>
      <w:r>
        <w:t xml:space="preserve">These adjustments are </w:t>
      </w:r>
      <w:r w:rsidR="00CC43B8" w:rsidRPr="00746132">
        <w:t>necessary to maintain the conservati</w:t>
      </w:r>
      <w:r w:rsidR="006F6CD5" w:rsidRPr="00746132">
        <w:t>veness</w:t>
      </w:r>
      <w:r w:rsidR="00CC43B8" w:rsidRPr="00746132">
        <w:t xml:space="preserve"> of the abatement calculations</w:t>
      </w:r>
      <w:r w:rsidR="006F6CD5" w:rsidRPr="00746132">
        <w:t xml:space="preserve">, based on data voluntarily supplied by </w:t>
      </w:r>
      <w:r w:rsidR="00C775F5">
        <w:t>project</w:t>
      </w:r>
      <w:r w:rsidR="00C775F5" w:rsidRPr="00746132">
        <w:t xml:space="preserve"> </w:t>
      </w:r>
      <w:r w:rsidR="006F6CD5" w:rsidRPr="00746132">
        <w:t>proponents</w:t>
      </w:r>
      <w:r w:rsidR="00C775F5">
        <w:t xml:space="preserve"> of projects under the Determination</w:t>
      </w:r>
      <w:r w:rsidR="00CC43B8" w:rsidRPr="00746132">
        <w:t>.</w:t>
      </w:r>
    </w:p>
    <w:p w14:paraId="4638C4E7" w14:textId="77777777" w:rsidR="00EF0810" w:rsidRPr="00EF0810" w:rsidRDefault="00EF0810" w:rsidP="007256DD">
      <w:pPr>
        <w:pStyle w:val="ESHeading"/>
        <w:spacing w:line="276" w:lineRule="auto"/>
      </w:pPr>
      <w:r w:rsidRPr="00EF0810">
        <w:t xml:space="preserve">Public consultation </w:t>
      </w:r>
    </w:p>
    <w:p w14:paraId="0AE6B760" w14:textId="4F007C47" w:rsidR="00EF0810" w:rsidRDefault="00EF0810" w:rsidP="007256DD">
      <w:pPr>
        <w:rPr>
          <w:lang w:eastAsia="en-AU"/>
        </w:rPr>
      </w:pPr>
      <w:r w:rsidRPr="00154FD8">
        <w:rPr>
          <w:lang w:eastAsia="en-AU"/>
        </w:rPr>
        <w:t xml:space="preserve">The </w:t>
      </w:r>
      <w:r w:rsidR="00706B70" w:rsidRPr="00154FD8">
        <w:rPr>
          <w:lang w:eastAsia="en-AU"/>
        </w:rPr>
        <w:t>V</w:t>
      </w:r>
      <w:r w:rsidRPr="00154FD8">
        <w:rPr>
          <w:lang w:eastAsia="en-AU"/>
        </w:rPr>
        <w:t xml:space="preserve">ariation </w:t>
      </w:r>
      <w:r w:rsidR="00107193" w:rsidRPr="00154FD8">
        <w:rPr>
          <w:lang w:eastAsia="en-AU"/>
        </w:rPr>
        <w:t>was initially</w:t>
      </w:r>
      <w:r w:rsidRPr="00154FD8">
        <w:rPr>
          <w:lang w:eastAsia="en-AU"/>
        </w:rPr>
        <w:t xml:space="preserve"> developed by the Department of </w:t>
      </w:r>
      <w:r w:rsidR="006207D3" w:rsidRPr="00154FD8">
        <w:rPr>
          <w:lang w:eastAsia="en-AU"/>
        </w:rPr>
        <w:t>Industry, Science, Energy and Resources</w:t>
      </w:r>
      <w:r w:rsidR="00A83AEE" w:rsidRPr="00154FD8">
        <w:rPr>
          <w:lang w:eastAsia="en-AU"/>
        </w:rPr>
        <w:t xml:space="preserve"> and completed by the Clean Energy Regulator </w:t>
      </w:r>
      <w:r w:rsidR="00DD1187">
        <w:rPr>
          <w:lang w:eastAsia="en-AU"/>
        </w:rPr>
        <w:t>following the transfer of</w:t>
      </w:r>
      <w:r w:rsidR="00DD1187" w:rsidRPr="00154FD8">
        <w:rPr>
          <w:lang w:eastAsia="en-AU"/>
        </w:rPr>
        <w:t xml:space="preserve"> </w:t>
      </w:r>
      <w:r w:rsidR="00A83AEE" w:rsidRPr="00154FD8">
        <w:rPr>
          <w:lang w:eastAsia="en-AU"/>
        </w:rPr>
        <w:t>the Emissions Reduction Fund method development function to the Regulator in September 2020</w:t>
      </w:r>
      <w:r w:rsidRPr="00154FD8">
        <w:rPr>
          <w:lang w:eastAsia="en-AU"/>
        </w:rPr>
        <w:t>.</w:t>
      </w:r>
      <w:r>
        <w:rPr>
          <w:lang w:eastAsia="en-AU"/>
        </w:rPr>
        <w:t xml:space="preserve"> </w:t>
      </w:r>
    </w:p>
    <w:p w14:paraId="50158F1A" w14:textId="07503A1B" w:rsidR="00EF0810" w:rsidRDefault="00AA3CDB" w:rsidP="007256DD">
      <w:r w:rsidRPr="005F2759">
        <w:t xml:space="preserve">An </w:t>
      </w:r>
      <w:r w:rsidR="00EF0810" w:rsidRPr="005F2759">
        <w:t xml:space="preserve">exposure draft of the Variation </w:t>
      </w:r>
      <w:r w:rsidR="00BF15CC" w:rsidRPr="005F2759">
        <w:t>was</w:t>
      </w:r>
      <w:r w:rsidR="00EF0810" w:rsidRPr="005F2759">
        <w:t xml:space="preserve"> published on the Department’s website for public consultation </w:t>
      </w:r>
      <w:r w:rsidR="00B61071" w:rsidRPr="005F2759">
        <w:t xml:space="preserve">for </w:t>
      </w:r>
      <w:r w:rsidR="005F2759" w:rsidRPr="005F2759">
        <w:t xml:space="preserve">21 </w:t>
      </w:r>
      <w:r w:rsidR="00B61071" w:rsidRPr="005F2759">
        <w:t>days in</w:t>
      </w:r>
      <w:r w:rsidR="00EF0810" w:rsidRPr="005F2759">
        <w:t xml:space="preserve"> </w:t>
      </w:r>
      <w:r w:rsidR="006207D3" w:rsidRPr="005F2759">
        <w:t>October 2020</w:t>
      </w:r>
      <w:r w:rsidR="00EF0810" w:rsidRPr="005F2759">
        <w:t>.</w:t>
      </w:r>
      <w:r w:rsidR="00BF15CC" w:rsidRPr="005F2759">
        <w:t xml:space="preserve"> </w:t>
      </w:r>
      <w:r w:rsidR="005F2759" w:rsidRPr="005F2759">
        <w:t>The Committee approved a 21</w:t>
      </w:r>
      <w:r w:rsidR="00B61071" w:rsidRPr="005F2759">
        <w:t xml:space="preserve"> day consultation period because industry stakeholders had already reviewed and commented on the bulk of the changes proposed.</w:t>
      </w:r>
      <w:r w:rsidR="00B61071">
        <w:t xml:space="preserve"> </w:t>
      </w:r>
      <w:r w:rsidR="00BF15CC" w:rsidRPr="00794147">
        <w:t>Stakeholders were notified of the public consultation period.</w:t>
      </w:r>
      <w:r w:rsidR="004D3DF0">
        <w:t xml:space="preserve"> The Technical Working Group </w:t>
      </w:r>
      <w:r w:rsidR="000959EB">
        <w:t xml:space="preserve">members </w:t>
      </w:r>
      <w:r w:rsidR="00C8633C">
        <w:t xml:space="preserve">that were previously </w:t>
      </w:r>
      <w:r w:rsidR="004D3DF0">
        <w:t xml:space="preserve">involved in </w:t>
      </w:r>
      <w:r w:rsidR="00C8633C">
        <w:t xml:space="preserve">developing </w:t>
      </w:r>
      <w:r w:rsidR="004D3DF0">
        <w:t xml:space="preserve">the Determination were also notified of the public consultation period. </w:t>
      </w:r>
      <w:r w:rsidR="002A5397" w:rsidRPr="002A5397">
        <w:t xml:space="preserve">Details of non-confidential submissions are provided on the </w:t>
      </w:r>
      <w:r w:rsidR="006207D3" w:rsidRPr="00EF0810">
        <w:rPr>
          <w:lang w:eastAsia="en-AU"/>
        </w:rPr>
        <w:t xml:space="preserve">Department of </w:t>
      </w:r>
      <w:r w:rsidR="006207D3">
        <w:rPr>
          <w:lang w:eastAsia="en-AU"/>
        </w:rPr>
        <w:t>Industry, Science, Energy and Resources</w:t>
      </w:r>
      <w:r w:rsidR="006207D3" w:rsidRPr="002A5397" w:rsidDel="006207D3">
        <w:t xml:space="preserve"> </w:t>
      </w:r>
      <w:r w:rsidR="002A5397" w:rsidRPr="002A5397">
        <w:t xml:space="preserve">website, </w:t>
      </w:r>
      <w:hyperlink r:id="rId11" w:history="1">
        <w:r w:rsidR="006207D3">
          <w:rPr>
            <w:rStyle w:val="Hyperlink"/>
          </w:rPr>
          <w:t>www.industry.gov.au</w:t>
        </w:r>
      </w:hyperlink>
      <w:r w:rsidR="00BF15CC" w:rsidRPr="00794147">
        <w:t>.</w:t>
      </w:r>
    </w:p>
    <w:p w14:paraId="661FBF3F" w14:textId="77777777" w:rsidR="007C4FED" w:rsidRPr="008E62FF" w:rsidRDefault="00BA7F6B" w:rsidP="007256DD">
      <w:pPr>
        <w:pStyle w:val="ESHeading"/>
        <w:spacing w:line="276" w:lineRule="auto"/>
      </w:pPr>
      <w:r>
        <w:t>D</w:t>
      </w:r>
      <w:r w:rsidR="003B2B0A">
        <w:t>etermination</w:t>
      </w:r>
      <w:r w:rsidR="007C4FED" w:rsidRPr="008E62FF">
        <w:t xml:space="preserve"> details</w:t>
      </w:r>
    </w:p>
    <w:p w14:paraId="6AF8B5D1" w14:textId="5671B3F7" w:rsidR="007C4FED" w:rsidRPr="008E62FF" w:rsidRDefault="007C4FED" w:rsidP="007256DD">
      <w:pPr>
        <w:spacing w:after="120"/>
        <w:rPr>
          <w:szCs w:val="24"/>
        </w:rPr>
      </w:pPr>
      <w:r w:rsidRPr="008E62FF">
        <w:rPr>
          <w:szCs w:val="24"/>
        </w:rPr>
        <w:t xml:space="preserve">Details of the </w:t>
      </w:r>
      <w:r w:rsidR="00A75D47">
        <w:rPr>
          <w:lang w:eastAsia="en-AU"/>
        </w:rPr>
        <w:t>V</w:t>
      </w:r>
      <w:r w:rsidR="00A75D47">
        <w:rPr>
          <w:szCs w:val="24"/>
        </w:rPr>
        <w:t>ariation</w:t>
      </w:r>
      <w:r w:rsidRPr="008E62FF">
        <w:rPr>
          <w:szCs w:val="24"/>
        </w:rPr>
        <w:t xml:space="preserve"> are at </w:t>
      </w:r>
      <w:r w:rsidRPr="008E62FF">
        <w:rPr>
          <w:szCs w:val="24"/>
          <w:u w:val="single"/>
        </w:rPr>
        <w:t>Attachment A</w:t>
      </w:r>
      <w:r w:rsidRPr="008E62FF">
        <w:rPr>
          <w:szCs w:val="24"/>
        </w:rPr>
        <w:t xml:space="preserve">. Numbered sections </w:t>
      </w:r>
      <w:r w:rsidR="008F24FD">
        <w:rPr>
          <w:szCs w:val="24"/>
        </w:rPr>
        <w:t xml:space="preserve">and items </w:t>
      </w:r>
      <w:r w:rsidRPr="008E62FF">
        <w:rPr>
          <w:szCs w:val="24"/>
        </w:rPr>
        <w:t xml:space="preserve">in </w:t>
      </w:r>
      <w:r w:rsidR="00CD4268">
        <w:rPr>
          <w:szCs w:val="24"/>
        </w:rPr>
        <w:t>th</w:t>
      </w:r>
      <w:r w:rsidR="00A04E0A">
        <w:rPr>
          <w:szCs w:val="24"/>
        </w:rPr>
        <w:t>is</w:t>
      </w:r>
      <w:r w:rsidR="00CD4268">
        <w:rPr>
          <w:szCs w:val="24"/>
        </w:rPr>
        <w:t xml:space="preserve"> </w:t>
      </w:r>
      <w:r w:rsidR="00A04E0A">
        <w:rPr>
          <w:szCs w:val="24"/>
        </w:rPr>
        <w:t>e</w:t>
      </w:r>
      <w:r w:rsidR="00CD4268">
        <w:rPr>
          <w:szCs w:val="24"/>
        </w:rPr>
        <w:t xml:space="preserve">xplanatory </w:t>
      </w:r>
      <w:r w:rsidR="00A04E0A">
        <w:rPr>
          <w:szCs w:val="24"/>
        </w:rPr>
        <w:t>s</w:t>
      </w:r>
      <w:r w:rsidRPr="008E62FF">
        <w:rPr>
          <w:szCs w:val="24"/>
        </w:rPr>
        <w:t xml:space="preserve">tatement align with the relevant sections </w:t>
      </w:r>
      <w:r w:rsidR="008F24FD">
        <w:rPr>
          <w:szCs w:val="24"/>
        </w:rPr>
        <w:t xml:space="preserve">and items </w:t>
      </w:r>
      <w:r w:rsidRPr="008E62FF">
        <w:rPr>
          <w:szCs w:val="24"/>
        </w:rPr>
        <w:t xml:space="preserve">of the </w:t>
      </w:r>
      <w:r w:rsidR="00A75D47">
        <w:rPr>
          <w:szCs w:val="24"/>
        </w:rPr>
        <w:t>Variation</w:t>
      </w:r>
      <w:r w:rsidRPr="008E62FF">
        <w:rPr>
          <w:szCs w:val="24"/>
        </w:rPr>
        <w:t xml:space="preserve">. </w:t>
      </w:r>
      <w:r w:rsidRPr="008F24FD">
        <w:rPr>
          <w:szCs w:val="24"/>
        </w:rPr>
        <w:t xml:space="preserve">The definition of terms highlighted in </w:t>
      </w:r>
      <w:r w:rsidRPr="008F24FD">
        <w:rPr>
          <w:b/>
          <w:i/>
          <w:szCs w:val="24"/>
        </w:rPr>
        <w:t>bold italics</w:t>
      </w:r>
      <w:r w:rsidRPr="008F24FD">
        <w:rPr>
          <w:szCs w:val="24"/>
        </w:rPr>
        <w:t xml:space="preserve"> can be found in the </w:t>
      </w:r>
      <w:r w:rsidR="00A75D47" w:rsidRPr="008F24FD">
        <w:rPr>
          <w:szCs w:val="24"/>
        </w:rPr>
        <w:t>Variation</w:t>
      </w:r>
      <w:r w:rsidRPr="008F24FD">
        <w:rPr>
          <w:szCs w:val="24"/>
        </w:rPr>
        <w:t>.</w:t>
      </w:r>
    </w:p>
    <w:p w14:paraId="6263FC46" w14:textId="2144EB3F" w:rsidR="00E65DEA" w:rsidRDefault="007C4FED" w:rsidP="007256DD">
      <w:pPr>
        <w:spacing w:after="120"/>
        <w:rPr>
          <w:szCs w:val="24"/>
        </w:rPr>
      </w:pPr>
      <w:r w:rsidRPr="00900BF9">
        <w:rPr>
          <w:szCs w:val="24"/>
        </w:rPr>
        <w:t xml:space="preserve">For </w:t>
      </w:r>
      <w:r w:rsidR="0091434F" w:rsidRPr="00900BF9">
        <w:rPr>
          <w:szCs w:val="24"/>
        </w:rPr>
        <w:t xml:space="preserve">the purpose of subsections </w:t>
      </w:r>
      <w:r w:rsidR="009A79EC" w:rsidRPr="004A5031">
        <w:rPr>
          <w:szCs w:val="24"/>
        </w:rPr>
        <w:t>114(2)</w:t>
      </w:r>
      <w:r w:rsidR="0091434F" w:rsidRPr="004A5031">
        <w:rPr>
          <w:szCs w:val="24"/>
        </w:rPr>
        <w:t>,</w:t>
      </w:r>
      <w:r w:rsidRPr="004A5031">
        <w:rPr>
          <w:szCs w:val="24"/>
        </w:rPr>
        <w:t xml:space="preserve"> </w:t>
      </w:r>
      <w:r w:rsidR="009A79EC" w:rsidRPr="004A5031">
        <w:rPr>
          <w:szCs w:val="24"/>
        </w:rPr>
        <w:t>(2A)</w:t>
      </w:r>
      <w:r w:rsidR="00591E21">
        <w:rPr>
          <w:szCs w:val="24"/>
        </w:rPr>
        <w:t>, (7A)</w:t>
      </w:r>
      <w:r w:rsidRPr="004A5031">
        <w:rPr>
          <w:szCs w:val="24"/>
        </w:rPr>
        <w:t xml:space="preserve"> and</w:t>
      </w:r>
      <w:r w:rsidR="0091434F" w:rsidRPr="004A5031">
        <w:rPr>
          <w:szCs w:val="24"/>
        </w:rPr>
        <w:t xml:space="preserve"> </w:t>
      </w:r>
      <w:r w:rsidR="009A79EC" w:rsidRPr="004A5031">
        <w:rPr>
          <w:szCs w:val="24"/>
        </w:rPr>
        <w:t>(7B)</w:t>
      </w:r>
      <w:r w:rsidRPr="00900BF9">
        <w:rPr>
          <w:szCs w:val="24"/>
        </w:rPr>
        <w:t xml:space="preserve"> of the Act, in </w:t>
      </w:r>
      <w:r w:rsidR="00836611" w:rsidRPr="00900BF9">
        <w:rPr>
          <w:szCs w:val="24"/>
        </w:rPr>
        <w:t>varying</w:t>
      </w:r>
      <w:r w:rsidRPr="00900BF9">
        <w:rPr>
          <w:szCs w:val="24"/>
        </w:rPr>
        <w:t xml:space="preserve"> </w:t>
      </w:r>
      <w:r w:rsidR="00B32150" w:rsidRPr="00900BF9">
        <w:rPr>
          <w:szCs w:val="24"/>
        </w:rPr>
        <w:t xml:space="preserve">a </w:t>
      </w:r>
      <w:r w:rsidR="006F5E31" w:rsidRPr="00900BF9">
        <w:rPr>
          <w:szCs w:val="24"/>
        </w:rPr>
        <w:t>methodology</w:t>
      </w:r>
      <w:r w:rsidR="003B2B0A" w:rsidRPr="00900BF9">
        <w:rPr>
          <w:szCs w:val="24"/>
        </w:rPr>
        <w:t xml:space="preserve"> determination</w:t>
      </w:r>
      <w:r w:rsidRPr="00900BF9">
        <w:rPr>
          <w:szCs w:val="24"/>
        </w:rPr>
        <w:t xml:space="preserve"> the Minister </w:t>
      </w:r>
      <w:r w:rsidR="002A7DB4">
        <w:rPr>
          <w:szCs w:val="24"/>
        </w:rPr>
        <w:t>has</w:t>
      </w:r>
      <w:r w:rsidR="00A92559" w:rsidRPr="00900BF9">
        <w:rPr>
          <w:szCs w:val="24"/>
        </w:rPr>
        <w:t xml:space="preserve"> regard to</w:t>
      </w:r>
      <w:r w:rsidR="00426E63">
        <w:rPr>
          <w:szCs w:val="24"/>
        </w:rPr>
        <w:t xml:space="preserve">, and agrees </w:t>
      </w:r>
      <w:r w:rsidR="00C15C37">
        <w:rPr>
          <w:szCs w:val="24"/>
        </w:rPr>
        <w:t>with,</w:t>
      </w:r>
      <w:r w:rsidR="004141A2">
        <w:rPr>
          <w:szCs w:val="24"/>
        </w:rPr>
        <w:t xml:space="preserve"> </w:t>
      </w:r>
      <w:r w:rsidRPr="00900BF9">
        <w:rPr>
          <w:szCs w:val="24"/>
        </w:rPr>
        <w:t xml:space="preserve">the advice of the </w:t>
      </w:r>
      <w:r w:rsidR="00A61856">
        <w:rPr>
          <w:szCs w:val="24"/>
        </w:rPr>
        <w:t>Committee</w:t>
      </w:r>
      <w:r w:rsidRPr="00900BF9">
        <w:rPr>
          <w:szCs w:val="24"/>
        </w:rPr>
        <w:t xml:space="preserve"> that the </w:t>
      </w:r>
      <w:r w:rsidR="00836611" w:rsidRPr="00900BF9">
        <w:rPr>
          <w:szCs w:val="24"/>
        </w:rPr>
        <w:t xml:space="preserve">varied </w:t>
      </w:r>
      <w:r w:rsidR="00FD767C" w:rsidRPr="00900BF9">
        <w:rPr>
          <w:szCs w:val="24"/>
        </w:rPr>
        <w:t xml:space="preserve">methodology </w:t>
      </w:r>
      <w:r w:rsidR="003B2B0A" w:rsidRPr="00900BF9">
        <w:rPr>
          <w:szCs w:val="24"/>
        </w:rPr>
        <w:t>determination</w:t>
      </w:r>
      <w:r w:rsidRPr="00900BF9">
        <w:rPr>
          <w:szCs w:val="24"/>
        </w:rPr>
        <w:t xml:space="preserve"> complies with the offsets integrity standards and that the </w:t>
      </w:r>
      <w:r w:rsidR="00836611" w:rsidRPr="00900BF9">
        <w:rPr>
          <w:szCs w:val="24"/>
        </w:rPr>
        <w:t xml:space="preserve">varied </w:t>
      </w:r>
      <w:r w:rsidR="00FD767C" w:rsidRPr="00900BF9">
        <w:rPr>
          <w:szCs w:val="24"/>
        </w:rPr>
        <w:t xml:space="preserve">methodology </w:t>
      </w:r>
      <w:r w:rsidR="003B2B0A" w:rsidRPr="00900BF9">
        <w:rPr>
          <w:szCs w:val="24"/>
        </w:rPr>
        <w:t>determination</w:t>
      </w:r>
      <w:r w:rsidRPr="00900BF9">
        <w:rPr>
          <w:szCs w:val="24"/>
        </w:rPr>
        <w:t xml:space="preserve"> should be made. The Minister</w:t>
      </w:r>
      <w:r w:rsidR="00135249">
        <w:rPr>
          <w:szCs w:val="24"/>
        </w:rPr>
        <w:t xml:space="preserve"> is</w:t>
      </w:r>
      <w:r w:rsidRPr="00900BF9">
        <w:rPr>
          <w:szCs w:val="24"/>
        </w:rPr>
        <w:t xml:space="preserve"> satisfied that the carbon abatement used in ascertaining the carbon dioxide equivalent net abatement amount for a project is eligible carbon abatement from the project. The Minister also </w:t>
      </w:r>
      <w:r w:rsidR="00655B05">
        <w:rPr>
          <w:szCs w:val="24"/>
        </w:rPr>
        <w:t>had</w:t>
      </w:r>
      <w:r w:rsidRPr="00900BF9">
        <w:rPr>
          <w:szCs w:val="24"/>
        </w:rPr>
        <w:t xml:space="preserve"> regard to whether any adverse environmental, economic or social impacts are likely to arise from the carrying out of the kind of project to which the </w:t>
      </w:r>
      <w:r w:rsidR="00836611" w:rsidRPr="00900BF9">
        <w:rPr>
          <w:szCs w:val="24"/>
        </w:rPr>
        <w:t xml:space="preserve">varied </w:t>
      </w:r>
      <w:r w:rsidR="006F5E31" w:rsidRPr="00900BF9">
        <w:rPr>
          <w:szCs w:val="24"/>
        </w:rPr>
        <w:t>methodology</w:t>
      </w:r>
      <w:r w:rsidR="003B2B0A" w:rsidRPr="00900BF9">
        <w:rPr>
          <w:szCs w:val="24"/>
        </w:rPr>
        <w:t xml:space="preserve"> determination</w:t>
      </w:r>
      <w:r w:rsidRPr="00900BF9">
        <w:rPr>
          <w:szCs w:val="24"/>
        </w:rPr>
        <w:t xml:space="preserve"> applies and other relevant considerations.</w:t>
      </w:r>
    </w:p>
    <w:p w14:paraId="30D1F241" w14:textId="77777777" w:rsidR="00611765" w:rsidRDefault="00611765" w:rsidP="007256DD">
      <w:pPr>
        <w:spacing w:after="120"/>
      </w:pPr>
      <w:r>
        <w:t xml:space="preserve">A Statement of Compatibility prepared in accordance with the </w:t>
      </w:r>
      <w:r>
        <w:rPr>
          <w:i/>
          <w:iCs/>
        </w:rPr>
        <w:t>Human Rights (Parliamentary Scrutiny) Act 2011</w:t>
      </w:r>
      <w:r>
        <w:t xml:space="preserve"> is at </w:t>
      </w:r>
      <w:r>
        <w:rPr>
          <w:u w:val="single"/>
        </w:rPr>
        <w:t>Attachment B</w:t>
      </w:r>
      <w:r>
        <w:t>.</w:t>
      </w:r>
    </w:p>
    <w:p w14:paraId="66210A76" w14:textId="77777777" w:rsidR="00C15585" w:rsidRPr="00C15585" w:rsidRDefault="00C15585" w:rsidP="007256DD">
      <w:pPr>
        <w:pStyle w:val="ESHeading"/>
        <w:spacing w:line="276" w:lineRule="auto"/>
      </w:pPr>
      <w:r w:rsidRPr="00C15585">
        <w:t xml:space="preserve">Regulatory impacts analysis </w:t>
      </w:r>
    </w:p>
    <w:p w14:paraId="1C9B4D7A" w14:textId="6311F07B" w:rsidR="00C15585" w:rsidRPr="00C15585" w:rsidRDefault="00C15585" w:rsidP="007256DD">
      <w:pPr>
        <w:rPr>
          <w:lang w:eastAsia="en-AU"/>
        </w:rPr>
      </w:pPr>
      <w:r w:rsidRPr="00C15585">
        <w:rPr>
          <w:lang w:eastAsia="en-AU"/>
        </w:rPr>
        <w:t>In 2014, as part of the Emissions Reduction Fund White Paper process, a regulatory assessment was certified in accordance with the 2014 Government Guide to Regulation. This</w:t>
      </w:r>
      <w:r w:rsidR="007256DD">
        <w:rPr>
          <w:lang w:eastAsia="en-AU"/>
        </w:rPr>
        <w:t> </w:t>
      </w:r>
      <w:r w:rsidRPr="00C15585">
        <w:rPr>
          <w:lang w:eastAsia="en-AU"/>
        </w:rPr>
        <w:t xml:space="preserve">process assessed the regulatory impacts associated with the Emissions Reduction Fund. This included assessing the impacts associated with future </w:t>
      </w:r>
      <w:r w:rsidR="00032DD0">
        <w:rPr>
          <w:lang w:eastAsia="en-AU"/>
        </w:rPr>
        <w:t>methodology determinations</w:t>
      </w:r>
      <w:r w:rsidR="00032DD0" w:rsidRPr="00C15585">
        <w:rPr>
          <w:lang w:eastAsia="en-AU"/>
        </w:rPr>
        <w:t xml:space="preserve"> </w:t>
      </w:r>
      <w:r w:rsidRPr="00C15585">
        <w:rPr>
          <w:lang w:eastAsia="en-AU"/>
        </w:rPr>
        <w:t xml:space="preserve">to be developed under the </w:t>
      </w:r>
      <w:r w:rsidRPr="00C15585">
        <w:rPr>
          <w:i/>
          <w:lang w:eastAsia="en-AU"/>
        </w:rPr>
        <w:t>Carbon Credits (Carbon Farming Initiative) Act 2011</w:t>
      </w:r>
      <w:r w:rsidRPr="00C15585">
        <w:rPr>
          <w:lang w:eastAsia="en-AU"/>
        </w:rPr>
        <w:t>, such as the potential future education costs, application costs, contract negotiation costs, and monitoring, verification and compliance audit costs. The regulatory impacts of the Emissions Reduction Fund were assessed as low. There have been no changes since the original assessment that would change the outcomes and as a result no further assessment of regulatory impacts is warranted.</w:t>
      </w:r>
    </w:p>
    <w:p w14:paraId="44F30189" w14:textId="77777777" w:rsidR="00C15585" w:rsidRDefault="00C15585" w:rsidP="007256DD">
      <w:pPr>
        <w:spacing w:after="120"/>
        <w:rPr>
          <w:szCs w:val="24"/>
        </w:rPr>
      </w:pPr>
    </w:p>
    <w:p w14:paraId="014785E1" w14:textId="77777777" w:rsidR="00F117C1" w:rsidRDefault="00F117C1" w:rsidP="007256DD">
      <w:pPr>
        <w:spacing w:after="120"/>
        <w:rPr>
          <w:color w:val="808080"/>
          <w:szCs w:val="24"/>
        </w:rPr>
      </w:pPr>
    </w:p>
    <w:p w14:paraId="6A3F5AD1" w14:textId="77777777" w:rsidR="00C15585" w:rsidRPr="00D045C1" w:rsidRDefault="00C15585" w:rsidP="007256DD">
      <w:pPr>
        <w:spacing w:after="120"/>
        <w:rPr>
          <w:color w:val="808080"/>
          <w:szCs w:val="24"/>
        </w:rPr>
        <w:sectPr w:rsidR="00C15585" w:rsidRPr="00D045C1" w:rsidSect="0054683F">
          <w:headerReference w:type="default" r:id="rId12"/>
          <w:footerReference w:type="default" r:id="rId13"/>
          <w:headerReference w:type="first" r:id="rId14"/>
          <w:footerReference w:type="first" r:id="rId15"/>
          <w:pgSz w:w="11906" w:h="16838" w:code="9"/>
          <w:pgMar w:top="1440" w:right="1440" w:bottom="1440" w:left="1418" w:header="709" w:footer="709" w:gutter="0"/>
          <w:cols w:space="708"/>
          <w:titlePg/>
          <w:docGrid w:linePitch="360"/>
        </w:sectPr>
      </w:pPr>
    </w:p>
    <w:p w14:paraId="2FE7A92F" w14:textId="77777777" w:rsidR="007C4FED" w:rsidRPr="008E62FF" w:rsidRDefault="007C4FED" w:rsidP="000917D6">
      <w:pPr>
        <w:pStyle w:val="ESA1Title"/>
        <w:spacing w:line="276" w:lineRule="auto"/>
      </w:pPr>
      <w:r w:rsidRPr="008E62FF">
        <w:t xml:space="preserve">Details of the </w:t>
      </w:r>
      <w:r w:rsidR="00836611">
        <w:t xml:space="preserve">Variation </w:t>
      </w:r>
    </w:p>
    <w:p w14:paraId="65523C80" w14:textId="77777777" w:rsidR="007C4FED" w:rsidRPr="005A5304" w:rsidRDefault="007C4FED" w:rsidP="007256DD">
      <w:pPr>
        <w:pStyle w:val="ESA4Section"/>
        <w:tabs>
          <w:tab w:val="left" w:pos="5970"/>
        </w:tabs>
        <w:spacing w:line="276" w:lineRule="auto"/>
      </w:pPr>
      <w:r w:rsidRPr="005A5304">
        <w:t>1</w:t>
      </w:r>
      <w:r w:rsidRPr="005A5304">
        <w:tab/>
        <w:t>Name</w:t>
      </w:r>
    </w:p>
    <w:p w14:paraId="1EE7EA55" w14:textId="5A5B01C6" w:rsidR="007C4FED" w:rsidRDefault="007C4FED" w:rsidP="007256DD">
      <w:pPr>
        <w:spacing w:after="120"/>
        <w:rPr>
          <w:bCs/>
          <w:i/>
          <w:iCs/>
          <w:color w:val="000000" w:themeColor="text1"/>
          <w:kern w:val="36"/>
          <w:szCs w:val="24"/>
          <w:lang w:eastAsia="en-AU"/>
        </w:rPr>
      </w:pPr>
      <w:r w:rsidRPr="00436D4B">
        <w:rPr>
          <w:szCs w:val="24"/>
        </w:rPr>
        <w:t xml:space="preserve">Section 1 sets out the full name of the </w:t>
      </w:r>
      <w:r w:rsidR="00836611" w:rsidRPr="00436D4B">
        <w:rPr>
          <w:lang w:eastAsia="en-AU"/>
        </w:rPr>
        <w:t>Variation</w:t>
      </w:r>
      <w:r w:rsidRPr="00436D4B">
        <w:rPr>
          <w:szCs w:val="24"/>
        </w:rPr>
        <w:t xml:space="preserve">, which is the </w:t>
      </w:r>
      <w:r w:rsidR="00836611" w:rsidRPr="00436D4B">
        <w:rPr>
          <w:bCs/>
          <w:i/>
          <w:iCs/>
          <w:color w:val="000000" w:themeColor="text1"/>
          <w:kern w:val="36"/>
          <w:szCs w:val="24"/>
          <w:lang w:eastAsia="en-AU"/>
        </w:rPr>
        <w:t>Carbon Credits (Carbon Farming Initiative—</w:t>
      </w:r>
      <w:r w:rsidR="004C7820" w:rsidRPr="00436D4B">
        <w:rPr>
          <w:bCs/>
          <w:i/>
          <w:iCs/>
          <w:color w:val="000000" w:themeColor="text1"/>
          <w:kern w:val="36"/>
          <w:szCs w:val="24"/>
          <w:lang w:eastAsia="en-AU"/>
        </w:rPr>
        <w:t>Landfill Gas</w:t>
      </w:r>
      <w:r w:rsidR="00836611" w:rsidRPr="00436D4B">
        <w:rPr>
          <w:bCs/>
          <w:i/>
          <w:iCs/>
          <w:color w:val="000000" w:themeColor="text1"/>
          <w:kern w:val="36"/>
          <w:szCs w:val="24"/>
          <w:lang w:eastAsia="en-AU"/>
        </w:rPr>
        <w:t>) Methodolog</w:t>
      </w:r>
      <w:r w:rsidR="00D97741" w:rsidRPr="00436D4B">
        <w:rPr>
          <w:bCs/>
          <w:i/>
          <w:iCs/>
          <w:color w:val="000000" w:themeColor="text1"/>
          <w:kern w:val="36"/>
          <w:szCs w:val="24"/>
          <w:lang w:eastAsia="en-AU"/>
        </w:rPr>
        <w:t xml:space="preserve">y </w:t>
      </w:r>
      <w:r w:rsidR="00465A77">
        <w:rPr>
          <w:bCs/>
          <w:i/>
          <w:iCs/>
          <w:color w:val="000000" w:themeColor="text1"/>
          <w:kern w:val="36"/>
          <w:szCs w:val="24"/>
          <w:lang w:eastAsia="en-AU"/>
        </w:rPr>
        <w:t xml:space="preserve">Determination </w:t>
      </w:r>
      <w:r w:rsidR="00D14256" w:rsidRPr="00436D4B">
        <w:rPr>
          <w:bCs/>
          <w:i/>
          <w:iCs/>
          <w:color w:val="000000" w:themeColor="text1"/>
          <w:kern w:val="36"/>
          <w:szCs w:val="24"/>
          <w:lang w:eastAsia="en-AU"/>
        </w:rPr>
        <w:t xml:space="preserve">Variation </w:t>
      </w:r>
      <w:r w:rsidR="006207D3" w:rsidRPr="00436D4B">
        <w:rPr>
          <w:bCs/>
          <w:i/>
          <w:iCs/>
          <w:color w:val="000000" w:themeColor="text1"/>
          <w:kern w:val="36"/>
          <w:szCs w:val="24"/>
          <w:lang w:eastAsia="en-AU"/>
        </w:rPr>
        <w:t>202</w:t>
      </w:r>
      <w:r w:rsidR="00227BD5" w:rsidRPr="00436D4B">
        <w:rPr>
          <w:bCs/>
          <w:i/>
          <w:iCs/>
          <w:color w:val="000000" w:themeColor="text1"/>
          <w:kern w:val="36"/>
          <w:szCs w:val="24"/>
          <w:lang w:eastAsia="en-AU"/>
        </w:rPr>
        <w:t>1</w:t>
      </w:r>
      <w:r w:rsidRPr="00436D4B">
        <w:rPr>
          <w:bCs/>
          <w:i/>
          <w:iCs/>
          <w:color w:val="000000" w:themeColor="text1"/>
          <w:kern w:val="36"/>
          <w:szCs w:val="24"/>
          <w:lang w:eastAsia="en-AU"/>
        </w:rPr>
        <w:t>.</w:t>
      </w:r>
    </w:p>
    <w:p w14:paraId="4215895C" w14:textId="77777777" w:rsidR="008F24FD" w:rsidRPr="008500ED" w:rsidRDefault="008F24FD" w:rsidP="007256DD">
      <w:pPr>
        <w:spacing w:after="120"/>
        <w:rPr>
          <w:i/>
          <w:szCs w:val="24"/>
        </w:rPr>
      </w:pPr>
    </w:p>
    <w:p w14:paraId="4F435707" w14:textId="77777777" w:rsidR="007C4FED" w:rsidRPr="005A5304" w:rsidRDefault="007C4FED" w:rsidP="007256DD">
      <w:pPr>
        <w:pStyle w:val="ESA4Section"/>
        <w:spacing w:line="276" w:lineRule="auto"/>
      </w:pPr>
      <w:r w:rsidRPr="005A5304">
        <w:t>2</w:t>
      </w:r>
      <w:r w:rsidRPr="005A5304">
        <w:tab/>
        <w:t>Commencement</w:t>
      </w:r>
    </w:p>
    <w:p w14:paraId="656E81C1" w14:textId="23DE284A" w:rsidR="009F1A22" w:rsidRDefault="007C4FED" w:rsidP="007256DD">
      <w:pPr>
        <w:spacing w:after="120"/>
        <w:rPr>
          <w:szCs w:val="24"/>
        </w:rPr>
      </w:pPr>
      <w:r w:rsidRPr="005A5304">
        <w:rPr>
          <w:szCs w:val="24"/>
        </w:rPr>
        <w:t xml:space="preserve">Section 2 </w:t>
      </w:r>
      <w:r w:rsidR="0004477A">
        <w:rPr>
          <w:szCs w:val="24"/>
        </w:rPr>
        <w:t>provides</w:t>
      </w:r>
      <w:r w:rsidRPr="005A5304">
        <w:rPr>
          <w:szCs w:val="24"/>
        </w:rPr>
        <w:t xml:space="preserve"> that the</w:t>
      </w:r>
      <w:r w:rsidR="003735B7">
        <w:rPr>
          <w:lang w:eastAsia="en-AU"/>
        </w:rPr>
        <w:t xml:space="preserve"> </w:t>
      </w:r>
      <w:r w:rsidR="007E295C">
        <w:rPr>
          <w:szCs w:val="24"/>
        </w:rPr>
        <w:t>Variation</w:t>
      </w:r>
      <w:r w:rsidRPr="005A5304">
        <w:rPr>
          <w:szCs w:val="24"/>
        </w:rPr>
        <w:t xml:space="preserve"> </w:t>
      </w:r>
      <w:r w:rsidR="0085321C">
        <w:rPr>
          <w:szCs w:val="24"/>
        </w:rPr>
        <w:t>commences</w:t>
      </w:r>
      <w:r w:rsidR="007E295C">
        <w:rPr>
          <w:szCs w:val="24"/>
        </w:rPr>
        <w:t xml:space="preserve"> </w:t>
      </w:r>
      <w:r w:rsidRPr="005A5304">
        <w:rPr>
          <w:szCs w:val="24"/>
        </w:rPr>
        <w:t xml:space="preserve">on the day after it is registered on the Federal Register of </w:t>
      </w:r>
      <w:r w:rsidR="005F2759">
        <w:rPr>
          <w:szCs w:val="24"/>
        </w:rPr>
        <w:t>Legislation</w:t>
      </w:r>
      <w:r w:rsidR="00937BF3">
        <w:rPr>
          <w:szCs w:val="24"/>
        </w:rPr>
        <w:t>.</w:t>
      </w:r>
    </w:p>
    <w:p w14:paraId="5B74BDA0" w14:textId="77777777" w:rsidR="008F24FD" w:rsidRDefault="008F24FD" w:rsidP="007256DD">
      <w:pPr>
        <w:spacing w:after="120"/>
        <w:rPr>
          <w:szCs w:val="24"/>
        </w:rPr>
      </w:pPr>
    </w:p>
    <w:p w14:paraId="289B8E46" w14:textId="77777777" w:rsidR="007C4FED" w:rsidRPr="005A5304" w:rsidRDefault="007C4FED" w:rsidP="007256DD">
      <w:pPr>
        <w:pStyle w:val="ESA4Section"/>
        <w:spacing w:line="276" w:lineRule="auto"/>
      </w:pPr>
      <w:r w:rsidRPr="005A5304">
        <w:t>3</w:t>
      </w:r>
      <w:r w:rsidRPr="005A5304">
        <w:tab/>
        <w:t>Authority</w:t>
      </w:r>
    </w:p>
    <w:p w14:paraId="72ADE386" w14:textId="77777777" w:rsidR="007C4FED" w:rsidRDefault="007C4FED" w:rsidP="007256DD">
      <w:pPr>
        <w:spacing w:after="120"/>
        <w:rPr>
          <w:szCs w:val="24"/>
        </w:rPr>
      </w:pPr>
      <w:r w:rsidRPr="005A5304">
        <w:rPr>
          <w:szCs w:val="24"/>
        </w:rPr>
        <w:t xml:space="preserve">Section 3 </w:t>
      </w:r>
      <w:r w:rsidR="0004477A">
        <w:rPr>
          <w:szCs w:val="24"/>
        </w:rPr>
        <w:t>provides</w:t>
      </w:r>
      <w:r w:rsidRPr="005A5304">
        <w:rPr>
          <w:szCs w:val="24"/>
        </w:rPr>
        <w:t xml:space="preserve"> that the</w:t>
      </w:r>
      <w:r w:rsidR="003735B7" w:rsidRPr="009D2318">
        <w:rPr>
          <w:szCs w:val="24"/>
        </w:rPr>
        <w:t xml:space="preserve"> </w:t>
      </w:r>
      <w:r w:rsidR="009D2318">
        <w:rPr>
          <w:szCs w:val="24"/>
        </w:rPr>
        <w:t>Variation</w:t>
      </w:r>
      <w:r w:rsidR="003735B7">
        <w:rPr>
          <w:szCs w:val="24"/>
        </w:rPr>
        <w:t xml:space="preserve"> </w:t>
      </w:r>
      <w:r w:rsidR="0085321C">
        <w:rPr>
          <w:szCs w:val="24"/>
        </w:rPr>
        <w:t>is</w:t>
      </w:r>
      <w:r w:rsidR="009D2318">
        <w:rPr>
          <w:szCs w:val="24"/>
        </w:rPr>
        <w:t xml:space="preserve"> made under subsection </w:t>
      </w:r>
      <w:r w:rsidR="009D2318" w:rsidRPr="0080777C">
        <w:rPr>
          <w:szCs w:val="24"/>
        </w:rPr>
        <w:t>114</w:t>
      </w:r>
      <w:r w:rsidRPr="0080777C">
        <w:rPr>
          <w:szCs w:val="24"/>
        </w:rPr>
        <w:t>(1)</w:t>
      </w:r>
      <w:r w:rsidRPr="005A5304">
        <w:rPr>
          <w:szCs w:val="24"/>
        </w:rPr>
        <w:t xml:space="preserve"> of the Act.</w:t>
      </w:r>
    </w:p>
    <w:p w14:paraId="13FE928E" w14:textId="77777777" w:rsidR="008F24FD" w:rsidRPr="005A5304" w:rsidRDefault="008F24FD" w:rsidP="007256DD">
      <w:pPr>
        <w:spacing w:after="120"/>
        <w:rPr>
          <w:szCs w:val="24"/>
        </w:rPr>
      </w:pPr>
    </w:p>
    <w:p w14:paraId="28490344" w14:textId="77777777" w:rsidR="001E6A08" w:rsidRPr="00EE7213" w:rsidRDefault="007C4FED" w:rsidP="007256DD">
      <w:pPr>
        <w:pStyle w:val="ESA4Section"/>
        <w:spacing w:line="276" w:lineRule="auto"/>
        <w:rPr>
          <w:rFonts w:eastAsia="Calibri"/>
          <w:bCs w:val="0"/>
          <w:iCs w:val="0"/>
          <w:color w:val="auto"/>
        </w:rPr>
      </w:pPr>
      <w:r w:rsidRPr="00EE7213">
        <w:rPr>
          <w:rFonts w:eastAsia="Calibri"/>
          <w:bCs w:val="0"/>
          <w:iCs w:val="0"/>
          <w:color w:val="auto"/>
        </w:rPr>
        <w:t>4</w:t>
      </w:r>
      <w:r w:rsidRPr="00EE7213">
        <w:rPr>
          <w:rFonts w:eastAsia="Calibri"/>
          <w:bCs w:val="0"/>
          <w:iCs w:val="0"/>
          <w:color w:val="auto"/>
        </w:rPr>
        <w:tab/>
      </w:r>
      <w:r w:rsidR="001E6A08" w:rsidRPr="00EE7213">
        <w:rPr>
          <w:rFonts w:eastAsia="Calibri"/>
          <w:bCs w:val="0"/>
          <w:iCs w:val="0"/>
          <w:color w:val="auto"/>
        </w:rPr>
        <w:t>Amendme</w:t>
      </w:r>
      <w:r w:rsidR="00FE6611">
        <w:rPr>
          <w:rFonts w:eastAsia="Calibri"/>
          <w:bCs w:val="0"/>
          <w:iCs w:val="0"/>
          <w:color w:val="auto"/>
        </w:rPr>
        <w:t>nt of methodology determination</w:t>
      </w:r>
    </w:p>
    <w:p w14:paraId="140F0B97" w14:textId="77777777" w:rsidR="00604F0D" w:rsidRDefault="001E6A08" w:rsidP="007256DD">
      <w:pPr>
        <w:spacing w:after="120"/>
        <w:rPr>
          <w:szCs w:val="24"/>
        </w:rPr>
      </w:pPr>
      <w:r w:rsidRPr="00EE7213">
        <w:rPr>
          <w:szCs w:val="24"/>
        </w:rPr>
        <w:t>Section 4 provides</w:t>
      </w:r>
      <w:r>
        <w:t xml:space="preserve"> that the </w:t>
      </w:r>
      <w:r w:rsidRPr="001E6A08">
        <w:rPr>
          <w:bCs/>
          <w:i/>
          <w:iCs/>
          <w:color w:val="000000" w:themeColor="text1"/>
          <w:kern w:val="36"/>
          <w:szCs w:val="24"/>
        </w:rPr>
        <w:t>Carbon Credits (Carbon Farming Initiative—</w:t>
      </w:r>
      <w:r w:rsidR="004C7820">
        <w:rPr>
          <w:bCs/>
          <w:i/>
          <w:iCs/>
          <w:color w:val="000000" w:themeColor="text1"/>
          <w:kern w:val="36"/>
          <w:szCs w:val="24"/>
        </w:rPr>
        <w:t>Landfill Gas</w:t>
      </w:r>
      <w:r w:rsidRPr="001E6A08">
        <w:rPr>
          <w:bCs/>
          <w:i/>
          <w:iCs/>
          <w:color w:val="000000" w:themeColor="text1"/>
          <w:kern w:val="36"/>
          <w:szCs w:val="24"/>
        </w:rPr>
        <w:t>) Methodology Determination 2015</w:t>
      </w:r>
      <w:r w:rsidR="00FE6611">
        <w:t xml:space="preserve"> is amended as set out in Schedule 1 of the </w:t>
      </w:r>
      <w:r w:rsidR="00C55B52">
        <w:t>Variation</w:t>
      </w:r>
      <w:r w:rsidR="00FE6611">
        <w:t xml:space="preserve">. </w:t>
      </w:r>
    </w:p>
    <w:p w14:paraId="203C6910" w14:textId="77777777" w:rsidR="00817B67" w:rsidRDefault="00817B67" w:rsidP="007256DD"/>
    <w:p w14:paraId="4897500C" w14:textId="77777777" w:rsidR="00817B67" w:rsidRDefault="00817B67" w:rsidP="007256DD">
      <w:pPr>
        <w:spacing w:before="0"/>
        <w:rPr>
          <w:b/>
          <w:bCs/>
          <w:color w:val="000000" w:themeColor="text1"/>
          <w:szCs w:val="24"/>
          <w:lang w:eastAsia="en-AU"/>
        </w:rPr>
      </w:pPr>
      <w:r>
        <w:br w:type="page"/>
      </w:r>
    </w:p>
    <w:p w14:paraId="6FE6AFE7" w14:textId="77777777" w:rsidR="00F25AB2" w:rsidRDefault="00F25AB2" w:rsidP="007256DD">
      <w:pPr>
        <w:pStyle w:val="h1Chap"/>
        <w:spacing w:line="276" w:lineRule="auto"/>
      </w:pPr>
      <w:r>
        <w:t>Schedule 1</w:t>
      </w:r>
      <w:r>
        <w:tab/>
      </w:r>
    </w:p>
    <w:p w14:paraId="7FF71F0F" w14:textId="77777777" w:rsidR="008F24FD" w:rsidRPr="00FE6611" w:rsidRDefault="00FE6611" w:rsidP="007256DD">
      <w:pPr>
        <w:pStyle w:val="ESA4Section"/>
        <w:spacing w:line="276" w:lineRule="auto"/>
        <w:rPr>
          <w:b/>
          <w:sz w:val="36"/>
          <w:szCs w:val="36"/>
          <w:highlight w:val="yellow"/>
          <w:u w:val="none"/>
        </w:rPr>
      </w:pPr>
      <w:r w:rsidRPr="00FE6611">
        <w:rPr>
          <w:b/>
          <w:sz w:val="36"/>
          <w:szCs w:val="36"/>
          <w:u w:val="none"/>
        </w:rPr>
        <w:t xml:space="preserve">Amendments </w:t>
      </w:r>
      <w:r w:rsidR="00E1619E">
        <w:rPr>
          <w:b/>
          <w:sz w:val="36"/>
          <w:szCs w:val="36"/>
          <w:u w:val="none"/>
        </w:rPr>
        <w:t xml:space="preserve">of </w:t>
      </w:r>
      <w:r w:rsidRPr="00FE6611">
        <w:rPr>
          <w:b/>
          <w:sz w:val="36"/>
          <w:szCs w:val="36"/>
          <w:u w:val="none"/>
        </w:rPr>
        <w:t xml:space="preserve">the </w:t>
      </w:r>
      <w:r w:rsidRPr="00FE6611">
        <w:rPr>
          <w:b/>
          <w:bCs w:val="0"/>
          <w:i/>
          <w:iCs w:val="0"/>
          <w:kern w:val="36"/>
          <w:sz w:val="36"/>
          <w:szCs w:val="36"/>
          <w:u w:val="none"/>
        </w:rPr>
        <w:t>Carbon Credits (Carbon Farming Initiative—</w:t>
      </w:r>
      <w:r w:rsidR="004C7820">
        <w:rPr>
          <w:b/>
          <w:bCs w:val="0"/>
          <w:i/>
          <w:iCs w:val="0"/>
          <w:kern w:val="36"/>
          <w:sz w:val="36"/>
          <w:szCs w:val="36"/>
          <w:u w:val="none"/>
        </w:rPr>
        <w:t>Landfill Gas</w:t>
      </w:r>
      <w:r w:rsidRPr="00FE6611">
        <w:rPr>
          <w:b/>
          <w:bCs w:val="0"/>
          <w:i/>
          <w:iCs w:val="0"/>
          <w:kern w:val="36"/>
          <w:sz w:val="36"/>
          <w:szCs w:val="36"/>
          <w:u w:val="none"/>
        </w:rPr>
        <w:t>) Methodology Determination 2015</w:t>
      </w:r>
    </w:p>
    <w:p w14:paraId="3EA2947B" w14:textId="362600FC" w:rsidR="00B717A3" w:rsidRPr="00746132" w:rsidRDefault="00B717A3" w:rsidP="007256DD">
      <w:pPr>
        <w:pStyle w:val="ESA4Section"/>
        <w:spacing w:line="276" w:lineRule="auto"/>
      </w:pPr>
      <w:r w:rsidRPr="00746132">
        <w:t xml:space="preserve">[1] </w:t>
      </w:r>
      <w:r w:rsidR="0037118D">
        <w:tab/>
      </w:r>
      <w:r w:rsidRPr="00746132">
        <w:t>Section 5</w:t>
      </w:r>
    </w:p>
    <w:p w14:paraId="75838CBC" w14:textId="44C8BF15" w:rsidR="00B717A3" w:rsidRPr="00746132" w:rsidRDefault="00704678" w:rsidP="007256DD">
      <w:pPr>
        <w:pStyle w:val="ESA4Section"/>
        <w:spacing w:line="276" w:lineRule="auto"/>
        <w:rPr>
          <w:u w:val="none"/>
        </w:rPr>
      </w:pPr>
      <w:r w:rsidRPr="00746132">
        <w:rPr>
          <w:u w:val="none"/>
        </w:rPr>
        <w:t>Item [1] a</w:t>
      </w:r>
      <w:r w:rsidR="00B717A3" w:rsidRPr="00746132">
        <w:rPr>
          <w:u w:val="none"/>
        </w:rPr>
        <w:t xml:space="preserve">dds </w:t>
      </w:r>
      <w:r w:rsidR="00746132" w:rsidRPr="00746132">
        <w:rPr>
          <w:u w:val="none"/>
        </w:rPr>
        <w:t xml:space="preserve">a restarting flaring project to the list of definitions in </w:t>
      </w:r>
      <w:r w:rsidR="00032DD0">
        <w:rPr>
          <w:u w:val="none"/>
        </w:rPr>
        <w:t>s</w:t>
      </w:r>
      <w:r w:rsidR="00032DD0" w:rsidRPr="00746132">
        <w:rPr>
          <w:u w:val="none"/>
        </w:rPr>
        <w:t xml:space="preserve">ection </w:t>
      </w:r>
      <w:r w:rsidR="00B717A3" w:rsidRPr="00746132">
        <w:rPr>
          <w:u w:val="none"/>
        </w:rPr>
        <w:t xml:space="preserve">5. </w:t>
      </w:r>
    </w:p>
    <w:p w14:paraId="4DD4A8CB" w14:textId="5173BDF0" w:rsidR="00B717A3" w:rsidRPr="0037118D" w:rsidRDefault="00B717A3" w:rsidP="007256DD">
      <w:pPr>
        <w:rPr>
          <w:u w:val="single"/>
        </w:rPr>
      </w:pPr>
      <w:r w:rsidRPr="0037118D">
        <w:rPr>
          <w:u w:val="single"/>
        </w:rPr>
        <w:t xml:space="preserve">[2] </w:t>
      </w:r>
      <w:r w:rsidR="0037118D">
        <w:rPr>
          <w:u w:val="single"/>
        </w:rPr>
        <w:tab/>
        <w:t>S</w:t>
      </w:r>
      <w:r w:rsidRPr="0037118D">
        <w:rPr>
          <w:u w:val="single"/>
        </w:rPr>
        <w:t xml:space="preserve">ubsection 7(3) </w:t>
      </w:r>
    </w:p>
    <w:p w14:paraId="466F8340" w14:textId="64577366" w:rsidR="00FE6611" w:rsidRPr="00746132" w:rsidRDefault="00704678" w:rsidP="007256DD">
      <w:pPr>
        <w:pStyle w:val="ESA4Section"/>
        <w:spacing w:line="276" w:lineRule="auto"/>
        <w:rPr>
          <w:u w:val="none"/>
        </w:rPr>
      </w:pPr>
      <w:r w:rsidRPr="00746132">
        <w:rPr>
          <w:u w:val="none"/>
        </w:rPr>
        <w:t>Item [2] a</w:t>
      </w:r>
      <w:r w:rsidR="00B717A3" w:rsidRPr="00746132">
        <w:rPr>
          <w:u w:val="none"/>
        </w:rPr>
        <w:t xml:space="preserve">dds </w:t>
      </w:r>
      <w:r w:rsidR="00746132">
        <w:rPr>
          <w:u w:val="none"/>
        </w:rPr>
        <w:t xml:space="preserve">the concept of a </w:t>
      </w:r>
      <w:r w:rsidR="00746132" w:rsidRPr="00746132">
        <w:rPr>
          <w:u w:val="none"/>
        </w:rPr>
        <w:t xml:space="preserve">restarting flaring project </w:t>
      </w:r>
      <w:r w:rsidR="00B717A3" w:rsidRPr="00746132">
        <w:rPr>
          <w:u w:val="none"/>
        </w:rPr>
        <w:t xml:space="preserve">to the </w:t>
      </w:r>
      <w:r w:rsidRPr="00746132">
        <w:rPr>
          <w:u w:val="none"/>
        </w:rPr>
        <w:t xml:space="preserve">four </w:t>
      </w:r>
      <w:r w:rsidR="00B717A3" w:rsidRPr="00746132">
        <w:rPr>
          <w:u w:val="none"/>
        </w:rPr>
        <w:t xml:space="preserve">types of landfill gas projects </w:t>
      </w:r>
      <w:r w:rsidR="00746132">
        <w:rPr>
          <w:u w:val="none"/>
        </w:rPr>
        <w:t xml:space="preserve">under the </w:t>
      </w:r>
      <w:r w:rsidR="00032DD0">
        <w:rPr>
          <w:u w:val="none"/>
        </w:rPr>
        <w:t>Determination</w:t>
      </w:r>
      <w:r w:rsidRPr="00746132">
        <w:rPr>
          <w:u w:val="none"/>
        </w:rPr>
        <w:t xml:space="preserve">. </w:t>
      </w:r>
      <w:r w:rsidR="00B717A3" w:rsidRPr="00746132">
        <w:rPr>
          <w:u w:val="none"/>
        </w:rPr>
        <w:t xml:space="preserve"> </w:t>
      </w:r>
    </w:p>
    <w:p w14:paraId="7EA9605B" w14:textId="78D5B332" w:rsidR="00B717A3" w:rsidRPr="0037118D" w:rsidRDefault="00B717A3" w:rsidP="007256DD">
      <w:pPr>
        <w:rPr>
          <w:u w:val="single"/>
        </w:rPr>
      </w:pPr>
      <w:r w:rsidRPr="0037118D">
        <w:rPr>
          <w:u w:val="single"/>
        </w:rPr>
        <w:t xml:space="preserve">[3] </w:t>
      </w:r>
      <w:r w:rsidR="0037118D">
        <w:rPr>
          <w:u w:val="single"/>
        </w:rPr>
        <w:tab/>
        <w:t>S</w:t>
      </w:r>
      <w:r w:rsidRPr="0037118D">
        <w:rPr>
          <w:u w:val="single"/>
        </w:rPr>
        <w:t xml:space="preserve">ubsection 8(2) </w:t>
      </w:r>
    </w:p>
    <w:p w14:paraId="7BBDCBC2" w14:textId="1515F457" w:rsidR="00B717A3" w:rsidRPr="00746132" w:rsidRDefault="00704678" w:rsidP="007256DD">
      <w:r w:rsidRPr="00746132">
        <w:t>Item [3] a</w:t>
      </w:r>
      <w:r w:rsidR="00B717A3" w:rsidRPr="00746132">
        <w:t>dds to the existing in-lieu of newness requirements an additional one relating to restarting flaring projects – by referring to requ</w:t>
      </w:r>
      <w:r w:rsidRPr="00746132">
        <w:t>ir</w:t>
      </w:r>
      <w:r w:rsidR="00B717A3" w:rsidRPr="00746132">
        <w:t xml:space="preserve">ements set out under the new </w:t>
      </w:r>
      <w:r w:rsidR="00AD4C08" w:rsidRPr="00746132">
        <w:t>sub</w:t>
      </w:r>
      <w:r w:rsidR="00AD4C08">
        <w:t>paragraph</w:t>
      </w:r>
      <w:r w:rsidR="00AD4C08" w:rsidRPr="00746132">
        <w:t xml:space="preserve"> </w:t>
      </w:r>
      <w:r w:rsidR="00B717A3" w:rsidRPr="00746132">
        <w:t>13</w:t>
      </w:r>
      <w:r w:rsidRPr="00746132">
        <w:t>(</w:t>
      </w:r>
      <w:r w:rsidR="00B717A3" w:rsidRPr="00746132">
        <w:t xml:space="preserve">1A). </w:t>
      </w:r>
    </w:p>
    <w:p w14:paraId="3F0B1161" w14:textId="02DB0594" w:rsidR="008F24FD" w:rsidRPr="000A44FE" w:rsidRDefault="008F24FD" w:rsidP="007256DD">
      <w:pPr>
        <w:pStyle w:val="ESA4Section"/>
        <w:spacing w:line="276" w:lineRule="auto"/>
      </w:pPr>
      <w:r w:rsidRPr="00746132">
        <w:t>[</w:t>
      </w:r>
      <w:r w:rsidR="00B717A3" w:rsidRPr="00746132">
        <w:t>4</w:t>
      </w:r>
      <w:r w:rsidRPr="00746132">
        <w:t>]</w:t>
      </w:r>
      <w:r w:rsidRPr="00746132">
        <w:tab/>
        <w:t xml:space="preserve">Section </w:t>
      </w:r>
      <w:r w:rsidR="00B717A3" w:rsidRPr="00746132">
        <w:t>11</w:t>
      </w:r>
      <w:r w:rsidR="00CC43B8" w:rsidRPr="00746132">
        <w:t xml:space="preserve"> and a new section 11A</w:t>
      </w:r>
    </w:p>
    <w:p w14:paraId="26A69BFE" w14:textId="77777777" w:rsidR="009D1A75" w:rsidRDefault="009D1A75" w:rsidP="007256DD">
      <w:r w:rsidRPr="008C0EE3">
        <w:rPr>
          <w:szCs w:val="24"/>
        </w:rPr>
        <w:t>Section 11</w:t>
      </w:r>
      <w:r>
        <w:rPr>
          <w:szCs w:val="24"/>
        </w:rPr>
        <w:t xml:space="preserve"> of the Determination</w:t>
      </w:r>
      <w:r w:rsidRPr="008C0EE3">
        <w:rPr>
          <w:szCs w:val="24"/>
        </w:rPr>
        <w:t xml:space="preserve"> sets out requirements for </w:t>
      </w:r>
      <w:r w:rsidRPr="008C0EE3">
        <w:rPr>
          <w:b/>
          <w:i/>
          <w:szCs w:val="24"/>
        </w:rPr>
        <w:t>upgrade projects</w:t>
      </w:r>
      <w:r w:rsidRPr="008C0EE3">
        <w:rPr>
          <w:szCs w:val="24"/>
        </w:rPr>
        <w:t>.</w:t>
      </w:r>
    </w:p>
    <w:p w14:paraId="60BB2C5F" w14:textId="27719E03" w:rsidR="00E17071" w:rsidRDefault="008F24FD" w:rsidP="007256DD">
      <w:r>
        <w:t>Item [</w:t>
      </w:r>
      <w:r w:rsidR="00B717A3">
        <w:t>4</w:t>
      </w:r>
      <w:r>
        <w:t xml:space="preserve">] amends section </w:t>
      </w:r>
      <w:r w:rsidR="009D1A75">
        <w:t>11</w:t>
      </w:r>
      <w:r>
        <w:t xml:space="preserve"> of the Determination by </w:t>
      </w:r>
      <w:r w:rsidR="009D1A75">
        <w:t xml:space="preserve">replacing the original requirements with </w:t>
      </w:r>
      <w:r w:rsidR="00A6255C">
        <w:t xml:space="preserve">amended </w:t>
      </w:r>
      <w:r w:rsidR="009D1A75">
        <w:t>requirements</w:t>
      </w:r>
      <w:r>
        <w:t xml:space="preserve">. </w:t>
      </w:r>
    </w:p>
    <w:p w14:paraId="07A23532" w14:textId="77777777" w:rsidR="00457080" w:rsidRPr="00457080" w:rsidRDefault="00457080" w:rsidP="007256DD">
      <w:pPr>
        <w:rPr>
          <w:rFonts w:ascii="Calibri" w:hAnsi="Calibri"/>
          <w:sz w:val="20"/>
          <w:szCs w:val="20"/>
        </w:rPr>
      </w:pPr>
      <w:r w:rsidRPr="00A6255C">
        <w:rPr>
          <w:bCs/>
          <w:szCs w:val="24"/>
        </w:rPr>
        <w:t>An upgrade project must be one that:</w:t>
      </w:r>
    </w:p>
    <w:p w14:paraId="74DF7C3A" w14:textId="6A185849" w:rsidR="00457080" w:rsidRPr="00457080" w:rsidRDefault="00457080" w:rsidP="007256DD">
      <w:pPr>
        <w:pStyle w:val="ListParagraph"/>
        <w:numPr>
          <w:ilvl w:val="0"/>
          <w:numId w:val="36"/>
        </w:numPr>
      </w:pPr>
      <w:r w:rsidRPr="008C0EE3">
        <w:rPr>
          <w:rFonts w:ascii="Times New Roman" w:hAnsi="Times New Roman"/>
          <w:bCs/>
          <w:sz w:val="24"/>
          <w:szCs w:val="24"/>
        </w:rPr>
        <w:t xml:space="preserve">upgrades an existing and operating landfill gas collection system to increase the </w:t>
      </w:r>
      <w:r w:rsidR="007606AC">
        <w:rPr>
          <w:rFonts w:ascii="Times New Roman" w:hAnsi="Times New Roman"/>
          <w:bCs/>
          <w:sz w:val="24"/>
          <w:szCs w:val="24"/>
        </w:rPr>
        <w:t xml:space="preserve">annual </w:t>
      </w:r>
      <w:r w:rsidRPr="008C0EE3">
        <w:rPr>
          <w:rFonts w:ascii="Times New Roman" w:hAnsi="Times New Roman"/>
          <w:bCs/>
          <w:sz w:val="24"/>
          <w:szCs w:val="24"/>
        </w:rPr>
        <w:t>collection efficiency of the system</w:t>
      </w:r>
      <w:r>
        <w:rPr>
          <w:rFonts w:ascii="Times New Roman" w:hAnsi="Times New Roman"/>
          <w:bCs/>
          <w:sz w:val="24"/>
          <w:szCs w:val="24"/>
        </w:rPr>
        <w:t xml:space="preserve"> to a higher level than previously measured;</w:t>
      </w:r>
      <w:r w:rsidR="006710EC">
        <w:rPr>
          <w:rFonts w:ascii="Times New Roman" w:hAnsi="Times New Roman"/>
          <w:bCs/>
          <w:sz w:val="24"/>
          <w:szCs w:val="24"/>
        </w:rPr>
        <w:t xml:space="preserve"> and</w:t>
      </w:r>
    </w:p>
    <w:p w14:paraId="707995CB" w14:textId="0A6B9C20" w:rsidR="00457080" w:rsidRPr="00D40D88" w:rsidRDefault="00457080" w:rsidP="007256DD">
      <w:pPr>
        <w:pStyle w:val="ListParagraph"/>
        <w:numPr>
          <w:ilvl w:val="0"/>
          <w:numId w:val="36"/>
        </w:numPr>
        <w:rPr>
          <w:rFonts w:ascii="Times New Roman" w:hAnsi="Times New Roman"/>
          <w:bCs/>
          <w:sz w:val="24"/>
          <w:szCs w:val="24"/>
        </w:rPr>
      </w:pPr>
      <w:r w:rsidRPr="00457080">
        <w:rPr>
          <w:rFonts w:ascii="Times New Roman" w:hAnsi="Times New Roman"/>
          <w:bCs/>
          <w:sz w:val="24"/>
          <w:szCs w:val="24"/>
        </w:rPr>
        <w:t xml:space="preserve">installs new gas wells to increase landfill gas collection; </w:t>
      </w:r>
      <w:r w:rsidR="006710EC">
        <w:rPr>
          <w:rFonts w:ascii="Times New Roman" w:hAnsi="Times New Roman"/>
          <w:bCs/>
          <w:sz w:val="24"/>
          <w:szCs w:val="24"/>
        </w:rPr>
        <w:t>and</w:t>
      </w:r>
    </w:p>
    <w:p w14:paraId="03747281" w14:textId="51D71BB3" w:rsidR="00457080" w:rsidRPr="00457080" w:rsidRDefault="00933D6D" w:rsidP="007256DD">
      <w:pPr>
        <w:pStyle w:val="ListParagraph"/>
        <w:numPr>
          <w:ilvl w:val="0"/>
          <w:numId w:val="36"/>
        </w:numPr>
        <w:rPr>
          <w:rFonts w:ascii="Times New Roman" w:hAnsi="Times New Roman"/>
          <w:bCs/>
          <w:sz w:val="24"/>
          <w:szCs w:val="24"/>
        </w:rPr>
      </w:pPr>
      <w:r w:rsidRPr="00457080">
        <w:rPr>
          <w:rFonts w:ascii="Times New Roman" w:hAnsi="Times New Roman"/>
          <w:bCs/>
          <w:sz w:val="24"/>
          <w:szCs w:val="24"/>
        </w:rPr>
        <w:t>combust</w:t>
      </w:r>
      <w:r>
        <w:rPr>
          <w:rFonts w:ascii="Times New Roman" w:hAnsi="Times New Roman"/>
          <w:bCs/>
          <w:sz w:val="24"/>
          <w:szCs w:val="24"/>
        </w:rPr>
        <w:t>s</w:t>
      </w:r>
      <w:r w:rsidRPr="00457080">
        <w:rPr>
          <w:rFonts w:ascii="Times New Roman" w:hAnsi="Times New Roman"/>
          <w:bCs/>
          <w:sz w:val="24"/>
          <w:szCs w:val="24"/>
        </w:rPr>
        <w:t xml:space="preserve"> the gas collected using a combustion device</w:t>
      </w:r>
      <w:r w:rsidR="00457080" w:rsidRPr="00457080">
        <w:rPr>
          <w:rFonts w:ascii="Times New Roman" w:hAnsi="Times New Roman"/>
          <w:bCs/>
          <w:sz w:val="24"/>
          <w:szCs w:val="24"/>
        </w:rPr>
        <w:t xml:space="preserve">. </w:t>
      </w:r>
    </w:p>
    <w:p w14:paraId="255965C1" w14:textId="6E4A1610" w:rsidR="00643E43" w:rsidRDefault="00643E43" w:rsidP="007256DD">
      <w:pPr>
        <w:rPr>
          <w:lang w:eastAsia="en-AU"/>
        </w:rPr>
      </w:pPr>
      <w:r>
        <w:t xml:space="preserve">These requirements </w:t>
      </w:r>
      <w:r>
        <w:rPr>
          <w:lang w:eastAsia="en-AU"/>
        </w:rPr>
        <w:t xml:space="preserve">ensure that </w:t>
      </w:r>
      <w:r w:rsidR="009B41E4">
        <w:rPr>
          <w:lang w:eastAsia="en-AU"/>
        </w:rPr>
        <w:t>the</w:t>
      </w:r>
      <w:r>
        <w:rPr>
          <w:lang w:eastAsia="en-AU"/>
        </w:rPr>
        <w:t xml:space="preserve"> increase in gas capture and combustion </w:t>
      </w:r>
      <w:r w:rsidR="009B41E4">
        <w:rPr>
          <w:lang w:eastAsia="en-AU"/>
        </w:rPr>
        <w:t xml:space="preserve">as a result of the upgrade is </w:t>
      </w:r>
      <w:r w:rsidR="001A05F5">
        <w:rPr>
          <w:lang w:eastAsia="en-AU"/>
        </w:rPr>
        <w:t xml:space="preserve">likely to be </w:t>
      </w:r>
      <w:r>
        <w:rPr>
          <w:lang w:eastAsia="en-AU"/>
        </w:rPr>
        <w:t>beyond what would ordinarily occur.</w:t>
      </w:r>
      <w:r w:rsidR="00CE2E4A">
        <w:rPr>
          <w:lang w:eastAsia="en-AU"/>
        </w:rPr>
        <w:t xml:space="preserve"> </w:t>
      </w:r>
    </w:p>
    <w:p w14:paraId="060A6543" w14:textId="44AA7FCF" w:rsidR="006F02C2" w:rsidRDefault="00142A5A" w:rsidP="007256DD">
      <w:pPr>
        <w:rPr>
          <w:lang w:eastAsia="en-AU"/>
        </w:rPr>
      </w:pPr>
      <w:r>
        <w:rPr>
          <w:lang w:eastAsia="en-AU"/>
        </w:rPr>
        <w:t xml:space="preserve">For upgrade projects, proponents are required to include in their applications sufficient historical operational records to support the calculation of the collection efficiency of the existing landfill gas collection system. </w:t>
      </w:r>
      <w:r w:rsidR="00254592">
        <w:rPr>
          <w:lang w:eastAsia="en-AU"/>
        </w:rPr>
        <w:t xml:space="preserve">Proponents </w:t>
      </w:r>
      <w:r w:rsidR="005F366A">
        <w:rPr>
          <w:lang w:eastAsia="en-AU"/>
        </w:rPr>
        <w:t>are required to use the higher of the two</w:t>
      </w:r>
      <w:r w:rsidR="00A84E82">
        <w:rPr>
          <w:lang w:eastAsia="en-AU"/>
        </w:rPr>
        <w:t xml:space="preserve"> annual average proportion</w:t>
      </w:r>
      <w:r w:rsidR="00D40D88">
        <w:rPr>
          <w:lang w:eastAsia="en-AU"/>
        </w:rPr>
        <w:t>s</w:t>
      </w:r>
      <w:r w:rsidR="00A84E82">
        <w:rPr>
          <w:lang w:eastAsia="en-AU"/>
        </w:rPr>
        <w:t xml:space="preserve"> of methane collected and destroyed calculated over 2 years or 4</w:t>
      </w:r>
      <w:r w:rsidR="007256DD">
        <w:rPr>
          <w:lang w:eastAsia="en-AU"/>
        </w:rPr>
        <w:t> </w:t>
      </w:r>
      <w:r w:rsidR="00A84E82">
        <w:rPr>
          <w:lang w:eastAsia="en-AU"/>
        </w:rPr>
        <w:t>years prior to the commencement of the upgrade</w:t>
      </w:r>
      <w:r w:rsidR="005A47FC">
        <w:rPr>
          <w:lang w:eastAsia="en-AU"/>
        </w:rPr>
        <w:t>, in baseline emissions calculations.</w:t>
      </w:r>
      <w:r w:rsidR="00254592">
        <w:rPr>
          <w:lang w:eastAsia="en-AU"/>
        </w:rPr>
        <w:t xml:space="preserve"> </w:t>
      </w:r>
      <w:r w:rsidR="00A84E82">
        <w:rPr>
          <w:lang w:eastAsia="en-AU"/>
        </w:rPr>
        <w:t xml:space="preserve">Historical operational records </w:t>
      </w:r>
      <w:r>
        <w:rPr>
          <w:lang w:eastAsia="en-AU"/>
        </w:rPr>
        <w:t xml:space="preserve">must </w:t>
      </w:r>
      <w:r w:rsidR="00A84E82">
        <w:rPr>
          <w:lang w:eastAsia="en-AU"/>
        </w:rPr>
        <w:t xml:space="preserve">therefore </w:t>
      </w:r>
      <w:r>
        <w:rPr>
          <w:lang w:eastAsia="en-AU"/>
        </w:rPr>
        <w:t xml:space="preserve">cover the </w:t>
      </w:r>
      <w:r w:rsidR="003A4A2C">
        <w:rPr>
          <w:lang w:eastAsia="en-AU"/>
        </w:rPr>
        <w:t>four</w:t>
      </w:r>
      <w:r>
        <w:rPr>
          <w:lang w:eastAsia="en-AU"/>
        </w:rPr>
        <w:t>-year period before the application</w:t>
      </w:r>
      <w:r w:rsidR="005F366A">
        <w:rPr>
          <w:lang w:eastAsia="en-AU"/>
        </w:rPr>
        <w:t xml:space="preserve">. </w:t>
      </w:r>
    </w:p>
    <w:p w14:paraId="170D3414" w14:textId="4316B5C5" w:rsidR="0082393C" w:rsidRDefault="007606AC" w:rsidP="007256DD">
      <w:pPr>
        <w:rPr>
          <w:lang w:eastAsia="en-AU"/>
        </w:rPr>
      </w:pPr>
      <w:r>
        <w:rPr>
          <w:lang w:eastAsia="en-AU"/>
        </w:rPr>
        <w:t>Section 11 sets out that</w:t>
      </w:r>
      <w:r w:rsidRPr="007606AC">
        <w:rPr>
          <w:lang w:eastAsia="en-AU"/>
        </w:rPr>
        <w:t xml:space="preserve"> </w:t>
      </w:r>
      <w:r>
        <w:rPr>
          <w:lang w:eastAsia="en-AU"/>
        </w:rPr>
        <w:t>existing</w:t>
      </w:r>
      <w:r w:rsidRPr="007606AC">
        <w:rPr>
          <w:lang w:eastAsia="en-AU"/>
        </w:rPr>
        <w:t xml:space="preserve"> upgrade project</w:t>
      </w:r>
      <w:r>
        <w:rPr>
          <w:lang w:eastAsia="en-AU"/>
        </w:rPr>
        <w:t>s</w:t>
      </w:r>
      <w:r w:rsidRPr="007606AC">
        <w:rPr>
          <w:lang w:eastAsia="en-AU"/>
        </w:rPr>
        <w:t xml:space="preserve"> </w:t>
      </w:r>
      <w:r>
        <w:rPr>
          <w:lang w:eastAsia="en-AU"/>
        </w:rPr>
        <w:t>registered</w:t>
      </w:r>
      <w:r w:rsidRPr="007606AC">
        <w:rPr>
          <w:lang w:eastAsia="en-AU"/>
        </w:rPr>
        <w:t xml:space="preserve"> before the commencement of the </w:t>
      </w:r>
      <w:r w:rsidRPr="007606AC">
        <w:rPr>
          <w:i/>
          <w:lang w:eastAsia="en-AU"/>
        </w:rPr>
        <w:t xml:space="preserve">Carbon Credits (Carbon Farming Initiative—Landfill Gas) Methodology </w:t>
      </w:r>
      <w:r w:rsidR="007256DD" w:rsidRPr="007606AC">
        <w:rPr>
          <w:i/>
          <w:lang w:eastAsia="en-AU"/>
        </w:rPr>
        <w:t>Determination</w:t>
      </w:r>
      <w:r w:rsidRPr="007606AC">
        <w:rPr>
          <w:i/>
          <w:lang w:eastAsia="en-AU"/>
        </w:rPr>
        <w:t xml:space="preserve"> Variation </w:t>
      </w:r>
      <w:r w:rsidR="006207D3" w:rsidRPr="004B1EC2">
        <w:rPr>
          <w:i/>
          <w:lang w:eastAsia="en-AU"/>
        </w:rPr>
        <w:t>202</w:t>
      </w:r>
      <w:r w:rsidR="0037506F" w:rsidRPr="004B1EC2">
        <w:rPr>
          <w:i/>
          <w:lang w:eastAsia="en-AU"/>
        </w:rPr>
        <w:t>1</w:t>
      </w:r>
      <w:r w:rsidR="006207D3" w:rsidRPr="007606AC">
        <w:rPr>
          <w:lang w:eastAsia="en-AU"/>
        </w:rPr>
        <w:t xml:space="preserve"> </w:t>
      </w:r>
      <w:r>
        <w:rPr>
          <w:lang w:eastAsia="en-AU"/>
        </w:rPr>
        <w:t>are considered</w:t>
      </w:r>
      <w:r w:rsidRPr="007606AC">
        <w:rPr>
          <w:lang w:eastAsia="en-AU"/>
        </w:rPr>
        <w:t xml:space="preserve"> upgrade project</w:t>
      </w:r>
      <w:r>
        <w:rPr>
          <w:lang w:eastAsia="en-AU"/>
        </w:rPr>
        <w:t>s if they complied</w:t>
      </w:r>
      <w:r w:rsidRPr="007606AC">
        <w:rPr>
          <w:lang w:eastAsia="en-AU"/>
        </w:rPr>
        <w:t xml:space="preserve"> with the requirements of this section before it was varied.</w:t>
      </w:r>
      <w:r w:rsidR="00C3615D">
        <w:rPr>
          <w:lang w:eastAsia="en-AU"/>
        </w:rPr>
        <w:t xml:space="preserve"> This allows existing upgrade projects to transition to the revised method if they complied with the </w:t>
      </w:r>
      <w:r w:rsidR="00A52BBE">
        <w:rPr>
          <w:lang w:eastAsia="en-AU"/>
        </w:rPr>
        <w:t>section as previously written.</w:t>
      </w:r>
      <w:r w:rsidR="009D409E">
        <w:rPr>
          <w:lang w:eastAsia="en-AU"/>
        </w:rPr>
        <w:t xml:space="preserve"> </w:t>
      </w:r>
      <w:r w:rsidR="009D409E" w:rsidRPr="00154FD8">
        <w:rPr>
          <w:lang w:eastAsia="en-AU"/>
        </w:rPr>
        <w:t>Abatement calculations for existing upgrade projects will consider 4 years of previous data in accordance with section 29 of the Variation.</w:t>
      </w:r>
      <w:r w:rsidR="0058167A" w:rsidRPr="00154FD8">
        <w:rPr>
          <w:lang w:eastAsia="en-AU"/>
        </w:rPr>
        <w:t xml:space="preserve"> However, </w:t>
      </w:r>
      <w:r w:rsidR="00807DE6" w:rsidRPr="00154FD8">
        <w:rPr>
          <w:lang w:eastAsia="en-AU"/>
        </w:rPr>
        <w:t xml:space="preserve">abatement calculations </w:t>
      </w:r>
      <w:r w:rsidR="0058167A" w:rsidRPr="00154FD8">
        <w:rPr>
          <w:lang w:eastAsia="en-AU"/>
        </w:rPr>
        <w:t>for such projects can consider 2 years or, if data is available to the project proponent for that period, 3 years of previous data under section 29, if the project proponent does not have 4 years of previous data available.</w:t>
      </w:r>
    </w:p>
    <w:p w14:paraId="1DF0EFA6" w14:textId="3A2FE0FA" w:rsidR="00D40D88" w:rsidRDefault="000D24C6" w:rsidP="007256DD">
      <w:pPr>
        <w:rPr>
          <w:lang w:eastAsia="en-AU"/>
        </w:rPr>
      </w:pPr>
      <w:r w:rsidRPr="00D40D88">
        <w:rPr>
          <w:lang w:eastAsia="en-AU"/>
        </w:rPr>
        <w:t xml:space="preserve">Item [4] also adds a new section 11A after section 11 to provide a definition and </w:t>
      </w:r>
      <w:r w:rsidR="00704678" w:rsidRPr="00D40D88">
        <w:rPr>
          <w:lang w:eastAsia="en-AU"/>
        </w:rPr>
        <w:t xml:space="preserve">eligibility </w:t>
      </w:r>
      <w:r w:rsidRPr="00D40D88">
        <w:rPr>
          <w:lang w:eastAsia="en-AU"/>
        </w:rPr>
        <w:t xml:space="preserve">requirements in relation to a restarting flaring project. </w:t>
      </w:r>
      <w:r w:rsidR="001D6EC7" w:rsidRPr="00D40D88">
        <w:rPr>
          <w:lang w:eastAsia="en-AU"/>
        </w:rPr>
        <w:t>The definition</w:t>
      </w:r>
      <w:r w:rsidR="005A47FC" w:rsidRPr="00D40D88">
        <w:rPr>
          <w:lang w:eastAsia="en-AU"/>
        </w:rPr>
        <w:t xml:space="preserve"> of a restarting flaring project is </w:t>
      </w:r>
      <w:r w:rsidR="005B15EB" w:rsidRPr="00D40D88">
        <w:rPr>
          <w:lang w:eastAsia="en-AU"/>
        </w:rPr>
        <w:t xml:space="preserve">a generation </w:t>
      </w:r>
      <w:r w:rsidR="001D6EC7" w:rsidRPr="00D40D88">
        <w:rPr>
          <w:lang w:eastAsia="en-AU"/>
        </w:rPr>
        <w:t>p</w:t>
      </w:r>
      <w:r w:rsidR="005A47FC" w:rsidRPr="00D40D88">
        <w:rPr>
          <w:lang w:eastAsia="en-AU"/>
        </w:rPr>
        <w:t>roject covered by subsection 7(3) t</w:t>
      </w:r>
      <w:r w:rsidR="005B15EB" w:rsidRPr="00D40D88">
        <w:rPr>
          <w:lang w:eastAsia="en-AU"/>
        </w:rPr>
        <w:t xml:space="preserve">hat </w:t>
      </w:r>
      <w:r w:rsidR="005A47FC" w:rsidRPr="00D40D88">
        <w:rPr>
          <w:lang w:eastAsia="en-AU"/>
        </w:rPr>
        <w:t xml:space="preserve">was either a new, recommencing, upgrade or transitioning </w:t>
      </w:r>
      <w:r w:rsidR="00CB57A1">
        <w:rPr>
          <w:lang w:eastAsia="en-AU"/>
        </w:rPr>
        <w:t xml:space="preserve">landfill gas </w:t>
      </w:r>
      <w:r w:rsidR="005A47FC" w:rsidRPr="00D40D88">
        <w:rPr>
          <w:lang w:eastAsia="en-AU"/>
        </w:rPr>
        <w:t xml:space="preserve">project that elects to switch to flaring. Subsection 11A(2) sets out eligibility </w:t>
      </w:r>
      <w:r w:rsidR="005B15EB" w:rsidRPr="00D40D88">
        <w:rPr>
          <w:lang w:eastAsia="en-AU"/>
        </w:rPr>
        <w:t>requirements, including</w:t>
      </w:r>
      <w:r w:rsidR="005A47FC" w:rsidRPr="00D40D88">
        <w:rPr>
          <w:lang w:eastAsia="en-AU"/>
        </w:rPr>
        <w:t xml:space="preserve"> a </w:t>
      </w:r>
      <w:r w:rsidR="005B15EB" w:rsidRPr="00D40D88">
        <w:rPr>
          <w:lang w:eastAsia="en-AU"/>
        </w:rPr>
        <w:t xml:space="preserve">written declaration </w:t>
      </w:r>
      <w:r w:rsidR="005A47FC" w:rsidRPr="00D40D88">
        <w:rPr>
          <w:lang w:eastAsia="en-AU"/>
        </w:rPr>
        <w:t>from a chief executive officer or chief financial officer (however describ</w:t>
      </w:r>
      <w:r w:rsidR="005B15EB" w:rsidRPr="00D40D88">
        <w:rPr>
          <w:lang w:eastAsia="en-AU"/>
        </w:rPr>
        <w:t xml:space="preserve">ed) </w:t>
      </w:r>
      <w:r w:rsidR="00DC0F3A" w:rsidRPr="00D40D88">
        <w:rPr>
          <w:lang w:eastAsia="en-AU"/>
        </w:rPr>
        <w:t>on the economics of the project</w:t>
      </w:r>
      <w:r w:rsidR="00C719A3" w:rsidRPr="00D40D88">
        <w:rPr>
          <w:lang w:eastAsia="en-AU"/>
        </w:rPr>
        <w:t>,</w:t>
      </w:r>
      <w:r w:rsidR="005B15EB" w:rsidRPr="00D40D88">
        <w:rPr>
          <w:lang w:eastAsia="en-AU"/>
        </w:rPr>
        <w:t xml:space="preserve"> the li</w:t>
      </w:r>
      <w:r w:rsidR="00DC0F3A" w:rsidRPr="00D40D88">
        <w:rPr>
          <w:lang w:eastAsia="en-AU"/>
        </w:rPr>
        <w:t>kelihood of continued combustion activitie</w:t>
      </w:r>
      <w:r w:rsidR="00C719A3" w:rsidRPr="00D40D88">
        <w:rPr>
          <w:lang w:eastAsia="en-AU"/>
        </w:rPr>
        <w:t xml:space="preserve">s in the absence of the project, and consultation requirements. </w:t>
      </w:r>
      <w:r w:rsidR="00DC0F3A" w:rsidRPr="00D40D88">
        <w:rPr>
          <w:lang w:eastAsia="en-AU"/>
        </w:rPr>
        <w:t xml:space="preserve"> </w:t>
      </w:r>
      <w:r w:rsidR="00C719A3" w:rsidRPr="00D40D88" w:rsidDel="00C719A3">
        <w:rPr>
          <w:lang w:eastAsia="en-AU"/>
        </w:rPr>
        <w:t xml:space="preserve"> </w:t>
      </w:r>
    </w:p>
    <w:p w14:paraId="574778A1" w14:textId="08283919" w:rsidR="00107193" w:rsidRPr="00D40D88" w:rsidRDefault="00CB57A1" w:rsidP="007256DD">
      <w:pPr>
        <w:rPr>
          <w:lang w:eastAsia="en-AU"/>
        </w:rPr>
      </w:pPr>
      <w:r w:rsidRPr="00154FD8">
        <w:rPr>
          <w:lang w:eastAsia="en-AU"/>
        </w:rPr>
        <w:t xml:space="preserve">Subsection </w:t>
      </w:r>
      <w:r w:rsidR="00107193" w:rsidRPr="00154FD8">
        <w:rPr>
          <w:lang w:eastAsia="en-AU"/>
        </w:rPr>
        <w:t>11A(4) sets out that</w:t>
      </w:r>
      <w:r w:rsidR="004124A2" w:rsidRPr="00154FD8">
        <w:rPr>
          <w:lang w:eastAsia="en-AU"/>
        </w:rPr>
        <w:t xml:space="preserve"> </w:t>
      </w:r>
      <w:r w:rsidR="00107193" w:rsidRPr="00154FD8">
        <w:rPr>
          <w:lang w:eastAsia="en-AU"/>
        </w:rPr>
        <w:t>a restarting flaring project</w:t>
      </w:r>
      <w:r w:rsidR="004124A2" w:rsidRPr="00154FD8">
        <w:rPr>
          <w:lang w:eastAsia="en-AU"/>
        </w:rPr>
        <w:t xml:space="preserve"> must use</w:t>
      </w:r>
      <w:r w:rsidR="00107193" w:rsidRPr="00154FD8">
        <w:rPr>
          <w:lang w:eastAsia="en-AU"/>
        </w:rPr>
        <w:t xml:space="preserve"> </w:t>
      </w:r>
      <w:r w:rsidR="004124A2" w:rsidRPr="00154FD8">
        <w:rPr>
          <w:lang w:eastAsia="en-AU"/>
        </w:rPr>
        <w:t>abatement calculations as if it were a</w:t>
      </w:r>
      <w:r w:rsidR="00107193" w:rsidRPr="00154FD8">
        <w:rPr>
          <w:lang w:eastAsia="en-AU"/>
        </w:rPr>
        <w:t xml:space="preserve"> new</w:t>
      </w:r>
      <w:r w:rsidR="004124A2" w:rsidRPr="00154FD8">
        <w:rPr>
          <w:lang w:eastAsia="en-AU"/>
        </w:rPr>
        <w:t xml:space="preserve">, </w:t>
      </w:r>
      <w:r w:rsidR="00107193" w:rsidRPr="00154FD8">
        <w:rPr>
          <w:lang w:eastAsia="en-AU"/>
        </w:rPr>
        <w:t>recommencing</w:t>
      </w:r>
      <w:r w:rsidR="004124A2" w:rsidRPr="00154FD8">
        <w:rPr>
          <w:lang w:eastAsia="en-AU"/>
        </w:rPr>
        <w:t xml:space="preserve">, </w:t>
      </w:r>
      <w:r w:rsidR="00107193" w:rsidRPr="00154FD8">
        <w:rPr>
          <w:lang w:eastAsia="en-AU"/>
        </w:rPr>
        <w:t>upgrade</w:t>
      </w:r>
      <w:r w:rsidR="004124A2" w:rsidRPr="00154FD8">
        <w:rPr>
          <w:lang w:eastAsia="en-AU"/>
        </w:rPr>
        <w:t xml:space="preserve"> or </w:t>
      </w:r>
      <w:r w:rsidR="00107193" w:rsidRPr="00154FD8">
        <w:rPr>
          <w:lang w:eastAsia="en-AU"/>
        </w:rPr>
        <w:t>transitioning project</w:t>
      </w:r>
      <w:r w:rsidR="004124A2" w:rsidRPr="00154FD8">
        <w:rPr>
          <w:lang w:eastAsia="en-AU"/>
        </w:rPr>
        <w:t xml:space="preserve"> – whichever corresponds to the restarting flaring project’s</w:t>
      </w:r>
      <w:r w:rsidR="004845CB" w:rsidRPr="00154FD8">
        <w:rPr>
          <w:lang w:eastAsia="en-AU"/>
        </w:rPr>
        <w:t xml:space="preserve"> project type during its previous iteration under the </w:t>
      </w:r>
      <w:r w:rsidR="004845CB" w:rsidRPr="00154FD8">
        <w:rPr>
          <w:bCs/>
          <w:i/>
          <w:iCs/>
          <w:color w:val="000000" w:themeColor="text1"/>
          <w:kern w:val="36"/>
          <w:szCs w:val="24"/>
        </w:rPr>
        <w:t>Carbon Credits (Carbon Farming Initiative—Landfill Gas) Methodology Determination 2015</w:t>
      </w:r>
      <w:r w:rsidR="005301E3" w:rsidRPr="00154FD8">
        <w:rPr>
          <w:lang w:eastAsia="en-AU"/>
        </w:rPr>
        <w:t>.</w:t>
      </w:r>
      <w:r w:rsidR="00107193" w:rsidRPr="00154FD8">
        <w:rPr>
          <w:lang w:eastAsia="en-AU"/>
        </w:rPr>
        <w:t xml:space="preserve"> </w:t>
      </w:r>
      <w:r w:rsidR="00153E31" w:rsidRPr="00154FD8">
        <w:rPr>
          <w:lang w:eastAsia="en-AU"/>
        </w:rPr>
        <w:t>To avoid doubt, r</w:t>
      </w:r>
      <w:r w:rsidR="004845CB" w:rsidRPr="00154FD8">
        <w:rPr>
          <w:lang w:eastAsia="en-AU"/>
        </w:rPr>
        <w:t>estarting flaring projects</w:t>
      </w:r>
      <w:r w:rsidR="00391DBB" w:rsidRPr="00154FD8">
        <w:rPr>
          <w:lang w:eastAsia="en-AU"/>
        </w:rPr>
        <w:t xml:space="preserve"> </w:t>
      </w:r>
      <w:r w:rsidR="00107193" w:rsidRPr="00154FD8">
        <w:rPr>
          <w:lang w:eastAsia="en-AU"/>
        </w:rPr>
        <w:t xml:space="preserve">must </w:t>
      </w:r>
      <w:r w:rsidR="004845CB" w:rsidRPr="00154FD8">
        <w:rPr>
          <w:lang w:eastAsia="en-AU"/>
        </w:rPr>
        <w:t>use the relevant equations in the Determination as amended by</w:t>
      </w:r>
      <w:r w:rsidR="00107193" w:rsidRPr="00154FD8">
        <w:rPr>
          <w:lang w:eastAsia="en-AU"/>
        </w:rPr>
        <w:t xml:space="preserve"> the</w:t>
      </w:r>
      <w:r w:rsidR="0080091D" w:rsidRPr="00154FD8">
        <w:rPr>
          <w:lang w:eastAsia="en-AU"/>
        </w:rPr>
        <w:t xml:space="preserve"> </w:t>
      </w:r>
      <w:r w:rsidR="0080091D" w:rsidRPr="00154FD8">
        <w:rPr>
          <w:bCs/>
          <w:i/>
          <w:iCs/>
          <w:color w:val="000000" w:themeColor="text1"/>
          <w:kern w:val="36"/>
          <w:szCs w:val="24"/>
          <w:lang w:eastAsia="en-AU"/>
        </w:rPr>
        <w:t xml:space="preserve">Carbon Credits (Carbon Farming Initiative—Landfill Gas) Methodology </w:t>
      </w:r>
      <w:r w:rsidRPr="00154FD8">
        <w:rPr>
          <w:bCs/>
          <w:i/>
          <w:iCs/>
          <w:color w:val="000000" w:themeColor="text1"/>
          <w:kern w:val="36"/>
          <w:szCs w:val="24"/>
          <w:lang w:eastAsia="en-AU"/>
        </w:rPr>
        <w:t xml:space="preserve">Determination </w:t>
      </w:r>
      <w:r w:rsidR="0080091D" w:rsidRPr="00154FD8">
        <w:rPr>
          <w:bCs/>
          <w:i/>
          <w:iCs/>
          <w:color w:val="000000" w:themeColor="text1"/>
          <w:kern w:val="36"/>
          <w:szCs w:val="24"/>
          <w:lang w:eastAsia="en-AU"/>
        </w:rPr>
        <w:t>Variation 2021</w:t>
      </w:r>
      <w:r w:rsidR="00107193" w:rsidRPr="00154FD8">
        <w:rPr>
          <w:lang w:eastAsia="en-AU"/>
        </w:rPr>
        <w:t>.</w:t>
      </w:r>
      <w:r w:rsidR="00107193" w:rsidRPr="00D40D88">
        <w:rPr>
          <w:lang w:eastAsia="en-AU"/>
        </w:rPr>
        <w:t xml:space="preserve"> </w:t>
      </w:r>
      <w:r w:rsidR="00107193" w:rsidRPr="00D40D88" w:rsidDel="00C719A3">
        <w:rPr>
          <w:lang w:eastAsia="en-AU"/>
        </w:rPr>
        <w:t xml:space="preserve"> </w:t>
      </w:r>
    </w:p>
    <w:p w14:paraId="1CF29F0E" w14:textId="77777777" w:rsidR="00DC0F3A" w:rsidRDefault="00DC0F3A" w:rsidP="007256DD">
      <w:pPr>
        <w:pStyle w:val="ESA4Section"/>
        <w:spacing w:line="276" w:lineRule="auto"/>
        <w:rPr>
          <w:lang w:eastAsia="en-AU"/>
        </w:rPr>
      </w:pPr>
      <w:r>
        <w:rPr>
          <w:lang w:eastAsia="en-AU"/>
        </w:rPr>
        <w:t xml:space="preserve">[5] </w:t>
      </w:r>
      <w:r>
        <w:rPr>
          <w:lang w:eastAsia="en-AU"/>
        </w:rPr>
        <w:tab/>
        <w:t>After subsection 13(1)</w:t>
      </w:r>
    </w:p>
    <w:p w14:paraId="3BE6F189" w14:textId="25A90F9E" w:rsidR="0058167A" w:rsidRDefault="00DC0F3A" w:rsidP="006207D3">
      <w:pPr>
        <w:rPr>
          <w:rFonts w:eastAsia="Times New Roman"/>
          <w:color w:val="1F497D"/>
          <w:highlight w:val="yellow"/>
        </w:rPr>
      </w:pPr>
      <w:r>
        <w:rPr>
          <w:lang w:eastAsia="en-AU"/>
        </w:rPr>
        <w:t xml:space="preserve">Item [5] adds </w:t>
      </w:r>
      <w:r w:rsidR="00704678">
        <w:rPr>
          <w:lang w:eastAsia="en-AU"/>
        </w:rPr>
        <w:t xml:space="preserve">in-lieu of newness requirements to restarting flaring projects, with a requirement that any flaring </w:t>
      </w:r>
      <w:r w:rsidR="007256DD">
        <w:rPr>
          <w:lang w:eastAsia="en-AU"/>
        </w:rPr>
        <w:t>equipment</w:t>
      </w:r>
      <w:r w:rsidR="00704678">
        <w:rPr>
          <w:lang w:eastAsia="en-AU"/>
        </w:rPr>
        <w:t xml:space="preserve"> that needs to be installed or reinstalled under the new project has not been installed or reinstalled at any point in the 2 years </w:t>
      </w:r>
      <w:r w:rsidR="00D72E68" w:rsidRPr="004B1EC2">
        <w:rPr>
          <w:lang w:eastAsia="en-AU"/>
        </w:rPr>
        <w:t xml:space="preserve">from the day </w:t>
      </w:r>
      <w:r w:rsidR="00704678" w:rsidRPr="004B1EC2">
        <w:rPr>
          <w:lang w:eastAsia="en-AU"/>
        </w:rPr>
        <w:t>before</w:t>
      </w:r>
      <w:r w:rsidR="0058167A" w:rsidRPr="004B1EC2">
        <w:rPr>
          <w:lang w:eastAsia="en-AU"/>
        </w:rPr>
        <w:t xml:space="preserve"> (i.e. immediately before)</w:t>
      </w:r>
      <w:r w:rsidR="00704678" w:rsidRPr="004B1EC2">
        <w:rPr>
          <w:lang w:eastAsia="en-AU"/>
        </w:rPr>
        <w:t xml:space="preserve"> the application for declaration of the project as an eligible offs</w:t>
      </w:r>
      <w:r w:rsidR="00704678">
        <w:rPr>
          <w:lang w:eastAsia="en-AU"/>
        </w:rPr>
        <w:t>e</w:t>
      </w:r>
      <w:r w:rsidR="0082393C">
        <w:rPr>
          <w:lang w:eastAsia="en-AU"/>
        </w:rPr>
        <w:t>ts project</w:t>
      </w:r>
      <w:r w:rsidR="00FA07F0">
        <w:rPr>
          <w:lang w:eastAsia="en-AU"/>
        </w:rPr>
        <w:t xml:space="preserve"> was made</w:t>
      </w:r>
      <w:r w:rsidR="0082393C">
        <w:rPr>
          <w:lang w:eastAsia="en-AU"/>
        </w:rPr>
        <w:t>.</w:t>
      </w:r>
      <w:r w:rsidR="003A3EFD">
        <w:rPr>
          <w:lang w:eastAsia="en-AU"/>
        </w:rPr>
        <w:t xml:space="preserve"> This provision is to ensure that the restarting flaring activity would be unlikely to occur in the ordinary course of business.</w:t>
      </w:r>
      <w:r w:rsidR="00107193" w:rsidRPr="00107193">
        <w:rPr>
          <w:rFonts w:eastAsia="Times New Roman"/>
          <w:color w:val="1F497D"/>
          <w:highlight w:val="yellow"/>
        </w:rPr>
        <w:t xml:space="preserve"> </w:t>
      </w:r>
      <w:bookmarkStart w:id="2" w:name="_Hlk61513686"/>
    </w:p>
    <w:p w14:paraId="48631A3E" w14:textId="59481C0F" w:rsidR="00DC0F3A" w:rsidRDefault="00096E71" w:rsidP="006207D3">
      <w:pPr>
        <w:rPr>
          <w:lang w:eastAsia="en-AU"/>
        </w:rPr>
      </w:pPr>
      <w:r w:rsidRPr="004B1EC2">
        <w:t xml:space="preserve">Generating landfills </w:t>
      </w:r>
      <w:r w:rsidR="00A240E4" w:rsidRPr="004B1EC2">
        <w:t>that</w:t>
      </w:r>
      <w:r w:rsidRPr="004B1EC2">
        <w:t xml:space="preserve"> contain flares on-site for backup</w:t>
      </w:r>
      <w:r w:rsidR="004F0249" w:rsidRPr="004B1EC2">
        <w:t xml:space="preserve"> or </w:t>
      </w:r>
      <w:r w:rsidRPr="004B1EC2">
        <w:t>maintenance are not excluded under this provision if they wish to re-enter as restarting flaring projects.</w:t>
      </w:r>
      <w:bookmarkEnd w:id="2"/>
      <w:r w:rsidR="004F0249" w:rsidRPr="004B1EC2">
        <w:t xml:space="preserve"> </w:t>
      </w:r>
      <w:r w:rsidR="00107193" w:rsidRPr="004B1EC2">
        <w:rPr>
          <w:rFonts w:eastAsia="Times New Roman"/>
        </w:rPr>
        <w:t>If projects have backup flares on site while generating electricity, the</w:t>
      </w:r>
      <w:r w:rsidR="0096755D" w:rsidRPr="004B1EC2">
        <w:rPr>
          <w:rFonts w:eastAsia="Times New Roman"/>
        </w:rPr>
        <w:t xml:space="preserve"> project</w:t>
      </w:r>
      <w:r w:rsidR="00107193" w:rsidRPr="004B1EC2">
        <w:rPr>
          <w:rFonts w:eastAsia="Times New Roman"/>
        </w:rPr>
        <w:t xml:space="preserve"> do</w:t>
      </w:r>
      <w:r w:rsidR="0096755D" w:rsidRPr="004B1EC2">
        <w:rPr>
          <w:rFonts w:eastAsia="Times New Roman"/>
        </w:rPr>
        <w:t>es not</w:t>
      </w:r>
      <w:r w:rsidR="00107193" w:rsidRPr="004B1EC2">
        <w:rPr>
          <w:rFonts w:eastAsia="Times New Roman"/>
        </w:rPr>
        <w:t xml:space="preserve"> need to remove those flares to create a 2 year gap to satisfy </w:t>
      </w:r>
      <w:r w:rsidR="0096755D" w:rsidRPr="004B1EC2">
        <w:rPr>
          <w:rFonts w:eastAsia="Times New Roman"/>
        </w:rPr>
        <w:t>th</w:t>
      </w:r>
      <w:r w:rsidR="009660B7" w:rsidRPr="004B1EC2">
        <w:rPr>
          <w:rFonts w:eastAsia="Times New Roman"/>
        </w:rPr>
        <w:t>is requirement</w:t>
      </w:r>
      <w:r w:rsidR="00107193" w:rsidRPr="004B1EC2">
        <w:rPr>
          <w:rFonts w:eastAsia="Times New Roman"/>
        </w:rPr>
        <w:t xml:space="preserve">. </w:t>
      </w:r>
      <w:r w:rsidR="003F09EF" w:rsidRPr="004B1EC2">
        <w:rPr>
          <w:rFonts w:eastAsia="Times New Roman"/>
        </w:rPr>
        <w:t>However,</w:t>
      </w:r>
      <w:r w:rsidR="0058167A" w:rsidRPr="004B1EC2">
        <w:rPr>
          <w:rFonts w:eastAsia="Times New Roman"/>
        </w:rPr>
        <w:t xml:space="preserve"> i</w:t>
      </w:r>
      <w:r w:rsidR="002B186D" w:rsidRPr="004B1EC2">
        <w:rPr>
          <w:rFonts w:eastAsia="Times New Roman"/>
        </w:rPr>
        <w:t xml:space="preserve">f </w:t>
      </w:r>
      <w:r w:rsidR="002B186D" w:rsidRPr="004B1EC2">
        <w:t xml:space="preserve">the backup flares present </w:t>
      </w:r>
      <w:r w:rsidR="0058167A" w:rsidRPr="004B1EC2">
        <w:t>at a</w:t>
      </w:r>
      <w:r w:rsidR="002B186D" w:rsidRPr="004B1EC2">
        <w:t xml:space="preserve"> site were installed or reinstalled </w:t>
      </w:r>
      <w:r w:rsidR="003D5874" w:rsidRPr="004B1EC2">
        <w:t xml:space="preserve">other than for backup or maintenance purposes </w:t>
      </w:r>
      <w:r w:rsidR="002B186D" w:rsidRPr="004B1EC2">
        <w:t xml:space="preserve">at any point in the </w:t>
      </w:r>
      <w:bookmarkStart w:id="3" w:name="_Hlk61513586"/>
      <w:r w:rsidR="002B186D" w:rsidRPr="004B1EC2">
        <w:rPr>
          <w:lang w:eastAsia="en-AU"/>
        </w:rPr>
        <w:t>2 years immediately before the application for declaration of the project as an eligible offsets project</w:t>
      </w:r>
      <w:bookmarkEnd w:id="3"/>
      <w:r w:rsidR="0058167A" w:rsidRPr="004B1EC2">
        <w:rPr>
          <w:lang w:eastAsia="en-AU"/>
        </w:rPr>
        <w:t>, the in-lieu of newness requirements would not be satisfied</w:t>
      </w:r>
      <w:r w:rsidR="002B186D" w:rsidRPr="004B1EC2">
        <w:rPr>
          <w:lang w:eastAsia="en-AU"/>
        </w:rPr>
        <w:t>.</w:t>
      </w:r>
    </w:p>
    <w:p w14:paraId="19E0CD50" w14:textId="6DA6E687" w:rsidR="008F24FD" w:rsidRPr="002A6DE8" w:rsidRDefault="008F24FD" w:rsidP="007256DD">
      <w:pPr>
        <w:pStyle w:val="ESA4Section"/>
        <w:spacing w:line="276" w:lineRule="auto"/>
      </w:pPr>
      <w:r w:rsidRPr="002A6DE8">
        <w:t>[</w:t>
      </w:r>
      <w:r w:rsidR="00DC0F3A">
        <w:t>6</w:t>
      </w:r>
      <w:r w:rsidRPr="002A6DE8">
        <w:t>]</w:t>
      </w:r>
      <w:r w:rsidRPr="002A6DE8">
        <w:tab/>
      </w:r>
      <w:r w:rsidR="00DF5CAB" w:rsidRPr="002A6DE8">
        <w:t xml:space="preserve">After </w:t>
      </w:r>
      <w:r w:rsidR="00E239DB" w:rsidRPr="002A6DE8">
        <w:t>section</w:t>
      </w:r>
      <w:r w:rsidR="00DF5CAB" w:rsidRPr="002A6DE8">
        <w:t xml:space="preserve"> 13</w:t>
      </w:r>
    </w:p>
    <w:p w14:paraId="6031329A" w14:textId="19BF27AF" w:rsidR="00DF5CAB" w:rsidRDefault="00D045F4" w:rsidP="007256DD">
      <w:r w:rsidRPr="002A6DE8">
        <w:t>Item [</w:t>
      </w:r>
      <w:r w:rsidR="00DC0F3A">
        <w:t>6</w:t>
      </w:r>
      <w:r w:rsidRPr="002A6DE8">
        <w:t>] adds a</w:t>
      </w:r>
      <w:r w:rsidR="00DF5CAB" w:rsidRPr="002A6DE8">
        <w:t xml:space="preserve"> new section 13A to </w:t>
      </w:r>
      <w:r w:rsidR="00DF5CAB" w:rsidRPr="002A6DE8">
        <w:rPr>
          <w:lang w:eastAsia="en-AU"/>
        </w:rPr>
        <w:t>Part 3 – Project requir</w:t>
      </w:r>
      <w:r w:rsidR="00DF5CAB">
        <w:rPr>
          <w:lang w:eastAsia="en-AU"/>
        </w:rPr>
        <w:t>ements</w:t>
      </w:r>
      <w:r w:rsidR="004F08B1">
        <w:rPr>
          <w:lang w:eastAsia="en-AU"/>
        </w:rPr>
        <w:t>,</w:t>
      </w:r>
      <w:r w:rsidR="00DF5CAB">
        <w:t xml:space="preserve"> after section 13. Under the Act, the standard crediting period for an emissions avoidance offsets project is </w:t>
      </w:r>
      <w:r w:rsidR="00716266">
        <w:t>seven</w:t>
      </w:r>
      <w:r w:rsidR="0038421F">
        <w:t xml:space="preserve"> years, unless it is otherwise specified in the applicable methodology determination. The new section 13A specifies longer crediting periods for landfill gas projects</w:t>
      </w:r>
      <w:r w:rsidR="004574CA">
        <w:t xml:space="preserve"> that involve flaring-</w:t>
      </w:r>
      <w:r w:rsidR="0038421F">
        <w:t>only</w:t>
      </w:r>
      <w:r w:rsidR="0082393C">
        <w:t>, or switch between flaring and generation</w:t>
      </w:r>
      <w:r w:rsidR="003769D2">
        <w:t>. This new section also clarifies the crediting period for projects</w:t>
      </w:r>
      <w:r w:rsidR="0038421F">
        <w:t xml:space="preserve"> that involve electricity generation. </w:t>
      </w:r>
      <w:r w:rsidR="00061A49">
        <w:t>The longer crediting period will apply to</w:t>
      </w:r>
      <w:r w:rsidR="008609C0">
        <w:t xml:space="preserve"> the only crediting period </w:t>
      </w:r>
      <w:r w:rsidR="008609C0">
        <w:rPr>
          <w:lang w:eastAsia="en-AU"/>
        </w:rPr>
        <w:t xml:space="preserve">under </w:t>
      </w:r>
      <w:r w:rsidR="009133EC">
        <w:rPr>
          <w:lang w:eastAsia="en-AU"/>
        </w:rPr>
        <w:t>subsection</w:t>
      </w:r>
      <w:r w:rsidR="008609C0">
        <w:rPr>
          <w:lang w:eastAsia="en-AU"/>
        </w:rPr>
        <w:t xml:space="preserve"> 69(3)</w:t>
      </w:r>
      <w:r w:rsidR="009133EC">
        <w:rPr>
          <w:lang w:eastAsia="en-AU"/>
        </w:rPr>
        <w:t xml:space="preserve"> </w:t>
      </w:r>
      <w:r w:rsidR="008609C0">
        <w:rPr>
          <w:lang w:eastAsia="en-AU"/>
        </w:rPr>
        <w:t>of the Act</w:t>
      </w:r>
      <w:r w:rsidR="008609C0">
        <w:t xml:space="preserve"> </w:t>
      </w:r>
      <w:r w:rsidR="00061A49">
        <w:t xml:space="preserve">and to </w:t>
      </w:r>
      <w:r w:rsidR="008609C0">
        <w:t xml:space="preserve">the second crediting period under </w:t>
      </w:r>
      <w:r w:rsidR="008609C0">
        <w:rPr>
          <w:lang w:eastAsia="en-AU"/>
        </w:rPr>
        <w:t>paragraph 70(3)(d) of the Act</w:t>
      </w:r>
      <w:r w:rsidR="00061A49">
        <w:t xml:space="preserve">. </w:t>
      </w:r>
      <w:r w:rsidR="00BC2747">
        <w:t xml:space="preserve">A landfill gas project has a second crediting period under paragraph </w:t>
      </w:r>
      <w:r w:rsidR="00BC2747">
        <w:rPr>
          <w:lang w:eastAsia="en-AU"/>
        </w:rPr>
        <w:t xml:space="preserve">70(3)(d) of the Act </w:t>
      </w:r>
      <w:r w:rsidR="009133EC">
        <w:rPr>
          <w:lang w:eastAsia="en-AU"/>
        </w:rPr>
        <w:t xml:space="preserve">beginning on 13 December 2014 </w:t>
      </w:r>
      <w:r w:rsidR="00BC2747">
        <w:rPr>
          <w:lang w:eastAsia="en-AU"/>
        </w:rPr>
        <w:t xml:space="preserve">if </w:t>
      </w:r>
      <w:r w:rsidR="009133EC">
        <w:rPr>
          <w:lang w:eastAsia="en-AU"/>
        </w:rPr>
        <w:t xml:space="preserve">the project </w:t>
      </w:r>
      <w:r w:rsidR="00BC2747">
        <w:rPr>
          <w:lang w:eastAsia="en-AU"/>
        </w:rPr>
        <w:t xml:space="preserve">was declared as an eligible offsets project under section 27 of the Act before </w:t>
      </w:r>
      <w:r w:rsidR="009133EC">
        <w:rPr>
          <w:lang w:eastAsia="en-AU"/>
        </w:rPr>
        <w:t>that date</w:t>
      </w:r>
      <w:r w:rsidR="00BC2747">
        <w:rPr>
          <w:lang w:eastAsia="en-AU"/>
        </w:rPr>
        <w:t xml:space="preserve">.  </w:t>
      </w:r>
    </w:p>
    <w:p w14:paraId="483D5A3B" w14:textId="61C8F571" w:rsidR="004B3C77" w:rsidRDefault="00387409" w:rsidP="007256DD">
      <w:r>
        <w:t xml:space="preserve">Subsection 13A(1) specifies that for a </w:t>
      </w:r>
      <w:r w:rsidR="004574CA">
        <w:t>flaring-</w:t>
      </w:r>
      <w:r>
        <w:t xml:space="preserve">only landfill gas project, i.e. </w:t>
      </w:r>
      <w:r w:rsidR="006710EC">
        <w:t xml:space="preserve">where </w:t>
      </w:r>
      <w:r>
        <w:t xml:space="preserve">the project does not use </w:t>
      </w:r>
      <w:r w:rsidR="00716266">
        <w:t>landfill gas to generate electricity</w:t>
      </w:r>
      <w:r w:rsidR="00D82AAD">
        <w:t xml:space="preserve"> during its second or only crediting period</w:t>
      </w:r>
      <w:r w:rsidR="00716266">
        <w:t xml:space="preserve">, </w:t>
      </w:r>
      <w:r w:rsidR="007B2E8A">
        <w:t>or a project that flares as well as generate</w:t>
      </w:r>
      <w:r w:rsidR="00746DE2">
        <w:t>s</w:t>
      </w:r>
      <w:r w:rsidR="007B2E8A">
        <w:t xml:space="preserve"> electricity for </w:t>
      </w:r>
      <w:r w:rsidR="00D369A3">
        <w:t>less</w:t>
      </w:r>
      <w:r w:rsidR="007B2E8A">
        <w:t xml:space="preserve"> than 84 calendar months </w:t>
      </w:r>
      <w:r w:rsidR="00D82AAD">
        <w:t>during its second or only crediting period</w:t>
      </w:r>
      <w:r w:rsidR="007B2E8A">
        <w:t xml:space="preserve">, </w:t>
      </w:r>
      <w:r w:rsidR="00716266">
        <w:t xml:space="preserve">the </w:t>
      </w:r>
      <w:r w:rsidR="00D82AAD">
        <w:t xml:space="preserve">second or only </w:t>
      </w:r>
      <w:r w:rsidR="00716266">
        <w:t xml:space="preserve">crediting period is </w:t>
      </w:r>
      <w:r w:rsidR="004574CA">
        <w:t xml:space="preserve">extended from the standard </w:t>
      </w:r>
      <w:r w:rsidR="0058167A">
        <w:t xml:space="preserve">7 </w:t>
      </w:r>
      <w:r w:rsidR="004574CA">
        <w:t xml:space="preserve">years to </w:t>
      </w:r>
      <w:r w:rsidR="0058167A">
        <w:t xml:space="preserve">12 </w:t>
      </w:r>
      <w:r w:rsidR="00716266">
        <w:t xml:space="preserve">years. </w:t>
      </w:r>
      <w:bookmarkStart w:id="4" w:name="_Hlk61340488"/>
      <w:r w:rsidR="003769D2">
        <w:t>The review of the crediting period of the method found e</w:t>
      </w:r>
      <w:r w:rsidR="004574CA">
        <w:t xml:space="preserve">xtending the crediting period for flaring-only projects is unlikely to result in the issuance of Australian Carbon Credit Units (ACCUs) for emissions reductions that would </w:t>
      </w:r>
      <w:r w:rsidR="003769D2">
        <w:t xml:space="preserve">likely </w:t>
      </w:r>
      <w:r w:rsidR="004574CA">
        <w:t xml:space="preserve">occur in the ordinary course of events. The only source of revenue from the operation of flaring-only projects is the sale of </w:t>
      </w:r>
      <w:r w:rsidR="00F227E0">
        <w:t>ACCUs</w:t>
      </w:r>
      <w:r w:rsidR="004574CA">
        <w:t xml:space="preserve">. The capture and combustion of landfill gas with flares involves ongoing capital expenditure for piping infrastructure, and maintenance and operational costs associated with equipment. </w:t>
      </w:r>
      <w:r w:rsidR="003769D2">
        <w:t>T</w:t>
      </w:r>
      <w:r w:rsidR="004574CA">
        <w:t xml:space="preserve">he </w:t>
      </w:r>
      <w:r w:rsidR="003769D2">
        <w:t xml:space="preserve">crediting period review found the </w:t>
      </w:r>
      <w:r w:rsidR="004574CA">
        <w:t xml:space="preserve">capture and combustion activities are likely to </w:t>
      </w:r>
      <w:r w:rsidR="003769D2">
        <w:t>cease</w:t>
      </w:r>
      <w:r w:rsidR="00F227E0" w:rsidRPr="00F227E0">
        <w:t xml:space="preserve"> </w:t>
      </w:r>
      <w:r w:rsidR="003769D2">
        <w:t>at the end of the crediting period for flaring-only projects</w:t>
      </w:r>
      <w:r w:rsidR="00F227E0">
        <w:t xml:space="preserve">. </w:t>
      </w:r>
    </w:p>
    <w:bookmarkEnd w:id="4"/>
    <w:p w14:paraId="0F231C6E" w14:textId="10C80A08" w:rsidR="00FF02F9" w:rsidRDefault="00FF02F9" w:rsidP="007256DD">
      <w:r>
        <w:t xml:space="preserve">The crediting period extension review found extending the crediting period for electricity generation activities beyond </w:t>
      </w:r>
      <w:r w:rsidR="0058167A">
        <w:t xml:space="preserve">7 </w:t>
      </w:r>
      <w:r>
        <w:t xml:space="preserve">years would be likely to result in the issuance of ACCUs for emissions reductions that would occur in the ordinary course of events. Therefore this variation maintains a crediting period of 7 years for generation-only projects. </w:t>
      </w:r>
    </w:p>
    <w:p w14:paraId="6366C3D4" w14:textId="642A41F9" w:rsidR="00D835E3" w:rsidRDefault="00D369A3" w:rsidP="007256DD">
      <w:r>
        <w:t>E</w:t>
      </w:r>
      <w:r w:rsidR="004B3C77">
        <w:t xml:space="preserve">lectricity generation </w:t>
      </w:r>
      <w:r>
        <w:t xml:space="preserve">may become uneconomic for </w:t>
      </w:r>
      <w:r w:rsidR="004B3C77">
        <w:t xml:space="preserve">projects that experienced a decline in gas collection, </w:t>
      </w:r>
      <w:r w:rsidR="00C719A3">
        <w:t xml:space="preserve">and </w:t>
      </w:r>
      <w:r>
        <w:t>such projects are un</w:t>
      </w:r>
      <w:r w:rsidR="00C719A3">
        <w:t xml:space="preserve">likely </w:t>
      </w:r>
      <w:r>
        <w:t xml:space="preserve">to </w:t>
      </w:r>
      <w:r w:rsidR="00C719A3">
        <w:t xml:space="preserve">continue combusting the methane </w:t>
      </w:r>
      <w:r>
        <w:t>using</w:t>
      </w:r>
      <w:r w:rsidR="00C719A3">
        <w:t xml:space="preserve"> flares</w:t>
      </w:r>
      <w:r>
        <w:t xml:space="preserve"> at the end of their crediting periods.</w:t>
      </w:r>
      <w:r w:rsidR="004B3C77">
        <w:t xml:space="preserve"> </w:t>
      </w:r>
      <w:r w:rsidR="004C2FC5">
        <w:t>Subsections 13A(1) and 13A(2)</w:t>
      </w:r>
      <w:r w:rsidR="004B3C77">
        <w:t xml:space="preserve"> </w:t>
      </w:r>
      <w:r w:rsidR="004C2FC5">
        <w:t>extend</w:t>
      </w:r>
      <w:r w:rsidR="004B3C77">
        <w:t xml:space="preserve"> the </w:t>
      </w:r>
      <w:r w:rsidR="00B070B3">
        <w:t xml:space="preserve">second or only </w:t>
      </w:r>
      <w:r w:rsidR="004B3C77">
        <w:t xml:space="preserve">crediting period </w:t>
      </w:r>
      <w:r>
        <w:t>for</w:t>
      </w:r>
      <w:r w:rsidR="004B3C77">
        <w:t xml:space="preserve"> projects that switch from flaring to electricity or vice-versa </w:t>
      </w:r>
      <w:r w:rsidR="00FF02F9">
        <w:t xml:space="preserve">to up to 12 years, provided </w:t>
      </w:r>
      <w:r w:rsidR="004B3C77">
        <w:t xml:space="preserve">that generation activities within the 12-year period do not exceed 7 years. </w:t>
      </w:r>
      <w:r w:rsidR="004C2FC5">
        <w:t>Subsection 13A(2)</w:t>
      </w:r>
      <w:r w:rsidR="00FB1465">
        <w:t xml:space="preserve"> sets out that</w:t>
      </w:r>
      <w:r w:rsidR="004C2FC5">
        <w:t xml:space="preserve"> the crediting period ends </w:t>
      </w:r>
      <w:r w:rsidR="009B7BE5">
        <w:t>at the beginning of</w:t>
      </w:r>
      <w:r w:rsidR="004C2FC5">
        <w:t xml:space="preserve"> the 8</w:t>
      </w:r>
      <w:r w:rsidR="004C2FC5" w:rsidRPr="004C2FC5">
        <w:rPr>
          <w:vertAlign w:val="superscript"/>
        </w:rPr>
        <w:t>th</w:t>
      </w:r>
      <w:r w:rsidR="004C2FC5">
        <w:t xml:space="preserve"> year of the generation activity for a project that switched from flaring to generation, maintain</w:t>
      </w:r>
      <w:r w:rsidR="009572E1">
        <w:t>ing</w:t>
      </w:r>
      <w:r w:rsidR="004C2FC5">
        <w:t xml:space="preserve"> consistency with the 7-year crediting perio</w:t>
      </w:r>
      <w:r w:rsidR="00C719A3">
        <w:t>d for generation-only projects</w:t>
      </w:r>
      <w:r w:rsidR="004C2FC5">
        <w:t xml:space="preserve">. </w:t>
      </w:r>
      <w:r w:rsidR="00FF02F9">
        <w:t xml:space="preserve">The </w:t>
      </w:r>
      <w:r w:rsidR="00E9208F">
        <w:t xml:space="preserve">7 </w:t>
      </w:r>
      <w:r w:rsidR="00FF02F9">
        <w:t>year limit is triggered after the 84</w:t>
      </w:r>
      <w:r w:rsidR="00FF02F9" w:rsidRPr="00FF02F9">
        <w:rPr>
          <w:vertAlign w:val="superscript"/>
        </w:rPr>
        <w:t>th</w:t>
      </w:r>
      <w:r w:rsidR="00FF02F9">
        <w:t xml:space="preserve"> month of generation, where any month where electricity was generated for more than three days is considered a month of generation. </w:t>
      </w:r>
      <w:r w:rsidR="00FB1465">
        <w:t xml:space="preserve">Some projects may be able to meet the criteria for a restarting flaring project under the new </w:t>
      </w:r>
      <w:r w:rsidR="00896540">
        <w:t xml:space="preserve">section </w:t>
      </w:r>
      <w:r w:rsidR="00FB1465">
        <w:t>11A.</w:t>
      </w:r>
    </w:p>
    <w:p w14:paraId="568EA2F3" w14:textId="2942575A" w:rsidR="002F105A" w:rsidRPr="002F105A" w:rsidRDefault="004F0FE6" w:rsidP="007256DD">
      <w:pPr>
        <w:rPr>
          <w:u w:val="single"/>
        </w:rPr>
      </w:pPr>
      <w:r>
        <w:rPr>
          <w:u w:val="single"/>
        </w:rPr>
        <w:t>[7</w:t>
      </w:r>
      <w:r w:rsidR="002F105A" w:rsidRPr="002F105A">
        <w:rPr>
          <w:u w:val="single"/>
        </w:rPr>
        <w:t>]</w:t>
      </w:r>
      <w:r w:rsidR="002F105A" w:rsidRPr="002F105A">
        <w:rPr>
          <w:u w:val="single"/>
        </w:rPr>
        <w:tab/>
        <w:t xml:space="preserve">Subsection 24(2) (definition of </w:t>
      </w:r>
      <w:r w:rsidR="002F105A" w:rsidRPr="002F105A">
        <w:rPr>
          <w:i/>
          <w:u w:val="single"/>
        </w:rPr>
        <w:t>W</w:t>
      </w:r>
      <w:r w:rsidR="002F105A" w:rsidRPr="002F105A">
        <w:rPr>
          <w:i/>
          <w:u w:val="single"/>
          <w:vertAlign w:val="subscript"/>
        </w:rPr>
        <w:t>LFG,CH4</w:t>
      </w:r>
      <w:r w:rsidR="002F105A" w:rsidRPr="002F105A">
        <w:rPr>
          <w:u w:val="single"/>
        </w:rPr>
        <w:t>)</w:t>
      </w:r>
      <w:r w:rsidR="005F0EDE">
        <w:rPr>
          <w:u w:val="single"/>
        </w:rPr>
        <w:t xml:space="preserve"> </w:t>
      </w:r>
    </w:p>
    <w:p w14:paraId="04B182F1" w14:textId="7F80D4CB" w:rsidR="002C2244" w:rsidRPr="00E2063B" w:rsidRDefault="002C2244" w:rsidP="002C2244">
      <w:pPr>
        <w:rPr>
          <w:highlight w:val="yellow"/>
        </w:rPr>
      </w:pPr>
      <w:r w:rsidRPr="007E5A1A">
        <w:t>Subsection 24(2) sets out</w:t>
      </w:r>
      <w:r>
        <w:t xml:space="preserve"> calculation option 1, using equation 8 (out of three possible options) for determining the amount of methane sent to a combustion device when calculating project emissions. Option 1 employs the measured volume of landfill gas multiplied by the stipulated proportion of the volume of landfill gas that is methane (</w:t>
      </w:r>
      <w:bookmarkStart w:id="5" w:name="_Hlk61361812"/>
      <w:r w:rsidRPr="00044512">
        <w:rPr>
          <w:i/>
        </w:rPr>
        <w:t>W</w:t>
      </w:r>
      <w:r w:rsidRPr="00044512">
        <w:rPr>
          <w:i/>
          <w:vertAlign w:val="subscript"/>
        </w:rPr>
        <w:t>LFG,CH4</w:t>
      </w:r>
      <w:bookmarkEnd w:id="5"/>
      <w:r>
        <w:t xml:space="preserve">). </w:t>
      </w:r>
      <w:r w:rsidR="00896540" w:rsidRPr="004B1EC2">
        <w:t xml:space="preserve">Prior to the variation made by the Variation, subsection </w:t>
      </w:r>
      <w:r w:rsidR="00F9692F" w:rsidRPr="004B1EC2">
        <w:t xml:space="preserve">24(2) </w:t>
      </w:r>
      <w:r w:rsidR="0058167A" w:rsidRPr="004B1EC2">
        <w:t>allow</w:t>
      </w:r>
      <w:r w:rsidR="00896540" w:rsidRPr="004B1EC2">
        <w:t>ed</w:t>
      </w:r>
      <w:r w:rsidR="00F9692F" w:rsidRPr="004B1EC2">
        <w:t xml:space="preserve"> proponents </w:t>
      </w:r>
      <w:r w:rsidR="0058167A" w:rsidRPr="004B1EC2">
        <w:t xml:space="preserve">to </w:t>
      </w:r>
      <w:r w:rsidR="00F9692F" w:rsidRPr="004B1EC2">
        <w:t xml:space="preserve">choose to use a default factor or a measured </w:t>
      </w:r>
      <w:r w:rsidR="00B50927" w:rsidRPr="004B1EC2">
        <w:t xml:space="preserve">value for </w:t>
      </w:r>
      <w:r w:rsidR="00B50927" w:rsidRPr="004B1EC2">
        <w:rPr>
          <w:i/>
        </w:rPr>
        <w:t>W</w:t>
      </w:r>
      <w:r w:rsidR="00B50927" w:rsidRPr="004B1EC2">
        <w:rPr>
          <w:i/>
          <w:vertAlign w:val="subscript"/>
        </w:rPr>
        <w:t>LFG,CH4</w:t>
      </w:r>
      <w:r w:rsidR="00704420" w:rsidRPr="004B1EC2">
        <w:t>.</w:t>
      </w:r>
      <w:r w:rsidR="00F9692F" w:rsidRPr="004B1EC2">
        <w:t xml:space="preserve"> </w:t>
      </w:r>
    </w:p>
    <w:p w14:paraId="3E088F44" w14:textId="4634661D" w:rsidR="00534384" w:rsidRDefault="00534384" w:rsidP="002C2244">
      <w:r w:rsidRPr="004B1EC2">
        <w:t xml:space="preserve">Projects covered by </w:t>
      </w:r>
      <w:r w:rsidR="00700DF9" w:rsidRPr="004B1EC2">
        <w:t>s</w:t>
      </w:r>
      <w:r w:rsidR="00E2063B" w:rsidRPr="004B1EC2">
        <w:t xml:space="preserve">ubsection </w:t>
      </w:r>
      <w:r w:rsidRPr="004B1EC2">
        <w:t>24(2A) (</w:t>
      </w:r>
      <w:r w:rsidR="00127AD6" w:rsidRPr="004B1EC2">
        <w:t>that is</w:t>
      </w:r>
      <w:r w:rsidR="0058167A" w:rsidRPr="004B1EC2">
        <w:t>,</w:t>
      </w:r>
      <w:r w:rsidR="00127AD6" w:rsidRPr="004B1EC2">
        <w:t xml:space="preserve"> </w:t>
      </w:r>
      <w:r w:rsidR="0013473A" w:rsidRPr="004B1EC2">
        <w:t xml:space="preserve">landfill gas </w:t>
      </w:r>
      <w:r w:rsidR="00B50927" w:rsidRPr="004B1EC2">
        <w:t xml:space="preserve">projects </w:t>
      </w:r>
      <w:r w:rsidR="00896540" w:rsidRPr="004B1EC2">
        <w:t xml:space="preserve">whose applicaton under section 22 of the Act was made </w:t>
      </w:r>
      <w:r w:rsidR="004F4183">
        <w:t>before</w:t>
      </w:r>
      <w:r w:rsidR="00B50927" w:rsidRPr="004B1EC2">
        <w:t xml:space="preserve"> 1 </w:t>
      </w:r>
      <w:r w:rsidR="004F4183">
        <w:t>September</w:t>
      </w:r>
      <w:r w:rsidR="00B50927" w:rsidRPr="004B1EC2">
        <w:t xml:space="preserve"> 2020</w:t>
      </w:r>
      <w:r w:rsidR="00896540" w:rsidRPr="004B1EC2">
        <w:t xml:space="preserve">, </w:t>
      </w:r>
      <w:r w:rsidR="00EA61E2">
        <w:t>and</w:t>
      </w:r>
      <w:r w:rsidR="00896540" w:rsidRPr="004B1EC2">
        <w:t xml:space="preserve"> restarting flaring projects </w:t>
      </w:r>
      <w:r w:rsidR="006B5822" w:rsidRPr="004B1EC2">
        <w:t>whose</w:t>
      </w:r>
      <w:r w:rsidR="00896540" w:rsidRPr="004B1EC2">
        <w:t xml:space="preserve"> application </w:t>
      </w:r>
      <w:r w:rsidR="00060063" w:rsidRPr="004B1EC2">
        <w:t xml:space="preserve">under section 22 of the Act </w:t>
      </w:r>
      <w:r w:rsidR="00896540" w:rsidRPr="004B1EC2">
        <w:t xml:space="preserve">as a </w:t>
      </w:r>
      <w:r w:rsidR="006B5822" w:rsidRPr="004B1EC2">
        <w:t xml:space="preserve">previous </w:t>
      </w:r>
      <w:r w:rsidR="00896540" w:rsidRPr="004B1EC2">
        <w:t>new, recommencing</w:t>
      </w:r>
      <w:r w:rsidR="00060063" w:rsidRPr="004B1EC2">
        <w:t xml:space="preserve">, upgrade or transitioning project was made before 1 </w:t>
      </w:r>
      <w:r w:rsidR="004F4183">
        <w:t>September</w:t>
      </w:r>
      <w:r w:rsidR="00060063" w:rsidRPr="004B1EC2">
        <w:t xml:space="preserve"> 2020</w:t>
      </w:r>
      <w:r w:rsidRPr="004B1EC2">
        <w:t>) can choo</w:t>
      </w:r>
      <w:r w:rsidR="001267D6" w:rsidRPr="004B1EC2">
        <w:t xml:space="preserve">se </w:t>
      </w:r>
      <w:r w:rsidR="00967D7C" w:rsidRPr="004B1EC2">
        <w:t xml:space="preserve">the </w:t>
      </w:r>
      <w:r w:rsidR="00C67DC9" w:rsidRPr="004B1EC2">
        <w:t xml:space="preserve">value for the factor of </w:t>
      </w:r>
      <w:r w:rsidR="006B5822" w:rsidRPr="004B1EC2">
        <w:rPr>
          <w:i/>
        </w:rPr>
        <w:t>W</w:t>
      </w:r>
      <w:r w:rsidR="006B5822" w:rsidRPr="004B1EC2">
        <w:rPr>
          <w:i/>
          <w:vertAlign w:val="subscript"/>
        </w:rPr>
        <w:t xml:space="preserve">LFG,CH4 </w:t>
      </w:r>
      <w:r w:rsidR="00967D7C" w:rsidRPr="004B1EC2">
        <w:t>t</w:t>
      </w:r>
      <w:r w:rsidR="006B5822" w:rsidRPr="004B1EC2">
        <w:t xml:space="preserve">o be </w:t>
      </w:r>
      <w:r w:rsidRPr="004B1EC2">
        <w:t xml:space="preserve">a default </w:t>
      </w:r>
      <w:r w:rsidR="00C67DC9" w:rsidRPr="004B1EC2">
        <w:t xml:space="preserve">value </w:t>
      </w:r>
      <w:r w:rsidRPr="004B1EC2">
        <w:t>of 0.42</w:t>
      </w:r>
      <w:r w:rsidR="001267D6" w:rsidRPr="004B1EC2">
        <w:t xml:space="preserve"> </w:t>
      </w:r>
      <w:r w:rsidR="004F4183" w:rsidRPr="004B1EC2">
        <w:t>or the default value as set out in section 5.14C of the NGER (Measurement) Determination (consistent with earlier versions of the Determination),</w:t>
      </w:r>
      <w:r w:rsidR="00947675">
        <w:t xml:space="preserve"> </w:t>
      </w:r>
      <w:r w:rsidR="00E928CA" w:rsidRPr="004B1EC2">
        <w:t xml:space="preserve">or </w:t>
      </w:r>
      <w:r w:rsidR="00A82D4E" w:rsidRPr="004B1EC2">
        <w:t xml:space="preserve">a </w:t>
      </w:r>
      <w:r w:rsidR="002F145C" w:rsidRPr="004B1EC2">
        <w:t xml:space="preserve">measured </w:t>
      </w:r>
      <w:r w:rsidR="00A82D4E" w:rsidRPr="004B1EC2">
        <w:t xml:space="preserve">value worked out </w:t>
      </w:r>
      <w:r w:rsidR="00236725" w:rsidRPr="004B1EC2">
        <w:t>in accordance with the mon</w:t>
      </w:r>
      <w:r w:rsidR="002F145C" w:rsidRPr="004B1EC2">
        <w:t>itoring requirements</w:t>
      </w:r>
      <w:r w:rsidR="00947675">
        <w:t xml:space="preserve"> prescribed in section 33 of the Determination</w:t>
      </w:r>
      <w:r w:rsidR="008C3C40" w:rsidRPr="004B1EC2">
        <w:t>. P</w:t>
      </w:r>
      <w:r w:rsidRPr="004B1EC2">
        <w:t xml:space="preserve">rojects </w:t>
      </w:r>
      <w:r w:rsidR="00B50927" w:rsidRPr="004B1EC2">
        <w:t xml:space="preserve">that </w:t>
      </w:r>
      <w:r w:rsidR="0013473A" w:rsidRPr="004B1EC2">
        <w:t xml:space="preserve">are not covered by subsection 24(2A) </w:t>
      </w:r>
      <w:r w:rsidR="00EA61E2">
        <w:t>must</w:t>
      </w:r>
      <w:r w:rsidR="008C3C40" w:rsidRPr="004B1EC2">
        <w:t xml:space="preserve"> </w:t>
      </w:r>
      <w:r w:rsidRPr="004B1EC2">
        <w:t xml:space="preserve">choose </w:t>
      </w:r>
      <w:bookmarkStart w:id="6" w:name="_Hlk61974220"/>
      <w:r w:rsidR="00967D7C" w:rsidRPr="004B1EC2">
        <w:t xml:space="preserve">the </w:t>
      </w:r>
      <w:r w:rsidR="008C3C40" w:rsidRPr="004B1EC2">
        <w:rPr>
          <w:i/>
        </w:rPr>
        <w:t>W</w:t>
      </w:r>
      <w:r w:rsidR="008C3C40" w:rsidRPr="004B1EC2">
        <w:rPr>
          <w:i/>
          <w:vertAlign w:val="subscript"/>
        </w:rPr>
        <w:t xml:space="preserve">LFG,CH4 </w:t>
      </w:r>
      <w:bookmarkEnd w:id="6"/>
      <w:r w:rsidR="008C3C40" w:rsidRPr="004B1EC2">
        <w:t xml:space="preserve">value </w:t>
      </w:r>
      <w:r w:rsidR="00060063" w:rsidRPr="004B1EC2">
        <w:t xml:space="preserve">to be 0.42 </w:t>
      </w:r>
      <w:r w:rsidR="008C3C40" w:rsidRPr="004B1EC2">
        <w:t>,</w:t>
      </w:r>
      <w:r w:rsidR="00656A26" w:rsidRPr="004B1EC2">
        <w:t xml:space="preserve"> or </w:t>
      </w:r>
      <w:r w:rsidR="00216595" w:rsidRPr="004B1EC2">
        <w:t xml:space="preserve">choose to use </w:t>
      </w:r>
      <w:r w:rsidR="002E1D8F" w:rsidRPr="004B1EC2">
        <w:t>the measure</w:t>
      </w:r>
      <w:r w:rsidR="009637FE" w:rsidRPr="004B1EC2">
        <w:t>d</w:t>
      </w:r>
      <w:r w:rsidR="002E1D8F" w:rsidRPr="004B1EC2">
        <w:t xml:space="preserve"> value</w:t>
      </w:r>
      <w:r w:rsidRPr="004B1EC2">
        <w:t xml:space="preserve">. </w:t>
      </w:r>
    </w:p>
    <w:p w14:paraId="28F91239" w14:textId="77777777" w:rsidR="002C2244" w:rsidRDefault="002C2244" w:rsidP="002C2244">
      <w:r>
        <w:t xml:space="preserve">Analysis of data from a broad sample of landfill sites following the periodic review found that the previous default </w:t>
      </w:r>
      <w:r w:rsidRPr="00044512">
        <w:rPr>
          <w:i/>
        </w:rPr>
        <w:t>W</w:t>
      </w:r>
      <w:r w:rsidRPr="00044512">
        <w:rPr>
          <w:i/>
          <w:vertAlign w:val="subscript"/>
        </w:rPr>
        <w:t xml:space="preserve">LFG,CH4 </w:t>
      </w:r>
      <w:r>
        <w:t xml:space="preserve">value of 0.5 as set out under section 5.14C of the NGER (Measurement) Determination was too high, resulting in a less-than-conservative abatement calculation. Historical records from 2018 and 2019 indicate the average across projects under the Landfill Gas method is 0.42. The proportion of methane in landfill gas is determined by a number of factors, including the proportion of organic waste and ambient conditions. The proportion of organic waste sent to landfill is likely to decline over time given objectives under the </w:t>
      </w:r>
      <w:r w:rsidRPr="006207D3">
        <w:rPr>
          <w:i/>
        </w:rPr>
        <w:t>National Waste Policy 2018</w:t>
      </w:r>
      <w:r>
        <w:t xml:space="preserve"> to reduce organic waste through diversion away from landfill. This amendment sets the default at 0.42 to maintain the conservativeness of abatement calculations, while continuing to offer the option of using actual measurements under subsection 24(2).</w:t>
      </w:r>
    </w:p>
    <w:p w14:paraId="3948800C" w14:textId="47541F1E" w:rsidR="0037118D" w:rsidRPr="005F2759" w:rsidRDefault="0037118D" w:rsidP="007256DD">
      <w:pPr>
        <w:rPr>
          <w:u w:val="single"/>
        </w:rPr>
      </w:pPr>
      <w:r w:rsidRPr="005F2759">
        <w:rPr>
          <w:u w:val="single"/>
        </w:rPr>
        <w:t>[8]</w:t>
      </w:r>
      <w:r w:rsidRPr="005F2759">
        <w:rPr>
          <w:u w:val="single"/>
        </w:rPr>
        <w:tab/>
        <w:t xml:space="preserve">After subsection 24(2) </w:t>
      </w:r>
    </w:p>
    <w:p w14:paraId="322F2FCE" w14:textId="33D18A3A" w:rsidR="0037118D" w:rsidRDefault="0037118D" w:rsidP="007256DD">
      <w:r w:rsidRPr="007F4206">
        <w:t xml:space="preserve">Item [8] inserts subsection 24(2A) to </w:t>
      </w:r>
      <w:r w:rsidR="00177C42" w:rsidRPr="007F4206">
        <w:t>set</w:t>
      </w:r>
      <w:r w:rsidR="00177C42">
        <w:t xml:space="preserve"> out the types of projects </w:t>
      </w:r>
      <w:r w:rsidR="00F85BD8">
        <w:t>for which</w:t>
      </w:r>
      <w:r w:rsidR="00C67DC9">
        <w:t xml:space="preserve"> the factor of</w:t>
      </w:r>
      <w:r w:rsidR="00F85BD8">
        <w:t xml:space="preserve"> </w:t>
      </w:r>
      <w:r w:rsidR="00F85BD8" w:rsidRPr="00F85BD8">
        <w:rPr>
          <w:i/>
        </w:rPr>
        <w:t>W</w:t>
      </w:r>
      <w:r w:rsidR="00F85BD8" w:rsidRPr="00F85BD8">
        <w:rPr>
          <w:i/>
          <w:vertAlign w:val="subscript"/>
        </w:rPr>
        <w:t xml:space="preserve">LFG,CH4 </w:t>
      </w:r>
      <w:r w:rsidR="004F4183">
        <w:t>may be</w:t>
      </w:r>
      <w:r w:rsidR="005E5078">
        <w:t>,</w:t>
      </w:r>
      <w:r w:rsidR="005E5078" w:rsidRPr="005E5078">
        <w:t xml:space="preserve"> at the election of the project proponent,</w:t>
      </w:r>
      <w:r w:rsidR="004F4183">
        <w:t xml:space="preserve"> </w:t>
      </w:r>
      <w:r w:rsidR="004F4183" w:rsidRPr="004B1EC2">
        <w:t>0.42 or the default value as set out in section 5.14C of the NGER (Measurement) Determination (consistent with earlier versions of the Determination)</w:t>
      </w:r>
      <w:r w:rsidR="00947675">
        <w:t xml:space="preserve"> </w:t>
      </w:r>
      <w:r w:rsidR="00C67DC9">
        <w:t xml:space="preserve"> under </w:t>
      </w:r>
      <w:r w:rsidR="00177C42">
        <w:t>subsection 24(2)</w:t>
      </w:r>
      <w:r w:rsidR="00F62405">
        <w:t>,</w:t>
      </w:r>
      <w:r w:rsidR="00C67DC9">
        <w:t xml:space="preserve"> unless the project proponent elects to work out that factor in accordance with the monitoring requirements</w:t>
      </w:r>
      <w:r w:rsidR="00177C42">
        <w:t xml:space="preserve">. This provision ensures that </w:t>
      </w:r>
      <w:r w:rsidR="007F4206">
        <w:t xml:space="preserve">abatement calculations for </w:t>
      </w:r>
      <w:r w:rsidR="00177C42">
        <w:t>existing project</w:t>
      </w:r>
      <w:r w:rsidR="007F4206">
        <w:t>s</w:t>
      </w:r>
      <w:r w:rsidR="00177C42">
        <w:t xml:space="preserve"> </w:t>
      </w:r>
      <w:r w:rsidR="007F4206">
        <w:t>are</w:t>
      </w:r>
      <w:r w:rsidR="00177C42">
        <w:t xml:space="preserve"> not affected by the change in the default methane proportion</w:t>
      </w:r>
      <w:r w:rsidR="007F4206">
        <w:t xml:space="preserve">. The date chosen is the date when the </w:t>
      </w:r>
      <w:r w:rsidR="00177C42">
        <w:t>intention to change this proportion was announced</w:t>
      </w:r>
      <w:r w:rsidR="007F4206">
        <w:t xml:space="preserve"> to industry participants</w:t>
      </w:r>
      <w:r w:rsidR="00177C42">
        <w:t>.</w:t>
      </w:r>
    </w:p>
    <w:p w14:paraId="10401559" w14:textId="3CD1BB1A" w:rsidR="004146ED" w:rsidRPr="004146ED" w:rsidRDefault="004146ED" w:rsidP="007256DD">
      <w:pPr>
        <w:pStyle w:val="h5SchItem"/>
        <w:rPr>
          <w:rFonts w:ascii="Times New Roman" w:hAnsi="Times New Roman"/>
        </w:rPr>
      </w:pPr>
      <w:r w:rsidRPr="004146ED">
        <w:rPr>
          <w:rFonts w:ascii="Times New Roman" w:hAnsi="Times New Roman" w:cs="Times New Roman"/>
          <w:b w:val="0"/>
          <w:iCs/>
          <w:color w:val="000000" w:themeColor="text1"/>
          <w:kern w:val="0"/>
          <w:szCs w:val="24"/>
          <w:u w:val="single"/>
          <w:lang w:eastAsia="en-US"/>
        </w:rPr>
        <w:t>[</w:t>
      </w:r>
      <w:r w:rsidR="00AD2135">
        <w:rPr>
          <w:rFonts w:ascii="Times New Roman" w:hAnsi="Times New Roman" w:cs="Times New Roman"/>
          <w:b w:val="0"/>
          <w:iCs/>
          <w:color w:val="000000" w:themeColor="text1"/>
          <w:kern w:val="0"/>
          <w:szCs w:val="24"/>
          <w:u w:val="single"/>
          <w:lang w:eastAsia="en-US"/>
        </w:rPr>
        <w:t>9</w:t>
      </w:r>
      <w:r w:rsidRPr="004146ED">
        <w:rPr>
          <w:rFonts w:ascii="Times New Roman" w:hAnsi="Times New Roman" w:cs="Times New Roman"/>
          <w:b w:val="0"/>
          <w:iCs/>
          <w:color w:val="000000" w:themeColor="text1"/>
          <w:kern w:val="0"/>
          <w:szCs w:val="24"/>
          <w:u w:val="single"/>
          <w:lang w:eastAsia="en-US"/>
        </w:rPr>
        <w:t>]</w:t>
      </w:r>
      <w:r w:rsidRPr="004146ED">
        <w:rPr>
          <w:rFonts w:ascii="Times New Roman" w:hAnsi="Times New Roman" w:cs="Times New Roman"/>
          <w:b w:val="0"/>
          <w:iCs/>
          <w:color w:val="000000" w:themeColor="text1"/>
          <w:kern w:val="0"/>
          <w:szCs w:val="24"/>
          <w:u w:val="single"/>
          <w:lang w:eastAsia="en-US"/>
        </w:rPr>
        <w:tab/>
        <w:t>Subsection 29(1)</w:t>
      </w:r>
      <w:r w:rsidRPr="004146ED">
        <w:rPr>
          <w:rFonts w:ascii="Times New Roman" w:hAnsi="Times New Roman"/>
          <w:b w:val="0"/>
          <w:u w:val="single"/>
        </w:rPr>
        <w:t xml:space="preserve"> (definition of </w:t>
      </w:r>
      <w:r w:rsidRPr="004146ED">
        <w:rPr>
          <w:rFonts w:ascii="Times New Roman" w:hAnsi="Times New Roman"/>
          <w:b w:val="0"/>
          <w:i/>
          <w:u w:val="single"/>
        </w:rPr>
        <w:t>W</w:t>
      </w:r>
      <w:r w:rsidRPr="004146ED">
        <w:rPr>
          <w:rFonts w:ascii="Times New Roman" w:hAnsi="Times New Roman"/>
          <w:b w:val="0"/>
          <w:i/>
          <w:u w:val="single"/>
          <w:vertAlign w:val="subscript"/>
        </w:rPr>
        <w:t>Com,Bef</w:t>
      </w:r>
      <w:r w:rsidRPr="004146ED">
        <w:rPr>
          <w:rFonts w:ascii="Times New Roman" w:hAnsi="Times New Roman"/>
          <w:b w:val="0"/>
          <w:u w:val="single"/>
        </w:rPr>
        <w:t>)</w:t>
      </w:r>
    </w:p>
    <w:p w14:paraId="20B79ED8" w14:textId="3AF18C39" w:rsidR="00D045F4" w:rsidRDefault="00D045F4" w:rsidP="007256DD">
      <w:pPr>
        <w:spacing w:after="200"/>
        <w:rPr>
          <w:kern w:val="32"/>
          <w:szCs w:val="24"/>
          <w:lang w:eastAsia="en-AU"/>
        </w:rPr>
      </w:pPr>
      <w:r>
        <w:rPr>
          <w:kern w:val="32"/>
          <w:szCs w:val="24"/>
          <w:lang w:eastAsia="en-AU"/>
        </w:rPr>
        <w:t>Items [</w:t>
      </w:r>
      <w:r w:rsidR="00AD2135">
        <w:rPr>
          <w:kern w:val="32"/>
          <w:szCs w:val="24"/>
          <w:lang w:eastAsia="en-AU"/>
        </w:rPr>
        <w:t>9</w:t>
      </w:r>
      <w:r>
        <w:rPr>
          <w:kern w:val="32"/>
          <w:szCs w:val="24"/>
          <w:lang w:eastAsia="en-AU"/>
        </w:rPr>
        <w:t>] and [</w:t>
      </w:r>
      <w:r w:rsidR="00AD2135">
        <w:rPr>
          <w:kern w:val="32"/>
          <w:szCs w:val="24"/>
          <w:lang w:eastAsia="en-AU"/>
        </w:rPr>
        <w:t>10</w:t>
      </w:r>
      <w:r>
        <w:rPr>
          <w:kern w:val="32"/>
          <w:szCs w:val="24"/>
          <w:lang w:eastAsia="en-AU"/>
        </w:rPr>
        <w:t xml:space="preserve">] </w:t>
      </w:r>
      <w:r w:rsidR="00405E7A">
        <w:rPr>
          <w:kern w:val="32"/>
          <w:szCs w:val="24"/>
          <w:lang w:eastAsia="en-AU"/>
        </w:rPr>
        <w:t>s</w:t>
      </w:r>
      <w:r>
        <w:rPr>
          <w:kern w:val="32"/>
          <w:szCs w:val="24"/>
          <w:lang w:eastAsia="en-AU"/>
        </w:rPr>
        <w:t>trengthen</w:t>
      </w:r>
      <w:r w:rsidR="00405E7A">
        <w:rPr>
          <w:kern w:val="32"/>
          <w:szCs w:val="24"/>
          <w:lang w:eastAsia="en-AU"/>
        </w:rPr>
        <w:t xml:space="preserve"> the el</w:t>
      </w:r>
      <w:r>
        <w:rPr>
          <w:kern w:val="32"/>
          <w:szCs w:val="24"/>
          <w:lang w:eastAsia="en-AU"/>
        </w:rPr>
        <w:t>i</w:t>
      </w:r>
      <w:r w:rsidR="00405E7A">
        <w:rPr>
          <w:kern w:val="32"/>
          <w:szCs w:val="24"/>
          <w:lang w:eastAsia="en-AU"/>
        </w:rPr>
        <w:t xml:space="preserve">gibility requirements for </w:t>
      </w:r>
      <w:r w:rsidR="00405E7A" w:rsidRPr="00F96A9D">
        <w:rPr>
          <w:bCs/>
          <w:iCs/>
          <w:kern w:val="32"/>
          <w:szCs w:val="24"/>
          <w:lang w:eastAsia="en-AU"/>
        </w:rPr>
        <w:t>upgrade projects</w:t>
      </w:r>
      <w:r>
        <w:rPr>
          <w:kern w:val="32"/>
          <w:szCs w:val="24"/>
          <w:lang w:eastAsia="en-AU"/>
        </w:rPr>
        <w:t>.</w:t>
      </w:r>
      <w:r w:rsidR="00405E7A">
        <w:t xml:space="preserve"> </w:t>
      </w:r>
    </w:p>
    <w:p w14:paraId="6E4067CA" w14:textId="72D3DB30" w:rsidR="006E1451" w:rsidRPr="006E1451" w:rsidRDefault="00D045F4" w:rsidP="007256DD">
      <w:pPr>
        <w:spacing w:after="200"/>
        <w:rPr>
          <w:szCs w:val="24"/>
          <w:lang w:eastAsia="en-AU"/>
        </w:rPr>
      </w:pPr>
      <w:r>
        <w:rPr>
          <w:kern w:val="32"/>
          <w:szCs w:val="24"/>
          <w:lang w:eastAsia="en-AU"/>
        </w:rPr>
        <w:t xml:space="preserve">Subsection 29(1) </w:t>
      </w:r>
      <w:r w:rsidR="006E1451" w:rsidRPr="006E1451">
        <w:rPr>
          <w:kern w:val="32"/>
          <w:szCs w:val="24"/>
          <w:lang w:eastAsia="en-AU"/>
        </w:rPr>
        <w:t xml:space="preserve">sets out how to calculate the proportion of methane that represents the magnitude of improvement to </w:t>
      </w:r>
      <w:r w:rsidR="006E1451" w:rsidRPr="006E1451">
        <w:rPr>
          <w:kern w:val="32"/>
        </w:rPr>
        <w:t>collection efficiency</w:t>
      </w:r>
      <w:r w:rsidR="006E1451" w:rsidRPr="006E1451">
        <w:rPr>
          <w:kern w:val="32"/>
          <w:szCs w:val="24"/>
          <w:lang w:eastAsia="en-AU"/>
        </w:rPr>
        <w:t xml:space="preserve"> achieved by the upgrade project (</w:t>
      </w:r>
      <w:r w:rsidR="006E1451" w:rsidRPr="006E1451">
        <w:rPr>
          <w:szCs w:val="24"/>
          <w:lang w:eastAsia="en-AU"/>
        </w:rPr>
        <w:t>W</w:t>
      </w:r>
      <w:r w:rsidR="006E1451" w:rsidRPr="006E1451">
        <w:rPr>
          <w:szCs w:val="24"/>
          <w:vertAlign w:val="subscript"/>
          <w:lang w:eastAsia="en-AU"/>
        </w:rPr>
        <w:t>B,Ex</w:t>
      </w:r>
      <w:r w:rsidR="006E1451" w:rsidRPr="006E1451">
        <w:rPr>
          <w:szCs w:val="24"/>
          <w:lang w:eastAsia="en-AU"/>
        </w:rPr>
        <w:t xml:space="preserve">). The calculation given in </w:t>
      </w:r>
      <w:r w:rsidR="006E1451" w:rsidRPr="006E1451">
        <w:rPr>
          <w:b/>
          <w:szCs w:val="24"/>
          <w:lang w:eastAsia="en-AU"/>
        </w:rPr>
        <w:t>equation 17</w:t>
      </w:r>
      <w:r w:rsidR="006E1451" w:rsidRPr="006E1451">
        <w:rPr>
          <w:szCs w:val="24"/>
          <w:lang w:eastAsia="en-AU"/>
        </w:rPr>
        <w:t xml:space="preserve"> has two terms</w:t>
      </w:r>
      <w:r w:rsidR="00405E7A">
        <w:rPr>
          <w:szCs w:val="24"/>
          <w:lang w:eastAsia="en-AU"/>
        </w:rPr>
        <w:t>:</w:t>
      </w:r>
    </w:p>
    <w:p w14:paraId="37DA93E3" w14:textId="77777777" w:rsidR="006E1451" w:rsidRPr="006E1451" w:rsidRDefault="006E1451" w:rsidP="007256DD">
      <w:pPr>
        <w:numPr>
          <w:ilvl w:val="0"/>
          <w:numId w:val="37"/>
        </w:numPr>
        <w:spacing w:before="0" w:after="200"/>
        <w:rPr>
          <w:szCs w:val="24"/>
          <w:lang w:eastAsia="en-AU"/>
        </w:rPr>
      </w:pPr>
      <w:bookmarkStart w:id="7" w:name="OLE_LINK8"/>
      <w:bookmarkStart w:id="8" w:name="OLE_LINK7"/>
      <w:r w:rsidRPr="006E1451">
        <w:rPr>
          <w:szCs w:val="24"/>
          <w:lang w:eastAsia="en-AU"/>
        </w:rPr>
        <w:t>the collection efficiency of the existing landfill gas capture system before the upgrade (W</w:t>
      </w:r>
      <w:r w:rsidRPr="006E1451">
        <w:rPr>
          <w:szCs w:val="24"/>
          <w:vertAlign w:val="subscript"/>
          <w:lang w:eastAsia="en-AU"/>
        </w:rPr>
        <w:t>Com,Bef</w:t>
      </w:r>
      <w:bookmarkEnd w:id="7"/>
      <w:bookmarkEnd w:id="8"/>
      <w:r w:rsidRPr="006E1451">
        <w:rPr>
          <w:szCs w:val="24"/>
          <w:lang w:eastAsia="en-AU"/>
        </w:rPr>
        <w:t>)</w:t>
      </w:r>
    </w:p>
    <w:p w14:paraId="57798486" w14:textId="1826D0C2" w:rsidR="006E1451" w:rsidRPr="006E1451" w:rsidRDefault="006E1451" w:rsidP="007256DD">
      <w:pPr>
        <w:numPr>
          <w:ilvl w:val="0"/>
          <w:numId w:val="37"/>
        </w:numPr>
        <w:spacing w:before="0" w:after="200"/>
        <w:ind w:left="760" w:hanging="357"/>
        <w:rPr>
          <w:szCs w:val="24"/>
          <w:lang w:eastAsia="en-AU"/>
        </w:rPr>
      </w:pPr>
      <w:r w:rsidRPr="006E1451">
        <w:rPr>
          <w:i/>
          <w:szCs w:val="24"/>
          <w:lang w:eastAsia="en-AU"/>
        </w:rPr>
        <w:t>divided by</w:t>
      </w:r>
      <w:r w:rsidR="007256DD">
        <w:rPr>
          <w:i/>
          <w:szCs w:val="24"/>
          <w:lang w:eastAsia="en-AU"/>
        </w:rPr>
        <w:t xml:space="preserve"> </w:t>
      </w:r>
      <w:r w:rsidRPr="006E1451">
        <w:rPr>
          <w:szCs w:val="24"/>
          <w:lang w:eastAsia="en-AU"/>
        </w:rPr>
        <w:t>the collection efficiency of the landfill gas capture system after the upgrade (W</w:t>
      </w:r>
      <w:r w:rsidRPr="006E1451">
        <w:rPr>
          <w:szCs w:val="24"/>
          <w:vertAlign w:val="subscript"/>
          <w:lang w:eastAsia="en-AU"/>
        </w:rPr>
        <w:t>Com,Aft</w:t>
      </w:r>
      <w:r w:rsidRPr="006E1451">
        <w:rPr>
          <w:szCs w:val="24"/>
          <w:lang w:eastAsia="en-AU"/>
        </w:rPr>
        <w:t xml:space="preserve">). </w:t>
      </w:r>
    </w:p>
    <w:p w14:paraId="5C3199FC" w14:textId="13A8FAAC" w:rsidR="004A0257" w:rsidRPr="00CD131C" w:rsidRDefault="00D55727" w:rsidP="007256DD">
      <w:pPr>
        <w:pStyle w:val="tMain"/>
        <w:spacing w:after="0" w:line="276" w:lineRule="auto"/>
        <w:ind w:left="0" w:firstLine="0"/>
        <w:jc w:val="left"/>
      </w:pPr>
      <w:r w:rsidRPr="00CD131C">
        <w:t xml:space="preserve">Item [9] substitutes </w:t>
      </w:r>
      <w:r w:rsidR="006E1451" w:rsidRPr="00CD131C">
        <w:t xml:space="preserve">the </w:t>
      </w:r>
      <w:r w:rsidR="004146ED" w:rsidRPr="00CD131C">
        <w:t>definition</w:t>
      </w:r>
      <w:r w:rsidR="006E1451" w:rsidRPr="00CD131C">
        <w:t xml:space="preserve"> of </w:t>
      </w:r>
      <w:r w:rsidR="00E239DB" w:rsidRPr="00CD131C">
        <w:rPr>
          <w:bCs/>
          <w:iCs/>
        </w:rPr>
        <w:t>W</w:t>
      </w:r>
      <w:r w:rsidR="00E239DB" w:rsidRPr="00CD131C">
        <w:rPr>
          <w:bCs/>
          <w:iCs/>
          <w:vertAlign w:val="subscript"/>
        </w:rPr>
        <w:t>Com,Bef</w:t>
      </w:r>
      <w:r w:rsidR="00E239DB" w:rsidRPr="00CD131C">
        <w:t xml:space="preserve"> </w:t>
      </w:r>
      <w:r w:rsidRPr="00CD131C">
        <w:t>in subsection 29(1) with a new definition. Under its</w:t>
      </w:r>
      <w:r w:rsidR="00BD3614" w:rsidRPr="00CD131C">
        <w:t xml:space="preserve"> </w:t>
      </w:r>
      <w:r w:rsidRPr="00CD131C">
        <w:t xml:space="preserve">new definition, </w:t>
      </w:r>
      <w:r w:rsidRPr="00CD131C">
        <w:rPr>
          <w:iCs/>
          <w:u w:val="single"/>
        </w:rPr>
        <w:t>W</w:t>
      </w:r>
      <w:r w:rsidRPr="00CD131C">
        <w:rPr>
          <w:iCs/>
          <w:u w:val="single"/>
          <w:vertAlign w:val="subscript"/>
        </w:rPr>
        <w:t>Com,Bef</w:t>
      </w:r>
      <w:r w:rsidRPr="00CD131C">
        <w:rPr>
          <w:iCs/>
        </w:rPr>
        <w:t xml:space="preserve"> </w:t>
      </w:r>
      <w:r w:rsidRPr="00CD131C">
        <w:t xml:space="preserve">is </w:t>
      </w:r>
      <w:r w:rsidR="004146ED" w:rsidRPr="00CD131C">
        <w:t>the high</w:t>
      </w:r>
      <w:r w:rsidR="00422F78" w:rsidRPr="00CD131C">
        <w:t xml:space="preserve">er of the </w:t>
      </w:r>
      <w:r w:rsidR="0046466E" w:rsidRPr="00CD131C">
        <w:t xml:space="preserve">average </w:t>
      </w:r>
      <w:r w:rsidR="00162513" w:rsidRPr="00CD131C">
        <w:t>annual</w:t>
      </w:r>
      <w:r w:rsidR="004146ED" w:rsidRPr="00CD131C">
        <w:t xml:space="preserve"> </w:t>
      </w:r>
      <w:r w:rsidR="006E1451" w:rsidRPr="00CD131C">
        <w:t xml:space="preserve">proportion of the methane </w:t>
      </w:r>
      <w:r w:rsidR="004146ED" w:rsidRPr="00CD131C">
        <w:t xml:space="preserve">from the landfill that is collected and destroyed during the </w:t>
      </w:r>
      <w:r w:rsidR="00422F78" w:rsidRPr="00CD131C">
        <w:t xml:space="preserve">2 or </w:t>
      </w:r>
      <w:r w:rsidR="004146ED" w:rsidRPr="00CD131C">
        <w:t>4 years immediately before the upgrade is started</w:t>
      </w:r>
      <w:r w:rsidR="006710EC" w:rsidRPr="00CD131C">
        <w:t>. This parameter is calculated</w:t>
      </w:r>
      <w:r w:rsidR="004146ED" w:rsidRPr="00CD131C">
        <w:t xml:space="preserve"> using equation</w:t>
      </w:r>
      <w:r w:rsidR="00422F78" w:rsidRPr="00CD131C">
        <w:t>s</w:t>
      </w:r>
      <w:r w:rsidR="004146ED" w:rsidRPr="00CD131C">
        <w:t xml:space="preserve"> 19</w:t>
      </w:r>
      <w:r w:rsidR="00422F78" w:rsidRPr="00CD131C">
        <w:t xml:space="preserve"> for the two-</w:t>
      </w:r>
      <w:r w:rsidR="000F5ED7" w:rsidRPr="00CD131C">
        <w:t>year average proportion</w:t>
      </w:r>
      <w:r w:rsidR="00422F78" w:rsidRPr="00CD131C">
        <w:t xml:space="preserve"> and 19A for the four-year </w:t>
      </w:r>
      <w:r w:rsidR="000F5ED7" w:rsidRPr="00CD131C">
        <w:t xml:space="preserve">average </w:t>
      </w:r>
      <w:r w:rsidR="00422F78" w:rsidRPr="00CD131C">
        <w:t>p</w:t>
      </w:r>
      <w:r w:rsidR="000F5ED7" w:rsidRPr="00CD131C">
        <w:t>roportion</w:t>
      </w:r>
      <w:r w:rsidR="004146ED" w:rsidRPr="00CD131C">
        <w:t>.</w:t>
      </w:r>
      <w:r w:rsidR="002D2A23" w:rsidRPr="00CD131C">
        <w:t xml:space="preserve"> </w:t>
      </w:r>
    </w:p>
    <w:p w14:paraId="54CBBF1E" w14:textId="581C39B8" w:rsidR="004A0257" w:rsidRPr="004A0257" w:rsidRDefault="00D55727" w:rsidP="007256DD">
      <w:pPr>
        <w:pStyle w:val="tMain"/>
        <w:spacing w:after="0" w:line="276" w:lineRule="auto"/>
        <w:ind w:left="0" w:firstLine="0"/>
        <w:jc w:val="left"/>
        <w:rPr>
          <w:bCs/>
          <w:iCs/>
        </w:rPr>
      </w:pPr>
      <w:r w:rsidRPr="00CD131C">
        <w:t xml:space="preserve">In </w:t>
      </w:r>
      <w:r w:rsidR="00E54AFA" w:rsidRPr="00CD131C">
        <w:t xml:space="preserve">the </w:t>
      </w:r>
      <w:r w:rsidR="002B186D" w:rsidRPr="00CD131C">
        <w:t>in</w:t>
      </w:r>
      <w:r w:rsidR="00E54AFA" w:rsidRPr="00CD131C">
        <w:t xml:space="preserve">stance that </w:t>
      </w:r>
      <w:r w:rsidR="004A0257" w:rsidRPr="00CD131C">
        <w:t xml:space="preserve">the value of </w:t>
      </w:r>
      <w:r w:rsidR="004A0257" w:rsidRPr="00CD131C">
        <w:rPr>
          <w:bCs/>
          <w:iCs/>
        </w:rPr>
        <w:t>W</w:t>
      </w:r>
      <w:r w:rsidR="004A0257" w:rsidRPr="00CD131C">
        <w:rPr>
          <w:bCs/>
          <w:iCs/>
          <w:vertAlign w:val="subscript"/>
        </w:rPr>
        <w:t>Com,Bef</w:t>
      </w:r>
      <w:r w:rsidR="004A0257" w:rsidRPr="00CD131C">
        <w:rPr>
          <w:b/>
          <w:i/>
          <w:vertAlign w:val="subscript"/>
        </w:rPr>
        <w:t xml:space="preserve"> </w:t>
      </w:r>
      <w:r w:rsidR="004A0257" w:rsidRPr="00CD131C">
        <w:rPr>
          <w:bCs/>
          <w:iCs/>
        </w:rPr>
        <w:t xml:space="preserve">worked out using equations 19 and 19A are the same, </w:t>
      </w:r>
      <w:r w:rsidR="00E62FBF" w:rsidRPr="005D62EC">
        <w:rPr>
          <w:bCs/>
          <w:iCs/>
        </w:rPr>
        <w:t>which will be the case if equation 19A is calculated on the basis of data only for 2 years in accordance with subsection 29(7),</w:t>
      </w:r>
      <w:r w:rsidR="00E62FBF">
        <w:rPr>
          <w:bCs/>
          <w:iCs/>
        </w:rPr>
        <w:t xml:space="preserve"> then </w:t>
      </w:r>
      <w:r w:rsidR="004A0257" w:rsidRPr="00CD131C">
        <w:rPr>
          <w:bCs/>
          <w:iCs/>
        </w:rPr>
        <w:t>the average proportion of the methane from the landfill that is collected and destroyed during the 2 years before the upgrade is started, worked out using equation 19</w:t>
      </w:r>
      <w:r w:rsidR="00A83212" w:rsidRPr="00CD131C">
        <w:rPr>
          <w:bCs/>
          <w:iCs/>
        </w:rPr>
        <w:t>,</w:t>
      </w:r>
      <w:r w:rsidR="004A0257" w:rsidRPr="00CD131C">
        <w:rPr>
          <w:bCs/>
          <w:iCs/>
        </w:rPr>
        <w:t xml:space="preserve"> is to be used</w:t>
      </w:r>
      <w:r w:rsidRPr="00CD131C">
        <w:rPr>
          <w:bCs/>
          <w:iCs/>
        </w:rPr>
        <w:t xml:space="preserve"> as </w:t>
      </w:r>
      <w:r w:rsidRPr="00CD131C">
        <w:rPr>
          <w:iCs/>
          <w:u w:val="single"/>
        </w:rPr>
        <w:t>W</w:t>
      </w:r>
      <w:r w:rsidRPr="00CD131C">
        <w:rPr>
          <w:iCs/>
          <w:u w:val="single"/>
          <w:vertAlign w:val="subscript"/>
        </w:rPr>
        <w:t>Com,Bef</w:t>
      </w:r>
      <w:r w:rsidR="004A0257" w:rsidRPr="00CD131C">
        <w:rPr>
          <w:bCs/>
          <w:iCs/>
        </w:rPr>
        <w:t>.</w:t>
      </w:r>
    </w:p>
    <w:p w14:paraId="21523907" w14:textId="26CB07C5" w:rsidR="006E1451" w:rsidRPr="006E1451" w:rsidRDefault="006E1451" w:rsidP="007256DD">
      <w:pPr>
        <w:pStyle w:val="h5SchItem"/>
        <w:rPr>
          <w:rFonts w:ascii="Times New Roman" w:hAnsi="Times New Roman" w:cs="Times New Roman"/>
          <w:b w:val="0"/>
          <w:iCs/>
          <w:color w:val="000000" w:themeColor="text1"/>
          <w:kern w:val="0"/>
          <w:szCs w:val="24"/>
          <w:u w:val="single"/>
          <w:lang w:eastAsia="en-US"/>
        </w:rPr>
      </w:pPr>
      <w:r w:rsidRPr="006E1451">
        <w:rPr>
          <w:rFonts w:ascii="Times New Roman" w:hAnsi="Times New Roman" w:cs="Times New Roman"/>
          <w:b w:val="0"/>
          <w:iCs/>
          <w:color w:val="000000" w:themeColor="text1"/>
          <w:kern w:val="0"/>
          <w:szCs w:val="24"/>
          <w:u w:val="single"/>
          <w:lang w:eastAsia="en-US"/>
        </w:rPr>
        <w:t>[</w:t>
      </w:r>
      <w:r w:rsidR="007F1BD3">
        <w:rPr>
          <w:rFonts w:ascii="Times New Roman" w:hAnsi="Times New Roman" w:cs="Times New Roman"/>
          <w:b w:val="0"/>
          <w:iCs/>
          <w:color w:val="000000" w:themeColor="text1"/>
          <w:kern w:val="0"/>
          <w:szCs w:val="24"/>
          <w:u w:val="single"/>
          <w:lang w:eastAsia="en-US"/>
        </w:rPr>
        <w:t>10</w:t>
      </w:r>
      <w:r w:rsidRPr="006E1451">
        <w:rPr>
          <w:rFonts w:ascii="Times New Roman" w:hAnsi="Times New Roman" w:cs="Times New Roman"/>
          <w:b w:val="0"/>
          <w:iCs/>
          <w:color w:val="000000" w:themeColor="text1"/>
          <w:kern w:val="0"/>
          <w:szCs w:val="24"/>
          <w:u w:val="single"/>
          <w:lang w:eastAsia="en-US"/>
        </w:rPr>
        <w:t>]</w:t>
      </w:r>
      <w:r w:rsidRPr="006E1451">
        <w:rPr>
          <w:rFonts w:ascii="Times New Roman" w:hAnsi="Times New Roman" w:cs="Times New Roman"/>
          <w:b w:val="0"/>
          <w:iCs/>
          <w:color w:val="000000" w:themeColor="text1"/>
          <w:kern w:val="0"/>
          <w:szCs w:val="24"/>
          <w:u w:val="single"/>
          <w:lang w:eastAsia="en-US"/>
        </w:rPr>
        <w:tab/>
        <w:t>Subsection 29(3)</w:t>
      </w:r>
    </w:p>
    <w:p w14:paraId="26D31BD8" w14:textId="67CE2287" w:rsidR="006E1451" w:rsidRDefault="00D045F4" w:rsidP="007256DD">
      <w:pPr>
        <w:rPr>
          <w:szCs w:val="24"/>
          <w:lang w:eastAsia="en-AU"/>
        </w:rPr>
      </w:pPr>
      <w:r>
        <w:rPr>
          <w:szCs w:val="24"/>
          <w:lang w:eastAsia="en-AU"/>
        </w:rPr>
        <w:t>Item [</w:t>
      </w:r>
      <w:r w:rsidR="007F1BD3">
        <w:rPr>
          <w:szCs w:val="24"/>
          <w:lang w:eastAsia="en-AU"/>
        </w:rPr>
        <w:t>10</w:t>
      </w:r>
      <w:r>
        <w:rPr>
          <w:szCs w:val="24"/>
          <w:lang w:eastAsia="en-AU"/>
        </w:rPr>
        <w:t xml:space="preserve">] substitutes </w:t>
      </w:r>
      <w:r w:rsidR="000E142B">
        <w:rPr>
          <w:szCs w:val="24"/>
          <w:lang w:eastAsia="en-AU"/>
        </w:rPr>
        <w:t xml:space="preserve">subsection </w:t>
      </w:r>
      <w:r>
        <w:rPr>
          <w:szCs w:val="24"/>
          <w:lang w:eastAsia="en-AU"/>
        </w:rPr>
        <w:t xml:space="preserve">29(3) </w:t>
      </w:r>
      <w:r w:rsidR="00DF7CA1">
        <w:rPr>
          <w:szCs w:val="24"/>
          <w:lang w:eastAsia="en-AU"/>
        </w:rPr>
        <w:t xml:space="preserve">and inserts a new </w:t>
      </w:r>
      <w:r w:rsidR="000E142B">
        <w:rPr>
          <w:szCs w:val="24"/>
          <w:lang w:eastAsia="en-AU"/>
        </w:rPr>
        <w:t xml:space="preserve">subsection </w:t>
      </w:r>
      <w:r w:rsidR="00ED0964">
        <w:rPr>
          <w:szCs w:val="24"/>
          <w:lang w:eastAsia="en-AU"/>
        </w:rPr>
        <w:t>29(3A)</w:t>
      </w:r>
      <w:r w:rsidR="00716966">
        <w:rPr>
          <w:szCs w:val="24"/>
          <w:lang w:eastAsia="en-AU"/>
        </w:rPr>
        <w:t xml:space="preserve">. These provisions </w:t>
      </w:r>
      <w:r w:rsidR="006E1451">
        <w:rPr>
          <w:szCs w:val="24"/>
          <w:lang w:eastAsia="en-AU"/>
        </w:rPr>
        <w:t xml:space="preserve">set out how to </w:t>
      </w:r>
      <w:r w:rsidR="006E1451" w:rsidRPr="000F7DF1">
        <w:rPr>
          <w:szCs w:val="24"/>
          <w:lang w:eastAsia="en-AU"/>
        </w:rPr>
        <w:t>calculate the collection efficiency of the existing landfill gas collection system, before the upgrade (W</w:t>
      </w:r>
      <w:r w:rsidR="006E1451" w:rsidRPr="000F7DF1">
        <w:rPr>
          <w:szCs w:val="24"/>
          <w:vertAlign w:val="subscript"/>
          <w:lang w:eastAsia="en-AU"/>
        </w:rPr>
        <w:t>Com,Bef</w:t>
      </w:r>
      <w:r w:rsidR="006E1451" w:rsidRPr="000F7DF1">
        <w:rPr>
          <w:szCs w:val="24"/>
          <w:lang w:eastAsia="en-AU"/>
        </w:rPr>
        <w:t>). To perform this calculation</w:t>
      </w:r>
      <w:r w:rsidR="006710EC" w:rsidRPr="000F7DF1">
        <w:rPr>
          <w:szCs w:val="24"/>
          <w:lang w:eastAsia="en-AU"/>
        </w:rPr>
        <w:t>,</w:t>
      </w:r>
      <w:r w:rsidR="006E1451" w:rsidRPr="000F7DF1">
        <w:rPr>
          <w:szCs w:val="24"/>
          <w:lang w:eastAsia="en-AU"/>
        </w:rPr>
        <w:t xml:space="preserve"> proponents require </w:t>
      </w:r>
      <w:r w:rsidR="00712242" w:rsidRPr="000F7DF1">
        <w:rPr>
          <w:szCs w:val="24"/>
          <w:lang w:eastAsia="en-AU"/>
        </w:rPr>
        <w:t>four</w:t>
      </w:r>
      <w:r w:rsidR="006E1451" w:rsidRPr="000F7DF1">
        <w:rPr>
          <w:szCs w:val="24"/>
          <w:lang w:eastAsia="en-AU"/>
        </w:rPr>
        <w:t xml:space="preserve"> years’ information on the amount of landfill gas collected and combusted from the landfill </w:t>
      </w:r>
      <w:r w:rsidR="000F7DF1">
        <w:rPr>
          <w:szCs w:val="24"/>
          <w:lang w:eastAsia="en-AU"/>
        </w:rPr>
        <w:t xml:space="preserve">prior to </w:t>
      </w:r>
      <w:r w:rsidR="006E1451" w:rsidRPr="000F7DF1">
        <w:rPr>
          <w:szCs w:val="24"/>
          <w:lang w:eastAsia="en-AU"/>
        </w:rPr>
        <w:t>the upgrade. This requirement is included as an eligibility requirement for upgrade projects, to ensure that proponents have access to this historic data</w:t>
      </w:r>
      <w:r w:rsidR="00F0134A">
        <w:rPr>
          <w:szCs w:val="24"/>
          <w:lang w:eastAsia="en-AU"/>
        </w:rPr>
        <w:t xml:space="preserve"> to establish baseline landfill gas combustion levels applying to the upgrade</w:t>
      </w:r>
      <w:r w:rsidR="006E1451">
        <w:rPr>
          <w:szCs w:val="24"/>
          <w:lang w:eastAsia="en-AU"/>
        </w:rPr>
        <w:t xml:space="preserve">. </w:t>
      </w:r>
    </w:p>
    <w:p w14:paraId="0BE00297" w14:textId="717F6D68" w:rsidR="006E1451" w:rsidRDefault="00C6193D" w:rsidP="007256DD">
      <w:pPr>
        <w:rPr>
          <w:szCs w:val="24"/>
          <w:lang w:eastAsia="en-AU"/>
        </w:rPr>
      </w:pPr>
      <w:r>
        <w:rPr>
          <w:szCs w:val="24"/>
          <w:lang w:eastAsia="en-AU"/>
        </w:rPr>
        <w:t>Equation</w:t>
      </w:r>
      <w:r w:rsidR="00ED0964">
        <w:rPr>
          <w:szCs w:val="24"/>
          <w:lang w:eastAsia="en-AU"/>
        </w:rPr>
        <w:t>s</w:t>
      </w:r>
      <w:r>
        <w:rPr>
          <w:szCs w:val="24"/>
          <w:lang w:eastAsia="en-AU"/>
        </w:rPr>
        <w:t xml:space="preserve"> 19 </w:t>
      </w:r>
      <w:r w:rsidR="00ED0964">
        <w:rPr>
          <w:szCs w:val="24"/>
          <w:lang w:eastAsia="en-AU"/>
        </w:rPr>
        <w:t>and 19A set</w:t>
      </w:r>
      <w:r>
        <w:rPr>
          <w:szCs w:val="24"/>
          <w:lang w:eastAsia="en-AU"/>
        </w:rPr>
        <w:t xml:space="preserve"> out the calculation for an annual average proportion of methane from landfill collected and destroyed during the 2 years </w:t>
      </w:r>
      <w:r w:rsidR="00FD7DCE">
        <w:rPr>
          <w:szCs w:val="24"/>
          <w:lang w:eastAsia="en-AU"/>
        </w:rPr>
        <w:t xml:space="preserve">or </w:t>
      </w:r>
      <w:r w:rsidR="00ED0964">
        <w:rPr>
          <w:szCs w:val="24"/>
          <w:lang w:eastAsia="en-AU"/>
        </w:rPr>
        <w:t xml:space="preserve">4 years </w:t>
      </w:r>
      <w:r w:rsidR="00D72E68" w:rsidRPr="00CD131C">
        <w:rPr>
          <w:szCs w:val="24"/>
          <w:lang w:eastAsia="en-AU"/>
        </w:rPr>
        <w:t>from the day</w:t>
      </w:r>
      <w:r w:rsidR="003358E3">
        <w:rPr>
          <w:szCs w:val="24"/>
          <w:lang w:eastAsia="en-AU"/>
        </w:rPr>
        <w:t xml:space="preserve"> </w:t>
      </w:r>
      <w:r>
        <w:rPr>
          <w:szCs w:val="24"/>
          <w:lang w:eastAsia="en-AU"/>
        </w:rPr>
        <w:t xml:space="preserve">before the upgrade is started, and contains </w:t>
      </w:r>
      <w:r w:rsidR="006E1451">
        <w:rPr>
          <w:szCs w:val="24"/>
          <w:lang w:eastAsia="en-AU"/>
        </w:rPr>
        <w:t>the following terms:</w:t>
      </w:r>
    </w:p>
    <w:p w14:paraId="2BD01B85" w14:textId="77777777" w:rsidR="006E1451" w:rsidRDefault="006E1451" w:rsidP="007256DD">
      <w:pPr>
        <w:numPr>
          <w:ilvl w:val="0"/>
          <w:numId w:val="38"/>
        </w:numPr>
        <w:spacing w:before="0" w:after="120" w:line="240" w:lineRule="auto"/>
        <w:ind w:left="714" w:hanging="357"/>
      </w:pPr>
      <w:r>
        <w:rPr>
          <w:lang w:eastAsia="en-AU"/>
        </w:rPr>
        <w:t>the sum of the amount of methane captured and combusted on site (</w:t>
      </w:r>
      <m:oMath>
        <m:sSub>
          <m:sSubPr>
            <m:ctrlPr>
              <w:rPr>
                <w:rFonts w:ascii="Cambria Math" w:hAnsi="Cambria Math"/>
                <w:sz w:val="22"/>
              </w:rPr>
            </m:ctrlPr>
          </m:sSubPr>
          <m:e>
            <m:r>
              <m:rPr>
                <m:sty m:val="p"/>
              </m:rPr>
              <w:rPr>
                <w:rFonts w:ascii="Cambria Math"/>
                <w:szCs w:val="20"/>
              </w:rPr>
              <m:t>Q</m:t>
            </m:r>
          </m:e>
          <m:sub>
            <m:r>
              <m:rPr>
                <m:sty m:val="p"/>
              </m:rPr>
              <w:rPr>
                <w:rFonts w:ascii="Cambria Math"/>
                <w:szCs w:val="20"/>
              </w:rPr>
              <m:t>cap,y</m:t>
            </m:r>
          </m:sub>
        </m:sSub>
        <m:r>
          <m:rPr>
            <m:sty m:val="p"/>
          </m:rPr>
          <w:rPr>
            <w:rFonts w:ascii="Cambria Math"/>
            <w:szCs w:val="20"/>
          </w:rPr>
          <m:t>+</m:t>
        </m:r>
        <m:sSub>
          <m:sSubPr>
            <m:ctrlPr>
              <w:rPr>
                <w:rFonts w:ascii="Cambria Math" w:hAnsi="Cambria Math"/>
                <w:sz w:val="22"/>
              </w:rPr>
            </m:ctrlPr>
          </m:sSubPr>
          <m:e>
            <m:r>
              <m:rPr>
                <m:sty m:val="p"/>
              </m:rPr>
              <w:rPr>
                <w:rFonts w:ascii="Cambria Math"/>
                <w:szCs w:val="20"/>
              </w:rPr>
              <m:t>Q</m:t>
            </m:r>
          </m:e>
          <m:sub>
            <m:r>
              <m:rPr>
                <m:sty m:val="p"/>
              </m:rPr>
              <w:rPr>
                <w:rFonts w:ascii="Cambria Math"/>
                <w:szCs w:val="20"/>
              </w:rPr>
              <m:t>flared,y</m:t>
            </m:r>
          </m:sub>
        </m:sSub>
      </m:oMath>
      <w:r>
        <w:rPr>
          <w:sz w:val="28"/>
        </w:rPr>
        <w:t xml:space="preserve">) </w:t>
      </w:r>
      <w:r>
        <w:rPr>
          <w:lang w:eastAsia="en-AU"/>
        </w:rPr>
        <w:t>and the methane captured and destroyed when transferred out of the landfill (</w:t>
      </w:r>
      <m:oMath>
        <m:sSub>
          <m:sSubPr>
            <m:ctrlPr>
              <w:rPr>
                <w:rFonts w:ascii="Cambria Math" w:hAnsi="Cambria Math"/>
                <w:sz w:val="22"/>
              </w:rPr>
            </m:ctrlPr>
          </m:sSubPr>
          <m:e>
            <m:r>
              <m:rPr>
                <m:sty m:val="p"/>
              </m:rPr>
              <w:rPr>
                <w:rFonts w:ascii="Cambria Math"/>
                <w:szCs w:val="20"/>
              </w:rPr>
              <m:t>Q</m:t>
            </m:r>
          </m:e>
          <m:sub>
            <m:r>
              <m:rPr>
                <m:sty m:val="p"/>
              </m:rPr>
              <w:rPr>
                <w:rFonts w:ascii="Cambria Math"/>
                <w:szCs w:val="20"/>
              </w:rPr>
              <m:t>tr,y</m:t>
            </m:r>
          </m:sub>
        </m:sSub>
      </m:oMath>
      <w:r>
        <w:rPr>
          <w:sz w:val="28"/>
        </w:rPr>
        <w:t>)</w:t>
      </w:r>
      <w:r>
        <w:t xml:space="preserve">, which are terms defined in the </w:t>
      </w:r>
      <w:r>
        <w:rPr>
          <w:i/>
        </w:rPr>
        <w:t>NGER (Measurement) Determination</w:t>
      </w:r>
    </w:p>
    <w:p w14:paraId="69BC8DCA" w14:textId="77777777" w:rsidR="006E1451" w:rsidRPr="00405E7A" w:rsidRDefault="006E1451" w:rsidP="007256DD">
      <w:pPr>
        <w:spacing w:after="120"/>
        <w:ind w:left="720"/>
        <w:rPr>
          <w:i/>
        </w:rPr>
      </w:pPr>
      <w:r w:rsidRPr="00405E7A">
        <w:rPr>
          <w:i/>
        </w:rPr>
        <w:t>multiplied by</w:t>
      </w:r>
    </w:p>
    <w:p w14:paraId="01985B5F" w14:textId="77777777" w:rsidR="006E1451" w:rsidRDefault="006E1451" w:rsidP="007256DD">
      <w:pPr>
        <w:numPr>
          <w:ilvl w:val="0"/>
          <w:numId w:val="38"/>
        </w:numPr>
        <w:spacing w:before="0" w:after="120" w:line="240" w:lineRule="auto"/>
        <w:ind w:left="714" w:hanging="357"/>
      </w:pPr>
      <w:r>
        <w:t xml:space="preserve">the conversion factor </w:t>
      </w:r>
      <m:oMath>
        <m:r>
          <m:rPr>
            <m:sty m:val="p"/>
          </m:rPr>
          <w:rPr>
            <w:rFonts w:ascii="Cambria Math" w:hAnsi="Cambria Math"/>
            <w:sz w:val="20"/>
            <w:szCs w:val="20"/>
          </w:rPr>
          <m:t>(</m:t>
        </m:r>
        <m:r>
          <m:rPr>
            <m:sty m:val="b"/>
          </m:rPr>
          <w:rPr>
            <w:rFonts w:ascii="Cambria Math" w:hAnsi="Cambria Math"/>
            <w:sz w:val="20"/>
            <w:szCs w:val="20"/>
          </w:rPr>
          <m:t>γ)</m:t>
        </m:r>
      </m:oMath>
      <w:r>
        <w:rPr>
          <w:b/>
          <w:sz w:val="20"/>
          <w:szCs w:val="20"/>
        </w:rPr>
        <w:t>,</w:t>
      </w:r>
      <w:r>
        <w:rPr>
          <w:b/>
        </w:rPr>
        <w:t xml:space="preserve"> </w:t>
      </w:r>
      <w:r>
        <w:t>which is used</w:t>
      </w:r>
      <w:r>
        <w:rPr>
          <w:b/>
        </w:rPr>
        <w:t xml:space="preserve"> </w:t>
      </w:r>
      <w:r>
        <w:t xml:space="preserve">to express the amount of methane in tonnes </w:t>
      </w:r>
      <w:r>
        <w:rPr>
          <w:szCs w:val="24"/>
          <w:lang w:eastAsia="en-AU"/>
        </w:rPr>
        <w:t>CO</w:t>
      </w:r>
      <w:r>
        <w:rPr>
          <w:szCs w:val="24"/>
          <w:vertAlign w:val="subscript"/>
          <w:lang w:eastAsia="en-AU"/>
        </w:rPr>
        <w:t>2</w:t>
      </w:r>
      <w:r>
        <w:rPr>
          <w:szCs w:val="24"/>
          <w:lang w:eastAsia="en-AU"/>
        </w:rPr>
        <w:softHyphen/>
        <w:t>-e</w:t>
      </w:r>
    </w:p>
    <w:p w14:paraId="4CF60EF2" w14:textId="77777777" w:rsidR="006E1451" w:rsidRDefault="006E1451" w:rsidP="007256DD">
      <w:pPr>
        <w:spacing w:after="120"/>
        <w:ind w:left="720"/>
        <w:rPr>
          <w:i/>
        </w:rPr>
      </w:pPr>
      <w:r>
        <w:rPr>
          <w:i/>
        </w:rPr>
        <w:t xml:space="preserve">divided by </w:t>
      </w:r>
    </w:p>
    <w:p w14:paraId="16A8460A" w14:textId="6A0F8F19" w:rsidR="006E1451" w:rsidRDefault="006E1451" w:rsidP="007256DD">
      <w:pPr>
        <w:numPr>
          <w:ilvl w:val="0"/>
          <w:numId w:val="38"/>
        </w:numPr>
        <w:spacing w:before="0" w:after="120" w:line="240" w:lineRule="auto"/>
        <w:ind w:left="714" w:hanging="357"/>
      </w:pPr>
      <w:r w:rsidRPr="00CD131C">
        <w:t xml:space="preserve">the </w:t>
      </w:r>
      <w:r w:rsidR="00716966" w:rsidRPr="00CD131C">
        <w:t xml:space="preserve">estimated </w:t>
      </w:r>
      <w:r w:rsidRPr="00CD131C">
        <w:t>total amount of methane generated by the landfill (</w:t>
      </w:r>
      <m:oMath>
        <m:sSubSup>
          <m:sSubSupPr>
            <m:ctrlPr>
              <w:rPr>
                <w:rFonts w:ascii="Cambria Math" w:hAnsi="Cambria Math"/>
              </w:rPr>
            </m:ctrlPr>
          </m:sSubSupPr>
          <m:e>
            <m:r>
              <m:rPr>
                <m:sty m:val="p"/>
              </m:rPr>
              <w:rPr>
                <w:rFonts w:ascii="Cambria Math" w:hAnsi="Cambria Math"/>
                <w:szCs w:val="20"/>
              </w:rPr>
              <m:t>CH</m:t>
            </m:r>
          </m:e>
          <m:sub>
            <m:r>
              <m:rPr>
                <m:sty m:val="p"/>
              </m:rPr>
              <w:rPr>
                <w:rFonts w:ascii="Cambria Math" w:hAnsi="Cambria Math"/>
                <w:szCs w:val="20"/>
              </w:rPr>
              <m:t>4  ,y</m:t>
            </m:r>
          </m:sub>
          <m:sup>
            <m:r>
              <m:rPr>
                <m:sty m:val="p"/>
              </m:rPr>
              <w:rPr>
                <w:rFonts w:ascii="Cambria Math" w:hAnsi="Cambria Math"/>
                <w:szCs w:val="20"/>
              </w:rPr>
              <m:t xml:space="preserve">  *</m:t>
            </m:r>
          </m:sup>
        </m:sSubSup>
      </m:oMath>
      <w:r w:rsidR="003A6117" w:rsidRPr="00CD131C">
        <w:t xml:space="preserve"> for equation 19 and </w:t>
      </w:r>
      <m:oMath>
        <m:sSubSup>
          <m:sSubSupPr>
            <m:ctrlPr>
              <w:rPr>
                <w:rFonts w:ascii="Cambria Math" w:hAnsi="Cambria Math" w:cs="Calibri"/>
                <w:szCs w:val="24"/>
              </w:rPr>
            </m:ctrlPr>
          </m:sSubSupPr>
          <m:e>
            <m:r>
              <m:rPr>
                <m:sty m:val="p"/>
              </m:rPr>
              <w:rPr>
                <w:rFonts w:ascii="Cambria Math" w:hAnsi="Cambria Math" w:cs="Calibri"/>
              </w:rPr>
              <m:t>CH</m:t>
            </m:r>
          </m:e>
          <m:sub>
            <m:r>
              <m:rPr>
                <m:sty m:val="p"/>
              </m:rPr>
              <w:rPr>
                <w:rFonts w:ascii="Cambria Math" w:hAnsi="Cambria Math" w:cs="Calibri"/>
              </w:rPr>
              <m:t>4    ,y</m:t>
            </m:r>
          </m:sub>
          <m:sup>
            <m:r>
              <m:rPr>
                <m:sty m:val="p"/>
              </m:rPr>
              <w:rPr>
                <w:rFonts w:ascii="Cambria Math" w:hAnsi="Cambria Math" w:cs="Calibri"/>
              </w:rPr>
              <m:t xml:space="preserve">  *+</m:t>
            </m:r>
          </m:sup>
        </m:sSubSup>
      </m:oMath>
      <w:r w:rsidR="003A6117" w:rsidRPr="00CD131C">
        <w:t xml:space="preserve"> for equation 19A</w:t>
      </w:r>
      <w:r w:rsidRPr="00CD131C">
        <w:t xml:space="preserve">), determined using the </w:t>
      </w:r>
      <w:r w:rsidRPr="00CD131C">
        <w:rPr>
          <w:i/>
        </w:rPr>
        <w:t>NGER (Measurement) Determination</w:t>
      </w:r>
      <w:r w:rsidR="003A6117" w:rsidRPr="00CD131C">
        <w:rPr>
          <w:iCs/>
        </w:rPr>
        <w:t xml:space="preserve"> and </w:t>
      </w:r>
      <w:r w:rsidR="00716966" w:rsidRPr="00CD131C">
        <w:rPr>
          <w:iCs/>
        </w:rPr>
        <w:t xml:space="preserve">calculated </w:t>
      </w:r>
      <w:r w:rsidR="003A6117" w:rsidRPr="00CD131C">
        <w:t>in accordance with subsections 29(4) and 29(4A) respectively</w:t>
      </w:r>
      <w:r>
        <w:rPr>
          <w:i/>
        </w:rPr>
        <w:t>.</w:t>
      </w:r>
    </w:p>
    <w:p w14:paraId="5093B0B1" w14:textId="0BF763BF" w:rsidR="006E1451" w:rsidRDefault="006E1451" w:rsidP="007256DD">
      <w:pPr>
        <w:rPr>
          <w:szCs w:val="24"/>
          <w:lang w:eastAsia="en-AU"/>
        </w:rPr>
      </w:pPr>
      <w:r>
        <w:t xml:space="preserve">The calculation is repeated for each of the </w:t>
      </w:r>
      <w:r w:rsidR="00CE2E4A" w:rsidRPr="00985040">
        <w:t>two</w:t>
      </w:r>
      <w:r w:rsidR="00ED0964" w:rsidRPr="00985040">
        <w:t xml:space="preserve"> or </w:t>
      </w:r>
      <w:r w:rsidR="00712242" w:rsidRPr="00985040">
        <w:t>four</w:t>
      </w:r>
      <w:r w:rsidRPr="00985040">
        <w:t xml:space="preserve"> years immediately prior to the upgrade starting. The </w:t>
      </w:r>
      <w:r w:rsidR="00985040">
        <w:t>higher of these two averages</w:t>
      </w:r>
      <w:r w:rsidRPr="00985040">
        <w:t xml:space="preserve"> is </w:t>
      </w:r>
      <w:r w:rsidR="00712242" w:rsidRPr="00985040">
        <w:t>used to determine the collection efficiency of the existing landfill gas capture system before the upgrade (W</w:t>
      </w:r>
      <w:r w:rsidR="00712242" w:rsidRPr="00985040">
        <w:rPr>
          <w:vertAlign w:val="subscript"/>
        </w:rPr>
        <w:t>Com,Bef</w:t>
      </w:r>
      <w:r w:rsidR="00712242" w:rsidRPr="00985040">
        <w:t>).</w:t>
      </w:r>
      <w:r w:rsidR="0076126B" w:rsidRPr="00985040">
        <w:t xml:space="preserve"> </w:t>
      </w:r>
      <w:r w:rsidR="0094656C">
        <w:rPr>
          <w:szCs w:val="24"/>
          <w:lang w:eastAsia="en-AU"/>
        </w:rPr>
        <w:t xml:space="preserve">The revision also sets out that the </w:t>
      </w:r>
      <w:r w:rsidR="00CE2E4A">
        <w:rPr>
          <w:szCs w:val="24"/>
          <w:lang w:eastAsia="en-AU"/>
        </w:rPr>
        <w:t>two</w:t>
      </w:r>
      <w:r w:rsidR="00ED0964">
        <w:rPr>
          <w:szCs w:val="24"/>
          <w:lang w:eastAsia="en-AU"/>
        </w:rPr>
        <w:t xml:space="preserve"> or </w:t>
      </w:r>
      <w:r w:rsidR="0094656C">
        <w:rPr>
          <w:szCs w:val="24"/>
          <w:lang w:eastAsia="en-AU"/>
        </w:rPr>
        <w:t xml:space="preserve">four year period ends either </w:t>
      </w:r>
      <w:r w:rsidR="00D72E68">
        <w:rPr>
          <w:szCs w:val="24"/>
          <w:lang w:eastAsia="en-AU"/>
        </w:rPr>
        <w:t>the day</w:t>
      </w:r>
      <w:r w:rsidR="0094656C">
        <w:rPr>
          <w:szCs w:val="24"/>
          <w:lang w:eastAsia="en-AU"/>
        </w:rPr>
        <w:t xml:space="preserve"> before the upgrade is started, or </w:t>
      </w:r>
      <w:r w:rsidR="00D72E68" w:rsidRPr="00CD131C">
        <w:rPr>
          <w:szCs w:val="24"/>
          <w:lang w:eastAsia="en-AU"/>
        </w:rPr>
        <w:t>the day</w:t>
      </w:r>
      <w:r w:rsidR="003358E3">
        <w:rPr>
          <w:szCs w:val="24"/>
          <w:lang w:eastAsia="en-AU"/>
        </w:rPr>
        <w:t xml:space="preserve"> </w:t>
      </w:r>
      <w:r w:rsidR="0094656C">
        <w:rPr>
          <w:szCs w:val="24"/>
          <w:lang w:eastAsia="en-AU"/>
        </w:rPr>
        <w:t xml:space="preserve">before the </w:t>
      </w:r>
      <w:r w:rsidR="00716966">
        <w:rPr>
          <w:szCs w:val="24"/>
          <w:lang w:eastAsia="en-AU"/>
        </w:rPr>
        <w:t>date on which the application under section 22 of the Act for declaration of the upgrade project as an eligible offsets project is made</w:t>
      </w:r>
      <w:r w:rsidR="0094656C">
        <w:rPr>
          <w:szCs w:val="24"/>
          <w:lang w:eastAsia="en-AU"/>
        </w:rPr>
        <w:t xml:space="preserve">. This enables users of the </w:t>
      </w:r>
      <w:r w:rsidR="00716966">
        <w:rPr>
          <w:szCs w:val="24"/>
          <w:lang w:eastAsia="en-AU"/>
        </w:rPr>
        <w:t xml:space="preserve">varied Determination </w:t>
      </w:r>
      <w:r w:rsidR="0094656C">
        <w:rPr>
          <w:szCs w:val="24"/>
          <w:lang w:eastAsia="en-AU"/>
        </w:rPr>
        <w:t xml:space="preserve">to apply this provision even if the date </w:t>
      </w:r>
      <w:r w:rsidR="00985040">
        <w:rPr>
          <w:szCs w:val="24"/>
          <w:lang w:eastAsia="en-AU"/>
        </w:rPr>
        <w:t xml:space="preserve">on </w:t>
      </w:r>
      <w:r w:rsidR="0094656C">
        <w:rPr>
          <w:szCs w:val="24"/>
          <w:lang w:eastAsia="en-AU"/>
        </w:rPr>
        <w:t>which the upgrade started is difficult to establish or document.</w:t>
      </w:r>
    </w:p>
    <w:p w14:paraId="315CC356" w14:textId="05034EAE" w:rsidR="00BA2DAC" w:rsidRPr="0018163A" w:rsidRDefault="00BA2DAC" w:rsidP="0018163A">
      <w:r w:rsidRPr="0018163A">
        <w:t xml:space="preserve">The </w:t>
      </w:r>
      <w:r w:rsidR="00D37E58" w:rsidRPr="0018163A">
        <w:t>V</w:t>
      </w:r>
      <w:r w:rsidRPr="0018163A">
        <w:t xml:space="preserve">ariation also sets out that as per </w:t>
      </w:r>
      <w:r w:rsidR="00D37E58" w:rsidRPr="0018163A">
        <w:t xml:space="preserve">the new </w:t>
      </w:r>
      <w:r w:rsidRPr="0018163A">
        <w:t>subsection 29(7)</w:t>
      </w:r>
      <w:r w:rsidR="00D37E58" w:rsidRPr="0018163A">
        <w:t xml:space="preserve"> inserted by item [12]</w:t>
      </w:r>
      <w:r w:rsidRPr="0018163A">
        <w:t xml:space="preserve">, if an upgrade project applying </w:t>
      </w:r>
      <w:r w:rsidR="00D37E58" w:rsidRPr="0018163A">
        <w:t xml:space="preserve">the </w:t>
      </w:r>
      <w:r w:rsidRPr="0018163A">
        <w:t xml:space="preserve">Determination before the commencement of the </w:t>
      </w:r>
      <w:r w:rsidRPr="008F201C">
        <w:rPr>
          <w:i/>
          <w:iCs/>
        </w:rPr>
        <w:t>Carbon Credits (Carbon Farming Initiative—Landfill Gas) Methodology Determination Variation 2021</w:t>
      </w:r>
      <w:r w:rsidRPr="0018163A">
        <w:t xml:space="preserve"> does not have 4 years of data to apply in equation 19A, then the references to “4 years” </w:t>
      </w:r>
      <w:r w:rsidR="00D37E58" w:rsidRPr="0018163A">
        <w:t xml:space="preserve">in subsections 29(1), (3A) and (4A) </w:t>
      </w:r>
      <w:r w:rsidRPr="0018163A">
        <w:t xml:space="preserve">are taken to mean “2 years or, if data is available to the project proponent for that period, 3 years”. The variable </w:t>
      </w:r>
      <m:oMath>
        <m:r>
          <m:rPr>
            <m:sty m:val="bi"/>
          </m:rPr>
          <w:rPr>
            <w:rFonts w:ascii="Cambria Math" w:hAnsi="Cambria Math"/>
          </w:rPr>
          <m:t>x</m:t>
        </m:r>
      </m:oMath>
      <w:r w:rsidRPr="0018163A">
        <w:t xml:space="preserve"> in equation 19A reflects that such projects may utilise data from periods shorter than 4 years.</w:t>
      </w:r>
    </w:p>
    <w:p w14:paraId="4EBE8FBC" w14:textId="2BD1C718" w:rsidR="00BA2DAC" w:rsidRPr="0018163A" w:rsidRDefault="00D37E58" w:rsidP="0018163A">
      <w:r w:rsidRPr="0018163A">
        <w:t xml:space="preserve">Therefore, </w:t>
      </w:r>
      <w:r w:rsidR="00BA2DAC" w:rsidRPr="0018163A">
        <w:t xml:space="preserve">if </w:t>
      </w:r>
      <w:r w:rsidRPr="0018163A">
        <w:t xml:space="preserve">upgrade </w:t>
      </w:r>
      <w:r w:rsidR="00BA2DAC" w:rsidRPr="0018163A">
        <w:t xml:space="preserve">projects </w:t>
      </w:r>
      <w:r w:rsidRPr="0018163A">
        <w:t xml:space="preserve">registered </w:t>
      </w:r>
      <w:r w:rsidR="00BA2DAC" w:rsidRPr="0018163A">
        <w:t>prior to the making of the Variation</w:t>
      </w:r>
      <w:r w:rsidRPr="0018163A">
        <w:t xml:space="preserve"> transfer to the varied Determination but do not have 4 years of data available</w:t>
      </w:r>
      <w:r w:rsidR="00BA2DAC" w:rsidRPr="0018163A">
        <w:t xml:space="preserve">, they should instead use as long a period of time as they have data for </w:t>
      </w:r>
      <w:r w:rsidR="00C82901">
        <w:t xml:space="preserve">(but </w:t>
      </w:r>
      <w:r w:rsidR="00C82901" w:rsidRPr="0018163A">
        <w:t>not less than 2 years</w:t>
      </w:r>
      <w:r w:rsidR="00C82901">
        <w:t>)</w:t>
      </w:r>
      <w:r w:rsidR="00C82901" w:rsidRPr="0018163A">
        <w:t xml:space="preserve"> </w:t>
      </w:r>
      <w:r w:rsidR="00BA2DAC" w:rsidRPr="0018163A">
        <w:t>in equation 19A, in addition to the 2 year period calculated using equation 19 in-line with previous versions of the Determination.</w:t>
      </w:r>
    </w:p>
    <w:p w14:paraId="56B11BD4" w14:textId="7169630B" w:rsidR="001C1024" w:rsidRPr="006E1451" w:rsidRDefault="001C1024" w:rsidP="004F4417">
      <w:pPr>
        <w:pStyle w:val="h5SchItem"/>
        <w:tabs>
          <w:tab w:val="left" w:pos="142"/>
        </w:tabs>
        <w:rPr>
          <w:rFonts w:ascii="Times New Roman" w:hAnsi="Times New Roman" w:cs="Times New Roman"/>
          <w:b w:val="0"/>
          <w:iCs/>
          <w:color w:val="000000" w:themeColor="text1"/>
          <w:kern w:val="0"/>
          <w:szCs w:val="24"/>
          <w:u w:val="single"/>
          <w:lang w:eastAsia="en-US"/>
        </w:rPr>
      </w:pPr>
      <w:r>
        <w:rPr>
          <w:rFonts w:ascii="Times New Roman" w:hAnsi="Times New Roman" w:cs="Times New Roman"/>
          <w:b w:val="0"/>
          <w:iCs/>
          <w:color w:val="000000" w:themeColor="text1"/>
          <w:kern w:val="0"/>
          <w:szCs w:val="24"/>
          <w:u w:val="single"/>
          <w:lang w:eastAsia="en-US"/>
        </w:rPr>
        <w:t>[</w:t>
      </w:r>
      <w:r w:rsidR="005658CF">
        <w:rPr>
          <w:rFonts w:ascii="Times New Roman" w:hAnsi="Times New Roman" w:cs="Times New Roman"/>
          <w:b w:val="0"/>
          <w:iCs/>
          <w:color w:val="000000" w:themeColor="text1"/>
          <w:kern w:val="0"/>
          <w:szCs w:val="24"/>
          <w:u w:val="single"/>
          <w:lang w:eastAsia="en-US"/>
        </w:rPr>
        <w:t>1</w:t>
      </w:r>
      <w:r w:rsidR="007F1BD3">
        <w:rPr>
          <w:rFonts w:ascii="Times New Roman" w:hAnsi="Times New Roman" w:cs="Times New Roman"/>
          <w:b w:val="0"/>
          <w:iCs/>
          <w:color w:val="000000" w:themeColor="text1"/>
          <w:kern w:val="0"/>
          <w:szCs w:val="24"/>
          <w:u w:val="single"/>
          <w:lang w:eastAsia="en-US"/>
        </w:rPr>
        <w:t>1</w:t>
      </w:r>
      <w:r>
        <w:rPr>
          <w:rFonts w:ascii="Times New Roman" w:hAnsi="Times New Roman" w:cs="Times New Roman"/>
          <w:b w:val="0"/>
          <w:iCs/>
          <w:color w:val="000000" w:themeColor="text1"/>
          <w:kern w:val="0"/>
          <w:szCs w:val="24"/>
          <w:u w:val="single"/>
          <w:lang w:eastAsia="en-US"/>
        </w:rPr>
        <w:t>]</w:t>
      </w:r>
      <w:r>
        <w:rPr>
          <w:rFonts w:ascii="Times New Roman" w:hAnsi="Times New Roman" w:cs="Times New Roman"/>
          <w:b w:val="0"/>
          <w:iCs/>
          <w:color w:val="000000" w:themeColor="text1"/>
          <w:kern w:val="0"/>
          <w:szCs w:val="24"/>
          <w:u w:val="single"/>
          <w:lang w:eastAsia="en-US"/>
        </w:rPr>
        <w:tab/>
      </w:r>
      <w:r w:rsidR="005E3FE6">
        <w:rPr>
          <w:rFonts w:ascii="Times New Roman" w:hAnsi="Times New Roman" w:cs="Times New Roman"/>
          <w:b w:val="0"/>
          <w:iCs/>
          <w:color w:val="000000" w:themeColor="text1"/>
          <w:kern w:val="0"/>
          <w:szCs w:val="24"/>
          <w:u w:val="single"/>
          <w:lang w:eastAsia="en-US"/>
        </w:rPr>
        <w:t xml:space="preserve">After subsection </w:t>
      </w:r>
      <w:r>
        <w:rPr>
          <w:rFonts w:ascii="Times New Roman" w:hAnsi="Times New Roman" w:cs="Times New Roman"/>
          <w:b w:val="0"/>
          <w:iCs/>
          <w:color w:val="000000" w:themeColor="text1"/>
          <w:kern w:val="0"/>
          <w:szCs w:val="24"/>
          <w:u w:val="single"/>
          <w:lang w:eastAsia="en-US"/>
        </w:rPr>
        <w:t xml:space="preserve"> 29(4</w:t>
      </w:r>
      <w:r w:rsidRPr="006E1451">
        <w:rPr>
          <w:rFonts w:ascii="Times New Roman" w:hAnsi="Times New Roman" w:cs="Times New Roman"/>
          <w:b w:val="0"/>
          <w:iCs/>
          <w:color w:val="000000" w:themeColor="text1"/>
          <w:kern w:val="0"/>
          <w:szCs w:val="24"/>
          <w:u w:val="single"/>
          <w:lang w:eastAsia="en-US"/>
        </w:rPr>
        <w:t>)</w:t>
      </w:r>
    </w:p>
    <w:p w14:paraId="65AA8DE7" w14:textId="1FA360C7" w:rsidR="002C2C5F" w:rsidRDefault="002C2C5F" w:rsidP="002C2C5F">
      <w:pPr>
        <w:spacing w:after="200"/>
        <w:rPr>
          <w:szCs w:val="24"/>
          <w:lang w:eastAsia="en-AU"/>
        </w:rPr>
      </w:pPr>
      <w:r w:rsidRPr="00CD131C">
        <w:t xml:space="preserve">Item [11] </w:t>
      </w:r>
      <w:r w:rsidRPr="00CD131C">
        <w:rPr>
          <w:szCs w:val="20"/>
        </w:rPr>
        <w:t>prevents a calculation of collection efficiency that exceeds 100 per cent.</w:t>
      </w:r>
      <w:r w:rsidRPr="00CD131C">
        <w:t xml:space="preserve"> Subsection 29(4A) sets out that </w:t>
      </w:r>
      <m:oMath>
        <m:sSubSup>
          <m:sSubSupPr>
            <m:ctrlPr>
              <w:rPr>
                <w:rFonts w:ascii="Cambria Math" w:hAnsi="Cambria Math" w:cs="Calibri"/>
                <w:szCs w:val="24"/>
              </w:rPr>
            </m:ctrlPr>
          </m:sSubSupPr>
          <m:e>
            <m:r>
              <m:rPr>
                <m:sty m:val="p"/>
              </m:rPr>
              <w:rPr>
                <w:rFonts w:ascii="Cambria Math" w:hAnsi="Cambria Math" w:cs="Calibri"/>
              </w:rPr>
              <m:t>CH</m:t>
            </m:r>
          </m:e>
          <m:sub>
            <m:r>
              <m:rPr>
                <m:sty m:val="p"/>
              </m:rPr>
              <w:rPr>
                <w:rFonts w:ascii="Cambria Math" w:hAnsi="Cambria Math" w:cs="Calibri"/>
              </w:rPr>
              <m:t>4    ,y</m:t>
            </m:r>
          </m:sub>
          <m:sup>
            <m:r>
              <m:rPr>
                <m:sty m:val="p"/>
              </m:rPr>
              <w:rPr>
                <w:rFonts w:ascii="Cambria Math" w:hAnsi="Cambria Math" w:cs="Calibri"/>
              </w:rPr>
              <m:t xml:space="preserve">  *+</m:t>
            </m:r>
          </m:sup>
        </m:sSubSup>
      </m:oMath>
      <w:r w:rsidRPr="00CD131C">
        <w:t xml:space="preserve"> is determined using the </w:t>
      </w:r>
      <w:r w:rsidRPr="00CD131C">
        <w:rPr>
          <w:i/>
        </w:rPr>
        <w:t>NGER (Measurement) Determination</w:t>
      </w:r>
      <w:r w:rsidRPr="00CD131C">
        <w:t>. In other cases in the Determination, the amount of landfill gas generated in a landfill is calculated as CH</w:t>
      </w:r>
      <w:r w:rsidRPr="00CD131C">
        <w:rPr>
          <w:vertAlign w:val="subscript"/>
        </w:rPr>
        <w:t>4gen</w:t>
      </w:r>
      <w:r w:rsidRPr="00CD131C">
        <w:rPr>
          <w:vertAlign w:val="subscript"/>
        </w:rPr>
        <w:softHyphen/>
      </w:r>
      <w:r w:rsidRPr="00CD131C">
        <w:t xml:space="preserve">, also using the </w:t>
      </w:r>
      <w:r w:rsidRPr="00CD131C">
        <w:rPr>
          <w:i/>
        </w:rPr>
        <w:t xml:space="preserve">NGER (Measurement) Determination. </w:t>
      </w:r>
      <w:r w:rsidRPr="00CD131C">
        <w:t xml:space="preserve">The parameter </w:t>
      </w:r>
      <m:oMath>
        <m:sSubSup>
          <m:sSubSupPr>
            <m:ctrlPr>
              <w:rPr>
                <w:rFonts w:ascii="Cambria Math" w:hAnsi="Cambria Math" w:cs="Calibri"/>
                <w:szCs w:val="24"/>
              </w:rPr>
            </m:ctrlPr>
          </m:sSubSupPr>
          <m:e>
            <m:r>
              <m:rPr>
                <m:sty m:val="p"/>
              </m:rPr>
              <w:rPr>
                <w:rFonts w:ascii="Cambria Math" w:hAnsi="Cambria Math" w:cs="Calibri"/>
              </w:rPr>
              <m:t>CH</m:t>
            </m:r>
          </m:e>
          <m:sub>
            <m:r>
              <m:rPr>
                <m:sty m:val="p"/>
              </m:rPr>
              <w:rPr>
                <w:rFonts w:ascii="Cambria Math" w:hAnsi="Cambria Math" w:cs="Calibri"/>
              </w:rPr>
              <m:t>4     ,y</m:t>
            </m:r>
          </m:sub>
          <m:sup>
            <m:r>
              <m:rPr>
                <m:sty m:val="p"/>
              </m:rPr>
              <w:rPr>
                <w:rFonts w:ascii="Cambria Math" w:hAnsi="Cambria Math" w:cs="Calibri"/>
              </w:rPr>
              <m:t xml:space="preserve">   *+</m:t>
            </m:r>
          </m:sup>
        </m:sSubSup>
      </m:oMath>
      <w:r w:rsidRPr="00CD131C">
        <w:rPr>
          <w:b/>
          <w:sz w:val="20"/>
          <w:szCs w:val="20"/>
        </w:rPr>
        <w:t xml:space="preserve"> </w:t>
      </w:r>
      <w:r w:rsidRPr="00CD131C">
        <w:rPr>
          <w:szCs w:val="20"/>
        </w:rPr>
        <w:t xml:space="preserve">is used instead for this equation, because it has a calculation step (not used for the calculation of </w:t>
      </w:r>
      <w:r w:rsidRPr="00CD131C">
        <w:t>CH</w:t>
      </w:r>
      <w:r w:rsidRPr="00CD131C">
        <w:rPr>
          <w:vertAlign w:val="subscript"/>
        </w:rPr>
        <w:t>4gen</w:t>
      </w:r>
      <w:r w:rsidRPr="00CD131C">
        <w:rPr>
          <w:vertAlign w:val="subscript"/>
        </w:rPr>
        <w:softHyphen/>
      </w:r>
      <w:r w:rsidRPr="00CD131C">
        <w:t>)</w:t>
      </w:r>
      <w:r w:rsidRPr="00CD131C">
        <w:rPr>
          <w:szCs w:val="20"/>
        </w:rPr>
        <w:t xml:space="preserve"> that ensures that the amount of landfill gas collected does not exceed the amount of landfill gas that is estimated to have been generated in the landfill. </w:t>
      </w:r>
      <w:r w:rsidR="00C15C14" w:rsidRPr="00CD131C">
        <w:rPr>
          <w:szCs w:val="20"/>
        </w:rPr>
        <w:t xml:space="preserve">This calculation is </w:t>
      </w:r>
      <w:r w:rsidR="00825E85" w:rsidRPr="00CD131C">
        <w:rPr>
          <w:szCs w:val="20"/>
        </w:rPr>
        <w:t xml:space="preserve">analogous </w:t>
      </w:r>
      <w:r w:rsidR="00C15C14" w:rsidRPr="00CD131C">
        <w:rPr>
          <w:szCs w:val="20"/>
        </w:rPr>
        <w:t>to the</w:t>
      </w:r>
      <w:r w:rsidR="00C15C14" w:rsidRPr="00CD131C">
        <w:rPr>
          <w:szCs w:val="24"/>
          <w:lang w:eastAsia="en-AU"/>
        </w:rPr>
        <w:t xml:space="preserve"> </w:t>
      </w:r>
      <w:r w:rsidR="003A6E4E" w:rsidRPr="00CD131C">
        <w:rPr>
          <w:szCs w:val="24"/>
          <w:lang w:eastAsia="en-AU"/>
        </w:rPr>
        <w:t>determination</w:t>
      </w:r>
      <w:r w:rsidR="00C15C14" w:rsidRPr="00CD131C">
        <w:rPr>
          <w:szCs w:val="24"/>
          <w:lang w:eastAsia="en-AU"/>
        </w:rPr>
        <w:t xml:space="preserve"> of </w:t>
      </w:r>
      <m:oMath>
        <m:sSubSup>
          <m:sSubSupPr>
            <m:ctrlPr>
              <w:rPr>
                <w:rFonts w:ascii="Cambria Math" w:hAnsi="Cambria Math"/>
              </w:rPr>
            </m:ctrlPr>
          </m:sSubSupPr>
          <m:e>
            <m:r>
              <m:rPr>
                <m:sty m:val="p"/>
              </m:rPr>
              <w:rPr>
                <w:rFonts w:ascii="Cambria Math" w:hAnsi="Cambria Math"/>
                <w:szCs w:val="20"/>
              </w:rPr>
              <m:t>CH</m:t>
            </m:r>
          </m:e>
          <m:sub>
            <m:r>
              <m:rPr>
                <m:sty m:val="p"/>
              </m:rPr>
              <w:rPr>
                <w:rFonts w:ascii="Cambria Math" w:hAnsi="Cambria Math"/>
                <w:szCs w:val="20"/>
              </w:rPr>
              <m:t>4  ,y</m:t>
            </m:r>
          </m:sub>
          <m:sup>
            <m:r>
              <m:rPr>
                <m:sty m:val="p"/>
              </m:rPr>
              <w:rPr>
                <w:rFonts w:ascii="Cambria Math" w:hAnsi="Cambria Math"/>
                <w:szCs w:val="20"/>
              </w:rPr>
              <m:t xml:space="preserve">  *</m:t>
            </m:r>
          </m:sup>
        </m:sSubSup>
      </m:oMath>
      <w:r w:rsidR="00C15C14" w:rsidRPr="00CD131C">
        <w:t xml:space="preserve"> in subsection 29(4) but is conducted over four years of data (unless subsection 29(7) applies) instead of two.</w:t>
      </w:r>
    </w:p>
    <w:p w14:paraId="7013B115" w14:textId="3515249A" w:rsidR="00AA7D13" w:rsidRPr="006E1451" w:rsidRDefault="00AA7D13" w:rsidP="007256DD">
      <w:pPr>
        <w:pStyle w:val="h5SchItem"/>
        <w:rPr>
          <w:rFonts w:ascii="Times New Roman" w:hAnsi="Times New Roman" w:cs="Times New Roman"/>
          <w:b w:val="0"/>
          <w:iCs/>
          <w:color w:val="000000" w:themeColor="text1"/>
          <w:kern w:val="0"/>
          <w:szCs w:val="24"/>
          <w:u w:val="single"/>
          <w:lang w:eastAsia="en-US"/>
        </w:rPr>
      </w:pPr>
      <w:r>
        <w:rPr>
          <w:rFonts w:ascii="Times New Roman" w:hAnsi="Times New Roman" w:cs="Times New Roman"/>
          <w:b w:val="0"/>
          <w:iCs/>
          <w:color w:val="000000" w:themeColor="text1"/>
          <w:kern w:val="0"/>
          <w:szCs w:val="24"/>
          <w:u w:val="single"/>
          <w:lang w:eastAsia="en-US"/>
        </w:rPr>
        <w:t>[1</w:t>
      </w:r>
      <w:r w:rsidR="007F1BD3">
        <w:rPr>
          <w:rFonts w:ascii="Times New Roman" w:hAnsi="Times New Roman" w:cs="Times New Roman"/>
          <w:b w:val="0"/>
          <w:iCs/>
          <w:color w:val="000000" w:themeColor="text1"/>
          <w:kern w:val="0"/>
          <w:szCs w:val="24"/>
          <w:u w:val="single"/>
          <w:lang w:eastAsia="en-US"/>
        </w:rPr>
        <w:t>2</w:t>
      </w:r>
      <w:r>
        <w:rPr>
          <w:rFonts w:ascii="Times New Roman" w:hAnsi="Times New Roman" w:cs="Times New Roman"/>
          <w:b w:val="0"/>
          <w:iCs/>
          <w:color w:val="000000" w:themeColor="text1"/>
          <w:kern w:val="0"/>
          <w:szCs w:val="24"/>
          <w:u w:val="single"/>
          <w:lang w:eastAsia="en-US"/>
        </w:rPr>
        <w:t>]</w:t>
      </w:r>
      <w:r>
        <w:rPr>
          <w:rFonts w:ascii="Times New Roman" w:hAnsi="Times New Roman" w:cs="Times New Roman"/>
          <w:b w:val="0"/>
          <w:iCs/>
          <w:color w:val="000000" w:themeColor="text1"/>
          <w:kern w:val="0"/>
          <w:szCs w:val="24"/>
          <w:u w:val="single"/>
          <w:lang w:eastAsia="en-US"/>
        </w:rPr>
        <w:tab/>
      </w:r>
      <w:r w:rsidR="00065B56">
        <w:rPr>
          <w:rFonts w:ascii="Times New Roman" w:hAnsi="Times New Roman" w:cs="Times New Roman"/>
          <w:b w:val="0"/>
          <w:iCs/>
          <w:color w:val="000000" w:themeColor="text1"/>
          <w:kern w:val="0"/>
          <w:szCs w:val="24"/>
          <w:u w:val="single"/>
          <w:lang w:eastAsia="en-US"/>
        </w:rPr>
        <w:t>Subsection 29(5)</w:t>
      </w:r>
    </w:p>
    <w:p w14:paraId="7E6012EC" w14:textId="38E8D29A" w:rsidR="00F1441F" w:rsidRPr="00CD131C" w:rsidRDefault="00AA7D13" w:rsidP="00BA7C1C">
      <w:r w:rsidRPr="00CD131C">
        <w:t>Item [1</w:t>
      </w:r>
      <w:r w:rsidR="007F1BD3" w:rsidRPr="00CD131C">
        <w:t>2</w:t>
      </w:r>
      <w:r w:rsidRPr="00CD131C">
        <w:t xml:space="preserve">] </w:t>
      </w:r>
      <w:r w:rsidR="00F1441F" w:rsidRPr="00CD131C">
        <w:t xml:space="preserve">inserts a reference to subsection 29(4A) in subsection 29(5) so that </w:t>
      </w:r>
      <m:oMath>
        <m:sSubSup>
          <m:sSubSupPr>
            <m:ctrlPr>
              <w:rPr>
                <w:rFonts w:ascii="Cambria Math" w:hAnsi="Cambria Math"/>
              </w:rPr>
            </m:ctrlPr>
          </m:sSubSupPr>
          <m:e>
            <m:r>
              <m:rPr>
                <m:sty m:val="p"/>
              </m:rPr>
              <w:rPr>
                <w:rFonts w:ascii="Cambria Math" w:hAnsi="Cambria Math"/>
                <w:szCs w:val="20"/>
              </w:rPr>
              <m:t>CH</m:t>
            </m:r>
          </m:e>
          <m:sub>
            <m:r>
              <m:rPr>
                <m:sty m:val="p"/>
              </m:rPr>
              <w:rPr>
                <w:rFonts w:ascii="Cambria Math" w:hAnsi="Cambria Math"/>
                <w:szCs w:val="20"/>
              </w:rPr>
              <m:t>4    ,y</m:t>
            </m:r>
          </m:sub>
          <m:sup>
            <m:r>
              <m:rPr>
                <m:sty m:val="p"/>
              </m:rPr>
              <w:rPr>
                <w:rFonts w:ascii="Cambria Math" w:hAnsi="Cambria Math"/>
                <w:szCs w:val="20"/>
              </w:rPr>
              <m:t xml:space="preserve">  *+</m:t>
            </m:r>
          </m:sup>
        </m:sSubSup>
      </m:oMath>
      <w:r w:rsidR="00F1441F" w:rsidRPr="00CD131C">
        <w:t xml:space="preserve"> can be calculated in the same way as </w:t>
      </w:r>
      <m:oMath>
        <m:sSubSup>
          <m:sSubSupPr>
            <m:ctrlPr>
              <w:rPr>
                <w:rFonts w:ascii="Cambria Math" w:hAnsi="Cambria Math"/>
              </w:rPr>
            </m:ctrlPr>
          </m:sSubSupPr>
          <m:e>
            <m:r>
              <m:rPr>
                <m:sty m:val="p"/>
              </m:rPr>
              <w:rPr>
                <w:rFonts w:ascii="Cambria Math" w:hAnsi="Cambria Math"/>
                <w:szCs w:val="20"/>
              </w:rPr>
              <m:t>CH</m:t>
            </m:r>
          </m:e>
          <m:sub>
            <m:r>
              <m:rPr>
                <m:sty m:val="p"/>
              </m:rPr>
              <w:rPr>
                <w:rFonts w:ascii="Cambria Math" w:hAnsi="Cambria Math"/>
                <w:szCs w:val="20"/>
              </w:rPr>
              <m:t>4  ,y</m:t>
            </m:r>
          </m:sub>
          <m:sup>
            <m:r>
              <m:rPr>
                <m:sty m:val="p"/>
              </m:rPr>
              <w:rPr>
                <w:rFonts w:ascii="Cambria Math" w:hAnsi="Cambria Math"/>
                <w:szCs w:val="20"/>
              </w:rPr>
              <m:t xml:space="preserve">  *</m:t>
            </m:r>
          </m:sup>
        </m:sSubSup>
      </m:oMath>
      <w:r w:rsidR="00F1441F" w:rsidRPr="00CD131C">
        <w:t xml:space="preserve"> where a year y covers 2 financial years. </w:t>
      </w:r>
    </w:p>
    <w:p w14:paraId="4353665A" w14:textId="65A4C087" w:rsidR="00AA7D13" w:rsidRPr="00CD131C" w:rsidRDefault="00BB5FCC" w:rsidP="007256DD">
      <w:pPr>
        <w:spacing w:after="200"/>
      </w:pPr>
      <w:r w:rsidRPr="00CD131C">
        <w:t xml:space="preserve">Item [12] sets </w:t>
      </w:r>
      <w:r w:rsidR="00AA7D13" w:rsidRPr="00CD131C">
        <w:t>out</w:t>
      </w:r>
      <w:r w:rsidRPr="00CD131C">
        <w:t xml:space="preserve"> subsection 29(6)</w:t>
      </w:r>
      <w:r w:rsidR="00AA7D13" w:rsidRPr="00CD131C">
        <w:t xml:space="preserve"> that, to avoid doubt, the time periods in </w:t>
      </w:r>
      <w:r w:rsidR="00F1441F" w:rsidRPr="00CD131C">
        <w:t xml:space="preserve">section </w:t>
      </w:r>
      <w:r w:rsidR="00AA7D13" w:rsidRPr="00CD131C">
        <w:t>29 relating to a restarting flaring project which was previously an upgrade project relate to the previous upgrade project</w:t>
      </w:r>
      <w:r w:rsidR="00985040" w:rsidRPr="00CD131C">
        <w:t>—</w:t>
      </w:r>
      <w:r w:rsidR="00AA7D13" w:rsidRPr="00CD131C">
        <w:t>and</w:t>
      </w:r>
      <w:r w:rsidR="00985040" w:rsidRPr="00CD131C">
        <w:t xml:space="preserve"> </w:t>
      </w:r>
      <w:r w:rsidR="00AA7D13" w:rsidRPr="00CD131C">
        <w:t xml:space="preserve">are not </w:t>
      </w:r>
      <w:r w:rsidR="00DC50DB" w:rsidRPr="00CD131C">
        <w:t xml:space="preserve">reset </w:t>
      </w:r>
      <w:r w:rsidR="00985040" w:rsidRPr="00CD131C">
        <w:t>if</w:t>
      </w:r>
      <w:r w:rsidR="00AA7D13" w:rsidRPr="00CD131C">
        <w:t xml:space="preserve"> the project </w:t>
      </w:r>
      <w:r w:rsidR="00985040" w:rsidRPr="00CD131C">
        <w:t xml:space="preserve">is declared </w:t>
      </w:r>
      <w:r w:rsidR="00AA7D13" w:rsidRPr="00CD131C">
        <w:t xml:space="preserve">as a restarting flaring project.  </w:t>
      </w:r>
    </w:p>
    <w:p w14:paraId="7C49B2F9" w14:textId="29CFC0C8" w:rsidR="00FA2DC9" w:rsidRPr="00065B56" w:rsidRDefault="00BB5FCC" w:rsidP="0069526B">
      <w:pPr>
        <w:spacing w:after="200"/>
      </w:pPr>
      <w:r w:rsidRPr="00CD131C">
        <w:t xml:space="preserve">Item [12] sets </w:t>
      </w:r>
      <w:r w:rsidR="00065B56" w:rsidRPr="00CD131C">
        <w:t xml:space="preserve">out subsection 29(7) </w:t>
      </w:r>
      <w:r w:rsidR="00F1441F" w:rsidRPr="00CD131C">
        <w:t xml:space="preserve">to clarify </w:t>
      </w:r>
      <w:r w:rsidR="00065B56" w:rsidRPr="00CD131C">
        <w:t xml:space="preserve">that if an upgrade project applying this determination before the commencement of the </w:t>
      </w:r>
      <w:r w:rsidR="00065B56" w:rsidRPr="00CD131C">
        <w:rPr>
          <w:i/>
          <w:iCs/>
        </w:rPr>
        <w:t xml:space="preserve">Carbon Credits (Carbon Farming Initiative—Landfill Gas) Methodology Determination Variation 2021 </w:t>
      </w:r>
      <w:r w:rsidR="00065B56" w:rsidRPr="00CD131C">
        <w:t xml:space="preserve">does not have 4 years of data to apply </w:t>
      </w:r>
      <w:r w:rsidR="002E3560" w:rsidRPr="00CD131C">
        <w:t>to subsections 29(1), 29(3A) and 29(4A),</w:t>
      </w:r>
      <w:r w:rsidR="00065B56" w:rsidRPr="00CD131C">
        <w:t xml:space="preserve"> then the references to “4 years” </w:t>
      </w:r>
      <w:r w:rsidR="00F1441F" w:rsidRPr="00CD131C">
        <w:t xml:space="preserve">in those subsections </w:t>
      </w:r>
      <w:r w:rsidR="00065B56" w:rsidRPr="00CD131C">
        <w:t>are taken to mean “2 years or, if data is available to the project proponent for that period, 3 years”</w:t>
      </w:r>
      <w:r w:rsidR="00F1441F" w:rsidRPr="00CD131C">
        <w:t>.</w:t>
      </w:r>
      <w:r w:rsidR="00065B56" w:rsidRPr="00CD131C">
        <w:t xml:space="preserve"> The intent is that the project </w:t>
      </w:r>
      <w:r w:rsidR="00F1441F" w:rsidRPr="00CD131C">
        <w:t xml:space="preserve">proponent of an upgrade project transferring to the varied Determination </w:t>
      </w:r>
      <w:r w:rsidR="00065B56" w:rsidRPr="00CD131C">
        <w:t xml:space="preserve">should instead use as long a period of time as they have data for, in addition to </w:t>
      </w:r>
      <w:r w:rsidR="00EC3840">
        <w:t xml:space="preserve">but not less than </w:t>
      </w:r>
      <w:r w:rsidR="00065B56" w:rsidRPr="00CD131C">
        <w:t xml:space="preserve">the 2 year period </w:t>
      </w:r>
      <w:r w:rsidR="00EC3840">
        <w:t>that</w:t>
      </w:r>
      <w:r w:rsidR="00065B56" w:rsidRPr="00CD131C">
        <w:t xml:space="preserve"> would have been required under </w:t>
      </w:r>
      <w:r w:rsidR="002E3560" w:rsidRPr="00CD131C">
        <w:t>previous versions of the Determination.</w:t>
      </w:r>
    </w:p>
    <w:p w14:paraId="50AF7E7C" w14:textId="26BE4440" w:rsidR="00E34D93" w:rsidRPr="006E1451" w:rsidRDefault="00E34D93" w:rsidP="007256DD">
      <w:pPr>
        <w:pStyle w:val="h5SchItem"/>
        <w:rPr>
          <w:rFonts w:ascii="Times New Roman" w:hAnsi="Times New Roman" w:cs="Times New Roman"/>
          <w:b w:val="0"/>
          <w:iCs/>
          <w:color w:val="000000" w:themeColor="text1"/>
          <w:kern w:val="0"/>
          <w:szCs w:val="24"/>
          <w:u w:val="single"/>
          <w:lang w:eastAsia="en-US"/>
        </w:rPr>
      </w:pPr>
      <w:r>
        <w:rPr>
          <w:rFonts w:ascii="Times New Roman" w:hAnsi="Times New Roman" w:cs="Times New Roman"/>
          <w:b w:val="0"/>
          <w:iCs/>
          <w:color w:val="000000" w:themeColor="text1"/>
          <w:kern w:val="0"/>
          <w:szCs w:val="24"/>
          <w:u w:val="single"/>
          <w:lang w:eastAsia="en-US"/>
        </w:rPr>
        <w:t>[1</w:t>
      </w:r>
      <w:r w:rsidR="00BD07D8">
        <w:rPr>
          <w:rFonts w:ascii="Times New Roman" w:hAnsi="Times New Roman" w:cs="Times New Roman"/>
          <w:b w:val="0"/>
          <w:iCs/>
          <w:color w:val="000000" w:themeColor="text1"/>
          <w:kern w:val="0"/>
          <w:szCs w:val="24"/>
          <w:u w:val="single"/>
          <w:lang w:eastAsia="en-US"/>
        </w:rPr>
        <w:t>3</w:t>
      </w:r>
      <w:r>
        <w:rPr>
          <w:rFonts w:ascii="Times New Roman" w:hAnsi="Times New Roman" w:cs="Times New Roman"/>
          <w:b w:val="0"/>
          <w:iCs/>
          <w:color w:val="000000" w:themeColor="text1"/>
          <w:kern w:val="0"/>
          <w:szCs w:val="24"/>
          <w:u w:val="single"/>
          <w:lang w:eastAsia="en-US"/>
        </w:rPr>
        <w:t>]</w:t>
      </w:r>
      <w:r>
        <w:rPr>
          <w:rFonts w:ascii="Times New Roman" w:hAnsi="Times New Roman" w:cs="Times New Roman"/>
          <w:b w:val="0"/>
          <w:iCs/>
          <w:color w:val="000000" w:themeColor="text1"/>
          <w:kern w:val="0"/>
          <w:szCs w:val="24"/>
          <w:u w:val="single"/>
          <w:lang w:eastAsia="en-US"/>
        </w:rPr>
        <w:tab/>
        <w:t>Section 31A</w:t>
      </w:r>
    </w:p>
    <w:p w14:paraId="6D4416DC" w14:textId="6648F73F" w:rsidR="00214AFC" w:rsidRPr="00214AFC" w:rsidRDefault="00E34D93" w:rsidP="007256DD">
      <w:pPr>
        <w:spacing w:after="200"/>
      </w:pPr>
      <w:r>
        <w:t>Item [1</w:t>
      </w:r>
      <w:r w:rsidR="00BD07D8">
        <w:t>3</w:t>
      </w:r>
      <w:r>
        <w:t xml:space="preserve">] requires </w:t>
      </w:r>
      <w:r w:rsidR="00985040">
        <w:t xml:space="preserve">the </w:t>
      </w:r>
      <w:r w:rsidRPr="00E34D93">
        <w:t>offsets report for a reporting period to include the total number of calendar months that landfill gas has been used to generate electricity, noting that subsection 13A(3) specifies any month with 3 or more days of electricity generation must be counted and the months do not need to be consecutive.</w:t>
      </w:r>
      <w:r w:rsidR="00214AFC">
        <w:t xml:space="preserve"> </w:t>
      </w:r>
      <w:r w:rsidR="00214AFC" w:rsidRPr="00214AFC">
        <w:t>Subsection 31A(2) sets out that offsets reports for restarting flaring projects must indicate if landfill gas was used to generate electricity during the applicable reporting period.</w:t>
      </w:r>
    </w:p>
    <w:p w14:paraId="779441B2" w14:textId="5BE7EA37" w:rsidR="00E34D93" w:rsidRPr="00E34D93" w:rsidRDefault="00E34D93" w:rsidP="007256DD">
      <w:pPr>
        <w:spacing w:after="200"/>
        <w:rPr>
          <w:szCs w:val="20"/>
        </w:rPr>
      </w:pPr>
    </w:p>
    <w:p w14:paraId="640D37B2" w14:textId="77777777" w:rsidR="00E54C13" w:rsidRDefault="00E54C13" w:rsidP="007256DD">
      <w:pPr>
        <w:rPr>
          <w:szCs w:val="24"/>
          <w:lang w:eastAsia="en-AU"/>
        </w:rPr>
      </w:pPr>
    </w:p>
    <w:p w14:paraId="528A5E58" w14:textId="77777777" w:rsidR="006E1451" w:rsidRDefault="006E1451" w:rsidP="007256DD">
      <w:pPr>
        <w:pStyle w:val="tMain"/>
        <w:ind w:left="0" w:firstLine="0"/>
        <w:jc w:val="left"/>
      </w:pPr>
    </w:p>
    <w:p w14:paraId="504B1B18" w14:textId="77777777" w:rsidR="001C1024" w:rsidRDefault="001C1024" w:rsidP="007256DD">
      <w:pPr>
        <w:pStyle w:val="tMain"/>
        <w:ind w:left="0" w:firstLine="0"/>
        <w:jc w:val="left"/>
      </w:pPr>
    </w:p>
    <w:p w14:paraId="34604A37" w14:textId="77777777" w:rsidR="004146ED" w:rsidRDefault="004146ED" w:rsidP="007256DD"/>
    <w:p w14:paraId="2D296990" w14:textId="77777777" w:rsidR="004146ED" w:rsidRDefault="004146ED" w:rsidP="007256DD">
      <w:pPr>
        <w:sectPr w:rsidR="004146ED" w:rsidSect="003F3FD5">
          <w:headerReference w:type="first" r:id="rId16"/>
          <w:pgSz w:w="11906" w:h="16838" w:code="9"/>
          <w:pgMar w:top="1440" w:right="1440" w:bottom="1440" w:left="1418" w:header="709" w:footer="709" w:gutter="0"/>
          <w:cols w:space="708"/>
          <w:titlePg/>
          <w:docGrid w:linePitch="360"/>
        </w:sectPr>
      </w:pPr>
    </w:p>
    <w:p w14:paraId="467F37A0" w14:textId="77777777" w:rsidR="00387409" w:rsidRDefault="00387409" w:rsidP="008F24FD"/>
    <w:p w14:paraId="1985C91F" w14:textId="77777777" w:rsidR="00922D3C" w:rsidRPr="007C4FED" w:rsidRDefault="002A2579" w:rsidP="000917D6">
      <w:pPr>
        <w:rPr>
          <w:szCs w:val="24"/>
        </w:rPr>
      </w:pPr>
      <w:r>
        <w:rPr>
          <w:noProof/>
          <w:szCs w:val="24"/>
          <w:lang w:eastAsia="en-AU"/>
        </w:rPr>
        <mc:AlternateContent>
          <mc:Choice Requires="wps">
            <w:drawing>
              <wp:anchor distT="0" distB="0" distL="114300" distR="114300" simplePos="0" relativeHeight="251658240" behindDoc="0" locked="0" layoutInCell="1" allowOverlap="1" wp14:anchorId="3C81757E" wp14:editId="3642FCB4">
                <wp:simplePos x="0" y="0"/>
                <wp:positionH relativeFrom="column">
                  <wp:posOffset>-205740</wp:posOffset>
                </wp:positionH>
                <wp:positionV relativeFrom="paragraph">
                  <wp:posOffset>-51435</wp:posOffset>
                </wp:positionV>
                <wp:extent cx="6118860" cy="7404735"/>
                <wp:effectExtent l="0" t="0" r="0" b="571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8860" cy="7404735"/>
                        </a:xfrm>
                        <a:prstGeom prst="rect">
                          <a:avLst/>
                        </a:prstGeom>
                        <a:solidFill>
                          <a:srgbClr val="FFFFFF"/>
                        </a:solidFill>
                        <a:ln w="76200" cmpd="tri">
                          <a:noFill/>
                          <a:miter lim="800000"/>
                          <a:headEnd/>
                          <a:tailEnd/>
                        </a:ln>
                      </wps:spPr>
                      <wps:txbx>
                        <w:txbxContent>
                          <w:p w14:paraId="68AFE63D" w14:textId="77777777" w:rsidR="003B4827" w:rsidRPr="00E4135E" w:rsidRDefault="003B4827" w:rsidP="00B364E9">
                            <w:pPr>
                              <w:spacing w:before="360" w:after="120"/>
                              <w:jc w:val="center"/>
                              <w:rPr>
                                <w:b/>
                                <w:sz w:val="28"/>
                                <w:szCs w:val="28"/>
                              </w:rPr>
                            </w:pPr>
                            <w:r w:rsidRPr="00E4135E">
                              <w:rPr>
                                <w:b/>
                                <w:sz w:val="28"/>
                                <w:szCs w:val="28"/>
                              </w:rPr>
                              <w:t>Statement of Compatibility with Human Rights</w:t>
                            </w:r>
                          </w:p>
                          <w:p w14:paraId="3F209E5B" w14:textId="77777777" w:rsidR="003B4827" w:rsidRDefault="003B4827" w:rsidP="00B364E9">
                            <w:pPr>
                              <w:spacing w:after="120"/>
                              <w:jc w:val="center"/>
                              <w:rPr>
                                <w:i/>
                                <w:szCs w:val="24"/>
                              </w:rPr>
                            </w:pPr>
                            <w:r w:rsidRPr="00E4135E">
                              <w:rPr>
                                <w:i/>
                                <w:szCs w:val="24"/>
                              </w:rPr>
                              <w:t>Prepared in accordance with Part 3 of the Human Rights (Parliamentary Scrutiny) Act 2011</w:t>
                            </w:r>
                          </w:p>
                          <w:p w14:paraId="6167EDFC" w14:textId="77777777" w:rsidR="003B4827" w:rsidRPr="00584CB6" w:rsidRDefault="003B4827" w:rsidP="00B364E9">
                            <w:pPr>
                              <w:spacing w:after="120"/>
                              <w:jc w:val="center"/>
                              <w:rPr>
                                <w:sz w:val="4"/>
                                <w:szCs w:val="24"/>
                              </w:rPr>
                            </w:pPr>
                          </w:p>
                          <w:p w14:paraId="6B21D016" w14:textId="2F5E80CA" w:rsidR="003B4827" w:rsidRPr="00941D1E" w:rsidRDefault="003B4827" w:rsidP="00B364E9">
                            <w:pPr>
                              <w:spacing w:after="120"/>
                              <w:jc w:val="center"/>
                              <w:rPr>
                                <w:b/>
                                <w:bCs/>
                                <w:i/>
                                <w:iCs/>
                                <w:color w:val="000000"/>
                                <w:kern w:val="36"/>
                                <w:szCs w:val="24"/>
                              </w:rPr>
                            </w:pPr>
                            <w:r w:rsidRPr="00941D1E">
                              <w:rPr>
                                <w:b/>
                                <w:bCs/>
                                <w:i/>
                                <w:iCs/>
                                <w:color w:val="000000"/>
                                <w:kern w:val="36"/>
                                <w:szCs w:val="24"/>
                              </w:rPr>
                              <w:t>Carbon Credits (Carbon Farming Initiative—</w:t>
                            </w:r>
                            <w:r>
                              <w:rPr>
                                <w:b/>
                                <w:bCs/>
                                <w:i/>
                                <w:iCs/>
                                <w:color w:val="000000"/>
                                <w:kern w:val="36"/>
                                <w:szCs w:val="24"/>
                              </w:rPr>
                              <w:t>Landfill Gas</w:t>
                            </w:r>
                            <w:r w:rsidRPr="00941D1E">
                              <w:rPr>
                                <w:b/>
                                <w:bCs/>
                                <w:i/>
                                <w:iCs/>
                                <w:color w:val="000000"/>
                                <w:kern w:val="36"/>
                                <w:szCs w:val="24"/>
                              </w:rPr>
                              <w:t xml:space="preserve">) Methodology </w:t>
                            </w:r>
                            <w:r>
                              <w:rPr>
                                <w:b/>
                                <w:bCs/>
                                <w:i/>
                                <w:iCs/>
                                <w:color w:val="000000"/>
                                <w:kern w:val="36"/>
                                <w:szCs w:val="24"/>
                              </w:rPr>
                              <w:t>Determination Variation 2021</w:t>
                            </w:r>
                          </w:p>
                          <w:p w14:paraId="0B38B948" w14:textId="77777777" w:rsidR="003B4827" w:rsidRPr="00584CB6" w:rsidRDefault="003B4827" w:rsidP="00B364E9">
                            <w:pPr>
                              <w:spacing w:after="120"/>
                              <w:jc w:val="center"/>
                              <w:rPr>
                                <w:sz w:val="4"/>
                                <w:szCs w:val="24"/>
                              </w:rPr>
                            </w:pPr>
                          </w:p>
                          <w:p w14:paraId="1A28B82E" w14:textId="77777777" w:rsidR="003B4827" w:rsidRPr="00E4135E" w:rsidRDefault="003B4827" w:rsidP="00B364E9">
                            <w:pPr>
                              <w:spacing w:after="120"/>
                              <w:jc w:val="center"/>
                              <w:rPr>
                                <w:szCs w:val="24"/>
                              </w:rPr>
                            </w:pPr>
                            <w:r w:rsidRPr="00E4135E">
                              <w:rPr>
                                <w:szCs w:val="24"/>
                              </w:rPr>
                              <w:t xml:space="preserve">This Legislative Instrument is compatible with the human rights and freedoms recognised or declared in the international instruments listed in section 3 of the </w:t>
                            </w:r>
                            <w:r w:rsidRPr="00E4135E">
                              <w:rPr>
                                <w:i/>
                                <w:szCs w:val="24"/>
                              </w:rPr>
                              <w:t>Human Rights (Parliamentary Scrutiny) Act 2011</w:t>
                            </w:r>
                            <w:r w:rsidRPr="00E4135E">
                              <w:rPr>
                                <w:szCs w:val="24"/>
                              </w:rPr>
                              <w:t>.</w:t>
                            </w:r>
                          </w:p>
                          <w:p w14:paraId="272E78F5" w14:textId="77777777" w:rsidR="003B4827" w:rsidRPr="00E4135E" w:rsidRDefault="003B4827" w:rsidP="00B364E9">
                            <w:pPr>
                              <w:spacing w:after="120"/>
                              <w:jc w:val="both"/>
                              <w:rPr>
                                <w:b/>
                                <w:szCs w:val="24"/>
                              </w:rPr>
                            </w:pPr>
                            <w:r w:rsidRPr="00E4135E">
                              <w:rPr>
                                <w:b/>
                                <w:szCs w:val="24"/>
                              </w:rPr>
                              <w:t>Overview of the Legislative Instrument</w:t>
                            </w:r>
                          </w:p>
                          <w:p w14:paraId="3CE303FB" w14:textId="791EC4EC" w:rsidR="003B4827" w:rsidRDefault="003B4827" w:rsidP="00B364E9">
                            <w:pPr>
                              <w:pStyle w:val="ShortT"/>
                              <w:spacing w:line="276" w:lineRule="auto"/>
                              <w:rPr>
                                <w:rFonts w:eastAsia="Calibri"/>
                                <w:b w:val="0"/>
                                <w:sz w:val="24"/>
                                <w:szCs w:val="24"/>
                              </w:rPr>
                            </w:pPr>
                            <w:r w:rsidRPr="00584CB6">
                              <w:rPr>
                                <w:rFonts w:eastAsia="Calibri"/>
                                <w:b w:val="0"/>
                                <w:sz w:val="24"/>
                                <w:szCs w:val="24"/>
                              </w:rPr>
                              <w:t>The</w:t>
                            </w:r>
                            <w:r w:rsidRPr="00584CB6">
                              <w:rPr>
                                <w:sz w:val="24"/>
                                <w:szCs w:val="24"/>
                              </w:rPr>
                              <w:t xml:space="preserve"> </w:t>
                            </w:r>
                            <w:r w:rsidRPr="00941D1E">
                              <w:rPr>
                                <w:rFonts w:eastAsia="Calibri"/>
                                <w:b w:val="0"/>
                                <w:bCs/>
                                <w:i/>
                                <w:iCs/>
                                <w:color w:val="000000"/>
                                <w:kern w:val="36"/>
                                <w:sz w:val="24"/>
                                <w:szCs w:val="24"/>
                              </w:rPr>
                              <w:t>Carbon Credits (Carbon Farming Initiative—</w:t>
                            </w:r>
                            <w:r>
                              <w:rPr>
                                <w:rFonts w:eastAsia="Calibri"/>
                                <w:b w:val="0"/>
                                <w:bCs/>
                                <w:i/>
                                <w:iCs/>
                                <w:color w:val="000000"/>
                                <w:kern w:val="36"/>
                                <w:sz w:val="24"/>
                                <w:szCs w:val="24"/>
                              </w:rPr>
                              <w:t>Landfill Gas</w:t>
                            </w:r>
                            <w:r w:rsidRPr="00941D1E">
                              <w:rPr>
                                <w:rFonts w:eastAsia="Calibri"/>
                                <w:b w:val="0"/>
                                <w:bCs/>
                                <w:i/>
                                <w:iCs/>
                                <w:color w:val="000000"/>
                                <w:kern w:val="36"/>
                                <w:sz w:val="24"/>
                                <w:szCs w:val="24"/>
                              </w:rPr>
                              <w:t xml:space="preserve">) Methodology </w:t>
                            </w:r>
                            <w:r>
                              <w:rPr>
                                <w:rFonts w:eastAsia="Calibri"/>
                                <w:b w:val="0"/>
                                <w:bCs/>
                                <w:i/>
                                <w:iCs/>
                                <w:color w:val="000000"/>
                                <w:kern w:val="36"/>
                                <w:sz w:val="24"/>
                                <w:szCs w:val="24"/>
                              </w:rPr>
                              <w:t>Determination Variation 2021</w:t>
                            </w:r>
                            <w:r w:rsidRPr="00584CB6">
                              <w:rPr>
                                <w:rFonts w:eastAsia="Calibri"/>
                                <w:b w:val="0"/>
                                <w:sz w:val="24"/>
                                <w:szCs w:val="24"/>
                              </w:rPr>
                              <w:t xml:space="preserve"> (the Variation) amends the </w:t>
                            </w:r>
                            <w:r w:rsidRPr="00941D1E">
                              <w:rPr>
                                <w:rFonts w:eastAsia="Calibri"/>
                                <w:b w:val="0"/>
                                <w:bCs/>
                                <w:i/>
                                <w:iCs/>
                                <w:color w:val="000000"/>
                                <w:kern w:val="36"/>
                                <w:sz w:val="24"/>
                                <w:szCs w:val="24"/>
                              </w:rPr>
                              <w:t>Carbon Credits (Carbon Farming Initiative—</w:t>
                            </w:r>
                            <w:r>
                              <w:rPr>
                                <w:rFonts w:eastAsia="Calibri"/>
                                <w:b w:val="0"/>
                                <w:bCs/>
                                <w:i/>
                                <w:iCs/>
                                <w:color w:val="000000"/>
                                <w:kern w:val="36"/>
                                <w:sz w:val="24"/>
                                <w:szCs w:val="24"/>
                              </w:rPr>
                              <w:t>Landfill Gas</w:t>
                            </w:r>
                            <w:r w:rsidRPr="00941D1E">
                              <w:rPr>
                                <w:rFonts w:eastAsia="Calibri"/>
                                <w:b w:val="0"/>
                                <w:bCs/>
                                <w:i/>
                                <w:iCs/>
                                <w:color w:val="000000"/>
                                <w:kern w:val="36"/>
                                <w:sz w:val="24"/>
                                <w:szCs w:val="24"/>
                              </w:rPr>
                              <w:t xml:space="preserve">) Methodology Determination 2015 </w:t>
                            </w:r>
                            <w:r>
                              <w:rPr>
                                <w:rFonts w:eastAsia="Calibri"/>
                                <w:b w:val="0"/>
                                <w:sz w:val="24"/>
                                <w:szCs w:val="24"/>
                              </w:rPr>
                              <w:t xml:space="preserve">(the </w:t>
                            </w:r>
                            <w:bookmarkStart w:id="9" w:name="OLE_LINK1"/>
                            <w:bookmarkStart w:id="10" w:name="OLE_LINK2"/>
                            <w:r>
                              <w:rPr>
                                <w:rFonts w:eastAsia="Calibri"/>
                                <w:b w:val="0"/>
                                <w:sz w:val="24"/>
                                <w:szCs w:val="24"/>
                              </w:rPr>
                              <w:t>Determination</w:t>
                            </w:r>
                            <w:bookmarkEnd w:id="9"/>
                            <w:bookmarkEnd w:id="10"/>
                            <w:r>
                              <w:rPr>
                                <w:rFonts w:eastAsia="Calibri"/>
                                <w:b w:val="0"/>
                                <w:sz w:val="24"/>
                                <w:szCs w:val="24"/>
                              </w:rPr>
                              <w:t xml:space="preserve">). The Variation </w:t>
                            </w:r>
                            <w:r w:rsidRPr="00313AEB">
                              <w:rPr>
                                <w:rFonts w:eastAsia="Calibri"/>
                                <w:b w:val="0"/>
                                <w:sz w:val="24"/>
                                <w:szCs w:val="24"/>
                              </w:rPr>
                              <w:t xml:space="preserve">strengthens the definition of an upgrade project to ensure that the upgrade involves an increase in gas capture and combustion beyond what would ordinarily occur. </w:t>
                            </w:r>
                            <w:r>
                              <w:rPr>
                                <w:rFonts w:eastAsia="Calibri"/>
                                <w:b w:val="0"/>
                                <w:sz w:val="24"/>
                                <w:szCs w:val="24"/>
                              </w:rPr>
                              <w:t>The Variation also</w:t>
                            </w:r>
                            <w:r w:rsidRPr="00313AEB">
                              <w:rPr>
                                <w:rFonts w:eastAsia="Calibri"/>
                                <w:b w:val="0"/>
                                <w:sz w:val="24"/>
                                <w:szCs w:val="24"/>
                              </w:rPr>
                              <w:t xml:space="preserve"> encourages additional gas capture by extending the </w:t>
                            </w:r>
                            <w:r>
                              <w:rPr>
                                <w:rFonts w:eastAsia="Calibri"/>
                                <w:b w:val="0"/>
                                <w:sz w:val="24"/>
                                <w:szCs w:val="24"/>
                              </w:rPr>
                              <w:t xml:space="preserve">second or only </w:t>
                            </w:r>
                            <w:r w:rsidRPr="00313AEB">
                              <w:rPr>
                                <w:rFonts w:eastAsia="Calibri"/>
                                <w:b w:val="0"/>
                                <w:sz w:val="24"/>
                                <w:szCs w:val="24"/>
                              </w:rPr>
                              <w:t xml:space="preserve">crediting period for flaring-only projects </w:t>
                            </w:r>
                            <w:r>
                              <w:rPr>
                                <w:rFonts w:eastAsia="Calibri"/>
                                <w:b w:val="0"/>
                                <w:sz w:val="24"/>
                                <w:szCs w:val="24"/>
                              </w:rPr>
                              <w:t>to 12 years, while</w:t>
                            </w:r>
                            <w:r w:rsidRPr="00313AEB">
                              <w:rPr>
                                <w:rFonts w:eastAsia="Calibri"/>
                                <w:b w:val="0"/>
                                <w:sz w:val="24"/>
                                <w:szCs w:val="24"/>
                              </w:rPr>
                              <w:t xml:space="preserve"> clarifying </w:t>
                            </w:r>
                            <w:r>
                              <w:rPr>
                                <w:rFonts w:eastAsia="Calibri"/>
                                <w:b w:val="0"/>
                                <w:sz w:val="24"/>
                                <w:szCs w:val="24"/>
                              </w:rPr>
                              <w:t xml:space="preserve">that the </w:t>
                            </w:r>
                            <w:r w:rsidRPr="00313AEB">
                              <w:rPr>
                                <w:rFonts w:eastAsia="Calibri"/>
                                <w:b w:val="0"/>
                                <w:sz w:val="24"/>
                                <w:szCs w:val="24"/>
                              </w:rPr>
                              <w:t xml:space="preserve">crediting period </w:t>
                            </w:r>
                            <w:r>
                              <w:rPr>
                                <w:rFonts w:eastAsia="Calibri"/>
                                <w:b w:val="0"/>
                                <w:sz w:val="24"/>
                                <w:szCs w:val="24"/>
                              </w:rPr>
                              <w:t>for projects that switch between flaring and generating ends after</w:t>
                            </w:r>
                            <w:r w:rsidRPr="00313AEB">
                              <w:rPr>
                                <w:rFonts w:eastAsia="Calibri"/>
                                <w:b w:val="0"/>
                                <w:sz w:val="24"/>
                                <w:szCs w:val="24"/>
                              </w:rPr>
                              <w:t xml:space="preserve"> seven years </w:t>
                            </w:r>
                            <w:r>
                              <w:rPr>
                                <w:rFonts w:eastAsia="Calibri"/>
                                <w:b w:val="0"/>
                                <w:sz w:val="24"/>
                                <w:szCs w:val="24"/>
                              </w:rPr>
                              <w:t>of</w:t>
                            </w:r>
                            <w:r w:rsidRPr="00313AEB">
                              <w:rPr>
                                <w:rFonts w:eastAsia="Calibri"/>
                                <w:b w:val="0"/>
                                <w:sz w:val="24"/>
                                <w:szCs w:val="24"/>
                              </w:rPr>
                              <w:t xml:space="preserve"> electricity generation </w:t>
                            </w:r>
                            <w:r>
                              <w:rPr>
                                <w:rFonts w:eastAsia="Calibri"/>
                                <w:b w:val="0"/>
                                <w:sz w:val="24"/>
                                <w:szCs w:val="24"/>
                              </w:rPr>
                              <w:t>within this 12 year period. The Variation also establishes conditions for some projects to restart flaring for the remainder of the 12 year period after their crediting period has ended</w:t>
                            </w:r>
                            <w:r w:rsidRPr="00313AEB">
                              <w:rPr>
                                <w:rFonts w:eastAsia="Calibri"/>
                                <w:b w:val="0"/>
                                <w:sz w:val="24"/>
                                <w:szCs w:val="24"/>
                              </w:rPr>
                              <w:t>.</w:t>
                            </w:r>
                            <w:r>
                              <w:rPr>
                                <w:rFonts w:eastAsia="Calibri"/>
                                <w:b w:val="0"/>
                                <w:sz w:val="24"/>
                                <w:szCs w:val="24"/>
                              </w:rPr>
                              <w:t xml:space="preserve"> </w:t>
                            </w:r>
                          </w:p>
                          <w:p w14:paraId="6C1C77C4" w14:textId="77777777" w:rsidR="003B4827" w:rsidRPr="00E4135E" w:rsidRDefault="003B4827" w:rsidP="00B364E9">
                            <w:pPr>
                              <w:spacing w:after="120"/>
                              <w:rPr>
                                <w:b/>
                                <w:szCs w:val="24"/>
                              </w:rPr>
                            </w:pPr>
                            <w:r w:rsidRPr="00E4135E">
                              <w:rPr>
                                <w:b/>
                                <w:szCs w:val="24"/>
                              </w:rPr>
                              <w:t>Human rights implications</w:t>
                            </w:r>
                          </w:p>
                          <w:p w14:paraId="1B2B9444" w14:textId="77777777" w:rsidR="003B4827" w:rsidRDefault="003B4827" w:rsidP="00B364E9">
                            <w:pPr>
                              <w:spacing w:after="120"/>
                              <w:rPr>
                                <w:szCs w:val="24"/>
                              </w:rPr>
                            </w:pPr>
                            <w:r w:rsidRPr="00E4135E">
                              <w:rPr>
                                <w:szCs w:val="24"/>
                              </w:rPr>
                              <w:t>This Legislative Instrument does not engage any of the applicable rights or freedoms.</w:t>
                            </w:r>
                          </w:p>
                          <w:p w14:paraId="71E3A421" w14:textId="77777777" w:rsidR="003B4827" w:rsidRPr="00E4135E" w:rsidRDefault="003B4827" w:rsidP="00B364E9">
                            <w:pPr>
                              <w:spacing w:after="120"/>
                              <w:rPr>
                                <w:b/>
                                <w:szCs w:val="24"/>
                              </w:rPr>
                            </w:pPr>
                            <w:r w:rsidRPr="00E4135E">
                              <w:rPr>
                                <w:b/>
                                <w:szCs w:val="24"/>
                              </w:rPr>
                              <w:t>Conclusion</w:t>
                            </w:r>
                          </w:p>
                          <w:p w14:paraId="451C855E" w14:textId="77777777" w:rsidR="003B4827" w:rsidRPr="00E4135E" w:rsidRDefault="003B4827" w:rsidP="00B364E9">
                            <w:pPr>
                              <w:spacing w:after="120"/>
                              <w:rPr>
                                <w:szCs w:val="24"/>
                              </w:rPr>
                            </w:pPr>
                            <w:r w:rsidRPr="00E4135E">
                              <w:rPr>
                                <w:szCs w:val="24"/>
                              </w:rPr>
                              <w:t>This Legislative Instrument is compatible with human rights as it does not raise any human rights issues.</w:t>
                            </w:r>
                          </w:p>
                          <w:p w14:paraId="723538E4" w14:textId="77777777" w:rsidR="003B4827" w:rsidRDefault="003B4827" w:rsidP="00B364E9">
                            <w:pPr>
                              <w:spacing w:after="120"/>
                              <w:jc w:val="center"/>
                              <w:rPr>
                                <w:szCs w:val="24"/>
                              </w:rPr>
                            </w:pPr>
                          </w:p>
                          <w:p w14:paraId="7ED4898C" w14:textId="77777777" w:rsidR="003B4827" w:rsidRPr="00E4135E" w:rsidRDefault="003B4827" w:rsidP="00B364E9">
                            <w:pPr>
                              <w:spacing w:after="120"/>
                              <w:jc w:val="center"/>
                              <w:rPr>
                                <w:szCs w:val="24"/>
                              </w:rPr>
                            </w:pPr>
                          </w:p>
                          <w:p w14:paraId="34581276" w14:textId="77777777" w:rsidR="003B4827" w:rsidRDefault="003B4827" w:rsidP="00B364E9">
                            <w:pPr>
                              <w:spacing w:after="120"/>
                              <w:jc w:val="center"/>
                              <w:rPr>
                                <w:b/>
                                <w:szCs w:val="24"/>
                              </w:rPr>
                            </w:pPr>
                          </w:p>
                          <w:p w14:paraId="31C9000D" w14:textId="77777777" w:rsidR="003B4827" w:rsidRDefault="003B4827" w:rsidP="00B364E9">
                            <w:pPr>
                              <w:spacing w:after="120"/>
                              <w:jc w:val="center"/>
                              <w:rPr>
                                <w:b/>
                                <w:szCs w:val="24"/>
                              </w:rPr>
                            </w:pPr>
                          </w:p>
                          <w:p w14:paraId="0713BBA2" w14:textId="77777777" w:rsidR="003B4827" w:rsidRDefault="003B4827" w:rsidP="00B364E9">
                            <w:pPr>
                              <w:spacing w:after="120"/>
                              <w:jc w:val="center"/>
                              <w:rPr>
                                <w:b/>
                                <w:szCs w:val="24"/>
                              </w:rPr>
                            </w:pPr>
                          </w:p>
                          <w:p w14:paraId="1B11DF37" w14:textId="77777777" w:rsidR="003B4827" w:rsidRPr="00E4135E" w:rsidRDefault="003B4827" w:rsidP="00B364E9">
                            <w:pPr>
                              <w:spacing w:after="120"/>
                              <w:jc w:val="center"/>
                              <w:rPr>
                                <w:szCs w:val="24"/>
                              </w:rPr>
                            </w:pPr>
                          </w:p>
                        </w:txbxContent>
                      </wps:txbx>
                      <wps:bodyPr rot="0" vert="horz" wrap="square" lIns="180000" tIns="45720" rIns="18000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3C81757E" id="Rectangle 2" o:spid="_x0000_s1026" style="position:absolute;margin-left:-16.2pt;margin-top:-4.05pt;width:481.8pt;height:583.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" stroked="f" strokeweight="6pt">
                <v:stroke linestyle="thickBetweenThin"/>
                <v:textbox inset="5mm,,5mm">
                  <w:txbxContent>
                    <w:p w14:paraId="68AFE63D" w14:textId="77777777" w:rsidR="003B4827" w:rsidRPr="00E4135E" w:rsidRDefault="003B4827" w:rsidP="00B364E9">
                      <w:pPr>
                        <w:spacing w:before="360" w:after="120"/>
                        <w:jc w:val="center"/>
                        <w:rPr>
                          <w:b/>
                          <w:sz w:val="28"/>
                          <w:szCs w:val="28"/>
                        </w:rPr>
                      </w:pPr>
                      <w:r w:rsidRPr="00E4135E">
                        <w:rPr>
                          <w:b/>
                          <w:sz w:val="28"/>
                          <w:szCs w:val="28"/>
                        </w:rPr>
                        <w:t>Statement of Compatibility with Human Rights</w:t>
                      </w:r>
                    </w:p>
                    <w:p w14:paraId="3F209E5B" w14:textId="77777777" w:rsidR="003B4827" w:rsidRDefault="003B4827" w:rsidP="00B364E9">
                      <w:pPr>
                        <w:spacing w:after="120"/>
                        <w:jc w:val="center"/>
                        <w:rPr>
                          <w:i/>
                          <w:szCs w:val="24"/>
                        </w:rPr>
                      </w:pPr>
                      <w:r w:rsidRPr="00E4135E">
                        <w:rPr>
                          <w:i/>
                          <w:szCs w:val="24"/>
                        </w:rPr>
                        <w:t>Prepared in accordance with Part 3 of the Human Rights (Parliamentary Scrutiny) Act 2011</w:t>
                      </w:r>
                    </w:p>
                    <w:p w14:paraId="6167EDFC" w14:textId="77777777" w:rsidR="003B4827" w:rsidRPr="00584CB6" w:rsidRDefault="003B4827" w:rsidP="00B364E9">
                      <w:pPr>
                        <w:spacing w:after="120"/>
                        <w:jc w:val="center"/>
                        <w:rPr>
                          <w:sz w:val="4"/>
                          <w:szCs w:val="24"/>
                        </w:rPr>
                      </w:pPr>
                    </w:p>
                    <w:p w14:paraId="6B21D016" w14:textId="2F5E80CA" w:rsidR="003B4827" w:rsidRPr="00941D1E" w:rsidRDefault="003B4827" w:rsidP="00B364E9">
                      <w:pPr>
                        <w:spacing w:after="120"/>
                        <w:jc w:val="center"/>
                        <w:rPr>
                          <w:b/>
                          <w:bCs/>
                          <w:i/>
                          <w:iCs/>
                          <w:color w:val="000000"/>
                          <w:kern w:val="36"/>
                          <w:szCs w:val="24"/>
                        </w:rPr>
                      </w:pPr>
                      <w:r w:rsidRPr="00941D1E">
                        <w:rPr>
                          <w:b/>
                          <w:bCs/>
                          <w:i/>
                          <w:iCs/>
                          <w:color w:val="000000"/>
                          <w:kern w:val="36"/>
                          <w:szCs w:val="24"/>
                        </w:rPr>
                        <w:t>Carbon Credits (Carbon Farming Initiative—</w:t>
                      </w:r>
                      <w:r>
                        <w:rPr>
                          <w:b/>
                          <w:bCs/>
                          <w:i/>
                          <w:iCs/>
                          <w:color w:val="000000"/>
                          <w:kern w:val="36"/>
                          <w:szCs w:val="24"/>
                        </w:rPr>
                        <w:t>Landfill Gas</w:t>
                      </w:r>
                      <w:r w:rsidRPr="00941D1E">
                        <w:rPr>
                          <w:b/>
                          <w:bCs/>
                          <w:i/>
                          <w:iCs/>
                          <w:color w:val="000000"/>
                          <w:kern w:val="36"/>
                          <w:szCs w:val="24"/>
                        </w:rPr>
                        <w:t xml:space="preserve">) Methodology </w:t>
                      </w:r>
                      <w:r>
                        <w:rPr>
                          <w:b/>
                          <w:bCs/>
                          <w:i/>
                          <w:iCs/>
                          <w:color w:val="000000"/>
                          <w:kern w:val="36"/>
                          <w:szCs w:val="24"/>
                        </w:rPr>
                        <w:t>Determination Variation 2021</w:t>
                      </w:r>
                    </w:p>
                    <w:p w14:paraId="0B38B948" w14:textId="77777777" w:rsidR="003B4827" w:rsidRPr="00584CB6" w:rsidRDefault="003B4827" w:rsidP="00B364E9">
                      <w:pPr>
                        <w:spacing w:after="120"/>
                        <w:jc w:val="center"/>
                        <w:rPr>
                          <w:sz w:val="4"/>
                          <w:szCs w:val="24"/>
                        </w:rPr>
                      </w:pPr>
                    </w:p>
                    <w:p w14:paraId="1A28B82E" w14:textId="77777777" w:rsidR="003B4827" w:rsidRPr="00E4135E" w:rsidRDefault="003B4827" w:rsidP="00B364E9">
                      <w:pPr>
                        <w:spacing w:after="120"/>
                        <w:jc w:val="center"/>
                        <w:rPr>
                          <w:szCs w:val="24"/>
                        </w:rPr>
                      </w:pPr>
                      <w:r w:rsidRPr="00E4135E">
                        <w:rPr>
                          <w:szCs w:val="24"/>
                        </w:rPr>
                        <w:t xml:space="preserve">This Legislative Instrument is compatible with the human rights and freedoms recognised or declared in the international instruments listed in section 3 of the </w:t>
                      </w:r>
                      <w:r w:rsidRPr="00E4135E">
                        <w:rPr>
                          <w:i/>
                          <w:szCs w:val="24"/>
                        </w:rPr>
                        <w:t>Human Rights (Parliamentary Scrutiny) Act 2011</w:t>
                      </w:r>
                      <w:r w:rsidRPr="00E4135E">
                        <w:rPr>
                          <w:szCs w:val="24"/>
                        </w:rPr>
                        <w:t>.</w:t>
                      </w:r>
                    </w:p>
                    <w:p w14:paraId="272E78F5" w14:textId="77777777" w:rsidR="003B4827" w:rsidRPr="00E4135E" w:rsidRDefault="003B4827" w:rsidP="00B364E9">
                      <w:pPr>
                        <w:spacing w:after="120"/>
                        <w:jc w:val="both"/>
                        <w:rPr>
                          <w:b/>
                          <w:szCs w:val="24"/>
                        </w:rPr>
                      </w:pPr>
                      <w:r w:rsidRPr="00E4135E">
                        <w:rPr>
                          <w:b/>
                          <w:szCs w:val="24"/>
                        </w:rPr>
                        <w:t>Overview of the Legislative Instrument</w:t>
                      </w:r>
                    </w:p>
                    <w:p w14:paraId="3CE303FB" w14:textId="791EC4EC" w:rsidR="003B4827" w:rsidRDefault="003B4827" w:rsidP="00B364E9">
                      <w:pPr>
                        <w:pStyle w:val="ShortT"/>
                        <w:spacing w:line="276" w:lineRule="auto"/>
                        <w:rPr>
                          <w:rFonts w:eastAsia="Calibri"/>
                          <w:b w:val="0"/>
                          <w:sz w:val="24"/>
                          <w:szCs w:val="24"/>
                        </w:rPr>
                      </w:pPr>
                      <w:r w:rsidRPr="00584CB6">
                        <w:rPr>
                          <w:rFonts w:eastAsia="Calibri"/>
                          <w:b w:val="0"/>
                          <w:sz w:val="24"/>
                          <w:szCs w:val="24"/>
                        </w:rPr>
                        <w:t>The</w:t>
                      </w:r>
                      <w:r w:rsidRPr="00584CB6">
                        <w:rPr>
                          <w:sz w:val="24"/>
                          <w:szCs w:val="24"/>
                        </w:rPr>
                        <w:t xml:space="preserve"> </w:t>
                      </w:r>
                      <w:r w:rsidRPr="00941D1E">
                        <w:rPr>
                          <w:rFonts w:eastAsia="Calibri"/>
                          <w:b w:val="0"/>
                          <w:bCs/>
                          <w:i/>
                          <w:iCs/>
                          <w:color w:val="000000"/>
                          <w:kern w:val="36"/>
                          <w:sz w:val="24"/>
                          <w:szCs w:val="24"/>
                        </w:rPr>
                        <w:t>Carbon Credits (Carbon Farming Initiative—</w:t>
                      </w:r>
                      <w:r>
                        <w:rPr>
                          <w:rFonts w:eastAsia="Calibri"/>
                          <w:b w:val="0"/>
                          <w:bCs/>
                          <w:i/>
                          <w:iCs/>
                          <w:color w:val="000000"/>
                          <w:kern w:val="36"/>
                          <w:sz w:val="24"/>
                          <w:szCs w:val="24"/>
                        </w:rPr>
                        <w:t>Landfill Gas</w:t>
                      </w:r>
                      <w:r w:rsidRPr="00941D1E">
                        <w:rPr>
                          <w:rFonts w:eastAsia="Calibri"/>
                          <w:b w:val="0"/>
                          <w:bCs/>
                          <w:i/>
                          <w:iCs/>
                          <w:color w:val="000000"/>
                          <w:kern w:val="36"/>
                          <w:sz w:val="24"/>
                          <w:szCs w:val="24"/>
                        </w:rPr>
                        <w:t xml:space="preserve">) Methodology </w:t>
                      </w:r>
                      <w:r>
                        <w:rPr>
                          <w:rFonts w:eastAsia="Calibri"/>
                          <w:b w:val="0"/>
                          <w:bCs/>
                          <w:i/>
                          <w:iCs/>
                          <w:color w:val="000000"/>
                          <w:kern w:val="36"/>
                          <w:sz w:val="24"/>
                          <w:szCs w:val="24"/>
                        </w:rPr>
                        <w:t>Determination Variation 2021</w:t>
                      </w:r>
                      <w:r w:rsidRPr="00584CB6">
                        <w:rPr>
                          <w:rFonts w:eastAsia="Calibri"/>
                          <w:b w:val="0"/>
                          <w:sz w:val="24"/>
                          <w:szCs w:val="24"/>
                        </w:rPr>
                        <w:t xml:space="preserve"> (the Variation) amends the </w:t>
                      </w:r>
                      <w:r w:rsidRPr="00941D1E">
                        <w:rPr>
                          <w:rFonts w:eastAsia="Calibri"/>
                          <w:b w:val="0"/>
                          <w:bCs/>
                          <w:i/>
                          <w:iCs/>
                          <w:color w:val="000000"/>
                          <w:kern w:val="36"/>
                          <w:sz w:val="24"/>
                          <w:szCs w:val="24"/>
                        </w:rPr>
                        <w:t>Carbon Credits (Carbon Farming Initiative—</w:t>
                      </w:r>
                      <w:r>
                        <w:rPr>
                          <w:rFonts w:eastAsia="Calibri"/>
                          <w:b w:val="0"/>
                          <w:bCs/>
                          <w:i/>
                          <w:iCs/>
                          <w:color w:val="000000"/>
                          <w:kern w:val="36"/>
                          <w:sz w:val="24"/>
                          <w:szCs w:val="24"/>
                        </w:rPr>
                        <w:t>Landfill Gas</w:t>
                      </w:r>
                      <w:r w:rsidRPr="00941D1E">
                        <w:rPr>
                          <w:rFonts w:eastAsia="Calibri"/>
                          <w:b w:val="0"/>
                          <w:bCs/>
                          <w:i/>
                          <w:iCs/>
                          <w:color w:val="000000"/>
                          <w:kern w:val="36"/>
                          <w:sz w:val="24"/>
                          <w:szCs w:val="24"/>
                        </w:rPr>
                        <w:t xml:space="preserve">) Methodology Determination 2015 </w:t>
                      </w:r>
                      <w:r>
                        <w:rPr>
                          <w:rFonts w:eastAsia="Calibri"/>
                          <w:b w:val="0"/>
                          <w:sz w:val="24"/>
                          <w:szCs w:val="24"/>
                        </w:rPr>
                        <w:t xml:space="preserve">(the </w:t>
                      </w:r>
                      <w:bookmarkStart w:id="39" w:name="OLE_LINK1"/>
                      <w:bookmarkStart w:id="40" w:name="OLE_LINK2"/>
                      <w:r>
                        <w:rPr>
                          <w:rFonts w:eastAsia="Calibri"/>
                          <w:b w:val="0"/>
                          <w:sz w:val="24"/>
                          <w:szCs w:val="24"/>
                        </w:rPr>
                        <w:t>Determination</w:t>
                      </w:r>
                      <w:bookmarkEnd w:id="39"/>
                      <w:bookmarkEnd w:id="40"/>
                      <w:r>
                        <w:rPr>
                          <w:rFonts w:eastAsia="Calibri"/>
                          <w:b w:val="0"/>
                          <w:sz w:val="24"/>
                          <w:szCs w:val="24"/>
                        </w:rPr>
                        <w:t xml:space="preserve">). The Variation </w:t>
                      </w:r>
                      <w:r w:rsidRPr="00313AEB">
                        <w:rPr>
                          <w:rFonts w:eastAsia="Calibri"/>
                          <w:b w:val="0"/>
                          <w:sz w:val="24"/>
                          <w:szCs w:val="24"/>
                        </w:rPr>
                        <w:t xml:space="preserve">strengthens the definition of an upgrade project to ensure that the upgrade involves an increase in gas capture and combustion beyond what would ordinarily occur. </w:t>
                      </w:r>
                      <w:r>
                        <w:rPr>
                          <w:rFonts w:eastAsia="Calibri"/>
                          <w:b w:val="0"/>
                          <w:sz w:val="24"/>
                          <w:szCs w:val="24"/>
                        </w:rPr>
                        <w:t>The Variation also</w:t>
                      </w:r>
                      <w:r w:rsidRPr="00313AEB">
                        <w:rPr>
                          <w:rFonts w:eastAsia="Calibri"/>
                          <w:b w:val="0"/>
                          <w:sz w:val="24"/>
                          <w:szCs w:val="24"/>
                        </w:rPr>
                        <w:t xml:space="preserve"> encourages additional gas capture by extending the </w:t>
                      </w:r>
                      <w:r>
                        <w:rPr>
                          <w:rFonts w:eastAsia="Calibri"/>
                          <w:b w:val="0"/>
                          <w:sz w:val="24"/>
                          <w:szCs w:val="24"/>
                        </w:rPr>
                        <w:t xml:space="preserve">second or only </w:t>
                      </w:r>
                      <w:r w:rsidRPr="00313AEB">
                        <w:rPr>
                          <w:rFonts w:eastAsia="Calibri"/>
                          <w:b w:val="0"/>
                          <w:sz w:val="24"/>
                          <w:szCs w:val="24"/>
                        </w:rPr>
                        <w:t xml:space="preserve">crediting period for flaring-only projects </w:t>
                      </w:r>
                      <w:r>
                        <w:rPr>
                          <w:rFonts w:eastAsia="Calibri"/>
                          <w:b w:val="0"/>
                          <w:sz w:val="24"/>
                          <w:szCs w:val="24"/>
                        </w:rPr>
                        <w:t>to 12 years, while</w:t>
                      </w:r>
                      <w:r w:rsidRPr="00313AEB">
                        <w:rPr>
                          <w:rFonts w:eastAsia="Calibri"/>
                          <w:b w:val="0"/>
                          <w:sz w:val="24"/>
                          <w:szCs w:val="24"/>
                        </w:rPr>
                        <w:t xml:space="preserve"> clarifying </w:t>
                      </w:r>
                      <w:r>
                        <w:rPr>
                          <w:rFonts w:eastAsia="Calibri"/>
                          <w:b w:val="0"/>
                          <w:sz w:val="24"/>
                          <w:szCs w:val="24"/>
                        </w:rPr>
                        <w:t xml:space="preserve">that the </w:t>
                      </w:r>
                      <w:r w:rsidRPr="00313AEB">
                        <w:rPr>
                          <w:rFonts w:eastAsia="Calibri"/>
                          <w:b w:val="0"/>
                          <w:sz w:val="24"/>
                          <w:szCs w:val="24"/>
                        </w:rPr>
                        <w:t xml:space="preserve">crediting period </w:t>
                      </w:r>
                      <w:r>
                        <w:rPr>
                          <w:rFonts w:eastAsia="Calibri"/>
                          <w:b w:val="0"/>
                          <w:sz w:val="24"/>
                          <w:szCs w:val="24"/>
                        </w:rPr>
                        <w:t>for projects that switch between flaring and generating ends after</w:t>
                      </w:r>
                      <w:r w:rsidRPr="00313AEB">
                        <w:rPr>
                          <w:rFonts w:eastAsia="Calibri"/>
                          <w:b w:val="0"/>
                          <w:sz w:val="24"/>
                          <w:szCs w:val="24"/>
                        </w:rPr>
                        <w:t xml:space="preserve"> seven years </w:t>
                      </w:r>
                      <w:r>
                        <w:rPr>
                          <w:rFonts w:eastAsia="Calibri"/>
                          <w:b w:val="0"/>
                          <w:sz w:val="24"/>
                          <w:szCs w:val="24"/>
                        </w:rPr>
                        <w:t>of</w:t>
                      </w:r>
                      <w:r w:rsidRPr="00313AEB">
                        <w:rPr>
                          <w:rFonts w:eastAsia="Calibri"/>
                          <w:b w:val="0"/>
                          <w:sz w:val="24"/>
                          <w:szCs w:val="24"/>
                        </w:rPr>
                        <w:t xml:space="preserve"> electricity generation </w:t>
                      </w:r>
                      <w:r>
                        <w:rPr>
                          <w:rFonts w:eastAsia="Calibri"/>
                          <w:b w:val="0"/>
                          <w:sz w:val="24"/>
                          <w:szCs w:val="24"/>
                        </w:rPr>
                        <w:t>within this 12 year period. The Variation also establishes conditions for some projects to restart flaring for the remainder of the 12 year period after their crediting period has ended</w:t>
                      </w:r>
                      <w:r w:rsidRPr="00313AEB">
                        <w:rPr>
                          <w:rFonts w:eastAsia="Calibri"/>
                          <w:b w:val="0"/>
                          <w:sz w:val="24"/>
                          <w:szCs w:val="24"/>
                        </w:rPr>
                        <w:t>.</w:t>
                      </w:r>
                      <w:r>
                        <w:rPr>
                          <w:rFonts w:eastAsia="Calibri"/>
                          <w:b w:val="0"/>
                          <w:sz w:val="24"/>
                          <w:szCs w:val="24"/>
                        </w:rPr>
                        <w:t xml:space="preserve"> </w:t>
                      </w:r>
                    </w:p>
                    <w:p w14:paraId="6C1C77C4" w14:textId="77777777" w:rsidR="003B4827" w:rsidRPr="00E4135E" w:rsidRDefault="003B4827" w:rsidP="00B364E9">
                      <w:pPr>
                        <w:spacing w:after="120"/>
                        <w:rPr>
                          <w:b/>
                          <w:szCs w:val="24"/>
                        </w:rPr>
                      </w:pPr>
                      <w:r w:rsidRPr="00E4135E">
                        <w:rPr>
                          <w:b/>
                          <w:szCs w:val="24"/>
                        </w:rPr>
                        <w:t>Human rights implications</w:t>
                      </w:r>
                    </w:p>
                    <w:p w14:paraId="1B2B9444" w14:textId="77777777" w:rsidR="003B4827" w:rsidRDefault="003B4827" w:rsidP="00B364E9">
                      <w:pPr>
                        <w:spacing w:after="120"/>
                        <w:rPr>
                          <w:szCs w:val="24"/>
                        </w:rPr>
                      </w:pPr>
                      <w:r w:rsidRPr="00E4135E">
                        <w:rPr>
                          <w:szCs w:val="24"/>
                        </w:rPr>
                        <w:t>This Legislative Instrument does not engage any of the applicable rights or freedoms.</w:t>
                      </w:r>
                    </w:p>
                    <w:p w14:paraId="71E3A421" w14:textId="77777777" w:rsidR="003B4827" w:rsidRPr="00E4135E" w:rsidRDefault="003B4827" w:rsidP="00B364E9">
                      <w:pPr>
                        <w:spacing w:after="120"/>
                        <w:rPr>
                          <w:b/>
                          <w:szCs w:val="24"/>
                        </w:rPr>
                      </w:pPr>
                      <w:r w:rsidRPr="00E4135E">
                        <w:rPr>
                          <w:b/>
                          <w:szCs w:val="24"/>
                        </w:rPr>
                        <w:t>Conclusion</w:t>
                      </w:r>
                    </w:p>
                    <w:p w14:paraId="451C855E" w14:textId="77777777" w:rsidR="003B4827" w:rsidRPr="00E4135E" w:rsidRDefault="003B4827" w:rsidP="00B364E9">
                      <w:pPr>
                        <w:spacing w:after="120"/>
                        <w:rPr>
                          <w:szCs w:val="24"/>
                        </w:rPr>
                      </w:pPr>
                      <w:r w:rsidRPr="00E4135E">
                        <w:rPr>
                          <w:szCs w:val="24"/>
                        </w:rPr>
                        <w:t>This Legislative Instrument is compatible with human rights as it does not raise any human rights issues.</w:t>
                      </w:r>
                    </w:p>
                    <w:p w14:paraId="723538E4" w14:textId="77777777" w:rsidR="003B4827" w:rsidRDefault="003B4827" w:rsidP="00B364E9">
                      <w:pPr>
                        <w:spacing w:after="120"/>
                        <w:jc w:val="center"/>
                        <w:rPr>
                          <w:szCs w:val="24"/>
                        </w:rPr>
                      </w:pPr>
                    </w:p>
                    <w:p w14:paraId="7ED4898C" w14:textId="77777777" w:rsidR="003B4827" w:rsidRPr="00E4135E" w:rsidRDefault="003B4827" w:rsidP="00B364E9">
                      <w:pPr>
                        <w:spacing w:after="120"/>
                        <w:jc w:val="center"/>
                        <w:rPr>
                          <w:szCs w:val="24"/>
                        </w:rPr>
                      </w:pPr>
                    </w:p>
                    <w:p w14:paraId="34581276" w14:textId="77777777" w:rsidR="003B4827" w:rsidRDefault="003B4827" w:rsidP="00B364E9">
                      <w:pPr>
                        <w:spacing w:after="120"/>
                        <w:jc w:val="center"/>
                        <w:rPr>
                          <w:b/>
                          <w:szCs w:val="24"/>
                        </w:rPr>
                      </w:pPr>
                    </w:p>
                    <w:p w14:paraId="31C9000D" w14:textId="77777777" w:rsidR="003B4827" w:rsidRDefault="003B4827" w:rsidP="00B364E9">
                      <w:pPr>
                        <w:spacing w:after="120"/>
                        <w:jc w:val="center"/>
                        <w:rPr>
                          <w:b/>
                          <w:szCs w:val="24"/>
                        </w:rPr>
                      </w:pPr>
                    </w:p>
                    <w:p w14:paraId="0713BBA2" w14:textId="77777777" w:rsidR="003B4827" w:rsidRDefault="003B4827" w:rsidP="00B364E9">
                      <w:pPr>
                        <w:spacing w:after="120"/>
                        <w:jc w:val="center"/>
                        <w:rPr>
                          <w:b/>
                          <w:szCs w:val="24"/>
                        </w:rPr>
                      </w:pPr>
                    </w:p>
                    <w:p w14:paraId="1B11DF37" w14:textId="77777777" w:rsidR="003B4827" w:rsidRPr="00E4135E" w:rsidRDefault="003B4827" w:rsidP="00B364E9">
                      <w:pPr>
                        <w:spacing w:after="120"/>
                        <w:jc w:val="center"/>
                        <w:rPr>
                          <w:szCs w:val="24"/>
                        </w:rPr>
                      </w:pPr>
                    </w:p>
                  </w:txbxContent>
                </v:textbox>
              </v:rect>
            </w:pict>
          </mc:Fallback>
        </mc:AlternateContent>
      </w:r>
    </w:p>
    <w:sectPr w:rsidR="00922D3C" w:rsidRPr="007C4FED" w:rsidSect="00CF3436">
      <w:headerReference w:type="first" r:id="rId17"/>
      <w:pgSz w:w="11906" w:h="16838" w:code="9"/>
      <w:pgMar w:top="1440" w:right="1440" w:bottom="1440"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609D70" w14:textId="77777777" w:rsidR="003708DF" w:rsidRDefault="003708DF" w:rsidP="00621DDE">
      <w:r>
        <w:separator/>
      </w:r>
    </w:p>
    <w:p w14:paraId="4D849306" w14:textId="77777777" w:rsidR="003708DF" w:rsidRDefault="003708DF"/>
  </w:endnote>
  <w:endnote w:type="continuationSeparator" w:id="0">
    <w:p w14:paraId="6669A29F" w14:textId="77777777" w:rsidR="003708DF" w:rsidRDefault="003708DF" w:rsidP="00621DDE">
      <w:r>
        <w:continuationSeparator/>
      </w:r>
    </w:p>
    <w:p w14:paraId="7D909B14" w14:textId="77777777" w:rsidR="003708DF" w:rsidRDefault="003708DF"/>
  </w:endnote>
  <w:endnote w:type="continuationNotice" w:id="1">
    <w:p w14:paraId="4DD54282" w14:textId="77777777" w:rsidR="003708DF" w:rsidRDefault="003708DF">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9CCFDA" w14:textId="77777777" w:rsidR="003B4827" w:rsidRPr="00A6607F" w:rsidRDefault="003B4827" w:rsidP="00A6607F">
    <w:pPr>
      <w:pStyle w:val="Footer"/>
    </w:pPr>
    <w:r>
      <w:tab/>
    </w:r>
    <w:r>
      <w:rPr>
        <w:noProof/>
      </w:rPr>
      <w:fldChar w:fldCharType="begin"/>
    </w:r>
    <w:r>
      <w:rPr>
        <w:noProof/>
      </w:rPr>
      <w:instrText xml:space="preserve"> PAGE   \* MERGEFORMAT </w:instrText>
    </w:r>
    <w:r>
      <w:rPr>
        <w:noProof/>
      </w:rPr>
      <w:fldChar w:fldCharType="separate"/>
    </w:r>
    <w:r w:rsidR="00337BEF">
      <w:rPr>
        <w:noProof/>
      </w:rPr>
      <w:t>13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1DC6F" w14:textId="77777777" w:rsidR="003B4827" w:rsidRPr="00DF56D7" w:rsidRDefault="003B4827" w:rsidP="00DF56D7">
    <w:pPr>
      <w:pStyle w:val="Footer"/>
      <w:tabs>
        <w:tab w:val="clear" w:pos="9026"/>
        <w:tab w:val="right" w:pos="9048"/>
        <w:tab w:val="right" w:pos="15309"/>
      </w:tabs>
    </w:pPr>
    <w:r>
      <w:tab/>
    </w:r>
    <w:r>
      <w:rPr>
        <w:noProof/>
      </w:rPr>
      <w:fldChar w:fldCharType="begin"/>
    </w:r>
    <w:r>
      <w:rPr>
        <w:noProof/>
      </w:rPr>
      <w:instrText xml:space="preserve"> PAGE   \* MERGEFORMAT </w:instrText>
    </w:r>
    <w:r>
      <w:rPr>
        <w:noProof/>
      </w:rPr>
      <w:fldChar w:fldCharType="separate"/>
    </w:r>
    <w:r w:rsidR="00337BEF">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0D4D76" w14:textId="77777777" w:rsidR="003708DF" w:rsidRDefault="003708DF" w:rsidP="00621DDE">
      <w:r>
        <w:separator/>
      </w:r>
    </w:p>
    <w:p w14:paraId="53614C35" w14:textId="77777777" w:rsidR="003708DF" w:rsidRDefault="003708DF"/>
  </w:footnote>
  <w:footnote w:type="continuationSeparator" w:id="0">
    <w:p w14:paraId="08CDC60F" w14:textId="77777777" w:rsidR="003708DF" w:rsidRDefault="003708DF" w:rsidP="00621DDE">
      <w:r>
        <w:continuationSeparator/>
      </w:r>
    </w:p>
    <w:p w14:paraId="5933F3A8" w14:textId="77777777" w:rsidR="003708DF" w:rsidRDefault="003708DF"/>
  </w:footnote>
  <w:footnote w:type="continuationNotice" w:id="1">
    <w:p w14:paraId="4F35889F" w14:textId="77777777" w:rsidR="003708DF" w:rsidRDefault="003708DF">
      <w:pPr>
        <w:spacing w:before="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BE4658" w14:textId="36764B17" w:rsidR="003B4827" w:rsidRDefault="003B4827" w:rsidP="00B62F73">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1B7833" w14:textId="53012883" w:rsidR="003B4827" w:rsidRPr="00B33B28" w:rsidRDefault="003B4827" w:rsidP="007D255D">
    <w:pPr>
      <w:pStyle w:val="Header"/>
      <w:jc w:val="right"/>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700F76" w14:textId="531623B0" w:rsidR="003B4827" w:rsidRPr="00BC05C8" w:rsidRDefault="003B4827" w:rsidP="00D045C1">
    <w:pPr>
      <w:jc w:val="right"/>
      <w:rPr>
        <w:u w:val="single"/>
      </w:rPr>
    </w:pPr>
    <w:r>
      <w:rPr>
        <w:u w:val="single"/>
      </w:rPr>
      <w:t>Attachment A</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14CBD7" w14:textId="23B637B2" w:rsidR="003B4827" w:rsidRPr="00BC05C8" w:rsidRDefault="003B4827" w:rsidP="00D045C1">
    <w:pPr>
      <w:jc w:val="right"/>
      <w:rPr>
        <w:u w:val="single"/>
      </w:rPr>
    </w:pPr>
    <w:r>
      <w:rPr>
        <w:u w:val="single"/>
      </w:rPr>
      <w:t>Attachment 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6D549580"/>
    <w:lvl w:ilvl="0">
      <w:start w:val="1"/>
      <w:numFmt w:val="decimal"/>
      <w:lvlText w:val="%1."/>
      <w:lvlJc w:val="left"/>
      <w:pPr>
        <w:tabs>
          <w:tab w:val="num" w:pos="360"/>
        </w:tabs>
        <w:ind w:left="360" w:hanging="360"/>
      </w:pPr>
    </w:lvl>
  </w:abstractNum>
  <w:abstractNum w:abstractNumId="1" w15:restartNumberingAfterBreak="0">
    <w:nsid w:val="00032DB9"/>
    <w:multiLevelType w:val="multilevel"/>
    <w:tmpl w:val="E5E89F92"/>
    <w:styleLink w:val="BulletList"/>
    <w:lvl w:ilvl="0">
      <w:start w:val="1"/>
      <w:numFmt w:val="bullet"/>
      <w:lvlText w:val=""/>
      <w:lvlJc w:val="left"/>
      <w:pPr>
        <w:ind w:left="369" w:hanging="369"/>
      </w:pPr>
      <w:rPr>
        <w:rFonts w:ascii="Symbol" w:hAnsi="Symbol"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color w:val="auto"/>
      </w:rPr>
    </w:lvl>
    <w:lvl w:ilvl="4">
      <w:start w:val="1"/>
      <w:numFmt w:val="none"/>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2" w15:restartNumberingAfterBreak="0">
    <w:nsid w:val="035D3096"/>
    <w:multiLevelType w:val="hybridMultilevel"/>
    <w:tmpl w:val="32265B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614163"/>
    <w:multiLevelType w:val="hybridMultilevel"/>
    <w:tmpl w:val="507873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8FB3261"/>
    <w:multiLevelType w:val="hybridMultilevel"/>
    <w:tmpl w:val="F482D2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F2C4056"/>
    <w:multiLevelType w:val="hybridMultilevel"/>
    <w:tmpl w:val="C0E6F0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35022DB"/>
    <w:multiLevelType w:val="hybridMultilevel"/>
    <w:tmpl w:val="CADE1F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3B84065"/>
    <w:multiLevelType w:val="hybridMultilevel"/>
    <w:tmpl w:val="A32418BC"/>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193D622B"/>
    <w:multiLevelType w:val="hybridMultilevel"/>
    <w:tmpl w:val="8E2E1D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DBD10BA"/>
    <w:multiLevelType w:val="hybridMultilevel"/>
    <w:tmpl w:val="B0CC04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F745BC2"/>
    <w:multiLevelType w:val="multilevel"/>
    <w:tmpl w:val="E5E89F92"/>
    <w:numStyleLink w:val="BulletList"/>
  </w:abstractNum>
  <w:abstractNum w:abstractNumId="11" w15:restartNumberingAfterBreak="0">
    <w:nsid w:val="20866268"/>
    <w:multiLevelType w:val="hybridMultilevel"/>
    <w:tmpl w:val="DC8A1F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292706D"/>
    <w:multiLevelType w:val="hybridMultilevel"/>
    <w:tmpl w:val="D452D436"/>
    <w:lvl w:ilvl="0" w:tplc="6F42B3C4">
      <w:start w:val="11"/>
      <w:numFmt w:val="bullet"/>
      <w:lvlText w:val="-"/>
      <w:lvlJc w:val="left"/>
      <w:pPr>
        <w:ind w:left="360" w:hanging="360"/>
      </w:pPr>
      <w:rPr>
        <w:rFonts w:ascii="Times New Roman" w:eastAsia="Calibri" w:hAnsi="Times New Roman" w:cs="Times New Roman"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4952268"/>
    <w:multiLevelType w:val="hybridMultilevel"/>
    <w:tmpl w:val="2A8815DE"/>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58F25B6"/>
    <w:multiLevelType w:val="hybridMultilevel"/>
    <w:tmpl w:val="40D826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2652599D"/>
    <w:multiLevelType w:val="hybridMultilevel"/>
    <w:tmpl w:val="30F21A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B2315C2"/>
    <w:multiLevelType w:val="hybridMultilevel"/>
    <w:tmpl w:val="8E049D3A"/>
    <w:lvl w:ilvl="0" w:tplc="0C090001">
      <w:start w:val="1"/>
      <w:numFmt w:val="bullet"/>
      <w:lvlText w:val=""/>
      <w:lvlJc w:val="left"/>
      <w:pPr>
        <w:ind w:left="761" w:hanging="360"/>
      </w:pPr>
      <w:rPr>
        <w:rFonts w:ascii="Symbol" w:hAnsi="Symbol" w:hint="default"/>
      </w:rPr>
    </w:lvl>
    <w:lvl w:ilvl="1" w:tplc="0C090003">
      <w:start w:val="1"/>
      <w:numFmt w:val="bullet"/>
      <w:lvlText w:val="o"/>
      <w:lvlJc w:val="left"/>
      <w:pPr>
        <w:ind w:left="1481" w:hanging="360"/>
      </w:pPr>
      <w:rPr>
        <w:rFonts w:ascii="Courier New" w:hAnsi="Courier New" w:cs="Courier New" w:hint="default"/>
      </w:rPr>
    </w:lvl>
    <w:lvl w:ilvl="2" w:tplc="0C090005">
      <w:start w:val="1"/>
      <w:numFmt w:val="bullet"/>
      <w:lvlText w:val=""/>
      <w:lvlJc w:val="left"/>
      <w:pPr>
        <w:ind w:left="2201" w:hanging="360"/>
      </w:pPr>
      <w:rPr>
        <w:rFonts w:ascii="Wingdings" w:hAnsi="Wingdings" w:hint="default"/>
      </w:rPr>
    </w:lvl>
    <w:lvl w:ilvl="3" w:tplc="0C090001">
      <w:start w:val="1"/>
      <w:numFmt w:val="bullet"/>
      <w:lvlText w:val=""/>
      <w:lvlJc w:val="left"/>
      <w:pPr>
        <w:ind w:left="2921" w:hanging="360"/>
      </w:pPr>
      <w:rPr>
        <w:rFonts w:ascii="Symbol" w:hAnsi="Symbol" w:hint="default"/>
      </w:rPr>
    </w:lvl>
    <w:lvl w:ilvl="4" w:tplc="0C090003">
      <w:start w:val="1"/>
      <w:numFmt w:val="bullet"/>
      <w:lvlText w:val="o"/>
      <w:lvlJc w:val="left"/>
      <w:pPr>
        <w:ind w:left="3641" w:hanging="360"/>
      </w:pPr>
      <w:rPr>
        <w:rFonts w:ascii="Courier New" w:hAnsi="Courier New" w:cs="Courier New" w:hint="default"/>
      </w:rPr>
    </w:lvl>
    <w:lvl w:ilvl="5" w:tplc="0C090005">
      <w:start w:val="1"/>
      <w:numFmt w:val="bullet"/>
      <w:lvlText w:val=""/>
      <w:lvlJc w:val="left"/>
      <w:pPr>
        <w:ind w:left="4361" w:hanging="360"/>
      </w:pPr>
      <w:rPr>
        <w:rFonts w:ascii="Wingdings" w:hAnsi="Wingdings" w:hint="default"/>
      </w:rPr>
    </w:lvl>
    <w:lvl w:ilvl="6" w:tplc="0C090001">
      <w:start w:val="1"/>
      <w:numFmt w:val="bullet"/>
      <w:lvlText w:val=""/>
      <w:lvlJc w:val="left"/>
      <w:pPr>
        <w:ind w:left="5081" w:hanging="360"/>
      </w:pPr>
      <w:rPr>
        <w:rFonts w:ascii="Symbol" w:hAnsi="Symbol" w:hint="default"/>
      </w:rPr>
    </w:lvl>
    <w:lvl w:ilvl="7" w:tplc="0C090003">
      <w:start w:val="1"/>
      <w:numFmt w:val="bullet"/>
      <w:lvlText w:val="o"/>
      <w:lvlJc w:val="left"/>
      <w:pPr>
        <w:ind w:left="5801" w:hanging="360"/>
      </w:pPr>
      <w:rPr>
        <w:rFonts w:ascii="Courier New" w:hAnsi="Courier New" w:cs="Courier New" w:hint="default"/>
      </w:rPr>
    </w:lvl>
    <w:lvl w:ilvl="8" w:tplc="0C090005">
      <w:start w:val="1"/>
      <w:numFmt w:val="bullet"/>
      <w:lvlText w:val=""/>
      <w:lvlJc w:val="left"/>
      <w:pPr>
        <w:ind w:left="6521" w:hanging="360"/>
      </w:pPr>
      <w:rPr>
        <w:rFonts w:ascii="Wingdings" w:hAnsi="Wingdings" w:hint="default"/>
      </w:rPr>
    </w:lvl>
  </w:abstractNum>
  <w:abstractNum w:abstractNumId="17" w15:restartNumberingAfterBreak="0">
    <w:nsid w:val="345D0AF1"/>
    <w:multiLevelType w:val="hybridMultilevel"/>
    <w:tmpl w:val="419A15F0"/>
    <w:lvl w:ilvl="0" w:tplc="0C090001">
      <w:start w:val="1"/>
      <w:numFmt w:val="bullet"/>
      <w:lvlText w:val=""/>
      <w:lvlJc w:val="left"/>
      <w:pPr>
        <w:ind w:left="1481" w:hanging="360"/>
      </w:pPr>
      <w:rPr>
        <w:rFonts w:ascii="Symbol" w:hAnsi="Symbol" w:hint="default"/>
      </w:rPr>
    </w:lvl>
    <w:lvl w:ilvl="1" w:tplc="0C090003">
      <w:start w:val="1"/>
      <w:numFmt w:val="bullet"/>
      <w:lvlText w:val="o"/>
      <w:lvlJc w:val="left"/>
      <w:pPr>
        <w:ind w:left="2201" w:hanging="360"/>
      </w:pPr>
      <w:rPr>
        <w:rFonts w:ascii="Courier New" w:hAnsi="Courier New" w:cs="Courier New" w:hint="default"/>
      </w:rPr>
    </w:lvl>
    <w:lvl w:ilvl="2" w:tplc="0C090005" w:tentative="1">
      <w:start w:val="1"/>
      <w:numFmt w:val="bullet"/>
      <w:lvlText w:val=""/>
      <w:lvlJc w:val="left"/>
      <w:pPr>
        <w:ind w:left="2921" w:hanging="360"/>
      </w:pPr>
      <w:rPr>
        <w:rFonts w:ascii="Wingdings" w:hAnsi="Wingdings" w:hint="default"/>
      </w:rPr>
    </w:lvl>
    <w:lvl w:ilvl="3" w:tplc="0C090001" w:tentative="1">
      <w:start w:val="1"/>
      <w:numFmt w:val="bullet"/>
      <w:lvlText w:val=""/>
      <w:lvlJc w:val="left"/>
      <w:pPr>
        <w:ind w:left="3641" w:hanging="360"/>
      </w:pPr>
      <w:rPr>
        <w:rFonts w:ascii="Symbol" w:hAnsi="Symbol" w:hint="default"/>
      </w:rPr>
    </w:lvl>
    <w:lvl w:ilvl="4" w:tplc="0C090003" w:tentative="1">
      <w:start w:val="1"/>
      <w:numFmt w:val="bullet"/>
      <w:lvlText w:val="o"/>
      <w:lvlJc w:val="left"/>
      <w:pPr>
        <w:ind w:left="4361" w:hanging="360"/>
      </w:pPr>
      <w:rPr>
        <w:rFonts w:ascii="Courier New" w:hAnsi="Courier New" w:cs="Courier New" w:hint="default"/>
      </w:rPr>
    </w:lvl>
    <w:lvl w:ilvl="5" w:tplc="0C090005" w:tentative="1">
      <w:start w:val="1"/>
      <w:numFmt w:val="bullet"/>
      <w:lvlText w:val=""/>
      <w:lvlJc w:val="left"/>
      <w:pPr>
        <w:ind w:left="5081" w:hanging="360"/>
      </w:pPr>
      <w:rPr>
        <w:rFonts w:ascii="Wingdings" w:hAnsi="Wingdings" w:hint="default"/>
      </w:rPr>
    </w:lvl>
    <w:lvl w:ilvl="6" w:tplc="0C090001" w:tentative="1">
      <w:start w:val="1"/>
      <w:numFmt w:val="bullet"/>
      <w:lvlText w:val=""/>
      <w:lvlJc w:val="left"/>
      <w:pPr>
        <w:ind w:left="5801" w:hanging="360"/>
      </w:pPr>
      <w:rPr>
        <w:rFonts w:ascii="Symbol" w:hAnsi="Symbol" w:hint="default"/>
      </w:rPr>
    </w:lvl>
    <w:lvl w:ilvl="7" w:tplc="0C090003" w:tentative="1">
      <w:start w:val="1"/>
      <w:numFmt w:val="bullet"/>
      <w:lvlText w:val="o"/>
      <w:lvlJc w:val="left"/>
      <w:pPr>
        <w:ind w:left="6521" w:hanging="360"/>
      </w:pPr>
      <w:rPr>
        <w:rFonts w:ascii="Courier New" w:hAnsi="Courier New" w:cs="Courier New" w:hint="default"/>
      </w:rPr>
    </w:lvl>
    <w:lvl w:ilvl="8" w:tplc="0C090005" w:tentative="1">
      <w:start w:val="1"/>
      <w:numFmt w:val="bullet"/>
      <w:lvlText w:val=""/>
      <w:lvlJc w:val="left"/>
      <w:pPr>
        <w:ind w:left="7241" w:hanging="360"/>
      </w:pPr>
      <w:rPr>
        <w:rFonts w:ascii="Wingdings" w:hAnsi="Wingdings" w:hint="default"/>
      </w:rPr>
    </w:lvl>
  </w:abstractNum>
  <w:abstractNum w:abstractNumId="18" w15:restartNumberingAfterBreak="0">
    <w:nsid w:val="34FF5B67"/>
    <w:multiLevelType w:val="hybridMultilevel"/>
    <w:tmpl w:val="7C2C0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61C7DAA"/>
    <w:multiLevelType w:val="multilevel"/>
    <w:tmpl w:val="CAA83148"/>
    <w:styleLink w:val="Attach"/>
    <w:lvl w:ilvl="0">
      <w:start w:val="1"/>
      <w:numFmt w:val="upperLetter"/>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A9C355A"/>
    <w:multiLevelType w:val="hybridMultilevel"/>
    <w:tmpl w:val="01E4C4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E6F57C9"/>
    <w:multiLevelType w:val="hybridMultilevel"/>
    <w:tmpl w:val="218ECF26"/>
    <w:lvl w:ilvl="0" w:tplc="B36019F0">
      <w:start w:val="1"/>
      <w:numFmt w:val="bullet"/>
      <w:pStyle w:val="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05D7FEB"/>
    <w:multiLevelType w:val="hybridMultilevel"/>
    <w:tmpl w:val="5ECC1A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2243068"/>
    <w:multiLevelType w:val="hybridMultilevel"/>
    <w:tmpl w:val="FFE0F7B8"/>
    <w:lvl w:ilvl="0" w:tplc="CE4E325A">
      <w:start w:val="1"/>
      <w:numFmt w:val="decimal"/>
      <w:lvlText w:val="%1."/>
      <w:lvlJc w:val="left"/>
      <w:pPr>
        <w:ind w:left="839" w:hanging="360"/>
      </w:pPr>
      <w:rPr>
        <w:rFonts w:hint="default"/>
      </w:rPr>
    </w:lvl>
    <w:lvl w:ilvl="1" w:tplc="0C090019" w:tentative="1">
      <w:start w:val="1"/>
      <w:numFmt w:val="lowerLetter"/>
      <w:lvlText w:val="%2."/>
      <w:lvlJc w:val="left"/>
      <w:pPr>
        <w:ind w:left="1559" w:hanging="360"/>
      </w:pPr>
    </w:lvl>
    <w:lvl w:ilvl="2" w:tplc="0C09001B" w:tentative="1">
      <w:start w:val="1"/>
      <w:numFmt w:val="lowerRoman"/>
      <w:lvlText w:val="%3."/>
      <w:lvlJc w:val="right"/>
      <w:pPr>
        <w:ind w:left="2279" w:hanging="180"/>
      </w:pPr>
    </w:lvl>
    <w:lvl w:ilvl="3" w:tplc="0C09000F" w:tentative="1">
      <w:start w:val="1"/>
      <w:numFmt w:val="decimal"/>
      <w:lvlText w:val="%4."/>
      <w:lvlJc w:val="left"/>
      <w:pPr>
        <w:ind w:left="2999" w:hanging="360"/>
      </w:pPr>
    </w:lvl>
    <w:lvl w:ilvl="4" w:tplc="0C090019" w:tentative="1">
      <w:start w:val="1"/>
      <w:numFmt w:val="lowerLetter"/>
      <w:lvlText w:val="%5."/>
      <w:lvlJc w:val="left"/>
      <w:pPr>
        <w:ind w:left="3719" w:hanging="360"/>
      </w:pPr>
    </w:lvl>
    <w:lvl w:ilvl="5" w:tplc="0C09001B" w:tentative="1">
      <w:start w:val="1"/>
      <w:numFmt w:val="lowerRoman"/>
      <w:lvlText w:val="%6."/>
      <w:lvlJc w:val="right"/>
      <w:pPr>
        <w:ind w:left="4439" w:hanging="180"/>
      </w:pPr>
    </w:lvl>
    <w:lvl w:ilvl="6" w:tplc="0C09000F" w:tentative="1">
      <w:start w:val="1"/>
      <w:numFmt w:val="decimal"/>
      <w:lvlText w:val="%7."/>
      <w:lvlJc w:val="left"/>
      <w:pPr>
        <w:ind w:left="5159" w:hanging="360"/>
      </w:pPr>
    </w:lvl>
    <w:lvl w:ilvl="7" w:tplc="0C090019" w:tentative="1">
      <w:start w:val="1"/>
      <w:numFmt w:val="lowerLetter"/>
      <w:lvlText w:val="%8."/>
      <w:lvlJc w:val="left"/>
      <w:pPr>
        <w:ind w:left="5879" w:hanging="360"/>
      </w:pPr>
    </w:lvl>
    <w:lvl w:ilvl="8" w:tplc="0C09001B" w:tentative="1">
      <w:start w:val="1"/>
      <w:numFmt w:val="lowerRoman"/>
      <w:lvlText w:val="%9."/>
      <w:lvlJc w:val="right"/>
      <w:pPr>
        <w:ind w:left="6599" w:hanging="180"/>
      </w:pPr>
    </w:lvl>
  </w:abstractNum>
  <w:abstractNum w:abstractNumId="24" w15:restartNumberingAfterBreak="0">
    <w:nsid w:val="463C3EE3"/>
    <w:multiLevelType w:val="hybridMultilevel"/>
    <w:tmpl w:val="8758C7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CD13F02"/>
    <w:multiLevelType w:val="hybridMultilevel"/>
    <w:tmpl w:val="FC6AFB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25B29F7"/>
    <w:multiLevelType w:val="hybridMultilevel"/>
    <w:tmpl w:val="59160C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648523B"/>
    <w:multiLevelType w:val="hybridMultilevel"/>
    <w:tmpl w:val="EFA2D9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5B476AF4"/>
    <w:multiLevelType w:val="hybridMultilevel"/>
    <w:tmpl w:val="C34EF97E"/>
    <w:lvl w:ilvl="0" w:tplc="0C090001">
      <w:start w:val="1"/>
      <w:numFmt w:val="bullet"/>
      <w:lvlText w:val=""/>
      <w:lvlJc w:val="left"/>
      <w:pPr>
        <w:ind w:left="1440" w:hanging="360"/>
      </w:pPr>
      <w:rPr>
        <w:rFonts w:ascii="Symbol" w:hAnsi="Symbol" w:hint="default"/>
      </w:rPr>
    </w:lvl>
    <w:lvl w:ilvl="1" w:tplc="0C090001">
      <w:start w:val="1"/>
      <w:numFmt w:val="bullet"/>
      <w:lvlText w:val=""/>
      <w:lvlJc w:val="left"/>
      <w:pPr>
        <w:ind w:left="2160" w:hanging="360"/>
      </w:pPr>
      <w:rPr>
        <w:rFonts w:ascii="Symbol" w:hAnsi="Symbol"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15:restartNumberingAfterBreak="0">
    <w:nsid w:val="5D4B4856"/>
    <w:multiLevelType w:val="hybridMultilevel"/>
    <w:tmpl w:val="DBE2264E"/>
    <w:lvl w:ilvl="0" w:tplc="3C2814A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1751708"/>
    <w:multiLevelType w:val="hybridMultilevel"/>
    <w:tmpl w:val="99FA85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5456429"/>
    <w:multiLevelType w:val="multilevel"/>
    <w:tmpl w:val="E898CC72"/>
    <w:numStyleLink w:val="KeyPoints"/>
  </w:abstractNum>
  <w:abstractNum w:abstractNumId="32" w15:restartNumberingAfterBreak="0">
    <w:nsid w:val="670026AA"/>
    <w:multiLevelType w:val="hybridMultilevel"/>
    <w:tmpl w:val="037289CC"/>
    <w:lvl w:ilvl="0" w:tplc="07FCA870">
      <w:numFmt w:val="bullet"/>
      <w:lvlText w:val="•"/>
      <w:lvlJc w:val="left"/>
      <w:pPr>
        <w:ind w:left="720" w:hanging="360"/>
      </w:pPr>
      <w:rPr>
        <w:rFonts w:ascii="Times New Roman" w:eastAsia="Times New Roman" w:hAnsi="Times New Roman" w:hint="default"/>
      </w:rPr>
    </w:lvl>
    <w:lvl w:ilvl="1" w:tplc="6B2C125C" w:tentative="1">
      <w:start w:val="1"/>
      <w:numFmt w:val="bullet"/>
      <w:lvlText w:val="o"/>
      <w:lvlJc w:val="left"/>
      <w:pPr>
        <w:ind w:left="1440" w:hanging="360"/>
      </w:pPr>
      <w:rPr>
        <w:rFonts w:ascii="Courier New" w:hAnsi="Courier New" w:hint="default"/>
      </w:rPr>
    </w:lvl>
    <w:lvl w:ilvl="2" w:tplc="A7E226F8" w:tentative="1">
      <w:start w:val="1"/>
      <w:numFmt w:val="bullet"/>
      <w:lvlText w:val=""/>
      <w:lvlJc w:val="left"/>
      <w:pPr>
        <w:ind w:left="2160" w:hanging="360"/>
      </w:pPr>
      <w:rPr>
        <w:rFonts w:ascii="Wingdings" w:hAnsi="Wingdings" w:hint="default"/>
      </w:rPr>
    </w:lvl>
    <w:lvl w:ilvl="3" w:tplc="3C725A72" w:tentative="1">
      <w:start w:val="1"/>
      <w:numFmt w:val="bullet"/>
      <w:lvlText w:val=""/>
      <w:lvlJc w:val="left"/>
      <w:pPr>
        <w:ind w:left="2880" w:hanging="360"/>
      </w:pPr>
      <w:rPr>
        <w:rFonts w:ascii="Symbol" w:hAnsi="Symbol" w:hint="default"/>
      </w:rPr>
    </w:lvl>
    <w:lvl w:ilvl="4" w:tplc="3856A61A" w:tentative="1">
      <w:start w:val="1"/>
      <w:numFmt w:val="bullet"/>
      <w:lvlText w:val="o"/>
      <w:lvlJc w:val="left"/>
      <w:pPr>
        <w:ind w:left="3600" w:hanging="360"/>
      </w:pPr>
      <w:rPr>
        <w:rFonts w:ascii="Courier New" w:hAnsi="Courier New" w:hint="default"/>
      </w:rPr>
    </w:lvl>
    <w:lvl w:ilvl="5" w:tplc="B8BC8222" w:tentative="1">
      <w:start w:val="1"/>
      <w:numFmt w:val="bullet"/>
      <w:lvlText w:val=""/>
      <w:lvlJc w:val="left"/>
      <w:pPr>
        <w:ind w:left="4320" w:hanging="360"/>
      </w:pPr>
      <w:rPr>
        <w:rFonts w:ascii="Wingdings" w:hAnsi="Wingdings" w:hint="default"/>
      </w:rPr>
    </w:lvl>
    <w:lvl w:ilvl="6" w:tplc="BD0CEBF2" w:tentative="1">
      <w:start w:val="1"/>
      <w:numFmt w:val="bullet"/>
      <w:lvlText w:val=""/>
      <w:lvlJc w:val="left"/>
      <w:pPr>
        <w:ind w:left="5040" w:hanging="360"/>
      </w:pPr>
      <w:rPr>
        <w:rFonts w:ascii="Symbol" w:hAnsi="Symbol" w:hint="default"/>
      </w:rPr>
    </w:lvl>
    <w:lvl w:ilvl="7" w:tplc="69C0801A" w:tentative="1">
      <w:start w:val="1"/>
      <w:numFmt w:val="bullet"/>
      <w:lvlText w:val="o"/>
      <w:lvlJc w:val="left"/>
      <w:pPr>
        <w:ind w:left="5760" w:hanging="360"/>
      </w:pPr>
      <w:rPr>
        <w:rFonts w:ascii="Courier New" w:hAnsi="Courier New" w:hint="default"/>
      </w:rPr>
    </w:lvl>
    <w:lvl w:ilvl="8" w:tplc="C630BAB2" w:tentative="1">
      <w:start w:val="1"/>
      <w:numFmt w:val="bullet"/>
      <w:lvlText w:val=""/>
      <w:lvlJc w:val="left"/>
      <w:pPr>
        <w:ind w:left="6480" w:hanging="360"/>
      </w:pPr>
      <w:rPr>
        <w:rFonts w:ascii="Wingdings" w:hAnsi="Wingdings" w:hint="default"/>
      </w:rPr>
    </w:lvl>
  </w:abstractNum>
  <w:abstractNum w:abstractNumId="33" w15:restartNumberingAfterBreak="0">
    <w:nsid w:val="693C7B5D"/>
    <w:multiLevelType w:val="hybridMultilevel"/>
    <w:tmpl w:val="F76CAA66"/>
    <w:name w:val="StandardNumberedList23232"/>
    <w:lvl w:ilvl="0" w:tplc="7068C312">
      <w:start w:val="1"/>
      <w:numFmt w:val="bullet"/>
      <w:lvlText w:val=""/>
      <w:lvlJc w:val="left"/>
      <w:pPr>
        <w:ind w:left="1080" w:hanging="360"/>
      </w:pPr>
      <w:rPr>
        <w:rFonts w:ascii="Symbol" w:hAnsi="Symbol" w:hint="default"/>
      </w:rPr>
    </w:lvl>
    <w:lvl w:ilvl="1" w:tplc="3E14CE7C" w:tentative="1">
      <w:start w:val="1"/>
      <w:numFmt w:val="bullet"/>
      <w:lvlText w:val="o"/>
      <w:lvlJc w:val="left"/>
      <w:pPr>
        <w:ind w:left="1800" w:hanging="360"/>
      </w:pPr>
      <w:rPr>
        <w:rFonts w:ascii="Courier New" w:hAnsi="Courier New" w:hint="default"/>
      </w:rPr>
    </w:lvl>
    <w:lvl w:ilvl="2" w:tplc="F1A8798A" w:tentative="1">
      <w:start w:val="1"/>
      <w:numFmt w:val="bullet"/>
      <w:lvlText w:val=""/>
      <w:lvlJc w:val="left"/>
      <w:pPr>
        <w:ind w:left="2520" w:hanging="360"/>
      </w:pPr>
      <w:rPr>
        <w:rFonts w:ascii="Wingdings" w:hAnsi="Wingdings" w:hint="default"/>
      </w:rPr>
    </w:lvl>
    <w:lvl w:ilvl="3" w:tplc="3A485556" w:tentative="1">
      <w:start w:val="1"/>
      <w:numFmt w:val="bullet"/>
      <w:lvlText w:val=""/>
      <w:lvlJc w:val="left"/>
      <w:pPr>
        <w:ind w:left="3240" w:hanging="360"/>
      </w:pPr>
      <w:rPr>
        <w:rFonts w:ascii="Symbol" w:hAnsi="Symbol" w:hint="default"/>
      </w:rPr>
    </w:lvl>
    <w:lvl w:ilvl="4" w:tplc="23C6CBAA" w:tentative="1">
      <w:start w:val="1"/>
      <w:numFmt w:val="bullet"/>
      <w:lvlText w:val="o"/>
      <w:lvlJc w:val="left"/>
      <w:pPr>
        <w:ind w:left="3960" w:hanging="360"/>
      </w:pPr>
      <w:rPr>
        <w:rFonts w:ascii="Courier New" w:hAnsi="Courier New" w:hint="default"/>
      </w:rPr>
    </w:lvl>
    <w:lvl w:ilvl="5" w:tplc="BD281B12" w:tentative="1">
      <w:start w:val="1"/>
      <w:numFmt w:val="bullet"/>
      <w:lvlText w:val=""/>
      <w:lvlJc w:val="left"/>
      <w:pPr>
        <w:ind w:left="4680" w:hanging="360"/>
      </w:pPr>
      <w:rPr>
        <w:rFonts w:ascii="Wingdings" w:hAnsi="Wingdings" w:hint="default"/>
      </w:rPr>
    </w:lvl>
    <w:lvl w:ilvl="6" w:tplc="E244E4AA" w:tentative="1">
      <w:start w:val="1"/>
      <w:numFmt w:val="bullet"/>
      <w:lvlText w:val=""/>
      <w:lvlJc w:val="left"/>
      <w:pPr>
        <w:ind w:left="5400" w:hanging="360"/>
      </w:pPr>
      <w:rPr>
        <w:rFonts w:ascii="Symbol" w:hAnsi="Symbol" w:hint="default"/>
      </w:rPr>
    </w:lvl>
    <w:lvl w:ilvl="7" w:tplc="EA58C8CA" w:tentative="1">
      <w:start w:val="1"/>
      <w:numFmt w:val="bullet"/>
      <w:lvlText w:val="o"/>
      <w:lvlJc w:val="left"/>
      <w:pPr>
        <w:ind w:left="6120" w:hanging="360"/>
      </w:pPr>
      <w:rPr>
        <w:rFonts w:ascii="Courier New" w:hAnsi="Courier New" w:hint="default"/>
      </w:rPr>
    </w:lvl>
    <w:lvl w:ilvl="8" w:tplc="89924ECC" w:tentative="1">
      <w:start w:val="1"/>
      <w:numFmt w:val="bullet"/>
      <w:lvlText w:val=""/>
      <w:lvlJc w:val="left"/>
      <w:pPr>
        <w:ind w:left="6840" w:hanging="360"/>
      </w:pPr>
      <w:rPr>
        <w:rFonts w:ascii="Wingdings" w:hAnsi="Wingdings" w:hint="default"/>
      </w:rPr>
    </w:lvl>
  </w:abstractNum>
  <w:abstractNum w:abstractNumId="34" w15:restartNumberingAfterBreak="0">
    <w:nsid w:val="6F8C1424"/>
    <w:multiLevelType w:val="hybridMultilevel"/>
    <w:tmpl w:val="C6123438"/>
    <w:lvl w:ilvl="0" w:tplc="BAAE4866">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2C83816"/>
    <w:multiLevelType w:val="multilevel"/>
    <w:tmpl w:val="9FF863A8"/>
    <w:lvl w:ilvl="0">
      <w:start w:val="1"/>
      <w:numFmt w:val="lowerRoman"/>
      <w:pStyle w:val="Bullet"/>
      <w:lvlText w:val="(%1)"/>
      <w:lvlJc w:val="left"/>
      <w:pPr>
        <w:tabs>
          <w:tab w:val="num" w:pos="520"/>
        </w:tabs>
        <w:ind w:left="520" w:hanging="520"/>
      </w:pPr>
      <w:rPr>
        <w:rFonts w:ascii="Times New Roman" w:eastAsia="Times New Roman" w:hAnsi="Times New Roman" w:cs="Times New Roman" w:hint="default"/>
      </w:rPr>
    </w:lvl>
    <w:lvl w:ilvl="1">
      <w:start w:val="1"/>
      <w:numFmt w:val="bullet"/>
      <w:pStyle w:val="Dash"/>
      <w:lvlText w:val="–"/>
      <w:lvlJc w:val="left"/>
      <w:pPr>
        <w:tabs>
          <w:tab w:val="num" w:pos="1560"/>
        </w:tabs>
        <w:ind w:left="1560" w:hanging="520"/>
      </w:pPr>
      <w:rPr>
        <w:rFonts w:ascii="Times New Roman" w:hAnsi="Times New Roman" w:hint="default"/>
      </w:rPr>
    </w:lvl>
    <w:lvl w:ilvl="2">
      <w:start w:val="1"/>
      <w:numFmt w:val="bullet"/>
      <w:pStyle w:val="DoubleDot"/>
      <w:lvlText w:val=":"/>
      <w:lvlJc w:val="left"/>
      <w:pPr>
        <w:tabs>
          <w:tab w:val="num" w:pos="2080"/>
        </w:tabs>
        <w:ind w:left="2080" w:hanging="520"/>
      </w:pPr>
      <w:rPr>
        <w:rFonts w:ascii="Times New Roman" w:hAnsi="Times New Roman" w:hint="default"/>
      </w:rPr>
    </w:lvl>
    <w:lvl w:ilvl="3">
      <w:start w:val="1"/>
      <w:numFmt w:val="decimal"/>
      <w:lvlText w:val="(%4)"/>
      <w:lvlJc w:val="left"/>
      <w:pPr>
        <w:ind w:left="360" w:hanging="360"/>
      </w:pPr>
      <w:rPr>
        <w:rFonts w:cs="Times New Roman" w:hint="default"/>
      </w:rPr>
    </w:lvl>
    <w:lvl w:ilvl="4">
      <w:start w:val="1"/>
      <w:numFmt w:val="lowerLetter"/>
      <w:lvlText w:val="(%5)"/>
      <w:lvlJc w:val="left"/>
      <w:pPr>
        <w:ind w:left="3040" w:hanging="360"/>
      </w:pPr>
      <w:rPr>
        <w:rFonts w:cs="Times New Roman" w:hint="default"/>
      </w:rPr>
    </w:lvl>
    <w:lvl w:ilvl="5">
      <w:start w:val="1"/>
      <w:numFmt w:val="lowerRoman"/>
      <w:lvlText w:val="(%6)"/>
      <w:lvlJc w:val="left"/>
      <w:pPr>
        <w:ind w:left="3400" w:hanging="360"/>
      </w:pPr>
      <w:rPr>
        <w:rFonts w:cs="Times New Roman" w:hint="default"/>
      </w:rPr>
    </w:lvl>
    <w:lvl w:ilvl="6">
      <w:start w:val="1"/>
      <w:numFmt w:val="decimal"/>
      <w:lvlText w:val="%7."/>
      <w:lvlJc w:val="left"/>
      <w:pPr>
        <w:ind w:left="3760" w:hanging="360"/>
      </w:pPr>
      <w:rPr>
        <w:rFonts w:cs="Times New Roman" w:hint="default"/>
      </w:rPr>
    </w:lvl>
    <w:lvl w:ilvl="7">
      <w:start w:val="1"/>
      <w:numFmt w:val="lowerLetter"/>
      <w:lvlText w:val="%8."/>
      <w:lvlJc w:val="left"/>
      <w:pPr>
        <w:ind w:left="4120" w:hanging="360"/>
      </w:pPr>
      <w:rPr>
        <w:rFonts w:cs="Times New Roman" w:hint="default"/>
      </w:rPr>
    </w:lvl>
    <w:lvl w:ilvl="8">
      <w:start w:val="1"/>
      <w:numFmt w:val="lowerRoman"/>
      <w:lvlText w:val="%9."/>
      <w:lvlJc w:val="left"/>
      <w:pPr>
        <w:ind w:left="4480" w:hanging="360"/>
      </w:pPr>
      <w:rPr>
        <w:rFonts w:cs="Times New Roman" w:hint="default"/>
      </w:rPr>
    </w:lvl>
  </w:abstractNum>
  <w:abstractNum w:abstractNumId="36" w15:restartNumberingAfterBreak="0">
    <w:nsid w:val="746B0A7B"/>
    <w:multiLevelType w:val="hybridMultilevel"/>
    <w:tmpl w:val="6BC00E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62964D5"/>
    <w:multiLevelType w:val="multilevel"/>
    <w:tmpl w:val="E898CC72"/>
    <w:styleLink w:val="KeyPoints"/>
    <w:lvl w:ilvl="0">
      <w:start w:val="1"/>
      <w:numFmt w:val="decimal"/>
      <w:lvlText w:val="%1."/>
      <w:lvlJc w:val="left"/>
      <w:pPr>
        <w:ind w:left="369" w:hanging="369"/>
      </w:pPr>
      <w:rPr>
        <w:rFonts w:ascii="Arial" w:hAnsi="Arial" w:hint="default"/>
        <w:sz w:val="22"/>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none"/>
      <w:lvlText w:val="%4"/>
      <w:lvlJc w:val="left"/>
      <w:pPr>
        <w:ind w:left="1476" w:hanging="369"/>
      </w:pPr>
      <w:rPr>
        <w:rFonts w:hint="default"/>
      </w:rPr>
    </w:lvl>
    <w:lvl w:ilvl="4">
      <w:start w:val="1"/>
      <w:numFmt w:val="none"/>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38" w15:restartNumberingAfterBreak="0">
    <w:nsid w:val="79DB23C0"/>
    <w:multiLevelType w:val="multilevel"/>
    <w:tmpl w:val="CE947A96"/>
    <w:lvl w:ilvl="0">
      <w:start w:val="1"/>
      <w:numFmt w:val="bullet"/>
      <w:pStyle w:val="ERACbullets"/>
      <w:lvlText w:val=""/>
      <w:lvlJc w:val="left"/>
      <w:pPr>
        <w:ind w:left="360" w:hanging="360"/>
      </w:pPr>
      <w:rPr>
        <w:rFonts w:ascii="Symbol" w:hAnsi="Symbol" w:hint="default"/>
        <w:color w:val="005874"/>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7F3D2B6C"/>
    <w:multiLevelType w:val="hybridMultilevel"/>
    <w:tmpl w:val="1DE8C1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F7F6DB6"/>
    <w:multiLevelType w:val="hybridMultilevel"/>
    <w:tmpl w:val="3668A3E4"/>
    <w:lvl w:ilvl="0" w:tplc="0DF84910">
      <w:start w:val="1"/>
      <w:numFmt w:val="bullet"/>
      <w:lvlText w:val=""/>
      <w:lvlJc w:val="left"/>
      <w:pPr>
        <w:ind w:left="720" w:hanging="360"/>
      </w:pPr>
      <w:rPr>
        <w:rFonts w:ascii="Symbol" w:hAnsi="Symbol" w:hint="default"/>
      </w:rPr>
    </w:lvl>
    <w:lvl w:ilvl="1" w:tplc="4E92A98C" w:tentative="1">
      <w:start w:val="1"/>
      <w:numFmt w:val="bullet"/>
      <w:lvlText w:val="o"/>
      <w:lvlJc w:val="left"/>
      <w:pPr>
        <w:ind w:left="1440" w:hanging="360"/>
      </w:pPr>
      <w:rPr>
        <w:rFonts w:ascii="Courier New" w:hAnsi="Courier New" w:cs="Courier New" w:hint="default"/>
      </w:rPr>
    </w:lvl>
    <w:lvl w:ilvl="2" w:tplc="E5883F92" w:tentative="1">
      <w:start w:val="1"/>
      <w:numFmt w:val="bullet"/>
      <w:lvlText w:val=""/>
      <w:lvlJc w:val="left"/>
      <w:pPr>
        <w:ind w:left="2160" w:hanging="360"/>
      </w:pPr>
      <w:rPr>
        <w:rFonts w:ascii="Wingdings" w:hAnsi="Wingdings" w:hint="default"/>
      </w:rPr>
    </w:lvl>
    <w:lvl w:ilvl="3" w:tplc="40E28C08" w:tentative="1">
      <w:start w:val="1"/>
      <w:numFmt w:val="bullet"/>
      <w:lvlText w:val=""/>
      <w:lvlJc w:val="left"/>
      <w:pPr>
        <w:ind w:left="2880" w:hanging="360"/>
      </w:pPr>
      <w:rPr>
        <w:rFonts w:ascii="Symbol" w:hAnsi="Symbol" w:hint="default"/>
      </w:rPr>
    </w:lvl>
    <w:lvl w:ilvl="4" w:tplc="B5BA0F6A" w:tentative="1">
      <w:start w:val="1"/>
      <w:numFmt w:val="bullet"/>
      <w:lvlText w:val="o"/>
      <w:lvlJc w:val="left"/>
      <w:pPr>
        <w:ind w:left="3600" w:hanging="360"/>
      </w:pPr>
      <w:rPr>
        <w:rFonts w:ascii="Courier New" w:hAnsi="Courier New" w:cs="Courier New" w:hint="default"/>
      </w:rPr>
    </w:lvl>
    <w:lvl w:ilvl="5" w:tplc="AC48E3BA" w:tentative="1">
      <w:start w:val="1"/>
      <w:numFmt w:val="bullet"/>
      <w:lvlText w:val=""/>
      <w:lvlJc w:val="left"/>
      <w:pPr>
        <w:ind w:left="4320" w:hanging="360"/>
      </w:pPr>
      <w:rPr>
        <w:rFonts w:ascii="Wingdings" w:hAnsi="Wingdings" w:hint="default"/>
      </w:rPr>
    </w:lvl>
    <w:lvl w:ilvl="6" w:tplc="0D002A1A" w:tentative="1">
      <w:start w:val="1"/>
      <w:numFmt w:val="bullet"/>
      <w:lvlText w:val=""/>
      <w:lvlJc w:val="left"/>
      <w:pPr>
        <w:ind w:left="5040" w:hanging="360"/>
      </w:pPr>
      <w:rPr>
        <w:rFonts w:ascii="Symbol" w:hAnsi="Symbol" w:hint="default"/>
      </w:rPr>
    </w:lvl>
    <w:lvl w:ilvl="7" w:tplc="77627266" w:tentative="1">
      <w:start w:val="1"/>
      <w:numFmt w:val="bullet"/>
      <w:lvlText w:val="o"/>
      <w:lvlJc w:val="left"/>
      <w:pPr>
        <w:ind w:left="5760" w:hanging="360"/>
      </w:pPr>
      <w:rPr>
        <w:rFonts w:ascii="Courier New" w:hAnsi="Courier New" w:cs="Courier New" w:hint="default"/>
      </w:rPr>
    </w:lvl>
    <w:lvl w:ilvl="8" w:tplc="4B9E7BDC" w:tentative="1">
      <w:start w:val="1"/>
      <w:numFmt w:val="bullet"/>
      <w:lvlText w:val=""/>
      <w:lvlJc w:val="left"/>
      <w:pPr>
        <w:ind w:left="6480" w:hanging="360"/>
      </w:pPr>
      <w:rPr>
        <w:rFonts w:ascii="Wingdings" w:hAnsi="Wingdings" w:hint="default"/>
      </w:rPr>
    </w:lvl>
  </w:abstractNum>
  <w:num w:numId="1">
    <w:abstractNumId w:val="35"/>
  </w:num>
  <w:num w:numId="2">
    <w:abstractNumId w:val="17"/>
  </w:num>
  <w:num w:numId="3">
    <w:abstractNumId w:val="37"/>
  </w:num>
  <w:num w:numId="4">
    <w:abstractNumId w:val="1"/>
  </w:num>
  <w:num w:numId="5">
    <w:abstractNumId w:val="19"/>
  </w:num>
  <w:num w:numId="6">
    <w:abstractNumId w:val="31"/>
  </w:num>
  <w:num w:numId="7">
    <w:abstractNumId w:val="10"/>
  </w:num>
  <w:num w:numId="8">
    <w:abstractNumId w:val="32"/>
  </w:num>
  <w:num w:numId="9">
    <w:abstractNumId w:val="40"/>
  </w:num>
  <w:num w:numId="10">
    <w:abstractNumId w:val="7"/>
  </w:num>
  <w:num w:numId="11">
    <w:abstractNumId w:val="28"/>
  </w:num>
  <w:num w:numId="12">
    <w:abstractNumId w:val="11"/>
  </w:num>
  <w:num w:numId="13">
    <w:abstractNumId w:val="23"/>
  </w:num>
  <w:num w:numId="14">
    <w:abstractNumId w:val="26"/>
  </w:num>
  <w:num w:numId="15">
    <w:abstractNumId w:val="27"/>
  </w:num>
  <w:num w:numId="16">
    <w:abstractNumId w:val="25"/>
  </w:num>
  <w:num w:numId="17">
    <w:abstractNumId w:val="30"/>
  </w:num>
  <w:num w:numId="18">
    <w:abstractNumId w:val="18"/>
  </w:num>
  <w:num w:numId="19">
    <w:abstractNumId w:val="5"/>
  </w:num>
  <w:num w:numId="20">
    <w:abstractNumId w:val="35"/>
  </w:num>
  <w:num w:numId="21">
    <w:abstractNumId w:val="35"/>
  </w:num>
  <w:num w:numId="22">
    <w:abstractNumId w:val="9"/>
  </w:num>
  <w:num w:numId="23">
    <w:abstractNumId w:val="8"/>
  </w:num>
  <w:num w:numId="24">
    <w:abstractNumId w:val="22"/>
  </w:num>
  <w:num w:numId="25">
    <w:abstractNumId w:val="2"/>
  </w:num>
  <w:num w:numId="26">
    <w:abstractNumId w:val="6"/>
  </w:num>
  <w:num w:numId="27">
    <w:abstractNumId w:val="20"/>
  </w:num>
  <w:num w:numId="28">
    <w:abstractNumId w:val="36"/>
  </w:num>
  <w:num w:numId="29">
    <w:abstractNumId w:val="15"/>
  </w:num>
  <w:num w:numId="30">
    <w:abstractNumId w:val="24"/>
  </w:num>
  <w:num w:numId="31">
    <w:abstractNumId w:val="21"/>
  </w:num>
  <w:num w:numId="32">
    <w:abstractNumId w:val="13"/>
  </w:num>
  <w:num w:numId="33">
    <w:abstractNumId w:val="34"/>
  </w:num>
  <w:num w:numId="34">
    <w:abstractNumId w:val="39"/>
  </w:num>
  <w:num w:numId="35">
    <w:abstractNumId w:val="0"/>
  </w:num>
  <w:num w:numId="36">
    <w:abstractNumId w:val="12"/>
  </w:num>
  <w:num w:numId="37">
    <w:abstractNumId w:val="16"/>
  </w:num>
  <w:num w:numId="38">
    <w:abstractNumId w:val="14"/>
  </w:num>
  <w:num w:numId="39">
    <w:abstractNumId w:val="4"/>
  </w:num>
  <w:num w:numId="40">
    <w:abstractNumId w:val="29"/>
  </w:num>
  <w:num w:numId="41">
    <w:abstractNumId w:val="3"/>
  </w:num>
  <w:num w:numId="42">
    <w:abstractNumId w:val="3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drawingGridHorizontalSpacing w:val="120"/>
  <w:displayHorizontalDrawingGridEvery w:val="2"/>
  <w:doNotShadeFormData/>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799"/>
    <w:rsid w:val="0000025A"/>
    <w:rsid w:val="00000622"/>
    <w:rsid w:val="00001CDD"/>
    <w:rsid w:val="00002908"/>
    <w:rsid w:val="000035A2"/>
    <w:rsid w:val="00005399"/>
    <w:rsid w:val="0000566D"/>
    <w:rsid w:val="0000567E"/>
    <w:rsid w:val="000056C0"/>
    <w:rsid w:val="00005701"/>
    <w:rsid w:val="00007156"/>
    <w:rsid w:val="000072D2"/>
    <w:rsid w:val="00007323"/>
    <w:rsid w:val="00007D1D"/>
    <w:rsid w:val="000100C9"/>
    <w:rsid w:val="0001095D"/>
    <w:rsid w:val="00010EB4"/>
    <w:rsid w:val="00010FF8"/>
    <w:rsid w:val="000117CD"/>
    <w:rsid w:val="00011B30"/>
    <w:rsid w:val="00011C13"/>
    <w:rsid w:val="000125B2"/>
    <w:rsid w:val="0001274A"/>
    <w:rsid w:val="000138A0"/>
    <w:rsid w:val="0001563D"/>
    <w:rsid w:val="000159B6"/>
    <w:rsid w:val="00015FB6"/>
    <w:rsid w:val="000166B0"/>
    <w:rsid w:val="0001687B"/>
    <w:rsid w:val="00016B16"/>
    <w:rsid w:val="00017CCD"/>
    <w:rsid w:val="00017F38"/>
    <w:rsid w:val="00020055"/>
    <w:rsid w:val="0002096F"/>
    <w:rsid w:val="00020CD3"/>
    <w:rsid w:val="000218C0"/>
    <w:rsid w:val="00021E9F"/>
    <w:rsid w:val="0002251C"/>
    <w:rsid w:val="000228D3"/>
    <w:rsid w:val="00023365"/>
    <w:rsid w:val="00023835"/>
    <w:rsid w:val="00023C79"/>
    <w:rsid w:val="00023F52"/>
    <w:rsid w:val="00024BAB"/>
    <w:rsid w:val="00025877"/>
    <w:rsid w:val="00025C0F"/>
    <w:rsid w:val="0002619A"/>
    <w:rsid w:val="00026AA6"/>
    <w:rsid w:val="00026D62"/>
    <w:rsid w:val="00026F47"/>
    <w:rsid w:val="00030056"/>
    <w:rsid w:val="000302F7"/>
    <w:rsid w:val="000304C0"/>
    <w:rsid w:val="00030DC5"/>
    <w:rsid w:val="00032305"/>
    <w:rsid w:val="000326C3"/>
    <w:rsid w:val="00032C01"/>
    <w:rsid w:val="00032DD0"/>
    <w:rsid w:val="00032E42"/>
    <w:rsid w:val="00032EBE"/>
    <w:rsid w:val="0003333F"/>
    <w:rsid w:val="000338D6"/>
    <w:rsid w:val="00034279"/>
    <w:rsid w:val="0003474E"/>
    <w:rsid w:val="00034F23"/>
    <w:rsid w:val="0003511C"/>
    <w:rsid w:val="0003516A"/>
    <w:rsid w:val="00035A0B"/>
    <w:rsid w:val="00036128"/>
    <w:rsid w:val="0003613D"/>
    <w:rsid w:val="0003616F"/>
    <w:rsid w:val="00036E9F"/>
    <w:rsid w:val="0003786B"/>
    <w:rsid w:val="0004004E"/>
    <w:rsid w:val="00040212"/>
    <w:rsid w:val="000411C7"/>
    <w:rsid w:val="0004128E"/>
    <w:rsid w:val="000413E2"/>
    <w:rsid w:val="000417C6"/>
    <w:rsid w:val="00041FFC"/>
    <w:rsid w:val="000420F2"/>
    <w:rsid w:val="00042435"/>
    <w:rsid w:val="00042633"/>
    <w:rsid w:val="0004268A"/>
    <w:rsid w:val="000427C1"/>
    <w:rsid w:val="00042C4B"/>
    <w:rsid w:val="000431A9"/>
    <w:rsid w:val="00043236"/>
    <w:rsid w:val="000435CA"/>
    <w:rsid w:val="000439C8"/>
    <w:rsid w:val="00044385"/>
    <w:rsid w:val="000443E5"/>
    <w:rsid w:val="00044431"/>
    <w:rsid w:val="00044512"/>
    <w:rsid w:val="0004477A"/>
    <w:rsid w:val="0004490C"/>
    <w:rsid w:val="00044C6F"/>
    <w:rsid w:val="00044D22"/>
    <w:rsid w:val="00045E28"/>
    <w:rsid w:val="000460D7"/>
    <w:rsid w:val="000465D0"/>
    <w:rsid w:val="00047C06"/>
    <w:rsid w:val="000500EC"/>
    <w:rsid w:val="0005046E"/>
    <w:rsid w:val="00051D53"/>
    <w:rsid w:val="00051FE6"/>
    <w:rsid w:val="0005212E"/>
    <w:rsid w:val="000528DD"/>
    <w:rsid w:val="00052FAD"/>
    <w:rsid w:val="00053937"/>
    <w:rsid w:val="0005569F"/>
    <w:rsid w:val="0005585F"/>
    <w:rsid w:val="00057551"/>
    <w:rsid w:val="00057663"/>
    <w:rsid w:val="00060063"/>
    <w:rsid w:val="000618CD"/>
    <w:rsid w:val="00061A30"/>
    <w:rsid w:val="00061A49"/>
    <w:rsid w:val="00062053"/>
    <w:rsid w:val="00062A29"/>
    <w:rsid w:val="00062B61"/>
    <w:rsid w:val="00062BBF"/>
    <w:rsid w:val="00062CE3"/>
    <w:rsid w:val="000632DC"/>
    <w:rsid w:val="00063614"/>
    <w:rsid w:val="00063DBB"/>
    <w:rsid w:val="00064B6A"/>
    <w:rsid w:val="00064D23"/>
    <w:rsid w:val="00064E18"/>
    <w:rsid w:val="000656F5"/>
    <w:rsid w:val="00065A89"/>
    <w:rsid w:val="00065B56"/>
    <w:rsid w:val="00065C07"/>
    <w:rsid w:val="00065CB4"/>
    <w:rsid w:val="00065FF7"/>
    <w:rsid w:val="000667DB"/>
    <w:rsid w:val="00066BFC"/>
    <w:rsid w:val="000677D8"/>
    <w:rsid w:val="000702AB"/>
    <w:rsid w:val="0007057E"/>
    <w:rsid w:val="00070626"/>
    <w:rsid w:val="00070BEE"/>
    <w:rsid w:val="00071634"/>
    <w:rsid w:val="000716AB"/>
    <w:rsid w:val="0007283B"/>
    <w:rsid w:val="00073371"/>
    <w:rsid w:val="0007375A"/>
    <w:rsid w:val="0007385A"/>
    <w:rsid w:val="00073BF5"/>
    <w:rsid w:val="00074182"/>
    <w:rsid w:val="00074500"/>
    <w:rsid w:val="000751CD"/>
    <w:rsid w:val="000756E4"/>
    <w:rsid w:val="000764CD"/>
    <w:rsid w:val="000767E8"/>
    <w:rsid w:val="000769F2"/>
    <w:rsid w:val="00076B50"/>
    <w:rsid w:val="00076BF8"/>
    <w:rsid w:val="00077095"/>
    <w:rsid w:val="000774C1"/>
    <w:rsid w:val="00077603"/>
    <w:rsid w:val="0008048E"/>
    <w:rsid w:val="00080C79"/>
    <w:rsid w:val="00080CE0"/>
    <w:rsid w:val="00080D9A"/>
    <w:rsid w:val="00080FE9"/>
    <w:rsid w:val="0008121E"/>
    <w:rsid w:val="000819BE"/>
    <w:rsid w:val="00081B55"/>
    <w:rsid w:val="000822CF"/>
    <w:rsid w:val="000822E2"/>
    <w:rsid w:val="000855F0"/>
    <w:rsid w:val="00085855"/>
    <w:rsid w:val="00086355"/>
    <w:rsid w:val="00086515"/>
    <w:rsid w:val="000870E8"/>
    <w:rsid w:val="0008730F"/>
    <w:rsid w:val="000875D5"/>
    <w:rsid w:val="00087AE7"/>
    <w:rsid w:val="00087B83"/>
    <w:rsid w:val="00087BD5"/>
    <w:rsid w:val="000903E8"/>
    <w:rsid w:val="0009062C"/>
    <w:rsid w:val="000917D6"/>
    <w:rsid w:val="00091AA0"/>
    <w:rsid w:val="00091AA9"/>
    <w:rsid w:val="00091DF6"/>
    <w:rsid w:val="0009205E"/>
    <w:rsid w:val="00092852"/>
    <w:rsid w:val="00093293"/>
    <w:rsid w:val="000942D4"/>
    <w:rsid w:val="00094661"/>
    <w:rsid w:val="00094ACE"/>
    <w:rsid w:val="00094C2F"/>
    <w:rsid w:val="000959EB"/>
    <w:rsid w:val="00095BF5"/>
    <w:rsid w:val="00096064"/>
    <w:rsid w:val="00096619"/>
    <w:rsid w:val="00096C07"/>
    <w:rsid w:val="00096E71"/>
    <w:rsid w:val="000971F1"/>
    <w:rsid w:val="0009737B"/>
    <w:rsid w:val="00097652"/>
    <w:rsid w:val="0009799F"/>
    <w:rsid w:val="000979AF"/>
    <w:rsid w:val="000A00A9"/>
    <w:rsid w:val="000A00C2"/>
    <w:rsid w:val="000A1221"/>
    <w:rsid w:val="000A1673"/>
    <w:rsid w:val="000A1CE3"/>
    <w:rsid w:val="000A1F23"/>
    <w:rsid w:val="000A259B"/>
    <w:rsid w:val="000A2966"/>
    <w:rsid w:val="000A29B4"/>
    <w:rsid w:val="000A2EFA"/>
    <w:rsid w:val="000A40E0"/>
    <w:rsid w:val="000A4748"/>
    <w:rsid w:val="000A6B5F"/>
    <w:rsid w:val="000A6C66"/>
    <w:rsid w:val="000A7112"/>
    <w:rsid w:val="000A79E3"/>
    <w:rsid w:val="000A7B9D"/>
    <w:rsid w:val="000B0108"/>
    <w:rsid w:val="000B0324"/>
    <w:rsid w:val="000B03F4"/>
    <w:rsid w:val="000B0D6E"/>
    <w:rsid w:val="000B0F02"/>
    <w:rsid w:val="000B1A2F"/>
    <w:rsid w:val="000B1ECA"/>
    <w:rsid w:val="000B217A"/>
    <w:rsid w:val="000B220D"/>
    <w:rsid w:val="000B2B98"/>
    <w:rsid w:val="000B365E"/>
    <w:rsid w:val="000B37F2"/>
    <w:rsid w:val="000B3A3D"/>
    <w:rsid w:val="000B4376"/>
    <w:rsid w:val="000B44B5"/>
    <w:rsid w:val="000B4A03"/>
    <w:rsid w:val="000B4D2C"/>
    <w:rsid w:val="000B5356"/>
    <w:rsid w:val="000B55F8"/>
    <w:rsid w:val="000B6394"/>
    <w:rsid w:val="000B6684"/>
    <w:rsid w:val="000B66BD"/>
    <w:rsid w:val="000B72BA"/>
    <w:rsid w:val="000B7333"/>
    <w:rsid w:val="000B74F9"/>
    <w:rsid w:val="000B7C94"/>
    <w:rsid w:val="000B7F6A"/>
    <w:rsid w:val="000C2977"/>
    <w:rsid w:val="000C2A65"/>
    <w:rsid w:val="000C319A"/>
    <w:rsid w:val="000C332B"/>
    <w:rsid w:val="000C3DCA"/>
    <w:rsid w:val="000C403B"/>
    <w:rsid w:val="000C407B"/>
    <w:rsid w:val="000C415C"/>
    <w:rsid w:val="000C42ED"/>
    <w:rsid w:val="000C42F0"/>
    <w:rsid w:val="000C4EFB"/>
    <w:rsid w:val="000C5E44"/>
    <w:rsid w:val="000C6007"/>
    <w:rsid w:val="000C6377"/>
    <w:rsid w:val="000C6E0A"/>
    <w:rsid w:val="000C73D9"/>
    <w:rsid w:val="000D0A80"/>
    <w:rsid w:val="000D1A62"/>
    <w:rsid w:val="000D24C6"/>
    <w:rsid w:val="000D313B"/>
    <w:rsid w:val="000D344E"/>
    <w:rsid w:val="000D3815"/>
    <w:rsid w:val="000D40C6"/>
    <w:rsid w:val="000D40DE"/>
    <w:rsid w:val="000D428A"/>
    <w:rsid w:val="000D4835"/>
    <w:rsid w:val="000D5160"/>
    <w:rsid w:val="000D5647"/>
    <w:rsid w:val="000D59BC"/>
    <w:rsid w:val="000D5B81"/>
    <w:rsid w:val="000D7ABC"/>
    <w:rsid w:val="000E094A"/>
    <w:rsid w:val="000E0A6A"/>
    <w:rsid w:val="000E0B2B"/>
    <w:rsid w:val="000E1326"/>
    <w:rsid w:val="000E13C3"/>
    <w:rsid w:val="000E142B"/>
    <w:rsid w:val="000E1CEF"/>
    <w:rsid w:val="000E2636"/>
    <w:rsid w:val="000E2688"/>
    <w:rsid w:val="000E2828"/>
    <w:rsid w:val="000E2C4A"/>
    <w:rsid w:val="000E2F16"/>
    <w:rsid w:val="000E3331"/>
    <w:rsid w:val="000E47CC"/>
    <w:rsid w:val="000E4C9E"/>
    <w:rsid w:val="000E59B9"/>
    <w:rsid w:val="000E67DE"/>
    <w:rsid w:val="000E6B98"/>
    <w:rsid w:val="000E6FE1"/>
    <w:rsid w:val="000E752F"/>
    <w:rsid w:val="000E7B70"/>
    <w:rsid w:val="000F0066"/>
    <w:rsid w:val="000F029F"/>
    <w:rsid w:val="000F037B"/>
    <w:rsid w:val="000F03F8"/>
    <w:rsid w:val="000F0469"/>
    <w:rsid w:val="000F0F7A"/>
    <w:rsid w:val="000F2188"/>
    <w:rsid w:val="000F2BC7"/>
    <w:rsid w:val="000F2F4A"/>
    <w:rsid w:val="000F340F"/>
    <w:rsid w:val="000F3FCD"/>
    <w:rsid w:val="000F40C5"/>
    <w:rsid w:val="000F4AA2"/>
    <w:rsid w:val="000F4F39"/>
    <w:rsid w:val="000F5C9D"/>
    <w:rsid w:val="000F5ED7"/>
    <w:rsid w:val="000F5FD7"/>
    <w:rsid w:val="000F6000"/>
    <w:rsid w:val="000F6397"/>
    <w:rsid w:val="000F6E5B"/>
    <w:rsid w:val="000F737D"/>
    <w:rsid w:val="000F79CB"/>
    <w:rsid w:val="000F7DF1"/>
    <w:rsid w:val="0010160B"/>
    <w:rsid w:val="00101D54"/>
    <w:rsid w:val="001023CD"/>
    <w:rsid w:val="001028AC"/>
    <w:rsid w:val="00102BE6"/>
    <w:rsid w:val="00103C61"/>
    <w:rsid w:val="00104196"/>
    <w:rsid w:val="00104583"/>
    <w:rsid w:val="00106067"/>
    <w:rsid w:val="00106090"/>
    <w:rsid w:val="00106521"/>
    <w:rsid w:val="00106F0E"/>
    <w:rsid w:val="00107139"/>
    <w:rsid w:val="00107193"/>
    <w:rsid w:val="00107785"/>
    <w:rsid w:val="0010783B"/>
    <w:rsid w:val="001101CA"/>
    <w:rsid w:val="00110F2D"/>
    <w:rsid w:val="00111C7B"/>
    <w:rsid w:val="00111E99"/>
    <w:rsid w:val="00112129"/>
    <w:rsid w:val="0011264E"/>
    <w:rsid w:val="00112830"/>
    <w:rsid w:val="00112A2A"/>
    <w:rsid w:val="00112AD1"/>
    <w:rsid w:val="00113027"/>
    <w:rsid w:val="001131B9"/>
    <w:rsid w:val="00113A00"/>
    <w:rsid w:val="00114722"/>
    <w:rsid w:val="00114949"/>
    <w:rsid w:val="00115283"/>
    <w:rsid w:val="001157E7"/>
    <w:rsid w:val="00116876"/>
    <w:rsid w:val="001168A1"/>
    <w:rsid w:val="00116A3E"/>
    <w:rsid w:val="00116D3C"/>
    <w:rsid w:val="00116FC2"/>
    <w:rsid w:val="00117783"/>
    <w:rsid w:val="00117A5A"/>
    <w:rsid w:val="00117D39"/>
    <w:rsid w:val="00117EAD"/>
    <w:rsid w:val="00120047"/>
    <w:rsid w:val="0012034F"/>
    <w:rsid w:val="0012081F"/>
    <w:rsid w:val="0012174D"/>
    <w:rsid w:val="00121D29"/>
    <w:rsid w:val="00121FEF"/>
    <w:rsid w:val="00122288"/>
    <w:rsid w:val="001222B0"/>
    <w:rsid w:val="00122554"/>
    <w:rsid w:val="0012429A"/>
    <w:rsid w:val="00125031"/>
    <w:rsid w:val="001250A6"/>
    <w:rsid w:val="0012624E"/>
    <w:rsid w:val="001267D6"/>
    <w:rsid w:val="00127496"/>
    <w:rsid w:val="00127555"/>
    <w:rsid w:val="001279C8"/>
    <w:rsid w:val="00127AD6"/>
    <w:rsid w:val="00130448"/>
    <w:rsid w:val="001309AA"/>
    <w:rsid w:val="00130E38"/>
    <w:rsid w:val="0013107F"/>
    <w:rsid w:val="001316DA"/>
    <w:rsid w:val="00132367"/>
    <w:rsid w:val="0013263E"/>
    <w:rsid w:val="001326CF"/>
    <w:rsid w:val="00133478"/>
    <w:rsid w:val="001336AE"/>
    <w:rsid w:val="0013391A"/>
    <w:rsid w:val="00133E53"/>
    <w:rsid w:val="00133F4A"/>
    <w:rsid w:val="0013436E"/>
    <w:rsid w:val="001346EE"/>
    <w:rsid w:val="0013473A"/>
    <w:rsid w:val="00134CDA"/>
    <w:rsid w:val="00134F26"/>
    <w:rsid w:val="00135249"/>
    <w:rsid w:val="00135304"/>
    <w:rsid w:val="00135748"/>
    <w:rsid w:val="00135884"/>
    <w:rsid w:val="00135CB6"/>
    <w:rsid w:val="00136240"/>
    <w:rsid w:val="00136C4D"/>
    <w:rsid w:val="00136F33"/>
    <w:rsid w:val="00137328"/>
    <w:rsid w:val="001375DF"/>
    <w:rsid w:val="00137923"/>
    <w:rsid w:val="00137968"/>
    <w:rsid w:val="00137DB9"/>
    <w:rsid w:val="001403F3"/>
    <w:rsid w:val="0014075D"/>
    <w:rsid w:val="0014141F"/>
    <w:rsid w:val="00141745"/>
    <w:rsid w:val="00141AE1"/>
    <w:rsid w:val="001422C9"/>
    <w:rsid w:val="0014261B"/>
    <w:rsid w:val="00142819"/>
    <w:rsid w:val="00142A5A"/>
    <w:rsid w:val="0014399C"/>
    <w:rsid w:val="00143FE6"/>
    <w:rsid w:val="001440D2"/>
    <w:rsid w:val="001443B6"/>
    <w:rsid w:val="001445B4"/>
    <w:rsid w:val="001446CE"/>
    <w:rsid w:val="00144737"/>
    <w:rsid w:val="00144D47"/>
    <w:rsid w:val="0014543F"/>
    <w:rsid w:val="00145961"/>
    <w:rsid w:val="00145EFB"/>
    <w:rsid w:val="001462F7"/>
    <w:rsid w:val="00146893"/>
    <w:rsid w:val="00146DCD"/>
    <w:rsid w:val="00146FA7"/>
    <w:rsid w:val="00147090"/>
    <w:rsid w:val="001473C6"/>
    <w:rsid w:val="00147AFF"/>
    <w:rsid w:val="00147D3E"/>
    <w:rsid w:val="00150170"/>
    <w:rsid w:val="001503E0"/>
    <w:rsid w:val="001504A6"/>
    <w:rsid w:val="001518DE"/>
    <w:rsid w:val="00152043"/>
    <w:rsid w:val="001534B5"/>
    <w:rsid w:val="00153E31"/>
    <w:rsid w:val="00154010"/>
    <w:rsid w:val="0015482E"/>
    <w:rsid w:val="0015492E"/>
    <w:rsid w:val="00154E19"/>
    <w:rsid w:val="00154FD8"/>
    <w:rsid w:val="00154FF9"/>
    <w:rsid w:val="001552BF"/>
    <w:rsid w:val="0015534B"/>
    <w:rsid w:val="00155752"/>
    <w:rsid w:val="00155BC8"/>
    <w:rsid w:val="00156605"/>
    <w:rsid w:val="00156E43"/>
    <w:rsid w:val="001570F0"/>
    <w:rsid w:val="00160264"/>
    <w:rsid w:val="00161103"/>
    <w:rsid w:val="001613F8"/>
    <w:rsid w:val="00161AAD"/>
    <w:rsid w:val="00161E72"/>
    <w:rsid w:val="00162513"/>
    <w:rsid w:val="00162535"/>
    <w:rsid w:val="001628ED"/>
    <w:rsid w:val="00162995"/>
    <w:rsid w:val="0016339A"/>
    <w:rsid w:val="00163594"/>
    <w:rsid w:val="00163BC1"/>
    <w:rsid w:val="00163D7F"/>
    <w:rsid w:val="001642E7"/>
    <w:rsid w:val="001645EF"/>
    <w:rsid w:val="00164843"/>
    <w:rsid w:val="00164A10"/>
    <w:rsid w:val="00164C12"/>
    <w:rsid w:val="00164CA5"/>
    <w:rsid w:val="00164E25"/>
    <w:rsid w:val="00164FC8"/>
    <w:rsid w:val="001660E3"/>
    <w:rsid w:val="0016677B"/>
    <w:rsid w:val="00166C3A"/>
    <w:rsid w:val="00166FBE"/>
    <w:rsid w:val="0016703E"/>
    <w:rsid w:val="00167688"/>
    <w:rsid w:val="001678BF"/>
    <w:rsid w:val="0016792D"/>
    <w:rsid w:val="00167998"/>
    <w:rsid w:val="00167A3E"/>
    <w:rsid w:val="001701E7"/>
    <w:rsid w:val="001707AE"/>
    <w:rsid w:val="001707E8"/>
    <w:rsid w:val="00170DF0"/>
    <w:rsid w:val="001713BD"/>
    <w:rsid w:val="00173107"/>
    <w:rsid w:val="0017339F"/>
    <w:rsid w:val="001735EC"/>
    <w:rsid w:val="00173648"/>
    <w:rsid w:val="001737B1"/>
    <w:rsid w:val="00173B0A"/>
    <w:rsid w:val="00173DCB"/>
    <w:rsid w:val="00175155"/>
    <w:rsid w:val="00175443"/>
    <w:rsid w:val="001755FD"/>
    <w:rsid w:val="00175A80"/>
    <w:rsid w:val="00176018"/>
    <w:rsid w:val="00176212"/>
    <w:rsid w:val="00176B65"/>
    <w:rsid w:val="00177011"/>
    <w:rsid w:val="0017756B"/>
    <w:rsid w:val="001775B7"/>
    <w:rsid w:val="00177C42"/>
    <w:rsid w:val="001807B0"/>
    <w:rsid w:val="00180C2D"/>
    <w:rsid w:val="00180E10"/>
    <w:rsid w:val="001810B6"/>
    <w:rsid w:val="0018163A"/>
    <w:rsid w:val="00181760"/>
    <w:rsid w:val="00181B12"/>
    <w:rsid w:val="001822E7"/>
    <w:rsid w:val="00183197"/>
    <w:rsid w:val="0018344C"/>
    <w:rsid w:val="00183A0A"/>
    <w:rsid w:val="00183E93"/>
    <w:rsid w:val="001849F1"/>
    <w:rsid w:val="00184A83"/>
    <w:rsid w:val="0018535B"/>
    <w:rsid w:val="0018599C"/>
    <w:rsid w:val="00186B1B"/>
    <w:rsid w:val="00186E01"/>
    <w:rsid w:val="00186ECE"/>
    <w:rsid w:val="00186EE0"/>
    <w:rsid w:val="00187651"/>
    <w:rsid w:val="00187D6C"/>
    <w:rsid w:val="001907D8"/>
    <w:rsid w:val="00190830"/>
    <w:rsid w:val="0019095C"/>
    <w:rsid w:val="00190B6D"/>
    <w:rsid w:val="001929A8"/>
    <w:rsid w:val="00192C79"/>
    <w:rsid w:val="001930A2"/>
    <w:rsid w:val="0019355A"/>
    <w:rsid w:val="00193B71"/>
    <w:rsid w:val="00194971"/>
    <w:rsid w:val="0019533B"/>
    <w:rsid w:val="001955B5"/>
    <w:rsid w:val="00195EDD"/>
    <w:rsid w:val="00196164"/>
    <w:rsid w:val="001961B4"/>
    <w:rsid w:val="001966E7"/>
    <w:rsid w:val="0019770A"/>
    <w:rsid w:val="001977E5"/>
    <w:rsid w:val="001A0110"/>
    <w:rsid w:val="001A05F5"/>
    <w:rsid w:val="001A0728"/>
    <w:rsid w:val="001A075F"/>
    <w:rsid w:val="001A0B36"/>
    <w:rsid w:val="001A1DDF"/>
    <w:rsid w:val="001A26AB"/>
    <w:rsid w:val="001A3A64"/>
    <w:rsid w:val="001A3B3E"/>
    <w:rsid w:val="001A3FAD"/>
    <w:rsid w:val="001A4543"/>
    <w:rsid w:val="001A4661"/>
    <w:rsid w:val="001A46E2"/>
    <w:rsid w:val="001A49CF"/>
    <w:rsid w:val="001A4FB4"/>
    <w:rsid w:val="001A55EF"/>
    <w:rsid w:val="001A58F5"/>
    <w:rsid w:val="001A5DD9"/>
    <w:rsid w:val="001A636C"/>
    <w:rsid w:val="001A7597"/>
    <w:rsid w:val="001A7A9C"/>
    <w:rsid w:val="001A7BBA"/>
    <w:rsid w:val="001A7D99"/>
    <w:rsid w:val="001B0BE6"/>
    <w:rsid w:val="001B0C2C"/>
    <w:rsid w:val="001B0E1A"/>
    <w:rsid w:val="001B1008"/>
    <w:rsid w:val="001B11F0"/>
    <w:rsid w:val="001B13EE"/>
    <w:rsid w:val="001B1471"/>
    <w:rsid w:val="001B16B5"/>
    <w:rsid w:val="001B1E8D"/>
    <w:rsid w:val="001B24A4"/>
    <w:rsid w:val="001B2962"/>
    <w:rsid w:val="001B2B87"/>
    <w:rsid w:val="001B2CE1"/>
    <w:rsid w:val="001B2FBE"/>
    <w:rsid w:val="001B3DA1"/>
    <w:rsid w:val="001B457F"/>
    <w:rsid w:val="001B5572"/>
    <w:rsid w:val="001B55E1"/>
    <w:rsid w:val="001B569F"/>
    <w:rsid w:val="001B5F1F"/>
    <w:rsid w:val="001B671C"/>
    <w:rsid w:val="001B68E1"/>
    <w:rsid w:val="001C0A13"/>
    <w:rsid w:val="001C1024"/>
    <w:rsid w:val="001C10FE"/>
    <w:rsid w:val="001C131C"/>
    <w:rsid w:val="001C1E04"/>
    <w:rsid w:val="001C1EEE"/>
    <w:rsid w:val="001C1F90"/>
    <w:rsid w:val="001C1FE0"/>
    <w:rsid w:val="001C2039"/>
    <w:rsid w:val="001C298B"/>
    <w:rsid w:val="001C2D61"/>
    <w:rsid w:val="001C33B1"/>
    <w:rsid w:val="001C35BA"/>
    <w:rsid w:val="001C3857"/>
    <w:rsid w:val="001C3C2B"/>
    <w:rsid w:val="001C3DFF"/>
    <w:rsid w:val="001C401C"/>
    <w:rsid w:val="001C426A"/>
    <w:rsid w:val="001C4F4D"/>
    <w:rsid w:val="001C5314"/>
    <w:rsid w:val="001C695E"/>
    <w:rsid w:val="001C6E48"/>
    <w:rsid w:val="001C77A2"/>
    <w:rsid w:val="001D0102"/>
    <w:rsid w:val="001D1214"/>
    <w:rsid w:val="001D1969"/>
    <w:rsid w:val="001D1D96"/>
    <w:rsid w:val="001D3C0D"/>
    <w:rsid w:val="001D3C5D"/>
    <w:rsid w:val="001D3E6E"/>
    <w:rsid w:val="001D4F87"/>
    <w:rsid w:val="001D5BA8"/>
    <w:rsid w:val="001D5F82"/>
    <w:rsid w:val="001D65D9"/>
    <w:rsid w:val="001D6EC7"/>
    <w:rsid w:val="001D6F3D"/>
    <w:rsid w:val="001D7000"/>
    <w:rsid w:val="001D72AE"/>
    <w:rsid w:val="001D77AA"/>
    <w:rsid w:val="001D7900"/>
    <w:rsid w:val="001E0058"/>
    <w:rsid w:val="001E0114"/>
    <w:rsid w:val="001E0DAF"/>
    <w:rsid w:val="001E107B"/>
    <w:rsid w:val="001E17CD"/>
    <w:rsid w:val="001E195D"/>
    <w:rsid w:val="001E2DA6"/>
    <w:rsid w:val="001E3771"/>
    <w:rsid w:val="001E4674"/>
    <w:rsid w:val="001E5115"/>
    <w:rsid w:val="001E55A6"/>
    <w:rsid w:val="001E617E"/>
    <w:rsid w:val="001E629C"/>
    <w:rsid w:val="001E6A08"/>
    <w:rsid w:val="001E77A3"/>
    <w:rsid w:val="001E7987"/>
    <w:rsid w:val="001F000D"/>
    <w:rsid w:val="001F0044"/>
    <w:rsid w:val="001F0792"/>
    <w:rsid w:val="001F0962"/>
    <w:rsid w:val="001F1699"/>
    <w:rsid w:val="001F1939"/>
    <w:rsid w:val="001F2B92"/>
    <w:rsid w:val="001F2D71"/>
    <w:rsid w:val="001F39F2"/>
    <w:rsid w:val="001F4C09"/>
    <w:rsid w:val="001F6667"/>
    <w:rsid w:val="001F6803"/>
    <w:rsid w:val="001F6E16"/>
    <w:rsid w:val="001F7286"/>
    <w:rsid w:val="001F748C"/>
    <w:rsid w:val="001F74E2"/>
    <w:rsid w:val="001F75BA"/>
    <w:rsid w:val="00200551"/>
    <w:rsid w:val="0020071B"/>
    <w:rsid w:val="0020112E"/>
    <w:rsid w:val="002012AB"/>
    <w:rsid w:val="00201D81"/>
    <w:rsid w:val="002022A3"/>
    <w:rsid w:val="002028F3"/>
    <w:rsid w:val="00203E0E"/>
    <w:rsid w:val="00204232"/>
    <w:rsid w:val="00205C9F"/>
    <w:rsid w:val="002061BE"/>
    <w:rsid w:val="00206876"/>
    <w:rsid w:val="00206980"/>
    <w:rsid w:val="00206A22"/>
    <w:rsid w:val="00206AA5"/>
    <w:rsid w:val="00206D0E"/>
    <w:rsid w:val="00207251"/>
    <w:rsid w:val="00207E53"/>
    <w:rsid w:val="00207E61"/>
    <w:rsid w:val="002105F1"/>
    <w:rsid w:val="002106F5"/>
    <w:rsid w:val="002119E0"/>
    <w:rsid w:val="00211AA5"/>
    <w:rsid w:val="00212792"/>
    <w:rsid w:val="00212B5F"/>
    <w:rsid w:val="00213490"/>
    <w:rsid w:val="00214038"/>
    <w:rsid w:val="00214AFC"/>
    <w:rsid w:val="00215230"/>
    <w:rsid w:val="0021603A"/>
    <w:rsid w:val="002161AE"/>
    <w:rsid w:val="00216595"/>
    <w:rsid w:val="002166C0"/>
    <w:rsid w:val="00216746"/>
    <w:rsid w:val="0021677C"/>
    <w:rsid w:val="00217082"/>
    <w:rsid w:val="002175C6"/>
    <w:rsid w:val="002200F3"/>
    <w:rsid w:val="002204ED"/>
    <w:rsid w:val="00221059"/>
    <w:rsid w:val="002212DA"/>
    <w:rsid w:val="00221322"/>
    <w:rsid w:val="0022140E"/>
    <w:rsid w:val="00221778"/>
    <w:rsid w:val="00221995"/>
    <w:rsid w:val="002219D1"/>
    <w:rsid w:val="00221A1D"/>
    <w:rsid w:val="00222092"/>
    <w:rsid w:val="0022259F"/>
    <w:rsid w:val="0022355F"/>
    <w:rsid w:val="00223982"/>
    <w:rsid w:val="00223AB4"/>
    <w:rsid w:val="00224912"/>
    <w:rsid w:val="00224FCE"/>
    <w:rsid w:val="002250C9"/>
    <w:rsid w:val="00225113"/>
    <w:rsid w:val="002260B2"/>
    <w:rsid w:val="002262B8"/>
    <w:rsid w:val="002267CA"/>
    <w:rsid w:val="00227545"/>
    <w:rsid w:val="00227BD5"/>
    <w:rsid w:val="002307E7"/>
    <w:rsid w:val="00230DEA"/>
    <w:rsid w:val="0023291F"/>
    <w:rsid w:val="00232ADF"/>
    <w:rsid w:val="00232CB0"/>
    <w:rsid w:val="00232D5B"/>
    <w:rsid w:val="002339D3"/>
    <w:rsid w:val="0023402E"/>
    <w:rsid w:val="0023407C"/>
    <w:rsid w:val="0023446C"/>
    <w:rsid w:val="00234ADE"/>
    <w:rsid w:val="00235003"/>
    <w:rsid w:val="00236725"/>
    <w:rsid w:val="00237140"/>
    <w:rsid w:val="00240094"/>
    <w:rsid w:val="002400BD"/>
    <w:rsid w:val="00240104"/>
    <w:rsid w:val="002406B7"/>
    <w:rsid w:val="00240927"/>
    <w:rsid w:val="0024096C"/>
    <w:rsid w:val="002417AA"/>
    <w:rsid w:val="00241904"/>
    <w:rsid w:val="002419B8"/>
    <w:rsid w:val="00241F1D"/>
    <w:rsid w:val="0024216C"/>
    <w:rsid w:val="00243131"/>
    <w:rsid w:val="002436B6"/>
    <w:rsid w:val="00243A93"/>
    <w:rsid w:val="00243B0F"/>
    <w:rsid w:val="00243D8E"/>
    <w:rsid w:val="00243EE6"/>
    <w:rsid w:val="0024431E"/>
    <w:rsid w:val="0024500C"/>
    <w:rsid w:val="0024563A"/>
    <w:rsid w:val="002459C4"/>
    <w:rsid w:val="00245C29"/>
    <w:rsid w:val="00246B92"/>
    <w:rsid w:val="00246BFB"/>
    <w:rsid w:val="00246F14"/>
    <w:rsid w:val="00246F90"/>
    <w:rsid w:val="00247076"/>
    <w:rsid w:val="002473F7"/>
    <w:rsid w:val="00247789"/>
    <w:rsid w:val="0025005E"/>
    <w:rsid w:val="00251253"/>
    <w:rsid w:val="002522D6"/>
    <w:rsid w:val="00252868"/>
    <w:rsid w:val="00252B99"/>
    <w:rsid w:val="00252F9A"/>
    <w:rsid w:val="00253A1B"/>
    <w:rsid w:val="00253A41"/>
    <w:rsid w:val="00253E2D"/>
    <w:rsid w:val="00254583"/>
    <w:rsid w:val="00254592"/>
    <w:rsid w:val="00254C83"/>
    <w:rsid w:val="00254FAB"/>
    <w:rsid w:val="00255692"/>
    <w:rsid w:val="0025575C"/>
    <w:rsid w:val="002561F9"/>
    <w:rsid w:val="002565DF"/>
    <w:rsid w:val="0025688A"/>
    <w:rsid w:val="00261676"/>
    <w:rsid w:val="00261F81"/>
    <w:rsid w:val="0026240F"/>
    <w:rsid w:val="0026250B"/>
    <w:rsid w:val="00262729"/>
    <w:rsid w:val="00263157"/>
    <w:rsid w:val="0026394B"/>
    <w:rsid w:val="00263995"/>
    <w:rsid w:val="00264957"/>
    <w:rsid w:val="00264D3C"/>
    <w:rsid w:val="002652CC"/>
    <w:rsid w:val="0026595D"/>
    <w:rsid w:val="0026619D"/>
    <w:rsid w:val="0026770C"/>
    <w:rsid w:val="00267AED"/>
    <w:rsid w:val="002701E3"/>
    <w:rsid w:val="00270506"/>
    <w:rsid w:val="002709DF"/>
    <w:rsid w:val="00270B63"/>
    <w:rsid w:val="00270D8A"/>
    <w:rsid w:val="00270DD3"/>
    <w:rsid w:val="00271B4F"/>
    <w:rsid w:val="00272564"/>
    <w:rsid w:val="00273480"/>
    <w:rsid w:val="0027431D"/>
    <w:rsid w:val="00274503"/>
    <w:rsid w:val="00274BBD"/>
    <w:rsid w:val="002750CB"/>
    <w:rsid w:val="002766A5"/>
    <w:rsid w:val="0027733D"/>
    <w:rsid w:val="00277C5B"/>
    <w:rsid w:val="00277C91"/>
    <w:rsid w:val="00277EDC"/>
    <w:rsid w:val="002804C9"/>
    <w:rsid w:val="00280669"/>
    <w:rsid w:val="00281084"/>
    <w:rsid w:val="00281183"/>
    <w:rsid w:val="002815B3"/>
    <w:rsid w:val="00281737"/>
    <w:rsid w:val="00281814"/>
    <w:rsid w:val="002818ED"/>
    <w:rsid w:val="00281E82"/>
    <w:rsid w:val="00281FB5"/>
    <w:rsid w:val="00282CA4"/>
    <w:rsid w:val="00282D81"/>
    <w:rsid w:val="00282F52"/>
    <w:rsid w:val="0028363D"/>
    <w:rsid w:val="00284294"/>
    <w:rsid w:val="0028495C"/>
    <w:rsid w:val="00284D7F"/>
    <w:rsid w:val="00284FDA"/>
    <w:rsid w:val="0028560F"/>
    <w:rsid w:val="00285883"/>
    <w:rsid w:val="00285899"/>
    <w:rsid w:val="00286545"/>
    <w:rsid w:val="0028705A"/>
    <w:rsid w:val="00290327"/>
    <w:rsid w:val="002904F7"/>
    <w:rsid w:val="0029055C"/>
    <w:rsid w:val="002917BD"/>
    <w:rsid w:val="002919F4"/>
    <w:rsid w:val="0029213E"/>
    <w:rsid w:val="002923BC"/>
    <w:rsid w:val="00292AF2"/>
    <w:rsid w:val="00292DFC"/>
    <w:rsid w:val="00293ABF"/>
    <w:rsid w:val="00293C29"/>
    <w:rsid w:val="00293CA4"/>
    <w:rsid w:val="00295302"/>
    <w:rsid w:val="0029550F"/>
    <w:rsid w:val="00295E4E"/>
    <w:rsid w:val="002971F0"/>
    <w:rsid w:val="00297FA1"/>
    <w:rsid w:val="002A0454"/>
    <w:rsid w:val="002A04C8"/>
    <w:rsid w:val="002A0A13"/>
    <w:rsid w:val="002A1044"/>
    <w:rsid w:val="002A188F"/>
    <w:rsid w:val="002A1BC8"/>
    <w:rsid w:val="002A2303"/>
    <w:rsid w:val="002A2579"/>
    <w:rsid w:val="002A3461"/>
    <w:rsid w:val="002A3B81"/>
    <w:rsid w:val="002A4140"/>
    <w:rsid w:val="002A4BC2"/>
    <w:rsid w:val="002A5397"/>
    <w:rsid w:val="002A5470"/>
    <w:rsid w:val="002A550A"/>
    <w:rsid w:val="002A5940"/>
    <w:rsid w:val="002A602B"/>
    <w:rsid w:val="002A69D8"/>
    <w:rsid w:val="002A6DE8"/>
    <w:rsid w:val="002A73A3"/>
    <w:rsid w:val="002A7B0C"/>
    <w:rsid w:val="002A7B9C"/>
    <w:rsid w:val="002A7DB4"/>
    <w:rsid w:val="002B0067"/>
    <w:rsid w:val="002B0409"/>
    <w:rsid w:val="002B0840"/>
    <w:rsid w:val="002B0B86"/>
    <w:rsid w:val="002B0CA0"/>
    <w:rsid w:val="002B153D"/>
    <w:rsid w:val="002B17EF"/>
    <w:rsid w:val="002B186D"/>
    <w:rsid w:val="002B18E3"/>
    <w:rsid w:val="002B1F4E"/>
    <w:rsid w:val="002B204D"/>
    <w:rsid w:val="002B2584"/>
    <w:rsid w:val="002B3D1B"/>
    <w:rsid w:val="002B3F22"/>
    <w:rsid w:val="002B44C6"/>
    <w:rsid w:val="002B46B8"/>
    <w:rsid w:val="002B4D31"/>
    <w:rsid w:val="002B4F11"/>
    <w:rsid w:val="002B520C"/>
    <w:rsid w:val="002B5B50"/>
    <w:rsid w:val="002B5F07"/>
    <w:rsid w:val="002B64D6"/>
    <w:rsid w:val="002B677F"/>
    <w:rsid w:val="002B6F1D"/>
    <w:rsid w:val="002B6F27"/>
    <w:rsid w:val="002C0B12"/>
    <w:rsid w:val="002C0D2D"/>
    <w:rsid w:val="002C1A0B"/>
    <w:rsid w:val="002C1D84"/>
    <w:rsid w:val="002C1F46"/>
    <w:rsid w:val="002C2244"/>
    <w:rsid w:val="002C239E"/>
    <w:rsid w:val="002C24FA"/>
    <w:rsid w:val="002C2C2F"/>
    <w:rsid w:val="002C2C5F"/>
    <w:rsid w:val="002C38B9"/>
    <w:rsid w:val="002C44BA"/>
    <w:rsid w:val="002C4A9C"/>
    <w:rsid w:val="002C4EA6"/>
    <w:rsid w:val="002C5009"/>
    <w:rsid w:val="002C51D9"/>
    <w:rsid w:val="002C5544"/>
    <w:rsid w:val="002C554F"/>
    <w:rsid w:val="002C67C0"/>
    <w:rsid w:val="002C69F3"/>
    <w:rsid w:val="002C6AF2"/>
    <w:rsid w:val="002C6CBA"/>
    <w:rsid w:val="002C704C"/>
    <w:rsid w:val="002C778A"/>
    <w:rsid w:val="002C77A5"/>
    <w:rsid w:val="002C7A80"/>
    <w:rsid w:val="002C7B68"/>
    <w:rsid w:val="002D06D5"/>
    <w:rsid w:val="002D0812"/>
    <w:rsid w:val="002D0D4F"/>
    <w:rsid w:val="002D0D9D"/>
    <w:rsid w:val="002D175E"/>
    <w:rsid w:val="002D1A8D"/>
    <w:rsid w:val="002D2285"/>
    <w:rsid w:val="002D23C0"/>
    <w:rsid w:val="002D2A23"/>
    <w:rsid w:val="002D31BC"/>
    <w:rsid w:val="002D3593"/>
    <w:rsid w:val="002D428E"/>
    <w:rsid w:val="002D44BC"/>
    <w:rsid w:val="002D46A5"/>
    <w:rsid w:val="002D5334"/>
    <w:rsid w:val="002D549F"/>
    <w:rsid w:val="002D5F1F"/>
    <w:rsid w:val="002D6088"/>
    <w:rsid w:val="002D7236"/>
    <w:rsid w:val="002D7347"/>
    <w:rsid w:val="002D7828"/>
    <w:rsid w:val="002E00BD"/>
    <w:rsid w:val="002E0A43"/>
    <w:rsid w:val="002E0C01"/>
    <w:rsid w:val="002E149E"/>
    <w:rsid w:val="002E1587"/>
    <w:rsid w:val="002E17CA"/>
    <w:rsid w:val="002E1D8F"/>
    <w:rsid w:val="002E249C"/>
    <w:rsid w:val="002E24F3"/>
    <w:rsid w:val="002E29B6"/>
    <w:rsid w:val="002E2ACA"/>
    <w:rsid w:val="002E2E0C"/>
    <w:rsid w:val="002E3560"/>
    <w:rsid w:val="002E3FBF"/>
    <w:rsid w:val="002E41E8"/>
    <w:rsid w:val="002E59CE"/>
    <w:rsid w:val="002E59E6"/>
    <w:rsid w:val="002E5A9F"/>
    <w:rsid w:val="002E67E6"/>
    <w:rsid w:val="002E791D"/>
    <w:rsid w:val="002F012D"/>
    <w:rsid w:val="002F06E1"/>
    <w:rsid w:val="002F105A"/>
    <w:rsid w:val="002F1170"/>
    <w:rsid w:val="002F1345"/>
    <w:rsid w:val="002F145C"/>
    <w:rsid w:val="002F1517"/>
    <w:rsid w:val="002F16D8"/>
    <w:rsid w:val="002F2146"/>
    <w:rsid w:val="002F2151"/>
    <w:rsid w:val="002F2A33"/>
    <w:rsid w:val="002F38E1"/>
    <w:rsid w:val="002F3B4B"/>
    <w:rsid w:val="002F4742"/>
    <w:rsid w:val="002F4A08"/>
    <w:rsid w:val="002F4B3F"/>
    <w:rsid w:val="002F54C9"/>
    <w:rsid w:val="002F58C0"/>
    <w:rsid w:val="002F5B5F"/>
    <w:rsid w:val="002F5DC8"/>
    <w:rsid w:val="002F5DFB"/>
    <w:rsid w:val="002F701F"/>
    <w:rsid w:val="002F7165"/>
    <w:rsid w:val="002F71A7"/>
    <w:rsid w:val="002F767F"/>
    <w:rsid w:val="002F7A31"/>
    <w:rsid w:val="002F7BEC"/>
    <w:rsid w:val="002F7D19"/>
    <w:rsid w:val="00300BE2"/>
    <w:rsid w:val="00300C16"/>
    <w:rsid w:val="003021DA"/>
    <w:rsid w:val="0030256E"/>
    <w:rsid w:val="0030268C"/>
    <w:rsid w:val="00302B3C"/>
    <w:rsid w:val="00303120"/>
    <w:rsid w:val="003042BB"/>
    <w:rsid w:val="003043A7"/>
    <w:rsid w:val="003044FD"/>
    <w:rsid w:val="00304552"/>
    <w:rsid w:val="00304793"/>
    <w:rsid w:val="003049A5"/>
    <w:rsid w:val="00304C24"/>
    <w:rsid w:val="00305B10"/>
    <w:rsid w:val="00305D80"/>
    <w:rsid w:val="003060FC"/>
    <w:rsid w:val="00306162"/>
    <w:rsid w:val="00306229"/>
    <w:rsid w:val="00306A78"/>
    <w:rsid w:val="003073EC"/>
    <w:rsid w:val="003075D9"/>
    <w:rsid w:val="00307CEA"/>
    <w:rsid w:val="00311A88"/>
    <w:rsid w:val="00312039"/>
    <w:rsid w:val="00312B8D"/>
    <w:rsid w:val="003131BF"/>
    <w:rsid w:val="0031368F"/>
    <w:rsid w:val="00313A08"/>
    <w:rsid w:val="00313ADD"/>
    <w:rsid w:val="00313AEB"/>
    <w:rsid w:val="00313B49"/>
    <w:rsid w:val="00313BD6"/>
    <w:rsid w:val="00314225"/>
    <w:rsid w:val="00314532"/>
    <w:rsid w:val="00314686"/>
    <w:rsid w:val="003146C5"/>
    <w:rsid w:val="00314FA8"/>
    <w:rsid w:val="00315B12"/>
    <w:rsid w:val="003166CD"/>
    <w:rsid w:val="00316887"/>
    <w:rsid w:val="00316D93"/>
    <w:rsid w:val="00316FD5"/>
    <w:rsid w:val="00317228"/>
    <w:rsid w:val="003178B5"/>
    <w:rsid w:val="00317E7B"/>
    <w:rsid w:val="00320E4F"/>
    <w:rsid w:val="003218A5"/>
    <w:rsid w:val="00321C83"/>
    <w:rsid w:val="00322955"/>
    <w:rsid w:val="003243BC"/>
    <w:rsid w:val="003248DB"/>
    <w:rsid w:val="00324AFA"/>
    <w:rsid w:val="00324B45"/>
    <w:rsid w:val="0032509D"/>
    <w:rsid w:val="00325262"/>
    <w:rsid w:val="003252CF"/>
    <w:rsid w:val="00325380"/>
    <w:rsid w:val="00326040"/>
    <w:rsid w:val="00326812"/>
    <w:rsid w:val="003273C7"/>
    <w:rsid w:val="00327863"/>
    <w:rsid w:val="00327CA2"/>
    <w:rsid w:val="00330E5A"/>
    <w:rsid w:val="003315E7"/>
    <w:rsid w:val="00331D72"/>
    <w:rsid w:val="00331FC1"/>
    <w:rsid w:val="00333025"/>
    <w:rsid w:val="0033333F"/>
    <w:rsid w:val="0033399D"/>
    <w:rsid w:val="003343E6"/>
    <w:rsid w:val="00334CCF"/>
    <w:rsid w:val="003358E3"/>
    <w:rsid w:val="00335D25"/>
    <w:rsid w:val="00335D76"/>
    <w:rsid w:val="00335F5E"/>
    <w:rsid w:val="003363CF"/>
    <w:rsid w:val="003364EE"/>
    <w:rsid w:val="00336C3D"/>
    <w:rsid w:val="0033770D"/>
    <w:rsid w:val="00337BC1"/>
    <w:rsid w:val="00337BEF"/>
    <w:rsid w:val="00337E29"/>
    <w:rsid w:val="00340432"/>
    <w:rsid w:val="00340544"/>
    <w:rsid w:val="00340C84"/>
    <w:rsid w:val="00340DBF"/>
    <w:rsid w:val="00341D19"/>
    <w:rsid w:val="003427E6"/>
    <w:rsid w:val="003447E0"/>
    <w:rsid w:val="00344EAD"/>
    <w:rsid w:val="00347101"/>
    <w:rsid w:val="00347681"/>
    <w:rsid w:val="003511C2"/>
    <w:rsid w:val="0035139B"/>
    <w:rsid w:val="00351EF3"/>
    <w:rsid w:val="00352413"/>
    <w:rsid w:val="00352B1A"/>
    <w:rsid w:val="0035350D"/>
    <w:rsid w:val="00353EDB"/>
    <w:rsid w:val="00353F86"/>
    <w:rsid w:val="003542B6"/>
    <w:rsid w:val="003542D7"/>
    <w:rsid w:val="003547A1"/>
    <w:rsid w:val="0035582C"/>
    <w:rsid w:val="00355F22"/>
    <w:rsid w:val="0035776C"/>
    <w:rsid w:val="00357963"/>
    <w:rsid w:val="00357C49"/>
    <w:rsid w:val="00357D4B"/>
    <w:rsid w:val="003603DB"/>
    <w:rsid w:val="00360509"/>
    <w:rsid w:val="00360ADA"/>
    <w:rsid w:val="00360CCE"/>
    <w:rsid w:val="00361635"/>
    <w:rsid w:val="00362E78"/>
    <w:rsid w:val="003632C3"/>
    <w:rsid w:val="003639CB"/>
    <w:rsid w:val="00363A48"/>
    <w:rsid w:val="0036484F"/>
    <w:rsid w:val="0036494E"/>
    <w:rsid w:val="003655ED"/>
    <w:rsid w:val="00365A7A"/>
    <w:rsid w:val="00365D05"/>
    <w:rsid w:val="00366C7B"/>
    <w:rsid w:val="00366EE5"/>
    <w:rsid w:val="0036753E"/>
    <w:rsid w:val="00367860"/>
    <w:rsid w:val="0037025F"/>
    <w:rsid w:val="00370476"/>
    <w:rsid w:val="00370598"/>
    <w:rsid w:val="003708DF"/>
    <w:rsid w:val="0037118D"/>
    <w:rsid w:val="00372138"/>
    <w:rsid w:val="00372DD2"/>
    <w:rsid w:val="003735B7"/>
    <w:rsid w:val="00373902"/>
    <w:rsid w:val="00373B5D"/>
    <w:rsid w:val="00373C66"/>
    <w:rsid w:val="00373E1C"/>
    <w:rsid w:val="00373FB5"/>
    <w:rsid w:val="00374ACF"/>
    <w:rsid w:val="0037506F"/>
    <w:rsid w:val="0037592C"/>
    <w:rsid w:val="0037644A"/>
    <w:rsid w:val="003769D2"/>
    <w:rsid w:val="00376B7E"/>
    <w:rsid w:val="00377653"/>
    <w:rsid w:val="00377AB9"/>
    <w:rsid w:val="0038171A"/>
    <w:rsid w:val="00381992"/>
    <w:rsid w:val="003821CE"/>
    <w:rsid w:val="003825F8"/>
    <w:rsid w:val="00382632"/>
    <w:rsid w:val="00383AB9"/>
    <w:rsid w:val="00383B8A"/>
    <w:rsid w:val="00383CF4"/>
    <w:rsid w:val="00384124"/>
    <w:rsid w:val="0038421F"/>
    <w:rsid w:val="00384B20"/>
    <w:rsid w:val="00385D34"/>
    <w:rsid w:val="00385D38"/>
    <w:rsid w:val="00386811"/>
    <w:rsid w:val="00386C72"/>
    <w:rsid w:val="00386DED"/>
    <w:rsid w:val="00386E0F"/>
    <w:rsid w:val="00387280"/>
    <w:rsid w:val="00387409"/>
    <w:rsid w:val="00387643"/>
    <w:rsid w:val="003876F6"/>
    <w:rsid w:val="00387BE6"/>
    <w:rsid w:val="00387CB0"/>
    <w:rsid w:val="003909B1"/>
    <w:rsid w:val="00390B02"/>
    <w:rsid w:val="003919C0"/>
    <w:rsid w:val="00391DBB"/>
    <w:rsid w:val="00391E6F"/>
    <w:rsid w:val="00391ECD"/>
    <w:rsid w:val="00392144"/>
    <w:rsid w:val="00392E97"/>
    <w:rsid w:val="0039301C"/>
    <w:rsid w:val="00393EE4"/>
    <w:rsid w:val="00393F1E"/>
    <w:rsid w:val="003941A7"/>
    <w:rsid w:val="00394605"/>
    <w:rsid w:val="003959A3"/>
    <w:rsid w:val="0039635D"/>
    <w:rsid w:val="00396A80"/>
    <w:rsid w:val="00396D71"/>
    <w:rsid w:val="003974E4"/>
    <w:rsid w:val="00397CEE"/>
    <w:rsid w:val="00397E8B"/>
    <w:rsid w:val="003A0442"/>
    <w:rsid w:val="003A0C38"/>
    <w:rsid w:val="003A0F2C"/>
    <w:rsid w:val="003A11C1"/>
    <w:rsid w:val="003A1E50"/>
    <w:rsid w:val="003A2CA5"/>
    <w:rsid w:val="003A2D18"/>
    <w:rsid w:val="003A2E69"/>
    <w:rsid w:val="003A3A79"/>
    <w:rsid w:val="003A3C08"/>
    <w:rsid w:val="003A3DF4"/>
    <w:rsid w:val="003A3EFD"/>
    <w:rsid w:val="003A41F2"/>
    <w:rsid w:val="003A4A11"/>
    <w:rsid w:val="003A4A2C"/>
    <w:rsid w:val="003A4B1E"/>
    <w:rsid w:val="003A5685"/>
    <w:rsid w:val="003A5730"/>
    <w:rsid w:val="003A5B96"/>
    <w:rsid w:val="003A5C0E"/>
    <w:rsid w:val="003A60BC"/>
    <w:rsid w:val="003A6117"/>
    <w:rsid w:val="003A6E4E"/>
    <w:rsid w:val="003A6E79"/>
    <w:rsid w:val="003B0365"/>
    <w:rsid w:val="003B07AC"/>
    <w:rsid w:val="003B086F"/>
    <w:rsid w:val="003B224C"/>
    <w:rsid w:val="003B23AA"/>
    <w:rsid w:val="003B267B"/>
    <w:rsid w:val="003B29D7"/>
    <w:rsid w:val="003B2B0A"/>
    <w:rsid w:val="003B2C27"/>
    <w:rsid w:val="003B40FF"/>
    <w:rsid w:val="003B4827"/>
    <w:rsid w:val="003B4DF8"/>
    <w:rsid w:val="003B5202"/>
    <w:rsid w:val="003B5690"/>
    <w:rsid w:val="003B5BFC"/>
    <w:rsid w:val="003B5CB1"/>
    <w:rsid w:val="003B5CB8"/>
    <w:rsid w:val="003B6072"/>
    <w:rsid w:val="003B62F7"/>
    <w:rsid w:val="003B66A8"/>
    <w:rsid w:val="003B72C4"/>
    <w:rsid w:val="003B731A"/>
    <w:rsid w:val="003B7D6B"/>
    <w:rsid w:val="003B7DA6"/>
    <w:rsid w:val="003C0531"/>
    <w:rsid w:val="003C11DB"/>
    <w:rsid w:val="003C1636"/>
    <w:rsid w:val="003C2154"/>
    <w:rsid w:val="003C21A7"/>
    <w:rsid w:val="003C2A30"/>
    <w:rsid w:val="003C34F4"/>
    <w:rsid w:val="003C3A8B"/>
    <w:rsid w:val="003C46D1"/>
    <w:rsid w:val="003C478D"/>
    <w:rsid w:val="003C522E"/>
    <w:rsid w:val="003C5F80"/>
    <w:rsid w:val="003C7127"/>
    <w:rsid w:val="003C72A2"/>
    <w:rsid w:val="003C741F"/>
    <w:rsid w:val="003C7587"/>
    <w:rsid w:val="003C76B5"/>
    <w:rsid w:val="003C7EB6"/>
    <w:rsid w:val="003C7F2C"/>
    <w:rsid w:val="003C7F84"/>
    <w:rsid w:val="003D0559"/>
    <w:rsid w:val="003D08A2"/>
    <w:rsid w:val="003D0E77"/>
    <w:rsid w:val="003D16A5"/>
    <w:rsid w:val="003D1ABB"/>
    <w:rsid w:val="003D1F6E"/>
    <w:rsid w:val="003D24DF"/>
    <w:rsid w:val="003D2AB9"/>
    <w:rsid w:val="003D2B5F"/>
    <w:rsid w:val="003D328B"/>
    <w:rsid w:val="003D37B0"/>
    <w:rsid w:val="003D411F"/>
    <w:rsid w:val="003D4284"/>
    <w:rsid w:val="003D46FA"/>
    <w:rsid w:val="003D4A2F"/>
    <w:rsid w:val="003D5874"/>
    <w:rsid w:val="003D5D70"/>
    <w:rsid w:val="003D6045"/>
    <w:rsid w:val="003D61DB"/>
    <w:rsid w:val="003D6966"/>
    <w:rsid w:val="003D7873"/>
    <w:rsid w:val="003D7DC2"/>
    <w:rsid w:val="003E08E4"/>
    <w:rsid w:val="003E0DAF"/>
    <w:rsid w:val="003E1C2C"/>
    <w:rsid w:val="003E1DAA"/>
    <w:rsid w:val="003E1F52"/>
    <w:rsid w:val="003E2AEC"/>
    <w:rsid w:val="003E3022"/>
    <w:rsid w:val="003E3936"/>
    <w:rsid w:val="003E3AEF"/>
    <w:rsid w:val="003E3B53"/>
    <w:rsid w:val="003E3C92"/>
    <w:rsid w:val="003E3F77"/>
    <w:rsid w:val="003E4316"/>
    <w:rsid w:val="003E4886"/>
    <w:rsid w:val="003E5683"/>
    <w:rsid w:val="003E661C"/>
    <w:rsid w:val="003E6D04"/>
    <w:rsid w:val="003E6D3F"/>
    <w:rsid w:val="003E79F5"/>
    <w:rsid w:val="003E7D2E"/>
    <w:rsid w:val="003F0945"/>
    <w:rsid w:val="003F09D8"/>
    <w:rsid w:val="003F09EF"/>
    <w:rsid w:val="003F0CC2"/>
    <w:rsid w:val="003F161D"/>
    <w:rsid w:val="003F1815"/>
    <w:rsid w:val="003F1C3D"/>
    <w:rsid w:val="003F2797"/>
    <w:rsid w:val="003F3214"/>
    <w:rsid w:val="003F361D"/>
    <w:rsid w:val="003F3FD5"/>
    <w:rsid w:val="003F408E"/>
    <w:rsid w:val="003F40DF"/>
    <w:rsid w:val="003F41A7"/>
    <w:rsid w:val="003F422B"/>
    <w:rsid w:val="003F46DC"/>
    <w:rsid w:val="003F54BE"/>
    <w:rsid w:val="003F589E"/>
    <w:rsid w:val="003F5BF1"/>
    <w:rsid w:val="003F68B0"/>
    <w:rsid w:val="003F71D1"/>
    <w:rsid w:val="003F731D"/>
    <w:rsid w:val="003F7461"/>
    <w:rsid w:val="003F7AA6"/>
    <w:rsid w:val="003F7F09"/>
    <w:rsid w:val="004000CD"/>
    <w:rsid w:val="0040046A"/>
    <w:rsid w:val="00400B1F"/>
    <w:rsid w:val="004016BC"/>
    <w:rsid w:val="004017D3"/>
    <w:rsid w:val="00401C56"/>
    <w:rsid w:val="004026B0"/>
    <w:rsid w:val="00402E32"/>
    <w:rsid w:val="00403629"/>
    <w:rsid w:val="00404965"/>
    <w:rsid w:val="00404C15"/>
    <w:rsid w:val="0040520B"/>
    <w:rsid w:val="00405400"/>
    <w:rsid w:val="00405562"/>
    <w:rsid w:val="00405716"/>
    <w:rsid w:val="00405CD6"/>
    <w:rsid w:val="00405E7A"/>
    <w:rsid w:val="00406164"/>
    <w:rsid w:val="004066E8"/>
    <w:rsid w:val="004068B7"/>
    <w:rsid w:val="0040716E"/>
    <w:rsid w:val="0040734B"/>
    <w:rsid w:val="004077BB"/>
    <w:rsid w:val="004103EF"/>
    <w:rsid w:val="00410BEF"/>
    <w:rsid w:val="00411711"/>
    <w:rsid w:val="00411D8F"/>
    <w:rsid w:val="00411F8A"/>
    <w:rsid w:val="00412306"/>
    <w:rsid w:val="00412376"/>
    <w:rsid w:val="004123C7"/>
    <w:rsid w:val="004124A2"/>
    <w:rsid w:val="0041358B"/>
    <w:rsid w:val="00413AA4"/>
    <w:rsid w:val="00413E26"/>
    <w:rsid w:val="00413E29"/>
    <w:rsid w:val="004141A2"/>
    <w:rsid w:val="004142DA"/>
    <w:rsid w:val="00414417"/>
    <w:rsid w:val="004146ED"/>
    <w:rsid w:val="00414931"/>
    <w:rsid w:val="00415264"/>
    <w:rsid w:val="00415619"/>
    <w:rsid w:val="00416F30"/>
    <w:rsid w:val="004178E1"/>
    <w:rsid w:val="00417FCB"/>
    <w:rsid w:val="00420F37"/>
    <w:rsid w:val="00421FB6"/>
    <w:rsid w:val="00422F78"/>
    <w:rsid w:val="0042323D"/>
    <w:rsid w:val="00423993"/>
    <w:rsid w:val="00424FDB"/>
    <w:rsid w:val="0042563A"/>
    <w:rsid w:val="004259B8"/>
    <w:rsid w:val="0042634C"/>
    <w:rsid w:val="0042642D"/>
    <w:rsid w:val="004264E9"/>
    <w:rsid w:val="0042657D"/>
    <w:rsid w:val="004265CA"/>
    <w:rsid w:val="004269BE"/>
    <w:rsid w:val="00426D50"/>
    <w:rsid w:val="00426E63"/>
    <w:rsid w:val="00427043"/>
    <w:rsid w:val="004272DF"/>
    <w:rsid w:val="004273B8"/>
    <w:rsid w:val="00427775"/>
    <w:rsid w:val="004278A8"/>
    <w:rsid w:val="00427D12"/>
    <w:rsid w:val="00427F27"/>
    <w:rsid w:val="004304A9"/>
    <w:rsid w:val="004307E0"/>
    <w:rsid w:val="00430E41"/>
    <w:rsid w:val="00431532"/>
    <w:rsid w:val="00431626"/>
    <w:rsid w:val="00431D72"/>
    <w:rsid w:val="004324DC"/>
    <w:rsid w:val="004325E2"/>
    <w:rsid w:val="00432ED4"/>
    <w:rsid w:val="00433101"/>
    <w:rsid w:val="00433478"/>
    <w:rsid w:val="0043368B"/>
    <w:rsid w:val="00433CA2"/>
    <w:rsid w:val="0043431A"/>
    <w:rsid w:val="0043457C"/>
    <w:rsid w:val="00434841"/>
    <w:rsid w:val="00434A63"/>
    <w:rsid w:val="00434A71"/>
    <w:rsid w:val="00434D25"/>
    <w:rsid w:val="004360B1"/>
    <w:rsid w:val="00436283"/>
    <w:rsid w:val="00436528"/>
    <w:rsid w:val="00436B7A"/>
    <w:rsid w:val="00436D4B"/>
    <w:rsid w:val="0043742D"/>
    <w:rsid w:val="004374CB"/>
    <w:rsid w:val="00441872"/>
    <w:rsid w:val="00441C8E"/>
    <w:rsid w:val="004433DF"/>
    <w:rsid w:val="0044470C"/>
    <w:rsid w:val="00445A24"/>
    <w:rsid w:val="00445CE7"/>
    <w:rsid w:val="00446B85"/>
    <w:rsid w:val="00446EA7"/>
    <w:rsid w:val="00447AC0"/>
    <w:rsid w:val="0045053F"/>
    <w:rsid w:val="00450A7F"/>
    <w:rsid w:val="00450DB9"/>
    <w:rsid w:val="0045117C"/>
    <w:rsid w:val="00451399"/>
    <w:rsid w:val="004513C5"/>
    <w:rsid w:val="004513F3"/>
    <w:rsid w:val="0045215C"/>
    <w:rsid w:val="00452459"/>
    <w:rsid w:val="00452925"/>
    <w:rsid w:val="00454C6F"/>
    <w:rsid w:val="00454E83"/>
    <w:rsid w:val="00455636"/>
    <w:rsid w:val="0045581D"/>
    <w:rsid w:val="00455DCD"/>
    <w:rsid w:val="00456611"/>
    <w:rsid w:val="004567CD"/>
    <w:rsid w:val="0045683E"/>
    <w:rsid w:val="00456D15"/>
    <w:rsid w:val="00457080"/>
    <w:rsid w:val="004571EA"/>
    <w:rsid w:val="004573BB"/>
    <w:rsid w:val="0045743E"/>
    <w:rsid w:val="004574CA"/>
    <w:rsid w:val="004579CF"/>
    <w:rsid w:val="00457A76"/>
    <w:rsid w:val="00457D2F"/>
    <w:rsid w:val="00457F76"/>
    <w:rsid w:val="0046167D"/>
    <w:rsid w:val="00461B06"/>
    <w:rsid w:val="00461C14"/>
    <w:rsid w:val="00461EA1"/>
    <w:rsid w:val="00462237"/>
    <w:rsid w:val="00462481"/>
    <w:rsid w:val="00462BD0"/>
    <w:rsid w:val="00462D4B"/>
    <w:rsid w:val="0046343A"/>
    <w:rsid w:val="0046466E"/>
    <w:rsid w:val="0046518F"/>
    <w:rsid w:val="00465A77"/>
    <w:rsid w:val="004668B4"/>
    <w:rsid w:val="0046711C"/>
    <w:rsid w:val="00467137"/>
    <w:rsid w:val="004673A3"/>
    <w:rsid w:val="0046755B"/>
    <w:rsid w:val="00467E76"/>
    <w:rsid w:val="004706AC"/>
    <w:rsid w:val="004711CE"/>
    <w:rsid w:val="0047180A"/>
    <w:rsid w:val="0047188A"/>
    <w:rsid w:val="00472C95"/>
    <w:rsid w:val="004737AC"/>
    <w:rsid w:val="00474900"/>
    <w:rsid w:val="0047576B"/>
    <w:rsid w:val="004777C0"/>
    <w:rsid w:val="00477DD6"/>
    <w:rsid w:val="00477FB0"/>
    <w:rsid w:val="0048020B"/>
    <w:rsid w:val="00481ADB"/>
    <w:rsid w:val="00481E58"/>
    <w:rsid w:val="00482247"/>
    <w:rsid w:val="00482593"/>
    <w:rsid w:val="00482B02"/>
    <w:rsid w:val="00482DE8"/>
    <w:rsid w:val="00482E8C"/>
    <w:rsid w:val="00483595"/>
    <w:rsid w:val="00483631"/>
    <w:rsid w:val="004838FD"/>
    <w:rsid w:val="00484163"/>
    <w:rsid w:val="004845CB"/>
    <w:rsid w:val="0048465B"/>
    <w:rsid w:val="00484A4D"/>
    <w:rsid w:val="00484DFE"/>
    <w:rsid w:val="0048546C"/>
    <w:rsid w:val="00485B60"/>
    <w:rsid w:val="00486371"/>
    <w:rsid w:val="00486F1F"/>
    <w:rsid w:val="0048722A"/>
    <w:rsid w:val="00487B2C"/>
    <w:rsid w:val="004905BB"/>
    <w:rsid w:val="00490BE8"/>
    <w:rsid w:val="00490C3F"/>
    <w:rsid w:val="00490F23"/>
    <w:rsid w:val="00491CB8"/>
    <w:rsid w:val="00492019"/>
    <w:rsid w:val="0049214B"/>
    <w:rsid w:val="0049251B"/>
    <w:rsid w:val="0049295C"/>
    <w:rsid w:val="00492985"/>
    <w:rsid w:val="00492ED3"/>
    <w:rsid w:val="00493697"/>
    <w:rsid w:val="00494081"/>
    <w:rsid w:val="004946FF"/>
    <w:rsid w:val="00494CB0"/>
    <w:rsid w:val="00494ECC"/>
    <w:rsid w:val="004950D9"/>
    <w:rsid w:val="00495C21"/>
    <w:rsid w:val="00495EDC"/>
    <w:rsid w:val="004961A9"/>
    <w:rsid w:val="004963FE"/>
    <w:rsid w:val="004969E6"/>
    <w:rsid w:val="00496E0E"/>
    <w:rsid w:val="00496F1C"/>
    <w:rsid w:val="00497ABA"/>
    <w:rsid w:val="004A00B6"/>
    <w:rsid w:val="004A0257"/>
    <w:rsid w:val="004A0C91"/>
    <w:rsid w:val="004A0D87"/>
    <w:rsid w:val="004A0E21"/>
    <w:rsid w:val="004A1DCF"/>
    <w:rsid w:val="004A2079"/>
    <w:rsid w:val="004A29A3"/>
    <w:rsid w:val="004A2E8B"/>
    <w:rsid w:val="004A30DB"/>
    <w:rsid w:val="004A42E8"/>
    <w:rsid w:val="004A48AD"/>
    <w:rsid w:val="004A4EA6"/>
    <w:rsid w:val="004A4F4C"/>
    <w:rsid w:val="004A5031"/>
    <w:rsid w:val="004A51FC"/>
    <w:rsid w:val="004A5278"/>
    <w:rsid w:val="004A56A4"/>
    <w:rsid w:val="004A5A02"/>
    <w:rsid w:val="004A5F66"/>
    <w:rsid w:val="004A610B"/>
    <w:rsid w:val="004A6270"/>
    <w:rsid w:val="004A643B"/>
    <w:rsid w:val="004A7920"/>
    <w:rsid w:val="004A7A0C"/>
    <w:rsid w:val="004B1043"/>
    <w:rsid w:val="004B1347"/>
    <w:rsid w:val="004B15EB"/>
    <w:rsid w:val="004B1DDD"/>
    <w:rsid w:val="004B1EC2"/>
    <w:rsid w:val="004B246B"/>
    <w:rsid w:val="004B28E6"/>
    <w:rsid w:val="004B2925"/>
    <w:rsid w:val="004B2C98"/>
    <w:rsid w:val="004B3953"/>
    <w:rsid w:val="004B3AF1"/>
    <w:rsid w:val="004B3C77"/>
    <w:rsid w:val="004B4171"/>
    <w:rsid w:val="004B47E0"/>
    <w:rsid w:val="004B4FF4"/>
    <w:rsid w:val="004B5284"/>
    <w:rsid w:val="004B587F"/>
    <w:rsid w:val="004B58C8"/>
    <w:rsid w:val="004B6493"/>
    <w:rsid w:val="004B659B"/>
    <w:rsid w:val="004B6DDE"/>
    <w:rsid w:val="004B6E48"/>
    <w:rsid w:val="004B70D0"/>
    <w:rsid w:val="004B7B45"/>
    <w:rsid w:val="004B7E55"/>
    <w:rsid w:val="004B7F15"/>
    <w:rsid w:val="004C02C8"/>
    <w:rsid w:val="004C044D"/>
    <w:rsid w:val="004C0AF3"/>
    <w:rsid w:val="004C0BB4"/>
    <w:rsid w:val="004C0F1A"/>
    <w:rsid w:val="004C207F"/>
    <w:rsid w:val="004C20D8"/>
    <w:rsid w:val="004C2532"/>
    <w:rsid w:val="004C2FC5"/>
    <w:rsid w:val="004C3286"/>
    <w:rsid w:val="004C33DF"/>
    <w:rsid w:val="004C3A56"/>
    <w:rsid w:val="004C4971"/>
    <w:rsid w:val="004C4E46"/>
    <w:rsid w:val="004C4EE8"/>
    <w:rsid w:val="004C50BB"/>
    <w:rsid w:val="004C55D4"/>
    <w:rsid w:val="004C5B60"/>
    <w:rsid w:val="004C6199"/>
    <w:rsid w:val="004C77C6"/>
    <w:rsid w:val="004C7820"/>
    <w:rsid w:val="004C7AA9"/>
    <w:rsid w:val="004C7CF5"/>
    <w:rsid w:val="004D013B"/>
    <w:rsid w:val="004D0147"/>
    <w:rsid w:val="004D0187"/>
    <w:rsid w:val="004D0734"/>
    <w:rsid w:val="004D29E5"/>
    <w:rsid w:val="004D3275"/>
    <w:rsid w:val="004D32D3"/>
    <w:rsid w:val="004D3564"/>
    <w:rsid w:val="004D3688"/>
    <w:rsid w:val="004D3DF0"/>
    <w:rsid w:val="004D3F85"/>
    <w:rsid w:val="004D4254"/>
    <w:rsid w:val="004D5C87"/>
    <w:rsid w:val="004D608D"/>
    <w:rsid w:val="004D6263"/>
    <w:rsid w:val="004D6DF4"/>
    <w:rsid w:val="004D7202"/>
    <w:rsid w:val="004D76DC"/>
    <w:rsid w:val="004D7782"/>
    <w:rsid w:val="004D7A17"/>
    <w:rsid w:val="004D7D4F"/>
    <w:rsid w:val="004E0287"/>
    <w:rsid w:val="004E0300"/>
    <w:rsid w:val="004E082C"/>
    <w:rsid w:val="004E1940"/>
    <w:rsid w:val="004E2136"/>
    <w:rsid w:val="004E2252"/>
    <w:rsid w:val="004E225B"/>
    <w:rsid w:val="004E2744"/>
    <w:rsid w:val="004E2E77"/>
    <w:rsid w:val="004E35B4"/>
    <w:rsid w:val="004E3657"/>
    <w:rsid w:val="004E3736"/>
    <w:rsid w:val="004E3738"/>
    <w:rsid w:val="004E4280"/>
    <w:rsid w:val="004E43CE"/>
    <w:rsid w:val="004E4909"/>
    <w:rsid w:val="004E4E3E"/>
    <w:rsid w:val="004E50A9"/>
    <w:rsid w:val="004E5199"/>
    <w:rsid w:val="004E5CAF"/>
    <w:rsid w:val="004E5D73"/>
    <w:rsid w:val="004E5E03"/>
    <w:rsid w:val="004E6566"/>
    <w:rsid w:val="004E67CA"/>
    <w:rsid w:val="004E69E4"/>
    <w:rsid w:val="004E70ED"/>
    <w:rsid w:val="004E7178"/>
    <w:rsid w:val="004E717D"/>
    <w:rsid w:val="004E7C7F"/>
    <w:rsid w:val="004E7D2D"/>
    <w:rsid w:val="004F0249"/>
    <w:rsid w:val="004F0615"/>
    <w:rsid w:val="004F07C6"/>
    <w:rsid w:val="004F08B1"/>
    <w:rsid w:val="004F0939"/>
    <w:rsid w:val="004F0FE6"/>
    <w:rsid w:val="004F2141"/>
    <w:rsid w:val="004F2304"/>
    <w:rsid w:val="004F30CB"/>
    <w:rsid w:val="004F33DD"/>
    <w:rsid w:val="004F3C28"/>
    <w:rsid w:val="004F4183"/>
    <w:rsid w:val="004F4417"/>
    <w:rsid w:val="004F4DC2"/>
    <w:rsid w:val="004F630F"/>
    <w:rsid w:val="004F631D"/>
    <w:rsid w:val="004F6900"/>
    <w:rsid w:val="004F7753"/>
    <w:rsid w:val="004F7763"/>
    <w:rsid w:val="005007D0"/>
    <w:rsid w:val="00501350"/>
    <w:rsid w:val="0050142D"/>
    <w:rsid w:val="00501F95"/>
    <w:rsid w:val="0050254D"/>
    <w:rsid w:val="0050277F"/>
    <w:rsid w:val="00503A7C"/>
    <w:rsid w:val="00503E28"/>
    <w:rsid w:val="00503E7B"/>
    <w:rsid w:val="00504B2E"/>
    <w:rsid w:val="00505449"/>
    <w:rsid w:val="00505600"/>
    <w:rsid w:val="0050567F"/>
    <w:rsid w:val="005056EF"/>
    <w:rsid w:val="00506765"/>
    <w:rsid w:val="00506DD5"/>
    <w:rsid w:val="00507F8F"/>
    <w:rsid w:val="005100CA"/>
    <w:rsid w:val="00510657"/>
    <w:rsid w:val="00510A6B"/>
    <w:rsid w:val="0051127C"/>
    <w:rsid w:val="0051166A"/>
    <w:rsid w:val="00511B7E"/>
    <w:rsid w:val="00512481"/>
    <w:rsid w:val="0051330B"/>
    <w:rsid w:val="0051362E"/>
    <w:rsid w:val="00513741"/>
    <w:rsid w:val="00514F9F"/>
    <w:rsid w:val="00514FE7"/>
    <w:rsid w:val="0051575F"/>
    <w:rsid w:val="00516D89"/>
    <w:rsid w:val="00516EF1"/>
    <w:rsid w:val="005175DA"/>
    <w:rsid w:val="0052011E"/>
    <w:rsid w:val="005206B3"/>
    <w:rsid w:val="00520D9D"/>
    <w:rsid w:val="00521384"/>
    <w:rsid w:val="005222C7"/>
    <w:rsid w:val="005225F2"/>
    <w:rsid w:val="0052302A"/>
    <w:rsid w:val="00523863"/>
    <w:rsid w:val="00523C7C"/>
    <w:rsid w:val="00524168"/>
    <w:rsid w:val="005271F6"/>
    <w:rsid w:val="0052749F"/>
    <w:rsid w:val="00527648"/>
    <w:rsid w:val="00527DE0"/>
    <w:rsid w:val="005301E3"/>
    <w:rsid w:val="00530748"/>
    <w:rsid w:val="00531A6A"/>
    <w:rsid w:val="005325AD"/>
    <w:rsid w:val="00532852"/>
    <w:rsid w:val="00532885"/>
    <w:rsid w:val="0053349D"/>
    <w:rsid w:val="005336D5"/>
    <w:rsid w:val="00533FE1"/>
    <w:rsid w:val="00534384"/>
    <w:rsid w:val="00534422"/>
    <w:rsid w:val="00534F93"/>
    <w:rsid w:val="00535061"/>
    <w:rsid w:val="005354C5"/>
    <w:rsid w:val="00535CC5"/>
    <w:rsid w:val="00536B3A"/>
    <w:rsid w:val="0053719D"/>
    <w:rsid w:val="00537259"/>
    <w:rsid w:val="00537F91"/>
    <w:rsid w:val="00537FC8"/>
    <w:rsid w:val="005400A4"/>
    <w:rsid w:val="00540495"/>
    <w:rsid w:val="00540B56"/>
    <w:rsid w:val="00540C3A"/>
    <w:rsid w:val="00540E1B"/>
    <w:rsid w:val="0054110C"/>
    <w:rsid w:val="00541197"/>
    <w:rsid w:val="005411D3"/>
    <w:rsid w:val="00541C83"/>
    <w:rsid w:val="00541F4B"/>
    <w:rsid w:val="00542336"/>
    <w:rsid w:val="00544891"/>
    <w:rsid w:val="00545B4D"/>
    <w:rsid w:val="00546384"/>
    <w:rsid w:val="0054683F"/>
    <w:rsid w:val="00546D08"/>
    <w:rsid w:val="00546DE3"/>
    <w:rsid w:val="00546EB2"/>
    <w:rsid w:val="00546FB4"/>
    <w:rsid w:val="00547D21"/>
    <w:rsid w:val="0055029F"/>
    <w:rsid w:val="0055051C"/>
    <w:rsid w:val="0055081E"/>
    <w:rsid w:val="00551022"/>
    <w:rsid w:val="00551192"/>
    <w:rsid w:val="00551602"/>
    <w:rsid w:val="00551621"/>
    <w:rsid w:val="0055229E"/>
    <w:rsid w:val="0055277E"/>
    <w:rsid w:val="005529D9"/>
    <w:rsid w:val="005531E6"/>
    <w:rsid w:val="0055358D"/>
    <w:rsid w:val="00553710"/>
    <w:rsid w:val="00553843"/>
    <w:rsid w:val="005539BD"/>
    <w:rsid w:val="00553EF0"/>
    <w:rsid w:val="00553F8B"/>
    <w:rsid w:val="005542F1"/>
    <w:rsid w:val="00554627"/>
    <w:rsid w:val="00554EE7"/>
    <w:rsid w:val="00555133"/>
    <w:rsid w:val="005565CC"/>
    <w:rsid w:val="005572FB"/>
    <w:rsid w:val="0055768A"/>
    <w:rsid w:val="00560A5B"/>
    <w:rsid w:val="00560B6F"/>
    <w:rsid w:val="0056133F"/>
    <w:rsid w:val="005615DC"/>
    <w:rsid w:val="00561AEF"/>
    <w:rsid w:val="00561E42"/>
    <w:rsid w:val="00562158"/>
    <w:rsid w:val="0056254D"/>
    <w:rsid w:val="005626F9"/>
    <w:rsid w:val="005628EA"/>
    <w:rsid w:val="00562F99"/>
    <w:rsid w:val="00563285"/>
    <w:rsid w:val="005641D8"/>
    <w:rsid w:val="005643A6"/>
    <w:rsid w:val="00564564"/>
    <w:rsid w:val="00564DB4"/>
    <w:rsid w:val="0056507F"/>
    <w:rsid w:val="0056532F"/>
    <w:rsid w:val="005658CF"/>
    <w:rsid w:val="00565A85"/>
    <w:rsid w:val="0056611E"/>
    <w:rsid w:val="00566305"/>
    <w:rsid w:val="00567A3F"/>
    <w:rsid w:val="00570214"/>
    <w:rsid w:val="00570568"/>
    <w:rsid w:val="00571681"/>
    <w:rsid w:val="00571C81"/>
    <w:rsid w:val="005720B8"/>
    <w:rsid w:val="00572299"/>
    <w:rsid w:val="005726B3"/>
    <w:rsid w:val="00572AF1"/>
    <w:rsid w:val="00572BF7"/>
    <w:rsid w:val="00572E35"/>
    <w:rsid w:val="00573C2B"/>
    <w:rsid w:val="00574B6F"/>
    <w:rsid w:val="005752F7"/>
    <w:rsid w:val="0057588D"/>
    <w:rsid w:val="00576803"/>
    <w:rsid w:val="0057684E"/>
    <w:rsid w:val="00576B12"/>
    <w:rsid w:val="0057765E"/>
    <w:rsid w:val="0057771B"/>
    <w:rsid w:val="00577861"/>
    <w:rsid w:val="005804A9"/>
    <w:rsid w:val="00580BFA"/>
    <w:rsid w:val="00580E82"/>
    <w:rsid w:val="005811EF"/>
    <w:rsid w:val="00581457"/>
    <w:rsid w:val="0058167A"/>
    <w:rsid w:val="00581697"/>
    <w:rsid w:val="00582366"/>
    <w:rsid w:val="005823CF"/>
    <w:rsid w:val="00582575"/>
    <w:rsid w:val="00582F80"/>
    <w:rsid w:val="00583A07"/>
    <w:rsid w:val="005845DD"/>
    <w:rsid w:val="00584B76"/>
    <w:rsid w:val="0058553B"/>
    <w:rsid w:val="005863D1"/>
    <w:rsid w:val="005867D1"/>
    <w:rsid w:val="005869E0"/>
    <w:rsid w:val="005871DC"/>
    <w:rsid w:val="00587AE7"/>
    <w:rsid w:val="00590023"/>
    <w:rsid w:val="0059156C"/>
    <w:rsid w:val="00591E21"/>
    <w:rsid w:val="005924B6"/>
    <w:rsid w:val="005925D0"/>
    <w:rsid w:val="005927CF"/>
    <w:rsid w:val="00592BF9"/>
    <w:rsid w:val="00592D42"/>
    <w:rsid w:val="00594182"/>
    <w:rsid w:val="005945CD"/>
    <w:rsid w:val="0059483B"/>
    <w:rsid w:val="00595E58"/>
    <w:rsid w:val="00595FA3"/>
    <w:rsid w:val="00596D38"/>
    <w:rsid w:val="005973FC"/>
    <w:rsid w:val="005979D4"/>
    <w:rsid w:val="00597BA5"/>
    <w:rsid w:val="005A0471"/>
    <w:rsid w:val="005A0DF3"/>
    <w:rsid w:val="005A0E8F"/>
    <w:rsid w:val="005A11E2"/>
    <w:rsid w:val="005A1270"/>
    <w:rsid w:val="005A1A24"/>
    <w:rsid w:val="005A2B0C"/>
    <w:rsid w:val="005A3323"/>
    <w:rsid w:val="005A345C"/>
    <w:rsid w:val="005A38D2"/>
    <w:rsid w:val="005A3A87"/>
    <w:rsid w:val="005A3E49"/>
    <w:rsid w:val="005A47FC"/>
    <w:rsid w:val="005A5304"/>
    <w:rsid w:val="005A57A3"/>
    <w:rsid w:val="005A63C8"/>
    <w:rsid w:val="005A667F"/>
    <w:rsid w:val="005A69E9"/>
    <w:rsid w:val="005A7444"/>
    <w:rsid w:val="005A7708"/>
    <w:rsid w:val="005A778D"/>
    <w:rsid w:val="005A7ECA"/>
    <w:rsid w:val="005A7FEE"/>
    <w:rsid w:val="005B0400"/>
    <w:rsid w:val="005B0F2B"/>
    <w:rsid w:val="005B1538"/>
    <w:rsid w:val="005B15EB"/>
    <w:rsid w:val="005B1716"/>
    <w:rsid w:val="005B1C05"/>
    <w:rsid w:val="005B1EC3"/>
    <w:rsid w:val="005B21F7"/>
    <w:rsid w:val="005B2350"/>
    <w:rsid w:val="005B2A42"/>
    <w:rsid w:val="005B2AF3"/>
    <w:rsid w:val="005B2E7D"/>
    <w:rsid w:val="005B3455"/>
    <w:rsid w:val="005B3732"/>
    <w:rsid w:val="005B4588"/>
    <w:rsid w:val="005B4C69"/>
    <w:rsid w:val="005B4D4F"/>
    <w:rsid w:val="005B4F69"/>
    <w:rsid w:val="005B5C6A"/>
    <w:rsid w:val="005B5FFA"/>
    <w:rsid w:val="005B666D"/>
    <w:rsid w:val="005B66E1"/>
    <w:rsid w:val="005B6C8F"/>
    <w:rsid w:val="005B710D"/>
    <w:rsid w:val="005B77D0"/>
    <w:rsid w:val="005B780B"/>
    <w:rsid w:val="005B78AA"/>
    <w:rsid w:val="005B7A5E"/>
    <w:rsid w:val="005B7B0D"/>
    <w:rsid w:val="005B7B59"/>
    <w:rsid w:val="005C01A2"/>
    <w:rsid w:val="005C047E"/>
    <w:rsid w:val="005C0D4E"/>
    <w:rsid w:val="005C24C0"/>
    <w:rsid w:val="005C275B"/>
    <w:rsid w:val="005C28C8"/>
    <w:rsid w:val="005C2973"/>
    <w:rsid w:val="005C3D42"/>
    <w:rsid w:val="005C3EC9"/>
    <w:rsid w:val="005C51ED"/>
    <w:rsid w:val="005C540B"/>
    <w:rsid w:val="005C55F4"/>
    <w:rsid w:val="005C562F"/>
    <w:rsid w:val="005C6300"/>
    <w:rsid w:val="005C6904"/>
    <w:rsid w:val="005C74FE"/>
    <w:rsid w:val="005C7E1C"/>
    <w:rsid w:val="005D0A2C"/>
    <w:rsid w:val="005D117E"/>
    <w:rsid w:val="005D171B"/>
    <w:rsid w:val="005D1914"/>
    <w:rsid w:val="005D1A85"/>
    <w:rsid w:val="005D1CC0"/>
    <w:rsid w:val="005D3087"/>
    <w:rsid w:val="005D3252"/>
    <w:rsid w:val="005D39DB"/>
    <w:rsid w:val="005D4255"/>
    <w:rsid w:val="005D5026"/>
    <w:rsid w:val="005D5F11"/>
    <w:rsid w:val="005D62EC"/>
    <w:rsid w:val="005D70C6"/>
    <w:rsid w:val="005D738A"/>
    <w:rsid w:val="005D73AC"/>
    <w:rsid w:val="005D76E6"/>
    <w:rsid w:val="005E1E90"/>
    <w:rsid w:val="005E22D0"/>
    <w:rsid w:val="005E2823"/>
    <w:rsid w:val="005E319E"/>
    <w:rsid w:val="005E324F"/>
    <w:rsid w:val="005E3283"/>
    <w:rsid w:val="005E33FE"/>
    <w:rsid w:val="005E34F3"/>
    <w:rsid w:val="005E3898"/>
    <w:rsid w:val="005E3FE6"/>
    <w:rsid w:val="005E4062"/>
    <w:rsid w:val="005E40BB"/>
    <w:rsid w:val="005E5078"/>
    <w:rsid w:val="005E5A39"/>
    <w:rsid w:val="005E619A"/>
    <w:rsid w:val="005E62F7"/>
    <w:rsid w:val="005E6C9A"/>
    <w:rsid w:val="005E71A8"/>
    <w:rsid w:val="005E735F"/>
    <w:rsid w:val="005F08B4"/>
    <w:rsid w:val="005F0CD0"/>
    <w:rsid w:val="005F0EDE"/>
    <w:rsid w:val="005F1587"/>
    <w:rsid w:val="005F17AC"/>
    <w:rsid w:val="005F182A"/>
    <w:rsid w:val="005F1C33"/>
    <w:rsid w:val="005F1CE5"/>
    <w:rsid w:val="005F1F0B"/>
    <w:rsid w:val="005F20DD"/>
    <w:rsid w:val="005F2759"/>
    <w:rsid w:val="005F31CA"/>
    <w:rsid w:val="005F331B"/>
    <w:rsid w:val="005F366A"/>
    <w:rsid w:val="005F38CA"/>
    <w:rsid w:val="005F4018"/>
    <w:rsid w:val="005F44EF"/>
    <w:rsid w:val="005F5271"/>
    <w:rsid w:val="005F5661"/>
    <w:rsid w:val="005F609D"/>
    <w:rsid w:val="005F6118"/>
    <w:rsid w:val="005F6CB2"/>
    <w:rsid w:val="005F6DF0"/>
    <w:rsid w:val="005F78B3"/>
    <w:rsid w:val="0060066F"/>
    <w:rsid w:val="0060074B"/>
    <w:rsid w:val="00600773"/>
    <w:rsid w:val="006007F6"/>
    <w:rsid w:val="00600DE3"/>
    <w:rsid w:val="0060147E"/>
    <w:rsid w:val="00601914"/>
    <w:rsid w:val="00601FA5"/>
    <w:rsid w:val="00602BE3"/>
    <w:rsid w:val="00602D32"/>
    <w:rsid w:val="00603034"/>
    <w:rsid w:val="00603872"/>
    <w:rsid w:val="00603EA4"/>
    <w:rsid w:val="00604167"/>
    <w:rsid w:val="00604F0D"/>
    <w:rsid w:val="006058D5"/>
    <w:rsid w:val="00605EE0"/>
    <w:rsid w:val="006065C1"/>
    <w:rsid w:val="00606DA6"/>
    <w:rsid w:val="00606F1D"/>
    <w:rsid w:val="006072EA"/>
    <w:rsid w:val="0061084D"/>
    <w:rsid w:val="00610B14"/>
    <w:rsid w:val="0061139A"/>
    <w:rsid w:val="00611765"/>
    <w:rsid w:val="0061177F"/>
    <w:rsid w:val="0061240F"/>
    <w:rsid w:val="006127D4"/>
    <w:rsid w:val="00613564"/>
    <w:rsid w:val="0061383C"/>
    <w:rsid w:val="006138FF"/>
    <w:rsid w:val="00613991"/>
    <w:rsid w:val="00613B06"/>
    <w:rsid w:val="00615735"/>
    <w:rsid w:val="0061659C"/>
    <w:rsid w:val="006177EA"/>
    <w:rsid w:val="006201D5"/>
    <w:rsid w:val="006207D3"/>
    <w:rsid w:val="00620809"/>
    <w:rsid w:val="00620FE3"/>
    <w:rsid w:val="006210C6"/>
    <w:rsid w:val="006213FF"/>
    <w:rsid w:val="00621DDE"/>
    <w:rsid w:val="00622562"/>
    <w:rsid w:val="00622B44"/>
    <w:rsid w:val="00622C2D"/>
    <w:rsid w:val="00622D5B"/>
    <w:rsid w:val="00622DF3"/>
    <w:rsid w:val="00622E81"/>
    <w:rsid w:val="006235F7"/>
    <w:rsid w:val="00624D53"/>
    <w:rsid w:val="00625133"/>
    <w:rsid w:val="00625144"/>
    <w:rsid w:val="0062567C"/>
    <w:rsid w:val="00626DC8"/>
    <w:rsid w:val="0063050D"/>
    <w:rsid w:val="00630808"/>
    <w:rsid w:val="00631165"/>
    <w:rsid w:val="00631DAB"/>
    <w:rsid w:val="00631FAF"/>
    <w:rsid w:val="006320D3"/>
    <w:rsid w:val="0063236F"/>
    <w:rsid w:val="006323B2"/>
    <w:rsid w:val="006324C1"/>
    <w:rsid w:val="00634699"/>
    <w:rsid w:val="00634DD3"/>
    <w:rsid w:val="0063588D"/>
    <w:rsid w:val="00635FD5"/>
    <w:rsid w:val="00637157"/>
    <w:rsid w:val="006379E7"/>
    <w:rsid w:val="00637B29"/>
    <w:rsid w:val="00637F76"/>
    <w:rsid w:val="00640372"/>
    <w:rsid w:val="006415F1"/>
    <w:rsid w:val="00641897"/>
    <w:rsid w:val="00641F34"/>
    <w:rsid w:val="00642340"/>
    <w:rsid w:val="006429A8"/>
    <w:rsid w:val="00642A28"/>
    <w:rsid w:val="00642DFC"/>
    <w:rsid w:val="00642EC6"/>
    <w:rsid w:val="006437E9"/>
    <w:rsid w:val="00643C20"/>
    <w:rsid w:val="00643DD3"/>
    <w:rsid w:val="00643E43"/>
    <w:rsid w:val="00643FB5"/>
    <w:rsid w:val="006442FD"/>
    <w:rsid w:val="006447EC"/>
    <w:rsid w:val="00644DC0"/>
    <w:rsid w:val="00645620"/>
    <w:rsid w:val="00645AC5"/>
    <w:rsid w:val="006462DC"/>
    <w:rsid w:val="006465F7"/>
    <w:rsid w:val="00646CFD"/>
    <w:rsid w:val="00647191"/>
    <w:rsid w:val="00647245"/>
    <w:rsid w:val="0064727F"/>
    <w:rsid w:val="0064754F"/>
    <w:rsid w:val="006478CC"/>
    <w:rsid w:val="00647CEF"/>
    <w:rsid w:val="00647EFA"/>
    <w:rsid w:val="006501A9"/>
    <w:rsid w:val="00650284"/>
    <w:rsid w:val="00650DA0"/>
    <w:rsid w:val="0065130B"/>
    <w:rsid w:val="006516FC"/>
    <w:rsid w:val="006522E9"/>
    <w:rsid w:val="0065340B"/>
    <w:rsid w:val="00653649"/>
    <w:rsid w:val="00653782"/>
    <w:rsid w:val="00654BC3"/>
    <w:rsid w:val="00655474"/>
    <w:rsid w:val="00655966"/>
    <w:rsid w:val="00655B05"/>
    <w:rsid w:val="00655D34"/>
    <w:rsid w:val="006564FF"/>
    <w:rsid w:val="00656607"/>
    <w:rsid w:val="006567D6"/>
    <w:rsid w:val="00656A26"/>
    <w:rsid w:val="00657197"/>
    <w:rsid w:val="006572C0"/>
    <w:rsid w:val="006575AA"/>
    <w:rsid w:val="00657721"/>
    <w:rsid w:val="00657CF9"/>
    <w:rsid w:val="0066015E"/>
    <w:rsid w:val="00660A72"/>
    <w:rsid w:val="006610E5"/>
    <w:rsid w:val="00661953"/>
    <w:rsid w:val="00661E91"/>
    <w:rsid w:val="00662469"/>
    <w:rsid w:val="00664041"/>
    <w:rsid w:val="00664057"/>
    <w:rsid w:val="006647E2"/>
    <w:rsid w:val="00664B91"/>
    <w:rsid w:val="00664E53"/>
    <w:rsid w:val="00665762"/>
    <w:rsid w:val="00665A1C"/>
    <w:rsid w:val="00666393"/>
    <w:rsid w:val="006665FD"/>
    <w:rsid w:val="006670FA"/>
    <w:rsid w:val="006673EE"/>
    <w:rsid w:val="00667689"/>
    <w:rsid w:val="00667B8E"/>
    <w:rsid w:val="00670666"/>
    <w:rsid w:val="0067073B"/>
    <w:rsid w:val="00670C22"/>
    <w:rsid w:val="00670F95"/>
    <w:rsid w:val="006710EC"/>
    <w:rsid w:val="00671895"/>
    <w:rsid w:val="00671AB3"/>
    <w:rsid w:val="00671ADE"/>
    <w:rsid w:val="006721D4"/>
    <w:rsid w:val="00672958"/>
    <w:rsid w:val="0067310A"/>
    <w:rsid w:val="00673172"/>
    <w:rsid w:val="00673AFC"/>
    <w:rsid w:val="00673E0F"/>
    <w:rsid w:val="00673F3B"/>
    <w:rsid w:val="00674A99"/>
    <w:rsid w:val="00674E3B"/>
    <w:rsid w:val="00675018"/>
    <w:rsid w:val="0067514A"/>
    <w:rsid w:val="00675A6E"/>
    <w:rsid w:val="00675B18"/>
    <w:rsid w:val="00675B7A"/>
    <w:rsid w:val="00676232"/>
    <w:rsid w:val="00676293"/>
    <w:rsid w:val="00676680"/>
    <w:rsid w:val="006769D5"/>
    <w:rsid w:val="006771CD"/>
    <w:rsid w:val="006772DE"/>
    <w:rsid w:val="006776B4"/>
    <w:rsid w:val="006802B7"/>
    <w:rsid w:val="00680433"/>
    <w:rsid w:val="006805F2"/>
    <w:rsid w:val="00680AD8"/>
    <w:rsid w:val="00680D21"/>
    <w:rsid w:val="00680EB4"/>
    <w:rsid w:val="006817A5"/>
    <w:rsid w:val="00681E1F"/>
    <w:rsid w:val="0068233A"/>
    <w:rsid w:val="00682851"/>
    <w:rsid w:val="00682F9E"/>
    <w:rsid w:val="00683530"/>
    <w:rsid w:val="0068417D"/>
    <w:rsid w:val="00684B0F"/>
    <w:rsid w:val="00684F4A"/>
    <w:rsid w:val="00685398"/>
    <w:rsid w:val="0068571A"/>
    <w:rsid w:val="00686AAB"/>
    <w:rsid w:val="00686BB5"/>
    <w:rsid w:val="00686C75"/>
    <w:rsid w:val="00687163"/>
    <w:rsid w:val="006875C2"/>
    <w:rsid w:val="00687710"/>
    <w:rsid w:val="006911F1"/>
    <w:rsid w:val="006916C5"/>
    <w:rsid w:val="00691845"/>
    <w:rsid w:val="00693009"/>
    <w:rsid w:val="006933BB"/>
    <w:rsid w:val="00693F5A"/>
    <w:rsid w:val="00693F95"/>
    <w:rsid w:val="00693FDE"/>
    <w:rsid w:val="00694970"/>
    <w:rsid w:val="0069526B"/>
    <w:rsid w:val="0069539B"/>
    <w:rsid w:val="00695D45"/>
    <w:rsid w:val="00695EC8"/>
    <w:rsid w:val="006969B7"/>
    <w:rsid w:val="00696B12"/>
    <w:rsid w:val="00696BA5"/>
    <w:rsid w:val="00696FC9"/>
    <w:rsid w:val="006972B4"/>
    <w:rsid w:val="00697331"/>
    <w:rsid w:val="00697C89"/>
    <w:rsid w:val="006A0D12"/>
    <w:rsid w:val="006A1AC4"/>
    <w:rsid w:val="006A227C"/>
    <w:rsid w:val="006A2BE9"/>
    <w:rsid w:val="006A33A6"/>
    <w:rsid w:val="006A3C84"/>
    <w:rsid w:val="006A3DD6"/>
    <w:rsid w:val="006A44CF"/>
    <w:rsid w:val="006A457C"/>
    <w:rsid w:val="006A46E5"/>
    <w:rsid w:val="006A4DD2"/>
    <w:rsid w:val="006A4FE2"/>
    <w:rsid w:val="006A6042"/>
    <w:rsid w:val="006A6693"/>
    <w:rsid w:val="006A74A8"/>
    <w:rsid w:val="006A7D3F"/>
    <w:rsid w:val="006B0B78"/>
    <w:rsid w:val="006B0C38"/>
    <w:rsid w:val="006B0DA4"/>
    <w:rsid w:val="006B17F2"/>
    <w:rsid w:val="006B1D6E"/>
    <w:rsid w:val="006B1E19"/>
    <w:rsid w:val="006B2230"/>
    <w:rsid w:val="006B2F09"/>
    <w:rsid w:val="006B3114"/>
    <w:rsid w:val="006B31BA"/>
    <w:rsid w:val="006B345D"/>
    <w:rsid w:val="006B4858"/>
    <w:rsid w:val="006B48A5"/>
    <w:rsid w:val="006B50A3"/>
    <w:rsid w:val="006B50DA"/>
    <w:rsid w:val="006B54EA"/>
    <w:rsid w:val="006B5528"/>
    <w:rsid w:val="006B5822"/>
    <w:rsid w:val="006B63BA"/>
    <w:rsid w:val="006B66B2"/>
    <w:rsid w:val="006B6F2D"/>
    <w:rsid w:val="006B75A4"/>
    <w:rsid w:val="006B78B6"/>
    <w:rsid w:val="006B7B14"/>
    <w:rsid w:val="006C0D1E"/>
    <w:rsid w:val="006C134D"/>
    <w:rsid w:val="006C149E"/>
    <w:rsid w:val="006C16BE"/>
    <w:rsid w:val="006C23B6"/>
    <w:rsid w:val="006C2F2B"/>
    <w:rsid w:val="006C3030"/>
    <w:rsid w:val="006C35BD"/>
    <w:rsid w:val="006C3C38"/>
    <w:rsid w:val="006C4162"/>
    <w:rsid w:val="006C453B"/>
    <w:rsid w:val="006C461D"/>
    <w:rsid w:val="006C4FC0"/>
    <w:rsid w:val="006C5622"/>
    <w:rsid w:val="006C5704"/>
    <w:rsid w:val="006C5991"/>
    <w:rsid w:val="006C5DE5"/>
    <w:rsid w:val="006C632F"/>
    <w:rsid w:val="006C63BC"/>
    <w:rsid w:val="006C704B"/>
    <w:rsid w:val="006C71C4"/>
    <w:rsid w:val="006D064A"/>
    <w:rsid w:val="006D075E"/>
    <w:rsid w:val="006D080E"/>
    <w:rsid w:val="006D13B8"/>
    <w:rsid w:val="006D1FEE"/>
    <w:rsid w:val="006D218E"/>
    <w:rsid w:val="006D25B4"/>
    <w:rsid w:val="006D2E19"/>
    <w:rsid w:val="006D547D"/>
    <w:rsid w:val="006D586B"/>
    <w:rsid w:val="006D5943"/>
    <w:rsid w:val="006D65E2"/>
    <w:rsid w:val="006D76D8"/>
    <w:rsid w:val="006E0B4F"/>
    <w:rsid w:val="006E0D20"/>
    <w:rsid w:val="006E0FC7"/>
    <w:rsid w:val="006E1451"/>
    <w:rsid w:val="006E16F3"/>
    <w:rsid w:val="006E17B9"/>
    <w:rsid w:val="006E18DF"/>
    <w:rsid w:val="006E18FF"/>
    <w:rsid w:val="006E1C9A"/>
    <w:rsid w:val="006E2093"/>
    <w:rsid w:val="006E28EA"/>
    <w:rsid w:val="006E2D59"/>
    <w:rsid w:val="006E2DDB"/>
    <w:rsid w:val="006E2F23"/>
    <w:rsid w:val="006E35BB"/>
    <w:rsid w:val="006E37A2"/>
    <w:rsid w:val="006E39A4"/>
    <w:rsid w:val="006E420E"/>
    <w:rsid w:val="006E4E9B"/>
    <w:rsid w:val="006E6022"/>
    <w:rsid w:val="006E6172"/>
    <w:rsid w:val="006E629F"/>
    <w:rsid w:val="006E6A7A"/>
    <w:rsid w:val="006F02C2"/>
    <w:rsid w:val="006F07D3"/>
    <w:rsid w:val="006F10B5"/>
    <w:rsid w:val="006F12F2"/>
    <w:rsid w:val="006F1FC6"/>
    <w:rsid w:val="006F2605"/>
    <w:rsid w:val="006F2A0A"/>
    <w:rsid w:val="006F2D2F"/>
    <w:rsid w:val="006F334E"/>
    <w:rsid w:val="006F34A3"/>
    <w:rsid w:val="006F36EC"/>
    <w:rsid w:val="006F37C6"/>
    <w:rsid w:val="006F3CEB"/>
    <w:rsid w:val="006F3D7B"/>
    <w:rsid w:val="006F4555"/>
    <w:rsid w:val="006F45C0"/>
    <w:rsid w:val="006F4C2F"/>
    <w:rsid w:val="006F4D0A"/>
    <w:rsid w:val="006F4DDD"/>
    <w:rsid w:val="006F59C8"/>
    <w:rsid w:val="006F5E31"/>
    <w:rsid w:val="006F6454"/>
    <w:rsid w:val="006F6905"/>
    <w:rsid w:val="006F6B2D"/>
    <w:rsid w:val="006F6CD5"/>
    <w:rsid w:val="006F6D69"/>
    <w:rsid w:val="006F7628"/>
    <w:rsid w:val="006F77CC"/>
    <w:rsid w:val="006F7F5B"/>
    <w:rsid w:val="00700397"/>
    <w:rsid w:val="00700AE9"/>
    <w:rsid w:val="00700DF9"/>
    <w:rsid w:val="00700E8D"/>
    <w:rsid w:val="00700EA8"/>
    <w:rsid w:val="007019D4"/>
    <w:rsid w:val="00701CF3"/>
    <w:rsid w:val="00702078"/>
    <w:rsid w:val="0070255B"/>
    <w:rsid w:val="00703131"/>
    <w:rsid w:val="00703863"/>
    <w:rsid w:val="00703A83"/>
    <w:rsid w:val="00703C15"/>
    <w:rsid w:val="007040CE"/>
    <w:rsid w:val="00704420"/>
    <w:rsid w:val="00704678"/>
    <w:rsid w:val="00704A62"/>
    <w:rsid w:val="00705AEA"/>
    <w:rsid w:val="00706596"/>
    <w:rsid w:val="00706B70"/>
    <w:rsid w:val="00706EB6"/>
    <w:rsid w:val="007071CB"/>
    <w:rsid w:val="00707205"/>
    <w:rsid w:val="00707270"/>
    <w:rsid w:val="007078E4"/>
    <w:rsid w:val="00707DB4"/>
    <w:rsid w:val="007101AB"/>
    <w:rsid w:val="0071050A"/>
    <w:rsid w:val="00710DC4"/>
    <w:rsid w:val="0071142E"/>
    <w:rsid w:val="00712242"/>
    <w:rsid w:val="00712AC9"/>
    <w:rsid w:val="00712EDC"/>
    <w:rsid w:val="0071378D"/>
    <w:rsid w:val="00713B51"/>
    <w:rsid w:val="007141C0"/>
    <w:rsid w:val="00714690"/>
    <w:rsid w:val="00714839"/>
    <w:rsid w:val="00714F58"/>
    <w:rsid w:val="00715150"/>
    <w:rsid w:val="00715355"/>
    <w:rsid w:val="0071588B"/>
    <w:rsid w:val="0071597A"/>
    <w:rsid w:val="00716266"/>
    <w:rsid w:val="00716966"/>
    <w:rsid w:val="00716D3A"/>
    <w:rsid w:val="007173ED"/>
    <w:rsid w:val="00717D2B"/>
    <w:rsid w:val="007205D9"/>
    <w:rsid w:val="007211B7"/>
    <w:rsid w:val="00721260"/>
    <w:rsid w:val="00721C8C"/>
    <w:rsid w:val="00721C9E"/>
    <w:rsid w:val="00721D12"/>
    <w:rsid w:val="00721FD9"/>
    <w:rsid w:val="007221CD"/>
    <w:rsid w:val="0072254E"/>
    <w:rsid w:val="0072275A"/>
    <w:rsid w:val="00722800"/>
    <w:rsid w:val="00722987"/>
    <w:rsid w:val="00722BA8"/>
    <w:rsid w:val="007245AE"/>
    <w:rsid w:val="00725053"/>
    <w:rsid w:val="007256DD"/>
    <w:rsid w:val="00725827"/>
    <w:rsid w:val="00725CA7"/>
    <w:rsid w:val="00725D7A"/>
    <w:rsid w:val="007266D8"/>
    <w:rsid w:val="007267BD"/>
    <w:rsid w:val="007279C9"/>
    <w:rsid w:val="007306FC"/>
    <w:rsid w:val="00730B1E"/>
    <w:rsid w:val="00730CF7"/>
    <w:rsid w:val="0073187E"/>
    <w:rsid w:val="00731D27"/>
    <w:rsid w:val="00731EBC"/>
    <w:rsid w:val="00732412"/>
    <w:rsid w:val="00732658"/>
    <w:rsid w:val="007327C7"/>
    <w:rsid w:val="0073310D"/>
    <w:rsid w:val="0073419F"/>
    <w:rsid w:val="0073457D"/>
    <w:rsid w:val="00734ACE"/>
    <w:rsid w:val="00734B99"/>
    <w:rsid w:val="00734F87"/>
    <w:rsid w:val="007354BC"/>
    <w:rsid w:val="00736C1C"/>
    <w:rsid w:val="00736C1E"/>
    <w:rsid w:val="00736CC4"/>
    <w:rsid w:val="00736DF1"/>
    <w:rsid w:val="0073780B"/>
    <w:rsid w:val="00737C07"/>
    <w:rsid w:val="00737F45"/>
    <w:rsid w:val="007404D1"/>
    <w:rsid w:val="00740DF4"/>
    <w:rsid w:val="0074129E"/>
    <w:rsid w:val="00741704"/>
    <w:rsid w:val="00741D28"/>
    <w:rsid w:val="00741EC8"/>
    <w:rsid w:val="00742213"/>
    <w:rsid w:val="007422C8"/>
    <w:rsid w:val="007429FB"/>
    <w:rsid w:val="00742FF4"/>
    <w:rsid w:val="00743EAA"/>
    <w:rsid w:val="00744470"/>
    <w:rsid w:val="0074476E"/>
    <w:rsid w:val="00744F4F"/>
    <w:rsid w:val="007456FB"/>
    <w:rsid w:val="00745AA5"/>
    <w:rsid w:val="00746132"/>
    <w:rsid w:val="0074683B"/>
    <w:rsid w:val="00746DE2"/>
    <w:rsid w:val="007502FC"/>
    <w:rsid w:val="00750410"/>
    <w:rsid w:val="0075041F"/>
    <w:rsid w:val="00750CAB"/>
    <w:rsid w:val="00751137"/>
    <w:rsid w:val="00751B35"/>
    <w:rsid w:val="00751BDC"/>
    <w:rsid w:val="00751D6C"/>
    <w:rsid w:val="00752496"/>
    <w:rsid w:val="007528E7"/>
    <w:rsid w:val="0075305C"/>
    <w:rsid w:val="0075394C"/>
    <w:rsid w:val="00753D44"/>
    <w:rsid w:val="00753E1D"/>
    <w:rsid w:val="007549D6"/>
    <w:rsid w:val="00755011"/>
    <w:rsid w:val="007559F4"/>
    <w:rsid w:val="00755BC5"/>
    <w:rsid w:val="00755D84"/>
    <w:rsid w:val="007560F0"/>
    <w:rsid w:val="00756903"/>
    <w:rsid w:val="00757239"/>
    <w:rsid w:val="0075745F"/>
    <w:rsid w:val="007577F8"/>
    <w:rsid w:val="007578AE"/>
    <w:rsid w:val="00757FBB"/>
    <w:rsid w:val="007606AC"/>
    <w:rsid w:val="007607F2"/>
    <w:rsid w:val="0076126B"/>
    <w:rsid w:val="00761962"/>
    <w:rsid w:val="00761ABE"/>
    <w:rsid w:val="00761AD5"/>
    <w:rsid w:val="00761D6A"/>
    <w:rsid w:val="00761DEB"/>
    <w:rsid w:val="007623AC"/>
    <w:rsid w:val="0076249D"/>
    <w:rsid w:val="00762D57"/>
    <w:rsid w:val="007630AE"/>
    <w:rsid w:val="007631B7"/>
    <w:rsid w:val="00763869"/>
    <w:rsid w:val="00763E4F"/>
    <w:rsid w:val="007644AA"/>
    <w:rsid w:val="00764A1A"/>
    <w:rsid w:val="00764E7A"/>
    <w:rsid w:val="00765AAE"/>
    <w:rsid w:val="00765DFB"/>
    <w:rsid w:val="0076650B"/>
    <w:rsid w:val="007673A2"/>
    <w:rsid w:val="0077051D"/>
    <w:rsid w:val="00770AE5"/>
    <w:rsid w:val="00770BD5"/>
    <w:rsid w:val="0077147E"/>
    <w:rsid w:val="00773507"/>
    <w:rsid w:val="007736E6"/>
    <w:rsid w:val="00774004"/>
    <w:rsid w:val="00774E11"/>
    <w:rsid w:val="0077593B"/>
    <w:rsid w:val="007766C0"/>
    <w:rsid w:val="007767A1"/>
    <w:rsid w:val="00776DC9"/>
    <w:rsid w:val="00776F6B"/>
    <w:rsid w:val="00777788"/>
    <w:rsid w:val="007778F0"/>
    <w:rsid w:val="00780755"/>
    <w:rsid w:val="0078083E"/>
    <w:rsid w:val="007813F7"/>
    <w:rsid w:val="007818AA"/>
    <w:rsid w:val="00781967"/>
    <w:rsid w:val="00781DC8"/>
    <w:rsid w:val="00781EE5"/>
    <w:rsid w:val="00782353"/>
    <w:rsid w:val="00782977"/>
    <w:rsid w:val="00782A8A"/>
    <w:rsid w:val="007830A3"/>
    <w:rsid w:val="007833D6"/>
    <w:rsid w:val="00783491"/>
    <w:rsid w:val="00783CBD"/>
    <w:rsid w:val="0078484F"/>
    <w:rsid w:val="00784A58"/>
    <w:rsid w:val="00785124"/>
    <w:rsid w:val="007851F5"/>
    <w:rsid w:val="00786956"/>
    <w:rsid w:val="00787E35"/>
    <w:rsid w:val="00791757"/>
    <w:rsid w:val="00791BFB"/>
    <w:rsid w:val="00792C0B"/>
    <w:rsid w:val="00792E5C"/>
    <w:rsid w:val="00793469"/>
    <w:rsid w:val="00793778"/>
    <w:rsid w:val="00794147"/>
    <w:rsid w:val="0079429E"/>
    <w:rsid w:val="00795B03"/>
    <w:rsid w:val="00795B75"/>
    <w:rsid w:val="00796561"/>
    <w:rsid w:val="00797A3C"/>
    <w:rsid w:val="007A0123"/>
    <w:rsid w:val="007A0280"/>
    <w:rsid w:val="007A0582"/>
    <w:rsid w:val="007A0D41"/>
    <w:rsid w:val="007A1955"/>
    <w:rsid w:val="007A24D6"/>
    <w:rsid w:val="007A2570"/>
    <w:rsid w:val="007A25EE"/>
    <w:rsid w:val="007A2BB9"/>
    <w:rsid w:val="007A2EE4"/>
    <w:rsid w:val="007A3606"/>
    <w:rsid w:val="007A360F"/>
    <w:rsid w:val="007A3953"/>
    <w:rsid w:val="007A3C27"/>
    <w:rsid w:val="007A41B3"/>
    <w:rsid w:val="007A484E"/>
    <w:rsid w:val="007A5139"/>
    <w:rsid w:val="007A62AA"/>
    <w:rsid w:val="007A6345"/>
    <w:rsid w:val="007A6922"/>
    <w:rsid w:val="007A6DED"/>
    <w:rsid w:val="007A75C4"/>
    <w:rsid w:val="007A7842"/>
    <w:rsid w:val="007A785B"/>
    <w:rsid w:val="007B065B"/>
    <w:rsid w:val="007B0770"/>
    <w:rsid w:val="007B0A38"/>
    <w:rsid w:val="007B0F5F"/>
    <w:rsid w:val="007B1363"/>
    <w:rsid w:val="007B170E"/>
    <w:rsid w:val="007B1B4A"/>
    <w:rsid w:val="007B27F3"/>
    <w:rsid w:val="007B2D03"/>
    <w:rsid w:val="007B2E8A"/>
    <w:rsid w:val="007B35DF"/>
    <w:rsid w:val="007B39FF"/>
    <w:rsid w:val="007B3B90"/>
    <w:rsid w:val="007B4635"/>
    <w:rsid w:val="007B4852"/>
    <w:rsid w:val="007B4EEB"/>
    <w:rsid w:val="007B4F90"/>
    <w:rsid w:val="007B526D"/>
    <w:rsid w:val="007B558F"/>
    <w:rsid w:val="007B5C27"/>
    <w:rsid w:val="007B6154"/>
    <w:rsid w:val="007B77F7"/>
    <w:rsid w:val="007B7866"/>
    <w:rsid w:val="007B7AB9"/>
    <w:rsid w:val="007C0105"/>
    <w:rsid w:val="007C08E9"/>
    <w:rsid w:val="007C09C9"/>
    <w:rsid w:val="007C118B"/>
    <w:rsid w:val="007C1742"/>
    <w:rsid w:val="007C22A3"/>
    <w:rsid w:val="007C2844"/>
    <w:rsid w:val="007C2ED3"/>
    <w:rsid w:val="007C2F32"/>
    <w:rsid w:val="007C3AD5"/>
    <w:rsid w:val="007C4203"/>
    <w:rsid w:val="007C4FED"/>
    <w:rsid w:val="007C574B"/>
    <w:rsid w:val="007C5A78"/>
    <w:rsid w:val="007C6067"/>
    <w:rsid w:val="007C61A3"/>
    <w:rsid w:val="007C6B6E"/>
    <w:rsid w:val="007C7C6B"/>
    <w:rsid w:val="007C7E81"/>
    <w:rsid w:val="007C7FAD"/>
    <w:rsid w:val="007D13FA"/>
    <w:rsid w:val="007D17A7"/>
    <w:rsid w:val="007D255D"/>
    <w:rsid w:val="007D2B14"/>
    <w:rsid w:val="007D2C53"/>
    <w:rsid w:val="007D33F9"/>
    <w:rsid w:val="007D3D72"/>
    <w:rsid w:val="007D4960"/>
    <w:rsid w:val="007D4D8C"/>
    <w:rsid w:val="007D4F43"/>
    <w:rsid w:val="007D5098"/>
    <w:rsid w:val="007D50E7"/>
    <w:rsid w:val="007D55C9"/>
    <w:rsid w:val="007D5FC1"/>
    <w:rsid w:val="007D60E6"/>
    <w:rsid w:val="007D62FF"/>
    <w:rsid w:val="007D682F"/>
    <w:rsid w:val="007D6916"/>
    <w:rsid w:val="007D6C82"/>
    <w:rsid w:val="007D6D8C"/>
    <w:rsid w:val="007D72B0"/>
    <w:rsid w:val="007D73BF"/>
    <w:rsid w:val="007D76D6"/>
    <w:rsid w:val="007D789B"/>
    <w:rsid w:val="007E0248"/>
    <w:rsid w:val="007E0289"/>
    <w:rsid w:val="007E0631"/>
    <w:rsid w:val="007E0F19"/>
    <w:rsid w:val="007E295C"/>
    <w:rsid w:val="007E2B47"/>
    <w:rsid w:val="007E34B3"/>
    <w:rsid w:val="007E3D27"/>
    <w:rsid w:val="007E423D"/>
    <w:rsid w:val="007E45CF"/>
    <w:rsid w:val="007E4864"/>
    <w:rsid w:val="007E5059"/>
    <w:rsid w:val="007E5A1A"/>
    <w:rsid w:val="007E5C86"/>
    <w:rsid w:val="007E6ABD"/>
    <w:rsid w:val="007E6E86"/>
    <w:rsid w:val="007E7221"/>
    <w:rsid w:val="007F0626"/>
    <w:rsid w:val="007F08CC"/>
    <w:rsid w:val="007F0E1D"/>
    <w:rsid w:val="007F10E9"/>
    <w:rsid w:val="007F1834"/>
    <w:rsid w:val="007F1A77"/>
    <w:rsid w:val="007F1BD3"/>
    <w:rsid w:val="007F1CDF"/>
    <w:rsid w:val="007F2081"/>
    <w:rsid w:val="007F22DE"/>
    <w:rsid w:val="007F24C5"/>
    <w:rsid w:val="007F27D0"/>
    <w:rsid w:val="007F2A79"/>
    <w:rsid w:val="007F2C5B"/>
    <w:rsid w:val="007F3A63"/>
    <w:rsid w:val="007F4206"/>
    <w:rsid w:val="007F42C6"/>
    <w:rsid w:val="007F4A83"/>
    <w:rsid w:val="007F51C5"/>
    <w:rsid w:val="007F6241"/>
    <w:rsid w:val="007F7D6C"/>
    <w:rsid w:val="007F7E36"/>
    <w:rsid w:val="00800061"/>
    <w:rsid w:val="008001DA"/>
    <w:rsid w:val="00800679"/>
    <w:rsid w:val="0080091D"/>
    <w:rsid w:val="00800D7C"/>
    <w:rsid w:val="0080190E"/>
    <w:rsid w:val="008039A5"/>
    <w:rsid w:val="00804E3B"/>
    <w:rsid w:val="00805703"/>
    <w:rsid w:val="00805DD1"/>
    <w:rsid w:val="0080665A"/>
    <w:rsid w:val="00806A15"/>
    <w:rsid w:val="00806B54"/>
    <w:rsid w:val="00807287"/>
    <w:rsid w:val="0080754F"/>
    <w:rsid w:val="0080777C"/>
    <w:rsid w:val="00807DE6"/>
    <w:rsid w:val="00807F6D"/>
    <w:rsid w:val="0081045F"/>
    <w:rsid w:val="008107E1"/>
    <w:rsid w:val="00811D0A"/>
    <w:rsid w:val="00812339"/>
    <w:rsid w:val="00812E00"/>
    <w:rsid w:val="00814004"/>
    <w:rsid w:val="00814598"/>
    <w:rsid w:val="00814D6E"/>
    <w:rsid w:val="0081535D"/>
    <w:rsid w:val="00815810"/>
    <w:rsid w:val="00815E72"/>
    <w:rsid w:val="00816945"/>
    <w:rsid w:val="00816D11"/>
    <w:rsid w:val="00817994"/>
    <w:rsid w:val="00817B67"/>
    <w:rsid w:val="00820773"/>
    <w:rsid w:val="008207C4"/>
    <w:rsid w:val="00820A73"/>
    <w:rsid w:val="00821218"/>
    <w:rsid w:val="00821EEE"/>
    <w:rsid w:val="00823766"/>
    <w:rsid w:val="0082393C"/>
    <w:rsid w:val="00823BAC"/>
    <w:rsid w:val="00824399"/>
    <w:rsid w:val="00824BDD"/>
    <w:rsid w:val="00824BEC"/>
    <w:rsid w:val="00824E89"/>
    <w:rsid w:val="00825880"/>
    <w:rsid w:val="00825924"/>
    <w:rsid w:val="00825C46"/>
    <w:rsid w:val="00825E85"/>
    <w:rsid w:val="0082640A"/>
    <w:rsid w:val="008267A0"/>
    <w:rsid w:val="00826AEF"/>
    <w:rsid w:val="00826F6D"/>
    <w:rsid w:val="00827510"/>
    <w:rsid w:val="00827A9D"/>
    <w:rsid w:val="00827B56"/>
    <w:rsid w:val="00827BD2"/>
    <w:rsid w:val="00827FF9"/>
    <w:rsid w:val="008311E2"/>
    <w:rsid w:val="00831489"/>
    <w:rsid w:val="0083159A"/>
    <w:rsid w:val="00831AF5"/>
    <w:rsid w:val="0083208C"/>
    <w:rsid w:val="00832119"/>
    <w:rsid w:val="00833460"/>
    <w:rsid w:val="008339DC"/>
    <w:rsid w:val="008350AE"/>
    <w:rsid w:val="008351F9"/>
    <w:rsid w:val="008355EC"/>
    <w:rsid w:val="00836611"/>
    <w:rsid w:val="00837004"/>
    <w:rsid w:val="008377A2"/>
    <w:rsid w:val="008378A7"/>
    <w:rsid w:val="00837B39"/>
    <w:rsid w:val="00837F6B"/>
    <w:rsid w:val="008404BC"/>
    <w:rsid w:val="00840501"/>
    <w:rsid w:val="00840729"/>
    <w:rsid w:val="00840D2C"/>
    <w:rsid w:val="008411A5"/>
    <w:rsid w:val="00843206"/>
    <w:rsid w:val="008433FD"/>
    <w:rsid w:val="00843B52"/>
    <w:rsid w:val="00843C84"/>
    <w:rsid w:val="00844340"/>
    <w:rsid w:val="00844459"/>
    <w:rsid w:val="00844762"/>
    <w:rsid w:val="00844B61"/>
    <w:rsid w:val="00845BEB"/>
    <w:rsid w:val="00845F6B"/>
    <w:rsid w:val="00846563"/>
    <w:rsid w:val="00846DF2"/>
    <w:rsid w:val="00846EE6"/>
    <w:rsid w:val="008470D8"/>
    <w:rsid w:val="0084717E"/>
    <w:rsid w:val="00847555"/>
    <w:rsid w:val="00847AA9"/>
    <w:rsid w:val="00847F05"/>
    <w:rsid w:val="008500ED"/>
    <w:rsid w:val="008502D7"/>
    <w:rsid w:val="008503C0"/>
    <w:rsid w:val="008504E8"/>
    <w:rsid w:val="0085077B"/>
    <w:rsid w:val="0085093B"/>
    <w:rsid w:val="00850CF9"/>
    <w:rsid w:val="00850FE1"/>
    <w:rsid w:val="00851323"/>
    <w:rsid w:val="00851E10"/>
    <w:rsid w:val="00851F3B"/>
    <w:rsid w:val="00852144"/>
    <w:rsid w:val="0085321C"/>
    <w:rsid w:val="008533A1"/>
    <w:rsid w:val="0085342C"/>
    <w:rsid w:val="00853A72"/>
    <w:rsid w:val="00854762"/>
    <w:rsid w:val="00854E37"/>
    <w:rsid w:val="00854F80"/>
    <w:rsid w:val="008559FB"/>
    <w:rsid w:val="008567A3"/>
    <w:rsid w:val="00857D50"/>
    <w:rsid w:val="00857E56"/>
    <w:rsid w:val="008602A7"/>
    <w:rsid w:val="008609C0"/>
    <w:rsid w:val="00860B90"/>
    <w:rsid w:val="00860F81"/>
    <w:rsid w:val="00861226"/>
    <w:rsid w:val="0086144F"/>
    <w:rsid w:val="0086179A"/>
    <w:rsid w:val="00861990"/>
    <w:rsid w:val="00861BD5"/>
    <w:rsid w:val="00861F91"/>
    <w:rsid w:val="00862D83"/>
    <w:rsid w:val="00863142"/>
    <w:rsid w:val="008635CA"/>
    <w:rsid w:val="008635FC"/>
    <w:rsid w:val="00863BBF"/>
    <w:rsid w:val="00863BC7"/>
    <w:rsid w:val="008640EC"/>
    <w:rsid w:val="0086492C"/>
    <w:rsid w:val="00865E97"/>
    <w:rsid w:val="00866635"/>
    <w:rsid w:val="00866854"/>
    <w:rsid w:val="00866CFA"/>
    <w:rsid w:val="00867589"/>
    <w:rsid w:val="008678D5"/>
    <w:rsid w:val="008678D8"/>
    <w:rsid w:val="00867AA1"/>
    <w:rsid w:val="008700E3"/>
    <w:rsid w:val="00870524"/>
    <w:rsid w:val="00870BFB"/>
    <w:rsid w:val="00872144"/>
    <w:rsid w:val="00872650"/>
    <w:rsid w:val="00872A6D"/>
    <w:rsid w:val="00873529"/>
    <w:rsid w:val="008737D6"/>
    <w:rsid w:val="008739A2"/>
    <w:rsid w:val="008739D7"/>
    <w:rsid w:val="00873EB4"/>
    <w:rsid w:val="00874260"/>
    <w:rsid w:val="008748F1"/>
    <w:rsid w:val="00874A27"/>
    <w:rsid w:val="00875475"/>
    <w:rsid w:val="008756DC"/>
    <w:rsid w:val="00875F10"/>
    <w:rsid w:val="0087630F"/>
    <w:rsid w:val="0087691A"/>
    <w:rsid w:val="008771E6"/>
    <w:rsid w:val="00877D8B"/>
    <w:rsid w:val="00880557"/>
    <w:rsid w:val="00880F53"/>
    <w:rsid w:val="0088147D"/>
    <w:rsid w:val="0088198A"/>
    <w:rsid w:val="00881F03"/>
    <w:rsid w:val="00881F5D"/>
    <w:rsid w:val="00881FA6"/>
    <w:rsid w:val="00882147"/>
    <w:rsid w:val="00882434"/>
    <w:rsid w:val="008825E2"/>
    <w:rsid w:val="00882766"/>
    <w:rsid w:val="008830E1"/>
    <w:rsid w:val="008835E2"/>
    <w:rsid w:val="00883645"/>
    <w:rsid w:val="00883A8A"/>
    <w:rsid w:val="008841F4"/>
    <w:rsid w:val="008845DB"/>
    <w:rsid w:val="008856EB"/>
    <w:rsid w:val="008858CC"/>
    <w:rsid w:val="00885CF4"/>
    <w:rsid w:val="0088608D"/>
    <w:rsid w:val="00886599"/>
    <w:rsid w:val="008871E3"/>
    <w:rsid w:val="00887486"/>
    <w:rsid w:val="00887698"/>
    <w:rsid w:val="008879AC"/>
    <w:rsid w:val="008903C1"/>
    <w:rsid w:val="00890C49"/>
    <w:rsid w:val="008912DE"/>
    <w:rsid w:val="00891424"/>
    <w:rsid w:val="008915C8"/>
    <w:rsid w:val="008918F2"/>
    <w:rsid w:val="00891F21"/>
    <w:rsid w:val="0089216A"/>
    <w:rsid w:val="00893950"/>
    <w:rsid w:val="008939C7"/>
    <w:rsid w:val="008947DC"/>
    <w:rsid w:val="00894978"/>
    <w:rsid w:val="008949D4"/>
    <w:rsid w:val="00895276"/>
    <w:rsid w:val="00895387"/>
    <w:rsid w:val="00895462"/>
    <w:rsid w:val="00895722"/>
    <w:rsid w:val="00895A86"/>
    <w:rsid w:val="0089604A"/>
    <w:rsid w:val="00896540"/>
    <w:rsid w:val="00896691"/>
    <w:rsid w:val="00896DE3"/>
    <w:rsid w:val="00897C04"/>
    <w:rsid w:val="008A0FAB"/>
    <w:rsid w:val="008A1155"/>
    <w:rsid w:val="008A35D1"/>
    <w:rsid w:val="008A3F3E"/>
    <w:rsid w:val="008A4381"/>
    <w:rsid w:val="008A43FF"/>
    <w:rsid w:val="008A49E4"/>
    <w:rsid w:val="008A4C06"/>
    <w:rsid w:val="008A4C88"/>
    <w:rsid w:val="008A5B1A"/>
    <w:rsid w:val="008A5D20"/>
    <w:rsid w:val="008A60A0"/>
    <w:rsid w:val="008A6177"/>
    <w:rsid w:val="008A6523"/>
    <w:rsid w:val="008A6A28"/>
    <w:rsid w:val="008A6E22"/>
    <w:rsid w:val="008A75D4"/>
    <w:rsid w:val="008A75EB"/>
    <w:rsid w:val="008B00B1"/>
    <w:rsid w:val="008B068B"/>
    <w:rsid w:val="008B0A60"/>
    <w:rsid w:val="008B0B75"/>
    <w:rsid w:val="008B16B7"/>
    <w:rsid w:val="008B22D7"/>
    <w:rsid w:val="008B2492"/>
    <w:rsid w:val="008B26C1"/>
    <w:rsid w:val="008B280C"/>
    <w:rsid w:val="008B2D8A"/>
    <w:rsid w:val="008B3136"/>
    <w:rsid w:val="008B3535"/>
    <w:rsid w:val="008B3BE1"/>
    <w:rsid w:val="008B4DA0"/>
    <w:rsid w:val="008B61D5"/>
    <w:rsid w:val="008B61DC"/>
    <w:rsid w:val="008B6241"/>
    <w:rsid w:val="008B76D4"/>
    <w:rsid w:val="008C07AA"/>
    <w:rsid w:val="008C0C37"/>
    <w:rsid w:val="008C0D99"/>
    <w:rsid w:val="008C116B"/>
    <w:rsid w:val="008C11FE"/>
    <w:rsid w:val="008C12F3"/>
    <w:rsid w:val="008C15E5"/>
    <w:rsid w:val="008C1626"/>
    <w:rsid w:val="008C1E82"/>
    <w:rsid w:val="008C2C70"/>
    <w:rsid w:val="008C2F5B"/>
    <w:rsid w:val="008C2FF3"/>
    <w:rsid w:val="008C3078"/>
    <w:rsid w:val="008C3423"/>
    <w:rsid w:val="008C3C40"/>
    <w:rsid w:val="008C4104"/>
    <w:rsid w:val="008C41CD"/>
    <w:rsid w:val="008C48B2"/>
    <w:rsid w:val="008C4C4E"/>
    <w:rsid w:val="008C5531"/>
    <w:rsid w:val="008C5EC1"/>
    <w:rsid w:val="008C6557"/>
    <w:rsid w:val="008C7368"/>
    <w:rsid w:val="008C74C7"/>
    <w:rsid w:val="008C77F1"/>
    <w:rsid w:val="008C7B79"/>
    <w:rsid w:val="008D0097"/>
    <w:rsid w:val="008D0A0E"/>
    <w:rsid w:val="008D16AA"/>
    <w:rsid w:val="008D1B22"/>
    <w:rsid w:val="008D1FC9"/>
    <w:rsid w:val="008D268C"/>
    <w:rsid w:val="008D269E"/>
    <w:rsid w:val="008D27DC"/>
    <w:rsid w:val="008D2B01"/>
    <w:rsid w:val="008D2D3C"/>
    <w:rsid w:val="008D34AA"/>
    <w:rsid w:val="008D4A82"/>
    <w:rsid w:val="008D4AAF"/>
    <w:rsid w:val="008D4B05"/>
    <w:rsid w:val="008D4C00"/>
    <w:rsid w:val="008D5ADA"/>
    <w:rsid w:val="008D68FF"/>
    <w:rsid w:val="008D691E"/>
    <w:rsid w:val="008D6B91"/>
    <w:rsid w:val="008E0A3D"/>
    <w:rsid w:val="008E1081"/>
    <w:rsid w:val="008E1389"/>
    <w:rsid w:val="008E14A7"/>
    <w:rsid w:val="008E19E2"/>
    <w:rsid w:val="008E1A4F"/>
    <w:rsid w:val="008E1EC1"/>
    <w:rsid w:val="008E270E"/>
    <w:rsid w:val="008E27B9"/>
    <w:rsid w:val="008E293F"/>
    <w:rsid w:val="008E3B83"/>
    <w:rsid w:val="008E3D6D"/>
    <w:rsid w:val="008E3E1B"/>
    <w:rsid w:val="008E49AB"/>
    <w:rsid w:val="008E522C"/>
    <w:rsid w:val="008E62FF"/>
    <w:rsid w:val="008E735C"/>
    <w:rsid w:val="008E7370"/>
    <w:rsid w:val="008E73DA"/>
    <w:rsid w:val="008E7A72"/>
    <w:rsid w:val="008E7B67"/>
    <w:rsid w:val="008E7C60"/>
    <w:rsid w:val="008F027D"/>
    <w:rsid w:val="008F05E6"/>
    <w:rsid w:val="008F0C52"/>
    <w:rsid w:val="008F0C57"/>
    <w:rsid w:val="008F201C"/>
    <w:rsid w:val="008F2042"/>
    <w:rsid w:val="008F24FD"/>
    <w:rsid w:val="008F2521"/>
    <w:rsid w:val="008F289E"/>
    <w:rsid w:val="008F2A04"/>
    <w:rsid w:val="008F2D1A"/>
    <w:rsid w:val="008F2DAA"/>
    <w:rsid w:val="008F3295"/>
    <w:rsid w:val="008F3BCD"/>
    <w:rsid w:val="008F423C"/>
    <w:rsid w:val="008F4A99"/>
    <w:rsid w:val="008F5108"/>
    <w:rsid w:val="008F5843"/>
    <w:rsid w:val="008F58A9"/>
    <w:rsid w:val="008F6FEF"/>
    <w:rsid w:val="008F734F"/>
    <w:rsid w:val="008F73CE"/>
    <w:rsid w:val="00900244"/>
    <w:rsid w:val="009002DB"/>
    <w:rsid w:val="00900BF9"/>
    <w:rsid w:val="00901054"/>
    <w:rsid w:val="00901163"/>
    <w:rsid w:val="009011BD"/>
    <w:rsid w:val="009025D4"/>
    <w:rsid w:val="00902655"/>
    <w:rsid w:val="00902C5F"/>
    <w:rsid w:val="00902D43"/>
    <w:rsid w:val="00903176"/>
    <w:rsid w:val="00903AAB"/>
    <w:rsid w:val="00903C55"/>
    <w:rsid w:val="009045B7"/>
    <w:rsid w:val="0090498F"/>
    <w:rsid w:val="00905200"/>
    <w:rsid w:val="00905795"/>
    <w:rsid w:val="009057DB"/>
    <w:rsid w:val="00905CAE"/>
    <w:rsid w:val="00905D81"/>
    <w:rsid w:val="00905D89"/>
    <w:rsid w:val="009064E2"/>
    <w:rsid w:val="00906542"/>
    <w:rsid w:val="0091044D"/>
    <w:rsid w:val="00910576"/>
    <w:rsid w:val="00910BC1"/>
    <w:rsid w:val="00910E3B"/>
    <w:rsid w:val="009128CB"/>
    <w:rsid w:val="00912CB2"/>
    <w:rsid w:val="00913271"/>
    <w:rsid w:val="009133EC"/>
    <w:rsid w:val="00913FBD"/>
    <w:rsid w:val="0091434F"/>
    <w:rsid w:val="00914DBE"/>
    <w:rsid w:val="00915310"/>
    <w:rsid w:val="009157B2"/>
    <w:rsid w:val="00915A78"/>
    <w:rsid w:val="00915BA3"/>
    <w:rsid w:val="00915BEF"/>
    <w:rsid w:val="00916006"/>
    <w:rsid w:val="009172D2"/>
    <w:rsid w:val="00917B58"/>
    <w:rsid w:val="00917F91"/>
    <w:rsid w:val="00917FDA"/>
    <w:rsid w:val="0092001A"/>
    <w:rsid w:val="009205DA"/>
    <w:rsid w:val="0092137A"/>
    <w:rsid w:val="0092138B"/>
    <w:rsid w:val="009217B2"/>
    <w:rsid w:val="00921A5A"/>
    <w:rsid w:val="00921D15"/>
    <w:rsid w:val="00922277"/>
    <w:rsid w:val="0092279A"/>
    <w:rsid w:val="00922B25"/>
    <w:rsid w:val="00922C25"/>
    <w:rsid w:val="00922D3C"/>
    <w:rsid w:val="009237DC"/>
    <w:rsid w:val="00923822"/>
    <w:rsid w:val="009238DC"/>
    <w:rsid w:val="00923ACD"/>
    <w:rsid w:val="00923C43"/>
    <w:rsid w:val="00924023"/>
    <w:rsid w:val="00924B7F"/>
    <w:rsid w:val="00924E08"/>
    <w:rsid w:val="00924F0D"/>
    <w:rsid w:val="00925257"/>
    <w:rsid w:val="009252EF"/>
    <w:rsid w:val="00925426"/>
    <w:rsid w:val="00925FFB"/>
    <w:rsid w:val="00926450"/>
    <w:rsid w:val="00926792"/>
    <w:rsid w:val="009267DB"/>
    <w:rsid w:val="00926B85"/>
    <w:rsid w:val="00926F25"/>
    <w:rsid w:val="00927A8F"/>
    <w:rsid w:val="00927CD3"/>
    <w:rsid w:val="00930D5D"/>
    <w:rsid w:val="0093119D"/>
    <w:rsid w:val="00931351"/>
    <w:rsid w:val="00931353"/>
    <w:rsid w:val="009315AE"/>
    <w:rsid w:val="009318C9"/>
    <w:rsid w:val="00931994"/>
    <w:rsid w:val="009322A7"/>
    <w:rsid w:val="00932357"/>
    <w:rsid w:val="0093254D"/>
    <w:rsid w:val="00932592"/>
    <w:rsid w:val="00932D34"/>
    <w:rsid w:val="00933339"/>
    <w:rsid w:val="00933D6D"/>
    <w:rsid w:val="00935274"/>
    <w:rsid w:val="00935539"/>
    <w:rsid w:val="00935C8B"/>
    <w:rsid w:val="00935CAC"/>
    <w:rsid w:val="00937521"/>
    <w:rsid w:val="00937BF3"/>
    <w:rsid w:val="00937DA5"/>
    <w:rsid w:val="00940137"/>
    <w:rsid w:val="0094041E"/>
    <w:rsid w:val="00940733"/>
    <w:rsid w:val="00940763"/>
    <w:rsid w:val="00940D80"/>
    <w:rsid w:val="009410F0"/>
    <w:rsid w:val="00941674"/>
    <w:rsid w:val="00941C1D"/>
    <w:rsid w:val="009421DE"/>
    <w:rsid w:val="00942BA5"/>
    <w:rsid w:val="00942FBA"/>
    <w:rsid w:val="00943682"/>
    <w:rsid w:val="00943A53"/>
    <w:rsid w:val="00943C2F"/>
    <w:rsid w:val="00943E3C"/>
    <w:rsid w:val="00944095"/>
    <w:rsid w:val="009440AB"/>
    <w:rsid w:val="009443E6"/>
    <w:rsid w:val="00944618"/>
    <w:rsid w:val="009448E8"/>
    <w:rsid w:val="009459F7"/>
    <w:rsid w:val="00945A98"/>
    <w:rsid w:val="0094656C"/>
    <w:rsid w:val="0094676B"/>
    <w:rsid w:val="00946ADD"/>
    <w:rsid w:val="009471F5"/>
    <w:rsid w:val="00947675"/>
    <w:rsid w:val="009501DA"/>
    <w:rsid w:val="0095047E"/>
    <w:rsid w:val="0095094C"/>
    <w:rsid w:val="009509ED"/>
    <w:rsid w:val="009516C0"/>
    <w:rsid w:val="00951AC5"/>
    <w:rsid w:val="00951CDC"/>
    <w:rsid w:val="009525D0"/>
    <w:rsid w:val="0095285F"/>
    <w:rsid w:val="00952B1C"/>
    <w:rsid w:val="009533BF"/>
    <w:rsid w:val="0095341E"/>
    <w:rsid w:val="009538C7"/>
    <w:rsid w:val="009539B5"/>
    <w:rsid w:val="00953AD3"/>
    <w:rsid w:val="00953B8D"/>
    <w:rsid w:val="00953BA8"/>
    <w:rsid w:val="009549EA"/>
    <w:rsid w:val="00954EFC"/>
    <w:rsid w:val="00955003"/>
    <w:rsid w:val="00955657"/>
    <w:rsid w:val="00955FF9"/>
    <w:rsid w:val="0095613C"/>
    <w:rsid w:val="009562F2"/>
    <w:rsid w:val="00956751"/>
    <w:rsid w:val="009572E1"/>
    <w:rsid w:val="009572FB"/>
    <w:rsid w:val="00957332"/>
    <w:rsid w:val="00960BBF"/>
    <w:rsid w:val="009611BF"/>
    <w:rsid w:val="0096144A"/>
    <w:rsid w:val="00961C35"/>
    <w:rsid w:val="00961CB4"/>
    <w:rsid w:val="0096264B"/>
    <w:rsid w:val="0096288E"/>
    <w:rsid w:val="009631AF"/>
    <w:rsid w:val="009637FE"/>
    <w:rsid w:val="00963870"/>
    <w:rsid w:val="00963AE6"/>
    <w:rsid w:val="00963F94"/>
    <w:rsid w:val="009648BF"/>
    <w:rsid w:val="00964E77"/>
    <w:rsid w:val="009651EE"/>
    <w:rsid w:val="00965BA6"/>
    <w:rsid w:val="00965CF4"/>
    <w:rsid w:val="009660B7"/>
    <w:rsid w:val="009665F8"/>
    <w:rsid w:val="009666EE"/>
    <w:rsid w:val="00966F64"/>
    <w:rsid w:val="009671D6"/>
    <w:rsid w:val="0096755D"/>
    <w:rsid w:val="00967940"/>
    <w:rsid w:val="00967D56"/>
    <w:rsid w:val="00967D7C"/>
    <w:rsid w:val="009700B5"/>
    <w:rsid w:val="00970A38"/>
    <w:rsid w:val="0097177A"/>
    <w:rsid w:val="00971F0E"/>
    <w:rsid w:val="00971FCC"/>
    <w:rsid w:val="009721CD"/>
    <w:rsid w:val="00972933"/>
    <w:rsid w:val="009741D8"/>
    <w:rsid w:val="0097430A"/>
    <w:rsid w:val="0097435E"/>
    <w:rsid w:val="009743C6"/>
    <w:rsid w:val="00975288"/>
    <w:rsid w:val="00976110"/>
    <w:rsid w:val="0097679C"/>
    <w:rsid w:val="00976C36"/>
    <w:rsid w:val="0097715B"/>
    <w:rsid w:val="00977236"/>
    <w:rsid w:val="0097757F"/>
    <w:rsid w:val="009800EF"/>
    <w:rsid w:val="0098042E"/>
    <w:rsid w:val="009804FE"/>
    <w:rsid w:val="00980849"/>
    <w:rsid w:val="00980A11"/>
    <w:rsid w:val="00980D55"/>
    <w:rsid w:val="00981509"/>
    <w:rsid w:val="00981C9B"/>
    <w:rsid w:val="009824CB"/>
    <w:rsid w:val="009831F3"/>
    <w:rsid w:val="009839E8"/>
    <w:rsid w:val="00984022"/>
    <w:rsid w:val="0098485A"/>
    <w:rsid w:val="00984D4C"/>
    <w:rsid w:val="00985040"/>
    <w:rsid w:val="00985C9E"/>
    <w:rsid w:val="00986460"/>
    <w:rsid w:val="009865C9"/>
    <w:rsid w:val="00986611"/>
    <w:rsid w:val="00986CDA"/>
    <w:rsid w:val="00986D81"/>
    <w:rsid w:val="00987E1D"/>
    <w:rsid w:val="00990B06"/>
    <w:rsid w:val="00992171"/>
    <w:rsid w:val="009927F6"/>
    <w:rsid w:val="009928EA"/>
    <w:rsid w:val="0099311B"/>
    <w:rsid w:val="00993968"/>
    <w:rsid w:val="00994A02"/>
    <w:rsid w:val="00994A11"/>
    <w:rsid w:val="00995305"/>
    <w:rsid w:val="0099531E"/>
    <w:rsid w:val="009958D5"/>
    <w:rsid w:val="009968AF"/>
    <w:rsid w:val="00996A5A"/>
    <w:rsid w:val="00997336"/>
    <w:rsid w:val="009976B9"/>
    <w:rsid w:val="009A0F0A"/>
    <w:rsid w:val="009A0FA8"/>
    <w:rsid w:val="009A1284"/>
    <w:rsid w:val="009A18A0"/>
    <w:rsid w:val="009A1989"/>
    <w:rsid w:val="009A1B2B"/>
    <w:rsid w:val="009A1EB8"/>
    <w:rsid w:val="009A29A1"/>
    <w:rsid w:val="009A2BC6"/>
    <w:rsid w:val="009A331A"/>
    <w:rsid w:val="009A4424"/>
    <w:rsid w:val="009A4494"/>
    <w:rsid w:val="009A4C3F"/>
    <w:rsid w:val="009A5174"/>
    <w:rsid w:val="009A5244"/>
    <w:rsid w:val="009A6C83"/>
    <w:rsid w:val="009A6F03"/>
    <w:rsid w:val="009A73F1"/>
    <w:rsid w:val="009A77DD"/>
    <w:rsid w:val="009A7934"/>
    <w:rsid w:val="009A79EC"/>
    <w:rsid w:val="009A7ADF"/>
    <w:rsid w:val="009B05DE"/>
    <w:rsid w:val="009B0B38"/>
    <w:rsid w:val="009B0FA9"/>
    <w:rsid w:val="009B135B"/>
    <w:rsid w:val="009B152B"/>
    <w:rsid w:val="009B22AD"/>
    <w:rsid w:val="009B22CA"/>
    <w:rsid w:val="009B2334"/>
    <w:rsid w:val="009B242F"/>
    <w:rsid w:val="009B2571"/>
    <w:rsid w:val="009B2924"/>
    <w:rsid w:val="009B29AD"/>
    <w:rsid w:val="009B2D89"/>
    <w:rsid w:val="009B30C2"/>
    <w:rsid w:val="009B372D"/>
    <w:rsid w:val="009B3A03"/>
    <w:rsid w:val="009B3B05"/>
    <w:rsid w:val="009B41E4"/>
    <w:rsid w:val="009B424A"/>
    <w:rsid w:val="009B427A"/>
    <w:rsid w:val="009B48CE"/>
    <w:rsid w:val="009B4DA8"/>
    <w:rsid w:val="009B4EA3"/>
    <w:rsid w:val="009B5033"/>
    <w:rsid w:val="009B520E"/>
    <w:rsid w:val="009B5AA8"/>
    <w:rsid w:val="009B5D23"/>
    <w:rsid w:val="009B64B6"/>
    <w:rsid w:val="009B65DF"/>
    <w:rsid w:val="009B6716"/>
    <w:rsid w:val="009B6CB4"/>
    <w:rsid w:val="009B718A"/>
    <w:rsid w:val="009B79DB"/>
    <w:rsid w:val="009B7BE5"/>
    <w:rsid w:val="009C040A"/>
    <w:rsid w:val="009C097F"/>
    <w:rsid w:val="009C1A6B"/>
    <w:rsid w:val="009C1CB9"/>
    <w:rsid w:val="009C22AB"/>
    <w:rsid w:val="009C25D1"/>
    <w:rsid w:val="009C29BD"/>
    <w:rsid w:val="009C31B2"/>
    <w:rsid w:val="009C32E2"/>
    <w:rsid w:val="009C35C0"/>
    <w:rsid w:val="009C4650"/>
    <w:rsid w:val="009C58FD"/>
    <w:rsid w:val="009C64CC"/>
    <w:rsid w:val="009C66FE"/>
    <w:rsid w:val="009C6B31"/>
    <w:rsid w:val="009C6C4C"/>
    <w:rsid w:val="009C6FED"/>
    <w:rsid w:val="009C73C0"/>
    <w:rsid w:val="009C73D5"/>
    <w:rsid w:val="009D05E5"/>
    <w:rsid w:val="009D07F7"/>
    <w:rsid w:val="009D19BF"/>
    <w:rsid w:val="009D1A75"/>
    <w:rsid w:val="009D2188"/>
    <w:rsid w:val="009D22AD"/>
    <w:rsid w:val="009D2318"/>
    <w:rsid w:val="009D2522"/>
    <w:rsid w:val="009D267C"/>
    <w:rsid w:val="009D2BA1"/>
    <w:rsid w:val="009D3529"/>
    <w:rsid w:val="009D409E"/>
    <w:rsid w:val="009D4306"/>
    <w:rsid w:val="009D4B14"/>
    <w:rsid w:val="009D52C1"/>
    <w:rsid w:val="009D548E"/>
    <w:rsid w:val="009D5743"/>
    <w:rsid w:val="009D5E10"/>
    <w:rsid w:val="009D795F"/>
    <w:rsid w:val="009E038A"/>
    <w:rsid w:val="009E0658"/>
    <w:rsid w:val="009E0DB6"/>
    <w:rsid w:val="009E12D4"/>
    <w:rsid w:val="009E1864"/>
    <w:rsid w:val="009E1C47"/>
    <w:rsid w:val="009E2C13"/>
    <w:rsid w:val="009E33B5"/>
    <w:rsid w:val="009E425D"/>
    <w:rsid w:val="009E4400"/>
    <w:rsid w:val="009E4531"/>
    <w:rsid w:val="009E4D52"/>
    <w:rsid w:val="009E4F07"/>
    <w:rsid w:val="009E52DB"/>
    <w:rsid w:val="009E5BDE"/>
    <w:rsid w:val="009E5DB4"/>
    <w:rsid w:val="009E63F3"/>
    <w:rsid w:val="009E6FDF"/>
    <w:rsid w:val="009E72BB"/>
    <w:rsid w:val="009E751D"/>
    <w:rsid w:val="009E761B"/>
    <w:rsid w:val="009E7AD7"/>
    <w:rsid w:val="009F026F"/>
    <w:rsid w:val="009F0DEF"/>
    <w:rsid w:val="009F0E5A"/>
    <w:rsid w:val="009F0FAE"/>
    <w:rsid w:val="009F17B6"/>
    <w:rsid w:val="009F1A22"/>
    <w:rsid w:val="009F289F"/>
    <w:rsid w:val="009F2EE9"/>
    <w:rsid w:val="009F3C96"/>
    <w:rsid w:val="009F3D62"/>
    <w:rsid w:val="009F4452"/>
    <w:rsid w:val="009F471B"/>
    <w:rsid w:val="009F4CA1"/>
    <w:rsid w:val="009F4FF5"/>
    <w:rsid w:val="009F5870"/>
    <w:rsid w:val="009F5F0D"/>
    <w:rsid w:val="009F63BD"/>
    <w:rsid w:val="009F6BCD"/>
    <w:rsid w:val="009F6FE9"/>
    <w:rsid w:val="009F70E1"/>
    <w:rsid w:val="009F722F"/>
    <w:rsid w:val="009F7D65"/>
    <w:rsid w:val="00A00776"/>
    <w:rsid w:val="00A007CC"/>
    <w:rsid w:val="00A00899"/>
    <w:rsid w:val="00A00A35"/>
    <w:rsid w:val="00A00CF2"/>
    <w:rsid w:val="00A00DE7"/>
    <w:rsid w:val="00A00E41"/>
    <w:rsid w:val="00A0153D"/>
    <w:rsid w:val="00A0226E"/>
    <w:rsid w:val="00A027CB"/>
    <w:rsid w:val="00A03372"/>
    <w:rsid w:val="00A03990"/>
    <w:rsid w:val="00A04230"/>
    <w:rsid w:val="00A04982"/>
    <w:rsid w:val="00A04E0A"/>
    <w:rsid w:val="00A04F12"/>
    <w:rsid w:val="00A0512B"/>
    <w:rsid w:val="00A05151"/>
    <w:rsid w:val="00A05985"/>
    <w:rsid w:val="00A05FB6"/>
    <w:rsid w:val="00A063DE"/>
    <w:rsid w:val="00A065DC"/>
    <w:rsid w:val="00A068DD"/>
    <w:rsid w:val="00A06A44"/>
    <w:rsid w:val="00A06CD8"/>
    <w:rsid w:val="00A07158"/>
    <w:rsid w:val="00A077EE"/>
    <w:rsid w:val="00A0786E"/>
    <w:rsid w:val="00A07AD6"/>
    <w:rsid w:val="00A07C8B"/>
    <w:rsid w:val="00A11C11"/>
    <w:rsid w:val="00A1226B"/>
    <w:rsid w:val="00A12629"/>
    <w:rsid w:val="00A1341C"/>
    <w:rsid w:val="00A146E7"/>
    <w:rsid w:val="00A1544F"/>
    <w:rsid w:val="00A15D99"/>
    <w:rsid w:val="00A15E38"/>
    <w:rsid w:val="00A16448"/>
    <w:rsid w:val="00A16689"/>
    <w:rsid w:val="00A168C1"/>
    <w:rsid w:val="00A169EC"/>
    <w:rsid w:val="00A1720B"/>
    <w:rsid w:val="00A174C5"/>
    <w:rsid w:val="00A175C0"/>
    <w:rsid w:val="00A20312"/>
    <w:rsid w:val="00A2032E"/>
    <w:rsid w:val="00A20DB2"/>
    <w:rsid w:val="00A2171B"/>
    <w:rsid w:val="00A22033"/>
    <w:rsid w:val="00A22580"/>
    <w:rsid w:val="00A22C9B"/>
    <w:rsid w:val="00A22F49"/>
    <w:rsid w:val="00A230D7"/>
    <w:rsid w:val="00A240E4"/>
    <w:rsid w:val="00A24229"/>
    <w:rsid w:val="00A244B9"/>
    <w:rsid w:val="00A24EB8"/>
    <w:rsid w:val="00A2570F"/>
    <w:rsid w:val="00A2586E"/>
    <w:rsid w:val="00A25AF3"/>
    <w:rsid w:val="00A25E75"/>
    <w:rsid w:val="00A2613A"/>
    <w:rsid w:val="00A262C5"/>
    <w:rsid w:val="00A264E4"/>
    <w:rsid w:val="00A26772"/>
    <w:rsid w:val="00A26A56"/>
    <w:rsid w:val="00A279AE"/>
    <w:rsid w:val="00A302B3"/>
    <w:rsid w:val="00A307B6"/>
    <w:rsid w:val="00A307ED"/>
    <w:rsid w:val="00A30E40"/>
    <w:rsid w:val="00A30E84"/>
    <w:rsid w:val="00A31463"/>
    <w:rsid w:val="00A31647"/>
    <w:rsid w:val="00A31700"/>
    <w:rsid w:val="00A320AF"/>
    <w:rsid w:val="00A32112"/>
    <w:rsid w:val="00A329A7"/>
    <w:rsid w:val="00A3370A"/>
    <w:rsid w:val="00A33881"/>
    <w:rsid w:val="00A33EAA"/>
    <w:rsid w:val="00A34047"/>
    <w:rsid w:val="00A346BE"/>
    <w:rsid w:val="00A34E77"/>
    <w:rsid w:val="00A35B89"/>
    <w:rsid w:val="00A360A4"/>
    <w:rsid w:val="00A3651E"/>
    <w:rsid w:val="00A3684E"/>
    <w:rsid w:val="00A36948"/>
    <w:rsid w:val="00A369C8"/>
    <w:rsid w:val="00A36EC9"/>
    <w:rsid w:val="00A37608"/>
    <w:rsid w:val="00A40D21"/>
    <w:rsid w:val="00A4116B"/>
    <w:rsid w:val="00A42C57"/>
    <w:rsid w:val="00A43253"/>
    <w:rsid w:val="00A4343D"/>
    <w:rsid w:val="00A43AF1"/>
    <w:rsid w:val="00A43F4B"/>
    <w:rsid w:val="00A44300"/>
    <w:rsid w:val="00A4487C"/>
    <w:rsid w:val="00A44B54"/>
    <w:rsid w:val="00A45002"/>
    <w:rsid w:val="00A45468"/>
    <w:rsid w:val="00A46035"/>
    <w:rsid w:val="00A46C48"/>
    <w:rsid w:val="00A46E06"/>
    <w:rsid w:val="00A470C9"/>
    <w:rsid w:val="00A474A5"/>
    <w:rsid w:val="00A4760F"/>
    <w:rsid w:val="00A47DE0"/>
    <w:rsid w:val="00A505F3"/>
    <w:rsid w:val="00A50E0C"/>
    <w:rsid w:val="00A51498"/>
    <w:rsid w:val="00A51951"/>
    <w:rsid w:val="00A51A13"/>
    <w:rsid w:val="00A51DF1"/>
    <w:rsid w:val="00A51E94"/>
    <w:rsid w:val="00A521C3"/>
    <w:rsid w:val="00A52589"/>
    <w:rsid w:val="00A52848"/>
    <w:rsid w:val="00A52916"/>
    <w:rsid w:val="00A52A2D"/>
    <w:rsid w:val="00A52BBE"/>
    <w:rsid w:val="00A53437"/>
    <w:rsid w:val="00A53EDB"/>
    <w:rsid w:val="00A54683"/>
    <w:rsid w:val="00A54860"/>
    <w:rsid w:val="00A54BB3"/>
    <w:rsid w:val="00A54C94"/>
    <w:rsid w:val="00A55402"/>
    <w:rsid w:val="00A555B0"/>
    <w:rsid w:val="00A5566A"/>
    <w:rsid w:val="00A56BBA"/>
    <w:rsid w:val="00A57630"/>
    <w:rsid w:val="00A57799"/>
    <w:rsid w:val="00A57A0A"/>
    <w:rsid w:val="00A6080D"/>
    <w:rsid w:val="00A608B1"/>
    <w:rsid w:val="00A60C28"/>
    <w:rsid w:val="00A612DA"/>
    <w:rsid w:val="00A6175D"/>
    <w:rsid w:val="00A61856"/>
    <w:rsid w:val="00A61BDE"/>
    <w:rsid w:val="00A6255C"/>
    <w:rsid w:val="00A6267F"/>
    <w:rsid w:val="00A6272D"/>
    <w:rsid w:val="00A62E9F"/>
    <w:rsid w:val="00A62FBD"/>
    <w:rsid w:val="00A6318D"/>
    <w:rsid w:val="00A63866"/>
    <w:rsid w:val="00A63C01"/>
    <w:rsid w:val="00A6420C"/>
    <w:rsid w:val="00A65154"/>
    <w:rsid w:val="00A65743"/>
    <w:rsid w:val="00A65769"/>
    <w:rsid w:val="00A65A55"/>
    <w:rsid w:val="00A65A5E"/>
    <w:rsid w:val="00A6607F"/>
    <w:rsid w:val="00A66729"/>
    <w:rsid w:val="00A66E2D"/>
    <w:rsid w:val="00A66E49"/>
    <w:rsid w:val="00A66F07"/>
    <w:rsid w:val="00A67EF5"/>
    <w:rsid w:val="00A7030A"/>
    <w:rsid w:val="00A70482"/>
    <w:rsid w:val="00A70520"/>
    <w:rsid w:val="00A7094F"/>
    <w:rsid w:val="00A70A50"/>
    <w:rsid w:val="00A70B35"/>
    <w:rsid w:val="00A70CAF"/>
    <w:rsid w:val="00A70DA0"/>
    <w:rsid w:val="00A70DE7"/>
    <w:rsid w:val="00A70EE0"/>
    <w:rsid w:val="00A71430"/>
    <w:rsid w:val="00A71BF5"/>
    <w:rsid w:val="00A71D2E"/>
    <w:rsid w:val="00A7240B"/>
    <w:rsid w:val="00A72501"/>
    <w:rsid w:val="00A729DF"/>
    <w:rsid w:val="00A72AAA"/>
    <w:rsid w:val="00A7351E"/>
    <w:rsid w:val="00A736CD"/>
    <w:rsid w:val="00A73986"/>
    <w:rsid w:val="00A73BB9"/>
    <w:rsid w:val="00A73F71"/>
    <w:rsid w:val="00A757DE"/>
    <w:rsid w:val="00A75D47"/>
    <w:rsid w:val="00A767E5"/>
    <w:rsid w:val="00A767EB"/>
    <w:rsid w:val="00A76B79"/>
    <w:rsid w:val="00A77AB0"/>
    <w:rsid w:val="00A77AE9"/>
    <w:rsid w:val="00A8033A"/>
    <w:rsid w:val="00A81476"/>
    <w:rsid w:val="00A81654"/>
    <w:rsid w:val="00A8198C"/>
    <w:rsid w:val="00A81AC9"/>
    <w:rsid w:val="00A825D1"/>
    <w:rsid w:val="00A82959"/>
    <w:rsid w:val="00A82D4E"/>
    <w:rsid w:val="00A82F16"/>
    <w:rsid w:val="00A83212"/>
    <w:rsid w:val="00A8327A"/>
    <w:rsid w:val="00A83AEE"/>
    <w:rsid w:val="00A83D45"/>
    <w:rsid w:val="00A84C06"/>
    <w:rsid w:val="00A84E82"/>
    <w:rsid w:val="00A8668B"/>
    <w:rsid w:val="00A86920"/>
    <w:rsid w:val="00A87142"/>
    <w:rsid w:val="00A87E23"/>
    <w:rsid w:val="00A90249"/>
    <w:rsid w:val="00A90287"/>
    <w:rsid w:val="00A9033E"/>
    <w:rsid w:val="00A913EC"/>
    <w:rsid w:val="00A915F9"/>
    <w:rsid w:val="00A91710"/>
    <w:rsid w:val="00A92559"/>
    <w:rsid w:val="00A9287F"/>
    <w:rsid w:val="00A92BD9"/>
    <w:rsid w:val="00A92D5B"/>
    <w:rsid w:val="00A92E4C"/>
    <w:rsid w:val="00A92F14"/>
    <w:rsid w:val="00A95C83"/>
    <w:rsid w:val="00A95EF4"/>
    <w:rsid w:val="00A95F31"/>
    <w:rsid w:val="00A9633F"/>
    <w:rsid w:val="00A96664"/>
    <w:rsid w:val="00A96890"/>
    <w:rsid w:val="00A9775E"/>
    <w:rsid w:val="00A97809"/>
    <w:rsid w:val="00A9794F"/>
    <w:rsid w:val="00A979ED"/>
    <w:rsid w:val="00AA0A42"/>
    <w:rsid w:val="00AA0C42"/>
    <w:rsid w:val="00AA0EE5"/>
    <w:rsid w:val="00AA13B8"/>
    <w:rsid w:val="00AA205B"/>
    <w:rsid w:val="00AA268D"/>
    <w:rsid w:val="00AA294D"/>
    <w:rsid w:val="00AA2E3E"/>
    <w:rsid w:val="00AA2FCF"/>
    <w:rsid w:val="00AA3134"/>
    <w:rsid w:val="00AA35DF"/>
    <w:rsid w:val="00AA3669"/>
    <w:rsid w:val="00AA396C"/>
    <w:rsid w:val="00AA3A8D"/>
    <w:rsid w:val="00AA3CDB"/>
    <w:rsid w:val="00AA41BC"/>
    <w:rsid w:val="00AA4B6D"/>
    <w:rsid w:val="00AA4E60"/>
    <w:rsid w:val="00AA4F7E"/>
    <w:rsid w:val="00AA4FE4"/>
    <w:rsid w:val="00AA5131"/>
    <w:rsid w:val="00AA575C"/>
    <w:rsid w:val="00AA6186"/>
    <w:rsid w:val="00AA7D13"/>
    <w:rsid w:val="00AA7DA6"/>
    <w:rsid w:val="00AB037E"/>
    <w:rsid w:val="00AB0618"/>
    <w:rsid w:val="00AB0DF9"/>
    <w:rsid w:val="00AB0E83"/>
    <w:rsid w:val="00AB1185"/>
    <w:rsid w:val="00AB1CE0"/>
    <w:rsid w:val="00AB2201"/>
    <w:rsid w:val="00AB29BA"/>
    <w:rsid w:val="00AB2BFB"/>
    <w:rsid w:val="00AB2DC4"/>
    <w:rsid w:val="00AB391F"/>
    <w:rsid w:val="00AB3C3E"/>
    <w:rsid w:val="00AB433D"/>
    <w:rsid w:val="00AB4828"/>
    <w:rsid w:val="00AB4A20"/>
    <w:rsid w:val="00AB4F35"/>
    <w:rsid w:val="00AB53A7"/>
    <w:rsid w:val="00AB552C"/>
    <w:rsid w:val="00AB58B9"/>
    <w:rsid w:val="00AB5EAF"/>
    <w:rsid w:val="00AB5F46"/>
    <w:rsid w:val="00AB61F6"/>
    <w:rsid w:val="00AB6452"/>
    <w:rsid w:val="00AB6D31"/>
    <w:rsid w:val="00AB6DE2"/>
    <w:rsid w:val="00AB7BD5"/>
    <w:rsid w:val="00AC02CD"/>
    <w:rsid w:val="00AC0420"/>
    <w:rsid w:val="00AC0593"/>
    <w:rsid w:val="00AC0612"/>
    <w:rsid w:val="00AC064B"/>
    <w:rsid w:val="00AC0AEB"/>
    <w:rsid w:val="00AC13A7"/>
    <w:rsid w:val="00AC1866"/>
    <w:rsid w:val="00AC1A6E"/>
    <w:rsid w:val="00AC2856"/>
    <w:rsid w:val="00AC2EEF"/>
    <w:rsid w:val="00AC3163"/>
    <w:rsid w:val="00AC3490"/>
    <w:rsid w:val="00AC4392"/>
    <w:rsid w:val="00AC4565"/>
    <w:rsid w:val="00AC480A"/>
    <w:rsid w:val="00AC4AF4"/>
    <w:rsid w:val="00AC5F79"/>
    <w:rsid w:val="00AC69AC"/>
    <w:rsid w:val="00AC6AE6"/>
    <w:rsid w:val="00AC6C64"/>
    <w:rsid w:val="00AC6FED"/>
    <w:rsid w:val="00AC7DBD"/>
    <w:rsid w:val="00AD0BD8"/>
    <w:rsid w:val="00AD14F1"/>
    <w:rsid w:val="00AD1B5E"/>
    <w:rsid w:val="00AD1B90"/>
    <w:rsid w:val="00AD1F78"/>
    <w:rsid w:val="00AD2135"/>
    <w:rsid w:val="00AD22C2"/>
    <w:rsid w:val="00AD25FD"/>
    <w:rsid w:val="00AD266E"/>
    <w:rsid w:val="00AD2B13"/>
    <w:rsid w:val="00AD3046"/>
    <w:rsid w:val="00AD3981"/>
    <w:rsid w:val="00AD4178"/>
    <w:rsid w:val="00AD4C08"/>
    <w:rsid w:val="00AD5D7D"/>
    <w:rsid w:val="00AD6042"/>
    <w:rsid w:val="00AD6385"/>
    <w:rsid w:val="00AD688C"/>
    <w:rsid w:val="00AD6C02"/>
    <w:rsid w:val="00AD7036"/>
    <w:rsid w:val="00AE008F"/>
    <w:rsid w:val="00AE011F"/>
    <w:rsid w:val="00AE0628"/>
    <w:rsid w:val="00AE0AA4"/>
    <w:rsid w:val="00AE0F3D"/>
    <w:rsid w:val="00AE12FB"/>
    <w:rsid w:val="00AE1A2A"/>
    <w:rsid w:val="00AE1D82"/>
    <w:rsid w:val="00AE1E7A"/>
    <w:rsid w:val="00AE2F0F"/>
    <w:rsid w:val="00AE5A7C"/>
    <w:rsid w:val="00AE5C00"/>
    <w:rsid w:val="00AE6708"/>
    <w:rsid w:val="00AE6882"/>
    <w:rsid w:val="00AE6DA4"/>
    <w:rsid w:val="00AE6DAB"/>
    <w:rsid w:val="00AE6FF8"/>
    <w:rsid w:val="00AE7521"/>
    <w:rsid w:val="00AE7A3E"/>
    <w:rsid w:val="00AE7B84"/>
    <w:rsid w:val="00AE7C81"/>
    <w:rsid w:val="00AF01B4"/>
    <w:rsid w:val="00AF0AD9"/>
    <w:rsid w:val="00AF0C74"/>
    <w:rsid w:val="00AF116F"/>
    <w:rsid w:val="00AF187A"/>
    <w:rsid w:val="00AF1F55"/>
    <w:rsid w:val="00AF25E5"/>
    <w:rsid w:val="00AF263F"/>
    <w:rsid w:val="00AF2917"/>
    <w:rsid w:val="00AF2B58"/>
    <w:rsid w:val="00AF2C61"/>
    <w:rsid w:val="00AF2C7F"/>
    <w:rsid w:val="00AF315A"/>
    <w:rsid w:val="00AF32B5"/>
    <w:rsid w:val="00AF370D"/>
    <w:rsid w:val="00AF3AEE"/>
    <w:rsid w:val="00AF43AC"/>
    <w:rsid w:val="00AF5A3F"/>
    <w:rsid w:val="00AF60B9"/>
    <w:rsid w:val="00AF672E"/>
    <w:rsid w:val="00AF7A3F"/>
    <w:rsid w:val="00AF7A8D"/>
    <w:rsid w:val="00B00CA6"/>
    <w:rsid w:val="00B00EB2"/>
    <w:rsid w:val="00B00EF2"/>
    <w:rsid w:val="00B0134B"/>
    <w:rsid w:val="00B0197E"/>
    <w:rsid w:val="00B028E1"/>
    <w:rsid w:val="00B02B2D"/>
    <w:rsid w:val="00B02F88"/>
    <w:rsid w:val="00B04B32"/>
    <w:rsid w:val="00B05714"/>
    <w:rsid w:val="00B05C52"/>
    <w:rsid w:val="00B060C2"/>
    <w:rsid w:val="00B06438"/>
    <w:rsid w:val="00B06490"/>
    <w:rsid w:val="00B0673E"/>
    <w:rsid w:val="00B0676C"/>
    <w:rsid w:val="00B06A9E"/>
    <w:rsid w:val="00B070B3"/>
    <w:rsid w:val="00B0730E"/>
    <w:rsid w:val="00B074A7"/>
    <w:rsid w:val="00B075B1"/>
    <w:rsid w:val="00B103A6"/>
    <w:rsid w:val="00B10438"/>
    <w:rsid w:val="00B106FF"/>
    <w:rsid w:val="00B1084D"/>
    <w:rsid w:val="00B10AFE"/>
    <w:rsid w:val="00B110E3"/>
    <w:rsid w:val="00B1176B"/>
    <w:rsid w:val="00B11C16"/>
    <w:rsid w:val="00B12691"/>
    <w:rsid w:val="00B127AD"/>
    <w:rsid w:val="00B12ACF"/>
    <w:rsid w:val="00B12D12"/>
    <w:rsid w:val="00B137F9"/>
    <w:rsid w:val="00B13C10"/>
    <w:rsid w:val="00B14742"/>
    <w:rsid w:val="00B14F5D"/>
    <w:rsid w:val="00B14FE6"/>
    <w:rsid w:val="00B15F86"/>
    <w:rsid w:val="00B16154"/>
    <w:rsid w:val="00B164C5"/>
    <w:rsid w:val="00B165B6"/>
    <w:rsid w:val="00B16E2E"/>
    <w:rsid w:val="00B16E3D"/>
    <w:rsid w:val="00B2011D"/>
    <w:rsid w:val="00B20488"/>
    <w:rsid w:val="00B217AB"/>
    <w:rsid w:val="00B21EA4"/>
    <w:rsid w:val="00B22022"/>
    <w:rsid w:val="00B22064"/>
    <w:rsid w:val="00B22619"/>
    <w:rsid w:val="00B22C23"/>
    <w:rsid w:val="00B23327"/>
    <w:rsid w:val="00B23982"/>
    <w:rsid w:val="00B23B81"/>
    <w:rsid w:val="00B23F8D"/>
    <w:rsid w:val="00B24297"/>
    <w:rsid w:val="00B24796"/>
    <w:rsid w:val="00B24810"/>
    <w:rsid w:val="00B24DB9"/>
    <w:rsid w:val="00B2500E"/>
    <w:rsid w:val="00B25EA8"/>
    <w:rsid w:val="00B2647F"/>
    <w:rsid w:val="00B267C1"/>
    <w:rsid w:val="00B27041"/>
    <w:rsid w:val="00B273A3"/>
    <w:rsid w:val="00B27844"/>
    <w:rsid w:val="00B30799"/>
    <w:rsid w:val="00B30E67"/>
    <w:rsid w:val="00B30FEB"/>
    <w:rsid w:val="00B3151C"/>
    <w:rsid w:val="00B3184D"/>
    <w:rsid w:val="00B31932"/>
    <w:rsid w:val="00B32150"/>
    <w:rsid w:val="00B32498"/>
    <w:rsid w:val="00B32569"/>
    <w:rsid w:val="00B339D1"/>
    <w:rsid w:val="00B33B28"/>
    <w:rsid w:val="00B33C39"/>
    <w:rsid w:val="00B33E59"/>
    <w:rsid w:val="00B3465C"/>
    <w:rsid w:val="00B34D55"/>
    <w:rsid w:val="00B35F69"/>
    <w:rsid w:val="00B3605D"/>
    <w:rsid w:val="00B363D5"/>
    <w:rsid w:val="00B364E9"/>
    <w:rsid w:val="00B36938"/>
    <w:rsid w:val="00B36B3C"/>
    <w:rsid w:val="00B36CC9"/>
    <w:rsid w:val="00B371AB"/>
    <w:rsid w:val="00B37E83"/>
    <w:rsid w:val="00B4048F"/>
    <w:rsid w:val="00B41267"/>
    <w:rsid w:val="00B41590"/>
    <w:rsid w:val="00B419F7"/>
    <w:rsid w:val="00B41C3A"/>
    <w:rsid w:val="00B4258F"/>
    <w:rsid w:val="00B425F5"/>
    <w:rsid w:val="00B43628"/>
    <w:rsid w:val="00B4364B"/>
    <w:rsid w:val="00B439B9"/>
    <w:rsid w:val="00B43CBC"/>
    <w:rsid w:val="00B43CDA"/>
    <w:rsid w:val="00B43F56"/>
    <w:rsid w:val="00B44566"/>
    <w:rsid w:val="00B447D6"/>
    <w:rsid w:val="00B45755"/>
    <w:rsid w:val="00B45FDD"/>
    <w:rsid w:val="00B46009"/>
    <w:rsid w:val="00B46021"/>
    <w:rsid w:val="00B471EA"/>
    <w:rsid w:val="00B473A8"/>
    <w:rsid w:val="00B47C9C"/>
    <w:rsid w:val="00B47DDA"/>
    <w:rsid w:val="00B50927"/>
    <w:rsid w:val="00B50B33"/>
    <w:rsid w:val="00B511EC"/>
    <w:rsid w:val="00B512CA"/>
    <w:rsid w:val="00B512F8"/>
    <w:rsid w:val="00B514BC"/>
    <w:rsid w:val="00B52155"/>
    <w:rsid w:val="00B5257D"/>
    <w:rsid w:val="00B529BF"/>
    <w:rsid w:val="00B52B9C"/>
    <w:rsid w:val="00B52F43"/>
    <w:rsid w:val="00B53488"/>
    <w:rsid w:val="00B53523"/>
    <w:rsid w:val="00B53790"/>
    <w:rsid w:val="00B53AC3"/>
    <w:rsid w:val="00B53D16"/>
    <w:rsid w:val="00B541EB"/>
    <w:rsid w:val="00B545DC"/>
    <w:rsid w:val="00B54C9F"/>
    <w:rsid w:val="00B55697"/>
    <w:rsid w:val="00B55A28"/>
    <w:rsid w:val="00B55A5C"/>
    <w:rsid w:val="00B55E68"/>
    <w:rsid w:val="00B570A1"/>
    <w:rsid w:val="00B5718E"/>
    <w:rsid w:val="00B573F7"/>
    <w:rsid w:val="00B57F89"/>
    <w:rsid w:val="00B60C0B"/>
    <w:rsid w:val="00B61071"/>
    <w:rsid w:val="00B615A2"/>
    <w:rsid w:val="00B61B76"/>
    <w:rsid w:val="00B6289F"/>
    <w:rsid w:val="00B62F73"/>
    <w:rsid w:val="00B63467"/>
    <w:rsid w:val="00B634F5"/>
    <w:rsid w:val="00B637C0"/>
    <w:rsid w:val="00B637C5"/>
    <w:rsid w:val="00B64584"/>
    <w:rsid w:val="00B66084"/>
    <w:rsid w:val="00B66536"/>
    <w:rsid w:val="00B66594"/>
    <w:rsid w:val="00B66BB6"/>
    <w:rsid w:val="00B67706"/>
    <w:rsid w:val="00B67A69"/>
    <w:rsid w:val="00B70381"/>
    <w:rsid w:val="00B70867"/>
    <w:rsid w:val="00B70F7A"/>
    <w:rsid w:val="00B71640"/>
    <w:rsid w:val="00B7165B"/>
    <w:rsid w:val="00B717A3"/>
    <w:rsid w:val="00B71D9F"/>
    <w:rsid w:val="00B72081"/>
    <w:rsid w:val="00B7237B"/>
    <w:rsid w:val="00B72C57"/>
    <w:rsid w:val="00B74A8F"/>
    <w:rsid w:val="00B74B20"/>
    <w:rsid w:val="00B74C46"/>
    <w:rsid w:val="00B74C8C"/>
    <w:rsid w:val="00B74CC2"/>
    <w:rsid w:val="00B753CD"/>
    <w:rsid w:val="00B754AF"/>
    <w:rsid w:val="00B75D3A"/>
    <w:rsid w:val="00B760C3"/>
    <w:rsid w:val="00B76A86"/>
    <w:rsid w:val="00B76C25"/>
    <w:rsid w:val="00B77017"/>
    <w:rsid w:val="00B7723D"/>
    <w:rsid w:val="00B776EF"/>
    <w:rsid w:val="00B80422"/>
    <w:rsid w:val="00B8071E"/>
    <w:rsid w:val="00B8075B"/>
    <w:rsid w:val="00B808A2"/>
    <w:rsid w:val="00B80C1D"/>
    <w:rsid w:val="00B81157"/>
    <w:rsid w:val="00B8121F"/>
    <w:rsid w:val="00B814C3"/>
    <w:rsid w:val="00B81E79"/>
    <w:rsid w:val="00B81FE6"/>
    <w:rsid w:val="00B82844"/>
    <w:rsid w:val="00B828C3"/>
    <w:rsid w:val="00B82C65"/>
    <w:rsid w:val="00B833AA"/>
    <w:rsid w:val="00B83A5A"/>
    <w:rsid w:val="00B84283"/>
    <w:rsid w:val="00B84371"/>
    <w:rsid w:val="00B847C1"/>
    <w:rsid w:val="00B84B20"/>
    <w:rsid w:val="00B856CF"/>
    <w:rsid w:val="00B85752"/>
    <w:rsid w:val="00B857F1"/>
    <w:rsid w:val="00B85A4E"/>
    <w:rsid w:val="00B8694A"/>
    <w:rsid w:val="00B86A5E"/>
    <w:rsid w:val="00B86CE3"/>
    <w:rsid w:val="00B90BB1"/>
    <w:rsid w:val="00B911DB"/>
    <w:rsid w:val="00B9127E"/>
    <w:rsid w:val="00B915E5"/>
    <w:rsid w:val="00B91934"/>
    <w:rsid w:val="00B91D25"/>
    <w:rsid w:val="00B928A1"/>
    <w:rsid w:val="00B92942"/>
    <w:rsid w:val="00B92F60"/>
    <w:rsid w:val="00B93281"/>
    <w:rsid w:val="00B93292"/>
    <w:rsid w:val="00B93A5A"/>
    <w:rsid w:val="00B94220"/>
    <w:rsid w:val="00B94413"/>
    <w:rsid w:val="00B945EA"/>
    <w:rsid w:val="00B94BB9"/>
    <w:rsid w:val="00B95216"/>
    <w:rsid w:val="00B952B9"/>
    <w:rsid w:val="00B956FB"/>
    <w:rsid w:val="00B95871"/>
    <w:rsid w:val="00B95B2D"/>
    <w:rsid w:val="00B960D4"/>
    <w:rsid w:val="00B961C6"/>
    <w:rsid w:val="00B96645"/>
    <w:rsid w:val="00B966B5"/>
    <w:rsid w:val="00B97391"/>
    <w:rsid w:val="00B97A8F"/>
    <w:rsid w:val="00BA04CE"/>
    <w:rsid w:val="00BA073F"/>
    <w:rsid w:val="00BA10A4"/>
    <w:rsid w:val="00BA114A"/>
    <w:rsid w:val="00BA12F4"/>
    <w:rsid w:val="00BA1548"/>
    <w:rsid w:val="00BA15B4"/>
    <w:rsid w:val="00BA2D08"/>
    <w:rsid w:val="00BA2DAC"/>
    <w:rsid w:val="00BA37AF"/>
    <w:rsid w:val="00BA406C"/>
    <w:rsid w:val="00BA504F"/>
    <w:rsid w:val="00BA56D5"/>
    <w:rsid w:val="00BA5C21"/>
    <w:rsid w:val="00BA62E0"/>
    <w:rsid w:val="00BA6A5D"/>
    <w:rsid w:val="00BA789A"/>
    <w:rsid w:val="00BA7C1C"/>
    <w:rsid w:val="00BA7F6B"/>
    <w:rsid w:val="00BB0132"/>
    <w:rsid w:val="00BB0413"/>
    <w:rsid w:val="00BB144B"/>
    <w:rsid w:val="00BB1459"/>
    <w:rsid w:val="00BB183A"/>
    <w:rsid w:val="00BB1B26"/>
    <w:rsid w:val="00BB2419"/>
    <w:rsid w:val="00BB271E"/>
    <w:rsid w:val="00BB2998"/>
    <w:rsid w:val="00BB2EA9"/>
    <w:rsid w:val="00BB33EC"/>
    <w:rsid w:val="00BB49D7"/>
    <w:rsid w:val="00BB4A36"/>
    <w:rsid w:val="00BB4E18"/>
    <w:rsid w:val="00BB5C7E"/>
    <w:rsid w:val="00BB5F9B"/>
    <w:rsid w:val="00BB5FCC"/>
    <w:rsid w:val="00BB60A4"/>
    <w:rsid w:val="00BB63F5"/>
    <w:rsid w:val="00BB6A6D"/>
    <w:rsid w:val="00BB6FA6"/>
    <w:rsid w:val="00BB7243"/>
    <w:rsid w:val="00BC0248"/>
    <w:rsid w:val="00BC05C8"/>
    <w:rsid w:val="00BC0A86"/>
    <w:rsid w:val="00BC0F10"/>
    <w:rsid w:val="00BC1D32"/>
    <w:rsid w:val="00BC1F4B"/>
    <w:rsid w:val="00BC2747"/>
    <w:rsid w:val="00BC275A"/>
    <w:rsid w:val="00BC33AF"/>
    <w:rsid w:val="00BC3894"/>
    <w:rsid w:val="00BC3965"/>
    <w:rsid w:val="00BC3D86"/>
    <w:rsid w:val="00BC417A"/>
    <w:rsid w:val="00BC42B7"/>
    <w:rsid w:val="00BC463F"/>
    <w:rsid w:val="00BC465A"/>
    <w:rsid w:val="00BC4AE6"/>
    <w:rsid w:val="00BC511D"/>
    <w:rsid w:val="00BC5676"/>
    <w:rsid w:val="00BC65FB"/>
    <w:rsid w:val="00BC6BBD"/>
    <w:rsid w:val="00BC71EE"/>
    <w:rsid w:val="00BC7D56"/>
    <w:rsid w:val="00BD07D8"/>
    <w:rsid w:val="00BD0EAC"/>
    <w:rsid w:val="00BD1EA2"/>
    <w:rsid w:val="00BD2069"/>
    <w:rsid w:val="00BD28BE"/>
    <w:rsid w:val="00BD2AC6"/>
    <w:rsid w:val="00BD3614"/>
    <w:rsid w:val="00BD634A"/>
    <w:rsid w:val="00BD6554"/>
    <w:rsid w:val="00BD7185"/>
    <w:rsid w:val="00BD7784"/>
    <w:rsid w:val="00BD79E3"/>
    <w:rsid w:val="00BD7A1E"/>
    <w:rsid w:val="00BE00D0"/>
    <w:rsid w:val="00BE0BF6"/>
    <w:rsid w:val="00BE0EB9"/>
    <w:rsid w:val="00BE1770"/>
    <w:rsid w:val="00BE17E7"/>
    <w:rsid w:val="00BE2412"/>
    <w:rsid w:val="00BE2F78"/>
    <w:rsid w:val="00BE44C5"/>
    <w:rsid w:val="00BE4541"/>
    <w:rsid w:val="00BE46D9"/>
    <w:rsid w:val="00BE480F"/>
    <w:rsid w:val="00BE4926"/>
    <w:rsid w:val="00BE5769"/>
    <w:rsid w:val="00BE7778"/>
    <w:rsid w:val="00BF0850"/>
    <w:rsid w:val="00BF0A47"/>
    <w:rsid w:val="00BF0E8B"/>
    <w:rsid w:val="00BF109B"/>
    <w:rsid w:val="00BF1386"/>
    <w:rsid w:val="00BF14DD"/>
    <w:rsid w:val="00BF15CC"/>
    <w:rsid w:val="00BF1D45"/>
    <w:rsid w:val="00BF2068"/>
    <w:rsid w:val="00BF2692"/>
    <w:rsid w:val="00BF2AB3"/>
    <w:rsid w:val="00BF2E23"/>
    <w:rsid w:val="00BF3FB2"/>
    <w:rsid w:val="00BF4933"/>
    <w:rsid w:val="00BF4BA0"/>
    <w:rsid w:val="00BF4C36"/>
    <w:rsid w:val="00BF4D7A"/>
    <w:rsid w:val="00BF51C9"/>
    <w:rsid w:val="00BF5B10"/>
    <w:rsid w:val="00BF6A03"/>
    <w:rsid w:val="00BF6B09"/>
    <w:rsid w:val="00BF6FC7"/>
    <w:rsid w:val="00BF7566"/>
    <w:rsid w:val="00BF7D2E"/>
    <w:rsid w:val="00C00DB6"/>
    <w:rsid w:val="00C012C0"/>
    <w:rsid w:val="00C013B5"/>
    <w:rsid w:val="00C019A9"/>
    <w:rsid w:val="00C021C9"/>
    <w:rsid w:val="00C0231C"/>
    <w:rsid w:val="00C0326D"/>
    <w:rsid w:val="00C039A2"/>
    <w:rsid w:val="00C03D22"/>
    <w:rsid w:val="00C04425"/>
    <w:rsid w:val="00C046ED"/>
    <w:rsid w:val="00C04B8E"/>
    <w:rsid w:val="00C05BE8"/>
    <w:rsid w:val="00C0623A"/>
    <w:rsid w:val="00C06D58"/>
    <w:rsid w:val="00C0734D"/>
    <w:rsid w:val="00C07470"/>
    <w:rsid w:val="00C07AEA"/>
    <w:rsid w:val="00C101C5"/>
    <w:rsid w:val="00C1028F"/>
    <w:rsid w:val="00C10668"/>
    <w:rsid w:val="00C111BA"/>
    <w:rsid w:val="00C11589"/>
    <w:rsid w:val="00C117B1"/>
    <w:rsid w:val="00C119E3"/>
    <w:rsid w:val="00C11D99"/>
    <w:rsid w:val="00C11E45"/>
    <w:rsid w:val="00C12FDB"/>
    <w:rsid w:val="00C1306E"/>
    <w:rsid w:val="00C13432"/>
    <w:rsid w:val="00C13F94"/>
    <w:rsid w:val="00C143BB"/>
    <w:rsid w:val="00C14C5B"/>
    <w:rsid w:val="00C15560"/>
    <w:rsid w:val="00C15585"/>
    <w:rsid w:val="00C156AB"/>
    <w:rsid w:val="00C157DC"/>
    <w:rsid w:val="00C15C14"/>
    <w:rsid w:val="00C15C37"/>
    <w:rsid w:val="00C16908"/>
    <w:rsid w:val="00C16AA8"/>
    <w:rsid w:val="00C16EA6"/>
    <w:rsid w:val="00C17EDC"/>
    <w:rsid w:val="00C203F1"/>
    <w:rsid w:val="00C208D4"/>
    <w:rsid w:val="00C20A70"/>
    <w:rsid w:val="00C21CE9"/>
    <w:rsid w:val="00C223CC"/>
    <w:rsid w:val="00C2277D"/>
    <w:rsid w:val="00C22816"/>
    <w:rsid w:val="00C22AEF"/>
    <w:rsid w:val="00C23209"/>
    <w:rsid w:val="00C2457C"/>
    <w:rsid w:val="00C24FAB"/>
    <w:rsid w:val="00C2503F"/>
    <w:rsid w:val="00C25D8D"/>
    <w:rsid w:val="00C26312"/>
    <w:rsid w:val="00C26347"/>
    <w:rsid w:val="00C2684D"/>
    <w:rsid w:val="00C26A51"/>
    <w:rsid w:val="00C26B37"/>
    <w:rsid w:val="00C27913"/>
    <w:rsid w:val="00C27B00"/>
    <w:rsid w:val="00C305AB"/>
    <w:rsid w:val="00C30A94"/>
    <w:rsid w:val="00C30BA9"/>
    <w:rsid w:val="00C30D56"/>
    <w:rsid w:val="00C316F3"/>
    <w:rsid w:val="00C318E3"/>
    <w:rsid w:val="00C31D0F"/>
    <w:rsid w:val="00C31FD4"/>
    <w:rsid w:val="00C32087"/>
    <w:rsid w:val="00C32953"/>
    <w:rsid w:val="00C32C75"/>
    <w:rsid w:val="00C3384E"/>
    <w:rsid w:val="00C33955"/>
    <w:rsid w:val="00C34196"/>
    <w:rsid w:val="00C3495C"/>
    <w:rsid w:val="00C353CA"/>
    <w:rsid w:val="00C35FA4"/>
    <w:rsid w:val="00C3615D"/>
    <w:rsid w:val="00C36700"/>
    <w:rsid w:val="00C36749"/>
    <w:rsid w:val="00C36BF6"/>
    <w:rsid w:val="00C36C20"/>
    <w:rsid w:val="00C36D9A"/>
    <w:rsid w:val="00C36F10"/>
    <w:rsid w:val="00C370F1"/>
    <w:rsid w:val="00C37230"/>
    <w:rsid w:val="00C37894"/>
    <w:rsid w:val="00C40640"/>
    <w:rsid w:val="00C408C1"/>
    <w:rsid w:val="00C40F35"/>
    <w:rsid w:val="00C411A5"/>
    <w:rsid w:val="00C41617"/>
    <w:rsid w:val="00C4169D"/>
    <w:rsid w:val="00C4197D"/>
    <w:rsid w:val="00C41BDD"/>
    <w:rsid w:val="00C4225D"/>
    <w:rsid w:val="00C42D36"/>
    <w:rsid w:val="00C43DC5"/>
    <w:rsid w:val="00C44122"/>
    <w:rsid w:val="00C44744"/>
    <w:rsid w:val="00C450CB"/>
    <w:rsid w:val="00C455AD"/>
    <w:rsid w:val="00C45CD1"/>
    <w:rsid w:val="00C465D6"/>
    <w:rsid w:val="00C4703F"/>
    <w:rsid w:val="00C4756C"/>
    <w:rsid w:val="00C4789D"/>
    <w:rsid w:val="00C47EFF"/>
    <w:rsid w:val="00C512D6"/>
    <w:rsid w:val="00C51771"/>
    <w:rsid w:val="00C52293"/>
    <w:rsid w:val="00C527AE"/>
    <w:rsid w:val="00C52E9A"/>
    <w:rsid w:val="00C53059"/>
    <w:rsid w:val="00C53439"/>
    <w:rsid w:val="00C53643"/>
    <w:rsid w:val="00C53D15"/>
    <w:rsid w:val="00C54093"/>
    <w:rsid w:val="00C5416F"/>
    <w:rsid w:val="00C5461D"/>
    <w:rsid w:val="00C548D5"/>
    <w:rsid w:val="00C54AE9"/>
    <w:rsid w:val="00C54EBB"/>
    <w:rsid w:val="00C550EA"/>
    <w:rsid w:val="00C55B52"/>
    <w:rsid w:val="00C55B89"/>
    <w:rsid w:val="00C56C47"/>
    <w:rsid w:val="00C571CD"/>
    <w:rsid w:val="00C57971"/>
    <w:rsid w:val="00C609DA"/>
    <w:rsid w:val="00C61693"/>
    <w:rsid w:val="00C6193D"/>
    <w:rsid w:val="00C619E7"/>
    <w:rsid w:val="00C61C0C"/>
    <w:rsid w:val="00C624D8"/>
    <w:rsid w:val="00C6314C"/>
    <w:rsid w:val="00C6344D"/>
    <w:rsid w:val="00C66008"/>
    <w:rsid w:val="00C66586"/>
    <w:rsid w:val="00C6694E"/>
    <w:rsid w:val="00C66B89"/>
    <w:rsid w:val="00C66FAB"/>
    <w:rsid w:val="00C671EE"/>
    <w:rsid w:val="00C67296"/>
    <w:rsid w:val="00C676C4"/>
    <w:rsid w:val="00C679E2"/>
    <w:rsid w:val="00C67DC9"/>
    <w:rsid w:val="00C704B8"/>
    <w:rsid w:val="00C7068B"/>
    <w:rsid w:val="00C70828"/>
    <w:rsid w:val="00C70EBC"/>
    <w:rsid w:val="00C7115F"/>
    <w:rsid w:val="00C719A3"/>
    <w:rsid w:val="00C71E93"/>
    <w:rsid w:val="00C7234B"/>
    <w:rsid w:val="00C727AC"/>
    <w:rsid w:val="00C730DC"/>
    <w:rsid w:val="00C732BD"/>
    <w:rsid w:val="00C734DA"/>
    <w:rsid w:val="00C735A8"/>
    <w:rsid w:val="00C74325"/>
    <w:rsid w:val="00C74481"/>
    <w:rsid w:val="00C74FB2"/>
    <w:rsid w:val="00C7581E"/>
    <w:rsid w:val="00C75EA3"/>
    <w:rsid w:val="00C7669A"/>
    <w:rsid w:val="00C76CB6"/>
    <w:rsid w:val="00C76F0D"/>
    <w:rsid w:val="00C76FA3"/>
    <w:rsid w:val="00C775F5"/>
    <w:rsid w:val="00C77A89"/>
    <w:rsid w:val="00C8021A"/>
    <w:rsid w:val="00C804EA"/>
    <w:rsid w:val="00C8064A"/>
    <w:rsid w:val="00C81882"/>
    <w:rsid w:val="00C81A04"/>
    <w:rsid w:val="00C81D60"/>
    <w:rsid w:val="00C81D7E"/>
    <w:rsid w:val="00C82901"/>
    <w:rsid w:val="00C82A5B"/>
    <w:rsid w:val="00C82FDD"/>
    <w:rsid w:val="00C8325E"/>
    <w:rsid w:val="00C8328C"/>
    <w:rsid w:val="00C83A94"/>
    <w:rsid w:val="00C83C45"/>
    <w:rsid w:val="00C8441D"/>
    <w:rsid w:val="00C85537"/>
    <w:rsid w:val="00C85A0A"/>
    <w:rsid w:val="00C85F93"/>
    <w:rsid w:val="00C8633C"/>
    <w:rsid w:val="00C86777"/>
    <w:rsid w:val="00C86B03"/>
    <w:rsid w:val="00C86DF5"/>
    <w:rsid w:val="00C8756A"/>
    <w:rsid w:val="00C87649"/>
    <w:rsid w:val="00C8795A"/>
    <w:rsid w:val="00C907B3"/>
    <w:rsid w:val="00C90A24"/>
    <w:rsid w:val="00C90CAE"/>
    <w:rsid w:val="00C90EFF"/>
    <w:rsid w:val="00C912CC"/>
    <w:rsid w:val="00C91515"/>
    <w:rsid w:val="00C91932"/>
    <w:rsid w:val="00C91C04"/>
    <w:rsid w:val="00C92541"/>
    <w:rsid w:val="00C93512"/>
    <w:rsid w:val="00C93A9A"/>
    <w:rsid w:val="00C93EBD"/>
    <w:rsid w:val="00C94E2D"/>
    <w:rsid w:val="00C95751"/>
    <w:rsid w:val="00C95857"/>
    <w:rsid w:val="00C95EC1"/>
    <w:rsid w:val="00C963D9"/>
    <w:rsid w:val="00C96814"/>
    <w:rsid w:val="00C968C7"/>
    <w:rsid w:val="00C976E0"/>
    <w:rsid w:val="00C97856"/>
    <w:rsid w:val="00C979AC"/>
    <w:rsid w:val="00C97AD4"/>
    <w:rsid w:val="00CA03FF"/>
    <w:rsid w:val="00CA0BDE"/>
    <w:rsid w:val="00CA0F4E"/>
    <w:rsid w:val="00CA106B"/>
    <w:rsid w:val="00CA172A"/>
    <w:rsid w:val="00CA1A34"/>
    <w:rsid w:val="00CA1FE4"/>
    <w:rsid w:val="00CA271B"/>
    <w:rsid w:val="00CA2D6E"/>
    <w:rsid w:val="00CA3263"/>
    <w:rsid w:val="00CA3D8B"/>
    <w:rsid w:val="00CA441F"/>
    <w:rsid w:val="00CA4EE5"/>
    <w:rsid w:val="00CA520A"/>
    <w:rsid w:val="00CA5465"/>
    <w:rsid w:val="00CA5EAF"/>
    <w:rsid w:val="00CA631D"/>
    <w:rsid w:val="00CA6448"/>
    <w:rsid w:val="00CA69D1"/>
    <w:rsid w:val="00CA6DCC"/>
    <w:rsid w:val="00CA7519"/>
    <w:rsid w:val="00CA79AD"/>
    <w:rsid w:val="00CA79BE"/>
    <w:rsid w:val="00CB03A9"/>
    <w:rsid w:val="00CB05AE"/>
    <w:rsid w:val="00CB0770"/>
    <w:rsid w:val="00CB1776"/>
    <w:rsid w:val="00CB19D9"/>
    <w:rsid w:val="00CB3F77"/>
    <w:rsid w:val="00CB4002"/>
    <w:rsid w:val="00CB4178"/>
    <w:rsid w:val="00CB4266"/>
    <w:rsid w:val="00CB46D1"/>
    <w:rsid w:val="00CB4944"/>
    <w:rsid w:val="00CB4EAC"/>
    <w:rsid w:val="00CB52D7"/>
    <w:rsid w:val="00CB57A1"/>
    <w:rsid w:val="00CB5C9F"/>
    <w:rsid w:val="00CB6420"/>
    <w:rsid w:val="00CB6B80"/>
    <w:rsid w:val="00CB6C9E"/>
    <w:rsid w:val="00CB7451"/>
    <w:rsid w:val="00CB75C7"/>
    <w:rsid w:val="00CB76A9"/>
    <w:rsid w:val="00CB7C52"/>
    <w:rsid w:val="00CB7C7B"/>
    <w:rsid w:val="00CC0866"/>
    <w:rsid w:val="00CC2206"/>
    <w:rsid w:val="00CC2C3A"/>
    <w:rsid w:val="00CC2D62"/>
    <w:rsid w:val="00CC2D66"/>
    <w:rsid w:val="00CC2DDB"/>
    <w:rsid w:val="00CC2EF3"/>
    <w:rsid w:val="00CC32DD"/>
    <w:rsid w:val="00CC3456"/>
    <w:rsid w:val="00CC3528"/>
    <w:rsid w:val="00CC43B8"/>
    <w:rsid w:val="00CC4998"/>
    <w:rsid w:val="00CC4D07"/>
    <w:rsid w:val="00CC4D9D"/>
    <w:rsid w:val="00CC4DCF"/>
    <w:rsid w:val="00CC4FB2"/>
    <w:rsid w:val="00CC55C0"/>
    <w:rsid w:val="00CC5EC7"/>
    <w:rsid w:val="00CC6B7A"/>
    <w:rsid w:val="00CC6F5B"/>
    <w:rsid w:val="00CC70A2"/>
    <w:rsid w:val="00CC72FF"/>
    <w:rsid w:val="00CC7FAB"/>
    <w:rsid w:val="00CD131C"/>
    <w:rsid w:val="00CD1C6A"/>
    <w:rsid w:val="00CD1D9D"/>
    <w:rsid w:val="00CD2029"/>
    <w:rsid w:val="00CD23F6"/>
    <w:rsid w:val="00CD2DC2"/>
    <w:rsid w:val="00CD37C0"/>
    <w:rsid w:val="00CD40E2"/>
    <w:rsid w:val="00CD4268"/>
    <w:rsid w:val="00CD590C"/>
    <w:rsid w:val="00CD621D"/>
    <w:rsid w:val="00CD663B"/>
    <w:rsid w:val="00CD69A8"/>
    <w:rsid w:val="00CD6BE3"/>
    <w:rsid w:val="00CD7609"/>
    <w:rsid w:val="00CD7BF7"/>
    <w:rsid w:val="00CE02E6"/>
    <w:rsid w:val="00CE218D"/>
    <w:rsid w:val="00CE2453"/>
    <w:rsid w:val="00CE2E4A"/>
    <w:rsid w:val="00CE3B59"/>
    <w:rsid w:val="00CE3EFF"/>
    <w:rsid w:val="00CE4046"/>
    <w:rsid w:val="00CE4326"/>
    <w:rsid w:val="00CE6C43"/>
    <w:rsid w:val="00CE794B"/>
    <w:rsid w:val="00CF0499"/>
    <w:rsid w:val="00CF0EC1"/>
    <w:rsid w:val="00CF2058"/>
    <w:rsid w:val="00CF293D"/>
    <w:rsid w:val="00CF29F9"/>
    <w:rsid w:val="00CF3436"/>
    <w:rsid w:val="00CF3547"/>
    <w:rsid w:val="00CF4682"/>
    <w:rsid w:val="00CF4BE2"/>
    <w:rsid w:val="00CF4D22"/>
    <w:rsid w:val="00CF60B0"/>
    <w:rsid w:val="00CF6CDD"/>
    <w:rsid w:val="00CF7C3F"/>
    <w:rsid w:val="00D004C7"/>
    <w:rsid w:val="00D00FA5"/>
    <w:rsid w:val="00D01731"/>
    <w:rsid w:val="00D019EA"/>
    <w:rsid w:val="00D01A65"/>
    <w:rsid w:val="00D01DAE"/>
    <w:rsid w:val="00D02BF8"/>
    <w:rsid w:val="00D035BB"/>
    <w:rsid w:val="00D035F9"/>
    <w:rsid w:val="00D0369A"/>
    <w:rsid w:val="00D037AF"/>
    <w:rsid w:val="00D037EC"/>
    <w:rsid w:val="00D045C1"/>
    <w:rsid w:val="00D045C3"/>
    <w:rsid w:val="00D045F4"/>
    <w:rsid w:val="00D04B3D"/>
    <w:rsid w:val="00D059D8"/>
    <w:rsid w:val="00D063D1"/>
    <w:rsid w:val="00D06D56"/>
    <w:rsid w:val="00D06E76"/>
    <w:rsid w:val="00D074D6"/>
    <w:rsid w:val="00D07C88"/>
    <w:rsid w:val="00D1011B"/>
    <w:rsid w:val="00D101C7"/>
    <w:rsid w:val="00D11647"/>
    <w:rsid w:val="00D11EBC"/>
    <w:rsid w:val="00D11F2F"/>
    <w:rsid w:val="00D11FF4"/>
    <w:rsid w:val="00D1260D"/>
    <w:rsid w:val="00D12623"/>
    <w:rsid w:val="00D12AAD"/>
    <w:rsid w:val="00D134BD"/>
    <w:rsid w:val="00D14256"/>
    <w:rsid w:val="00D1431F"/>
    <w:rsid w:val="00D14CD9"/>
    <w:rsid w:val="00D1531B"/>
    <w:rsid w:val="00D16595"/>
    <w:rsid w:val="00D16A3A"/>
    <w:rsid w:val="00D16C73"/>
    <w:rsid w:val="00D16E12"/>
    <w:rsid w:val="00D17189"/>
    <w:rsid w:val="00D17396"/>
    <w:rsid w:val="00D17AED"/>
    <w:rsid w:val="00D213B2"/>
    <w:rsid w:val="00D2153D"/>
    <w:rsid w:val="00D215B0"/>
    <w:rsid w:val="00D2207F"/>
    <w:rsid w:val="00D22445"/>
    <w:rsid w:val="00D22711"/>
    <w:rsid w:val="00D227DB"/>
    <w:rsid w:val="00D22C47"/>
    <w:rsid w:val="00D236EF"/>
    <w:rsid w:val="00D249D0"/>
    <w:rsid w:val="00D24AC2"/>
    <w:rsid w:val="00D253E8"/>
    <w:rsid w:val="00D25D63"/>
    <w:rsid w:val="00D26367"/>
    <w:rsid w:val="00D26677"/>
    <w:rsid w:val="00D2692C"/>
    <w:rsid w:val="00D26986"/>
    <w:rsid w:val="00D26FD2"/>
    <w:rsid w:val="00D26FDF"/>
    <w:rsid w:val="00D275E1"/>
    <w:rsid w:val="00D2761C"/>
    <w:rsid w:val="00D304DF"/>
    <w:rsid w:val="00D30ABC"/>
    <w:rsid w:val="00D31724"/>
    <w:rsid w:val="00D31787"/>
    <w:rsid w:val="00D31AF0"/>
    <w:rsid w:val="00D31DC2"/>
    <w:rsid w:val="00D3224C"/>
    <w:rsid w:val="00D3235B"/>
    <w:rsid w:val="00D323F2"/>
    <w:rsid w:val="00D323F4"/>
    <w:rsid w:val="00D32BD1"/>
    <w:rsid w:val="00D330D8"/>
    <w:rsid w:val="00D33163"/>
    <w:rsid w:val="00D33AF7"/>
    <w:rsid w:val="00D34B12"/>
    <w:rsid w:val="00D35049"/>
    <w:rsid w:val="00D356DC"/>
    <w:rsid w:val="00D35CA2"/>
    <w:rsid w:val="00D35CA5"/>
    <w:rsid w:val="00D36121"/>
    <w:rsid w:val="00D369A3"/>
    <w:rsid w:val="00D36ABE"/>
    <w:rsid w:val="00D3778F"/>
    <w:rsid w:val="00D37C5D"/>
    <w:rsid w:val="00D37E58"/>
    <w:rsid w:val="00D402B1"/>
    <w:rsid w:val="00D40785"/>
    <w:rsid w:val="00D40D88"/>
    <w:rsid w:val="00D410FD"/>
    <w:rsid w:val="00D42A7A"/>
    <w:rsid w:val="00D43024"/>
    <w:rsid w:val="00D431A2"/>
    <w:rsid w:val="00D43575"/>
    <w:rsid w:val="00D436E5"/>
    <w:rsid w:val="00D452CE"/>
    <w:rsid w:val="00D45BB6"/>
    <w:rsid w:val="00D45EB1"/>
    <w:rsid w:val="00D46580"/>
    <w:rsid w:val="00D4658D"/>
    <w:rsid w:val="00D472F8"/>
    <w:rsid w:val="00D47ABF"/>
    <w:rsid w:val="00D50083"/>
    <w:rsid w:val="00D5082B"/>
    <w:rsid w:val="00D5131E"/>
    <w:rsid w:val="00D51F07"/>
    <w:rsid w:val="00D51FF7"/>
    <w:rsid w:val="00D52811"/>
    <w:rsid w:val="00D531BC"/>
    <w:rsid w:val="00D53A68"/>
    <w:rsid w:val="00D546AF"/>
    <w:rsid w:val="00D54A3A"/>
    <w:rsid w:val="00D54F64"/>
    <w:rsid w:val="00D54F65"/>
    <w:rsid w:val="00D55284"/>
    <w:rsid w:val="00D55727"/>
    <w:rsid w:val="00D559F3"/>
    <w:rsid w:val="00D55A20"/>
    <w:rsid w:val="00D5612F"/>
    <w:rsid w:val="00D56885"/>
    <w:rsid w:val="00D57032"/>
    <w:rsid w:val="00D575AF"/>
    <w:rsid w:val="00D6008B"/>
    <w:rsid w:val="00D606B6"/>
    <w:rsid w:val="00D60A06"/>
    <w:rsid w:val="00D60B3C"/>
    <w:rsid w:val="00D60F6A"/>
    <w:rsid w:val="00D61096"/>
    <w:rsid w:val="00D622F0"/>
    <w:rsid w:val="00D625E8"/>
    <w:rsid w:val="00D628B7"/>
    <w:rsid w:val="00D62922"/>
    <w:rsid w:val="00D633E5"/>
    <w:rsid w:val="00D63CAE"/>
    <w:rsid w:val="00D63CBA"/>
    <w:rsid w:val="00D64247"/>
    <w:rsid w:val="00D64A9C"/>
    <w:rsid w:val="00D65518"/>
    <w:rsid w:val="00D657A6"/>
    <w:rsid w:val="00D664E0"/>
    <w:rsid w:val="00D66AF0"/>
    <w:rsid w:val="00D66DC5"/>
    <w:rsid w:val="00D66EB5"/>
    <w:rsid w:val="00D67002"/>
    <w:rsid w:val="00D674D6"/>
    <w:rsid w:val="00D70531"/>
    <w:rsid w:val="00D705A0"/>
    <w:rsid w:val="00D70980"/>
    <w:rsid w:val="00D71039"/>
    <w:rsid w:val="00D72413"/>
    <w:rsid w:val="00D72BB2"/>
    <w:rsid w:val="00D72E68"/>
    <w:rsid w:val="00D72F49"/>
    <w:rsid w:val="00D738A8"/>
    <w:rsid w:val="00D738BD"/>
    <w:rsid w:val="00D7475A"/>
    <w:rsid w:val="00D75496"/>
    <w:rsid w:val="00D765C1"/>
    <w:rsid w:val="00D77A38"/>
    <w:rsid w:val="00D81463"/>
    <w:rsid w:val="00D82891"/>
    <w:rsid w:val="00D82AAD"/>
    <w:rsid w:val="00D82CCA"/>
    <w:rsid w:val="00D82D52"/>
    <w:rsid w:val="00D83247"/>
    <w:rsid w:val="00D83326"/>
    <w:rsid w:val="00D835E3"/>
    <w:rsid w:val="00D83714"/>
    <w:rsid w:val="00D83994"/>
    <w:rsid w:val="00D839C1"/>
    <w:rsid w:val="00D8487B"/>
    <w:rsid w:val="00D84A1C"/>
    <w:rsid w:val="00D85855"/>
    <w:rsid w:val="00D85A6D"/>
    <w:rsid w:val="00D85B8C"/>
    <w:rsid w:val="00D85F76"/>
    <w:rsid w:val="00D86519"/>
    <w:rsid w:val="00D865C1"/>
    <w:rsid w:val="00D86B4A"/>
    <w:rsid w:val="00D87CDB"/>
    <w:rsid w:val="00D87D1A"/>
    <w:rsid w:val="00D91D89"/>
    <w:rsid w:val="00D92161"/>
    <w:rsid w:val="00D9232C"/>
    <w:rsid w:val="00D9298E"/>
    <w:rsid w:val="00D931EE"/>
    <w:rsid w:val="00D93511"/>
    <w:rsid w:val="00D93DE8"/>
    <w:rsid w:val="00D9409B"/>
    <w:rsid w:val="00D94416"/>
    <w:rsid w:val="00D945F6"/>
    <w:rsid w:val="00D94B22"/>
    <w:rsid w:val="00D950C2"/>
    <w:rsid w:val="00D95A00"/>
    <w:rsid w:val="00D95AB0"/>
    <w:rsid w:val="00D964F2"/>
    <w:rsid w:val="00D96530"/>
    <w:rsid w:val="00D9661F"/>
    <w:rsid w:val="00D96F65"/>
    <w:rsid w:val="00D96F9D"/>
    <w:rsid w:val="00D971C3"/>
    <w:rsid w:val="00D973F7"/>
    <w:rsid w:val="00D97721"/>
    <w:rsid w:val="00D97741"/>
    <w:rsid w:val="00D97AB3"/>
    <w:rsid w:val="00DA0BB1"/>
    <w:rsid w:val="00DA0D7E"/>
    <w:rsid w:val="00DA0ED6"/>
    <w:rsid w:val="00DA0FEA"/>
    <w:rsid w:val="00DA2A4B"/>
    <w:rsid w:val="00DA3188"/>
    <w:rsid w:val="00DA3A76"/>
    <w:rsid w:val="00DA4A71"/>
    <w:rsid w:val="00DA4E67"/>
    <w:rsid w:val="00DA520C"/>
    <w:rsid w:val="00DA65DF"/>
    <w:rsid w:val="00DA6C31"/>
    <w:rsid w:val="00DA6E91"/>
    <w:rsid w:val="00DA723C"/>
    <w:rsid w:val="00DA7404"/>
    <w:rsid w:val="00DA7A80"/>
    <w:rsid w:val="00DB040C"/>
    <w:rsid w:val="00DB0BD8"/>
    <w:rsid w:val="00DB2515"/>
    <w:rsid w:val="00DB2A8D"/>
    <w:rsid w:val="00DB2AE8"/>
    <w:rsid w:val="00DB2BCF"/>
    <w:rsid w:val="00DB3496"/>
    <w:rsid w:val="00DB38F8"/>
    <w:rsid w:val="00DB48BC"/>
    <w:rsid w:val="00DB48E4"/>
    <w:rsid w:val="00DB49C5"/>
    <w:rsid w:val="00DB4A56"/>
    <w:rsid w:val="00DB4EAD"/>
    <w:rsid w:val="00DB4FC7"/>
    <w:rsid w:val="00DB51B1"/>
    <w:rsid w:val="00DB5737"/>
    <w:rsid w:val="00DB6141"/>
    <w:rsid w:val="00DB65F8"/>
    <w:rsid w:val="00DB67A0"/>
    <w:rsid w:val="00DB683D"/>
    <w:rsid w:val="00DB71DC"/>
    <w:rsid w:val="00DB7716"/>
    <w:rsid w:val="00DC0829"/>
    <w:rsid w:val="00DC0E5B"/>
    <w:rsid w:val="00DC0F3A"/>
    <w:rsid w:val="00DC108A"/>
    <w:rsid w:val="00DC1FB4"/>
    <w:rsid w:val="00DC3F2D"/>
    <w:rsid w:val="00DC442B"/>
    <w:rsid w:val="00DC46B5"/>
    <w:rsid w:val="00DC4D4E"/>
    <w:rsid w:val="00DC4EDA"/>
    <w:rsid w:val="00DC50DB"/>
    <w:rsid w:val="00DC53FB"/>
    <w:rsid w:val="00DC57D5"/>
    <w:rsid w:val="00DC61B3"/>
    <w:rsid w:val="00DC6866"/>
    <w:rsid w:val="00DC69AF"/>
    <w:rsid w:val="00DC6AA0"/>
    <w:rsid w:val="00DC7465"/>
    <w:rsid w:val="00DC7FA4"/>
    <w:rsid w:val="00DC7FD7"/>
    <w:rsid w:val="00DD0365"/>
    <w:rsid w:val="00DD0FE5"/>
    <w:rsid w:val="00DD1187"/>
    <w:rsid w:val="00DD1383"/>
    <w:rsid w:val="00DD1716"/>
    <w:rsid w:val="00DD1CCD"/>
    <w:rsid w:val="00DD2147"/>
    <w:rsid w:val="00DD2BB4"/>
    <w:rsid w:val="00DD3A6A"/>
    <w:rsid w:val="00DD3AC1"/>
    <w:rsid w:val="00DD3B87"/>
    <w:rsid w:val="00DD4342"/>
    <w:rsid w:val="00DD486C"/>
    <w:rsid w:val="00DD49B4"/>
    <w:rsid w:val="00DD4F76"/>
    <w:rsid w:val="00DD505F"/>
    <w:rsid w:val="00DD546B"/>
    <w:rsid w:val="00DD557D"/>
    <w:rsid w:val="00DD628F"/>
    <w:rsid w:val="00DD694B"/>
    <w:rsid w:val="00DD6A9D"/>
    <w:rsid w:val="00DD6D69"/>
    <w:rsid w:val="00DD6E55"/>
    <w:rsid w:val="00DD6F14"/>
    <w:rsid w:val="00DD6F62"/>
    <w:rsid w:val="00DD7BA4"/>
    <w:rsid w:val="00DE04A2"/>
    <w:rsid w:val="00DE0514"/>
    <w:rsid w:val="00DE0B2F"/>
    <w:rsid w:val="00DE0E71"/>
    <w:rsid w:val="00DE10B3"/>
    <w:rsid w:val="00DE30B2"/>
    <w:rsid w:val="00DE3792"/>
    <w:rsid w:val="00DE3E60"/>
    <w:rsid w:val="00DE444A"/>
    <w:rsid w:val="00DE4BF2"/>
    <w:rsid w:val="00DE4EF8"/>
    <w:rsid w:val="00DE4FEB"/>
    <w:rsid w:val="00DE512E"/>
    <w:rsid w:val="00DE5299"/>
    <w:rsid w:val="00DE5807"/>
    <w:rsid w:val="00DE63B5"/>
    <w:rsid w:val="00DE715F"/>
    <w:rsid w:val="00DF025A"/>
    <w:rsid w:val="00DF0757"/>
    <w:rsid w:val="00DF0FD1"/>
    <w:rsid w:val="00DF1188"/>
    <w:rsid w:val="00DF14D0"/>
    <w:rsid w:val="00DF2D6E"/>
    <w:rsid w:val="00DF33DC"/>
    <w:rsid w:val="00DF36CB"/>
    <w:rsid w:val="00DF4245"/>
    <w:rsid w:val="00DF4507"/>
    <w:rsid w:val="00DF4648"/>
    <w:rsid w:val="00DF492E"/>
    <w:rsid w:val="00DF4BB2"/>
    <w:rsid w:val="00DF5400"/>
    <w:rsid w:val="00DF56D7"/>
    <w:rsid w:val="00DF5C94"/>
    <w:rsid w:val="00DF5CAB"/>
    <w:rsid w:val="00DF632F"/>
    <w:rsid w:val="00DF650E"/>
    <w:rsid w:val="00DF688B"/>
    <w:rsid w:val="00DF779C"/>
    <w:rsid w:val="00DF7946"/>
    <w:rsid w:val="00DF79A1"/>
    <w:rsid w:val="00DF7A64"/>
    <w:rsid w:val="00DF7CA1"/>
    <w:rsid w:val="00DF7DB6"/>
    <w:rsid w:val="00DF7E41"/>
    <w:rsid w:val="00DF7E7C"/>
    <w:rsid w:val="00E0064B"/>
    <w:rsid w:val="00E00D5E"/>
    <w:rsid w:val="00E0142B"/>
    <w:rsid w:val="00E02117"/>
    <w:rsid w:val="00E027EE"/>
    <w:rsid w:val="00E02E72"/>
    <w:rsid w:val="00E03978"/>
    <w:rsid w:val="00E03D44"/>
    <w:rsid w:val="00E04186"/>
    <w:rsid w:val="00E0477B"/>
    <w:rsid w:val="00E049FD"/>
    <w:rsid w:val="00E0534B"/>
    <w:rsid w:val="00E055BC"/>
    <w:rsid w:val="00E05D76"/>
    <w:rsid w:val="00E05F57"/>
    <w:rsid w:val="00E06155"/>
    <w:rsid w:val="00E0731C"/>
    <w:rsid w:val="00E07401"/>
    <w:rsid w:val="00E0798D"/>
    <w:rsid w:val="00E07FE1"/>
    <w:rsid w:val="00E10082"/>
    <w:rsid w:val="00E10E44"/>
    <w:rsid w:val="00E10EF4"/>
    <w:rsid w:val="00E112CA"/>
    <w:rsid w:val="00E119D5"/>
    <w:rsid w:val="00E11AEE"/>
    <w:rsid w:val="00E11AF0"/>
    <w:rsid w:val="00E11E98"/>
    <w:rsid w:val="00E12BFB"/>
    <w:rsid w:val="00E1438F"/>
    <w:rsid w:val="00E15FDD"/>
    <w:rsid w:val="00E1619E"/>
    <w:rsid w:val="00E1655F"/>
    <w:rsid w:val="00E169DD"/>
    <w:rsid w:val="00E16B78"/>
    <w:rsid w:val="00E17071"/>
    <w:rsid w:val="00E17A4A"/>
    <w:rsid w:val="00E202EC"/>
    <w:rsid w:val="00E2063B"/>
    <w:rsid w:val="00E2090C"/>
    <w:rsid w:val="00E21527"/>
    <w:rsid w:val="00E2155F"/>
    <w:rsid w:val="00E21E06"/>
    <w:rsid w:val="00E237E9"/>
    <w:rsid w:val="00E239DB"/>
    <w:rsid w:val="00E24459"/>
    <w:rsid w:val="00E244CB"/>
    <w:rsid w:val="00E24917"/>
    <w:rsid w:val="00E25383"/>
    <w:rsid w:val="00E25541"/>
    <w:rsid w:val="00E260BB"/>
    <w:rsid w:val="00E26D1F"/>
    <w:rsid w:val="00E26E4F"/>
    <w:rsid w:val="00E26E98"/>
    <w:rsid w:val="00E275A1"/>
    <w:rsid w:val="00E27B2C"/>
    <w:rsid w:val="00E27CC9"/>
    <w:rsid w:val="00E3074D"/>
    <w:rsid w:val="00E308CC"/>
    <w:rsid w:val="00E3135F"/>
    <w:rsid w:val="00E32034"/>
    <w:rsid w:val="00E3282A"/>
    <w:rsid w:val="00E328F3"/>
    <w:rsid w:val="00E338DA"/>
    <w:rsid w:val="00E33F20"/>
    <w:rsid w:val="00E34C72"/>
    <w:rsid w:val="00E34D93"/>
    <w:rsid w:val="00E3503A"/>
    <w:rsid w:val="00E352EC"/>
    <w:rsid w:val="00E37C53"/>
    <w:rsid w:val="00E37D78"/>
    <w:rsid w:val="00E40C74"/>
    <w:rsid w:val="00E41635"/>
    <w:rsid w:val="00E42531"/>
    <w:rsid w:val="00E425CC"/>
    <w:rsid w:val="00E43C63"/>
    <w:rsid w:val="00E440CD"/>
    <w:rsid w:val="00E4445A"/>
    <w:rsid w:val="00E44923"/>
    <w:rsid w:val="00E45119"/>
    <w:rsid w:val="00E4523C"/>
    <w:rsid w:val="00E453FA"/>
    <w:rsid w:val="00E454A7"/>
    <w:rsid w:val="00E45934"/>
    <w:rsid w:val="00E4608F"/>
    <w:rsid w:val="00E46107"/>
    <w:rsid w:val="00E509DA"/>
    <w:rsid w:val="00E50D7C"/>
    <w:rsid w:val="00E50E54"/>
    <w:rsid w:val="00E52286"/>
    <w:rsid w:val="00E5246A"/>
    <w:rsid w:val="00E53088"/>
    <w:rsid w:val="00E531EE"/>
    <w:rsid w:val="00E533F9"/>
    <w:rsid w:val="00E5341E"/>
    <w:rsid w:val="00E54725"/>
    <w:rsid w:val="00E54953"/>
    <w:rsid w:val="00E54AFA"/>
    <w:rsid w:val="00E54C13"/>
    <w:rsid w:val="00E550BA"/>
    <w:rsid w:val="00E55582"/>
    <w:rsid w:val="00E55CFA"/>
    <w:rsid w:val="00E5609F"/>
    <w:rsid w:val="00E562CF"/>
    <w:rsid w:val="00E56A5E"/>
    <w:rsid w:val="00E600D4"/>
    <w:rsid w:val="00E60150"/>
    <w:rsid w:val="00E6085A"/>
    <w:rsid w:val="00E60B72"/>
    <w:rsid w:val="00E60C4A"/>
    <w:rsid w:val="00E618E7"/>
    <w:rsid w:val="00E61EF6"/>
    <w:rsid w:val="00E61FF4"/>
    <w:rsid w:val="00E6222B"/>
    <w:rsid w:val="00E6261A"/>
    <w:rsid w:val="00E6288D"/>
    <w:rsid w:val="00E62FBF"/>
    <w:rsid w:val="00E6382D"/>
    <w:rsid w:val="00E641B7"/>
    <w:rsid w:val="00E655D0"/>
    <w:rsid w:val="00E65A6D"/>
    <w:rsid w:val="00E65DEA"/>
    <w:rsid w:val="00E65FA7"/>
    <w:rsid w:val="00E66150"/>
    <w:rsid w:val="00E667E0"/>
    <w:rsid w:val="00E66BC7"/>
    <w:rsid w:val="00E67049"/>
    <w:rsid w:val="00E67ECF"/>
    <w:rsid w:val="00E70AFB"/>
    <w:rsid w:val="00E70C61"/>
    <w:rsid w:val="00E70E61"/>
    <w:rsid w:val="00E71DCE"/>
    <w:rsid w:val="00E72225"/>
    <w:rsid w:val="00E72419"/>
    <w:rsid w:val="00E72841"/>
    <w:rsid w:val="00E72AA1"/>
    <w:rsid w:val="00E72F46"/>
    <w:rsid w:val="00E74563"/>
    <w:rsid w:val="00E74645"/>
    <w:rsid w:val="00E74AEF"/>
    <w:rsid w:val="00E752A0"/>
    <w:rsid w:val="00E75430"/>
    <w:rsid w:val="00E75AE3"/>
    <w:rsid w:val="00E76C9F"/>
    <w:rsid w:val="00E774F1"/>
    <w:rsid w:val="00E80E54"/>
    <w:rsid w:val="00E81236"/>
    <w:rsid w:val="00E8138C"/>
    <w:rsid w:val="00E81669"/>
    <w:rsid w:val="00E81832"/>
    <w:rsid w:val="00E81D72"/>
    <w:rsid w:val="00E8288D"/>
    <w:rsid w:val="00E829C8"/>
    <w:rsid w:val="00E82F8F"/>
    <w:rsid w:val="00E8492E"/>
    <w:rsid w:val="00E84BF9"/>
    <w:rsid w:val="00E85187"/>
    <w:rsid w:val="00E85A3B"/>
    <w:rsid w:val="00E8645B"/>
    <w:rsid w:val="00E8661B"/>
    <w:rsid w:val="00E86716"/>
    <w:rsid w:val="00E867EA"/>
    <w:rsid w:val="00E86E03"/>
    <w:rsid w:val="00E86F7D"/>
    <w:rsid w:val="00E87849"/>
    <w:rsid w:val="00E87999"/>
    <w:rsid w:val="00E87B74"/>
    <w:rsid w:val="00E90A09"/>
    <w:rsid w:val="00E90C58"/>
    <w:rsid w:val="00E90FDD"/>
    <w:rsid w:val="00E91FF3"/>
    <w:rsid w:val="00E9208F"/>
    <w:rsid w:val="00E928CA"/>
    <w:rsid w:val="00E938E9"/>
    <w:rsid w:val="00E93AA6"/>
    <w:rsid w:val="00E95953"/>
    <w:rsid w:val="00E95F2D"/>
    <w:rsid w:val="00E960CE"/>
    <w:rsid w:val="00E96CDD"/>
    <w:rsid w:val="00E96D42"/>
    <w:rsid w:val="00E97435"/>
    <w:rsid w:val="00E97734"/>
    <w:rsid w:val="00E977DA"/>
    <w:rsid w:val="00E978A6"/>
    <w:rsid w:val="00E97F61"/>
    <w:rsid w:val="00EA009E"/>
    <w:rsid w:val="00EA0B21"/>
    <w:rsid w:val="00EA0F26"/>
    <w:rsid w:val="00EA1574"/>
    <w:rsid w:val="00EA1AC6"/>
    <w:rsid w:val="00EA3346"/>
    <w:rsid w:val="00EA34B0"/>
    <w:rsid w:val="00EA39C8"/>
    <w:rsid w:val="00EA3FAF"/>
    <w:rsid w:val="00EA486D"/>
    <w:rsid w:val="00EA4E62"/>
    <w:rsid w:val="00EA5085"/>
    <w:rsid w:val="00EA5115"/>
    <w:rsid w:val="00EA544F"/>
    <w:rsid w:val="00EA5A57"/>
    <w:rsid w:val="00EA61E2"/>
    <w:rsid w:val="00EA67D1"/>
    <w:rsid w:val="00EA69E0"/>
    <w:rsid w:val="00EA6EF2"/>
    <w:rsid w:val="00EA6F84"/>
    <w:rsid w:val="00EA70EE"/>
    <w:rsid w:val="00EB066F"/>
    <w:rsid w:val="00EB15B0"/>
    <w:rsid w:val="00EB1902"/>
    <w:rsid w:val="00EB1CF1"/>
    <w:rsid w:val="00EB1FC2"/>
    <w:rsid w:val="00EB2798"/>
    <w:rsid w:val="00EB2A42"/>
    <w:rsid w:val="00EB2ED4"/>
    <w:rsid w:val="00EB319D"/>
    <w:rsid w:val="00EB3F61"/>
    <w:rsid w:val="00EB442C"/>
    <w:rsid w:val="00EB464D"/>
    <w:rsid w:val="00EB4DB9"/>
    <w:rsid w:val="00EB5A77"/>
    <w:rsid w:val="00EB5C9C"/>
    <w:rsid w:val="00EB6124"/>
    <w:rsid w:val="00EB67B9"/>
    <w:rsid w:val="00EB7B1A"/>
    <w:rsid w:val="00EC05A8"/>
    <w:rsid w:val="00EC0827"/>
    <w:rsid w:val="00EC0A89"/>
    <w:rsid w:val="00EC1C7E"/>
    <w:rsid w:val="00EC1D3C"/>
    <w:rsid w:val="00EC23B9"/>
    <w:rsid w:val="00EC2818"/>
    <w:rsid w:val="00EC300B"/>
    <w:rsid w:val="00EC34DA"/>
    <w:rsid w:val="00EC3840"/>
    <w:rsid w:val="00EC3BCB"/>
    <w:rsid w:val="00EC4582"/>
    <w:rsid w:val="00EC4EF8"/>
    <w:rsid w:val="00EC4FF6"/>
    <w:rsid w:val="00EC5158"/>
    <w:rsid w:val="00EC53EF"/>
    <w:rsid w:val="00EC5974"/>
    <w:rsid w:val="00EC5B2C"/>
    <w:rsid w:val="00EC5C20"/>
    <w:rsid w:val="00EC6825"/>
    <w:rsid w:val="00EC6917"/>
    <w:rsid w:val="00EC6986"/>
    <w:rsid w:val="00EC69B4"/>
    <w:rsid w:val="00EC6D09"/>
    <w:rsid w:val="00EC77E2"/>
    <w:rsid w:val="00ED04DC"/>
    <w:rsid w:val="00ED0862"/>
    <w:rsid w:val="00ED0964"/>
    <w:rsid w:val="00ED0A8E"/>
    <w:rsid w:val="00ED137D"/>
    <w:rsid w:val="00ED1D90"/>
    <w:rsid w:val="00ED1E8B"/>
    <w:rsid w:val="00ED2916"/>
    <w:rsid w:val="00ED2E1E"/>
    <w:rsid w:val="00ED3DDF"/>
    <w:rsid w:val="00ED40E0"/>
    <w:rsid w:val="00ED448A"/>
    <w:rsid w:val="00ED4818"/>
    <w:rsid w:val="00ED48BA"/>
    <w:rsid w:val="00ED4E36"/>
    <w:rsid w:val="00ED5411"/>
    <w:rsid w:val="00ED553A"/>
    <w:rsid w:val="00ED55CF"/>
    <w:rsid w:val="00ED5647"/>
    <w:rsid w:val="00ED5728"/>
    <w:rsid w:val="00ED5E78"/>
    <w:rsid w:val="00ED6E5A"/>
    <w:rsid w:val="00ED7E53"/>
    <w:rsid w:val="00ED7FA8"/>
    <w:rsid w:val="00EE00E3"/>
    <w:rsid w:val="00EE0156"/>
    <w:rsid w:val="00EE0440"/>
    <w:rsid w:val="00EE0CC5"/>
    <w:rsid w:val="00EE0D2C"/>
    <w:rsid w:val="00EE14AF"/>
    <w:rsid w:val="00EE1735"/>
    <w:rsid w:val="00EE1E5A"/>
    <w:rsid w:val="00EE21D9"/>
    <w:rsid w:val="00EE292B"/>
    <w:rsid w:val="00EE2AEB"/>
    <w:rsid w:val="00EE2CB0"/>
    <w:rsid w:val="00EE3155"/>
    <w:rsid w:val="00EE34E8"/>
    <w:rsid w:val="00EE4C32"/>
    <w:rsid w:val="00EE5EB8"/>
    <w:rsid w:val="00EE6510"/>
    <w:rsid w:val="00EE672A"/>
    <w:rsid w:val="00EE6932"/>
    <w:rsid w:val="00EE7213"/>
    <w:rsid w:val="00EE7AD2"/>
    <w:rsid w:val="00EF0791"/>
    <w:rsid w:val="00EF0810"/>
    <w:rsid w:val="00EF0DCB"/>
    <w:rsid w:val="00EF13FF"/>
    <w:rsid w:val="00EF1AB0"/>
    <w:rsid w:val="00EF30BB"/>
    <w:rsid w:val="00EF37D0"/>
    <w:rsid w:val="00EF3B81"/>
    <w:rsid w:val="00EF45E7"/>
    <w:rsid w:val="00EF4791"/>
    <w:rsid w:val="00EF4E7B"/>
    <w:rsid w:val="00EF54CD"/>
    <w:rsid w:val="00EF55AE"/>
    <w:rsid w:val="00EF5A63"/>
    <w:rsid w:val="00EF5FBE"/>
    <w:rsid w:val="00EF6906"/>
    <w:rsid w:val="00EF754D"/>
    <w:rsid w:val="00EF7628"/>
    <w:rsid w:val="00EF7C63"/>
    <w:rsid w:val="00F012DB"/>
    <w:rsid w:val="00F0134A"/>
    <w:rsid w:val="00F01A21"/>
    <w:rsid w:val="00F035DB"/>
    <w:rsid w:val="00F0370A"/>
    <w:rsid w:val="00F06363"/>
    <w:rsid w:val="00F063A4"/>
    <w:rsid w:val="00F0641C"/>
    <w:rsid w:val="00F071D2"/>
    <w:rsid w:val="00F0759E"/>
    <w:rsid w:val="00F076A6"/>
    <w:rsid w:val="00F076AB"/>
    <w:rsid w:val="00F07AB5"/>
    <w:rsid w:val="00F10F0B"/>
    <w:rsid w:val="00F1159E"/>
    <w:rsid w:val="00F117C1"/>
    <w:rsid w:val="00F11B62"/>
    <w:rsid w:val="00F11E4B"/>
    <w:rsid w:val="00F12201"/>
    <w:rsid w:val="00F125BC"/>
    <w:rsid w:val="00F13046"/>
    <w:rsid w:val="00F13339"/>
    <w:rsid w:val="00F13FEE"/>
    <w:rsid w:val="00F1441F"/>
    <w:rsid w:val="00F14651"/>
    <w:rsid w:val="00F14C00"/>
    <w:rsid w:val="00F14C5B"/>
    <w:rsid w:val="00F14D77"/>
    <w:rsid w:val="00F1546B"/>
    <w:rsid w:val="00F154F2"/>
    <w:rsid w:val="00F15ADF"/>
    <w:rsid w:val="00F16085"/>
    <w:rsid w:val="00F1670F"/>
    <w:rsid w:val="00F16F0B"/>
    <w:rsid w:val="00F175E0"/>
    <w:rsid w:val="00F17BC1"/>
    <w:rsid w:val="00F2099E"/>
    <w:rsid w:val="00F211ED"/>
    <w:rsid w:val="00F21377"/>
    <w:rsid w:val="00F21410"/>
    <w:rsid w:val="00F2158F"/>
    <w:rsid w:val="00F21772"/>
    <w:rsid w:val="00F21993"/>
    <w:rsid w:val="00F221FA"/>
    <w:rsid w:val="00F22611"/>
    <w:rsid w:val="00F227E0"/>
    <w:rsid w:val="00F22A1A"/>
    <w:rsid w:val="00F22B78"/>
    <w:rsid w:val="00F22E32"/>
    <w:rsid w:val="00F2338F"/>
    <w:rsid w:val="00F238A4"/>
    <w:rsid w:val="00F23DB2"/>
    <w:rsid w:val="00F24211"/>
    <w:rsid w:val="00F244B8"/>
    <w:rsid w:val="00F24ABB"/>
    <w:rsid w:val="00F24E1F"/>
    <w:rsid w:val="00F24F34"/>
    <w:rsid w:val="00F25086"/>
    <w:rsid w:val="00F25839"/>
    <w:rsid w:val="00F25AB2"/>
    <w:rsid w:val="00F25B57"/>
    <w:rsid w:val="00F25F3E"/>
    <w:rsid w:val="00F265A8"/>
    <w:rsid w:val="00F26950"/>
    <w:rsid w:val="00F273C7"/>
    <w:rsid w:val="00F27A9A"/>
    <w:rsid w:val="00F27C7C"/>
    <w:rsid w:val="00F27F85"/>
    <w:rsid w:val="00F30E10"/>
    <w:rsid w:val="00F30F19"/>
    <w:rsid w:val="00F318E6"/>
    <w:rsid w:val="00F3194F"/>
    <w:rsid w:val="00F31B89"/>
    <w:rsid w:val="00F32909"/>
    <w:rsid w:val="00F32CFB"/>
    <w:rsid w:val="00F32D60"/>
    <w:rsid w:val="00F330C7"/>
    <w:rsid w:val="00F341E6"/>
    <w:rsid w:val="00F344A2"/>
    <w:rsid w:val="00F3545A"/>
    <w:rsid w:val="00F35B73"/>
    <w:rsid w:val="00F37029"/>
    <w:rsid w:val="00F37597"/>
    <w:rsid w:val="00F41010"/>
    <w:rsid w:val="00F4159C"/>
    <w:rsid w:val="00F41704"/>
    <w:rsid w:val="00F4174B"/>
    <w:rsid w:val="00F41771"/>
    <w:rsid w:val="00F41A8D"/>
    <w:rsid w:val="00F41AD1"/>
    <w:rsid w:val="00F41EBA"/>
    <w:rsid w:val="00F42EFC"/>
    <w:rsid w:val="00F43A16"/>
    <w:rsid w:val="00F43DCC"/>
    <w:rsid w:val="00F44181"/>
    <w:rsid w:val="00F4478E"/>
    <w:rsid w:val="00F46B1A"/>
    <w:rsid w:val="00F471EA"/>
    <w:rsid w:val="00F5045E"/>
    <w:rsid w:val="00F50ED9"/>
    <w:rsid w:val="00F51636"/>
    <w:rsid w:val="00F51869"/>
    <w:rsid w:val="00F5192B"/>
    <w:rsid w:val="00F51C1B"/>
    <w:rsid w:val="00F522BF"/>
    <w:rsid w:val="00F53291"/>
    <w:rsid w:val="00F54C02"/>
    <w:rsid w:val="00F54E90"/>
    <w:rsid w:val="00F55246"/>
    <w:rsid w:val="00F55923"/>
    <w:rsid w:val="00F55A34"/>
    <w:rsid w:val="00F55ECB"/>
    <w:rsid w:val="00F560C8"/>
    <w:rsid w:val="00F56F02"/>
    <w:rsid w:val="00F56FD5"/>
    <w:rsid w:val="00F5727C"/>
    <w:rsid w:val="00F573AC"/>
    <w:rsid w:val="00F57ABF"/>
    <w:rsid w:val="00F602C6"/>
    <w:rsid w:val="00F606DE"/>
    <w:rsid w:val="00F60ACE"/>
    <w:rsid w:val="00F60C5F"/>
    <w:rsid w:val="00F60CEF"/>
    <w:rsid w:val="00F60D06"/>
    <w:rsid w:val="00F6173D"/>
    <w:rsid w:val="00F61812"/>
    <w:rsid w:val="00F61AA6"/>
    <w:rsid w:val="00F62405"/>
    <w:rsid w:val="00F62A68"/>
    <w:rsid w:val="00F62AC7"/>
    <w:rsid w:val="00F6367B"/>
    <w:rsid w:val="00F6398C"/>
    <w:rsid w:val="00F64FE1"/>
    <w:rsid w:val="00F6596B"/>
    <w:rsid w:val="00F660DB"/>
    <w:rsid w:val="00F666B9"/>
    <w:rsid w:val="00F6758A"/>
    <w:rsid w:val="00F677F3"/>
    <w:rsid w:val="00F67C4E"/>
    <w:rsid w:val="00F71180"/>
    <w:rsid w:val="00F71AD9"/>
    <w:rsid w:val="00F71D7F"/>
    <w:rsid w:val="00F7213B"/>
    <w:rsid w:val="00F7304F"/>
    <w:rsid w:val="00F731F1"/>
    <w:rsid w:val="00F740AD"/>
    <w:rsid w:val="00F74175"/>
    <w:rsid w:val="00F74858"/>
    <w:rsid w:val="00F74B08"/>
    <w:rsid w:val="00F74F2B"/>
    <w:rsid w:val="00F75447"/>
    <w:rsid w:val="00F7568E"/>
    <w:rsid w:val="00F75A16"/>
    <w:rsid w:val="00F75C2B"/>
    <w:rsid w:val="00F7686A"/>
    <w:rsid w:val="00F76B1D"/>
    <w:rsid w:val="00F7782B"/>
    <w:rsid w:val="00F77E77"/>
    <w:rsid w:val="00F800C0"/>
    <w:rsid w:val="00F8034D"/>
    <w:rsid w:val="00F807A6"/>
    <w:rsid w:val="00F82245"/>
    <w:rsid w:val="00F82457"/>
    <w:rsid w:val="00F833B8"/>
    <w:rsid w:val="00F83478"/>
    <w:rsid w:val="00F84F6D"/>
    <w:rsid w:val="00F85BD8"/>
    <w:rsid w:val="00F862D5"/>
    <w:rsid w:val="00F8766F"/>
    <w:rsid w:val="00F9024F"/>
    <w:rsid w:val="00F90322"/>
    <w:rsid w:val="00F90DD3"/>
    <w:rsid w:val="00F914AF"/>
    <w:rsid w:val="00F9392C"/>
    <w:rsid w:val="00F93B14"/>
    <w:rsid w:val="00F93F19"/>
    <w:rsid w:val="00F946E4"/>
    <w:rsid w:val="00F94833"/>
    <w:rsid w:val="00F94AB4"/>
    <w:rsid w:val="00F9649F"/>
    <w:rsid w:val="00F964CE"/>
    <w:rsid w:val="00F96673"/>
    <w:rsid w:val="00F9692F"/>
    <w:rsid w:val="00F96A1F"/>
    <w:rsid w:val="00F96A9D"/>
    <w:rsid w:val="00F96C2C"/>
    <w:rsid w:val="00F96FAA"/>
    <w:rsid w:val="00F978BB"/>
    <w:rsid w:val="00F97AD5"/>
    <w:rsid w:val="00FA045A"/>
    <w:rsid w:val="00FA07F0"/>
    <w:rsid w:val="00FA0943"/>
    <w:rsid w:val="00FA1289"/>
    <w:rsid w:val="00FA1306"/>
    <w:rsid w:val="00FA1386"/>
    <w:rsid w:val="00FA2343"/>
    <w:rsid w:val="00FA2DC9"/>
    <w:rsid w:val="00FA319A"/>
    <w:rsid w:val="00FA4F9B"/>
    <w:rsid w:val="00FA530E"/>
    <w:rsid w:val="00FA59E8"/>
    <w:rsid w:val="00FA629A"/>
    <w:rsid w:val="00FA6343"/>
    <w:rsid w:val="00FA63D2"/>
    <w:rsid w:val="00FA6713"/>
    <w:rsid w:val="00FA6EC5"/>
    <w:rsid w:val="00FB0311"/>
    <w:rsid w:val="00FB12F6"/>
    <w:rsid w:val="00FB1465"/>
    <w:rsid w:val="00FB1C6C"/>
    <w:rsid w:val="00FB2548"/>
    <w:rsid w:val="00FB28F0"/>
    <w:rsid w:val="00FB2DC4"/>
    <w:rsid w:val="00FB354B"/>
    <w:rsid w:val="00FB3718"/>
    <w:rsid w:val="00FB4250"/>
    <w:rsid w:val="00FB512D"/>
    <w:rsid w:val="00FB55F4"/>
    <w:rsid w:val="00FB5824"/>
    <w:rsid w:val="00FB71F5"/>
    <w:rsid w:val="00FB7946"/>
    <w:rsid w:val="00FC085A"/>
    <w:rsid w:val="00FC09B3"/>
    <w:rsid w:val="00FC0A85"/>
    <w:rsid w:val="00FC0ABE"/>
    <w:rsid w:val="00FC0DB2"/>
    <w:rsid w:val="00FC1D96"/>
    <w:rsid w:val="00FC1E68"/>
    <w:rsid w:val="00FC1FC2"/>
    <w:rsid w:val="00FC248B"/>
    <w:rsid w:val="00FC28A3"/>
    <w:rsid w:val="00FC2DE7"/>
    <w:rsid w:val="00FC3217"/>
    <w:rsid w:val="00FC3F70"/>
    <w:rsid w:val="00FC3FCB"/>
    <w:rsid w:val="00FC45F1"/>
    <w:rsid w:val="00FC4FFC"/>
    <w:rsid w:val="00FC505A"/>
    <w:rsid w:val="00FC5321"/>
    <w:rsid w:val="00FC5461"/>
    <w:rsid w:val="00FC573C"/>
    <w:rsid w:val="00FC5AF3"/>
    <w:rsid w:val="00FC617D"/>
    <w:rsid w:val="00FC63AD"/>
    <w:rsid w:val="00FC6540"/>
    <w:rsid w:val="00FC686F"/>
    <w:rsid w:val="00FC7020"/>
    <w:rsid w:val="00FC7841"/>
    <w:rsid w:val="00FC7BB1"/>
    <w:rsid w:val="00FD09B2"/>
    <w:rsid w:val="00FD1059"/>
    <w:rsid w:val="00FD1260"/>
    <w:rsid w:val="00FD1BFB"/>
    <w:rsid w:val="00FD1D5B"/>
    <w:rsid w:val="00FD221B"/>
    <w:rsid w:val="00FD27A9"/>
    <w:rsid w:val="00FD2B8A"/>
    <w:rsid w:val="00FD2BED"/>
    <w:rsid w:val="00FD31B3"/>
    <w:rsid w:val="00FD3240"/>
    <w:rsid w:val="00FD3901"/>
    <w:rsid w:val="00FD3B58"/>
    <w:rsid w:val="00FD3CA8"/>
    <w:rsid w:val="00FD3EAF"/>
    <w:rsid w:val="00FD3EC0"/>
    <w:rsid w:val="00FD467D"/>
    <w:rsid w:val="00FD49B4"/>
    <w:rsid w:val="00FD4E5F"/>
    <w:rsid w:val="00FD5288"/>
    <w:rsid w:val="00FD5880"/>
    <w:rsid w:val="00FD58D9"/>
    <w:rsid w:val="00FD767C"/>
    <w:rsid w:val="00FD7731"/>
    <w:rsid w:val="00FD77D2"/>
    <w:rsid w:val="00FD7827"/>
    <w:rsid w:val="00FD78C8"/>
    <w:rsid w:val="00FD7DCE"/>
    <w:rsid w:val="00FE0568"/>
    <w:rsid w:val="00FE0F92"/>
    <w:rsid w:val="00FE1056"/>
    <w:rsid w:val="00FE1721"/>
    <w:rsid w:val="00FE1732"/>
    <w:rsid w:val="00FE1D24"/>
    <w:rsid w:val="00FE1DC7"/>
    <w:rsid w:val="00FE2776"/>
    <w:rsid w:val="00FE2DEA"/>
    <w:rsid w:val="00FE3CAB"/>
    <w:rsid w:val="00FE3EC0"/>
    <w:rsid w:val="00FE43A7"/>
    <w:rsid w:val="00FE4B24"/>
    <w:rsid w:val="00FE4C3C"/>
    <w:rsid w:val="00FE5797"/>
    <w:rsid w:val="00FE597F"/>
    <w:rsid w:val="00FE6611"/>
    <w:rsid w:val="00FE68BE"/>
    <w:rsid w:val="00FE730A"/>
    <w:rsid w:val="00FE73DE"/>
    <w:rsid w:val="00FF02F9"/>
    <w:rsid w:val="00FF055B"/>
    <w:rsid w:val="00FF0CEF"/>
    <w:rsid w:val="00FF1008"/>
    <w:rsid w:val="00FF1075"/>
    <w:rsid w:val="00FF10B9"/>
    <w:rsid w:val="00FF1F83"/>
    <w:rsid w:val="00FF225F"/>
    <w:rsid w:val="00FF3002"/>
    <w:rsid w:val="00FF3F5A"/>
    <w:rsid w:val="00FF40B2"/>
    <w:rsid w:val="00FF48FC"/>
    <w:rsid w:val="00FF4954"/>
    <w:rsid w:val="00FF4ACA"/>
    <w:rsid w:val="00FF4D14"/>
    <w:rsid w:val="00FF55B3"/>
    <w:rsid w:val="00FF5EE3"/>
    <w:rsid w:val="00FF6646"/>
    <w:rsid w:val="00FF690A"/>
    <w:rsid w:val="00FF76A1"/>
    <w:rsid w:val="00FF7D5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24830577"/>
  <w15:docId w15:val="{A53A5682-69EE-4CE5-B68D-76F119EC6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qFormat="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qFormat="1"/>
    <w:lsdException w:name="List Number" w:locked="1" w:semiHidden="1" w:unhideWhenUsed="1" w:qFormat="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793"/>
    <w:pPr>
      <w:spacing w:before="120" w:line="276" w:lineRule="auto"/>
    </w:pPr>
    <w:rPr>
      <w:rFonts w:ascii="Times New Roman" w:hAnsi="Times New Roman"/>
      <w:sz w:val="24"/>
      <w:szCs w:val="22"/>
      <w:lang w:eastAsia="en-US"/>
    </w:rPr>
  </w:style>
  <w:style w:type="paragraph" w:styleId="Heading1">
    <w:name w:val="heading 1"/>
    <w:basedOn w:val="Normal"/>
    <w:link w:val="Heading1Char"/>
    <w:uiPriority w:val="99"/>
    <w:qFormat/>
    <w:rsid w:val="006065C1"/>
    <w:pPr>
      <w:spacing w:before="319" w:after="79" w:line="240" w:lineRule="auto"/>
      <w:outlineLvl w:val="0"/>
    </w:pPr>
    <w:rPr>
      <w:b/>
      <w:bCs/>
      <w:color w:val="336699"/>
      <w:kern w:val="36"/>
      <w:sz w:val="23"/>
      <w:szCs w:val="23"/>
      <w:lang w:eastAsia="en-AU"/>
    </w:rPr>
  </w:style>
  <w:style w:type="paragraph" w:styleId="Heading2">
    <w:name w:val="heading 2"/>
    <w:basedOn w:val="Normal"/>
    <w:next w:val="Normal"/>
    <w:link w:val="Heading2Char"/>
    <w:uiPriority w:val="99"/>
    <w:qFormat/>
    <w:rsid w:val="006065C1"/>
    <w:pPr>
      <w:keepNext/>
      <w:keepLines/>
      <w:spacing w:before="200"/>
      <w:outlineLvl w:val="1"/>
    </w:pPr>
    <w:rPr>
      <w:rFonts w:ascii="Cambria" w:hAnsi="Cambria"/>
      <w:b/>
      <w:bCs/>
      <w:color w:val="4F81BD"/>
      <w:sz w:val="26"/>
      <w:szCs w:val="26"/>
      <w:lang w:eastAsia="en-AU"/>
    </w:rPr>
  </w:style>
  <w:style w:type="paragraph" w:styleId="Heading3">
    <w:name w:val="heading 3"/>
    <w:basedOn w:val="Normal"/>
    <w:next w:val="Normal"/>
    <w:link w:val="Heading3Char"/>
    <w:uiPriority w:val="9"/>
    <w:qFormat/>
    <w:locked/>
    <w:rsid w:val="006065C1"/>
    <w:pPr>
      <w:keepNext/>
      <w:outlineLvl w:val="2"/>
    </w:pPr>
    <w:rPr>
      <w:rFonts w:ascii="Calibri" w:hAnsi="Calibri" w:cs="Arial"/>
      <w:b/>
      <w:i/>
    </w:rPr>
  </w:style>
  <w:style w:type="paragraph" w:styleId="Heading4">
    <w:name w:val="heading 4"/>
    <w:basedOn w:val="Normal"/>
    <w:next w:val="Normal"/>
    <w:link w:val="Heading4Char"/>
    <w:uiPriority w:val="9"/>
    <w:unhideWhenUsed/>
    <w:qFormat/>
    <w:locked/>
    <w:rsid w:val="006065C1"/>
    <w:pPr>
      <w:keepNext/>
      <w:keepLines/>
      <w:spacing w:before="200"/>
      <w:outlineLvl w:val="3"/>
    </w:pPr>
    <w:rPr>
      <w:rFonts w:ascii="Cambria" w:eastAsia="Times New Roman" w:hAnsi="Cambria"/>
      <w:b/>
      <w:bCs/>
      <w:i/>
      <w:iCs/>
      <w:color w:val="4F81BD"/>
      <w:sz w:val="20"/>
      <w:szCs w:val="20"/>
    </w:rPr>
  </w:style>
  <w:style w:type="paragraph" w:styleId="Heading5">
    <w:name w:val="heading 5"/>
    <w:basedOn w:val="Normal"/>
    <w:next w:val="Normal"/>
    <w:link w:val="Heading5Char"/>
    <w:uiPriority w:val="9"/>
    <w:semiHidden/>
    <w:unhideWhenUsed/>
    <w:qFormat/>
    <w:locked/>
    <w:rsid w:val="006065C1"/>
    <w:pPr>
      <w:keepNext/>
      <w:keepLines/>
      <w:spacing w:before="200"/>
      <w:outlineLvl w:val="4"/>
    </w:pPr>
    <w:rPr>
      <w:rFonts w:ascii="Cambria" w:eastAsia="Times New Roman" w:hAnsi="Cambria"/>
      <w:color w:val="243F60"/>
      <w:sz w:val="20"/>
      <w:szCs w:val="20"/>
    </w:rPr>
  </w:style>
  <w:style w:type="paragraph" w:styleId="Heading6">
    <w:name w:val="heading 6"/>
    <w:basedOn w:val="Normal"/>
    <w:next w:val="Normal"/>
    <w:link w:val="Heading6Char"/>
    <w:uiPriority w:val="99"/>
    <w:qFormat/>
    <w:rsid w:val="006065C1"/>
    <w:pPr>
      <w:keepNext/>
      <w:keepLines/>
      <w:spacing w:before="200"/>
      <w:outlineLvl w:val="5"/>
    </w:pPr>
    <w:rPr>
      <w:rFonts w:ascii="Cambria" w:hAnsi="Cambria"/>
      <w:i/>
      <w:iCs/>
      <w:color w:val="243F60"/>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065C1"/>
    <w:rPr>
      <w:rFonts w:ascii="Times New Roman" w:hAnsi="Times New Roman" w:cs="Times New Roman"/>
      <w:b/>
      <w:bCs/>
      <w:color w:val="336699"/>
      <w:kern w:val="36"/>
      <w:sz w:val="23"/>
      <w:szCs w:val="23"/>
      <w:lang w:eastAsia="en-AU"/>
    </w:rPr>
  </w:style>
  <w:style w:type="character" w:customStyle="1" w:styleId="Heading2Char">
    <w:name w:val="Heading 2 Char"/>
    <w:basedOn w:val="DefaultParagraphFont"/>
    <w:link w:val="Heading2"/>
    <w:uiPriority w:val="99"/>
    <w:locked/>
    <w:rsid w:val="006065C1"/>
    <w:rPr>
      <w:rFonts w:ascii="Cambria" w:hAnsi="Cambria" w:cs="Times New Roman"/>
      <w:b/>
      <w:bCs/>
      <w:color w:val="4F81BD"/>
      <w:sz w:val="26"/>
      <w:szCs w:val="26"/>
    </w:rPr>
  </w:style>
  <w:style w:type="character" w:customStyle="1" w:styleId="Heading6Char">
    <w:name w:val="Heading 6 Char"/>
    <w:basedOn w:val="DefaultParagraphFont"/>
    <w:link w:val="Heading6"/>
    <w:uiPriority w:val="99"/>
    <w:locked/>
    <w:rsid w:val="006065C1"/>
    <w:rPr>
      <w:rFonts w:ascii="Cambria" w:hAnsi="Cambria" w:cs="Times New Roman"/>
      <w:i/>
      <w:iCs/>
      <w:color w:val="243F60"/>
    </w:rPr>
  </w:style>
  <w:style w:type="paragraph" w:customStyle="1" w:styleId="Bullet">
    <w:name w:val="Bullet"/>
    <w:aliases w:val="b"/>
    <w:basedOn w:val="Normal"/>
    <w:link w:val="BulletChar"/>
    <w:uiPriority w:val="99"/>
    <w:qFormat/>
    <w:rsid w:val="006065C1"/>
    <w:pPr>
      <w:numPr>
        <w:numId w:val="21"/>
      </w:numPr>
      <w:spacing w:after="120"/>
    </w:pPr>
    <w:rPr>
      <w:rFonts w:ascii="Calibri" w:eastAsia="Times New Roman" w:hAnsi="Calibri"/>
    </w:rPr>
  </w:style>
  <w:style w:type="character" w:customStyle="1" w:styleId="BulletChar">
    <w:name w:val="Bullet Char"/>
    <w:aliases w:val="b Char"/>
    <w:basedOn w:val="DefaultParagraphFont"/>
    <w:link w:val="Bullet"/>
    <w:uiPriority w:val="99"/>
    <w:locked/>
    <w:rsid w:val="006065C1"/>
    <w:rPr>
      <w:rFonts w:eastAsia="Times New Roman"/>
      <w:sz w:val="22"/>
      <w:szCs w:val="22"/>
      <w:lang w:eastAsia="en-US"/>
    </w:rPr>
  </w:style>
  <w:style w:type="paragraph" w:customStyle="1" w:styleId="Dash">
    <w:name w:val="Dash"/>
    <w:basedOn w:val="Normal"/>
    <w:link w:val="DashChar"/>
    <w:uiPriority w:val="99"/>
    <w:qFormat/>
    <w:rsid w:val="006065C1"/>
    <w:pPr>
      <w:numPr>
        <w:ilvl w:val="1"/>
        <w:numId w:val="21"/>
      </w:numPr>
      <w:spacing w:after="120"/>
    </w:pPr>
    <w:rPr>
      <w:rFonts w:ascii="Calibri" w:eastAsia="Times New Roman" w:hAnsi="Calibri"/>
    </w:rPr>
  </w:style>
  <w:style w:type="paragraph" w:customStyle="1" w:styleId="DoubleDot">
    <w:name w:val="Double Dot"/>
    <w:basedOn w:val="Normal"/>
    <w:uiPriority w:val="99"/>
    <w:rsid w:val="00A57799"/>
    <w:pPr>
      <w:numPr>
        <w:ilvl w:val="2"/>
        <w:numId w:val="21"/>
      </w:numPr>
      <w:spacing w:after="120"/>
    </w:pPr>
    <w:rPr>
      <w:rFonts w:eastAsia="Times New Roman"/>
    </w:rPr>
  </w:style>
  <w:style w:type="table" w:styleId="TableGrid">
    <w:name w:val="Table Grid"/>
    <w:basedOn w:val="TableNormal"/>
    <w:uiPriority w:val="59"/>
    <w:rsid w:val="00A5779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99"/>
    <w:qFormat/>
    <w:rsid w:val="006065C1"/>
    <w:rPr>
      <w:rFonts w:cs="Times New Roman"/>
      <w:b/>
      <w:bCs/>
    </w:rPr>
  </w:style>
  <w:style w:type="paragraph" w:styleId="BalloonText">
    <w:name w:val="Balloon Text"/>
    <w:basedOn w:val="Normal"/>
    <w:link w:val="BalloonTextChar"/>
    <w:uiPriority w:val="99"/>
    <w:semiHidden/>
    <w:rsid w:val="003542B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542B6"/>
    <w:rPr>
      <w:rFonts w:ascii="Tahoma" w:hAnsi="Tahoma" w:cs="Tahoma"/>
      <w:sz w:val="16"/>
      <w:szCs w:val="16"/>
    </w:rPr>
  </w:style>
  <w:style w:type="character" w:styleId="Hyperlink">
    <w:name w:val="Hyperlink"/>
    <w:basedOn w:val="DefaultParagraphFont"/>
    <w:uiPriority w:val="99"/>
    <w:rsid w:val="00E453FA"/>
    <w:rPr>
      <w:rFonts w:cs="Times New Roman"/>
      <w:color w:val="0000FF"/>
      <w:u w:val="single"/>
    </w:rPr>
  </w:style>
  <w:style w:type="paragraph" w:styleId="ListParagraph">
    <w:name w:val="List Paragraph"/>
    <w:basedOn w:val="Normal"/>
    <w:link w:val="ListParagraphChar"/>
    <w:uiPriority w:val="34"/>
    <w:qFormat/>
    <w:rsid w:val="006065C1"/>
    <w:pPr>
      <w:ind w:left="720"/>
    </w:pPr>
    <w:rPr>
      <w:rFonts w:ascii="Calibri" w:hAnsi="Calibri"/>
      <w:sz w:val="20"/>
      <w:szCs w:val="20"/>
    </w:rPr>
  </w:style>
  <w:style w:type="paragraph" w:customStyle="1" w:styleId="OutlineNumbered1">
    <w:name w:val="Outline Numbered 1"/>
    <w:basedOn w:val="Normal"/>
    <w:link w:val="OutlineNumbered1Char"/>
    <w:rsid w:val="003B5BFC"/>
    <w:pPr>
      <w:tabs>
        <w:tab w:val="num" w:pos="520"/>
      </w:tabs>
      <w:ind w:left="520" w:hanging="520"/>
    </w:pPr>
  </w:style>
  <w:style w:type="character" w:customStyle="1" w:styleId="OutlineNumbered1Char">
    <w:name w:val="Outline Numbered 1 Char"/>
    <w:basedOn w:val="BulletChar"/>
    <w:link w:val="OutlineNumbered1"/>
    <w:locked/>
    <w:rsid w:val="003B5BFC"/>
    <w:rPr>
      <w:rFonts w:eastAsia="Times New Roman"/>
      <w:sz w:val="22"/>
      <w:szCs w:val="22"/>
      <w:lang w:eastAsia="en-US"/>
    </w:rPr>
  </w:style>
  <w:style w:type="paragraph" w:customStyle="1" w:styleId="OutlineNumbered2">
    <w:name w:val="Outline Numbered 2"/>
    <w:basedOn w:val="Normal"/>
    <w:rsid w:val="003B5BFC"/>
    <w:pPr>
      <w:tabs>
        <w:tab w:val="num" w:pos="1040"/>
      </w:tabs>
      <w:ind w:left="1040" w:hanging="520"/>
    </w:pPr>
  </w:style>
  <w:style w:type="paragraph" w:customStyle="1" w:styleId="OutlineNumbered3">
    <w:name w:val="Outline Numbered 3"/>
    <w:basedOn w:val="Normal"/>
    <w:rsid w:val="003B5BFC"/>
    <w:pPr>
      <w:tabs>
        <w:tab w:val="num" w:pos="1560"/>
      </w:tabs>
      <w:ind w:left="1560" w:hanging="520"/>
    </w:pPr>
  </w:style>
  <w:style w:type="character" w:styleId="CommentReference">
    <w:name w:val="annotation reference"/>
    <w:basedOn w:val="DefaultParagraphFont"/>
    <w:uiPriority w:val="99"/>
    <w:rsid w:val="00F560C8"/>
    <w:rPr>
      <w:rFonts w:cs="Times New Roman"/>
      <w:sz w:val="16"/>
      <w:szCs w:val="16"/>
    </w:rPr>
  </w:style>
  <w:style w:type="paragraph" w:styleId="CommentText">
    <w:name w:val="annotation text"/>
    <w:basedOn w:val="Normal"/>
    <w:link w:val="CommentTextChar"/>
    <w:uiPriority w:val="99"/>
    <w:rsid w:val="00F560C8"/>
    <w:pPr>
      <w:spacing w:line="240" w:lineRule="auto"/>
    </w:pPr>
    <w:rPr>
      <w:sz w:val="20"/>
      <w:szCs w:val="20"/>
    </w:rPr>
  </w:style>
  <w:style w:type="character" w:customStyle="1" w:styleId="CommentTextChar">
    <w:name w:val="Comment Text Char"/>
    <w:basedOn w:val="DefaultParagraphFont"/>
    <w:link w:val="CommentText"/>
    <w:uiPriority w:val="99"/>
    <w:locked/>
    <w:rsid w:val="00F560C8"/>
    <w:rPr>
      <w:rFonts w:ascii="Calibri" w:hAnsi="Calibri" w:cs="Times New Roman"/>
      <w:sz w:val="20"/>
      <w:szCs w:val="20"/>
    </w:rPr>
  </w:style>
  <w:style w:type="paragraph" w:styleId="CommentSubject">
    <w:name w:val="annotation subject"/>
    <w:basedOn w:val="CommentText"/>
    <w:next w:val="CommentText"/>
    <w:link w:val="CommentSubjectChar"/>
    <w:uiPriority w:val="99"/>
    <w:semiHidden/>
    <w:rsid w:val="00F560C8"/>
    <w:rPr>
      <w:b/>
      <w:bCs/>
    </w:rPr>
  </w:style>
  <w:style w:type="character" w:customStyle="1" w:styleId="CommentSubjectChar">
    <w:name w:val="Comment Subject Char"/>
    <w:basedOn w:val="CommentTextChar"/>
    <w:link w:val="CommentSubject"/>
    <w:uiPriority w:val="99"/>
    <w:semiHidden/>
    <w:locked/>
    <w:rsid w:val="00F560C8"/>
    <w:rPr>
      <w:rFonts w:ascii="Calibri" w:hAnsi="Calibri" w:cs="Times New Roman"/>
      <w:b/>
      <w:bCs/>
      <w:sz w:val="20"/>
      <w:szCs w:val="20"/>
    </w:rPr>
  </w:style>
  <w:style w:type="paragraph" w:styleId="NormalWeb">
    <w:name w:val="Normal (Web)"/>
    <w:basedOn w:val="Normal"/>
    <w:uiPriority w:val="99"/>
    <w:rsid w:val="000F340F"/>
    <w:pPr>
      <w:spacing w:before="100" w:beforeAutospacing="1" w:after="100" w:afterAutospacing="1" w:line="240" w:lineRule="auto"/>
    </w:pPr>
    <w:rPr>
      <w:rFonts w:eastAsia="Times New Roman"/>
      <w:szCs w:val="24"/>
      <w:lang w:eastAsia="en-AU"/>
    </w:rPr>
  </w:style>
  <w:style w:type="character" w:styleId="HTMLAcronym">
    <w:name w:val="HTML Acronym"/>
    <w:basedOn w:val="DefaultParagraphFont"/>
    <w:uiPriority w:val="99"/>
    <w:semiHidden/>
    <w:rsid w:val="007B39FF"/>
    <w:rPr>
      <w:rFonts w:cs="Times New Roman"/>
    </w:rPr>
  </w:style>
  <w:style w:type="paragraph" w:styleId="Header">
    <w:name w:val="header"/>
    <w:basedOn w:val="Normal"/>
    <w:link w:val="HeaderChar"/>
    <w:uiPriority w:val="99"/>
    <w:rsid w:val="00B74B20"/>
    <w:pPr>
      <w:tabs>
        <w:tab w:val="center" w:pos="4513"/>
        <w:tab w:val="right" w:pos="9026"/>
      </w:tabs>
      <w:spacing w:line="240" w:lineRule="auto"/>
    </w:pPr>
  </w:style>
  <w:style w:type="character" w:customStyle="1" w:styleId="HeaderChar">
    <w:name w:val="Header Char"/>
    <w:basedOn w:val="DefaultParagraphFont"/>
    <w:link w:val="Header"/>
    <w:uiPriority w:val="99"/>
    <w:locked/>
    <w:rsid w:val="00B74B20"/>
    <w:rPr>
      <w:rFonts w:ascii="Calibri" w:hAnsi="Calibri" w:cs="Times New Roman"/>
    </w:rPr>
  </w:style>
  <w:style w:type="paragraph" w:styleId="Footer">
    <w:name w:val="footer"/>
    <w:basedOn w:val="Normal"/>
    <w:link w:val="FooterChar"/>
    <w:uiPriority w:val="99"/>
    <w:rsid w:val="00B74B20"/>
    <w:pPr>
      <w:tabs>
        <w:tab w:val="center" w:pos="4513"/>
        <w:tab w:val="right" w:pos="9026"/>
      </w:tabs>
      <w:spacing w:line="240" w:lineRule="auto"/>
    </w:pPr>
  </w:style>
  <w:style w:type="character" w:customStyle="1" w:styleId="FooterChar">
    <w:name w:val="Footer Char"/>
    <w:basedOn w:val="DefaultParagraphFont"/>
    <w:link w:val="Footer"/>
    <w:uiPriority w:val="99"/>
    <w:locked/>
    <w:rsid w:val="00B74B20"/>
    <w:rPr>
      <w:rFonts w:ascii="Calibri" w:hAnsi="Calibri" w:cs="Times New Roman"/>
    </w:rPr>
  </w:style>
  <w:style w:type="paragraph" w:customStyle="1" w:styleId="R1">
    <w:name w:val="R1"/>
    <w:aliases w:val="1. or 1.(1)"/>
    <w:basedOn w:val="Normal"/>
    <w:next w:val="R2"/>
    <w:uiPriority w:val="99"/>
    <w:rsid w:val="000F2F4A"/>
    <w:pPr>
      <w:keepLines/>
      <w:tabs>
        <w:tab w:val="right" w:pos="794"/>
      </w:tabs>
      <w:spacing w:line="260" w:lineRule="exact"/>
      <w:ind w:left="964" w:hanging="964"/>
      <w:jc w:val="both"/>
    </w:pPr>
    <w:rPr>
      <w:rFonts w:eastAsia="Times New Roman"/>
      <w:szCs w:val="24"/>
      <w:lang w:eastAsia="en-AU"/>
    </w:rPr>
  </w:style>
  <w:style w:type="paragraph" w:customStyle="1" w:styleId="R2">
    <w:name w:val="R2"/>
    <w:aliases w:val="(2)"/>
    <w:basedOn w:val="Normal"/>
    <w:uiPriority w:val="99"/>
    <w:rsid w:val="000F2F4A"/>
    <w:pPr>
      <w:keepLines/>
      <w:tabs>
        <w:tab w:val="right" w:pos="794"/>
      </w:tabs>
      <w:spacing w:before="180" w:line="260" w:lineRule="exact"/>
      <w:ind w:left="964" w:hanging="964"/>
      <w:jc w:val="both"/>
    </w:pPr>
    <w:rPr>
      <w:rFonts w:eastAsia="Times New Roman"/>
      <w:szCs w:val="24"/>
      <w:lang w:eastAsia="en-AU"/>
    </w:rPr>
  </w:style>
  <w:style w:type="paragraph" w:styleId="FootnoteText">
    <w:name w:val="footnote text"/>
    <w:basedOn w:val="Normal"/>
    <w:link w:val="FootnoteTextChar"/>
    <w:uiPriority w:val="99"/>
    <w:rsid w:val="005B4D4F"/>
    <w:pPr>
      <w:spacing w:line="240" w:lineRule="auto"/>
    </w:pPr>
    <w:rPr>
      <w:sz w:val="20"/>
      <w:szCs w:val="20"/>
    </w:rPr>
  </w:style>
  <w:style w:type="character" w:customStyle="1" w:styleId="FootnoteTextChar">
    <w:name w:val="Footnote Text Char"/>
    <w:basedOn w:val="DefaultParagraphFont"/>
    <w:link w:val="FootnoteText"/>
    <w:uiPriority w:val="99"/>
    <w:locked/>
    <w:rsid w:val="005B4D4F"/>
    <w:rPr>
      <w:rFonts w:ascii="Calibri" w:hAnsi="Calibri" w:cs="Times New Roman"/>
      <w:sz w:val="20"/>
      <w:szCs w:val="20"/>
    </w:rPr>
  </w:style>
  <w:style w:type="character" w:styleId="FootnoteReference">
    <w:name w:val="footnote reference"/>
    <w:basedOn w:val="DefaultParagraphFont"/>
    <w:uiPriority w:val="99"/>
    <w:rsid w:val="005B4D4F"/>
    <w:rPr>
      <w:rFonts w:cs="Times New Roman"/>
      <w:vertAlign w:val="superscript"/>
    </w:rPr>
  </w:style>
  <w:style w:type="paragraph" w:styleId="Caption">
    <w:name w:val="caption"/>
    <w:basedOn w:val="Normal"/>
    <w:next w:val="Normal"/>
    <w:uiPriority w:val="99"/>
    <w:qFormat/>
    <w:rsid w:val="00FD2B8A"/>
    <w:pPr>
      <w:spacing w:after="120" w:line="240" w:lineRule="auto"/>
    </w:pPr>
    <w:rPr>
      <w:rFonts w:eastAsia="Times New Roman"/>
      <w:bCs/>
      <w:i/>
      <w:szCs w:val="20"/>
      <w:lang w:eastAsia="en-AU"/>
    </w:rPr>
  </w:style>
  <w:style w:type="paragraph" w:customStyle="1" w:styleId="HSR">
    <w:name w:val="HSR"/>
    <w:aliases w:val="Subregulation Heading"/>
    <w:basedOn w:val="Normal"/>
    <w:next w:val="Normal"/>
    <w:uiPriority w:val="99"/>
    <w:rsid w:val="0061177F"/>
    <w:pPr>
      <w:keepNext/>
      <w:spacing w:before="300" w:line="240" w:lineRule="auto"/>
      <w:ind w:left="964"/>
    </w:pPr>
    <w:rPr>
      <w:rFonts w:ascii="Arial" w:eastAsia="Times New Roman" w:hAnsi="Arial"/>
      <w:i/>
      <w:szCs w:val="24"/>
      <w:lang w:eastAsia="en-AU"/>
    </w:rPr>
  </w:style>
  <w:style w:type="table" w:customStyle="1" w:styleId="LightShading-Accent11">
    <w:name w:val="Light Shading - Accent 11"/>
    <w:uiPriority w:val="99"/>
    <w:rsid w:val="0061177F"/>
    <w:rPr>
      <w:color w:val="365F91"/>
      <w:sz w:val="24"/>
      <w:szCs w:val="24"/>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character" w:customStyle="1" w:styleId="CharSectno">
    <w:name w:val="CharSectno"/>
    <w:basedOn w:val="DefaultParagraphFont"/>
    <w:qFormat/>
    <w:rsid w:val="006065C1"/>
    <w:rPr>
      <w:rFonts w:cs="Times New Roman"/>
    </w:rPr>
  </w:style>
  <w:style w:type="table" w:customStyle="1" w:styleId="TableGrid2">
    <w:name w:val="Table Grid2"/>
    <w:uiPriority w:val="99"/>
    <w:rsid w:val="00AB0E8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7C7FAD"/>
    <w:pPr>
      <w:autoSpaceDE w:val="0"/>
      <w:autoSpaceDN w:val="0"/>
      <w:adjustRightInd w:val="0"/>
    </w:pPr>
    <w:rPr>
      <w:rFonts w:cs="Calibri"/>
      <w:color w:val="000000"/>
      <w:sz w:val="24"/>
      <w:szCs w:val="24"/>
      <w:lang w:eastAsia="en-US"/>
    </w:rPr>
  </w:style>
  <w:style w:type="paragraph" w:customStyle="1" w:styleId="P1">
    <w:name w:val="P1"/>
    <w:aliases w:val="(a)"/>
    <w:basedOn w:val="Normal"/>
    <w:rsid w:val="008825E2"/>
    <w:pPr>
      <w:keepLines/>
      <w:tabs>
        <w:tab w:val="right" w:pos="1191"/>
      </w:tabs>
      <w:spacing w:before="60" w:line="260" w:lineRule="exact"/>
      <w:ind w:left="1418" w:hanging="1418"/>
      <w:jc w:val="both"/>
    </w:pPr>
    <w:rPr>
      <w:rFonts w:eastAsia="Times New Roman"/>
      <w:szCs w:val="24"/>
      <w:lang w:eastAsia="en-AU"/>
    </w:rPr>
  </w:style>
  <w:style w:type="paragraph" w:customStyle="1" w:styleId="HR">
    <w:name w:val="HR"/>
    <w:aliases w:val="Regulation Heading"/>
    <w:basedOn w:val="Normal"/>
    <w:next w:val="R1"/>
    <w:uiPriority w:val="99"/>
    <w:rsid w:val="00377653"/>
    <w:pPr>
      <w:keepNext/>
      <w:keepLines/>
      <w:spacing w:before="360" w:line="240" w:lineRule="auto"/>
      <w:ind w:left="964" w:hanging="964"/>
    </w:pPr>
    <w:rPr>
      <w:rFonts w:ascii="Arial" w:eastAsia="Times New Roman" w:hAnsi="Arial"/>
      <w:b/>
      <w:szCs w:val="24"/>
      <w:lang w:eastAsia="en-AU"/>
    </w:rPr>
  </w:style>
  <w:style w:type="paragraph" w:styleId="Revision">
    <w:name w:val="Revision"/>
    <w:hidden/>
    <w:uiPriority w:val="99"/>
    <w:semiHidden/>
    <w:rsid w:val="00661953"/>
    <w:rPr>
      <w:sz w:val="22"/>
      <w:szCs w:val="22"/>
      <w:lang w:eastAsia="en-US"/>
    </w:rPr>
  </w:style>
  <w:style w:type="table" w:customStyle="1" w:styleId="LightGrid-Accent11">
    <w:name w:val="Light Grid - Accent 11"/>
    <w:uiPriority w:val="99"/>
    <w:rsid w:val="00D11EBC"/>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character" w:customStyle="1" w:styleId="DashChar">
    <w:name w:val="Dash Char"/>
    <w:basedOn w:val="DefaultParagraphFont"/>
    <w:link w:val="Dash"/>
    <w:uiPriority w:val="99"/>
    <w:locked/>
    <w:rsid w:val="006065C1"/>
    <w:rPr>
      <w:rFonts w:eastAsia="Times New Roman"/>
      <w:sz w:val="22"/>
      <w:szCs w:val="22"/>
      <w:lang w:eastAsia="en-US"/>
    </w:rPr>
  </w:style>
  <w:style w:type="character" w:styleId="FollowedHyperlink">
    <w:name w:val="FollowedHyperlink"/>
    <w:basedOn w:val="DefaultParagraphFont"/>
    <w:uiPriority w:val="99"/>
    <w:semiHidden/>
    <w:rsid w:val="00E17A4A"/>
    <w:rPr>
      <w:rFonts w:cs="Times New Roman"/>
      <w:color w:val="800080"/>
      <w:u w:val="single"/>
    </w:rPr>
  </w:style>
  <w:style w:type="paragraph" w:customStyle="1" w:styleId="definition">
    <w:name w:val="definition"/>
    <w:basedOn w:val="Normal"/>
    <w:rsid w:val="005222C7"/>
    <w:pPr>
      <w:spacing w:before="80" w:line="260" w:lineRule="exact"/>
      <w:ind w:left="964"/>
      <w:jc w:val="both"/>
    </w:pPr>
    <w:rPr>
      <w:rFonts w:eastAsia="Times New Roman"/>
      <w:szCs w:val="24"/>
      <w:lang w:eastAsia="en-AU"/>
    </w:rPr>
  </w:style>
  <w:style w:type="paragraph" w:customStyle="1" w:styleId="P2">
    <w:name w:val="P2"/>
    <w:basedOn w:val="Normal"/>
    <w:rsid w:val="00D8487B"/>
    <w:pPr>
      <w:keepLines/>
      <w:tabs>
        <w:tab w:val="right" w:pos="2098"/>
      </w:tabs>
      <w:spacing w:after="100" w:line="260" w:lineRule="exact"/>
      <w:ind w:left="2268" w:hanging="2268"/>
      <w:jc w:val="both"/>
    </w:pPr>
  </w:style>
  <w:style w:type="character" w:customStyle="1" w:styleId="ListParagraphChar">
    <w:name w:val="List Paragraph Char"/>
    <w:basedOn w:val="DefaultParagraphFont"/>
    <w:link w:val="ListParagraph"/>
    <w:uiPriority w:val="34"/>
    <w:locked/>
    <w:rsid w:val="006065C1"/>
    <w:rPr>
      <w:lang w:eastAsia="en-US"/>
    </w:rPr>
  </w:style>
  <w:style w:type="paragraph" w:customStyle="1" w:styleId="Def">
    <w:name w:val="Def"/>
    <w:basedOn w:val="Normal"/>
    <w:uiPriority w:val="99"/>
    <w:rsid w:val="00FC0ABE"/>
    <w:pPr>
      <w:spacing w:before="80" w:after="100" w:line="260" w:lineRule="exact"/>
      <w:ind w:left="964"/>
      <w:jc w:val="both"/>
    </w:pPr>
  </w:style>
  <w:style w:type="paragraph" w:customStyle="1" w:styleId="NoteSS">
    <w:name w:val="Note SS"/>
    <w:basedOn w:val="Normal"/>
    <w:qFormat/>
    <w:rsid w:val="006065C1"/>
    <w:pPr>
      <w:keepLines/>
      <w:spacing w:line="220" w:lineRule="exact"/>
      <w:ind w:left="964"/>
      <w:jc w:val="both"/>
    </w:pPr>
    <w:rPr>
      <w:sz w:val="20"/>
    </w:rPr>
  </w:style>
  <w:style w:type="paragraph" w:customStyle="1" w:styleId="tPara">
    <w:name w:val="t_Para"/>
    <w:basedOn w:val="Normal"/>
    <w:uiPriority w:val="99"/>
    <w:qFormat/>
    <w:rsid w:val="006065C1"/>
    <w:pPr>
      <w:keepLines/>
      <w:tabs>
        <w:tab w:val="right" w:pos="1531"/>
      </w:tabs>
      <w:spacing w:after="100" w:line="260" w:lineRule="exact"/>
      <w:ind w:left="1701" w:hanging="1701"/>
      <w:jc w:val="both"/>
    </w:pPr>
  </w:style>
  <w:style w:type="character" w:styleId="PlaceholderText">
    <w:name w:val="Placeholder Text"/>
    <w:basedOn w:val="DefaultParagraphFont"/>
    <w:uiPriority w:val="99"/>
    <w:semiHidden/>
    <w:rsid w:val="00A05985"/>
    <w:rPr>
      <w:color w:val="808080"/>
    </w:rPr>
  </w:style>
  <w:style w:type="paragraph" w:customStyle="1" w:styleId="noteDrafter">
    <w:name w:val="note_Drafter"/>
    <w:basedOn w:val="Normal"/>
    <w:qFormat/>
    <w:rsid w:val="006065C1"/>
    <w:pPr>
      <w:spacing w:before="80" w:after="80" w:line="240" w:lineRule="auto"/>
    </w:pPr>
    <w:rPr>
      <w:rFonts w:eastAsia="Times New Roman"/>
      <w:color w:val="0070C0"/>
      <w:szCs w:val="24"/>
      <w:lang w:eastAsia="en-AU"/>
    </w:rPr>
  </w:style>
  <w:style w:type="paragraph" w:customStyle="1" w:styleId="p10">
    <w:name w:val="p1"/>
    <w:basedOn w:val="Normal"/>
    <w:rsid w:val="00387643"/>
    <w:pPr>
      <w:spacing w:before="100" w:beforeAutospacing="1" w:after="100" w:afterAutospacing="1" w:line="240" w:lineRule="auto"/>
    </w:pPr>
    <w:rPr>
      <w:rFonts w:eastAsia="Times New Roman"/>
      <w:szCs w:val="24"/>
      <w:lang w:eastAsia="en-AU"/>
    </w:rPr>
  </w:style>
  <w:style w:type="paragraph" w:customStyle="1" w:styleId="h5Section">
    <w:name w:val="h5_Section"/>
    <w:basedOn w:val="Heading5"/>
    <w:next w:val="Normal"/>
    <w:uiPriority w:val="99"/>
    <w:qFormat/>
    <w:rsid w:val="006065C1"/>
    <w:pPr>
      <w:spacing w:before="360" w:after="60" w:line="240" w:lineRule="auto"/>
      <w:ind w:left="964" w:hanging="964"/>
    </w:pPr>
    <w:rPr>
      <w:rFonts w:ascii="Arial" w:hAnsi="Arial"/>
      <w:b/>
      <w:bCs/>
      <w:iCs/>
      <w:color w:val="auto"/>
      <w:sz w:val="24"/>
      <w:szCs w:val="26"/>
      <w:lang w:eastAsia="en-AU"/>
    </w:rPr>
  </w:style>
  <w:style w:type="paragraph" w:customStyle="1" w:styleId="tMain">
    <w:name w:val="t_Main"/>
    <w:basedOn w:val="Normal"/>
    <w:qFormat/>
    <w:rsid w:val="006065C1"/>
    <w:pPr>
      <w:keepLines/>
      <w:tabs>
        <w:tab w:val="right" w:pos="794"/>
      </w:tabs>
      <w:spacing w:before="80" w:after="100" w:line="260" w:lineRule="exact"/>
      <w:ind w:left="964" w:hanging="964"/>
      <w:jc w:val="both"/>
    </w:pPr>
    <w:rPr>
      <w:rFonts w:eastAsia="Times New Roman"/>
      <w:szCs w:val="24"/>
      <w:lang w:eastAsia="en-AU"/>
    </w:rPr>
  </w:style>
  <w:style w:type="character" w:customStyle="1" w:styleId="Heading5Char">
    <w:name w:val="Heading 5 Char"/>
    <w:basedOn w:val="DefaultParagraphFont"/>
    <w:link w:val="Heading5"/>
    <w:uiPriority w:val="9"/>
    <w:semiHidden/>
    <w:rsid w:val="006065C1"/>
    <w:rPr>
      <w:rFonts w:ascii="Cambria" w:eastAsia="Times New Roman" w:hAnsi="Cambria" w:cs="Times New Roman"/>
      <w:color w:val="243F60"/>
      <w:lang w:eastAsia="en-US"/>
    </w:rPr>
  </w:style>
  <w:style w:type="paragraph" w:customStyle="1" w:styleId="noteMain">
    <w:name w:val="note_Main"/>
    <w:basedOn w:val="tMain"/>
    <w:qFormat/>
    <w:rsid w:val="006065C1"/>
    <w:pPr>
      <w:spacing w:line="220" w:lineRule="exact"/>
    </w:pPr>
    <w:rPr>
      <w:sz w:val="20"/>
    </w:rPr>
  </w:style>
  <w:style w:type="character" w:customStyle="1" w:styleId="Heading4Char">
    <w:name w:val="Heading 4 Char"/>
    <w:basedOn w:val="DefaultParagraphFont"/>
    <w:link w:val="Heading4"/>
    <w:uiPriority w:val="9"/>
    <w:rsid w:val="006065C1"/>
    <w:rPr>
      <w:rFonts w:ascii="Cambria" w:eastAsia="Times New Roman" w:hAnsi="Cambria" w:cs="Times New Roman"/>
      <w:b/>
      <w:bCs/>
      <w:i/>
      <w:iCs/>
      <w:color w:val="4F81BD"/>
      <w:lang w:eastAsia="en-US"/>
    </w:rPr>
  </w:style>
  <w:style w:type="paragraph" w:customStyle="1" w:styleId="noteSubpara">
    <w:name w:val="note_Subpara"/>
    <w:basedOn w:val="Normal"/>
    <w:qFormat/>
    <w:rsid w:val="006065C1"/>
    <w:pPr>
      <w:keepLines/>
      <w:tabs>
        <w:tab w:val="right" w:pos="2211"/>
      </w:tabs>
      <w:spacing w:after="100" w:line="220" w:lineRule="exact"/>
      <w:ind w:left="2410" w:hanging="2410"/>
      <w:jc w:val="both"/>
    </w:pPr>
    <w:rPr>
      <w:rFonts w:eastAsia="Times New Roman"/>
      <w:sz w:val="20"/>
      <w:szCs w:val="24"/>
      <w:lang w:eastAsia="en-AU"/>
    </w:rPr>
  </w:style>
  <w:style w:type="paragraph" w:customStyle="1" w:styleId="tSubpara">
    <w:name w:val="t_Subpara"/>
    <w:basedOn w:val="Normal"/>
    <w:qFormat/>
    <w:rsid w:val="006065C1"/>
    <w:pPr>
      <w:keepLines/>
      <w:tabs>
        <w:tab w:val="right" w:pos="2211"/>
      </w:tabs>
      <w:spacing w:after="100" w:line="260" w:lineRule="exact"/>
      <w:ind w:left="2410" w:hanging="2410"/>
      <w:jc w:val="both"/>
    </w:pPr>
    <w:rPr>
      <w:rFonts w:eastAsia="Times New Roman"/>
      <w:szCs w:val="24"/>
      <w:lang w:eastAsia="en-AU"/>
    </w:rPr>
  </w:style>
  <w:style w:type="paragraph" w:customStyle="1" w:styleId="tDefn">
    <w:name w:val="t_Defn"/>
    <w:basedOn w:val="Normal"/>
    <w:rsid w:val="00FB4250"/>
    <w:pPr>
      <w:spacing w:before="80" w:after="100" w:line="260" w:lineRule="exact"/>
      <w:ind w:left="964"/>
      <w:jc w:val="both"/>
    </w:pPr>
    <w:rPr>
      <w:rFonts w:eastAsia="Times New Roman"/>
      <w:szCs w:val="24"/>
      <w:lang w:eastAsia="en-AU"/>
    </w:rPr>
  </w:style>
  <w:style w:type="paragraph" w:customStyle="1" w:styleId="notePara">
    <w:name w:val="note_Para"/>
    <w:basedOn w:val="tPara"/>
    <w:qFormat/>
    <w:rsid w:val="006065C1"/>
    <w:pPr>
      <w:spacing w:line="220" w:lineRule="exact"/>
    </w:pPr>
    <w:rPr>
      <w:rFonts w:eastAsia="Times New Roman"/>
      <w:sz w:val="20"/>
      <w:szCs w:val="24"/>
      <w:lang w:eastAsia="en-AU"/>
    </w:rPr>
  </w:style>
  <w:style w:type="paragraph" w:customStyle="1" w:styleId="Tablecaption">
    <w:name w:val="Table caption"/>
    <w:basedOn w:val="Caption"/>
    <w:next w:val="Normal"/>
    <w:qFormat/>
    <w:rsid w:val="000B0324"/>
    <w:pPr>
      <w:spacing w:before="0"/>
    </w:pPr>
    <w:rPr>
      <w:b/>
      <w:i w:val="0"/>
      <w:color w:val="000000"/>
      <w:szCs w:val="24"/>
    </w:rPr>
  </w:style>
  <w:style w:type="paragraph" w:customStyle="1" w:styleId="subsection">
    <w:name w:val="subsection"/>
    <w:aliases w:val="ss"/>
    <w:basedOn w:val="Normal"/>
    <w:link w:val="subsectionChar"/>
    <w:rsid w:val="00337BC1"/>
    <w:pPr>
      <w:tabs>
        <w:tab w:val="right" w:pos="1021"/>
      </w:tabs>
      <w:spacing w:before="180" w:line="240" w:lineRule="auto"/>
      <w:ind w:left="1134" w:hanging="1134"/>
    </w:pPr>
    <w:rPr>
      <w:rFonts w:eastAsia="Times New Roman"/>
      <w:szCs w:val="20"/>
      <w:lang w:eastAsia="en-AU"/>
    </w:rPr>
  </w:style>
  <w:style w:type="character" w:customStyle="1" w:styleId="subsectionChar">
    <w:name w:val="subsection Char"/>
    <w:aliases w:val="ss Char"/>
    <w:link w:val="subsection"/>
    <w:locked/>
    <w:rsid w:val="00337BC1"/>
    <w:rPr>
      <w:rFonts w:ascii="Times New Roman" w:eastAsia="Times New Roman" w:hAnsi="Times New Roman"/>
      <w:sz w:val="22"/>
    </w:rPr>
  </w:style>
  <w:style w:type="paragraph" w:styleId="TOC2">
    <w:name w:val="toc 2"/>
    <w:basedOn w:val="Normal"/>
    <w:next w:val="Normal"/>
    <w:autoRedefine/>
    <w:uiPriority w:val="39"/>
    <w:unhideWhenUsed/>
    <w:qFormat/>
    <w:locked/>
    <w:rsid w:val="006065C1"/>
    <w:pPr>
      <w:tabs>
        <w:tab w:val="right" w:leader="dot" w:pos="9016"/>
      </w:tabs>
      <w:spacing w:after="100"/>
      <w:ind w:left="567"/>
    </w:pPr>
    <w:rPr>
      <w:rFonts w:eastAsia="Times New Roman"/>
      <w:noProof/>
    </w:rPr>
  </w:style>
  <w:style w:type="paragraph" w:customStyle="1" w:styleId="Tabletext">
    <w:name w:val="Tabletext"/>
    <w:aliases w:val="tt"/>
    <w:basedOn w:val="Normal"/>
    <w:rsid w:val="006647E2"/>
    <w:pPr>
      <w:spacing w:before="60" w:line="240" w:lineRule="atLeast"/>
    </w:pPr>
    <w:rPr>
      <w:rFonts w:eastAsia="Times New Roman"/>
      <w:szCs w:val="20"/>
      <w:lang w:eastAsia="en-AU"/>
    </w:rPr>
  </w:style>
  <w:style w:type="paragraph" w:customStyle="1" w:styleId="Tablecolumnheading">
    <w:name w:val="Table column heading"/>
    <w:basedOn w:val="Normal"/>
    <w:next w:val="Tabletext"/>
    <w:rsid w:val="006647E2"/>
    <w:pPr>
      <w:keepNext/>
      <w:spacing w:before="60" w:line="240" w:lineRule="atLeast"/>
    </w:pPr>
    <w:rPr>
      <w:rFonts w:eastAsia="Times New Roman"/>
      <w:b/>
      <w:szCs w:val="20"/>
      <w:lang w:eastAsia="en-AU"/>
    </w:rPr>
  </w:style>
  <w:style w:type="paragraph" w:customStyle="1" w:styleId="base-text-paragraphnonumbers">
    <w:name w:val="base-text-paragraph no numbers"/>
    <w:basedOn w:val="Normal"/>
    <w:rsid w:val="003A11C1"/>
    <w:pPr>
      <w:spacing w:after="120" w:line="240" w:lineRule="auto"/>
      <w:ind w:left="1134"/>
    </w:pPr>
    <w:rPr>
      <w:rFonts w:eastAsia="Times New Roman"/>
      <w:szCs w:val="20"/>
      <w:lang w:eastAsia="en-AU"/>
    </w:rPr>
  </w:style>
  <w:style w:type="paragraph" w:styleId="ListBullet">
    <w:name w:val="List Bullet"/>
    <w:basedOn w:val="Normal"/>
    <w:uiPriority w:val="99"/>
    <w:unhideWhenUsed/>
    <w:qFormat/>
    <w:locked/>
    <w:rsid w:val="003A4A11"/>
    <w:pPr>
      <w:keepLines/>
      <w:numPr>
        <w:numId w:val="31"/>
      </w:numPr>
      <w:spacing w:before="0"/>
      <w:ind w:left="714" w:hanging="357"/>
      <w:contextualSpacing/>
    </w:pPr>
  </w:style>
  <w:style w:type="paragraph" w:styleId="ListNumber">
    <w:name w:val="List Number"/>
    <w:basedOn w:val="Normal"/>
    <w:uiPriority w:val="99"/>
    <w:unhideWhenUsed/>
    <w:qFormat/>
    <w:locked/>
    <w:rsid w:val="006065C1"/>
    <w:pPr>
      <w:tabs>
        <w:tab w:val="num" w:pos="360"/>
      </w:tabs>
      <w:ind w:left="360" w:hanging="360"/>
      <w:contextualSpacing/>
    </w:pPr>
  </w:style>
  <w:style w:type="character" w:customStyle="1" w:styleId="Heading3Char">
    <w:name w:val="Heading 3 Char"/>
    <w:basedOn w:val="DefaultParagraphFont"/>
    <w:link w:val="Heading3"/>
    <w:uiPriority w:val="9"/>
    <w:rsid w:val="006065C1"/>
    <w:rPr>
      <w:rFonts w:cs="Arial"/>
      <w:b/>
      <w:i/>
      <w:sz w:val="24"/>
      <w:szCs w:val="22"/>
      <w:lang w:eastAsia="en-US"/>
    </w:rPr>
  </w:style>
  <w:style w:type="numbering" w:customStyle="1" w:styleId="KeyPoints">
    <w:name w:val="Key Points"/>
    <w:basedOn w:val="NoList"/>
    <w:uiPriority w:val="99"/>
    <w:rsid w:val="007C4FED"/>
    <w:pPr>
      <w:numPr>
        <w:numId w:val="3"/>
      </w:numPr>
    </w:pPr>
  </w:style>
  <w:style w:type="paragraph" w:customStyle="1" w:styleId="1NumberedPointsStyle">
    <w:name w:val="1. Numbered Points Style"/>
    <w:basedOn w:val="ListParagraph"/>
    <w:rsid w:val="007C4FED"/>
    <w:pPr>
      <w:ind w:left="0"/>
    </w:pPr>
    <w:rPr>
      <w:sz w:val="24"/>
    </w:rPr>
  </w:style>
  <w:style w:type="numbering" w:customStyle="1" w:styleId="BulletList">
    <w:name w:val="Bullet List"/>
    <w:uiPriority w:val="99"/>
    <w:rsid w:val="007C4FED"/>
    <w:pPr>
      <w:numPr>
        <w:numId w:val="4"/>
      </w:numPr>
    </w:pPr>
  </w:style>
  <w:style w:type="paragraph" w:customStyle="1" w:styleId="1BulletStyleList">
    <w:name w:val="1. Bullet Style List"/>
    <w:basedOn w:val="Normal"/>
    <w:rsid w:val="007C4FED"/>
    <w:pPr>
      <w:spacing w:line="240" w:lineRule="auto"/>
    </w:pPr>
    <w:rPr>
      <w:rFonts w:eastAsia="Times New Roman"/>
      <w:szCs w:val="20"/>
      <w:lang w:eastAsia="en-AU"/>
    </w:rPr>
  </w:style>
  <w:style w:type="paragraph" w:styleId="ListBullet2">
    <w:name w:val="List Bullet 2"/>
    <w:basedOn w:val="Normal"/>
    <w:uiPriority w:val="99"/>
    <w:unhideWhenUsed/>
    <w:locked/>
    <w:rsid w:val="007C4FED"/>
    <w:pPr>
      <w:ind w:left="737" w:hanging="368"/>
    </w:pPr>
  </w:style>
  <w:style w:type="paragraph" w:styleId="ListBullet3">
    <w:name w:val="List Bullet 3"/>
    <w:basedOn w:val="Normal"/>
    <w:uiPriority w:val="99"/>
    <w:unhideWhenUsed/>
    <w:locked/>
    <w:rsid w:val="007C4FED"/>
    <w:pPr>
      <w:ind w:left="1106" w:hanging="369"/>
    </w:pPr>
  </w:style>
  <w:style w:type="paragraph" w:styleId="ListBullet4">
    <w:name w:val="List Bullet 4"/>
    <w:basedOn w:val="Normal"/>
    <w:uiPriority w:val="99"/>
    <w:unhideWhenUsed/>
    <w:locked/>
    <w:rsid w:val="007C4FED"/>
    <w:pPr>
      <w:numPr>
        <w:ilvl w:val="3"/>
        <w:numId w:val="7"/>
      </w:numPr>
    </w:pPr>
  </w:style>
  <w:style w:type="paragraph" w:styleId="ListBullet5">
    <w:name w:val="List Bullet 5"/>
    <w:basedOn w:val="Normal"/>
    <w:uiPriority w:val="99"/>
    <w:unhideWhenUsed/>
    <w:locked/>
    <w:rsid w:val="007C4FED"/>
    <w:pPr>
      <w:numPr>
        <w:ilvl w:val="4"/>
        <w:numId w:val="7"/>
      </w:numPr>
    </w:pPr>
  </w:style>
  <w:style w:type="numbering" w:customStyle="1" w:styleId="Attach">
    <w:name w:val="Attach"/>
    <w:basedOn w:val="NoList"/>
    <w:uiPriority w:val="99"/>
    <w:rsid w:val="007C4FED"/>
    <w:pPr>
      <w:numPr>
        <w:numId w:val="5"/>
      </w:numPr>
    </w:pPr>
  </w:style>
  <w:style w:type="paragraph" w:customStyle="1" w:styleId="Classification">
    <w:name w:val="Classification"/>
    <w:basedOn w:val="Normal"/>
    <w:uiPriority w:val="10"/>
    <w:qFormat/>
    <w:rsid w:val="006065C1"/>
    <w:pPr>
      <w:tabs>
        <w:tab w:val="center" w:pos="4536"/>
        <w:tab w:val="center" w:pos="4819"/>
        <w:tab w:val="right" w:pos="9356"/>
      </w:tabs>
      <w:spacing w:after="240"/>
      <w:jc w:val="center"/>
    </w:pPr>
    <w:rPr>
      <w:rFonts w:eastAsia="Times New Roman" w:cs="Arial"/>
      <w:color w:val="FF0000"/>
      <w:sz w:val="28"/>
      <w:szCs w:val="28"/>
      <w:lang w:eastAsia="en-AU"/>
    </w:rPr>
  </w:style>
  <w:style w:type="character" w:styleId="BookTitle">
    <w:name w:val="Book Title"/>
    <w:basedOn w:val="DefaultParagraphFont"/>
    <w:uiPriority w:val="33"/>
    <w:rsid w:val="007C4FED"/>
    <w:rPr>
      <w:bCs/>
      <w:i/>
      <w:smallCaps/>
      <w:spacing w:val="5"/>
    </w:rPr>
  </w:style>
  <w:style w:type="paragraph" w:styleId="ListNumber2">
    <w:name w:val="List Number 2"/>
    <w:basedOn w:val="Normal"/>
    <w:uiPriority w:val="99"/>
    <w:locked/>
    <w:rsid w:val="007C4FED"/>
    <w:pPr>
      <w:ind w:left="738" w:hanging="369"/>
    </w:pPr>
  </w:style>
  <w:style w:type="paragraph" w:styleId="ListNumber3">
    <w:name w:val="List Number 3"/>
    <w:basedOn w:val="Normal"/>
    <w:uiPriority w:val="99"/>
    <w:locked/>
    <w:rsid w:val="007C4FED"/>
    <w:pPr>
      <w:ind w:left="1107" w:hanging="369"/>
    </w:pPr>
  </w:style>
  <w:style w:type="paragraph" w:styleId="ListNumber4">
    <w:name w:val="List Number 4"/>
    <w:basedOn w:val="Normal"/>
    <w:uiPriority w:val="99"/>
    <w:locked/>
    <w:rsid w:val="007C4FED"/>
    <w:pPr>
      <w:numPr>
        <w:ilvl w:val="3"/>
        <w:numId w:val="6"/>
      </w:numPr>
    </w:pPr>
  </w:style>
  <w:style w:type="paragraph" w:styleId="ListNumber5">
    <w:name w:val="List Number 5"/>
    <w:basedOn w:val="Normal"/>
    <w:uiPriority w:val="99"/>
    <w:locked/>
    <w:rsid w:val="007C4FED"/>
    <w:pPr>
      <w:numPr>
        <w:ilvl w:val="4"/>
        <w:numId w:val="6"/>
      </w:numPr>
    </w:pPr>
  </w:style>
  <w:style w:type="paragraph" w:customStyle="1" w:styleId="Footerclassification">
    <w:name w:val="Footer classification"/>
    <w:basedOn w:val="Classification"/>
    <w:rsid w:val="007C4FED"/>
    <w:pPr>
      <w:spacing w:before="240" w:after="0"/>
    </w:pPr>
  </w:style>
  <w:style w:type="paragraph" w:customStyle="1" w:styleId="Tabletext0">
    <w:name w:val="Table text"/>
    <w:basedOn w:val="Normal"/>
    <w:uiPriority w:val="9"/>
    <w:qFormat/>
    <w:rsid w:val="006065C1"/>
  </w:style>
  <w:style w:type="paragraph" w:customStyle="1" w:styleId="Classificationsensitivity">
    <w:name w:val="Classification sensitivity"/>
    <w:basedOn w:val="Classification"/>
    <w:rsid w:val="007C4FED"/>
    <w:rPr>
      <w:sz w:val="22"/>
    </w:rPr>
  </w:style>
  <w:style w:type="paragraph" w:customStyle="1" w:styleId="paragraph">
    <w:name w:val="paragraph"/>
    <w:aliases w:val="a"/>
    <w:basedOn w:val="Normal"/>
    <w:link w:val="paragraphChar"/>
    <w:rsid w:val="007C4FED"/>
    <w:pPr>
      <w:tabs>
        <w:tab w:val="right" w:pos="1531"/>
      </w:tabs>
      <w:spacing w:before="40" w:line="240" w:lineRule="auto"/>
      <w:ind w:left="1644" w:hanging="1644"/>
    </w:pPr>
    <w:rPr>
      <w:rFonts w:eastAsia="Times New Roman"/>
      <w:szCs w:val="20"/>
    </w:rPr>
  </w:style>
  <w:style w:type="character" w:customStyle="1" w:styleId="paragraphChar">
    <w:name w:val="paragraph Char"/>
    <w:aliases w:val="a Char"/>
    <w:link w:val="paragraph"/>
    <w:locked/>
    <w:rsid w:val="007C4FED"/>
    <w:rPr>
      <w:rFonts w:ascii="Times New Roman" w:eastAsia="Times New Roman" w:hAnsi="Times New Roman"/>
      <w:sz w:val="24"/>
      <w:lang w:eastAsia="en-US"/>
    </w:rPr>
  </w:style>
  <w:style w:type="paragraph" w:customStyle="1" w:styleId="Definition0">
    <w:name w:val="Definition"/>
    <w:aliases w:val="dd"/>
    <w:basedOn w:val="Normal"/>
    <w:rsid w:val="007C4FED"/>
    <w:pPr>
      <w:spacing w:before="180" w:line="240" w:lineRule="auto"/>
      <w:ind w:left="1134"/>
    </w:pPr>
    <w:rPr>
      <w:lang w:eastAsia="en-AU"/>
    </w:rPr>
  </w:style>
  <w:style w:type="paragraph" w:customStyle="1" w:styleId="paragraphsub">
    <w:name w:val="paragraph(sub)"/>
    <w:aliases w:val="aa"/>
    <w:basedOn w:val="Normal"/>
    <w:rsid w:val="007C4FED"/>
    <w:pPr>
      <w:tabs>
        <w:tab w:val="right" w:pos="1985"/>
      </w:tabs>
      <w:spacing w:before="40" w:line="240" w:lineRule="auto"/>
      <w:ind w:left="2098" w:hanging="2098"/>
    </w:pPr>
    <w:rPr>
      <w:rFonts w:eastAsia="Times New Roman"/>
      <w:szCs w:val="20"/>
      <w:lang w:eastAsia="en-AU"/>
    </w:rPr>
  </w:style>
  <w:style w:type="paragraph" w:customStyle="1" w:styleId="notepara0">
    <w:name w:val="note(para)"/>
    <w:aliases w:val="na"/>
    <w:basedOn w:val="Normal"/>
    <w:rsid w:val="007C4FED"/>
    <w:pPr>
      <w:spacing w:before="40" w:line="198" w:lineRule="exact"/>
      <w:ind w:left="2354" w:hanging="369"/>
    </w:pPr>
    <w:rPr>
      <w:rFonts w:eastAsia="Times New Roman"/>
      <w:sz w:val="18"/>
      <w:szCs w:val="20"/>
      <w:lang w:eastAsia="en-AU"/>
    </w:rPr>
  </w:style>
  <w:style w:type="paragraph" w:customStyle="1" w:styleId="notetext">
    <w:name w:val="note(text)"/>
    <w:aliases w:val="n"/>
    <w:basedOn w:val="Normal"/>
    <w:rsid w:val="007C4FED"/>
    <w:pPr>
      <w:spacing w:before="122" w:line="240" w:lineRule="auto"/>
      <w:ind w:left="1985" w:hanging="851"/>
    </w:pPr>
    <w:rPr>
      <w:rFonts w:eastAsia="Times New Roman"/>
      <w:sz w:val="18"/>
      <w:szCs w:val="20"/>
      <w:lang w:eastAsia="en-AU"/>
    </w:rPr>
  </w:style>
  <w:style w:type="paragraph" w:customStyle="1" w:styleId="ActHead5">
    <w:name w:val="ActHead 5"/>
    <w:aliases w:val="s"/>
    <w:basedOn w:val="Normal"/>
    <w:next w:val="subsection"/>
    <w:qFormat/>
    <w:rsid w:val="006065C1"/>
    <w:pPr>
      <w:keepNext/>
      <w:keepLines/>
      <w:spacing w:before="280" w:line="240" w:lineRule="auto"/>
      <w:ind w:left="1134" w:hanging="1134"/>
      <w:outlineLvl w:val="4"/>
    </w:pPr>
    <w:rPr>
      <w:rFonts w:eastAsia="Times New Roman"/>
      <w:b/>
      <w:kern w:val="28"/>
      <w:szCs w:val="20"/>
      <w:lang w:eastAsia="en-AU"/>
    </w:rPr>
  </w:style>
  <w:style w:type="paragraph" w:customStyle="1" w:styleId="ESTitle">
    <w:name w:val="ES Title"/>
    <w:basedOn w:val="Heading1"/>
    <w:next w:val="Normal"/>
    <w:link w:val="ESTitleChar"/>
    <w:qFormat/>
    <w:rsid w:val="006065C1"/>
    <w:pPr>
      <w:jc w:val="center"/>
    </w:pPr>
    <w:rPr>
      <w:caps/>
      <w:color w:val="000000" w:themeColor="text1"/>
      <w:sz w:val="24"/>
      <w:szCs w:val="24"/>
      <w:u w:val="single"/>
    </w:rPr>
  </w:style>
  <w:style w:type="paragraph" w:customStyle="1" w:styleId="ESSubtitle">
    <w:name w:val="ES Subtitle"/>
    <w:basedOn w:val="Heading2"/>
    <w:next w:val="Normal"/>
    <w:link w:val="ESSubtitleChar"/>
    <w:qFormat/>
    <w:rsid w:val="006065C1"/>
    <w:pPr>
      <w:spacing w:before="0" w:after="200"/>
      <w:jc w:val="center"/>
    </w:pPr>
    <w:rPr>
      <w:rFonts w:ascii="Times New Roman" w:hAnsi="Times New Roman"/>
      <w:b w:val="0"/>
      <w:i/>
      <w:color w:val="000000" w:themeColor="text1"/>
      <w:kern w:val="36"/>
      <w:sz w:val="24"/>
      <w:szCs w:val="24"/>
      <w:lang w:eastAsia="en-US"/>
    </w:rPr>
  </w:style>
  <w:style w:type="character" w:customStyle="1" w:styleId="ESTitleChar">
    <w:name w:val="ES Title Char"/>
    <w:basedOn w:val="DefaultParagraphFont"/>
    <w:link w:val="ESTitle"/>
    <w:rsid w:val="006065C1"/>
    <w:rPr>
      <w:rFonts w:ascii="Times New Roman" w:hAnsi="Times New Roman"/>
      <w:b/>
      <w:bCs/>
      <w:caps/>
      <w:color w:val="000000" w:themeColor="text1"/>
      <w:kern w:val="36"/>
      <w:sz w:val="24"/>
      <w:szCs w:val="24"/>
      <w:u w:val="single"/>
    </w:rPr>
  </w:style>
  <w:style w:type="paragraph" w:customStyle="1" w:styleId="ESHeading">
    <w:name w:val="ES Heading"/>
    <w:basedOn w:val="Heading1"/>
    <w:next w:val="Normal"/>
    <w:link w:val="ESHeadingChar"/>
    <w:qFormat/>
    <w:rsid w:val="004E225B"/>
    <w:pPr>
      <w:keepNext/>
      <w:spacing w:before="360" w:after="120"/>
    </w:pPr>
    <w:rPr>
      <w:color w:val="000000" w:themeColor="text1"/>
      <w:sz w:val="24"/>
      <w:szCs w:val="24"/>
    </w:rPr>
  </w:style>
  <w:style w:type="character" w:customStyle="1" w:styleId="ESSubtitleChar">
    <w:name w:val="ES Subtitle Char"/>
    <w:basedOn w:val="Heading1Char"/>
    <w:link w:val="ESSubtitle"/>
    <w:rsid w:val="006065C1"/>
    <w:rPr>
      <w:rFonts w:ascii="Times New Roman" w:hAnsi="Times New Roman" w:cs="Times New Roman"/>
      <w:b/>
      <w:bCs/>
      <w:i/>
      <w:color w:val="000000" w:themeColor="text1"/>
      <w:kern w:val="36"/>
      <w:sz w:val="24"/>
      <w:szCs w:val="24"/>
      <w:lang w:eastAsia="en-US"/>
    </w:rPr>
  </w:style>
  <w:style w:type="paragraph" w:customStyle="1" w:styleId="ESA1Title">
    <w:name w:val="ES_A 1. Title"/>
    <w:basedOn w:val="Heading1"/>
    <w:link w:val="ESA1TitleChar"/>
    <w:qFormat/>
    <w:rsid w:val="006065C1"/>
    <w:pPr>
      <w:spacing w:after="120"/>
      <w:jc w:val="center"/>
    </w:pPr>
    <w:rPr>
      <w:color w:val="000000" w:themeColor="text1"/>
      <w:sz w:val="24"/>
      <w:szCs w:val="24"/>
    </w:rPr>
  </w:style>
  <w:style w:type="character" w:customStyle="1" w:styleId="ESHeadingChar">
    <w:name w:val="ES Heading Char"/>
    <w:basedOn w:val="DefaultParagraphFont"/>
    <w:link w:val="ESHeading"/>
    <w:rsid w:val="004E225B"/>
    <w:rPr>
      <w:rFonts w:ascii="Times New Roman" w:hAnsi="Times New Roman"/>
      <w:b/>
      <w:bCs/>
      <w:color w:val="000000" w:themeColor="text1"/>
      <w:kern w:val="36"/>
      <w:sz w:val="24"/>
      <w:szCs w:val="24"/>
    </w:rPr>
  </w:style>
  <w:style w:type="paragraph" w:customStyle="1" w:styleId="ESA1PartSchedule">
    <w:name w:val="ES_A 1. Part/Schedule"/>
    <w:basedOn w:val="Heading2"/>
    <w:next w:val="Normal"/>
    <w:link w:val="ESA1PartScheduleChar"/>
    <w:qFormat/>
    <w:rsid w:val="00B93281"/>
    <w:pPr>
      <w:tabs>
        <w:tab w:val="left" w:pos="1418"/>
      </w:tabs>
      <w:spacing w:before="360" w:line="240" w:lineRule="auto"/>
    </w:pPr>
    <w:rPr>
      <w:rFonts w:ascii="Times New Roman" w:hAnsi="Times New Roman"/>
      <w:color w:val="000000" w:themeColor="text1"/>
      <w:sz w:val="24"/>
      <w:szCs w:val="24"/>
    </w:rPr>
  </w:style>
  <w:style w:type="character" w:customStyle="1" w:styleId="ESA1TitleChar">
    <w:name w:val="ES_A 1. Title Char"/>
    <w:basedOn w:val="FooterChar"/>
    <w:link w:val="ESA1Title"/>
    <w:rsid w:val="006065C1"/>
    <w:rPr>
      <w:rFonts w:ascii="Times New Roman" w:hAnsi="Times New Roman" w:cs="Times New Roman"/>
      <w:b/>
      <w:bCs/>
      <w:color w:val="000000" w:themeColor="text1"/>
      <w:kern w:val="36"/>
      <w:sz w:val="24"/>
      <w:szCs w:val="24"/>
    </w:rPr>
  </w:style>
  <w:style w:type="paragraph" w:customStyle="1" w:styleId="ESA4Section">
    <w:name w:val="ES_A 4. Section"/>
    <w:basedOn w:val="Heading4"/>
    <w:next w:val="Normal"/>
    <w:link w:val="ESA4SectionChar"/>
    <w:qFormat/>
    <w:rsid w:val="000F2BC7"/>
    <w:pPr>
      <w:tabs>
        <w:tab w:val="left" w:pos="720"/>
      </w:tabs>
      <w:spacing w:before="120" w:line="240" w:lineRule="auto"/>
    </w:pPr>
    <w:rPr>
      <w:rFonts w:ascii="Times New Roman" w:hAnsi="Times New Roman"/>
      <w:b w:val="0"/>
      <w:i w:val="0"/>
      <w:color w:val="000000" w:themeColor="text1"/>
      <w:sz w:val="24"/>
      <w:szCs w:val="24"/>
      <w:u w:val="single"/>
    </w:rPr>
  </w:style>
  <w:style w:type="character" w:customStyle="1" w:styleId="ESA1PartScheduleChar">
    <w:name w:val="ES_A 1. Part/Schedule Char"/>
    <w:basedOn w:val="DefaultParagraphFont"/>
    <w:link w:val="ESA1PartSchedule"/>
    <w:rsid w:val="00B93281"/>
    <w:rPr>
      <w:rFonts w:ascii="Times New Roman" w:hAnsi="Times New Roman"/>
      <w:b/>
      <w:bCs/>
      <w:color w:val="000000" w:themeColor="text1"/>
      <w:sz w:val="24"/>
      <w:szCs w:val="24"/>
    </w:rPr>
  </w:style>
  <w:style w:type="paragraph" w:customStyle="1" w:styleId="ESA2Division">
    <w:name w:val="ES_A 2. Division"/>
    <w:basedOn w:val="Heading2"/>
    <w:link w:val="ESA2DivisionChar"/>
    <w:qFormat/>
    <w:rsid w:val="00B93281"/>
    <w:pPr>
      <w:tabs>
        <w:tab w:val="left" w:pos="1418"/>
      </w:tabs>
      <w:spacing w:before="180"/>
    </w:pPr>
    <w:rPr>
      <w:rFonts w:ascii="Times New Roman" w:hAnsi="Times New Roman"/>
      <w:color w:val="000000" w:themeColor="text1"/>
      <w:sz w:val="24"/>
      <w:lang w:eastAsia="en-US"/>
    </w:rPr>
  </w:style>
  <w:style w:type="character" w:customStyle="1" w:styleId="ESA4SectionChar">
    <w:name w:val="ES_A 4. Section Char"/>
    <w:basedOn w:val="DefaultParagraphFont"/>
    <w:link w:val="ESA4Section"/>
    <w:rsid w:val="000F2BC7"/>
    <w:rPr>
      <w:rFonts w:ascii="Times New Roman" w:eastAsia="Times New Roman" w:hAnsi="Times New Roman"/>
      <w:bCs/>
      <w:iCs/>
      <w:color w:val="000000" w:themeColor="text1"/>
      <w:sz w:val="24"/>
      <w:szCs w:val="24"/>
      <w:u w:val="single"/>
      <w:lang w:eastAsia="en-US"/>
    </w:rPr>
  </w:style>
  <w:style w:type="paragraph" w:customStyle="1" w:styleId="ESA3Subdivision">
    <w:name w:val="ES_A 3. Subdivision"/>
    <w:basedOn w:val="Heading3"/>
    <w:next w:val="Normal"/>
    <w:link w:val="ESA3SubdivisionChar"/>
    <w:qFormat/>
    <w:rsid w:val="000F2BC7"/>
    <w:pPr>
      <w:tabs>
        <w:tab w:val="left" w:pos="1843"/>
      </w:tabs>
      <w:spacing w:before="180"/>
    </w:pPr>
    <w:rPr>
      <w:rFonts w:ascii="Times New Roman" w:hAnsi="Times New Roman"/>
    </w:rPr>
  </w:style>
  <w:style w:type="character" w:customStyle="1" w:styleId="ESA2DivisionChar">
    <w:name w:val="ES_A 2. Division Char"/>
    <w:basedOn w:val="Heading2Char"/>
    <w:link w:val="ESA2Division"/>
    <w:rsid w:val="00B93281"/>
    <w:rPr>
      <w:rFonts w:ascii="Times New Roman" w:hAnsi="Times New Roman" w:cs="Times New Roman"/>
      <w:b/>
      <w:bCs/>
      <w:color w:val="000000" w:themeColor="text1"/>
      <w:sz w:val="24"/>
      <w:szCs w:val="26"/>
      <w:lang w:eastAsia="en-US"/>
    </w:rPr>
  </w:style>
  <w:style w:type="character" w:customStyle="1" w:styleId="ESA3SubdivisionChar">
    <w:name w:val="ES_A 3. Subdivision Char"/>
    <w:basedOn w:val="Heading3Char"/>
    <w:link w:val="ESA3Subdivision"/>
    <w:rsid w:val="000F2BC7"/>
    <w:rPr>
      <w:rFonts w:ascii="Times New Roman" w:hAnsi="Times New Roman" w:cs="Arial"/>
      <w:b/>
      <w:i/>
      <w:sz w:val="24"/>
      <w:szCs w:val="22"/>
      <w:lang w:eastAsia="en-US"/>
    </w:rPr>
  </w:style>
  <w:style w:type="paragraph" w:customStyle="1" w:styleId="h6Subsec">
    <w:name w:val="h6_Subsec"/>
    <w:basedOn w:val="Normal"/>
    <w:next w:val="Normal"/>
    <w:qFormat/>
    <w:rsid w:val="006065C1"/>
    <w:pPr>
      <w:keepNext/>
      <w:spacing w:line="240" w:lineRule="auto"/>
      <w:ind w:left="964"/>
    </w:pPr>
    <w:rPr>
      <w:rFonts w:ascii="Arial" w:eastAsia="Times New Roman" w:hAnsi="Arial"/>
      <w:i/>
      <w:szCs w:val="24"/>
      <w:lang w:eastAsia="en-AU"/>
    </w:rPr>
  </w:style>
  <w:style w:type="paragraph" w:customStyle="1" w:styleId="ESA1Part">
    <w:name w:val="ES_A 1. Part"/>
    <w:basedOn w:val="Heading2"/>
    <w:link w:val="ESA1PartChar"/>
    <w:qFormat/>
    <w:rsid w:val="00817B67"/>
    <w:pPr>
      <w:spacing w:before="480" w:after="120" w:line="240" w:lineRule="auto"/>
    </w:pPr>
    <w:rPr>
      <w:rFonts w:ascii="Times New Roman" w:eastAsia="Times New Roman" w:hAnsi="Times New Roman"/>
      <w:color w:val="000000" w:themeColor="text1"/>
      <w:sz w:val="24"/>
      <w:szCs w:val="24"/>
      <w:lang w:eastAsia="en-US"/>
    </w:rPr>
  </w:style>
  <w:style w:type="character" w:customStyle="1" w:styleId="ESA1PartChar">
    <w:name w:val="ES_A 1. Part Char"/>
    <w:basedOn w:val="DefaultParagraphFont"/>
    <w:link w:val="ESA1Part"/>
    <w:rsid w:val="00817B67"/>
    <w:rPr>
      <w:rFonts w:ascii="Times New Roman" w:eastAsia="Times New Roman" w:hAnsi="Times New Roman"/>
      <w:b/>
      <w:bCs/>
      <w:color w:val="000000" w:themeColor="text1"/>
      <w:sz w:val="24"/>
      <w:szCs w:val="24"/>
      <w:lang w:eastAsia="en-US"/>
    </w:rPr>
  </w:style>
  <w:style w:type="paragraph" w:customStyle="1" w:styleId="nDrafterComment">
    <w:name w:val="n_Drafter_Comment"/>
    <w:basedOn w:val="Normal"/>
    <w:qFormat/>
    <w:rsid w:val="00917B58"/>
    <w:pPr>
      <w:spacing w:before="80" w:line="260" w:lineRule="atLeast"/>
    </w:pPr>
    <w:rPr>
      <w:rFonts w:ascii="Arial" w:hAnsi="Arial"/>
      <w:color w:val="7030A0"/>
      <w:sz w:val="22"/>
      <w:szCs w:val="20"/>
    </w:rPr>
  </w:style>
  <w:style w:type="paragraph" w:customStyle="1" w:styleId="ShortT">
    <w:name w:val="ShortT"/>
    <w:basedOn w:val="Normal"/>
    <w:next w:val="Normal"/>
    <w:qFormat/>
    <w:rsid w:val="002C0D2D"/>
    <w:pPr>
      <w:spacing w:before="0" w:line="240" w:lineRule="auto"/>
    </w:pPr>
    <w:rPr>
      <w:rFonts w:eastAsia="Times New Roman"/>
      <w:b/>
      <w:sz w:val="40"/>
      <w:szCs w:val="20"/>
      <w:lang w:eastAsia="en-AU"/>
    </w:rPr>
  </w:style>
  <w:style w:type="paragraph" w:customStyle="1" w:styleId="h1Chap">
    <w:name w:val="h1_Chap"/>
    <w:aliases w:val="ActHead 1"/>
    <w:basedOn w:val="Normal"/>
    <w:next w:val="Normal"/>
    <w:qFormat/>
    <w:rsid w:val="00F25AB2"/>
    <w:pPr>
      <w:keepNext/>
      <w:keepLines/>
      <w:pageBreakBefore/>
      <w:spacing w:before="0" w:line="240" w:lineRule="auto"/>
      <w:ind w:left="1134" w:hanging="1134"/>
      <w:outlineLvl w:val="0"/>
    </w:pPr>
    <w:rPr>
      <w:rFonts w:eastAsia="Times New Roman"/>
      <w:b/>
      <w:kern w:val="28"/>
      <w:sz w:val="36"/>
      <w:szCs w:val="20"/>
      <w:lang w:eastAsia="en-AU"/>
    </w:rPr>
  </w:style>
  <w:style w:type="paragraph" w:styleId="PlainText">
    <w:name w:val="Plain Text"/>
    <w:basedOn w:val="Normal"/>
    <w:link w:val="PlainTextChar"/>
    <w:uiPriority w:val="99"/>
    <w:semiHidden/>
    <w:unhideWhenUsed/>
    <w:locked/>
    <w:rsid w:val="0007283B"/>
    <w:pPr>
      <w:spacing w:before="0"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07283B"/>
    <w:rPr>
      <w:rFonts w:ascii="Consolas" w:eastAsiaTheme="minorHAnsi" w:hAnsi="Consolas" w:cstheme="minorBidi"/>
      <w:sz w:val="21"/>
      <w:szCs w:val="21"/>
      <w:lang w:eastAsia="en-US"/>
    </w:rPr>
  </w:style>
  <w:style w:type="paragraph" w:customStyle="1" w:styleId="base-text-paragraphnonumbers0">
    <w:name w:val="base-text-paragraphnonumbers"/>
    <w:basedOn w:val="Normal"/>
    <w:rsid w:val="009F289F"/>
    <w:pPr>
      <w:spacing w:before="100" w:beforeAutospacing="1" w:after="100" w:afterAutospacing="1" w:line="240" w:lineRule="auto"/>
    </w:pPr>
    <w:rPr>
      <w:rFonts w:eastAsia="Times New Roman"/>
      <w:szCs w:val="24"/>
      <w:lang w:eastAsia="en-AU"/>
    </w:rPr>
  </w:style>
  <w:style w:type="paragraph" w:customStyle="1" w:styleId="TableHeading">
    <w:name w:val="TableHeading"/>
    <w:aliases w:val="th"/>
    <w:basedOn w:val="Normal"/>
    <w:next w:val="Tabletext"/>
    <w:rsid w:val="00725827"/>
    <w:pPr>
      <w:keepNext/>
      <w:spacing w:before="60" w:line="240" w:lineRule="atLeast"/>
    </w:pPr>
    <w:rPr>
      <w:rFonts w:eastAsia="Times New Roman"/>
      <w:b/>
      <w:sz w:val="20"/>
      <w:szCs w:val="20"/>
      <w:lang w:eastAsia="en-AU"/>
    </w:rPr>
  </w:style>
  <w:style w:type="paragraph" w:customStyle="1" w:styleId="h5SchItem">
    <w:name w:val="h5_Sch_Item"/>
    <w:basedOn w:val="Normal"/>
    <w:next w:val="Normal"/>
    <w:qFormat/>
    <w:rsid w:val="004146ED"/>
    <w:pPr>
      <w:keepNext/>
      <w:keepLines/>
      <w:spacing w:before="360" w:after="60" w:line="240" w:lineRule="auto"/>
      <w:ind w:left="964" w:hanging="964"/>
    </w:pPr>
    <w:rPr>
      <w:rFonts w:ascii="Arial" w:eastAsia="Times New Roman" w:hAnsi="Arial" w:cs="Arial"/>
      <w:b/>
      <w:bCs/>
      <w:kern w:val="32"/>
      <w:szCs w:val="32"/>
      <w:lang w:eastAsia="en-AU"/>
    </w:rPr>
  </w:style>
  <w:style w:type="paragraph" w:customStyle="1" w:styleId="ERACbullets">
    <w:name w:val="ERAC bullets"/>
    <w:basedOn w:val="Normal"/>
    <w:link w:val="ERACbulletsChar"/>
    <w:uiPriority w:val="7"/>
    <w:qFormat/>
    <w:rsid w:val="009B242F"/>
    <w:pPr>
      <w:numPr>
        <w:numId w:val="42"/>
      </w:numPr>
      <w:spacing w:after="120" w:line="240" w:lineRule="auto"/>
    </w:pPr>
    <w:rPr>
      <w:rFonts w:ascii="Calibri" w:eastAsia="Cambria" w:hAnsi="Calibri" w:cs="Calibri"/>
      <w:sz w:val="22"/>
      <w:szCs w:val="24"/>
    </w:rPr>
  </w:style>
  <w:style w:type="character" w:customStyle="1" w:styleId="ERACbulletsChar">
    <w:name w:val="ERAC bullets Char"/>
    <w:link w:val="ERACbullets"/>
    <w:uiPriority w:val="7"/>
    <w:rsid w:val="009B242F"/>
    <w:rPr>
      <w:rFonts w:eastAsia="Cambria" w:cs="Calibri"/>
      <w:sz w:val="22"/>
      <w:szCs w:val="24"/>
      <w:lang w:eastAsia="en-US"/>
    </w:rPr>
  </w:style>
  <w:style w:type="character" w:customStyle="1" w:styleId="UnresolvedMention">
    <w:name w:val="Unresolved Mention"/>
    <w:basedOn w:val="DefaultParagraphFont"/>
    <w:uiPriority w:val="99"/>
    <w:semiHidden/>
    <w:unhideWhenUsed/>
    <w:rsid w:val="00CD2D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040296">
      <w:bodyDiv w:val="1"/>
      <w:marLeft w:val="0"/>
      <w:marRight w:val="0"/>
      <w:marTop w:val="0"/>
      <w:marBottom w:val="0"/>
      <w:divBdr>
        <w:top w:val="none" w:sz="0" w:space="0" w:color="auto"/>
        <w:left w:val="none" w:sz="0" w:space="0" w:color="auto"/>
        <w:bottom w:val="none" w:sz="0" w:space="0" w:color="auto"/>
        <w:right w:val="none" w:sz="0" w:space="0" w:color="auto"/>
      </w:divBdr>
    </w:div>
    <w:div w:id="116417410">
      <w:bodyDiv w:val="1"/>
      <w:marLeft w:val="0"/>
      <w:marRight w:val="0"/>
      <w:marTop w:val="0"/>
      <w:marBottom w:val="0"/>
      <w:divBdr>
        <w:top w:val="none" w:sz="0" w:space="0" w:color="auto"/>
        <w:left w:val="none" w:sz="0" w:space="0" w:color="auto"/>
        <w:bottom w:val="none" w:sz="0" w:space="0" w:color="auto"/>
        <w:right w:val="none" w:sz="0" w:space="0" w:color="auto"/>
      </w:divBdr>
    </w:div>
    <w:div w:id="173695077">
      <w:bodyDiv w:val="1"/>
      <w:marLeft w:val="0"/>
      <w:marRight w:val="0"/>
      <w:marTop w:val="0"/>
      <w:marBottom w:val="0"/>
      <w:divBdr>
        <w:top w:val="none" w:sz="0" w:space="0" w:color="auto"/>
        <w:left w:val="none" w:sz="0" w:space="0" w:color="auto"/>
        <w:bottom w:val="none" w:sz="0" w:space="0" w:color="auto"/>
        <w:right w:val="none" w:sz="0" w:space="0" w:color="auto"/>
      </w:divBdr>
    </w:div>
    <w:div w:id="197475269">
      <w:bodyDiv w:val="1"/>
      <w:marLeft w:val="0"/>
      <w:marRight w:val="0"/>
      <w:marTop w:val="0"/>
      <w:marBottom w:val="0"/>
      <w:divBdr>
        <w:top w:val="none" w:sz="0" w:space="0" w:color="auto"/>
        <w:left w:val="none" w:sz="0" w:space="0" w:color="auto"/>
        <w:bottom w:val="none" w:sz="0" w:space="0" w:color="auto"/>
        <w:right w:val="none" w:sz="0" w:space="0" w:color="auto"/>
      </w:divBdr>
    </w:div>
    <w:div w:id="272859030">
      <w:bodyDiv w:val="1"/>
      <w:marLeft w:val="0"/>
      <w:marRight w:val="0"/>
      <w:marTop w:val="0"/>
      <w:marBottom w:val="0"/>
      <w:divBdr>
        <w:top w:val="none" w:sz="0" w:space="0" w:color="auto"/>
        <w:left w:val="none" w:sz="0" w:space="0" w:color="auto"/>
        <w:bottom w:val="none" w:sz="0" w:space="0" w:color="auto"/>
        <w:right w:val="none" w:sz="0" w:space="0" w:color="auto"/>
      </w:divBdr>
    </w:div>
    <w:div w:id="444737877">
      <w:bodyDiv w:val="1"/>
      <w:marLeft w:val="0"/>
      <w:marRight w:val="0"/>
      <w:marTop w:val="0"/>
      <w:marBottom w:val="0"/>
      <w:divBdr>
        <w:top w:val="none" w:sz="0" w:space="0" w:color="auto"/>
        <w:left w:val="none" w:sz="0" w:space="0" w:color="auto"/>
        <w:bottom w:val="none" w:sz="0" w:space="0" w:color="auto"/>
        <w:right w:val="none" w:sz="0" w:space="0" w:color="auto"/>
      </w:divBdr>
    </w:div>
    <w:div w:id="530804020">
      <w:bodyDiv w:val="1"/>
      <w:marLeft w:val="0"/>
      <w:marRight w:val="0"/>
      <w:marTop w:val="0"/>
      <w:marBottom w:val="0"/>
      <w:divBdr>
        <w:top w:val="none" w:sz="0" w:space="0" w:color="auto"/>
        <w:left w:val="none" w:sz="0" w:space="0" w:color="auto"/>
        <w:bottom w:val="none" w:sz="0" w:space="0" w:color="auto"/>
        <w:right w:val="none" w:sz="0" w:space="0" w:color="auto"/>
      </w:divBdr>
    </w:div>
    <w:div w:id="532959443">
      <w:bodyDiv w:val="1"/>
      <w:marLeft w:val="0"/>
      <w:marRight w:val="0"/>
      <w:marTop w:val="0"/>
      <w:marBottom w:val="0"/>
      <w:divBdr>
        <w:top w:val="none" w:sz="0" w:space="0" w:color="auto"/>
        <w:left w:val="none" w:sz="0" w:space="0" w:color="auto"/>
        <w:bottom w:val="none" w:sz="0" w:space="0" w:color="auto"/>
        <w:right w:val="none" w:sz="0" w:space="0" w:color="auto"/>
      </w:divBdr>
      <w:divsChild>
        <w:div w:id="394552805">
          <w:marLeft w:val="0"/>
          <w:marRight w:val="0"/>
          <w:marTop w:val="0"/>
          <w:marBottom w:val="0"/>
          <w:divBdr>
            <w:top w:val="none" w:sz="0" w:space="0" w:color="auto"/>
            <w:left w:val="none" w:sz="0" w:space="0" w:color="auto"/>
            <w:bottom w:val="none" w:sz="0" w:space="0" w:color="auto"/>
            <w:right w:val="none" w:sz="0" w:space="0" w:color="auto"/>
          </w:divBdr>
          <w:divsChild>
            <w:div w:id="187187091">
              <w:marLeft w:val="0"/>
              <w:marRight w:val="0"/>
              <w:marTop w:val="0"/>
              <w:marBottom w:val="0"/>
              <w:divBdr>
                <w:top w:val="none" w:sz="0" w:space="0" w:color="auto"/>
                <w:left w:val="none" w:sz="0" w:space="0" w:color="auto"/>
                <w:bottom w:val="none" w:sz="0" w:space="0" w:color="auto"/>
                <w:right w:val="none" w:sz="0" w:space="0" w:color="auto"/>
              </w:divBdr>
              <w:divsChild>
                <w:div w:id="454829482">
                  <w:marLeft w:val="-300"/>
                  <w:marRight w:val="0"/>
                  <w:marTop w:val="0"/>
                  <w:marBottom w:val="0"/>
                  <w:divBdr>
                    <w:top w:val="none" w:sz="0" w:space="0" w:color="auto"/>
                    <w:left w:val="none" w:sz="0" w:space="0" w:color="auto"/>
                    <w:bottom w:val="none" w:sz="0" w:space="0" w:color="auto"/>
                    <w:right w:val="none" w:sz="0" w:space="0" w:color="auto"/>
                  </w:divBdr>
                  <w:divsChild>
                    <w:div w:id="1619795430">
                      <w:marLeft w:val="0"/>
                      <w:marRight w:val="0"/>
                      <w:marTop w:val="0"/>
                      <w:marBottom w:val="0"/>
                      <w:divBdr>
                        <w:top w:val="none" w:sz="0" w:space="0" w:color="auto"/>
                        <w:left w:val="none" w:sz="0" w:space="0" w:color="auto"/>
                        <w:bottom w:val="none" w:sz="0" w:space="0" w:color="auto"/>
                        <w:right w:val="none" w:sz="0" w:space="0" w:color="auto"/>
                      </w:divBdr>
                      <w:divsChild>
                        <w:div w:id="1895045101">
                          <w:marLeft w:val="0"/>
                          <w:marRight w:val="0"/>
                          <w:marTop w:val="0"/>
                          <w:marBottom w:val="0"/>
                          <w:divBdr>
                            <w:top w:val="none" w:sz="0" w:space="0" w:color="auto"/>
                            <w:left w:val="none" w:sz="0" w:space="0" w:color="auto"/>
                            <w:bottom w:val="none" w:sz="0" w:space="0" w:color="auto"/>
                            <w:right w:val="none" w:sz="0" w:space="0" w:color="auto"/>
                          </w:divBdr>
                          <w:divsChild>
                            <w:div w:id="255599665">
                              <w:marLeft w:val="0"/>
                              <w:marRight w:val="0"/>
                              <w:marTop w:val="0"/>
                              <w:marBottom w:val="0"/>
                              <w:divBdr>
                                <w:top w:val="none" w:sz="0" w:space="0" w:color="auto"/>
                                <w:left w:val="none" w:sz="0" w:space="0" w:color="auto"/>
                                <w:bottom w:val="none" w:sz="0" w:space="0" w:color="auto"/>
                                <w:right w:val="none" w:sz="0" w:space="0" w:color="auto"/>
                              </w:divBdr>
                              <w:divsChild>
                                <w:div w:id="173041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2039664">
      <w:bodyDiv w:val="1"/>
      <w:marLeft w:val="0"/>
      <w:marRight w:val="0"/>
      <w:marTop w:val="0"/>
      <w:marBottom w:val="0"/>
      <w:divBdr>
        <w:top w:val="none" w:sz="0" w:space="0" w:color="auto"/>
        <w:left w:val="none" w:sz="0" w:space="0" w:color="auto"/>
        <w:bottom w:val="none" w:sz="0" w:space="0" w:color="auto"/>
        <w:right w:val="none" w:sz="0" w:space="0" w:color="auto"/>
      </w:divBdr>
    </w:div>
    <w:div w:id="604384207">
      <w:bodyDiv w:val="1"/>
      <w:marLeft w:val="0"/>
      <w:marRight w:val="0"/>
      <w:marTop w:val="0"/>
      <w:marBottom w:val="0"/>
      <w:divBdr>
        <w:top w:val="none" w:sz="0" w:space="0" w:color="auto"/>
        <w:left w:val="none" w:sz="0" w:space="0" w:color="auto"/>
        <w:bottom w:val="none" w:sz="0" w:space="0" w:color="auto"/>
        <w:right w:val="none" w:sz="0" w:space="0" w:color="auto"/>
      </w:divBdr>
    </w:div>
    <w:div w:id="621352603">
      <w:bodyDiv w:val="1"/>
      <w:marLeft w:val="0"/>
      <w:marRight w:val="0"/>
      <w:marTop w:val="0"/>
      <w:marBottom w:val="0"/>
      <w:divBdr>
        <w:top w:val="none" w:sz="0" w:space="0" w:color="auto"/>
        <w:left w:val="none" w:sz="0" w:space="0" w:color="auto"/>
        <w:bottom w:val="none" w:sz="0" w:space="0" w:color="auto"/>
        <w:right w:val="none" w:sz="0" w:space="0" w:color="auto"/>
      </w:divBdr>
    </w:div>
    <w:div w:id="647979395">
      <w:bodyDiv w:val="1"/>
      <w:marLeft w:val="0"/>
      <w:marRight w:val="0"/>
      <w:marTop w:val="0"/>
      <w:marBottom w:val="0"/>
      <w:divBdr>
        <w:top w:val="none" w:sz="0" w:space="0" w:color="auto"/>
        <w:left w:val="none" w:sz="0" w:space="0" w:color="auto"/>
        <w:bottom w:val="none" w:sz="0" w:space="0" w:color="auto"/>
        <w:right w:val="none" w:sz="0" w:space="0" w:color="auto"/>
      </w:divBdr>
    </w:div>
    <w:div w:id="664744704">
      <w:bodyDiv w:val="1"/>
      <w:marLeft w:val="0"/>
      <w:marRight w:val="0"/>
      <w:marTop w:val="0"/>
      <w:marBottom w:val="0"/>
      <w:divBdr>
        <w:top w:val="none" w:sz="0" w:space="0" w:color="auto"/>
        <w:left w:val="none" w:sz="0" w:space="0" w:color="auto"/>
        <w:bottom w:val="none" w:sz="0" w:space="0" w:color="auto"/>
        <w:right w:val="none" w:sz="0" w:space="0" w:color="auto"/>
      </w:divBdr>
      <w:divsChild>
        <w:div w:id="1775635728">
          <w:marLeft w:val="0"/>
          <w:marRight w:val="0"/>
          <w:marTop w:val="0"/>
          <w:marBottom w:val="0"/>
          <w:divBdr>
            <w:top w:val="none" w:sz="0" w:space="0" w:color="auto"/>
            <w:left w:val="none" w:sz="0" w:space="0" w:color="auto"/>
            <w:bottom w:val="none" w:sz="0" w:space="0" w:color="auto"/>
            <w:right w:val="none" w:sz="0" w:space="0" w:color="auto"/>
          </w:divBdr>
          <w:divsChild>
            <w:div w:id="1664704628">
              <w:marLeft w:val="0"/>
              <w:marRight w:val="0"/>
              <w:marTop w:val="0"/>
              <w:marBottom w:val="0"/>
              <w:divBdr>
                <w:top w:val="none" w:sz="0" w:space="0" w:color="auto"/>
                <w:left w:val="none" w:sz="0" w:space="0" w:color="auto"/>
                <w:bottom w:val="none" w:sz="0" w:space="0" w:color="auto"/>
                <w:right w:val="none" w:sz="0" w:space="0" w:color="auto"/>
              </w:divBdr>
              <w:divsChild>
                <w:div w:id="362294735">
                  <w:marLeft w:val="0"/>
                  <w:marRight w:val="0"/>
                  <w:marTop w:val="0"/>
                  <w:marBottom w:val="0"/>
                  <w:divBdr>
                    <w:top w:val="none" w:sz="0" w:space="0" w:color="auto"/>
                    <w:left w:val="none" w:sz="0" w:space="0" w:color="auto"/>
                    <w:bottom w:val="none" w:sz="0" w:space="0" w:color="auto"/>
                    <w:right w:val="none" w:sz="0" w:space="0" w:color="auto"/>
                  </w:divBdr>
                  <w:divsChild>
                    <w:div w:id="1229075567">
                      <w:marLeft w:val="0"/>
                      <w:marRight w:val="0"/>
                      <w:marTop w:val="0"/>
                      <w:marBottom w:val="0"/>
                      <w:divBdr>
                        <w:top w:val="none" w:sz="0" w:space="0" w:color="auto"/>
                        <w:left w:val="none" w:sz="0" w:space="0" w:color="auto"/>
                        <w:bottom w:val="none" w:sz="0" w:space="0" w:color="auto"/>
                        <w:right w:val="none" w:sz="0" w:space="0" w:color="auto"/>
                      </w:divBdr>
                      <w:divsChild>
                        <w:div w:id="1041176803">
                          <w:marLeft w:val="0"/>
                          <w:marRight w:val="0"/>
                          <w:marTop w:val="0"/>
                          <w:marBottom w:val="0"/>
                          <w:divBdr>
                            <w:top w:val="none" w:sz="0" w:space="0" w:color="auto"/>
                            <w:left w:val="none" w:sz="0" w:space="0" w:color="auto"/>
                            <w:bottom w:val="none" w:sz="0" w:space="0" w:color="auto"/>
                            <w:right w:val="none" w:sz="0" w:space="0" w:color="auto"/>
                          </w:divBdr>
                          <w:divsChild>
                            <w:div w:id="1362242121">
                              <w:marLeft w:val="0"/>
                              <w:marRight w:val="0"/>
                              <w:marTop w:val="0"/>
                              <w:marBottom w:val="0"/>
                              <w:divBdr>
                                <w:top w:val="single" w:sz="6" w:space="0" w:color="828282"/>
                                <w:left w:val="single" w:sz="6" w:space="0" w:color="828282"/>
                                <w:bottom w:val="single" w:sz="6" w:space="0" w:color="828282"/>
                                <w:right w:val="single" w:sz="6" w:space="0" w:color="828282"/>
                              </w:divBdr>
                              <w:divsChild>
                                <w:div w:id="1571771133">
                                  <w:marLeft w:val="0"/>
                                  <w:marRight w:val="0"/>
                                  <w:marTop w:val="0"/>
                                  <w:marBottom w:val="0"/>
                                  <w:divBdr>
                                    <w:top w:val="none" w:sz="0" w:space="0" w:color="auto"/>
                                    <w:left w:val="none" w:sz="0" w:space="0" w:color="auto"/>
                                    <w:bottom w:val="none" w:sz="0" w:space="0" w:color="auto"/>
                                    <w:right w:val="none" w:sz="0" w:space="0" w:color="auto"/>
                                  </w:divBdr>
                                  <w:divsChild>
                                    <w:div w:id="284046365">
                                      <w:marLeft w:val="0"/>
                                      <w:marRight w:val="0"/>
                                      <w:marTop w:val="0"/>
                                      <w:marBottom w:val="0"/>
                                      <w:divBdr>
                                        <w:top w:val="none" w:sz="0" w:space="0" w:color="auto"/>
                                        <w:left w:val="none" w:sz="0" w:space="0" w:color="auto"/>
                                        <w:bottom w:val="none" w:sz="0" w:space="0" w:color="auto"/>
                                        <w:right w:val="none" w:sz="0" w:space="0" w:color="auto"/>
                                      </w:divBdr>
                                      <w:divsChild>
                                        <w:div w:id="1549412982">
                                          <w:marLeft w:val="0"/>
                                          <w:marRight w:val="0"/>
                                          <w:marTop w:val="0"/>
                                          <w:marBottom w:val="0"/>
                                          <w:divBdr>
                                            <w:top w:val="none" w:sz="0" w:space="0" w:color="auto"/>
                                            <w:left w:val="none" w:sz="0" w:space="0" w:color="auto"/>
                                            <w:bottom w:val="none" w:sz="0" w:space="0" w:color="auto"/>
                                            <w:right w:val="none" w:sz="0" w:space="0" w:color="auto"/>
                                          </w:divBdr>
                                          <w:divsChild>
                                            <w:div w:id="442962124">
                                              <w:marLeft w:val="0"/>
                                              <w:marRight w:val="0"/>
                                              <w:marTop w:val="0"/>
                                              <w:marBottom w:val="0"/>
                                              <w:divBdr>
                                                <w:top w:val="none" w:sz="0" w:space="0" w:color="auto"/>
                                                <w:left w:val="none" w:sz="0" w:space="0" w:color="auto"/>
                                                <w:bottom w:val="none" w:sz="0" w:space="0" w:color="auto"/>
                                                <w:right w:val="none" w:sz="0" w:space="0" w:color="auto"/>
                                              </w:divBdr>
                                              <w:divsChild>
                                                <w:div w:id="2013297026">
                                                  <w:marLeft w:val="0"/>
                                                  <w:marRight w:val="0"/>
                                                  <w:marTop w:val="0"/>
                                                  <w:marBottom w:val="0"/>
                                                  <w:divBdr>
                                                    <w:top w:val="none" w:sz="0" w:space="0" w:color="auto"/>
                                                    <w:left w:val="none" w:sz="0" w:space="0" w:color="auto"/>
                                                    <w:bottom w:val="none" w:sz="0" w:space="0" w:color="auto"/>
                                                    <w:right w:val="none" w:sz="0" w:space="0" w:color="auto"/>
                                                  </w:divBdr>
                                                  <w:divsChild>
                                                    <w:div w:id="101804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2927547">
      <w:bodyDiv w:val="1"/>
      <w:marLeft w:val="0"/>
      <w:marRight w:val="0"/>
      <w:marTop w:val="0"/>
      <w:marBottom w:val="0"/>
      <w:divBdr>
        <w:top w:val="none" w:sz="0" w:space="0" w:color="auto"/>
        <w:left w:val="none" w:sz="0" w:space="0" w:color="auto"/>
        <w:bottom w:val="none" w:sz="0" w:space="0" w:color="auto"/>
        <w:right w:val="none" w:sz="0" w:space="0" w:color="auto"/>
      </w:divBdr>
    </w:div>
    <w:div w:id="748355930">
      <w:bodyDiv w:val="1"/>
      <w:marLeft w:val="0"/>
      <w:marRight w:val="0"/>
      <w:marTop w:val="0"/>
      <w:marBottom w:val="0"/>
      <w:divBdr>
        <w:top w:val="none" w:sz="0" w:space="0" w:color="auto"/>
        <w:left w:val="none" w:sz="0" w:space="0" w:color="auto"/>
        <w:bottom w:val="none" w:sz="0" w:space="0" w:color="auto"/>
        <w:right w:val="none" w:sz="0" w:space="0" w:color="auto"/>
      </w:divBdr>
    </w:div>
    <w:div w:id="758065326">
      <w:bodyDiv w:val="1"/>
      <w:marLeft w:val="0"/>
      <w:marRight w:val="0"/>
      <w:marTop w:val="0"/>
      <w:marBottom w:val="0"/>
      <w:divBdr>
        <w:top w:val="none" w:sz="0" w:space="0" w:color="auto"/>
        <w:left w:val="none" w:sz="0" w:space="0" w:color="auto"/>
        <w:bottom w:val="none" w:sz="0" w:space="0" w:color="auto"/>
        <w:right w:val="none" w:sz="0" w:space="0" w:color="auto"/>
      </w:divBdr>
    </w:div>
    <w:div w:id="777409553">
      <w:bodyDiv w:val="1"/>
      <w:marLeft w:val="0"/>
      <w:marRight w:val="0"/>
      <w:marTop w:val="0"/>
      <w:marBottom w:val="0"/>
      <w:divBdr>
        <w:top w:val="none" w:sz="0" w:space="0" w:color="auto"/>
        <w:left w:val="none" w:sz="0" w:space="0" w:color="auto"/>
        <w:bottom w:val="none" w:sz="0" w:space="0" w:color="auto"/>
        <w:right w:val="none" w:sz="0" w:space="0" w:color="auto"/>
      </w:divBdr>
    </w:div>
    <w:div w:id="831725007">
      <w:bodyDiv w:val="1"/>
      <w:marLeft w:val="0"/>
      <w:marRight w:val="0"/>
      <w:marTop w:val="0"/>
      <w:marBottom w:val="0"/>
      <w:divBdr>
        <w:top w:val="none" w:sz="0" w:space="0" w:color="auto"/>
        <w:left w:val="none" w:sz="0" w:space="0" w:color="auto"/>
        <w:bottom w:val="none" w:sz="0" w:space="0" w:color="auto"/>
        <w:right w:val="none" w:sz="0" w:space="0" w:color="auto"/>
      </w:divBdr>
    </w:div>
    <w:div w:id="965165742">
      <w:bodyDiv w:val="1"/>
      <w:marLeft w:val="0"/>
      <w:marRight w:val="0"/>
      <w:marTop w:val="0"/>
      <w:marBottom w:val="0"/>
      <w:divBdr>
        <w:top w:val="none" w:sz="0" w:space="0" w:color="auto"/>
        <w:left w:val="none" w:sz="0" w:space="0" w:color="auto"/>
        <w:bottom w:val="none" w:sz="0" w:space="0" w:color="auto"/>
        <w:right w:val="none" w:sz="0" w:space="0" w:color="auto"/>
      </w:divBdr>
    </w:div>
    <w:div w:id="981886728">
      <w:bodyDiv w:val="1"/>
      <w:marLeft w:val="0"/>
      <w:marRight w:val="0"/>
      <w:marTop w:val="0"/>
      <w:marBottom w:val="0"/>
      <w:divBdr>
        <w:top w:val="none" w:sz="0" w:space="0" w:color="auto"/>
        <w:left w:val="none" w:sz="0" w:space="0" w:color="auto"/>
        <w:bottom w:val="none" w:sz="0" w:space="0" w:color="auto"/>
        <w:right w:val="none" w:sz="0" w:space="0" w:color="auto"/>
      </w:divBdr>
    </w:div>
    <w:div w:id="1042631751">
      <w:bodyDiv w:val="1"/>
      <w:marLeft w:val="0"/>
      <w:marRight w:val="0"/>
      <w:marTop w:val="0"/>
      <w:marBottom w:val="0"/>
      <w:divBdr>
        <w:top w:val="none" w:sz="0" w:space="0" w:color="auto"/>
        <w:left w:val="none" w:sz="0" w:space="0" w:color="auto"/>
        <w:bottom w:val="none" w:sz="0" w:space="0" w:color="auto"/>
        <w:right w:val="none" w:sz="0" w:space="0" w:color="auto"/>
      </w:divBdr>
    </w:div>
    <w:div w:id="1051881219">
      <w:bodyDiv w:val="1"/>
      <w:marLeft w:val="0"/>
      <w:marRight w:val="0"/>
      <w:marTop w:val="0"/>
      <w:marBottom w:val="0"/>
      <w:divBdr>
        <w:top w:val="none" w:sz="0" w:space="0" w:color="auto"/>
        <w:left w:val="none" w:sz="0" w:space="0" w:color="auto"/>
        <w:bottom w:val="none" w:sz="0" w:space="0" w:color="auto"/>
        <w:right w:val="none" w:sz="0" w:space="0" w:color="auto"/>
      </w:divBdr>
    </w:div>
    <w:div w:id="1081557954">
      <w:bodyDiv w:val="1"/>
      <w:marLeft w:val="0"/>
      <w:marRight w:val="0"/>
      <w:marTop w:val="0"/>
      <w:marBottom w:val="0"/>
      <w:divBdr>
        <w:top w:val="none" w:sz="0" w:space="0" w:color="auto"/>
        <w:left w:val="none" w:sz="0" w:space="0" w:color="auto"/>
        <w:bottom w:val="none" w:sz="0" w:space="0" w:color="auto"/>
        <w:right w:val="none" w:sz="0" w:space="0" w:color="auto"/>
      </w:divBdr>
    </w:div>
    <w:div w:id="1091584720">
      <w:bodyDiv w:val="1"/>
      <w:marLeft w:val="0"/>
      <w:marRight w:val="0"/>
      <w:marTop w:val="0"/>
      <w:marBottom w:val="0"/>
      <w:divBdr>
        <w:top w:val="none" w:sz="0" w:space="0" w:color="auto"/>
        <w:left w:val="none" w:sz="0" w:space="0" w:color="auto"/>
        <w:bottom w:val="none" w:sz="0" w:space="0" w:color="auto"/>
        <w:right w:val="none" w:sz="0" w:space="0" w:color="auto"/>
      </w:divBdr>
    </w:div>
    <w:div w:id="1160774063">
      <w:bodyDiv w:val="1"/>
      <w:marLeft w:val="0"/>
      <w:marRight w:val="0"/>
      <w:marTop w:val="0"/>
      <w:marBottom w:val="0"/>
      <w:divBdr>
        <w:top w:val="none" w:sz="0" w:space="0" w:color="auto"/>
        <w:left w:val="none" w:sz="0" w:space="0" w:color="auto"/>
        <w:bottom w:val="none" w:sz="0" w:space="0" w:color="auto"/>
        <w:right w:val="none" w:sz="0" w:space="0" w:color="auto"/>
      </w:divBdr>
    </w:div>
    <w:div w:id="1185248602">
      <w:bodyDiv w:val="1"/>
      <w:marLeft w:val="0"/>
      <w:marRight w:val="0"/>
      <w:marTop w:val="0"/>
      <w:marBottom w:val="0"/>
      <w:divBdr>
        <w:top w:val="none" w:sz="0" w:space="0" w:color="auto"/>
        <w:left w:val="none" w:sz="0" w:space="0" w:color="auto"/>
        <w:bottom w:val="none" w:sz="0" w:space="0" w:color="auto"/>
        <w:right w:val="none" w:sz="0" w:space="0" w:color="auto"/>
      </w:divBdr>
    </w:div>
    <w:div w:id="1241404566">
      <w:bodyDiv w:val="1"/>
      <w:marLeft w:val="0"/>
      <w:marRight w:val="0"/>
      <w:marTop w:val="0"/>
      <w:marBottom w:val="0"/>
      <w:divBdr>
        <w:top w:val="none" w:sz="0" w:space="0" w:color="auto"/>
        <w:left w:val="none" w:sz="0" w:space="0" w:color="auto"/>
        <w:bottom w:val="none" w:sz="0" w:space="0" w:color="auto"/>
        <w:right w:val="none" w:sz="0" w:space="0" w:color="auto"/>
      </w:divBdr>
    </w:div>
    <w:div w:id="1243684356">
      <w:bodyDiv w:val="1"/>
      <w:marLeft w:val="0"/>
      <w:marRight w:val="0"/>
      <w:marTop w:val="0"/>
      <w:marBottom w:val="0"/>
      <w:divBdr>
        <w:top w:val="none" w:sz="0" w:space="0" w:color="auto"/>
        <w:left w:val="none" w:sz="0" w:space="0" w:color="auto"/>
        <w:bottom w:val="none" w:sz="0" w:space="0" w:color="auto"/>
        <w:right w:val="none" w:sz="0" w:space="0" w:color="auto"/>
      </w:divBdr>
    </w:div>
    <w:div w:id="1258709119">
      <w:bodyDiv w:val="1"/>
      <w:marLeft w:val="0"/>
      <w:marRight w:val="0"/>
      <w:marTop w:val="0"/>
      <w:marBottom w:val="0"/>
      <w:divBdr>
        <w:top w:val="none" w:sz="0" w:space="0" w:color="auto"/>
        <w:left w:val="none" w:sz="0" w:space="0" w:color="auto"/>
        <w:bottom w:val="none" w:sz="0" w:space="0" w:color="auto"/>
        <w:right w:val="none" w:sz="0" w:space="0" w:color="auto"/>
      </w:divBdr>
    </w:div>
    <w:div w:id="1386759449">
      <w:bodyDiv w:val="1"/>
      <w:marLeft w:val="0"/>
      <w:marRight w:val="0"/>
      <w:marTop w:val="0"/>
      <w:marBottom w:val="0"/>
      <w:divBdr>
        <w:top w:val="none" w:sz="0" w:space="0" w:color="auto"/>
        <w:left w:val="none" w:sz="0" w:space="0" w:color="auto"/>
        <w:bottom w:val="none" w:sz="0" w:space="0" w:color="auto"/>
        <w:right w:val="none" w:sz="0" w:space="0" w:color="auto"/>
      </w:divBdr>
    </w:div>
    <w:div w:id="1440563187">
      <w:bodyDiv w:val="1"/>
      <w:marLeft w:val="0"/>
      <w:marRight w:val="0"/>
      <w:marTop w:val="0"/>
      <w:marBottom w:val="0"/>
      <w:divBdr>
        <w:top w:val="none" w:sz="0" w:space="0" w:color="auto"/>
        <w:left w:val="none" w:sz="0" w:space="0" w:color="auto"/>
        <w:bottom w:val="none" w:sz="0" w:space="0" w:color="auto"/>
        <w:right w:val="none" w:sz="0" w:space="0" w:color="auto"/>
      </w:divBdr>
    </w:div>
    <w:div w:id="1661231558">
      <w:bodyDiv w:val="1"/>
      <w:marLeft w:val="0"/>
      <w:marRight w:val="0"/>
      <w:marTop w:val="0"/>
      <w:marBottom w:val="0"/>
      <w:divBdr>
        <w:top w:val="none" w:sz="0" w:space="0" w:color="auto"/>
        <w:left w:val="none" w:sz="0" w:space="0" w:color="auto"/>
        <w:bottom w:val="none" w:sz="0" w:space="0" w:color="auto"/>
        <w:right w:val="none" w:sz="0" w:space="0" w:color="auto"/>
      </w:divBdr>
    </w:div>
    <w:div w:id="1704860540">
      <w:bodyDiv w:val="1"/>
      <w:marLeft w:val="0"/>
      <w:marRight w:val="0"/>
      <w:marTop w:val="0"/>
      <w:marBottom w:val="0"/>
      <w:divBdr>
        <w:top w:val="none" w:sz="0" w:space="0" w:color="auto"/>
        <w:left w:val="none" w:sz="0" w:space="0" w:color="auto"/>
        <w:bottom w:val="none" w:sz="0" w:space="0" w:color="auto"/>
        <w:right w:val="none" w:sz="0" w:space="0" w:color="auto"/>
      </w:divBdr>
    </w:div>
    <w:div w:id="1759906661">
      <w:bodyDiv w:val="1"/>
      <w:marLeft w:val="0"/>
      <w:marRight w:val="0"/>
      <w:marTop w:val="0"/>
      <w:marBottom w:val="0"/>
      <w:divBdr>
        <w:top w:val="none" w:sz="0" w:space="0" w:color="auto"/>
        <w:left w:val="none" w:sz="0" w:space="0" w:color="auto"/>
        <w:bottom w:val="none" w:sz="0" w:space="0" w:color="auto"/>
        <w:right w:val="none" w:sz="0" w:space="0" w:color="auto"/>
      </w:divBdr>
      <w:divsChild>
        <w:div w:id="122432064">
          <w:marLeft w:val="0"/>
          <w:marRight w:val="0"/>
          <w:marTop w:val="0"/>
          <w:marBottom w:val="0"/>
          <w:divBdr>
            <w:top w:val="none" w:sz="0" w:space="0" w:color="auto"/>
            <w:left w:val="none" w:sz="0" w:space="0" w:color="auto"/>
            <w:bottom w:val="none" w:sz="0" w:space="0" w:color="auto"/>
            <w:right w:val="none" w:sz="0" w:space="0" w:color="auto"/>
          </w:divBdr>
          <w:divsChild>
            <w:div w:id="1919361817">
              <w:marLeft w:val="0"/>
              <w:marRight w:val="0"/>
              <w:marTop w:val="0"/>
              <w:marBottom w:val="0"/>
              <w:divBdr>
                <w:top w:val="none" w:sz="0" w:space="0" w:color="auto"/>
                <w:left w:val="none" w:sz="0" w:space="0" w:color="auto"/>
                <w:bottom w:val="none" w:sz="0" w:space="0" w:color="auto"/>
                <w:right w:val="none" w:sz="0" w:space="0" w:color="auto"/>
              </w:divBdr>
              <w:divsChild>
                <w:div w:id="1286766040">
                  <w:marLeft w:val="0"/>
                  <w:marRight w:val="0"/>
                  <w:marTop w:val="0"/>
                  <w:marBottom w:val="0"/>
                  <w:divBdr>
                    <w:top w:val="none" w:sz="0" w:space="0" w:color="auto"/>
                    <w:left w:val="none" w:sz="0" w:space="0" w:color="auto"/>
                    <w:bottom w:val="none" w:sz="0" w:space="0" w:color="auto"/>
                    <w:right w:val="none" w:sz="0" w:space="0" w:color="auto"/>
                  </w:divBdr>
                  <w:divsChild>
                    <w:div w:id="9070945">
                      <w:marLeft w:val="0"/>
                      <w:marRight w:val="0"/>
                      <w:marTop w:val="0"/>
                      <w:marBottom w:val="0"/>
                      <w:divBdr>
                        <w:top w:val="none" w:sz="0" w:space="0" w:color="auto"/>
                        <w:left w:val="none" w:sz="0" w:space="0" w:color="auto"/>
                        <w:bottom w:val="none" w:sz="0" w:space="0" w:color="auto"/>
                        <w:right w:val="none" w:sz="0" w:space="0" w:color="auto"/>
                      </w:divBdr>
                      <w:divsChild>
                        <w:div w:id="204605611">
                          <w:marLeft w:val="0"/>
                          <w:marRight w:val="0"/>
                          <w:marTop w:val="0"/>
                          <w:marBottom w:val="0"/>
                          <w:divBdr>
                            <w:top w:val="single" w:sz="6" w:space="0" w:color="828282"/>
                            <w:left w:val="single" w:sz="6" w:space="0" w:color="828282"/>
                            <w:bottom w:val="single" w:sz="6" w:space="0" w:color="828282"/>
                            <w:right w:val="single" w:sz="6" w:space="0" w:color="828282"/>
                          </w:divBdr>
                          <w:divsChild>
                            <w:div w:id="1462453557">
                              <w:marLeft w:val="0"/>
                              <w:marRight w:val="0"/>
                              <w:marTop w:val="0"/>
                              <w:marBottom w:val="0"/>
                              <w:divBdr>
                                <w:top w:val="none" w:sz="0" w:space="0" w:color="auto"/>
                                <w:left w:val="none" w:sz="0" w:space="0" w:color="auto"/>
                                <w:bottom w:val="none" w:sz="0" w:space="0" w:color="auto"/>
                                <w:right w:val="none" w:sz="0" w:space="0" w:color="auto"/>
                              </w:divBdr>
                              <w:divsChild>
                                <w:div w:id="1628782665">
                                  <w:marLeft w:val="0"/>
                                  <w:marRight w:val="0"/>
                                  <w:marTop w:val="0"/>
                                  <w:marBottom w:val="0"/>
                                  <w:divBdr>
                                    <w:top w:val="none" w:sz="0" w:space="0" w:color="auto"/>
                                    <w:left w:val="none" w:sz="0" w:space="0" w:color="auto"/>
                                    <w:bottom w:val="none" w:sz="0" w:space="0" w:color="auto"/>
                                    <w:right w:val="none" w:sz="0" w:space="0" w:color="auto"/>
                                  </w:divBdr>
                                  <w:divsChild>
                                    <w:div w:id="1072235557">
                                      <w:marLeft w:val="0"/>
                                      <w:marRight w:val="0"/>
                                      <w:marTop w:val="0"/>
                                      <w:marBottom w:val="0"/>
                                      <w:divBdr>
                                        <w:top w:val="none" w:sz="0" w:space="0" w:color="auto"/>
                                        <w:left w:val="none" w:sz="0" w:space="0" w:color="auto"/>
                                        <w:bottom w:val="none" w:sz="0" w:space="0" w:color="auto"/>
                                        <w:right w:val="none" w:sz="0" w:space="0" w:color="auto"/>
                                      </w:divBdr>
                                      <w:divsChild>
                                        <w:div w:id="514534345">
                                          <w:marLeft w:val="0"/>
                                          <w:marRight w:val="0"/>
                                          <w:marTop w:val="0"/>
                                          <w:marBottom w:val="0"/>
                                          <w:divBdr>
                                            <w:top w:val="none" w:sz="0" w:space="0" w:color="auto"/>
                                            <w:left w:val="none" w:sz="0" w:space="0" w:color="auto"/>
                                            <w:bottom w:val="none" w:sz="0" w:space="0" w:color="auto"/>
                                            <w:right w:val="none" w:sz="0" w:space="0" w:color="auto"/>
                                          </w:divBdr>
                                          <w:divsChild>
                                            <w:div w:id="1778333123">
                                              <w:marLeft w:val="0"/>
                                              <w:marRight w:val="0"/>
                                              <w:marTop w:val="0"/>
                                              <w:marBottom w:val="0"/>
                                              <w:divBdr>
                                                <w:top w:val="none" w:sz="0" w:space="0" w:color="auto"/>
                                                <w:left w:val="none" w:sz="0" w:space="0" w:color="auto"/>
                                                <w:bottom w:val="none" w:sz="0" w:space="0" w:color="auto"/>
                                                <w:right w:val="none" w:sz="0" w:space="0" w:color="auto"/>
                                              </w:divBdr>
                                              <w:divsChild>
                                                <w:div w:id="4800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1291707">
      <w:bodyDiv w:val="1"/>
      <w:marLeft w:val="0"/>
      <w:marRight w:val="0"/>
      <w:marTop w:val="0"/>
      <w:marBottom w:val="0"/>
      <w:divBdr>
        <w:top w:val="none" w:sz="0" w:space="0" w:color="auto"/>
        <w:left w:val="none" w:sz="0" w:space="0" w:color="auto"/>
        <w:bottom w:val="none" w:sz="0" w:space="0" w:color="auto"/>
        <w:right w:val="none" w:sz="0" w:space="0" w:color="auto"/>
      </w:divBdr>
    </w:div>
    <w:div w:id="1766802922">
      <w:bodyDiv w:val="1"/>
      <w:marLeft w:val="0"/>
      <w:marRight w:val="0"/>
      <w:marTop w:val="0"/>
      <w:marBottom w:val="0"/>
      <w:divBdr>
        <w:top w:val="none" w:sz="0" w:space="0" w:color="auto"/>
        <w:left w:val="none" w:sz="0" w:space="0" w:color="auto"/>
        <w:bottom w:val="none" w:sz="0" w:space="0" w:color="auto"/>
        <w:right w:val="none" w:sz="0" w:space="0" w:color="auto"/>
      </w:divBdr>
    </w:div>
    <w:div w:id="1768305184">
      <w:bodyDiv w:val="1"/>
      <w:marLeft w:val="0"/>
      <w:marRight w:val="0"/>
      <w:marTop w:val="0"/>
      <w:marBottom w:val="0"/>
      <w:divBdr>
        <w:top w:val="none" w:sz="0" w:space="0" w:color="auto"/>
        <w:left w:val="none" w:sz="0" w:space="0" w:color="auto"/>
        <w:bottom w:val="none" w:sz="0" w:space="0" w:color="auto"/>
        <w:right w:val="none" w:sz="0" w:space="0" w:color="auto"/>
      </w:divBdr>
      <w:divsChild>
        <w:div w:id="944920555">
          <w:marLeft w:val="0"/>
          <w:marRight w:val="0"/>
          <w:marTop w:val="0"/>
          <w:marBottom w:val="0"/>
          <w:divBdr>
            <w:top w:val="none" w:sz="0" w:space="0" w:color="auto"/>
            <w:left w:val="none" w:sz="0" w:space="0" w:color="auto"/>
            <w:bottom w:val="none" w:sz="0" w:space="0" w:color="auto"/>
            <w:right w:val="none" w:sz="0" w:space="0" w:color="auto"/>
          </w:divBdr>
          <w:divsChild>
            <w:div w:id="609510782">
              <w:marLeft w:val="0"/>
              <w:marRight w:val="0"/>
              <w:marTop w:val="0"/>
              <w:marBottom w:val="0"/>
              <w:divBdr>
                <w:top w:val="none" w:sz="0" w:space="0" w:color="auto"/>
                <w:left w:val="none" w:sz="0" w:space="0" w:color="auto"/>
                <w:bottom w:val="none" w:sz="0" w:space="0" w:color="auto"/>
                <w:right w:val="none" w:sz="0" w:space="0" w:color="auto"/>
              </w:divBdr>
              <w:divsChild>
                <w:div w:id="1963144613">
                  <w:marLeft w:val="0"/>
                  <w:marRight w:val="0"/>
                  <w:marTop w:val="0"/>
                  <w:marBottom w:val="0"/>
                  <w:divBdr>
                    <w:top w:val="none" w:sz="0" w:space="0" w:color="auto"/>
                    <w:left w:val="none" w:sz="0" w:space="0" w:color="auto"/>
                    <w:bottom w:val="none" w:sz="0" w:space="0" w:color="auto"/>
                    <w:right w:val="none" w:sz="0" w:space="0" w:color="auto"/>
                  </w:divBdr>
                  <w:divsChild>
                    <w:div w:id="1589538573">
                      <w:marLeft w:val="0"/>
                      <w:marRight w:val="0"/>
                      <w:marTop w:val="0"/>
                      <w:marBottom w:val="0"/>
                      <w:divBdr>
                        <w:top w:val="none" w:sz="0" w:space="0" w:color="auto"/>
                        <w:left w:val="none" w:sz="0" w:space="0" w:color="auto"/>
                        <w:bottom w:val="none" w:sz="0" w:space="0" w:color="auto"/>
                        <w:right w:val="none" w:sz="0" w:space="0" w:color="auto"/>
                      </w:divBdr>
                      <w:divsChild>
                        <w:div w:id="90126813">
                          <w:marLeft w:val="0"/>
                          <w:marRight w:val="0"/>
                          <w:marTop w:val="0"/>
                          <w:marBottom w:val="0"/>
                          <w:divBdr>
                            <w:top w:val="single" w:sz="6" w:space="0" w:color="828282"/>
                            <w:left w:val="single" w:sz="6" w:space="0" w:color="828282"/>
                            <w:bottom w:val="single" w:sz="6" w:space="0" w:color="828282"/>
                            <w:right w:val="single" w:sz="6" w:space="0" w:color="828282"/>
                          </w:divBdr>
                          <w:divsChild>
                            <w:div w:id="892619918">
                              <w:marLeft w:val="0"/>
                              <w:marRight w:val="0"/>
                              <w:marTop w:val="0"/>
                              <w:marBottom w:val="0"/>
                              <w:divBdr>
                                <w:top w:val="none" w:sz="0" w:space="0" w:color="auto"/>
                                <w:left w:val="none" w:sz="0" w:space="0" w:color="auto"/>
                                <w:bottom w:val="none" w:sz="0" w:space="0" w:color="auto"/>
                                <w:right w:val="none" w:sz="0" w:space="0" w:color="auto"/>
                              </w:divBdr>
                              <w:divsChild>
                                <w:div w:id="957369060">
                                  <w:marLeft w:val="0"/>
                                  <w:marRight w:val="0"/>
                                  <w:marTop w:val="0"/>
                                  <w:marBottom w:val="0"/>
                                  <w:divBdr>
                                    <w:top w:val="none" w:sz="0" w:space="0" w:color="auto"/>
                                    <w:left w:val="none" w:sz="0" w:space="0" w:color="auto"/>
                                    <w:bottom w:val="none" w:sz="0" w:space="0" w:color="auto"/>
                                    <w:right w:val="none" w:sz="0" w:space="0" w:color="auto"/>
                                  </w:divBdr>
                                  <w:divsChild>
                                    <w:div w:id="440229342">
                                      <w:marLeft w:val="0"/>
                                      <w:marRight w:val="0"/>
                                      <w:marTop w:val="0"/>
                                      <w:marBottom w:val="0"/>
                                      <w:divBdr>
                                        <w:top w:val="none" w:sz="0" w:space="0" w:color="auto"/>
                                        <w:left w:val="none" w:sz="0" w:space="0" w:color="auto"/>
                                        <w:bottom w:val="none" w:sz="0" w:space="0" w:color="auto"/>
                                        <w:right w:val="none" w:sz="0" w:space="0" w:color="auto"/>
                                      </w:divBdr>
                                      <w:divsChild>
                                        <w:div w:id="1117597750">
                                          <w:marLeft w:val="0"/>
                                          <w:marRight w:val="0"/>
                                          <w:marTop w:val="0"/>
                                          <w:marBottom w:val="0"/>
                                          <w:divBdr>
                                            <w:top w:val="none" w:sz="0" w:space="0" w:color="auto"/>
                                            <w:left w:val="none" w:sz="0" w:space="0" w:color="auto"/>
                                            <w:bottom w:val="none" w:sz="0" w:space="0" w:color="auto"/>
                                            <w:right w:val="none" w:sz="0" w:space="0" w:color="auto"/>
                                          </w:divBdr>
                                          <w:divsChild>
                                            <w:div w:id="1695570698">
                                              <w:marLeft w:val="0"/>
                                              <w:marRight w:val="0"/>
                                              <w:marTop w:val="0"/>
                                              <w:marBottom w:val="0"/>
                                              <w:divBdr>
                                                <w:top w:val="none" w:sz="0" w:space="0" w:color="auto"/>
                                                <w:left w:val="none" w:sz="0" w:space="0" w:color="auto"/>
                                                <w:bottom w:val="none" w:sz="0" w:space="0" w:color="auto"/>
                                                <w:right w:val="none" w:sz="0" w:space="0" w:color="auto"/>
                                              </w:divBdr>
                                              <w:divsChild>
                                                <w:div w:id="60935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9036275">
      <w:marLeft w:val="0"/>
      <w:marRight w:val="0"/>
      <w:marTop w:val="0"/>
      <w:marBottom w:val="0"/>
      <w:divBdr>
        <w:top w:val="none" w:sz="0" w:space="0" w:color="auto"/>
        <w:left w:val="none" w:sz="0" w:space="0" w:color="auto"/>
        <w:bottom w:val="none" w:sz="0" w:space="0" w:color="auto"/>
        <w:right w:val="none" w:sz="0" w:space="0" w:color="auto"/>
      </w:divBdr>
    </w:div>
    <w:div w:id="1839036277">
      <w:marLeft w:val="0"/>
      <w:marRight w:val="0"/>
      <w:marTop w:val="0"/>
      <w:marBottom w:val="0"/>
      <w:divBdr>
        <w:top w:val="none" w:sz="0" w:space="0" w:color="auto"/>
        <w:left w:val="none" w:sz="0" w:space="0" w:color="auto"/>
        <w:bottom w:val="none" w:sz="0" w:space="0" w:color="auto"/>
        <w:right w:val="none" w:sz="0" w:space="0" w:color="auto"/>
      </w:divBdr>
      <w:divsChild>
        <w:div w:id="1839036301">
          <w:marLeft w:val="0"/>
          <w:marRight w:val="0"/>
          <w:marTop w:val="0"/>
          <w:marBottom w:val="0"/>
          <w:divBdr>
            <w:top w:val="none" w:sz="0" w:space="0" w:color="auto"/>
            <w:left w:val="none" w:sz="0" w:space="0" w:color="auto"/>
            <w:bottom w:val="none" w:sz="0" w:space="0" w:color="auto"/>
            <w:right w:val="none" w:sz="0" w:space="0" w:color="auto"/>
          </w:divBdr>
          <w:divsChild>
            <w:div w:id="1839036291">
              <w:marLeft w:val="0"/>
              <w:marRight w:val="0"/>
              <w:marTop w:val="0"/>
              <w:marBottom w:val="0"/>
              <w:divBdr>
                <w:top w:val="none" w:sz="0" w:space="0" w:color="auto"/>
                <w:left w:val="none" w:sz="0" w:space="0" w:color="auto"/>
                <w:bottom w:val="none" w:sz="0" w:space="0" w:color="auto"/>
                <w:right w:val="none" w:sz="0" w:space="0" w:color="auto"/>
              </w:divBdr>
              <w:divsChild>
                <w:div w:id="1839036287">
                  <w:marLeft w:val="0"/>
                  <w:marRight w:val="0"/>
                  <w:marTop w:val="0"/>
                  <w:marBottom w:val="0"/>
                  <w:divBdr>
                    <w:top w:val="none" w:sz="0" w:space="0" w:color="auto"/>
                    <w:left w:val="none" w:sz="0" w:space="0" w:color="auto"/>
                    <w:bottom w:val="none" w:sz="0" w:space="0" w:color="auto"/>
                    <w:right w:val="none" w:sz="0" w:space="0" w:color="auto"/>
                  </w:divBdr>
                  <w:divsChild>
                    <w:div w:id="1839036306">
                      <w:marLeft w:val="0"/>
                      <w:marRight w:val="0"/>
                      <w:marTop w:val="0"/>
                      <w:marBottom w:val="0"/>
                      <w:divBdr>
                        <w:top w:val="none" w:sz="0" w:space="0" w:color="auto"/>
                        <w:left w:val="none" w:sz="0" w:space="0" w:color="auto"/>
                        <w:bottom w:val="none" w:sz="0" w:space="0" w:color="auto"/>
                        <w:right w:val="none" w:sz="0" w:space="0" w:color="auto"/>
                      </w:divBdr>
                      <w:divsChild>
                        <w:div w:id="183903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9036283">
      <w:marLeft w:val="0"/>
      <w:marRight w:val="0"/>
      <w:marTop w:val="0"/>
      <w:marBottom w:val="0"/>
      <w:divBdr>
        <w:top w:val="none" w:sz="0" w:space="0" w:color="auto"/>
        <w:left w:val="none" w:sz="0" w:space="0" w:color="auto"/>
        <w:bottom w:val="none" w:sz="0" w:space="0" w:color="auto"/>
        <w:right w:val="none" w:sz="0" w:space="0" w:color="auto"/>
      </w:divBdr>
      <w:divsChild>
        <w:div w:id="1839036299">
          <w:marLeft w:val="0"/>
          <w:marRight w:val="0"/>
          <w:marTop w:val="0"/>
          <w:marBottom w:val="0"/>
          <w:divBdr>
            <w:top w:val="none" w:sz="0" w:space="0" w:color="auto"/>
            <w:left w:val="none" w:sz="0" w:space="0" w:color="auto"/>
            <w:bottom w:val="none" w:sz="0" w:space="0" w:color="auto"/>
            <w:right w:val="none" w:sz="0" w:space="0" w:color="auto"/>
          </w:divBdr>
          <w:divsChild>
            <w:div w:id="1839036305">
              <w:marLeft w:val="0"/>
              <w:marRight w:val="0"/>
              <w:marTop w:val="0"/>
              <w:marBottom w:val="300"/>
              <w:divBdr>
                <w:top w:val="none" w:sz="0" w:space="0" w:color="auto"/>
                <w:left w:val="none" w:sz="0" w:space="0" w:color="auto"/>
                <w:bottom w:val="none" w:sz="0" w:space="0" w:color="auto"/>
                <w:right w:val="none" w:sz="0" w:space="0" w:color="auto"/>
              </w:divBdr>
              <w:divsChild>
                <w:div w:id="1839036286">
                  <w:marLeft w:val="0"/>
                  <w:marRight w:val="0"/>
                  <w:marTop w:val="0"/>
                  <w:marBottom w:val="0"/>
                  <w:divBdr>
                    <w:top w:val="none" w:sz="0" w:space="0" w:color="auto"/>
                    <w:left w:val="none" w:sz="0" w:space="0" w:color="auto"/>
                    <w:bottom w:val="none" w:sz="0" w:space="0" w:color="auto"/>
                    <w:right w:val="none" w:sz="0" w:space="0" w:color="auto"/>
                  </w:divBdr>
                  <w:divsChild>
                    <w:div w:id="1839036294">
                      <w:marLeft w:val="0"/>
                      <w:marRight w:val="0"/>
                      <w:marTop w:val="0"/>
                      <w:marBottom w:val="0"/>
                      <w:divBdr>
                        <w:top w:val="none" w:sz="0" w:space="0" w:color="auto"/>
                        <w:left w:val="none" w:sz="0" w:space="0" w:color="auto"/>
                        <w:bottom w:val="none" w:sz="0" w:space="0" w:color="auto"/>
                        <w:right w:val="none" w:sz="0" w:space="0" w:color="auto"/>
                      </w:divBdr>
                      <w:divsChild>
                        <w:div w:id="1839036295">
                          <w:marLeft w:val="0"/>
                          <w:marRight w:val="0"/>
                          <w:marTop w:val="0"/>
                          <w:marBottom w:val="0"/>
                          <w:divBdr>
                            <w:top w:val="none" w:sz="0" w:space="0" w:color="auto"/>
                            <w:left w:val="none" w:sz="0" w:space="0" w:color="auto"/>
                            <w:bottom w:val="none" w:sz="0" w:space="0" w:color="auto"/>
                            <w:right w:val="none" w:sz="0" w:space="0" w:color="auto"/>
                          </w:divBdr>
                          <w:divsChild>
                            <w:div w:id="183903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036285">
      <w:marLeft w:val="0"/>
      <w:marRight w:val="0"/>
      <w:marTop w:val="0"/>
      <w:marBottom w:val="0"/>
      <w:divBdr>
        <w:top w:val="none" w:sz="0" w:space="0" w:color="auto"/>
        <w:left w:val="none" w:sz="0" w:space="0" w:color="auto"/>
        <w:bottom w:val="none" w:sz="0" w:space="0" w:color="auto"/>
        <w:right w:val="none" w:sz="0" w:space="0" w:color="auto"/>
      </w:divBdr>
      <w:divsChild>
        <w:div w:id="1839036302">
          <w:marLeft w:val="0"/>
          <w:marRight w:val="0"/>
          <w:marTop w:val="0"/>
          <w:marBottom w:val="0"/>
          <w:divBdr>
            <w:top w:val="none" w:sz="0" w:space="0" w:color="auto"/>
            <w:left w:val="none" w:sz="0" w:space="0" w:color="auto"/>
            <w:bottom w:val="none" w:sz="0" w:space="0" w:color="auto"/>
            <w:right w:val="none" w:sz="0" w:space="0" w:color="auto"/>
          </w:divBdr>
          <w:divsChild>
            <w:div w:id="1839036300">
              <w:marLeft w:val="0"/>
              <w:marRight w:val="0"/>
              <w:marTop w:val="0"/>
              <w:marBottom w:val="0"/>
              <w:divBdr>
                <w:top w:val="none" w:sz="0" w:space="0" w:color="auto"/>
                <w:left w:val="none" w:sz="0" w:space="0" w:color="auto"/>
                <w:bottom w:val="none" w:sz="0" w:space="0" w:color="auto"/>
                <w:right w:val="none" w:sz="0" w:space="0" w:color="auto"/>
              </w:divBdr>
              <w:divsChild>
                <w:div w:id="1839036304">
                  <w:marLeft w:val="0"/>
                  <w:marRight w:val="0"/>
                  <w:marTop w:val="0"/>
                  <w:marBottom w:val="0"/>
                  <w:divBdr>
                    <w:top w:val="none" w:sz="0" w:space="0" w:color="auto"/>
                    <w:left w:val="none" w:sz="0" w:space="0" w:color="auto"/>
                    <w:bottom w:val="none" w:sz="0" w:space="0" w:color="auto"/>
                    <w:right w:val="none" w:sz="0" w:space="0" w:color="auto"/>
                  </w:divBdr>
                  <w:divsChild>
                    <w:div w:id="1839036276">
                      <w:marLeft w:val="0"/>
                      <w:marRight w:val="0"/>
                      <w:marTop w:val="0"/>
                      <w:marBottom w:val="0"/>
                      <w:divBdr>
                        <w:top w:val="none" w:sz="0" w:space="0" w:color="auto"/>
                        <w:left w:val="none" w:sz="0" w:space="0" w:color="auto"/>
                        <w:bottom w:val="none" w:sz="0" w:space="0" w:color="auto"/>
                        <w:right w:val="none" w:sz="0" w:space="0" w:color="auto"/>
                      </w:divBdr>
                      <w:divsChild>
                        <w:div w:id="1839036293">
                          <w:marLeft w:val="0"/>
                          <w:marRight w:val="0"/>
                          <w:marTop w:val="0"/>
                          <w:marBottom w:val="0"/>
                          <w:divBdr>
                            <w:top w:val="none" w:sz="0" w:space="0" w:color="auto"/>
                            <w:left w:val="none" w:sz="0" w:space="0" w:color="auto"/>
                            <w:bottom w:val="none" w:sz="0" w:space="0" w:color="auto"/>
                            <w:right w:val="none" w:sz="0" w:space="0" w:color="auto"/>
                          </w:divBdr>
                          <w:divsChild>
                            <w:div w:id="1839036278">
                              <w:marLeft w:val="240"/>
                              <w:marRight w:val="240"/>
                              <w:marTop w:val="480"/>
                              <w:marBottom w:val="240"/>
                              <w:divBdr>
                                <w:top w:val="single" w:sz="6" w:space="12" w:color="666666"/>
                                <w:left w:val="single" w:sz="6" w:space="12" w:color="666666"/>
                                <w:bottom w:val="single" w:sz="6" w:space="12" w:color="666666"/>
                                <w:right w:val="single" w:sz="6" w:space="12" w:color="666666"/>
                              </w:divBdr>
                            </w:div>
                          </w:divsChild>
                        </w:div>
                      </w:divsChild>
                    </w:div>
                  </w:divsChild>
                </w:div>
              </w:divsChild>
            </w:div>
          </w:divsChild>
        </w:div>
      </w:divsChild>
    </w:div>
    <w:div w:id="1839036290">
      <w:marLeft w:val="0"/>
      <w:marRight w:val="0"/>
      <w:marTop w:val="0"/>
      <w:marBottom w:val="0"/>
      <w:divBdr>
        <w:top w:val="none" w:sz="0" w:space="0" w:color="auto"/>
        <w:left w:val="none" w:sz="0" w:space="0" w:color="auto"/>
        <w:bottom w:val="none" w:sz="0" w:space="0" w:color="auto"/>
        <w:right w:val="none" w:sz="0" w:space="0" w:color="auto"/>
      </w:divBdr>
      <w:divsChild>
        <w:div w:id="1839036308">
          <w:marLeft w:val="0"/>
          <w:marRight w:val="0"/>
          <w:marTop w:val="0"/>
          <w:marBottom w:val="0"/>
          <w:divBdr>
            <w:top w:val="none" w:sz="0" w:space="0" w:color="auto"/>
            <w:left w:val="none" w:sz="0" w:space="0" w:color="auto"/>
            <w:bottom w:val="none" w:sz="0" w:space="0" w:color="auto"/>
            <w:right w:val="none" w:sz="0" w:space="0" w:color="auto"/>
          </w:divBdr>
          <w:divsChild>
            <w:div w:id="1839036282">
              <w:marLeft w:val="0"/>
              <w:marRight w:val="0"/>
              <w:marTop w:val="0"/>
              <w:marBottom w:val="0"/>
              <w:divBdr>
                <w:top w:val="none" w:sz="0" w:space="0" w:color="auto"/>
                <w:left w:val="none" w:sz="0" w:space="0" w:color="auto"/>
                <w:bottom w:val="none" w:sz="0" w:space="0" w:color="auto"/>
                <w:right w:val="none" w:sz="0" w:space="0" w:color="auto"/>
              </w:divBdr>
              <w:divsChild>
                <w:div w:id="1839036296">
                  <w:marLeft w:val="0"/>
                  <w:marRight w:val="0"/>
                  <w:marTop w:val="0"/>
                  <w:marBottom w:val="0"/>
                  <w:divBdr>
                    <w:top w:val="none" w:sz="0" w:space="0" w:color="auto"/>
                    <w:left w:val="none" w:sz="0" w:space="0" w:color="auto"/>
                    <w:bottom w:val="none" w:sz="0" w:space="0" w:color="auto"/>
                    <w:right w:val="none" w:sz="0" w:space="0" w:color="auto"/>
                  </w:divBdr>
                  <w:divsChild>
                    <w:div w:id="1839036274">
                      <w:marLeft w:val="0"/>
                      <w:marRight w:val="0"/>
                      <w:marTop w:val="0"/>
                      <w:marBottom w:val="0"/>
                      <w:divBdr>
                        <w:top w:val="none" w:sz="0" w:space="0" w:color="auto"/>
                        <w:left w:val="none" w:sz="0" w:space="0" w:color="auto"/>
                        <w:bottom w:val="none" w:sz="0" w:space="0" w:color="auto"/>
                        <w:right w:val="none" w:sz="0" w:space="0" w:color="auto"/>
                      </w:divBdr>
                      <w:divsChild>
                        <w:div w:id="1839036307">
                          <w:marLeft w:val="0"/>
                          <w:marRight w:val="0"/>
                          <w:marTop w:val="0"/>
                          <w:marBottom w:val="0"/>
                          <w:divBdr>
                            <w:top w:val="none" w:sz="0" w:space="0" w:color="auto"/>
                            <w:left w:val="none" w:sz="0" w:space="0" w:color="auto"/>
                            <w:bottom w:val="none" w:sz="0" w:space="0" w:color="auto"/>
                            <w:right w:val="none" w:sz="0" w:space="0" w:color="auto"/>
                          </w:divBdr>
                          <w:divsChild>
                            <w:div w:id="183903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036297">
      <w:marLeft w:val="0"/>
      <w:marRight w:val="0"/>
      <w:marTop w:val="0"/>
      <w:marBottom w:val="0"/>
      <w:divBdr>
        <w:top w:val="none" w:sz="0" w:space="0" w:color="auto"/>
        <w:left w:val="none" w:sz="0" w:space="0" w:color="auto"/>
        <w:bottom w:val="none" w:sz="0" w:space="0" w:color="auto"/>
        <w:right w:val="none" w:sz="0" w:space="0" w:color="auto"/>
      </w:divBdr>
      <w:divsChild>
        <w:div w:id="1839036280">
          <w:marLeft w:val="0"/>
          <w:marRight w:val="0"/>
          <w:marTop w:val="0"/>
          <w:marBottom w:val="0"/>
          <w:divBdr>
            <w:top w:val="none" w:sz="0" w:space="0" w:color="auto"/>
            <w:left w:val="none" w:sz="0" w:space="0" w:color="auto"/>
            <w:bottom w:val="none" w:sz="0" w:space="0" w:color="auto"/>
            <w:right w:val="none" w:sz="0" w:space="0" w:color="auto"/>
          </w:divBdr>
          <w:divsChild>
            <w:div w:id="1839036298">
              <w:marLeft w:val="0"/>
              <w:marRight w:val="0"/>
              <w:marTop w:val="0"/>
              <w:marBottom w:val="300"/>
              <w:divBdr>
                <w:top w:val="none" w:sz="0" w:space="0" w:color="auto"/>
                <w:left w:val="none" w:sz="0" w:space="0" w:color="auto"/>
                <w:bottom w:val="none" w:sz="0" w:space="0" w:color="auto"/>
                <w:right w:val="none" w:sz="0" w:space="0" w:color="auto"/>
              </w:divBdr>
              <w:divsChild>
                <w:div w:id="1839036284">
                  <w:marLeft w:val="0"/>
                  <w:marRight w:val="0"/>
                  <w:marTop w:val="0"/>
                  <w:marBottom w:val="0"/>
                  <w:divBdr>
                    <w:top w:val="none" w:sz="0" w:space="0" w:color="auto"/>
                    <w:left w:val="none" w:sz="0" w:space="0" w:color="auto"/>
                    <w:bottom w:val="none" w:sz="0" w:space="0" w:color="auto"/>
                    <w:right w:val="none" w:sz="0" w:space="0" w:color="auto"/>
                  </w:divBdr>
                  <w:divsChild>
                    <w:div w:id="1839036289">
                      <w:marLeft w:val="0"/>
                      <w:marRight w:val="0"/>
                      <w:marTop w:val="0"/>
                      <w:marBottom w:val="0"/>
                      <w:divBdr>
                        <w:top w:val="none" w:sz="0" w:space="0" w:color="auto"/>
                        <w:left w:val="none" w:sz="0" w:space="0" w:color="auto"/>
                        <w:bottom w:val="none" w:sz="0" w:space="0" w:color="auto"/>
                        <w:right w:val="none" w:sz="0" w:space="0" w:color="auto"/>
                      </w:divBdr>
                      <w:divsChild>
                        <w:div w:id="1839036273">
                          <w:marLeft w:val="0"/>
                          <w:marRight w:val="0"/>
                          <w:marTop w:val="0"/>
                          <w:marBottom w:val="0"/>
                          <w:divBdr>
                            <w:top w:val="none" w:sz="0" w:space="0" w:color="auto"/>
                            <w:left w:val="none" w:sz="0" w:space="0" w:color="auto"/>
                            <w:bottom w:val="none" w:sz="0" w:space="0" w:color="auto"/>
                            <w:right w:val="none" w:sz="0" w:space="0" w:color="auto"/>
                          </w:divBdr>
                          <w:divsChild>
                            <w:div w:id="183903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036303">
      <w:marLeft w:val="0"/>
      <w:marRight w:val="0"/>
      <w:marTop w:val="0"/>
      <w:marBottom w:val="0"/>
      <w:divBdr>
        <w:top w:val="none" w:sz="0" w:space="0" w:color="auto"/>
        <w:left w:val="none" w:sz="0" w:space="0" w:color="auto"/>
        <w:bottom w:val="none" w:sz="0" w:space="0" w:color="auto"/>
        <w:right w:val="none" w:sz="0" w:space="0" w:color="auto"/>
      </w:divBdr>
    </w:div>
    <w:div w:id="1862012162">
      <w:bodyDiv w:val="1"/>
      <w:marLeft w:val="0"/>
      <w:marRight w:val="0"/>
      <w:marTop w:val="0"/>
      <w:marBottom w:val="0"/>
      <w:divBdr>
        <w:top w:val="none" w:sz="0" w:space="0" w:color="auto"/>
        <w:left w:val="none" w:sz="0" w:space="0" w:color="auto"/>
        <w:bottom w:val="none" w:sz="0" w:space="0" w:color="auto"/>
        <w:right w:val="none" w:sz="0" w:space="0" w:color="auto"/>
      </w:divBdr>
    </w:div>
    <w:div w:id="1871991219">
      <w:bodyDiv w:val="1"/>
      <w:marLeft w:val="0"/>
      <w:marRight w:val="0"/>
      <w:marTop w:val="0"/>
      <w:marBottom w:val="0"/>
      <w:divBdr>
        <w:top w:val="none" w:sz="0" w:space="0" w:color="auto"/>
        <w:left w:val="none" w:sz="0" w:space="0" w:color="auto"/>
        <w:bottom w:val="none" w:sz="0" w:space="0" w:color="auto"/>
        <w:right w:val="none" w:sz="0" w:space="0" w:color="auto"/>
      </w:divBdr>
    </w:div>
    <w:div w:id="1964769991">
      <w:bodyDiv w:val="1"/>
      <w:marLeft w:val="0"/>
      <w:marRight w:val="0"/>
      <w:marTop w:val="0"/>
      <w:marBottom w:val="0"/>
      <w:divBdr>
        <w:top w:val="none" w:sz="0" w:space="0" w:color="auto"/>
        <w:left w:val="none" w:sz="0" w:space="0" w:color="auto"/>
        <w:bottom w:val="none" w:sz="0" w:space="0" w:color="auto"/>
        <w:right w:val="none" w:sz="0" w:space="0" w:color="auto"/>
      </w:divBdr>
    </w:div>
    <w:div w:id="199232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ndustry.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Gujr"/>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D4AC3DBB56DE8C459C99BB94AA8874E9" ma:contentTypeVersion="" ma:contentTypeDescription="PDMS Document Site Content Type" ma:contentTypeScope="" ma:versionID="b7f1408b3cc28b4d4d402a3806eb7b37">
  <xsd:schema xmlns:xsd="http://www.w3.org/2001/XMLSchema" xmlns:xs="http://www.w3.org/2001/XMLSchema" xmlns:p="http://schemas.microsoft.com/office/2006/metadata/properties" xmlns:ns2="FAF4686E-D04B-445F-A6C6-641A98C9559F" targetNamespace="http://schemas.microsoft.com/office/2006/metadata/properties" ma:root="true" ma:fieldsID="15c75349c50ea73764454c4ed313141d" ns2:_="">
    <xsd:import namespace="FAF4686E-D04B-445F-A6C6-641A98C9559F"/>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F4686E-D04B-445F-A6C6-641A98C9559F"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FAF4686E-D04B-445F-A6C6-641A98C9559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02EF3-0A90-4771-AAEC-FE1D60A80B26}">
  <ds:schemaRefs>
    <ds:schemaRef ds:uri="http://schemas.microsoft.com/sharepoint/v3/contenttype/forms"/>
  </ds:schemaRefs>
</ds:datastoreItem>
</file>

<file path=customXml/itemProps2.xml><?xml version="1.0" encoding="utf-8"?>
<ds:datastoreItem xmlns:ds="http://schemas.openxmlformats.org/officeDocument/2006/customXml" ds:itemID="{74026AC4-1331-4BF8-88D2-5CD3FE3A37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F4686E-D04B-445F-A6C6-641A98C955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DEF4B7-E96D-4A21-8748-CAB6E52D22E6}">
  <ds:schemaRefs>
    <ds:schemaRef ds:uri="http://purl.org/dc/terms/"/>
    <ds:schemaRef ds:uri="http://schemas.openxmlformats.org/package/2006/metadata/core-properties"/>
    <ds:schemaRef ds:uri="http://schemas.microsoft.com/office/2006/documentManagement/types"/>
    <ds:schemaRef ds:uri="FAF4686E-D04B-445F-A6C6-641A98C9559F"/>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BBE249A6-5615-4742-8C8E-21B48E025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5085</Words>
  <Characters>28047</Characters>
  <Application>Microsoft Office Word</Application>
  <DocSecurity>4</DocSecurity>
  <Lines>233</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Department of th eEnvironment and Energy</dc:creator>
  <cp:lastModifiedBy>Osborne, Lea</cp:lastModifiedBy>
  <cp:revision>2</cp:revision>
  <cp:lastPrinted>2020-09-22T04:44:00Z</cp:lastPrinted>
  <dcterms:created xsi:type="dcterms:W3CDTF">2021-05-06T01:41:00Z</dcterms:created>
  <dcterms:modified xsi:type="dcterms:W3CDTF">2021-05-06T01:41:00Z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0x010100266966F133664895A6EE3632470D45F500D4AC3DBB56DE8C459C99BB94AA8874E9</vt:lpwstr>
  </property>
  <property fmtid="{D5CDD505-2E9C-101B-9397-08002B2CF9AE}" pid="3" name="DocHub_Year">
    <vt:lpwstr>1169;#2021|712d5b50-1b62-44de-9d3e-74234783b265</vt:lpwstr>
  </property>
  <property fmtid="{D5CDD505-2E9C-101B-9397-08002B2CF9AE}" pid="4" name="DocHub_DocumentType">
    <vt:lpwstr>404;#Instrument|7f5d698c-56c6-4653-be72-a97ff1bc4221</vt:lpwstr>
  </property>
  <property fmtid="{D5CDD505-2E9C-101B-9397-08002B2CF9AE}" pid="5" name="DocHub_SecurityClassification">
    <vt:lpwstr>3;#OFFICIAL|6106d03b-a1a0-4e30-9d91-d5e9fb4314f9</vt:lpwstr>
  </property>
  <property fmtid="{D5CDD505-2E9C-101B-9397-08002B2CF9AE}" pid="6" name="DocHub_MethodologyDetermination">
    <vt:lpwstr>675;#Landfill Gas|9d8794c8-83cb-4ac9-be3d-60402fca036a</vt:lpwstr>
  </property>
  <property fmtid="{D5CDD505-2E9C-101B-9397-08002B2CF9AE}" pid="7" name="DocHub_EmissionsReductionFundSector">
    <vt:lpwstr>356;#Waste|52a457cc-e9c5-4bef-9973-92a20927aa57</vt:lpwstr>
  </property>
  <property fmtid="{D5CDD505-2E9C-101B-9397-08002B2CF9AE}" pid="8" name="DocHub_Keywords">
    <vt:lpwstr/>
  </property>
  <property fmtid="{D5CDD505-2E9C-101B-9397-08002B2CF9AE}" pid="9" name="DocHub_WorkActivity">
    <vt:lpwstr/>
  </property>
  <property fmtid="{D5CDD505-2E9C-101B-9397-08002B2CF9AE}" pid="10" name="ObjectiveRef">
    <vt:lpwstr>Removed</vt:lpwstr>
  </property>
  <property fmtid="{D5CDD505-2E9C-101B-9397-08002B2CF9AE}" pid="11" name="LeadingLawyers">
    <vt:lpwstr>Removed</vt:lpwstr>
  </property>
  <property fmtid="{D5CDD505-2E9C-101B-9397-08002B2CF9AE}" pid="12" name="CER_FileKeywords">
    <vt:lpwstr/>
  </property>
  <property fmtid="{D5CDD505-2E9C-101B-9397-08002B2CF9AE}" pid="13" name="EDi_DocumentKeywords">
    <vt:lpwstr/>
  </property>
  <property fmtid="{D5CDD505-2E9C-101B-9397-08002B2CF9AE}" pid="14" name="CER_Scheme">
    <vt:lpwstr>1;#ERF|d42fc64b-27e5-4868-b632-9398644319fe</vt:lpwstr>
  </property>
  <property fmtid="{D5CDD505-2E9C-101B-9397-08002B2CF9AE}" pid="15" name="CER_Client">
    <vt:lpwstr/>
  </property>
  <property fmtid="{D5CDD505-2E9C-101B-9397-08002B2CF9AE}" pid="16" name="CER_State">
    <vt:lpwstr/>
  </property>
  <property fmtid="{D5CDD505-2E9C-101B-9397-08002B2CF9AE}" pid="17" name="CER_Agency">
    <vt:lpwstr/>
  </property>
  <property fmtid="{D5CDD505-2E9C-101B-9397-08002B2CF9AE}" pid="18" name="_dlc_DocIdItemGuid">
    <vt:lpwstr>195a4703-813e-4fb0-9ca6-25856d6d396c</vt:lpwstr>
  </property>
  <property fmtid="{D5CDD505-2E9C-101B-9397-08002B2CF9AE}" pid="19" name="l5266d70aa4c4810ab958a2db2f21068">
    <vt:lpwstr/>
  </property>
  <property fmtid="{D5CDD505-2E9C-101B-9397-08002B2CF9AE}" pid="20" name="ERFMethod">
    <vt:lpwstr/>
  </property>
</Properties>
</file>