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40B" w:rsidRPr="008B24C8" w:rsidRDefault="0057002B" w:rsidP="00915032">
      <w:pPr>
        <w:spacing w:line="276" w:lineRule="auto"/>
        <w:jc w:val="center"/>
        <w:rPr>
          <w:rFonts w:ascii="Times New Roman" w:hAnsi="Times New Roman" w:cs="Times New Roman"/>
          <w:u w:val="single"/>
        </w:rPr>
      </w:pPr>
      <w:r w:rsidRPr="008B24C8">
        <w:rPr>
          <w:rFonts w:ascii="Times New Roman" w:hAnsi="Times New Roman" w:cs="Times New Roman"/>
          <w:u w:val="single"/>
        </w:rPr>
        <w:t>EXPLANATORY STATEMENT</w:t>
      </w:r>
    </w:p>
    <w:p w:rsidR="0057002B" w:rsidRPr="008B24C8" w:rsidRDefault="0057002B" w:rsidP="00915032">
      <w:pPr>
        <w:spacing w:line="276" w:lineRule="auto"/>
        <w:jc w:val="center"/>
        <w:rPr>
          <w:rFonts w:ascii="Times New Roman" w:hAnsi="Times New Roman" w:cs="Times New Roman"/>
        </w:rPr>
      </w:pPr>
      <w:r w:rsidRPr="008B24C8">
        <w:rPr>
          <w:rFonts w:ascii="Times New Roman" w:hAnsi="Times New Roman" w:cs="Times New Roman"/>
        </w:rPr>
        <w:t xml:space="preserve">Issued by authority of the Minister for Immigration, Citizenship, Migrant </w:t>
      </w:r>
      <w:r w:rsidR="00E45FE2">
        <w:rPr>
          <w:rFonts w:ascii="Times New Roman" w:hAnsi="Times New Roman" w:cs="Times New Roman"/>
        </w:rPr>
        <w:t>Services</w:t>
      </w:r>
      <w:r w:rsidRPr="008B24C8">
        <w:rPr>
          <w:rFonts w:ascii="Times New Roman" w:hAnsi="Times New Roman" w:cs="Times New Roman"/>
        </w:rPr>
        <w:t xml:space="preserve"> and</w:t>
      </w:r>
      <w:r w:rsidRPr="008B24C8">
        <w:rPr>
          <w:rFonts w:ascii="Times New Roman" w:hAnsi="Times New Roman" w:cs="Times New Roman"/>
        </w:rPr>
        <w:br/>
        <w:t>Multicultural Affairs</w:t>
      </w:r>
    </w:p>
    <w:p w:rsidR="0057002B" w:rsidRPr="008B24C8" w:rsidRDefault="00604E06" w:rsidP="00915032">
      <w:pPr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Migration Act 1958</w:t>
      </w:r>
    </w:p>
    <w:p w:rsidR="0057002B" w:rsidRPr="008B24C8" w:rsidRDefault="0057002B" w:rsidP="00915032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8B24C8">
        <w:rPr>
          <w:rFonts w:ascii="Times New Roman" w:hAnsi="Times New Roman" w:cs="Times New Roman"/>
          <w:i/>
        </w:rPr>
        <w:t>Migration Regulations 1994</w:t>
      </w:r>
    </w:p>
    <w:p w:rsidR="0057002B" w:rsidRPr="008B24C8" w:rsidRDefault="002C5873" w:rsidP="00915032">
      <w:pPr>
        <w:spacing w:before="360" w:after="600" w:line="276" w:lineRule="auto"/>
        <w:jc w:val="center"/>
        <w:rPr>
          <w:rFonts w:ascii="Times New Roman" w:hAnsi="Times New Roman" w:cs="Times New Roman"/>
          <w:b/>
          <w:i/>
        </w:rPr>
      </w:pPr>
      <w:r w:rsidRPr="002C5873">
        <w:rPr>
          <w:rFonts w:ascii="Times New Roman" w:hAnsi="Times New Roman" w:cs="Times New Roman"/>
          <w:b/>
          <w:i/>
        </w:rPr>
        <w:t>Migration (Class of persons for Visitor (Class FA) visa nil VAC) Am</w:t>
      </w:r>
      <w:r w:rsidR="004B6CEE">
        <w:rPr>
          <w:rFonts w:ascii="Times New Roman" w:hAnsi="Times New Roman" w:cs="Times New Roman"/>
          <w:b/>
          <w:i/>
        </w:rPr>
        <w:t xml:space="preserve">endment </w:t>
      </w:r>
      <w:r w:rsidR="0067423F">
        <w:rPr>
          <w:rFonts w:ascii="Times New Roman" w:hAnsi="Times New Roman" w:cs="Times New Roman"/>
          <w:b/>
          <w:i/>
        </w:rPr>
        <w:t xml:space="preserve">Instrument </w:t>
      </w:r>
      <w:r w:rsidR="004B6CEE">
        <w:rPr>
          <w:rFonts w:ascii="Times New Roman" w:hAnsi="Times New Roman" w:cs="Times New Roman"/>
          <w:b/>
          <w:i/>
        </w:rPr>
        <w:t>(LIN 21/</w:t>
      </w:r>
      <w:r w:rsidR="0067423F">
        <w:rPr>
          <w:rFonts w:ascii="Times New Roman" w:hAnsi="Times New Roman" w:cs="Times New Roman"/>
          <w:b/>
          <w:i/>
        </w:rPr>
        <w:t>033</w:t>
      </w:r>
      <w:r w:rsidR="004B6CEE">
        <w:rPr>
          <w:rFonts w:ascii="Times New Roman" w:hAnsi="Times New Roman" w:cs="Times New Roman"/>
          <w:b/>
          <w:i/>
        </w:rPr>
        <w:t>)</w:t>
      </w:r>
      <w:r w:rsidR="004B6CEE">
        <w:rPr>
          <w:rFonts w:ascii="Times New Roman" w:hAnsi="Times New Roman" w:cs="Times New Roman"/>
          <w:b/>
          <w:i/>
          <w:lang w:val="en-US"/>
        </w:rPr>
        <w:t> </w:t>
      </w:r>
      <w:r w:rsidRPr="002C5873">
        <w:rPr>
          <w:rFonts w:ascii="Times New Roman" w:hAnsi="Times New Roman" w:cs="Times New Roman"/>
          <w:b/>
          <w:i/>
        </w:rPr>
        <w:t>2021</w:t>
      </w:r>
    </w:p>
    <w:p w:rsidR="0057002B" w:rsidRPr="008B24C8" w:rsidRDefault="0057002B" w:rsidP="00447FB4">
      <w:pPr>
        <w:pStyle w:val="ESPara"/>
        <w:ind w:left="567" w:hanging="567"/>
      </w:pPr>
      <w:r w:rsidRPr="008B24C8">
        <w:t>The inst</w:t>
      </w:r>
      <w:r w:rsidR="002C5873">
        <w:t xml:space="preserve">rument, Departmental reference </w:t>
      </w:r>
      <w:r w:rsidRPr="008B24C8">
        <w:t>LIN</w:t>
      </w:r>
      <w:r w:rsidR="002C5873">
        <w:t xml:space="preserve"> 21/</w:t>
      </w:r>
      <w:r w:rsidR="0067423F">
        <w:t>033</w:t>
      </w:r>
      <w:r w:rsidR="002C5873">
        <w:t xml:space="preserve">, is made under </w:t>
      </w:r>
      <w:r w:rsidR="002C5873" w:rsidRPr="002C5873">
        <w:t>1236(2</w:t>
      </w:r>
      <w:proofErr w:type="gramStart"/>
      <w:r w:rsidR="002C5873" w:rsidRPr="002C5873">
        <w:t>)(</w:t>
      </w:r>
      <w:proofErr w:type="gramEnd"/>
      <w:r w:rsidR="002C5873" w:rsidRPr="002C5873">
        <w:t xml:space="preserve">a)(iv) of Schedule 1 </w:t>
      </w:r>
      <w:r w:rsidR="002C5873">
        <w:t>to the</w:t>
      </w:r>
      <w:r w:rsidRPr="008B24C8">
        <w:t xml:space="preserve"> </w:t>
      </w:r>
      <w:r w:rsidRPr="00784DDD">
        <w:rPr>
          <w:i/>
        </w:rPr>
        <w:t>Migration Regulations 1994</w:t>
      </w:r>
      <w:r w:rsidR="002C5873">
        <w:t xml:space="preserve"> (the Migration Regulations)</w:t>
      </w:r>
      <w:r w:rsidRPr="008B24C8">
        <w:t xml:space="preserve">.  </w:t>
      </w:r>
    </w:p>
    <w:p w:rsidR="00BD598E" w:rsidRPr="006F3305" w:rsidRDefault="006F3305" w:rsidP="00336D1F">
      <w:pPr>
        <w:pStyle w:val="ESPara"/>
        <w:ind w:left="567" w:hanging="567"/>
      </w:pPr>
      <w:r>
        <w:t>The instrument</w:t>
      </w:r>
      <w:r w:rsidR="00BD598E" w:rsidRPr="008B24C8">
        <w:t xml:space="preserve"> </w:t>
      </w:r>
      <w:r>
        <w:t>amends</w:t>
      </w:r>
      <w:r w:rsidRPr="00784DDD">
        <w:rPr>
          <w:i/>
        </w:rPr>
        <w:t xml:space="preserve"> Migration (Class of persons for Visitor (Class FA) visa nil VAC) Instrument (LIN 21/021) 2021</w:t>
      </w:r>
      <w:r w:rsidRPr="00336D1F">
        <w:t xml:space="preserve"> </w:t>
      </w:r>
      <w:r w:rsidR="00B75478">
        <w:t>(</w:t>
      </w:r>
      <w:r>
        <w:t>LIN 21/021</w:t>
      </w:r>
      <w:r w:rsidR="00B75478">
        <w:t xml:space="preserve">) </w:t>
      </w:r>
      <w:r w:rsidR="00EA12C9" w:rsidRPr="008B24C8">
        <w:t xml:space="preserve">in accordance with subsection 33(3) of the </w:t>
      </w:r>
      <w:r w:rsidR="00EA12C9" w:rsidRPr="00784DDD">
        <w:rPr>
          <w:i/>
        </w:rPr>
        <w:t>Acts Interpretation Act 1901</w:t>
      </w:r>
      <w:r w:rsidR="00BD598E" w:rsidRPr="00784DDD">
        <w:rPr>
          <w:i/>
        </w:rPr>
        <w:t xml:space="preserve"> </w:t>
      </w:r>
      <w:r w:rsidR="00BD598E" w:rsidRPr="008B24C8">
        <w:t>(the Acts Interpretation Act)</w:t>
      </w:r>
      <w:r w:rsidR="00EA12C9" w:rsidRPr="008B24C8">
        <w:t xml:space="preserve">.  That subsection provides that where an Act confers a power to make a legislative instrument, the power includes a power to </w:t>
      </w:r>
      <w:r w:rsidR="00BD598E" w:rsidRPr="008B24C8">
        <w:t xml:space="preserve">amend or repeal that instrument, subject to any conditions that apply to the initial instrument-making power.  </w:t>
      </w:r>
    </w:p>
    <w:p w:rsidR="00BD598E" w:rsidRPr="008B24C8" w:rsidRDefault="00AA4557" w:rsidP="00336D1F">
      <w:pPr>
        <w:pStyle w:val="ESPara"/>
        <w:ind w:left="567" w:hanging="567"/>
      </w:pPr>
      <w:r>
        <w:t>T</w:t>
      </w:r>
      <w:r w:rsidR="006F3305">
        <w:t xml:space="preserve">he instrument </w:t>
      </w:r>
      <w:r w:rsidR="00CA2DEE">
        <w:t xml:space="preserve">is </w:t>
      </w:r>
      <w:r w:rsidR="0067423F">
        <w:t xml:space="preserve">commences </w:t>
      </w:r>
      <w:r w:rsidR="00CA2DEE">
        <w:t>on 27 February 2021</w:t>
      </w:r>
      <w:r w:rsidR="0067423F" w:rsidRPr="0067423F">
        <w:t xml:space="preserve"> </w:t>
      </w:r>
      <w:r w:rsidR="0067423F">
        <w:t>retrospectively</w:t>
      </w:r>
      <w:r>
        <w:t>, and i</w:t>
      </w:r>
      <w:r w:rsidR="00BD598E" w:rsidRPr="008B24C8">
        <w:t xml:space="preserve">s a </w:t>
      </w:r>
      <w:r>
        <w:t>legislative</w:t>
      </w:r>
      <w:r w:rsidR="00BD598E" w:rsidRPr="008B24C8">
        <w:t xml:space="preserve"> instrument for </w:t>
      </w:r>
      <w:r w:rsidR="00B75478">
        <w:t xml:space="preserve">the </w:t>
      </w:r>
      <w:r w:rsidR="00B75478" w:rsidRPr="00784DDD">
        <w:rPr>
          <w:i/>
        </w:rPr>
        <w:t>Legislation Act</w:t>
      </w:r>
      <w:r w:rsidR="00784DDD" w:rsidRPr="00784DDD">
        <w:rPr>
          <w:i/>
        </w:rPr>
        <w:t xml:space="preserve"> 2003</w:t>
      </w:r>
      <w:r w:rsidR="00784DDD">
        <w:t xml:space="preserve"> (the Legislation Act)</w:t>
      </w:r>
      <w:r w:rsidR="00BD598E" w:rsidRPr="008B24C8">
        <w:t xml:space="preserve">.  </w:t>
      </w:r>
    </w:p>
    <w:p w:rsidR="00EA12C9" w:rsidRPr="00336D1F" w:rsidRDefault="00BD598E" w:rsidP="00336D1F">
      <w:pPr>
        <w:pStyle w:val="ESHeading"/>
      </w:pPr>
      <w:r w:rsidRPr="008B24C8">
        <w:t>Purpose</w:t>
      </w:r>
    </w:p>
    <w:p w:rsidR="00BA0280" w:rsidRPr="00336D1F" w:rsidRDefault="00B75478" w:rsidP="00336D1F">
      <w:pPr>
        <w:pStyle w:val="ESPara"/>
        <w:ind w:left="567" w:hanging="567"/>
      </w:pPr>
      <w:r>
        <w:t>The pu</w:t>
      </w:r>
      <w:r w:rsidR="00521511">
        <w:t xml:space="preserve">rpose of the instrument is to clarify the types of </w:t>
      </w:r>
      <w:r w:rsidR="00BA0280" w:rsidRPr="00336D1F">
        <w:t>former Subclass 600 (Visitor) visa (Subclass 600 visa) holders</w:t>
      </w:r>
      <w:r w:rsidR="00BA0280">
        <w:t xml:space="preserve"> </w:t>
      </w:r>
      <w:r w:rsidR="00521511">
        <w:t xml:space="preserve">who </w:t>
      </w:r>
      <w:r w:rsidR="00BA0280">
        <w:t>can apply for a new Subclass 600 visa with</w:t>
      </w:r>
      <w:r w:rsidR="00521511">
        <w:t xml:space="preserve"> a nil visa application charge (VAC) </w:t>
      </w:r>
      <w:r w:rsidR="00BA0280" w:rsidRPr="00336D1F">
        <w:t xml:space="preserve">where their travel to </w:t>
      </w:r>
      <w:r w:rsidR="00750A9D">
        <w:t>Australia</w:t>
      </w:r>
      <w:r w:rsidR="00BA0280" w:rsidRPr="00336D1F">
        <w:t xml:space="preserve"> has been affected by the COVID-19 pandemic. </w:t>
      </w:r>
    </w:p>
    <w:p w:rsidR="00BA0280" w:rsidRPr="00336D1F" w:rsidRDefault="00983965" w:rsidP="00336D1F">
      <w:pPr>
        <w:pStyle w:val="ESPara"/>
        <w:ind w:left="567" w:hanging="567"/>
      </w:pPr>
      <w:r w:rsidRPr="00336D1F">
        <w:t xml:space="preserve">Under subparagraph 1236(2)(a)(iv) of Schedule 1 to the Migration Regulations, the Minister may specify a class of persons who are applicants with a nil VAC amount for Visitor (Class FA) visas, which includes Subclass 600 visas.  The instrument amends LIN 21/021 to clarify the </w:t>
      </w:r>
      <w:r w:rsidR="004B6CEE" w:rsidRPr="00336D1F">
        <w:t xml:space="preserve">applicants for a Subclass 600 visa who are in a class of person for a nil VAC.  </w:t>
      </w:r>
    </w:p>
    <w:p w:rsidR="0057745F" w:rsidRDefault="008B24C8" w:rsidP="0057745F">
      <w:pPr>
        <w:pStyle w:val="ESHeading"/>
      </w:pPr>
      <w:r w:rsidRPr="008B24C8">
        <w:t>Consultation</w:t>
      </w:r>
    </w:p>
    <w:p w:rsidR="008B24C8" w:rsidRPr="0057745F" w:rsidRDefault="008B24C8" w:rsidP="00336D1F">
      <w:pPr>
        <w:pStyle w:val="ESPara"/>
        <w:ind w:left="567" w:hanging="567"/>
      </w:pPr>
      <w:r w:rsidRPr="0057745F">
        <w:t xml:space="preserve">The Office of Best Practice Regulation (OBPR) was consulted and considered that the instrument dealt with matters of a minor nature and no regulatory impact statement was required.  The OBPR reference number is </w:t>
      </w:r>
      <w:r w:rsidR="00FE040F" w:rsidRPr="0057745F">
        <w:t>42822</w:t>
      </w:r>
      <w:r w:rsidRPr="0057745F">
        <w:t>.</w:t>
      </w:r>
    </w:p>
    <w:p w:rsidR="008B24C8" w:rsidRDefault="004B6CEE" w:rsidP="00336D1F">
      <w:pPr>
        <w:pStyle w:val="ESPara"/>
        <w:ind w:left="567" w:hanging="567"/>
      </w:pPr>
      <w:r>
        <w:t>Consultation</w:t>
      </w:r>
      <w:r w:rsidR="008B24C8">
        <w:t xml:space="preserve"> was </w:t>
      </w:r>
      <w:r>
        <w:t xml:space="preserve">not </w:t>
      </w:r>
      <w:r w:rsidR="008B24C8">
        <w:t>done for thi</w:t>
      </w:r>
      <w:r>
        <w:t xml:space="preserve">s instrument.  This is because the changes are minor and machinery in nature and do not substantially alter the existing arrangements. </w:t>
      </w:r>
    </w:p>
    <w:p w:rsidR="00AA4557" w:rsidRPr="00336D1F" w:rsidRDefault="00464080" w:rsidP="00336D1F">
      <w:pPr>
        <w:pStyle w:val="ESHeading"/>
      </w:pPr>
      <w:r>
        <w:t>Details</w:t>
      </w:r>
      <w:r w:rsidR="00AA4557">
        <w:t xml:space="preserve"> of the instrument</w:t>
      </w:r>
    </w:p>
    <w:p w:rsidR="00AA4557" w:rsidRDefault="00AA4557" w:rsidP="00336D1F">
      <w:pPr>
        <w:pStyle w:val="ESPara"/>
        <w:ind w:left="567" w:hanging="567"/>
      </w:pPr>
      <w:r>
        <w:t>Section 1 sets out</w:t>
      </w:r>
      <w:r w:rsidR="00E03DCC">
        <w:t xml:space="preserve"> the name of the instrument. </w:t>
      </w:r>
    </w:p>
    <w:p w:rsidR="00AA4557" w:rsidRPr="0067423F" w:rsidRDefault="00AA4557" w:rsidP="00CA2DEE">
      <w:pPr>
        <w:pStyle w:val="ESPara"/>
        <w:ind w:left="567" w:hanging="567"/>
      </w:pPr>
      <w:r w:rsidRPr="0067423F">
        <w:t xml:space="preserve">Section 2 provides </w:t>
      </w:r>
      <w:r w:rsidR="00CA2DEE" w:rsidRPr="0067423F">
        <w:t>that the instrument is taken to have commenced on 27 February 2021.</w:t>
      </w:r>
      <w:r w:rsidR="00983965" w:rsidRPr="0067423F">
        <w:t xml:space="preserve"> </w:t>
      </w:r>
      <w:r w:rsidR="00CA2DEE" w:rsidRPr="0067423F">
        <w:t xml:space="preserve"> Any retrospective application of the instrument is permitted as the instrument confers a benefit of applying </w:t>
      </w:r>
      <w:r w:rsidR="00CA2DEE" w:rsidRPr="0067423F">
        <w:lastRenderedPageBreak/>
        <w:t>for a visa without having to pay VAC to the specified class of persons (see subsections 12(1A) and (2) of the Legislation Act).</w:t>
      </w:r>
    </w:p>
    <w:p w:rsidR="00E03DCC" w:rsidRDefault="00E03DCC" w:rsidP="00336D1F">
      <w:pPr>
        <w:pStyle w:val="ESPara"/>
        <w:ind w:left="567" w:hanging="567"/>
      </w:pPr>
      <w:r>
        <w:t xml:space="preserve">Section 3 </w:t>
      </w:r>
      <w:r w:rsidR="00983965">
        <w:t xml:space="preserve">provides the LIN 21/021 is amended as set out in Schedule 1 to the instrument.  </w:t>
      </w:r>
    </w:p>
    <w:p w:rsidR="001C0783" w:rsidRDefault="001C0783" w:rsidP="00336D1F">
      <w:pPr>
        <w:pStyle w:val="ESPara"/>
        <w:ind w:left="567" w:hanging="567"/>
      </w:pPr>
      <w:r w:rsidRPr="001C0783">
        <w:t xml:space="preserve">Section 4 of LIN 21/021 provides that an applicant for a Subclass 600 visa will not pay a VAC if all the circumstances specified in that section apply to the applicant.  </w:t>
      </w:r>
    </w:p>
    <w:p w:rsidR="001C0783" w:rsidRDefault="001C0783" w:rsidP="00336D1F">
      <w:pPr>
        <w:pStyle w:val="ESPara"/>
        <w:ind w:left="567" w:hanging="567"/>
      </w:pPr>
      <w:r w:rsidRPr="001C0783">
        <w:t xml:space="preserve">Item 1 of Schedule 1 to the instrument </w:t>
      </w:r>
      <w:r>
        <w:t xml:space="preserve">amends paragraph 4(c) of </w:t>
      </w:r>
      <w:r w:rsidRPr="001C0783">
        <w:t>LIN 21/021</w:t>
      </w:r>
      <w:r>
        <w:t xml:space="preserve">. </w:t>
      </w:r>
      <w:r w:rsidRPr="001C0783">
        <w:t xml:space="preserve"> </w:t>
      </w:r>
      <w:r>
        <w:t xml:space="preserve">That paragraph </w:t>
      </w:r>
      <w:r w:rsidRPr="001C0783">
        <w:t xml:space="preserve">provides that for an applicant to receive a nil VAC they must have been granted a Subclass 600 visa while outside of Australia before 21 March 2020.  This excluded visas granted in the Frequent Traveller stream. </w:t>
      </w:r>
    </w:p>
    <w:p w:rsidR="001C0783" w:rsidRPr="001C0783" w:rsidRDefault="001C0783" w:rsidP="00336D1F">
      <w:pPr>
        <w:pStyle w:val="ESPara"/>
        <w:ind w:left="567" w:hanging="567"/>
      </w:pPr>
      <w:r>
        <w:t>I</w:t>
      </w:r>
      <w:r w:rsidRPr="001C0783">
        <w:t xml:space="preserve">tem </w:t>
      </w:r>
      <w:r>
        <w:t xml:space="preserve">1 of Schedule 1 to the instrument </w:t>
      </w:r>
      <w:r w:rsidRPr="001C0783">
        <w:t>amends paragraph 4(c) of LIN 21/021 to remove the limitation on former Subclass 600 visa holders in the Freque</w:t>
      </w:r>
      <w:r w:rsidR="00F30769">
        <w:t xml:space="preserve">nt Traveller steam from being </w:t>
      </w:r>
      <w:bookmarkStart w:id="0" w:name="_GoBack"/>
      <w:bookmarkEnd w:id="0"/>
      <w:r w:rsidRPr="001C0783">
        <w:t xml:space="preserve">eligible for a nil VAC when making an application in accordance with LIN 21/021.  Former visa holders in the Frequent Traveller stream must meet all other elements specified in LIN 21/021 to receive a nil VAC.  </w:t>
      </w:r>
    </w:p>
    <w:p w:rsidR="00AA4557" w:rsidRPr="00336D1F" w:rsidRDefault="00AA4557" w:rsidP="00336D1F">
      <w:pPr>
        <w:pStyle w:val="ESHeading"/>
      </w:pPr>
      <w:r>
        <w:t xml:space="preserve">Parliamentary scrutiny etc.  </w:t>
      </w:r>
    </w:p>
    <w:p w:rsidR="00E03DCC" w:rsidRDefault="00983965" w:rsidP="00336D1F">
      <w:pPr>
        <w:pStyle w:val="ESPara"/>
        <w:ind w:left="567" w:hanging="567"/>
      </w:pPr>
      <w:r w:rsidRPr="00983965">
        <w:t xml:space="preserve">The instrument is exempt from disallowance under section 42 of the Legislation Act.  This is because instruments made under Schedule 1 of the Migration Regulations are prescribed as exempt in section 10 of the </w:t>
      </w:r>
      <w:r w:rsidRPr="00BB0029">
        <w:rPr>
          <w:i/>
        </w:rPr>
        <w:t>Legislation (Exemptions and Other Matters) Regulation 2015</w:t>
      </w:r>
      <w:r w:rsidRPr="00983965">
        <w:t>.</w:t>
      </w:r>
    </w:p>
    <w:p w:rsidR="007E4691" w:rsidRPr="0067423F" w:rsidRDefault="00983965" w:rsidP="00EE1132">
      <w:pPr>
        <w:pStyle w:val="ESPara"/>
        <w:ind w:left="567" w:hanging="567"/>
      </w:pPr>
      <w:r w:rsidRPr="0057745F">
        <w:t>The instrument was made by a delegate of the Minister, Senior Executive Service Band One, Immigration Programs Division, in accordance with subparagraph 1236(2)(a)(iv) of Schedule 1 to the Migration Regulations.  The Senior Executive Service Band One was delegated the</w:t>
      </w:r>
      <w:r w:rsidR="0067423F">
        <w:t xml:space="preserve"> power to make the instrument by the Minister for Home Affairs</w:t>
      </w:r>
      <w:r w:rsidRPr="0057745F">
        <w:t>.</w:t>
      </w:r>
      <w:r w:rsidR="0067423F">
        <w:t xml:space="preserve">  </w:t>
      </w:r>
    </w:p>
    <w:sectPr w:rsidR="007E4691" w:rsidRPr="0067423F" w:rsidSect="004F5CE4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32A9"/>
    <w:multiLevelType w:val="hybridMultilevel"/>
    <w:tmpl w:val="FBDE329C"/>
    <w:lvl w:ilvl="0" w:tplc="1B167EC8">
      <w:start w:val="1"/>
      <w:numFmt w:val="decimal"/>
      <w:pStyle w:val="ESPara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B22CF"/>
    <w:multiLevelType w:val="hybridMultilevel"/>
    <w:tmpl w:val="A35811AA"/>
    <w:lvl w:ilvl="0" w:tplc="C1545C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5E"/>
    <w:rsid w:val="000D014F"/>
    <w:rsid w:val="001354CC"/>
    <w:rsid w:val="00167837"/>
    <w:rsid w:val="00177AC5"/>
    <w:rsid w:val="0019164E"/>
    <w:rsid w:val="001C0783"/>
    <w:rsid w:val="002402E0"/>
    <w:rsid w:val="002C5873"/>
    <w:rsid w:val="00336D1F"/>
    <w:rsid w:val="00447FB4"/>
    <w:rsid w:val="00457D4A"/>
    <w:rsid w:val="00464080"/>
    <w:rsid w:val="00495063"/>
    <w:rsid w:val="004B6CEE"/>
    <w:rsid w:val="004F5CE4"/>
    <w:rsid w:val="00521511"/>
    <w:rsid w:val="00560B24"/>
    <w:rsid w:val="0057002B"/>
    <w:rsid w:val="0057745F"/>
    <w:rsid w:val="0058528D"/>
    <w:rsid w:val="00604E06"/>
    <w:rsid w:val="0067423F"/>
    <w:rsid w:val="006F3305"/>
    <w:rsid w:val="00750A9D"/>
    <w:rsid w:val="00784DDD"/>
    <w:rsid w:val="007E4691"/>
    <w:rsid w:val="0088407D"/>
    <w:rsid w:val="008B24C8"/>
    <w:rsid w:val="00915032"/>
    <w:rsid w:val="00983965"/>
    <w:rsid w:val="009B54BD"/>
    <w:rsid w:val="00AA4557"/>
    <w:rsid w:val="00B445D9"/>
    <w:rsid w:val="00B75478"/>
    <w:rsid w:val="00BA0280"/>
    <w:rsid w:val="00BB0029"/>
    <w:rsid w:val="00BD598E"/>
    <w:rsid w:val="00C81A5E"/>
    <w:rsid w:val="00C930F2"/>
    <w:rsid w:val="00CA2DEE"/>
    <w:rsid w:val="00E03DCC"/>
    <w:rsid w:val="00E371BE"/>
    <w:rsid w:val="00E45FE2"/>
    <w:rsid w:val="00E677F6"/>
    <w:rsid w:val="00E722EA"/>
    <w:rsid w:val="00E80A3C"/>
    <w:rsid w:val="00EA12C9"/>
    <w:rsid w:val="00EC4FCF"/>
    <w:rsid w:val="00EE1132"/>
    <w:rsid w:val="00F30769"/>
    <w:rsid w:val="00FA258C"/>
    <w:rsid w:val="00FE040F"/>
    <w:rsid w:val="00FE0FEE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DFB84"/>
  <w15:chartTrackingRefBased/>
  <w15:docId w15:val="{2EF4E81C-2FF6-4091-8992-ADE42E3B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02B"/>
    <w:pPr>
      <w:ind w:left="720"/>
      <w:contextualSpacing/>
    </w:pPr>
  </w:style>
  <w:style w:type="paragraph" w:customStyle="1" w:styleId="ESPara">
    <w:name w:val="ES_Para"/>
    <w:basedOn w:val="Normal"/>
    <w:link w:val="ESParaChar"/>
    <w:qFormat/>
    <w:rsid w:val="00336D1F"/>
    <w:pPr>
      <w:numPr>
        <w:numId w:val="1"/>
      </w:num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ParaChar">
    <w:name w:val="ES_Para Char"/>
    <w:basedOn w:val="DefaultParagraphFont"/>
    <w:link w:val="ESPara"/>
    <w:rsid w:val="00336D1F"/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336D1F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ESHeadingChar">
    <w:name w:val="ES_Heading Char"/>
    <w:basedOn w:val="DefaultParagraphFont"/>
    <w:link w:val="ESHeading"/>
    <w:rsid w:val="00336D1F"/>
    <w:rPr>
      <w:rFonts w:ascii="Times New Roman" w:hAnsi="Times New Roman" w:cs="Times New Roman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NEWMAN-MARTIN</dc:creator>
  <cp:keywords/>
  <dc:description/>
  <cp:lastModifiedBy>Kylie MCKILLOP</cp:lastModifiedBy>
  <cp:revision>3</cp:revision>
  <cp:lastPrinted>2021-04-19T00:18:00Z</cp:lastPrinted>
  <dcterms:created xsi:type="dcterms:W3CDTF">2021-04-14T09:17:00Z</dcterms:created>
  <dcterms:modified xsi:type="dcterms:W3CDTF">2021-04-19T00:18:00Z</dcterms:modified>
</cp:coreProperties>
</file>