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EF51B" w14:textId="77777777" w:rsidR="006D0B46" w:rsidRPr="00A86505" w:rsidRDefault="006D0B46" w:rsidP="006D0B46">
      <w:pPr>
        <w:contextualSpacing/>
        <w:jc w:val="center"/>
        <w:rPr>
          <w:rFonts w:asciiTheme="minorHAnsi" w:hAnsiTheme="minorHAnsi" w:cstheme="minorHAnsi"/>
          <w:b/>
          <w:u w:val="single"/>
        </w:rPr>
      </w:pPr>
      <w:r w:rsidRPr="00A86505">
        <w:rPr>
          <w:rFonts w:asciiTheme="minorHAnsi" w:hAnsiTheme="minorHAnsi" w:cstheme="minorHAnsi"/>
          <w:b/>
          <w:u w:val="single"/>
        </w:rPr>
        <w:t>EXPLANATORY STATEMENT</w:t>
      </w:r>
    </w:p>
    <w:p w14:paraId="30CDE021" w14:textId="77777777" w:rsidR="006D0B46" w:rsidRPr="00A86505" w:rsidRDefault="006D0B46" w:rsidP="006D0B46">
      <w:pPr>
        <w:contextualSpacing/>
        <w:jc w:val="center"/>
        <w:rPr>
          <w:rFonts w:asciiTheme="minorHAnsi" w:hAnsiTheme="minorHAnsi" w:cstheme="minorHAnsi"/>
          <w:b/>
          <w:u w:val="single"/>
        </w:rPr>
      </w:pPr>
    </w:p>
    <w:p w14:paraId="2C03D151" w14:textId="574A9D31" w:rsidR="008E66F6" w:rsidRPr="00A86505" w:rsidRDefault="008E66F6" w:rsidP="006D0B46">
      <w:pPr>
        <w:contextualSpacing/>
        <w:jc w:val="center"/>
        <w:rPr>
          <w:rFonts w:asciiTheme="minorHAnsi" w:hAnsiTheme="minorHAnsi" w:cstheme="minorHAnsi"/>
          <w:b/>
        </w:rPr>
      </w:pPr>
      <w:r w:rsidRPr="00A86505">
        <w:rPr>
          <w:rFonts w:asciiTheme="minorHAnsi" w:hAnsiTheme="minorHAnsi" w:cstheme="minorHAnsi"/>
          <w:szCs w:val="24"/>
          <w:u w:val="single"/>
        </w:rPr>
        <w:t xml:space="preserve">Issued by the authority of </w:t>
      </w:r>
      <w:r w:rsidRPr="00A86505">
        <w:rPr>
          <w:rFonts w:asciiTheme="minorHAnsi" w:hAnsiTheme="minorHAnsi" w:cstheme="minorHAnsi"/>
          <w:bCs/>
          <w:szCs w:val="24"/>
          <w:u w:val="single"/>
        </w:rPr>
        <w:t>The Hon Alan Tudge MP, Minister for Education and Youth</w:t>
      </w:r>
    </w:p>
    <w:p w14:paraId="774A2CC7" w14:textId="77777777" w:rsidR="008E66F6" w:rsidRPr="00A86505" w:rsidRDefault="008E66F6" w:rsidP="006D0B46">
      <w:pPr>
        <w:contextualSpacing/>
        <w:jc w:val="center"/>
        <w:rPr>
          <w:rFonts w:asciiTheme="minorHAnsi" w:hAnsiTheme="minorHAnsi" w:cstheme="minorHAnsi"/>
          <w:b/>
        </w:rPr>
      </w:pPr>
    </w:p>
    <w:p w14:paraId="651C2B3A" w14:textId="2981E565" w:rsidR="006D0B46" w:rsidRPr="00A86505" w:rsidRDefault="006D0B46" w:rsidP="006D0B46">
      <w:pPr>
        <w:contextualSpacing/>
        <w:jc w:val="center"/>
        <w:rPr>
          <w:rFonts w:asciiTheme="minorHAnsi" w:hAnsiTheme="minorHAnsi" w:cstheme="minorHAnsi"/>
          <w:b/>
          <w:i/>
        </w:rPr>
      </w:pPr>
      <w:r w:rsidRPr="00A86505">
        <w:rPr>
          <w:rFonts w:asciiTheme="minorHAnsi" w:hAnsiTheme="minorHAnsi" w:cstheme="minorHAnsi"/>
          <w:b/>
          <w:i/>
        </w:rPr>
        <w:t>Tertiary Education Quality and Standards Agency Act 2011</w:t>
      </w:r>
    </w:p>
    <w:p w14:paraId="04B336BA" w14:textId="77777777" w:rsidR="006D0B46" w:rsidRPr="00A86505" w:rsidRDefault="006D0B46" w:rsidP="006D0B46">
      <w:pPr>
        <w:contextualSpacing/>
        <w:jc w:val="center"/>
        <w:rPr>
          <w:rFonts w:asciiTheme="minorHAnsi" w:hAnsiTheme="minorHAnsi" w:cstheme="minorHAnsi"/>
        </w:rPr>
      </w:pPr>
    </w:p>
    <w:p w14:paraId="6A472B33" w14:textId="40431743" w:rsidR="006D0B46" w:rsidRPr="00A86505" w:rsidRDefault="006D0B46" w:rsidP="006D0B46">
      <w:pPr>
        <w:contextualSpacing/>
        <w:jc w:val="center"/>
        <w:rPr>
          <w:rFonts w:asciiTheme="minorHAnsi" w:hAnsiTheme="minorHAnsi" w:cstheme="minorHAnsi"/>
          <w:b/>
        </w:rPr>
      </w:pPr>
      <w:r w:rsidRPr="00A86505">
        <w:rPr>
          <w:rFonts w:asciiTheme="minorHAnsi" w:hAnsiTheme="minorHAnsi" w:cstheme="minorHAnsi"/>
          <w:b/>
        </w:rPr>
        <w:t>Higher Education Standards Framework (Threshold Standards)</w:t>
      </w:r>
      <w:r w:rsidR="007B593C" w:rsidRPr="00A86505">
        <w:rPr>
          <w:rFonts w:asciiTheme="minorHAnsi" w:hAnsiTheme="minorHAnsi" w:cstheme="minorHAnsi"/>
          <w:b/>
        </w:rPr>
        <w:t xml:space="preserve"> </w:t>
      </w:r>
      <w:r w:rsidR="009F7700" w:rsidRPr="00A86505">
        <w:rPr>
          <w:rFonts w:asciiTheme="minorHAnsi" w:hAnsiTheme="minorHAnsi" w:cstheme="minorHAnsi"/>
          <w:b/>
        </w:rPr>
        <w:t>2021</w:t>
      </w:r>
    </w:p>
    <w:p w14:paraId="1D233764" w14:textId="77777777" w:rsidR="006D0B46" w:rsidRPr="00A86505" w:rsidRDefault="006D0B46" w:rsidP="004402BD">
      <w:pPr>
        <w:contextualSpacing/>
        <w:jc w:val="left"/>
        <w:rPr>
          <w:rFonts w:asciiTheme="minorHAnsi" w:hAnsiTheme="minorHAnsi" w:cstheme="minorHAnsi"/>
        </w:rPr>
      </w:pPr>
    </w:p>
    <w:p w14:paraId="6B10B8E3" w14:textId="2CE940FA" w:rsidR="006D0B46" w:rsidRPr="00A86505" w:rsidRDefault="006D0B46" w:rsidP="004402BD">
      <w:pPr>
        <w:contextualSpacing/>
        <w:jc w:val="left"/>
        <w:rPr>
          <w:rFonts w:asciiTheme="minorHAnsi" w:hAnsiTheme="minorHAnsi" w:cstheme="minorHAnsi"/>
          <w:b/>
        </w:rPr>
      </w:pPr>
      <w:r w:rsidRPr="00A86505">
        <w:rPr>
          <w:rFonts w:asciiTheme="minorHAnsi" w:hAnsiTheme="minorHAnsi" w:cstheme="minorHAnsi"/>
          <w:b/>
        </w:rPr>
        <w:t>A</w:t>
      </w:r>
      <w:r w:rsidR="008E66F6" w:rsidRPr="00A86505">
        <w:rPr>
          <w:rFonts w:asciiTheme="minorHAnsi" w:hAnsiTheme="minorHAnsi" w:cstheme="minorHAnsi"/>
          <w:b/>
        </w:rPr>
        <w:t>UTHORITY</w:t>
      </w:r>
    </w:p>
    <w:p w14:paraId="7B91DA31" w14:textId="77777777" w:rsidR="006D0B46" w:rsidRPr="00A86505" w:rsidRDefault="006D0B46" w:rsidP="004402BD">
      <w:pPr>
        <w:contextualSpacing/>
        <w:jc w:val="left"/>
        <w:rPr>
          <w:rFonts w:asciiTheme="minorHAnsi" w:hAnsiTheme="minorHAnsi" w:cstheme="minorHAnsi"/>
        </w:rPr>
      </w:pPr>
    </w:p>
    <w:p w14:paraId="256C8236" w14:textId="09A5F402" w:rsidR="006D0B46" w:rsidRPr="00A86505" w:rsidRDefault="006D0B46" w:rsidP="004402BD">
      <w:pPr>
        <w:contextualSpacing/>
        <w:jc w:val="left"/>
        <w:rPr>
          <w:rFonts w:asciiTheme="minorHAnsi" w:hAnsiTheme="minorHAnsi" w:cstheme="minorHAnsi"/>
        </w:rPr>
      </w:pPr>
      <w:r w:rsidRPr="00A86505">
        <w:rPr>
          <w:rFonts w:asciiTheme="minorHAnsi" w:hAnsiTheme="minorHAnsi" w:cstheme="minorHAnsi"/>
        </w:rPr>
        <w:t>Subsection 58(1) of the</w:t>
      </w:r>
      <w:r w:rsidRPr="00A86505">
        <w:rPr>
          <w:rFonts w:asciiTheme="minorHAnsi" w:hAnsiTheme="minorHAnsi" w:cstheme="minorHAnsi"/>
          <w:i/>
        </w:rPr>
        <w:t xml:space="preserve"> Tertiary Education Quality and Standards Agency Act 2011</w:t>
      </w:r>
      <w:r w:rsidRPr="00A86505">
        <w:rPr>
          <w:rFonts w:asciiTheme="minorHAnsi" w:hAnsiTheme="minorHAnsi" w:cstheme="minorHAnsi"/>
        </w:rPr>
        <w:t xml:space="preserve"> (</w:t>
      </w:r>
      <w:r w:rsidR="00CF7998" w:rsidRPr="00A86505">
        <w:rPr>
          <w:rFonts w:asciiTheme="minorHAnsi" w:hAnsiTheme="minorHAnsi" w:cstheme="minorHAnsi"/>
        </w:rPr>
        <w:t xml:space="preserve">the </w:t>
      </w:r>
      <w:r w:rsidR="0006513B" w:rsidRPr="00A86505">
        <w:rPr>
          <w:rFonts w:asciiTheme="minorHAnsi" w:hAnsiTheme="minorHAnsi" w:cstheme="minorHAnsi"/>
        </w:rPr>
        <w:t>TEQSA Act</w:t>
      </w:r>
      <w:r w:rsidRPr="00A86505">
        <w:rPr>
          <w:rFonts w:asciiTheme="minorHAnsi" w:hAnsiTheme="minorHAnsi" w:cstheme="minorHAnsi"/>
        </w:rPr>
        <w:t>) provides that the Minister may, by legislative instrument, make standards that comprise the Higher Education Standards Framework.</w:t>
      </w:r>
    </w:p>
    <w:p w14:paraId="0C139CE3" w14:textId="67765FEE" w:rsidR="00DF7132" w:rsidRPr="00A86505" w:rsidRDefault="00DF7132" w:rsidP="004402BD">
      <w:pPr>
        <w:contextualSpacing/>
        <w:jc w:val="left"/>
        <w:rPr>
          <w:rFonts w:asciiTheme="minorHAnsi" w:hAnsiTheme="minorHAnsi" w:cstheme="minorHAnsi"/>
        </w:rPr>
      </w:pPr>
    </w:p>
    <w:p w14:paraId="67F20A06" w14:textId="0104B327" w:rsidR="00DF7132" w:rsidRPr="00A86505" w:rsidRDefault="00DF7132" w:rsidP="00DF7132">
      <w:pPr>
        <w:contextualSpacing/>
        <w:jc w:val="left"/>
        <w:rPr>
          <w:rFonts w:asciiTheme="minorHAnsi" w:hAnsiTheme="minorHAnsi" w:cstheme="minorHAnsi"/>
        </w:rPr>
      </w:pPr>
      <w:r w:rsidRPr="00A86505">
        <w:rPr>
          <w:rFonts w:asciiTheme="minorHAnsi" w:hAnsiTheme="minorHAnsi" w:cstheme="minorHAnsi"/>
        </w:rPr>
        <w:t xml:space="preserve">The </w:t>
      </w:r>
      <w:r w:rsidR="00D20589" w:rsidRPr="00A86505">
        <w:rPr>
          <w:rFonts w:asciiTheme="minorHAnsi" w:hAnsiTheme="minorHAnsi" w:cstheme="minorHAnsi"/>
        </w:rPr>
        <w:t>f</w:t>
      </w:r>
      <w:r w:rsidRPr="00A86505">
        <w:rPr>
          <w:rFonts w:asciiTheme="minorHAnsi" w:hAnsiTheme="minorHAnsi" w:cstheme="minorHAnsi"/>
        </w:rPr>
        <w:t xml:space="preserve">ramework </w:t>
      </w:r>
      <w:r w:rsidR="00D20589" w:rsidRPr="00A86505">
        <w:rPr>
          <w:rFonts w:asciiTheme="minorHAnsi" w:hAnsiTheme="minorHAnsi" w:cstheme="minorHAnsi"/>
        </w:rPr>
        <w:t>is made up of</w:t>
      </w:r>
      <w:r w:rsidRPr="00A86505">
        <w:rPr>
          <w:rFonts w:asciiTheme="minorHAnsi" w:hAnsiTheme="minorHAnsi" w:cstheme="minorHAnsi"/>
        </w:rPr>
        <w:t>:</w:t>
      </w:r>
    </w:p>
    <w:p w14:paraId="4B776F35" w14:textId="0424CC91" w:rsidR="00DF7132" w:rsidRPr="00A86505" w:rsidRDefault="00DF7132" w:rsidP="00DF7132">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Threshold Standards made under paragraph 58(1)(a) of the </w:t>
      </w:r>
      <w:r w:rsidR="0006513B" w:rsidRPr="00A86505">
        <w:rPr>
          <w:rFonts w:asciiTheme="minorHAnsi" w:hAnsiTheme="minorHAnsi" w:cstheme="minorHAnsi"/>
          <w:lang w:val="en-AU"/>
        </w:rPr>
        <w:t>TEQSA Act</w:t>
      </w:r>
      <w:r w:rsidRPr="00A86505">
        <w:rPr>
          <w:rFonts w:asciiTheme="minorHAnsi" w:hAnsiTheme="minorHAnsi" w:cstheme="minorHAnsi"/>
          <w:lang w:val="en-AU"/>
        </w:rPr>
        <w:t>; and</w:t>
      </w:r>
    </w:p>
    <w:p w14:paraId="3FF214BA" w14:textId="12C88147" w:rsidR="00DF7132" w:rsidRPr="00A86505" w:rsidRDefault="00DF7132" w:rsidP="00DF7132">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any other standards made under paragraph 58(1)(b) of the </w:t>
      </w:r>
      <w:r w:rsidR="0006513B" w:rsidRPr="00A86505">
        <w:rPr>
          <w:rFonts w:asciiTheme="minorHAnsi" w:hAnsiTheme="minorHAnsi" w:cstheme="minorHAnsi"/>
          <w:lang w:val="en-AU"/>
        </w:rPr>
        <w:t>TEQSA Act</w:t>
      </w:r>
      <w:r w:rsidRPr="00A86505">
        <w:rPr>
          <w:rFonts w:asciiTheme="minorHAnsi" w:hAnsiTheme="minorHAnsi" w:cstheme="minorHAnsi"/>
          <w:lang w:val="en-AU"/>
        </w:rPr>
        <w:t>.</w:t>
      </w:r>
    </w:p>
    <w:p w14:paraId="4512008E" w14:textId="77777777" w:rsidR="00DF7132" w:rsidRPr="00A86505" w:rsidRDefault="00DF7132" w:rsidP="00DF7132">
      <w:pPr>
        <w:contextualSpacing/>
        <w:jc w:val="left"/>
        <w:rPr>
          <w:rFonts w:asciiTheme="minorHAnsi" w:hAnsiTheme="minorHAnsi" w:cstheme="minorHAnsi"/>
        </w:rPr>
      </w:pPr>
    </w:p>
    <w:p w14:paraId="09167FE8" w14:textId="4B584655" w:rsidR="00FA588C" w:rsidRPr="00A86505" w:rsidRDefault="00321F8C" w:rsidP="00FA588C">
      <w:pPr>
        <w:contextualSpacing/>
        <w:jc w:val="left"/>
        <w:rPr>
          <w:rFonts w:asciiTheme="minorHAnsi" w:hAnsiTheme="minorHAnsi" w:cstheme="minorHAnsi"/>
        </w:rPr>
      </w:pPr>
      <w:r w:rsidRPr="00A86505">
        <w:rPr>
          <w:rFonts w:asciiTheme="minorHAnsi" w:hAnsiTheme="minorHAnsi" w:cstheme="minorHAnsi"/>
        </w:rPr>
        <w:t>Sub</w:t>
      </w:r>
      <w:r w:rsidR="00FA588C" w:rsidRPr="00A86505">
        <w:rPr>
          <w:rFonts w:asciiTheme="minorHAnsi" w:hAnsiTheme="minorHAnsi" w:cstheme="minorHAnsi"/>
        </w:rPr>
        <w:t>section</w:t>
      </w:r>
      <w:r w:rsidRPr="00A86505">
        <w:rPr>
          <w:rFonts w:asciiTheme="minorHAnsi" w:hAnsiTheme="minorHAnsi" w:cstheme="minorHAnsi"/>
        </w:rPr>
        <w:t xml:space="preserve"> </w:t>
      </w:r>
      <w:r w:rsidR="00FA588C" w:rsidRPr="00A86505">
        <w:rPr>
          <w:rFonts w:asciiTheme="minorHAnsi" w:hAnsiTheme="minorHAnsi" w:cstheme="minorHAnsi"/>
        </w:rPr>
        <w:t xml:space="preserve">58(3) of </w:t>
      </w:r>
      <w:r w:rsidR="00CF7998" w:rsidRPr="00A86505">
        <w:rPr>
          <w:rFonts w:asciiTheme="minorHAnsi" w:hAnsiTheme="minorHAnsi" w:cstheme="minorHAnsi"/>
        </w:rPr>
        <w:t xml:space="preserve">the </w:t>
      </w:r>
      <w:r w:rsidR="0006513B" w:rsidRPr="00A86505">
        <w:rPr>
          <w:rFonts w:asciiTheme="minorHAnsi" w:hAnsiTheme="minorHAnsi" w:cstheme="minorHAnsi"/>
        </w:rPr>
        <w:t>TEQSA Act</w:t>
      </w:r>
      <w:r w:rsidRPr="00A86505" w:rsidDel="00783D06">
        <w:rPr>
          <w:rFonts w:asciiTheme="minorHAnsi" w:hAnsiTheme="minorHAnsi" w:cstheme="minorHAnsi"/>
          <w:i/>
        </w:rPr>
        <w:t xml:space="preserve"> </w:t>
      </w:r>
      <w:r w:rsidRPr="00A86505">
        <w:rPr>
          <w:rFonts w:asciiTheme="minorHAnsi" w:hAnsiTheme="minorHAnsi" w:cstheme="minorHAnsi"/>
        </w:rPr>
        <w:t>requires</w:t>
      </w:r>
      <w:r w:rsidRPr="00A86505" w:rsidDel="009A447A">
        <w:rPr>
          <w:rFonts w:asciiTheme="minorHAnsi" w:hAnsiTheme="minorHAnsi" w:cstheme="minorHAnsi"/>
        </w:rPr>
        <w:t xml:space="preserve"> </w:t>
      </w:r>
      <w:r w:rsidR="00FA588C" w:rsidRPr="00A86505">
        <w:rPr>
          <w:rFonts w:asciiTheme="minorHAnsi" w:hAnsiTheme="minorHAnsi" w:cstheme="minorHAnsi"/>
        </w:rPr>
        <w:t xml:space="preserve">that </w:t>
      </w:r>
      <w:r w:rsidRPr="00A86505">
        <w:rPr>
          <w:rFonts w:asciiTheme="minorHAnsi" w:hAnsiTheme="minorHAnsi" w:cstheme="minorHAnsi"/>
        </w:rPr>
        <w:t xml:space="preserve">the Minister </w:t>
      </w:r>
      <w:r w:rsidR="00FA588C" w:rsidRPr="00A86505">
        <w:rPr>
          <w:rFonts w:asciiTheme="minorHAnsi" w:hAnsiTheme="minorHAnsi" w:cstheme="minorHAnsi"/>
        </w:rPr>
        <w:t>must not make a standard unless:</w:t>
      </w:r>
    </w:p>
    <w:p w14:paraId="3F358A6C" w14:textId="77777777" w:rsidR="00FA588C" w:rsidRPr="00A86505" w:rsidRDefault="00FA588C" w:rsidP="00FA588C">
      <w:pPr>
        <w:contextualSpacing/>
        <w:jc w:val="left"/>
        <w:rPr>
          <w:rFonts w:asciiTheme="minorHAnsi" w:hAnsiTheme="minorHAnsi" w:cstheme="minorHAnsi"/>
        </w:rPr>
      </w:pPr>
    </w:p>
    <w:p w14:paraId="040C3258" w14:textId="2A141C57" w:rsidR="00FA588C" w:rsidRPr="00A86505" w:rsidRDefault="00FA588C" w:rsidP="00FF758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a draft of the standard has been developed by the Higher Education Standards Panel</w:t>
      </w:r>
      <w:r w:rsidR="00386B00" w:rsidRPr="00A86505">
        <w:rPr>
          <w:rFonts w:asciiTheme="minorHAnsi" w:hAnsiTheme="minorHAnsi" w:cstheme="minorHAnsi"/>
          <w:lang w:val="en-AU"/>
        </w:rPr>
        <w:t xml:space="preserve"> established under Part 9 of </w:t>
      </w:r>
      <w:r w:rsidR="00CF7998" w:rsidRPr="00A86505">
        <w:rPr>
          <w:rFonts w:asciiTheme="minorHAnsi" w:hAnsiTheme="minorHAnsi" w:cstheme="minorHAnsi"/>
          <w:lang w:val="en-AU"/>
        </w:rPr>
        <w:t xml:space="preserve">the </w:t>
      </w:r>
      <w:r w:rsidR="0006513B" w:rsidRPr="00A86505">
        <w:rPr>
          <w:rFonts w:asciiTheme="minorHAnsi" w:hAnsiTheme="minorHAnsi" w:cstheme="minorHAnsi"/>
          <w:lang w:val="en-AU"/>
        </w:rPr>
        <w:t>TEQSA Act</w:t>
      </w:r>
      <w:r w:rsidR="0018419F" w:rsidRPr="00A86505">
        <w:rPr>
          <w:rFonts w:asciiTheme="minorHAnsi" w:hAnsiTheme="minorHAnsi" w:cstheme="minorHAnsi"/>
          <w:lang w:val="en-AU"/>
        </w:rPr>
        <w:t xml:space="preserve"> (the Panel</w:t>
      </w:r>
      <w:proofErr w:type="gramStart"/>
      <w:r w:rsidR="0018419F" w:rsidRPr="00A86505">
        <w:rPr>
          <w:rFonts w:asciiTheme="minorHAnsi" w:hAnsiTheme="minorHAnsi" w:cstheme="minorHAnsi"/>
          <w:lang w:val="en-AU"/>
        </w:rPr>
        <w:t>)</w:t>
      </w:r>
      <w:r w:rsidR="00CB6F49" w:rsidRPr="00A86505">
        <w:rPr>
          <w:rFonts w:asciiTheme="minorHAnsi" w:hAnsiTheme="minorHAnsi" w:cstheme="minorHAnsi"/>
          <w:lang w:val="en-AU"/>
        </w:rPr>
        <w:t>;</w:t>
      </w:r>
      <w:proofErr w:type="gramEnd"/>
    </w:p>
    <w:p w14:paraId="62F41D07" w14:textId="77777777" w:rsidR="00321F8C" w:rsidRPr="00A86505" w:rsidRDefault="00FA588C" w:rsidP="00FF758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the Minister has </w:t>
      </w:r>
      <w:r w:rsidR="00321F8C" w:rsidRPr="00A86505">
        <w:rPr>
          <w:rFonts w:asciiTheme="minorHAnsi" w:hAnsiTheme="minorHAnsi" w:cstheme="minorHAnsi"/>
          <w:lang w:val="en-AU"/>
        </w:rPr>
        <w:t>consult</w:t>
      </w:r>
      <w:r w:rsidR="00386B00" w:rsidRPr="00A86505">
        <w:rPr>
          <w:rFonts w:asciiTheme="minorHAnsi" w:hAnsiTheme="minorHAnsi" w:cstheme="minorHAnsi"/>
          <w:lang w:val="en-AU"/>
        </w:rPr>
        <w:t>ed</w:t>
      </w:r>
      <w:r w:rsidR="00321F8C" w:rsidRPr="00A86505">
        <w:rPr>
          <w:rFonts w:asciiTheme="minorHAnsi" w:hAnsiTheme="minorHAnsi" w:cstheme="minorHAnsi"/>
          <w:lang w:val="en-AU"/>
        </w:rPr>
        <w:t xml:space="preserve"> with </w:t>
      </w:r>
      <w:r w:rsidRPr="00A86505">
        <w:rPr>
          <w:rFonts w:asciiTheme="minorHAnsi" w:hAnsiTheme="minorHAnsi" w:cstheme="minorHAnsi"/>
          <w:lang w:val="en-AU"/>
        </w:rPr>
        <w:t xml:space="preserve">each of </w:t>
      </w:r>
      <w:r w:rsidR="00321F8C" w:rsidRPr="00A86505">
        <w:rPr>
          <w:rFonts w:asciiTheme="minorHAnsi" w:hAnsiTheme="minorHAnsi" w:cstheme="minorHAnsi"/>
          <w:lang w:val="en-AU"/>
        </w:rPr>
        <w:t xml:space="preserve">the following </w:t>
      </w:r>
      <w:r w:rsidRPr="00A86505">
        <w:rPr>
          <w:rFonts w:asciiTheme="minorHAnsi" w:hAnsiTheme="minorHAnsi" w:cstheme="minorHAnsi"/>
          <w:lang w:val="en-AU"/>
        </w:rPr>
        <w:t>about the draft</w:t>
      </w:r>
      <w:r w:rsidR="00321F8C" w:rsidRPr="00A86505">
        <w:rPr>
          <w:rFonts w:asciiTheme="minorHAnsi" w:hAnsiTheme="minorHAnsi" w:cstheme="minorHAnsi"/>
          <w:lang w:val="en-AU"/>
        </w:rPr>
        <w:t>:</w:t>
      </w:r>
    </w:p>
    <w:p w14:paraId="4A0A8530" w14:textId="77777777" w:rsidR="00321F8C" w:rsidRPr="00A86505" w:rsidRDefault="00386B00" w:rsidP="00FF758F">
      <w:pPr>
        <w:numPr>
          <w:ilvl w:val="1"/>
          <w:numId w:val="4"/>
        </w:numPr>
        <w:tabs>
          <w:tab w:val="clear" w:pos="1134"/>
        </w:tabs>
        <w:spacing w:before="120" w:after="120"/>
        <w:jc w:val="left"/>
        <w:rPr>
          <w:rFonts w:asciiTheme="minorHAnsi" w:hAnsiTheme="minorHAnsi" w:cstheme="minorHAnsi"/>
          <w:lang w:val="en-AU"/>
        </w:rPr>
      </w:pPr>
      <w:r w:rsidRPr="00A86505">
        <w:rPr>
          <w:rFonts w:asciiTheme="minorHAnsi" w:hAnsiTheme="minorHAnsi" w:cstheme="minorHAnsi"/>
          <w:lang w:val="en-AU"/>
        </w:rPr>
        <w:t>t</w:t>
      </w:r>
      <w:r w:rsidR="00321F8C" w:rsidRPr="00A86505">
        <w:rPr>
          <w:rFonts w:asciiTheme="minorHAnsi" w:hAnsiTheme="minorHAnsi" w:cstheme="minorHAnsi"/>
          <w:lang w:val="en-AU"/>
        </w:rPr>
        <w:t>he Council consisting of the Ministers for the Commonwealth and each State and Territory responsible for higher education (known as the Standing Council on Tertiary Education, Skills and Employment);</w:t>
      </w:r>
    </w:p>
    <w:p w14:paraId="10A44EA5" w14:textId="77777777" w:rsidR="00321F8C" w:rsidRPr="00A86505" w:rsidRDefault="00386B00" w:rsidP="00FF758F">
      <w:pPr>
        <w:numPr>
          <w:ilvl w:val="1"/>
          <w:numId w:val="4"/>
        </w:numPr>
        <w:tabs>
          <w:tab w:val="clear" w:pos="1134"/>
        </w:tabs>
        <w:spacing w:before="120" w:after="120"/>
        <w:jc w:val="left"/>
        <w:rPr>
          <w:rFonts w:asciiTheme="minorHAnsi" w:hAnsiTheme="minorHAnsi" w:cstheme="minorHAnsi"/>
          <w:lang w:val="en-AU"/>
        </w:rPr>
      </w:pPr>
      <w:r w:rsidRPr="00A86505">
        <w:rPr>
          <w:rFonts w:asciiTheme="minorHAnsi" w:hAnsiTheme="minorHAnsi" w:cstheme="minorHAnsi"/>
          <w:lang w:val="en-AU"/>
        </w:rPr>
        <w:t>t</w:t>
      </w:r>
      <w:r w:rsidR="00321F8C" w:rsidRPr="00A86505">
        <w:rPr>
          <w:rFonts w:asciiTheme="minorHAnsi" w:hAnsiTheme="minorHAnsi" w:cstheme="minorHAnsi"/>
          <w:lang w:val="en-AU"/>
        </w:rPr>
        <w:t>he Research Minister</w:t>
      </w:r>
      <w:r w:rsidR="00327877" w:rsidRPr="00A86505">
        <w:rPr>
          <w:rFonts w:asciiTheme="minorHAnsi" w:hAnsiTheme="minorHAnsi" w:cstheme="minorHAnsi"/>
          <w:lang w:val="en-AU"/>
        </w:rPr>
        <w:t xml:space="preserve"> (the minister responsible for the </w:t>
      </w:r>
      <w:r w:rsidR="00327877" w:rsidRPr="00A86505">
        <w:rPr>
          <w:rFonts w:asciiTheme="minorHAnsi" w:hAnsiTheme="minorHAnsi" w:cstheme="minorHAnsi"/>
          <w:i/>
          <w:lang w:val="en-AU"/>
        </w:rPr>
        <w:t>Australian Research Council Act 2001</w:t>
      </w:r>
      <w:r w:rsidR="00327877" w:rsidRPr="00A86505">
        <w:rPr>
          <w:rFonts w:asciiTheme="minorHAnsi" w:hAnsiTheme="minorHAnsi" w:cstheme="minorHAnsi"/>
          <w:lang w:val="en-AU"/>
        </w:rPr>
        <w:t>)</w:t>
      </w:r>
      <w:r w:rsidR="00321F8C" w:rsidRPr="00A86505">
        <w:rPr>
          <w:rFonts w:asciiTheme="minorHAnsi" w:hAnsiTheme="minorHAnsi" w:cstheme="minorHAnsi"/>
          <w:lang w:val="en-AU"/>
        </w:rPr>
        <w:t>;</w:t>
      </w:r>
      <w:r w:rsidR="00327877" w:rsidRPr="00A86505">
        <w:rPr>
          <w:rFonts w:asciiTheme="minorHAnsi" w:hAnsiTheme="minorHAnsi" w:cstheme="minorHAnsi"/>
          <w:lang w:val="en-AU"/>
        </w:rPr>
        <w:t xml:space="preserve"> and</w:t>
      </w:r>
    </w:p>
    <w:p w14:paraId="3B2F926A" w14:textId="38FD66E2" w:rsidR="00EC09F7" w:rsidRPr="00A86505" w:rsidRDefault="00254A53" w:rsidP="00EC09F7">
      <w:pPr>
        <w:numPr>
          <w:ilvl w:val="1"/>
          <w:numId w:val="4"/>
        </w:numPr>
        <w:tabs>
          <w:tab w:val="clear" w:pos="1134"/>
        </w:tabs>
        <w:spacing w:before="120" w:after="120"/>
        <w:jc w:val="left"/>
        <w:rPr>
          <w:rFonts w:asciiTheme="minorHAnsi" w:hAnsiTheme="minorHAnsi" w:cstheme="minorHAnsi"/>
          <w:lang w:val="en-AU"/>
        </w:rPr>
      </w:pPr>
      <w:r w:rsidRPr="00A86505">
        <w:rPr>
          <w:rFonts w:asciiTheme="minorHAnsi" w:hAnsiTheme="minorHAnsi" w:cstheme="minorHAnsi"/>
          <w:iCs/>
        </w:rPr>
        <w:t>Tertiary Education Quality and Standards Agency</w:t>
      </w:r>
      <w:r w:rsidRPr="00A86505">
        <w:rPr>
          <w:rFonts w:asciiTheme="minorHAnsi" w:hAnsiTheme="minorHAnsi" w:cstheme="minorHAnsi"/>
          <w:i/>
        </w:rPr>
        <w:t xml:space="preserve"> </w:t>
      </w:r>
      <w:r w:rsidRPr="00A86505">
        <w:rPr>
          <w:rFonts w:asciiTheme="minorHAnsi" w:hAnsiTheme="minorHAnsi" w:cstheme="minorHAnsi"/>
          <w:iCs/>
        </w:rPr>
        <w:t>(</w:t>
      </w:r>
      <w:r w:rsidR="00321F8C" w:rsidRPr="00A86505">
        <w:rPr>
          <w:rFonts w:asciiTheme="minorHAnsi" w:hAnsiTheme="minorHAnsi" w:cstheme="minorHAnsi"/>
          <w:lang w:val="en-AU"/>
        </w:rPr>
        <w:t>TEQSA</w:t>
      </w:r>
      <w:r w:rsidRPr="00A86505">
        <w:rPr>
          <w:rFonts w:asciiTheme="minorHAnsi" w:hAnsiTheme="minorHAnsi" w:cstheme="minorHAnsi"/>
          <w:lang w:val="en-AU"/>
        </w:rPr>
        <w:t>)</w:t>
      </w:r>
      <w:r w:rsidR="00CB6F49" w:rsidRPr="00A86505">
        <w:rPr>
          <w:rFonts w:asciiTheme="minorHAnsi" w:hAnsiTheme="minorHAnsi" w:cstheme="minorHAnsi"/>
          <w:lang w:val="en-AU"/>
        </w:rPr>
        <w:t>.</w:t>
      </w:r>
      <w:r w:rsidR="00321F8C" w:rsidRPr="00A86505">
        <w:rPr>
          <w:rFonts w:asciiTheme="minorHAnsi" w:hAnsiTheme="minorHAnsi" w:cstheme="minorHAnsi"/>
          <w:lang w:val="en-AU"/>
        </w:rPr>
        <w:t xml:space="preserve"> </w:t>
      </w:r>
    </w:p>
    <w:p w14:paraId="14EB2386" w14:textId="50A5F6A2" w:rsidR="00321F8C" w:rsidRPr="00A86505" w:rsidRDefault="00EC09F7" w:rsidP="00EC09F7">
      <w:pPr>
        <w:tabs>
          <w:tab w:val="clear" w:pos="1134"/>
        </w:tabs>
        <w:spacing w:before="120" w:after="120"/>
        <w:jc w:val="left"/>
        <w:rPr>
          <w:rFonts w:asciiTheme="minorHAnsi" w:hAnsiTheme="minorHAnsi" w:cstheme="minorHAnsi"/>
          <w:lang w:val="en-AU"/>
        </w:rPr>
      </w:pPr>
      <w:r w:rsidRPr="00A86505">
        <w:rPr>
          <w:rFonts w:asciiTheme="minorHAnsi" w:hAnsiTheme="minorHAnsi" w:cstheme="minorHAnsi"/>
          <w:lang w:val="en-AU"/>
        </w:rPr>
        <w:t xml:space="preserve">Subsection 58(4) provides that before </w:t>
      </w:r>
      <w:r w:rsidR="00321F8C" w:rsidRPr="00A86505">
        <w:rPr>
          <w:rFonts w:asciiTheme="minorHAnsi" w:hAnsiTheme="minorHAnsi" w:cstheme="minorHAnsi"/>
          <w:lang w:val="en-AU"/>
        </w:rPr>
        <w:t xml:space="preserve">the Minister </w:t>
      </w:r>
      <w:r w:rsidRPr="00A86505">
        <w:rPr>
          <w:rFonts w:asciiTheme="minorHAnsi" w:hAnsiTheme="minorHAnsi" w:cstheme="minorHAnsi"/>
          <w:lang w:val="en-AU"/>
        </w:rPr>
        <w:t>makes a standard, the Minister must have</w:t>
      </w:r>
      <w:r w:rsidR="00321F8C" w:rsidRPr="00A86505">
        <w:rPr>
          <w:rFonts w:asciiTheme="minorHAnsi" w:hAnsiTheme="minorHAnsi" w:cstheme="minorHAnsi"/>
          <w:lang w:val="en-AU"/>
        </w:rPr>
        <w:t xml:space="preserve"> regard to </w:t>
      </w:r>
      <w:r w:rsidR="00FA588C" w:rsidRPr="00A86505">
        <w:rPr>
          <w:rFonts w:asciiTheme="minorHAnsi" w:hAnsiTheme="minorHAnsi" w:cstheme="minorHAnsi"/>
          <w:lang w:val="en-AU"/>
        </w:rPr>
        <w:t>the draft developed by the Panel, and any advice or recommendations re</w:t>
      </w:r>
      <w:r w:rsidR="00AF3D2D" w:rsidRPr="00A86505">
        <w:rPr>
          <w:rFonts w:asciiTheme="minorHAnsi" w:hAnsiTheme="minorHAnsi" w:cstheme="minorHAnsi"/>
          <w:lang w:val="en-AU"/>
        </w:rPr>
        <w:t>ce</w:t>
      </w:r>
      <w:r w:rsidR="00FA588C" w:rsidRPr="00A86505">
        <w:rPr>
          <w:rFonts w:asciiTheme="minorHAnsi" w:hAnsiTheme="minorHAnsi" w:cstheme="minorHAnsi"/>
          <w:lang w:val="en-AU"/>
        </w:rPr>
        <w:t xml:space="preserve">ived from the </w:t>
      </w:r>
      <w:r w:rsidR="0018419F" w:rsidRPr="00A86505">
        <w:rPr>
          <w:rFonts w:asciiTheme="minorHAnsi" w:hAnsiTheme="minorHAnsi" w:cstheme="minorHAnsi"/>
          <w:lang w:val="en-AU"/>
        </w:rPr>
        <w:t>P</w:t>
      </w:r>
      <w:r w:rsidR="00FA588C" w:rsidRPr="00A86505">
        <w:rPr>
          <w:rFonts w:asciiTheme="minorHAnsi" w:hAnsiTheme="minorHAnsi" w:cstheme="minorHAnsi"/>
          <w:lang w:val="en-AU"/>
        </w:rPr>
        <w:t>anel</w:t>
      </w:r>
      <w:r w:rsidR="00AF3D2D" w:rsidRPr="00A86505">
        <w:rPr>
          <w:rFonts w:asciiTheme="minorHAnsi" w:hAnsiTheme="minorHAnsi" w:cstheme="minorHAnsi"/>
          <w:lang w:val="en-AU"/>
        </w:rPr>
        <w:t xml:space="preserve"> or</w:t>
      </w:r>
      <w:r w:rsidR="00321F8C" w:rsidRPr="00A86505">
        <w:rPr>
          <w:rFonts w:asciiTheme="minorHAnsi" w:hAnsiTheme="minorHAnsi" w:cstheme="minorHAnsi"/>
          <w:lang w:val="en-AU"/>
        </w:rPr>
        <w:t xml:space="preserve"> those </w:t>
      </w:r>
      <w:r w:rsidR="00AF3D2D" w:rsidRPr="00A86505">
        <w:rPr>
          <w:rFonts w:asciiTheme="minorHAnsi" w:hAnsiTheme="minorHAnsi" w:cstheme="minorHAnsi"/>
          <w:lang w:val="en-AU"/>
        </w:rPr>
        <w:t xml:space="preserve">other </w:t>
      </w:r>
      <w:r w:rsidR="00321F8C" w:rsidRPr="00A86505">
        <w:rPr>
          <w:rFonts w:asciiTheme="minorHAnsi" w:hAnsiTheme="minorHAnsi" w:cstheme="minorHAnsi"/>
          <w:lang w:val="en-AU"/>
        </w:rPr>
        <w:t>parties.</w:t>
      </w:r>
    </w:p>
    <w:p w14:paraId="54266BB7" w14:textId="77777777" w:rsidR="006D0B46" w:rsidRPr="00A86505" w:rsidRDefault="006D0B46" w:rsidP="004402BD">
      <w:pPr>
        <w:contextualSpacing/>
        <w:jc w:val="left"/>
        <w:rPr>
          <w:rFonts w:asciiTheme="minorHAnsi" w:hAnsiTheme="minorHAnsi" w:cstheme="minorHAnsi"/>
        </w:rPr>
      </w:pPr>
    </w:p>
    <w:p w14:paraId="7AB4A086" w14:textId="636CD99C" w:rsidR="00DC40FA" w:rsidRPr="00A86505" w:rsidRDefault="000D7CC0" w:rsidP="00FF758F">
      <w:pPr>
        <w:contextualSpacing/>
        <w:jc w:val="left"/>
        <w:rPr>
          <w:rFonts w:asciiTheme="minorHAnsi" w:hAnsiTheme="minorHAnsi" w:cstheme="minorHAnsi"/>
        </w:rPr>
      </w:pPr>
      <w:r w:rsidRPr="00A86505">
        <w:rPr>
          <w:rFonts w:asciiTheme="minorHAnsi" w:hAnsiTheme="minorHAnsi" w:cstheme="minorHAnsi"/>
        </w:rPr>
        <w:t xml:space="preserve">The </w:t>
      </w:r>
      <w:r w:rsidRPr="00A86505">
        <w:rPr>
          <w:rFonts w:asciiTheme="minorHAnsi" w:hAnsiTheme="minorHAnsi" w:cstheme="minorHAnsi"/>
          <w:i/>
        </w:rPr>
        <w:t>Higher Education Standards Framework (Threshold Standards) 20</w:t>
      </w:r>
      <w:r w:rsidR="001B23FB" w:rsidRPr="00A86505">
        <w:rPr>
          <w:rFonts w:asciiTheme="minorHAnsi" w:hAnsiTheme="minorHAnsi" w:cstheme="minorHAnsi"/>
          <w:i/>
        </w:rPr>
        <w:t>21</w:t>
      </w:r>
      <w:r w:rsidRPr="00A86505">
        <w:rPr>
          <w:rFonts w:asciiTheme="minorHAnsi" w:hAnsiTheme="minorHAnsi" w:cstheme="minorHAnsi"/>
        </w:rPr>
        <w:t xml:space="preserve"> </w:t>
      </w:r>
      <w:r w:rsidR="000F2FEE" w:rsidRPr="00A86505">
        <w:rPr>
          <w:rFonts w:asciiTheme="minorHAnsi" w:hAnsiTheme="minorHAnsi" w:cstheme="minorHAnsi"/>
        </w:rPr>
        <w:t xml:space="preserve">(Instrument) </w:t>
      </w:r>
      <w:r w:rsidRPr="00A86505">
        <w:rPr>
          <w:rFonts w:asciiTheme="minorHAnsi" w:hAnsiTheme="minorHAnsi" w:cstheme="minorHAnsi"/>
        </w:rPr>
        <w:t xml:space="preserve">replaces the </w:t>
      </w:r>
      <w:r w:rsidRPr="00A86505">
        <w:rPr>
          <w:rFonts w:asciiTheme="minorHAnsi" w:hAnsiTheme="minorHAnsi" w:cstheme="minorHAnsi"/>
          <w:i/>
        </w:rPr>
        <w:t>Higher Education Standards Framework (Threshold Standards) 201</w:t>
      </w:r>
      <w:r w:rsidR="001B23FB" w:rsidRPr="00A86505">
        <w:rPr>
          <w:rFonts w:asciiTheme="minorHAnsi" w:hAnsiTheme="minorHAnsi" w:cstheme="minorHAnsi"/>
          <w:i/>
        </w:rPr>
        <w:t>5</w:t>
      </w:r>
      <w:r w:rsidR="00254A53" w:rsidRPr="00A86505">
        <w:rPr>
          <w:rFonts w:asciiTheme="minorHAnsi" w:hAnsiTheme="minorHAnsi" w:cstheme="minorHAnsi"/>
          <w:i/>
        </w:rPr>
        <w:t xml:space="preserve"> </w:t>
      </w:r>
      <w:r w:rsidR="00254A53" w:rsidRPr="00A86505">
        <w:rPr>
          <w:rFonts w:asciiTheme="minorHAnsi" w:hAnsiTheme="minorHAnsi" w:cstheme="minorHAnsi"/>
          <w:iCs/>
        </w:rPr>
        <w:t>(2015 Standards)</w:t>
      </w:r>
      <w:r w:rsidRPr="00A86505">
        <w:rPr>
          <w:rFonts w:asciiTheme="minorHAnsi" w:hAnsiTheme="minorHAnsi" w:cstheme="minorHAnsi"/>
        </w:rPr>
        <w:t>.</w:t>
      </w:r>
    </w:p>
    <w:p w14:paraId="37D46620" w14:textId="77777777" w:rsidR="00327877" w:rsidRPr="00A86505" w:rsidRDefault="00327877" w:rsidP="00FF758F">
      <w:pPr>
        <w:contextualSpacing/>
        <w:jc w:val="left"/>
        <w:rPr>
          <w:rFonts w:asciiTheme="minorHAnsi" w:hAnsiTheme="minorHAnsi" w:cstheme="minorHAnsi"/>
          <w:b/>
        </w:rPr>
      </w:pPr>
    </w:p>
    <w:p w14:paraId="6A5EA8E6" w14:textId="22EB6E8D" w:rsidR="006D0B46" w:rsidRPr="00A86505" w:rsidRDefault="008E66F6" w:rsidP="004402BD">
      <w:pPr>
        <w:contextualSpacing/>
        <w:jc w:val="left"/>
        <w:rPr>
          <w:rFonts w:asciiTheme="minorHAnsi" w:hAnsiTheme="minorHAnsi" w:cstheme="minorHAnsi"/>
          <w:b/>
        </w:rPr>
      </w:pPr>
      <w:r w:rsidRPr="00A86505">
        <w:rPr>
          <w:rFonts w:asciiTheme="minorHAnsi" w:hAnsiTheme="minorHAnsi" w:cstheme="minorHAnsi"/>
          <w:b/>
        </w:rPr>
        <w:t>PURPOSE AND OPERATION</w:t>
      </w:r>
    </w:p>
    <w:p w14:paraId="4C826023" w14:textId="77777777" w:rsidR="006D0B46" w:rsidRPr="00A86505" w:rsidRDefault="006D0B46" w:rsidP="004402BD">
      <w:pPr>
        <w:contextualSpacing/>
        <w:jc w:val="left"/>
        <w:rPr>
          <w:rFonts w:asciiTheme="minorHAnsi" w:hAnsiTheme="minorHAnsi" w:cstheme="minorHAnsi"/>
        </w:rPr>
      </w:pPr>
    </w:p>
    <w:p w14:paraId="40AEFDB9" w14:textId="1E105752" w:rsidR="00D433D8" w:rsidRPr="00A86505" w:rsidRDefault="006D0B46" w:rsidP="00D433D8">
      <w:pPr>
        <w:contextualSpacing/>
        <w:jc w:val="left"/>
        <w:rPr>
          <w:rFonts w:asciiTheme="minorHAnsi" w:hAnsiTheme="minorHAnsi" w:cstheme="minorHAnsi"/>
        </w:rPr>
      </w:pPr>
      <w:r w:rsidRPr="00A86505">
        <w:rPr>
          <w:rFonts w:asciiTheme="minorHAnsi" w:hAnsiTheme="minorHAnsi" w:cstheme="minorHAnsi"/>
        </w:rPr>
        <w:t xml:space="preserve">The purpose of the </w:t>
      </w:r>
      <w:r w:rsidR="000F2FEE" w:rsidRPr="00A86505">
        <w:rPr>
          <w:rFonts w:asciiTheme="minorHAnsi" w:hAnsiTheme="minorHAnsi" w:cstheme="minorHAnsi"/>
        </w:rPr>
        <w:t>I</w:t>
      </w:r>
      <w:r w:rsidRPr="00A86505">
        <w:rPr>
          <w:rFonts w:asciiTheme="minorHAnsi" w:hAnsiTheme="minorHAnsi" w:cstheme="minorHAnsi"/>
        </w:rPr>
        <w:t>nstrument is to</w:t>
      </w:r>
      <w:r w:rsidR="00F935E4" w:rsidRPr="00A86505">
        <w:rPr>
          <w:rFonts w:asciiTheme="minorHAnsi" w:hAnsiTheme="minorHAnsi" w:cstheme="minorHAnsi"/>
        </w:rPr>
        <w:t xml:space="preserve"> define </w:t>
      </w:r>
      <w:r w:rsidR="00117C55" w:rsidRPr="00A86505">
        <w:rPr>
          <w:rFonts w:asciiTheme="minorHAnsi" w:hAnsiTheme="minorHAnsi" w:cstheme="minorHAnsi"/>
        </w:rPr>
        <w:t xml:space="preserve">new </w:t>
      </w:r>
      <w:r w:rsidR="00DF7132" w:rsidRPr="00A86505">
        <w:rPr>
          <w:rFonts w:asciiTheme="minorHAnsi" w:hAnsiTheme="minorHAnsi" w:cstheme="minorHAnsi"/>
        </w:rPr>
        <w:t>Threshold Standards</w:t>
      </w:r>
      <w:r w:rsidRPr="00A86505">
        <w:rPr>
          <w:rFonts w:asciiTheme="minorHAnsi" w:hAnsiTheme="minorHAnsi" w:cstheme="minorHAnsi"/>
        </w:rPr>
        <w:t>.</w:t>
      </w:r>
      <w:r w:rsidR="00D433D8" w:rsidRPr="00A86505">
        <w:rPr>
          <w:rFonts w:asciiTheme="minorHAnsi" w:hAnsiTheme="minorHAnsi" w:cstheme="minorHAnsi"/>
        </w:rPr>
        <w:t xml:space="preserve"> </w:t>
      </w:r>
      <w:r w:rsidR="004402BD" w:rsidRPr="00A86505">
        <w:rPr>
          <w:rFonts w:asciiTheme="minorHAnsi" w:hAnsiTheme="minorHAnsi" w:cstheme="minorHAnsi"/>
          <w:lang w:val="en-AU"/>
        </w:rPr>
        <w:t xml:space="preserve">The </w:t>
      </w:r>
      <w:r w:rsidR="00DF7132" w:rsidRPr="00A86505">
        <w:rPr>
          <w:rFonts w:asciiTheme="minorHAnsi" w:hAnsiTheme="minorHAnsi" w:cstheme="minorHAnsi"/>
          <w:lang w:val="en-AU"/>
        </w:rPr>
        <w:t>Threshold Standards</w:t>
      </w:r>
      <w:r w:rsidR="004402BD" w:rsidRPr="00A86505">
        <w:rPr>
          <w:rFonts w:asciiTheme="minorHAnsi" w:hAnsiTheme="minorHAnsi" w:cstheme="minorHAnsi"/>
          <w:lang w:val="en-AU"/>
        </w:rPr>
        <w:t xml:space="preserve"> </w:t>
      </w:r>
      <w:r w:rsidR="00597A66" w:rsidRPr="00A86505">
        <w:rPr>
          <w:rFonts w:asciiTheme="minorHAnsi" w:hAnsiTheme="minorHAnsi" w:cstheme="minorHAnsi"/>
          <w:lang w:val="en-AU"/>
        </w:rPr>
        <w:t xml:space="preserve">are </w:t>
      </w:r>
      <w:r w:rsidR="005B2693" w:rsidRPr="00A86505">
        <w:rPr>
          <w:rFonts w:asciiTheme="minorHAnsi" w:hAnsiTheme="minorHAnsi" w:cstheme="minorHAnsi"/>
          <w:lang w:val="en-AU"/>
        </w:rPr>
        <w:t>established by subsection 58(1)</w:t>
      </w:r>
      <w:r w:rsidR="00117C55" w:rsidRPr="00A86505">
        <w:rPr>
          <w:rFonts w:asciiTheme="minorHAnsi" w:hAnsiTheme="minorHAnsi" w:cstheme="minorHAnsi"/>
          <w:lang w:val="en-AU"/>
        </w:rPr>
        <w:t>(a)</w:t>
      </w:r>
      <w:r w:rsidR="005B2693" w:rsidRPr="00A86505">
        <w:rPr>
          <w:rFonts w:asciiTheme="minorHAnsi" w:hAnsiTheme="minorHAnsi" w:cstheme="minorHAnsi"/>
          <w:lang w:val="en-AU"/>
        </w:rPr>
        <w:t xml:space="preserve"> of the </w:t>
      </w:r>
      <w:r w:rsidR="0006513B" w:rsidRPr="00A86505">
        <w:rPr>
          <w:rFonts w:asciiTheme="minorHAnsi" w:hAnsiTheme="minorHAnsi" w:cstheme="minorHAnsi"/>
          <w:lang w:val="en-AU"/>
        </w:rPr>
        <w:t>TEQSA Act</w:t>
      </w:r>
      <w:r w:rsidR="005B2693" w:rsidRPr="00A86505">
        <w:rPr>
          <w:rFonts w:asciiTheme="minorHAnsi" w:hAnsiTheme="minorHAnsi" w:cstheme="minorHAnsi"/>
          <w:lang w:val="en-AU"/>
        </w:rPr>
        <w:t xml:space="preserve"> </w:t>
      </w:r>
      <w:r w:rsidR="00597A66" w:rsidRPr="00A86505">
        <w:rPr>
          <w:rFonts w:asciiTheme="minorHAnsi" w:hAnsiTheme="minorHAnsi" w:cstheme="minorHAnsi"/>
          <w:lang w:val="en-AU"/>
        </w:rPr>
        <w:t xml:space="preserve">and </w:t>
      </w:r>
      <w:r w:rsidR="004402BD" w:rsidRPr="00A86505">
        <w:rPr>
          <w:rFonts w:asciiTheme="minorHAnsi" w:hAnsiTheme="minorHAnsi" w:cstheme="minorHAnsi"/>
          <w:lang w:val="en-AU"/>
        </w:rPr>
        <w:t xml:space="preserve">set the requirements that </w:t>
      </w:r>
      <w:r w:rsidR="005B2693" w:rsidRPr="00A86505">
        <w:rPr>
          <w:rFonts w:asciiTheme="minorHAnsi" w:hAnsiTheme="minorHAnsi" w:cstheme="minorHAnsi"/>
          <w:lang w:val="en-AU"/>
        </w:rPr>
        <w:t xml:space="preserve">a </w:t>
      </w:r>
      <w:r w:rsidR="004402BD" w:rsidRPr="00A86505">
        <w:rPr>
          <w:rFonts w:asciiTheme="minorHAnsi" w:hAnsiTheme="minorHAnsi" w:cstheme="minorHAnsi"/>
          <w:lang w:val="en-AU"/>
        </w:rPr>
        <w:t>higher education provider must meet</w:t>
      </w:r>
      <w:r w:rsidR="00254A53" w:rsidRPr="00A86505">
        <w:rPr>
          <w:rFonts w:asciiTheme="minorHAnsi" w:hAnsiTheme="minorHAnsi" w:cstheme="minorHAnsi"/>
          <w:lang w:val="en-AU"/>
        </w:rPr>
        <w:t>,</w:t>
      </w:r>
      <w:r w:rsidR="004402BD" w:rsidRPr="00A86505">
        <w:rPr>
          <w:rFonts w:asciiTheme="minorHAnsi" w:hAnsiTheme="minorHAnsi" w:cstheme="minorHAnsi"/>
          <w:lang w:val="en-AU"/>
        </w:rPr>
        <w:t xml:space="preserve"> </w:t>
      </w:r>
      <w:r w:rsidR="00917C8B" w:rsidRPr="00A86505">
        <w:rPr>
          <w:rFonts w:asciiTheme="minorHAnsi" w:hAnsiTheme="minorHAnsi" w:cstheme="minorHAnsi"/>
          <w:lang w:val="en-AU"/>
        </w:rPr>
        <w:t>and continue to meet</w:t>
      </w:r>
      <w:r w:rsidR="00254A53" w:rsidRPr="00A86505">
        <w:rPr>
          <w:rFonts w:asciiTheme="minorHAnsi" w:hAnsiTheme="minorHAnsi" w:cstheme="minorHAnsi"/>
          <w:lang w:val="en-AU"/>
        </w:rPr>
        <w:t>,</w:t>
      </w:r>
      <w:r w:rsidR="00917C8B" w:rsidRPr="00A86505">
        <w:rPr>
          <w:rFonts w:asciiTheme="minorHAnsi" w:hAnsiTheme="minorHAnsi" w:cstheme="minorHAnsi"/>
          <w:lang w:val="en-AU"/>
        </w:rPr>
        <w:t xml:space="preserve"> </w:t>
      </w:r>
      <w:r w:rsidR="004402BD" w:rsidRPr="00A86505">
        <w:rPr>
          <w:rFonts w:asciiTheme="minorHAnsi" w:hAnsiTheme="minorHAnsi" w:cstheme="minorHAnsi"/>
          <w:lang w:val="en-AU"/>
        </w:rPr>
        <w:t>in order to be registered by TEQSA to operate in Australia</w:t>
      </w:r>
      <w:r w:rsidR="005B2693" w:rsidRPr="00A86505">
        <w:rPr>
          <w:rFonts w:asciiTheme="minorHAnsi" w:hAnsiTheme="minorHAnsi" w:cstheme="minorHAnsi"/>
          <w:lang w:val="en-AU"/>
        </w:rPr>
        <w:t>. T</w:t>
      </w:r>
      <w:r w:rsidR="004402BD" w:rsidRPr="00A86505">
        <w:rPr>
          <w:rFonts w:asciiTheme="minorHAnsi" w:hAnsiTheme="minorHAnsi" w:cstheme="minorHAnsi"/>
          <w:lang w:val="en-AU"/>
        </w:rPr>
        <w:t xml:space="preserve">hey </w:t>
      </w:r>
      <w:r w:rsidR="005B2693" w:rsidRPr="00A86505">
        <w:rPr>
          <w:rFonts w:asciiTheme="minorHAnsi" w:hAnsiTheme="minorHAnsi" w:cstheme="minorHAnsi"/>
          <w:lang w:val="en-AU"/>
        </w:rPr>
        <w:t xml:space="preserve">provide the basis for </w:t>
      </w:r>
      <w:r w:rsidR="004402BD" w:rsidRPr="00A86505">
        <w:rPr>
          <w:rFonts w:asciiTheme="minorHAnsi" w:hAnsiTheme="minorHAnsi" w:cstheme="minorHAnsi"/>
          <w:lang w:val="en-AU"/>
        </w:rPr>
        <w:t xml:space="preserve">the regulation of </w:t>
      </w:r>
      <w:r w:rsidR="005B2693" w:rsidRPr="00A86505">
        <w:rPr>
          <w:rFonts w:asciiTheme="minorHAnsi" w:hAnsiTheme="minorHAnsi" w:cstheme="minorHAnsi"/>
          <w:lang w:val="en-AU"/>
        </w:rPr>
        <w:t xml:space="preserve">Australian </w:t>
      </w:r>
      <w:r w:rsidR="004402BD" w:rsidRPr="00A86505">
        <w:rPr>
          <w:rFonts w:asciiTheme="minorHAnsi" w:hAnsiTheme="minorHAnsi" w:cstheme="minorHAnsi"/>
          <w:lang w:val="en-AU"/>
        </w:rPr>
        <w:t>higher education providers by TEQSA.</w:t>
      </w:r>
      <w:r w:rsidR="00D433D8" w:rsidRPr="00A86505">
        <w:rPr>
          <w:rFonts w:asciiTheme="minorHAnsi" w:hAnsiTheme="minorHAnsi" w:cstheme="minorHAnsi"/>
          <w:lang w:val="en-AU"/>
        </w:rPr>
        <w:t xml:space="preserve"> </w:t>
      </w:r>
      <w:r w:rsidR="00D433D8" w:rsidRPr="00A86505">
        <w:rPr>
          <w:rFonts w:asciiTheme="minorHAnsi" w:hAnsiTheme="minorHAnsi" w:cstheme="minorHAnsi"/>
        </w:rPr>
        <w:t xml:space="preserve">The </w:t>
      </w:r>
      <w:r w:rsidR="00DF7132" w:rsidRPr="00A86505">
        <w:rPr>
          <w:rFonts w:asciiTheme="minorHAnsi" w:hAnsiTheme="minorHAnsi" w:cstheme="minorHAnsi"/>
        </w:rPr>
        <w:t>Threshold Standards</w:t>
      </w:r>
      <w:r w:rsidR="00D433D8" w:rsidRPr="00A86505">
        <w:rPr>
          <w:rFonts w:asciiTheme="minorHAnsi" w:hAnsiTheme="minorHAnsi" w:cstheme="minorHAnsi"/>
        </w:rPr>
        <w:t xml:space="preserve"> ensure that the barrier to entry into the higher education sector is set sufficiently high to underpin and protect the quality and reputation of the sector as a whole. They also establish a solid basis of operational quality and integrity from which all providers can continue to build excellence and diversity.</w:t>
      </w:r>
    </w:p>
    <w:p w14:paraId="14488856" w14:textId="77777777" w:rsidR="004402BD" w:rsidRPr="00A86505" w:rsidRDefault="004402BD" w:rsidP="004402BD">
      <w:pPr>
        <w:autoSpaceDE w:val="0"/>
        <w:autoSpaceDN w:val="0"/>
        <w:adjustRightInd w:val="0"/>
        <w:jc w:val="left"/>
        <w:rPr>
          <w:rFonts w:asciiTheme="minorHAnsi" w:hAnsiTheme="minorHAnsi" w:cstheme="minorHAnsi"/>
          <w:lang w:val="en-AU"/>
        </w:rPr>
      </w:pPr>
    </w:p>
    <w:p w14:paraId="3DA314D2" w14:textId="4BDE1693" w:rsidR="004402BD" w:rsidRPr="00A86505" w:rsidRDefault="004402BD" w:rsidP="004402BD">
      <w:pPr>
        <w:jc w:val="left"/>
        <w:rPr>
          <w:rFonts w:asciiTheme="minorHAnsi" w:hAnsiTheme="minorHAnsi" w:cstheme="minorHAnsi"/>
          <w:lang w:val="en-AU"/>
        </w:rPr>
      </w:pPr>
      <w:r w:rsidRPr="00A86505">
        <w:rPr>
          <w:rFonts w:asciiTheme="minorHAnsi" w:hAnsiTheme="minorHAnsi" w:cstheme="minorHAnsi"/>
          <w:lang w:val="en-AU"/>
        </w:rPr>
        <w:lastRenderedPageBreak/>
        <w:t xml:space="preserve">The </w:t>
      </w:r>
      <w:r w:rsidR="00DF7132" w:rsidRPr="00A86505">
        <w:rPr>
          <w:rFonts w:asciiTheme="minorHAnsi" w:hAnsiTheme="minorHAnsi" w:cstheme="minorHAnsi"/>
        </w:rPr>
        <w:t>Threshold Standards</w:t>
      </w:r>
      <w:r w:rsidR="000064F4" w:rsidRPr="00A86505">
        <w:rPr>
          <w:rFonts w:asciiTheme="minorHAnsi" w:hAnsiTheme="minorHAnsi" w:cstheme="minorHAnsi"/>
        </w:rPr>
        <w:t xml:space="preserve"> </w:t>
      </w:r>
      <w:r w:rsidRPr="00A86505">
        <w:rPr>
          <w:rFonts w:asciiTheme="minorHAnsi" w:hAnsiTheme="minorHAnsi" w:cstheme="minorHAnsi"/>
          <w:lang w:val="en-AU"/>
        </w:rPr>
        <w:t>also serve other broader purposes in Australian higher education including:</w:t>
      </w:r>
    </w:p>
    <w:p w14:paraId="3462A45E" w14:textId="77777777" w:rsidR="004402BD" w:rsidRPr="00A86505" w:rsidRDefault="004402BD" w:rsidP="004402BD">
      <w:pPr>
        <w:pStyle w:val="ListParagraph"/>
        <w:numPr>
          <w:ilvl w:val="0"/>
          <w:numId w:val="5"/>
        </w:numPr>
        <w:spacing w:before="60" w:after="60"/>
        <w:ind w:left="568" w:hanging="284"/>
        <w:contextualSpacing w:val="0"/>
        <w:jc w:val="left"/>
        <w:rPr>
          <w:rFonts w:asciiTheme="minorHAnsi" w:hAnsiTheme="minorHAnsi" w:cstheme="minorHAnsi"/>
          <w:lang w:val="en-AU"/>
        </w:rPr>
      </w:pPr>
      <w:r w:rsidRPr="00A86505">
        <w:rPr>
          <w:rFonts w:asciiTheme="minorHAnsi" w:hAnsiTheme="minorHAnsi" w:cstheme="minorHAnsi"/>
          <w:lang w:val="en-AU"/>
        </w:rPr>
        <w:t>an articulation of the expectations for provision of higher education in Australia as:</w:t>
      </w:r>
    </w:p>
    <w:p w14:paraId="47486917" w14:textId="77777777" w:rsidR="004402BD" w:rsidRPr="00A86505" w:rsidRDefault="004402BD" w:rsidP="004402BD">
      <w:pPr>
        <w:pStyle w:val="ListParagraph"/>
        <w:numPr>
          <w:ilvl w:val="0"/>
          <w:numId w:val="6"/>
        </w:numPr>
        <w:spacing w:before="60" w:after="60"/>
        <w:ind w:left="851" w:hanging="284"/>
        <w:contextualSpacing w:val="0"/>
        <w:jc w:val="left"/>
        <w:rPr>
          <w:rFonts w:asciiTheme="minorHAnsi" w:hAnsiTheme="minorHAnsi" w:cstheme="minorHAnsi"/>
          <w:lang w:val="en-AU"/>
        </w:rPr>
      </w:pPr>
      <w:r w:rsidRPr="00A86505">
        <w:rPr>
          <w:rFonts w:asciiTheme="minorHAnsi" w:hAnsiTheme="minorHAnsi" w:cstheme="minorHAnsi"/>
          <w:lang w:val="en-AU"/>
        </w:rPr>
        <w:t xml:space="preserve">a guide to the quality of educational experiences that students </w:t>
      </w:r>
      <w:r w:rsidR="005B2693" w:rsidRPr="00A86505">
        <w:rPr>
          <w:rFonts w:asciiTheme="minorHAnsi" w:hAnsiTheme="minorHAnsi" w:cstheme="minorHAnsi"/>
          <w:lang w:val="en-AU"/>
        </w:rPr>
        <w:t xml:space="preserve">should </w:t>
      </w:r>
      <w:r w:rsidRPr="00A86505">
        <w:rPr>
          <w:rFonts w:asciiTheme="minorHAnsi" w:hAnsiTheme="minorHAnsi" w:cstheme="minorHAnsi"/>
          <w:lang w:val="en-AU"/>
        </w:rPr>
        <w:t>expect</w:t>
      </w:r>
    </w:p>
    <w:p w14:paraId="3FF46103" w14:textId="77777777" w:rsidR="004402BD" w:rsidRPr="00A86505" w:rsidRDefault="004402BD" w:rsidP="004402BD">
      <w:pPr>
        <w:pStyle w:val="ListParagraph"/>
        <w:numPr>
          <w:ilvl w:val="0"/>
          <w:numId w:val="6"/>
        </w:numPr>
        <w:spacing w:before="60" w:after="60"/>
        <w:ind w:left="851" w:hanging="284"/>
        <w:contextualSpacing w:val="0"/>
        <w:jc w:val="left"/>
        <w:rPr>
          <w:rFonts w:asciiTheme="minorHAnsi" w:hAnsiTheme="minorHAnsi" w:cstheme="minorHAnsi"/>
          <w:lang w:val="en-AU"/>
        </w:rPr>
      </w:pPr>
      <w:r w:rsidRPr="00A86505">
        <w:rPr>
          <w:rFonts w:asciiTheme="minorHAnsi" w:hAnsiTheme="minorHAnsi" w:cstheme="minorHAnsi"/>
          <w:lang w:val="en-AU"/>
        </w:rPr>
        <w:t>a reference for international comparisons of</w:t>
      </w:r>
      <w:r w:rsidR="005B2693" w:rsidRPr="00A86505">
        <w:rPr>
          <w:rFonts w:asciiTheme="minorHAnsi" w:hAnsiTheme="minorHAnsi" w:cstheme="minorHAnsi"/>
          <w:lang w:val="en-AU"/>
        </w:rPr>
        <w:t xml:space="preserve"> the provision of</w:t>
      </w:r>
      <w:r w:rsidRPr="00A86505">
        <w:rPr>
          <w:rFonts w:asciiTheme="minorHAnsi" w:hAnsiTheme="minorHAnsi" w:cstheme="minorHAnsi"/>
          <w:lang w:val="en-AU"/>
        </w:rPr>
        <w:t xml:space="preserve"> higher education</w:t>
      </w:r>
    </w:p>
    <w:p w14:paraId="1D3A78C6" w14:textId="73F2B0D7" w:rsidR="004402BD" w:rsidRPr="00A86505" w:rsidRDefault="004402BD" w:rsidP="004402BD">
      <w:pPr>
        <w:pStyle w:val="ListParagraph"/>
        <w:numPr>
          <w:ilvl w:val="0"/>
          <w:numId w:val="6"/>
        </w:numPr>
        <w:spacing w:before="60" w:after="60"/>
        <w:ind w:left="851" w:hanging="284"/>
        <w:contextualSpacing w:val="0"/>
        <w:jc w:val="left"/>
        <w:rPr>
          <w:rFonts w:asciiTheme="minorHAnsi" w:hAnsiTheme="minorHAnsi" w:cstheme="minorHAnsi"/>
          <w:lang w:val="en-AU"/>
        </w:rPr>
      </w:pPr>
      <w:r w:rsidRPr="00A86505">
        <w:rPr>
          <w:rFonts w:asciiTheme="minorHAnsi" w:hAnsiTheme="minorHAnsi" w:cstheme="minorHAnsi"/>
          <w:lang w:val="en-AU"/>
        </w:rPr>
        <w:t>a reference for other interested parties</w:t>
      </w:r>
      <w:r w:rsidR="00C2321B" w:rsidRPr="00A86505">
        <w:rPr>
          <w:rFonts w:asciiTheme="minorHAnsi" w:hAnsiTheme="minorHAnsi" w:cstheme="minorHAnsi"/>
          <w:lang w:val="en-AU"/>
        </w:rPr>
        <w:t>;</w:t>
      </w:r>
      <w:r w:rsidRPr="00A86505">
        <w:rPr>
          <w:rFonts w:asciiTheme="minorHAnsi" w:hAnsiTheme="minorHAnsi" w:cstheme="minorHAnsi"/>
          <w:lang w:val="en-AU"/>
        </w:rPr>
        <w:t xml:space="preserve"> and</w:t>
      </w:r>
    </w:p>
    <w:p w14:paraId="6737FEBF" w14:textId="77777777" w:rsidR="004402BD" w:rsidRPr="00A86505" w:rsidRDefault="004402BD">
      <w:pPr>
        <w:pStyle w:val="ListParagraph"/>
        <w:numPr>
          <w:ilvl w:val="0"/>
          <w:numId w:val="5"/>
        </w:numPr>
        <w:spacing w:before="60" w:after="60"/>
        <w:ind w:left="568" w:hanging="284"/>
        <w:contextualSpacing w:val="0"/>
        <w:jc w:val="left"/>
        <w:rPr>
          <w:rFonts w:asciiTheme="minorHAnsi" w:hAnsiTheme="minorHAnsi" w:cstheme="minorHAnsi"/>
          <w:lang w:val="en-AU"/>
        </w:rPr>
      </w:pPr>
      <w:r w:rsidRPr="00A86505">
        <w:rPr>
          <w:rFonts w:asciiTheme="minorHAnsi" w:hAnsiTheme="minorHAnsi" w:cstheme="minorHAnsi"/>
          <w:lang w:val="en-AU"/>
        </w:rPr>
        <w:t xml:space="preserve">a </w:t>
      </w:r>
      <w:r w:rsidR="00E92CC8" w:rsidRPr="00A86505">
        <w:rPr>
          <w:rFonts w:asciiTheme="minorHAnsi" w:hAnsiTheme="minorHAnsi" w:cstheme="minorHAnsi"/>
          <w:lang w:val="en-AU"/>
        </w:rPr>
        <w:t>model</w:t>
      </w:r>
      <w:r w:rsidR="005B2693" w:rsidRPr="00A86505">
        <w:rPr>
          <w:rFonts w:asciiTheme="minorHAnsi" w:hAnsiTheme="minorHAnsi" w:cstheme="minorHAnsi"/>
          <w:lang w:val="en-AU"/>
        </w:rPr>
        <w:t xml:space="preserve"> </w:t>
      </w:r>
      <w:r w:rsidRPr="00A86505">
        <w:rPr>
          <w:rFonts w:asciiTheme="minorHAnsi" w:hAnsiTheme="minorHAnsi" w:cstheme="minorHAnsi"/>
          <w:lang w:val="en-AU"/>
        </w:rPr>
        <w:t xml:space="preserve">framework </w:t>
      </w:r>
      <w:r w:rsidR="00D204F6" w:rsidRPr="00A86505">
        <w:rPr>
          <w:rFonts w:asciiTheme="minorHAnsi" w:hAnsiTheme="minorHAnsi" w:cstheme="minorHAnsi"/>
          <w:lang w:val="en-AU"/>
        </w:rPr>
        <w:t>which higher education providers</w:t>
      </w:r>
      <w:r w:rsidR="00D204F6" w:rsidRPr="00A86505">
        <w:rPr>
          <w:rFonts w:asciiTheme="minorHAnsi" w:hAnsiTheme="minorHAnsi" w:cstheme="minorHAnsi"/>
        </w:rPr>
        <w:t xml:space="preserve"> can themselves apply</w:t>
      </w:r>
      <w:r w:rsidR="00D204F6" w:rsidRPr="00A86505">
        <w:rPr>
          <w:rFonts w:asciiTheme="minorHAnsi" w:hAnsiTheme="minorHAnsi" w:cstheme="minorHAnsi"/>
          <w:lang w:val="en-AU"/>
        </w:rPr>
        <w:t xml:space="preserve"> </w:t>
      </w:r>
      <w:r w:rsidR="00E92CC8" w:rsidRPr="00A86505">
        <w:rPr>
          <w:rFonts w:asciiTheme="minorHAnsi" w:hAnsiTheme="minorHAnsi" w:cstheme="minorHAnsi"/>
          <w:lang w:val="en-AU"/>
        </w:rPr>
        <w:t xml:space="preserve">for </w:t>
      </w:r>
      <w:r w:rsidR="005B2693" w:rsidRPr="00A86505">
        <w:rPr>
          <w:rFonts w:asciiTheme="minorHAnsi" w:hAnsiTheme="minorHAnsi" w:cstheme="minorHAnsi"/>
          <w:lang w:val="en-AU"/>
        </w:rPr>
        <w:t xml:space="preserve">the </w:t>
      </w:r>
      <w:r w:rsidRPr="00A86505">
        <w:rPr>
          <w:rFonts w:asciiTheme="minorHAnsi" w:hAnsiTheme="minorHAnsi" w:cstheme="minorHAnsi"/>
          <w:lang w:val="en-AU"/>
        </w:rPr>
        <w:t xml:space="preserve">internal monitoring, quality assurance and quality improvement of </w:t>
      </w:r>
      <w:r w:rsidR="00E92CC8" w:rsidRPr="00A86505">
        <w:rPr>
          <w:rFonts w:asciiTheme="minorHAnsi" w:hAnsiTheme="minorHAnsi" w:cstheme="minorHAnsi"/>
          <w:lang w:val="en-AU"/>
        </w:rPr>
        <w:t xml:space="preserve">their </w:t>
      </w:r>
      <w:r w:rsidRPr="00A86505">
        <w:rPr>
          <w:rFonts w:asciiTheme="minorHAnsi" w:hAnsiTheme="minorHAnsi" w:cstheme="minorHAnsi"/>
          <w:lang w:val="en-AU"/>
        </w:rPr>
        <w:t>higher education activities.</w:t>
      </w:r>
    </w:p>
    <w:p w14:paraId="6A34D5C7" w14:textId="77777777" w:rsidR="004402BD" w:rsidRPr="00A86505" w:rsidRDefault="004402BD" w:rsidP="000D7CC0">
      <w:pPr>
        <w:jc w:val="left"/>
        <w:rPr>
          <w:rFonts w:asciiTheme="minorHAnsi" w:hAnsiTheme="minorHAnsi" w:cstheme="minorHAnsi"/>
          <w:lang w:val="en-AU"/>
        </w:rPr>
      </w:pPr>
    </w:p>
    <w:p w14:paraId="07FA1ED2" w14:textId="357B805B" w:rsidR="004402BD" w:rsidRPr="00A86505" w:rsidRDefault="004402BD" w:rsidP="00141663">
      <w:pPr>
        <w:contextualSpacing/>
        <w:jc w:val="left"/>
        <w:rPr>
          <w:rFonts w:asciiTheme="minorHAnsi" w:hAnsiTheme="minorHAnsi" w:cstheme="minorHAnsi"/>
          <w:b/>
        </w:rPr>
      </w:pPr>
      <w:r w:rsidRPr="00A86505">
        <w:rPr>
          <w:rFonts w:asciiTheme="minorHAnsi" w:hAnsiTheme="minorHAnsi" w:cstheme="minorHAnsi"/>
          <w:b/>
        </w:rPr>
        <w:t>R</w:t>
      </w:r>
      <w:r w:rsidR="004D51E0" w:rsidRPr="00A86505">
        <w:rPr>
          <w:rFonts w:asciiTheme="minorHAnsi" w:hAnsiTheme="minorHAnsi" w:cstheme="minorHAnsi"/>
          <w:b/>
        </w:rPr>
        <w:t>OLE OF THE THRESHOLD STANDARDS FOR STUDENTS</w:t>
      </w:r>
    </w:p>
    <w:p w14:paraId="217D0481" w14:textId="77777777" w:rsidR="004402BD" w:rsidRPr="00A86505" w:rsidRDefault="004402BD" w:rsidP="004402BD">
      <w:pPr>
        <w:jc w:val="left"/>
        <w:rPr>
          <w:rFonts w:asciiTheme="minorHAnsi" w:hAnsiTheme="minorHAnsi" w:cstheme="minorHAnsi"/>
        </w:rPr>
      </w:pPr>
    </w:p>
    <w:p w14:paraId="542294C4" w14:textId="32ABFA8E" w:rsidR="004402BD" w:rsidRPr="00A86505" w:rsidRDefault="004402BD" w:rsidP="004402BD">
      <w:pPr>
        <w:jc w:val="left"/>
        <w:rPr>
          <w:rFonts w:asciiTheme="minorHAnsi" w:hAnsiTheme="minorHAnsi" w:cstheme="minorHAnsi"/>
        </w:rPr>
      </w:pPr>
      <w:r w:rsidRPr="00A86505">
        <w:rPr>
          <w:rFonts w:asciiTheme="minorHAnsi" w:hAnsiTheme="minorHAnsi" w:cstheme="minorHAnsi"/>
        </w:rPr>
        <w:t xml:space="preserve">Protection of the quality of the educational experience of students is of prime importance among the objects of </w:t>
      </w:r>
      <w:r w:rsidR="00CF7998" w:rsidRPr="00A86505">
        <w:rPr>
          <w:rFonts w:asciiTheme="minorHAnsi" w:hAnsiTheme="minorHAnsi" w:cstheme="minorHAnsi"/>
        </w:rPr>
        <w:t xml:space="preserve">the </w:t>
      </w:r>
      <w:r w:rsidR="0006513B" w:rsidRPr="00A86505">
        <w:rPr>
          <w:rFonts w:asciiTheme="minorHAnsi" w:hAnsiTheme="minorHAnsi" w:cstheme="minorHAnsi"/>
        </w:rPr>
        <w:t>TEQSA Act</w:t>
      </w:r>
      <w:r w:rsidRPr="00A86505">
        <w:rPr>
          <w:rFonts w:asciiTheme="minorHAnsi" w:hAnsiTheme="minorHAnsi" w:cstheme="minorHAnsi"/>
        </w:rPr>
        <w:t xml:space="preserve"> and is central to the </w:t>
      </w:r>
      <w:r w:rsidR="00DF7132" w:rsidRPr="00A86505">
        <w:rPr>
          <w:rFonts w:asciiTheme="minorHAnsi" w:hAnsiTheme="minorHAnsi" w:cstheme="minorHAnsi"/>
        </w:rPr>
        <w:t>Threshold Standards</w:t>
      </w:r>
      <w:r w:rsidRPr="00A86505">
        <w:rPr>
          <w:rFonts w:asciiTheme="minorHAnsi" w:hAnsiTheme="minorHAnsi" w:cstheme="minorHAnsi"/>
        </w:rPr>
        <w:t>. The</w:t>
      </w:r>
      <w:r w:rsidR="000064F4" w:rsidRPr="00A86505">
        <w:rPr>
          <w:rFonts w:asciiTheme="minorHAnsi" w:hAnsiTheme="minorHAnsi" w:cstheme="minorHAnsi"/>
        </w:rPr>
        <w:t xml:space="preserve"> </w:t>
      </w:r>
      <w:r w:rsidR="00DF7132" w:rsidRPr="00A86505">
        <w:rPr>
          <w:rFonts w:asciiTheme="minorHAnsi" w:hAnsiTheme="minorHAnsi" w:cstheme="minorHAnsi"/>
        </w:rPr>
        <w:t>Threshold Standards</w:t>
      </w:r>
      <w:r w:rsidR="000064F4" w:rsidRPr="00A86505">
        <w:rPr>
          <w:rFonts w:asciiTheme="minorHAnsi" w:hAnsiTheme="minorHAnsi" w:cstheme="minorHAnsi"/>
        </w:rPr>
        <w:t xml:space="preserve"> </w:t>
      </w:r>
      <w:r w:rsidRPr="00A86505">
        <w:rPr>
          <w:rFonts w:asciiTheme="minorHAnsi" w:hAnsiTheme="minorHAnsi" w:cstheme="minorHAnsi"/>
        </w:rPr>
        <w:t>inform students and other interested parties of the expectations o</w:t>
      </w:r>
      <w:r w:rsidR="00E450A1" w:rsidRPr="00A86505">
        <w:rPr>
          <w:rFonts w:asciiTheme="minorHAnsi" w:hAnsiTheme="minorHAnsi" w:cstheme="minorHAnsi"/>
        </w:rPr>
        <w:t>n</w:t>
      </w:r>
      <w:r w:rsidRPr="00A86505">
        <w:rPr>
          <w:rFonts w:asciiTheme="minorHAnsi" w:hAnsiTheme="minorHAnsi" w:cstheme="minorHAnsi"/>
        </w:rPr>
        <w:t xml:space="preserve"> higher education providers </w:t>
      </w:r>
      <w:r w:rsidR="00E450A1" w:rsidRPr="00A86505">
        <w:rPr>
          <w:rFonts w:asciiTheme="minorHAnsi" w:hAnsiTheme="minorHAnsi" w:cstheme="minorHAnsi"/>
        </w:rPr>
        <w:t>regarding</w:t>
      </w:r>
      <w:r w:rsidRPr="00A86505">
        <w:rPr>
          <w:rFonts w:asciiTheme="minorHAnsi" w:hAnsiTheme="minorHAnsi" w:cstheme="minorHAnsi"/>
        </w:rPr>
        <w:t xml:space="preserve"> the delivery of higher education in</w:t>
      </w:r>
      <w:r w:rsidR="0023453A" w:rsidRPr="00A86505">
        <w:rPr>
          <w:rFonts w:asciiTheme="minorHAnsi" w:hAnsiTheme="minorHAnsi" w:cstheme="minorHAnsi"/>
        </w:rPr>
        <w:t>,</w:t>
      </w:r>
      <w:r w:rsidRPr="00A86505">
        <w:rPr>
          <w:rFonts w:asciiTheme="minorHAnsi" w:hAnsiTheme="minorHAnsi" w:cstheme="minorHAnsi"/>
        </w:rPr>
        <w:t xml:space="preserve"> or from</w:t>
      </w:r>
      <w:r w:rsidR="0023453A" w:rsidRPr="00A86505">
        <w:rPr>
          <w:rFonts w:asciiTheme="minorHAnsi" w:hAnsiTheme="minorHAnsi" w:cstheme="minorHAnsi"/>
        </w:rPr>
        <w:t>,</w:t>
      </w:r>
      <w:r w:rsidRPr="00A86505">
        <w:rPr>
          <w:rFonts w:asciiTheme="minorHAnsi" w:hAnsiTheme="minorHAnsi" w:cstheme="minorHAnsi"/>
        </w:rPr>
        <w:t xml:space="preserve"> Australia. The </w:t>
      </w:r>
      <w:r w:rsidR="00DF7132" w:rsidRPr="00A86505">
        <w:rPr>
          <w:rFonts w:asciiTheme="minorHAnsi" w:hAnsiTheme="minorHAnsi" w:cstheme="minorHAnsi"/>
        </w:rPr>
        <w:t>Threshold Standards</w:t>
      </w:r>
      <w:r w:rsidR="000064F4" w:rsidRPr="00A86505">
        <w:rPr>
          <w:rFonts w:asciiTheme="minorHAnsi" w:hAnsiTheme="minorHAnsi" w:cstheme="minorHAnsi"/>
        </w:rPr>
        <w:t xml:space="preserve"> </w:t>
      </w:r>
      <w:r w:rsidRPr="00A86505">
        <w:rPr>
          <w:rFonts w:asciiTheme="minorHAnsi" w:hAnsiTheme="minorHAnsi" w:cstheme="minorHAnsi"/>
        </w:rPr>
        <w:t xml:space="preserve">also enable and support prospective and enrolled students to make informed choices through specific </w:t>
      </w:r>
      <w:r w:rsidR="00D204F6" w:rsidRPr="00A86505">
        <w:rPr>
          <w:rFonts w:asciiTheme="minorHAnsi" w:hAnsiTheme="minorHAnsi" w:cstheme="minorHAnsi"/>
        </w:rPr>
        <w:t xml:space="preserve">requirements </w:t>
      </w:r>
      <w:r w:rsidRPr="00A86505">
        <w:rPr>
          <w:rFonts w:asciiTheme="minorHAnsi" w:hAnsiTheme="minorHAnsi" w:cstheme="minorHAnsi"/>
        </w:rPr>
        <w:t xml:space="preserve">for </w:t>
      </w:r>
      <w:r w:rsidR="000064F4" w:rsidRPr="00A86505">
        <w:rPr>
          <w:rFonts w:asciiTheme="minorHAnsi" w:hAnsiTheme="minorHAnsi" w:cstheme="minorHAnsi"/>
        </w:rPr>
        <w:t xml:space="preserve">the </w:t>
      </w:r>
      <w:r w:rsidRPr="00A86505">
        <w:rPr>
          <w:rFonts w:asciiTheme="minorHAnsi" w:hAnsiTheme="minorHAnsi" w:cstheme="minorHAnsi"/>
        </w:rPr>
        <w:t>provision of comprehensive, timely, accurate and publicly</w:t>
      </w:r>
      <w:r w:rsidR="0023453A" w:rsidRPr="00A86505">
        <w:rPr>
          <w:rFonts w:asciiTheme="minorHAnsi" w:hAnsiTheme="minorHAnsi" w:cstheme="minorHAnsi"/>
        </w:rPr>
        <w:t xml:space="preserve"> </w:t>
      </w:r>
      <w:r w:rsidRPr="00A86505">
        <w:rPr>
          <w:rFonts w:asciiTheme="minorHAnsi" w:hAnsiTheme="minorHAnsi" w:cstheme="minorHAnsi"/>
        </w:rPr>
        <w:t>available information about a higher education provider’s offerings and operations.</w:t>
      </w:r>
    </w:p>
    <w:p w14:paraId="06C1E96C" w14:textId="77777777" w:rsidR="0046331C" w:rsidRPr="00A86505" w:rsidRDefault="0046331C" w:rsidP="00FF758F">
      <w:pPr>
        <w:tabs>
          <w:tab w:val="clear" w:pos="1134"/>
        </w:tabs>
        <w:jc w:val="left"/>
        <w:rPr>
          <w:rFonts w:asciiTheme="minorHAnsi" w:hAnsiTheme="minorHAnsi" w:cstheme="minorHAnsi"/>
        </w:rPr>
      </w:pPr>
    </w:p>
    <w:p w14:paraId="58248071" w14:textId="356078B0" w:rsidR="00107CE2" w:rsidRPr="00A86505" w:rsidRDefault="007B3B07" w:rsidP="00141663">
      <w:pPr>
        <w:contextualSpacing/>
        <w:jc w:val="left"/>
        <w:rPr>
          <w:rFonts w:asciiTheme="minorHAnsi" w:hAnsiTheme="minorHAnsi" w:cstheme="minorHAnsi"/>
          <w:b/>
        </w:rPr>
      </w:pPr>
      <w:r w:rsidRPr="00A86505">
        <w:rPr>
          <w:rFonts w:asciiTheme="minorHAnsi" w:hAnsiTheme="minorHAnsi" w:cstheme="minorHAnsi"/>
          <w:b/>
        </w:rPr>
        <w:t>STRUCTURE OF THE THRESHOLD STANDARDS</w:t>
      </w:r>
    </w:p>
    <w:p w14:paraId="0B604F56" w14:textId="77777777" w:rsidR="00107CE2" w:rsidRPr="00A86505" w:rsidRDefault="00107CE2" w:rsidP="004402BD">
      <w:pPr>
        <w:pStyle w:val="Subheading"/>
        <w:jc w:val="left"/>
        <w:rPr>
          <w:rFonts w:asciiTheme="minorHAnsi" w:hAnsiTheme="minorHAnsi" w:cstheme="minorHAnsi"/>
          <w:sz w:val="22"/>
          <w:szCs w:val="22"/>
        </w:rPr>
      </w:pPr>
    </w:p>
    <w:p w14:paraId="08D05962" w14:textId="49C6BF06" w:rsidR="00107CE2" w:rsidRPr="00A86505" w:rsidRDefault="008E66F6" w:rsidP="004402BD">
      <w:pPr>
        <w:tabs>
          <w:tab w:val="clear" w:pos="1134"/>
        </w:tabs>
        <w:jc w:val="left"/>
        <w:rPr>
          <w:rFonts w:asciiTheme="minorHAnsi" w:hAnsiTheme="minorHAnsi" w:cstheme="minorHAnsi"/>
        </w:rPr>
      </w:pPr>
      <w:r w:rsidRPr="00A86505">
        <w:rPr>
          <w:rFonts w:asciiTheme="minorHAnsi" w:hAnsiTheme="minorHAnsi" w:cstheme="minorHAnsi"/>
        </w:rPr>
        <w:t xml:space="preserve">Schedule 1 of the </w:t>
      </w:r>
      <w:r w:rsidR="004640EE" w:rsidRPr="00A86505">
        <w:rPr>
          <w:rFonts w:asciiTheme="minorHAnsi" w:hAnsiTheme="minorHAnsi" w:cstheme="minorHAnsi"/>
        </w:rPr>
        <w:t>I</w:t>
      </w:r>
      <w:r w:rsidRPr="00A86505">
        <w:rPr>
          <w:rFonts w:asciiTheme="minorHAnsi" w:hAnsiTheme="minorHAnsi" w:cstheme="minorHAnsi"/>
        </w:rPr>
        <w:t xml:space="preserve">nstrument contains the Threshold Standards. </w:t>
      </w:r>
      <w:r w:rsidR="00107CE2" w:rsidRPr="00A86505">
        <w:rPr>
          <w:rFonts w:asciiTheme="minorHAnsi" w:hAnsiTheme="minorHAnsi" w:cstheme="minorHAnsi"/>
        </w:rPr>
        <w:t>The</w:t>
      </w:r>
      <w:r w:rsidRPr="00A86505">
        <w:rPr>
          <w:rFonts w:asciiTheme="minorHAnsi" w:hAnsiTheme="minorHAnsi" w:cstheme="minorHAnsi"/>
        </w:rPr>
        <w:t>se</w:t>
      </w:r>
      <w:r w:rsidR="00107CE2" w:rsidRPr="00A86505">
        <w:rPr>
          <w:rFonts w:asciiTheme="minorHAnsi" w:hAnsiTheme="minorHAnsi" w:cstheme="minorHAnsi"/>
        </w:rPr>
        <w:t xml:space="preserve"> consist of t</w:t>
      </w:r>
      <w:r w:rsidR="00FE2667" w:rsidRPr="00A86505">
        <w:rPr>
          <w:rFonts w:asciiTheme="minorHAnsi" w:hAnsiTheme="minorHAnsi" w:cstheme="minorHAnsi"/>
        </w:rPr>
        <w:t>wo</w:t>
      </w:r>
      <w:r w:rsidR="00107CE2" w:rsidRPr="00A86505">
        <w:rPr>
          <w:rFonts w:asciiTheme="minorHAnsi" w:hAnsiTheme="minorHAnsi" w:cstheme="minorHAnsi"/>
        </w:rPr>
        <w:t xml:space="preserve"> parts:</w:t>
      </w:r>
    </w:p>
    <w:p w14:paraId="3C01AE7D" w14:textId="77777777" w:rsidR="00107CE2" w:rsidRPr="00A86505" w:rsidRDefault="00107CE2" w:rsidP="004402BD">
      <w:pPr>
        <w:tabs>
          <w:tab w:val="clear" w:pos="1134"/>
        </w:tabs>
        <w:jc w:val="left"/>
        <w:rPr>
          <w:rFonts w:asciiTheme="minorHAnsi" w:hAnsiTheme="minorHAnsi" w:cstheme="minorHAnsi"/>
        </w:rPr>
      </w:pPr>
    </w:p>
    <w:p w14:paraId="278FB97E" w14:textId="77777777" w:rsidR="00107CE2" w:rsidRPr="00A86505" w:rsidRDefault="00107CE2" w:rsidP="004402BD">
      <w:pPr>
        <w:pStyle w:val="Subheading"/>
        <w:spacing w:after="120"/>
        <w:ind w:left="567"/>
        <w:jc w:val="left"/>
        <w:rPr>
          <w:rFonts w:asciiTheme="minorHAnsi" w:hAnsiTheme="minorHAnsi" w:cstheme="minorHAnsi"/>
          <w:sz w:val="22"/>
          <w:szCs w:val="22"/>
        </w:rPr>
      </w:pPr>
      <w:r w:rsidRPr="00A86505">
        <w:rPr>
          <w:rFonts w:asciiTheme="minorHAnsi" w:hAnsiTheme="minorHAnsi" w:cstheme="minorHAnsi"/>
          <w:sz w:val="22"/>
          <w:szCs w:val="22"/>
        </w:rPr>
        <w:t>Part A: Standards for Higher Education</w:t>
      </w:r>
    </w:p>
    <w:p w14:paraId="4FCBE692" w14:textId="606625D4" w:rsidR="00107CE2" w:rsidRPr="00A86505" w:rsidRDefault="00D204F6" w:rsidP="004402BD">
      <w:pPr>
        <w:tabs>
          <w:tab w:val="clear" w:pos="1134"/>
        </w:tabs>
        <w:ind w:left="567"/>
        <w:jc w:val="left"/>
        <w:rPr>
          <w:rFonts w:asciiTheme="minorHAnsi" w:hAnsiTheme="minorHAnsi" w:cstheme="minorHAnsi"/>
          <w:lang w:val="en-AU"/>
        </w:rPr>
      </w:pPr>
      <w:r w:rsidRPr="00A86505">
        <w:rPr>
          <w:rFonts w:asciiTheme="minorHAnsi" w:hAnsiTheme="minorHAnsi" w:cstheme="minorHAnsi"/>
        </w:rPr>
        <w:t>This part</w:t>
      </w:r>
      <w:r w:rsidR="00107CE2" w:rsidRPr="00A86505">
        <w:rPr>
          <w:rFonts w:asciiTheme="minorHAnsi" w:hAnsiTheme="minorHAnsi" w:cstheme="minorHAnsi"/>
        </w:rPr>
        <w:t xml:space="preserve"> </w:t>
      </w:r>
      <w:r w:rsidRPr="00A86505">
        <w:rPr>
          <w:rFonts w:asciiTheme="minorHAnsi" w:hAnsiTheme="minorHAnsi" w:cstheme="minorHAnsi"/>
        </w:rPr>
        <w:t>sets out</w:t>
      </w:r>
      <w:r w:rsidR="00107CE2" w:rsidRPr="00A86505">
        <w:rPr>
          <w:rFonts w:asciiTheme="minorHAnsi" w:hAnsiTheme="minorHAnsi" w:cstheme="minorHAnsi"/>
          <w:lang w:val="en-AU"/>
        </w:rPr>
        <w:t xml:space="preserve"> the minimum acceptable requirements for the provision of higher education in</w:t>
      </w:r>
      <w:r w:rsidR="00275C43" w:rsidRPr="00A86505">
        <w:rPr>
          <w:rFonts w:asciiTheme="minorHAnsi" w:hAnsiTheme="minorHAnsi" w:cstheme="minorHAnsi"/>
          <w:lang w:val="en-AU"/>
        </w:rPr>
        <w:t>,</w:t>
      </w:r>
      <w:r w:rsidR="00107CE2" w:rsidRPr="00A86505">
        <w:rPr>
          <w:rFonts w:asciiTheme="minorHAnsi" w:hAnsiTheme="minorHAnsi" w:cstheme="minorHAnsi"/>
          <w:lang w:val="en-AU"/>
        </w:rPr>
        <w:t xml:space="preserve"> or from</w:t>
      </w:r>
      <w:r w:rsidR="00275C43" w:rsidRPr="00A86505">
        <w:rPr>
          <w:rFonts w:asciiTheme="minorHAnsi" w:hAnsiTheme="minorHAnsi" w:cstheme="minorHAnsi"/>
          <w:lang w:val="en-AU"/>
        </w:rPr>
        <w:t>,</w:t>
      </w:r>
      <w:r w:rsidR="00107CE2" w:rsidRPr="00A86505">
        <w:rPr>
          <w:rFonts w:asciiTheme="minorHAnsi" w:hAnsiTheme="minorHAnsi" w:cstheme="minorHAnsi"/>
          <w:lang w:val="en-AU"/>
        </w:rPr>
        <w:t xml:space="preserve"> Australia by higher education providers registered under </w:t>
      </w:r>
      <w:r w:rsidR="00CF7998" w:rsidRPr="00A86505">
        <w:rPr>
          <w:rFonts w:asciiTheme="minorHAnsi" w:hAnsiTheme="minorHAnsi" w:cstheme="minorHAnsi"/>
          <w:lang w:val="en-AU"/>
        </w:rPr>
        <w:t xml:space="preserve">the </w:t>
      </w:r>
      <w:r w:rsidR="0006513B" w:rsidRPr="00A86505">
        <w:rPr>
          <w:rFonts w:asciiTheme="minorHAnsi" w:hAnsiTheme="minorHAnsi" w:cstheme="minorHAnsi"/>
          <w:lang w:val="en-AU"/>
        </w:rPr>
        <w:t>TEQSA Act</w:t>
      </w:r>
      <w:r w:rsidR="00107CE2" w:rsidRPr="00A86505">
        <w:rPr>
          <w:rFonts w:asciiTheme="minorHAnsi" w:hAnsiTheme="minorHAnsi" w:cstheme="minorHAnsi"/>
          <w:lang w:val="en-AU"/>
        </w:rPr>
        <w:t>.</w:t>
      </w:r>
    </w:p>
    <w:p w14:paraId="5C595A09" w14:textId="77777777" w:rsidR="004402BD" w:rsidRPr="00A86505" w:rsidRDefault="004402BD" w:rsidP="004402BD">
      <w:pPr>
        <w:tabs>
          <w:tab w:val="clear" w:pos="1134"/>
        </w:tabs>
        <w:ind w:left="567"/>
        <w:jc w:val="left"/>
        <w:rPr>
          <w:rFonts w:asciiTheme="minorHAnsi" w:hAnsiTheme="minorHAnsi" w:cstheme="minorHAnsi"/>
          <w:lang w:val="en-AU"/>
        </w:rPr>
      </w:pPr>
    </w:p>
    <w:p w14:paraId="6ADFF3CB" w14:textId="77777777" w:rsidR="004402BD" w:rsidRPr="00A86505" w:rsidRDefault="000064F4" w:rsidP="00FF758F">
      <w:pPr>
        <w:tabs>
          <w:tab w:val="clear" w:pos="1134"/>
        </w:tabs>
        <w:ind w:left="567"/>
        <w:jc w:val="left"/>
        <w:rPr>
          <w:rFonts w:asciiTheme="minorHAnsi" w:hAnsiTheme="minorHAnsi" w:cstheme="minorHAnsi"/>
        </w:rPr>
      </w:pPr>
      <w:r w:rsidRPr="00A86505">
        <w:rPr>
          <w:rFonts w:asciiTheme="minorHAnsi" w:hAnsiTheme="minorHAnsi" w:cstheme="minorHAnsi"/>
        </w:rPr>
        <w:t>T</w:t>
      </w:r>
      <w:r w:rsidR="004402BD" w:rsidRPr="00A86505">
        <w:rPr>
          <w:rFonts w:asciiTheme="minorHAnsi" w:hAnsiTheme="minorHAnsi" w:cstheme="minorHAnsi"/>
        </w:rPr>
        <w:t>he Standards for Higher Education are organised into seven ‘Domains’:</w:t>
      </w:r>
    </w:p>
    <w:p w14:paraId="2C989B7F" w14:textId="77777777" w:rsidR="000064F4" w:rsidRPr="00A86505" w:rsidRDefault="000064F4" w:rsidP="00FF758F">
      <w:pPr>
        <w:tabs>
          <w:tab w:val="clear" w:pos="1134"/>
        </w:tabs>
        <w:ind w:left="567"/>
        <w:jc w:val="left"/>
        <w:rPr>
          <w:rFonts w:asciiTheme="minorHAnsi" w:hAnsiTheme="minorHAnsi" w:cstheme="minorHAnsi"/>
        </w:rPr>
      </w:pPr>
    </w:p>
    <w:p w14:paraId="75922E93" w14:textId="77777777" w:rsidR="004402BD" w:rsidRPr="00A86505" w:rsidRDefault="00B2411E" w:rsidP="00FF758F">
      <w:pPr>
        <w:pStyle w:val="ListParagraph"/>
        <w:numPr>
          <w:ilvl w:val="0"/>
          <w:numId w:val="13"/>
        </w:numPr>
        <w:tabs>
          <w:tab w:val="clear" w:pos="1134"/>
        </w:tabs>
        <w:jc w:val="left"/>
        <w:rPr>
          <w:rFonts w:asciiTheme="minorHAnsi" w:hAnsiTheme="minorHAnsi" w:cstheme="minorHAnsi"/>
        </w:rPr>
      </w:pPr>
      <w:hyperlink w:anchor="Domain1" w:history="1">
        <w:r w:rsidR="004402BD" w:rsidRPr="00A86505">
          <w:rPr>
            <w:rFonts w:asciiTheme="minorHAnsi" w:hAnsiTheme="minorHAnsi" w:cstheme="minorHAnsi"/>
          </w:rPr>
          <w:t>Student Participation and Attainment</w:t>
        </w:r>
      </w:hyperlink>
      <w:r w:rsidR="004402BD" w:rsidRPr="00A86505">
        <w:rPr>
          <w:rFonts w:asciiTheme="minorHAnsi" w:hAnsiTheme="minorHAnsi" w:cstheme="minorHAnsi"/>
        </w:rPr>
        <w:t xml:space="preserve"> </w:t>
      </w:r>
    </w:p>
    <w:p w14:paraId="0411BCA2" w14:textId="77777777" w:rsidR="004402BD" w:rsidRPr="00A86505" w:rsidRDefault="00B2411E" w:rsidP="00FF758F">
      <w:pPr>
        <w:pStyle w:val="ListParagraph"/>
        <w:numPr>
          <w:ilvl w:val="0"/>
          <w:numId w:val="13"/>
        </w:numPr>
        <w:tabs>
          <w:tab w:val="clear" w:pos="1134"/>
        </w:tabs>
        <w:jc w:val="left"/>
        <w:rPr>
          <w:rFonts w:asciiTheme="minorHAnsi" w:hAnsiTheme="minorHAnsi" w:cstheme="minorHAnsi"/>
        </w:rPr>
      </w:pPr>
      <w:hyperlink w:anchor="Domain2" w:history="1">
        <w:r w:rsidR="004402BD" w:rsidRPr="00A86505">
          <w:rPr>
            <w:rFonts w:asciiTheme="minorHAnsi" w:hAnsiTheme="minorHAnsi" w:cstheme="minorHAnsi"/>
          </w:rPr>
          <w:t>Learning Environment</w:t>
        </w:r>
      </w:hyperlink>
    </w:p>
    <w:p w14:paraId="377E56D0" w14:textId="77777777" w:rsidR="004402BD" w:rsidRPr="00A86505" w:rsidRDefault="00B2411E" w:rsidP="00FF758F">
      <w:pPr>
        <w:pStyle w:val="ListParagraph"/>
        <w:numPr>
          <w:ilvl w:val="0"/>
          <w:numId w:val="13"/>
        </w:numPr>
        <w:tabs>
          <w:tab w:val="clear" w:pos="1134"/>
        </w:tabs>
        <w:jc w:val="left"/>
        <w:rPr>
          <w:rFonts w:asciiTheme="minorHAnsi" w:hAnsiTheme="minorHAnsi" w:cstheme="minorHAnsi"/>
        </w:rPr>
      </w:pPr>
      <w:hyperlink w:anchor="Domain3" w:history="1">
        <w:r w:rsidR="004402BD" w:rsidRPr="00A86505">
          <w:rPr>
            <w:rFonts w:asciiTheme="minorHAnsi" w:hAnsiTheme="minorHAnsi" w:cstheme="minorHAnsi"/>
          </w:rPr>
          <w:t>Teaching</w:t>
        </w:r>
      </w:hyperlink>
      <w:r w:rsidR="004402BD" w:rsidRPr="00A86505">
        <w:rPr>
          <w:rFonts w:asciiTheme="minorHAnsi" w:hAnsiTheme="minorHAnsi" w:cstheme="minorHAnsi"/>
        </w:rPr>
        <w:t xml:space="preserve"> </w:t>
      </w:r>
    </w:p>
    <w:p w14:paraId="04D539BD" w14:textId="77777777" w:rsidR="004402BD" w:rsidRPr="00A86505" w:rsidRDefault="00B2411E" w:rsidP="00FF758F">
      <w:pPr>
        <w:pStyle w:val="ListParagraph"/>
        <w:numPr>
          <w:ilvl w:val="0"/>
          <w:numId w:val="13"/>
        </w:numPr>
        <w:tabs>
          <w:tab w:val="clear" w:pos="1134"/>
        </w:tabs>
        <w:jc w:val="left"/>
        <w:rPr>
          <w:rFonts w:asciiTheme="minorHAnsi" w:hAnsiTheme="minorHAnsi" w:cstheme="minorHAnsi"/>
        </w:rPr>
      </w:pPr>
      <w:hyperlink w:anchor="Domain4" w:history="1">
        <w:r w:rsidR="004402BD" w:rsidRPr="00A86505">
          <w:rPr>
            <w:rFonts w:asciiTheme="minorHAnsi" w:hAnsiTheme="minorHAnsi" w:cstheme="minorHAnsi"/>
          </w:rPr>
          <w:t>Research and Research Training</w:t>
        </w:r>
      </w:hyperlink>
    </w:p>
    <w:p w14:paraId="0314C8C7" w14:textId="77777777" w:rsidR="004402BD" w:rsidRPr="00A86505" w:rsidRDefault="00B2411E" w:rsidP="00FF758F">
      <w:pPr>
        <w:pStyle w:val="ListParagraph"/>
        <w:numPr>
          <w:ilvl w:val="0"/>
          <w:numId w:val="13"/>
        </w:numPr>
        <w:tabs>
          <w:tab w:val="clear" w:pos="1134"/>
        </w:tabs>
        <w:jc w:val="left"/>
        <w:rPr>
          <w:rFonts w:asciiTheme="minorHAnsi" w:hAnsiTheme="minorHAnsi" w:cstheme="minorHAnsi"/>
        </w:rPr>
      </w:pPr>
      <w:hyperlink w:anchor="Domain5" w:history="1">
        <w:r w:rsidR="004402BD" w:rsidRPr="00A86505">
          <w:rPr>
            <w:rFonts w:asciiTheme="minorHAnsi" w:hAnsiTheme="minorHAnsi" w:cstheme="minorHAnsi"/>
          </w:rPr>
          <w:t>Institutional Quality Assurance</w:t>
        </w:r>
      </w:hyperlink>
    </w:p>
    <w:p w14:paraId="4F6727D9" w14:textId="77777777" w:rsidR="004402BD" w:rsidRPr="00A86505" w:rsidRDefault="00B2411E" w:rsidP="00FF758F">
      <w:pPr>
        <w:pStyle w:val="ListParagraph"/>
        <w:numPr>
          <w:ilvl w:val="0"/>
          <w:numId w:val="13"/>
        </w:numPr>
        <w:tabs>
          <w:tab w:val="clear" w:pos="1134"/>
        </w:tabs>
        <w:jc w:val="left"/>
        <w:rPr>
          <w:rFonts w:asciiTheme="minorHAnsi" w:hAnsiTheme="minorHAnsi" w:cstheme="minorHAnsi"/>
        </w:rPr>
      </w:pPr>
      <w:hyperlink w:anchor="Domain6" w:history="1">
        <w:r w:rsidR="004402BD" w:rsidRPr="00A86505">
          <w:rPr>
            <w:rFonts w:asciiTheme="minorHAnsi" w:hAnsiTheme="minorHAnsi" w:cstheme="minorHAnsi"/>
          </w:rPr>
          <w:t>Governance</w:t>
        </w:r>
      </w:hyperlink>
      <w:r w:rsidR="004402BD" w:rsidRPr="00A86505">
        <w:rPr>
          <w:rFonts w:asciiTheme="minorHAnsi" w:hAnsiTheme="minorHAnsi" w:cstheme="minorHAnsi"/>
        </w:rPr>
        <w:t xml:space="preserve"> and Accountability </w:t>
      </w:r>
    </w:p>
    <w:p w14:paraId="43709A75" w14:textId="77777777" w:rsidR="004402BD" w:rsidRPr="00A86505" w:rsidRDefault="00B2411E" w:rsidP="00FF758F">
      <w:pPr>
        <w:pStyle w:val="ListParagraph"/>
        <w:numPr>
          <w:ilvl w:val="0"/>
          <w:numId w:val="13"/>
        </w:numPr>
        <w:tabs>
          <w:tab w:val="clear" w:pos="1134"/>
        </w:tabs>
        <w:jc w:val="left"/>
        <w:rPr>
          <w:rFonts w:asciiTheme="minorHAnsi" w:hAnsiTheme="minorHAnsi" w:cstheme="minorHAnsi"/>
        </w:rPr>
      </w:pPr>
      <w:hyperlink w:anchor="Domain7" w:history="1">
        <w:r w:rsidR="004402BD" w:rsidRPr="00A86505">
          <w:rPr>
            <w:rFonts w:asciiTheme="minorHAnsi" w:hAnsiTheme="minorHAnsi" w:cstheme="minorHAnsi"/>
          </w:rPr>
          <w:t>Representation, Information and Information Management</w:t>
        </w:r>
      </w:hyperlink>
    </w:p>
    <w:p w14:paraId="3CE975D0" w14:textId="77777777" w:rsidR="00107CE2" w:rsidRPr="00A86505" w:rsidRDefault="00107CE2" w:rsidP="004402BD">
      <w:pPr>
        <w:tabs>
          <w:tab w:val="clear" w:pos="1134"/>
        </w:tabs>
        <w:ind w:left="567"/>
        <w:jc w:val="left"/>
        <w:rPr>
          <w:rFonts w:asciiTheme="minorHAnsi" w:hAnsiTheme="minorHAnsi" w:cstheme="minorHAnsi"/>
        </w:rPr>
      </w:pPr>
    </w:p>
    <w:p w14:paraId="63598919" w14:textId="77777777" w:rsidR="00107CE2" w:rsidRPr="00A86505" w:rsidRDefault="00107CE2" w:rsidP="004402BD">
      <w:pPr>
        <w:pStyle w:val="Subheading"/>
        <w:spacing w:after="120"/>
        <w:ind w:left="567"/>
        <w:jc w:val="left"/>
        <w:rPr>
          <w:rFonts w:asciiTheme="minorHAnsi" w:hAnsiTheme="minorHAnsi" w:cstheme="minorHAnsi"/>
          <w:sz w:val="22"/>
          <w:szCs w:val="22"/>
        </w:rPr>
      </w:pPr>
      <w:r w:rsidRPr="00A86505">
        <w:rPr>
          <w:rFonts w:asciiTheme="minorHAnsi" w:hAnsiTheme="minorHAnsi" w:cstheme="minorHAnsi"/>
          <w:sz w:val="22"/>
          <w:szCs w:val="22"/>
        </w:rPr>
        <w:t>Part B: Criteria for Higher Education Providers</w:t>
      </w:r>
    </w:p>
    <w:p w14:paraId="0CF9F295" w14:textId="689B35AC" w:rsidR="00AE516F" w:rsidRPr="00A86505" w:rsidRDefault="00107CE2" w:rsidP="004402BD">
      <w:pPr>
        <w:tabs>
          <w:tab w:val="clear" w:pos="1134"/>
        </w:tabs>
        <w:ind w:left="567"/>
        <w:jc w:val="left"/>
        <w:rPr>
          <w:rFonts w:asciiTheme="minorHAnsi" w:hAnsiTheme="minorHAnsi" w:cstheme="minorHAnsi"/>
        </w:rPr>
      </w:pPr>
      <w:r w:rsidRPr="00A86505">
        <w:rPr>
          <w:rFonts w:asciiTheme="minorHAnsi" w:hAnsiTheme="minorHAnsi" w:cstheme="minorHAnsi"/>
        </w:rPr>
        <w:t>Th</w:t>
      </w:r>
      <w:r w:rsidR="00EC46F1" w:rsidRPr="00A86505">
        <w:rPr>
          <w:rFonts w:asciiTheme="minorHAnsi" w:hAnsiTheme="minorHAnsi" w:cstheme="minorHAnsi"/>
        </w:rPr>
        <w:t xml:space="preserve">is part sets out the </w:t>
      </w:r>
      <w:r w:rsidRPr="00A86505">
        <w:rPr>
          <w:rFonts w:asciiTheme="minorHAnsi" w:hAnsiTheme="minorHAnsi" w:cstheme="minorHAnsi"/>
        </w:rPr>
        <w:t xml:space="preserve">criteria </w:t>
      </w:r>
      <w:r w:rsidR="007C3510" w:rsidRPr="00A86505">
        <w:rPr>
          <w:rFonts w:asciiTheme="minorHAnsi" w:hAnsiTheme="minorHAnsi" w:cstheme="minorHAnsi"/>
        </w:rPr>
        <w:t xml:space="preserve">that </w:t>
      </w:r>
      <w:r w:rsidRPr="00A86505">
        <w:rPr>
          <w:rFonts w:asciiTheme="minorHAnsi" w:hAnsiTheme="minorHAnsi" w:cstheme="minorHAnsi"/>
        </w:rPr>
        <w:t xml:space="preserve">enable </w:t>
      </w:r>
      <w:r w:rsidR="00052E82" w:rsidRPr="00A86505">
        <w:rPr>
          <w:rFonts w:asciiTheme="minorHAnsi" w:hAnsiTheme="minorHAnsi" w:cstheme="minorHAnsi"/>
        </w:rPr>
        <w:t xml:space="preserve">a provider to be registered in each of the four provider categories </w:t>
      </w:r>
      <w:r w:rsidRPr="00A86505">
        <w:rPr>
          <w:rFonts w:asciiTheme="minorHAnsi" w:hAnsiTheme="minorHAnsi" w:cstheme="minorHAnsi"/>
        </w:rPr>
        <w:t xml:space="preserve">and whether a provider </w:t>
      </w:r>
      <w:proofErr w:type="gramStart"/>
      <w:r w:rsidRPr="00A86505">
        <w:rPr>
          <w:rFonts w:asciiTheme="minorHAnsi" w:hAnsiTheme="minorHAnsi" w:cstheme="minorHAnsi"/>
        </w:rPr>
        <w:t xml:space="preserve">is </w:t>
      </w:r>
      <w:r w:rsidR="00DB49B7" w:rsidRPr="00A86505">
        <w:rPr>
          <w:rFonts w:asciiTheme="minorHAnsi" w:hAnsiTheme="minorHAnsi" w:cstheme="minorHAnsi"/>
        </w:rPr>
        <w:t>able to</w:t>
      </w:r>
      <w:proofErr w:type="gramEnd"/>
      <w:r w:rsidR="00DB49B7" w:rsidRPr="00A86505">
        <w:rPr>
          <w:rFonts w:asciiTheme="minorHAnsi" w:hAnsiTheme="minorHAnsi" w:cstheme="minorHAnsi"/>
        </w:rPr>
        <w:t xml:space="preserve"> </w:t>
      </w:r>
      <w:r w:rsidR="00C77D9B" w:rsidRPr="00A86505">
        <w:rPr>
          <w:rFonts w:asciiTheme="minorHAnsi" w:hAnsiTheme="minorHAnsi" w:cstheme="minorHAnsi"/>
        </w:rPr>
        <w:t>self-accredit</w:t>
      </w:r>
      <w:r w:rsidR="0018601C" w:rsidRPr="00A86505">
        <w:rPr>
          <w:rFonts w:asciiTheme="minorHAnsi" w:hAnsiTheme="minorHAnsi" w:cstheme="minorHAnsi"/>
        </w:rPr>
        <w:t xml:space="preserve"> some or all of the </w:t>
      </w:r>
      <w:r w:rsidR="00415AA8" w:rsidRPr="00A86505">
        <w:rPr>
          <w:rFonts w:asciiTheme="minorHAnsi" w:hAnsiTheme="minorHAnsi" w:cstheme="minorHAnsi"/>
        </w:rPr>
        <w:t>courses of study</w:t>
      </w:r>
      <w:r w:rsidRPr="00A86505">
        <w:rPr>
          <w:rFonts w:asciiTheme="minorHAnsi" w:hAnsiTheme="minorHAnsi" w:cstheme="minorHAnsi"/>
        </w:rPr>
        <w:t xml:space="preserve"> it delivers.</w:t>
      </w:r>
      <w:r w:rsidR="00FC0D3A" w:rsidRPr="00A86505">
        <w:rPr>
          <w:rFonts w:asciiTheme="minorHAnsi" w:hAnsiTheme="minorHAnsi" w:cstheme="minorHAnsi"/>
        </w:rPr>
        <w:t xml:space="preserve"> </w:t>
      </w:r>
    </w:p>
    <w:p w14:paraId="6EF622CF" w14:textId="77777777" w:rsidR="00AE516F" w:rsidRPr="00A86505" w:rsidRDefault="00AE516F" w:rsidP="004402BD">
      <w:pPr>
        <w:tabs>
          <w:tab w:val="clear" w:pos="1134"/>
        </w:tabs>
        <w:ind w:left="567"/>
        <w:jc w:val="left"/>
        <w:rPr>
          <w:rFonts w:asciiTheme="minorHAnsi" w:hAnsiTheme="minorHAnsi" w:cstheme="minorHAnsi"/>
        </w:rPr>
      </w:pPr>
    </w:p>
    <w:p w14:paraId="6579435E" w14:textId="6BDBEBE8" w:rsidR="00ED0396" w:rsidRPr="00A86505" w:rsidRDefault="00ED0396" w:rsidP="004402BD">
      <w:pPr>
        <w:tabs>
          <w:tab w:val="clear" w:pos="1134"/>
        </w:tabs>
        <w:ind w:left="567"/>
        <w:jc w:val="left"/>
        <w:rPr>
          <w:rFonts w:asciiTheme="minorHAnsi" w:hAnsiTheme="minorHAnsi" w:cstheme="minorHAnsi"/>
        </w:rPr>
      </w:pPr>
      <w:r w:rsidRPr="00A86505">
        <w:rPr>
          <w:rFonts w:asciiTheme="minorHAnsi" w:hAnsiTheme="minorHAnsi" w:cstheme="minorHAnsi"/>
        </w:rPr>
        <w:t>Part B contains:</w:t>
      </w:r>
    </w:p>
    <w:p w14:paraId="07867E5A" w14:textId="77777777" w:rsidR="00455C0D" w:rsidRPr="00A86505" w:rsidRDefault="00455C0D" w:rsidP="004402BD">
      <w:pPr>
        <w:tabs>
          <w:tab w:val="clear" w:pos="1134"/>
        </w:tabs>
        <w:ind w:left="567"/>
        <w:jc w:val="left"/>
        <w:rPr>
          <w:rFonts w:asciiTheme="minorHAnsi" w:hAnsiTheme="minorHAnsi" w:cstheme="minorHAnsi"/>
        </w:rPr>
      </w:pPr>
    </w:p>
    <w:p w14:paraId="7CED6A6E" w14:textId="2567084A" w:rsidR="00107CE2" w:rsidRPr="00A86505" w:rsidRDefault="00ED0396" w:rsidP="00141663">
      <w:pPr>
        <w:tabs>
          <w:tab w:val="clear" w:pos="1134"/>
          <w:tab w:val="left" w:pos="1288"/>
        </w:tabs>
        <w:ind w:left="896"/>
        <w:jc w:val="left"/>
        <w:rPr>
          <w:rFonts w:asciiTheme="minorHAnsi" w:hAnsiTheme="minorHAnsi" w:cstheme="minorHAnsi"/>
        </w:rPr>
      </w:pPr>
      <w:r w:rsidRPr="00A86505">
        <w:rPr>
          <w:rFonts w:asciiTheme="minorHAnsi" w:hAnsiTheme="minorHAnsi" w:cstheme="minorHAnsi"/>
        </w:rPr>
        <w:t xml:space="preserve">B1 </w:t>
      </w:r>
      <w:r w:rsidRPr="00A86505">
        <w:rPr>
          <w:rFonts w:asciiTheme="minorHAnsi" w:hAnsiTheme="minorHAnsi" w:cstheme="minorHAnsi"/>
        </w:rPr>
        <w:tab/>
        <w:t xml:space="preserve">Criteria for </w:t>
      </w:r>
      <w:r w:rsidR="005C4B87" w:rsidRPr="00A86505">
        <w:rPr>
          <w:rFonts w:asciiTheme="minorHAnsi" w:hAnsiTheme="minorHAnsi" w:cstheme="minorHAnsi"/>
        </w:rPr>
        <w:t>H</w:t>
      </w:r>
      <w:r w:rsidRPr="00A86505">
        <w:rPr>
          <w:rFonts w:asciiTheme="minorHAnsi" w:hAnsiTheme="minorHAnsi" w:cstheme="minorHAnsi"/>
        </w:rPr>
        <w:t xml:space="preserve">igher </w:t>
      </w:r>
      <w:r w:rsidR="005C4B87" w:rsidRPr="00A86505">
        <w:rPr>
          <w:rFonts w:asciiTheme="minorHAnsi" w:hAnsiTheme="minorHAnsi" w:cstheme="minorHAnsi"/>
        </w:rPr>
        <w:t xml:space="preserve">Education </w:t>
      </w:r>
      <w:r w:rsidR="00210EF1" w:rsidRPr="00A86505">
        <w:rPr>
          <w:rFonts w:asciiTheme="minorHAnsi" w:hAnsiTheme="minorHAnsi" w:cstheme="minorHAnsi"/>
        </w:rPr>
        <w:t>P</w:t>
      </w:r>
      <w:r w:rsidR="005C4B87" w:rsidRPr="00A86505">
        <w:rPr>
          <w:rFonts w:asciiTheme="minorHAnsi" w:hAnsiTheme="minorHAnsi" w:cstheme="minorHAnsi"/>
        </w:rPr>
        <w:t>rovider Categories</w:t>
      </w:r>
    </w:p>
    <w:p w14:paraId="47845E03" w14:textId="7CB5BB92" w:rsidR="005C4B87" w:rsidRPr="00A86505" w:rsidRDefault="005C4B87" w:rsidP="005C4B87">
      <w:pPr>
        <w:tabs>
          <w:tab w:val="clear" w:pos="1134"/>
          <w:tab w:val="left" w:pos="1288"/>
        </w:tabs>
        <w:ind w:left="896"/>
        <w:jc w:val="left"/>
        <w:rPr>
          <w:rFonts w:asciiTheme="minorHAnsi" w:hAnsiTheme="minorHAnsi" w:cstheme="minorHAnsi"/>
        </w:rPr>
      </w:pPr>
      <w:r w:rsidRPr="00A86505">
        <w:rPr>
          <w:rFonts w:asciiTheme="minorHAnsi" w:hAnsiTheme="minorHAnsi" w:cstheme="minorHAnsi"/>
        </w:rPr>
        <w:t xml:space="preserve">B2 </w:t>
      </w:r>
      <w:r w:rsidRPr="00A86505">
        <w:rPr>
          <w:rFonts w:asciiTheme="minorHAnsi" w:hAnsiTheme="minorHAnsi" w:cstheme="minorHAnsi"/>
        </w:rPr>
        <w:tab/>
        <w:t xml:space="preserve">Criteria for </w:t>
      </w:r>
      <w:r w:rsidR="00210EF1" w:rsidRPr="00A86505">
        <w:rPr>
          <w:rFonts w:asciiTheme="minorHAnsi" w:hAnsiTheme="minorHAnsi" w:cstheme="minorHAnsi"/>
        </w:rPr>
        <w:t>S</w:t>
      </w:r>
      <w:r w:rsidRPr="00A86505">
        <w:rPr>
          <w:rFonts w:asciiTheme="minorHAnsi" w:hAnsiTheme="minorHAnsi" w:cstheme="minorHAnsi"/>
        </w:rPr>
        <w:t>eeking Self-Accrediting Authority</w:t>
      </w:r>
    </w:p>
    <w:p w14:paraId="27D423CF" w14:textId="64131FFD" w:rsidR="00FC0D3A" w:rsidRPr="00A86505" w:rsidRDefault="00FC0D3A" w:rsidP="00141663">
      <w:pPr>
        <w:tabs>
          <w:tab w:val="clear" w:pos="1134"/>
          <w:tab w:val="left" w:pos="1288"/>
        </w:tabs>
        <w:ind w:left="896"/>
        <w:jc w:val="left"/>
        <w:rPr>
          <w:rFonts w:asciiTheme="minorHAnsi" w:hAnsiTheme="minorHAnsi" w:cstheme="minorHAnsi"/>
        </w:rPr>
      </w:pPr>
      <w:r w:rsidRPr="00A86505">
        <w:rPr>
          <w:rFonts w:asciiTheme="minorHAnsi" w:hAnsiTheme="minorHAnsi" w:cstheme="minorHAnsi"/>
        </w:rPr>
        <w:t xml:space="preserve">B3 </w:t>
      </w:r>
      <w:r w:rsidRPr="00A86505">
        <w:rPr>
          <w:rFonts w:asciiTheme="minorHAnsi" w:hAnsiTheme="minorHAnsi" w:cstheme="minorHAnsi"/>
        </w:rPr>
        <w:tab/>
        <w:t>Transitional Standards</w:t>
      </w:r>
    </w:p>
    <w:p w14:paraId="25E79794" w14:textId="77777777" w:rsidR="00AC152C" w:rsidRPr="00A86505" w:rsidRDefault="00AC152C" w:rsidP="004402BD">
      <w:pPr>
        <w:tabs>
          <w:tab w:val="clear" w:pos="1134"/>
        </w:tabs>
        <w:jc w:val="left"/>
        <w:rPr>
          <w:rFonts w:asciiTheme="minorHAnsi" w:hAnsiTheme="minorHAnsi" w:cstheme="minorHAnsi"/>
        </w:rPr>
      </w:pPr>
    </w:p>
    <w:p w14:paraId="09FF90E2" w14:textId="3FA463BC" w:rsidR="00524037" w:rsidRPr="00A86505" w:rsidRDefault="00524037" w:rsidP="00524037">
      <w:pPr>
        <w:jc w:val="left"/>
        <w:rPr>
          <w:rFonts w:asciiTheme="minorHAnsi" w:hAnsiTheme="minorHAnsi" w:cstheme="minorHAnsi"/>
          <w:lang w:val="en-AU"/>
        </w:rPr>
      </w:pPr>
      <w:r w:rsidRPr="00A86505">
        <w:rPr>
          <w:rFonts w:asciiTheme="minorHAnsi" w:hAnsiTheme="minorHAnsi" w:cstheme="minorHAnsi"/>
          <w:lang w:val="en-AU"/>
        </w:rPr>
        <w:t xml:space="preserve">Each ‘Domain’ of </w:t>
      </w:r>
      <w:r w:rsidR="00AE516F" w:rsidRPr="00A86505">
        <w:rPr>
          <w:rFonts w:asciiTheme="minorHAnsi" w:hAnsiTheme="minorHAnsi" w:cstheme="minorHAnsi"/>
          <w:lang w:val="en-AU"/>
        </w:rPr>
        <w:t xml:space="preserve">Part A </w:t>
      </w:r>
      <w:r w:rsidRPr="00A86505">
        <w:rPr>
          <w:rFonts w:asciiTheme="minorHAnsi" w:hAnsiTheme="minorHAnsi" w:cstheme="minorHAnsi"/>
          <w:lang w:val="en-AU"/>
        </w:rPr>
        <w:t xml:space="preserve">is segmented into ‘Sections’ and these sections in turn contain a number of ‘Standards Statements’. </w:t>
      </w:r>
      <w:proofErr w:type="gramStart"/>
      <w:r w:rsidR="00136887" w:rsidRPr="00A86505">
        <w:rPr>
          <w:rFonts w:asciiTheme="minorHAnsi" w:hAnsiTheme="minorHAnsi" w:cstheme="minorHAnsi"/>
          <w:lang w:val="en-AU"/>
        </w:rPr>
        <w:t>Similarly</w:t>
      </w:r>
      <w:proofErr w:type="gramEnd"/>
      <w:r w:rsidR="00136887" w:rsidRPr="00A86505">
        <w:rPr>
          <w:rFonts w:asciiTheme="minorHAnsi" w:hAnsiTheme="minorHAnsi" w:cstheme="minorHAnsi"/>
          <w:lang w:val="en-AU"/>
        </w:rPr>
        <w:t xml:space="preserve"> </w:t>
      </w:r>
      <w:r w:rsidR="0085288C" w:rsidRPr="00A86505">
        <w:rPr>
          <w:rFonts w:asciiTheme="minorHAnsi" w:hAnsiTheme="minorHAnsi" w:cstheme="minorHAnsi"/>
          <w:lang w:val="en-AU"/>
        </w:rPr>
        <w:t xml:space="preserve">in Part B, </w:t>
      </w:r>
      <w:r w:rsidR="00136887" w:rsidRPr="00A86505">
        <w:rPr>
          <w:rFonts w:asciiTheme="minorHAnsi" w:hAnsiTheme="minorHAnsi" w:cstheme="minorHAnsi"/>
          <w:lang w:val="en-AU"/>
        </w:rPr>
        <w:t xml:space="preserve">each provider category in </w:t>
      </w:r>
      <w:r w:rsidR="0085288C" w:rsidRPr="00A86505">
        <w:rPr>
          <w:rFonts w:asciiTheme="minorHAnsi" w:hAnsiTheme="minorHAnsi" w:cstheme="minorHAnsi"/>
          <w:lang w:val="en-AU"/>
        </w:rPr>
        <w:t>section</w:t>
      </w:r>
      <w:r w:rsidR="00743B90" w:rsidRPr="00A86505">
        <w:rPr>
          <w:rFonts w:asciiTheme="minorHAnsi" w:hAnsiTheme="minorHAnsi" w:cstheme="minorHAnsi"/>
          <w:lang w:val="en-AU"/>
        </w:rPr>
        <w:t xml:space="preserve">s </w:t>
      </w:r>
      <w:r w:rsidR="00136887" w:rsidRPr="00A86505">
        <w:rPr>
          <w:rFonts w:asciiTheme="minorHAnsi" w:hAnsiTheme="minorHAnsi" w:cstheme="minorHAnsi"/>
          <w:lang w:val="en-AU"/>
        </w:rPr>
        <w:t>B</w:t>
      </w:r>
      <w:r w:rsidR="0085288C" w:rsidRPr="00A86505">
        <w:rPr>
          <w:rFonts w:asciiTheme="minorHAnsi" w:hAnsiTheme="minorHAnsi" w:cstheme="minorHAnsi"/>
          <w:lang w:val="en-AU"/>
        </w:rPr>
        <w:t>1</w:t>
      </w:r>
      <w:r w:rsidR="00743B90" w:rsidRPr="00A86505">
        <w:rPr>
          <w:rFonts w:asciiTheme="minorHAnsi" w:hAnsiTheme="minorHAnsi" w:cstheme="minorHAnsi"/>
          <w:lang w:val="en-AU"/>
        </w:rPr>
        <w:t>,</w:t>
      </w:r>
      <w:r w:rsidR="0085288C" w:rsidRPr="00A86505">
        <w:rPr>
          <w:rFonts w:asciiTheme="minorHAnsi" w:hAnsiTheme="minorHAnsi" w:cstheme="minorHAnsi"/>
          <w:lang w:val="en-AU"/>
        </w:rPr>
        <w:t xml:space="preserve"> B2 and B3</w:t>
      </w:r>
      <w:r w:rsidR="00397F1F" w:rsidRPr="00A86505">
        <w:rPr>
          <w:rFonts w:asciiTheme="minorHAnsi" w:hAnsiTheme="minorHAnsi" w:cstheme="minorHAnsi"/>
          <w:lang w:val="en-AU"/>
        </w:rPr>
        <w:t xml:space="preserve"> contain </w:t>
      </w:r>
      <w:r w:rsidR="00397F1F" w:rsidRPr="00A86505">
        <w:rPr>
          <w:rFonts w:asciiTheme="minorHAnsi" w:hAnsiTheme="minorHAnsi" w:cstheme="minorHAnsi"/>
          <w:lang w:val="en-AU"/>
        </w:rPr>
        <w:lastRenderedPageBreak/>
        <w:t>two or more ‘Standards Statements</w:t>
      </w:r>
      <w:r w:rsidR="00743B90" w:rsidRPr="00A86505">
        <w:rPr>
          <w:rFonts w:asciiTheme="minorHAnsi" w:hAnsiTheme="minorHAnsi" w:cstheme="minorHAnsi"/>
          <w:lang w:val="en-AU"/>
        </w:rPr>
        <w:t>.</w:t>
      </w:r>
      <w:r w:rsidR="00397F1F" w:rsidRPr="00A86505">
        <w:rPr>
          <w:rFonts w:asciiTheme="minorHAnsi" w:hAnsiTheme="minorHAnsi" w:cstheme="minorHAnsi"/>
          <w:lang w:val="en-AU"/>
        </w:rPr>
        <w:t>’</w:t>
      </w:r>
      <w:r w:rsidR="00136887" w:rsidRPr="00A86505">
        <w:rPr>
          <w:rFonts w:asciiTheme="minorHAnsi" w:hAnsiTheme="minorHAnsi" w:cstheme="minorHAnsi"/>
          <w:lang w:val="en-AU"/>
        </w:rPr>
        <w:t xml:space="preserve"> </w:t>
      </w:r>
      <w:r w:rsidRPr="00A86505">
        <w:rPr>
          <w:rFonts w:asciiTheme="minorHAnsi" w:hAnsiTheme="minorHAnsi" w:cstheme="minorHAnsi"/>
          <w:lang w:val="en-AU"/>
        </w:rPr>
        <w:t>These statements are the actual ‘Standards’; the headings of the domains</w:t>
      </w:r>
      <w:r w:rsidR="00DB4009" w:rsidRPr="00A86505">
        <w:rPr>
          <w:rFonts w:asciiTheme="minorHAnsi" w:hAnsiTheme="minorHAnsi" w:cstheme="minorHAnsi"/>
          <w:lang w:val="en-AU"/>
        </w:rPr>
        <w:t>,</w:t>
      </w:r>
      <w:r w:rsidRPr="00A86505">
        <w:rPr>
          <w:rFonts w:asciiTheme="minorHAnsi" w:hAnsiTheme="minorHAnsi" w:cstheme="minorHAnsi"/>
          <w:lang w:val="en-AU"/>
        </w:rPr>
        <w:t xml:space="preserve"> sections </w:t>
      </w:r>
      <w:r w:rsidR="00DB4009" w:rsidRPr="00A86505">
        <w:rPr>
          <w:rFonts w:asciiTheme="minorHAnsi" w:hAnsiTheme="minorHAnsi" w:cstheme="minorHAnsi"/>
          <w:lang w:val="en-AU"/>
        </w:rPr>
        <w:t xml:space="preserve">and provider categories </w:t>
      </w:r>
      <w:r w:rsidRPr="00A86505">
        <w:rPr>
          <w:rFonts w:asciiTheme="minorHAnsi" w:hAnsiTheme="minorHAnsi" w:cstheme="minorHAnsi"/>
          <w:lang w:val="en-AU"/>
        </w:rPr>
        <w:t xml:space="preserve">are </w:t>
      </w:r>
      <w:r w:rsidR="00DB4009" w:rsidRPr="00A86505">
        <w:rPr>
          <w:rFonts w:asciiTheme="minorHAnsi" w:hAnsiTheme="minorHAnsi" w:cstheme="minorHAnsi"/>
          <w:lang w:val="en-AU"/>
        </w:rPr>
        <w:t xml:space="preserve">only </w:t>
      </w:r>
      <w:r w:rsidRPr="00A86505">
        <w:rPr>
          <w:rFonts w:asciiTheme="minorHAnsi" w:hAnsiTheme="minorHAnsi" w:cstheme="minorHAnsi"/>
          <w:lang w:val="en-AU"/>
        </w:rPr>
        <w:t>to assist in navigating the document.</w:t>
      </w:r>
    </w:p>
    <w:p w14:paraId="5A218CBB" w14:textId="77777777" w:rsidR="00524037" w:rsidRPr="00A86505" w:rsidRDefault="00524037" w:rsidP="00524037">
      <w:pPr>
        <w:jc w:val="left"/>
        <w:rPr>
          <w:rFonts w:asciiTheme="minorHAnsi" w:hAnsiTheme="minorHAnsi" w:cstheme="minorHAnsi"/>
          <w:lang w:val="en-AU"/>
        </w:rPr>
      </w:pPr>
    </w:p>
    <w:p w14:paraId="620D27FB" w14:textId="427BD416" w:rsidR="00912DF0" w:rsidRPr="00A86505" w:rsidRDefault="00912DF0" w:rsidP="004402BD">
      <w:pPr>
        <w:jc w:val="left"/>
        <w:rPr>
          <w:rFonts w:asciiTheme="minorHAnsi" w:hAnsiTheme="minorHAnsi" w:cstheme="minorHAnsi"/>
          <w:lang w:val="en-AU"/>
        </w:rPr>
      </w:pPr>
      <w:r w:rsidRPr="00A86505">
        <w:rPr>
          <w:rFonts w:asciiTheme="minorHAnsi" w:hAnsiTheme="minorHAnsi" w:cstheme="minorHAnsi"/>
          <w:lang w:val="en-AU"/>
        </w:rPr>
        <w:t>Education</w:t>
      </w:r>
      <w:r w:rsidRPr="00A86505">
        <w:rPr>
          <w:rFonts w:asciiTheme="minorHAnsi" w:hAnsiTheme="minorHAnsi" w:cstheme="minorHAnsi"/>
        </w:rPr>
        <w:t xml:space="preserve">-related elements of the </w:t>
      </w:r>
      <w:r w:rsidRPr="00A86505">
        <w:rPr>
          <w:rFonts w:asciiTheme="minorHAnsi" w:hAnsiTheme="minorHAnsi" w:cstheme="minorHAnsi"/>
          <w:i/>
        </w:rPr>
        <w:t>National Code of Practice for Providers of Education and Training to Overseas Students 20</w:t>
      </w:r>
      <w:r w:rsidR="00B55896" w:rsidRPr="00A86505">
        <w:rPr>
          <w:rFonts w:asciiTheme="minorHAnsi" w:hAnsiTheme="minorHAnsi" w:cstheme="minorHAnsi"/>
          <w:i/>
        </w:rPr>
        <w:t>18</w:t>
      </w:r>
      <w:r w:rsidRPr="00A86505">
        <w:rPr>
          <w:rFonts w:asciiTheme="minorHAnsi" w:hAnsiTheme="minorHAnsi" w:cstheme="minorHAnsi"/>
        </w:rPr>
        <w:t xml:space="preserve"> (</w:t>
      </w:r>
      <w:r w:rsidR="00B55896" w:rsidRPr="00A86505">
        <w:rPr>
          <w:rFonts w:asciiTheme="minorHAnsi" w:hAnsiTheme="minorHAnsi" w:cstheme="minorHAnsi"/>
        </w:rPr>
        <w:t xml:space="preserve">made </w:t>
      </w:r>
      <w:r w:rsidRPr="00A86505">
        <w:rPr>
          <w:rFonts w:asciiTheme="minorHAnsi" w:hAnsiTheme="minorHAnsi" w:cstheme="minorHAnsi"/>
        </w:rPr>
        <w:t xml:space="preserve">under the </w:t>
      </w:r>
      <w:r w:rsidRPr="00A86505">
        <w:rPr>
          <w:rFonts w:asciiTheme="minorHAnsi" w:hAnsiTheme="minorHAnsi" w:cstheme="minorHAnsi"/>
          <w:i/>
        </w:rPr>
        <w:t>Education Services for Overseas Students Act 2000</w:t>
      </w:r>
      <w:r w:rsidRPr="00A86505">
        <w:rPr>
          <w:rFonts w:asciiTheme="minorHAnsi" w:hAnsiTheme="minorHAnsi" w:cstheme="minorHAnsi"/>
        </w:rPr>
        <w:t>) have been incorporated into the text of the Threshold Standards.</w:t>
      </w:r>
    </w:p>
    <w:p w14:paraId="324937E1" w14:textId="05F29099" w:rsidR="008E66F6" w:rsidRPr="00A86505" w:rsidRDefault="008E66F6" w:rsidP="008E66F6">
      <w:pPr>
        <w:jc w:val="left"/>
        <w:rPr>
          <w:rFonts w:asciiTheme="minorHAnsi" w:hAnsiTheme="minorHAnsi" w:cstheme="minorHAnsi"/>
          <w:lang w:val="en-AU"/>
        </w:rPr>
      </w:pPr>
    </w:p>
    <w:p w14:paraId="7299E2C9" w14:textId="1DE15D99" w:rsidR="006E37F6" w:rsidRPr="00A86505" w:rsidRDefault="006E37F6" w:rsidP="00141663">
      <w:pPr>
        <w:keepNext/>
        <w:jc w:val="left"/>
        <w:rPr>
          <w:rFonts w:asciiTheme="minorHAnsi" w:hAnsiTheme="minorHAnsi" w:cstheme="minorHAnsi"/>
          <w:b/>
          <w:bCs/>
          <w:sz w:val="24"/>
          <w:szCs w:val="24"/>
          <w:lang w:val="en-AU"/>
        </w:rPr>
      </w:pPr>
      <w:r w:rsidRPr="00A86505">
        <w:rPr>
          <w:rFonts w:asciiTheme="minorHAnsi" w:hAnsiTheme="minorHAnsi" w:cstheme="minorHAnsi"/>
          <w:b/>
          <w:bCs/>
          <w:sz w:val="24"/>
          <w:szCs w:val="24"/>
          <w:lang w:val="en-AU"/>
        </w:rPr>
        <w:t>T</w:t>
      </w:r>
      <w:r w:rsidR="00D76D2D" w:rsidRPr="00A86505">
        <w:rPr>
          <w:rFonts w:asciiTheme="minorHAnsi" w:hAnsiTheme="minorHAnsi" w:cstheme="minorHAnsi"/>
          <w:b/>
          <w:bCs/>
          <w:sz w:val="24"/>
          <w:szCs w:val="24"/>
          <w:lang w:val="en-AU"/>
        </w:rPr>
        <w:t>HE NEED FOR NEW THRE</w:t>
      </w:r>
      <w:r w:rsidR="00E84DBE" w:rsidRPr="00A86505">
        <w:rPr>
          <w:rFonts w:asciiTheme="minorHAnsi" w:hAnsiTheme="minorHAnsi" w:cstheme="minorHAnsi"/>
          <w:b/>
          <w:bCs/>
          <w:sz w:val="24"/>
          <w:szCs w:val="24"/>
          <w:lang w:val="en-AU"/>
        </w:rPr>
        <w:t>S</w:t>
      </w:r>
      <w:r w:rsidR="00D76D2D" w:rsidRPr="00A86505">
        <w:rPr>
          <w:rFonts w:asciiTheme="minorHAnsi" w:hAnsiTheme="minorHAnsi" w:cstheme="minorHAnsi"/>
          <w:b/>
          <w:bCs/>
          <w:sz w:val="24"/>
          <w:szCs w:val="24"/>
          <w:lang w:val="en-AU"/>
        </w:rPr>
        <w:t xml:space="preserve">HOLD STANDARDS </w:t>
      </w:r>
    </w:p>
    <w:p w14:paraId="149E3926" w14:textId="77777777" w:rsidR="006E37F6" w:rsidRPr="00A86505" w:rsidRDefault="006E37F6" w:rsidP="006E37F6">
      <w:pPr>
        <w:pStyle w:val="Subheading"/>
        <w:keepNext/>
        <w:jc w:val="left"/>
        <w:rPr>
          <w:rFonts w:asciiTheme="minorHAnsi" w:hAnsiTheme="minorHAnsi" w:cstheme="minorHAnsi"/>
          <w:sz w:val="22"/>
          <w:szCs w:val="22"/>
        </w:rPr>
      </w:pPr>
    </w:p>
    <w:p w14:paraId="175456A5" w14:textId="141F7021" w:rsidR="00AA2DB1" w:rsidRPr="00A86505" w:rsidRDefault="006E37F6" w:rsidP="00AA2DB1">
      <w:pPr>
        <w:keepNext/>
        <w:tabs>
          <w:tab w:val="clear" w:pos="1134"/>
        </w:tabs>
        <w:jc w:val="left"/>
        <w:rPr>
          <w:rFonts w:asciiTheme="minorHAnsi" w:hAnsiTheme="minorHAnsi" w:cstheme="minorHAnsi"/>
          <w:lang w:val="en-AU"/>
        </w:rPr>
      </w:pPr>
      <w:r w:rsidRPr="00A86505">
        <w:rPr>
          <w:rFonts w:asciiTheme="minorHAnsi" w:hAnsiTheme="minorHAnsi" w:cstheme="minorHAnsi"/>
          <w:lang w:val="en-AU"/>
        </w:rPr>
        <w:t xml:space="preserve">The need for new </w:t>
      </w:r>
      <w:r w:rsidR="00943A69" w:rsidRPr="00A86505">
        <w:rPr>
          <w:rFonts w:asciiTheme="minorHAnsi" w:hAnsiTheme="minorHAnsi" w:cstheme="minorHAnsi"/>
          <w:lang w:val="en-AU"/>
        </w:rPr>
        <w:t>T</w:t>
      </w:r>
      <w:r w:rsidR="00CF4467" w:rsidRPr="00A86505">
        <w:rPr>
          <w:rFonts w:asciiTheme="minorHAnsi" w:hAnsiTheme="minorHAnsi" w:cstheme="minorHAnsi"/>
          <w:lang w:val="en-AU"/>
        </w:rPr>
        <w:t xml:space="preserve">hreshold </w:t>
      </w:r>
      <w:r w:rsidR="00943A69" w:rsidRPr="00A86505">
        <w:rPr>
          <w:rFonts w:asciiTheme="minorHAnsi" w:hAnsiTheme="minorHAnsi" w:cstheme="minorHAnsi"/>
          <w:lang w:val="en-AU"/>
        </w:rPr>
        <w:t>S</w:t>
      </w:r>
      <w:r w:rsidR="00CF4467" w:rsidRPr="00A86505">
        <w:rPr>
          <w:rFonts w:asciiTheme="minorHAnsi" w:hAnsiTheme="minorHAnsi" w:cstheme="minorHAnsi"/>
          <w:lang w:val="en-AU"/>
        </w:rPr>
        <w:t xml:space="preserve">tandards </w:t>
      </w:r>
      <w:r w:rsidRPr="00A86505">
        <w:rPr>
          <w:rFonts w:asciiTheme="minorHAnsi" w:hAnsiTheme="minorHAnsi" w:cstheme="minorHAnsi"/>
          <w:lang w:val="en-AU"/>
        </w:rPr>
        <w:t xml:space="preserve">arises from two </w:t>
      </w:r>
      <w:r w:rsidR="00AA2DB1" w:rsidRPr="00A86505">
        <w:rPr>
          <w:rFonts w:asciiTheme="minorHAnsi" w:hAnsiTheme="minorHAnsi" w:cstheme="minorHAnsi"/>
          <w:lang w:val="en-AU"/>
        </w:rPr>
        <w:t>sources:</w:t>
      </w:r>
    </w:p>
    <w:p w14:paraId="0CDCEF23" w14:textId="419E2666" w:rsidR="006E37F6" w:rsidRPr="00A86505" w:rsidRDefault="00952A95" w:rsidP="00C30663">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T</w:t>
      </w:r>
      <w:r w:rsidR="006E37F6" w:rsidRPr="00A86505">
        <w:rPr>
          <w:rFonts w:asciiTheme="minorHAnsi" w:hAnsiTheme="minorHAnsi" w:cstheme="minorHAnsi"/>
          <w:lang w:val="en-AU"/>
        </w:rPr>
        <w:t xml:space="preserve">he review report </w:t>
      </w:r>
      <w:r w:rsidR="006E37F6" w:rsidRPr="00A86505">
        <w:rPr>
          <w:rFonts w:asciiTheme="minorHAnsi" w:hAnsiTheme="minorHAnsi" w:cstheme="minorHAnsi"/>
          <w:i/>
          <w:iCs/>
          <w:lang w:val="en-AU"/>
        </w:rPr>
        <w:t>What’s in a Name: Review of the Higher Education Provider Category Standards</w:t>
      </w:r>
      <w:r w:rsidR="00334FB9" w:rsidRPr="00A86505">
        <w:rPr>
          <w:rFonts w:asciiTheme="minorHAnsi" w:hAnsiTheme="minorHAnsi" w:cstheme="minorHAnsi"/>
          <w:lang w:val="en-AU"/>
        </w:rPr>
        <w:t xml:space="preserve"> </w:t>
      </w:r>
      <w:r w:rsidR="006E37F6" w:rsidRPr="00A86505">
        <w:rPr>
          <w:rFonts w:asciiTheme="minorHAnsi" w:hAnsiTheme="minorHAnsi" w:cstheme="minorHAnsi"/>
          <w:lang w:val="en-AU"/>
        </w:rPr>
        <w:t>completed in 2019 by Emeritus Professor Peter Coaldrake AO</w:t>
      </w:r>
      <w:r w:rsidR="00917071" w:rsidRPr="00A86505">
        <w:rPr>
          <w:rFonts w:asciiTheme="minorHAnsi" w:hAnsiTheme="minorHAnsi" w:cstheme="minorHAnsi"/>
          <w:lang w:val="en-AU"/>
        </w:rPr>
        <w:t xml:space="preserve"> (PCS Review – available at </w:t>
      </w:r>
      <w:hyperlink r:id="rId11" w:history="1">
        <w:r w:rsidR="00F96A40" w:rsidRPr="00A86505">
          <w:rPr>
            <w:rStyle w:val="Hyperlink"/>
            <w:rFonts w:asciiTheme="minorHAnsi" w:hAnsiTheme="minorHAnsi" w:cstheme="minorHAnsi"/>
            <w:lang w:val="en-AU"/>
          </w:rPr>
          <w:t>https://www.dese.gov.au/quality-and-legislative-frameworks/review-higher-education-provider-category-standards</w:t>
        </w:r>
      </w:hyperlink>
      <w:r w:rsidR="00917071" w:rsidRPr="00A86505">
        <w:rPr>
          <w:rFonts w:asciiTheme="minorHAnsi" w:hAnsiTheme="minorHAnsi" w:cstheme="minorHAnsi"/>
          <w:lang w:val="en-AU"/>
        </w:rPr>
        <w:t>)</w:t>
      </w:r>
      <w:r w:rsidR="00D76D2D" w:rsidRPr="00A86505">
        <w:rPr>
          <w:rFonts w:asciiTheme="minorHAnsi" w:hAnsiTheme="minorHAnsi" w:cstheme="minorHAnsi"/>
          <w:lang w:val="en-AU"/>
        </w:rPr>
        <w:t>,</w:t>
      </w:r>
      <w:r w:rsidR="00C30663" w:rsidRPr="00A86505">
        <w:rPr>
          <w:rFonts w:asciiTheme="minorHAnsi" w:hAnsiTheme="minorHAnsi" w:cstheme="minorHAnsi"/>
          <w:lang w:val="en-AU"/>
        </w:rPr>
        <w:t xml:space="preserve"> </w:t>
      </w:r>
      <w:r w:rsidR="006E37F6" w:rsidRPr="00A86505">
        <w:rPr>
          <w:rFonts w:asciiTheme="minorHAnsi" w:hAnsiTheme="minorHAnsi" w:cstheme="minorHAnsi"/>
          <w:lang w:val="en-AU"/>
        </w:rPr>
        <w:t>recommended substantial reform</w:t>
      </w:r>
      <w:r w:rsidR="00334FB9" w:rsidRPr="00A86505">
        <w:rPr>
          <w:rFonts w:asciiTheme="minorHAnsi" w:hAnsiTheme="minorHAnsi" w:cstheme="minorHAnsi"/>
          <w:lang w:val="en-AU"/>
        </w:rPr>
        <w:t>s</w:t>
      </w:r>
      <w:r w:rsidR="006E37F6" w:rsidRPr="00A86505">
        <w:rPr>
          <w:rFonts w:asciiTheme="minorHAnsi" w:hAnsiTheme="minorHAnsi" w:cstheme="minorHAnsi"/>
          <w:lang w:val="en-AU"/>
        </w:rPr>
        <w:t xml:space="preserve"> to the categorisation of higher education providers. The </w:t>
      </w:r>
      <w:r w:rsidR="00C30663" w:rsidRPr="00A86505">
        <w:rPr>
          <w:rFonts w:asciiTheme="minorHAnsi" w:hAnsiTheme="minorHAnsi" w:cstheme="minorHAnsi"/>
          <w:lang w:val="en-AU"/>
        </w:rPr>
        <w:t xml:space="preserve">Australian Government accepted </w:t>
      </w:r>
      <w:r w:rsidRPr="00A86505">
        <w:rPr>
          <w:rFonts w:asciiTheme="minorHAnsi" w:hAnsiTheme="minorHAnsi" w:cstheme="minorHAnsi"/>
          <w:lang w:val="en-AU"/>
        </w:rPr>
        <w:t xml:space="preserve">the intent of all ten recommendations in the report. The </w:t>
      </w:r>
      <w:r w:rsidR="006E37F6" w:rsidRPr="00A86505">
        <w:rPr>
          <w:rFonts w:asciiTheme="minorHAnsi" w:hAnsiTheme="minorHAnsi" w:cstheme="minorHAnsi"/>
          <w:lang w:val="en-AU"/>
        </w:rPr>
        <w:t xml:space="preserve">new provider categories recommended in the report form the basis of Part B of Schedule 1 of the </w:t>
      </w:r>
      <w:r w:rsidR="004640EE" w:rsidRPr="00A86505">
        <w:rPr>
          <w:rFonts w:asciiTheme="minorHAnsi" w:hAnsiTheme="minorHAnsi" w:cstheme="minorHAnsi"/>
          <w:lang w:val="en-AU"/>
        </w:rPr>
        <w:t>I</w:t>
      </w:r>
      <w:r w:rsidR="006E37F6" w:rsidRPr="00A86505">
        <w:rPr>
          <w:rFonts w:asciiTheme="minorHAnsi" w:hAnsiTheme="minorHAnsi" w:cstheme="minorHAnsi"/>
          <w:lang w:val="en-AU"/>
        </w:rPr>
        <w:t>nstrument.</w:t>
      </w:r>
    </w:p>
    <w:p w14:paraId="53C6F8E2" w14:textId="48653F6E" w:rsidR="00EF56E7" w:rsidRPr="00A86505" w:rsidRDefault="005235C2" w:rsidP="00EF56E7">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A</w:t>
      </w:r>
      <w:r w:rsidR="00184F99" w:rsidRPr="00A86505">
        <w:rPr>
          <w:rFonts w:asciiTheme="minorHAnsi" w:hAnsiTheme="minorHAnsi" w:cstheme="minorHAnsi"/>
          <w:lang w:val="en-AU"/>
        </w:rPr>
        <w:t xml:space="preserve">n outstanding recommendation from the </w:t>
      </w:r>
      <w:r w:rsidRPr="00A86505">
        <w:rPr>
          <w:rFonts w:asciiTheme="minorHAnsi" w:hAnsiTheme="minorHAnsi" w:cstheme="minorHAnsi"/>
          <w:lang w:val="en-AU"/>
        </w:rPr>
        <w:t xml:space="preserve">2017 </w:t>
      </w:r>
      <w:r w:rsidR="00184F99" w:rsidRPr="00A86505">
        <w:rPr>
          <w:rFonts w:asciiTheme="minorHAnsi" w:hAnsiTheme="minorHAnsi" w:cstheme="minorHAnsi"/>
          <w:i/>
          <w:iCs/>
          <w:lang w:val="en-AU"/>
        </w:rPr>
        <w:t>Review of the impact of the TEQSA Act on the higher education sector</w:t>
      </w:r>
      <w:r w:rsidR="00EF56E7" w:rsidRPr="00A86505">
        <w:rPr>
          <w:rFonts w:asciiTheme="minorHAnsi" w:hAnsiTheme="minorHAnsi" w:cstheme="minorHAnsi"/>
          <w:lang w:val="en-AU"/>
        </w:rPr>
        <w:t>,</w:t>
      </w:r>
      <w:r w:rsidRPr="00A86505">
        <w:rPr>
          <w:rFonts w:asciiTheme="minorHAnsi" w:hAnsiTheme="minorHAnsi" w:cstheme="minorHAnsi"/>
          <w:lang w:val="en-AU"/>
        </w:rPr>
        <w:t xml:space="preserve"> by Deloitte Access Economics</w:t>
      </w:r>
      <w:r w:rsidR="00917071" w:rsidRPr="00A86505">
        <w:rPr>
          <w:rFonts w:asciiTheme="minorHAnsi" w:hAnsiTheme="minorHAnsi" w:cstheme="minorHAnsi"/>
          <w:lang w:val="en-AU"/>
        </w:rPr>
        <w:t xml:space="preserve"> (available at </w:t>
      </w:r>
      <w:hyperlink r:id="rId12" w:history="1">
        <w:r w:rsidR="00F96A40" w:rsidRPr="00A86505">
          <w:rPr>
            <w:rStyle w:val="Hyperlink"/>
            <w:rFonts w:asciiTheme="minorHAnsi" w:hAnsiTheme="minorHAnsi" w:cstheme="minorHAnsi"/>
            <w:lang w:val="en-AU"/>
          </w:rPr>
          <w:t>https://www.dese.gov.au/uncategorised/resources/review-impact-teqsa-act-final-report</w:t>
        </w:r>
      </w:hyperlink>
      <w:r w:rsidR="00917071" w:rsidRPr="00A86505">
        <w:rPr>
          <w:rFonts w:asciiTheme="minorHAnsi" w:hAnsiTheme="minorHAnsi" w:cstheme="minorHAnsi"/>
          <w:lang w:val="en-AU"/>
        </w:rPr>
        <w:t>)</w:t>
      </w:r>
      <w:r w:rsidR="00184F99" w:rsidRPr="00A86505">
        <w:rPr>
          <w:rFonts w:asciiTheme="minorHAnsi" w:hAnsiTheme="minorHAnsi" w:cstheme="minorHAnsi"/>
          <w:lang w:val="en-AU"/>
        </w:rPr>
        <w:t>,</w:t>
      </w:r>
      <w:r w:rsidR="00EF56E7" w:rsidRPr="00A86505">
        <w:rPr>
          <w:rFonts w:asciiTheme="minorHAnsi" w:hAnsiTheme="minorHAnsi" w:cstheme="minorHAnsi"/>
          <w:lang w:val="en-AU"/>
        </w:rPr>
        <w:t xml:space="preserve"> proposed reframing references to the Threshold Standards in the </w:t>
      </w:r>
      <w:r w:rsidR="0006513B" w:rsidRPr="00A86505">
        <w:rPr>
          <w:rFonts w:asciiTheme="minorHAnsi" w:hAnsiTheme="minorHAnsi" w:cstheme="minorHAnsi"/>
          <w:lang w:val="en-AU"/>
        </w:rPr>
        <w:t>TEQSA Act</w:t>
      </w:r>
      <w:r w:rsidR="00EF56E7" w:rsidRPr="00A86505">
        <w:rPr>
          <w:rFonts w:asciiTheme="minorHAnsi" w:hAnsiTheme="minorHAnsi" w:cstheme="minorHAnsi"/>
          <w:lang w:val="en-AU"/>
        </w:rPr>
        <w:t xml:space="preserve"> as a single unified framework, instead of four distinct types of Threshold Standards. Th</w:t>
      </w:r>
      <w:r w:rsidR="00334FB9" w:rsidRPr="00A86505">
        <w:rPr>
          <w:rFonts w:asciiTheme="minorHAnsi" w:hAnsiTheme="minorHAnsi" w:cstheme="minorHAnsi"/>
          <w:lang w:val="en-AU"/>
        </w:rPr>
        <w:t>ese</w:t>
      </w:r>
      <w:r w:rsidR="00EF56E7" w:rsidRPr="00A86505">
        <w:rPr>
          <w:rFonts w:asciiTheme="minorHAnsi" w:hAnsiTheme="minorHAnsi" w:cstheme="minorHAnsi"/>
          <w:lang w:val="en-AU"/>
        </w:rPr>
        <w:t xml:space="preserve"> amendment</w:t>
      </w:r>
      <w:r w:rsidR="00334FB9" w:rsidRPr="00A86505">
        <w:rPr>
          <w:rFonts w:asciiTheme="minorHAnsi" w:hAnsiTheme="minorHAnsi" w:cstheme="minorHAnsi"/>
          <w:lang w:val="en-AU"/>
        </w:rPr>
        <w:t xml:space="preserve">s, which Deloitte proposed be deferred until completion of the PCS Review, </w:t>
      </w:r>
      <w:r w:rsidR="009929D4" w:rsidRPr="00A86505">
        <w:rPr>
          <w:rFonts w:asciiTheme="minorHAnsi" w:hAnsiTheme="minorHAnsi" w:cstheme="minorHAnsi"/>
          <w:lang w:val="en-AU"/>
        </w:rPr>
        <w:t xml:space="preserve">were made by </w:t>
      </w:r>
      <w:r w:rsidR="00A96E61" w:rsidRPr="00A86505">
        <w:rPr>
          <w:rFonts w:asciiTheme="minorHAnsi" w:hAnsiTheme="minorHAnsi" w:cstheme="minorHAnsi"/>
          <w:lang w:val="en-AU"/>
        </w:rPr>
        <w:t>i</w:t>
      </w:r>
      <w:r w:rsidR="009929D4" w:rsidRPr="00A86505">
        <w:rPr>
          <w:rFonts w:asciiTheme="minorHAnsi" w:hAnsiTheme="minorHAnsi" w:cstheme="minorHAnsi"/>
          <w:lang w:val="en-AU"/>
        </w:rPr>
        <w:t>tem 2 of Schedule</w:t>
      </w:r>
      <w:r w:rsidR="00A96E61" w:rsidRPr="00A86505">
        <w:rPr>
          <w:rFonts w:asciiTheme="minorHAnsi" w:hAnsiTheme="minorHAnsi" w:cstheme="minorHAnsi"/>
          <w:lang w:val="en-AU"/>
        </w:rPr>
        <w:t xml:space="preserve"> </w:t>
      </w:r>
      <w:r w:rsidR="009929D4" w:rsidRPr="00A86505">
        <w:rPr>
          <w:rFonts w:asciiTheme="minorHAnsi" w:hAnsiTheme="minorHAnsi" w:cstheme="minorHAnsi"/>
          <w:lang w:val="en-AU"/>
        </w:rPr>
        <w:t xml:space="preserve">1, Part 1 of the </w:t>
      </w:r>
      <w:r w:rsidR="009929D4" w:rsidRPr="00A86505">
        <w:rPr>
          <w:rFonts w:asciiTheme="minorHAnsi" w:hAnsiTheme="minorHAnsi" w:cstheme="minorHAnsi"/>
          <w:i/>
        </w:rPr>
        <w:t>Higher Education Legislation Amendment (Provider Category Standards and Other Measures) Act 2021</w:t>
      </w:r>
      <w:r w:rsidR="009929D4" w:rsidRPr="00A86505">
        <w:rPr>
          <w:rFonts w:asciiTheme="minorHAnsi" w:hAnsiTheme="minorHAnsi" w:cstheme="minorHAnsi"/>
          <w:iCs/>
        </w:rPr>
        <w:t xml:space="preserve"> (PCS Act). The amendments </w:t>
      </w:r>
      <w:r w:rsidR="00EF56E7" w:rsidRPr="00A86505">
        <w:rPr>
          <w:rFonts w:asciiTheme="minorHAnsi" w:hAnsiTheme="minorHAnsi" w:cstheme="minorHAnsi"/>
          <w:lang w:val="en-AU"/>
        </w:rPr>
        <w:t xml:space="preserve">will </w:t>
      </w:r>
      <w:r w:rsidR="00B50FBF" w:rsidRPr="00A86505">
        <w:rPr>
          <w:rFonts w:asciiTheme="minorHAnsi" w:hAnsiTheme="minorHAnsi" w:cstheme="minorHAnsi"/>
          <w:lang w:val="en-AU"/>
        </w:rPr>
        <w:t xml:space="preserve">come into effect on the same date as the </w:t>
      </w:r>
      <w:r w:rsidR="004640EE" w:rsidRPr="00A86505">
        <w:rPr>
          <w:rFonts w:asciiTheme="minorHAnsi" w:hAnsiTheme="minorHAnsi" w:cstheme="minorHAnsi"/>
          <w:lang w:val="en-AU"/>
        </w:rPr>
        <w:t>I</w:t>
      </w:r>
      <w:r w:rsidR="00B50FBF" w:rsidRPr="00A86505">
        <w:rPr>
          <w:rFonts w:asciiTheme="minorHAnsi" w:hAnsiTheme="minorHAnsi" w:cstheme="minorHAnsi"/>
          <w:lang w:val="en-AU"/>
        </w:rPr>
        <w:t xml:space="preserve">nstrument and </w:t>
      </w:r>
      <w:r w:rsidR="00EF56E7" w:rsidRPr="00A86505">
        <w:rPr>
          <w:rFonts w:asciiTheme="minorHAnsi" w:hAnsiTheme="minorHAnsi" w:cstheme="minorHAnsi"/>
          <w:lang w:val="en-AU"/>
        </w:rPr>
        <w:t>enable the structure of the Threshold Standards to be simplified, making it clearer to read and use</w:t>
      </w:r>
      <w:r w:rsidR="00A4206A" w:rsidRPr="00A86505">
        <w:rPr>
          <w:rFonts w:asciiTheme="minorHAnsi" w:hAnsiTheme="minorHAnsi" w:cstheme="minorHAnsi"/>
          <w:lang w:val="en-AU"/>
        </w:rPr>
        <w:t>. The amendments</w:t>
      </w:r>
      <w:r w:rsidR="004F7D48" w:rsidRPr="00A86505">
        <w:rPr>
          <w:rFonts w:asciiTheme="minorHAnsi" w:hAnsiTheme="minorHAnsi" w:cstheme="minorHAnsi"/>
          <w:lang w:val="en-AU"/>
        </w:rPr>
        <w:t xml:space="preserve"> </w:t>
      </w:r>
      <w:r w:rsidR="00A4206A" w:rsidRPr="00A86505">
        <w:rPr>
          <w:rFonts w:asciiTheme="minorHAnsi" w:hAnsiTheme="minorHAnsi" w:cstheme="minorHAnsi"/>
          <w:lang w:val="en-AU"/>
        </w:rPr>
        <w:t>are such that the 2015 Standards</w:t>
      </w:r>
      <w:r w:rsidR="00A96E61" w:rsidRPr="00A86505">
        <w:rPr>
          <w:rFonts w:asciiTheme="minorHAnsi" w:hAnsiTheme="minorHAnsi" w:cstheme="minorHAnsi"/>
          <w:lang w:val="en-AU"/>
        </w:rPr>
        <w:t xml:space="preserve"> are</w:t>
      </w:r>
      <w:r w:rsidR="00DF6759" w:rsidRPr="00A86505">
        <w:rPr>
          <w:rFonts w:asciiTheme="minorHAnsi" w:hAnsiTheme="minorHAnsi" w:cstheme="minorHAnsi"/>
          <w:lang w:val="en-AU"/>
        </w:rPr>
        <w:t xml:space="preserve"> automatically repealed from the commencement date</w:t>
      </w:r>
      <w:r w:rsidR="004F7D48" w:rsidRPr="00A86505">
        <w:rPr>
          <w:rFonts w:asciiTheme="minorHAnsi" w:hAnsiTheme="minorHAnsi" w:cstheme="minorHAnsi"/>
          <w:lang w:val="en-AU"/>
        </w:rPr>
        <w:t>, requiring new Threshold Standards to be made</w:t>
      </w:r>
      <w:r w:rsidR="00DF6759" w:rsidRPr="00A86505">
        <w:rPr>
          <w:rFonts w:asciiTheme="minorHAnsi" w:hAnsiTheme="minorHAnsi" w:cstheme="minorHAnsi"/>
          <w:lang w:val="en-AU"/>
        </w:rPr>
        <w:t>.</w:t>
      </w:r>
    </w:p>
    <w:p w14:paraId="45A1EDFC" w14:textId="377C8C05" w:rsidR="006E37F6" w:rsidRPr="00A86505" w:rsidRDefault="006E37F6" w:rsidP="008E66F6">
      <w:pPr>
        <w:jc w:val="left"/>
        <w:rPr>
          <w:rFonts w:asciiTheme="minorHAnsi" w:hAnsiTheme="minorHAnsi" w:cstheme="minorHAnsi"/>
          <w:lang w:val="en-AU"/>
        </w:rPr>
      </w:pPr>
    </w:p>
    <w:p w14:paraId="4014750E" w14:textId="78AC6E5F" w:rsidR="005B6D84" w:rsidRPr="00A86505" w:rsidRDefault="005B6D84" w:rsidP="008E66F6">
      <w:pPr>
        <w:jc w:val="left"/>
        <w:rPr>
          <w:rFonts w:asciiTheme="minorHAnsi" w:hAnsiTheme="minorHAnsi" w:cstheme="minorHAnsi"/>
          <w:lang w:val="en-AU"/>
        </w:rPr>
      </w:pPr>
      <w:r w:rsidRPr="00A86505">
        <w:rPr>
          <w:rFonts w:asciiTheme="minorHAnsi" w:hAnsiTheme="minorHAnsi" w:cstheme="minorHAnsi"/>
          <w:lang w:val="en-AU"/>
        </w:rPr>
        <w:t xml:space="preserve">Minor amendments </w:t>
      </w:r>
      <w:r w:rsidR="00B3733E" w:rsidRPr="00A86505">
        <w:rPr>
          <w:rFonts w:asciiTheme="minorHAnsi" w:hAnsiTheme="minorHAnsi" w:cstheme="minorHAnsi"/>
          <w:lang w:val="en-AU"/>
        </w:rPr>
        <w:t xml:space="preserve">have been made </w:t>
      </w:r>
      <w:r w:rsidRPr="00A86505">
        <w:rPr>
          <w:rFonts w:asciiTheme="minorHAnsi" w:hAnsiTheme="minorHAnsi" w:cstheme="minorHAnsi"/>
          <w:lang w:val="en-AU"/>
        </w:rPr>
        <w:t>to Part A</w:t>
      </w:r>
      <w:r w:rsidR="00B3733E" w:rsidRPr="00A86505">
        <w:rPr>
          <w:rFonts w:asciiTheme="minorHAnsi" w:hAnsiTheme="minorHAnsi" w:cstheme="minorHAnsi"/>
          <w:lang w:val="en-AU"/>
        </w:rPr>
        <w:t xml:space="preserve"> of the Threshold Standards to respond to advice of the </w:t>
      </w:r>
      <w:r w:rsidR="00454928" w:rsidRPr="00A86505">
        <w:rPr>
          <w:rFonts w:asciiTheme="minorHAnsi" w:hAnsiTheme="minorHAnsi" w:cstheme="minorHAnsi"/>
          <w:lang w:val="en-AU"/>
        </w:rPr>
        <w:t>P</w:t>
      </w:r>
      <w:r w:rsidR="00B3733E" w:rsidRPr="00A86505">
        <w:rPr>
          <w:rFonts w:asciiTheme="minorHAnsi" w:hAnsiTheme="minorHAnsi" w:cstheme="minorHAnsi"/>
          <w:lang w:val="en-AU"/>
        </w:rPr>
        <w:t xml:space="preserve">anel </w:t>
      </w:r>
      <w:r w:rsidR="00844764" w:rsidRPr="00A86505">
        <w:rPr>
          <w:rFonts w:asciiTheme="minorHAnsi" w:hAnsiTheme="minorHAnsi" w:cstheme="minorHAnsi"/>
          <w:lang w:val="en-AU"/>
        </w:rPr>
        <w:t xml:space="preserve">regarding the awarding of academic credit and recognition of prior learning, in the wake of the 2019 </w:t>
      </w:r>
      <w:r w:rsidR="00844764" w:rsidRPr="00A86505">
        <w:rPr>
          <w:rFonts w:asciiTheme="minorHAnsi" w:hAnsiTheme="minorHAnsi" w:cstheme="minorHAnsi"/>
          <w:i/>
          <w:iCs/>
          <w:lang w:val="en-AU"/>
        </w:rPr>
        <w:t>Review of the Australian Qualifications Framework</w:t>
      </w:r>
      <w:r w:rsidR="00917071" w:rsidRPr="00A86505">
        <w:rPr>
          <w:rFonts w:asciiTheme="minorHAnsi" w:hAnsiTheme="minorHAnsi" w:cstheme="minorHAnsi"/>
          <w:lang w:val="en-AU"/>
        </w:rPr>
        <w:t xml:space="preserve"> (available at </w:t>
      </w:r>
      <w:hyperlink r:id="rId13" w:history="1">
        <w:r w:rsidR="00F96A40" w:rsidRPr="00A86505">
          <w:rPr>
            <w:rStyle w:val="Hyperlink"/>
            <w:rFonts w:asciiTheme="minorHAnsi" w:hAnsiTheme="minorHAnsi" w:cstheme="minorHAnsi"/>
            <w:lang w:val="en-AU"/>
          </w:rPr>
          <w:t>https://www.dese.gov.au/reviews-and-consultations/australian-qualifications-framework-review</w:t>
        </w:r>
      </w:hyperlink>
      <w:r w:rsidR="00917071" w:rsidRPr="00A86505">
        <w:rPr>
          <w:rFonts w:asciiTheme="minorHAnsi" w:hAnsiTheme="minorHAnsi" w:cstheme="minorHAnsi"/>
          <w:lang w:val="en-AU"/>
        </w:rPr>
        <w:t>)</w:t>
      </w:r>
      <w:r w:rsidR="00844764" w:rsidRPr="00A86505">
        <w:rPr>
          <w:rFonts w:asciiTheme="minorHAnsi" w:hAnsiTheme="minorHAnsi" w:cstheme="minorHAnsi"/>
          <w:lang w:val="en-AU"/>
        </w:rPr>
        <w:t>.</w:t>
      </w:r>
    </w:p>
    <w:p w14:paraId="07B14A50" w14:textId="77777777" w:rsidR="005B6D84" w:rsidRPr="00A86505" w:rsidRDefault="005B6D84" w:rsidP="008E66F6">
      <w:pPr>
        <w:jc w:val="left"/>
        <w:rPr>
          <w:rFonts w:asciiTheme="minorHAnsi" w:hAnsiTheme="minorHAnsi" w:cstheme="minorHAnsi"/>
          <w:lang w:val="en-AU"/>
        </w:rPr>
      </w:pPr>
    </w:p>
    <w:p w14:paraId="4D128CEE" w14:textId="2CC0EDCC" w:rsidR="008E66F6" w:rsidRPr="00A86505" w:rsidRDefault="008E66F6" w:rsidP="00141663">
      <w:pPr>
        <w:keepNext/>
        <w:jc w:val="left"/>
        <w:rPr>
          <w:rFonts w:asciiTheme="minorHAnsi" w:hAnsiTheme="minorHAnsi" w:cstheme="minorHAnsi"/>
          <w:b/>
          <w:bCs/>
          <w:sz w:val="24"/>
          <w:szCs w:val="24"/>
          <w:lang w:val="en-AU"/>
        </w:rPr>
      </w:pPr>
      <w:r w:rsidRPr="00A86505">
        <w:rPr>
          <w:rFonts w:asciiTheme="minorHAnsi" w:hAnsiTheme="minorHAnsi" w:cstheme="minorHAnsi"/>
          <w:b/>
          <w:bCs/>
          <w:sz w:val="24"/>
          <w:szCs w:val="24"/>
          <w:lang w:val="en-AU"/>
        </w:rPr>
        <w:t>REGULATORY IMPACT</w:t>
      </w:r>
    </w:p>
    <w:p w14:paraId="3FE01720" w14:textId="77777777" w:rsidR="00107CE2" w:rsidRPr="00A86505" w:rsidRDefault="00107CE2" w:rsidP="00141663">
      <w:pPr>
        <w:keepNext/>
        <w:jc w:val="left"/>
        <w:rPr>
          <w:rFonts w:asciiTheme="minorHAnsi" w:hAnsiTheme="minorHAnsi" w:cstheme="minorHAnsi"/>
          <w:lang w:val="en-AU"/>
        </w:rPr>
      </w:pPr>
    </w:p>
    <w:p w14:paraId="4CF5EAD5" w14:textId="3F371B38" w:rsidR="009F1BE3" w:rsidRPr="00A86505" w:rsidRDefault="009F1BE3" w:rsidP="004402BD">
      <w:pPr>
        <w:jc w:val="left"/>
        <w:rPr>
          <w:rFonts w:asciiTheme="minorHAnsi" w:hAnsiTheme="minorHAnsi" w:cstheme="minorHAnsi"/>
          <w:lang w:val="en-AU"/>
        </w:rPr>
      </w:pPr>
      <w:r w:rsidRPr="00A86505">
        <w:rPr>
          <w:rFonts w:asciiTheme="minorHAnsi" w:hAnsiTheme="minorHAnsi" w:cstheme="minorHAnsi"/>
          <w:lang w:val="en-AU"/>
        </w:rPr>
        <w:t xml:space="preserve">Consistent with the Government’s Regulation Impact Statement (RIS) requirements, the Department of Education, Skills and Employment certified that the </w:t>
      </w:r>
      <w:r w:rsidR="00991932" w:rsidRPr="00A86505">
        <w:rPr>
          <w:rFonts w:asciiTheme="minorHAnsi" w:hAnsiTheme="minorHAnsi" w:cstheme="minorHAnsi"/>
          <w:lang w:val="en-AU"/>
        </w:rPr>
        <w:t>PCS Review</w:t>
      </w:r>
      <w:r w:rsidRPr="00A86505">
        <w:rPr>
          <w:rFonts w:asciiTheme="minorHAnsi" w:hAnsiTheme="minorHAnsi" w:cstheme="minorHAnsi"/>
          <w:lang w:val="en-AU"/>
        </w:rPr>
        <w:t xml:space="preserve"> report represents a process and analysis equivalent to a Regulation Impact Statement (RIS). The Office of Best Practice Regulation (OBPR) does not assess the quality of independent </w:t>
      </w:r>
      <w:proofErr w:type="gramStart"/>
      <w:r w:rsidRPr="00A86505">
        <w:rPr>
          <w:rFonts w:asciiTheme="minorHAnsi" w:hAnsiTheme="minorHAnsi" w:cstheme="minorHAnsi"/>
          <w:lang w:val="en-AU"/>
        </w:rPr>
        <w:t>reviews, but</w:t>
      </w:r>
      <w:proofErr w:type="gramEnd"/>
      <w:r w:rsidRPr="00A86505">
        <w:rPr>
          <w:rFonts w:asciiTheme="minorHAnsi" w:hAnsiTheme="minorHAnsi" w:cstheme="minorHAnsi"/>
          <w:lang w:val="en-AU"/>
        </w:rPr>
        <w:t xml:space="preserve"> has assessed the </w:t>
      </w:r>
      <w:r w:rsidR="00991932" w:rsidRPr="00A86505">
        <w:rPr>
          <w:rFonts w:asciiTheme="minorHAnsi" w:hAnsiTheme="minorHAnsi" w:cstheme="minorHAnsi"/>
          <w:lang w:val="en-AU"/>
        </w:rPr>
        <w:t xml:space="preserve">PCS </w:t>
      </w:r>
      <w:r w:rsidRPr="00A86505">
        <w:rPr>
          <w:rFonts w:asciiTheme="minorHAnsi" w:hAnsiTheme="minorHAnsi" w:cstheme="minorHAnsi"/>
          <w:lang w:val="en-AU"/>
        </w:rPr>
        <w:t>Review for relevance to the recommended options</w:t>
      </w:r>
      <w:r w:rsidR="00B65BD8" w:rsidRPr="00A86505">
        <w:rPr>
          <w:rFonts w:asciiTheme="minorHAnsi" w:hAnsiTheme="minorHAnsi" w:cstheme="minorHAnsi"/>
          <w:lang w:val="en-AU"/>
        </w:rPr>
        <w:t xml:space="preserve"> (OBPR ID number 42777)</w:t>
      </w:r>
      <w:r w:rsidR="001027C6" w:rsidRPr="00A86505">
        <w:rPr>
          <w:rFonts w:asciiTheme="minorHAnsi" w:hAnsiTheme="minorHAnsi" w:cstheme="minorHAnsi"/>
          <w:lang w:val="en-AU"/>
        </w:rPr>
        <w:t>.</w:t>
      </w:r>
    </w:p>
    <w:p w14:paraId="23AAAC28" w14:textId="77777777" w:rsidR="00DB79A1" w:rsidRPr="00A86505" w:rsidRDefault="00DB79A1" w:rsidP="00102B2D">
      <w:pPr>
        <w:jc w:val="left"/>
        <w:rPr>
          <w:rFonts w:asciiTheme="minorHAnsi" w:hAnsiTheme="minorHAnsi" w:cstheme="minorHAnsi"/>
          <w:lang w:val="en-AU"/>
        </w:rPr>
      </w:pPr>
    </w:p>
    <w:p w14:paraId="52A8FF85" w14:textId="43423529" w:rsidR="008E66F6" w:rsidRPr="00A86505" w:rsidRDefault="008E66F6" w:rsidP="008E66F6">
      <w:pPr>
        <w:pStyle w:val="Subheading"/>
        <w:jc w:val="left"/>
        <w:rPr>
          <w:rFonts w:asciiTheme="minorHAnsi" w:hAnsiTheme="minorHAnsi" w:cstheme="minorHAnsi"/>
        </w:rPr>
      </w:pPr>
      <w:r w:rsidRPr="00A86505">
        <w:rPr>
          <w:rFonts w:asciiTheme="minorHAnsi" w:hAnsiTheme="minorHAnsi" w:cstheme="minorHAnsi"/>
        </w:rPr>
        <w:t>COMMENCEMENT</w:t>
      </w:r>
    </w:p>
    <w:p w14:paraId="385F6B28" w14:textId="77777777" w:rsidR="008E66F6" w:rsidRPr="00A86505" w:rsidRDefault="008E66F6" w:rsidP="008E66F6">
      <w:pPr>
        <w:tabs>
          <w:tab w:val="clear" w:pos="1134"/>
        </w:tabs>
        <w:jc w:val="left"/>
        <w:rPr>
          <w:rFonts w:asciiTheme="minorHAnsi" w:hAnsiTheme="minorHAnsi" w:cstheme="minorHAnsi"/>
        </w:rPr>
      </w:pPr>
    </w:p>
    <w:p w14:paraId="3F9EAF34" w14:textId="59B7F873" w:rsidR="008E66F6" w:rsidRPr="00A86505" w:rsidRDefault="008E66F6" w:rsidP="008E66F6">
      <w:pPr>
        <w:tabs>
          <w:tab w:val="clear" w:pos="1134"/>
        </w:tabs>
        <w:jc w:val="left"/>
        <w:rPr>
          <w:rFonts w:asciiTheme="minorHAnsi" w:hAnsiTheme="minorHAnsi" w:cstheme="minorHAnsi"/>
        </w:rPr>
      </w:pPr>
      <w:r w:rsidRPr="00A86505">
        <w:rPr>
          <w:rFonts w:asciiTheme="minorHAnsi" w:hAnsiTheme="minorHAnsi" w:cstheme="minorHAnsi"/>
        </w:rPr>
        <w:t xml:space="preserve">Item 2 of the </w:t>
      </w:r>
      <w:r w:rsidR="004640EE" w:rsidRPr="00A86505">
        <w:rPr>
          <w:rFonts w:asciiTheme="minorHAnsi" w:hAnsiTheme="minorHAnsi" w:cstheme="minorHAnsi"/>
        </w:rPr>
        <w:t>I</w:t>
      </w:r>
      <w:r w:rsidRPr="00A86505">
        <w:rPr>
          <w:rFonts w:asciiTheme="minorHAnsi" w:hAnsiTheme="minorHAnsi" w:cstheme="minorHAnsi"/>
        </w:rPr>
        <w:t xml:space="preserve">nstrument specifies that the </w:t>
      </w:r>
      <w:r w:rsidR="00DF7132" w:rsidRPr="00A86505">
        <w:rPr>
          <w:rFonts w:asciiTheme="minorHAnsi" w:hAnsiTheme="minorHAnsi" w:cstheme="minorHAnsi"/>
        </w:rPr>
        <w:t>Threshold Standards</w:t>
      </w:r>
      <w:r w:rsidRPr="00A86505">
        <w:rPr>
          <w:rFonts w:asciiTheme="minorHAnsi" w:hAnsiTheme="minorHAnsi" w:cstheme="minorHAnsi"/>
        </w:rPr>
        <w:t xml:space="preserve"> take effect </w:t>
      </w:r>
      <w:r w:rsidR="00D461A6" w:rsidRPr="00A86505">
        <w:rPr>
          <w:rFonts w:asciiTheme="minorHAnsi" w:hAnsiTheme="minorHAnsi" w:cstheme="minorHAnsi"/>
        </w:rPr>
        <w:t>on</w:t>
      </w:r>
      <w:r w:rsidRPr="00A86505">
        <w:rPr>
          <w:rFonts w:asciiTheme="minorHAnsi" w:hAnsiTheme="minorHAnsi" w:cstheme="minorHAnsi"/>
        </w:rPr>
        <w:t xml:space="preserve"> the same day that </w:t>
      </w:r>
      <w:r w:rsidRPr="00A86505">
        <w:rPr>
          <w:rFonts w:asciiTheme="minorHAnsi" w:hAnsiTheme="minorHAnsi" w:cstheme="minorHAnsi"/>
          <w:iCs/>
        </w:rPr>
        <w:t>Schedule 1, Part 1 of the</w:t>
      </w:r>
      <w:r w:rsidRPr="00A86505">
        <w:rPr>
          <w:rFonts w:asciiTheme="minorHAnsi" w:hAnsiTheme="minorHAnsi" w:cstheme="minorHAnsi"/>
          <w:i/>
        </w:rPr>
        <w:t xml:space="preserve"> </w:t>
      </w:r>
      <w:r w:rsidR="00D461A6" w:rsidRPr="00A86505">
        <w:rPr>
          <w:rFonts w:asciiTheme="minorHAnsi" w:hAnsiTheme="minorHAnsi" w:cstheme="minorHAnsi"/>
          <w:iCs/>
        </w:rPr>
        <w:t>PCS Act</w:t>
      </w:r>
      <w:r w:rsidRPr="00A86505">
        <w:rPr>
          <w:rFonts w:asciiTheme="minorHAnsi" w:hAnsiTheme="minorHAnsi" w:cstheme="minorHAnsi"/>
          <w:iCs/>
        </w:rPr>
        <w:t xml:space="preserve"> commences</w:t>
      </w:r>
      <w:r w:rsidRPr="00A86505">
        <w:rPr>
          <w:rFonts w:asciiTheme="minorHAnsi" w:hAnsiTheme="minorHAnsi" w:cstheme="minorHAnsi"/>
        </w:rPr>
        <w:t xml:space="preserve">. This date is </w:t>
      </w:r>
      <w:r w:rsidR="004844A1" w:rsidRPr="00A86505">
        <w:rPr>
          <w:rFonts w:asciiTheme="minorHAnsi" w:hAnsiTheme="minorHAnsi" w:cstheme="minorHAnsi"/>
        </w:rPr>
        <w:t xml:space="preserve">to be </w:t>
      </w:r>
      <w:r w:rsidRPr="00A86505">
        <w:rPr>
          <w:rFonts w:asciiTheme="minorHAnsi" w:hAnsiTheme="minorHAnsi" w:cstheme="minorHAnsi"/>
        </w:rPr>
        <w:t>set by proclamation as 1</w:t>
      </w:r>
      <w:r w:rsidR="004844A1" w:rsidRPr="00A86505">
        <w:rPr>
          <w:rFonts w:asciiTheme="minorHAnsi" w:hAnsiTheme="minorHAnsi" w:cstheme="minorHAnsi"/>
        </w:rPr>
        <w:t> </w:t>
      </w:r>
      <w:r w:rsidRPr="00A86505">
        <w:rPr>
          <w:rFonts w:asciiTheme="minorHAnsi" w:hAnsiTheme="minorHAnsi" w:cstheme="minorHAnsi"/>
        </w:rPr>
        <w:t>July</w:t>
      </w:r>
      <w:r w:rsidR="004844A1" w:rsidRPr="00A86505">
        <w:rPr>
          <w:rFonts w:asciiTheme="minorHAnsi" w:hAnsiTheme="minorHAnsi" w:cstheme="minorHAnsi"/>
        </w:rPr>
        <w:t> </w:t>
      </w:r>
      <w:r w:rsidRPr="00A86505">
        <w:rPr>
          <w:rFonts w:asciiTheme="minorHAnsi" w:hAnsiTheme="minorHAnsi" w:cstheme="minorHAnsi"/>
        </w:rPr>
        <w:t>2021.</w:t>
      </w:r>
    </w:p>
    <w:p w14:paraId="3D0D6735" w14:textId="77777777" w:rsidR="008E66F6" w:rsidRPr="00A86505" w:rsidRDefault="008E66F6" w:rsidP="008E66F6">
      <w:pPr>
        <w:tabs>
          <w:tab w:val="clear" w:pos="1134"/>
        </w:tabs>
        <w:jc w:val="left"/>
        <w:rPr>
          <w:rFonts w:asciiTheme="minorHAnsi" w:hAnsiTheme="minorHAnsi" w:cstheme="minorHAnsi"/>
        </w:rPr>
      </w:pPr>
    </w:p>
    <w:p w14:paraId="355C87E0" w14:textId="1521CAA1" w:rsidR="008E66F6" w:rsidRPr="00A86505" w:rsidRDefault="008E66F6" w:rsidP="00F96A40">
      <w:pPr>
        <w:pStyle w:val="Subheading"/>
        <w:keepNext/>
        <w:jc w:val="left"/>
        <w:rPr>
          <w:rFonts w:asciiTheme="minorHAnsi" w:hAnsiTheme="minorHAnsi" w:cstheme="minorHAnsi"/>
        </w:rPr>
      </w:pPr>
      <w:r w:rsidRPr="00A86505">
        <w:rPr>
          <w:rFonts w:asciiTheme="minorHAnsi" w:hAnsiTheme="minorHAnsi" w:cstheme="minorHAnsi"/>
        </w:rPr>
        <w:lastRenderedPageBreak/>
        <w:t>AVAILABILITY OF MERITS REVIEW</w:t>
      </w:r>
    </w:p>
    <w:p w14:paraId="4A9B4AE1" w14:textId="77777777" w:rsidR="008E66F6" w:rsidRPr="00A86505" w:rsidRDefault="008E66F6" w:rsidP="00F96A40">
      <w:pPr>
        <w:pStyle w:val="Subheading"/>
        <w:keepNext/>
        <w:jc w:val="left"/>
        <w:rPr>
          <w:rFonts w:asciiTheme="minorHAnsi" w:hAnsiTheme="minorHAnsi" w:cstheme="minorHAnsi"/>
          <w:sz w:val="22"/>
          <w:szCs w:val="22"/>
        </w:rPr>
      </w:pPr>
    </w:p>
    <w:p w14:paraId="2E9383AE" w14:textId="281504E3" w:rsidR="00C84354" w:rsidRPr="00A86505" w:rsidRDefault="00C84354" w:rsidP="00C84354">
      <w:pPr>
        <w:rPr>
          <w:rFonts w:asciiTheme="minorHAnsi" w:hAnsiTheme="minorHAnsi" w:cstheme="minorHAnsi"/>
          <w:lang w:val="en-AU"/>
        </w:rPr>
      </w:pPr>
      <w:r w:rsidRPr="00A86505">
        <w:rPr>
          <w:rFonts w:asciiTheme="minorHAnsi" w:hAnsiTheme="minorHAnsi" w:cstheme="minorHAnsi"/>
        </w:rPr>
        <w:t xml:space="preserve">The </w:t>
      </w:r>
      <w:r w:rsidR="004640EE" w:rsidRPr="00A86505">
        <w:rPr>
          <w:rFonts w:asciiTheme="minorHAnsi" w:hAnsiTheme="minorHAnsi" w:cstheme="minorHAnsi"/>
        </w:rPr>
        <w:t>I</w:t>
      </w:r>
      <w:r w:rsidRPr="00A86505">
        <w:rPr>
          <w:rFonts w:asciiTheme="minorHAnsi" w:hAnsiTheme="minorHAnsi" w:cstheme="minorHAnsi"/>
        </w:rPr>
        <w:t xml:space="preserve">nstrument sets standards that higher education providers must satisfy </w:t>
      </w:r>
      <w:proofErr w:type="gramStart"/>
      <w:r w:rsidRPr="00A86505">
        <w:rPr>
          <w:rFonts w:asciiTheme="minorHAnsi" w:hAnsiTheme="minorHAnsi" w:cstheme="minorHAnsi"/>
        </w:rPr>
        <w:t>in order to</w:t>
      </w:r>
      <w:proofErr w:type="gramEnd"/>
      <w:r w:rsidRPr="00A86505">
        <w:rPr>
          <w:rFonts w:asciiTheme="minorHAnsi" w:hAnsiTheme="minorHAnsi" w:cstheme="minorHAnsi"/>
        </w:rPr>
        <w:t xml:space="preserve"> maintain their registration and does not create any decision-making powers</w:t>
      </w:r>
      <w:r w:rsidR="003847C6" w:rsidRPr="00A86505">
        <w:rPr>
          <w:rFonts w:asciiTheme="minorHAnsi" w:hAnsiTheme="minorHAnsi" w:cstheme="minorHAnsi"/>
        </w:rPr>
        <w:t xml:space="preserve">. However, these standards are </w:t>
      </w:r>
      <w:r w:rsidR="004412A7" w:rsidRPr="00A86505">
        <w:rPr>
          <w:rFonts w:asciiTheme="minorHAnsi" w:hAnsiTheme="minorHAnsi" w:cstheme="minorHAnsi"/>
        </w:rPr>
        <w:t>used by TEQSA as the basis for a range of decisions that are subject to merits review</w:t>
      </w:r>
      <w:r w:rsidRPr="00A86505">
        <w:rPr>
          <w:rFonts w:asciiTheme="minorHAnsi" w:hAnsiTheme="minorHAnsi" w:cstheme="minorHAnsi"/>
        </w:rPr>
        <w:t xml:space="preserve">. The Administrative Review Council has recognised that merits review is the process </w:t>
      </w:r>
      <w:r w:rsidR="00543A87" w:rsidRPr="00A86505">
        <w:rPr>
          <w:rFonts w:asciiTheme="minorHAnsi" w:hAnsiTheme="minorHAnsi" w:cstheme="minorHAnsi"/>
        </w:rPr>
        <w:t>by</w:t>
      </w:r>
      <w:r w:rsidRPr="00A86505">
        <w:rPr>
          <w:rFonts w:asciiTheme="minorHAnsi" w:hAnsiTheme="minorHAnsi" w:cstheme="minorHAnsi"/>
        </w:rPr>
        <w:t xml:space="preserve"> which a person or body (other than the primary decision-maker), reconsiders the facts, law and policy aspects of the original decision and determines what is the correct and preferable decision (see sections 1.1 of the guidance document </w:t>
      </w:r>
      <w:r w:rsidRPr="00A86505">
        <w:rPr>
          <w:rFonts w:asciiTheme="minorHAnsi" w:hAnsiTheme="minorHAnsi" w:cstheme="minorHAnsi"/>
          <w:i/>
          <w:iCs/>
        </w:rPr>
        <w:t>What decisions should be subject to merit review?</w:t>
      </w:r>
      <w:r w:rsidR="00F96A40" w:rsidRPr="00A86505">
        <w:rPr>
          <w:rFonts w:asciiTheme="minorHAnsi" w:hAnsiTheme="minorHAnsi" w:cstheme="minorHAnsi"/>
          <w:i/>
          <w:iCs/>
        </w:rPr>
        <w:t xml:space="preserve"> </w:t>
      </w:r>
      <w:r w:rsidR="00F96A40" w:rsidRPr="00A86505">
        <w:rPr>
          <w:rFonts w:asciiTheme="minorHAnsi" w:hAnsiTheme="minorHAnsi" w:cstheme="minorHAnsi"/>
        </w:rPr>
        <w:t xml:space="preserve">Available at </w:t>
      </w:r>
      <w:hyperlink r:id="rId14" w:history="1">
        <w:r w:rsidR="00F96A40" w:rsidRPr="00A86505">
          <w:rPr>
            <w:rStyle w:val="Hyperlink"/>
            <w:rFonts w:asciiTheme="minorHAnsi" w:hAnsiTheme="minorHAnsi" w:cstheme="minorHAnsi"/>
          </w:rPr>
          <w:t>https://www.ag.gov.au/legal-system/administrative-law/administrative-review-council-publications/what-decisions-should-be-subject-merit-review-1999</w:t>
        </w:r>
      </w:hyperlink>
      <w:r w:rsidRPr="00A86505">
        <w:rPr>
          <w:rFonts w:asciiTheme="minorHAnsi" w:hAnsiTheme="minorHAnsi" w:cstheme="minorHAnsi"/>
        </w:rPr>
        <w:t xml:space="preserve">). As the </w:t>
      </w:r>
      <w:r w:rsidR="004640EE" w:rsidRPr="00A86505">
        <w:rPr>
          <w:rFonts w:asciiTheme="minorHAnsi" w:hAnsiTheme="minorHAnsi" w:cstheme="minorHAnsi"/>
        </w:rPr>
        <w:t>I</w:t>
      </w:r>
      <w:r w:rsidRPr="00A86505">
        <w:rPr>
          <w:rFonts w:asciiTheme="minorHAnsi" w:hAnsiTheme="minorHAnsi" w:cstheme="minorHAnsi"/>
        </w:rPr>
        <w:t>nstrument does not create any decision-making powers, there is no original decision available to be reviewed. Therefore, merits review is not applicable in relation to these standards</w:t>
      </w:r>
      <w:r w:rsidR="004412A7" w:rsidRPr="00A86505">
        <w:rPr>
          <w:rFonts w:asciiTheme="minorHAnsi" w:hAnsiTheme="minorHAnsi" w:cstheme="minorHAnsi"/>
        </w:rPr>
        <w:t xml:space="preserve"> themselves</w:t>
      </w:r>
      <w:r w:rsidRPr="00A86505">
        <w:rPr>
          <w:rFonts w:asciiTheme="minorHAnsi" w:hAnsiTheme="minorHAnsi" w:cstheme="minorHAnsi"/>
        </w:rPr>
        <w:t>.</w:t>
      </w:r>
      <w:r w:rsidR="003B476B" w:rsidRPr="00A86505">
        <w:rPr>
          <w:rFonts w:asciiTheme="minorHAnsi" w:hAnsiTheme="minorHAnsi" w:cstheme="minorHAnsi"/>
        </w:rPr>
        <w:t xml:space="preserve"> Reviewable decisions </w:t>
      </w:r>
      <w:r w:rsidR="008A3A2A" w:rsidRPr="00A86505">
        <w:rPr>
          <w:rFonts w:asciiTheme="minorHAnsi" w:hAnsiTheme="minorHAnsi" w:cstheme="minorHAnsi"/>
        </w:rPr>
        <w:t xml:space="preserve">of TEQSA </w:t>
      </w:r>
      <w:r w:rsidR="003B476B" w:rsidRPr="00A86505">
        <w:rPr>
          <w:rFonts w:asciiTheme="minorHAnsi" w:hAnsiTheme="minorHAnsi" w:cstheme="minorHAnsi"/>
        </w:rPr>
        <w:t xml:space="preserve">are listed at </w:t>
      </w:r>
      <w:r w:rsidR="003847C6" w:rsidRPr="00A86505">
        <w:rPr>
          <w:rFonts w:asciiTheme="minorHAnsi" w:hAnsiTheme="minorHAnsi" w:cstheme="minorHAnsi"/>
        </w:rPr>
        <w:t>Section 183</w:t>
      </w:r>
      <w:r w:rsidR="008A3A2A" w:rsidRPr="00A86505">
        <w:rPr>
          <w:rFonts w:asciiTheme="minorHAnsi" w:hAnsiTheme="minorHAnsi" w:cstheme="minorHAnsi"/>
        </w:rPr>
        <w:t xml:space="preserve"> of the </w:t>
      </w:r>
      <w:r w:rsidR="0006513B" w:rsidRPr="00A86505">
        <w:rPr>
          <w:rFonts w:asciiTheme="minorHAnsi" w:hAnsiTheme="minorHAnsi" w:cstheme="minorHAnsi"/>
        </w:rPr>
        <w:t>TEQSA Act</w:t>
      </w:r>
      <w:r w:rsidR="003847C6" w:rsidRPr="00A86505">
        <w:rPr>
          <w:rFonts w:asciiTheme="minorHAnsi" w:hAnsiTheme="minorHAnsi" w:cstheme="minorHAnsi"/>
        </w:rPr>
        <w:t>.</w:t>
      </w:r>
      <w:r w:rsidRPr="00A86505">
        <w:rPr>
          <w:rFonts w:asciiTheme="minorHAnsi" w:hAnsiTheme="minorHAnsi" w:cstheme="minorHAnsi"/>
        </w:rPr>
        <w:t> </w:t>
      </w:r>
    </w:p>
    <w:p w14:paraId="107BCC0F" w14:textId="78501631" w:rsidR="00254DE4" w:rsidRPr="00A86505" w:rsidRDefault="00254DE4" w:rsidP="006E2E78">
      <w:pPr>
        <w:pStyle w:val="Subheading"/>
        <w:jc w:val="left"/>
        <w:rPr>
          <w:rFonts w:asciiTheme="minorHAnsi" w:hAnsiTheme="minorHAnsi" w:cstheme="minorHAnsi"/>
          <w:b w:val="0"/>
          <w:bCs/>
          <w:sz w:val="22"/>
          <w:szCs w:val="22"/>
        </w:rPr>
      </w:pPr>
    </w:p>
    <w:p w14:paraId="74365D6C" w14:textId="118012D2" w:rsidR="00254DE4" w:rsidRPr="00A86505" w:rsidRDefault="00254DE4" w:rsidP="00254DE4">
      <w:pPr>
        <w:pStyle w:val="Subheading"/>
        <w:jc w:val="left"/>
        <w:rPr>
          <w:rFonts w:asciiTheme="minorHAnsi" w:hAnsiTheme="minorHAnsi" w:cstheme="minorHAnsi"/>
        </w:rPr>
      </w:pPr>
      <w:r w:rsidRPr="00A86505">
        <w:rPr>
          <w:rFonts w:asciiTheme="minorHAnsi" w:hAnsiTheme="minorHAnsi" w:cstheme="minorHAnsi"/>
        </w:rPr>
        <w:t>CONSULTATION</w:t>
      </w:r>
    </w:p>
    <w:p w14:paraId="64AAF1C4" w14:textId="77777777" w:rsidR="00254DE4" w:rsidRPr="00A86505" w:rsidRDefault="00254DE4" w:rsidP="00254DE4">
      <w:pPr>
        <w:pStyle w:val="Subheading"/>
        <w:jc w:val="left"/>
        <w:rPr>
          <w:rFonts w:asciiTheme="minorHAnsi" w:hAnsiTheme="minorHAnsi" w:cstheme="minorHAnsi"/>
          <w:sz w:val="22"/>
          <w:szCs w:val="22"/>
        </w:rPr>
      </w:pPr>
    </w:p>
    <w:p w14:paraId="5DBD511F" w14:textId="41FEB7AD" w:rsidR="000D58DD" w:rsidRPr="00A86505" w:rsidRDefault="00C77394" w:rsidP="000D58DD">
      <w:pPr>
        <w:pStyle w:val="Default"/>
        <w:rPr>
          <w:rFonts w:asciiTheme="minorHAnsi" w:hAnsiTheme="minorHAnsi" w:cstheme="minorHAnsi"/>
          <w:color w:val="auto"/>
          <w:sz w:val="22"/>
          <w:szCs w:val="22"/>
          <w:lang w:val="en-GB"/>
        </w:rPr>
      </w:pPr>
      <w:r w:rsidRPr="00A86505">
        <w:rPr>
          <w:rFonts w:asciiTheme="minorHAnsi" w:hAnsiTheme="minorHAnsi" w:cstheme="minorHAnsi"/>
          <w:color w:val="auto"/>
          <w:sz w:val="22"/>
          <w:szCs w:val="22"/>
          <w:lang w:val="en-GB"/>
        </w:rPr>
        <w:t xml:space="preserve">Amendments to the 2015 Standards that are reflected in the 2021 </w:t>
      </w:r>
      <w:r w:rsidR="00DD19F5" w:rsidRPr="00A86505">
        <w:rPr>
          <w:rFonts w:asciiTheme="minorHAnsi" w:hAnsiTheme="minorHAnsi" w:cstheme="minorHAnsi"/>
          <w:color w:val="auto"/>
          <w:sz w:val="22"/>
          <w:szCs w:val="22"/>
          <w:lang w:val="en-GB"/>
        </w:rPr>
        <w:t xml:space="preserve">Threshold Standards </w:t>
      </w:r>
      <w:r w:rsidRPr="00A86505">
        <w:rPr>
          <w:rFonts w:asciiTheme="minorHAnsi" w:hAnsiTheme="minorHAnsi" w:cstheme="minorHAnsi"/>
          <w:color w:val="auto"/>
          <w:sz w:val="22"/>
          <w:szCs w:val="22"/>
          <w:lang w:val="en-GB"/>
        </w:rPr>
        <w:t xml:space="preserve">have been the subject of significant stakeholder consultation over the period </w:t>
      </w:r>
      <w:r w:rsidR="000D58DD" w:rsidRPr="00A86505">
        <w:rPr>
          <w:rFonts w:asciiTheme="minorHAnsi" w:hAnsiTheme="minorHAnsi" w:cstheme="minorHAnsi"/>
          <w:color w:val="auto"/>
          <w:sz w:val="22"/>
          <w:szCs w:val="22"/>
          <w:lang w:val="en-GB"/>
        </w:rPr>
        <w:t>2018 to 202</w:t>
      </w:r>
      <w:r w:rsidRPr="00A86505">
        <w:rPr>
          <w:rFonts w:asciiTheme="minorHAnsi" w:hAnsiTheme="minorHAnsi" w:cstheme="minorHAnsi"/>
          <w:color w:val="auto"/>
          <w:sz w:val="22"/>
          <w:szCs w:val="22"/>
          <w:lang w:val="en-GB"/>
        </w:rPr>
        <w:t>1.</w:t>
      </w:r>
    </w:p>
    <w:p w14:paraId="42DDF83D" w14:textId="77777777" w:rsidR="000D58DD" w:rsidRPr="00A86505" w:rsidRDefault="000D58DD" w:rsidP="000D58DD">
      <w:pPr>
        <w:pStyle w:val="Default"/>
        <w:rPr>
          <w:rFonts w:asciiTheme="minorHAnsi" w:hAnsiTheme="minorHAnsi" w:cstheme="minorHAnsi"/>
          <w:color w:val="auto"/>
          <w:sz w:val="22"/>
          <w:szCs w:val="22"/>
          <w:lang w:val="en-GB"/>
        </w:rPr>
      </w:pPr>
    </w:p>
    <w:p w14:paraId="164440E9" w14:textId="2E640CE8" w:rsidR="00C42FF5" w:rsidRPr="00A86505" w:rsidRDefault="000D58DD" w:rsidP="000D58DD">
      <w:pPr>
        <w:shd w:val="clear" w:color="auto" w:fill="FFFFFF"/>
        <w:tabs>
          <w:tab w:val="left" w:pos="720"/>
        </w:tabs>
        <w:jc w:val="left"/>
        <w:rPr>
          <w:rFonts w:asciiTheme="minorHAnsi" w:hAnsiTheme="minorHAnsi" w:cstheme="minorHAnsi"/>
        </w:rPr>
      </w:pPr>
      <w:r w:rsidRPr="00A86505">
        <w:rPr>
          <w:rFonts w:asciiTheme="minorHAnsi" w:hAnsiTheme="minorHAnsi" w:cstheme="minorHAnsi"/>
        </w:rPr>
        <w:t xml:space="preserve">The 2017‒18 Budget included a measure to undertake a </w:t>
      </w:r>
      <w:r w:rsidR="009B4116" w:rsidRPr="00A86505">
        <w:rPr>
          <w:rFonts w:asciiTheme="minorHAnsi" w:hAnsiTheme="minorHAnsi" w:cstheme="minorHAnsi"/>
        </w:rPr>
        <w:t>r</w:t>
      </w:r>
      <w:r w:rsidRPr="00A86505">
        <w:rPr>
          <w:rFonts w:asciiTheme="minorHAnsi" w:hAnsiTheme="minorHAnsi" w:cstheme="minorHAnsi"/>
        </w:rPr>
        <w:t xml:space="preserve">eview of the Higher Education Provider Category Standards. The </w:t>
      </w:r>
      <w:r w:rsidR="00C77394" w:rsidRPr="00A86505">
        <w:rPr>
          <w:rFonts w:asciiTheme="minorHAnsi" w:hAnsiTheme="minorHAnsi" w:cstheme="minorHAnsi"/>
        </w:rPr>
        <w:t xml:space="preserve">PCS </w:t>
      </w:r>
      <w:r w:rsidRPr="00A86505">
        <w:rPr>
          <w:rFonts w:asciiTheme="minorHAnsi" w:hAnsiTheme="minorHAnsi" w:cstheme="minorHAnsi"/>
        </w:rPr>
        <w:t xml:space="preserve">Review </w:t>
      </w:r>
      <w:r w:rsidR="00C77394" w:rsidRPr="00A86505">
        <w:rPr>
          <w:rFonts w:asciiTheme="minorHAnsi" w:hAnsiTheme="minorHAnsi" w:cstheme="minorHAnsi"/>
        </w:rPr>
        <w:t xml:space="preserve">considered whether the existing higher education provider categories, which form Part B of the Threshold Standards, were fit for purpose to support a diverse and high quality higher education sector that meets the needs of students, employers, higher education providers and the wider community. </w:t>
      </w:r>
    </w:p>
    <w:p w14:paraId="2EC7447C" w14:textId="77777777" w:rsidR="00C42FF5" w:rsidRPr="00A86505" w:rsidRDefault="00C42FF5" w:rsidP="000D58DD">
      <w:pPr>
        <w:shd w:val="clear" w:color="auto" w:fill="FFFFFF"/>
        <w:tabs>
          <w:tab w:val="left" w:pos="720"/>
        </w:tabs>
        <w:jc w:val="left"/>
        <w:rPr>
          <w:rFonts w:asciiTheme="minorHAnsi" w:hAnsiTheme="minorHAnsi" w:cstheme="minorHAnsi"/>
        </w:rPr>
      </w:pPr>
    </w:p>
    <w:p w14:paraId="19B6F17A" w14:textId="175D324A" w:rsidR="00C77394" w:rsidRPr="00A86505" w:rsidRDefault="00C77394" w:rsidP="000D58DD">
      <w:pPr>
        <w:shd w:val="clear" w:color="auto" w:fill="FFFFFF"/>
        <w:tabs>
          <w:tab w:val="left" w:pos="720"/>
        </w:tabs>
        <w:jc w:val="left"/>
        <w:rPr>
          <w:rFonts w:asciiTheme="minorHAnsi" w:hAnsiTheme="minorHAnsi" w:cstheme="minorHAnsi"/>
        </w:rPr>
      </w:pPr>
      <w:r w:rsidRPr="00A86505">
        <w:rPr>
          <w:rFonts w:asciiTheme="minorHAnsi" w:hAnsiTheme="minorHAnsi" w:cstheme="minorHAnsi"/>
        </w:rPr>
        <w:t xml:space="preserve">The existing provider categories were unchanged from the initial 2011 Higher Education Standards Framework and based on </w:t>
      </w:r>
      <w:r w:rsidR="00AB52E5" w:rsidRPr="00A86505">
        <w:rPr>
          <w:rFonts w:asciiTheme="minorHAnsi" w:hAnsiTheme="minorHAnsi" w:cstheme="minorHAnsi"/>
        </w:rPr>
        <w:t xml:space="preserve">pre-existing National </w:t>
      </w:r>
      <w:r w:rsidR="00DD19F5" w:rsidRPr="00A86505">
        <w:rPr>
          <w:rFonts w:asciiTheme="minorHAnsi" w:hAnsiTheme="minorHAnsi" w:cstheme="minorHAnsi"/>
        </w:rPr>
        <w:t>P</w:t>
      </w:r>
      <w:r w:rsidR="00AB52E5" w:rsidRPr="00A86505">
        <w:rPr>
          <w:rFonts w:asciiTheme="minorHAnsi" w:hAnsiTheme="minorHAnsi" w:cstheme="minorHAnsi"/>
        </w:rPr>
        <w:t xml:space="preserve">rotocols that had been in place for many years. The provider category standards </w:t>
      </w:r>
      <w:r w:rsidRPr="00A86505">
        <w:rPr>
          <w:rFonts w:asciiTheme="minorHAnsi" w:hAnsiTheme="minorHAnsi" w:cstheme="minorHAnsi"/>
        </w:rPr>
        <w:t xml:space="preserve">were not included in the review of the </w:t>
      </w:r>
      <w:r w:rsidR="00DD19F5" w:rsidRPr="00A86505">
        <w:rPr>
          <w:rFonts w:asciiTheme="minorHAnsi" w:hAnsiTheme="minorHAnsi" w:cstheme="minorHAnsi"/>
        </w:rPr>
        <w:t xml:space="preserve">initial </w:t>
      </w:r>
      <w:r w:rsidRPr="00A86505">
        <w:rPr>
          <w:rFonts w:asciiTheme="minorHAnsi" w:hAnsiTheme="minorHAnsi" w:cstheme="minorHAnsi"/>
        </w:rPr>
        <w:t xml:space="preserve">framework </w:t>
      </w:r>
      <w:r w:rsidR="00DD19F5" w:rsidRPr="00A86505">
        <w:rPr>
          <w:rFonts w:asciiTheme="minorHAnsi" w:hAnsiTheme="minorHAnsi" w:cstheme="minorHAnsi"/>
        </w:rPr>
        <w:t xml:space="preserve">that was </w:t>
      </w:r>
      <w:r w:rsidRPr="00A86505">
        <w:rPr>
          <w:rFonts w:asciiTheme="minorHAnsi" w:hAnsiTheme="minorHAnsi" w:cstheme="minorHAnsi"/>
        </w:rPr>
        <w:t xml:space="preserve">undertaken </w:t>
      </w:r>
      <w:r w:rsidR="00DD19F5" w:rsidRPr="00A86505">
        <w:rPr>
          <w:rFonts w:asciiTheme="minorHAnsi" w:hAnsiTheme="minorHAnsi" w:cstheme="minorHAnsi"/>
        </w:rPr>
        <w:t xml:space="preserve">over three years </w:t>
      </w:r>
      <w:r w:rsidR="009719A1" w:rsidRPr="00A86505">
        <w:rPr>
          <w:rFonts w:asciiTheme="minorHAnsi" w:hAnsiTheme="minorHAnsi" w:cstheme="minorHAnsi"/>
        </w:rPr>
        <w:t xml:space="preserve">from </w:t>
      </w:r>
      <w:r w:rsidRPr="00A86505">
        <w:rPr>
          <w:rFonts w:asciiTheme="minorHAnsi" w:hAnsiTheme="minorHAnsi" w:cstheme="minorHAnsi"/>
        </w:rPr>
        <w:t xml:space="preserve">2012-2014 by the inaugural Panel. The PCS Review, </w:t>
      </w:r>
      <w:r w:rsidR="00AB52E5" w:rsidRPr="00A86505">
        <w:rPr>
          <w:rFonts w:asciiTheme="minorHAnsi" w:hAnsiTheme="minorHAnsi" w:cstheme="minorHAnsi"/>
        </w:rPr>
        <w:t xml:space="preserve">then, </w:t>
      </w:r>
      <w:r w:rsidRPr="00A86505">
        <w:rPr>
          <w:rFonts w:asciiTheme="minorHAnsi" w:hAnsiTheme="minorHAnsi" w:cstheme="minorHAnsi"/>
        </w:rPr>
        <w:t>complete</w:t>
      </w:r>
      <w:r w:rsidR="00C42FF5" w:rsidRPr="00A86505">
        <w:rPr>
          <w:rFonts w:asciiTheme="minorHAnsi" w:hAnsiTheme="minorHAnsi" w:cstheme="minorHAnsi"/>
        </w:rPr>
        <w:t>d</w:t>
      </w:r>
      <w:r w:rsidRPr="00A86505">
        <w:rPr>
          <w:rFonts w:asciiTheme="minorHAnsi" w:hAnsiTheme="minorHAnsi" w:cstheme="minorHAnsi"/>
        </w:rPr>
        <w:t xml:space="preserve"> the </w:t>
      </w:r>
      <w:r w:rsidR="00AB52E5" w:rsidRPr="00A86505">
        <w:rPr>
          <w:rFonts w:asciiTheme="minorHAnsi" w:hAnsiTheme="minorHAnsi" w:cstheme="minorHAnsi"/>
        </w:rPr>
        <w:t>review of the entirety of the Threshold Standards that was anticipated with the establishment of both the TEQSA Act and TEQSA.</w:t>
      </w:r>
    </w:p>
    <w:p w14:paraId="5A63D759" w14:textId="43494C72" w:rsidR="00AB52E5" w:rsidRPr="00A86505" w:rsidRDefault="00AB52E5" w:rsidP="000D58DD">
      <w:pPr>
        <w:shd w:val="clear" w:color="auto" w:fill="FFFFFF"/>
        <w:tabs>
          <w:tab w:val="left" w:pos="720"/>
        </w:tabs>
        <w:jc w:val="left"/>
        <w:rPr>
          <w:rFonts w:asciiTheme="minorHAnsi" w:hAnsiTheme="minorHAnsi" w:cstheme="minorHAnsi"/>
        </w:rPr>
      </w:pPr>
    </w:p>
    <w:p w14:paraId="6CAFE8F4" w14:textId="5AD00FAC" w:rsidR="000D58DD" w:rsidRPr="00A86505" w:rsidRDefault="00C42FF5" w:rsidP="00141663">
      <w:pPr>
        <w:shd w:val="clear" w:color="auto" w:fill="FFFFFF"/>
        <w:tabs>
          <w:tab w:val="left" w:pos="720"/>
        </w:tabs>
        <w:jc w:val="left"/>
        <w:rPr>
          <w:rFonts w:asciiTheme="minorHAnsi" w:hAnsiTheme="minorHAnsi" w:cstheme="minorHAnsi"/>
        </w:rPr>
      </w:pPr>
      <w:r w:rsidRPr="00A86505">
        <w:rPr>
          <w:rFonts w:asciiTheme="minorHAnsi" w:hAnsiTheme="minorHAnsi" w:cstheme="minorHAnsi"/>
        </w:rPr>
        <w:t xml:space="preserve">The PCS Review process included multi-layered stakeholder engagement, including </w:t>
      </w:r>
      <w:r w:rsidR="000D58DD" w:rsidRPr="00A86505">
        <w:rPr>
          <w:rFonts w:asciiTheme="minorHAnsi" w:hAnsiTheme="minorHAnsi" w:cstheme="minorHAnsi"/>
        </w:rPr>
        <w:t>a discussion paper and call</w:t>
      </w:r>
      <w:r w:rsidRPr="00A86505">
        <w:rPr>
          <w:rFonts w:asciiTheme="minorHAnsi" w:hAnsiTheme="minorHAnsi" w:cstheme="minorHAnsi"/>
        </w:rPr>
        <w:t xml:space="preserve"> </w:t>
      </w:r>
      <w:r w:rsidR="000D58DD" w:rsidRPr="00A86505">
        <w:rPr>
          <w:rFonts w:asciiTheme="minorHAnsi" w:hAnsiTheme="minorHAnsi" w:cstheme="minorHAnsi"/>
        </w:rPr>
        <w:t>for public submissions</w:t>
      </w:r>
      <w:r w:rsidRPr="00A86505">
        <w:rPr>
          <w:rFonts w:asciiTheme="minorHAnsi" w:hAnsiTheme="minorHAnsi" w:cstheme="minorHAnsi"/>
        </w:rPr>
        <w:t xml:space="preserve">, </w:t>
      </w:r>
      <w:r w:rsidR="000D58DD" w:rsidRPr="00A86505">
        <w:rPr>
          <w:rFonts w:asciiTheme="minorHAnsi" w:hAnsiTheme="minorHAnsi" w:cstheme="minorHAnsi"/>
        </w:rPr>
        <w:t>extensive national consultations in most capital cities to ensure stakeholders had the opportunity to contribute</w:t>
      </w:r>
      <w:r w:rsidRPr="00A86505">
        <w:rPr>
          <w:rFonts w:asciiTheme="minorHAnsi" w:hAnsiTheme="minorHAnsi" w:cstheme="minorHAnsi"/>
        </w:rPr>
        <w:t>, as well as targeted dialogue with higher education peak bodies and other key sector stakeholders</w:t>
      </w:r>
      <w:r w:rsidR="000D58DD" w:rsidRPr="00A86505">
        <w:rPr>
          <w:rFonts w:asciiTheme="minorHAnsi" w:hAnsiTheme="minorHAnsi" w:cstheme="minorHAnsi"/>
        </w:rPr>
        <w:t>.</w:t>
      </w:r>
    </w:p>
    <w:p w14:paraId="3388CFB4" w14:textId="77777777" w:rsidR="000D58DD" w:rsidRPr="00A86505" w:rsidRDefault="000D58DD" w:rsidP="000D58DD">
      <w:pPr>
        <w:pStyle w:val="Default"/>
        <w:rPr>
          <w:rFonts w:asciiTheme="minorHAnsi" w:hAnsiTheme="minorHAnsi" w:cstheme="minorHAnsi"/>
          <w:color w:val="auto"/>
          <w:sz w:val="22"/>
          <w:szCs w:val="22"/>
          <w:lang w:val="en-GB"/>
        </w:rPr>
      </w:pPr>
    </w:p>
    <w:p w14:paraId="2294F7FF" w14:textId="67E5B595" w:rsidR="000D58DD" w:rsidRPr="00A86505" w:rsidRDefault="006E665A" w:rsidP="000D58DD">
      <w:pPr>
        <w:shd w:val="clear" w:color="auto" w:fill="FFFFFF"/>
        <w:tabs>
          <w:tab w:val="left" w:pos="720"/>
        </w:tabs>
        <w:jc w:val="left"/>
        <w:rPr>
          <w:rFonts w:asciiTheme="minorHAnsi" w:hAnsiTheme="minorHAnsi" w:cstheme="minorHAnsi"/>
        </w:rPr>
      </w:pPr>
      <w:r w:rsidRPr="00A86505">
        <w:rPr>
          <w:rFonts w:asciiTheme="minorHAnsi" w:hAnsiTheme="minorHAnsi" w:cstheme="minorHAnsi"/>
        </w:rPr>
        <w:t>Key recommendations of t</w:t>
      </w:r>
      <w:r w:rsidR="000D58DD" w:rsidRPr="00A86505">
        <w:rPr>
          <w:rFonts w:asciiTheme="minorHAnsi" w:hAnsiTheme="minorHAnsi" w:cstheme="minorHAnsi"/>
        </w:rPr>
        <w:t xml:space="preserve">he </w:t>
      </w:r>
      <w:r w:rsidRPr="00A86505">
        <w:rPr>
          <w:rFonts w:asciiTheme="minorHAnsi" w:hAnsiTheme="minorHAnsi" w:cstheme="minorHAnsi"/>
        </w:rPr>
        <w:t xml:space="preserve">PCS </w:t>
      </w:r>
      <w:r w:rsidR="000D58DD" w:rsidRPr="00A86505">
        <w:rPr>
          <w:rFonts w:asciiTheme="minorHAnsi" w:hAnsiTheme="minorHAnsi" w:cstheme="minorHAnsi"/>
        </w:rPr>
        <w:t xml:space="preserve">Review </w:t>
      </w:r>
      <w:r w:rsidRPr="00A86505">
        <w:rPr>
          <w:rFonts w:asciiTheme="minorHAnsi" w:hAnsiTheme="minorHAnsi" w:cstheme="minorHAnsi"/>
        </w:rPr>
        <w:t>were to</w:t>
      </w:r>
      <w:r w:rsidR="000D58DD" w:rsidRPr="00A86505">
        <w:rPr>
          <w:rFonts w:asciiTheme="minorHAnsi" w:hAnsiTheme="minorHAnsi" w:cstheme="minorHAnsi"/>
        </w:rPr>
        <w:t>:</w:t>
      </w:r>
    </w:p>
    <w:p w14:paraId="47FAAFAD" w14:textId="4F4FED88" w:rsidR="000D58DD" w:rsidRPr="00A86505" w:rsidRDefault="003D4254" w:rsidP="000D58DD">
      <w:pPr>
        <w:pStyle w:val="Default"/>
        <w:numPr>
          <w:ilvl w:val="0"/>
          <w:numId w:val="27"/>
        </w:numPr>
        <w:rPr>
          <w:rFonts w:asciiTheme="minorHAnsi" w:hAnsiTheme="minorHAnsi" w:cstheme="minorHAnsi"/>
          <w:sz w:val="22"/>
          <w:szCs w:val="22"/>
        </w:rPr>
      </w:pPr>
      <w:r w:rsidRPr="00A86505">
        <w:rPr>
          <w:rFonts w:asciiTheme="minorHAnsi" w:hAnsiTheme="minorHAnsi" w:cstheme="minorHAnsi"/>
          <w:sz w:val="22"/>
          <w:szCs w:val="22"/>
        </w:rPr>
        <w:t>r</w:t>
      </w:r>
      <w:r w:rsidR="000D58DD" w:rsidRPr="00A86505">
        <w:rPr>
          <w:rFonts w:asciiTheme="minorHAnsi" w:hAnsiTheme="minorHAnsi" w:cstheme="minorHAnsi"/>
          <w:sz w:val="22"/>
          <w:szCs w:val="22"/>
        </w:rPr>
        <w:t>educ</w:t>
      </w:r>
      <w:r w:rsidR="006E665A" w:rsidRPr="00A86505">
        <w:rPr>
          <w:rFonts w:asciiTheme="minorHAnsi" w:hAnsiTheme="minorHAnsi" w:cstheme="minorHAnsi"/>
          <w:sz w:val="22"/>
          <w:szCs w:val="22"/>
        </w:rPr>
        <w:t>e</w:t>
      </w:r>
      <w:r w:rsidR="000D58DD" w:rsidRPr="00A86505">
        <w:rPr>
          <w:rFonts w:asciiTheme="minorHAnsi" w:hAnsiTheme="minorHAnsi" w:cstheme="minorHAnsi"/>
          <w:sz w:val="22"/>
          <w:szCs w:val="22"/>
        </w:rPr>
        <w:t xml:space="preserve"> the number of provider categories from six to four to remove unused or underused categories and to provide a new category for non-university providers with a track record of high quality student outcomes, through:</w:t>
      </w:r>
    </w:p>
    <w:p w14:paraId="773268F8" w14:textId="77777777" w:rsidR="000D58DD" w:rsidRPr="00A86505" w:rsidRDefault="000D58DD" w:rsidP="00CA25B2">
      <w:pPr>
        <w:pStyle w:val="Default"/>
        <w:numPr>
          <w:ilvl w:val="1"/>
          <w:numId w:val="27"/>
        </w:numPr>
        <w:rPr>
          <w:rFonts w:asciiTheme="minorHAnsi" w:hAnsiTheme="minorHAnsi" w:cstheme="minorHAnsi"/>
          <w:sz w:val="22"/>
          <w:szCs w:val="22"/>
        </w:rPr>
      </w:pPr>
      <w:r w:rsidRPr="00A86505">
        <w:rPr>
          <w:rFonts w:asciiTheme="minorHAnsi" w:hAnsiTheme="minorHAnsi" w:cstheme="minorHAnsi"/>
          <w:sz w:val="22"/>
          <w:szCs w:val="22"/>
        </w:rPr>
        <w:t>reduction of the current five university categories to two</w:t>
      </w:r>
    </w:p>
    <w:p w14:paraId="63F1EC3A" w14:textId="2317824E" w:rsidR="000D58DD" w:rsidRPr="00A86505" w:rsidRDefault="000D58DD" w:rsidP="000D58DD">
      <w:pPr>
        <w:pStyle w:val="Default"/>
        <w:numPr>
          <w:ilvl w:val="1"/>
          <w:numId w:val="27"/>
        </w:numPr>
        <w:rPr>
          <w:rFonts w:asciiTheme="minorHAnsi" w:hAnsiTheme="minorHAnsi" w:cstheme="minorHAnsi"/>
          <w:sz w:val="22"/>
          <w:szCs w:val="22"/>
        </w:rPr>
      </w:pPr>
      <w:r w:rsidRPr="00A86505">
        <w:rPr>
          <w:rFonts w:asciiTheme="minorHAnsi" w:hAnsiTheme="minorHAnsi" w:cstheme="minorHAnsi"/>
          <w:sz w:val="22"/>
          <w:szCs w:val="22"/>
        </w:rPr>
        <w:t>expanding the non-university categories from one to two</w:t>
      </w:r>
      <w:r w:rsidR="00CB6F49" w:rsidRPr="00A86505">
        <w:rPr>
          <w:rFonts w:asciiTheme="minorHAnsi" w:hAnsiTheme="minorHAnsi" w:cstheme="minorHAnsi"/>
          <w:sz w:val="22"/>
          <w:szCs w:val="22"/>
        </w:rPr>
        <w:t>;</w:t>
      </w:r>
    </w:p>
    <w:p w14:paraId="530049E8" w14:textId="48585EA9" w:rsidR="000D58DD" w:rsidRPr="00A86505" w:rsidRDefault="003D4254" w:rsidP="000D58DD">
      <w:pPr>
        <w:pStyle w:val="Default"/>
        <w:numPr>
          <w:ilvl w:val="0"/>
          <w:numId w:val="27"/>
        </w:numPr>
        <w:rPr>
          <w:rFonts w:asciiTheme="minorHAnsi" w:hAnsiTheme="minorHAnsi" w:cstheme="minorHAnsi"/>
          <w:sz w:val="22"/>
          <w:szCs w:val="22"/>
        </w:rPr>
      </w:pPr>
      <w:r w:rsidRPr="00A86505">
        <w:rPr>
          <w:rFonts w:asciiTheme="minorHAnsi" w:hAnsiTheme="minorHAnsi" w:cstheme="minorHAnsi"/>
          <w:sz w:val="22"/>
          <w:szCs w:val="22"/>
        </w:rPr>
        <w:t>i</w:t>
      </w:r>
      <w:r w:rsidR="000D58DD" w:rsidRPr="00A86505">
        <w:rPr>
          <w:rFonts w:asciiTheme="minorHAnsi" w:hAnsiTheme="minorHAnsi" w:cstheme="minorHAnsi"/>
          <w:sz w:val="22"/>
          <w:szCs w:val="22"/>
        </w:rPr>
        <w:t xml:space="preserve">nclude an entry pathway and separate criteria for new, or ‘greenfield’ entrants aspiring to be </w:t>
      </w:r>
      <w:proofErr w:type="gramStart"/>
      <w:r w:rsidR="000D58DD" w:rsidRPr="00A86505">
        <w:rPr>
          <w:rFonts w:asciiTheme="minorHAnsi" w:hAnsiTheme="minorHAnsi" w:cstheme="minorHAnsi"/>
          <w:sz w:val="22"/>
          <w:szCs w:val="22"/>
        </w:rPr>
        <w:t>universities</w:t>
      </w:r>
      <w:r w:rsidR="00CB6F49" w:rsidRPr="00A86505">
        <w:rPr>
          <w:rFonts w:asciiTheme="minorHAnsi" w:hAnsiTheme="minorHAnsi" w:cstheme="minorHAnsi"/>
          <w:sz w:val="22"/>
          <w:szCs w:val="22"/>
        </w:rPr>
        <w:t>;</w:t>
      </w:r>
      <w:proofErr w:type="gramEnd"/>
    </w:p>
    <w:p w14:paraId="4D202525" w14:textId="4F9DB424" w:rsidR="000D58DD" w:rsidRPr="00A86505" w:rsidRDefault="003D4254" w:rsidP="000D58DD">
      <w:pPr>
        <w:pStyle w:val="Default"/>
        <w:numPr>
          <w:ilvl w:val="0"/>
          <w:numId w:val="27"/>
        </w:numPr>
        <w:rPr>
          <w:rFonts w:asciiTheme="minorHAnsi" w:hAnsiTheme="minorHAnsi" w:cstheme="minorHAnsi"/>
          <w:sz w:val="22"/>
          <w:szCs w:val="22"/>
        </w:rPr>
      </w:pPr>
      <w:r w:rsidRPr="00A86505">
        <w:rPr>
          <w:rFonts w:asciiTheme="minorHAnsi" w:hAnsiTheme="minorHAnsi" w:cstheme="minorHAnsi"/>
          <w:sz w:val="22"/>
          <w:szCs w:val="22"/>
        </w:rPr>
        <w:t>s</w:t>
      </w:r>
      <w:r w:rsidR="000D58DD" w:rsidRPr="00A86505">
        <w:rPr>
          <w:rFonts w:asciiTheme="minorHAnsi" w:hAnsiTheme="minorHAnsi" w:cstheme="minorHAnsi"/>
          <w:sz w:val="22"/>
          <w:szCs w:val="22"/>
        </w:rPr>
        <w:t xml:space="preserve">et new research </w:t>
      </w:r>
      <w:r w:rsidR="006E665A" w:rsidRPr="00A86505">
        <w:rPr>
          <w:rFonts w:asciiTheme="minorHAnsi" w:hAnsiTheme="minorHAnsi" w:cstheme="minorHAnsi"/>
          <w:sz w:val="22"/>
          <w:szCs w:val="22"/>
        </w:rPr>
        <w:t xml:space="preserve">quality </w:t>
      </w:r>
      <w:r w:rsidR="000D58DD" w:rsidRPr="00A86505">
        <w:rPr>
          <w:rFonts w:asciiTheme="minorHAnsi" w:hAnsiTheme="minorHAnsi" w:cstheme="minorHAnsi"/>
          <w:sz w:val="22"/>
          <w:szCs w:val="22"/>
        </w:rPr>
        <w:t>standards for universit</w:t>
      </w:r>
      <w:r w:rsidR="006E665A" w:rsidRPr="00A86505">
        <w:rPr>
          <w:rFonts w:asciiTheme="minorHAnsi" w:hAnsiTheme="minorHAnsi" w:cstheme="minorHAnsi"/>
          <w:sz w:val="22"/>
          <w:szCs w:val="22"/>
        </w:rPr>
        <w:t>ies</w:t>
      </w:r>
      <w:r w:rsidR="00CB6F49" w:rsidRPr="00A86505">
        <w:rPr>
          <w:rFonts w:asciiTheme="minorHAnsi" w:hAnsiTheme="minorHAnsi" w:cstheme="minorHAnsi"/>
          <w:sz w:val="22"/>
          <w:szCs w:val="22"/>
        </w:rPr>
        <w:t>;</w:t>
      </w:r>
      <w:r w:rsidR="006E665A" w:rsidRPr="00A86505">
        <w:rPr>
          <w:rFonts w:asciiTheme="minorHAnsi" w:hAnsiTheme="minorHAnsi" w:cstheme="minorHAnsi"/>
          <w:sz w:val="22"/>
          <w:szCs w:val="22"/>
        </w:rPr>
        <w:t xml:space="preserve"> and</w:t>
      </w:r>
    </w:p>
    <w:p w14:paraId="653DCA71" w14:textId="7014A504" w:rsidR="000D58DD" w:rsidRPr="00A86505" w:rsidRDefault="003D4254" w:rsidP="000D58DD">
      <w:pPr>
        <w:pStyle w:val="Default"/>
        <w:numPr>
          <w:ilvl w:val="0"/>
          <w:numId w:val="27"/>
        </w:numPr>
        <w:rPr>
          <w:rFonts w:asciiTheme="minorHAnsi" w:hAnsiTheme="minorHAnsi" w:cstheme="minorHAnsi"/>
          <w:sz w:val="22"/>
          <w:szCs w:val="22"/>
        </w:rPr>
      </w:pPr>
      <w:r w:rsidRPr="00A86505">
        <w:rPr>
          <w:rFonts w:asciiTheme="minorHAnsi" w:hAnsiTheme="minorHAnsi" w:cstheme="minorHAnsi"/>
          <w:sz w:val="22"/>
          <w:szCs w:val="22"/>
        </w:rPr>
        <w:t>s</w:t>
      </w:r>
      <w:r w:rsidR="000D58DD" w:rsidRPr="00A86505">
        <w:rPr>
          <w:rFonts w:asciiTheme="minorHAnsi" w:hAnsiTheme="minorHAnsi" w:cstheme="minorHAnsi"/>
          <w:sz w:val="22"/>
          <w:szCs w:val="22"/>
        </w:rPr>
        <w:t xml:space="preserve">implify the standards </w:t>
      </w:r>
      <w:r w:rsidR="006E665A" w:rsidRPr="00A86505">
        <w:rPr>
          <w:rFonts w:asciiTheme="minorHAnsi" w:hAnsiTheme="minorHAnsi" w:cstheme="minorHAnsi"/>
          <w:sz w:val="22"/>
          <w:szCs w:val="22"/>
        </w:rPr>
        <w:t>required to be awarded</w:t>
      </w:r>
      <w:r w:rsidR="000D58DD" w:rsidRPr="00A86505">
        <w:rPr>
          <w:rFonts w:asciiTheme="minorHAnsi" w:hAnsiTheme="minorHAnsi" w:cstheme="minorHAnsi"/>
          <w:sz w:val="22"/>
          <w:szCs w:val="22"/>
        </w:rPr>
        <w:t xml:space="preserve"> self-accrediting authority.</w:t>
      </w:r>
    </w:p>
    <w:p w14:paraId="0E8C2E44" w14:textId="77777777" w:rsidR="000D58DD" w:rsidRPr="00A86505" w:rsidRDefault="000D58DD" w:rsidP="000D58DD">
      <w:pPr>
        <w:pStyle w:val="Default"/>
        <w:rPr>
          <w:rFonts w:asciiTheme="minorHAnsi" w:hAnsiTheme="minorHAnsi" w:cstheme="minorHAnsi"/>
          <w:color w:val="auto"/>
          <w:sz w:val="22"/>
          <w:szCs w:val="22"/>
        </w:rPr>
      </w:pPr>
    </w:p>
    <w:p w14:paraId="685C77E3" w14:textId="430AE8C0" w:rsidR="002A341F" w:rsidRPr="00A86505" w:rsidRDefault="002A341F" w:rsidP="000D58DD">
      <w:pPr>
        <w:pStyle w:val="Default"/>
        <w:rPr>
          <w:rFonts w:asciiTheme="minorHAnsi" w:hAnsiTheme="minorHAnsi" w:cstheme="minorHAnsi"/>
          <w:color w:val="auto"/>
          <w:sz w:val="22"/>
          <w:szCs w:val="22"/>
          <w:lang w:val="en-GB"/>
        </w:rPr>
      </w:pPr>
      <w:r w:rsidRPr="00A86505">
        <w:rPr>
          <w:rFonts w:asciiTheme="minorHAnsi" w:hAnsiTheme="minorHAnsi" w:cstheme="minorHAnsi"/>
          <w:color w:val="auto"/>
          <w:sz w:val="22"/>
          <w:szCs w:val="22"/>
          <w:lang w:val="en-GB"/>
        </w:rPr>
        <w:t>Section 58 of t</w:t>
      </w:r>
      <w:r w:rsidR="000D58DD" w:rsidRPr="00A86505">
        <w:rPr>
          <w:rFonts w:asciiTheme="minorHAnsi" w:hAnsiTheme="minorHAnsi" w:cstheme="minorHAnsi"/>
          <w:color w:val="auto"/>
          <w:sz w:val="22"/>
          <w:szCs w:val="22"/>
          <w:lang w:val="en-GB"/>
        </w:rPr>
        <w:t xml:space="preserve">he </w:t>
      </w:r>
      <w:r w:rsidRPr="00A86505">
        <w:rPr>
          <w:rFonts w:asciiTheme="minorHAnsi" w:hAnsiTheme="minorHAnsi" w:cstheme="minorHAnsi"/>
          <w:color w:val="auto"/>
          <w:sz w:val="22"/>
          <w:szCs w:val="22"/>
          <w:lang w:val="en-GB"/>
        </w:rPr>
        <w:t xml:space="preserve">TEQSA Act establishes specific requirements before the </w:t>
      </w:r>
      <w:r w:rsidR="000D58DD" w:rsidRPr="00A86505">
        <w:rPr>
          <w:rFonts w:asciiTheme="minorHAnsi" w:hAnsiTheme="minorHAnsi" w:cstheme="minorHAnsi"/>
          <w:color w:val="auto"/>
          <w:sz w:val="22"/>
          <w:szCs w:val="22"/>
          <w:lang w:val="en-GB"/>
        </w:rPr>
        <w:t xml:space="preserve">Minister responsible for higher education </w:t>
      </w:r>
      <w:r w:rsidRPr="00A86505">
        <w:rPr>
          <w:rFonts w:asciiTheme="minorHAnsi" w:hAnsiTheme="minorHAnsi" w:cstheme="minorHAnsi"/>
          <w:color w:val="auto"/>
          <w:sz w:val="22"/>
          <w:szCs w:val="22"/>
          <w:lang w:val="en-GB"/>
        </w:rPr>
        <w:t xml:space="preserve">can make new standards for higher education. The Minister </w:t>
      </w:r>
      <w:r w:rsidR="000D58DD" w:rsidRPr="00A86505">
        <w:rPr>
          <w:rFonts w:asciiTheme="minorHAnsi" w:hAnsiTheme="minorHAnsi" w:cstheme="minorHAnsi"/>
          <w:color w:val="auto"/>
          <w:sz w:val="22"/>
          <w:szCs w:val="22"/>
          <w:lang w:val="en-GB"/>
        </w:rPr>
        <w:t xml:space="preserve">may only make and </w:t>
      </w:r>
      <w:r w:rsidR="000D58DD" w:rsidRPr="00A86505">
        <w:rPr>
          <w:rFonts w:asciiTheme="minorHAnsi" w:hAnsiTheme="minorHAnsi" w:cstheme="minorHAnsi"/>
          <w:color w:val="auto"/>
          <w:sz w:val="22"/>
          <w:szCs w:val="22"/>
          <w:lang w:val="en-GB"/>
        </w:rPr>
        <w:lastRenderedPageBreak/>
        <w:t xml:space="preserve">vary </w:t>
      </w:r>
      <w:r w:rsidRPr="00A86505">
        <w:rPr>
          <w:rFonts w:asciiTheme="minorHAnsi" w:hAnsiTheme="minorHAnsi" w:cstheme="minorHAnsi"/>
          <w:color w:val="auto"/>
          <w:sz w:val="22"/>
          <w:szCs w:val="22"/>
          <w:lang w:val="en-GB"/>
        </w:rPr>
        <w:t xml:space="preserve">the </w:t>
      </w:r>
      <w:r w:rsidR="000D58DD" w:rsidRPr="00A86505">
        <w:rPr>
          <w:rFonts w:asciiTheme="minorHAnsi" w:hAnsiTheme="minorHAnsi" w:cstheme="minorHAnsi"/>
          <w:color w:val="auto"/>
          <w:sz w:val="22"/>
          <w:szCs w:val="22"/>
          <w:lang w:val="en-GB"/>
        </w:rPr>
        <w:t>standards for higher education</w:t>
      </w:r>
      <w:r w:rsidRPr="00A86505">
        <w:rPr>
          <w:rFonts w:asciiTheme="minorHAnsi" w:hAnsiTheme="minorHAnsi" w:cstheme="minorHAnsi"/>
          <w:color w:val="auto"/>
          <w:sz w:val="22"/>
          <w:szCs w:val="22"/>
          <w:lang w:val="en-GB"/>
        </w:rPr>
        <w:t xml:space="preserve"> if a draft has been developed by the Panel and the Minister has sought and considered comments on the draft from both TEQSA and the Council of Commonwealth, state and territory ministers responsible for higher education</w:t>
      </w:r>
      <w:r w:rsidR="000D58DD" w:rsidRPr="00A86505">
        <w:rPr>
          <w:rFonts w:asciiTheme="minorHAnsi" w:hAnsiTheme="minorHAnsi" w:cstheme="minorHAnsi"/>
          <w:color w:val="auto"/>
          <w:sz w:val="22"/>
          <w:szCs w:val="22"/>
          <w:lang w:val="en-GB"/>
        </w:rPr>
        <w:t>.</w:t>
      </w:r>
    </w:p>
    <w:p w14:paraId="6F286441" w14:textId="77777777" w:rsidR="002A341F" w:rsidRPr="00A86505" w:rsidRDefault="002A341F" w:rsidP="000D58DD">
      <w:pPr>
        <w:pStyle w:val="Default"/>
        <w:rPr>
          <w:rFonts w:asciiTheme="minorHAnsi" w:hAnsiTheme="minorHAnsi" w:cstheme="minorHAnsi"/>
          <w:color w:val="auto"/>
          <w:sz w:val="22"/>
          <w:szCs w:val="22"/>
          <w:lang w:val="en-GB"/>
        </w:rPr>
      </w:pPr>
    </w:p>
    <w:p w14:paraId="3220199A" w14:textId="4810579D" w:rsidR="00967501" w:rsidRPr="00A86505" w:rsidRDefault="00967501" w:rsidP="000D58DD">
      <w:pPr>
        <w:pStyle w:val="Default"/>
        <w:rPr>
          <w:rFonts w:asciiTheme="minorHAnsi" w:hAnsiTheme="minorHAnsi" w:cstheme="minorHAnsi"/>
          <w:color w:val="auto"/>
          <w:sz w:val="22"/>
          <w:szCs w:val="22"/>
          <w:lang w:val="en-GB"/>
        </w:rPr>
      </w:pPr>
      <w:r w:rsidRPr="00A86505">
        <w:rPr>
          <w:rFonts w:asciiTheme="minorHAnsi" w:hAnsiTheme="minorHAnsi" w:cstheme="minorHAnsi"/>
          <w:color w:val="auto"/>
          <w:sz w:val="22"/>
          <w:szCs w:val="22"/>
          <w:lang w:val="en-GB"/>
        </w:rPr>
        <w:t xml:space="preserve">Following </w:t>
      </w:r>
      <w:r w:rsidR="000D58DD" w:rsidRPr="00A86505">
        <w:rPr>
          <w:rFonts w:asciiTheme="minorHAnsi" w:hAnsiTheme="minorHAnsi" w:cstheme="minorHAnsi"/>
          <w:color w:val="auto"/>
          <w:sz w:val="22"/>
          <w:szCs w:val="22"/>
          <w:lang w:val="en-GB"/>
        </w:rPr>
        <w:t>releas</w:t>
      </w:r>
      <w:r w:rsidRPr="00A86505">
        <w:rPr>
          <w:rFonts w:asciiTheme="minorHAnsi" w:hAnsiTheme="minorHAnsi" w:cstheme="minorHAnsi"/>
          <w:color w:val="auto"/>
          <w:sz w:val="22"/>
          <w:szCs w:val="22"/>
          <w:lang w:val="en-GB"/>
        </w:rPr>
        <w:t xml:space="preserve">e of </w:t>
      </w:r>
      <w:r w:rsidR="000D58DD" w:rsidRPr="00A86505">
        <w:rPr>
          <w:rFonts w:asciiTheme="minorHAnsi" w:hAnsiTheme="minorHAnsi" w:cstheme="minorHAnsi"/>
          <w:color w:val="auto"/>
          <w:sz w:val="22"/>
          <w:szCs w:val="22"/>
          <w:lang w:val="en-GB"/>
        </w:rPr>
        <w:t xml:space="preserve">the </w:t>
      </w:r>
      <w:r w:rsidRPr="00A86505">
        <w:rPr>
          <w:rFonts w:asciiTheme="minorHAnsi" w:hAnsiTheme="minorHAnsi" w:cstheme="minorHAnsi"/>
          <w:color w:val="auto"/>
          <w:sz w:val="22"/>
          <w:szCs w:val="22"/>
          <w:lang w:val="en-GB"/>
        </w:rPr>
        <w:t xml:space="preserve">PCS </w:t>
      </w:r>
      <w:r w:rsidR="000D58DD" w:rsidRPr="00A86505">
        <w:rPr>
          <w:rFonts w:asciiTheme="minorHAnsi" w:hAnsiTheme="minorHAnsi" w:cstheme="minorHAnsi"/>
          <w:color w:val="auto"/>
          <w:sz w:val="22"/>
          <w:szCs w:val="22"/>
          <w:lang w:val="en-GB"/>
        </w:rPr>
        <w:t xml:space="preserve">Review, the then </w:t>
      </w:r>
      <w:r w:rsidR="00965586" w:rsidRPr="00A86505">
        <w:rPr>
          <w:rFonts w:asciiTheme="minorHAnsi" w:hAnsiTheme="minorHAnsi" w:cstheme="minorHAnsi"/>
          <w:color w:val="auto"/>
          <w:sz w:val="22"/>
          <w:szCs w:val="22"/>
          <w:lang w:val="en-GB"/>
        </w:rPr>
        <w:t xml:space="preserve">responsible </w:t>
      </w:r>
      <w:r w:rsidR="000D58DD" w:rsidRPr="00A86505">
        <w:rPr>
          <w:rFonts w:asciiTheme="minorHAnsi" w:hAnsiTheme="minorHAnsi" w:cstheme="minorHAnsi"/>
          <w:color w:val="auto"/>
          <w:sz w:val="22"/>
          <w:szCs w:val="22"/>
          <w:lang w:val="en-GB"/>
        </w:rPr>
        <w:t xml:space="preserve">Minister </w:t>
      </w:r>
      <w:r w:rsidRPr="00A86505">
        <w:rPr>
          <w:rFonts w:asciiTheme="minorHAnsi" w:hAnsiTheme="minorHAnsi" w:cstheme="minorHAnsi"/>
          <w:color w:val="auto"/>
          <w:sz w:val="22"/>
          <w:szCs w:val="22"/>
          <w:lang w:val="en-GB"/>
        </w:rPr>
        <w:t xml:space="preserve">requested </w:t>
      </w:r>
      <w:r w:rsidR="000D58DD" w:rsidRPr="00A86505">
        <w:rPr>
          <w:rFonts w:asciiTheme="minorHAnsi" w:hAnsiTheme="minorHAnsi" w:cstheme="minorHAnsi"/>
          <w:color w:val="auto"/>
          <w:sz w:val="22"/>
          <w:szCs w:val="22"/>
          <w:lang w:val="en-GB"/>
        </w:rPr>
        <w:t>the Panel</w:t>
      </w:r>
      <w:r w:rsidRPr="00A86505">
        <w:rPr>
          <w:rFonts w:asciiTheme="minorHAnsi" w:hAnsiTheme="minorHAnsi" w:cstheme="minorHAnsi"/>
          <w:color w:val="auto"/>
          <w:sz w:val="22"/>
          <w:szCs w:val="22"/>
          <w:lang w:val="en-GB"/>
        </w:rPr>
        <w:t xml:space="preserve"> </w:t>
      </w:r>
      <w:r w:rsidR="000D58DD" w:rsidRPr="00A86505">
        <w:rPr>
          <w:rFonts w:asciiTheme="minorHAnsi" w:hAnsiTheme="minorHAnsi" w:cstheme="minorHAnsi"/>
          <w:color w:val="auto"/>
          <w:sz w:val="22"/>
          <w:szCs w:val="22"/>
          <w:lang w:val="en-GB"/>
        </w:rPr>
        <w:t xml:space="preserve">draft amendments to </w:t>
      </w:r>
      <w:r w:rsidRPr="00A86505">
        <w:rPr>
          <w:rFonts w:asciiTheme="minorHAnsi" w:hAnsiTheme="minorHAnsi" w:cstheme="minorHAnsi"/>
          <w:color w:val="auto"/>
          <w:sz w:val="22"/>
          <w:szCs w:val="22"/>
          <w:lang w:val="en-GB"/>
        </w:rPr>
        <w:t>the Threshold Standards</w:t>
      </w:r>
      <w:r w:rsidR="00965586" w:rsidRPr="00A86505">
        <w:rPr>
          <w:rFonts w:asciiTheme="minorHAnsi" w:hAnsiTheme="minorHAnsi" w:cstheme="minorHAnsi"/>
          <w:color w:val="auto"/>
          <w:sz w:val="22"/>
          <w:szCs w:val="22"/>
          <w:lang w:val="en-GB"/>
        </w:rPr>
        <w:t xml:space="preserve"> to</w:t>
      </w:r>
      <w:r w:rsidRPr="00A86505">
        <w:rPr>
          <w:rFonts w:asciiTheme="minorHAnsi" w:hAnsiTheme="minorHAnsi" w:cstheme="minorHAnsi"/>
          <w:color w:val="auto"/>
          <w:sz w:val="22"/>
          <w:szCs w:val="22"/>
          <w:lang w:val="en-GB"/>
        </w:rPr>
        <w:t xml:space="preserve"> </w:t>
      </w:r>
      <w:r w:rsidR="000D58DD" w:rsidRPr="00A86505">
        <w:rPr>
          <w:rFonts w:asciiTheme="minorHAnsi" w:hAnsiTheme="minorHAnsi" w:cstheme="minorHAnsi"/>
          <w:color w:val="auto"/>
          <w:sz w:val="22"/>
          <w:szCs w:val="22"/>
          <w:lang w:val="en-GB"/>
        </w:rPr>
        <w:t xml:space="preserve">implement </w:t>
      </w:r>
      <w:r w:rsidR="00965586" w:rsidRPr="00A86505">
        <w:rPr>
          <w:rFonts w:asciiTheme="minorHAnsi" w:hAnsiTheme="minorHAnsi" w:cstheme="minorHAnsi"/>
          <w:color w:val="auto"/>
          <w:sz w:val="22"/>
          <w:szCs w:val="22"/>
          <w:lang w:val="en-GB"/>
        </w:rPr>
        <w:t xml:space="preserve">the </w:t>
      </w:r>
      <w:r w:rsidR="00917071" w:rsidRPr="00A86505">
        <w:rPr>
          <w:rFonts w:asciiTheme="minorHAnsi" w:hAnsiTheme="minorHAnsi" w:cstheme="minorHAnsi"/>
          <w:color w:val="auto"/>
          <w:sz w:val="22"/>
          <w:szCs w:val="22"/>
          <w:lang w:val="en-GB"/>
        </w:rPr>
        <w:t xml:space="preserve">review’s </w:t>
      </w:r>
      <w:r w:rsidR="000D58DD" w:rsidRPr="00A86505">
        <w:rPr>
          <w:rFonts w:asciiTheme="minorHAnsi" w:hAnsiTheme="minorHAnsi" w:cstheme="minorHAnsi"/>
          <w:color w:val="auto"/>
          <w:sz w:val="22"/>
          <w:szCs w:val="22"/>
          <w:lang w:val="en-GB"/>
        </w:rPr>
        <w:t xml:space="preserve">recommendations. In developing its </w:t>
      </w:r>
      <w:r w:rsidRPr="00A86505">
        <w:rPr>
          <w:rFonts w:asciiTheme="minorHAnsi" w:hAnsiTheme="minorHAnsi" w:cstheme="minorHAnsi"/>
          <w:color w:val="auto"/>
          <w:sz w:val="22"/>
          <w:szCs w:val="22"/>
          <w:lang w:val="en-GB"/>
        </w:rPr>
        <w:t xml:space="preserve">draft, </w:t>
      </w:r>
      <w:r w:rsidR="000D58DD" w:rsidRPr="00A86505">
        <w:rPr>
          <w:rFonts w:asciiTheme="minorHAnsi" w:hAnsiTheme="minorHAnsi" w:cstheme="minorHAnsi"/>
          <w:color w:val="auto"/>
          <w:sz w:val="22"/>
          <w:szCs w:val="22"/>
          <w:lang w:val="en-GB"/>
        </w:rPr>
        <w:t xml:space="preserve">the Panel held stakeholder forums in December 2019 and February 2020, released a consultation paper seeking stakeholder comment on draft amendments, and held meetings with the major peak bodies representing non-university higher education providers. </w:t>
      </w:r>
    </w:p>
    <w:p w14:paraId="0164E6D1" w14:textId="77777777" w:rsidR="00967501" w:rsidRPr="00A86505" w:rsidRDefault="00967501" w:rsidP="000D58DD">
      <w:pPr>
        <w:pStyle w:val="Default"/>
        <w:rPr>
          <w:rFonts w:asciiTheme="minorHAnsi" w:hAnsiTheme="minorHAnsi" w:cstheme="minorHAnsi"/>
          <w:color w:val="auto"/>
          <w:sz w:val="22"/>
          <w:szCs w:val="22"/>
          <w:lang w:val="en-GB"/>
        </w:rPr>
      </w:pPr>
    </w:p>
    <w:p w14:paraId="32D798AE" w14:textId="20DA5BE0" w:rsidR="000D58DD" w:rsidRPr="00A86505" w:rsidRDefault="00967501" w:rsidP="000D58DD">
      <w:pPr>
        <w:pStyle w:val="Default"/>
        <w:rPr>
          <w:rFonts w:asciiTheme="minorHAnsi" w:hAnsiTheme="minorHAnsi" w:cstheme="minorHAnsi"/>
          <w:color w:val="auto"/>
          <w:sz w:val="22"/>
          <w:szCs w:val="22"/>
          <w:lang w:val="en-GB"/>
        </w:rPr>
      </w:pPr>
      <w:r w:rsidRPr="00A86505">
        <w:rPr>
          <w:rFonts w:asciiTheme="minorHAnsi" w:hAnsiTheme="minorHAnsi" w:cstheme="minorHAnsi"/>
          <w:color w:val="auto"/>
          <w:sz w:val="22"/>
          <w:szCs w:val="22"/>
          <w:lang w:val="en-GB"/>
        </w:rPr>
        <w:t xml:space="preserve">Following receipt of the Panel’s advice and draft amendments, the Minister </w:t>
      </w:r>
      <w:r w:rsidR="000D58DD" w:rsidRPr="00A86505">
        <w:rPr>
          <w:rFonts w:asciiTheme="minorHAnsi" w:hAnsiTheme="minorHAnsi" w:cstheme="minorHAnsi"/>
          <w:color w:val="auto"/>
          <w:sz w:val="22"/>
          <w:szCs w:val="22"/>
          <w:lang w:val="en-GB"/>
        </w:rPr>
        <w:t>sought comment from both TEQSA and State and Territory Education Ministers and has taken account of their views</w:t>
      </w:r>
      <w:r w:rsidR="00FF6E3F" w:rsidRPr="00A86505">
        <w:rPr>
          <w:rFonts w:asciiTheme="minorHAnsi" w:hAnsiTheme="minorHAnsi" w:cstheme="minorHAnsi"/>
          <w:color w:val="auto"/>
          <w:sz w:val="22"/>
          <w:szCs w:val="22"/>
          <w:lang w:val="en-GB"/>
        </w:rPr>
        <w:t xml:space="preserve"> in drafting the Instrument</w:t>
      </w:r>
      <w:r w:rsidR="000D58DD" w:rsidRPr="00A86505">
        <w:rPr>
          <w:rFonts w:asciiTheme="minorHAnsi" w:hAnsiTheme="minorHAnsi" w:cstheme="minorHAnsi"/>
          <w:color w:val="auto"/>
          <w:sz w:val="22"/>
          <w:szCs w:val="22"/>
          <w:lang w:val="en-GB"/>
        </w:rPr>
        <w:t>.</w:t>
      </w:r>
    </w:p>
    <w:p w14:paraId="3434F821" w14:textId="77777777" w:rsidR="00254DE4" w:rsidRPr="00A86505" w:rsidRDefault="00254DE4" w:rsidP="006E2E78">
      <w:pPr>
        <w:pStyle w:val="Subheading"/>
        <w:jc w:val="left"/>
        <w:rPr>
          <w:rFonts w:asciiTheme="minorHAnsi" w:hAnsiTheme="minorHAnsi" w:cstheme="minorHAnsi"/>
          <w:sz w:val="22"/>
          <w:szCs w:val="22"/>
        </w:rPr>
      </w:pPr>
    </w:p>
    <w:p w14:paraId="34549A9F" w14:textId="77777777" w:rsidR="00254DE4" w:rsidRPr="00A86505" w:rsidRDefault="00254DE4">
      <w:pPr>
        <w:tabs>
          <w:tab w:val="clear" w:pos="1134"/>
        </w:tabs>
        <w:spacing w:after="200" w:line="276" w:lineRule="auto"/>
        <w:jc w:val="left"/>
        <w:rPr>
          <w:rFonts w:asciiTheme="minorHAnsi" w:hAnsiTheme="minorHAnsi" w:cstheme="minorHAnsi"/>
          <w:b/>
        </w:rPr>
      </w:pPr>
      <w:r w:rsidRPr="00A86505">
        <w:rPr>
          <w:rFonts w:asciiTheme="minorHAnsi" w:hAnsiTheme="minorHAnsi" w:cstheme="minorHAnsi"/>
        </w:rPr>
        <w:br w:type="page"/>
      </w:r>
    </w:p>
    <w:p w14:paraId="00719891" w14:textId="27471B64" w:rsidR="00254DE4" w:rsidRPr="00A86505" w:rsidRDefault="00254DE4" w:rsidP="00254DE4">
      <w:pPr>
        <w:spacing w:before="120" w:after="120"/>
        <w:jc w:val="center"/>
        <w:rPr>
          <w:rFonts w:asciiTheme="minorHAnsi" w:hAnsiTheme="minorHAnsi" w:cstheme="minorHAnsi"/>
          <w:b/>
          <w:bCs/>
          <w:iCs/>
          <w:szCs w:val="24"/>
        </w:rPr>
      </w:pPr>
      <w:r w:rsidRPr="00A86505">
        <w:rPr>
          <w:rFonts w:asciiTheme="minorHAnsi" w:hAnsiTheme="minorHAnsi" w:cstheme="minorHAnsi"/>
          <w:b/>
          <w:bCs/>
          <w:iCs/>
          <w:szCs w:val="24"/>
        </w:rPr>
        <w:lastRenderedPageBreak/>
        <w:t>STATEMENT OF COMPATIBILITY WITH HUMAN RIGHTS</w:t>
      </w:r>
    </w:p>
    <w:p w14:paraId="4D3A8465" w14:textId="70762B8C" w:rsidR="00254DE4" w:rsidRPr="00A86505" w:rsidRDefault="00254DE4" w:rsidP="00254DE4">
      <w:pPr>
        <w:spacing w:before="120" w:after="120"/>
        <w:jc w:val="center"/>
        <w:rPr>
          <w:rFonts w:asciiTheme="minorHAnsi" w:hAnsiTheme="minorHAnsi" w:cstheme="minorHAnsi"/>
          <w:szCs w:val="24"/>
        </w:rPr>
      </w:pPr>
      <w:r w:rsidRPr="00A86505">
        <w:rPr>
          <w:rFonts w:asciiTheme="minorHAnsi" w:hAnsiTheme="minorHAnsi" w:cstheme="minorHAnsi"/>
          <w:i/>
          <w:szCs w:val="24"/>
        </w:rPr>
        <w:t>Prepared in accordance with Part 3 of the Human Rights (Parliamentary Scrutiny) Act 2011</w:t>
      </w:r>
    </w:p>
    <w:p w14:paraId="59BCBA34" w14:textId="1964E4FC" w:rsidR="00254DE4" w:rsidRPr="00A86505" w:rsidRDefault="00254DE4" w:rsidP="00254DE4">
      <w:pPr>
        <w:pStyle w:val="Subheading"/>
        <w:jc w:val="center"/>
        <w:rPr>
          <w:rFonts w:asciiTheme="minorHAnsi" w:hAnsiTheme="minorHAnsi" w:cstheme="minorHAnsi"/>
          <w:sz w:val="22"/>
          <w:szCs w:val="22"/>
        </w:rPr>
      </w:pPr>
      <w:r w:rsidRPr="00A86505">
        <w:rPr>
          <w:rFonts w:asciiTheme="minorHAnsi" w:hAnsiTheme="minorHAnsi" w:cstheme="minorHAnsi"/>
          <w:sz w:val="22"/>
          <w:szCs w:val="22"/>
        </w:rPr>
        <w:t>Higher Education Standards Framework (Threshold Standards) 2021</w:t>
      </w:r>
    </w:p>
    <w:p w14:paraId="0D92F0D7" w14:textId="4EB16279" w:rsidR="00254DE4" w:rsidRPr="00A86505" w:rsidRDefault="00254DE4" w:rsidP="00254DE4">
      <w:pPr>
        <w:keepNext/>
        <w:contextualSpacing/>
        <w:jc w:val="left"/>
        <w:rPr>
          <w:rFonts w:asciiTheme="minorHAnsi" w:hAnsiTheme="minorHAnsi" w:cstheme="minorHAnsi"/>
          <w:i/>
          <w:iCs/>
        </w:rPr>
      </w:pPr>
    </w:p>
    <w:p w14:paraId="061BAE60" w14:textId="6A13C4CC" w:rsidR="00254DE4" w:rsidRPr="00A86505" w:rsidRDefault="00254DE4" w:rsidP="00254DE4">
      <w:pPr>
        <w:keepNext/>
        <w:contextualSpacing/>
        <w:jc w:val="left"/>
        <w:rPr>
          <w:rFonts w:asciiTheme="minorHAnsi" w:hAnsiTheme="minorHAnsi" w:cstheme="minorHAnsi"/>
          <w:szCs w:val="24"/>
        </w:rPr>
      </w:pPr>
      <w:r w:rsidRPr="00A86505">
        <w:rPr>
          <w:rFonts w:asciiTheme="minorHAnsi" w:hAnsiTheme="minorHAnsi" w:cstheme="minorHAnsi"/>
        </w:rPr>
        <w:t>The Higher Education Standards Framework (Threshold Standards) 2021 (</w:t>
      </w:r>
      <w:r w:rsidR="009848EE" w:rsidRPr="00A86505">
        <w:rPr>
          <w:rFonts w:asciiTheme="minorHAnsi" w:hAnsiTheme="minorHAnsi" w:cstheme="minorHAnsi"/>
        </w:rPr>
        <w:t>Instrument</w:t>
      </w:r>
      <w:r w:rsidRPr="00A86505">
        <w:rPr>
          <w:rFonts w:asciiTheme="minorHAnsi" w:hAnsiTheme="minorHAnsi" w:cstheme="minorHAnsi"/>
        </w:rPr>
        <w:t xml:space="preserve">) </w:t>
      </w:r>
      <w:r w:rsidRPr="00A86505">
        <w:rPr>
          <w:rFonts w:asciiTheme="minorHAnsi" w:hAnsiTheme="minorHAnsi" w:cstheme="minorHAnsi"/>
          <w:szCs w:val="24"/>
        </w:rPr>
        <w:t xml:space="preserve">is compatible with the human rights and freedoms recognised or declared in the international instruments listed in section 3 of the </w:t>
      </w:r>
      <w:r w:rsidRPr="00A86505">
        <w:rPr>
          <w:rFonts w:asciiTheme="minorHAnsi" w:hAnsiTheme="minorHAnsi" w:cstheme="minorHAnsi"/>
          <w:i/>
          <w:szCs w:val="24"/>
        </w:rPr>
        <w:t>Human Rights (Parliamentary Scrutiny) Act 2011</w:t>
      </w:r>
      <w:r w:rsidRPr="00A86505">
        <w:rPr>
          <w:rFonts w:asciiTheme="minorHAnsi" w:hAnsiTheme="minorHAnsi" w:cstheme="minorHAnsi"/>
          <w:szCs w:val="24"/>
        </w:rPr>
        <w:t>.</w:t>
      </w:r>
    </w:p>
    <w:p w14:paraId="38A6045A" w14:textId="5401B567" w:rsidR="00254DE4" w:rsidRPr="00A86505" w:rsidRDefault="00254DE4" w:rsidP="00141663">
      <w:pPr>
        <w:contextualSpacing/>
        <w:jc w:val="left"/>
        <w:rPr>
          <w:rFonts w:asciiTheme="minorHAnsi" w:hAnsiTheme="minorHAnsi" w:cstheme="minorHAnsi"/>
          <w:szCs w:val="24"/>
        </w:rPr>
      </w:pPr>
    </w:p>
    <w:p w14:paraId="60991FE9" w14:textId="409403EF" w:rsidR="00254DE4" w:rsidRPr="00A86505" w:rsidRDefault="00254DE4" w:rsidP="00141663">
      <w:pPr>
        <w:contextualSpacing/>
        <w:jc w:val="left"/>
        <w:rPr>
          <w:rFonts w:asciiTheme="minorHAnsi" w:hAnsiTheme="minorHAnsi" w:cstheme="minorHAnsi"/>
          <w:b/>
          <w:bCs/>
        </w:rPr>
      </w:pPr>
      <w:r w:rsidRPr="00A86505">
        <w:rPr>
          <w:rFonts w:asciiTheme="minorHAnsi" w:hAnsiTheme="minorHAnsi" w:cstheme="minorHAnsi"/>
          <w:b/>
          <w:bCs/>
          <w:szCs w:val="24"/>
        </w:rPr>
        <w:t>Overview of the Instrument</w:t>
      </w:r>
    </w:p>
    <w:p w14:paraId="57C2A1DD" w14:textId="138CA7FE" w:rsidR="00254DE4" w:rsidRPr="00A86505" w:rsidRDefault="00254DE4" w:rsidP="00141663">
      <w:pPr>
        <w:contextualSpacing/>
        <w:jc w:val="left"/>
        <w:rPr>
          <w:rFonts w:asciiTheme="minorHAnsi" w:hAnsiTheme="minorHAnsi" w:cstheme="minorHAnsi"/>
          <w:szCs w:val="24"/>
        </w:rPr>
      </w:pPr>
    </w:p>
    <w:p w14:paraId="27A7F4A9" w14:textId="1371B59B" w:rsidR="00975369" w:rsidRPr="00A86505" w:rsidRDefault="00975369" w:rsidP="00975369">
      <w:pPr>
        <w:contextualSpacing/>
        <w:jc w:val="left"/>
        <w:rPr>
          <w:rFonts w:asciiTheme="minorHAnsi" w:hAnsiTheme="minorHAnsi" w:cstheme="minorHAnsi"/>
        </w:rPr>
      </w:pPr>
      <w:r w:rsidRPr="00A86505">
        <w:rPr>
          <w:rFonts w:asciiTheme="minorHAnsi" w:hAnsiTheme="minorHAnsi" w:cstheme="minorHAnsi"/>
        </w:rPr>
        <w:t xml:space="preserve">Schedule 1 of the </w:t>
      </w:r>
      <w:r w:rsidR="009848EE" w:rsidRPr="00A86505">
        <w:rPr>
          <w:rFonts w:asciiTheme="minorHAnsi" w:hAnsiTheme="minorHAnsi" w:cstheme="minorHAnsi"/>
        </w:rPr>
        <w:t>I</w:t>
      </w:r>
      <w:r w:rsidRPr="00A86505">
        <w:rPr>
          <w:rFonts w:asciiTheme="minorHAnsi" w:hAnsiTheme="minorHAnsi" w:cstheme="minorHAnsi"/>
        </w:rPr>
        <w:t xml:space="preserve">nstrument defines the Threshold Standards for the purposes of Section 58(1)(a) of the </w:t>
      </w:r>
      <w:r w:rsidR="009848EE" w:rsidRPr="00A86505">
        <w:rPr>
          <w:rFonts w:asciiTheme="minorHAnsi" w:hAnsiTheme="minorHAnsi" w:cstheme="minorHAnsi"/>
          <w:i/>
        </w:rPr>
        <w:t>Tertiary Education Quality and Standards Agency Act 2011</w:t>
      </w:r>
      <w:r w:rsidR="009848EE" w:rsidRPr="00A86505">
        <w:rPr>
          <w:rFonts w:asciiTheme="minorHAnsi" w:hAnsiTheme="minorHAnsi" w:cstheme="minorHAnsi"/>
        </w:rPr>
        <w:t xml:space="preserve"> (the </w:t>
      </w:r>
      <w:r w:rsidRPr="00A86505">
        <w:rPr>
          <w:rFonts w:asciiTheme="minorHAnsi" w:hAnsiTheme="minorHAnsi" w:cstheme="minorHAnsi"/>
        </w:rPr>
        <w:t>TEQSA Act</w:t>
      </w:r>
      <w:r w:rsidR="009848EE" w:rsidRPr="00A86505">
        <w:rPr>
          <w:rFonts w:asciiTheme="minorHAnsi" w:hAnsiTheme="minorHAnsi" w:cstheme="minorHAnsi"/>
        </w:rPr>
        <w:t>)</w:t>
      </w:r>
      <w:r w:rsidRPr="00A86505">
        <w:rPr>
          <w:rFonts w:asciiTheme="minorHAnsi" w:hAnsiTheme="minorHAnsi" w:cstheme="minorHAnsi"/>
        </w:rPr>
        <w:t>.</w:t>
      </w:r>
    </w:p>
    <w:p w14:paraId="7161CF6F" w14:textId="77777777" w:rsidR="00975369" w:rsidRPr="00A86505" w:rsidRDefault="00975369" w:rsidP="00975369">
      <w:pPr>
        <w:contextualSpacing/>
        <w:jc w:val="left"/>
        <w:rPr>
          <w:rFonts w:asciiTheme="minorHAnsi" w:hAnsiTheme="minorHAnsi" w:cstheme="minorHAnsi"/>
        </w:rPr>
      </w:pPr>
    </w:p>
    <w:p w14:paraId="5DA1AF60" w14:textId="5B4FC2FB" w:rsidR="00CA25B2" w:rsidRPr="00A86505" w:rsidRDefault="00CA25B2" w:rsidP="00141663">
      <w:pPr>
        <w:contextualSpacing/>
        <w:jc w:val="left"/>
        <w:rPr>
          <w:rFonts w:asciiTheme="minorHAnsi" w:hAnsiTheme="minorHAnsi" w:cstheme="minorHAnsi"/>
        </w:rPr>
      </w:pPr>
      <w:r w:rsidRPr="00A86505">
        <w:rPr>
          <w:rFonts w:asciiTheme="minorHAnsi" w:hAnsiTheme="minorHAnsi" w:cstheme="minorHAnsi"/>
        </w:rPr>
        <w:t>The new Threshold Standards give effect to:</w:t>
      </w:r>
    </w:p>
    <w:p w14:paraId="4C096093" w14:textId="6131D355" w:rsidR="00CA25B2" w:rsidRPr="00A86505" w:rsidRDefault="00CA25B2" w:rsidP="00141663">
      <w:pPr>
        <w:pStyle w:val="ListParagraph"/>
        <w:numPr>
          <w:ilvl w:val="0"/>
          <w:numId w:val="28"/>
        </w:numPr>
        <w:jc w:val="left"/>
        <w:rPr>
          <w:rFonts w:asciiTheme="minorHAnsi" w:hAnsiTheme="minorHAnsi" w:cstheme="minorHAnsi"/>
        </w:rPr>
      </w:pPr>
      <w:r w:rsidRPr="00A86505">
        <w:rPr>
          <w:rFonts w:asciiTheme="minorHAnsi" w:hAnsiTheme="minorHAnsi" w:cstheme="minorHAnsi"/>
        </w:rPr>
        <w:t xml:space="preserve">the Commonwealth Government’s decision to implement the recommendations arising from the 2019 </w:t>
      </w:r>
      <w:r w:rsidRPr="00A86505">
        <w:rPr>
          <w:rFonts w:asciiTheme="minorHAnsi" w:hAnsiTheme="minorHAnsi" w:cstheme="minorHAnsi"/>
          <w:i/>
          <w:iCs/>
        </w:rPr>
        <w:t>Review of the Higher Education Provider Category Standards</w:t>
      </w:r>
      <w:r w:rsidRPr="00A86505">
        <w:rPr>
          <w:rFonts w:asciiTheme="minorHAnsi" w:hAnsiTheme="minorHAnsi" w:cstheme="minorHAnsi"/>
        </w:rPr>
        <w:t xml:space="preserve">; </w:t>
      </w:r>
    </w:p>
    <w:p w14:paraId="16158575" w14:textId="6273F9A7" w:rsidR="00254DE4" w:rsidRPr="00A86505" w:rsidRDefault="00CA25B2" w:rsidP="00141663">
      <w:pPr>
        <w:pStyle w:val="ListParagraph"/>
        <w:numPr>
          <w:ilvl w:val="0"/>
          <w:numId w:val="28"/>
        </w:numPr>
        <w:jc w:val="left"/>
        <w:rPr>
          <w:rFonts w:asciiTheme="minorHAnsi" w:hAnsiTheme="minorHAnsi" w:cstheme="minorHAnsi"/>
        </w:rPr>
      </w:pPr>
      <w:r w:rsidRPr="00A86505">
        <w:rPr>
          <w:rFonts w:asciiTheme="minorHAnsi" w:hAnsiTheme="minorHAnsi" w:cstheme="minorHAnsi"/>
        </w:rPr>
        <w:t xml:space="preserve">an outstanding recommendation from the </w:t>
      </w:r>
      <w:r w:rsidRPr="00A86505">
        <w:rPr>
          <w:rFonts w:asciiTheme="minorHAnsi" w:hAnsiTheme="minorHAnsi" w:cstheme="minorHAnsi"/>
          <w:lang w:val="en-AU"/>
        </w:rPr>
        <w:t xml:space="preserve">2017 </w:t>
      </w:r>
      <w:r w:rsidRPr="00A86505">
        <w:rPr>
          <w:rFonts w:asciiTheme="minorHAnsi" w:hAnsiTheme="minorHAnsi" w:cstheme="minorHAnsi"/>
          <w:i/>
          <w:iCs/>
          <w:lang w:val="en-AU"/>
        </w:rPr>
        <w:t>Review of the impact of the TEQSA Act on the higher education sector</w:t>
      </w:r>
      <w:r w:rsidRPr="00A86505">
        <w:rPr>
          <w:rFonts w:asciiTheme="minorHAnsi" w:hAnsiTheme="minorHAnsi" w:cstheme="minorHAnsi"/>
        </w:rPr>
        <w:t xml:space="preserve">, to refer to the Threshold Standards as a single unified framework; and </w:t>
      </w:r>
    </w:p>
    <w:p w14:paraId="3596AD60" w14:textId="610D307A" w:rsidR="00CA25B2" w:rsidRPr="00A86505" w:rsidRDefault="00CA25B2" w:rsidP="00141663">
      <w:pPr>
        <w:pStyle w:val="ListParagraph"/>
        <w:numPr>
          <w:ilvl w:val="0"/>
          <w:numId w:val="28"/>
        </w:numPr>
        <w:jc w:val="left"/>
        <w:rPr>
          <w:rFonts w:asciiTheme="minorHAnsi" w:hAnsiTheme="minorHAnsi" w:cstheme="minorHAnsi"/>
        </w:rPr>
      </w:pPr>
      <w:r w:rsidRPr="00A86505">
        <w:rPr>
          <w:rFonts w:asciiTheme="minorHAnsi" w:hAnsiTheme="minorHAnsi" w:cstheme="minorHAnsi"/>
        </w:rPr>
        <w:t xml:space="preserve">the </w:t>
      </w:r>
      <w:r w:rsidRPr="00A86505">
        <w:rPr>
          <w:rFonts w:asciiTheme="minorHAnsi" w:hAnsiTheme="minorHAnsi" w:cstheme="minorHAnsi"/>
          <w:lang w:val="en-AU"/>
        </w:rPr>
        <w:t xml:space="preserve">Higher Education Standards </w:t>
      </w:r>
      <w:r w:rsidRPr="00A86505">
        <w:rPr>
          <w:rFonts w:asciiTheme="minorHAnsi" w:hAnsiTheme="minorHAnsi" w:cstheme="minorHAnsi"/>
        </w:rPr>
        <w:t xml:space="preserve">Panel’s </w:t>
      </w:r>
      <w:r w:rsidRPr="00A86505">
        <w:rPr>
          <w:rFonts w:asciiTheme="minorHAnsi" w:hAnsiTheme="minorHAnsi" w:cstheme="minorHAnsi"/>
          <w:lang w:val="en-AU"/>
        </w:rPr>
        <w:t xml:space="preserve">advice regarding the awarding of academic credit and recognition of prior learning, in the wake of the 2019 </w:t>
      </w:r>
      <w:r w:rsidRPr="00A86505">
        <w:rPr>
          <w:rFonts w:asciiTheme="minorHAnsi" w:hAnsiTheme="minorHAnsi" w:cstheme="minorHAnsi"/>
          <w:i/>
          <w:iCs/>
          <w:lang w:val="en-AU"/>
        </w:rPr>
        <w:t>Review of the Australian Qualifications Framework.</w:t>
      </w:r>
    </w:p>
    <w:p w14:paraId="2836D6FB" w14:textId="25E13432" w:rsidR="00254DE4" w:rsidRPr="00A86505" w:rsidRDefault="00254DE4" w:rsidP="00141663">
      <w:pPr>
        <w:contextualSpacing/>
        <w:jc w:val="left"/>
        <w:rPr>
          <w:rFonts w:asciiTheme="minorHAnsi" w:hAnsiTheme="minorHAnsi" w:cstheme="minorHAnsi"/>
        </w:rPr>
      </w:pPr>
    </w:p>
    <w:p w14:paraId="35DF9CC2" w14:textId="77777777" w:rsidR="00975369" w:rsidRPr="00A86505" w:rsidRDefault="00975369" w:rsidP="00141663">
      <w:pPr>
        <w:contextualSpacing/>
        <w:jc w:val="left"/>
        <w:rPr>
          <w:rFonts w:asciiTheme="minorHAnsi" w:hAnsiTheme="minorHAnsi" w:cstheme="minorHAnsi"/>
        </w:rPr>
      </w:pPr>
      <w:r w:rsidRPr="00A86505">
        <w:rPr>
          <w:rFonts w:asciiTheme="minorHAnsi" w:hAnsiTheme="minorHAnsi" w:cstheme="minorHAnsi"/>
        </w:rPr>
        <w:t>The Threshold Standards are comprised of two parts:</w:t>
      </w:r>
    </w:p>
    <w:p w14:paraId="76926A31" w14:textId="3B59AB84" w:rsidR="00975369" w:rsidRPr="00A86505" w:rsidRDefault="00975369" w:rsidP="00141663">
      <w:pPr>
        <w:contextualSpacing/>
        <w:jc w:val="left"/>
        <w:rPr>
          <w:rFonts w:asciiTheme="minorHAnsi" w:hAnsiTheme="minorHAnsi" w:cstheme="minorHAnsi"/>
        </w:rPr>
      </w:pPr>
    </w:p>
    <w:p w14:paraId="28B01899" w14:textId="77777777" w:rsidR="00975369" w:rsidRPr="00A86505" w:rsidRDefault="00975369" w:rsidP="00975369">
      <w:pPr>
        <w:pStyle w:val="Subheading"/>
        <w:spacing w:after="120"/>
        <w:ind w:left="567"/>
        <w:jc w:val="left"/>
        <w:rPr>
          <w:rFonts w:asciiTheme="minorHAnsi" w:hAnsiTheme="minorHAnsi" w:cstheme="minorHAnsi"/>
          <w:sz w:val="22"/>
          <w:szCs w:val="22"/>
        </w:rPr>
      </w:pPr>
      <w:r w:rsidRPr="00A86505">
        <w:rPr>
          <w:rFonts w:asciiTheme="minorHAnsi" w:hAnsiTheme="minorHAnsi" w:cstheme="minorHAnsi"/>
          <w:sz w:val="22"/>
          <w:szCs w:val="22"/>
        </w:rPr>
        <w:t>Part A: Standards for Higher Education</w:t>
      </w:r>
    </w:p>
    <w:p w14:paraId="06AC7516" w14:textId="16F7F1B2" w:rsidR="00975369" w:rsidRPr="00A86505" w:rsidRDefault="00975369" w:rsidP="00975369">
      <w:pPr>
        <w:tabs>
          <w:tab w:val="clear" w:pos="1134"/>
        </w:tabs>
        <w:ind w:left="567"/>
        <w:jc w:val="left"/>
        <w:rPr>
          <w:rFonts w:asciiTheme="minorHAnsi" w:hAnsiTheme="minorHAnsi" w:cstheme="minorHAnsi"/>
          <w:lang w:val="en-AU"/>
        </w:rPr>
      </w:pPr>
      <w:r w:rsidRPr="00A86505">
        <w:rPr>
          <w:rFonts w:asciiTheme="minorHAnsi" w:hAnsiTheme="minorHAnsi" w:cstheme="minorHAnsi"/>
        </w:rPr>
        <w:t>This part sets out</w:t>
      </w:r>
      <w:r w:rsidRPr="00A86505">
        <w:rPr>
          <w:rFonts w:asciiTheme="minorHAnsi" w:hAnsiTheme="minorHAnsi" w:cstheme="minorHAnsi"/>
          <w:lang w:val="en-AU"/>
        </w:rPr>
        <w:t xml:space="preserve"> the minimum acceptable requirements for the provision of higher education in</w:t>
      </w:r>
      <w:r w:rsidR="005C7E0E" w:rsidRPr="00A86505">
        <w:rPr>
          <w:rFonts w:asciiTheme="minorHAnsi" w:hAnsiTheme="minorHAnsi" w:cstheme="minorHAnsi"/>
          <w:lang w:val="en-AU"/>
        </w:rPr>
        <w:t>,</w:t>
      </w:r>
      <w:r w:rsidRPr="00A86505">
        <w:rPr>
          <w:rFonts w:asciiTheme="minorHAnsi" w:hAnsiTheme="minorHAnsi" w:cstheme="minorHAnsi"/>
          <w:lang w:val="en-AU"/>
        </w:rPr>
        <w:t xml:space="preserve"> or from</w:t>
      </w:r>
      <w:r w:rsidR="005C7E0E" w:rsidRPr="00A86505">
        <w:rPr>
          <w:rFonts w:asciiTheme="minorHAnsi" w:hAnsiTheme="minorHAnsi" w:cstheme="minorHAnsi"/>
          <w:lang w:val="en-AU"/>
        </w:rPr>
        <w:t>,</w:t>
      </w:r>
      <w:r w:rsidRPr="00A86505">
        <w:rPr>
          <w:rFonts w:asciiTheme="minorHAnsi" w:hAnsiTheme="minorHAnsi" w:cstheme="minorHAnsi"/>
          <w:lang w:val="en-AU"/>
        </w:rPr>
        <w:t xml:space="preserve"> Australia by higher education providers registered under the TEQSA Act.</w:t>
      </w:r>
    </w:p>
    <w:p w14:paraId="211475C1" w14:textId="77777777" w:rsidR="00975369" w:rsidRPr="00A86505" w:rsidRDefault="00975369" w:rsidP="00975369">
      <w:pPr>
        <w:tabs>
          <w:tab w:val="clear" w:pos="1134"/>
        </w:tabs>
        <w:ind w:left="567"/>
        <w:jc w:val="left"/>
        <w:rPr>
          <w:rFonts w:asciiTheme="minorHAnsi" w:hAnsiTheme="minorHAnsi" w:cstheme="minorHAnsi"/>
          <w:lang w:val="en-AU"/>
        </w:rPr>
      </w:pPr>
    </w:p>
    <w:p w14:paraId="28F63FC3" w14:textId="77777777" w:rsidR="00975369" w:rsidRPr="00A86505" w:rsidRDefault="00975369" w:rsidP="00975369">
      <w:pPr>
        <w:tabs>
          <w:tab w:val="clear" w:pos="1134"/>
        </w:tabs>
        <w:ind w:left="567"/>
        <w:jc w:val="left"/>
        <w:rPr>
          <w:rFonts w:asciiTheme="minorHAnsi" w:hAnsiTheme="minorHAnsi" w:cstheme="minorHAnsi"/>
        </w:rPr>
      </w:pPr>
      <w:r w:rsidRPr="00A86505">
        <w:rPr>
          <w:rFonts w:asciiTheme="minorHAnsi" w:hAnsiTheme="minorHAnsi" w:cstheme="minorHAnsi"/>
        </w:rPr>
        <w:t>The Standards for Higher Education are organised into seven ‘Domains’:</w:t>
      </w:r>
    </w:p>
    <w:p w14:paraId="09F8DCBB" w14:textId="77777777" w:rsidR="00975369" w:rsidRPr="00A86505" w:rsidRDefault="00975369" w:rsidP="00975369">
      <w:pPr>
        <w:tabs>
          <w:tab w:val="clear" w:pos="1134"/>
        </w:tabs>
        <w:ind w:left="567"/>
        <w:jc w:val="left"/>
        <w:rPr>
          <w:rFonts w:asciiTheme="minorHAnsi" w:hAnsiTheme="minorHAnsi" w:cstheme="minorHAnsi"/>
        </w:rPr>
      </w:pPr>
    </w:p>
    <w:p w14:paraId="2B38B0F3" w14:textId="77777777" w:rsidR="00975369" w:rsidRPr="00A86505" w:rsidRDefault="00B2411E" w:rsidP="00975369">
      <w:pPr>
        <w:pStyle w:val="ListParagraph"/>
        <w:numPr>
          <w:ilvl w:val="0"/>
          <w:numId w:val="29"/>
        </w:numPr>
        <w:tabs>
          <w:tab w:val="clear" w:pos="1134"/>
        </w:tabs>
        <w:jc w:val="left"/>
        <w:rPr>
          <w:rFonts w:asciiTheme="minorHAnsi" w:hAnsiTheme="minorHAnsi" w:cstheme="minorHAnsi"/>
        </w:rPr>
      </w:pPr>
      <w:hyperlink w:anchor="Domain1" w:history="1">
        <w:r w:rsidR="00975369" w:rsidRPr="00A86505">
          <w:rPr>
            <w:rFonts w:asciiTheme="minorHAnsi" w:hAnsiTheme="minorHAnsi" w:cstheme="minorHAnsi"/>
          </w:rPr>
          <w:t>Student Participation and Attainment</w:t>
        </w:r>
      </w:hyperlink>
      <w:r w:rsidR="00975369" w:rsidRPr="00A86505">
        <w:rPr>
          <w:rFonts w:asciiTheme="minorHAnsi" w:hAnsiTheme="minorHAnsi" w:cstheme="minorHAnsi"/>
        </w:rPr>
        <w:t xml:space="preserve"> </w:t>
      </w:r>
    </w:p>
    <w:p w14:paraId="38E92AE7" w14:textId="77777777" w:rsidR="00975369" w:rsidRPr="00A86505" w:rsidRDefault="00B2411E" w:rsidP="00975369">
      <w:pPr>
        <w:pStyle w:val="ListParagraph"/>
        <w:numPr>
          <w:ilvl w:val="0"/>
          <w:numId w:val="29"/>
        </w:numPr>
        <w:tabs>
          <w:tab w:val="clear" w:pos="1134"/>
        </w:tabs>
        <w:jc w:val="left"/>
        <w:rPr>
          <w:rFonts w:asciiTheme="minorHAnsi" w:hAnsiTheme="minorHAnsi" w:cstheme="minorHAnsi"/>
        </w:rPr>
      </w:pPr>
      <w:hyperlink w:anchor="Domain2" w:history="1">
        <w:r w:rsidR="00975369" w:rsidRPr="00A86505">
          <w:rPr>
            <w:rFonts w:asciiTheme="minorHAnsi" w:hAnsiTheme="minorHAnsi" w:cstheme="minorHAnsi"/>
          </w:rPr>
          <w:t>Learning Environment</w:t>
        </w:r>
      </w:hyperlink>
    </w:p>
    <w:p w14:paraId="641FA47A" w14:textId="77777777" w:rsidR="00975369" w:rsidRPr="00A86505" w:rsidRDefault="00B2411E" w:rsidP="00975369">
      <w:pPr>
        <w:pStyle w:val="ListParagraph"/>
        <w:numPr>
          <w:ilvl w:val="0"/>
          <w:numId w:val="29"/>
        </w:numPr>
        <w:tabs>
          <w:tab w:val="clear" w:pos="1134"/>
        </w:tabs>
        <w:jc w:val="left"/>
        <w:rPr>
          <w:rFonts w:asciiTheme="minorHAnsi" w:hAnsiTheme="minorHAnsi" w:cstheme="minorHAnsi"/>
        </w:rPr>
      </w:pPr>
      <w:hyperlink w:anchor="Domain3" w:history="1">
        <w:r w:rsidR="00975369" w:rsidRPr="00A86505">
          <w:rPr>
            <w:rFonts w:asciiTheme="minorHAnsi" w:hAnsiTheme="minorHAnsi" w:cstheme="minorHAnsi"/>
          </w:rPr>
          <w:t>Teaching</w:t>
        </w:r>
      </w:hyperlink>
      <w:r w:rsidR="00975369" w:rsidRPr="00A86505">
        <w:rPr>
          <w:rFonts w:asciiTheme="minorHAnsi" w:hAnsiTheme="minorHAnsi" w:cstheme="minorHAnsi"/>
        </w:rPr>
        <w:t xml:space="preserve"> </w:t>
      </w:r>
    </w:p>
    <w:p w14:paraId="2CF5BDE1" w14:textId="77777777" w:rsidR="00975369" w:rsidRPr="00A86505" w:rsidRDefault="00B2411E" w:rsidP="00975369">
      <w:pPr>
        <w:pStyle w:val="ListParagraph"/>
        <w:numPr>
          <w:ilvl w:val="0"/>
          <w:numId w:val="29"/>
        </w:numPr>
        <w:tabs>
          <w:tab w:val="clear" w:pos="1134"/>
        </w:tabs>
        <w:jc w:val="left"/>
        <w:rPr>
          <w:rFonts w:asciiTheme="minorHAnsi" w:hAnsiTheme="minorHAnsi" w:cstheme="minorHAnsi"/>
        </w:rPr>
      </w:pPr>
      <w:hyperlink w:anchor="Domain4" w:history="1">
        <w:r w:rsidR="00975369" w:rsidRPr="00A86505">
          <w:rPr>
            <w:rFonts w:asciiTheme="minorHAnsi" w:hAnsiTheme="minorHAnsi" w:cstheme="minorHAnsi"/>
          </w:rPr>
          <w:t>Research and Research Training</w:t>
        </w:r>
      </w:hyperlink>
    </w:p>
    <w:p w14:paraId="6A82273E" w14:textId="77777777" w:rsidR="00975369" w:rsidRPr="00A86505" w:rsidRDefault="00B2411E" w:rsidP="00975369">
      <w:pPr>
        <w:pStyle w:val="ListParagraph"/>
        <w:numPr>
          <w:ilvl w:val="0"/>
          <w:numId w:val="29"/>
        </w:numPr>
        <w:tabs>
          <w:tab w:val="clear" w:pos="1134"/>
        </w:tabs>
        <w:jc w:val="left"/>
        <w:rPr>
          <w:rFonts w:asciiTheme="minorHAnsi" w:hAnsiTheme="minorHAnsi" w:cstheme="minorHAnsi"/>
        </w:rPr>
      </w:pPr>
      <w:hyperlink w:anchor="Domain5" w:history="1">
        <w:r w:rsidR="00975369" w:rsidRPr="00A86505">
          <w:rPr>
            <w:rFonts w:asciiTheme="minorHAnsi" w:hAnsiTheme="minorHAnsi" w:cstheme="minorHAnsi"/>
          </w:rPr>
          <w:t>Institutional Quality Assurance</w:t>
        </w:r>
      </w:hyperlink>
    </w:p>
    <w:p w14:paraId="1E2872CE" w14:textId="77777777" w:rsidR="00975369" w:rsidRPr="00A86505" w:rsidRDefault="00B2411E" w:rsidP="00975369">
      <w:pPr>
        <w:pStyle w:val="ListParagraph"/>
        <w:numPr>
          <w:ilvl w:val="0"/>
          <w:numId w:val="29"/>
        </w:numPr>
        <w:tabs>
          <w:tab w:val="clear" w:pos="1134"/>
        </w:tabs>
        <w:jc w:val="left"/>
        <w:rPr>
          <w:rFonts w:asciiTheme="minorHAnsi" w:hAnsiTheme="minorHAnsi" w:cstheme="minorHAnsi"/>
        </w:rPr>
      </w:pPr>
      <w:hyperlink w:anchor="Domain6" w:history="1">
        <w:r w:rsidR="00975369" w:rsidRPr="00A86505">
          <w:rPr>
            <w:rFonts w:asciiTheme="minorHAnsi" w:hAnsiTheme="minorHAnsi" w:cstheme="minorHAnsi"/>
          </w:rPr>
          <w:t>Governance</w:t>
        </w:r>
      </w:hyperlink>
      <w:r w:rsidR="00975369" w:rsidRPr="00A86505">
        <w:rPr>
          <w:rFonts w:asciiTheme="minorHAnsi" w:hAnsiTheme="minorHAnsi" w:cstheme="minorHAnsi"/>
        </w:rPr>
        <w:t xml:space="preserve"> and Accountability </w:t>
      </w:r>
    </w:p>
    <w:p w14:paraId="10C9174A" w14:textId="77777777" w:rsidR="00975369" w:rsidRPr="00A86505" w:rsidRDefault="00B2411E" w:rsidP="00975369">
      <w:pPr>
        <w:pStyle w:val="ListParagraph"/>
        <w:numPr>
          <w:ilvl w:val="0"/>
          <w:numId w:val="29"/>
        </w:numPr>
        <w:tabs>
          <w:tab w:val="clear" w:pos="1134"/>
        </w:tabs>
        <w:jc w:val="left"/>
        <w:rPr>
          <w:rFonts w:asciiTheme="minorHAnsi" w:hAnsiTheme="minorHAnsi" w:cstheme="minorHAnsi"/>
        </w:rPr>
      </w:pPr>
      <w:hyperlink w:anchor="Domain7" w:history="1">
        <w:r w:rsidR="00975369" w:rsidRPr="00A86505">
          <w:rPr>
            <w:rFonts w:asciiTheme="minorHAnsi" w:hAnsiTheme="minorHAnsi" w:cstheme="minorHAnsi"/>
          </w:rPr>
          <w:t>Representation, Information and Information Management</w:t>
        </w:r>
      </w:hyperlink>
    </w:p>
    <w:p w14:paraId="0D8F2C2E" w14:textId="77777777" w:rsidR="00975369" w:rsidRPr="00A86505" w:rsidRDefault="00975369" w:rsidP="00975369">
      <w:pPr>
        <w:tabs>
          <w:tab w:val="clear" w:pos="1134"/>
        </w:tabs>
        <w:ind w:left="567"/>
        <w:jc w:val="left"/>
        <w:rPr>
          <w:rFonts w:asciiTheme="minorHAnsi" w:hAnsiTheme="minorHAnsi" w:cstheme="minorHAnsi"/>
        </w:rPr>
      </w:pPr>
    </w:p>
    <w:p w14:paraId="489EA053" w14:textId="77777777" w:rsidR="00975369" w:rsidRPr="00A86505" w:rsidRDefault="00975369" w:rsidP="00975369">
      <w:pPr>
        <w:pStyle w:val="Subheading"/>
        <w:spacing w:after="120"/>
        <w:ind w:left="567"/>
        <w:jc w:val="left"/>
        <w:rPr>
          <w:rFonts w:asciiTheme="minorHAnsi" w:hAnsiTheme="minorHAnsi" w:cstheme="minorHAnsi"/>
          <w:sz w:val="22"/>
          <w:szCs w:val="22"/>
        </w:rPr>
      </w:pPr>
      <w:r w:rsidRPr="00A86505">
        <w:rPr>
          <w:rFonts w:asciiTheme="minorHAnsi" w:hAnsiTheme="minorHAnsi" w:cstheme="minorHAnsi"/>
          <w:sz w:val="22"/>
          <w:szCs w:val="22"/>
        </w:rPr>
        <w:t>Part B: Criteria for Higher Education Providers</w:t>
      </w:r>
    </w:p>
    <w:p w14:paraId="0879722A" w14:textId="0FEC1412" w:rsidR="00975369" w:rsidRPr="00A86505" w:rsidRDefault="00975369" w:rsidP="00975369">
      <w:pPr>
        <w:tabs>
          <w:tab w:val="clear" w:pos="1134"/>
        </w:tabs>
        <w:ind w:left="567"/>
        <w:jc w:val="left"/>
        <w:rPr>
          <w:rFonts w:asciiTheme="minorHAnsi" w:hAnsiTheme="minorHAnsi" w:cstheme="minorHAnsi"/>
        </w:rPr>
      </w:pPr>
      <w:r w:rsidRPr="00A86505">
        <w:rPr>
          <w:rFonts w:asciiTheme="minorHAnsi" w:hAnsiTheme="minorHAnsi" w:cstheme="minorHAnsi"/>
        </w:rPr>
        <w:t xml:space="preserve">This part sets out the criteria that enable a provider to be registered in each of the four provider categories and whether a provider </w:t>
      </w:r>
      <w:proofErr w:type="gramStart"/>
      <w:r w:rsidRPr="00A86505">
        <w:rPr>
          <w:rFonts w:asciiTheme="minorHAnsi" w:hAnsiTheme="minorHAnsi" w:cstheme="minorHAnsi"/>
        </w:rPr>
        <w:t>is able to</w:t>
      </w:r>
      <w:proofErr w:type="gramEnd"/>
      <w:r w:rsidRPr="00A86505">
        <w:rPr>
          <w:rFonts w:asciiTheme="minorHAnsi" w:hAnsiTheme="minorHAnsi" w:cstheme="minorHAnsi"/>
        </w:rPr>
        <w:t xml:space="preserve"> self-accredit some or all of the courses of study it delivers. </w:t>
      </w:r>
    </w:p>
    <w:p w14:paraId="361D58DA" w14:textId="77777777" w:rsidR="00975369" w:rsidRPr="00A86505" w:rsidRDefault="00975369" w:rsidP="00975369">
      <w:pPr>
        <w:tabs>
          <w:tab w:val="clear" w:pos="1134"/>
        </w:tabs>
        <w:ind w:left="567"/>
        <w:jc w:val="left"/>
        <w:rPr>
          <w:rFonts w:asciiTheme="minorHAnsi" w:hAnsiTheme="minorHAnsi" w:cstheme="minorHAnsi"/>
        </w:rPr>
      </w:pPr>
    </w:p>
    <w:p w14:paraId="1EE66163" w14:textId="77777777" w:rsidR="00975369" w:rsidRPr="00A86505" w:rsidRDefault="00975369" w:rsidP="00975369">
      <w:pPr>
        <w:tabs>
          <w:tab w:val="clear" w:pos="1134"/>
        </w:tabs>
        <w:ind w:left="567"/>
        <w:jc w:val="left"/>
        <w:rPr>
          <w:rFonts w:asciiTheme="minorHAnsi" w:hAnsiTheme="minorHAnsi" w:cstheme="minorHAnsi"/>
        </w:rPr>
      </w:pPr>
      <w:r w:rsidRPr="00A86505">
        <w:rPr>
          <w:rFonts w:asciiTheme="minorHAnsi" w:hAnsiTheme="minorHAnsi" w:cstheme="minorHAnsi"/>
        </w:rPr>
        <w:t>Part B contains:</w:t>
      </w:r>
    </w:p>
    <w:p w14:paraId="0732E3AB" w14:textId="77777777" w:rsidR="00975369" w:rsidRPr="00A86505" w:rsidRDefault="00975369" w:rsidP="00975369">
      <w:pPr>
        <w:tabs>
          <w:tab w:val="clear" w:pos="1134"/>
        </w:tabs>
        <w:ind w:left="567"/>
        <w:jc w:val="left"/>
        <w:rPr>
          <w:rFonts w:asciiTheme="minorHAnsi" w:hAnsiTheme="minorHAnsi" w:cstheme="minorHAnsi"/>
        </w:rPr>
      </w:pPr>
    </w:p>
    <w:p w14:paraId="4654BC49" w14:textId="6ECABDF1" w:rsidR="00975369" w:rsidRPr="00A86505" w:rsidRDefault="00975369" w:rsidP="00975369">
      <w:pPr>
        <w:tabs>
          <w:tab w:val="clear" w:pos="1134"/>
          <w:tab w:val="left" w:pos="1288"/>
        </w:tabs>
        <w:ind w:left="896"/>
        <w:jc w:val="left"/>
        <w:rPr>
          <w:rFonts w:asciiTheme="minorHAnsi" w:hAnsiTheme="minorHAnsi" w:cstheme="minorHAnsi"/>
        </w:rPr>
      </w:pPr>
      <w:r w:rsidRPr="00A86505">
        <w:rPr>
          <w:rFonts w:asciiTheme="minorHAnsi" w:hAnsiTheme="minorHAnsi" w:cstheme="minorHAnsi"/>
        </w:rPr>
        <w:t xml:space="preserve">B1 </w:t>
      </w:r>
      <w:r w:rsidRPr="00A86505">
        <w:rPr>
          <w:rFonts w:asciiTheme="minorHAnsi" w:hAnsiTheme="minorHAnsi" w:cstheme="minorHAnsi"/>
        </w:rPr>
        <w:tab/>
        <w:t xml:space="preserve">Criteria for Higher Education </w:t>
      </w:r>
      <w:r w:rsidR="00877A73" w:rsidRPr="00A86505">
        <w:rPr>
          <w:rFonts w:asciiTheme="minorHAnsi" w:hAnsiTheme="minorHAnsi" w:cstheme="minorHAnsi"/>
        </w:rPr>
        <w:t>P</w:t>
      </w:r>
      <w:r w:rsidRPr="00A86505">
        <w:rPr>
          <w:rFonts w:asciiTheme="minorHAnsi" w:hAnsiTheme="minorHAnsi" w:cstheme="minorHAnsi"/>
        </w:rPr>
        <w:t>rovider Categories</w:t>
      </w:r>
    </w:p>
    <w:p w14:paraId="3BC819F5" w14:textId="72E5CAB9" w:rsidR="00975369" w:rsidRPr="00A86505" w:rsidRDefault="00975369" w:rsidP="00975369">
      <w:pPr>
        <w:tabs>
          <w:tab w:val="clear" w:pos="1134"/>
          <w:tab w:val="left" w:pos="1288"/>
        </w:tabs>
        <w:ind w:left="896"/>
        <w:jc w:val="left"/>
        <w:rPr>
          <w:rFonts w:asciiTheme="minorHAnsi" w:hAnsiTheme="minorHAnsi" w:cstheme="minorHAnsi"/>
        </w:rPr>
      </w:pPr>
      <w:r w:rsidRPr="00A86505">
        <w:rPr>
          <w:rFonts w:asciiTheme="minorHAnsi" w:hAnsiTheme="minorHAnsi" w:cstheme="minorHAnsi"/>
        </w:rPr>
        <w:t xml:space="preserve">B2 </w:t>
      </w:r>
      <w:r w:rsidRPr="00A86505">
        <w:rPr>
          <w:rFonts w:asciiTheme="minorHAnsi" w:hAnsiTheme="minorHAnsi" w:cstheme="minorHAnsi"/>
        </w:rPr>
        <w:tab/>
        <w:t xml:space="preserve">Criteria for </w:t>
      </w:r>
      <w:r w:rsidR="00877A73" w:rsidRPr="00A86505">
        <w:rPr>
          <w:rFonts w:asciiTheme="minorHAnsi" w:hAnsiTheme="minorHAnsi" w:cstheme="minorHAnsi"/>
        </w:rPr>
        <w:t>S</w:t>
      </w:r>
      <w:r w:rsidRPr="00A86505">
        <w:rPr>
          <w:rFonts w:asciiTheme="minorHAnsi" w:hAnsiTheme="minorHAnsi" w:cstheme="minorHAnsi"/>
        </w:rPr>
        <w:t>eeking Self-Accrediting Authority</w:t>
      </w:r>
    </w:p>
    <w:p w14:paraId="069892E4" w14:textId="77777777" w:rsidR="00975369" w:rsidRPr="00A86505" w:rsidRDefault="00975369" w:rsidP="00975369">
      <w:pPr>
        <w:tabs>
          <w:tab w:val="clear" w:pos="1134"/>
          <w:tab w:val="left" w:pos="1288"/>
        </w:tabs>
        <w:ind w:left="896"/>
        <w:jc w:val="left"/>
        <w:rPr>
          <w:rFonts w:asciiTheme="minorHAnsi" w:hAnsiTheme="minorHAnsi" w:cstheme="minorHAnsi"/>
        </w:rPr>
      </w:pPr>
      <w:r w:rsidRPr="00A86505">
        <w:rPr>
          <w:rFonts w:asciiTheme="minorHAnsi" w:hAnsiTheme="minorHAnsi" w:cstheme="minorHAnsi"/>
        </w:rPr>
        <w:t xml:space="preserve">B3 </w:t>
      </w:r>
      <w:r w:rsidRPr="00A86505">
        <w:rPr>
          <w:rFonts w:asciiTheme="minorHAnsi" w:hAnsiTheme="minorHAnsi" w:cstheme="minorHAnsi"/>
        </w:rPr>
        <w:tab/>
        <w:t>Transitional Standards</w:t>
      </w:r>
    </w:p>
    <w:p w14:paraId="3FC2AA75" w14:textId="77777777" w:rsidR="00975369" w:rsidRPr="00A86505" w:rsidRDefault="00975369" w:rsidP="00141663">
      <w:pPr>
        <w:contextualSpacing/>
        <w:jc w:val="left"/>
        <w:rPr>
          <w:rFonts w:asciiTheme="minorHAnsi" w:hAnsiTheme="minorHAnsi" w:cstheme="minorHAnsi"/>
        </w:rPr>
      </w:pPr>
    </w:p>
    <w:p w14:paraId="3C34C554" w14:textId="64CDC009" w:rsidR="002F649D" w:rsidRPr="00A86505" w:rsidRDefault="002F649D" w:rsidP="00141663">
      <w:pPr>
        <w:contextualSpacing/>
        <w:jc w:val="left"/>
        <w:rPr>
          <w:rFonts w:asciiTheme="minorHAnsi" w:hAnsiTheme="minorHAnsi" w:cstheme="minorHAnsi"/>
          <w:b/>
          <w:bCs/>
        </w:rPr>
      </w:pPr>
      <w:r w:rsidRPr="00A86505">
        <w:rPr>
          <w:rFonts w:asciiTheme="minorHAnsi" w:hAnsiTheme="minorHAnsi" w:cstheme="minorHAnsi"/>
          <w:b/>
          <w:bCs/>
          <w:szCs w:val="24"/>
        </w:rPr>
        <w:lastRenderedPageBreak/>
        <w:t>Human rights implications</w:t>
      </w:r>
    </w:p>
    <w:p w14:paraId="6D960BB9" w14:textId="77777777" w:rsidR="002F649D" w:rsidRPr="00A86505" w:rsidRDefault="002F649D" w:rsidP="00141663">
      <w:pPr>
        <w:contextualSpacing/>
        <w:jc w:val="left"/>
        <w:rPr>
          <w:rFonts w:asciiTheme="minorHAnsi" w:hAnsiTheme="minorHAnsi" w:cstheme="minorHAnsi"/>
          <w:szCs w:val="24"/>
        </w:rPr>
      </w:pPr>
    </w:p>
    <w:p w14:paraId="09082053" w14:textId="4F82F24B" w:rsidR="00254DE4" w:rsidRPr="00A86505" w:rsidRDefault="00254DE4" w:rsidP="00141663">
      <w:pPr>
        <w:contextualSpacing/>
        <w:jc w:val="left"/>
        <w:rPr>
          <w:rFonts w:asciiTheme="minorHAnsi" w:hAnsiTheme="minorHAnsi" w:cstheme="minorHAnsi"/>
          <w:i/>
          <w:iCs/>
        </w:rPr>
      </w:pPr>
      <w:r w:rsidRPr="00A86505">
        <w:rPr>
          <w:rFonts w:asciiTheme="minorHAnsi" w:hAnsiTheme="minorHAnsi" w:cstheme="minorHAnsi"/>
          <w:i/>
          <w:iCs/>
        </w:rPr>
        <w:t>Right to work and right to just and favourable conditions of work</w:t>
      </w:r>
    </w:p>
    <w:p w14:paraId="17CCC73A" w14:textId="77777777" w:rsidR="00254DE4" w:rsidRPr="00A86505" w:rsidRDefault="00254DE4" w:rsidP="0018419F">
      <w:pPr>
        <w:jc w:val="left"/>
        <w:rPr>
          <w:rFonts w:asciiTheme="minorHAnsi" w:hAnsiTheme="minorHAnsi" w:cstheme="minorHAnsi"/>
        </w:rPr>
      </w:pPr>
    </w:p>
    <w:p w14:paraId="2603C2F4" w14:textId="00F745D2" w:rsidR="00254DE4" w:rsidRPr="00A86505" w:rsidRDefault="00254DE4" w:rsidP="00141663">
      <w:pPr>
        <w:jc w:val="left"/>
        <w:rPr>
          <w:rFonts w:asciiTheme="minorHAnsi" w:hAnsiTheme="minorHAnsi" w:cstheme="minorHAnsi"/>
        </w:rPr>
      </w:pPr>
      <w:r w:rsidRPr="00A86505">
        <w:rPr>
          <w:rFonts w:asciiTheme="minorHAnsi" w:hAnsiTheme="minorHAnsi" w:cstheme="minorHAnsi"/>
        </w:rPr>
        <w:t xml:space="preserve">The </w:t>
      </w:r>
      <w:r w:rsidR="004640EE" w:rsidRPr="00A86505">
        <w:rPr>
          <w:rFonts w:asciiTheme="minorHAnsi" w:hAnsiTheme="minorHAnsi" w:cstheme="minorHAnsi"/>
        </w:rPr>
        <w:t>I</w:t>
      </w:r>
      <w:r w:rsidRPr="00A86505">
        <w:rPr>
          <w:rFonts w:asciiTheme="minorHAnsi" w:hAnsiTheme="minorHAnsi" w:cstheme="minorHAnsi"/>
        </w:rPr>
        <w:t xml:space="preserve">nstrument engages the right to work and rights at work contained in articles 6(1) and 7 of the </w:t>
      </w:r>
      <w:r w:rsidRPr="00A86505">
        <w:rPr>
          <w:rFonts w:asciiTheme="minorHAnsi" w:hAnsiTheme="minorHAnsi" w:cstheme="minorHAnsi"/>
          <w:i/>
        </w:rPr>
        <w:t>International Covenant on Economic, Social and Culture Rights</w:t>
      </w:r>
      <w:r w:rsidR="008B5982" w:rsidRPr="00A86505">
        <w:rPr>
          <w:rFonts w:asciiTheme="minorHAnsi" w:hAnsiTheme="minorHAnsi" w:cstheme="minorHAnsi"/>
          <w:i/>
        </w:rPr>
        <w:t xml:space="preserve"> </w:t>
      </w:r>
      <w:r w:rsidR="008B5982" w:rsidRPr="00A86505">
        <w:rPr>
          <w:rFonts w:asciiTheme="minorHAnsi" w:hAnsiTheme="minorHAnsi" w:cstheme="minorHAnsi"/>
          <w:iCs/>
        </w:rPr>
        <w:t>(ICESCR)</w:t>
      </w:r>
      <w:r w:rsidRPr="00A86505">
        <w:rPr>
          <w:rFonts w:asciiTheme="minorHAnsi" w:hAnsiTheme="minorHAnsi" w:cstheme="minorHAnsi"/>
        </w:rPr>
        <w:t xml:space="preserve">. Article 6(1) recognises the right to work, which includes the right of everyone to the opportunity to gain </w:t>
      </w:r>
      <w:r w:rsidR="00B36C62" w:rsidRPr="00A86505">
        <w:rPr>
          <w:rFonts w:asciiTheme="minorHAnsi" w:hAnsiTheme="minorHAnsi" w:cstheme="minorHAnsi"/>
        </w:rPr>
        <w:t xml:space="preserve">their </w:t>
      </w:r>
      <w:r w:rsidRPr="00A86505">
        <w:rPr>
          <w:rFonts w:asciiTheme="minorHAnsi" w:hAnsiTheme="minorHAnsi" w:cstheme="minorHAnsi"/>
        </w:rPr>
        <w:t xml:space="preserve">living by work which </w:t>
      </w:r>
      <w:r w:rsidR="00B36C62" w:rsidRPr="00A86505">
        <w:rPr>
          <w:rFonts w:asciiTheme="minorHAnsi" w:hAnsiTheme="minorHAnsi" w:cstheme="minorHAnsi"/>
        </w:rPr>
        <w:t xml:space="preserve">they </w:t>
      </w:r>
      <w:r w:rsidRPr="00A86505">
        <w:rPr>
          <w:rFonts w:asciiTheme="minorHAnsi" w:hAnsiTheme="minorHAnsi" w:cstheme="minorHAnsi"/>
        </w:rPr>
        <w:t xml:space="preserve">freely choose or accept, and that states will take appropriate steps to safeguard this right. Article 7 recognises the right of everyone to the enjoyment of just and favourable conditions of work, including fair wages, safe and healthy working </w:t>
      </w:r>
      <w:proofErr w:type="gramStart"/>
      <w:r w:rsidRPr="00A86505">
        <w:rPr>
          <w:rFonts w:asciiTheme="minorHAnsi" w:hAnsiTheme="minorHAnsi" w:cstheme="minorHAnsi"/>
        </w:rPr>
        <w:t>conditions</w:t>
      </w:r>
      <w:proofErr w:type="gramEnd"/>
      <w:r w:rsidRPr="00A86505">
        <w:rPr>
          <w:rFonts w:asciiTheme="minorHAnsi" w:hAnsiTheme="minorHAnsi" w:cstheme="minorHAnsi"/>
        </w:rPr>
        <w:t xml:space="preserve"> and equal opportunity for advancement.</w:t>
      </w:r>
    </w:p>
    <w:p w14:paraId="795ADE08" w14:textId="77777777" w:rsidR="00254DE4" w:rsidRPr="00A86505" w:rsidRDefault="00254DE4" w:rsidP="00141663">
      <w:pPr>
        <w:jc w:val="left"/>
        <w:rPr>
          <w:rFonts w:asciiTheme="minorHAnsi" w:hAnsiTheme="minorHAnsi" w:cstheme="minorHAnsi"/>
        </w:rPr>
      </w:pPr>
    </w:p>
    <w:p w14:paraId="2E04DF7B" w14:textId="367F1911" w:rsidR="00254DE4" w:rsidRPr="00A86505" w:rsidRDefault="00254DE4" w:rsidP="00254DE4">
      <w:pPr>
        <w:jc w:val="left"/>
        <w:rPr>
          <w:rFonts w:asciiTheme="minorHAnsi" w:hAnsiTheme="minorHAnsi" w:cstheme="minorHAnsi"/>
        </w:rPr>
      </w:pPr>
      <w:r w:rsidRPr="00A86505">
        <w:rPr>
          <w:rFonts w:asciiTheme="minorHAnsi" w:hAnsiTheme="minorHAnsi" w:cstheme="minorHAnsi"/>
        </w:rPr>
        <w:t>The Higher Education Standards Framework requires higher education providers to offer learning and research environments that are safe, ethical and promote student wellbeing</w:t>
      </w:r>
      <w:r w:rsidR="000F6CC8" w:rsidRPr="00A86505">
        <w:rPr>
          <w:rFonts w:asciiTheme="minorHAnsi" w:hAnsiTheme="minorHAnsi" w:cstheme="minorHAnsi"/>
        </w:rPr>
        <w:t>,</w:t>
      </w:r>
      <w:r w:rsidRPr="00A86505">
        <w:rPr>
          <w:rFonts w:asciiTheme="minorHAnsi" w:hAnsiTheme="minorHAnsi" w:cstheme="minorHAnsi"/>
        </w:rPr>
        <w:t xml:space="preserve"> and that </w:t>
      </w:r>
      <w:r w:rsidR="000F6CC8" w:rsidRPr="00A86505">
        <w:rPr>
          <w:rFonts w:asciiTheme="minorHAnsi" w:hAnsiTheme="minorHAnsi" w:cstheme="minorHAnsi"/>
        </w:rPr>
        <w:t xml:space="preserve">require providers to have </w:t>
      </w:r>
      <w:r w:rsidRPr="00A86505">
        <w:rPr>
          <w:rFonts w:asciiTheme="minorHAnsi" w:hAnsiTheme="minorHAnsi" w:cstheme="minorHAnsi"/>
        </w:rPr>
        <w:t>corporate and academic governance structures and policies</w:t>
      </w:r>
      <w:r w:rsidR="000F6CC8" w:rsidRPr="00A86505">
        <w:rPr>
          <w:rFonts w:asciiTheme="minorHAnsi" w:hAnsiTheme="minorHAnsi" w:cstheme="minorHAnsi"/>
        </w:rPr>
        <w:t xml:space="preserve"> that</w:t>
      </w:r>
      <w:r w:rsidRPr="00A86505">
        <w:rPr>
          <w:rFonts w:asciiTheme="minorHAnsi" w:hAnsiTheme="minorHAnsi" w:cstheme="minorHAnsi"/>
        </w:rPr>
        <w:t xml:space="preserve"> ensure the academic and operational integrity of its activities.</w:t>
      </w:r>
    </w:p>
    <w:p w14:paraId="741A6579" w14:textId="33B3C380" w:rsidR="005B556A" w:rsidRPr="00A86505" w:rsidRDefault="005B556A" w:rsidP="00254DE4">
      <w:pPr>
        <w:jc w:val="left"/>
        <w:rPr>
          <w:rFonts w:asciiTheme="minorHAnsi" w:hAnsiTheme="minorHAnsi" w:cstheme="minorHAnsi"/>
        </w:rPr>
      </w:pPr>
    </w:p>
    <w:p w14:paraId="3131D891" w14:textId="390BC891" w:rsidR="00254DE4" w:rsidRPr="00A86505" w:rsidRDefault="005B556A" w:rsidP="00254DE4">
      <w:pPr>
        <w:jc w:val="left"/>
        <w:rPr>
          <w:rFonts w:asciiTheme="minorHAnsi" w:hAnsiTheme="minorHAnsi" w:cstheme="minorHAnsi"/>
        </w:rPr>
      </w:pPr>
      <w:r w:rsidRPr="00A86505">
        <w:rPr>
          <w:rFonts w:asciiTheme="minorHAnsi" w:hAnsiTheme="minorHAnsi" w:cstheme="minorHAnsi"/>
        </w:rPr>
        <w:t>The Higher Education Standards Framework requires all providers to support academic and teaching staff to be active in scholarship that informs their teaching and active in research when engaged in research student supervision. It requires providers in the University College and Australian University categories to demonstrate systematic support for scholarship, demonstrate scholarly activities and outcomes that inform teaching, learning and professional practice.</w:t>
      </w:r>
    </w:p>
    <w:p w14:paraId="604DFA61" w14:textId="77777777" w:rsidR="00254DE4" w:rsidRPr="00A86505" w:rsidRDefault="00254DE4" w:rsidP="00254DE4">
      <w:pPr>
        <w:jc w:val="left"/>
        <w:rPr>
          <w:rFonts w:asciiTheme="minorHAnsi" w:hAnsiTheme="minorHAnsi" w:cstheme="minorHAnsi"/>
        </w:rPr>
      </w:pPr>
    </w:p>
    <w:p w14:paraId="2A8B54EC" w14:textId="77777777" w:rsidR="00254DE4" w:rsidRPr="00A86505" w:rsidRDefault="00254DE4" w:rsidP="00254DE4">
      <w:pPr>
        <w:keepNext/>
        <w:jc w:val="left"/>
        <w:rPr>
          <w:rFonts w:asciiTheme="minorHAnsi" w:hAnsiTheme="minorHAnsi" w:cstheme="minorHAnsi"/>
          <w:i/>
        </w:rPr>
      </w:pPr>
      <w:r w:rsidRPr="00A86505">
        <w:rPr>
          <w:rFonts w:asciiTheme="minorHAnsi" w:hAnsiTheme="minorHAnsi" w:cstheme="minorHAnsi"/>
          <w:i/>
        </w:rPr>
        <w:t>Right to Education</w:t>
      </w:r>
    </w:p>
    <w:p w14:paraId="3E45BAF9" w14:textId="77777777" w:rsidR="00254DE4" w:rsidRPr="00A86505" w:rsidRDefault="00254DE4" w:rsidP="00254DE4">
      <w:pPr>
        <w:jc w:val="left"/>
        <w:rPr>
          <w:rFonts w:asciiTheme="minorHAnsi" w:hAnsiTheme="minorHAnsi" w:cstheme="minorHAnsi"/>
        </w:rPr>
      </w:pPr>
    </w:p>
    <w:p w14:paraId="1422C91D" w14:textId="141A2751" w:rsidR="00254DE4" w:rsidRPr="00A86505" w:rsidRDefault="00254DE4" w:rsidP="00254DE4">
      <w:pPr>
        <w:jc w:val="left"/>
        <w:rPr>
          <w:rFonts w:asciiTheme="minorHAnsi" w:hAnsiTheme="minorHAnsi" w:cstheme="minorHAnsi"/>
          <w:iCs/>
        </w:rPr>
      </w:pPr>
      <w:r w:rsidRPr="00A86505">
        <w:rPr>
          <w:rFonts w:asciiTheme="minorHAnsi" w:hAnsiTheme="minorHAnsi" w:cstheme="minorHAnsi"/>
        </w:rPr>
        <w:t xml:space="preserve">The Instrument also engages the right to education which is set out in Article 13 of the </w:t>
      </w:r>
      <w:r w:rsidR="008B5982" w:rsidRPr="00A86505">
        <w:rPr>
          <w:rFonts w:asciiTheme="minorHAnsi" w:hAnsiTheme="minorHAnsi" w:cstheme="minorHAnsi"/>
        </w:rPr>
        <w:t>ICESCR</w:t>
      </w:r>
      <w:r w:rsidRPr="00A86505">
        <w:rPr>
          <w:rFonts w:asciiTheme="minorHAnsi" w:hAnsiTheme="minorHAnsi" w:cstheme="minorHAnsi"/>
          <w:i/>
        </w:rPr>
        <w:t xml:space="preserve">. </w:t>
      </w:r>
      <w:r w:rsidRPr="00A86505">
        <w:rPr>
          <w:rFonts w:asciiTheme="minorHAnsi" w:hAnsiTheme="minorHAnsi" w:cstheme="minorHAnsi"/>
        </w:rPr>
        <w:t xml:space="preserve">The right to education recognises the important personal, societal, economic and intellectual benefits of education. It requires </w:t>
      </w:r>
      <w:r w:rsidR="00300772" w:rsidRPr="00A86505">
        <w:rPr>
          <w:rFonts w:asciiTheme="minorHAnsi" w:hAnsiTheme="minorHAnsi" w:cstheme="minorHAnsi"/>
        </w:rPr>
        <w:t xml:space="preserve">that </w:t>
      </w:r>
      <w:r w:rsidRPr="00A86505">
        <w:rPr>
          <w:rFonts w:asciiTheme="minorHAnsi" w:hAnsiTheme="minorHAnsi" w:cstheme="minorHAnsi"/>
        </w:rPr>
        <w:t>education be available, safe, and appropriately resourced, dependent on the needs of the child.</w:t>
      </w:r>
    </w:p>
    <w:p w14:paraId="158A0B2B" w14:textId="77777777" w:rsidR="00254DE4" w:rsidRPr="00A86505" w:rsidRDefault="00254DE4" w:rsidP="00254DE4">
      <w:pPr>
        <w:jc w:val="left"/>
        <w:rPr>
          <w:rFonts w:asciiTheme="minorHAnsi" w:hAnsiTheme="minorHAnsi" w:cstheme="minorHAnsi"/>
        </w:rPr>
      </w:pPr>
    </w:p>
    <w:p w14:paraId="61F75066" w14:textId="4A63013A" w:rsidR="001B5EDD" w:rsidRPr="00A86505" w:rsidRDefault="00254DE4" w:rsidP="00227A93">
      <w:pPr>
        <w:jc w:val="left"/>
        <w:rPr>
          <w:rFonts w:asciiTheme="minorHAnsi" w:hAnsiTheme="minorHAnsi" w:cstheme="minorHAnsi"/>
        </w:rPr>
      </w:pPr>
      <w:r w:rsidRPr="00A86505">
        <w:rPr>
          <w:rFonts w:asciiTheme="minorHAnsi" w:hAnsiTheme="minorHAnsi" w:cstheme="minorHAnsi"/>
        </w:rPr>
        <w:t xml:space="preserve">The </w:t>
      </w:r>
      <w:r w:rsidR="001B5EDD" w:rsidRPr="00A86505">
        <w:rPr>
          <w:rFonts w:asciiTheme="minorHAnsi" w:hAnsiTheme="minorHAnsi" w:cstheme="minorHAnsi"/>
        </w:rPr>
        <w:t>Threshold Standards</w:t>
      </w:r>
      <w:r w:rsidRPr="00A86505">
        <w:rPr>
          <w:rFonts w:asciiTheme="minorHAnsi" w:hAnsiTheme="minorHAnsi" w:cstheme="minorHAnsi"/>
        </w:rPr>
        <w:t xml:space="preserve"> help to ensure </w:t>
      </w:r>
      <w:r w:rsidR="00300772" w:rsidRPr="00A86505">
        <w:rPr>
          <w:rFonts w:asciiTheme="minorHAnsi" w:hAnsiTheme="minorHAnsi" w:cstheme="minorHAnsi"/>
        </w:rPr>
        <w:t xml:space="preserve">that </w:t>
      </w:r>
      <w:r w:rsidRPr="00A86505">
        <w:rPr>
          <w:rFonts w:asciiTheme="minorHAnsi" w:hAnsiTheme="minorHAnsi" w:cstheme="minorHAnsi"/>
        </w:rPr>
        <w:t xml:space="preserve">the highest standards of quality will be upheld in the provision of higher education in Australia. </w:t>
      </w:r>
      <w:r w:rsidR="001B5EDD" w:rsidRPr="00A86505">
        <w:rPr>
          <w:rFonts w:asciiTheme="minorHAnsi" w:hAnsiTheme="minorHAnsi" w:cstheme="minorHAnsi"/>
        </w:rPr>
        <w:t>They enable</w:t>
      </w:r>
      <w:r w:rsidR="000F6CC8" w:rsidRPr="00A86505">
        <w:rPr>
          <w:rFonts w:asciiTheme="minorHAnsi" w:hAnsiTheme="minorHAnsi" w:cstheme="minorHAnsi"/>
        </w:rPr>
        <w:t xml:space="preserve"> the</w:t>
      </w:r>
      <w:r w:rsidR="001B5EDD" w:rsidRPr="00A86505">
        <w:rPr>
          <w:rFonts w:asciiTheme="minorHAnsi" w:hAnsiTheme="minorHAnsi" w:cstheme="minorHAnsi"/>
        </w:rPr>
        <w:t xml:space="preserve"> </w:t>
      </w:r>
      <w:r w:rsidR="000F6CC8" w:rsidRPr="00A86505">
        <w:rPr>
          <w:rFonts w:asciiTheme="minorHAnsi" w:hAnsiTheme="minorHAnsi" w:cstheme="minorHAnsi"/>
          <w:iCs/>
        </w:rPr>
        <w:t xml:space="preserve">Tertiary Education Quality and Standards Agency </w:t>
      </w:r>
      <w:r w:rsidR="000F6CC8" w:rsidRPr="00A86505">
        <w:rPr>
          <w:rFonts w:asciiTheme="minorHAnsi" w:hAnsiTheme="minorHAnsi" w:cstheme="minorHAnsi"/>
        </w:rPr>
        <w:t>(</w:t>
      </w:r>
      <w:r w:rsidR="001B5EDD" w:rsidRPr="00A86505">
        <w:rPr>
          <w:rFonts w:asciiTheme="minorHAnsi" w:hAnsiTheme="minorHAnsi" w:cstheme="minorHAnsi"/>
        </w:rPr>
        <w:t>TEQSA</w:t>
      </w:r>
      <w:r w:rsidR="000F6CC8" w:rsidRPr="00A86505">
        <w:rPr>
          <w:rFonts w:asciiTheme="minorHAnsi" w:hAnsiTheme="minorHAnsi" w:cstheme="minorHAnsi"/>
        </w:rPr>
        <w:t>)</w:t>
      </w:r>
      <w:r w:rsidR="001B5EDD" w:rsidRPr="00A86505">
        <w:rPr>
          <w:rFonts w:asciiTheme="minorHAnsi" w:hAnsiTheme="minorHAnsi" w:cstheme="minorHAnsi"/>
        </w:rPr>
        <w:t>, as the independent higher education regulator, and higher education providers themselves through their corporate and academic governance bodies</w:t>
      </w:r>
      <w:r w:rsidR="000F6CC8" w:rsidRPr="00A86505">
        <w:rPr>
          <w:rFonts w:asciiTheme="minorHAnsi" w:hAnsiTheme="minorHAnsi" w:cstheme="minorHAnsi"/>
        </w:rPr>
        <w:t>,</w:t>
      </w:r>
      <w:r w:rsidR="001B5EDD" w:rsidRPr="00A86505">
        <w:rPr>
          <w:rFonts w:asciiTheme="minorHAnsi" w:hAnsiTheme="minorHAnsi" w:cstheme="minorHAnsi"/>
        </w:rPr>
        <w:t xml:space="preserve"> to give assurance of a high quality learning experience, learning outcomes that are relevant to employment and professional practice</w:t>
      </w:r>
      <w:r w:rsidR="000F6CC8" w:rsidRPr="00A86505">
        <w:rPr>
          <w:rFonts w:asciiTheme="minorHAnsi" w:hAnsiTheme="minorHAnsi" w:cstheme="minorHAnsi"/>
        </w:rPr>
        <w:t>,</w:t>
      </w:r>
      <w:r w:rsidR="001B5EDD" w:rsidRPr="00A86505">
        <w:rPr>
          <w:rFonts w:asciiTheme="minorHAnsi" w:hAnsiTheme="minorHAnsi" w:cstheme="minorHAnsi"/>
        </w:rPr>
        <w:t xml:space="preserve"> and learning that is tailored to the needs of students with different characteristics and learning needs. They ensure students and provider staff have the resources and supports in place to maximise students’ opportunity to learn and graduate with the skills and knowledge they need for future careers and further learning.</w:t>
      </w:r>
    </w:p>
    <w:p w14:paraId="53A2C200" w14:textId="77777777" w:rsidR="001B5EDD" w:rsidRPr="00A86505" w:rsidRDefault="001B5EDD" w:rsidP="00227A93">
      <w:pPr>
        <w:jc w:val="left"/>
        <w:rPr>
          <w:rFonts w:asciiTheme="minorHAnsi" w:hAnsiTheme="minorHAnsi" w:cstheme="minorHAnsi"/>
        </w:rPr>
      </w:pPr>
    </w:p>
    <w:p w14:paraId="6BDB3BD9" w14:textId="2B1677B9" w:rsidR="00254DE4" w:rsidRPr="00A86505" w:rsidRDefault="00254DE4" w:rsidP="00227A93">
      <w:pPr>
        <w:jc w:val="left"/>
        <w:rPr>
          <w:rFonts w:asciiTheme="minorHAnsi" w:hAnsiTheme="minorHAnsi" w:cstheme="minorHAnsi"/>
        </w:rPr>
      </w:pPr>
      <w:r w:rsidRPr="00A86505">
        <w:rPr>
          <w:rFonts w:asciiTheme="minorHAnsi" w:hAnsiTheme="minorHAnsi" w:cstheme="minorHAnsi"/>
        </w:rPr>
        <w:t>The</w:t>
      </w:r>
      <w:r w:rsidR="001B5EDD" w:rsidRPr="00A86505">
        <w:rPr>
          <w:rFonts w:asciiTheme="minorHAnsi" w:hAnsiTheme="minorHAnsi" w:cstheme="minorHAnsi"/>
        </w:rPr>
        <w:t xml:space="preserve"> Threshold Standards</w:t>
      </w:r>
      <w:r w:rsidRPr="00A86505">
        <w:rPr>
          <w:rFonts w:asciiTheme="minorHAnsi" w:hAnsiTheme="minorHAnsi" w:cstheme="minorHAnsi"/>
        </w:rPr>
        <w:t xml:space="preserve"> enable efficient and targeted activity by TEQSA which will ensure that higher education institutions have time and resources to devote to doing what they do best – delivering the highest quality teaching, learning and research. This will benefit both Australian and international students as well as the broader Australian community and economy.</w:t>
      </w:r>
    </w:p>
    <w:p w14:paraId="547A7CEF" w14:textId="7A17B3AA" w:rsidR="00300772" w:rsidRPr="00A86505" w:rsidRDefault="00300772" w:rsidP="00227A93">
      <w:pPr>
        <w:jc w:val="left"/>
        <w:rPr>
          <w:rFonts w:asciiTheme="minorHAnsi" w:hAnsiTheme="minorHAnsi" w:cstheme="minorHAnsi"/>
        </w:rPr>
      </w:pPr>
    </w:p>
    <w:p w14:paraId="5493DBC2" w14:textId="1E57E628" w:rsidR="00254DE4" w:rsidRPr="00A86505" w:rsidRDefault="00300772" w:rsidP="00254DE4">
      <w:pPr>
        <w:jc w:val="left"/>
        <w:rPr>
          <w:rFonts w:asciiTheme="minorHAnsi" w:hAnsiTheme="minorHAnsi" w:cstheme="minorHAnsi"/>
        </w:rPr>
      </w:pPr>
      <w:r w:rsidRPr="00A86505">
        <w:rPr>
          <w:rFonts w:asciiTheme="minorHAnsi" w:hAnsiTheme="minorHAnsi" w:cstheme="minorHAnsi"/>
        </w:rPr>
        <w:t>Changes to the 2015 Threshold Standards that are reflected in the</w:t>
      </w:r>
      <w:r w:rsidR="001B5EDD" w:rsidRPr="00A86505">
        <w:rPr>
          <w:rFonts w:asciiTheme="minorHAnsi" w:hAnsiTheme="minorHAnsi" w:cstheme="minorHAnsi"/>
        </w:rPr>
        <w:t xml:space="preserve"> </w:t>
      </w:r>
      <w:r w:rsidR="004640EE" w:rsidRPr="00A86505">
        <w:rPr>
          <w:rFonts w:asciiTheme="minorHAnsi" w:hAnsiTheme="minorHAnsi" w:cstheme="minorHAnsi"/>
        </w:rPr>
        <w:t>I</w:t>
      </w:r>
      <w:r w:rsidRPr="00A86505">
        <w:rPr>
          <w:rFonts w:asciiTheme="minorHAnsi" w:hAnsiTheme="minorHAnsi" w:cstheme="minorHAnsi"/>
        </w:rPr>
        <w:t xml:space="preserve">nstrument simplify and streamline the categories of higher education provider, and more clearly articulate the requirements to be categorised as a particular type of higher education provider. This will help to ensure a diverse and high-quality higher education sector that meets the needs of students, employers, higher education providers and the wider community. </w:t>
      </w:r>
    </w:p>
    <w:p w14:paraId="27C5A83D" w14:textId="77777777" w:rsidR="00254DE4" w:rsidRPr="00A86505" w:rsidRDefault="00254DE4" w:rsidP="00254DE4">
      <w:pPr>
        <w:jc w:val="left"/>
        <w:rPr>
          <w:rFonts w:asciiTheme="minorHAnsi" w:hAnsiTheme="minorHAnsi" w:cstheme="minorHAnsi"/>
        </w:rPr>
      </w:pPr>
    </w:p>
    <w:p w14:paraId="64D3EFF8" w14:textId="77777777" w:rsidR="00254DE4" w:rsidRPr="00A86505" w:rsidRDefault="00254DE4" w:rsidP="00F04FE3">
      <w:pPr>
        <w:keepNext/>
        <w:jc w:val="left"/>
        <w:rPr>
          <w:rFonts w:asciiTheme="minorHAnsi" w:hAnsiTheme="minorHAnsi" w:cstheme="minorHAnsi"/>
          <w:b/>
          <w:bCs/>
          <w:iCs/>
        </w:rPr>
      </w:pPr>
      <w:r w:rsidRPr="00A86505">
        <w:rPr>
          <w:rFonts w:asciiTheme="minorHAnsi" w:hAnsiTheme="minorHAnsi" w:cstheme="minorHAnsi"/>
          <w:b/>
          <w:bCs/>
          <w:iCs/>
        </w:rPr>
        <w:lastRenderedPageBreak/>
        <w:t xml:space="preserve">Conclusion </w:t>
      </w:r>
    </w:p>
    <w:p w14:paraId="31A9E5B2" w14:textId="77777777" w:rsidR="00254DE4" w:rsidRPr="00A86505" w:rsidRDefault="00254DE4" w:rsidP="00141663">
      <w:pPr>
        <w:keepNext/>
        <w:jc w:val="left"/>
        <w:rPr>
          <w:rFonts w:asciiTheme="minorHAnsi" w:hAnsiTheme="minorHAnsi" w:cstheme="minorHAnsi"/>
        </w:rPr>
      </w:pPr>
    </w:p>
    <w:p w14:paraId="2B176DA2" w14:textId="77777777" w:rsidR="00B36C62" w:rsidRPr="00A86505" w:rsidRDefault="00B36C62" w:rsidP="003C15CE">
      <w:pPr>
        <w:jc w:val="left"/>
        <w:rPr>
          <w:rFonts w:asciiTheme="minorHAnsi" w:hAnsiTheme="minorHAnsi" w:cstheme="minorHAnsi"/>
        </w:rPr>
      </w:pPr>
      <w:r w:rsidRPr="00A86505">
        <w:rPr>
          <w:rFonts w:asciiTheme="minorHAnsi" w:hAnsiTheme="minorHAnsi" w:cstheme="minorHAnsi"/>
        </w:rPr>
        <w:t>This Instrument is compatible with human rights because it promotes the protection of human rights.</w:t>
      </w:r>
    </w:p>
    <w:p w14:paraId="6AFD129B" w14:textId="77777777" w:rsidR="00B36C62" w:rsidRPr="00A86505" w:rsidRDefault="00B36C62" w:rsidP="003C15CE">
      <w:pPr>
        <w:jc w:val="left"/>
        <w:rPr>
          <w:rFonts w:asciiTheme="minorHAnsi" w:hAnsiTheme="minorHAnsi" w:cstheme="minorHAnsi"/>
        </w:rPr>
      </w:pPr>
    </w:p>
    <w:p w14:paraId="05A97F25" w14:textId="0D8D6AEE" w:rsidR="003C15CE" w:rsidRPr="00A86505" w:rsidRDefault="003C15CE" w:rsidP="003C15CE">
      <w:pPr>
        <w:jc w:val="left"/>
        <w:rPr>
          <w:rFonts w:asciiTheme="minorHAnsi" w:hAnsiTheme="minorHAnsi" w:cstheme="minorHAnsi"/>
        </w:rPr>
      </w:pPr>
      <w:r w:rsidRPr="00A86505">
        <w:rPr>
          <w:rFonts w:asciiTheme="minorHAnsi" w:hAnsiTheme="minorHAnsi" w:cstheme="minorHAnsi"/>
        </w:rPr>
        <w:t xml:space="preserve">The </w:t>
      </w:r>
      <w:r w:rsidR="000F6CC8" w:rsidRPr="00A86505">
        <w:rPr>
          <w:rFonts w:asciiTheme="minorHAnsi" w:hAnsiTheme="minorHAnsi" w:cstheme="minorHAnsi"/>
        </w:rPr>
        <w:t>I</w:t>
      </w:r>
      <w:r w:rsidRPr="00A86505">
        <w:rPr>
          <w:rFonts w:asciiTheme="minorHAnsi" w:hAnsiTheme="minorHAnsi" w:cstheme="minorHAnsi"/>
        </w:rPr>
        <w:t>nstrument promotes the right to work through requiring safe, ethical learning and research environments, and requiring higher education providers to support academic and teaching staff to be active in scholarship.</w:t>
      </w:r>
    </w:p>
    <w:p w14:paraId="527F6789" w14:textId="77777777" w:rsidR="003C15CE" w:rsidRPr="00A86505" w:rsidRDefault="003C15CE" w:rsidP="003C15CE">
      <w:pPr>
        <w:jc w:val="left"/>
        <w:rPr>
          <w:rFonts w:asciiTheme="minorHAnsi" w:hAnsiTheme="minorHAnsi" w:cstheme="minorHAnsi"/>
        </w:rPr>
      </w:pPr>
    </w:p>
    <w:p w14:paraId="6A8B54E3" w14:textId="6CD295CB" w:rsidR="005B556A" w:rsidRPr="00A86505" w:rsidRDefault="00227A93" w:rsidP="00227A93">
      <w:pPr>
        <w:jc w:val="left"/>
        <w:rPr>
          <w:rFonts w:asciiTheme="minorHAnsi" w:hAnsiTheme="minorHAnsi" w:cstheme="minorHAnsi"/>
        </w:rPr>
      </w:pPr>
      <w:r w:rsidRPr="00A86505">
        <w:rPr>
          <w:rFonts w:asciiTheme="minorHAnsi" w:hAnsiTheme="minorHAnsi" w:cstheme="minorHAnsi"/>
        </w:rPr>
        <w:t>The Instrument supports and enhances the right to education by improving TEQSA’s regulatory capabilities through Threshold Standards</w:t>
      </w:r>
      <w:r w:rsidR="00F04FE3" w:rsidRPr="00A86505">
        <w:rPr>
          <w:rFonts w:asciiTheme="minorHAnsi" w:hAnsiTheme="minorHAnsi" w:cstheme="minorHAnsi"/>
        </w:rPr>
        <w:t xml:space="preserve"> that are more reflective of the current and future needs of the higher education sector. This </w:t>
      </w:r>
      <w:r w:rsidRPr="00A86505">
        <w:rPr>
          <w:rFonts w:asciiTheme="minorHAnsi" w:hAnsiTheme="minorHAnsi" w:cstheme="minorHAnsi"/>
        </w:rPr>
        <w:t>will allow TEQSA to specify matters in relation to new research quality benchmarks for providers in the ‘Australian University’ category</w:t>
      </w:r>
      <w:r w:rsidR="005B556A" w:rsidRPr="00A86505">
        <w:rPr>
          <w:rFonts w:asciiTheme="minorHAnsi" w:hAnsiTheme="minorHAnsi" w:cstheme="minorHAnsi"/>
        </w:rPr>
        <w:t>,</w:t>
      </w:r>
      <w:r w:rsidRPr="00A86505">
        <w:rPr>
          <w:rFonts w:asciiTheme="minorHAnsi" w:hAnsiTheme="minorHAnsi" w:cstheme="minorHAnsi"/>
        </w:rPr>
        <w:t xml:space="preserve"> and </w:t>
      </w:r>
      <w:r w:rsidR="005B556A" w:rsidRPr="00A86505">
        <w:rPr>
          <w:rFonts w:asciiTheme="minorHAnsi" w:hAnsiTheme="minorHAnsi" w:cstheme="minorHAnsi"/>
        </w:rPr>
        <w:t xml:space="preserve">improve the </w:t>
      </w:r>
      <w:r w:rsidR="00F04FE3" w:rsidRPr="00A86505">
        <w:rPr>
          <w:rFonts w:asciiTheme="minorHAnsi" w:hAnsiTheme="minorHAnsi" w:cstheme="minorHAnsi"/>
        </w:rPr>
        <w:t xml:space="preserve">regulatory and </w:t>
      </w:r>
      <w:r w:rsidR="005B556A" w:rsidRPr="00A86505">
        <w:rPr>
          <w:rFonts w:asciiTheme="minorHAnsi" w:hAnsiTheme="minorHAnsi" w:cstheme="minorHAnsi"/>
        </w:rPr>
        <w:t xml:space="preserve">governance arrangements of </w:t>
      </w:r>
      <w:r w:rsidR="00F04FE3" w:rsidRPr="00A86505">
        <w:rPr>
          <w:rFonts w:asciiTheme="minorHAnsi" w:hAnsiTheme="minorHAnsi" w:cstheme="minorHAnsi"/>
        </w:rPr>
        <w:t xml:space="preserve">Australia’s </w:t>
      </w:r>
      <w:r w:rsidR="005B556A" w:rsidRPr="00A86505">
        <w:rPr>
          <w:rFonts w:asciiTheme="minorHAnsi" w:hAnsiTheme="minorHAnsi" w:cstheme="minorHAnsi"/>
        </w:rPr>
        <w:t>tertiary education system by</w:t>
      </w:r>
      <w:r w:rsidR="00F04FE3" w:rsidRPr="00A86505">
        <w:rPr>
          <w:rFonts w:asciiTheme="minorHAnsi" w:hAnsiTheme="minorHAnsi" w:cstheme="minorHAnsi"/>
        </w:rPr>
        <w:t xml:space="preserve"> </w:t>
      </w:r>
      <w:r w:rsidRPr="00A86505">
        <w:rPr>
          <w:rFonts w:asciiTheme="minorHAnsi" w:hAnsiTheme="minorHAnsi" w:cstheme="minorHAnsi"/>
        </w:rPr>
        <w:t>simplif</w:t>
      </w:r>
      <w:r w:rsidR="005B556A" w:rsidRPr="00A86505">
        <w:rPr>
          <w:rFonts w:asciiTheme="minorHAnsi" w:hAnsiTheme="minorHAnsi" w:cstheme="minorHAnsi"/>
        </w:rPr>
        <w:t>ying</w:t>
      </w:r>
      <w:r w:rsidRPr="00A86505">
        <w:rPr>
          <w:rFonts w:asciiTheme="minorHAnsi" w:hAnsiTheme="minorHAnsi" w:cstheme="minorHAnsi"/>
        </w:rPr>
        <w:t xml:space="preserve"> and consolidat</w:t>
      </w:r>
      <w:r w:rsidR="005B556A" w:rsidRPr="00A86505">
        <w:rPr>
          <w:rFonts w:asciiTheme="minorHAnsi" w:hAnsiTheme="minorHAnsi" w:cstheme="minorHAnsi"/>
        </w:rPr>
        <w:t>ing</w:t>
      </w:r>
      <w:r w:rsidRPr="00A86505">
        <w:rPr>
          <w:rFonts w:asciiTheme="minorHAnsi" w:hAnsiTheme="minorHAnsi" w:cstheme="minorHAnsi"/>
        </w:rPr>
        <w:t xml:space="preserve"> </w:t>
      </w:r>
      <w:r w:rsidR="00F04FE3" w:rsidRPr="00A86505">
        <w:rPr>
          <w:rFonts w:asciiTheme="minorHAnsi" w:hAnsiTheme="minorHAnsi" w:cstheme="minorHAnsi"/>
        </w:rPr>
        <w:t>higher education</w:t>
      </w:r>
      <w:r w:rsidRPr="00A86505">
        <w:rPr>
          <w:rFonts w:asciiTheme="minorHAnsi" w:hAnsiTheme="minorHAnsi" w:cstheme="minorHAnsi"/>
        </w:rPr>
        <w:t xml:space="preserve"> provider categories</w:t>
      </w:r>
      <w:r w:rsidR="005B556A" w:rsidRPr="00A86505">
        <w:rPr>
          <w:rFonts w:asciiTheme="minorHAnsi" w:hAnsiTheme="minorHAnsi" w:cstheme="minorHAnsi"/>
        </w:rPr>
        <w:t>.</w:t>
      </w:r>
      <w:r w:rsidRPr="00A86505">
        <w:rPr>
          <w:rFonts w:asciiTheme="minorHAnsi" w:hAnsiTheme="minorHAnsi" w:cstheme="minorHAnsi"/>
        </w:rPr>
        <w:t xml:space="preserve"> </w:t>
      </w:r>
    </w:p>
    <w:p w14:paraId="39A52396" w14:textId="0F52FB4D" w:rsidR="005B556A" w:rsidRPr="00A86505" w:rsidRDefault="005B556A" w:rsidP="00227A93">
      <w:pPr>
        <w:jc w:val="left"/>
        <w:rPr>
          <w:rFonts w:asciiTheme="minorHAnsi" w:hAnsiTheme="minorHAnsi" w:cstheme="minorHAnsi"/>
        </w:rPr>
      </w:pPr>
    </w:p>
    <w:p w14:paraId="37F7FB79" w14:textId="3F7714EB" w:rsidR="00C84354" w:rsidRPr="00A86505" w:rsidRDefault="00C84354" w:rsidP="00254DE4">
      <w:pPr>
        <w:jc w:val="left"/>
        <w:rPr>
          <w:rFonts w:asciiTheme="minorHAnsi" w:hAnsiTheme="minorHAnsi" w:cstheme="minorHAnsi"/>
        </w:rPr>
      </w:pPr>
    </w:p>
    <w:p w14:paraId="566A4B8B" w14:textId="7B20BF14" w:rsidR="00C84354" w:rsidRPr="00A86505" w:rsidRDefault="00C84354" w:rsidP="00C84354">
      <w:pPr>
        <w:jc w:val="center"/>
        <w:rPr>
          <w:rFonts w:asciiTheme="minorHAnsi" w:hAnsiTheme="minorHAnsi" w:cstheme="minorHAnsi"/>
          <w:b/>
          <w:bCs/>
        </w:rPr>
      </w:pPr>
      <w:r w:rsidRPr="00A86505">
        <w:rPr>
          <w:rFonts w:asciiTheme="minorHAnsi" w:hAnsiTheme="minorHAnsi" w:cstheme="minorHAnsi"/>
          <w:b/>
          <w:bCs/>
        </w:rPr>
        <w:t>Minister for Education and Youth, the Hon Alan Tudge MP</w:t>
      </w:r>
    </w:p>
    <w:p w14:paraId="5BCCA9FE" w14:textId="77777777" w:rsidR="00C84354" w:rsidRPr="00A86505" w:rsidRDefault="00C84354" w:rsidP="00227A93">
      <w:pPr>
        <w:jc w:val="left"/>
        <w:rPr>
          <w:rFonts w:asciiTheme="minorHAnsi" w:hAnsiTheme="minorHAnsi" w:cstheme="minorHAnsi"/>
        </w:rPr>
      </w:pPr>
    </w:p>
    <w:p w14:paraId="68911810" w14:textId="77777777" w:rsidR="00E84452" w:rsidRPr="00A86505" w:rsidRDefault="00E84452" w:rsidP="00141663">
      <w:pPr>
        <w:jc w:val="left"/>
        <w:rPr>
          <w:rFonts w:asciiTheme="minorHAnsi" w:hAnsiTheme="minorHAnsi" w:cstheme="minorHAnsi"/>
        </w:rPr>
        <w:sectPr w:rsidR="00E84452" w:rsidRPr="00A86505" w:rsidSect="00327877">
          <w:headerReference w:type="default" r:id="rId15"/>
          <w:pgSz w:w="11906" w:h="16838"/>
          <w:pgMar w:top="1418" w:right="1440" w:bottom="1418" w:left="1440" w:header="709" w:footer="709" w:gutter="0"/>
          <w:cols w:space="708"/>
          <w:docGrid w:linePitch="360"/>
        </w:sectPr>
      </w:pPr>
    </w:p>
    <w:p w14:paraId="504E8B5C" w14:textId="36B8BF56" w:rsidR="00C84354" w:rsidRPr="00A86505" w:rsidRDefault="00C84354" w:rsidP="00C84354">
      <w:pPr>
        <w:pStyle w:val="Subheading"/>
        <w:jc w:val="center"/>
        <w:rPr>
          <w:rFonts w:asciiTheme="minorHAnsi" w:hAnsiTheme="minorHAnsi" w:cstheme="minorHAnsi"/>
          <w:i/>
          <w:iCs/>
          <w:sz w:val="22"/>
          <w:szCs w:val="22"/>
        </w:rPr>
      </w:pPr>
      <w:r w:rsidRPr="00A86505">
        <w:rPr>
          <w:rFonts w:asciiTheme="minorHAnsi" w:hAnsiTheme="minorHAnsi" w:cstheme="minorHAnsi"/>
          <w:i/>
          <w:iCs/>
          <w:sz w:val="22"/>
          <w:szCs w:val="22"/>
        </w:rPr>
        <w:lastRenderedPageBreak/>
        <w:t>HIGHER EDUCATION STANDARDS FRAMEWORK (THRESHOLD STANDARDS) 2021</w:t>
      </w:r>
    </w:p>
    <w:p w14:paraId="2831AB26" w14:textId="77777777" w:rsidR="00C84354" w:rsidRPr="00A86505" w:rsidRDefault="00C84354" w:rsidP="006E2E78">
      <w:pPr>
        <w:pStyle w:val="Subheading"/>
        <w:jc w:val="left"/>
        <w:rPr>
          <w:rFonts w:asciiTheme="minorHAnsi" w:hAnsiTheme="minorHAnsi" w:cstheme="minorHAnsi"/>
          <w:sz w:val="22"/>
          <w:szCs w:val="22"/>
        </w:rPr>
      </w:pPr>
    </w:p>
    <w:p w14:paraId="00944FB0" w14:textId="0A288E21" w:rsidR="00C84354" w:rsidRPr="00A86505" w:rsidRDefault="00C84354" w:rsidP="00C84354">
      <w:pPr>
        <w:pStyle w:val="Subheading"/>
        <w:jc w:val="center"/>
        <w:rPr>
          <w:rFonts w:asciiTheme="minorHAnsi" w:hAnsiTheme="minorHAnsi" w:cstheme="minorHAnsi"/>
          <w:sz w:val="22"/>
          <w:szCs w:val="22"/>
        </w:rPr>
      </w:pPr>
      <w:r w:rsidRPr="00A86505">
        <w:rPr>
          <w:rFonts w:asciiTheme="minorHAnsi" w:hAnsiTheme="minorHAnsi" w:cstheme="minorHAnsi"/>
          <w:sz w:val="22"/>
          <w:szCs w:val="22"/>
        </w:rPr>
        <w:t>EXPLANATION OF PROVISIONS</w:t>
      </w:r>
    </w:p>
    <w:p w14:paraId="05B9E85A" w14:textId="77777777" w:rsidR="00C84354" w:rsidRPr="00A86505" w:rsidRDefault="00C84354" w:rsidP="00C84354">
      <w:pPr>
        <w:keepNext/>
        <w:rPr>
          <w:rFonts w:asciiTheme="minorHAnsi" w:hAnsiTheme="minorHAnsi" w:cstheme="minorHAnsi"/>
          <w:b/>
          <w:u w:val="single"/>
        </w:rPr>
      </w:pPr>
    </w:p>
    <w:p w14:paraId="4DACA390" w14:textId="48138223" w:rsidR="00C84354" w:rsidRPr="00A86505" w:rsidRDefault="00C84354" w:rsidP="00C84354">
      <w:pPr>
        <w:keepNext/>
        <w:rPr>
          <w:rFonts w:asciiTheme="minorHAnsi" w:hAnsiTheme="minorHAnsi" w:cstheme="minorHAnsi"/>
          <w:b/>
          <w:u w:val="single"/>
        </w:rPr>
      </w:pPr>
      <w:r w:rsidRPr="00A86505">
        <w:rPr>
          <w:rFonts w:asciiTheme="minorHAnsi" w:hAnsiTheme="minorHAnsi" w:cstheme="minorHAnsi"/>
          <w:b/>
          <w:u w:val="single"/>
        </w:rPr>
        <w:t>Section 1: Name</w:t>
      </w:r>
    </w:p>
    <w:p w14:paraId="2F745075" w14:textId="77777777" w:rsidR="00C84354" w:rsidRPr="00A86505" w:rsidRDefault="00C84354" w:rsidP="00C84354">
      <w:pPr>
        <w:keepNext/>
        <w:rPr>
          <w:rFonts w:asciiTheme="minorHAnsi" w:hAnsiTheme="minorHAnsi" w:cstheme="minorHAnsi"/>
          <w:b/>
          <w:u w:val="single"/>
        </w:rPr>
      </w:pPr>
    </w:p>
    <w:p w14:paraId="730BABBE" w14:textId="1F98F938" w:rsidR="00C84354" w:rsidRPr="00A86505" w:rsidRDefault="00C84354" w:rsidP="00C84354">
      <w:pPr>
        <w:pStyle w:val="ListParagraph"/>
        <w:keepNext/>
        <w:numPr>
          <w:ilvl w:val="0"/>
          <w:numId w:val="17"/>
        </w:numPr>
        <w:tabs>
          <w:tab w:val="clear" w:pos="1134"/>
        </w:tabs>
        <w:spacing w:after="200" w:line="276" w:lineRule="auto"/>
        <w:jc w:val="left"/>
        <w:rPr>
          <w:rFonts w:asciiTheme="minorHAnsi" w:hAnsiTheme="minorHAnsi" w:cstheme="minorHAnsi"/>
          <w:bCs/>
        </w:rPr>
      </w:pPr>
      <w:r w:rsidRPr="00A86505">
        <w:rPr>
          <w:rFonts w:asciiTheme="minorHAnsi" w:hAnsiTheme="minorHAnsi" w:cstheme="minorHAnsi"/>
          <w:bCs/>
        </w:rPr>
        <w:t>This section states the name of the instrument, the</w:t>
      </w:r>
      <w:r w:rsidRPr="00A86505">
        <w:rPr>
          <w:rFonts w:asciiTheme="minorHAnsi" w:hAnsiTheme="minorHAnsi" w:cstheme="minorHAnsi"/>
          <w:bCs/>
          <w:i/>
          <w:iCs/>
        </w:rPr>
        <w:t xml:space="preserve"> Higher Education Standards Framework (Threshold Standards) 2021</w:t>
      </w:r>
      <w:r w:rsidRPr="00A86505">
        <w:rPr>
          <w:rFonts w:asciiTheme="minorHAnsi" w:hAnsiTheme="minorHAnsi" w:cstheme="minorHAnsi"/>
          <w:bCs/>
        </w:rPr>
        <w:t xml:space="preserve"> (the </w:t>
      </w:r>
      <w:r w:rsidR="000D3B4E" w:rsidRPr="00A86505">
        <w:rPr>
          <w:rFonts w:asciiTheme="minorHAnsi" w:hAnsiTheme="minorHAnsi" w:cstheme="minorHAnsi"/>
          <w:bCs/>
        </w:rPr>
        <w:t>Instrument</w:t>
      </w:r>
      <w:r w:rsidRPr="00A86505">
        <w:rPr>
          <w:rFonts w:asciiTheme="minorHAnsi" w:hAnsiTheme="minorHAnsi" w:cstheme="minorHAnsi"/>
          <w:bCs/>
        </w:rPr>
        <w:t xml:space="preserve">). </w:t>
      </w:r>
    </w:p>
    <w:p w14:paraId="21C88F76" w14:textId="77777777" w:rsidR="00C84354" w:rsidRPr="00A86505" w:rsidRDefault="00C84354" w:rsidP="00C84354">
      <w:pPr>
        <w:keepNext/>
        <w:rPr>
          <w:rFonts w:asciiTheme="minorHAnsi" w:hAnsiTheme="minorHAnsi" w:cstheme="minorHAnsi"/>
          <w:b/>
          <w:u w:val="single"/>
        </w:rPr>
      </w:pPr>
      <w:r w:rsidRPr="00A86505">
        <w:rPr>
          <w:rFonts w:asciiTheme="minorHAnsi" w:hAnsiTheme="minorHAnsi" w:cstheme="minorHAnsi"/>
          <w:b/>
          <w:u w:val="single"/>
        </w:rPr>
        <w:t>Section 2: Commencement</w:t>
      </w:r>
    </w:p>
    <w:p w14:paraId="1DBBF46A" w14:textId="237905EA" w:rsidR="00247AAB" w:rsidRPr="00A86505" w:rsidRDefault="00C84354" w:rsidP="005B556A">
      <w:pPr>
        <w:pStyle w:val="ListParagraph"/>
        <w:keepNext/>
        <w:numPr>
          <w:ilvl w:val="0"/>
          <w:numId w:val="17"/>
        </w:numPr>
        <w:tabs>
          <w:tab w:val="clear" w:pos="1134"/>
        </w:tabs>
        <w:spacing w:before="360" w:after="120" w:line="276" w:lineRule="auto"/>
        <w:jc w:val="left"/>
        <w:rPr>
          <w:rFonts w:asciiTheme="minorHAnsi" w:hAnsiTheme="minorHAnsi" w:cstheme="minorHAnsi"/>
        </w:rPr>
      </w:pPr>
      <w:r w:rsidRPr="00A86505">
        <w:rPr>
          <w:rFonts w:asciiTheme="minorHAnsi" w:hAnsiTheme="minorHAnsi" w:cstheme="minorHAnsi"/>
          <w:iCs/>
        </w:rPr>
        <w:t xml:space="preserve">This section provides that the </w:t>
      </w:r>
      <w:r w:rsidR="000D3B4E" w:rsidRPr="00A86505">
        <w:rPr>
          <w:rFonts w:asciiTheme="minorHAnsi" w:hAnsiTheme="minorHAnsi" w:cstheme="minorHAnsi"/>
          <w:iCs/>
        </w:rPr>
        <w:t>Instrument</w:t>
      </w:r>
      <w:r w:rsidRPr="00A86505">
        <w:rPr>
          <w:rFonts w:asciiTheme="minorHAnsi" w:hAnsiTheme="minorHAnsi" w:cstheme="minorHAnsi"/>
          <w:iCs/>
        </w:rPr>
        <w:t xml:space="preserve"> commence</w:t>
      </w:r>
      <w:r w:rsidR="000D3B4E" w:rsidRPr="00A86505">
        <w:rPr>
          <w:rFonts w:asciiTheme="minorHAnsi" w:hAnsiTheme="minorHAnsi" w:cstheme="minorHAnsi"/>
          <w:iCs/>
        </w:rPr>
        <w:t>s</w:t>
      </w:r>
      <w:r w:rsidRPr="00A86505">
        <w:rPr>
          <w:rFonts w:asciiTheme="minorHAnsi" w:hAnsiTheme="minorHAnsi" w:cstheme="minorHAnsi"/>
          <w:iCs/>
        </w:rPr>
        <w:t xml:space="preserve"> on </w:t>
      </w:r>
      <w:r w:rsidRPr="00A86505">
        <w:rPr>
          <w:rFonts w:asciiTheme="minorHAnsi" w:hAnsiTheme="minorHAnsi" w:cstheme="minorHAnsi"/>
        </w:rPr>
        <w:t xml:space="preserve">the same day that </w:t>
      </w:r>
      <w:r w:rsidRPr="00A86505">
        <w:rPr>
          <w:rFonts w:asciiTheme="minorHAnsi" w:hAnsiTheme="minorHAnsi" w:cstheme="minorHAnsi"/>
          <w:iCs/>
        </w:rPr>
        <w:t>Schedule 1, Part 1 of the</w:t>
      </w:r>
      <w:r w:rsidRPr="00A86505">
        <w:rPr>
          <w:rFonts w:asciiTheme="minorHAnsi" w:hAnsiTheme="minorHAnsi" w:cstheme="minorHAnsi"/>
          <w:i/>
        </w:rPr>
        <w:t xml:space="preserve"> Higher Education Legislation Amendment (Provider Category Standards and Other Measures) Act 2021</w:t>
      </w:r>
      <w:r w:rsidRPr="00A86505">
        <w:rPr>
          <w:rFonts w:asciiTheme="minorHAnsi" w:hAnsiTheme="minorHAnsi" w:cstheme="minorHAnsi"/>
          <w:iCs/>
        </w:rPr>
        <w:t xml:space="preserve"> </w:t>
      </w:r>
      <w:r w:rsidR="00F85E20" w:rsidRPr="00A86505">
        <w:rPr>
          <w:rFonts w:asciiTheme="minorHAnsi" w:hAnsiTheme="minorHAnsi" w:cstheme="minorHAnsi"/>
          <w:iCs/>
        </w:rPr>
        <w:t xml:space="preserve">(the PCS Act) </w:t>
      </w:r>
      <w:r w:rsidRPr="00A86505">
        <w:rPr>
          <w:rFonts w:asciiTheme="minorHAnsi" w:hAnsiTheme="minorHAnsi" w:cstheme="minorHAnsi"/>
          <w:iCs/>
        </w:rPr>
        <w:t>commences</w:t>
      </w:r>
      <w:r w:rsidRPr="00A86505">
        <w:rPr>
          <w:rFonts w:asciiTheme="minorHAnsi" w:hAnsiTheme="minorHAnsi" w:cstheme="minorHAnsi"/>
        </w:rPr>
        <w:t xml:space="preserve">. </w:t>
      </w:r>
      <w:r w:rsidR="00247AAB" w:rsidRPr="00A86505">
        <w:rPr>
          <w:rFonts w:asciiTheme="minorHAnsi" w:hAnsiTheme="minorHAnsi" w:cstheme="minorHAnsi"/>
        </w:rPr>
        <w:t xml:space="preserve">This ensures that both the </w:t>
      </w:r>
      <w:r w:rsidR="004640EE" w:rsidRPr="00A86505">
        <w:rPr>
          <w:rFonts w:asciiTheme="minorHAnsi" w:hAnsiTheme="minorHAnsi" w:cstheme="minorHAnsi"/>
        </w:rPr>
        <w:t>I</w:t>
      </w:r>
      <w:r w:rsidR="00247AAB" w:rsidRPr="00A86505">
        <w:rPr>
          <w:rFonts w:asciiTheme="minorHAnsi" w:hAnsiTheme="minorHAnsi" w:cstheme="minorHAnsi"/>
        </w:rPr>
        <w:t>nstrument</w:t>
      </w:r>
      <w:r w:rsidR="000D3B4E" w:rsidRPr="00A86505">
        <w:rPr>
          <w:rFonts w:asciiTheme="minorHAnsi" w:hAnsiTheme="minorHAnsi" w:cstheme="minorHAnsi"/>
        </w:rPr>
        <w:t>,</w:t>
      </w:r>
      <w:r w:rsidR="00247AAB" w:rsidRPr="00A86505">
        <w:rPr>
          <w:rFonts w:asciiTheme="minorHAnsi" w:hAnsiTheme="minorHAnsi" w:cstheme="minorHAnsi"/>
        </w:rPr>
        <w:t xml:space="preserve"> and the part of the PCS Act that contains enabling amendments </w:t>
      </w:r>
      <w:r w:rsidR="0040454F" w:rsidRPr="00A86505">
        <w:rPr>
          <w:rFonts w:asciiTheme="minorHAnsi" w:hAnsiTheme="minorHAnsi" w:cstheme="minorHAnsi"/>
        </w:rPr>
        <w:t xml:space="preserve">to legislation </w:t>
      </w:r>
      <w:r w:rsidR="00247AAB" w:rsidRPr="00A86505">
        <w:rPr>
          <w:rFonts w:asciiTheme="minorHAnsi" w:hAnsiTheme="minorHAnsi" w:cstheme="minorHAnsi"/>
        </w:rPr>
        <w:t xml:space="preserve">that support the operation of the </w:t>
      </w:r>
      <w:r w:rsidR="00DD74C0" w:rsidRPr="00A86505">
        <w:rPr>
          <w:rFonts w:asciiTheme="minorHAnsi" w:hAnsiTheme="minorHAnsi" w:cstheme="minorHAnsi"/>
        </w:rPr>
        <w:t>I</w:t>
      </w:r>
      <w:r w:rsidR="00247AAB" w:rsidRPr="00A86505">
        <w:rPr>
          <w:rFonts w:asciiTheme="minorHAnsi" w:hAnsiTheme="minorHAnsi" w:cstheme="minorHAnsi"/>
        </w:rPr>
        <w:t>nstrument</w:t>
      </w:r>
      <w:r w:rsidR="000D3B4E" w:rsidRPr="00A86505">
        <w:rPr>
          <w:rFonts w:asciiTheme="minorHAnsi" w:hAnsiTheme="minorHAnsi" w:cstheme="minorHAnsi"/>
        </w:rPr>
        <w:t>,</w:t>
      </w:r>
      <w:r w:rsidR="00247AAB" w:rsidRPr="00A86505">
        <w:rPr>
          <w:rFonts w:asciiTheme="minorHAnsi" w:hAnsiTheme="minorHAnsi" w:cstheme="minorHAnsi"/>
        </w:rPr>
        <w:t xml:space="preserve"> will come into effect simultaneously.</w:t>
      </w:r>
    </w:p>
    <w:p w14:paraId="27367595" w14:textId="524F66C1" w:rsidR="00C84354" w:rsidRPr="00A86505" w:rsidRDefault="00C84354" w:rsidP="005B556A">
      <w:pPr>
        <w:pStyle w:val="ListParagraph"/>
        <w:keepNext/>
        <w:numPr>
          <w:ilvl w:val="0"/>
          <w:numId w:val="17"/>
        </w:numPr>
        <w:tabs>
          <w:tab w:val="clear" w:pos="1134"/>
        </w:tabs>
        <w:spacing w:before="360" w:after="120" w:line="276" w:lineRule="auto"/>
        <w:jc w:val="left"/>
        <w:rPr>
          <w:rFonts w:asciiTheme="minorHAnsi" w:hAnsiTheme="minorHAnsi" w:cstheme="minorHAnsi"/>
        </w:rPr>
      </w:pPr>
      <w:r w:rsidRPr="00A86505">
        <w:rPr>
          <w:rFonts w:asciiTheme="minorHAnsi" w:hAnsiTheme="minorHAnsi" w:cstheme="minorHAnsi"/>
        </w:rPr>
        <w:t xml:space="preserve">This date is </w:t>
      </w:r>
      <w:r w:rsidR="008B0F77" w:rsidRPr="00A86505">
        <w:rPr>
          <w:rFonts w:asciiTheme="minorHAnsi" w:hAnsiTheme="minorHAnsi" w:cstheme="minorHAnsi"/>
        </w:rPr>
        <w:t xml:space="preserve">to be </w:t>
      </w:r>
      <w:r w:rsidRPr="00A86505">
        <w:rPr>
          <w:rFonts w:asciiTheme="minorHAnsi" w:hAnsiTheme="minorHAnsi" w:cstheme="minorHAnsi"/>
        </w:rPr>
        <w:t>set by proclamation as 1</w:t>
      </w:r>
      <w:r w:rsidR="008B0F77" w:rsidRPr="00A86505">
        <w:rPr>
          <w:rFonts w:asciiTheme="minorHAnsi" w:hAnsiTheme="minorHAnsi" w:cstheme="minorHAnsi"/>
        </w:rPr>
        <w:t> </w:t>
      </w:r>
      <w:r w:rsidRPr="00A86505">
        <w:rPr>
          <w:rFonts w:asciiTheme="minorHAnsi" w:hAnsiTheme="minorHAnsi" w:cstheme="minorHAnsi"/>
        </w:rPr>
        <w:t>July</w:t>
      </w:r>
      <w:r w:rsidR="008B0F77" w:rsidRPr="00A86505">
        <w:rPr>
          <w:rFonts w:asciiTheme="minorHAnsi" w:hAnsiTheme="minorHAnsi" w:cstheme="minorHAnsi"/>
        </w:rPr>
        <w:t> </w:t>
      </w:r>
      <w:r w:rsidRPr="00A86505">
        <w:rPr>
          <w:rFonts w:asciiTheme="minorHAnsi" w:hAnsiTheme="minorHAnsi" w:cstheme="minorHAnsi"/>
        </w:rPr>
        <w:t>2021.</w:t>
      </w:r>
    </w:p>
    <w:p w14:paraId="1F61BA6B" w14:textId="77777777" w:rsidR="00C84354" w:rsidRPr="00A86505" w:rsidRDefault="00C84354" w:rsidP="00C84354">
      <w:pPr>
        <w:keepNext/>
        <w:spacing w:before="360" w:after="120"/>
        <w:rPr>
          <w:rFonts w:asciiTheme="minorHAnsi" w:hAnsiTheme="minorHAnsi" w:cstheme="minorHAnsi"/>
          <w:b/>
          <w:u w:val="single"/>
        </w:rPr>
      </w:pPr>
      <w:r w:rsidRPr="00A86505">
        <w:rPr>
          <w:rFonts w:asciiTheme="minorHAnsi" w:hAnsiTheme="minorHAnsi" w:cstheme="minorHAnsi"/>
          <w:b/>
          <w:u w:val="single"/>
        </w:rPr>
        <w:t>Section 3: Authority</w:t>
      </w:r>
    </w:p>
    <w:p w14:paraId="03394D3A" w14:textId="7D98ECD8" w:rsidR="00C84354" w:rsidRPr="00A86505" w:rsidRDefault="00C84354" w:rsidP="005B556A">
      <w:pPr>
        <w:pStyle w:val="ListParagraph"/>
        <w:keepNext/>
        <w:numPr>
          <w:ilvl w:val="0"/>
          <w:numId w:val="17"/>
        </w:numPr>
        <w:tabs>
          <w:tab w:val="clear" w:pos="1134"/>
        </w:tabs>
        <w:spacing w:before="360" w:after="120" w:line="276" w:lineRule="auto"/>
        <w:jc w:val="left"/>
        <w:rPr>
          <w:rFonts w:asciiTheme="minorHAnsi" w:hAnsiTheme="minorHAnsi" w:cstheme="minorHAnsi"/>
          <w:iCs/>
        </w:rPr>
      </w:pPr>
      <w:r w:rsidRPr="00A86505">
        <w:rPr>
          <w:rFonts w:asciiTheme="minorHAnsi" w:hAnsiTheme="minorHAnsi" w:cstheme="minorHAnsi"/>
          <w:bCs/>
          <w:iCs/>
        </w:rPr>
        <w:t xml:space="preserve">This section states that the Instrument is made under subsection 58(1) of the </w:t>
      </w:r>
      <w:r w:rsidRPr="00A86505">
        <w:rPr>
          <w:rFonts w:asciiTheme="minorHAnsi" w:hAnsiTheme="minorHAnsi" w:cstheme="minorHAnsi"/>
          <w:bCs/>
          <w:i/>
        </w:rPr>
        <w:t>Tertiary Education Quality and Standards Agency Act 2011</w:t>
      </w:r>
      <w:r w:rsidRPr="00A86505">
        <w:rPr>
          <w:rFonts w:asciiTheme="minorHAnsi" w:hAnsiTheme="minorHAnsi" w:cstheme="minorHAnsi"/>
          <w:bCs/>
          <w:iCs/>
        </w:rPr>
        <w:t xml:space="preserve"> (</w:t>
      </w:r>
      <w:r w:rsidR="006B3950" w:rsidRPr="00A86505">
        <w:rPr>
          <w:rFonts w:asciiTheme="minorHAnsi" w:hAnsiTheme="minorHAnsi" w:cstheme="minorHAnsi"/>
          <w:bCs/>
          <w:iCs/>
        </w:rPr>
        <w:t xml:space="preserve">the </w:t>
      </w:r>
      <w:r w:rsidR="009A1080" w:rsidRPr="00A86505">
        <w:rPr>
          <w:rFonts w:asciiTheme="minorHAnsi" w:hAnsiTheme="minorHAnsi" w:cstheme="minorHAnsi"/>
          <w:bCs/>
          <w:iCs/>
        </w:rPr>
        <w:t xml:space="preserve">TEQSA </w:t>
      </w:r>
      <w:r w:rsidRPr="00A86505">
        <w:rPr>
          <w:rFonts w:asciiTheme="minorHAnsi" w:hAnsiTheme="minorHAnsi" w:cstheme="minorHAnsi"/>
          <w:bCs/>
          <w:iCs/>
        </w:rPr>
        <w:t>Act)</w:t>
      </w:r>
      <w:r w:rsidRPr="00A86505">
        <w:rPr>
          <w:rFonts w:asciiTheme="minorHAnsi" w:hAnsiTheme="minorHAnsi" w:cstheme="minorHAnsi"/>
          <w:iCs/>
        </w:rPr>
        <w:t>.</w:t>
      </w:r>
    </w:p>
    <w:p w14:paraId="46CFE49E" w14:textId="77777777" w:rsidR="00B962B3" w:rsidRPr="00A86505" w:rsidRDefault="00B962B3" w:rsidP="00B962B3">
      <w:pPr>
        <w:keepNext/>
        <w:spacing w:before="360" w:after="120"/>
        <w:rPr>
          <w:rFonts w:asciiTheme="minorHAnsi" w:hAnsiTheme="minorHAnsi" w:cstheme="minorHAnsi"/>
        </w:rPr>
      </w:pPr>
      <w:bookmarkStart w:id="0" w:name="_Hlk59180111"/>
      <w:r w:rsidRPr="00A86505">
        <w:rPr>
          <w:rFonts w:asciiTheme="minorHAnsi" w:hAnsiTheme="minorHAnsi" w:cstheme="minorHAnsi"/>
          <w:b/>
          <w:u w:val="single"/>
        </w:rPr>
        <w:t>Section 4: The Higher Education Standards Framework</w:t>
      </w:r>
    </w:p>
    <w:p w14:paraId="308267AD" w14:textId="564B13A6" w:rsidR="00B962B3" w:rsidRPr="00A86505" w:rsidRDefault="00B962B3" w:rsidP="005B556A">
      <w:pPr>
        <w:pStyle w:val="ListParagraph"/>
        <w:numPr>
          <w:ilvl w:val="0"/>
          <w:numId w:val="17"/>
        </w:numPr>
        <w:tabs>
          <w:tab w:val="clear" w:pos="1134"/>
        </w:tabs>
        <w:spacing w:before="360" w:after="120" w:line="276" w:lineRule="auto"/>
        <w:jc w:val="left"/>
        <w:rPr>
          <w:rFonts w:asciiTheme="minorHAnsi" w:hAnsiTheme="minorHAnsi" w:cstheme="minorHAnsi"/>
          <w:iCs/>
          <w:szCs w:val="24"/>
        </w:rPr>
      </w:pPr>
      <w:r w:rsidRPr="00A86505">
        <w:rPr>
          <w:rFonts w:asciiTheme="minorHAnsi" w:hAnsiTheme="minorHAnsi" w:cstheme="minorHAnsi"/>
          <w:iCs/>
          <w:szCs w:val="24"/>
        </w:rPr>
        <w:t>This section provides that the Higher Education Standards Framework (</w:t>
      </w:r>
      <w:r w:rsidR="006B3950" w:rsidRPr="00A86505">
        <w:rPr>
          <w:rFonts w:asciiTheme="minorHAnsi" w:hAnsiTheme="minorHAnsi" w:cstheme="minorHAnsi"/>
          <w:iCs/>
          <w:szCs w:val="24"/>
        </w:rPr>
        <w:t xml:space="preserve">the </w:t>
      </w:r>
      <w:r w:rsidRPr="00A86505">
        <w:rPr>
          <w:rFonts w:asciiTheme="minorHAnsi" w:hAnsiTheme="minorHAnsi" w:cstheme="minorHAnsi"/>
          <w:iCs/>
          <w:szCs w:val="24"/>
        </w:rPr>
        <w:t xml:space="preserve">Framework) is established by section 58 of the </w:t>
      </w:r>
      <w:r w:rsidR="0006513B" w:rsidRPr="00A86505">
        <w:rPr>
          <w:rFonts w:asciiTheme="minorHAnsi" w:hAnsiTheme="minorHAnsi" w:cstheme="minorHAnsi"/>
          <w:iCs/>
          <w:szCs w:val="24"/>
        </w:rPr>
        <w:t>TEQSA Act</w:t>
      </w:r>
      <w:r w:rsidRPr="00A86505">
        <w:rPr>
          <w:rFonts w:asciiTheme="minorHAnsi" w:hAnsiTheme="minorHAnsi" w:cstheme="minorHAnsi"/>
          <w:iCs/>
          <w:szCs w:val="24"/>
        </w:rPr>
        <w:t xml:space="preserve">. It explains that the Framework </w:t>
      </w:r>
      <w:r w:rsidR="008B0F77" w:rsidRPr="00A86505">
        <w:rPr>
          <w:rFonts w:asciiTheme="minorHAnsi" w:hAnsiTheme="minorHAnsi" w:cstheme="minorHAnsi"/>
          <w:iCs/>
          <w:szCs w:val="24"/>
        </w:rPr>
        <w:t xml:space="preserve">is </w:t>
      </w:r>
      <w:r w:rsidRPr="00A86505">
        <w:rPr>
          <w:rFonts w:asciiTheme="minorHAnsi" w:hAnsiTheme="minorHAnsi" w:cstheme="minorHAnsi"/>
          <w:iCs/>
          <w:szCs w:val="24"/>
        </w:rPr>
        <w:t>comprise</w:t>
      </w:r>
      <w:r w:rsidR="008B0F77" w:rsidRPr="00A86505">
        <w:rPr>
          <w:rFonts w:asciiTheme="minorHAnsi" w:hAnsiTheme="minorHAnsi" w:cstheme="minorHAnsi"/>
          <w:iCs/>
          <w:szCs w:val="24"/>
        </w:rPr>
        <w:t>d of</w:t>
      </w:r>
      <w:r w:rsidRPr="00A86505">
        <w:rPr>
          <w:rFonts w:asciiTheme="minorHAnsi" w:hAnsiTheme="minorHAnsi" w:cstheme="minorHAnsi"/>
          <w:iCs/>
          <w:szCs w:val="24"/>
        </w:rPr>
        <w:t xml:space="preserve"> the Threshold Standards </w:t>
      </w:r>
      <w:r w:rsidR="005F4ADB" w:rsidRPr="00A86505">
        <w:rPr>
          <w:rFonts w:asciiTheme="minorHAnsi" w:hAnsiTheme="minorHAnsi" w:cstheme="minorHAnsi"/>
          <w:iCs/>
          <w:szCs w:val="24"/>
        </w:rPr>
        <w:t xml:space="preserve">made under paragraph 58(1)(a) of the </w:t>
      </w:r>
      <w:r w:rsidR="0006513B" w:rsidRPr="00A86505">
        <w:rPr>
          <w:rFonts w:asciiTheme="minorHAnsi" w:hAnsiTheme="minorHAnsi" w:cstheme="minorHAnsi"/>
          <w:iCs/>
          <w:szCs w:val="24"/>
        </w:rPr>
        <w:t>TEQSA Act</w:t>
      </w:r>
      <w:r w:rsidR="005F4ADB" w:rsidRPr="00A86505">
        <w:rPr>
          <w:rFonts w:asciiTheme="minorHAnsi" w:hAnsiTheme="minorHAnsi" w:cstheme="minorHAnsi"/>
          <w:iCs/>
          <w:szCs w:val="24"/>
        </w:rPr>
        <w:t xml:space="preserve"> </w:t>
      </w:r>
      <w:r w:rsidRPr="00A86505">
        <w:rPr>
          <w:rFonts w:asciiTheme="minorHAnsi" w:hAnsiTheme="minorHAnsi" w:cstheme="minorHAnsi"/>
          <w:iCs/>
          <w:szCs w:val="24"/>
        </w:rPr>
        <w:t xml:space="preserve">and any other standards made under paragraph 58(1)(b) of the </w:t>
      </w:r>
      <w:r w:rsidR="0006513B" w:rsidRPr="00A86505">
        <w:rPr>
          <w:rFonts w:asciiTheme="minorHAnsi" w:hAnsiTheme="minorHAnsi" w:cstheme="minorHAnsi"/>
          <w:iCs/>
          <w:szCs w:val="24"/>
        </w:rPr>
        <w:t>TEQSA Act</w:t>
      </w:r>
      <w:r w:rsidRPr="00A86505">
        <w:rPr>
          <w:rFonts w:asciiTheme="minorHAnsi" w:hAnsiTheme="minorHAnsi" w:cstheme="minorHAnsi"/>
          <w:iCs/>
          <w:szCs w:val="24"/>
        </w:rPr>
        <w:t xml:space="preserve">. </w:t>
      </w:r>
    </w:p>
    <w:p w14:paraId="41A79E24" w14:textId="74E4AD02" w:rsidR="00B962B3" w:rsidRPr="00A86505" w:rsidRDefault="00B962B3" w:rsidP="00B962B3">
      <w:pPr>
        <w:keepNext/>
        <w:spacing w:before="360" w:after="120"/>
        <w:rPr>
          <w:rFonts w:asciiTheme="minorHAnsi" w:hAnsiTheme="minorHAnsi" w:cstheme="minorHAnsi"/>
        </w:rPr>
      </w:pPr>
      <w:r w:rsidRPr="00A86505">
        <w:rPr>
          <w:rFonts w:asciiTheme="minorHAnsi" w:hAnsiTheme="minorHAnsi" w:cstheme="minorHAnsi"/>
          <w:b/>
          <w:u w:val="single"/>
        </w:rPr>
        <w:t xml:space="preserve">Section 5: Effect of this </w:t>
      </w:r>
      <w:r w:rsidR="00DD74C0" w:rsidRPr="00A86505">
        <w:rPr>
          <w:rFonts w:asciiTheme="minorHAnsi" w:hAnsiTheme="minorHAnsi" w:cstheme="minorHAnsi"/>
          <w:b/>
          <w:u w:val="single"/>
        </w:rPr>
        <w:t>I</w:t>
      </w:r>
      <w:r w:rsidRPr="00A86505">
        <w:rPr>
          <w:rFonts w:asciiTheme="minorHAnsi" w:hAnsiTheme="minorHAnsi" w:cstheme="minorHAnsi"/>
          <w:b/>
          <w:u w:val="single"/>
        </w:rPr>
        <w:t>nstrument</w:t>
      </w:r>
    </w:p>
    <w:p w14:paraId="566A9E53" w14:textId="03CE1F1D" w:rsidR="00B962B3" w:rsidRPr="00A86505" w:rsidRDefault="00B962B3" w:rsidP="005B556A">
      <w:pPr>
        <w:pStyle w:val="ListParagraph"/>
        <w:numPr>
          <w:ilvl w:val="0"/>
          <w:numId w:val="17"/>
        </w:numPr>
        <w:tabs>
          <w:tab w:val="clear" w:pos="1134"/>
        </w:tabs>
        <w:spacing w:before="360" w:after="120" w:line="276" w:lineRule="auto"/>
        <w:jc w:val="left"/>
        <w:rPr>
          <w:rFonts w:asciiTheme="minorHAnsi" w:hAnsiTheme="minorHAnsi" w:cstheme="minorHAnsi"/>
          <w:iCs/>
          <w:szCs w:val="24"/>
        </w:rPr>
      </w:pPr>
      <w:r w:rsidRPr="00A86505">
        <w:rPr>
          <w:rFonts w:asciiTheme="minorHAnsi" w:hAnsiTheme="minorHAnsi" w:cstheme="minorHAnsi"/>
          <w:iCs/>
          <w:szCs w:val="24"/>
        </w:rPr>
        <w:t xml:space="preserve">This section specifies that the Threshold Standards against which the quality of education can be assessed for the purposes of subsection 58(1)(a) of the </w:t>
      </w:r>
      <w:r w:rsidR="0006513B" w:rsidRPr="00A86505">
        <w:rPr>
          <w:rFonts w:asciiTheme="minorHAnsi" w:hAnsiTheme="minorHAnsi" w:cstheme="minorHAnsi"/>
          <w:iCs/>
          <w:szCs w:val="24"/>
        </w:rPr>
        <w:t>TEQSA Act</w:t>
      </w:r>
      <w:r w:rsidRPr="00A86505">
        <w:rPr>
          <w:rFonts w:asciiTheme="minorHAnsi" w:hAnsiTheme="minorHAnsi" w:cstheme="minorHAnsi"/>
          <w:iCs/>
          <w:szCs w:val="24"/>
        </w:rPr>
        <w:t xml:space="preserve"> are set out in </w:t>
      </w:r>
      <w:r w:rsidR="0020030C" w:rsidRPr="00A86505">
        <w:rPr>
          <w:rFonts w:asciiTheme="minorHAnsi" w:hAnsiTheme="minorHAnsi" w:cstheme="minorHAnsi"/>
          <w:iCs/>
          <w:szCs w:val="24"/>
        </w:rPr>
        <w:t>S</w:t>
      </w:r>
      <w:r w:rsidRPr="00A86505">
        <w:rPr>
          <w:rFonts w:asciiTheme="minorHAnsi" w:hAnsiTheme="minorHAnsi" w:cstheme="minorHAnsi"/>
          <w:iCs/>
          <w:szCs w:val="24"/>
        </w:rPr>
        <w:t xml:space="preserve">chedule 1 of the </w:t>
      </w:r>
      <w:r w:rsidR="00DD74C0" w:rsidRPr="00A86505">
        <w:rPr>
          <w:rFonts w:asciiTheme="minorHAnsi" w:hAnsiTheme="minorHAnsi" w:cstheme="minorHAnsi"/>
          <w:iCs/>
          <w:szCs w:val="24"/>
        </w:rPr>
        <w:t>I</w:t>
      </w:r>
      <w:r w:rsidRPr="00A86505">
        <w:rPr>
          <w:rFonts w:asciiTheme="minorHAnsi" w:hAnsiTheme="minorHAnsi" w:cstheme="minorHAnsi"/>
          <w:iCs/>
          <w:szCs w:val="24"/>
        </w:rPr>
        <w:t xml:space="preserve">nstrument. </w:t>
      </w:r>
    </w:p>
    <w:p w14:paraId="657186A5" w14:textId="77777777" w:rsidR="00B962B3" w:rsidRPr="00A86505" w:rsidRDefault="00B962B3" w:rsidP="00B962B3">
      <w:pPr>
        <w:keepNext/>
        <w:spacing w:before="360" w:after="120"/>
        <w:rPr>
          <w:rFonts w:asciiTheme="minorHAnsi" w:hAnsiTheme="minorHAnsi" w:cstheme="minorHAnsi"/>
        </w:rPr>
      </w:pPr>
      <w:r w:rsidRPr="00A86505">
        <w:rPr>
          <w:rFonts w:asciiTheme="minorHAnsi" w:hAnsiTheme="minorHAnsi" w:cstheme="minorHAnsi"/>
          <w:b/>
          <w:u w:val="single"/>
        </w:rPr>
        <w:t>Section 6: Provider categories</w:t>
      </w:r>
    </w:p>
    <w:p w14:paraId="71E9AB95" w14:textId="00B9B8C8" w:rsidR="00B962B3" w:rsidRPr="00A86505" w:rsidRDefault="00B962B3" w:rsidP="005B556A">
      <w:pPr>
        <w:pStyle w:val="ListParagraph"/>
        <w:numPr>
          <w:ilvl w:val="0"/>
          <w:numId w:val="17"/>
        </w:numPr>
        <w:tabs>
          <w:tab w:val="clear" w:pos="1134"/>
        </w:tabs>
        <w:spacing w:before="360" w:after="120" w:line="276" w:lineRule="auto"/>
        <w:jc w:val="left"/>
        <w:rPr>
          <w:rFonts w:asciiTheme="minorHAnsi" w:hAnsiTheme="minorHAnsi" w:cstheme="minorHAnsi"/>
          <w:iCs/>
          <w:szCs w:val="24"/>
        </w:rPr>
      </w:pPr>
      <w:r w:rsidRPr="00A86505">
        <w:rPr>
          <w:rFonts w:asciiTheme="minorHAnsi" w:hAnsiTheme="minorHAnsi" w:cstheme="minorHAnsi"/>
          <w:iCs/>
          <w:szCs w:val="24"/>
        </w:rPr>
        <w:t>This section specifies that</w:t>
      </w:r>
      <w:r w:rsidR="00DD74C0" w:rsidRPr="00A86505">
        <w:rPr>
          <w:rFonts w:asciiTheme="minorHAnsi" w:hAnsiTheme="minorHAnsi" w:cstheme="minorHAnsi"/>
          <w:iCs/>
          <w:szCs w:val="24"/>
        </w:rPr>
        <w:t>,</w:t>
      </w:r>
      <w:r w:rsidRPr="00A86505">
        <w:rPr>
          <w:rFonts w:asciiTheme="minorHAnsi" w:hAnsiTheme="minorHAnsi" w:cstheme="minorHAnsi"/>
          <w:iCs/>
          <w:szCs w:val="24"/>
        </w:rPr>
        <w:t xml:space="preserve"> for the purposes of the definition of provider category in section 5 of the </w:t>
      </w:r>
      <w:r w:rsidR="0006513B" w:rsidRPr="00A86505">
        <w:rPr>
          <w:rFonts w:asciiTheme="minorHAnsi" w:hAnsiTheme="minorHAnsi" w:cstheme="minorHAnsi"/>
          <w:iCs/>
          <w:szCs w:val="24"/>
        </w:rPr>
        <w:t>TEQSA Act</w:t>
      </w:r>
      <w:r w:rsidRPr="00A86505">
        <w:rPr>
          <w:rFonts w:asciiTheme="minorHAnsi" w:hAnsiTheme="minorHAnsi" w:cstheme="minorHAnsi"/>
          <w:iCs/>
          <w:szCs w:val="24"/>
        </w:rPr>
        <w:t>, the provider categories listed are</w:t>
      </w:r>
      <w:r w:rsidR="006B3950" w:rsidRPr="00A86505">
        <w:rPr>
          <w:rFonts w:asciiTheme="minorHAnsi" w:hAnsiTheme="minorHAnsi" w:cstheme="minorHAnsi"/>
          <w:iCs/>
          <w:szCs w:val="24"/>
        </w:rPr>
        <w:t>:</w:t>
      </w:r>
    </w:p>
    <w:p w14:paraId="40F267AA" w14:textId="5D73488E" w:rsidR="00B962B3" w:rsidRPr="00A86505" w:rsidRDefault="00B962B3" w:rsidP="00B962B3">
      <w:pPr>
        <w:pStyle w:val="ListParagraph"/>
        <w:numPr>
          <w:ilvl w:val="0"/>
          <w:numId w:val="23"/>
        </w:numPr>
        <w:tabs>
          <w:tab w:val="clear" w:pos="1134"/>
        </w:tabs>
        <w:spacing w:before="360" w:after="120" w:line="276" w:lineRule="auto"/>
        <w:jc w:val="left"/>
        <w:rPr>
          <w:rFonts w:asciiTheme="minorHAnsi" w:hAnsiTheme="minorHAnsi" w:cstheme="minorHAnsi"/>
          <w:iCs/>
          <w:szCs w:val="24"/>
        </w:rPr>
      </w:pPr>
      <w:r w:rsidRPr="00A86505">
        <w:rPr>
          <w:rFonts w:asciiTheme="minorHAnsi" w:hAnsiTheme="minorHAnsi" w:cstheme="minorHAnsi"/>
          <w:iCs/>
          <w:szCs w:val="24"/>
        </w:rPr>
        <w:t>Institute of Higher Education;</w:t>
      </w:r>
    </w:p>
    <w:p w14:paraId="2AB35351" w14:textId="334C5511" w:rsidR="00B962B3" w:rsidRPr="00A86505" w:rsidRDefault="00B962B3" w:rsidP="00B962B3">
      <w:pPr>
        <w:pStyle w:val="ListParagraph"/>
        <w:numPr>
          <w:ilvl w:val="0"/>
          <w:numId w:val="23"/>
        </w:numPr>
        <w:tabs>
          <w:tab w:val="clear" w:pos="1134"/>
        </w:tabs>
        <w:spacing w:before="360" w:after="120" w:line="276" w:lineRule="auto"/>
        <w:jc w:val="left"/>
        <w:rPr>
          <w:rFonts w:asciiTheme="minorHAnsi" w:hAnsiTheme="minorHAnsi" w:cstheme="minorHAnsi"/>
          <w:iCs/>
          <w:szCs w:val="24"/>
        </w:rPr>
      </w:pPr>
      <w:r w:rsidRPr="00A86505">
        <w:rPr>
          <w:rFonts w:asciiTheme="minorHAnsi" w:hAnsiTheme="minorHAnsi" w:cstheme="minorHAnsi"/>
          <w:iCs/>
          <w:szCs w:val="24"/>
        </w:rPr>
        <w:t>University College;</w:t>
      </w:r>
    </w:p>
    <w:p w14:paraId="12682A18" w14:textId="20DE571A" w:rsidR="00B962B3" w:rsidRPr="00A86505" w:rsidRDefault="00B962B3" w:rsidP="00B962B3">
      <w:pPr>
        <w:pStyle w:val="ListParagraph"/>
        <w:numPr>
          <w:ilvl w:val="0"/>
          <w:numId w:val="23"/>
        </w:numPr>
        <w:tabs>
          <w:tab w:val="clear" w:pos="1134"/>
        </w:tabs>
        <w:spacing w:before="360" w:after="120" w:line="276" w:lineRule="auto"/>
        <w:jc w:val="left"/>
        <w:rPr>
          <w:rFonts w:asciiTheme="minorHAnsi" w:hAnsiTheme="minorHAnsi" w:cstheme="minorHAnsi"/>
          <w:iCs/>
          <w:szCs w:val="24"/>
        </w:rPr>
      </w:pPr>
      <w:r w:rsidRPr="00A86505">
        <w:rPr>
          <w:rFonts w:asciiTheme="minorHAnsi" w:hAnsiTheme="minorHAnsi" w:cstheme="minorHAnsi"/>
          <w:iCs/>
          <w:szCs w:val="24"/>
        </w:rPr>
        <w:t>Australian University; and</w:t>
      </w:r>
    </w:p>
    <w:p w14:paraId="0CC0557E" w14:textId="21F0852B" w:rsidR="00B962B3" w:rsidRPr="00A86505" w:rsidRDefault="00B962B3" w:rsidP="00B962B3">
      <w:pPr>
        <w:pStyle w:val="ListParagraph"/>
        <w:numPr>
          <w:ilvl w:val="0"/>
          <w:numId w:val="23"/>
        </w:numPr>
        <w:tabs>
          <w:tab w:val="clear" w:pos="1134"/>
        </w:tabs>
        <w:spacing w:before="360" w:after="120" w:line="276" w:lineRule="auto"/>
        <w:jc w:val="left"/>
        <w:rPr>
          <w:rFonts w:asciiTheme="minorHAnsi" w:hAnsiTheme="minorHAnsi" w:cstheme="minorHAnsi"/>
          <w:iCs/>
          <w:szCs w:val="24"/>
        </w:rPr>
      </w:pPr>
      <w:r w:rsidRPr="00A86505">
        <w:rPr>
          <w:rFonts w:asciiTheme="minorHAnsi" w:hAnsiTheme="minorHAnsi" w:cstheme="minorHAnsi"/>
          <w:iCs/>
          <w:szCs w:val="24"/>
        </w:rPr>
        <w:t>Overseas University.</w:t>
      </w:r>
    </w:p>
    <w:bookmarkEnd w:id="0"/>
    <w:p w14:paraId="1065B031" w14:textId="77777777" w:rsidR="006E2E78" w:rsidRPr="00A86505" w:rsidRDefault="006E2E78" w:rsidP="006E2E78">
      <w:pPr>
        <w:pStyle w:val="Subheading"/>
        <w:jc w:val="left"/>
        <w:rPr>
          <w:rFonts w:asciiTheme="minorHAnsi" w:hAnsiTheme="minorHAnsi" w:cstheme="minorHAnsi"/>
          <w:b w:val="0"/>
          <w:sz w:val="22"/>
          <w:szCs w:val="22"/>
        </w:rPr>
      </w:pPr>
    </w:p>
    <w:p w14:paraId="1EC34EE2" w14:textId="15FA4422" w:rsidR="003B6BD7" w:rsidRPr="00A86505" w:rsidRDefault="003B6BD7" w:rsidP="002E52E4">
      <w:pPr>
        <w:keepNext/>
        <w:jc w:val="left"/>
        <w:rPr>
          <w:rFonts w:asciiTheme="minorHAnsi" w:hAnsiTheme="minorHAnsi" w:cstheme="minorHAnsi"/>
          <w:b/>
          <w:bCs/>
          <w:u w:val="single"/>
          <w:lang w:val="en-AU"/>
        </w:rPr>
      </w:pPr>
      <w:r w:rsidRPr="00A86505">
        <w:rPr>
          <w:rFonts w:asciiTheme="minorHAnsi" w:hAnsiTheme="minorHAnsi" w:cstheme="minorHAnsi"/>
          <w:b/>
          <w:bCs/>
          <w:u w:val="single"/>
          <w:lang w:val="en-AU"/>
        </w:rPr>
        <w:lastRenderedPageBreak/>
        <w:t>Schedule 1</w:t>
      </w:r>
      <w:r w:rsidR="00001241" w:rsidRPr="00A86505">
        <w:rPr>
          <w:rFonts w:asciiTheme="minorHAnsi" w:hAnsiTheme="minorHAnsi" w:cstheme="minorHAnsi"/>
          <w:b/>
          <w:bCs/>
          <w:u w:val="single"/>
          <w:lang w:val="en-AU"/>
        </w:rPr>
        <w:t>:</w:t>
      </w:r>
    </w:p>
    <w:p w14:paraId="73223527" w14:textId="77777777" w:rsidR="003B6BD7" w:rsidRPr="00A86505" w:rsidRDefault="003B6BD7" w:rsidP="002E52E4">
      <w:pPr>
        <w:keepNext/>
        <w:jc w:val="left"/>
        <w:rPr>
          <w:rFonts w:asciiTheme="minorHAnsi" w:hAnsiTheme="minorHAnsi" w:cstheme="minorHAnsi"/>
          <w:lang w:val="en-AU"/>
        </w:rPr>
      </w:pPr>
    </w:p>
    <w:p w14:paraId="5522A914" w14:textId="2DFB43EE" w:rsidR="00001241" w:rsidRPr="00A86505" w:rsidRDefault="00001241" w:rsidP="002E52E4">
      <w:pPr>
        <w:keepNext/>
        <w:jc w:val="left"/>
        <w:rPr>
          <w:rFonts w:asciiTheme="minorHAnsi" w:hAnsiTheme="minorHAnsi" w:cstheme="minorHAnsi"/>
          <w:lang w:val="en-AU"/>
        </w:rPr>
      </w:pPr>
      <w:r w:rsidRPr="00A86505">
        <w:rPr>
          <w:rFonts w:asciiTheme="minorHAnsi" w:hAnsiTheme="minorHAnsi" w:cstheme="minorHAnsi"/>
          <w:lang w:val="en-AU"/>
        </w:rPr>
        <w:t xml:space="preserve">Schedule 1 sets out the Threshold Standards </w:t>
      </w:r>
      <w:r w:rsidR="00DD74C0" w:rsidRPr="00A86505">
        <w:rPr>
          <w:rFonts w:asciiTheme="minorHAnsi" w:hAnsiTheme="minorHAnsi" w:cstheme="minorHAnsi"/>
          <w:lang w:val="en-AU"/>
        </w:rPr>
        <w:t xml:space="preserve">in </w:t>
      </w:r>
      <w:r w:rsidRPr="00A86505">
        <w:rPr>
          <w:rFonts w:asciiTheme="minorHAnsi" w:hAnsiTheme="minorHAnsi" w:cstheme="minorHAnsi"/>
          <w:lang w:val="en-AU"/>
        </w:rPr>
        <w:t>two parts:</w:t>
      </w:r>
    </w:p>
    <w:p w14:paraId="3A168E96" w14:textId="3444B1FF" w:rsidR="00001241" w:rsidRPr="00A86505" w:rsidRDefault="00001241" w:rsidP="006713FE">
      <w:pPr>
        <w:pStyle w:val="ListParagraph"/>
        <w:numPr>
          <w:ilvl w:val="0"/>
          <w:numId w:val="25"/>
        </w:numPr>
        <w:jc w:val="left"/>
        <w:rPr>
          <w:rFonts w:asciiTheme="minorHAnsi" w:hAnsiTheme="minorHAnsi" w:cstheme="minorHAnsi"/>
          <w:lang w:val="en-AU"/>
        </w:rPr>
      </w:pPr>
      <w:r w:rsidRPr="00A86505">
        <w:rPr>
          <w:rFonts w:asciiTheme="minorHAnsi" w:hAnsiTheme="minorHAnsi" w:cstheme="minorHAnsi"/>
          <w:lang w:val="en-AU"/>
        </w:rPr>
        <w:t>Part A</w:t>
      </w:r>
      <w:r w:rsidR="006B3950" w:rsidRPr="00A86505">
        <w:rPr>
          <w:rFonts w:asciiTheme="minorHAnsi" w:hAnsiTheme="minorHAnsi" w:cstheme="minorHAnsi"/>
          <w:lang w:val="en-AU"/>
        </w:rPr>
        <w:t>:</w:t>
      </w:r>
      <w:r w:rsidRPr="00A86505">
        <w:rPr>
          <w:rFonts w:asciiTheme="minorHAnsi" w:hAnsiTheme="minorHAnsi" w:cstheme="minorHAnsi"/>
          <w:lang w:val="en-AU"/>
        </w:rPr>
        <w:t xml:space="preserve"> Standards for Higher Education </w:t>
      </w:r>
    </w:p>
    <w:p w14:paraId="5D6EBDEC" w14:textId="1B69BF81" w:rsidR="00001241" w:rsidRPr="00A86505" w:rsidRDefault="00001241" w:rsidP="006713FE">
      <w:pPr>
        <w:pStyle w:val="ListParagraph"/>
        <w:numPr>
          <w:ilvl w:val="0"/>
          <w:numId w:val="25"/>
        </w:numPr>
        <w:jc w:val="left"/>
        <w:rPr>
          <w:rFonts w:asciiTheme="minorHAnsi" w:hAnsiTheme="minorHAnsi" w:cstheme="minorHAnsi"/>
          <w:lang w:val="en-AU"/>
        </w:rPr>
      </w:pPr>
      <w:r w:rsidRPr="00A86505">
        <w:rPr>
          <w:rFonts w:asciiTheme="minorHAnsi" w:hAnsiTheme="minorHAnsi" w:cstheme="minorHAnsi"/>
          <w:lang w:val="en-AU"/>
        </w:rPr>
        <w:t>Part B</w:t>
      </w:r>
      <w:r w:rsidR="006B3950" w:rsidRPr="00A86505">
        <w:rPr>
          <w:rFonts w:asciiTheme="minorHAnsi" w:hAnsiTheme="minorHAnsi" w:cstheme="minorHAnsi"/>
          <w:lang w:val="en-AU"/>
        </w:rPr>
        <w:t>:</w:t>
      </w:r>
      <w:r w:rsidRPr="00A86505">
        <w:rPr>
          <w:rFonts w:asciiTheme="minorHAnsi" w:hAnsiTheme="minorHAnsi" w:cstheme="minorHAnsi"/>
          <w:lang w:val="en-AU"/>
        </w:rPr>
        <w:t xml:space="preserve"> Criteria for Higher Education Providers</w:t>
      </w:r>
    </w:p>
    <w:p w14:paraId="40CA7849" w14:textId="3AB13C67" w:rsidR="00001241" w:rsidRPr="00A86505" w:rsidRDefault="00001241" w:rsidP="006713FE">
      <w:pPr>
        <w:jc w:val="left"/>
        <w:rPr>
          <w:rFonts w:asciiTheme="minorHAnsi" w:hAnsiTheme="minorHAnsi" w:cstheme="minorHAnsi"/>
          <w:lang w:val="en-AU"/>
        </w:rPr>
      </w:pPr>
    </w:p>
    <w:p w14:paraId="3C670094" w14:textId="46A682D5" w:rsidR="00001241" w:rsidRPr="00A86505" w:rsidRDefault="00001241" w:rsidP="006713FE">
      <w:pPr>
        <w:jc w:val="left"/>
        <w:rPr>
          <w:rFonts w:asciiTheme="minorHAnsi" w:hAnsiTheme="minorHAnsi" w:cstheme="minorHAnsi"/>
          <w:lang w:val="en-AU"/>
        </w:rPr>
      </w:pPr>
      <w:r w:rsidRPr="00A86505">
        <w:rPr>
          <w:rFonts w:asciiTheme="minorHAnsi" w:hAnsiTheme="minorHAnsi" w:cstheme="minorHAnsi"/>
          <w:lang w:val="en-AU"/>
        </w:rPr>
        <w:t xml:space="preserve">Schedule 1 also provides definitions for </w:t>
      </w:r>
      <w:r w:rsidR="00953F1D" w:rsidRPr="00A86505">
        <w:rPr>
          <w:rFonts w:asciiTheme="minorHAnsi" w:hAnsiTheme="minorHAnsi" w:cstheme="minorHAnsi"/>
          <w:lang w:val="en-AU"/>
        </w:rPr>
        <w:t xml:space="preserve">terms used in the Threshold Standards, including </w:t>
      </w:r>
      <w:r w:rsidR="00394C0F" w:rsidRPr="00A86505">
        <w:rPr>
          <w:rFonts w:asciiTheme="minorHAnsi" w:hAnsiTheme="minorHAnsi" w:cstheme="minorHAnsi"/>
          <w:lang w:val="en-AU"/>
        </w:rPr>
        <w:t xml:space="preserve">TEQSA </w:t>
      </w:r>
      <w:r w:rsidR="00953F1D" w:rsidRPr="00A86505">
        <w:rPr>
          <w:rFonts w:asciiTheme="minorHAnsi" w:hAnsiTheme="minorHAnsi" w:cstheme="minorHAnsi"/>
          <w:lang w:val="en-AU"/>
        </w:rPr>
        <w:t>Act, Higher Education Qualification, Australian Higher Education Qualification and Overseas Higher Education Qualification.</w:t>
      </w:r>
    </w:p>
    <w:p w14:paraId="7854E4FF" w14:textId="6BE211CE" w:rsidR="00953F1D" w:rsidRPr="00A86505" w:rsidRDefault="00953F1D" w:rsidP="006713FE">
      <w:pPr>
        <w:jc w:val="left"/>
        <w:rPr>
          <w:rFonts w:asciiTheme="minorHAnsi" w:hAnsiTheme="minorHAnsi" w:cstheme="minorHAnsi"/>
          <w:lang w:val="en-AU"/>
        </w:rPr>
      </w:pPr>
    </w:p>
    <w:p w14:paraId="5AD1FFC0" w14:textId="67850E5C" w:rsidR="00953F1D" w:rsidRPr="00A86505" w:rsidRDefault="00953F1D" w:rsidP="006713FE">
      <w:pPr>
        <w:jc w:val="left"/>
        <w:rPr>
          <w:rFonts w:asciiTheme="minorHAnsi" w:hAnsiTheme="minorHAnsi" w:cstheme="minorHAnsi"/>
          <w:i/>
          <w:iCs/>
          <w:lang w:val="en-AU"/>
        </w:rPr>
      </w:pPr>
      <w:r w:rsidRPr="00A86505">
        <w:rPr>
          <w:rFonts w:asciiTheme="minorHAnsi" w:hAnsiTheme="minorHAnsi" w:cstheme="minorHAnsi"/>
          <w:i/>
          <w:iCs/>
          <w:lang w:val="en-AU"/>
        </w:rPr>
        <w:t>Part A: Standards for Higher Education</w:t>
      </w:r>
    </w:p>
    <w:p w14:paraId="4EB4129C" w14:textId="6FEB119F" w:rsidR="00001241" w:rsidRPr="00A86505" w:rsidRDefault="00001241" w:rsidP="006713FE">
      <w:pPr>
        <w:jc w:val="left"/>
        <w:rPr>
          <w:rFonts w:asciiTheme="minorHAnsi" w:hAnsiTheme="minorHAnsi" w:cstheme="minorHAnsi"/>
          <w:lang w:val="en-AU"/>
        </w:rPr>
      </w:pPr>
    </w:p>
    <w:p w14:paraId="280FE637" w14:textId="684F90C7" w:rsidR="005116E0" w:rsidRPr="00A86505" w:rsidRDefault="007A40B8" w:rsidP="006713FE">
      <w:pPr>
        <w:jc w:val="left"/>
        <w:rPr>
          <w:rFonts w:asciiTheme="minorHAnsi" w:hAnsiTheme="minorHAnsi" w:cstheme="minorHAnsi"/>
          <w:i/>
          <w:iCs/>
          <w:lang w:val="en-AU"/>
        </w:rPr>
      </w:pPr>
      <w:r w:rsidRPr="00A86505">
        <w:rPr>
          <w:rFonts w:asciiTheme="minorHAnsi" w:hAnsiTheme="minorHAnsi" w:cstheme="minorHAnsi"/>
          <w:i/>
          <w:iCs/>
          <w:lang w:val="en-AU"/>
        </w:rPr>
        <w:t xml:space="preserve">Note: </w:t>
      </w:r>
      <w:r w:rsidR="005116E0" w:rsidRPr="00A86505">
        <w:rPr>
          <w:rFonts w:asciiTheme="minorHAnsi" w:hAnsiTheme="minorHAnsi" w:cstheme="minorHAnsi"/>
          <w:i/>
          <w:iCs/>
          <w:lang w:val="en-AU"/>
        </w:rPr>
        <w:t xml:space="preserve">With the exception of </w:t>
      </w:r>
      <w:r w:rsidR="008A338F" w:rsidRPr="00A86505">
        <w:rPr>
          <w:rFonts w:asciiTheme="minorHAnsi" w:hAnsiTheme="minorHAnsi" w:cstheme="minorHAnsi"/>
          <w:i/>
          <w:iCs/>
          <w:lang w:val="en-AU"/>
        </w:rPr>
        <w:t xml:space="preserve">minor amendments to </w:t>
      </w:r>
      <w:r w:rsidR="00A81B91" w:rsidRPr="00A86505">
        <w:rPr>
          <w:rFonts w:asciiTheme="minorHAnsi" w:hAnsiTheme="minorHAnsi" w:cstheme="minorHAnsi"/>
          <w:i/>
          <w:iCs/>
          <w:lang w:val="en-AU"/>
        </w:rPr>
        <w:t>s</w:t>
      </w:r>
      <w:r w:rsidR="005116E0" w:rsidRPr="00A86505">
        <w:rPr>
          <w:rFonts w:asciiTheme="minorHAnsi" w:hAnsiTheme="minorHAnsi" w:cstheme="minorHAnsi"/>
          <w:i/>
          <w:iCs/>
          <w:lang w:val="en-AU"/>
        </w:rPr>
        <w:t>tandards 1.2</w:t>
      </w:r>
      <w:r w:rsidR="00A81B91" w:rsidRPr="00A86505">
        <w:rPr>
          <w:rFonts w:asciiTheme="minorHAnsi" w:hAnsiTheme="minorHAnsi" w:cstheme="minorHAnsi"/>
          <w:i/>
          <w:iCs/>
          <w:lang w:val="en-AU"/>
        </w:rPr>
        <w:t>.1, 1.2.2</w:t>
      </w:r>
      <w:r w:rsidR="005116E0" w:rsidRPr="00A86505">
        <w:rPr>
          <w:rFonts w:asciiTheme="minorHAnsi" w:hAnsiTheme="minorHAnsi" w:cstheme="minorHAnsi"/>
          <w:i/>
          <w:iCs/>
          <w:lang w:val="en-AU"/>
        </w:rPr>
        <w:t xml:space="preserve"> and</w:t>
      </w:r>
      <w:r w:rsidR="008A338F" w:rsidRPr="00A86505">
        <w:rPr>
          <w:rFonts w:asciiTheme="minorHAnsi" w:hAnsiTheme="minorHAnsi" w:cstheme="minorHAnsi"/>
          <w:i/>
          <w:iCs/>
          <w:lang w:val="en-AU"/>
        </w:rPr>
        <w:t xml:space="preserve"> 7.</w:t>
      </w:r>
      <w:r w:rsidR="00866ECC" w:rsidRPr="00A86505">
        <w:rPr>
          <w:rFonts w:asciiTheme="minorHAnsi" w:hAnsiTheme="minorHAnsi" w:cstheme="minorHAnsi"/>
          <w:i/>
          <w:iCs/>
          <w:lang w:val="en-AU"/>
        </w:rPr>
        <w:t>3</w:t>
      </w:r>
      <w:r w:rsidR="00A81B91" w:rsidRPr="00A86505">
        <w:rPr>
          <w:rFonts w:asciiTheme="minorHAnsi" w:hAnsiTheme="minorHAnsi" w:cstheme="minorHAnsi"/>
          <w:i/>
          <w:iCs/>
          <w:lang w:val="en-AU"/>
        </w:rPr>
        <w:t>.2</w:t>
      </w:r>
      <w:r w:rsidR="008A338F" w:rsidRPr="00A86505">
        <w:rPr>
          <w:rFonts w:asciiTheme="minorHAnsi" w:hAnsiTheme="minorHAnsi" w:cstheme="minorHAnsi"/>
          <w:i/>
          <w:iCs/>
          <w:lang w:val="en-AU"/>
        </w:rPr>
        <w:t xml:space="preserve">, </w:t>
      </w:r>
      <w:r w:rsidR="00A81B91" w:rsidRPr="00A86505">
        <w:rPr>
          <w:rFonts w:asciiTheme="minorHAnsi" w:hAnsiTheme="minorHAnsi" w:cstheme="minorHAnsi"/>
          <w:i/>
          <w:iCs/>
          <w:lang w:val="en-AU"/>
        </w:rPr>
        <w:t xml:space="preserve">Part A is </w:t>
      </w:r>
      <w:r w:rsidR="008A338F" w:rsidRPr="00A86505">
        <w:rPr>
          <w:rFonts w:asciiTheme="minorHAnsi" w:hAnsiTheme="minorHAnsi" w:cstheme="minorHAnsi"/>
          <w:i/>
          <w:iCs/>
          <w:lang w:val="en-AU"/>
        </w:rPr>
        <w:t xml:space="preserve">unchanged from the </w:t>
      </w:r>
      <w:r w:rsidRPr="00A86505">
        <w:rPr>
          <w:rFonts w:asciiTheme="minorHAnsi" w:hAnsiTheme="minorHAnsi" w:cstheme="minorHAnsi"/>
          <w:i/>
          <w:iCs/>
          <w:lang w:val="en-AU"/>
        </w:rPr>
        <w:t>2015 Threshold Standards.</w:t>
      </w:r>
    </w:p>
    <w:p w14:paraId="5E38BE95" w14:textId="77777777" w:rsidR="005116E0" w:rsidRPr="00A86505" w:rsidRDefault="005116E0" w:rsidP="006713FE">
      <w:pPr>
        <w:jc w:val="left"/>
        <w:rPr>
          <w:rFonts w:asciiTheme="minorHAnsi" w:hAnsiTheme="minorHAnsi" w:cstheme="minorHAnsi"/>
          <w:lang w:val="en-AU"/>
        </w:rPr>
      </w:pPr>
    </w:p>
    <w:p w14:paraId="2824F7D5" w14:textId="2DBD3557" w:rsidR="00DB79A1" w:rsidRPr="00A86505" w:rsidRDefault="005A5307" w:rsidP="006713FE">
      <w:pPr>
        <w:jc w:val="left"/>
        <w:rPr>
          <w:rFonts w:asciiTheme="minorHAnsi" w:hAnsiTheme="minorHAnsi" w:cstheme="minorHAnsi"/>
          <w:lang w:val="en-AU"/>
        </w:rPr>
      </w:pPr>
      <w:r w:rsidRPr="00A86505">
        <w:rPr>
          <w:rFonts w:asciiTheme="minorHAnsi" w:hAnsiTheme="minorHAnsi" w:cstheme="minorHAnsi"/>
          <w:lang w:val="en-AU"/>
        </w:rPr>
        <w:t xml:space="preserve">Domain </w:t>
      </w:r>
      <w:r w:rsidR="00DB79A1" w:rsidRPr="00A86505">
        <w:rPr>
          <w:rFonts w:asciiTheme="minorHAnsi" w:hAnsiTheme="minorHAnsi" w:cstheme="minorHAnsi"/>
          <w:lang w:val="en-AU"/>
        </w:rPr>
        <w:t>1</w:t>
      </w:r>
      <w:r w:rsidRPr="00A86505">
        <w:rPr>
          <w:rFonts w:asciiTheme="minorHAnsi" w:hAnsiTheme="minorHAnsi" w:cstheme="minorHAnsi"/>
          <w:lang w:val="en-AU"/>
        </w:rPr>
        <w:t xml:space="preserve">: </w:t>
      </w:r>
      <w:r w:rsidR="00DB79A1" w:rsidRPr="00A86505">
        <w:rPr>
          <w:rFonts w:asciiTheme="minorHAnsi" w:hAnsiTheme="minorHAnsi" w:cstheme="minorHAnsi"/>
          <w:lang w:val="en-AU"/>
        </w:rPr>
        <w:t>Student Participation and Attainment</w:t>
      </w:r>
    </w:p>
    <w:p w14:paraId="2D446A6A" w14:textId="72CBC934" w:rsidR="005A5307" w:rsidRPr="00A86505" w:rsidRDefault="00AA262C" w:rsidP="00102B2D">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Section</w:t>
      </w:r>
      <w:r w:rsidR="005A5307" w:rsidRPr="00A86505">
        <w:rPr>
          <w:rFonts w:asciiTheme="minorHAnsi" w:hAnsiTheme="minorHAnsi" w:cstheme="minorHAnsi"/>
          <w:lang w:val="en-AU"/>
        </w:rPr>
        <w:t xml:space="preserve"> 1.1 – Admission – </w:t>
      </w:r>
      <w:r w:rsidR="00DB79A1" w:rsidRPr="00A86505">
        <w:rPr>
          <w:rFonts w:asciiTheme="minorHAnsi" w:hAnsiTheme="minorHAnsi" w:cstheme="minorHAnsi"/>
          <w:lang w:val="en-AU"/>
        </w:rPr>
        <w:t>covers</w:t>
      </w:r>
      <w:r w:rsidR="005A5307" w:rsidRPr="00A86505">
        <w:rPr>
          <w:rFonts w:asciiTheme="minorHAnsi" w:hAnsiTheme="minorHAnsi" w:cstheme="minorHAnsi"/>
          <w:lang w:val="en-AU"/>
        </w:rPr>
        <w:t xml:space="preserve"> </w:t>
      </w:r>
      <w:r w:rsidR="00DB79A1" w:rsidRPr="00A86505">
        <w:rPr>
          <w:rFonts w:asciiTheme="minorHAnsi" w:hAnsiTheme="minorHAnsi" w:cstheme="minorHAnsi"/>
          <w:lang w:val="en-AU"/>
        </w:rPr>
        <w:t>the requirements that must be met by providers when admitting students, information that must be provided to students regarding a particular course of study before they enrol</w:t>
      </w:r>
      <w:r w:rsidR="007270F9" w:rsidRPr="00A86505">
        <w:rPr>
          <w:rFonts w:asciiTheme="minorHAnsi" w:hAnsiTheme="minorHAnsi" w:cstheme="minorHAnsi"/>
          <w:lang w:val="en-AU"/>
        </w:rPr>
        <w:t>,</w:t>
      </w:r>
      <w:r w:rsidR="00DB79A1" w:rsidRPr="00A86505">
        <w:rPr>
          <w:rFonts w:asciiTheme="minorHAnsi" w:hAnsiTheme="minorHAnsi" w:cstheme="minorHAnsi"/>
          <w:lang w:val="en-AU"/>
        </w:rPr>
        <w:t xml:space="preserve"> ensuring </w:t>
      </w:r>
      <w:r w:rsidR="007270F9" w:rsidRPr="00A86505">
        <w:rPr>
          <w:rFonts w:asciiTheme="minorHAnsi" w:hAnsiTheme="minorHAnsi" w:cstheme="minorHAnsi"/>
          <w:lang w:val="en-AU"/>
        </w:rPr>
        <w:t xml:space="preserve">admission policies </w:t>
      </w:r>
      <w:r w:rsidR="00DB79A1" w:rsidRPr="00A86505">
        <w:rPr>
          <w:rFonts w:asciiTheme="minorHAnsi" w:hAnsiTheme="minorHAnsi" w:cstheme="minorHAnsi"/>
          <w:lang w:val="en-AU"/>
        </w:rPr>
        <w:t xml:space="preserve">are fairly and consistently </w:t>
      </w:r>
      <w:r w:rsidR="007270F9" w:rsidRPr="00A86505">
        <w:rPr>
          <w:rFonts w:asciiTheme="minorHAnsi" w:hAnsiTheme="minorHAnsi" w:cstheme="minorHAnsi"/>
          <w:lang w:val="en-AU"/>
        </w:rPr>
        <w:t>applied</w:t>
      </w:r>
      <w:r w:rsidR="00297038" w:rsidRPr="00A86505">
        <w:rPr>
          <w:rFonts w:asciiTheme="minorHAnsi" w:hAnsiTheme="minorHAnsi" w:cstheme="minorHAnsi"/>
          <w:lang w:val="en-AU"/>
        </w:rPr>
        <w:t>,</w:t>
      </w:r>
      <w:r w:rsidR="007270F9" w:rsidRPr="00A86505">
        <w:rPr>
          <w:rFonts w:asciiTheme="minorHAnsi" w:hAnsiTheme="minorHAnsi" w:cstheme="minorHAnsi"/>
          <w:lang w:val="en-AU"/>
        </w:rPr>
        <w:t xml:space="preserve"> and that admission arrangements are in writing, including any requirements that are specific to the course</w:t>
      </w:r>
      <w:r w:rsidR="00DB79A1" w:rsidRPr="00A86505">
        <w:rPr>
          <w:rFonts w:asciiTheme="minorHAnsi" w:hAnsiTheme="minorHAnsi" w:cstheme="minorHAnsi"/>
          <w:lang w:val="en-AU"/>
        </w:rPr>
        <w:t>.</w:t>
      </w:r>
    </w:p>
    <w:p w14:paraId="34B33BA7" w14:textId="42E47AA0" w:rsidR="005A5307" w:rsidRPr="00A86505" w:rsidRDefault="00AA262C" w:rsidP="00102B2D">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w:t>
      </w:r>
      <w:r w:rsidR="005A5307" w:rsidRPr="00A86505">
        <w:rPr>
          <w:rFonts w:asciiTheme="minorHAnsi" w:hAnsiTheme="minorHAnsi" w:cstheme="minorHAnsi"/>
          <w:lang w:val="en-AU"/>
        </w:rPr>
        <w:t xml:space="preserve">1.2 – Credit and Recognition of Prior Learning – </w:t>
      </w:r>
      <w:r w:rsidR="00DB79A1" w:rsidRPr="00A86505">
        <w:rPr>
          <w:rFonts w:asciiTheme="minorHAnsi" w:hAnsiTheme="minorHAnsi" w:cstheme="minorHAnsi"/>
          <w:lang w:val="en-AU"/>
        </w:rPr>
        <w:t>requires</w:t>
      </w:r>
      <w:r w:rsidR="005A5307" w:rsidRPr="00A86505">
        <w:rPr>
          <w:rFonts w:asciiTheme="minorHAnsi" w:hAnsiTheme="minorHAnsi" w:cstheme="minorHAnsi"/>
          <w:lang w:val="en-AU"/>
        </w:rPr>
        <w:t xml:space="preserve"> c</w:t>
      </w:r>
      <w:r w:rsidR="00DB79A1" w:rsidRPr="00A86505">
        <w:rPr>
          <w:rFonts w:asciiTheme="minorHAnsi" w:hAnsiTheme="minorHAnsi" w:cstheme="minorHAnsi"/>
          <w:lang w:val="en-AU"/>
        </w:rPr>
        <w:t xml:space="preserve">redit </w:t>
      </w:r>
      <w:r w:rsidR="005A5307" w:rsidRPr="00A86505">
        <w:rPr>
          <w:rFonts w:asciiTheme="minorHAnsi" w:hAnsiTheme="minorHAnsi" w:cstheme="minorHAnsi"/>
          <w:lang w:val="en-AU"/>
        </w:rPr>
        <w:t>t</w:t>
      </w:r>
      <w:r w:rsidR="00DB79A1" w:rsidRPr="00A86505">
        <w:rPr>
          <w:rFonts w:asciiTheme="minorHAnsi" w:hAnsiTheme="minorHAnsi" w:cstheme="minorHAnsi"/>
          <w:lang w:val="en-AU"/>
        </w:rPr>
        <w:t xml:space="preserve">ransfer (advanced standing) and </w:t>
      </w:r>
      <w:r w:rsidR="005A5307" w:rsidRPr="00A86505">
        <w:rPr>
          <w:rFonts w:asciiTheme="minorHAnsi" w:hAnsiTheme="minorHAnsi" w:cstheme="minorHAnsi"/>
          <w:lang w:val="en-AU"/>
        </w:rPr>
        <w:t>r</w:t>
      </w:r>
      <w:r w:rsidR="00DB79A1" w:rsidRPr="00A86505">
        <w:rPr>
          <w:rFonts w:asciiTheme="minorHAnsi" w:hAnsiTheme="minorHAnsi" w:cstheme="minorHAnsi"/>
          <w:lang w:val="en-AU"/>
        </w:rPr>
        <w:t xml:space="preserve">ecognition of </w:t>
      </w:r>
      <w:r w:rsidR="00F37FF8" w:rsidRPr="00A86505">
        <w:rPr>
          <w:rFonts w:asciiTheme="minorHAnsi" w:hAnsiTheme="minorHAnsi" w:cstheme="minorHAnsi"/>
          <w:lang w:val="en-AU"/>
        </w:rPr>
        <w:t>p</w:t>
      </w:r>
      <w:r w:rsidR="00DB79A1" w:rsidRPr="00A86505">
        <w:rPr>
          <w:rFonts w:asciiTheme="minorHAnsi" w:hAnsiTheme="minorHAnsi" w:cstheme="minorHAnsi"/>
          <w:lang w:val="en-AU"/>
        </w:rPr>
        <w:t xml:space="preserve">rior </w:t>
      </w:r>
      <w:r w:rsidR="00F37FF8" w:rsidRPr="00A86505">
        <w:rPr>
          <w:rFonts w:asciiTheme="minorHAnsi" w:hAnsiTheme="minorHAnsi" w:cstheme="minorHAnsi"/>
          <w:lang w:val="en-AU"/>
        </w:rPr>
        <w:t>l</w:t>
      </w:r>
      <w:r w:rsidR="00DB79A1" w:rsidRPr="00A86505">
        <w:rPr>
          <w:rFonts w:asciiTheme="minorHAnsi" w:hAnsiTheme="minorHAnsi" w:cstheme="minorHAnsi"/>
          <w:lang w:val="en-AU"/>
        </w:rPr>
        <w:t>earning (RPL) to be policy based to ensure the integrity of courses and qualifications.</w:t>
      </w:r>
    </w:p>
    <w:p w14:paraId="2B87D17B" w14:textId="52411FE5" w:rsidR="00ED357B" w:rsidRPr="00A86505" w:rsidRDefault="00ED357B" w:rsidP="006713FE">
      <w:pPr>
        <w:numPr>
          <w:ilvl w:val="1"/>
          <w:numId w:val="4"/>
        </w:numPr>
        <w:tabs>
          <w:tab w:val="clear" w:pos="1134"/>
        </w:tabs>
        <w:spacing w:before="120" w:after="120"/>
        <w:ind w:left="993"/>
        <w:jc w:val="left"/>
        <w:rPr>
          <w:rFonts w:asciiTheme="minorHAnsi" w:hAnsiTheme="minorHAnsi" w:cstheme="minorHAnsi"/>
          <w:lang w:val="en-AU"/>
        </w:rPr>
      </w:pPr>
      <w:r w:rsidRPr="00A86505">
        <w:rPr>
          <w:rFonts w:asciiTheme="minorHAnsi" w:hAnsiTheme="minorHAnsi" w:cstheme="minorHAnsi"/>
          <w:lang w:val="en-AU"/>
        </w:rPr>
        <w:t xml:space="preserve">Amendments to standards </w:t>
      </w:r>
      <w:r w:rsidR="005479A7" w:rsidRPr="00A86505">
        <w:rPr>
          <w:rFonts w:asciiTheme="minorHAnsi" w:hAnsiTheme="minorHAnsi" w:cstheme="minorHAnsi"/>
          <w:lang w:val="en-AU"/>
        </w:rPr>
        <w:t>1</w:t>
      </w:r>
      <w:r w:rsidRPr="00A86505">
        <w:rPr>
          <w:rFonts w:asciiTheme="minorHAnsi" w:hAnsiTheme="minorHAnsi" w:cstheme="minorHAnsi"/>
          <w:lang w:val="en-AU"/>
        </w:rPr>
        <w:t>.2.1 and 1.2.2 reinforce that th</w:t>
      </w:r>
      <w:r w:rsidR="00F65FA0" w:rsidRPr="00A86505">
        <w:rPr>
          <w:rFonts w:asciiTheme="minorHAnsi" w:hAnsiTheme="minorHAnsi" w:cstheme="minorHAnsi"/>
          <w:lang w:val="en-AU"/>
        </w:rPr>
        <w:t>ese</w:t>
      </w:r>
      <w:r w:rsidR="00090C9C" w:rsidRPr="00A86505">
        <w:rPr>
          <w:rFonts w:asciiTheme="minorHAnsi" w:hAnsiTheme="minorHAnsi" w:cstheme="minorHAnsi"/>
          <w:lang w:val="en-AU"/>
        </w:rPr>
        <w:t xml:space="preserve"> standards</w:t>
      </w:r>
      <w:r w:rsidR="00F65FA0" w:rsidRPr="00A86505">
        <w:rPr>
          <w:rFonts w:asciiTheme="minorHAnsi" w:hAnsiTheme="minorHAnsi" w:cstheme="minorHAnsi"/>
          <w:lang w:val="en-AU"/>
        </w:rPr>
        <w:t xml:space="preserve"> are </w:t>
      </w:r>
      <w:r w:rsidR="005479A7" w:rsidRPr="00A86505">
        <w:rPr>
          <w:rFonts w:asciiTheme="minorHAnsi" w:hAnsiTheme="minorHAnsi" w:cstheme="minorHAnsi"/>
          <w:lang w:val="en-AU"/>
        </w:rPr>
        <w:t xml:space="preserve">intended to reflect </w:t>
      </w:r>
      <w:r w:rsidR="00F65FA0" w:rsidRPr="00A86505">
        <w:rPr>
          <w:rFonts w:asciiTheme="minorHAnsi" w:hAnsiTheme="minorHAnsi" w:cstheme="minorHAnsi"/>
          <w:lang w:val="en-AU"/>
        </w:rPr>
        <w:t xml:space="preserve">the credit and </w:t>
      </w:r>
      <w:r w:rsidR="00062471" w:rsidRPr="00A86505">
        <w:rPr>
          <w:rFonts w:asciiTheme="minorHAnsi" w:hAnsiTheme="minorHAnsi" w:cstheme="minorHAnsi"/>
          <w:lang w:val="en-AU"/>
        </w:rPr>
        <w:t>RPL</w:t>
      </w:r>
      <w:r w:rsidR="00F65FA0" w:rsidRPr="00A86505">
        <w:rPr>
          <w:rFonts w:asciiTheme="minorHAnsi" w:hAnsiTheme="minorHAnsi" w:cstheme="minorHAnsi"/>
          <w:lang w:val="en-AU"/>
        </w:rPr>
        <w:t xml:space="preserve"> policy in the Australian Qualifications Framework</w:t>
      </w:r>
      <w:r w:rsidR="00F30695" w:rsidRPr="00A86505">
        <w:rPr>
          <w:rFonts w:asciiTheme="minorHAnsi" w:hAnsiTheme="minorHAnsi" w:cstheme="minorHAnsi"/>
          <w:lang w:val="en-AU"/>
        </w:rPr>
        <w:t xml:space="preserve"> (AQF)</w:t>
      </w:r>
      <w:r w:rsidR="005479A7" w:rsidRPr="00A86505">
        <w:rPr>
          <w:rFonts w:asciiTheme="minorHAnsi" w:hAnsiTheme="minorHAnsi" w:cstheme="minorHAnsi"/>
          <w:lang w:val="en-AU"/>
        </w:rPr>
        <w:t>.</w:t>
      </w:r>
    </w:p>
    <w:p w14:paraId="5B0432A9" w14:textId="77777777" w:rsidR="005A5307" w:rsidRPr="00A86505" w:rsidRDefault="00AA262C" w:rsidP="00102B2D">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w:t>
      </w:r>
      <w:r w:rsidR="005A5307" w:rsidRPr="00A86505">
        <w:rPr>
          <w:rFonts w:asciiTheme="minorHAnsi" w:hAnsiTheme="minorHAnsi" w:cstheme="minorHAnsi"/>
          <w:lang w:val="en-AU"/>
        </w:rPr>
        <w:t xml:space="preserve">1.3 – Orientation and Progression – </w:t>
      </w:r>
      <w:r w:rsidR="00DB79A1" w:rsidRPr="00A86505">
        <w:rPr>
          <w:rFonts w:asciiTheme="minorHAnsi" w:hAnsiTheme="minorHAnsi" w:cstheme="minorHAnsi"/>
          <w:lang w:val="en-AU"/>
        </w:rPr>
        <w:t>outlines the requirements for orientation and progression to ensure students are successfully transitioned into institutions and that special needs are met for individual students</w:t>
      </w:r>
      <w:r w:rsidR="005A5307" w:rsidRPr="00A86505">
        <w:rPr>
          <w:rFonts w:asciiTheme="minorHAnsi" w:hAnsiTheme="minorHAnsi" w:cstheme="minorHAnsi"/>
          <w:lang w:val="en-AU"/>
        </w:rPr>
        <w:t>.</w:t>
      </w:r>
    </w:p>
    <w:p w14:paraId="4B1851B0" w14:textId="77777777" w:rsidR="00F37FF8" w:rsidRPr="00A86505" w:rsidRDefault="00AA262C" w:rsidP="00102B2D">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w:t>
      </w:r>
      <w:r w:rsidR="005A5307" w:rsidRPr="00A86505">
        <w:rPr>
          <w:rFonts w:asciiTheme="minorHAnsi" w:hAnsiTheme="minorHAnsi" w:cstheme="minorHAnsi"/>
          <w:lang w:val="en-AU"/>
        </w:rPr>
        <w:t xml:space="preserve">1.4 – Learning Outcomes and Assessment – </w:t>
      </w:r>
      <w:r w:rsidR="00DB79A1" w:rsidRPr="00A86505">
        <w:rPr>
          <w:rFonts w:asciiTheme="minorHAnsi" w:hAnsiTheme="minorHAnsi" w:cstheme="minorHAnsi"/>
          <w:lang w:val="en-AU"/>
        </w:rPr>
        <w:t>requires that learning outcomes are specified and assessment is consistent with the requirements of the learning outcomes.</w:t>
      </w:r>
    </w:p>
    <w:p w14:paraId="7F02B409" w14:textId="277170E1" w:rsidR="00DB79A1" w:rsidRPr="00A86505" w:rsidRDefault="00AA262C" w:rsidP="00102B2D">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w:t>
      </w:r>
      <w:r w:rsidR="00F37FF8" w:rsidRPr="00A86505">
        <w:rPr>
          <w:rFonts w:asciiTheme="minorHAnsi" w:hAnsiTheme="minorHAnsi" w:cstheme="minorHAnsi"/>
          <w:lang w:val="en-AU"/>
        </w:rPr>
        <w:t xml:space="preserve">1.5 – Qualifications and Certification – </w:t>
      </w:r>
      <w:r w:rsidR="00DB79A1" w:rsidRPr="00A86505">
        <w:rPr>
          <w:rFonts w:asciiTheme="minorHAnsi" w:hAnsiTheme="minorHAnsi" w:cstheme="minorHAnsi"/>
          <w:lang w:val="en-AU"/>
        </w:rPr>
        <w:t>list</w:t>
      </w:r>
      <w:r w:rsidR="00F37FF8" w:rsidRPr="00A86505">
        <w:rPr>
          <w:rFonts w:asciiTheme="minorHAnsi" w:hAnsiTheme="minorHAnsi" w:cstheme="minorHAnsi"/>
          <w:lang w:val="en-AU"/>
        </w:rPr>
        <w:t>s</w:t>
      </w:r>
      <w:r w:rsidR="00DB79A1" w:rsidRPr="00A86505">
        <w:rPr>
          <w:rFonts w:asciiTheme="minorHAnsi" w:hAnsiTheme="minorHAnsi" w:cstheme="minorHAnsi"/>
          <w:lang w:val="en-AU"/>
        </w:rPr>
        <w:t xml:space="preserve"> the requirements for qualifications and certification which are fundamentally based on the AQF.</w:t>
      </w:r>
    </w:p>
    <w:p w14:paraId="25C1BB13" w14:textId="77777777" w:rsidR="00DB79A1" w:rsidRPr="00A86505" w:rsidRDefault="00F37FF8" w:rsidP="002E52E4">
      <w:pPr>
        <w:keepNext/>
        <w:jc w:val="left"/>
        <w:rPr>
          <w:rFonts w:asciiTheme="minorHAnsi" w:hAnsiTheme="minorHAnsi" w:cstheme="minorHAnsi"/>
          <w:lang w:val="en-AU"/>
        </w:rPr>
      </w:pPr>
      <w:r w:rsidRPr="00A86505">
        <w:rPr>
          <w:rFonts w:asciiTheme="minorHAnsi" w:hAnsiTheme="minorHAnsi" w:cstheme="minorHAnsi"/>
          <w:lang w:val="en-AU"/>
        </w:rPr>
        <w:t xml:space="preserve">Domain </w:t>
      </w:r>
      <w:r w:rsidR="00DB79A1" w:rsidRPr="00A86505">
        <w:rPr>
          <w:rFonts w:asciiTheme="minorHAnsi" w:hAnsiTheme="minorHAnsi" w:cstheme="minorHAnsi"/>
          <w:lang w:val="en-AU"/>
        </w:rPr>
        <w:t>2</w:t>
      </w:r>
      <w:r w:rsidRPr="00A86505">
        <w:rPr>
          <w:rFonts w:asciiTheme="minorHAnsi" w:hAnsiTheme="minorHAnsi" w:cstheme="minorHAnsi"/>
          <w:lang w:val="en-AU"/>
        </w:rPr>
        <w:t>:</w:t>
      </w:r>
      <w:r w:rsidR="00DB79A1" w:rsidRPr="00A86505">
        <w:rPr>
          <w:rFonts w:asciiTheme="minorHAnsi" w:hAnsiTheme="minorHAnsi" w:cstheme="minorHAnsi"/>
          <w:lang w:val="en-AU"/>
        </w:rPr>
        <w:t xml:space="preserve"> Learning Environment</w:t>
      </w:r>
    </w:p>
    <w:p w14:paraId="1432A0D8" w14:textId="460435AA" w:rsidR="00FE488D" w:rsidRPr="00A86505" w:rsidRDefault="00AA262C" w:rsidP="00102B2D">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w:t>
      </w:r>
      <w:r w:rsidR="00FE488D" w:rsidRPr="00A86505">
        <w:rPr>
          <w:rFonts w:asciiTheme="minorHAnsi" w:hAnsiTheme="minorHAnsi" w:cstheme="minorHAnsi"/>
          <w:lang w:val="en-AU"/>
        </w:rPr>
        <w:t xml:space="preserve">2.1 – Facilities and Infrastructure – identifies </w:t>
      </w:r>
      <w:r w:rsidR="00DB79A1" w:rsidRPr="00A86505">
        <w:rPr>
          <w:rFonts w:asciiTheme="minorHAnsi" w:hAnsiTheme="minorHAnsi" w:cstheme="minorHAnsi"/>
          <w:lang w:val="en-AU"/>
        </w:rPr>
        <w:t xml:space="preserve">the requirements for </w:t>
      </w:r>
      <w:r w:rsidR="00FE488D" w:rsidRPr="00A86505">
        <w:rPr>
          <w:rFonts w:asciiTheme="minorHAnsi" w:hAnsiTheme="minorHAnsi" w:cstheme="minorHAnsi"/>
          <w:lang w:val="en-AU"/>
        </w:rPr>
        <w:t xml:space="preserve">teaching and learning </w:t>
      </w:r>
      <w:r w:rsidR="00DB79A1" w:rsidRPr="00A86505">
        <w:rPr>
          <w:rFonts w:asciiTheme="minorHAnsi" w:hAnsiTheme="minorHAnsi" w:cstheme="minorHAnsi"/>
          <w:lang w:val="en-AU"/>
        </w:rPr>
        <w:t>facilities and infrastructure</w:t>
      </w:r>
      <w:r w:rsidR="00FE488D" w:rsidRPr="00A86505">
        <w:rPr>
          <w:rFonts w:asciiTheme="minorHAnsi" w:hAnsiTheme="minorHAnsi" w:cstheme="minorHAnsi"/>
          <w:lang w:val="en-AU"/>
        </w:rPr>
        <w:t>, including information technology,</w:t>
      </w:r>
      <w:r w:rsidR="00DB79A1" w:rsidRPr="00A86505">
        <w:rPr>
          <w:rFonts w:asciiTheme="minorHAnsi" w:hAnsiTheme="minorHAnsi" w:cstheme="minorHAnsi"/>
          <w:lang w:val="en-AU"/>
        </w:rPr>
        <w:t xml:space="preserve"> to ensure facilities are fit for purpose.</w:t>
      </w:r>
    </w:p>
    <w:p w14:paraId="7551493F" w14:textId="5493CF7D" w:rsidR="00735F99" w:rsidRPr="00A86505" w:rsidRDefault="00AA262C" w:rsidP="00102B2D">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w:t>
      </w:r>
      <w:r w:rsidR="00FE488D" w:rsidRPr="00A86505">
        <w:rPr>
          <w:rFonts w:asciiTheme="minorHAnsi" w:hAnsiTheme="minorHAnsi" w:cstheme="minorHAnsi"/>
          <w:lang w:val="en-AU"/>
        </w:rPr>
        <w:t xml:space="preserve">2.2 – Diversity and Equity </w:t>
      </w:r>
      <w:r w:rsidRPr="00A86505">
        <w:rPr>
          <w:rFonts w:asciiTheme="minorHAnsi" w:hAnsiTheme="minorHAnsi" w:cstheme="minorHAnsi"/>
          <w:lang w:val="en-AU"/>
        </w:rPr>
        <w:t xml:space="preserve">– requires </w:t>
      </w:r>
      <w:r w:rsidR="00DB79A1" w:rsidRPr="00A86505">
        <w:rPr>
          <w:rFonts w:asciiTheme="minorHAnsi" w:hAnsiTheme="minorHAnsi" w:cstheme="minorHAnsi"/>
          <w:lang w:val="en-AU"/>
        </w:rPr>
        <w:t xml:space="preserve">policies and processes to </w:t>
      </w:r>
      <w:r w:rsidR="00735F99" w:rsidRPr="00A86505">
        <w:rPr>
          <w:rFonts w:asciiTheme="minorHAnsi" w:hAnsiTheme="minorHAnsi" w:cstheme="minorHAnsi"/>
          <w:lang w:val="en-AU"/>
        </w:rPr>
        <w:t xml:space="preserve">accommodate and promote </w:t>
      </w:r>
      <w:r w:rsidR="00DB79A1" w:rsidRPr="00A86505">
        <w:rPr>
          <w:rFonts w:asciiTheme="minorHAnsi" w:hAnsiTheme="minorHAnsi" w:cstheme="minorHAnsi"/>
          <w:lang w:val="en-AU"/>
        </w:rPr>
        <w:t>diversity and equity</w:t>
      </w:r>
      <w:r w:rsidRPr="00A86505">
        <w:rPr>
          <w:rFonts w:asciiTheme="minorHAnsi" w:hAnsiTheme="minorHAnsi" w:cstheme="minorHAnsi"/>
          <w:lang w:val="en-AU"/>
        </w:rPr>
        <w:t xml:space="preserve"> </w:t>
      </w:r>
      <w:r w:rsidR="00735F99" w:rsidRPr="00A86505">
        <w:rPr>
          <w:rFonts w:asciiTheme="minorHAnsi" w:hAnsiTheme="minorHAnsi" w:cstheme="minorHAnsi"/>
          <w:lang w:val="en-AU"/>
        </w:rPr>
        <w:t>among student populations, including Aboriginal and Torres Strait Islander students</w:t>
      </w:r>
      <w:r w:rsidR="00402824" w:rsidRPr="00A86505">
        <w:rPr>
          <w:rFonts w:asciiTheme="minorHAnsi" w:hAnsiTheme="minorHAnsi" w:cstheme="minorHAnsi"/>
          <w:lang w:val="en-AU"/>
        </w:rPr>
        <w:t>,</w:t>
      </w:r>
      <w:r w:rsidR="00735F99" w:rsidRPr="00A86505">
        <w:rPr>
          <w:rFonts w:asciiTheme="minorHAnsi" w:hAnsiTheme="minorHAnsi" w:cstheme="minorHAnsi"/>
          <w:lang w:val="en-AU"/>
        </w:rPr>
        <w:t xml:space="preserve"> </w:t>
      </w:r>
      <w:r w:rsidRPr="00A86505">
        <w:rPr>
          <w:rFonts w:asciiTheme="minorHAnsi" w:hAnsiTheme="minorHAnsi" w:cstheme="minorHAnsi"/>
          <w:lang w:val="en-AU"/>
        </w:rPr>
        <w:t xml:space="preserve">be in place and </w:t>
      </w:r>
      <w:r w:rsidR="00735F99" w:rsidRPr="00A86505">
        <w:rPr>
          <w:rFonts w:asciiTheme="minorHAnsi" w:hAnsiTheme="minorHAnsi" w:cstheme="minorHAnsi"/>
          <w:lang w:val="en-AU"/>
        </w:rPr>
        <w:t xml:space="preserve">actively </w:t>
      </w:r>
      <w:r w:rsidRPr="00A86505">
        <w:rPr>
          <w:rFonts w:asciiTheme="minorHAnsi" w:hAnsiTheme="minorHAnsi" w:cstheme="minorHAnsi"/>
          <w:lang w:val="en-AU"/>
        </w:rPr>
        <w:t>monitored</w:t>
      </w:r>
      <w:r w:rsidR="00735F99" w:rsidRPr="00A86505">
        <w:rPr>
          <w:rFonts w:asciiTheme="minorHAnsi" w:hAnsiTheme="minorHAnsi" w:cstheme="minorHAnsi"/>
          <w:lang w:val="en-AU"/>
        </w:rPr>
        <w:t>.</w:t>
      </w:r>
    </w:p>
    <w:p w14:paraId="4A73DA5E" w14:textId="23616C4D" w:rsidR="00735F99" w:rsidRPr="00A86505" w:rsidRDefault="00AA262C" w:rsidP="00102B2D">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2.3 – Wellbeing and Safety </w:t>
      </w:r>
      <w:r w:rsidR="00735F99" w:rsidRPr="00A86505">
        <w:rPr>
          <w:rFonts w:asciiTheme="minorHAnsi" w:hAnsiTheme="minorHAnsi" w:cstheme="minorHAnsi"/>
          <w:lang w:val="en-AU"/>
        </w:rPr>
        <w:t>–</w:t>
      </w:r>
      <w:r w:rsidR="00DB79A1" w:rsidRPr="00A86505">
        <w:rPr>
          <w:rFonts w:asciiTheme="minorHAnsi" w:hAnsiTheme="minorHAnsi" w:cstheme="minorHAnsi"/>
          <w:lang w:val="en-AU"/>
        </w:rPr>
        <w:t xml:space="preserve"> </w:t>
      </w:r>
      <w:r w:rsidR="00735F99" w:rsidRPr="00A86505">
        <w:rPr>
          <w:rFonts w:asciiTheme="minorHAnsi" w:hAnsiTheme="minorHAnsi" w:cstheme="minorHAnsi"/>
          <w:lang w:val="en-AU"/>
        </w:rPr>
        <w:t>identifies the need for</w:t>
      </w:r>
      <w:r w:rsidR="00FE1B2E" w:rsidRPr="00A86505">
        <w:rPr>
          <w:rFonts w:asciiTheme="minorHAnsi" w:hAnsiTheme="minorHAnsi" w:cstheme="minorHAnsi"/>
          <w:lang w:val="en-AU"/>
        </w:rPr>
        <w:t>,</w:t>
      </w:r>
      <w:r w:rsidR="00735F99" w:rsidRPr="00A86505">
        <w:rPr>
          <w:rFonts w:asciiTheme="minorHAnsi" w:hAnsiTheme="minorHAnsi" w:cstheme="minorHAnsi"/>
          <w:lang w:val="en-AU"/>
        </w:rPr>
        <w:t xml:space="preserve"> </w:t>
      </w:r>
      <w:r w:rsidR="00402824" w:rsidRPr="00A86505">
        <w:rPr>
          <w:rFonts w:asciiTheme="minorHAnsi" w:hAnsiTheme="minorHAnsi" w:cstheme="minorHAnsi"/>
          <w:lang w:val="en-AU"/>
        </w:rPr>
        <w:t>and imposes requirements in respect of</w:t>
      </w:r>
      <w:r w:rsidR="00FE1B2E" w:rsidRPr="00A86505">
        <w:rPr>
          <w:rFonts w:asciiTheme="minorHAnsi" w:hAnsiTheme="minorHAnsi" w:cstheme="minorHAnsi"/>
          <w:lang w:val="en-AU"/>
        </w:rPr>
        <w:t>,</w:t>
      </w:r>
      <w:r w:rsidR="00402824" w:rsidRPr="00A86505">
        <w:rPr>
          <w:rFonts w:asciiTheme="minorHAnsi" w:hAnsiTheme="minorHAnsi" w:cstheme="minorHAnsi"/>
          <w:lang w:val="en-AU"/>
        </w:rPr>
        <w:t xml:space="preserve"> </w:t>
      </w:r>
      <w:r w:rsidR="00735F99" w:rsidRPr="00A86505">
        <w:rPr>
          <w:rFonts w:asciiTheme="minorHAnsi" w:hAnsiTheme="minorHAnsi" w:cstheme="minorHAnsi"/>
          <w:lang w:val="en-AU"/>
        </w:rPr>
        <w:t xml:space="preserve">a safe environment </w:t>
      </w:r>
      <w:r w:rsidR="00DB79A1" w:rsidRPr="00A86505">
        <w:rPr>
          <w:rFonts w:asciiTheme="minorHAnsi" w:hAnsiTheme="minorHAnsi" w:cstheme="minorHAnsi"/>
          <w:lang w:val="en-AU"/>
        </w:rPr>
        <w:t>and</w:t>
      </w:r>
      <w:r w:rsidR="00735F99" w:rsidRPr="00A86505">
        <w:rPr>
          <w:rFonts w:asciiTheme="minorHAnsi" w:hAnsiTheme="minorHAnsi" w:cstheme="minorHAnsi"/>
          <w:lang w:val="en-AU"/>
        </w:rPr>
        <w:t xml:space="preserve"> the availability of appropriate support services to promote student </w:t>
      </w:r>
      <w:r w:rsidR="00DB79A1" w:rsidRPr="00A86505">
        <w:rPr>
          <w:rFonts w:asciiTheme="minorHAnsi" w:hAnsiTheme="minorHAnsi" w:cstheme="minorHAnsi"/>
          <w:lang w:val="en-AU"/>
        </w:rPr>
        <w:t>wellbeing</w:t>
      </w:r>
      <w:r w:rsidR="00735F99" w:rsidRPr="00A86505">
        <w:rPr>
          <w:rFonts w:asciiTheme="minorHAnsi" w:hAnsiTheme="minorHAnsi" w:cstheme="minorHAnsi"/>
          <w:lang w:val="en-AU"/>
        </w:rPr>
        <w:t>.</w:t>
      </w:r>
    </w:p>
    <w:p w14:paraId="598D11F4" w14:textId="77777777" w:rsidR="00DB79A1" w:rsidRPr="00A86505" w:rsidRDefault="00735F99" w:rsidP="00102B2D">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2.4 – Student Grievances and Complaints – </w:t>
      </w:r>
      <w:r w:rsidR="00DB79A1" w:rsidRPr="00A86505">
        <w:rPr>
          <w:rFonts w:asciiTheme="minorHAnsi" w:hAnsiTheme="minorHAnsi" w:cstheme="minorHAnsi"/>
          <w:lang w:val="en-AU"/>
        </w:rPr>
        <w:t>lists the requirements for student grievance and complaints in the instance of dissatisfaction with institutional or learning experience</w:t>
      </w:r>
      <w:r w:rsidR="00B070A0" w:rsidRPr="00A86505">
        <w:rPr>
          <w:rFonts w:asciiTheme="minorHAnsi" w:hAnsiTheme="minorHAnsi" w:cstheme="minorHAnsi"/>
          <w:lang w:val="en-AU"/>
        </w:rPr>
        <w:t>s</w:t>
      </w:r>
      <w:r w:rsidR="00DB79A1" w:rsidRPr="00A86505">
        <w:rPr>
          <w:rFonts w:asciiTheme="minorHAnsi" w:hAnsiTheme="minorHAnsi" w:cstheme="minorHAnsi"/>
          <w:lang w:val="en-AU"/>
        </w:rPr>
        <w:t>.</w:t>
      </w:r>
    </w:p>
    <w:p w14:paraId="13F69443" w14:textId="77777777" w:rsidR="00DB79A1" w:rsidRPr="00A86505" w:rsidRDefault="00F37FF8" w:rsidP="001800C7">
      <w:pPr>
        <w:keepNext/>
        <w:jc w:val="left"/>
        <w:rPr>
          <w:rFonts w:asciiTheme="minorHAnsi" w:hAnsiTheme="minorHAnsi" w:cstheme="minorHAnsi"/>
          <w:lang w:val="en-AU"/>
        </w:rPr>
      </w:pPr>
      <w:r w:rsidRPr="00A86505">
        <w:rPr>
          <w:rFonts w:asciiTheme="minorHAnsi" w:hAnsiTheme="minorHAnsi" w:cstheme="minorHAnsi"/>
          <w:lang w:val="en-AU"/>
        </w:rPr>
        <w:lastRenderedPageBreak/>
        <w:t xml:space="preserve">Domain </w:t>
      </w:r>
      <w:r w:rsidR="00102B2D" w:rsidRPr="00A86505">
        <w:rPr>
          <w:rFonts w:asciiTheme="minorHAnsi" w:hAnsiTheme="minorHAnsi" w:cstheme="minorHAnsi"/>
          <w:lang w:val="en-AU"/>
        </w:rPr>
        <w:t>3</w:t>
      </w:r>
      <w:r w:rsidRPr="00A86505">
        <w:rPr>
          <w:rFonts w:asciiTheme="minorHAnsi" w:hAnsiTheme="minorHAnsi" w:cstheme="minorHAnsi"/>
          <w:lang w:val="en-AU"/>
        </w:rPr>
        <w:t>:</w:t>
      </w:r>
      <w:r w:rsidR="00DB79A1" w:rsidRPr="00A86505">
        <w:rPr>
          <w:rFonts w:asciiTheme="minorHAnsi" w:hAnsiTheme="minorHAnsi" w:cstheme="minorHAnsi"/>
          <w:lang w:val="en-AU"/>
        </w:rPr>
        <w:t xml:space="preserve"> Teaching</w:t>
      </w:r>
    </w:p>
    <w:p w14:paraId="75A280EA" w14:textId="2A8B9100" w:rsidR="000B259F" w:rsidRPr="00A86505" w:rsidRDefault="000B259F" w:rsidP="001800C7">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Section 3.1 – Course Design – identifies course design specifications, learning activities</w:t>
      </w:r>
      <w:r w:rsidR="00B070A0" w:rsidRPr="00A86505">
        <w:rPr>
          <w:rFonts w:asciiTheme="minorHAnsi" w:hAnsiTheme="minorHAnsi" w:cstheme="minorHAnsi"/>
          <w:lang w:val="en-AU"/>
        </w:rPr>
        <w:t xml:space="preserve"> and</w:t>
      </w:r>
      <w:r w:rsidRPr="00A86505">
        <w:rPr>
          <w:rFonts w:asciiTheme="minorHAnsi" w:hAnsiTheme="minorHAnsi" w:cstheme="minorHAnsi"/>
          <w:lang w:val="en-AU"/>
        </w:rPr>
        <w:t xml:space="preserve"> </w:t>
      </w:r>
      <w:r w:rsidR="00061DDA" w:rsidRPr="00A86505">
        <w:rPr>
          <w:rFonts w:asciiTheme="minorHAnsi" w:hAnsiTheme="minorHAnsi" w:cstheme="minorHAnsi"/>
          <w:lang w:val="en-AU"/>
        </w:rPr>
        <w:t>content</w:t>
      </w:r>
      <w:r w:rsidRPr="00A86505">
        <w:rPr>
          <w:rFonts w:asciiTheme="minorHAnsi" w:hAnsiTheme="minorHAnsi" w:cstheme="minorHAnsi"/>
          <w:lang w:val="en-AU"/>
        </w:rPr>
        <w:t xml:space="preserve"> requirements</w:t>
      </w:r>
      <w:r w:rsidR="00610D3B" w:rsidRPr="00A86505">
        <w:rPr>
          <w:rFonts w:asciiTheme="minorHAnsi" w:hAnsiTheme="minorHAnsi" w:cstheme="minorHAnsi"/>
          <w:lang w:val="en-AU"/>
        </w:rPr>
        <w:t>,</w:t>
      </w:r>
      <w:r w:rsidRPr="00A86505">
        <w:rPr>
          <w:rFonts w:asciiTheme="minorHAnsi" w:hAnsiTheme="minorHAnsi" w:cstheme="minorHAnsi"/>
          <w:lang w:val="en-AU"/>
        </w:rPr>
        <w:t xml:space="preserve"> consistent with the level of study</w:t>
      </w:r>
      <w:r w:rsidR="00FE1B2E" w:rsidRPr="00A86505">
        <w:rPr>
          <w:rFonts w:asciiTheme="minorHAnsi" w:hAnsiTheme="minorHAnsi" w:cstheme="minorHAnsi"/>
          <w:lang w:val="en-AU"/>
        </w:rPr>
        <w:t>,</w:t>
      </w:r>
      <w:r w:rsidR="000F686F" w:rsidRPr="00A86505">
        <w:rPr>
          <w:rFonts w:asciiTheme="minorHAnsi" w:hAnsiTheme="minorHAnsi" w:cstheme="minorHAnsi"/>
          <w:lang w:val="en-AU"/>
        </w:rPr>
        <w:t xml:space="preserve"> and</w:t>
      </w:r>
      <w:r w:rsidRPr="00A86505">
        <w:rPr>
          <w:rFonts w:asciiTheme="minorHAnsi" w:hAnsiTheme="minorHAnsi" w:cstheme="minorHAnsi"/>
          <w:lang w:val="en-AU"/>
        </w:rPr>
        <w:t xml:space="preserve"> </w:t>
      </w:r>
      <w:r w:rsidR="00102B2D" w:rsidRPr="00A86505">
        <w:rPr>
          <w:rFonts w:asciiTheme="minorHAnsi" w:hAnsiTheme="minorHAnsi" w:cstheme="minorHAnsi"/>
          <w:lang w:val="en-AU"/>
        </w:rPr>
        <w:t xml:space="preserve">the need for </w:t>
      </w:r>
      <w:r w:rsidRPr="00A86505">
        <w:rPr>
          <w:rFonts w:asciiTheme="minorHAnsi" w:hAnsiTheme="minorHAnsi" w:cstheme="minorHAnsi"/>
          <w:lang w:val="en-AU"/>
        </w:rPr>
        <w:t>professional accred</w:t>
      </w:r>
      <w:r w:rsidR="000F686F" w:rsidRPr="00A86505">
        <w:rPr>
          <w:rFonts w:asciiTheme="minorHAnsi" w:hAnsiTheme="minorHAnsi" w:cstheme="minorHAnsi"/>
          <w:lang w:val="en-AU"/>
        </w:rPr>
        <w:t>itation of courses</w:t>
      </w:r>
      <w:r w:rsidR="00FE1B2E" w:rsidRPr="00A86505">
        <w:rPr>
          <w:rFonts w:asciiTheme="minorHAnsi" w:hAnsiTheme="minorHAnsi" w:cstheme="minorHAnsi"/>
          <w:lang w:val="en-AU"/>
        </w:rPr>
        <w:t>,</w:t>
      </w:r>
      <w:r w:rsidR="000F686F" w:rsidRPr="00A86505">
        <w:rPr>
          <w:rFonts w:asciiTheme="minorHAnsi" w:hAnsiTheme="minorHAnsi" w:cstheme="minorHAnsi"/>
          <w:lang w:val="en-AU"/>
        </w:rPr>
        <w:t xml:space="preserve"> </w:t>
      </w:r>
      <w:r w:rsidR="00102B2D" w:rsidRPr="00A86505">
        <w:rPr>
          <w:rFonts w:asciiTheme="minorHAnsi" w:hAnsiTheme="minorHAnsi" w:cstheme="minorHAnsi"/>
          <w:lang w:val="en-AU"/>
        </w:rPr>
        <w:t xml:space="preserve">where this is </w:t>
      </w:r>
      <w:r w:rsidR="000F686F" w:rsidRPr="00A86505">
        <w:rPr>
          <w:rFonts w:asciiTheme="minorHAnsi" w:hAnsiTheme="minorHAnsi" w:cstheme="minorHAnsi"/>
          <w:lang w:val="en-AU"/>
        </w:rPr>
        <w:t>required</w:t>
      </w:r>
      <w:r w:rsidR="00FE1B2E" w:rsidRPr="00A86505">
        <w:rPr>
          <w:rFonts w:asciiTheme="minorHAnsi" w:hAnsiTheme="minorHAnsi" w:cstheme="minorHAnsi"/>
          <w:lang w:val="en-AU"/>
        </w:rPr>
        <w:t>,</w:t>
      </w:r>
      <w:r w:rsidR="000F686F" w:rsidRPr="00A86505">
        <w:rPr>
          <w:rFonts w:asciiTheme="minorHAnsi" w:hAnsiTheme="minorHAnsi" w:cstheme="minorHAnsi"/>
          <w:lang w:val="en-AU"/>
        </w:rPr>
        <w:t xml:space="preserve"> </w:t>
      </w:r>
      <w:proofErr w:type="gramStart"/>
      <w:r w:rsidR="00102B2D" w:rsidRPr="00A86505">
        <w:rPr>
          <w:rFonts w:asciiTheme="minorHAnsi" w:hAnsiTheme="minorHAnsi" w:cstheme="minorHAnsi"/>
          <w:lang w:val="en-AU"/>
        </w:rPr>
        <w:t>in order for</w:t>
      </w:r>
      <w:proofErr w:type="gramEnd"/>
      <w:r w:rsidR="00102B2D" w:rsidRPr="00A86505">
        <w:rPr>
          <w:rFonts w:asciiTheme="minorHAnsi" w:hAnsiTheme="minorHAnsi" w:cstheme="minorHAnsi"/>
          <w:lang w:val="en-AU"/>
        </w:rPr>
        <w:t xml:space="preserve"> graduates to be eligible to practise</w:t>
      </w:r>
      <w:r w:rsidR="00984F19" w:rsidRPr="00A86505">
        <w:rPr>
          <w:rFonts w:asciiTheme="minorHAnsi" w:hAnsiTheme="minorHAnsi" w:cstheme="minorHAnsi"/>
          <w:lang w:val="en-AU"/>
        </w:rPr>
        <w:t>.</w:t>
      </w:r>
    </w:p>
    <w:p w14:paraId="76388226" w14:textId="77777777" w:rsidR="000B259F" w:rsidRPr="00A86505" w:rsidRDefault="000B259F" w:rsidP="001800C7">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Section 3.2 – Staffing –</w:t>
      </w:r>
      <w:r w:rsidR="005F7066" w:rsidRPr="00A86505">
        <w:rPr>
          <w:rFonts w:asciiTheme="minorHAnsi" w:hAnsiTheme="minorHAnsi" w:cstheme="minorHAnsi"/>
          <w:lang w:val="en-AU"/>
        </w:rPr>
        <w:t xml:space="preserve"> </w:t>
      </w:r>
      <w:r w:rsidR="00610D3B" w:rsidRPr="00A86505">
        <w:rPr>
          <w:rFonts w:asciiTheme="minorHAnsi" w:hAnsiTheme="minorHAnsi" w:cstheme="minorHAnsi"/>
          <w:lang w:val="en-AU"/>
        </w:rPr>
        <w:t xml:space="preserve">sets out requirements for </w:t>
      </w:r>
      <w:r w:rsidRPr="00A86505">
        <w:rPr>
          <w:rFonts w:asciiTheme="minorHAnsi" w:hAnsiTheme="minorHAnsi" w:cstheme="minorHAnsi"/>
          <w:lang w:val="en-AU"/>
        </w:rPr>
        <w:t>the availability, skills and knowledge of teaching staff</w:t>
      </w:r>
      <w:r w:rsidR="000F686F" w:rsidRPr="00A86505">
        <w:rPr>
          <w:rFonts w:asciiTheme="minorHAnsi" w:hAnsiTheme="minorHAnsi" w:cstheme="minorHAnsi"/>
          <w:lang w:val="en-AU"/>
        </w:rPr>
        <w:t>.</w:t>
      </w:r>
    </w:p>
    <w:p w14:paraId="70E5D06E" w14:textId="1D4F1648" w:rsidR="00610D3B" w:rsidRPr="00A86505" w:rsidRDefault="000B259F" w:rsidP="001800C7">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3.3 – Learning Resources and Educational Support – </w:t>
      </w:r>
      <w:r w:rsidR="00610D3B" w:rsidRPr="00A86505">
        <w:rPr>
          <w:rFonts w:asciiTheme="minorHAnsi" w:hAnsiTheme="minorHAnsi" w:cstheme="minorHAnsi"/>
          <w:lang w:val="en-AU"/>
        </w:rPr>
        <w:t xml:space="preserve">outlines the need for appropriate </w:t>
      </w:r>
      <w:r w:rsidRPr="00A86505">
        <w:rPr>
          <w:rFonts w:asciiTheme="minorHAnsi" w:hAnsiTheme="minorHAnsi" w:cstheme="minorHAnsi"/>
          <w:lang w:val="en-AU"/>
        </w:rPr>
        <w:t xml:space="preserve">educational support mechanisms, as well as adequate physical resources and infrastructure that </w:t>
      </w:r>
      <w:r w:rsidR="00E462CE" w:rsidRPr="00A86505">
        <w:rPr>
          <w:rFonts w:asciiTheme="minorHAnsi" w:hAnsiTheme="minorHAnsi" w:cstheme="minorHAnsi"/>
          <w:lang w:val="en-AU"/>
        </w:rPr>
        <w:t xml:space="preserve">are </w:t>
      </w:r>
      <w:r w:rsidRPr="00A86505">
        <w:rPr>
          <w:rFonts w:asciiTheme="minorHAnsi" w:hAnsiTheme="minorHAnsi" w:cstheme="minorHAnsi"/>
          <w:lang w:val="en-AU"/>
        </w:rPr>
        <w:t>fit for purpose</w:t>
      </w:r>
      <w:r w:rsidR="000F686F" w:rsidRPr="00A86505">
        <w:rPr>
          <w:rFonts w:asciiTheme="minorHAnsi" w:hAnsiTheme="minorHAnsi" w:cstheme="minorHAnsi"/>
          <w:lang w:val="en-AU"/>
        </w:rPr>
        <w:t>.</w:t>
      </w:r>
    </w:p>
    <w:p w14:paraId="3B7A0A11" w14:textId="77777777" w:rsidR="00DB79A1" w:rsidRPr="00A86505" w:rsidRDefault="00F37FF8" w:rsidP="001625E9">
      <w:pPr>
        <w:tabs>
          <w:tab w:val="clear" w:pos="1134"/>
        </w:tabs>
        <w:spacing w:after="200" w:line="276" w:lineRule="auto"/>
        <w:jc w:val="left"/>
        <w:rPr>
          <w:rFonts w:asciiTheme="minorHAnsi" w:hAnsiTheme="minorHAnsi" w:cstheme="minorHAnsi"/>
          <w:lang w:val="en-AU"/>
        </w:rPr>
      </w:pPr>
      <w:r w:rsidRPr="00A86505">
        <w:rPr>
          <w:rFonts w:asciiTheme="minorHAnsi" w:hAnsiTheme="minorHAnsi" w:cstheme="minorHAnsi"/>
          <w:lang w:val="en-AU"/>
        </w:rPr>
        <w:t xml:space="preserve">Domain </w:t>
      </w:r>
      <w:r w:rsidR="00DB79A1" w:rsidRPr="00A86505">
        <w:rPr>
          <w:rFonts w:asciiTheme="minorHAnsi" w:hAnsiTheme="minorHAnsi" w:cstheme="minorHAnsi"/>
          <w:lang w:val="en-AU"/>
        </w:rPr>
        <w:t>4</w:t>
      </w:r>
      <w:r w:rsidRPr="00A86505">
        <w:rPr>
          <w:rFonts w:asciiTheme="minorHAnsi" w:hAnsiTheme="minorHAnsi" w:cstheme="minorHAnsi"/>
          <w:lang w:val="en-AU"/>
        </w:rPr>
        <w:t>:</w:t>
      </w:r>
      <w:r w:rsidR="00DB79A1" w:rsidRPr="00A86505">
        <w:rPr>
          <w:rFonts w:asciiTheme="minorHAnsi" w:hAnsiTheme="minorHAnsi" w:cstheme="minorHAnsi"/>
          <w:lang w:val="en-AU"/>
        </w:rPr>
        <w:t xml:space="preserve"> Research and Research Training</w:t>
      </w:r>
    </w:p>
    <w:p w14:paraId="53E0FCA0" w14:textId="7E16958E" w:rsidR="000B259F" w:rsidRPr="00A86505" w:rsidRDefault="000B259F" w:rsidP="001800C7">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4.1 – Research – covers resources, ethics, supervision and </w:t>
      </w:r>
      <w:r w:rsidR="0000471F" w:rsidRPr="00A86505">
        <w:rPr>
          <w:rFonts w:asciiTheme="minorHAnsi" w:hAnsiTheme="minorHAnsi" w:cstheme="minorHAnsi"/>
          <w:lang w:val="en-AU"/>
        </w:rPr>
        <w:t>record keeping</w:t>
      </w:r>
      <w:r w:rsidRPr="00A86505">
        <w:rPr>
          <w:rFonts w:asciiTheme="minorHAnsi" w:hAnsiTheme="minorHAnsi" w:cstheme="minorHAnsi"/>
          <w:lang w:val="en-AU"/>
        </w:rPr>
        <w:t xml:space="preserve"> </w:t>
      </w:r>
      <w:r w:rsidR="00610D3B" w:rsidRPr="00A86505">
        <w:rPr>
          <w:rFonts w:asciiTheme="minorHAnsi" w:hAnsiTheme="minorHAnsi" w:cstheme="minorHAnsi"/>
          <w:lang w:val="en-AU"/>
        </w:rPr>
        <w:t xml:space="preserve">needed </w:t>
      </w:r>
      <w:r w:rsidRPr="00A86505">
        <w:rPr>
          <w:rFonts w:asciiTheme="minorHAnsi" w:hAnsiTheme="minorHAnsi" w:cstheme="minorHAnsi"/>
          <w:lang w:val="en-AU"/>
        </w:rPr>
        <w:t xml:space="preserve">for </w:t>
      </w:r>
      <w:r w:rsidR="00610D3B" w:rsidRPr="00A86505">
        <w:rPr>
          <w:rFonts w:asciiTheme="minorHAnsi" w:hAnsiTheme="minorHAnsi" w:cstheme="minorHAnsi"/>
          <w:lang w:val="en-AU"/>
        </w:rPr>
        <w:t xml:space="preserve">the conduct of </w:t>
      </w:r>
      <w:r w:rsidRPr="00A86505">
        <w:rPr>
          <w:rFonts w:asciiTheme="minorHAnsi" w:hAnsiTheme="minorHAnsi" w:cstheme="minorHAnsi"/>
          <w:lang w:val="en-AU"/>
        </w:rPr>
        <w:t>research</w:t>
      </w:r>
      <w:r w:rsidR="00610D3B" w:rsidRPr="00A86505">
        <w:rPr>
          <w:rFonts w:asciiTheme="minorHAnsi" w:hAnsiTheme="minorHAnsi" w:cstheme="minorHAnsi"/>
          <w:lang w:val="en-AU"/>
        </w:rPr>
        <w:t xml:space="preserve"> activity</w:t>
      </w:r>
      <w:r w:rsidRPr="00A86505">
        <w:rPr>
          <w:rFonts w:asciiTheme="minorHAnsi" w:hAnsiTheme="minorHAnsi" w:cstheme="minorHAnsi"/>
          <w:lang w:val="en-AU"/>
        </w:rPr>
        <w:t>.</w:t>
      </w:r>
    </w:p>
    <w:p w14:paraId="794866C8" w14:textId="77777777" w:rsidR="00DB79A1" w:rsidRPr="00A86505" w:rsidRDefault="000B259F" w:rsidP="001800C7">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4.2 – Research Training – </w:t>
      </w:r>
      <w:r w:rsidR="00610D3B" w:rsidRPr="00A86505">
        <w:rPr>
          <w:rFonts w:asciiTheme="minorHAnsi" w:hAnsiTheme="minorHAnsi" w:cstheme="minorHAnsi"/>
          <w:lang w:val="en-AU"/>
        </w:rPr>
        <w:t xml:space="preserve">specifies the need to appropriately support </w:t>
      </w:r>
      <w:r w:rsidR="00DB79A1" w:rsidRPr="00A86505">
        <w:rPr>
          <w:rFonts w:asciiTheme="minorHAnsi" w:hAnsiTheme="minorHAnsi" w:cstheme="minorHAnsi"/>
          <w:lang w:val="en-AU"/>
        </w:rPr>
        <w:t>research</w:t>
      </w:r>
      <w:r w:rsidR="00610D3B" w:rsidRPr="00A86505">
        <w:rPr>
          <w:rFonts w:asciiTheme="minorHAnsi" w:hAnsiTheme="minorHAnsi" w:cstheme="minorHAnsi"/>
          <w:lang w:val="en-AU"/>
        </w:rPr>
        <w:t xml:space="preserve"> students, including through induction and adequate supervision</w:t>
      </w:r>
      <w:r w:rsidR="00DB79A1" w:rsidRPr="00A86505">
        <w:rPr>
          <w:rFonts w:asciiTheme="minorHAnsi" w:hAnsiTheme="minorHAnsi" w:cstheme="minorHAnsi"/>
          <w:lang w:val="en-AU"/>
        </w:rPr>
        <w:t>.</w:t>
      </w:r>
    </w:p>
    <w:p w14:paraId="699BECA2" w14:textId="77777777" w:rsidR="00DB79A1" w:rsidRPr="00A86505" w:rsidRDefault="00F37FF8" w:rsidP="001800C7">
      <w:pPr>
        <w:keepNext/>
        <w:jc w:val="left"/>
        <w:rPr>
          <w:rFonts w:asciiTheme="minorHAnsi" w:hAnsiTheme="minorHAnsi" w:cstheme="minorHAnsi"/>
          <w:lang w:val="en-AU"/>
        </w:rPr>
      </w:pPr>
      <w:r w:rsidRPr="00A86505">
        <w:rPr>
          <w:rFonts w:asciiTheme="minorHAnsi" w:hAnsiTheme="minorHAnsi" w:cstheme="minorHAnsi"/>
          <w:lang w:val="en-AU"/>
        </w:rPr>
        <w:t xml:space="preserve">Domain </w:t>
      </w:r>
      <w:r w:rsidR="00DB79A1" w:rsidRPr="00A86505">
        <w:rPr>
          <w:rFonts w:asciiTheme="minorHAnsi" w:hAnsiTheme="minorHAnsi" w:cstheme="minorHAnsi"/>
          <w:lang w:val="en-AU"/>
        </w:rPr>
        <w:t>5</w:t>
      </w:r>
      <w:r w:rsidRPr="00A86505">
        <w:rPr>
          <w:rFonts w:asciiTheme="minorHAnsi" w:hAnsiTheme="minorHAnsi" w:cstheme="minorHAnsi"/>
          <w:lang w:val="en-AU"/>
        </w:rPr>
        <w:t>:</w:t>
      </w:r>
      <w:r w:rsidR="00DB79A1" w:rsidRPr="00A86505">
        <w:rPr>
          <w:rFonts w:asciiTheme="minorHAnsi" w:hAnsiTheme="minorHAnsi" w:cstheme="minorHAnsi"/>
          <w:lang w:val="en-AU"/>
        </w:rPr>
        <w:t xml:space="preserve"> Institutional Quality Assurance </w:t>
      </w:r>
    </w:p>
    <w:p w14:paraId="1DD1E4EF" w14:textId="77777777" w:rsidR="00DB7BB5" w:rsidRPr="00A86505" w:rsidRDefault="00DB7BB5" w:rsidP="001800C7">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Section 5.1 – Course Approval and Accreditation – cover</w:t>
      </w:r>
      <w:r w:rsidR="00166549" w:rsidRPr="00A86505">
        <w:rPr>
          <w:rFonts w:asciiTheme="minorHAnsi" w:hAnsiTheme="minorHAnsi" w:cstheme="minorHAnsi"/>
          <w:lang w:val="en-AU"/>
        </w:rPr>
        <w:t>s</w:t>
      </w:r>
      <w:r w:rsidRPr="00A86505">
        <w:rPr>
          <w:rFonts w:asciiTheme="minorHAnsi" w:hAnsiTheme="minorHAnsi" w:cstheme="minorHAnsi"/>
          <w:lang w:val="en-AU"/>
        </w:rPr>
        <w:t xml:space="preserve"> internal mechanisms to assure quality such as policies for course approv</w:t>
      </w:r>
      <w:r w:rsidR="000F686F" w:rsidRPr="00A86505">
        <w:rPr>
          <w:rFonts w:asciiTheme="minorHAnsi" w:hAnsiTheme="minorHAnsi" w:cstheme="minorHAnsi"/>
          <w:lang w:val="en-AU"/>
        </w:rPr>
        <w:t>als, accreditation and delivery.</w:t>
      </w:r>
    </w:p>
    <w:p w14:paraId="184875C0" w14:textId="47955461" w:rsidR="00166549" w:rsidRPr="00A86505" w:rsidRDefault="00DB7BB5" w:rsidP="001800C7">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5.2 – Academic and Research Integrity – </w:t>
      </w:r>
      <w:r w:rsidR="00984F19" w:rsidRPr="00A86505">
        <w:rPr>
          <w:rFonts w:asciiTheme="minorHAnsi" w:hAnsiTheme="minorHAnsi" w:cstheme="minorHAnsi"/>
          <w:lang w:val="en-AU"/>
        </w:rPr>
        <w:t>requires that</w:t>
      </w:r>
      <w:r w:rsidR="005F7066" w:rsidRPr="00A86505">
        <w:rPr>
          <w:rFonts w:asciiTheme="minorHAnsi" w:hAnsiTheme="minorHAnsi" w:cstheme="minorHAnsi"/>
          <w:lang w:val="en-AU"/>
        </w:rPr>
        <w:t xml:space="preserve"> </w:t>
      </w:r>
      <w:r w:rsidR="00166549" w:rsidRPr="00A86505">
        <w:rPr>
          <w:rFonts w:asciiTheme="minorHAnsi" w:hAnsiTheme="minorHAnsi" w:cstheme="minorHAnsi"/>
          <w:lang w:val="en-AU"/>
        </w:rPr>
        <w:t>policies are in place to deal with misconduct including cheating, plagiarism, misrepresentation and misuse of intellectual property</w:t>
      </w:r>
      <w:r w:rsidR="006968A5" w:rsidRPr="00A86505">
        <w:rPr>
          <w:rFonts w:asciiTheme="minorHAnsi" w:hAnsiTheme="minorHAnsi" w:cstheme="minorHAnsi"/>
          <w:lang w:val="en-AU"/>
        </w:rPr>
        <w:t>,</w:t>
      </w:r>
      <w:r w:rsidR="00984F19" w:rsidRPr="00A86505">
        <w:rPr>
          <w:rFonts w:asciiTheme="minorHAnsi" w:hAnsiTheme="minorHAnsi" w:cstheme="minorHAnsi"/>
          <w:lang w:val="en-AU"/>
        </w:rPr>
        <w:t xml:space="preserve"> and that these policies are actively administered to ensure the integrity of academic and research activity</w:t>
      </w:r>
      <w:r w:rsidR="00166549" w:rsidRPr="00A86505">
        <w:rPr>
          <w:rFonts w:asciiTheme="minorHAnsi" w:hAnsiTheme="minorHAnsi" w:cstheme="minorHAnsi"/>
          <w:lang w:val="en-AU"/>
        </w:rPr>
        <w:t>.</w:t>
      </w:r>
    </w:p>
    <w:p w14:paraId="2EDA00D2" w14:textId="77777777" w:rsidR="00166549" w:rsidRPr="00A86505" w:rsidRDefault="00166549" w:rsidP="00166549">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5.3 – Monitoring, Review and Improvement – </w:t>
      </w:r>
      <w:r w:rsidR="00984F19" w:rsidRPr="00A86505">
        <w:rPr>
          <w:rFonts w:asciiTheme="minorHAnsi" w:hAnsiTheme="minorHAnsi" w:cstheme="minorHAnsi"/>
          <w:lang w:val="en-AU"/>
        </w:rPr>
        <w:t xml:space="preserve">requires that the quality of education offerings be continuously </w:t>
      </w:r>
      <w:r w:rsidRPr="00A86505">
        <w:rPr>
          <w:rFonts w:asciiTheme="minorHAnsi" w:hAnsiTheme="minorHAnsi" w:cstheme="minorHAnsi"/>
          <w:lang w:val="en-AU"/>
        </w:rPr>
        <w:t>monitor</w:t>
      </w:r>
      <w:r w:rsidR="00984F19" w:rsidRPr="00A86505">
        <w:rPr>
          <w:rFonts w:asciiTheme="minorHAnsi" w:hAnsiTheme="minorHAnsi" w:cstheme="minorHAnsi"/>
          <w:lang w:val="en-AU"/>
        </w:rPr>
        <w:t xml:space="preserve">ed and </w:t>
      </w:r>
      <w:r w:rsidRPr="00A86505">
        <w:rPr>
          <w:rFonts w:asciiTheme="minorHAnsi" w:hAnsiTheme="minorHAnsi" w:cstheme="minorHAnsi"/>
          <w:lang w:val="en-AU"/>
        </w:rPr>
        <w:t>review</w:t>
      </w:r>
      <w:r w:rsidR="00984F19" w:rsidRPr="00A86505">
        <w:rPr>
          <w:rFonts w:asciiTheme="minorHAnsi" w:hAnsiTheme="minorHAnsi" w:cstheme="minorHAnsi"/>
          <w:lang w:val="en-AU"/>
        </w:rPr>
        <w:t>ed</w:t>
      </w:r>
      <w:r w:rsidRPr="00A86505">
        <w:rPr>
          <w:rFonts w:asciiTheme="minorHAnsi" w:hAnsiTheme="minorHAnsi" w:cstheme="minorHAnsi"/>
          <w:lang w:val="en-AU"/>
        </w:rPr>
        <w:t xml:space="preserve"> </w:t>
      </w:r>
      <w:r w:rsidR="00984F19" w:rsidRPr="00A86505">
        <w:rPr>
          <w:rFonts w:asciiTheme="minorHAnsi" w:hAnsiTheme="minorHAnsi" w:cstheme="minorHAnsi"/>
          <w:lang w:val="en-AU"/>
        </w:rPr>
        <w:t>to maintain and enhance their quality and effectiveness</w:t>
      </w:r>
      <w:r w:rsidR="002F0598" w:rsidRPr="00A86505">
        <w:rPr>
          <w:rFonts w:asciiTheme="minorHAnsi" w:hAnsiTheme="minorHAnsi" w:cstheme="minorHAnsi"/>
          <w:lang w:val="en-AU"/>
        </w:rPr>
        <w:t>, including a comprehensive review of each course of study at least every seven years</w:t>
      </w:r>
      <w:r w:rsidR="00984F19" w:rsidRPr="00A86505">
        <w:rPr>
          <w:rFonts w:asciiTheme="minorHAnsi" w:hAnsiTheme="minorHAnsi" w:cstheme="minorHAnsi"/>
          <w:lang w:val="en-AU"/>
        </w:rPr>
        <w:t>.</w:t>
      </w:r>
    </w:p>
    <w:p w14:paraId="7C5E495C" w14:textId="77777777" w:rsidR="00166549" w:rsidRPr="00A86505" w:rsidRDefault="00166549" w:rsidP="00166549">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5.4 – Delivery with Other Parties – </w:t>
      </w:r>
      <w:r w:rsidR="002F0598" w:rsidRPr="00A86505">
        <w:rPr>
          <w:rFonts w:asciiTheme="minorHAnsi" w:hAnsiTheme="minorHAnsi" w:cstheme="minorHAnsi"/>
          <w:lang w:val="en-AU"/>
        </w:rPr>
        <w:t xml:space="preserve">identifies that the delivery of education by a third party must be quality assured and that the higher education provider remains accountable for </w:t>
      </w:r>
      <w:r w:rsidRPr="00A86505">
        <w:rPr>
          <w:rFonts w:asciiTheme="minorHAnsi" w:hAnsiTheme="minorHAnsi" w:cstheme="minorHAnsi"/>
          <w:lang w:val="en-AU"/>
        </w:rPr>
        <w:t xml:space="preserve">the quality of </w:t>
      </w:r>
      <w:r w:rsidR="002F0598" w:rsidRPr="00A86505">
        <w:rPr>
          <w:rFonts w:asciiTheme="minorHAnsi" w:hAnsiTheme="minorHAnsi" w:cstheme="minorHAnsi"/>
          <w:lang w:val="en-AU"/>
        </w:rPr>
        <w:t xml:space="preserve">all </w:t>
      </w:r>
      <w:r w:rsidRPr="00A86505">
        <w:rPr>
          <w:rFonts w:asciiTheme="minorHAnsi" w:hAnsiTheme="minorHAnsi" w:cstheme="minorHAnsi"/>
          <w:lang w:val="en-AU"/>
        </w:rPr>
        <w:t xml:space="preserve">education </w:t>
      </w:r>
      <w:r w:rsidR="002F0598" w:rsidRPr="00A86505">
        <w:rPr>
          <w:rFonts w:asciiTheme="minorHAnsi" w:hAnsiTheme="minorHAnsi" w:cstheme="minorHAnsi"/>
          <w:lang w:val="en-AU"/>
        </w:rPr>
        <w:t xml:space="preserve">delivered </w:t>
      </w:r>
      <w:r w:rsidRPr="00A86505">
        <w:rPr>
          <w:rFonts w:asciiTheme="minorHAnsi" w:hAnsiTheme="minorHAnsi" w:cstheme="minorHAnsi"/>
          <w:lang w:val="en-AU"/>
        </w:rPr>
        <w:t>through third parties.</w:t>
      </w:r>
    </w:p>
    <w:p w14:paraId="48313CCB" w14:textId="77777777" w:rsidR="00DB79A1" w:rsidRPr="00A86505" w:rsidRDefault="00F37FF8" w:rsidP="001800C7">
      <w:pPr>
        <w:keepNext/>
        <w:jc w:val="left"/>
        <w:rPr>
          <w:rFonts w:asciiTheme="minorHAnsi" w:hAnsiTheme="minorHAnsi" w:cstheme="minorHAnsi"/>
          <w:lang w:val="en-AU"/>
        </w:rPr>
      </w:pPr>
      <w:r w:rsidRPr="00A86505">
        <w:rPr>
          <w:rFonts w:asciiTheme="minorHAnsi" w:hAnsiTheme="minorHAnsi" w:cstheme="minorHAnsi"/>
          <w:lang w:val="en-AU"/>
        </w:rPr>
        <w:t xml:space="preserve">Domain </w:t>
      </w:r>
      <w:r w:rsidR="00DB79A1" w:rsidRPr="00A86505">
        <w:rPr>
          <w:rFonts w:asciiTheme="minorHAnsi" w:hAnsiTheme="minorHAnsi" w:cstheme="minorHAnsi"/>
          <w:lang w:val="en-AU"/>
        </w:rPr>
        <w:t>6</w:t>
      </w:r>
      <w:r w:rsidRPr="00A86505">
        <w:rPr>
          <w:rFonts w:asciiTheme="minorHAnsi" w:hAnsiTheme="minorHAnsi" w:cstheme="minorHAnsi"/>
          <w:lang w:val="en-AU"/>
        </w:rPr>
        <w:t>:</w:t>
      </w:r>
      <w:r w:rsidR="00DB79A1" w:rsidRPr="00A86505">
        <w:rPr>
          <w:rFonts w:asciiTheme="minorHAnsi" w:hAnsiTheme="minorHAnsi" w:cstheme="minorHAnsi"/>
          <w:lang w:val="en-AU"/>
        </w:rPr>
        <w:t xml:space="preserve"> Governance and Accountability </w:t>
      </w:r>
    </w:p>
    <w:p w14:paraId="23F600A7" w14:textId="5A71E5A2" w:rsidR="00166549" w:rsidRPr="00A86505" w:rsidRDefault="00166549" w:rsidP="00166549">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6.1 – Corporate Governance – </w:t>
      </w:r>
      <w:r w:rsidR="00864849" w:rsidRPr="00A86505">
        <w:rPr>
          <w:rFonts w:asciiTheme="minorHAnsi" w:hAnsiTheme="minorHAnsi" w:cstheme="minorHAnsi"/>
          <w:lang w:val="en-AU"/>
        </w:rPr>
        <w:t xml:space="preserve">requires </w:t>
      </w:r>
      <w:r w:rsidR="00B070A0" w:rsidRPr="00A86505">
        <w:rPr>
          <w:rFonts w:asciiTheme="minorHAnsi" w:hAnsiTheme="minorHAnsi" w:cstheme="minorHAnsi"/>
          <w:lang w:val="en-AU"/>
        </w:rPr>
        <w:t>the entity to have</w:t>
      </w:r>
      <w:r w:rsidR="00864849" w:rsidRPr="00A86505">
        <w:rPr>
          <w:rFonts w:asciiTheme="minorHAnsi" w:hAnsiTheme="minorHAnsi" w:cstheme="minorHAnsi"/>
          <w:lang w:val="en-AU"/>
        </w:rPr>
        <w:t xml:space="preserve"> a formally constituted governing body</w:t>
      </w:r>
      <w:r w:rsidR="003F0D99" w:rsidRPr="00A86505">
        <w:rPr>
          <w:rFonts w:asciiTheme="minorHAnsi" w:hAnsiTheme="minorHAnsi" w:cstheme="minorHAnsi"/>
          <w:lang w:val="en-AU"/>
        </w:rPr>
        <w:t xml:space="preserve"> that includes independent members</w:t>
      </w:r>
      <w:r w:rsidR="00D14632" w:rsidRPr="00A86505">
        <w:t xml:space="preserve"> </w:t>
      </w:r>
      <w:r w:rsidR="00D14632" w:rsidRPr="00A86505">
        <w:rPr>
          <w:rFonts w:asciiTheme="minorHAnsi" w:hAnsiTheme="minorHAnsi" w:cstheme="minorHAnsi"/>
          <w:lang w:val="en-AU"/>
        </w:rPr>
        <w:t>and sets out functions and obligations of the governing body</w:t>
      </w:r>
      <w:r w:rsidR="000F686F" w:rsidRPr="00A86505">
        <w:rPr>
          <w:rFonts w:asciiTheme="minorHAnsi" w:hAnsiTheme="minorHAnsi" w:cstheme="minorHAnsi"/>
          <w:lang w:val="en-AU"/>
        </w:rPr>
        <w:t>.</w:t>
      </w:r>
    </w:p>
    <w:p w14:paraId="2F83D665" w14:textId="05078F54" w:rsidR="00166549" w:rsidRPr="00A86505" w:rsidRDefault="00166549" w:rsidP="00166549">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6.2 – </w:t>
      </w:r>
      <w:r w:rsidR="00864849" w:rsidRPr="00A86505">
        <w:rPr>
          <w:rFonts w:asciiTheme="minorHAnsi" w:hAnsiTheme="minorHAnsi" w:cstheme="minorHAnsi"/>
          <w:lang w:val="en-AU"/>
        </w:rPr>
        <w:t>Corporate Monitoring and Accountability</w:t>
      </w:r>
      <w:r w:rsidRPr="00A86505">
        <w:rPr>
          <w:rFonts w:asciiTheme="minorHAnsi" w:hAnsiTheme="minorHAnsi" w:cstheme="minorHAnsi"/>
          <w:lang w:val="en-AU"/>
        </w:rPr>
        <w:t xml:space="preserve"> – </w:t>
      </w:r>
      <w:r w:rsidR="00645606" w:rsidRPr="00A86505">
        <w:rPr>
          <w:rFonts w:asciiTheme="minorHAnsi" w:hAnsiTheme="minorHAnsi" w:cstheme="minorHAnsi"/>
          <w:lang w:val="en-AU"/>
        </w:rPr>
        <w:t>requires the provider to demonstrate</w:t>
      </w:r>
      <w:r w:rsidR="006968A5" w:rsidRPr="00A86505">
        <w:rPr>
          <w:rFonts w:asciiTheme="minorHAnsi" w:hAnsiTheme="minorHAnsi" w:cstheme="minorHAnsi"/>
          <w:lang w:val="en-AU"/>
        </w:rPr>
        <w:t>,</w:t>
      </w:r>
      <w:r w:rsidR="00645606" w:rsidRPr="00A86505">
        <w:rPr>
          <w:rFonts w:asciiTheme="minorHAnsi" w:hAnsiTheme="minorHAnsi" w:cstheme="minorHAnsi"/>
          <w:lang w:val="en-AU"/>
        </w:rPr>
        <w:t xml:space="preserve"> and the corporate governing body to assure themselves</w:t>
      </w:r>
      <w:r w:rsidR="006968A5" w:rsidRPr="00A86505">
        <w:rPr>
          <w:rFonts w:asciiTheme="minorHAnsi" w:hAnsiTheme="minorHAnsi" w:cstheme="minorHAnsi"/>
          <w:lang w:val="en-AU"/>
        </w:rPr>
        <w:t>,</w:t>
      </w:r>
      <w:r w:rsidR="00645606" w:rsidRPr="00A86505">
        <w:rPr>
          <w:rFonts w:asciiTheme="minorHAnsi" w:hAnsiTheme="minorHAnsi" w:cstheme="minorHAnsi"/>
          <w:lang w:val="en-AU"/>
        </w:rPr>
        <w:t xml:space="preserve"> that the provider is operating effectively and sustainably, including in the areas of ongoing financial viability and risk management, having in place credible business plans and a strong compliance regime</w:t>
      </w:r>
      <w:r w:rsidR="000F686F" w:rsidRPr="00A86505">
        <w:rPr>
          <w:rFonts w:asciiTheme="minorHAnsi" w:hAnsiTheme="minorHAnsi" w:cstheme="minorHAnsi"/>
          <w:lang w:val="en-AU"/>
        </w:rPr>
        <w:t>.</w:t>
      </w:r>
    </w:p>
    <w:p w14:paraId="6FC49E5B" w14:textId="40AAA1E7" w:rsidR="00166549" w:rsidRPr="00A86505" w:rsidRDefault="00166549" w:rsidP="00166549">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6.3 – </w:t>
      </w:r>
      <w:r w:rsidR="00864849" w:rsidRPr="00A86505">
        <w:rPr>
          <w:rFonts w:asciiTheme="minorHAnsi" w:hAnsiTheme="minorHAnsi" w:cstheme="minorHAnsi"/>
          <w:lang w:val="en-AU"/>
        </w:rPr>
        <w:t>Academic Governance</w:t>
      </w:r>
      <w:r w:rsidRPr="00A86505">
        <w:rPr>
          <w:rFonts w:asciiTheme="minorHAnsi" w:hAnsiTheme="minorHAnsi" w:cstheme="minorHAnsi"/>
          <w:lang w:val="en-AU"/>
        </w:rPr>
        <w:t xml:space="preserve"> – </w:t>
      </w:r>
      <w:r w:rsidR="000F686F" w:rsidRPr="00A86505">
        <w:rPr>
          <w:rFonts w:asciiTheme="minorHAnsi" w:hAnsiTheme="minorHAnsi" w:cstheme="minorHAnsi"/>
          <w:lang w:val="en-AU"/>
        </w:rPr>
        <w:t>requires the entity to have processes and structures established</w:t>
      </w:r>
      <w:r w:rsidR="00494700" w:rsidRPr="00A86505">
        <w:rPr>
          <w:rFonts w:asciiTheme="minorHAnsi" w:hAnsiTheme="minorHAnsi" w:cstheme="minorHAnsi"/>
          <w:lang w:val="en-AU"/>
        </w:rPr>
        <w:t>,</w:t>
      </w:r>
      <w:r w:rsidR="000F686F" w:rsidRPr="00A86505">
        <w:rPr>
          <w:rFonts w:asciiTheme="minorHAnsi" w:hAnsiTheme="minorHAnsi" w:cstheme="minorHAnsi"/>
          <w:lang w:val="en-AU"/>
        </w:rPr>
        <w:t xml:space="preserve"> and responsibilities assigned </w:t>
      </w:r>
      <w:r w:rsidR="003F0D99" w:rsidRPr="00A86505">
        <w:rPr>
          <w:rFonts w:asciiTheme="minorHAnsi" w:hAnsiTheme="minorHAnsi" w:cstheme="minorHAnsi"/>
          <w:lang w:val="en-AU"/>
        </w:rPr>
        <w:t>in relation to</w:t>
      </w:r>
      <w:r w:rsidR="00494700" w:rsidRPr="00A86505">
        <w:rPr>
          <w:rFonts w:asciiTheme="minorHAnsi" w:hAnsiTheme="minorHAnsi" w:cstheme="minorHAnsi"/>
          <w:lang w:val="en-AU"/>
        </w:rPr>
        <w:t>,</w:t>
      </w:r>
      <w:r w:rsidR="003F0D99" w:rsidRPr="00A86505">
        <w:rPr>
          <w:rFonts w:asciiTheme="minorHAnsi" w:hAnsiTheme="minorHAnsi" w:cstheme="minorHAnsi"/>
          <w:lang w:val="en-AU"/>
        </w:rPr>
        <w:t xml:space="preserve"> </w:t>
      </w:r>
      <w:r w:rsidR="000F686F" w:rsidRPr="00A86505">
        <w:rPr>
          <w:rFonts w:asciiTheme="minorHAnsi" w:hAnsiTheme="minorHAnsi" w:cstheme="minorHAnsi"/>
          <w:lang w:val="en-AU"/>
        </w:rPr>
        <w:t xml:space="preserve">academic </w:t>
      </w:r>
      <w:r w:rsidR="003F0D99" w:rsidRPr="00A86505">
        <w:rPr>
          <w:rFonts w:asciiTheme="minorHAnsi" w:hAnsiTheme="minorHAnsi" w:cstheme="minorHAnsi"/>
          <w:lang w:val="en-AU"/>
        </w:rPr>
        <w:t xml:space="preserve">oversight </w:t>
      </w:r>
      <w:r w:rsidR="000F686F" w:rsidRPr="00A86505">
        <w:rPr>
          <w:rFonts w:asciiTheme="minorHAnsi" w:hAnsiTheme="minorHAnsi" w:cstheme="minorHAnsi"/>
          <w:lang w:val="en-AU"/>
        </w:rPr>
        <w:t>to assure the quality of teaching, learning, research and research training.</w:t>
      </w:r>
    </w:p>
    <w:p w14:paraId="64FBF5B4" w14:textId="77777777" w:rsidR="00DB79A1" w:rsidRPr="00A86505" w:rsidRDefault="00F37FF8" w:rsidP="001800C7">
      <w:pPr>
        <w:keepNext/>
        <w:jc w:val="left"/>
        <w:rPr>
          <w:rFonts w:asciiTheme="minorHAnsi" w:hAnsiTheme="minorHAnsi" w:cstheme="minorHAnsi"/>
          <w:lang w:val="en-AU"/>
        </w:rPr>
      </w:pPr>
      <w:r w:rsidRPr="00A86505">
        <w:rPr>
          <w:rFonts w:asciiTheme="minorHAnsi" w:hAnsiTheme="minorHAnsi" w:cstheme="minorHAnsi"/>
          <w:lang w:val="en-AU"/>
        </w:rPr>
        <w:lastRenderedPageBreak/>
        <w:t xml:space="preserve">Domain </w:t>
      </w:r>
      <w:r w:rsidR="00DB79A1" w:rsidRPr="00A86505">
        <w:rPr>
          <w:rFonts w:asciiTheme="minorHAnsi" w:hAnsiTheme="minorHAnsi" w:cstheme="minorHAnsi"/>
          <w:lang w:val="en-AU"/>
        </w:rPr>
        <w:t>7</w:t>
      </w:r>
      <w:r w:rsidRPr="00A86505">
        <w:rPr>
          <w:rFonts w:asciiTheme="minorHAnsi" w:hAnsiTheme="minorHAnsi" w:cstheme="minorHAnsi"/>
          <w:lang w:val="en-AU"/>
        </w:rPr>
        <w:t>:</w:t>
      </w:r>
      <w:r w:rsidR="00DB79A1" w:rsidRPr="00A86505">
        <w:rPr>
          <w:rFonts w:asciiTheme="minorHAnsi" w:hAnsiTheme="minorHAnsi" w:cstheme="minorHAnsi"/>
          <w:lang w:val="en-AU"/>
        </w:rPr>
        <w:t xml:space="preserve"> Representation, Information and Information Management </w:t>
      </w:r>
    </w:p>
    <w:p w14:paraId="310DE2EB" w14:textId="62D136D4" w:rsidR="000F686F" w:rsidRPr="00A86505" w:rsidRDefault="000F686F" w:rsidP="000F686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7.1 – Representation – </w:t>
      </w:r>
      <w:r w:rsidR="006C1A4C" w:rsidRPr="00A86505">
        <w:rPr>
          <w:rFonts w:asciiTheme="minorHAnsi" w:hAnsiTheme="minorHAnsi" w:cstheme="minorHAnsi"/>
          <w:lang w:val="en-AU"/>
        </w:rPr>
        <w:t xml:space="preserve">obliges </w:t>
      </w:r>
      <w:r w:rsidRPr="00A86505">
        <w:rPr>
          <w:rFonts w:asciiTheme="minorHAnsi" w:hAnsiTheme="minorHAnsi" w:cstheme="minorHAnsi"/>
          <w:lang w:val="en-AU"/>
        </w:rPr>
        <w:t xml:space="preserve">a provider </w:t>
      </w:r>
      <w:r w:rsidR="006C1A4C" w:rsidRPr="00A86505">
        <w:rPr>
          <w:rFonts w:asciiTheme="minorHAnsi" w:hAnsiTheme="minorHAnsi" w:cstheme="minorHAnsi"/>
          <w:lang w:val="en-AU"/>
        </w:rPr>
        <w:t xml:space="preserve">to </w:t>
      </w:r>
      <w:r w:rsidRPr="00A86505">
        <w:rPr>
          <w:rFonts w:asciiTheme="minorHAnsi" w:hAnsiTheme="minorHAnsi" w:cstheme="minorHAnsi"/>
          <w:lang w:val="en-AU"/>
        </w:rPr>
        <w:t xml:space="preserve">represent itself </w:t>
      </w:r>
      <w:r w:rsidR="006C1A4C" w:rsidRPr="00A86505">
        <w:rPr>
          <w:rFonts w:asciiTheme="minorHAnsi" w:hAnsiTheme="minorHAnsi" w:cstheme="minorHAnsi"/>
          <w:lang w:val="en-AU"/>
        </w:rPr>
        <w:t xml:space="preserve">accurately </w:t>
      </w:r>
      <w:r w:rsidR="001A2AC6" w:rsidRPr="00A86505">
        <w:rPr>
          <w:rFonts w:asciiTheme="minorHAnsi" w:hAnsiTheme="minorHAnsi" w:cstheme="minorHAnsi"/>
          <w:lang w:val="en-AU"/>
        </w:rPr>
        <w:t>and in a manner that is not misleading</w:t>
      </w:r>
      <w:r w:rsidR="00B548B7" w:rsidRPr="00A86505">
        <w:rPr>
          <w:rFonts w:asciiTheme="minorHAnsi" w:hAnsiTheme="minorHAnsi" w:cstheme="minorHAnsi"/>
          <w:lang w:val="en-AU"/>
        </w:rPr>
        <w:t>,</w:t>
      </w:r>
      <w:r w:rsidR="001A2AC6" w:rsidRPr="00A86505">
        <w:rPr>
          <w:rFonts w:asciiTheme="minorHAnsi" w:hAnsiTheme="minorHAnsi" w:cstheme="minorHAnsi"/>
          <w:lang w:val="en-AU"/>
        </w:rPr>
        <w:t xml:space="preserve"> </w:t>
      </w:r>
      <w:r w:rsidR="006C1A4C" w:rsidRPr="00A86505">
        <w:rPr>
          <w:rFonts w:asciiTheme="minorHAnsi" w:hAnsiTheme="minorHAnsi" w:cstheme="minorHAnsi"/>
          <w:lang w:val="en-AU"/>
        </w:rPr>
        <w:t>and</w:t>
      </w:r>
      <w:r w:rsidR="001A2AC6" w:rsidRPr="00A86505">
        <w:rPr>
          <w:rFonts w:asciiTheme="minorHAnsi" w:hAnsiTheme="minorHAnsi" w:cstheme="minorHAnsi"/>
          <w:lang w:val="en-AU"/>
        </w:rPr>
        <w:t xml:space="preserve"> to</w:t>
      </w:r>
      <w:r w:rsidR="006C1A4C" w:rsidRPr="00A86505">
        <w:rPr>
          <w:rFonts w:asciiTheme="minorHAnsi" w:hAnsiTheme="minorHAnsi" w:cstheme="minorHAnsi"/>
          <w:lang w:val="en-AU"/>
        </w:rPr>
        <w:t xml:space="preserve"> assure all agency arrangements through the use of formal contracts</w:t>
      </w:r>
      <w:r w:rsidRPr="00A86505">
        <w:rPr>
          <w:rFonts w:asciiTheme="minorHAnsi" w:hAnsiTheme="minorHAnsi" w:cstheme="minorHAnsi"/>
          <w:lang w:val="en-AU"/>
        </w:rPr>
        <w:t>.</w:t>
      </w:r>
    </w:p>
    <w:p w14:paraId="7CC713C1" w14:textId="47468976" w:rsidR="000F686F" w:rsidRPr="00A86505" w:rsidRDefault="000F686F" w:rsidP="000F686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7.2 – Information for Prospective and Current Students – </w:t>
      </w:r>
      <w:r w:rsidR="00A102A2" w:rsidRPr="00A86505">
        <w:rPr>
          <w:rFonts w:asciiTheme="minorHAnsi" w:hAnsiTheme="minorHAnsi" w:cstheme="minorHAnsi"/>
          <w:lang w:val="en-AU"/>
        </w:rPr>
        <w:t xml:space="preserve">sets out the types </w:t>
      </w:r>
      <w:r w:rsidRPr="00A86505">
        <w:rPr>
          <w:rFonts w:asciiTheme="minorHAnsi" w:hAnsiTheme="minorHAnsi" w:cstheme="minorHAnsi"/>
          <w:lang w:val="en-AU"/>
        </w:rPr>
        <w:t xml:space="preserve">of information </w:t>
      </w:r>
      <w:r w:rsidR="00A102A2" w:rsidRPr="00A86505">
        <w:rPr>
          <w:rFonts w:asciiTheme="minorHAnsi" w:hAnsiTheme="minorHAnsi" w:cstheme="minorHAnsi"/>
          <w:lang w:val="en-AU"/>
        </w:rPr>
        <w:t xml:space="preserve">that must be available </w:t>
      </w:r>
      <w:r w:rsidRPr="00A86505">
        <w:rPr>
          <w:rFonts w:asciiTheme="minorHAnsi" w:hAnsiTheme="minorHAnsi" w:cstheme="minorHAnsi"/>
          <w:lang w:val="en-AU"/>
        </w:rPr>
        <w:t xml:space="preserve">to prospective and enrolled students to </w:t>
      </w:r>
      <w:r w:rsidR="00A102A2" w:rsidRPr="00A86505">
        <w:rPr>
          <w:rFonts w:asciiTheme="minorHAnsi" w:hAnsiTheme="minorHAnsi" w:cstheme="minorHAnsi"/>
          <w:lang w:val="en-AU"/>
        </w:rPr>
        <w:t xml:space="preserve">support informed </w:t>
      </w:r>
      <w:r w:rsidRPr="00A86505">
        <w:rPr>
          <w:rFonts w:asciiTheme="minorHAnsi" w:hAnsiTheme="minorHAnsi" w:cstheme="minorHAnsi"/>
          <w:lang w:val="en-AU"/>
        </w:rPr>
        <w:t>decision</w:t>
      </w:r>
      <w:r w:rsidR="00B548B7" w:rsidRPr="00A86505">
        <w:rPr>
          <w:rFonts w:asciiTheme="minorHAnsi" w:hAnsiTheme="minorHAnsi" w:cstheme="minorHAnsi"/>
          <w:lang w:val="en-AU"/>
        </w:rPr>
        <w:t xml:space="preserve"> </w:t>
      </w:r>
      <w:r w:rsidR="00A102A2" w:rsidRPr="00A86505">
        <w:rPr>
          <w:rFonts w:asciiTheme="minorHAnsi" w:hAnsiTheme="minorHAnsi" w:cstheme="minorHAnsi"/>
          <w:lang w:val="en-AU"/>
        </w:rPr>
        <w:t>making about the provider’s higher education offerings</w:t>
      </w:r>
      <w:r w:rsidRPr="00A86505">
        <w:rPr>
          <w:rFonts w:asciiTheme="minorHAnsi" w:hAnsiTheme="minorHAnsi" w:cstheme="minorHAnsi"/>
          <w:lang w:val="en-AU"/>
        </w:rPr>
        <w:t>.</w:t>
      </w:r>
    </w:p>
    <w:p w14:paraId="7C4DD0C4" w14:textId="3893E1B4" w:rsidR="000F686F" w:rsidRPr="00A86505" w:rsidRDefault="000F686F" w:rsidP="000F686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Section 7.3 – Information Management – </w:t>
      </w:r>
      <w:r w:rsidR="00A102A2" w:rsidRPr="00A86505">
        <w:rPr>
          <w:rFonts w:asciiTheme="minorHAnsi" w:hAnsiTheme="minorHAnsi" w:cstheme="minorHAnsi"/>
          <w:lang w:val="en-AU"/>
        </w:rPr>
        <w:t xml:space="preserve">specifies a range </w:t>
      </w:r>
      <w:r w:rsidR="00995FEA" w:rsidRPr="00A86505">
        <w:rPr>
          <w:rFonts w:asciiTheme="minorHAnsi" w:hAnsiTheme="minorHAnsi" w:cstheme="minorHAnsi"/>
          <w:lang w:val="en-AU"/>
        </w:rPr>
        <w:t>of</w:t>
      </w:r>
      <w:r w:rsidR="00A102A2" w:rsidRPr="00A86505">
        <w:rPr>
          <w:rFonts w:asciiTheme="minorHAnsi" w:hAnsiTheme="minorHAnsi" w:cstheme="minorHAnsi"/>
          <w:lang w:val="en-AU"/>
        </w:rPr>
        <w:t xml:space="preserve"> information </w:t>
      </w:r>
      <w:r w:rsidR="004F410F" w:rsidRPr="00A86505">
        <w:rPr>
          <w:rFonts w:asciiTheme="minorHAnsi" w:hAnsiTheme="minorHAnsi" w:cstheme="minorHAnsi"/>
          <w:lang w:val="en-AU"/>
        </w:rPr>
        <w:t xml:space="preserve">about the higher education provider </w:t>
      </w:r>
      <w:r w:rsidR="00A102A2" w:rsidRPr="00A86505">
        <w:rPr>
          <w:rFonts w:asciiTheme="minorHAnsi" w:hAnsiTheme="minorHAnsi" w:cstheme="minorHAnsi"/>
          <w:lang w:val="en-AU"/>
        </w:rPr>
        <w:t>that must be available to the general public</w:t>
      </w:r>
      <w:r w:rsidR="00B548B7" w:rsidRPr="00A86505">
        <w:rPr>
          <w:rFonts w:asciiTheme="minorHAnsi" w:hAnsiTheme="minorHAnsi" w:cstheme="minorHAnsi"/>
          <w:lang w:val="en-AU"/>
        </w:rPr>
        <w:t>,</w:t>
      </w:r>
      <w:r w:rsidR="00A102A2" w:rsidRPr="00A86505">
        <w:rPr>
          <w:rFonts w:asciiTheme="minorHAnsi" w:hAnsiTheme="minorHAnsi" w:cstheme="minorHAnsi"/>
          <w:lang w:val="en-AU"/>
        </w:rPr>
        <w:t xml:space="preserve"> and the need for accurate and up-to-date </w:t>
      </w:r>
      <w:r w:rsidRPr="00A86505">
        <w:rPr>
          <w:rFonts w:asciiTheme="minorHAnsi" w:hAnsiTheme="minorHAnsi" w:cstheme="minorHAnsi"/>
          <w:lang w:val="en-AU"/>
        </w:rPr>
        <w:t>record keeping.</w:t>
      </w:r>
    </w:p>
    <w:p w14:paraId="48F2A3FA" w14:textId="6AE822D0" w:rsidR="00176455" w:rsidRPr="00A86505" w:rsidRDefault="00844371" w:rsidP="006713FE">
      <w:pPr>
        <w:numPr>
          <w:ilvl w:val="1"/>
          <w:numId w:val="4"/>
        </w:numPr>
        <w:tabs>
          <w:tab w:val="clear" w:pos="1134"/>
        </w:tabs>
        <w:spacing w:before="120" w:after="120"/>
        <w:ind w:left="993"/>
        <w:jc w:val="left"/>
        <w:rPr>
          <w:rFonts w:asciiTheme="minorHAnsi" w:hAnsiTheme="minorHAnsi" w:cstheme="minorHAnsi"/>
          <w:lang w:val="en-AU"/>
        </w:rPr>
      </w:pPr>
      <w:r w:rsidRPr="00A86505">
        <w:rPr>
          <w:rFonts w:asciiTheme="minorHAnsi" w:hAnsiTheme="minorHAnsi" w:cstheme="minorHAnsi"/>
          <w:lang w:val="en-AU"/>
        </w:rPr>
        <w:t>New i</w:t>
      </w:r>
      <w:r w:rsidR="00176455" w:rsidRPr="00A86505">
        <w:rPr>
          <w:rFonts w:asciiTheme="minorHAnsi" w:hAnsiTheme="minorHAnsi" w:cstheme="minorHAnsi"/>
          <w:lang w:val="en-AU"/>
        </w:rPr>
        <w:t xml:space="preserve">tem </w:t>
      </w:r>
      <w:r w:rsidR="00B548B7" w:rsidRPr="00A86505">
        <w:rPr>
          <w:rFonts w:asciiTheme="minorHAnsi" w:hAnsiTheme="minorHAnsi" w:cstheme="minorHAnsi"/>
          <w:lang w:val="en-AU"/>
        </w:rPr>
        <w:t>(</w:t>
      </w:r>
      <w:r w:rsidR="00176455" w:rsidRPr="00A86505">
        <w:rPr>
          <w:rFonts w:asciiTheme="minorHAnsi" w:hAnsiTheme="minorHAnsi" w:cstheme="minorHAnsi"/>
          <w:lang w:val="en-AU"/>
        </w:rPr>
        <w:t>g</w:t>
      </w:r>
      <w:r w:rsidR="00B548B7" w:rsidRPr="00A86505">
        <w:rPr>
          <w:rFonts w:asciiTheme="minorHAnsi" w:hAnsiTheme="minorHAnsi" w:cstheme="minorHAnsi"/>
          <w:lang w:val="en-AU"/>
        </w:rPr>
        <w:t>)</w:t>
      </w:r>
      <w:r w:rsidR="00176455" w:rsidRPr="00A86505">
        <w:rPr>
          <w:rFonts w:asciiTheme="minorHAnsi" w:hAnsiTheme="minorHAnsi" w:cstheme="minorHAnsi"/>
          <w:lang w:val="en-AU"/>
        </w:rPr>
        <w:t xml:space="preserve"> in Standard 7.3.2</w:t>
      </w:r>
      <w:r w:rsidRPr="00A86505">
        <w:rPr>
          <w:rFonts w:asciiTheme="minorHAnsi" w:hAnsiTheme="minorHAnsi" w:cstheme="minorHAnsi"/>
          <w:lang w:val="en-AU"/>
        </w:rPr>
        <w:t xml:space="preserve"> ensures that </w:t>
      </w:r>
      <w:r w:rsidR="00AE3C12" w:rsidRPr="00A86505">
        <w:rPr>
          <w:rFonts w:asciiTheme="minorHAnsi" w:hAnsiTheme="minorHAnsi" w:cstheme="minorHAnsi"/>
          <w:lang w:val="en-AU"/>
        </w:rPr>
        <w:t xml:space="preserve">information about </w:t>
      </w:r>
      <w:r w:rsidRPr="00A86505">
        <w:rPr>
          <w:rFonts w:asciiTheme="minorHAnsi" w:hAnsiTheme="minorHAnsi" w:cstheme="minorHAnsi"/>
          <w:lang w:val="en-AU"/>
        </w:rPr>
        <w:t>the provider’s credit and recognition of prior learning policy</w:t>
      </w:r>
      <w:r w:rsidR="00B548B7" w:rsidRPr="00A86505">
        <w:rPr>
          <w:rFonts w:asciiTheme="minorHAnsi" w:hAnsiTheme="minorHAnsi" w:cstheme="minorHAnsi"/>
          <w:lang w:val="en-AU"/>
        </w:rPr>
        <w:t>,</w:t>
      </w:r>
      <w:r w:rsidRPr="00A86505">
        <w:rPr>
          <w:rFonts w:asciiTheme="minorHAnsi" w:hAnsiTheme="minorHAnsi" w:cstheme="minorHAnsi"/>
          <w:lang w:val="en-AU"/>
        </w:rPr>
        <w:t xml:space="preserve"> </w:t>
      </w:r>
      <w:r w:rsidR="00754D45" w:rsidRPr="00A86505">
        <w:rPr>
          <w:rFonts w:asciiTheme="minorHAnsi" w:hAnsiTheme="minorHAnsi" w:cstheme="minorHAnsi"/>
          <w:lang w:val="en-AU"/>
        </w:rPr>
        <w:t xml:space="preserve">and any articulation or credit arrangements </w:t>
      </w:r>
      <w:r w:rsidR="00543D61" w:rsidRPr="00A86505">
        <w:rPr>
          <w:rFonts w:asciiTheme="minorHAnsi" w:hAnsiTheme="minorHAnsi" w:cstheme="minorHAnsi"/>
          <w:lang w:val="en-AU"/>
        </w:rPr>
        <w:t>applicable to each course of study</w:t>
      </w:r>
      <w:r w:rsidR="00B548B7" w:rsidRPr="00A86505">
        <w:rPr>
          <w:rFonts w:asciiTheme="minorHAnsi" w:hAnsiTheme="minorHAnsi" w:cstheme="minorHAnsi"/>
          <w:lang w:val="en-AU"/>
        </w:rPr>
        <w:t>,</w:t>
      </w:r>
      <w:r w:rsidR="00543D61" w:rsidRPr="00A86505">
        <w:rPr>
          <w:rFonts w:asciiTheme="minorHAnsi" w:hAnsiTheme="minorHAnsi" w:cstheme="minorHAnsi"/>
          <w:lang w:val="en-AU"/>
        </w:rPr>
        <w:t xml:space="preserve"> is readily </w:t>
      </w:r>
      <w:r w:rsidR="00754D45" w:rsidRPr="00A86505">
        <w:rPr>
          <w:rFonts w:asciiTheme="minorHAnsi" w:hAnsiTheme="minorHAnsi" w:cstheme="minorHAnsi"/>
          <w:lang w:val="en-AU"/>
        </w:rPr>
        <w:t xml:space="preserve">and publicly </w:t>
      </w:r>
      <w:r w:rsidR="00543D61" w:rsidRPr="00A86505">
        <w:rPr>
          <w:rFonts w:asciiTheme="minorHAnsi" w:hAnsiTheme="minorHAnsi" w:cstheme="minorHAnsi"/>
          <w:lang w:val="en-AU"/>
        </w:rPr>
        <w:t>accessible.</w:t>
      </w:r>
    </w:p>
    <w:p w14:paraId="623ED1E6" w14:textId="47584981" w:rsidR="00953F1D" w:rsidRPr="00A86505" w:rsidRDefault="00953F1D" w:rsidP="001800C7">
      <w:pPr>
        <w:keepNext/>
        <w:jc w:val="left"/>
        <w:rPr>
          <w:rFonts w:asciiTheme="minorHAnsi" w:hAnsiTheme="minorHAnsi" w:cstheme="minorHAnsi"/>
          <w:i/>
          <w:iCs/>
          <w:lang w:val="en-AU"/>
        </w:rPr>
      </w:pPr>
      <w:r w:rsidRPr="00A86505">
        <w:rPr>
          <w:rFonts w:asciiTheme="minorHAnsi" w:hAnsiTheme="minorHAnsi" w:cstheme="minorHAnsi"/>
          <w:i/>
          <w:iCs/>
          <w:lang w:val="en-AU"/>
        </w:rPr>
        <w:t>Part B: Criteria for Higher Education Providers</w:t>
      </w:r>
    </w:p>
    <w:p w14:paraId="7738D499" w14:textId="08A9D786" w:rsidR="00953F1D" w:rsidRPr="00A86505" w:rsidRDefault="00953F1D" w:rsidP="001800C7">
      <w:pPr>
        <w:keepNext/>
        <w:jc w:val="left"/>
        <w:rPr>
          <w:rFonts w:asciiTheme="minorHAnsi" w:hAnsiTheme="minorHAnsi" w:cstheme="minorHAnsi"/>
          <w:lang w:val="en-AU"/>
        </w:rPr>
      </w:pPr>
    </w:p>
    <w:p w14:paraId="13D72A39" w14:textId="4DDDC58D" w:rsidR="002651C1" w:rsidRPr="00A86505" w:rsidRDefault="00FA32C8" w:rsidP="006713FE">
      <w:pPr>
        <w:keepNext/>
        <w:jc w:val="left"/>
        <w:rPr>
          <w:rFonts w:asciiTheme="minorHAnsi" w:hAnsiTheme="minorHAnsi" w:cstheme="minorHAnsi"/>
          <w:i/>
          <w:iCs/>
          <w:lang w:val="en-AU"/>
        </w:rPr>
      </w:pPr>
      <w:r w:rsidRPr="00A86505">
        <w:rPr>
          <w:rFonts w:asciiTheme="minorHAnsi" w:hAnsiTheme="minorHAnsi" w:cstheme="minorHAnsi"/>
          <w:i/>
          <w:iCs/>
          <w:lang w:val="en-AU"/>
        </w:rPr>
        <w:t xml:space="preserve">Note: </w:t>
      </w:r>
      <w:r w:rsidR="00F43DE4" w:rsidRPr="00A86505">
        <w:rPr>
          <w:rFonts w:asciiTheme="minorHAnsi" w:hAnsiTheme="minorHAnsi" w:cstheme="minorHAnsi"/>
          <w:i/>
          <w:iCs/>
          <w:lang w:val="en-AU"/>
        </w:rPr>
        <w:t xml:space="preserve">The </w:t>
      </w:r>
      <w:r w:rsidR="00123D16" w:rsidRPr="00A86505">
        <w:rPr>
          <w:rFonts w:asciiTheme="minorHAnsi" w:hAnsiTheme="minorHAnsi" w:cstheme="minorHAnsi"/>
          <w:i/>
          <w:iCs/>
          <w:lang w:val="en-AU"/>
        </w:rPr>
        <w:t>stand</w:t>
      </w:r>
      <w:r w:rsidR="00EC2445" w:rsidRPr="00A86505">
        <w:rPr>
          <w:rFonts w:asciiTheme="minorHAnsi" w:hAnsiTheme="minorHAnsi" w:cstheme="minorHAnsi"/>
          <w:i/>
          <w:iCs/>
          <w:lang w:val="en-AU"/>
        </w:rPr>
        <w:t>ard</w:t>
      </w:r>
      <w:r w:rsidR="00123D16" w:rsidRPr="00A86505">
        <w:rPr>
          <w:rFonts w:asciiTheme="minorHAnsi" w:hAnsiTheme="minorHAnsi" w:cstheme="minorHAnsi"/>
          <w:i/>
          <w:iCs/>
          <w:lang w:val="en-AU"/>
        </w:rPr>
        <w:t>s</w:t>
      </w:r>
      <w:r w:rsidR="00EC2445" w:rsidRPr="00A86505">
        <w:rPr>
          <w:rFonts w:asciiTheme="minorHAnsi" w:hAnsiTheme="minorHAnsi" w:cstheme="minorHAnsi"/>
          <w:i/>
          <w:iCs/>
          <w:lang w:val="en-AU"/>
        </w:rPr>
        <w:t xml:space="preserve"> in Part B are </w:t>
      </w:r>
      <w:r w:rsidR="002651C1" w:rsidRPr="00A86505">
        <w:rPr>
          <w:rFonts w:asciiTheme="minorHAnsi" w:hAnsiTheme="minorHAnsi" w:cstheme="minorHAnsi"/>
          <w:i/>
          <w:iCs/>
          <w:lang w:val="en-AU"/>
        </w:rPr>
        <w:t>completely rewritten, compared to the 2015 Threshold Standards.</w:t>
      </w:r>
    </w:p>
    <w:p w14:paraId="7503148D" w14:textId="77777777" w:rsidR="00F43DE4" w:rsidRPr="00A86505" w:rsidRDefault="00F43DE4" w:rsidP="001800C7">
      <w:pPr>
        <w:keepNext/>
        <w:jc w:val="left"/>
        <w:rPr>
          <w:rFonts w:asciiTheme="minorHAnsi" w:hAnsiTheme="minorHAnsi" w:cstheme="minorHAnsi"/>
          <w:lang w:val="en-AU"/>
        </w:rPr>
      </w:pPr>
    </w:p>
    <w:p w14:paraId="504EE092" w14:textId="2C64DEF5" w:rsidR="00DB79A1" w:rsidRPr="00A86505" w:rsidRDefault="00F37FF8" w:rsidP="001800C7">
      <w:pPr>
        <w:keepNext/>
        <w:jc w:val="left"/>
        <w:rPr>
          <w:rFonts w:asciiTheme="minorHAnsi" w:hAnsiTheme="minorHAnsi" w:cstheme="minorHAnsi"/>
          <w:lang w:val="en-AU"/>
        </w:rPr>
      </w:pPr>
      <w:r w:rsidRPr="00A86505">
        <w:rPr>
          <w:rFonts w:asciiTheme="minorHAnsi" w:hAnsiTheme="minorHAnsi" w:cstheme="minorHAnsi"/>
          <w:lang w:val="en-AU"/>
        </w:rPr>
        <w:t xml:space="preserve">Part B1: Criteria for Higher Education Provider </w:t>
      </w:r>
      <w:r w:rsidR="00005CD0" w:rsidRPr="00A86505">
        <w:rPr>
          <w:rFonts w:asciiTheme="minorHAnsi" w:hAnsiTheme="minorHAnsi" w:cstheme="minorHAnsi"/>
          <w:lang w:val="en-AU"/>
        </w:rPr>
        <w:t>Categories</w:t>
      </w:r>
    </w:p>
    <w:p w14:paraId="36B55477" w14:textId="7E89CCE5" w:rsidR="00E81494" w:rsidRPr="00A86505" w:rsidRDefault="00993ABF" w:rsidP="00993AB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Part B1 </w:t>
      </w:r>
      <w:r w:rsidR="003B6BD7" w:rsidRPr="00A86505">
        <w:rPr>
          <w:rFonts w:asciiTheme="minorHAnsi" w:hAnsiTheme="minorHAnsi" w:cstheme="minorHAnsi"/>
          <w:lang w:val="en-AU"/>
        </w:rPr>
        <w:t xml:space="preserve">sets </w:t>
      </w:r>
      <w:r w:rsidR="002755A6" w:rsidRPr="00A86505">
        <w:rPr>
          <w:rFonts w:asciiTheme="minorHAnsi" w:hAnsiTheme="minorHAnsi" w:cstheme="minorHAnsi"/>
          <w:lang w:val="en-AU"/>
        </w:rPr>
        <w:t xml:space="preserve">out </w:t>
      </w:r>
      <w:r w:rsidR="003B6BD7" w:rsidRPr="00A86505">
        <w:rPr>
          <w:rFonts w:asciiTheme="minorHAnsi" w:hAnsiTheme="minorHAnsi" w:cstheme="minorHAnsi"/>
          <w:lang w:val="en-AU"/>
        </w:rPr>
        <w:t>the criteria for</w:t>
      </w:r>
      <w:r w:rsidR="002755A6" w:rsidRPr="00A86505">
        <w:rPr>
          <w:rFonts w:asciiTheme="minorHAnsi" w:hAnsiTheme="minorHAnsi" w:cstheme="minorHAnsi"/>
          <w:lang w:val="en-AU"/>
        </w:rPr>
        <w:t xml:space="preserve"> each of</w:t>
      </w:r>
      <w:r w:rsidR="003B6BD7" w:rsidRPr="00A86505">
        <w:rPr>
          <w:rFonts w:asciiTheme="minorHAnsi" w:hAnsiTheme="minorHAnsi" w:cstheme="minorHAnsi"/>
          <w:lang w:val="en-AU"/>
        </w:rPr>
        <w:t xml:space="preserve"> the </w:t>
      </w:r>
      <w:r w:rsidR="00E81494" w:rsidRPr="00A86505">
        <w:rPr>
          <w:rFonts w:asciiTheme="minorHAnsi" w:hAnsiTheme="minorHAnsi" w:cstheme="minorHAnsi"/>
          <w:lang w:val="en-AU"/>
        </w:rPr>
        <w:t xml:space="preserve">four </w:t>
      </w:r>
      <w:r w:rsidR="0034656E" w:rsidRPr="00A86505">
        <w:rPr>
          <w:rFonts w:asciiTheme="minorHAnsi" w:hAnsiTheme="minorHAnsi" w:cstheme="minorHAnsi"/>
          <w:lang w:val="en-AU"/>
        </w:rPr>
        <w:t>h</w:t>
      </w:r>
      <w:r w:rsidR="003B6BD7" w:rsidRPr="00A86505">
        <w:rPr>
          <w:rFonts w:asciiTheme="minorHAnsi" w:hAnsiTheme="minorHAnsi" w:cstheme="minorHAnsi"/>
          <w:lang w:val="en-AU"/>
        </w:rPr>
        <w:t xml:space="preserve">igher </w:t>
      </w:r>
      <w:r w:rsidR="0034656E" w:rsidRPr="00A86505">
        <w:rPr>
          <w:rFonts w:asciiTheme="minorHAnsi" w:hAnsiTheme="minorHAnsi" w:cstheme="minorHAnsi"/>
          <w:lang w:val="en-AU"/>
        </w:rPr>
        <w:t>e</w:t>
      </w:r>
      <w:r w:rsidR="003B6BD7" w:rsidRPr="00A86505">
        <w:rPr>
          <w:rFonts w:asciiTheme="minorHAnsi" w:hAnsiTheme="minorHAnsi" w:cstheme="minorHAnsi"/>
          <w:lang w:val="en-AU"/>
        </w:rPr>
        <w:t xml:space="preserve">ducation </w:t>
      </w:r>
      <w:r w:rsidR="0034656E" w:rsidRPr="00A86505">
        <w:rPr>
          <w:rFonts w:asciiTheme="minorHAnsi" w:hAnsiTheme="minorHAnsi" w:cstheme="minorHAnsi"/>
          <w:lang w:val="en-AU"/>
        </w:rPr>
        <w:t>p</w:t>
      </w:r>
      <w:r w:rsidR="003B6BD7" w:rsidRPr="00A86505">
        <w:rPr>
          <w:rFonts w:asciiTheme="minorHAnsi" w:hAnsiTheme="minorHAnsi" w:cstheme="minorHAnsi"/>
          <w:lang w:val="en-AU"/>
        </w:rPr>
        <w:t xml:space="preserve">rovider </w:t>
      </w:r>
      <w:r w:rsidR="0034656E" w:rsidRPr="00A86505">
        <w:rPr>
          <w:rFonts w:asciiTheme="minorHAnsi" w:hAnsiTheme="minorHAnsi" w:cstheme="minorHAnsi"/>
          <w:lang w:val="en-AU"/>
        </w:rPr>
        <w:t>c</w:t>
      </w:r>
      <w:r w:rsidR="003B6BD7" w:rsidRPr="00A86505">
        <w:rPr>
          <w:rFonts w:asciiTheme="minorHAnsi" w:hAnsiTheme="minorHAnsi" w:cstheme="minorHAnsi"/>
          <w:lang w:val="en-AU"/>
        </w:rPr>
        <w:t xml:space="preserve">ategories </w:t>
      </w:r>
      <w:r w:rsidR="002755A6" w:rsidRPr="00A86505">
        <w:rPr>
          <w:rFonts w:asciiTheme="minorHAnsi" w:hAnsiTheme="minorHAnsi" w:cstheme="minorHAnsi"/>
          <w:lang w:val="en-AU"/>
        </w:rPr>
        <w:t xml:space="preserve">listed </w:t>
      </w:r>
      <w:r w:rsidR="003B6BD7" w:rsidRPr="00A86505">
        <w:rPr>
          <w:rFonts w:asciiTheme="minorHAnsi" w:hAnsiTheme="minorHAnsi" w:cstheme="minorHAnsi"/>
          <w:lang w:val="en-AU"/>
        </w:rPr>
        <w:t xml:space="preserve">in section </w:t>
      </w:r>
      <w:r w:rsidR="00CC01ED" w:rsidRPr="00A86505">
        <w:rPr>
          <w:rFonts w:asciiTheme="minorHAnsi" w:hAnsiTheme="minorHAnsi" w:cstheme="minorHAnsi"/>
          <w:lang w:val="en-AU"/>
        </w:rPr>
        <w:t xml:space="preserve">6 </w:t>
      </w:r>
      <w:r w:rsidR="002755A6" w:rsidRPr="00A86505">
        <w:rPr>
          <w:rFonts w:asciiTheme="minorHAnsi" w:hAnsiTheme="minorHAnsi" w:cstheme="minorHAnsi"/>
          <w:lang w:val="en-AU"/>
        </w:rPr>
        <w:t xml:space="preserve">of the </w:t>
      </w:r>
      <w:r w:rsidR="00B548B7" w:rsidRPr="00A86505">
        <w:rPr>
          <w:rFonts w:asciiTheme="minorHAnsi" w:hAnsiTheme="minorHAnsi" w:cstheme="minorHAnsi"/>
          <w:lang w:val="en-AU"/>
        </w:rPr>
        <w:t>I</w:t>
      </w:r>
      <w:r w:rsidR="002755A6" w:rsidRPr="00A86505">
        <w:rPr>
          <w:rFonts w:asciiTheme="minorHAnsi" w:hAnsiTheme="minorHAnsi" w:cstheme="minorHAnsi"/>
          <w:lang w:val="en-AU"/>
        </w:rPr>
        <w:t>nstrument</w:t>
      </w:r>
      <w:r w:rsidR="003B6BD7" w:rsidRPr="00A86505">
        <w:rPr>
          <w:rFonts w:asciiTheme="minorHAnsi" w:hAnsiTheme="minorHAnsi" w:cstheme="minorHAnsi"/>
          <w:lang w:val="en-AU"/>
        </w:rPr>
        <w:t>.</w:t>
      </w:r>
    </w:p>
    <w:p w14:paraId="3BE3510D" w14:textId="43F5F9E3" w:rsidR="003B6BD7" w:rsidRPr="00A86505" w:rsidRDefault="003B6BD7" w:rsidP="00993AB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B1 explains that all providers of higher education must meet the requirements of Part A and satisfy the requirements set out under the ‘Institute of Higher Education’ category in order to gain registration by </w:t>
      </w:r>
      <w:r w:rsidR="00B548B7" w:rsidRPr="00A86505">
        <w:rPr>
          <w:rFonts w:asciiTheme="minorHAnsi" w:hAnsiTheme="minorHAnsi" w:cstheme="minorHAnsi"/>
          <w:lang w:val="en-AU"/>
        </w:rPr>
        <w:t xml:space="preserve">the </w:t>
      </w:r>
      <w:r w:rsidR="00B548B7" w:rsidRPr="00A86505">
        <w:rPr>
          <w:rFonts w:asciiTheme="minorHAnsi" w:hAnsiTheme="minorHAnsi" w:cstheme="minorHAnsi"/>
          <w:bCs/>
          <w:iCs/>
        </w:rPr>
        <w:t>Tertiary Education Quality and Standards Agency</w:t>
      </w:r>
      <w:r w:rsidR="00B548B7" w:rsidRPr="00A86505">
        <w:rPr>
          <w:rFonts w:asciiTheme="minorHAnsi" w:hAnsiTheme="minorHAnsi" w:cstheme="minorHAnsi"/>
          <w:lang w:val="en-AU"/>
        </w:rPr>
        <w:t xml:space="preserve"> (</w:t>
      </w:r>
      <w:r w:rsidRPr="00A86505">
        <w:rPr>
          <w:rFonts w:asciiTheme="minorHAnsi" w:hAnsiTheme="minorHAnsi" w:cstheme="minorHAnsi"/>
          <w:lang w:val="en-AU"/>
        </w:rPr>
        <w:t>TEQSA</w:t>
      </w:r>
      <w:r w:rsidR="00B548B7" w:rsidRPr="00A86505">
        <w:rPr>
          <w:rFonts w:asciiTheme="minorHAnsi" w:hAnsiTheme="minorHAnsi" w:cstheme="minorHAnsi"/>
          <w:lang w:val="en-AU"/>
        </w:rPr>
        <w:t>)</w:t>
      </w:r>
      <w:r w:rsidRPr="00A86505">
        <w:rPr>
          <w:rFonts w:asciiTheme="minorHAnsi" w:hAnsiTheme="minorHAnsi" w:cstheme="minorHAnsi"/>
          <w:lang w:val="en-AU"/>
        </w:rPr>
        <w:t xml:space="preserve">. It further explains that Higher education providers may seek approval within a particular provider category under subsection 18(1) (applying for registration) or section 38 (change of category) of the </w:t>
      </w:r>
      <w:r w:rsidR="0006513B" w:rsidRPr="00A86505">
        <w:rPr>
          <w:rFonts w:asciiTheme="minorHAnsi" w:hAnsiTheme="minorHAnsi" w:cstheme="minorHAnsi"/>
          <w:lang w:val="en-AU"/>
        </w:rPr>
        <w:t>TEQSA Act</w:t>
      </w:r>
      <w:r w:rsidRPr="00A86505">
        <w:rPr>
          <w:rFonts w:asciiTheme="minorHAnsi" w:hAnsiTheme="minorHAnsi" w:cstheme="minorHAnsi"/>
          <w:lang w:val="en-AU"/>
        </w:rPr>
        <w:t>, and states that</w:t>
      </w:r>
      <w:r w:rsidR="006B3950" w:rsidRPr="00A86505">
        <w:rPr>
          <w:rFonts w:asciiTheme="minorHAnsi" w:hAnsiTheme="minorHAnsi" w:cstheme="minorHAnsi"/>
          <w:lang w:val="en-AU"/>
        </w:rPr>
        <w:t xml:space="preserve"> the</w:t>
      </w:r>
      <w:r w:rsidRPr="00A86505">
        <w:rPr>
          <w:rFonts w:asciiTheme="minorHAnsi" w:hAnsiTheme="minorHAnsi" w:cstheme="minorHAnsi"/>
          <w:lang w:val="en-AU"/>
        </w:rPr>
        <w:t xml:space="preserve"> provider category of each higher education provider will be </w:t>
      </w:r>
      <w:r w:rsidR="00182A07" w:rsidRPr="00A86505">
        <w:rPr>
          <w:rFonts w:asciiTheme="minorHAnsi" w:hAnsiTheme="minorHAnsi" w:cstheme="minorHAnsi"/>
          <w:lang w:val="en-AU"/>
        </w:rPr>
        <w:t xml:space="preserve">included </w:t>
      </w:r>
      <w:r w:rsidRPr="00A86505">
        <w:rPr>
          <w:rFonts w:asciiTheme="minorHAnsi" w:hAnsiTheme="minorHAnsi" w:cstheme="minorHAnsi"/>
          <w:lang w:val="en-AU"/>
        </w:rPr>
        <w:t>on the National Register of Higher Education Providers (administered by TEQSA).</w:t>
      </w:r>
    </w:p>
    <w:p w14:paraId="120B8C17" w14:textId="0217E8F8" w:rsidR="008D7DD7" w:rsidRPr="00A86505" w:rsidRDefault="008D7DD7" w:rsidP="008D7DD7">
      <w:pPr>
        <w:tabs>
          <w:tab w:val="clear" w:pos="1134"/>
        </w:tabs>
        <w:spacing w:before="120" w:after="120"/>
        <w:ind w:left="284"/>
        <w:jc w:val="left"/>
        <w:rPr>
          <w:rFonts w:asciiTheme="minorHAnsi" w:hAnsiTheme="minorHAnsi" w:cstheme="minorHAnsi"/>
          <w:lang w:val="en-AU"/>
        </w:rPr>
      </w:pPr>
      <w:r w:rsidRPr="00A86505">
        <w:rPr>
          <w:rFonts w:asciiTheme="minorHAnsi" w:hAnsiTheme="minorHAnsi" w:cstheme="minorHAnsi"/>
          <w:lang w:val="en-AU"/>
        </w:rPr>
        <w:t>Institute of Higher Education</w:t>
      </w:r>
    </w:p>
    <w:p w14:paraId="7D0A1422" w14:textId="07865725" w:rsidR="00993ABF" w:rsidRPr="00A86505" w:rsidRDefault="003B6BD7" w:rsidP="00993AB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B1.1 sets </w:t>
      </w:r>
      <w:r w:rsidR="000F6E29" w:rsidRPr="00A86505">
        <w:rPr>
          <w:rFonts w:asciiTheme="minorHAnsi" w:hAnsiTheme="minorHAnsi" w:cstheme="minorHAnsi"/>
          <w:lang w:val="en-AU"/>
        </w:rPr>
        <w:t xml:space="preserve">out </w:t>
      </w:r>
      <w:r w:rsidRPr="00A86505">
        <w:rPr>
          <w:rFonts w:asciiTheme="minorHAnsi" w:hAnsiTheme="minorHAnsi" w:cstheme="minorHAnsi"/>
          <w:lang w:val="en-AU"/>
        </w:rPr>
        <w:t xml:space="preserve">the requirements that a higher education provider must meet to be registered in the Institute of Higher Education </w:t>
      </w:r>
      <w:r w:rsidR="00B548B7" w:rsidRPr="00A86505">
        <w:rPr>
          <w:rFonts w:asciiTheme="minorHAnsi" w:hAnsiTheme="minorHAnsi" w:cstheme="minorHAnsi"/>
          <w:lang w:val="en-AU"/>
        </w:rPr>
        <w:t>c</w:t>
      </w:r>
      <w:r w:rsidRPr="00A86505">
        <w:rPr>
          <w:rFonts w:asciiTheme="minorHAnsi" w:hAnsiTheme="minorHAnsi" w:cstheme="minorHAnsi"/>
          <w:lang w:val="en-AU"/>
        </w:rPr>
        <w:t>ategory.</w:t>
      </w:r>
    </w:p>
    <w:p w14:paraId="4599C988" w14:textId="4FAEFA3C" w:rsidR="008D7DD7" w:rsidRPr="00A86505" w:rsidRDefault="009527B5" w:rsidP="008D7DD7">
      <w:pPr>
        <w:tabs>
          <w:tab w:val="clear" w:pos="1134"/>
        </w:tabs>
        <w:spacing w:before="120" w:after="120"/>
        <w:ind w:left="284"/>
        <w:jc w:val="left"/>
        <w:rPr>
          <w:rFonts w:asciiTheme="minorHAnsi" w:hAnsiTheme="minorHAnsi" w:cstheme="minorHAnsi"/>
          <w:lang w:val="en-AU"/>
        </w:rPr>
      </w:pPr>
      <w:r w:rsidRPr="00A86505">
        <w:rPr>
          <w:rFonts w:asciiTheme="minorHAnsi" w:hAnsiTheme="minorHAnsi" w:cstheme="minorHAnsi"/>
          <w:lang w:val="en-AU"/>
        </w:rPr>
        <w:t>University College</w:t>
      </w:r>
    </w:p>
    <w:p w14:paraId="29EB427A" w14:textId="77777777" w:rsidR="00FB5AD7" w:rsidRPr="00A86505" w:rsidRDefault="003B6BD7" w:rsidP="00993AB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B1.2 sets </w:t>
      </w:r>
      <w:r w:rsidR="006672C3" w:rsidRPr="00A86505">
        <w:rPr>
          <w:rFonts w:asciiTheme="minorHAnsi" w:hAnsiTheme="minorHAnsi" w:cstheme="minorHAnsi"/>
          <w:lang w:val="en-AU"/>
        </w:rPr>
        <w:t xml:space="preserve">out </w:t>
      </w:r>
      <w:r w:rsidRPr="00A86505">
        <w:rPr>
          <w:rFonts w:asciiTheme="minorHAnsi" w:hAnsiTheme="minorHAnsi" w:cstheme="minorHAnsi"/>
          <w:lang w:val="en-AU"/>
        </w:rPr>
        <w:t xml:space="preserve">the requirements that a higher education provider registered in the University College category must meet. </w:t>
      </w:r>
    </w:p>
    <w:p w14:paraId="01D8E72B" w14:textId="3B7245C4" w:rsidR="008D7DD7" w:rsidRPr="00A86505" w:rsidRDefault="003B6BD7" w:rsidP="00993AB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A note explains that providers registered in this category do not need to adopt the ‘University College’ branding if the name does not suit their mission or purpose.</w:t>
      </w:r>
    </w:p>
    <w:p w14:paraId="3118CBF1" w14:textId="77777777" w:rsidR="0090330A" w:rsidRPr="00A86505" w:rsidRDefault="0090330A" w:rsidP="0090330A">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There are two pathways into the University College category – as either:</w:t>
      </w:r>
    </w:p>
    <w:p w14:paraId="1F54B5CB" w14:textId="1CB1E9A2" w:rsidR="0090330A" w:rsidRPr="00A86505" w:rsidRDefault="0090330A" w:rsidP="0090330A">
      <w:pPr>
        <w:numPr>
          <w:ilvl w:val="1"/>
          <w:numId w:val="4"/>
        </w:numPr>
        <w:tabs>
          <w:tab w:val="clear" w:pos="1134"/>
        </w:tabs>
        <w:spacing w:before="120" w:after="120"/>
        <w:ind w:left="993"/>
        <w:jc w:val="left"/>
        <w:rPr>
          <w:rFonts w:asciiTheme="minorHAnsi" w:hAnsiTheme="minorHAnsi" w:cstheme="minorHAnsi"/>
          <w:lang w:val="en-AU"/>
        </w:rPr>
      </w:pPr>
      <w:r w:rsidRPr="00A86505">
        <w:rPr>
          <w:rFonts w:asciiTheme="minorHAnsi" w:hAnsiTheme="minorHAnsi" w:cstheme="minorHAnsi"/>
          <w:lang w:val="en-AU"/>
        </w:rPr>
        <w:t>an existing provider with a track record of high quality delivery and authorisation to self-accredit at least 70 per cent of its courses of study (Standards B1.2.1-12 apply to this pathway); or</w:t>
      </w:r>
    </w:p>
    <w:p w14:paraId="0FCEED0A" w14:textId="77777777" w:rsidR="0090330A" w:rsidRPr="00A86505" w:rsidRDefault="0090330A" w:rsidP="0090330A">
      <w:pPr>
        <w:numPr>
          <w:ilvl w:val="1"/>
          <w:numId w:val="4"/>
        </w:numPr>
        <w:tabs>
          <w:tab w:val="clear" w:pos="1134"/>
        </w:tabs>
        <w:spacing w:before="120" w:after="120"/>
        <w:ind w:left="993"/>
        <w:jc w:val="left"/>
        <w:rPr>
          <w:rFonts w:asciiTheme="minorHAnsi" w:hAnsiTheme="minorHAnsi" w:cstheme="minorHAnsi"/>
          <w:lang w:val="en-AU"/>
        </w:rPr>
      </w:pPr>
      <w:r w:rsidRPr="00A86505">
        <w:rPr>
          <w:rFonts w:asciiTheme="minorHAnsi" w:hAnsiTheme="minorHAnsi" w:cstheme="minorHAnsi"/>
          <w:lang w:val="en-AU"/>
        </w:rPr>
        <w:t>a new provider (greenfield) entity that demonstrates the capacity, resources and credible plans to satisfy the Australian University category criteria within five years of commencing teaching (Standards B1.2.13-18 apply to this pathway).</w:t>
      </w:r>
    </w:p>
    <w:p w14:paraId="56B2F2C3" w14:textId="705CA4F2" w:rsidR="0090330A" w:rsidRPr="00A86505" w:rsidRDefault="00C8553C" w:rsidP="00993AB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Standards </w:t>
      </w:r>
      <w:r w:rsidR="00A3301C" w:rsidRPr="00A86505">
        <w:rPr>
          <w:rFonts w:asciiTheme="minorHAnsi" w:hAnsiTheme="minorHAnsi" w:cstheme="minorHAnsi"/>
          <w:lang w:val="en-AU"/>
        </w:rPr>
        <w:t xml:space="preserve">B1.2.1-12 set out the requirements </w:t>
      </w:r>
      <w:r w:rsidR="0090330A" w:rsidRPr="00A86505">
        <w:rPr>
          <w:rFonts w:asciiTheme="minorHAnsi" w:hAnsiTheme="minorHAnsi" w:cstheme="minorHAnsi"/>
          <w:lang w:val="en-AU"/>
        </w:rPr>
        <w:t>to enter the category as a</w:t>
      </w:r>
      <w:r w:rsidRPr="00A86505">
        <w:rPr>
          <w:rFonts w:asciiTheme="minorHAnsi" w:hAnsiTheme="minorHAnsi" w:cstheme="minorHAnsi"/>
          <w:lang w:val="en-AU"/>
        </w:rPr>
        <w:t xml:space="preserve"> high quality </w:t>
      </w:r>
      <w:r w:rsidR="0090330A" w:rsidRPr="00A86505">
        <w:rPr>
          <w:rFonts w:asciiTheme="minorHAnsi" w:hAnsiTheme="minorHAnsi" w:cstheme="minorHAnsi"/>
          <w:lang w:val="en-AU"/>
        </w:rPr>
        <w:t>existing provider or remain in the category on an ongoing basis</w:t>
      </w:r>
      <w:r w:rsidR="00A3301C" w:rsidRPr="00A86505">
        <w:rPr>
          <w:rFonts w:asciiTheme="minorHAnsi" w:hAnsiTheme="minorHAnsi" w:cstheme="minorHAnsi"/>
          <w:lang w:val="en-AU"/>
        </w:rPr>
        <w:t>.</w:t>
      </w:r>
    </w:p>
    <w:p w14:paraId="32C2FDFF" w14:textId="34BF1314" w:rsidR="00F80B3F" w:rsidRPr="00A86505" w:rsidRDefault="00C44E38" w:rsidP="00993AB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lastRenderedPageBreak/>
        <w:t xml:space="preserve">Standards </w:t>
      </w:r>
      <w:r w:rsidR="008D7DD7" w:rsidRPr="00A86505">
        <w:rPr>
          <w:rFonts w:asciiTheme="minorHAnsi" w:hAnsiTheme="minorHAnsi" w:cstheme="minorHAnsi"/>
          <w:lang w:val="en-AU"/>
        </w:rPr>
        <w:t>B1.2</w:t>
      </w:r>
      <w:r w:rsidR="00A3301C" w:rsidRPr="00A86505">
        <w:rPr>
          <w:rFonts w:asciiTheme="minorHAnsi" w:hAnsiTheme="minorHAnsi" w:cstheme="minorHAnsi"/>
          <w:lang w:val="en-AU"/>
        </w:rPr>
        <w:t>.13-18</w:t>
      </w:r>
      <w:r w:rsidR="008D7DD7" w:rsidRPr="00A86505">
        <w:rPr>
          <w:rFonts w:asciiTheme="minorHAnsi" w:hAnsiTheme="minorHAnsi" w:cstheme="minorHAnsi"/>
          <w:lang w:val="en-AU"/>
        </w:rPr>
        <w:t xml:space="preserve"> set out the criteria </w:t>
      </w:r>
      <w:r w:rsidRPr="00A86505">
        <w:rPr>
          <w:rFonts w:asciiTheme="minorHAnsi" w:hAnsiTheme="minorHAnsi" w:cstheme="minorHAnsi"/>
          <w:lang w:val="en-AU"/>
        </w:rPr>
        <w:t xml:space="preserve">required to </w:t>
      </w:r>
      <w:r w:rsidR="008D7DD7" w:rsidRPr="00A86505">
        <w:rPr>
          <w:rFonts w:asciiTheme="minorHAnsi" w:hAnsiTheme="minorHAnsi" w:cstheme="minorHAnsi"/>
          <w:lang w:val="en-AU"/>
        </w:rPr>
        <w:t>establish a new, or ‘greenfield’</w:t>
      </w:r>
      <w:r w:rsidRPr="00A86505">
        <w:rPr>
          <w:rFonts w:asciiTheme="minorHAnsi" w:hAnsiTheme="minorHAnsi" w:cstheme="minorHAnsi"/>
          <w:lang w:val="en-AU"/>
        </w:rPr>
        <w:t>,</w:t>
      </w:r>
      <w:r w:rsidR="00A3301C" w:rsidRPr="00A86505">
        <w:rPr>
          <w:rFonts w:asciiTheme="minorHAnsi" w:hAnsiTheme="minorHAnsi" w:cstheme="minorHAnsi"/>
          <w:lang w:val="en-AU"/>
        </w:rPr>
        <w:t xml:space="preserve"> provider entity </w:t>
      </w:r>
      <w:r w:rsidR="00C8553C" w:rsidRPr="00A86505">
        <w:rPr>
          <w:rFonts w:asciiTheme="minorHAnsi" w:hAnsiTheme="minorHAnsi" w:cstheme="minorHAnsi"/>
          <w:lang w:val="en-AU"/>
        </w:rPr>
        <w:t>as a</w:t>
      </w:r>
      <w:r w:rsidR="008D7DD7" w:rsidRPr="00A86505">
        <w:rPr>
          <w:rFonts w:asciiTheme="minorHAnsi" w:hAnsiTheme="minorHAnsi" w:cstheme="minorHAnsi"/>
          <w:lang w:val="en-AU"/>
        </w:rPr>
        <w:t xml:space="preserve"> University College. </w:t>
      </w:r>
    </w:p>
    <w:p w14:paraId="20129BD4" w14:textId="13392652" w:rsidR="003B6BD7" w:rsidRPr="00A86505" w:rsidRDefault="008D7DD7" w:rsidP="00993AB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A note explains that </w:t>
      </w:r>
      <w:r w:rsidRPr="00A86505">
        <w:rPr>
          <w:rFonts w:asciiTheme="minorHAnsi" w:hAnsiTheme="minorHAnsi" w:cstheme="minorHAnsi"/>
          <w:iCs/>
          <w:lang w:val="en-AU"/>
        </w:rPr>
        <w:t xml:space="preserve">where a newly established higher education provider can </w:t>
      </w:r>
      <w:r w:rsidR="00F80B3F" w:rsidRPr="00A86505">
        <w:rPr>
          <w:rFonts w:asciiTheme="minorHAnsi" w:hAnsiTheme="minorHAnsi" w:cstheme="minorHAnsi"/>
          <w:iCs/>
          <w:lang w:val="en-AU"/>
        </w:rPr>
        <w:t xml:space="preserve">already </w:t>
      </w:r>
      <w:r w:rsidRPr="00A86505">
        <w:rPr>
          <w:rFonts w:asciiTheme="minorHAnsi" w:hAnsiTheme="minorHAnsi" w:cstheme="minorHAnsi"/>
          <w:iCs/>
          <w:lang w:val="en-AU"/>
        </w:rPr>
        <w:t xml:space="preserve">demonstrate that it meets all of the requirements of the ‘Australian University’ category, including mature development and a track record of compliance, TEQSA may consider approving direct entry of the new entity to the ‘Australian University’ category if it </w:t>
      </w:r>
      <w:r w:rsidR="00AC4247" w:rsidRPr="00A86505">
        <w:rPr>
          <w:rFonts w:asciiTheme="minorHAnsi" w:hAnsiTheme="minorHAnsi" w:cstheme="minorHAnsi"/>
          <w:iCs/>
          <w:lang w:val="en-AU"/>
        </w:rPr>
        <w:t xml:space="preserve">is </w:t>
      </w:r>
      <w:r w:rsidRPr="00A86505">
        <w:rPr>
          <w:rFonts w:asciiTheme="minorHAnsi" w:hAnsiTheme="minorHAnsi" w:cstheme="minorHAnsi"/>
          <w:iCs/>
          <w:lang w:val="en-AU"/>
        </w:rPr>
        <w:t>satisfied that the corporate and academic governance arrangements established for the new entity will ensure continued compliance and performance to the required standard for that category.</w:t>
      </w:r>
      <w:r w:rsidR="00F80B3F" w:rsidRPr="00A86505">
        <w:rPr>
          <w:rFonts w:asciiTheme="minorHAnsi" w:hAnsiTheme="minorHAnsi" w:cstheme="minorHAnsi"/>
          <w:iCs/>
          <w:lang w:val="en-AU"/>
        </w:rPr>
        <w:t xml:space="preserve"> It is expected this could only occur in very limited circumstances – for example if a large existing university were separated into </w:t>
      </w:r>
      <w:r w:rsidR="00FE51CF" w:rsidRPr="00A86505">
        <w:rPr>
          <w:rFonts w:asciiTheme="minorHAnsi" w:hAnsiTheme="minorHAnsi" w:cstheme="minorHAnsi"/>
          <w:iCs/>
          <w:lang w:val="en-AU"/>
        </w:rPr>
        <w:t>two smaller universities that could demonstrate appropriate levels of corporate and academic governance and quality assurance.</w:t>
      </w:r>
    </w:p>
    <w:p w14:paraId="773FE95F" w14:textId="4933A412" w:rsidR="009527B5" w:rsidRPr="00A86505" w:rsidRDefault="009527B5" w:rsidP="009527B5">
      <w:pPr>
        <w:tabs>
          <w:tab w:val="clear" w:pos="1134"/>
        </w:tabs>
        <w:spacing w:before="120" w:after="120"/>
        <w:ind w:left="284"/>
        <w:jc w:val="left"/>
        <w:rPr>
          <w:rFonts w:asciiTheme="minorHAnsi" w:hAnsiTheme="minorHAnsi" w:cstheme="minorHAnsi"/>
          <w:lang w:val="en-AU"/>
        </w:rPr>
      </w:pPr>
      <w:r w:rsidRPr="00A86505">
        <w:rPr>
          <w:rFonts w:asciiTheme="minorHAnsi" w:hAnsiTheme="minorHAnsi" w:cstheme="minorHAnsi"/>
          <w:iCs/>
          <w:lang w:val="en-AU"/>
        </w:rPr>
        <w:t>Australian University</w:t>
      </w:r>
    </w:p>
    <w:p w14:paraId="416585FA" w14:textId="4B50BB59" w:rsidR="003B6BD7" w:rsidRPr="00A86505" w:rsidRDefault="003B6BD7" w:rsidP="00993AB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B1.3</w:t>
      </w:r>
      <w:r w:rsidR="008D7DD7" w:rsidRPr="00A86505">
        <w:rPr>
          <w:rFonts w:asciiTheme="minorHAnsi" w:hAnsiTheme="minorHAnsi" w:cstheme="minorHAnsi"/>
          <w:lang w:val="en-AU"/>
        </w:rPr>
        <w:t xml:space="preserve"> sets </w:t>
      </w:r>
      <w:r w:rsidR="006C03BA" w:rsidRPr="00A86505">
        <w:rPr>
          <w:rFonts w:asciiTheme="minorHAnsi" w:hAnsiTheme="minorHAnsi" w:cstheme="minorHAnsi"/>
          <w:lang w:val="en-AU"/>
        </w:rPr>
        <w:t xml:space="preserve">out </w:t>
      </w:r>
      <w:r w:rsidR="008D7DD7" w:rsidRPr="00A86505">
        <w:rPr>
          <w:rFonts w:asciiTheme="minorHAnsi" w:hAnsiTheme="minorHAnsi" w:cstheme="minorHAnsi"/>
          <w:lang w:val="en-AU"/>
        </w:rPr>
        <w:t>the requirements that a higher education provider must meet to be registered in the Australian University category.</w:t>
      </w:r>
    </w:p>
    <w:p w14:paraId="68A9078D" w14:textId="77777777" w:rsidR="00FB5AD7" w:rsidRPr="00A86505" w:rsidRDefault="008D7DD7" w:rsidP="00993AB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B1.3 explains that, where </w:t>
      </w:r>
      <w:r w:rsidRPr="00A86505">
        <w:rPr>
          <w:rFonts w:asciiTheme="minorHAnsi" w:eastAsia="Calibri" w:hAnsiTheme="minorHAnsi" w:cstheme="minorHAnsi"/>
          <w:lang w:val="en-AU"/>
        </w:rPr>
        <w:t>an ‘Australian University’ has self-accrediting authority in only one or two broad (2-digit) fields of education, it is deemed to have a specialised focus. It further explains that, where an ‘Australian University’ with a specialised focus delivers courses of study in new broad (2</w:t>
      </w:r>
      <w:r w:rsidRPr="00A86505">
        <w:rPr>
          <w:rFonts w:asciiTheme="minorHAnsi" w:eastAsia="Calibri" w:hAnsiTheme="minorHAnsi" w:cstheme="minorHAnsi"/>
          <w:lang w:val="en-AU"/>
        </w:rPr>
        <w:noBreakHyphen/>
        <w:t xml:space="preserve">digit) field/s of education, the provider must be successful in seeking authorisation to self-accredit courses of study in the new field/s within 10 years from the commencement of those courses of study. </w:t>
      </w:r>
    </w:p>
    <w:p w14:paraId="02220607" w14:textId="416206BB" w:rsidR="008D7DD7" w:rsidRPr="00A86505" w:rsidRDefault="008D7DD7" w:rsidP="00993AB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eastAsia="Calibri" w:hAnsiTheme="minorHAnsi" w:cstheme="minorHAnsi"/>
          <w:lang w:val="en-AU"/>
        </w:rPr>
        <w:t xml:space="preserve">A note explains that, upon </w:t>
      </w:r>
      <w:r w:rsidRPr="00A86505">
        <w:rPr>
          <w:rFonts w:asciiTheme="minorHAnsi" w:hAnsiTheme="minorHAnsi" w:cstheme="minorHAnsi"/>
          <w:lang w:val="en-AU"/>
        </w:rPr>
        <w:t>achieving self-accrediting authority in at least three broad (2-digit) fields of education for which Doctoral Degrees (Research) are also delivered, the ‘Australian University’ is no longer deemed to have a specialised focus.</w:t>
      </w:r>
    </w:p>
    <w:p w14:paraId="35A13669" w14:textId="24D3E864" w:rsidR="00FB5AD7" w:rsidRPr="00A86505" w:rsidRDefault="009527B5" w:rsidP="00993AB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B1.3 also states that undertaking of research that leads to new knowledge and original creative endeavour and research training </w:t>
      </w:r>
      <w:r w:rsidR="00F96A40" w:rsidRPr="00A86505">
        <w:rPr>
          <w:rFonts w:asciiTheme="minorHAnsi" w:hAnsiTheme="minorHAnsi" w:cstheme="minorHAnsi"/>
          <w:lang w:val="en-AU"/>
        </w:rPr>
        <w:t>are</w:t>
      </w:r>
      <w:r w:rsidR="00E80B5D" w:rsidRPr="00A86505">
        <w:rPr>
          <w:rFonts w:asciiTheme="minorHAnsi" w:hAnsiTheme="minorHAnsi" w:cstheme="minorHAnsi"/>
          <w:lang w:val="en-AU"/>
        </w:rPr>
        <w:t xml:space="preserve"> </w:t>
      </w:r>
      <w:r w:rsidRPr="00A86505">
        <w:rPr>
          <w:rFonts w:asciiTheme="minorHAnsi" w:hAnsiTheme="minorHAnsi" w:cstheme="minorHAnsi"/>
          <w:lang w:val="en-AU"/>
        </w:rPr>
        <w:t xml:space="preserve">fundamental to the status of a higher education provider as an ‘Australian University’. </w:t>
      </w:r>
    </w:p>
    <w:p w14:paraId="332EE62A" w14:textId="3793A156" w:rsidR="009527B5" w:rsidRPr="00A86505" w:rsidRDefault="009527B5" w:rsidP="00993AB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A note explains that </w:t>
      </w:r>
      <w:r w:rsidR="002B02A3" w:rsidRPr="00A86505">
        <w:rPr>
          <w:rFonts w:asciiTheme="minorHAnsi" w:hAnsiTheme="minorHAnsi" w:cstheme="minorHAnsi"/>
          <w:lang w:val="en-AU"/>
        </w:rPr>
        <w:t xml:space="preserve">when </w:t>
      </w:r>
      <w:r w:rsidRPr="00A86505">
        <w:rPr>
          <w:rFonts w:asciiTheme="minorHAnsi" w:hAnsiTheme="minorHAnsi" w:cstheme="minorHAnsi"/>
          <w:iCs/>
          <w:lang w:val="en-AU"/>
        </w:rPr>
        <w:t>assessing the research requirements in criteria B</w:t>
      </w:r>
      <w:r w:rsidR="002B02A3" w:rsidRPr="00A86505">
        <w:rPr>
          <w:rFonts w:asciiTheme="minorHAnsi" w:hAnsiTheme="minorHAnsi" w:cstheme="minorHAnsi"/>
          <w:iCs/>
          <w:lang w:val="en-AU"/>
        </w:rPr>
        <w:t>1.</w:t>
      </w:r>
      <w:r w:rsidRPr="00A86505">
        <w:rPr>
          <w:rFonts w:asciiTheme="minorHAnsi" w:hAnsiTheme="minorHAnsi" w:cstheme="minorHAnsi"/>
          <w:iCs/>
          <w:lang w:val="en-AU"/>
        </w:rPr>
        <w:t>3.16-19, TEQSA may specify the matters to be considered in a legislative instrument. TEQSA will use existing national research benchmarking exercises where they are applicable. Where they are not applicable, TEQSA will benchmark against standard research indicators.</w:t>
      </w:r>
    </w:p>
    <w:p w14:paraId="5F6CB9B1" w14:textId="5BDAD4E8" w:rsidR="001F7DF7" w:rsidRPr="00A86505" w:rsidRDefault="001F7DF7" w:rsidP="00993AB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B1.3 then sets</w:t>
      </w:r>
      <w:r w:rsidR="00F70D26" w:rsidRPr="00A86505">
        <w:rPr>
          <w:rFonts w:asciiTheme="minorHAnsi" w:hAnsiTheme="minorHAnsi" w:cstheme="minorHAnsi"/>
          <w:lang w:val="en-AU"/>
        </w:rPr>
        <w:t xml:space="preserve"> out</w:t>
      </w:r>
      <w:r w:rsidRPr="00A86505">
        <w:rPr>
          <w:rFonts w:asciiTheme="minorHAnsi" w:hAnsiTheme="minorHAnsi" w:cstheme="minorHAnsi"/>
          <w:lang w:val="en-AU"/>
        </w:rPr>
        <w:t xml:space="preserve"> the standards for research that an Australian University must satisfy. </w:t>
      </w:r>
    </w:p>
    <w:p w14:paraId="517DA906" w14:textId="7F171164" w:rsidR="001F7DF7" w:rsidRPr="00A86505" w:rsidRDefault="001F7DF7" w:rsidP="001F7DF7">
      <w:pPr>
        <w:tabs>
          <w:tab w:val="clear" w:pos="1134"/>
        </w:tabs>
        <w:spacing w:before="120" w:after="120"/>
        <w:ind w:left="284"/>
        <w:jc w:val="left"/>
        <w:rPr>
          <w:rFonts w:asciiTheme="minorHAnsi" w:hAnsiTheme="minorHAnsi" w:cstheme="minorHAnsi"/>
          <w:lang w:val="en-AU"/>
        </w:rPr>
      </w:pPr>
      <w:r w:rsidRPr="00A86505">
        <w:rPr>
          <w:rFonts w:asciiTheme="minorHAnsi" w:hAnsiTheme="minorHAnsi" w:cstheme="minorHAnsi"/>
          <w:lang w:val="en-AU"/>
        </w:rPr>
        <w:t>Overseas University</w:t>
      </w:r>
    </w:p>
    <w:p w14:paraId="3AACCB49" w14:textId="4C792F93" w:rsidR="001F7DF7" w:rsidRPr="00A86505" w:rsidRDefault="00D43395" w:rsidP="00993ABF">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B1.4 sets </w:t>
      </w:r>
      <w:r w:rsidR="00A61AB9" w:rsidRPr="00A86505">
        <w:rPr>
          <w:rFonts w:asciiTheme="minorHAnsi" w:hAnsiTheme="minorHAnsi" w:cstheme="minorHAnsi"/>
          <w:lang w:val="en-AU"/>
        </w:rPr>
        <w:t xml:space="preserve">out </w:t>
      </w:r>
      <w:r w:rsidRPr="00A86505">
        <w:rPr>
          <w:rFonts w:asciiTheme="minorHAnsi" w:hAnsiTheme="minorHAnsi" w:cstheme="minorHAnsi"/>
          <w:lang w:val="en-AU"/>
        </w:rPr>
        <w:t xml:space="preserve">the requirements that a higher education provider registered in the Overseas University category must meet. </w:t>
      </w:r>
    </w:p>
    <w:p w14:paraId="06B3470E" w14:textId="1B80A48B" w:rsidR="00F37FF8" w:rsidRPr="00A86505" w:rsidRDefault="00F37FF8" w:rsidP="001800C7">
      <w:pPr>
        <w:keepNext/>
        <w:jc w:val="left"/>
        <w:rPr>
          <w:rFonts w:asciiTheme="minorHAnsi" w:hAnsiTheme="minorHAnsi" w:cstheme="minorHAnsi"/>
          <w:lang w:val="en-AU"/>
        </w:rPr>
      </w:pPr>
      <w:r w:rsidRPr="00A86505">
        <w:rPr>
          <w:rFonts w:asciiTheme="minorHAnsi" w:hAnsiTheme="minorHAnsi" w:cstheme="minorHAnsi"/>
          <w:lang w:val="en-AU"/>
        </w:rPr>
        <w:t xml:space="preserve">Part B2: Criteria for </w:t>
      </w:r>
      <w:r w:rsidR="00DA7F29" w:rsidRPr="00A86505">
        <w:rPr>
          <w:rFonts w:asciiTheme="minorHAnsi" w:hAnsiTheme="minorHAnsi" w:cstheme="minorHAnsi"/>
          <w:lang w:val="en-AU"/>
        </w:rPr>
        <w:t>S</w:t>
      </w:r>
      <w:r w:rsidR="00D43395" w:rsidRPr="00A86505">
        <w:rPr>
          <w:rFonts w:asciiTheme="minorHAnsi" w:hAnsiTheme="minorHAnsi" w:cstheme="minorHAnsi"/>
          <w:lang w:val="en-AU"/>
        </w:rPr>
        <w:t xml:space="preserve">eeking </w:t>
      </w:r>
      <w:r w:rsidR="00DA7F29" w:rsidRPr="00A86505">
        <w:rPr>
          <w:rFonts w:asciiTheme="minorHAnsi" w:hAnsiTheme="minorHAnsi" w:cstheme="minorHAnsi"/>
          <w:lang w:val="en-AU"/>
        </w:rPr>
        <w:t>S</w:t>
      </w:r>
      <w:r w:rsidR="00D43395" w:rsidRPr="00A86505">
        <w:rPr>
          <w:rFonts w:asciiTheme="minorHAnsi" w:hAnsiTheme="minorHAnsi" w:cstheme="minorHAnsi"/>
          <w:lang w:val="en-AU"/>
        </w:rPr>
        <w:t>elf-</w:t>
      </w:r>
      <w:r w:rsidR="00DA7F29" w:rsidRPr="00A86505">
        <w:rPr>
          <w:rFonts w:asciiTheme="minorHAnsi" w:hAnsiTheme="minorHAnsi" w:cstheme="minorHAnsi"/>
          <w:lang w:val="en-AU"/>
        </w:rPr>
        <w:t>A</w:t>
      </w:r>
      <w:r w:rsidR="00D43395" w:rsidRPr="00A86505">
        <w:rPr>
          <w:rFonts w:asciiTheme="minorHAnsi" w:hAnsiTheme="minorHAnsi" w:cstheme="minorHAnsi"/>
          <w:lang w:val="en-AU"/>
        </w:rPr>
        <w:t xml:space="preserve">ccrediting </w:t>
      </w:r>
      <w:r w:rsidR="00DA7F29" w:rsidRPr="00A86505">
        <w:rPr>
          <w:rFonts w:asciiTheme="minorHAnsi" w:hAnsiTheme="minorHAnsi" w:cstheme="minorHAnsi"/>
          <w:lang w:val="en-AU"/>
        </w:rPr>
        <w:t>A</w:t>
      </w:r>
      <w:r w:rsidR="00D43395" w:rsidRPr="00A86505">
        <w:rPr>
          <w:rFonts w:asciiTheme="minorHAnsi" w:hAnsiTheme="minorHAnsi" w:cstheme="minorHAnsi"/>
          <w:lang w:val="en-AU"/>
        </w:rPr>
        <w:t>uthority</w:t>
      </w:r>
    </w:p>
    <w:p w14:paraId="6D5AFE5A" w14:textId="083604F9" w:rsidR="00D43395" w:rsidRPr="00A86505" w:rsidRDefault="005F7066" w:rsidP="00D43395">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Part B2 </w:t>
      </w:r>
      <w:r w:rsidR="00D43395" w:rsidRPr="00A86505">
        <w:rPr>
          <w:rFonts w:asciiTheme="minorHAnsi" w:hAnsiTheme="minorHAnsi" w:cstheme="minorHAnsi"/>
          <w:lang w:val="en-AU"/>
        </w:rPr>
        <w:t>explains that providers can apply to TEQSA for limited or unlimited self-accrediting authority. It then sets out requirements that a provider must demonstrate i</w:t>
      </w:r>
      <w:r w:rsidR="00E80B5D" w:rsidRPr="00A86505">
        <w:rPr>
          <w:rFonts w:asciiTheme="minorHAnsi" w:hAnsiTheme="minorHAnsi" w:cstheme="minorHAnsi"/>
          <w:lang w:val="en-AU"/>
        </w:rPr>
        <w:t>t</w:t>
      </w:r>
      <w:r w:rsidR="00D43395" w:rsidRPr="00A86505">
        <w:rPr>
          <w:rFonts w:asciiTheme="minorHAnsi" w:hAnsiTheme="minorHAnsi" w:cstheme="minorHAnsi"/>
          <w:lang w:val="en-AU"/>
        </w:rPr>
        <w:t xml:space="preserve"> has satisfied for TEQSA to consider granting self-accrediting authority.</w:t>
      </w:r>
    </w:p>
    <w:p w14:paraId="36FE57BF" w14:textId="27C7D9EE" w:rsidR="00F37FF8" w:rsidRPr="00A86505" w:rsidRDefault="00F37FF8" w:rsidP="001800C7">
      <w:pPr>
        <w:keepNext/>
        <w:jc w:val="left"/>
        <w:rPr>
          <w:rFonts w:asciiTheme="minorHAnsi" w:hAnsiTheme="minorHAnsi" w:cstheme="minorHAnsi"/>
          <w:lang w:val="en-AU"/>
        </w:rPr>
      </w:pPr>
      <w:r w:rsidRPr="00A86505">
        <w:rPr>
          <w:rFonts w:asciiTheme="minorHAnsi" w:hAnsiTheme="minorHAnsi" w:cstheme="minorHAnsi"/>
          <w:lang w:val="en-AU"/>
        </w:rPr>
        <w:t>Part B</w:t>
      </w:r>
      <w:r w:rsidR="00FE488D" w:rsidRPr="00A86505">
        <w:rPr>
          <w:rFonts w:asciiTheme="minorHAnsi" w:hAnsiTheme="minorHAnsi" w:cstheme="minorHAnsi"/>
          <w:lang w:val="en-AU"/>
        </w:rPr>
        <w:t>3</w:t>
      </w:r>
      <w:r w:rsidRPr="00A86505">
        <w:rPr>
          <w:rFonts w:asciiTheme="minorHAnsi" w:hAnsiTheme="minorHAnsi" w:cstheme="minorHAnsi"/>
          <w:lang w:val="en-AU"/>
        </w:rPr>
        <w:t xml:space="preserve">: </w:t>
      </w:r>
      <w:r w:rsidR="00001241" w:rsidRPr="00A86505">
        <w:rPr>
          <w:rFonts w:asciiTheme="minorHAnsi" w:hAnsiTheme="minorHAnsi" w:cstheme="minorHAnsi"/>
          <w:lang w:val="en-AU"/>
        </w:rPr>
        <w:t>Transitional Standards</w:t>
      </w:r>
    </w:p>
    <w:p w14:paraId="44945B2B" w14:textId="38085F0C" w:rsidR="00F87B0F" w:rsidRPr="00A86505" w:rsidRDefault="00F87B0F" w:rsidP="001800C7">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 xml:space="preserve">Part B3 sets out standards that apply only to providers that were </w:t>
      </w:r>
      <w:r w:rsidR="00F43DE4" w:rsidRPr="00A86505">
        <w:rPr>
          <w:rFonts w:asciiTheme="minorHAnsi" w:hAnsiTheme="minorHAnsi" w:cstheme="minorHAnsi"/>
          <w:lang w:val="en-AU"/>
        </w:rPr>
        <w:t xml:space="preserve">already </w:t>
      </w:r>
      <w:r w:rsidRPr="00A86505">
        <w:rPr>
          <w:rFonts w:asciiTheme="minorHAnsi" w:hAnsiTheme="minorHAnsi" w:cstheme="minorHAnsi"/>
          <w:lang w:val="en-AU"/>
        </w:rPr>
        <w:t xml:space="preserve">registered </w:t>
      </w:r>
      <w:r w:rsidR="00F43DE4" w:rsidRPr="00A86505">
        <w:rPr>
          <w:rFonts w:asciiTheme="minorHAnsi" w:hAnsiTheme="minorHAnsi" w:cstheme="minorHAnsi"/>
          <w:lang w:val="en-AU"/>
        </w:rPr>
        <w:t xml:space="preserve">at the time </w:t>
      </w:r>
      <w:r w:rsidR="00E80B5D" w:rsidRPr="00A86505">
        <w:rPr>
          <w:rFonts w:asciiTheme="minorHAnsi" w:hAnsiTheme="minorHAnsi" w:cstheme="minorHAnsi"/>
          <w:lang w:val="en-AU"/>
        </w:rPr>
        <w:t>the</w:t>
      </w:r>
      <w:r w:rsidR="00F43DE4" w:rsidRPr="00A86505">
        <w:rPr>
          <w:rFonts w:asciiTheme="minorHAnsi" w:hAnsiTheme="minorHAnsi" w:cstheme="minorHAnsi"/>
          <w:lang w:val="en-AU"/>
        </w:rPr>
        <w:t xml:space="preserve"> </w:t>
      </w:r>
      <w:r w:rsidR="00E80B5D" w:rsidRPr="00A86505">
        <w:rPr>
          <w:rFonts w:asciiTheme="minorHAnsi" w:hAnsiTheme="minorHAnsi" w:cstheme="minorHAnsi"/>
          <w:lang w:val="en-AU"/>
        </w:rPr>
        <w:t>I</w:t>
      </w:r>
      <w:r w:rsidR="00F43DE4" w:rsidRPr="00A86505">
        <w:rPr>
          <w:rFonts w:asciiTheme="minorHAnsi" w:hAnsiTheme="minorHAnsi" w:cstheme="minorHAnsi"/>
          <w:lang w:val="en-AU"/>
        </w:rPr>
        <w:t>nstrument takes effect.</w:t>
      </w:r>
    </w:p>
    <w:p w14:paraId="4FAFFF5D" w14:textId="343333D7" w:rsidR="00001241" w:rsidRPr="00A86505" w:rsidRDefault="005F7066" w:rsidP="001800C7">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t>Part B3</w:t>
      </w:r>
      <w:r w:rsidR="00001241" w:rsidRPr="00A86505">
        <w:rPr>
          <w:rFonts w:asciiTheme="minorHAnsi" w:hAnsiTheme="minorHAnsi" w:cstheme="minorHAnsi"/>
          <w:lang w:val="en-AU"/>
        </w:rPr>
        <w:t xml:space="preserve">.1 explains that TEQSA will determine the appropriate provider category for each registered provider to transition to on commencement of this </w:t>
      </w:r>
      <w:r w:rsidR="00E80B5D" w:rsidRPr="00A86505">
        <w:rPr>
          <w:rFonts w:asciiTheme="minorHAnsi" w:hAnsiTheme="minorHAnsi" w:cstheme="minorHAnsi"/>
          <w:lang w:val="en-AU"/>
        </w:rPr>
        <w:t>I</w:t>
      </w:r>
      <w:r w:rsidR="00001241" w:rsidRPr="00A86505">
        <w:rPr>
          <w:rFonts w:asciiTheme="minorHAnsi" w:hAnsiTheme="minorHAnsi" w:cstheme="minorHAnsi"/>
          <w:lang w:val="en-AU"/>
        </w:rPr>
        <w:t>nstrument.</w:t>
      </w:r>
    </w:p>
    <w:p w14:paraId="5679102E" w14:textId="2B5888D6" w:rsidR="00F37FF8" w:rsidRPr="00A86505" w:rsidRDefault="00001241" w:rsidP="00001241">
      <w:pPr>
        <w:numPr>
          <w:ilvl w:val="0"/>
          <w:numId w:val="4"/>
        </w:numPr>
        <w:tabs>
          <w:tab w:val="clear" w:pos="1134"/>
        </w:tabs>
        <w:spacing w:before="120" w:after="120"/>
        <w:ind w:left="568" w:hanging="284"/>
        <w:jc w:val="left"/>
        <w:rPr>
          <w:rFonts w:asciiTheme="minorHAnsi" w:hAnsiTheme="minorHAnsi" w:cstheme="minorHAnsi"/>
          <w:lang w:val="en-AU"/>
        </w:rPr>
      </w:pPr>
      <w:r w:rsidRPr="00A86505">
        <w:rPr>
          <w:rFonts w:asciiTheme="minorHAnsi" w:hAnsiTheme="minorHAnsi" w:cstheme="minorHAnsi"/>
          <w:lang w:val="en-AU"/>
        </w:rPr>
        <w:lastRenderedPageBreak/>
        <w:t>Part B3.2</w:t>
      </w:r>
      <w:r w:rsidR="005F7066" w:rsidRPr="00A86505">
        <w:rPr>
          <w:rFonts w:asciiTheme="minorHAnsi" w:hAnsiTheme="minorHAnsi" w:cstheme="minorHAnsi"/>
          <w:lang w:val="en-AU"/>
        </w:rPr>
        <w:t xml:space="preserve"> </w:t>
      </w:r>
      <w:r w:rsidRPr="00A86505">
        <w:rPr>
          <w:rFonts w:asciiTheme="minorHAnsi" w:hAnsiTheme="minorHAnsi" w:cstheme="minorHAnsi"/>
          <w:lang w:val="en-AU"/>
        </w:rPr>
        <w:t xml:space="preserve">sets transitional research standards for providers in the Australian University provider category. It explains that a provider that is registered in the ‘Australian University’ category after this </w:t>
      </w:r>
      <w:r w:rsidR="00E80B5D" w:rsidRPr="00A86505">
        <w:rPr>
          <w:rFonts w:asciiTheme="minorHAnsi" w:hAnsiTheme="minorHAnsi" w:cstheme="minorHAnsi"/>
          <w:lang w:val="en-AU"/>
        </w:rPr>
        <w:t>I</w:t>
      </w:r>
      <w:r w:rsidRPr="00A86505">
        <w:rPr>
          <w:rFonts w:asciiTheme="minorHAnsi" w:hAnsiTheme="minorHAnsi" w:cstheme="minorHAnsi"/>
          <w:lang w:val="en-AU"/>
        </w:rPr>
        <w:t>nstrument comes into force</w:t>
      </w:r>
      <w:r w:rsidR="00E80B5D" w:rsidRPr="00A86505">
        <w:rPr>
          <w:rFonts w:asciiTheme="minorHAnsi" w:hAnsiTheme="minorHAnsi" w:cstheme="minorHAnsi"/>
          <w:lang w:val="en-AU"/>
        </w:rPr>
        <w:t>,</w:t>
      </w:r>
      <w:r w:rsidRPr="00A86505">
        <w:rPr>
          <w:rFonts w:asciiTheme="minorHAnsi" w:hAnsiTheme="minorHAnsi" w:cstheme="minorHAnsi"/>
          <w:lang w:val="en-AU"/>
        </w:rPr>
        <w:t xml:space="preserve"> and</w:t>
      </w:r>
      <w:r w:rsidR="00E80B5D" w:rsidRPr="00A86505">
        <w:rPr>
          <w:rFonts w:asciiTheme="minorHAnsi" w:hAnsiTheme="minorHAnsi" w:cstheme="minorHAnsi"/>
          <w:lang w:val="en-AU"/>
        </w:rPr>
        <w:t>,</w:t>
      </w:r>
      <w:r w:rsidRPr="00A86505">
        <w:rPr>
          <w:rFonts w:asciiTheme="minorHAnsi" w:hAnsiTheme="minorHAnsi" w:cstheme="minorHAnsi"/>
          <w:lang w:val="en-AU"/>
        </w:rPr>
        <w:t xml:space="preserve"> immediately before the commencement date was in a provider registration category that permitted use of the word ‘university’, must achieve the benchmarks set out B1.3 within particular time frames.</w:t>
      </w:r>
    </w:p>
    <w:p w14:paraId="7D6E8DB9" w14:textId="77777777" w:rsidR="00DB79A1" w:rsidRPr="008E66F6" w:rsidRDefault="00DB79A1" w:rsidP="004402BD">
      <w:pPr>
        <w:jc w:val="left"/>
        <w:rPr>
          <w:rFonts w:asciiTheme="minorHAnsi" w:hAnsiTheme="minorHAnsi" w:cstheme="minorHAnsi"/>
          <w:lang w:val="en-AU"/>
        </w:rPr>
      </w:pPr>
    </w:p>
    <w:sectPr w:rsidR="00DB79A1" w:rsidRPr="008E66F6" w:rsidSect="00327877">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5F9E8" w14:textId="77777777" w:rsidR="00B2411E" w:rsidRDefault="00B2411E" w:rsidP="00107CE2">
      <w:r>
        <w:separator/>
      </w:r>
    </w:p>
  </w:endnote>
  <w:endnote w:type="continuationSeparator" w:id="0">
    <w:p w14:paraId="43364412" w14:textId="77777777" w:rsidR="00B2411E" w:rsidRDefault="00B2411E" w:rsidP="0010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F88B2" w14:textId="77777777" w:rsidR="00B2411E" w:rsidRDefault="00B2411E" w:rsidP="00107CE2">
      <w:r>
        <w:separator/>
      </w:r>
    </w:p>
  </w:footnote>
  <w:footnote w:type="continuationSeparator" w:id="0">
    <w:p w14:paraId="2C5D13BE" w14:textId="77777777" w:rsidR="00B2411E" w:rsidRDefault="00B2411E" w:rsidP="00107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AAEC" w14:textId="70DD8CE1" w:rsidR="004D380D" w:rsidRDefault="004D3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75F94"/>
    <w:multiLevelType w:val="hybridMultilevel"/>
    <w:tmpl w:val="001A4296"/>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15:restartNumberingAfterBreak="0">
    <w:nsid w:val="04794DBE"/>
    <w:multiLevelType w:val="hybridMultilevel"/>
    <w:tmpl w:val="BC186A2C"/>
    <w:lvl w:ilvl="0" w:tplc="70828D5C">
      <w:start w:val="1"/>
      <w:numFmt w:val="decimal"/>
      <w:lvlText w:val="D/E %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271832"/>
    <w:multiLevelType w:val="hybridMultilevel"/>
    <w:tmpl w:val="BAD2B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670DC8"/>
    <w:multiLevelType w:val="hybridMultilevel"/>
    <w:tmpl w:val="87B0DA6E"/>
    <w:lvl w:ilvl="0" w:tplc="2E5CCAFE">
      <w:start w:val="1"/>
      <w:numFmt w:val="decimal"/>
      <w:suff w:val="space"/>
      <w:lvlText w:val="%1."/>
      <w:lvlJc w:val="left"/>
      <w:pPr>
        <w:ind w:left="720" w:hanging="360"/>
      </w:pPr>
      <w:rPr>
        <w:rFonts w:hint="default"/>
        <w:b w:val="0"/>
        <w:bCs/>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EB5CB8"/>
    <w:multiLevelType w:val="hybridMultilevel"/>
    <w:tmpl w:val="2384F164"/>
    <w:lvl w:ilvl="0" w:tplc="FBBAA72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A644A0"/>
    <w:multiLevelType w:val="hybridMultilevel"/>
    <w:tmpl w:val="F502F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327024"/>
    <w:multiLevelType w:val="hybridMultilevel"/>
    <w:tmpl w:val="6FFEC2A6"/>
    <w:lvl w:ilvl="0" w:tplc="FBBAA72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7E4B99"/>
    <w:multiLevelType w:val="hybridMultilevel"/>
    <w:tmpl w:val="94AE77DC"/>
    <w:lvl w:ilvl="0" w:tplc="2466ACA4">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8" w15:restartNumberingAfterBreak="0">
    <w:nsid w:val="39F77EBF"/>
    <w:multiLevelType w:val="hybridMultilevel"/>
    <w:tmpl w:val="0CC2B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FE068A"/>
    <w:multiLevelType w:val="hybridMultilevel"/>
    <w:tmpl w:val="0BC4E4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F3E7C01"/>
    <w:multiLevelType w:val="hybridMultilevel"/>
    <w:tmpl w:val="768681B6"/>
    <w:lvl w:ilvl="0" w:tplc="FBBAA72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EF3BDD"/>
    <w:multiLevelType w:val="multilevel"/>
    <w:tmpl w:val="776A9FE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75547B8"/>
    <w:multiLevelType w:val="hybridMultilevel"/>
    <w:tmpl w:val="001A4296"/>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E277CFE"/>
    <w:multiLevelType w:val="hybridMultilevel"/>
    <w:tmpl w:val="E72E6A44"/>
    <w:lvl w:ilvl="0" w:tplc="0C090001">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2C337E1"/>
    <w:multiLevelType w:val="hybridMultilevel"/>
    <w:tmpl w:val="6FFEC2A6"/>
    <w:lvl w:ilvl="0" w:tplc="FBBAA72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052816"/>
    <w:multiLevelType w:val="hybridMultilevel"/>
    <w:tmpl w:val="5DACF288"/>
    <w:lvl w:ilvl="0" w:tplc="D704307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3482571"/>
    <w:multiLevelType w:val="hybridMultilevel"/>
    <w:tmpl w:val="FB14DEAC"/>
    <w:lvl w:ilvl="0" w:tplc="FBBAA72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C56416"/>
    <w:multiLevelType w:val="hybridMultilevel"/>
    <w:tmpl w:val="FB14DEAC"/>
    <w:lvl w:ilvl="0" w:tplc="FBBAA72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D57183"/>
    <w:multiLevelType w:val="hybridMultilevel"/>
    <w:tmpl w:val="F9C81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7963DD"/>
    <w:multiLevelType w:val="hybridMultilevel"/>
    <w:tmpl w:val="303A82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792164"/>
    <w:multiLevelType w:val="hybridMultilevel"/>
    <w:tmpl w:val="40B0FA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4D01B9D"/>
    <w:multiLevelType w:val="hybridMultilevel"/>
    <w:tmpl w:val="231C5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3D75AE"/>
    <w:multiLevelType w:val="hybridMultilevel"/>
    <w:tmpl w:val="C78028A2"/>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1844" w:hanging="360"/>
      </w:pPr>
      <w:rPr>
        <w:rFonts w:ascii="Courier New" w:hAnsi="Courier New" w:cs="Courier New" w:hint="default"/>
      </w:rPr>
    </w:lvl>
    <w:lvl w:ilvl="2" w:tplc="0C090005" w:tentative="1">
      <w:start w:val="1"/>
      <w:numFmt w:val="bullet"/>
      <w:lvlText w:val=""/>
      <w:lvlJc w:val="left"/>
      <w:pPr>
        <w:ind w:left="2564" w:hanging="360"/>
      </w:pPr>
      <w:rPr>
        <w:rFonts w:ascii="Wingdings" w:hAnsi="Wingdings" w:hint="default"/>
      </w:rPr>
    </w:lvl>
    <w:lvl w:ilvl="3" w:tplc="0C090001" w:tentative="1">
      <w:start w:val="1"/>
      <w:numFmt w:val="bullet"/>
      <w:lvlText w:val=""/>
      <w:lvlJc w:val="left"/>
      <w:pPr>
        <w:ind w:left="3284" w:hanging="360"/>
      </w:pPr>
      <w:rPr>
        <w:rFonts w:ascii="Symbol" w:hAnsi="Symbol" w:hint="default"/>
      </w:rPr>
    </w:lvl>
    <w:lvl w:ilvl="4" w:tplc="0C090003" w:tentative="1">
      <w:start w:val="1"/>
      <w:numFmt w:val="bullet"/>
      <w:lvlText w:val="o"/>
      <w:lvlJc w:val="left"/>
      <w:pPr>
        <w:ind w:left="4004" w:hanging="360"/>
      </w:pPr>
      <w:rPr>
        <w:rFonts w:ascii="Courier New" w:hAnsi="Courier New" w:cs="Courier New" w:hint="default"/>
      </w:rPr>
    </w:lvl>
    <w:lvl w:ilvl="5" w:tplc="0C090005" w:tentative="1">
      <w:start w:val="1"/>
      <w:numFmt w:val="bullet"/>
      <w:lvlText w:val=""/>
      <w:lvlJc w:val="left"/>
      <w:pPr>
        <w:ind w:left="4724" w:hanging="360"/>
      </w:pPr>
      <w:rPr>
        <w:rFonts w:ascii="Wingdings" w:hAnsi="Wingdings" w:hint="default"/>
      </w:rPr>
    </w:lvl>
    <w:lvl w:ilvl="6" w:tplc="0C090001" w:tentative="1">
      <w:start w:val="1"/>
      <w:numFmt w:val="bullet"/>
      <w:lvlText w:val=""/>
      <w:lvlJc w:val="left"/>
      <w:pPr>
        <w:ind w:left="5444" w:hanging="360"/>
      </w:pPr>
      <w:rPr>
        <w:rFonts w:ascii="Symbol" w:hAnsi="Symbol" w:hint="default"/>
      </w:rPr>
    </w:lvl>
    <w:lvl w:ilvl="7" w:tplc="0C090003" w:tentative="1">
      <w:start w:val="1"/>
      <w:numFmt w:val="bullet"/>
      <w:lvlText w:val="o"/>
      <w:lvlJc w:val="left"/>
      <w:pPr>
        <w:ind w:left="6164" w:hanging="360"/>
      </w:pPr>
      <w:rPr>
        <w:rFonts w:ascii="Courier New" w:hAnsi="Courier New" w:cs="Courier New" w:hint="default"/>
      </w:rPr>
    </w:lvl>
    <w:lvl w:ilvl="8" w:tplc="0C090005" w:tentative="1">
      <w:start w:val="1"/>
      <w:numFmt w:val="bullet"/>
      <w:lvlText w:val=""/>
      <w:lvlJc w:val="left"/>
      <w:pPr>
        <w:ind w:left="6884" w:hanging="360"/>
      </w:pPr>
      <w:rPr>
        <w:rFonts w:ascii="Wingdings" w:hAnsi="Wingdings" w:hint="default"/>
      </w:rPr>
    </w:lvl>
  </w:abstractNum>
  <w:abstractNum w:abstractNumId="23" w15:restartNumberingAfterBreak="0">
    <w:nsid w:val="779723CE"/>
    <w:multiLevelType w:val="hybridMultilevel"/>
    <w:tmpl w:val="AC605694"/>
    <w:lvl w:ilvl="0" w:tplc="9572ADB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695E37"/>
    <w:multiLevelType w:val="multilevel"/>
    <w:tmpl w:val="3AE2769A"/>
    <w:styleLink w:val="Headings"/>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992" w:hanging="708"/>
      </w:pPr>
      <w:rPr>
        <w:rFonts w:hint="default"/>
      </w:rPr>
    </w:lvl>
    <w:lvl w:ilvl="2">
      <w:start w:val="1"/>
      <w:numFmt w:val="decimal"/>
      <w:pStyle w:val="Heading3"/>
      <w:lvlText w:val="%3."/>
      <w:lvlJc w:val="left"/>
      <w:pPr>
        <w:ind w:left="710" w:hanging="426"/>
      </w:pPr>
      <w:rPr>
        <w:rFonts w:hint="default"/>
      </w:rPr>
    </w:lvl>
    <w:lvl w:ilvl="3">
      <w:start w:val="1"/>
      <w:numFmt w:val="lowerLetter"/>
      <w:pStyle w:val="Heading4"/>
      <w:lvlText w:val="%4."/>
      <w:lvlJc w:val="left"/>
      <w:pPr>
        <w:tabs>
          <w:tab w:val="num" w:pos="1701"/>
        </w:tabs>
        <w:ind w:left="1701" w:hanging="283"/>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DAF6B3E"/>
    <w:multiLevelType w:val="hybridMultilevel"/>
    <w:tmpl w:val="FB14DEAC"/>
    <w:lvl w:ilvl="0" w:tplc="FBBAA72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992" w:hanging="708"/>
        </w:pPr>
        <w:rPr>
          <w:rFonts w:hint="default"/>
          <w:b/>
        </w:rPr>
      </w:lvl>
    </w:lvlOverride>
    <w:lvlOverride w:ilvl="2">
      <w:lvl w:ilvl="2">
        <w:start w:val="1"/>
        <w:numFmt w:val="decimal"/>
        <w:pStyle w:val="Heading3"/>
        <w:lvlText w:val="%3."/>
        <w:lvlJc w:val="left"/>
        <w:pPr>
          <w:ind w:left="1418" w:hanging="426"/>
        </w:pPr>
        <w:rPr>
          <w:rFonts w:hint="default"/>
        </w:rPr>
      </w:lvl>
    </w:lvlOverride>
    <w:lvlOverride w:ilvl="3">
      <w:lvl w:ilvl="3">
        <w:start w:val="1"/>
        <w:numFmt w:val="lowerLetter"/>
        <w:pStyle w:val="Heading4"/>
        <w:lvlText w:val="%4."/>
        <w:lvlJc w:val="left"/>
        <w:pPr>
          <w:tabs>
            <w:tab w:val="num" w:pos="1701"/>
          </w:tabs>
          <w:ind w:left="1701" w:hanging="283"/>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2">
    <w:abstractNumId w:val="24"/>
  </w:num>
  <w:num w:numId="3">
    <w:abstractNumId w:val="11"/>
  </w:num>
  <w:num w:numId="4">
    <w:abstractNumId w:val="22"/>
  </w:num>
  <w:num w:numId="5">
    <w:abstractNumId w:val="8"/>
  </w:num>
  <w:num w:numId="6">
    <w:abstractNumId w:val="23"/>
  </w:num>
  <w:num w:numId="7">
    <w:abstractNumId w:val="5"/>
  </w:num>
  <w:num w:numId="8">
    <w:abstractNumId w:val="24"/>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992" w:hanging="708"/>
        </w:pPr>
        <w:rPr>
          <w:rFonts w:hint="default"/>
        </w:rPr>
      </w:lvl>
    </w:lvlOverride>
    <w:lvlOverride w:ilvl="2">
      <w:lvl w:ilvl="2">
        <w:start w:val="1"/>
        <w:numFmt w:val="decimal"/>
        <w:pStyle w:val="Heading3"/>
        <w:lvlText w:val="%3."/>
        <w:lvlJc w:val="left"/>
        <w:pPr>
          <w:ind w:left="1418" w:hanging="426"/>
        </w:pPr>
        <w:rPr>
          <w:rFonts w:hint="default"/>
        </w:rPr>
      </w:lvl>
    </w:lvlOverride>
    <w:lvlOverride w:ilvl="3">
      <w:lvl w:ilvl="3">
        <w:start w:val="1"/>
        <w:numFmt w:val="lowerLetter"/>
        <w:pStyle w:val="Heading4"/>
        <w:lvlText w:val="%4."/>
        <w:lvlJc w:val="left"/>
        <w:pPr>
          <w:tabs>
            <w:tab w:val="num" w:pos="1701"/>
          </w:tabs>
          <w:ind w:left="1701" w:hanging="283"/>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9">
    <w:abstractNumId w:val="24"/>
  </w:num>
  <w:num w:numId="10">
    <w:abstractNumId w:val="1"/>
  </w:num>
  <w:num w:numId="11">
    <w:abstractNumId w:val="20"/>
  </w:num>
  <w:num w:numId="12">
    <w:abstractNumId w:val="13"/>
  </w:num>
  <w:num w:numId="13">
    <w:abstractNumId w:val="0"/>
  </w:num>
  <w:num w:numId="14">
    <w:abstractNumId w:val="19"/>
  </w:num>
  <w:num w:numId="15">
    <w:abstractNumId w:val="2"/>
  </w:num>
  <w:num w:numId="16">
    <w:abstractNumId w:val="3"/>
  </w:num>
  <w:num w:numId="17">
    <w:abstractNumId w:val="10"/>
  </w:num>
  <w:num w:numId="18">
    <w:abstractNumId w:val="6"/>
  </w:num>
  <w:num w:numId="19">
    <w:abstractNumId w:val="14"/>
  </w:num>
  <w:num w:numId="20">
    <w:abstractNumId w:val="16"/>
  </w:num>
  <w:num w:numId="21">
    <w:abstractNumId w:val="17"/>
  </w:num>
  <w:num w:numId="22">
    <w:abstractNumId w:val="25"/>
  </w:num>
  <w:num w:numId="23">
    <w:abstractNumId w:val="15"/>
  </w:num>
  <w:num w:numId="24">
    <w:abstractNumId w:val="7"/>
  </w:num>
  <w:num w:numId="25">
    <w:abstractNumId w:val="21"/>
  </w:num>
  <w:num w:numId="26">
    <w:abstractNumId w:val="4"/>
  </w:num>
  <w:num w:numId="27">
    <w:abstractNumId w:val="9"/>
  </w:num>
  <w:num w:numId="28">
    <w:abstractNumId w:val="1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E2"/>
    <w:rsid w:val="00001241"/>
    <w:rsid w:val="0000471F"/>
    <w:rsid w:val="00005CD0"/>
    <w:rsid w:val="000064F4"/>
    <w:rsid w:val="00011E3B"/>
    <w:rsid w:val="00027FC1"/>
    <w:rsid w:val="00030345"/>
    <w:rsid w:val="0003266F"/>
    <w:rsid w:val="00052E82"/>
    <w:rsid w:val="00057516"/>
    <w:rsid w:val="00061DDA"/>
    <w:rsid w:val="00062471"/>
    <w:rsid w:val="0006513B"/>
    <w:rsid w:val="00072E57"/>
    <w:rsid w:val="00074829"/>
    <w:rsid w:val="00074DF8"/>
    <w:rsid w:val="00081E5A"/>
    <w:rsid w:val="00090C9C"/>
    <w:rsid w:val="000B259F"/>
    <w:rsid w:val="000D0F3B"/>
    <w:rsid w:val="000D3B4E"/>
    <w:rsid w:val="000D4E7C"/>
    <w:rsid w:val="000D58DD"/>
    <w:rsid w:val="000D7CC0"/>
    <w:rsid w:val="000E1603"/>
    <w:rsid w:val="000F1020"/>
    <w:rsid w:val="000F2FEE"/>
    <w:rsid w:val="000F686F"/>
    <w:rsid w:val="000F6CC8"/>
    <w:rsid w:val="000F6E29"/>
    <w:rsid w:val="001027C6"/>
    <w:rsid w:val="00102B2D"/>
    <w:rsid w:val="00107CE2"/>
    <w:rsid w:val="00117C55"/>
    <w:rsid w:val="00123D16"/>
    <w:rsid w:val="00136887"/>
    <w:rsid w:val="00137C30"/>
    <w:rsid w:val="00141663"/>
    <w:rsid w:val="0014496C"/>
    <w:rsid w:val="00150F8B"/>
    <w:rsid w:val="001625E9"/>
    <w:rsid w:val="001651BD"/>
    <w:rsid w:val="00166549"/>
    <w:rsid w:val="00167287"/>
    <w:rsid w:val="0017246E"/>
    <w:rsid w:val="00176455"/>
    <w:rsid w:val="001800C7"/>
    <w:rsid w:val="00182A07"/>
    <w:rsid w:val="0018419F"/>
    <w:rsid w:val="00184F99"/>
    <w:rsid w:val="0018601C"/>
    <w:rsid w:val="001A2AC6"/>
    <w:rsid w:val="001A74A1"/>
    <w:rsid w:val="001B23FB"/>
    <w:rsid w:val="001B5EDD"/>
    <w:rsid w:val="001D2770"/>
    <w:rsid w:val="001E028B"/>
    <w:rsid w:val="001F7DF7"/>
    <w:rsid w:val="0020030C"/>
    <w:rsid w:val="00210EF1"/>
    <w:rsid w:val="0021640F"/>
    <w:rsid w:val="00227A93"/>
    <w:rsid w:val="0023453A"/>
    <w:rsid w:val="00247AAB"/>
    <w:rsid w:val="00254A53"/>
    <w:rsid w:val="00254DE4"/>
    <w:rsid w:val="00256E0E"/>
    <w:rsid w:val="002641A7"/>
    <w:rsid w:val="002651C1"/>
    <w:rsid w:val="00271D0E"/>
    <w:rsid w:val="002755A6"/>
    <w:rsid w:val="00275C43"/>
    <w:rsid w:val="002765BF"/>
    <w:rsid w:val="00294214"/>
    <w:rsid w:val="00297038"/>
    <w:rsid w:val="002A1AD0"/>
    <w:rsid w:val="002A341F"/>
    <w:rsid w:val="002B02A3"/>
    <w:rsid w:val="002C0942"/>
    <w:rsid w:val="002D1324"/>
    <w:rsid w:val="002D425C"/>
    <w:rsid w:val="002E0CF8"/>
    <w:rsid w:val="002E52E4"/>
    <w:rsid w:val="002F0598"/>
    <w:rsid w:val="002F649D"/>
    <w:rsid w:val="002F79D2"/>
    <w:rsid w:val="00300772"/>
    <w:rsid w:val="003142C9"/>
    <w:rsid w:val="00321F8C"/>
    <w:rsid w:val="00327877"/>
    <w:rsid w:val="00334FB9"/>
    <w:rsid w:val="00342124"/>
    <w:rsid w:val="0034656E"/>
    <w:rsid w:val="0038454B"/>
    <w:rsid w:val="003847C6"/>
    <w:rsid w:val="003853F3"/>
    <w:rsid w:val="003854CF"/>
    <w:rsid w:val="00386B00"/>
    <w:rsid w:val="00394C0F"/>
    <w:rsid w:val="00397F1F"/>
    <w:rsid w:val="003B476B"/>
    <w:rsid w:val="003B6BD7"/>
    <w:rsid w:val="003C15CE"/>
    <w:rsid w:val="003D4254"/>
    <w:rsid w:val="003D5283"/>
    <w:rsid w:val="003E37CD"/>
    <w:rsid w:val="003F0D99"/>
    <w:rsid w:val="003F63A2"/>
    <w:rsid w:val="00402824"/>
    <w:rsid w:val="0040454F"/>
    <w:rsid w:val="00415AA8"/>
    <w:rsid w:val="00426278"/>
    <w:rsid w:val="0043112F"/>
    <w:rsid w:val="00440101"/>
    <w:rsid w:val="004402BD"/>
    <w:rsid w:val="004412A7"/>
    <w:rsid w:val="0044233B"/>
    <w:rsid w:val="00442624"/>
    <w:rsid w:val="00442A8F"/>
    <w:rsid w:val="00454928"/>
    <w:rsid w:val="00455C0D"/>
    <w:rsid w:val="0046331C"/>
    <w:rsid w:val="004640EE"/>
    <w:rsid w:val="0047158E"/>
    <w:rsid w:val="0047255D"/>
    <w:rsid w:val="0047414A"/>
    <w:rsid w:val="004844A1"/>
    <w:rsid w:val="00494700"/>
    <w:rsid w:val="004A13F0"/>
    <w:rsid w:val="004D380D"/>
    <w:rsid w:val="004D51E0"/>
    <w:rsid w:val="004D56AB"/>
    <w:rsid w:val="004D769D"/>
    <w:rsid w:val="004F3DCF"/>
    <w:rsid w:val="004F410F"/>
    <w:rsid w:val="004F7D48"/>
    <w:rsid w:val="005116E0"/>
    <w:rsid w:val="005235C2"/>
    <w:rsid w:val="00524037"/>
    <w:rsid w:val="00533132"/>
    <w:rsid w:val="00543A87"/>
    <w:rsid w:val="00543D61"/>
    <w:rsid w:val="005479A7"/>
    <w:rsid w:val="00550B70"/>
    <w:rsid w:val="00554307"/>
    <w:rsid w:val="00575366"/>
    <w:rsid w:val="00583CDC"/>
    <w:rsid w:val="0059137D"/>
    <w:rsid w:val="00597872"/>
    <w:rsid w:val="00597A66"/>
    <w:rsid w:val="005A5307"/>
    <w:rsid w:val="005A5D0E"/>
    <w:rsid w:val="005B2693"/>
    <w:rsid w:val="005B556A"/>
    <w:rsid w:val="005B6D84"/>
    <w:rsid w:val="005C4B87"/>
    <w:rsid w:val="005C5294"/>
    <w:rsid w:val="005C5B1A"/>
    <w:rsid w:val="005C7E0E"/>
    <w:rsid w:val="005E1DB6"/>
    <w:rsid w:val="005F4ADB"/>
    <w:rsid w:val="005F54EC"/>
    <w:rsid w:val="005F7066"/>
    <w:rsid w:val="005F7F16"/>
    <w:rsid w:val="00610D3B"/>
    <w:rsid w:val="00614882"/>
    <w:rsid w:val="00614AF5"/>
    <w:rsid w:val="006347D3"/>
    <w:rsid w:val="00640FAC"/>
    <w:rsid w:val="00645606"/>
    <w:rsid w:val="00657544"/>
    <w:rsid w:val="006672C3"/>
    <w:rsid w:val="006713FE"/>
    <w:rsid w:val="006968A5"/>
    <w:rsid w:val="006A0A5D"/>
    <w:rsid w:val="006B3950"/>
    <w:rsid w:val="006B41AD"/>
    <w:rsid w:val="006C03BA"/>
    <w:rsid w:val="006C1A4C"/>
    <w:rsid w:val="006C7919"/>
    <w:rsid w:val="006D0B46"/>
    <w:rsid w:val="006E2E78"/>
    <w:rsid w:val="006E37F6"/>
    <w:rsid w:val="006E5784"/>
    <w:rsid w:val="006E665A"/>
    <w:rsid w:val="0070459D"/>
    <w:rsid w:val="007270F9"/>
    <w:rsid w:val="00735F99"/>
    <w:rsid w:val="00743B90"/>
    <w:rsid w:val="00750E1E"/>
    <w:rsid w:val="00752A25"/>
    <w:rsid w:val="00754D45"/>
    <w:rsid w:val="00763E1F"/>
    <w:rsid w:val="007A40B8"/>
    <w:rsid w:val="007B3B07"/>
    <w:rsid w:val="007B593C"/>
    <w:rsid w:val="007C3510"/>
    <w:rsid w:val="007E0D4A"/>
    <w:rsid w:val="007E4589"/>
    <w:rsid w:val="007E5608"/>
    <w:rsid w:val="008362F5"/>
    <w:rsid w:val="008416BD"/>
    <w:rsid w:val="00844371"/>
    <w:rsid w:val="00844764"/>
    <w:rsid w:val="0085288C"/>
    <w:rsid w:val="00864849"/>
    <w:rsid w:val="00866ECC"/>
    <w:rsid w:val="0087433A"/>
    <w:rsid w:val="00877A73"/>
    <w:rsid w:val="008A338F"/>
    <w:rsid w:val="008A3A2A"/>
    <w:rsid w:val="008B0F77"/>
    <w:rsid w:val="008B5982"/>
    <w:rsid w:val="008C7873"/>
    <w:rsid w:val="008D7DD7"/>
    <w:rsid w:val="008E66F6"/>
    <w:rsid w:val="009013C4"/>
    <w:rsid w:val="0090330A"/>
    <w:rsid w:val="00912DF0"/>
    <w:rsid w:val="00917071"/>
    <w:rsid w:val="00917C8B"/>
    <w:rsid w:val="009208EC"/>
    <w:rsid w:val="00936A0A"/>
    <w:rsid w:val="00940B88"/>
    <w:rsid w:val="00943A69"/>
    <w:rsid w:val="009527B5"/>
    <w:rsid w:val="00952A95"/>
    <w:rsid w:val="00953F1D"/>
    <w:rsid w:val="00965586"/>
    <w:rsid w:val="00967501"/>
    <w:rsid w:val="009719A1"/>
    <w:rsid w:val="009747A8"/>
    <w:rsid w:val="00975369"/>
    <w:rsid w:val="00977BA0"/>
    <w:rsid w:val="009848EE"/>
    <w:rsid w:val="00984F19"/>
    <w:rsid w:val="009906E7"/>
    <w:rsid w:val="00991932"/>
    <w:rsid w:val="0099283C"/>
    <w:rsid w:val="009929D4"/>
    <w:rsid w:val="00993ABF"/>
    <w:rsid w:val="00994AE0"/>
    <w:rsid w:val="00995FEA"/>
    <w:rsid w:val="009A1080"/>
    <w:rsid w:val="009B4116"/>
    <w:rsid w:val="009B5480"/>
    <w:rsid w:val="009D2FD8"/>
    <w:rsid w:val="009D5945"/>
    <w:rsid w:val="009E07B5"/>
    <w:rsid w:val="009F1BE3"/>
    <w:rsid w:val="009F3F48"/>
    <w:rsid w:val="009F5877"/>
    <w:rsid w:val="009F7700"/>
    <w:rsid w:val="00A102A2"/>
    <w:rsid w:val="00A2677A"/>
    <w:rsid w:val="00A310F8"/>
    <w:rsid w:val="00A3301C"/>
    <w:rsid w:val="00A4206A"/>
    <w:rsid w:val="00A456EE"/>
    <w:rsid w:val="00A4730C"/>
    <w:rsid w:val="00A61AB9"/>
    <w:rsid w:val="00A701D9"/>
    <w:rsid w:val="00A710C9"/>
    <w:rsid w:val="00A72E8D"/>
    <w:rsid w:val="00A74AC8"/>
    <w:rsid w:val="00A81B91"/>
    <w:rsid w:val="00A8401E"/>
    <w:rsid w:val="00A86505"/>
    <w:rsid w:val="00A96E61"/>
    <w:rsid w:val="00AA1E43"/>
    <w:rsid w:val="00AA262C"/>
    <w:rsid w:val="00AA2DB1"/>
    <w:rsid w:val="00AA3B93"/>
    <w:rsid w:val="00AB52E5"/>
    <w:rsid w:val="00AC152C"/>
    <w:rsid w:val="00AC3CDB"/>
    <w:rsid w:val="00AC4247"/>
    <w:rsid w:val="00AE3C12"/>
    <w:rsid w:val="00AE516F"/>
    <w:rsid w:val="00AF3D2D"/>
    <w:rsid w:val="00B070A0"/>
    <w:rsid w:val="00B2411E"/>
    <w:rsid w:val="00B30E7B"/>
    <w:rsid w:val="00B32814"/>
    <w:rsid w:val="00B36C62"/>
    <w:rsid w:val="00B3733E"/>
    <w:rsid w:val="00B44593"/>
    <w:rsid w:val="00B50FBF"/>
    <w:rsid w:val="00B53F46"/>
    <w:rsid w:val="00B548B7"/>
    <w:rsid w:val="00B55896"/>
    <w:rsid w:val="00B65BD8"/>
    <w:rsid w:val="00B66D3D"/>
    <w:rsid w:val="00B962B3"/>
    <w:rsid w:val="00B964E3"/>
    <w:rsid w:val="00BA4AAA"/>
    <w:rsid w:val="00BB2756"/>
    <w:rsid w:val="00BC32AF"/>
    <w:rsid w:val="00BE2189"/>
    <w:rsid w:val="00BF515D"/>
    <w:rsid w:val="00C02535"/>
    <w:rsid w:val="00C0370F"/>
    <w:rsid w:val="00C2321B"/>
    <w:rsid w:val="00C27B7E"/>
    <w:rsid w:val="00C30663"/>
    <w:rsid w:val="00C42AC1"/>
    <w:rsid w:val="00C42FF5"/>
    <w:rsid w:val="00C44E38"/>
    <w:rsid w:val="00C6443B"/>
    <w:rsid w:val="00C73819"/>
    <w:rsid w:val="00C75CB4"/>
    <w:rsid w:val="00C77394"/>
    <w:rsid w:val="00C77D9B"/>
    <w:rsid w:val="00C80A72"/>
    <w:rsid w:val="00C84354"/>
    <w:rsid w:val="00C8553C"/>
    <w:rsid w:val="00CA25B2"/>
    <w:rsid w:val="00CB1DBB"/>
    <w:rsid w:val="00CB6F49"/>
    <w:rsid w:val="00CB7594"/>
    <w:rsid w:val="00CC01ED"/>
    <w:rsid w:val="00CD18DE"/>
    <w:rsid w:val="00CE1571"/>
    <w:rsid w:val="00CF1610"/>
    <w:rsid w:val="00CF4467"/>
    <w:rsid w:val="00CF4638"/>
    <w:rsid w:val="00CF7998"/>
    <w:rsid w:val="00D03D43"/>
    <w:rsid w:val="00D14632"/>
    <w:rsid w:val="00D204F6"/>
    <w:rsid w:val="00D20589"/>
    <w:rsid w:val="00D2069E"/>
    <w:rsid w:val="00D32DA5"/>
    <w:rsid w:val="00D43395"/>
    <w:rsid w:val="00D433D8"/>
    <w:rsid w:val="00D461A6"/>
    <w:rsid w:val="00D501E1"/>
    <w:rsid w:val="00D57C2A"/>
    <w:rsid w:val="00D63CF7"/>
    <w:rsid w:val="00D668C1"/>
    <w:rsid w:val="00D76D2D"/>
    <w:rsid w:val="00D84DBB"/>
    <w:rsid w:val="00DA7F29"/>
    <w:rsid w:val="00DB4009"/>
    <w:rsid w:val="00DB49B7"/>
    <w:rsid w:val="00DB79A1"/>
    <w:rsid w:val="00DB7BB5"/>
    <w:rsid w:val="00DC40FA"/>
    <w:rsid w:val="00DD19F5"/>
    <w:rsid w:val="00DD74C0"/>
    <w:rsid w:val="00DE7A68"/>
    <w:rsid w:val="00DF6759"/>
    <w:rsid w:val="00DF7132"/>
    <w:rsid w:val="00E07687"/>
    <w:rsid w:val="00E14331"/>
    <w:rsid w:val="00E450A1"/>
    <w:rsid w:val="00E462CE"/>
    <w:rsid w:val="00E66385"/>
    <w:rsid w:val="00E80B5D"/>
    <w:rsid w:val="00E81494"/>
    <w:rsid w:val="00E84452"/>
    <w:rsid w:val="00E84DBE"/>
    <w:rsid w:val="00E92CC8"/>
    <w:rsid w:val="00E95CCD"/>
    <w:rsid w:val="00E96828"/>
    <w:rsid w:val="00EC035E"/>
    <w:rsid w:val="00EC09F7"/>
    <w:rsid w:val="00EC2445"/>
    <w:rsid w:val="00EC46F1"/>
    <w:rsid w:val="00ED0396"/>
    <w:rsid w:val="00ED357B"/>
    <w:rsid w:val="00EE241B"/>
    <w:rsid w:val="00EE3482"/>
    <w:rsid w:val="00EE7F38"/>
    <w:rsid w:val="00EF56E7"/>
    <w:rsid w:val="00F03083"/>
    <w:rsid w:val="00F04FE3"/>
    <w:rsid w:val="00F30695"/>
    <w:rsid w:val="00F37FF8"/>
    <w:rsid w:val="00F43DE4"/>
    <w:rsid w:val="00F65FA0"/>
    <w:rsid w:val="00F70D26"/>
    <w:rsid w:val="00F74550"/>
    <w:rsid w:val="00F80B3F"/>
    <w:rsid w:val="00F85E20"/>
    <w:rsid w:val="00F87B0F"/>
    <w:rsid w:val="00F935E4"/>
    <w:rsid w:val="00F96A40"/>
    <w:rsid w:val="00FA32C8"/>
    <w:rsid w:val="00FA588C"/>
    <w:rsid w:val="00FB5AD7"/>
    <w:rsid w:val="00FC0D3A"/>
    <w:rsid w:val="00FC5DF6"/>
    <w:rsid w:val="00FE1664"/>
    <w:rsid w:val="00FE1B2E"/>
    <w:rsid w:val="00FE2667"/>
    <w:rsid w:val="00FE2C97"/>
    <w:rsid w:val="00FE488D"/>
    <w:rsid w:val="00FE51CF"/>
    <w:rsid w:val="00FF6E3F"/>
    <w:rsid w:val="00FF75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BA9A1"/>
  <w15:docId w15:val="{F1CBB02A-F0CA-4BAE-AC26-F13E9444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CE2"/>
    <w:pPr>
      <w:tabs>
        <w:tab w:val="left" w:pos="1134"/>
      </w:tabs>
      <w:spacing w:after="0" w:line="240" w:lineRule="auto"/>
      <w:jc w:val="both"/>
    </w:pPr>
    <w:rPr>
      <w:rFonts w:ascii="Arial" w:hAnsi="Arial"/>
      <w:lang w:val="en-GB"/>
    </w:rPr>
  </w:style>
  <w:style w:type="paragraph" w:styleId="Heading1">
    <w:name w:val="heading 1"/>
    <w:next w:val="Normal"/>
    <w:link w:val="Heading1Char"/>
    <w:uiPriority w:val="9"/>
    <w:qFormat/>
    <w:rsid w:val="00107CE2"/>
    <w:pPr>
      <w:keepNext/>
      <w:numPr>
        <w:numId w:val="1"/>
      </w:numPr>
      <w:spacing w:before="120" w:after="120"/>
      <w:outlineLvl w:val="0"/>
    </w:pPr>
    <w:rPr>
      <w:rFonts w:ascii="Arial" w:eastAsia="Batang" w:hAnsi="Arial" w:cs="Arial"/>
      <w:b/>
      <w:bCs/>
      <w:sz w:val="32"/>
      <w:szCs w:val="32"/>
      <w:lang w:val="en-GB"/>
    </w:rPr>
  </w:style>
  <w:style w:type="paragraph" w:styleId="Heading2">
    <w:name w:val="heading 2"/>
    <w:basedOn w:val="Heading1"/>
    <w:next w:val="Normal"/>
    <w:link w:val="Heading2Char"/>
    <w:autoRedefine/>
    <w:uiPriority w:val="9"/>
    <w:unhideWhenUsed/>
    <w:qFormat/>
    <w:rsid w:val="00107CE2"/>
    <w:pPr>
      <w:keepNext w:val="0"/>
      <w:widowControl w:val="0"/>
      <w:numPr>
        <w:ilvl w:val="1"/>
      </w:numPr>
      <w:jc w:val="both"/>
      <w:outlineLvl w:val="1"/>
    </w:pPr>
    <w:rPr>
      <w:rFonts w:eastAsiaTheme="majorEastAsia" w:cstheme="majorBidi"/>
      <w:sz w:val="28"/>
      <w:szCs w:val="28"/>
      <w:lang w:val="en-AU"/>
    </w:rPr>
  </w:style>
  <w:style w:type="paragraph" w:styleId="Heading3">
    <w:name w:val="heading 3"/>
    <w:basedOn w:val="Heading2"/>
    <w:next w:val="Normal"/>
    <w:link w:val="Heading3Char"/>
    <w:autoRedefine/>
    <w:uiPriority w:val="9"/>
    <w:unhideWhenUsed/>
    <w:qFormat/>
    <w:rsid w:val="00107CE2"/>
    <w:pPr>
      <w:numPr>
        <w:ilvl w:val="2"/>
      </w:numPr>
      <w:spacing w:line="240" w:lineRule="auto"/>
      <w:outlineLvl w:val="2"/>
    </w:pPr>
    <w:rPr>
      <w:b w:val="0"/>
      <w:sz w:val="22"/>
    </w:rPr>
  </w:style>
  <w:style w:type="paragraph" w:styleId="Heading4">
    <w:name w:val="heading 4"/>
    <w:basedOn w:val="Heading3"/>
    <w:next w:val="Normal"/>
    <w:link w:val="Heading4Char"/>
    <w:uiPriority w:val="9"/>
    <w:unhideWhenUsed/>
    <w:qFormat/>
    <w:rsid w:val="00107CE2"/>
    <w:pPr>
      <w:numPr>
        <w:ilvl w:val="3"/>
      </w:numPr>
      <w:tabs>
        <w:tab w:val="left" w:pos="284"/>
      </w:tabs>
      <w:outlineLvl w:val="3"/>
    </w:pPr>
    <w:rPr>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CE2"/>
    <w:rPr>
      <w:rFonts w:ascii="Arial" w:eastAsia="Batang" w:hAnsi="Arial" w:cs="Arial"/>
      <w:b/>
      <w:bCs/>
      <w:sz w:val="32"/>
      <w:szCs w:val="32"/>
      <w:lang w:val="en-GB"/>
    </w:rPr>
  </w:style>
  <w:style w:type="character" w:customStyle="1" w:styleId="Heading2Char">
    <w:name w:val="Heading 2 Char"/>
    <w:basedOn w:val="DefaultParagraphFont"/>
    <w:link w:val="Heading2"/>
    <w:uiPriority w:val="9"/>
    <w:rsid w:val="00107CE2"/>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107CE2"/>
    <w:rPr>
      <w:rFonts w:ascii="Arial" w:eastAsiaTheme="majorEastAsia" w:hAnsi="Arial" w:cstheme="majorBidi"/>
      <w:bCs/>
      <w:szCs w:val="28"/>
    </w:rPr>
  </w:style>
  <w:style w:type="character" w:customStyle="1" w:styleId="Heading4Char">
    <w:name w:val="Heading 4 Char"/>
    <w:basedOn w:val="DefaultParagraphFont"/>
    <w:link w:val="Heading4"/>
    <w:uiPriority w:val="9"/>
    <w:rsid w:val="00107CE2"/>
    <w:rPr>
      <w:rFonts w:ascii="Arial" w:eastAsiaTheme="majorEastAsia" w:hAnsi="Arial" w:cstheme="majorBidi"/>
      <w:iCs/>
      <w:szCs w:val="28"/>
    </w:rPr>
  </w:style>
  <w:style w:type="paragraph" w:styleId="ListParagraph">
    <w:name w:val="List Paragraph"/>
    <w:aliases w:val="Recommendation,L"/>
    <w:basedOn w:val="Normal"/>
    <w:link w:val="ListParagraphChar"/>
    <w:uiPriority w:val="34"/>
    <w:qFormat/>
    <w:rsid w:val="00107CE2"/>
    <w:pPr>
      <w:ind w:left="720"/>
      <w:contextualSpacing/>
    </w:pPr>
  </w:style>
  <w:style w:type="character" w:styleId="Hyperlink">
    <w:name w:val="Hyperlink"/>
    <w:basedOn w:val="DefaultParagraphFont"/>
    <w:uiPriority w:val="99"/>
    <w:unhideWhenUsed/>
    <w:rsid w:val="00107CE2"/>
    <w:rPr>
      <w:color w:val="0000FF" w:themeColor="hyperlink"/>
      <w:u w:val="single"/>
    </w:rPr>
  </w:style>
  <w:style w:type="paragraph" w:styleId="FootnoteText">
    <w:name w:val="footnote text"/>
    <w:basedOn w:val="Normal"/>
    <w:link w:val="FootnoteTextChar"/>
    <w:uiPriority w:val="99"/>
    <w:unhideWhenUsed/>
    <w:rsid w:val="00107CE2"/>
    <w:rPr>
      <w:sz w:val="16"/>
      <w:szCs w:val="16"/>
      <w:lang w:val="en-US"/>
    </w:rPr>
  </w:style>
  <w:style w:type="character" w:customStyle="1" w:styleId="FootnoteTextChar">
    <w:name w:val="Footnote Text Char"/>
    <w:basedOn w:val="DefaultParagraphFont"/>
    <w:link w:val="FootnoteText"/>
    <w:uiPriority w:val="99"/>
    <w:rsid w:val="00107CE2"/>
    <w:rPr>
      <w:rFonts w:ascii="Arial" w:hAnsi="Arial"/>
      <w:sz w:val="16"/>
      <w:szCs w:val="16"/>
      <w:lang w:val="en-US"/>
    </w:rPr>
  </w:style>
  <w:style w:type="character" w:styleId="FootnoteReference">
    <w:name w:val="footnote reference"/>
    <w:basedOn w:val="DefaultParagraphFont"/>
    <w:uiPriority w:val="99"/>
    <w:semiHidden/>
    <w:unhideWhenUsed/>
    <w:rsid w:val="00107CE2"/>
    <w:rPr>
      <w:vertAlign w:val="superscript"/>
    </w:rPr>
  </w:style>
  <w:style w:type="table" w:styleId="TableGrid">
    <w:name w:val="Table Grid"/>
    <w:basedOn w:val="TableNormal"/>
    <w:uiPriority w:val="59"/>
    <w:rsid w:val="0010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107CE2"/>
    <w:pPr>
      <w:numPr>
        <w:numId w:val="2"/>
      </w:numPr>
    </w:pPr>
  </w:style>
  <w:style w:type="paragraph" w:customStyle="1" w:styleId="Heading1title">
    <w:name w:val="Heading 1 title"/>
    <w:basedOn w:val="Heading1"/>
    <w:link w:val="Heading1titleChar"/>
    <w:qFormat/>
    <w:rsid w:val="00107CE2"/>
    <w:pPr>
      <w:numPr>
        <w:numId w:val="0"/>
      </w:numPr>
      <w:spacing w:after="360" w:line="240" w:lineRule="auto"/>
      <w:jc w:val="both"/>
    </w:pPr>
  </w:style>
  <w:style w:type="character" w:customStyle="1" w:styleId="Heading1titleChar">
    <w:name w:val="Heading 1 title Char"/>
    <w:basedOn w:val="Heading1Char"/>
    <w:link w:val="Heading1title"/>
    <w:rsid w:val="00107CE2"/>
    <w:rPr>
      <w:rFonts w:ascii="Arial" w:eastAsia="Batang" w:hAnsi="Arial" w:cs="Arial"/>
      <w:b/>
      <w:bCs/>
      <w:sz w:val="32"/>
      <w:szCs w:val="32"/>
      <w:lang w:val="en-GB"/>
    </w:rPr>
  </w:style>
  <w:style w:type="character" w:customStyle="1" w:styleId="ListParagraphChar">
    <w:name w:val="List Paragraph Char"/>
    <w:aliases w:val="Recommendation Char,L Char"/>
    <w:basedOn w:val="DefaultParagraphFont"/>
    <w:link w:val="ListParagraph"/>
    <w:uiPriority w:val="34"/>
    <w:rsid w:val="00107CE2"/>
    <w:rPr>
      <w:rFonts w:ascii="Arial" w:hAnsi="Arial"/>
      <w:lang w:val="en-GB"/>
    </w:rPr>
  </w:style>
  <w:style w:type="paragraph" w:customStyle="1" w:styleId="Subheading">
    <w:name w:val="Subheading"/>
    <w:basedOn w:val="Normal"/>
    <w:link w:val="SubheadingChar"/>
    <w:qFormat/>
    <w:rsid w:val="00107CE2"/>
    <w:pPr>
      <w:tabs>
        <w:tab w:val="clear" w:pos="1134"/>
      </w:tabs>
    </w:pPr>
    <w:rPr>
      <w:rFonts w:cs="Arial"/>
      <w:b/>
      <w:sz w:val="24"/>
      <w:szCs w:val="24"/>
    </w:rPr>
  </w:style>
  <w:style w:type="character" w:customStyle="1" w:styleId="SubheadingChar">
    <w:name w:val="Subheading Char"/>
    <w:basedOn w:val="DefaultParagraphFont"/>
    <w:link w:val="Subheading"/>
    <w:rsid w:val="00107CE2"/>
    <w:rPr>
      <w:rFonts w:ascii="Arial" w:hAnsi="Arial" w:cs="Arial"/>
      <w:b/>
      <w:sz w:val="24"/>
      <w:szCs w:val="24"/>
      <w:lang w:val="en-GB"/>
    </w:rPr>
  </w:style>
  <w:style w:type="paragraph" w:styleId="BalloonText">
    <w:name w:val="Balloon Text"/>
    <w:basedOn w:val="Normal"/>
    <w:link w:val="BalloonTextChar"/>
    <w:uiPriority w:val="99"/>
    <w:semiHidden/>
    <w:unhideWhenUsed/>
    <w:rsid w:val="00107CE2"/>
    <w:rPr>
      <w:rFonts w:ascii="Tahoma" w:hAnsi="Tahoma" w:cs="Tahoma"/>
      <w:sz w:val="16"/>
      <w:szCs w:val="16"/>
    </w:rPr>
  </w:style>
  <w:style w:type="character" w:customStyle="1" w:styleId="BalloonTextChar">
    <w:name w:val="Balloon Text Char"/>
    <w:basedOn w:val="DefaultParagraphFont"/>
    <w:link w:val="BalloonText"/>
    <w:uiPriority w:val="99"/>
    <w:semiHidden/>
    <w:rsid w:val="00107CE2"/>
    <w:rPr>
      <w:rFonts w:ascii="Tahoma" w:hAnsi="Tahoma" w:cs="Tahoma"/>
      <w:sz w:val="16"/>
      <w:szCs w:val="16"/>
      <w:lang w:val="en-GB"/>
    </w:rPr>
  </w:style>
  <w:style w:type="character" w:styleId="Strong">
    <w:name w:val="Strong"/>
    <w:basedOn w:val="DefaultParagraphFont"/>
    <w:uiPriority w:val="22"/>
    <w:qFormat/>
    <w:rsid w:val="00107CE2"/>
    <w:rPr>
      <w:b/>
      <w:bCs/>
    </w:rPr>
  </w:style>
  <w:style w:type="paragraph" w:styleId="NoSpacing">
    <w:name w:val="No Spacing"/>
    <w:uiPriority w:val="1"/>
    <w:qFormat/>
    <w:rsid w:val="00107CE2"/>
    <w:pPr>
      <w:tabs>
        <w:tab w:val="left" w:pos="1134"/>
      </w:tabs>
      <w:spacing w:after="0" w:line="240" w:lineRule="auto"/>
      <w:jc w:val="both"/>
    </w:pPr>
    <w:rPr>
      <w:rFonts w:ascii="Arial" w:hAnsi="Arial"/>
      <w:lang w:val="en-GB"/>
    </w:rPr>
  </w:style>
  <w:style w:type="paragraph" w:customStyle="1" w:styleId="Default">
    <w:name w:val="Default"/>
    <w:rsid w:val="00FE2667"/>
    <w:pPr>
      <w:autoSpaceDE w:val="0"/>
      <w:autoSpaceDN w:val="0"/>
      <w:adjustRightInd w:val="0"/>
      <w:spacing w:after="0" w:line="240" w:lineRule="auto"/>
    </w:pPr>
    <w:rPr>
      <w:rFonts w:ascii="Calibri" w:hAnsi="Calibri" w:cs="Calibri"/>
      <w:color w:val="000000"/>
      <w:sz w:val="24"/>
      <w:szCs w:val="24"/>
    </w:rPr>
  </w:style>
  <w:style w:type="paragraph" w:customStyle="1" w:styleId="numberlist">
    <w:name w:val="number_list"/>
    <w:basedOn w:val="Normal"/>
    <w:rsid w:val="006D0B46"/>
    <w:pPr>
      <w:tabs>
        <w:tab w:val="clear" w:pos="1134"/>
      </w:tabs>
      <w:spacing w:after="120"/>
      <w:jc w:val="left"/>
    </w:pPr>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semiHidden/>
    <w:unhideWhenUsed/>
    <w:rsid w:val="00A710C9"/>
    <w:rPr>
      <w:sz w:val="16"/>
      <w:szCs w:val="16"/>
    </w:rPr>
  </w:style>
  <w:style w:type="paragraph" w:styleId="CommentText">
    <w:name w:val="annotation text"/>
    <w:basedOn w:val="Normal"/>
    <w:link w:val="CommentTextChar"/>
    <w:uiPriority w:val="99"/>
    <w:semiHidden/>
    <w:unhideWhenUsed/>
    <w:rsid w:val="00A710C9"/>
    <w:rPr>
      <w:sz w:val="20"/>
      <w:szCs w:val="20"/>
    </w:rPr>
  </w:style>
  <w:style w:type="character" w:customStyle="1" w:styleId="CommentTextChar">
    <w:name w:val="Comment Text Char"/>
    <w:basedOn w:val="DefaultParagraphFont"/>
    <w:link w:val="CommentText"/>
    <w:uiPriority w:val="99"/>
    <w:semiHidden/>
    <w:rsid w:val="00A710C9"/>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A710C9"/>
    <w:rPr>
      <w:b/>
      <w:bCs/>
    </w:rPr>
  </w:style>
  <w:style w:type="character" w:customStyle="1" w:styleId="CommentSubjectChar">
    <w:name w:val="Comment Subject Char"/>
    <w:basedOn w:val="CommentTextChar"/>
    <w:link w:val="CommentSubject"/>
    <w:uiPriority w:val="99"/>
    <w:semiHidden/>
    <w:rsid w:val="00A710C9"/>
    <w:rPr>
      <w:rFonts w:ascii="Arial" w:hAnsi="Arial"/>
      <w:b/>
      <w:bCs/>
      <w:sz w:val="20"/>
      <w:szCs w:val="20"/>
      <w:lang w:val="en-GB"/>
    </w:rPr>
  </w:style>
  <w:style w:type="character" w:styleId="FollowedHyperlink">
    <w:name w:val="FollowedHyperlink"/>
    <w:basedOn w:val="DefaultParagraphFont"/>
    <w:uiPriority w:val="99"/>
    <w:semiHidden/>
    <w:unhideWhenUsed/>
    <w:rsid w:val="00415AA8"/>
    <w:rPr>
      <w:color w:val="800080" w:themeColor="followedHyperlink"/>
      <w:u w:val="single"/>
    </w:rPr>
  </w:style>
  <w:style w:type="paragraph" w:styleId="Revision">
    <w:name w:val="Revision"/>
    <w:hidden/>
    <w:uiPriority w:val="99"/>
    <w:semiHidden/>
    <w:rsid w:val="00C77D9B"/>
    <w:pPr>
      <w:spacing w:after="0" w:line="240" w:lineRule="auto"/>
    </w:pPr>
    <w:rPr>
      <w:rFonts w:ascii="Arial" w:hAnsi="Arial"/>
      <w:lang w:val="en-GB"/>
    </w:rPr>
  </w:style>
  <w:style w:type="paragraph" w:styleId="Header">
    <w:name w:val="header"/>
    <w:basedOn w:val="Normal"/>
    <w:link w:val="HeaderChar"/>
    <w:uiPriority w:val="99"/>
    <w:unhideWhenUsed/>
    <w:rsid w:val="004D380D"/>
    <w:pPr>
      <w:tabs>
        <w:tab w:val="clear" w:pos="1134"/>
        <w:tab w:val="center" w:pos="4513"/>
        <w:tab w:val="right" w:pos="9026"/>
      </w:tabs>
    </w:pPr>
  </w:style>
  <w:style w:type="character" w:customStyle="1" w:styleId="HeaderChar">
    <w:name w:val="Header Char"/>
    <w:basedOn w:val="DefaultParagraphFont"/>
    <w:link w:val="Header"/>
    <w:uiPriority w:val="99"/>
    <w:rsid w:val="004D380D"/>
    <w:rPr>
      <w:rFonts w:ascii="Arial" w:hAnsi="Arial"/>
      <w:lang w:val="en-GB"/>
    </w:rPr>
  </w:style>
  <w:style w:type="paragraph" w:styleId="Footer">
    <w:name w:val="footer"/>
    <w:basedOn w:val="Normal"/>
    <w:link w:val="FooterChar"/>
    <w:uiPriority w:val="99"/>
    <w:unhideWhenUsed/>
    <w:rsid w:val="004D380D"/>
    <w:pPr>
      <w:tabs>
        <w:tab w:val="clear" w:pos="1134"/>
        <w:tab w:val="center" w:pos="4513"/>
        <w:tab w:val="right" w:pos="9026"/>
      </w:tabs>
    </w:pPr>
  </w:style>
  <w:style w:type="character" w:customStyle="1" w:styleId="FooterChar">
    <w:name w:val="Footer Char"/>
    <w:basedOn w:val="DefaultParagraphFont"/>
    <w:link w:val="Footer"/>
    <w:uiPriority w:val="99"/>
    <w:rsid w:val="004D380D"/>
    <w:rPr>
      <w:rFonts w:ascii="Arial" w:hAnsi="Arial"/>
      <w:lang w:val="en-GB"/>
    </w:rPr>
  </w:style>
  <w:style w:type="paragraph" w:styleId="TOC9">
    <w:name w:val="toc 9"/>
    <w:basedOn w:val="Normal"/>
    <w:next w:val="Normal"/>
    <w:autoRedefine/>
    <w:uiPriority w:val="39"/>
    <w:unhideWhenUsed/>
    <w:rsid w:val="00C84354"/>
    <w:pPr>
      <w:tabs>
        <w:tab w:val="clear" w:pos="1134"/>
      </w:tabs>
      <w:spacing w:line="276" w:lineRule="auto"/>
      <w:ind w:left="1680"/>
      <w:jc w:val="left"/>
    </w:pPr>
    <w:rPr>
      <w:rFonts w:asciiTheme="minorHAnsi" w:hAnsiTheme="minorHAnsi" w:cstheme="minorHAnsi"/>
      <w:sz w:val="20"/>
      <w:szCs w:val="20"/>
      <w:lang w:val="en-AU"/>
    </w:rPr>
  </w:style>
  <w:style w:type="paragraph" w:customStyle="1" w:styleId="subsection">
    <w:name w:val="subsection"/>
    <w:aliases w:val="ss,Subsection"/>
    <w:basedOn w:val="Normal"/>
    <w:link w:val="subsectionChar"/>
    <w:rsid w:val="00DF7132"/>
    <w:pPr>
      <w:tabs>
        <w:tab w:val="clear" w:pos="1134"/>
        <w:tab w:val="right" w:pos="1021"/>
      </w:tabs>
      <w:spacing w:before="180"/>
      <w:ind w:left="1134" w:hanging="1134"/>
      <w:jc w:val="left"/>
    </w:pPr>
    <w:rPr>
      <w:rFonts w:ascii="Times New Roman" w:eastAsia="Times New Roman" w:hAnsi="Times New Roman" w:cs="Times New Roman"/>
      <w:szCs w:val="20"/>
      <w:lang w:val="en-AU" w:eastAsia="en-AU"/>
    </w:rPr>
  </w:style>
  <w:style w:type="character" w:customStyle="1" w:styleId="subsectionChar">
    <w:name w:val="subsection Char"/>
    <w:aliases w:val="ss Char"/>
    <w:basedOn w:val="DefaultParagraphFont"/>
    <w:link w:val="subsection"/>
    <w:locked/>
    <w:rsid w:val="00DF7132"/>
    <w:rPr>
      <w:rFonts w:ascii="Times New Roman" w:eastAsia="Times New Roman" w:hAnsi="Times New Roman" w:cs="Times New Roman"/>
      <w:szCs w:val="20"/>
      <w:lang w:eastAsia="en-AU"/>
    </w:rPr>
  </w:style>
  <w:style w:type="paragraph" w:customStyle="1" w:styleId="paragraph">
    <w:name w:val="paragraph"/>
    <w:aliases w:val="a"/>
    <w:basedOn w:val="Normal"/>
    <w:rsid w:val="00DF7132"/>
    <w:pPr>
      <w:tabs>
        <w:tab w:val="clear" w:pos="1134"/>
        <w:tab w:val="right" w:pos="1531"/>
      </w:tabs>
      <w:spacing w:before="40"/>
      <w:ind w:left="1644" w:hanging="1644"/>
      <w:jc w:val="left"/>
    </w:pPr>
    <w:rPr>
      <w:rFonts w:ascii="Times New Roman" w:eastAsia="Times New Roman" w:hAnsi="Times New Roman" w:cs="Times New Roman"/>
      <w:szCs w:val="20"/>
      <w:lang w:val="en-AU" w:eastAsia="en-AU"/>
    </w:rPr>
  </w:style>
  <w:style w:type="character" w:styleId="UnresolvedMention">
    <w:name w:val="Unresolved Mention"/>
    <w:basedOn w:val="DefaultParagraphFont"/>
    <w:uiPriority w:val="99"/>
    <w:semiHidden/>
    <w:unhideWhenUsed/>
    <w:rsid w:val="00F96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59029">
      <w:bodyDiv w:val="1"/>
      <w:marLeft w:val="0"/>
      <w:marRight w:val="0"/>
      <w:marTop w:val="0"/>
      <w:marBottom w:val="0"/>
      <w:divBdr>
        <w:top w:val="none" w:sz="0" w:space="0" w:color="auto"/>
        <w:left w:val="none" w:sz="0" w:space="0" w:color="auto"/>
        <w:bottom w:val="none" w:sz="0" w:space="0" w:color="auto"/>
        <w:right w:val="none" w:sz="0" w:space="0" w:color="auto"/>
      </w:divBdr>
    </w:div>
    <w:div w:id="1479690789">
      <w:bodyDiv w:val="1"/>
      <w:marLeft w:val="0"/>
      <w:marRight w:val="0"/>
      <w:marTop w:val="0"/>
      <w:marBottom w:val="0"/>
      <w:divBdr>
        <w:top w:val="none" w:sz="0" w:space="0" w:color="auto"/>
        <w:left w:val="none" w:sz="0" w:space="0" w:color="auto"/>
        <w:bottom w:val="none" w:sz="0" w:space="0" w:color="auto"/>
        <w:right w:val="none" w:sz="0" w:space="0" w:color="auto"/>
      </w:divBdr>
    </w:div>
    <w:div w:id="199409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se.gov.au/reviews-and-consultations/australian-qualifications-framework-re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se.gov.au/uncategorised/resources/review-impact-teqsa-act-final-re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e.gov.au/quality-and-legislative-frameworks/review-higher-education-provider-category-standard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gov.au/legal-system/administrative-law/administrative-review-council-publications/what-decisions-should-be-subject-merit-review-1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11AF11166FB1A41B5B3325837D43261" ma:contentTypeVersion="" ma:contentTypeDescription="PDMS Document Site Content Type" ma:contentTypeScope="" ma:versionID="b011bd5ddd0fb58302ab199991bfba8c">
  <xsd:schema xmlns:xsd="http://www.w3.org/2001/XMLSchema" xmlns:xs="http://www.w3.org/2001/XMLSchema" xmlns:p="http://schemas.microsoft.com/office/2006/metadata/properties" xmlns:ns2="316B2D51-86F6-4C6A-8049-E491E46928C0" targetNamespace="http://schemas.microsoft.com/office/2006/metadata/properties" ma:root="true" ma:fieldsID="6b4cb9141f5f1f6572e2461379dfd83d" ns2:_="">
    <xsd:import namespace="316B2D51-86F6-4C6A-8049-E491E46928C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2D51-86F6-4C6A-8049-E491E46928C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316B2D51-86F6-4C6A-8049-E491E46928C0" xsi:nil="true"/>
  </documentManagement>
</p:properties>
</file>

<file path=customXml/itemProps1.xml><?xml version="1.0" encoding="utf-8"?>
<ds:datastoreItem xmlns:ds="http://schemas.openxmlformats.org/officeDocument/2006/customXml" ds:itemID="{A0EA6659-3FD6-49EC-BAF6-1F9118540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B2D51-86F6-4C6A-8049-E491E4692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9E678-2DB8-4FA8-A3C8-402FB0432A49}">
  <ds:schemaRefs>
    <ds:schemaRef ds:uri="http://schemas.openxmlformats.org/officeDocument/2006/bibliography"/>
  </ds:schemaRefs>
</ds:datastoreItem>
</file>

<file path=customXml/itemProps3.xml><?xml version="1.0" encoding="utf-8"?>
<ds:datastoreItem xmlns:ds="http://schemas.openxmlformats.org/officeDocument/2006/customXml" ds:itemID="{185E2033-27BD-4888-8478-D3B0209F0CB0}">
  <ds:schemaRefs>
    <ds:schemaRef ds:uri="http://schemas.microsoft.com/sharepoint/v3/contenttype/forms"/>
  </ds:schemaRefs>
</ds:datastoreItem>
</file>

<file path=customXml/itemProps4.xml><?xml version="1.0" encoding="utf-8"?>
<ds:datastoreItem xmlns:ds="http://schemas.openxmlformats.org/officeDocument/2006/customXml" ds:itemID="{B63D872B-D4E4-4075-8D56-55BCC73BFA08}">
  <ds:schemaRefs>
    <ds:schemaRef ds:uri="http://schemas.microsoft.com/office/2006/metadata/properties"/>
    <ds:schemaRef ds:uri="http://schemas.microsoft.com/office/infopath/2007/PartnerControls"/>
    <ds:schemaRef ds:uri="316B2D51-86F6-4C6A-8049-E491E46928C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5104</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Billy Crawford</dc:creator>
  <cp:lastModifiedBy>DAMAJ,Aline</cp:lastModifiedBy>
  <cp:revision>3</cp:revision>
  <cp:lastPrinted>2021-04-01T03:17:00Z</cp:lastPrinted>
  <dcterms:created xsi:type="dcterms:W3CDTF">2021-04-26T23:34:00Z</dcterms:created>
  <dcterms:modified xsi:type="dcterms:W3CDTF">2021-04-26T23:35:00Z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0x010100266966F133664895A6EE3632470D45F500B11AF11166FB1A41B5B3325837D43261</vt:lpwstr>
  </property>
</Properties>
</file>