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B104F" w14:textId="4F6CA9BC" w:rsidR="00996DC6" w:rsidRDefault="00996DC6" w:rsidP="00996DC6">
      <w:pPr>
        <w:pStyle w:val="Heading2"/>
        <w:ind w:left="0" w:firstLine="0"/>
      </w:pPr>
      <w:bookmarkStart w:id="0" w:name="_Toc59438345"/>
      <w:bookmarkStart w:id="1" w:name="_GoBack"/>
      <w:bookmarkEnd w:id="1"/>
      <w:r>
        <w:t>Explanatory Statement</w:t>
      </w:r>
      <w:bookmarkEnd w:id="0"/>
    </w:p>
    <w:p w14:paraId="254B1050" w14:textId="77777777" w:rsidR="00996DC6" w:rsidRPr="000576EB" w:rsidRDefault="00996DC6" w:rsidP="00996DC6">
      <w:pPr>
        <w:rPr>
          <w:b/>
          <w:lang w:val="en-AU" w:eastAsia="en-GB" w:bidi="ar-SA"/>
        </w:rPr>
      </w:pPr>
      <w:r w:rsidRPr="000576EB">
        <w:rPr>
          <w:b/>
          <w:lang w:val="en-AU" w:eastAsia="en-GB" w:bidi="ar-SA"/>
        </w:rPr>
        <w:t>1.</w:t>
      </w:r>
      <w:r w:rsidRPr="000576EB">
        <w:rPr>
          <w:b/>
          <w:lang w:val="en-AU" w:eastAsia="en-GB" w:bidi="ar-SA"/>
        </w:rPr>
        <w:tab/>
        <w:t>Authority</w:t>
      </w:r>
    </w:p>
    <w:p w14:paraId="254B1051" w14:textId="77777777" w:rsidR="00996DC6" w:rsidRDefault="00996DC6" w:rsidP="00996DC6">
      <w:pPr>
        <w:rPr>
          <w:lang w:val="en-AU" w:eastAsia="en-GB" w:bidi="ar-SA"/>
        </w:rPr>
      </w:pPr>
    </w:p>
    <w:p w14:paraId="254B1052" w14:textId="77777777" w:rsidR="00996DC6" w:rsidRPr="00D13E34" w:rsidRDefault="00996DC6" w:rsidP="00996DC6">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254B1053" w14:textId="77777777" w:rsidR="00996DC6" w:rsidRPr="00D13E34" w:rsidRDefault="00996DC6" w:rsidP="00996DC6">
      <w:pPr>
        <w:widowControl/>
        <w:autoSpaceDE w:val="0"/>
        <w:autoSpaceDN w:val="0"/>
        <w:adjustRightInd w:val="0"/>
        <w:rPr>
          <w:rFonts w:eastAsia="Calibri" w:cs="Arial"/>
          <w:bCs/>
          <w:szCs w:val="22"/>
          <w:lang w:val="en-AU" w:bidi="ar-SA"/>
        </w:rPr>
      </w:pPr>
    </w:p>
    <w:p w14:paraId="254B1054" w14:textId="77777777" w:rsidR="00996DC6" w:rsidRPr="00A25FDE" w:rsidRDefault="00996DC6" w:rsidP="00996DC6">
      <w:pPr>
        <w:widowControl/>
        <w:autoSpaceDE w:val="0"/>
        <w:autoSpaceDN w:val="0"/>
        <w:adjustRightInd w:val="0"/>
        <w:rPr>
          <w:rFonts w:eastAsia="Calibri" w:cs="Arial"/>
          <w:bCs/>
          <w:szCs w:val="22"/>
          <w:lang w:val="en-AU" w:bidi="ar-SA"/>
        </w:rPr>
      </w:pPr>
      <w:r w:rsidRPr="00A25FDE">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254B1055" w14:textId="77777777" w:rsidR="00996DC6" w:rsidRPr="00A25FDE" w:rsidRDefault="00996DC6" w:rsidP="00996DC6">
      <w:pPr>
        <w:widowControl/>
        <w:autoSpaceDE w:val="0"/>
        <w:autoSpaceDN w:val="0"/>
        <w:adjustRightInd w:val="0"/>
        <w:rPr>
          <w:rFonts w:eastAsia="Calibri" w:cs="Arial"/>
          <w:bCs/>
          <w:szCs w:val="22"/>
          <w:lang w:val="en-AU" w:bidi="ar-SA"/>
        </w:rPr>
      </w:pPr>
    </w:p>
    <w:p w14:paraId="254B1056" w14:textId="77777777" w:rsidR="00996DC6" w:rsidRPr="00A25FDE" w:rsidRDefault="00996DC6" w:rsidP="00996DC6">
      <w:pPr>
        <w:widowControl/>
        <w:autoSpaceDE w:val="0"/>
        <w:autoSpaceDN w:val="0"/>
        <w:adjustRightInd w:val="0"/>
        <w:rPr>
          <w:rFonts w:eastAsia="Calibri" w:cs="Arial"/>
          <w:bCs/>
          <w:szCs w:val="22"/>
          <w:lang w:val="en-AU" w:bidi="ar-SA"/>
        </w:rPr>
      </w:pPr>
      <w:r w:rsidRPr="00A25FDE">
        <w:rPr>
          <w:rFonts w:eastAsia="Calibri" w:cs="Arial"/>
          <w:bCs/>
          <w:szCs w:val="22"/>
          <w:lang w:val="en-AU" w:bidi="ar-SA"/>
        </w:rPr>
        <w:t xml:space="preserve">The Authority accepted application A1191 which seeks to </w:t>
      </w:r>
      <w:r w:rsidRPr="00A25FDE">
        <w:rPr>
          <w:szCs w:val="22"/>
        </w:rPr>
        <w:t>extend the use of the food additive mono- and diglycerides of fatty acids (INS 471) as a glazing agent for fresh fruits and vegetables</w:t>
      </w:r>
      <w:r w:rsidRPr="00A25FDE">
        <w:rPr>
          <w:rFonts w:eastAsia="Calibri" w:cs="Arial"/>
          <w:bCs/>
          <w:szCs w:val="22"/>
          <w:lang w:val="en-AU" w:bidi="ar-SA"/>
        </w:rPr>
        <w:t xml:space="preserve">. The Authority considered the application in accordance with Division 1 of Part 3 and has approved a draft </w:t>
      </w:r>
      <w:r>
        <w:rPr>
          <w:rFonts w:eastAsia="Calibri" w:cs="Arial"/>
          <w:bCs/>
          <w:szCs w:val="22"/>
          <w:lang w:val="en-AU" w:bidi="ar-SA"/>
        </w:rPr>
        <w:t>variation</w:t>
      </w:r>
      <w:r w:rsidRPr="00A25FDE">
        <w:rPr>
          <w:rFonts w:eastAsia="Calibri" w:cs="Arial"/>
          <w:bCs/>
          <w:szCs w:val="22"/>
          <w:lang w:val="en-AU" w:bidi="ar-SA"/>
        </w:rPr>
        <w:t xml:space="preserve">. </w:t>
      </w:r>
    </w:p>
    <w:p w14:paraId="254B1057" w14:textId="77777777" w:rsidR="00996DC6" w:rsidRPr="00D13E34" w:rsidRDefault="00996DC6" w:rsidP="00996DC6">
      <w:pPr>
        <w:widowControl/>
        <w:autoSpaceDE w:val="0"/>
        <w:autoSpaceDN w:val="0"/>
        <w:adjustRightInd w:val="0"/>
        <w:rPr>
          <w:rFonts w:eastAsia="Calibri" w:cs="Arial"/>
          <w:bCs/>
          <w:szCs w:val="22"/>
          <w:lang w:val="en-AU" w:bidi="ar-SA"/>
        </w:rPr>
      </w:pPr>
    </w:p>
    <w:p w14:paraId="254B1058" w14:textId="77777777" w:rsidR="00996DC6" w:rsidRPr="00D13E34" w:rsidRDefault="00996DC6" w:rsidP="00996DC6">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254B1059" w14:textId="77777777" w:rsidR="00996DC6" w:rsidRPr="00D13E34" w:rsidRDefault="00996DC6" w:rsidP="00996DC6">
      <w:pPr>
        <w:widowControl/>
        <w:autoSpaceDE w:val="0"/>
        <w:autoSpaceDN w:val="0"/>
        <w:adjustRightInd w:val="0"/>
        <w:rPr>
          <w:rFonts w:eastAsia="Calibri" w:cs="Arial"/>
          <w:bCs/>
          <w:szCs w:val="22"/>
          <w:lang w:val="en-AU" w:bidi="ar-SA"/>
        </w:rPr>
      </w:pPr>
    </w:p>
    <w:p w14:paraId="254B105A" w14:textId="77777777" w:rsidR="00996DC6" w:rsidRPr="00D13E34" w:rsidRDefault="00996DC6" w:rsidP="00996DC6">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14:paraId="254B105B" w14:textId="77777777" w:rsidR="00996DC6" w:rsidRDefault="00996DC6" w:rsidP="00996DC6">
      <w:pPr>
        <w:rPr>
          <w:lang w:val="en-AU" w:eastAsia="en-GB" w:bidi="ar-SA"/>
        </w:rPr>
      </w:pPr>
    </w:p>
    <w:p w14:paraId="254B105C" w14:textId="77777777" w:rsidR="00996DC6" w:rsidRDefault="00996DC6" w:rsidP="00996DC6">
      <w:pPr>
        <w:rPr>
          <w:b/>
          <w:lang w:val="en-AU" w:eastAsia="en-GB" w:bidi="ar-SA"/>
        </w:rPr>
      </w:pPr>
      <w:r>
        <w:rPr>
          <w:b/>
          <w:lang w:val="en-AU" w:eastAsia="en-GB" w:bidi="ar-SA"/>
        </w:rPr>
        <w:t>2.</w:t>
      </w:r>
      <w:r>
        <w:rPr>
          <w:b/>
          <w:lang w:val="en-AU" w:eastAsia="en-GB" w:bidi="ar-SA"/>
        </w:rPr>
        <w:tab/>
        <w:t xml:space="preserve">Purpose </w:t>
      </w:r>
    </w:p>
    <w:p w14:paraId="254B105D" w14:textId="77777777" w:rsidR="00996DC6" w:rsidRDefault="00996DC6" w:rsidP="00996DC6">
      <w:pPr>
        <w:rPr>
          <w:lang w:val="en-AU" w:eastAsia="en-GB" w:bidi="ar-SA"/>
        </w:rPr>
      </w:pPr>
    </w:p>
    <w:p w14:paraId="254B105E" w14:textId="77777777" w:rsidR="00996DC6" w:rsidRDefault="00996DC6" w:rsidP="00996DC6">
      <w:pPr>
        <w:rPr>
          <w:lang w:val="en-AU" w:eastAsia="en-GB" w:bidi="ar-SA"/>
        </w:rPr>
      </w:pPr>
      <w:r>
        <w:rPr>
          <w:lang w:val="en-AU" w:eastAsia="en-GB" w:bidi="ar-SA"/>
        </w:rPr>
        <w:t xml:space="preserve">The Authority has approved the draft variation to amend the table to section S15—5 in Schedule 15 of the Code to permit the use of mono- and diglycerides of fatty acids (INS 471) </w:t>
      </w:r>
      <w:r>
        <w:t>as a glazing agent for fresh fruits and vegetables</w:t>
      </w:r>
      <w:r>
        <w:rPr>
          <w:lang w:val="en-AU" w:eastAsia="en-GB" w:bidi="ar-SA"/>
        </w:rPr>
        <w:t xml:space="preserve"> (food category 4.1.2).</w:t>
      </w:r>
    </w:p>
    <w:p w14:paraId="254B105F" w14:textId="77777777" w:rsidR="00996DC6" w:rsidRDefault="00996DC6" w:rsidP="00996DC6">
      <w:pPr>
        <w:rPr>
          <w:lang w:val="en-AU" w:eastAsia="en-GB" w:bidi="ar-SA"/>
        </w:rPr>
      </w:pPr>
    </w:p>
    <w:p w14:paraId="254B1060" w14:textId="77777777" w:rsidR="00996DC6" w:rsidRPr="000576EB" w:rsidRDefault="00996DC6" w:rsidP="00996DC6">
      <w:pPr>
        <w:rPr>
          <w:b/>
          <w:lang w:val="en-AU" w:eastAsia="en-GB" w:bidi="ar-SA"/>
        </w:rPr>
      </w:pPr>
      <w:r w:rsidRPr="000576EB">
        <w:rPr>
          <w:b/>
          <w:lang w:val="en-AU" w:eastAsia="en-GB" w:bidi="ar-SA"/>
        </w:rPr>
        <w:t>3.</w:t>
      </w:r>
      <w:r w:rsidRPr="000576EB">
        <w:rPr>
          <w:b/>
          <w:lang w:val="en-AU" w:eastAsia="en-GB" w:bidi="ar-SA"/>
        </w:rPr>
        <w:tab/>
        <w:t>Documents incorporated by reference</w:t>
      </w:r>
    </w:p>
    <w:p w14:paraId="254B1061" w14:textId="77777777" w:rsidR="00996DC6" w:rsidRDefault="00996DC6" w:rsidP="00996DC6">
      <w:pPr>
        <w:rPr>
          <w:lang w:val="en-AU" w:eastAsia="en-GB" w:bidi="ar-SA"/>
        </w:rPr>
      </w:pPr>
    </w:p>
    <w:p w14:paraId="254B1062" w14:textId="77777777" w:rsidR="00996DC6" w:rsidRDefault="00996DC6" w:rsidP="00996DC6">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254B1063" w14:textId="77777777" w:rsidR="00996DC6" w:rsidRDefault="00996DC6" w:rsidP="00996DC6">
      <w:pPr>
        <w:widowControl/>
        <w:autoSpaceDE w:val="0"/>
        <w:autoSpaceDN w:val="0"/>
        <w:adjustRightInd w:val="0"/>
        <w:rPr>
          <w:rFonts w:eastAsia="Calibri" w:cs="Arial"/>
          <w:bCs/>
          <w:szCs w:val="22"/>
          <w:lang w:val="en-AU" w:bidi="ar-SA"/>
        </w:rPr>
      </w:pPr>
    </w:p>
    <w:p w14:paraId="254B1064" w14:textId="77777777" w:rsidR="00996DC6" w:rsidRPr="00A25FDE" w:rsidRDefault="00996DC6" w:rsidP="00996DC6">
      <w:r w:rsidRPr="00A25FDE">
        <w:rPr>
          <w:rFonts w:eastAsia="Calibri" w:cs="Arial"/>
          <w:bCs/>
          <w:szCs w:val="22"/>
          <w:lang w:val="en-AU" w:bidi="ar-SA"/>
        </w:rPr>
        <w:t xml:space="preserve">Existing provisions of the Code incorporate a document by reference that will prescribe identity and purity specifications for the food additive to be permitted by the draft variation. </w:t>
      </w:r>
      <w:r w:rsidRPr="00A25FDE">
        <w:t xml:space="preserve">Section 1.1.1—15 of the Code requires substances used as food additives to comply with any relevant identity and purity specifications listed in Schedule 3 of the Code. Section S3—2 of Schedule 3 incorporates by reference the specifications </w:t>
      </w:r>
      <w:r w:rsidRPr="00A25FDE">
        <w:rPr>
          <w:rFonts w:eastAsia="Calibri" w:cs="Arial"/>
          <w:bCs/>
          <w:szCs w:val="22"/>
          <w:lang w:val="en-AU" w:bidi="ar-SA"/>
        </w:rPr>
        <w:t xml:space="preserve">listed in </w:t>
      </w:r>
      <w:r w:rsidRPr="00A25FDE">
        <w:t xml:space="preserve">the Joint FAO/WHO Expert Committee on Food Additives (JECFA) </w:t>
      </w:r>
      <w:r w:rsidRPr="00A25FDE">
        <w:rPr>
          <w:color w:val="000000" w:themeColor="text1"/>
        </w:rPr>
        <w:t xml:space="preserve">Compendium of Food Additive Specifications (FAO/WHO 2017), the </w:t>
      </w:r>
      <w:r w:rsidRPr="00A25FDE">
        <w:t>United States Pharmacopeial Convention (2018) Food Chemicals Codex (11</w:t>
      </w:r>
      <w:r w:rsidRPr="00A25FDE">
        <w:rPr>
          <w:vertAlign w:val="superscript"/>
        </w:rPr>
        <w:t>th</w:t>
      </w:r>
      <w:r w:rsidRPr="00A25FDE">
        <w:t xml:space="preserve"> edition) and the Commission Regulation (EU) No 231/2012, specifications for food additives. These include specifications for this food additive.</w:t>
      </w:r>
    </w:p>
    <w:p w14:paraId="254B1065" w14:textId="77777777" w:rsidR="00996DC6" w:rsidRDefault="00996DC6" w:rsidP="00996DC6">
      <w:pPr>
        <w:rPr>
          <w:lang w:val="en-AU" w:eastAsia="en-GB" w:bidi="ar-SA"/>
        </w:rPr>
      </w:pPr>
    </w:p>
    <w:p w14:paraId="254B1066" w14:textId="77777777" w:rsidR="00996DC6" w:rsidRPr="000576EB" w:rsidRDefault="00996DC6" w:rsidP="00996DC6">
      <w:pPr>
        <w:rPr>
          <w:b/>
          <w:lang w:val="en-AU" w:eastAsia="en-GB" w:bidi="ar-SA"/>
        </w:rPr>
      </w:pPr>
      <w:r w:rsidRPr="000576EB">
        <w:rPr>
          <w:b/>
          <w:lang w:val="en-AU" w:eastAsia="en-GB" w:bidi="ar-SA"/>
        </w:rPr>
        <w:t>4.</w:t>
      </w:r>
      <w:r w:rsidRPr="000576EB">
        <w:rPr>
          <w:b/>
          <w:lang w:val="en-AU" w:eastAsia="en-GB" w:bidi="ar-SA"/>
        </w:rPr>
        <w:tab/>
        <w:t>Consultation</w:t>
      </w:r>
    </w:p>
    <w:p w14:paraId="254B1067" w14:textId="77777777" w:rsidR="00996DC6" w:rsidRDefault="00996DC6" w:rsidP="00996DC6">
      <w:pPr>
        <w:rPr>
          <w:lang w:val="en-AU" w:eastAsia="en-GB" w:bidi="ar-SA"/>
        </w:rPr>
      </w:pPr>
    </w:p>
    <w:p w14:paraId="254B1068" w14:textId="77777777" w:rsidR="00996DC6" w:rsidRPr="00A25FDE" w:rsidRDefault="00996DC6" w:rsidP="00996DC6">
      <w:pPr>
        <w:rPr>
          <w:lang w:val="en-AU"/>
        </w:rPr>
      </w:pPr>
      <w:r w:rsidRPr="00A25FDE">
        <w:rPr>
          <w:szCs w:val="22"/>
        </w:rPr>
        <w:t xml:space="preserve">In accordance with the procedure in Division 1 of Part 3 of the FSANZ Act, </w:t>
      </w:r>
      <w:r w:rsidRPr="00A25FDE">
        <w:rPr>
          <w:rFonts w:eastAsia="Calibri" w:cs="Arial"/>
          <w:bCs/>
          <w:szCs w:val="22"/>
          <w:lang w:val="en-AU" w:bidi="ar-SA"/>
        </w:rPr>
        <w:t>the Authority</w:t>
      </w:r>
      <w:r w:rsidRPr="00A25FDE">
        <w:rPr>
          <w:szCs w:val="22"/>
        </w:rPr>
        <w:t xml:space="preserve">’s consideration of application A1191 included one round of public consultation following an assessment and the preparation of a draft Standard and associated report. Submissions were called for on 3 September 2020 for a six-week consultation period. </w:t>
      </w:r>
    </w:p>
    <w:p w14:paraId="254B1069" w14:textId="77777777" w:rsidR="00996DC6" w:rsidRPr="00A25FDE" w:rsidRDefault="00996DC6" w:rsidP="00996DC6">
      <w:pPr>
        <w:rPr>
          <w:rFonts w:eastAsia="Calibri"/>
          <w:szCs w:val="22"/>
          <w:lang w:val="en-AU" w:bidi="ar-SA"/>
        </w:rPr>
      </w:pPr>
    </w:p>
    <w:p w14:paraId="254B106A" w14:textId="77777777" w:rsidR="00996DC6" w:rsidRDefault="00996DC6" w:rsidP="00996DC6">
      <w:pPr>
        <w:rPr>
          <w:bCs/>
        </w:rPr>
      </w:pPr>
      <w:r w:rsidRPr="00F51DCC">
        <w:rPr>
          <w:bCs/>
        </w:rPr>
        <w:t xml:space="preserve">The Office of Best Practice Regulation (OBPR) granted FSANZ a standing exemption from </w:t>
      </w:r>
      <w:r>
        <w:rPr>
          <w:bCs/>
        </w:rPr>
        <w:t>the requirement</w:t>
      </w:r>
      <w:r w:rsidRPr="00F51DCC">
        <w:rPr>
          <w:bCs/>
        </w:rPr>
        <w:t xml:space="preserve"> to develop a Regulatory Impact Statement for proposed variations of the Code to permit </w:t>
      </w:r>
      <w:r>
        <w:rPr>
          <w:bCs/>
        </w:rPr>
        <w:t>food additives or extending the use of existing food additives</w:t>
      </w:r>
      <w:r w:rsidRPr="00F51DCC">
        <w:rPr>
          <w:bCs/>
        </w:rPr>
        <w:t xml:space="preserve"> (OBPR correspondence dated 24 November 2010 - reference 12065). This standing exemption was provided as permitting </w:t>
      </w:r>
      <w:r>
        <w:rPr>
          <w:bCs/>
        </w:rPr>
        <w:t>food additives</w:t>
      </w:r>
      <w:r w:rsidRPr="00F51DCC">
        <w:rPr>
          <w:bCs/>
        </w:rPr>
        <w:t xml:space="preserve"> </w:t>
      </w:r>
      <w:r>
        <w:rPr>
          <w:bCs/>
        </w:rPr>
        <w:t xml:space="preserve">or extending the use of permitted food additives </w:t>
      </w:r>
      <w:r w:rsidRPr="00F51DCC">
        <w:rPr>
          <w:szCs w:val="22"/>
        </w:rPr>
        <w:t>is likely to have only a minor impact on business and individuals</w:t>
      </w:r>
      <w:r w:rsidRPr="00F51DCC">
        <w:rPr>
          <w:bCs/>
        </w:rPr>
        <w:t xml:space="preserve">. It is a minor, deregulatory change that allows for the introduction of a food product to the food supply that has been determined to be safe. </w:t>
      </w:r>
      <w:r>
        <w:rPr>
          <w:bCs/>
        </w:rPr>
        <w:t>Extending t</w:t>
      </w:r>
      <w:r w:rsidRPr="00F51DCC">
        <w:rPr>
          <w:bCs/>
        </w:rPr>
        <w:t xml:space="preserve">he use of the approved </w:t>
      </w:r>
      <w:r>
        <w:rPr>
          <w:bCs/>
        </w:rPr>
        <w:t>food additive</w:t>
      </w:r>
      <w:r w:rsidRPr="00F51DCC">
        <w:rPr>
          <w:bCs/>
        </w:rPr>
        <w:t xml:space="preserve"> is also voluntary</w:t>
      </w:r>
      <w:r>
        <w:rPr>
          <w:bCs/>
        </w:rPr>
        <w:t>.</w:t>
      </w:r>
    </w:p>
    <w:p w14:paraId="254B106B" w14:textId="77777777" w:rsidR="00996DC6" w:rsidRPr="00A25FDE" w:rsidRDefault="00996DC6" w:rsidP="00996DC6">
      <w:pPr>
        <w:rPr>
          <w:lang w:val="en-AU" w:eastAsia="en-GB" w:bidi="ar-SA"/>
        </w:rPr>
      </w:pPr>
    </w:p>
    <w:p w14:paraId="254B106C" w14:textId="77777777" w:rsidR="00996DC6" w:rsidRDefault="00996DC6" w:rsidP="00996DC6">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14:paraId="254B106D" w14:textId="77777777" w:rsidR="00996DC6" w:rsidRDefault="00996DC6" w:rsidP="00996DC6">
      <w:pPr>
        <w:rPr>
          <w:rFonts w:eastAsiaTheme="minorHAnsi"/>
          <w:lang w:val="en-AU" w:bidi="ar-SA"/>
        </w:rPr>
      </w:pPr>
    </w:p>
    <w:p w14:paraId="254B106E" w14:textId="77777777" w:rsidR="00996DC6" w:rsidRDefault="00996DC6" w:rsidP="00996DC6">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254B106F" w14:textId="77777777" w:rsidR="00996DC6" w:rsidRDefault="00996DC6" w:rsidP="00996DC6">
      <w:pPr>
        <w:rPr>
          <w:rFonts w:eastAsiaTheme="minorHAnsi"/>
          <w:lang w:val="en-AU" w:bidi="ar-SA"/>
        </w:rPr>
      </w:pPr>
    </w:p>
    <w:p w14:paraId="254B1070" w14:textId="77777777" w:rsidR="00996DC6" w:rsidRPr="00432A42" w:rsidRDefault="00996DC6" w:rsidP="00996DC6">
      <w:pPr>
        <w:rPr>
          <w:b/>
          <w:lang w:val="en-AU" w:eastAsia="en-GB" w:bidi="ar-SA"/>
        </w:rPr>
      </w:pPr>
      <w:r w:rsidRPr="00432A42">
        <w:rPr>
          <w:b/>
        </w:rPr>
        <w:t>6.</w:t>
      </w:r>
      <w:r w:rsidRPr="00432A42">
        <w:rPr>
          <w:b/>
        </w:rPr>
        <w:tab/>
      </w:r>
      <w:r>
        <w:rPr>
          <w:b/>
          <w:lang w:val="en-AU" w:eastAsia="en-GB" w:bidi="ar-SA"/>
        </w:rPr>
        <w:t>Variation</w:t>
      </w:r>
    </w:p>
    <w:p w14:paraId="254B1071" w14:textId="77777777" w:rsidR="00996DC6" w:rsidRPr="00432A42" w:rsidRDefault="00996DC6" w:rsidP="00996DC6">
      <w:pPr>
        <w:rPr>
          <w:b/>
        </w:rPr>
      </w:pPr>
    </w:p>
    <w:p w14:paraId="254B1072" w14:textId="77777777" w:rsidR="00996DC6" w:rsidRPr="00A25FDE" w:rsidRDefault="00996DC6" w:rsidP="00996DC6">
      <w:r w:rsidRPr="00A25FDE">
        <w:t xml:space="preserve">Item [1] amends the table to section S15—5 in Schedule 15 of the Code by inserting a new permission for </w:t>
      </w:r>
      <w:r>
        <w:t>m</w:t>
      </w:r>
      <w:r w:rsidRPr="00A25FDE">
        <w:t xml:space="preserve">ono- and diglycerides of fatty acids (INS 471) under the food category 4.1.2 </w:t>
      </w:r>
      <w:r>
        <w:t>(</w:t>
      </w:r>
      <w:r w:rsidRPr="00A25FDE">
        <w:t>Surface treated fruits and vegetables</w:t>
      </w:r>
      <w:r>
        <w:t>)</w:t>
      </w:r>
      <w:r w:rsidRPr="00A25FDE">
        <w:t xml:space="preserve">. </w:t>
      </w:r>
    </w:p>
    <w:p w14:paraId="254B1073" w14:textId="77777777" w:rsidR="00996DC6" w:rsidRPr="00A25FDE" w:rsidRDefault="00996DC6" w:rsidP="00996DC6"/>
    <w:p w14:paraId="254B1074" w14:textId="77777777" w:rsidR="00996DC6" w:rsidRDefault="00996DC6" w:rsidP="00996DC6"/>
    <w:p w14:paraId="254B1075" w14:textId="77777777" w:rsidR="00996DC6" w:rsidRDefault="00996DC6" w:rsidP="00996DC6">
      <w:pPr>
        <w:rPr>
          <w:lang w:val="en-AU" w:eastAsia="en-GB" w:bidi="ar-SA"/>
        </w:rPr>
      </w:pPr>
    </w:p>
    <w:p w14:paraId="254B1076" w14:textId="77777777" w:rsidR="00D5526B" w:rsidRPr="003A01FB" w:rsidRDefault="00D5526B" w:rsidP="003A01FB"/>
    <w:sectPr w:rsidR="00D5526B" w:rsidRPr="003A01FB" w:rsidSect="000E428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B1079" w14:textId="77777777" w:rsidR="00B949AC" w:rsidRDefault="00B949AC" w:rsidP="00996DC6">
      <w:r>
        <w:separator/>
      </w:r>
    </w:p>
  </w:endnote>
  <w:endnote w:type="continuationSeparator" w:id="0">
    <w:p w14:paraId="254B107A" w14:textId="77777777" w:rsidR="00B949AC" w:rsidRDefault="00B949AC" w:rsidP="0099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B1077" w14:textId="77777777" w:rsidR="00B949AC" w:rsidRDefault="00B949AC" w:rsidP="00996DC6">
      <w:r>
        <w:separator/>
      </w:r>
    </w:p>
  </w:footnote>
  <w:footnote w:type="continuationSeparator" w:id="0">
    <w:p w14:paraId="254B1078" w14:textId="77777777" w:rsidR="00B949AC" w:rsidRDefault="00B949AC" w:rsidP="00996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C6"/>
    <w:rsid w:val="0000542C"/>
    <w:rsid w:val="00041643"/>
    <w:rsid w:val="000622E7"/>
    <w:rsid w:val="00066854"/>
    <w:rsid w:val="00066D85"/>
    <w:rsid w:val="000A38F8"/>
    <w:rsid w:val="000B18D5"/>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96DC6"/>
    <w:rsid w:val="009E265A"/>
    <w:rsid w:val="00A25B29"/>
    <w:rsid w:val="00A26F82"/>
    <w:rsid w:val="00A808E9"/>
    <w:rsid w:val="00B53154"/>
    <w:rsid w:val="00B72074"/>
    <w:rsid w:val="00B949AC"/>
    <w:rsid w:val="00BC2133"/>
    <w:rsid w:val="00BE4F3A"/>
    <w:rsid w:val="00C019A6"/>
    <w:rsid w:val="00C572A2"/>
    <w:rsid w:val="00CA1E2A"/>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4B104F"/>
  <w15:chartTrackingRefBased/>
  <w15:docId w15:val="{6AF67F54-0195-4264-BDFD-EDB92A16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996DC6"/>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40</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43bd8487-b9f6-4055-946c-a118d364275d</TermId>
        </TermInfo>
      </Terms>
    </bd06d2da0152468b9236b575a71e0e7c>
    <_dlc_DocId xmlns="ff5de93e-c5e8-4efc-a1bd-21450292fcfe">X3VAMR3A5FUY-552-7912</_dlc_DocId>
    <_dlc_DocIdUrl xmlns="ff5de93e-c5e8-4efc-a1bd-21450292fcfe">
      <Url>http://teams/Sections/RAP/_layouts/15/DocIdRedir.aspx?ID=X3VAMR3A5FUY-552-7912</Url>
      <Description>X3VAMR3A5FUY-552-7912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959f586-1386-49a0-8f25-29490ba8c513" ContentTypeId="0x01010004C4C934AD08B647A78FCADD498BE31902" PreviousValue="false"/>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D3E9F-53AE-493C-91FB-60F70B0137AE}">
  <ds:schemaRefs>
    <ds:schemaRef ds:uri="http://schemas.microsoft.com/office/infopath/2007/PartnerControls"/>
    <ds:schemaRef ds:uri="ec50576e-4a27-4780-a1e1-e59563bc70b8"/>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ff5de93e-c5e8-4efc-a1bd-21450292fcfe"/>
    <ds:schemaRef ds:uri="http://www.w3.org/XML/1998/namespace"/>
    <ds:schemaRef ds:uri="http://purl.org/dc/dcmitype/"/>
  </ds:schemaRefs>
</ds:datastoreItem>
</file>

<file path=customXml/itemProps2.xml><?xml version="1.0" encoding="utf-8"?>
<ds:datastoreItem xmlns:ds="http://schemas.openxmlformats.org/officeDocument/2006/customXml" ds:itemID="{E158FE9A-3AC3-47A6-BBE8-D79503054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CFEE1-F9F4-4141-92C5-A49B3DCD7842}">
  <ds:schemaRefs>
    <ds:schemaRef ds:uri="Microsoft.SharePoint.Taxonomy.ContentTypeSync"/>
  </ds:schemaRefs>
</ds:datastoreItem>
</file>

<file path=customXml/itemProps4.xml><?xml version="1.0" encoding="utf-8"?>
<ds:datastoreItem xmlns:ds="http://schemas.openxmlformats.org/officeDocument/2006/customXml" ds:itemID="{28485FB2-2529-476D-A70B-7C2D93081C87}">
  <ds:schemaRefs>
    <ds:schemaRef ds:uri="http://schemas.microsoft.com/sharepoint/events"/>
  </ds:schemaRefs>
</ds:datastoreItem>
</file>

<file path=customXml/itemProps5.xml><?xml version="1.0" encoding="utf-8"?>
<ds:datastoreItem xmlns:ds="http://schemas.openxmlformats.org/officeDocument/2006/customXml" ds:itemID="{EBF962BA-8EC0-4379-B4E0-E2B4F773BFDB}">
  <ds:schemaRefs>
    <ds:schemaRef ds:uri="http://schemas.microsoft.com/sharepoint/v3/contenttype/forms"/>
  </ds:schemaRefs>
</ds:datastoreItem>
</file>

<file path=customXml/itemProps6.xml><?xml version="1.0" encoding="utf-8"?>
<ds:datastoreItem xmlns:ds="http://schemas.openxmlformats.org/officeDocument/2006/customXml" ds:itemID="{1BB53D20-3FA0-40B2-A2BC-D62AC2474255}">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B2755129-E9B5-4A9C-885A-9AFA5016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Tailee Vecchi</dc:creator>
  <cp:keywords/>
  <dc:description/>
  <cp:lastModifiedBy>Tailee Vecchi</cp:lastModifiedBy>
  <cp:revision>3</cp:revision>
  <dcterms:created xsi:type="dcterms:W3CDTF">2021-04-14T01:19:00Z</dcterms:created>
  <dcterms:modified xsi:type="dcterms:W3CDTF">2021-04-15T03:35:00Z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50ac7ef9-8f0b-4c7c-aad5-0965b3e3e6f3</vt:lpwstr>
  </property>
  <property fmtid="{D5CDD505-2E9C-101B-9397-08002B2CF9AE}" pid="3" name="bjSaver">
    <vt:lpwstr>NIRxwK0u8rEaK3QvQc4OMTjVpAjSnRIZ</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0x01010004C4C934AD08B647A78FCADD498BE3190200326A638932699E48A89F1995A4895C37</vt:lpwstr>
  </property>
  <property fmtid="{D5CDD505-2E9C-101B-9397-08002B2CF9AE}" pid="8" name="_dlc_DocIdItemGuid">
    <vt:lpwstr>a31f7c12-af5f-4803-a20c-ff89f1cd39c3</vt:lpwstr>
  </property>
  <property fmtid="{D5CDD505-2E9C-101B-9397-08002B2CF9AE}" pid="9" name="DisposalClass">
    <vt:lpwstr/>
  </property>
  <property fmtid="{D5CDD505-2E9C-101B-9397-08002B2CF9AE}" pid="10" name="BCS_">
    <vt:lpwstr>40;#Evaluation|43bd8487-b9f6-4055-946c-a118d364275d</vt:lpwstr>
  </property>
</Properties>
</file>