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C9531" w14:textId="363B2D5B" w:rsidR="00543981" w:rsidRPr="00543981" w:rsidRDefault="0009111F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bookmarkStart w:id="0" w:name="_GoBack"/>
      <w:bookmarkEnd w:id="0"/>
      <w:r w:rsidRPr="00543981">
        <w:rPr>
          <w:rFonts w:ascii="Arial" w:hAnsi="Arial" w:cs="Arial"/>
          <w:sz w:val="34"/>
          <w:szCs w:val="34"/>
        </w:rPr>
        <w:t>Legislative Instrument</w:t>
      </w:r>
    </w:p>
    <w:p w14:paraId="49143B7D" w14:textId="77777777" w:rsidR="007A010E" w:rsidRPr="00543981" w:rsidRDefault="007A010E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34"/>
          <w:szCs w:val="34"/>
        </w:rPr>
      </w:pPr>
    </w:p>
    <w:p w14:paraId="46D21771" w14:textId="5F69EC04" w:rsidR="00CD315C" w:rsidRPr="00A9700F" w:rsidRDefault="00CD315C" w:rsidP="00CD315C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i/>
          <w:iCs/>
          <w:sz w:val="34"/>
          <w:szCs w:val="34"/>
        </w:rPr>
      </w:pPr>
      <w:bookmarkStart w:id="1" w:name="_Hlk54099560"/>
      <w:proofErr w:type="spellStart"/>
      <w:r w:rsidRPr="00A9700F">
        <w:rPr>
          <w:rFonts w:ascii="Arial" w:hAnsi="Arial" w:cs="Arial"/>
          <w:i/>
          <w:iCs/>
          <w:sz w:val="34"/>
          <w:szCs w:val="34"/>
        </w:rPr>
        <w:t>JobMaker</w:t>
      </w:r>
      <w:proofErr w:type="spellEnd"/>
      <w:r w:rsidRPr="00A9700F">
        <w:rPr>
          <w:rFonts w:ascii="Arial" w:hAnsi="Arial" w:cs="Arial"/>
          <w:i/>
          <w:iCs/>
          <w:sz w:val="34"/>
          <w:szCs w:val="34"/>
        </w:rPr>
        <w:t xml:space="preserve"> Hiring Credit Reporting Obligations</w:t>
      </w:r>
      <w:r>
        <w:rPr>
          <w:rFonts w:ascii="Arial" w:hAnsi="Arial" w:cs="Arial"/>
          <w:i/>
          <w:iCs/>
          <w:sz w:val="34"/>
          <w:szCs w:val="34"/>
        </w:rPr>
        <w:t xml:space="preserve"> Amendment</w:t>
      </w:r>
      <w:r w:rsidRPr="00A9700F">
        <w:rPr>
          <w:rFonts w:ascii="Arial" w:hAnsi="Arial" w:cs="Arial"/>
          <w:i/>
          <w:iCs/>
          <w:sz w:val="34"/>
          <w:szCs w:val="34"/>
        </w:rPr>
        <w:t xml:space="preserve"> Instrument 202</w:t>
      </w:r>
      <w:r w:rsidR="00710B88">
        <w:rPr>
          <w:rFonts w:ascii="Arial" w:hAnsi="Arial" w:cs="Arial"/>
          <w:i/>
          <w:iCs/>
          <w:sz w:val="34"/>
          <w:szCs w:val="34"/>
        </w:rPr>
        <w:t>1</w:t>
      </w:r>
    </w:p>
    <w:bookmarkEnd w:id="1"/>
    <w:p w14:paraId="792AB36C" w14:textId="77777777" w:rsidR="000A1078" w:rsidRPr="00410152" w:rsidRDefault="000A1078" w:rsidP="00766BC9">
      <w:pPr>
        <w:rPr>
          <w:rFonts w:ascii="Arial" w:hAnsi="Arial" w:cs="Arial"/>
          <w:sz w:val="22"/>
          <w:szCs w:val="22"/>
        </w:rPr>
      </w:pPr>
    </w:p>
    <w:p w14:paraId="76322A25" w14:textId="77777777" w:rsidR="00B813C3" w:rsidRPr="00410152" w:rsidRDefault="00B813C3" w:rsidP="00766BC9">
      <w:pPr>
        <w:rPr>
          <w:rFonts w:ascii="Arial" w:hAnsi="Arial" w:cs="Arial"/>
          <w:sz w:val="22"/>
          <w:szCs w:val="22"/>
        </w:rPr>
      </w:pPr>
    </w:p>
    <w:p w14:paraId="7D87CDA4" w14:textId="613E2F2E" w:rsidR="00B813C3" w:rsidRPr="004D1089" w:rsidRDefault="00B813C3" w:rsidP="00FE79B8">
      <w:pPr>
        <w:spacing w:after="120"/>
        <w:rPr>
          <w:rFonts w:ascii="Arial" w:hAnsi="Arial" w:cs="Arial"/>
          <w:sz w:val="22"/>
          <w:szCs w:val="22"/>
        </w:rPr>
      </w:pPr>
      <w:r w:rsidRPr="00543981">
        <w:rPr>
          <w:rFonts w:ascii="Arial" w:hAnsi="Arial" w:cs="Arial"/>
          <w:sz w:val="22"/>
          <w:szCs w:val="22"/>
        </w:rPr>
        <w:t xml:space="preserve">I, </w:t>
      </w:r>
      <w:r w:rsidR="00783C20">
        <w:rPr>
          <w:rFonts w:ascii="Arial" w:hAnsi="Arial" w:cs="Arial"/>
          <w:sz w:val="22"/>
          <w:szCs w:val="22"/>
        </w:rPr>
        <w:t>Christopher David Jordan, Commissioner of Taxation</w:t>
      </w:r>
      <w:r w:rsidRPr="00543981">
        <w:rPr>
          <w:rFonts w:ascii="Arial" w:hAnsi="Arial" w:cs="Arial"/>
          <w:sz w:val="22"/>
          <w:szCs w:val="22"/>
        </w:rPr>
        <w:t>, make this determination under</w:t>
      </w:r>
      <w:r w:rsidR="00CD315C">
        <w:rPr>
          <w:rFonts w:ascii="Arial" w:hAnsi="Arial" w:cs="Arial"/>
          <w:sz w:val="22"/>
          <w:szCs w:val="22"/>
        </w:rPr>
        <w:t xml:space="preserve"> </w:t>
      </w:r>
      <w:r w:rsidR="0018123D" w:rsidRPr="004D1089">
        <w:rPr>
          <w:rFonts w:ascii="Arial" w:hAnsi="Arial" w:cs="Arial"/>
          <w:sz w:val="22"/>
          <w:szCs w:val="22"/>
        </w:rPr>
        <w:t>subs</w:t>
      </w:r>
      <w:r w:rsidR="00BC698E" w:rsidRPr="004D1089">
        <w:rPr>
          <w:rFonts w:ascii="Arial" w:hAnsi="Arial" w:cs="Arial"/>
          <w:sz w:val="22"/>
          <w:szCs w:val="22"/>
        </w:rPr>
        <w:t>ection </w:t>
      </w:r>
      <w:r w:rsidR="0018123D" w:rsidRPr="004D1089">
        <w:rPr>
          <w:rFonts w:ascii="Arial" w:hAnsi="Arial" w:cs="Arial"/>
          <w:sz w:val="22"/>
          <w:szCs w:val="22"/>
        </w:rPr>
        <w:t xml:space="preserve">20(4) of </w:t>
      </w:r>
      <w:r w:rsidR="004D1089">
        <w:rPr>
          <w:rFonts w:ascii="Arial" w:hAnsi="Arial" w:cs="Arial"/>
          <w:sz w:val="22"/>
          <w:szCs w:val="22"/>
        </w:rPr>
        <w:t xml:space="preserve">the </w:t>
      </w:r>
      <w:r w:rsidR="0018123D" w:rsidRPr="004D1089">
        <w:rPr>
          <w:rFonts w:ascii="Arial" w:hAnsi="Arial" w:cs="Arial"/>
          <w:i/>
          <w:iCs/>
          <w:sz w:val="22"/>
          <w:szCs w:val="22"/>
        </w:rPr>
        <w:t>Coronavirus Economic Response Package (Payments and Benefits) Act</w:t>
      </w:r>
      <w:r w:rsidR="000D30EF" w:rsidRPr="004D1089">
        <w:rPr>
          <w:rFonts w:ascii="Arial" w:hAnsi="Arial" w:cs="Arial"/>
          <w:i/>
          <w:iCs/>
          <w:sz w:val="22"/>
          <w:szCs w:val="22"/>
        </w:rPr>
        <w:t> 2020</w:t>
      </w:r>
      <w:r w:rsidR="00AB0DF0">
        <w:rPr>
          <w:rFonts w:ascii="Arial" w:hAnsi="Arial" w:cs="Arial"/>
          <w:i/>
          <w:iCs/>
          <w:sz w:val="22"/>
          <w:szCs w:val="22"/>
        </w:rPr>
        <w:t xml:space="preserve"> </w:t>
      </w:r>
      <w:r w:rsidR="00AB0DF0" w:rsidRPr="00C22C44">
        <w:rPr>
          <w:rFonts w:ascii="Arial" w:hAnsi="Arial" w:cs="Arial"/>
          <w:iCs/>
          <w:sz w:val="22"/>
          <w:szCs w:val="22"/>
        </w:rPr>
        <w:t>and</w:t>
      </w:r>
      <w:r w:rsidR="00AB0DF0">
        <w:rPr>
          <w:rFonts w:ascii="Arial" w:hAnsi="Arial" w:cs="Arial"/>
          <w:i/>
          <w:iCs/>
          <w:sz w:val="22"/>
          <w:szCs w:val="22"/>
        </w:rPr>
        <w:t xml:space="preserve"> </w:t>
      </w:r>
      <w:r w:rsidR="00AB0DF0">
        <w:rPr>
          <w:rFonts w:ascii="Arial" w:hAnsi="Arial" w:cs="Arial"/>
          <w:sz w:val="22"/>
          <w:szCs w:val="22"/>
        </w:rPr>
        <w:t>subsection </w:t>
      </w:r>
      <w:r w:rsidR="00CD315C">
        <w:rPr>
          <w:rFonts w:ascii="Arial" w:hAnsi="Arial" w:cs="Arial"/>
          <w:sz w:val="22"/>
          <w:szCs w:val="22"/>
        </w:rPr>
        <w:t>27</w:t>
      </w:r>
      <w:r w:rsidR="00AB0DF0">
        <w:rPr>
          <w:rFonts w:ascii="Arial" w:hAnsi="Arial" w:cs="Arial"/>
          <w:sz w:val="22"/>
          <w:szCs w:val="22"/>
        </w:rPr>
        <w:t>(</w:t>
      </w:r>
      <w:r w:rsidR="00CD315C">
        <w:rPr>
          <w:rFonts w:ascii="Arial" w:hAnsi="Arial" w:cs="Arial"/>
          <w:sz w:val="22"/>
          <w:szCs w:val="22"/>
        </w:rPr>
        <w:t>3)</w:t>
      </w:r>
      <w:r w:rsidR="00AB0DF0">
        <w:rPr>
          <w:rFonts w:ascii="Arial" w:hAnsi="Arial" w:cs="Arial"/>
          <w:sz w:val="22"/>
          <w:szCs w:val="22"/>
        </w:rPr>
        <w:t xml:space="preserve"> of the </w:t>
      </w:r>
      <w:r w:rsidR="00AB0DF0" w:rsidRPr="00964D67">
        <w:rPr>
          <w:rFonts w:ascii="Arial" w:hAnsi="Arial" w:cs="Arial"/>
          <w:i/>
          <w:iCs/>
          <w:sz w:val="22"/>
          <w:szCs w:val="22"/>
        </w:rPr>
        <w:t>Coronavirus</w:t>
      </w:r>
      <w:r w:rsidR="00AB0DF0">
        <w:rPr>
          <w:rFonts w:ascii="Arial" w:hAnsi="Arial" w:cs="Arial"/>
          <w:i/>
          <w:iCs/>
          <w:sz w:val="22"/>
          <w:szCs w:val="22"/>
        </w:rPr>
        <w:t> </w:t>
      </w:r>
      <w:r w:rsidR="00AB0DF0" w:rsidRPr="00964D67">
        <w:rPr>
          <w:rFonts w:ascii="Arial" w:hAnsi="Arial" w:cs="Arial"/>
          <w:i/>
          <w:iCs/>
          <w:sz w:val="22"/>
          <w:szCs w:val="22"/>
        </w:rPr>
        <w:t>Economic Response Package (Payments and Benefits)</w:t>
      </w:r>
      <w:r w:rsidR="00AB0DF0">
        <w:rPr>
          <w:rFonts w:ascii="Arial" w:hAnsi="Arial" w:cs="Arial"/>
          <w:i/>
          <w:iCs/>
          <w:sz w:val="22"/>
          <w:szCs w:val="22"/>
        </w:rPr>
        <w:t xml:space="preserve"> Rules 2020</w:t>
      </w:r>
      <w:r w:rsidR="00E91FDD">
        <w:rPr>
          <w:rFonts w:ascii="Arial" w:hAnsi="Arial" w:cs="Arial"/>
          <w:i/>
          <w:iCs/>
          <w:sz w:val="22"/>
          <w:szCs w:val="22"/>
        </w:rPr>
        <w:t>.</w:t>
      </w:r>
    </w:p>
    <w:p w14:paraId="5DE904B0" w14:textId="27C5BA32" w:rsidR="00B813C3" w:rsidRPr="00410152" w:rsidRDefault="00B813C3" w:rsidP="008315AC">
      <w:pPr>
        <w:tabs>
          <w:tab w:val="left" w:pos="3615"/>
        </w:tabs>
        <w:rPr>
          <w:rFonts w:ascii="Arial" w:hAnsi="Arial" w:cs="Arial"/>
          <w:sz w:val="22"/>
          <w:szCs w:val="22"/>
        </w:rPr>
      </w:pPr>
    </w:p>
    <w:p w14:paraId="4F65B45F" w14:textId="77777777" w:rsidR="00B813C3" w:rsidRPr="00543981" w:rsidRDefault="00AB0DF0" w:rsidP="00766BC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Chris</w:t>
      </w:r>
      <w:r w:rsidR="007E3293">
        <w:rPr>
          <w:rFonts w:ascii="Arial" w:hAnsi="Arial" w:cs="Arial"/>
          <w:b/>
          <w:sz w:val="22"/>
          <w:szCs w:val="22"/>
        </w:rPr>
        <w:t>topher</w:t>
      </w:r>
      <w:r>
        <w:rPr>
          <w:rFonts w:ascii="Arial" w:hAnsi="Arial" w:cs="Arial"/>
          <w:b/>
          <w:sz w:val="22"/>
          <w:szCs w:val="22"/>
        </w:rPr>
        <w:t xml:space="preserve"> David Jordan</w:t>
      </w:r>
    </w:p>
    <w:p w14:paraId="0BC57196" w14:textId="77777777" w:rsidR="009046DF" w:rsidRPr="00221B28" w:rsidRDefault="009046DF" w:rsidP="009046DF">
      <w:pPr>
        <w:rPr>
          <w:rFonts w:ascii="Arial" w:hAnsi="Arial" w:cs="Arial"/>
          <w:sz w:val="22"/>
          <w:szCs w:val="22"/>
        </w:rPr>
      </w:pPr>
      <w:r w:rsidRPr="00221B28">
        <w:rPr>
          <w:rFonts w:ascii="Arial" w:hAnsi="Arial" w:cs="Arial"/>
          <w:sz w:val="22"/>
          <w:szCs w:val="22"/>
        </w:rPr>
        <w:t>Commissioner of Taxation</w:t>
      </w:r>
    </w:p>
    <w:p w14:paraId="30A34F80" w14:textId="7C9A6633" w:rsidR="00B813C3" w:rsidRPr="00543981" w:rsidRDefault="00B813C3" w:rsidP="00766BC9">
      <w:pPr>
        <w:rPr>
          <w:rFonts w:ascii="Arial" w:hAnsi="Arial" w:cs="Arial"/>
          <w:sz w:val="22"/>
          <w:szCs w:val="22"/>
        </w:rPr>
      </w:pPr>
      <w:r w:rsidRPr="00543981">
        <w:rPr>
          <w:rFonts w:ascii="Arial" w:hAnsi="Arial" w:cs="Arial"/>
          <w:sz w:val="22"/>
          <w:szCs w:val="22"/>
        </w:rPr>
        <w:t xml:space="preserve">Dated: </w:t>
      </w:r>
      <w:r w:rsidR="00621935" w:rsidRPr="00621935">
        <w:rPr>
          <w:rFonts w:ascii="Arial" w:hAnsi="Arial" w:cs="Arial"/>
          <w:sz w:val="22"/>
          <w:szCs w:val="22"/>
        </w:rPr>
        <w:t>16</w:t>
      </w:r>
      <w:r w:rsidR="00503AB6" w:rsidRPr="00621935">
        <w:rPr>
          <w:rFonts w:ascii="Arial" w:hAnsi="Arial" w:cs="Arial"/>
          <w:sz w:val="22"/>
          <w:szCs w:val="22"/>
        </w:rPr>
        <w:t xml:space="preserve"> </w:t>
      </w:r>
      <w:r w:rsidR="00621935" w:rsidRPr="00621935">
        <w:rPr>
          <w:rFonts w:ascii="Arial" w:hAnsi="Arial" w:cs="Arial"/>
          <w:sz w:val="22"/>
          <w:szCs w:val="22"/>
        </w:rPr>
        <w:t xml:space="preserve">April </w:t>
      </w:r>
      <w:r w:rsidR="000D30EF" w:rsidRPr="00621935">
        <w:rPr>
          <w:rFonts w:ascii="Arial" w:hAnsi="Arial" w:cs="Arial"/>
          <w:sz w:val="22"/>
          <w:szCs w:val="22"/>
        </w:rPr>
        <w:t>202</w:t>
      </w:r>
      <w:r w:rsidR="00E13C34" w:rsidRPr="00621935">
        <w:rPr>
          <w:rFonts w:ascii="Arial" w:hAnsi="Arial" w:cs="Arial"/>
          <w:sz w:val="22"/>
          <w:szCs w:val="22"/>
        </w:rPr>
        <w:t>1</w:t>
      </w:r>
    </w:p>
    <w:p w14:paraId="042DAA56" w14:textId="77777777" w:rsidR="00B813C3" w:rsidRPr="00543981" w:rsidRDefault="00B813C3" w:rsidP="00766BC9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66EC47A2" w14:textId="77777777" w:rsidR="00B813C3" w:rsidRPr="00543981" w:rsidRDefault="00B813C3" w:rsidP="00766BC9">
      <w:pPr>
        <w:rPr>
          <w:rFonts w:ascii="Arial" w:hAnsi="Arial" w:cs="Arial"/>
          <w:sz w:val="22"/>
          <w:szCs w:val="22"/>
        </w:rPr>
      </w:pPr>
    </w:p>
    <w:p w14:paraId="1184FA01" w14:textId="77777777" w:rsidR="00B813C3" w:rsidRPr="00085451" w:rsidRDefault="00B813C3" w:rsidP="00EC5B4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085451">
        <w:rPr>
          <w:rFonts w:cs="Arial"/>
          <w:szCs w:val="22"/>
        </w:rPr>
        <w:t>Name of instrument</w:t>
      </w:r>
    </w:p>
    <w:p w14:paraId="3577BE46" w14:textId="68D212C5" w:rsidR="00B813C3" w:rsidRPr="00543981" w:rsidRDefault="00B813C3" w:rsidP="00EC5B4F">
      <w:pPr>
        <w:spacing w:after="120"/>
        <w:rPr>
          <w:rFonts w:ascii="Arial" w:hAnsi="Arial" w:cs="Arial"/>
          <w:sz w:val="22"/>
          <w:szCs w:val="22"/>
        </w:rPr>
      </w:pPr>
      <w:r w:rsidRPr="00543981">
        <w:rPr>
          <w:rFonts w:ascii="Arial" w:hAnsi="Arial" w:cs="Arial"/>
          <w:sz w:val="22"/>
          <w:szCs w:val="22"/>
        </w:rPr>
        <w:t>This determination is the</w:t>
      </w:r>
      <w:r w:rsidR="00964D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315C">
        <w:rPr>
          <w:rFonts w:ascii="Arial" w:hAnsi="Arial" w:cs="Arial"/>
          <w:i/>
          <w:iCs/>
          <w:sz w:val="22"/>
          <w:szCs w:val="22"/>
        </w:rPr>
        <w:t>JobMaker</w:t>
      </w:r>
      <w:proofErr w:type="spellEnd"/>
      <w:r w:rsidR="00CD315C">
        <w:rPr>
          <w:rFonts w:ascii="Arial" w:hAnsi="Arial" w:cs="Arial"/>
          <w:i/>
          <w:iCs/>
          <w:sz w:val="22"/>
          <w:szCs w:val="22"/>
        </w:rPr>
        <w:t xml:space="preserve"> Hiring Credit Reporting Obligations Amendment Instrument</w:t>
      </w:r>
      <w:r w:rsidR="006C6E73">
        <w:rPr>
          <w:rFonts w:ascii="Arial" w:hAnsi="Arial" w:cs="Arial"/>
          <w:i/>
          <w:iCs/>
          <w:sz w:val="22"/>
          <w:szCs w:val="22"/>
        </w:rPr>
        <w:t xml:space="preserve"> </w:t>
      </w:r>
      <w:r w:rsidR="000D30EF">
        <w:rPr>
          <w:rFonts w:ascii="Arial" w:hAnsi="Arial" w:cs="Arial"/>
          <w:i/>
          <w:iCs/>
          <w:sz w:val="22"/>
          <w:szCs w:val="22"/>
        </w:rPr>
        <w:t>202</w:t>
      </w:r>
      <w:r w:rsidR="00710B88">
        <w:rPr>
          <w:rFonts w:ascii="Arial" w:hAnsi="Arial" w:cs="Arial"/>
          <w:i/>
          <w:iCs/>
          <w:sz w:val="22"/>
          <w:szCs w:val="22"/>
        </w:rPr>
        <w:t>1</w:t>
      </w:r>
      <w:r w:rsidRPr="00543981">
        <w:rPr>
          <w:rFonts w:ascii="Arial" w:hAnsi="Arial" w:cs="Arial"/>
          <w:color w:val="0000FF"/>
          <w:sz w:val="22"/>
          <w:szCs w:val="22"/>
        </w:rPr>
        <w:t>.</w:t>
      </w:r>
    </w:p>
    <w:p w14:paraId="4DCB48F6" w14:textId="77777777" w:rsidR="00B813C3" w:rsidRPr="00543981" w:rsidRDefault="00B813C3" w:rsidP="00EC5B4F">
      <w:pPr>
        <w:spacing w:after="120"/>
        <w:rPr>
          <w:rFonts w:ascii="Arial" w:hAnsi="Arial" w:cs="Arial"/>
          <w:sz w:val="22"/>
          <w:szCs w:val="22"/>
        </w:rPr>
      </w:pPr>
    </w:p>
    <w:p w14:paraId="0ABAF4CA" w14:textId="77777777" w:rsidR="00B813C3" w:rsidRPr="00085451" w:rsidRDefault="00B813C3" w:rsidP="00EC5B4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085451">
        <w:rPr>
          <w:rFonts w:cs="Arial"/>
          <w:szCs w:val="22"/>
        </w:rPr>
        <w:t>Commencement</w:t>
      </w:r>
    </w:p>
    <w:p w14:paraId="414DA0AE" w14:textId="64E0705C" w:rsidR="00B813C3" w:rsidRDefault="00B813C3" w:rsidP="00EC5B4F">
      <w:pPr>
        <w:spacing w:after="120"/>
        <w:rPr>
          <w:rFonts w:ascii="Arial" w:hAnsi="Arial" w:cs="Arial"/>
          <w:sz w:val="22"/>
          <w:szCs w:val="22"/>
        </w:rPr>
      </w:pPr>
      <w:r w:rsidRPr="00543981">
        <w:rPr>
          <w:rFonts w:ascii="Arial" w:hAnsi="Arial" w:cs="Arial"/>
          <w:sz w:val="22"/>
          <w:szCs w:val="22"/>
        </w:rPr>
        <w:t>This instrument commences on</w:t>
      </w:r>
      <w:r w:rsidRPr="00543981">
        <w:rPr>
          <w:rFonts w:ascii="Arial" w:hAnsi="Arial" w:cs="Arial"/>
          <w:b/>
          <w:sz w:val="22"/>
          <w:szCs w:val="22"/>
        </w:rPr>
        <w:t xml:space="preserve"> </w:t>
      </w:r>
      <w:r w:rsidRPr="00543981">
        <w:rPr>
          <w:rFonts w:ascii="Arial" w:hAnsi="Arial" w:cs="Arial"/>
          <w:sz w:val="22"/>
          <w:szCs w:val="22"/>
        </w:rPr>
        <w:t xml:space="preserve">the day </w:t>
      </w:r>
      <w:r w:rsidR="000B594B">
        <w:rPr>
          <w:rFonts w:ascii="Arial" w:hAnsi="Arial" w:cs="Arial"/>
          <w:sz w:val="22"/>
          <w:szCs w:val="22"/>
        </w:rPr>
        <w:t>after</w:t>
      </w:r>
      <w:r w:rsidR="000B594B" w:rsidRPr="000B594B">
        <w:rPr>
          <w:rFonts w:ascii="Arial" w:hAnsi="Arial" w:cs="Arial"/>
          <w:sz w:val="22"/>
          <w:szCs w:val="22"/>
        </w:rPr>
        <w:t xml:space="preserve"> </w:t>
      </w:r>
      <w:r w:rsidR="000B594B" w:rsidRPr="00717A27">
        <w:rPr>
          <w:rFonts w:ascii="Arial" w:hAnsi="Arial" w:cs="Arial"/>
          <w:sz w:val="22"/>
          <w:szCs w:val="22"/>
        </w:rPr>
        <w:t>it is registered on the Federal Register of Legislation.</w:t>
      </w:r>
    </w:p>
    <w:p w14:paraId="5A1A0EFF" w14:textId="77777777" w:rsidR="00A966CC" w:rsidRPr="005008AF" w:rsidRDefault="00A966CC" w:rsidP="00EC5B4F">
      <w:pPr>
        <w:spacing w:after="120"/>
        <w:rPr>
          <w:rFonts w:ascii="Arial" w:hAnsi="Arial" w:cs="Arial"/>
          <w:sz w:val="22"/>
          <w:szCs w:val="22"/>
        </w:rPr>
      </w:pPr>
    </w:p>
    <w:p w14:paraId="34BE3A08" w14:textId="77777777" w:rsidR="00503AB6" w:rsidRDefault="00D81D2A" w:rsidP="00EC5B4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>Schedules</w:t>
      </w:r>
    </w:p>
    <w:p w14:paraId="00C5263E" w14:textId="77777777" w:rsidR="00D96610" w:rsidRDefault="00D81D2A" w:rsidP="00EC5B4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658CA21" w14:textId="77777777" w:rsidR="00D81D2A" w:rsidRDefault="00D81D2A" w:rsidP="00EC5B4F">
      <w:pPr>
        <w:spacing w:after="120"/>
        <w:rPr>
          <w:rFonts w:ascii="Arial" w:hAnsi="Arial" w:cs="Arial"/>
          <w:sz w:val="22"/>
          <w:szCs w:val="22"/>
        </w:rPr>
      </w:pPr>
    </w:p>
    <w:p w14:paraId="374F10E8" w14:textId="7CDD5BEC" w:rsidR="00D81D2A" w:rsidRPr="006B6639" w:rsidRDefault="00D81D2A" w:rsidP="00EC5B4F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6B6639">
        <w:rPr>
          <w:rStyle w:val="charamschno"/>
          <w:rFonts w:ascii="Arial" w:hAnsi="Arial" w:cs="Arial"/>
          <w:b/>
          <w:bCs/>
          <w:sz w:val="32"/>
          <w:szCs w:val="32"/>
        </w:rPr>
        <w:t>Schedu</w:t>
      </w:r>
      <w:r w:rsidRPr="00D81D2A">
        <w:rPr>
          <w:rStyle w:val="charamschno"/>
          <w:rFonts w:ascii="Arial" w:hAnsi="Arial" w:cs="Arial"/>
          <w:b/>
          <w:bCs/>
          <w:sz w:val="32"/>
          <w:szCs w:val="32"/>
        </w:rPr>
        <w:t>l</w:t>
      </w:r>
      <w:r w:rsidRPr="006B6639">
        <w:rPr>
          <w:rStyle w:val="charamschno"/>
          <w:rFonts w:ascii="Arial" w:hAnsi="Arial" w:cs="Arial"/>
          <w:b/>
          <w:bCs/>
          <w:sz w:val="32"/>
          <w:szCs w:val="32"/>
        </w:rPr>
        <w:t>e 1</w:t>
      </w:r>
      <w:r w:rsidR="00EC5B4F">
        <w:rPr>
          <w:rStyle w:val="charamschno"/>
          <w:rFonts w:ascii="Arial" w:hAnsi="Arial" w:cs="Arial"/>
          <w:b/>
          <w:bCs/>
          <w:sz w:val="32"/>
          <w:szCs w:val="32"/>
        </w:rPr>
        <w:t xml:space="preserve"> – </w:t>
      </w:r>
      <w:r w:rsidRPr="006B6639">
        <w:rPr>
          <w:rStyle w:val="charamschno"/>
          <w:rFonts w:ascii="Arial" w:hAnsi="Arial" w:cs="Arial"/>
          <w:b/>
          <w:bCs/>
          <w:sz w:val="32"/>
          <w:szCs w:val="32"/>
        </w:rPr>
        <w:t>Amendments</w:t>
      </w:r>
    </w:p>
    <w:p w14:paraId="6F486D1B" w14:textId="77777777" w:rsidR="00503AB6" w:rsidRPr="003F672C" w:rsidRDefault="00503AB6" w:rsidP="00EC5B4F">
      <w:pPr>
        <w:spacing w:after="120"/>
      </w:pPr>
    </w:p>
    <w:p w14:paraId="3D9E1B4A" w14:textId="75106B3A" w:rsidR="00E005A8" w:rsidRPr="006B6639" w:rsidRDefault="00385118" w:rsidP="00EC5B4F">
      <w:pPr>
        <w:spacing w:after="120"/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/>
          <w:iCs/>
          <w:sz w:val="28"/>
          <w:szCs w:val="28"/>
        </w:rPr>
        <w:t>JobMaker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Hiring Credit Reporting Obligations Instrument 2020</w:t>
      </w:r>
    </w:p>
    <w:p w14:paraId="2268E0E8" w14:textId="77777777" w:rsidR="00FE339C" w:rsidRPr="00503AB6" w:rsidRDefault="00FE339C" w:rsidP="00EC5B4F">
      <w:pPr>
        <w:spacing w:after="120"/>
      </w:pPr>
    </w:p>
    <w:p w14:paraId="04BCE2AA" w14:textId="77777777" w:rsidR="00EC5B4F" w:rsidRDefault="00004A99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Section 5 (first paragraph)</w:t>
      </w:r>
    </w:p>
    <w:p w14:paraId="6CB82FBB" w14:textId="77777777" w:rsidR="00EC5B4F" w:rsidRDefault="00004A99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C45BEA">
        <w:rPr>
          <w:rFonts w:ascii="Arial" w:hAnsi="Arial" w:cs="Arial"/>
          <w:sz w:val="22"/>
          <w:szCs w:val="22"/>
          <w:lang w:eastAsia="en-US"/>
        </w:rPr>
        <w:t>After “as it has in the Ru</w:t>
      </w:r>
      <w:r w:rsidR="004D3E80">
        <w:rPr>
          <w:rFonts w:ascii="Arial" w:hAnsi="Arial" w:cs="Arial"/>
          <w:sz w:val="22"/>
          <w:szCs w:val="22"/>
          <w:lang w:eastAsia="en-US"/>
        </w:rPr>
        <w:t>l</w:t>
      </w:r>
      <w:r w:rsidRPr="00C45BEA">
        <w:rPr>
          <w:rFonts w:ascii="Arial" w:hAnsi="Arial" w:cs="Arial"/>
          <w:sz w:val="22"/>
          <w:szCs w:val="22"/>
          <w:lang w:eastAsia="en-US"/>
        </w:rPr>
        <w:t>es)” omit “)”.</w:t>
      </w:r>
    </w:p>
    <w:p w14:paraId="0D1071B4" w14:textId="5D504D73" w:rsidR="00004A99" w:rsidRPr="00EC5B4F" w:rsidRDefault="00004A99" w:rsidP="00EC5B4F">
      <w:pPr>
        <w:spacing w:after="120"/>
      </w:pPr>
    </w:p>
    <w:p w14:paraId="2C88EA44" w14:textId="6F864039" w:rsidR="003C0EC9" w:rsidRDefault="00B45FCF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Section</w:t>
      </w:r>
      <w:r w:rsidR="00D833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5 (definition of </w:t>
      </w:r>
      <w:r w:rsidRPr="00EC5B4F">
        <w:rPr>
          <w:rFonts w:cs="Arial"/>
          <w:sz w:val="24"/>
          <w:szCs w:val="24"/>
        </w:rPr>
        <w:t>claim period</w:t>
      </w:r>
      <w:r>
        <w:rPr>
          <w:rFonts w:cs="Arial"/>
          <w:sz w:val="24"/>
          <w:szCs w:val="24"/>
        </w:rPr>
        <w:t>)</w:t>
      </w:r>
    </w:p>
    <w:p w14:paraId="1B8FFF35" w14:textId="384CD6F8" w:rsidR="00A03286" w:rsidRDefault="00B45FCF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Omit “</w:t>
      </w:r>
      <w:r w:rsidR="00F5789F">
        <w:rPr>
          <w:rFonts w:ascii="Arial" w:hAnsi="Arial" w:cs="Arial"/>
          <w:sz w:val="22"/>
          <w:szCs w:val="22"/>
          <w:lang w:eastAsia="en-US"/>
        </w:rPr>
        <w:t xml:space="preserve">section </w:t>
      </w:r>
      <w:r>
        <w:rPr>
          <w:rFonts w:ascii="Arial" w:hAnsi="Arial" w:cs="Arial"/>
          <w:sz w:val="22"/>
          <w:szCs w:val="22"/>
          <w:lang w:eastAsia="en-US"/>
        </w:rPr>
        <w:t>11(1)”, substitute “</w:t>
      </w:r>
      <w:r w:rsidR="00F5789F">
        <w:rPr>
          <w:rFonts w:ascii="Arial" w:hAnsi="Arial" w:cs="Arial"/>
          <w:sz w:val="22"/>
          <w:szCs w:val="22"/>
          <w:lang w:eastAsia="en-US"/>
        </w:rPr>
        <w:t xml:space="preserve">subsection </w:t>
      </w:r>
      <w:r>
        <w:rPr>
          <w:rFonts w:ascii="Arial" w:hAnsi="Arial" w:cs="Arial"/>
          <w:sz w:val="22"/>
          <w:szCs w:val="22"/>
          <w:lang w:eastAsia="en-US"/>
        </w:rPr>
        <w:t>10(1)”.</w:t>
      </w:r>
    </w:p>
    <w:p w14:paraId="4621FC22" w14:textId="77777777" w:rsidR="00B45FCF" w:rsidRPr="00EC5B4F" w:rsidRDefault="00B45FCF" w:rsidP="00EC5B4F">
      <w:pPr>
        <w:spacing w:after="120"/>
      </w:pPr>
    </w:p>
    <w:p w14:paraId="4B60C524" w14:textId="27D18CC0" w:rsidR="001B2A85" w:rsidRDefault="001B2A85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Subsection 7(1)</w:t>
      </w:r>
    </w:p>
    <w:p w14:paraId="5A77DB74" w14:textId="6ED0BD86" w:rsidR="001B2A85" w:rsidRDefault="001B2A85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After the reference to the 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Taxation Administration Act</w:t>
      </w:r>
      <w:r w:rsidR="004D3E80">
        <w:rPr>
          <w:rFonts w:ascii="Arial" w:hAnsi="Arial" w:cs="Arial"/>
          <w:i/>
          <w:iCs/>
          <w:sz w:val="22"/>
          <w:szCs w:val="22"/>
          <w:lang w:eastAsia="en-US"/>
        </w:rPr>
        <w:t xml:space="preserve"> 1953</w:t>
      </w:r>
      <w:r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>omit “must”.</w:t>
      </w:r>
    </w:p>
    <w:p w14:paraId="4432CA2A" w14:textId="77777777" w:rsidR="00132CEF" w:rsidRPr="00EC5B4F" w:rsidRDefault="00132CEF" w:rsidP="00EC5B4F">
      <w:pPr>
        <w:spacing w:after="120"/>
      </w:pPr>
    </w:p>
    <w:p w14:paraId="5039035C" w14:textId="58B7DC5E" w:rsidR="00D44E53" w:rsidRDefault="00D44E53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subsection 7(2)</w:t>
      </w:r>
    </w:p>
    <w:p w14:paraId="78978099" w14:textId="77777777" w:rsidR="00EC5B4F" w:rsidRDefault="00D44E53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D44E53">
        <w:rPr>
          <w:rFonts w:ascii="Arial" w:hAnsi="Arial" w:cs="Arial"/>
          <w:sz w:val="22"/>
          <w:szCs w:val="22"/>
          <w:lang w:eastAsia="en-US"/>
        </w:rPr>
        <w:t>Insert:</w:t>
      </w:r>
    </w:p>
    <w:p w14:paraId="54F088BB" w14:textId="2B9659ED" w:rsidR="00EC5B4F" w:rsidRDefault="00D44E53" w:rsidP="001D0B42">
      <w:pPr>
        <w:spacing w:after="120"/>
        <w:ind w:left="567"/>
        <w:rPr>
          <w:rFonts w:ascii="Arial" w:hAnsi="Arial" w:cs="Arial"/>
          <w:sz w:val="22"/>
          <w:szCs w:val="22"/>
          <w:lang w:eastAsia="en-US"/>
        </w:rPr>
      </w:pPr>
      <w:r w:rsidRPr="00D44E53">
        <w:rPr>
          <w:rFonts w:ascii="Arial" w:hAnsi="Arial" w:cs="Arial"/>
          <w:sz w:val="22"/>
          <w:szCs w:val="22"/>
          <w:lang w:eastAsia="en-US"/>
        </w:rPr>
        <w:t>(2A)</w:t>
      </w:r>
      <w:r w:rsidR="009F2DCD">
        <w:rPr>
          <w:rFonts w:ascii="Arial" w:hAnsi="Arial" w:cs="Arial"/>
          <w:sz w:val="22"/>
          <w:szCs w:val="22"/>
          <w:lang w:eastAsia="en-US"/>
        </w:rPr>
        <w:tab/>
      </w:r>
      <w:r w:rsidRPr="00D44E53">
        <w:rPr>
          <w:rFonts w:ascii="Arial" w:hAnsi="Arial" w:cs="Arial"/>
          <w:sz w:val="22"/>
          <w:szCs w:val="22"/>
          <w:lang w:eastAsia="en-US"/>
        </w:rPr>
        <w:t xml:space="preserve">If the Commissioner is satisfied that subsection (2B) applies to an employer at a time on or after the first day of the jobmaker period and no later than the STP </w:t>
      </w:r>
      <w:proofErr w:type="spellStart"/>
      <w:r w:rsidRPr="00D44E53">
        <w:rPr>
          <w:rFonts w:ascii="Arial" w:hAnsi="Arial" w:cs="Arial"/>
          <w:sz w:val="22"/>
          <w:szCs w:val="22"/>
          <w:lang w:eastAsia="en-US"/>
        </w:rPr>
        <w:t>JobMaker</w:t>
      </w:r>
      <w:proofErr w:type="spellEnd"/>
      <w:r w:rsidRPr="00D44E53">
        <w:rPr>
          <w:rFonts w:ascii="Arial" w:hAnsi="Arial" w:cs="Arial"/>
          <w:sz w:val="22"/>
          <w:szCs w:val="22"/>
          <w:lang w:eastAsia="en-US"/>
        </w:rPr>
        <w:t xml:space="preserve"> Reporting Deadline for that jobmaker period, the employer is only required to </w:t>
      </w:r>
      <w:r w:rsidR="00905AC3">
        <w:rPr>
          <w:rFonts w:ascii="Arial" w:hAnsi="Arial" w:cs="Arial"/>
          <w:sz w:val="22"/>
          <w:szCs w:val="22"/>
          <w:lang w:eastAsia="en-US"/>
        </w:rPr>
        <w:t xml:space="preserve">notify the Commissioner of </w:t>
      </w:r>
      <w:r w:rsidRPr="00D44E53">
        <w:rPr>
          <w:rFonts w:ascii="Arial" w:hAnsi="Arial" w:cs="Arial"/>
          <w:sz w:val="22"/>
          <w:szCs w:val="22"/>
          <w:lang w:eastAsia="en-US"/>
        </w:rPr>
        <w:t>the details set out in paragraphs (2)(a) and (c) for that jobmaker period and any subsequent jobmaker periods.</w:t>
      </w:r>
    </w:p>
    <w:p w14:paraId="7E8D06B8" w14:textId="0F1E06AB" w:rsidR="00D44E53" w:rsidRDefault="00D44E53" w:rsidP="001D0B42">
      <w:pPr>
        <w:spacing w:after="120"/>
        <w:ind w:left="567"/>
        <w:rPr>
          <w:rFonts w:ascii="Arial" w:hAnsi="Arial" w:cs="Arial"/>
          <w:sz w:val="22"/>
          <w:szCs w:val="22"/>
          <w:lang w:eastAsia="en-US"/>
        </w:rPr>
      </w:pPr>
      <w:r w:rsidRPr="00D44E53">
        <w:rPr>
          <w:rFonts w:ascii="Arial" w:hAnsi="Arial" w:cs="Arial"/>
          <w:sz w:val="22"/>
          <w:szCs w:val="22"/>
          <w:lang w:eastAsia="en-US"/>
        </w:rPr>
        <w:t>(2B)</w:t>
      </w:r>
      <w:r w:rsidR="009F2DCD">
        <w:rPr>
          <w:rFonts w:ascii="Arial" w:hAnsi="Arial" w:cs="Arial"/>
          <w:sz w:val="22"/>
          <w:szCs w:val="22"/>
          <w:lang w:eastAsia="en-US"/>
        </w:rPr>
        <w:tab/>
      </w:r>
      <w:r w:rsidRPr="00D44E53">
        <w:rPr>
          <w:rFonts w:ascii="Arial" w:hAnsi="Arial" w:cs="Arial"/>
          <w:sz w:val="22"/>
          <w:szCs w:val="22"/>
          <w:lang w:eastAsia="en-US"/>
        </w:rPr>
        <w:t xml:space="preserve">This subsection applies at a time if an employer is unable to notify the Commissioner of </w:t>
      </w:r>
      <w:r w:rsidR="00004A99">
        <w:rPr>
          <w:rFonts w:ascii="Arial" w:hAnsi="Arial" w:cs="Arial"/>
          <w:sz w:val="22"/>
          <w:szCs w:val="22"/>
          <w:lang w:eastAsia="en-US"/>
        </w:rPr>
        <w:t xml:space="preserve">one or more of </w:t>
      </w:r>
      <w:r w:rsidRPr="00D44E53">
        <w:rPr>
          <w:rFonts w:ascii="Arial" w:hAnsi="Arial" w:cs="Arial"/>
          <w:sz w:val="22"/>
          <w:szCs w:val="22"/>
          <w:lang w:eastAsia="en-US"/>
        </w:rPr>
        <w:t>the details in paragraphs (2)(b) or (2)(d)</w:t>
      </w:r>
      <w:r w:rsidR="00004A99">
        <w:rPr>
          <w:rFonts w:ascii="Arial" w:hAnsi="Arial" w:cs="Arial"/>
          <w:sz w:val="22"/>
          <w:szCs w:val="22"/>
          <w:lang w:eastAsia="en-US"/>
        </w:rPr>
        <w:t xml:space="preserve"> to (2)</w:t>
      </w:r>
      <w:r w:rsidRPr="00D44E53">
        <w:rPr>
          <w:rFonts w:ascii="Arial" w:hAnsi="Arial" w:cs="Arial"/>
          <w:sz w:val="22"/>
          <w:szCs w:val="22"/>
          <w:lang w:eastAsia="en-US"/>
        </w:rPr>
        <w:t xml:space="preserve">(f) through the software </w:t>
      </w:r>
      <w:r w:rsidR="006E3D22">
        <w:rPr>
          <w:rFonts w:ascii="Arial" w:hAnsi="Arial" w:cs="Arial"/>
          <w:sz w:val="22"/>
          <w:szCs w:val="22"/>
          <w:lang w:eastAsia="en-US"/>
        </w:rPr>
        <w:t xml:space="preserve">available to </w:t>
      </w:r>
      <w:r w:rsidR="000D25FD">
        <w:rPr>
          <w:rFonts w:ascii="Arial" w:hAnsi="Arial" w:cs="Arial"/>
          <w:sz w:val="22"/>
          <w:szCs w:val="22"/>
          <w:lang w:eastAsia="en-US"/>
        </w:rPr>
        <w:t xml:space="preserve">the employer </w:t>
      </w:r>
      <w:r w:rsidRPr="00D44E53">
        <w:rPr>
          <w:rFonts w:ascii="Arial" w:hAnsi="Arial" w:cs="Arial"/>
          <w:sz w:val="22"/>
          <w:szCs w:val="22"/>
          <w:lang w:eastAsia="en-US"/>
        </w:rPr>
        <w:t>(whether directly or indirectly through another entity authorised to act on the employer’s behalf) to notify the Commissioner of amounts in accordance with section 389</w:t>
      </w:r>
      <w:r w:rsidR="00EC5B4F">
        <w:rPr>
          <w:rFonts w:ascii="Arial" w:hAnsi="Arial" w:cs="Arial"/>
          <w:sz w:val="22"/>
          <w:szCs w:val="22"/>
          <w:lang w:eastAsia="en-US"/>
        </w:rPr>
        <w:t xml:space="preserve"> – </w:t>
      </w:r>
      <w:r w:rsidRPr="00D44E53">
        <w:rPr>
          <w:rFonts w:ascii="Arial" w:hAnsi="Arial" w:cs="Arial"/>
          <w:sz w:val="22"/>
          <w:szCs w:val="22"/>
          <w:lang w:eastAsia="en-US"/>
        </w:rPr>
        <w:t xml:space="preserve">5 of Schedule 1 to the </w:t>
      </w:r>
      <w:r w:rsidRPr="00F5172E">
        <w:rPr>
          <w:rFonts w:ascii="Arial" w:hAnsi="Arial" w:cs="Arial"/>
          <w:i/>
          <w:iCs/>
          <w:sz w:val="22"/>
          <w:szCs w:val="22"/>
          <w:lang w:eastAsia="en-US"/>
        </w:rPr>
        <w:t>Taxation Administration Act 1953</w:t>
      </w:r>
      <w:r w:rsidRPr="00D44E53">
        <w:rPr>
          <w:rFonts w:ascii="Arial" w:hAnsi="Arial" w:cs="Arial"/>
          <w:sz w:val="22"/>
          <w:szCs w:val="22"/>
          <w:lang w:eastAsia="en-US"/>
        </w:rPr>
        <w:t>.</w:t>
      </w:r>
    </w:p>
    <w:p w14:paraId="52A99F5F" w14:textId="271D7FC2" w:rsidR="004D3E80" w:rsidRPr="00715E88" w:rsidRDefault="006E3D22" w:rsidP="001D0B42">
      <w:pPr>
        <w:spacing w:after="120"/>
        <w:ind w:left="567"/>
        <w:rPr>
          <w:rFonts w:ascii="Arial" w:hAnsi="Arial" w:cs="Arial"/>
          <w:sz w:val="20"/>
          <w:szCs w:val="20"/>
          <w:lang w:eastAsia="en-US"/>
        </w:rPr>
      </w:pPr>
      <w:r w:rsidRPr="00715E88">
        <w:rPr>
          <w:rFonts w:ascii="Arial" w:hAnsi="Arial" w:cs="Arial"/>
          <w:sz w:val="20"/>
          <w:szCs w:val="20"/>
          <w:lang w:eastAsia="en-US"/>
        </w:rPr>
        <w:t>Note</w:t>
      </w:r>
      <w:r w:rsidR="004968E7" w:rsidRPr="00715E88">
        <w:rPr>
          <w:rFonts w:ascii="Arial" w:hAnsi="Arial" w:cs="Arial"/>
          <w:sz w:val="20"/>
          <w:szCs w:val="20"/>
          <w:lang w:eastAsia="en-US"/>
        </w:rPr>
        <w:t xml:space="preserve">: </w:t>
      </w:r>
      <w:r w:rsidRPr="00715E88">
        <w:rPr>
          <w:rFonts w:ascii="Arial" w:hAnsi="Arial" w:cs="Arial"/>
          <w:sz w:val="20"/>
          <w:szCs w:val="20"/>
          <w:lang w:eastAsia="en-US"/>
        </w:rPr>
        <w:t>Some software providers cannot update the</w:t>
      </w:r>
      <w:r w:rsidR="009779A9">
        <w:rPr>
          <w:rFonts w:ascii="Arial" w:hAnsi="Arial" w:cs="Arial"/>
          <w:sz w:val="20"/>
          <w:szCs w:val="20"/>
          <w:lang w:eastAsia="en-US"/>
        </w:rPr>
        <w:t>ir</w:t>
      </w:r>
      <w:r w:rsidRPr="00715E88">
        <w:rPr>
          <w:rFonts w:ascii="Arial" w:hAnsi="Arial" w:cs="Arial"/>
          <w:sz w:val="20"/>
          <w:szCs w:val="20"/>
          <w:lang w:eastAsia="en-US"/>
        </w:rPr>
        <w:t xml:space="preserve"> software </w:t>
      </w:r>
      <w:r w:rsidR="009779A9">
        <w:rPr>
          <w:rFonts w:ascii="Arial" w:hAnsi="Arial" w:cs="Arial"/>
          <w:sz w:val="20"/>
          <w:szCs w:val="20"/>
          <w:lang w:eastAsia="en-US"/>
        </w:rPr>
        <w:t xml:space="preserve">to support reporting of all information required </w:t>
      </w:r>
      <w:r w:rsidR="009779A9" w:rsidRPr="00715E88">
        <w:rPr>
          <w:rFonts w:ascii="Arial" w:hAnsi="Arial" w:cs="Arial"/>
          <w:sz w:val="20"/>
          <w:szCs w:val="20"/>
          <w:lang w:eastAsia="en-US"/>
        </w:rPr>
        <w:t>in subsection 7(2) for a jobmaker period</w:t>
      </w:r>
      <w:r w:rsidR="009779A9">
        <w:rPr>
          <w:rFonts w:ascii="Arial" w:hAnsi="Arial" w:cs="Arial"/>
          <w:sz w:val="20"/>
          <w:szCs w:val="20"/>
          <w:lang w:eastAsia="en-US"/>
        </w:rPr>
        <w:t xml:space="preserve"> through </w:t>
      </w:r>
      <w:r w:rsidRPr="00715E88">
        <w:rPr>
          <w:rFonts w:ascii="Arial" w:hAnsi="Arial" w:cs="Arial"/>
          <w:sz w:val="20"/>
          <w:szCs w:val="20"/>
          <w:lang w:eastAsia="en-US"/>
        </w:rPr>
        <w:t xml:space="preserve">Single Touch Payroll. </w:t>
      </w:r>
      <w:r w:rsidR="004D3E80" w:rsidRPr="00715E88">
        <w:rPr>
          <w:rFonts w:ascii="Arial" w:hAnsi="Arial" w:cs="Arial"/>
          <w:sz w:val="20"/>
          <w:szCs w:val="20"/>
          <w:lang w:eastAsia="en-US"/>
        </w:rPr>
        <w:t>Where an employer is using one of these software solutions, this subsection will be satisfied.</w:t>
      </w:r>
    </w:p>
    <w:p w14:paraId="0FE3F11F" w14:textId="77777777" w:rsidR="00215431" w:rsidRPr="00EC5B4F" w:rsidRDefault="00215431" w:rsidP="00EC5B4F">
      <w:pPr>
        <w:spacing w:after="120"/>
      </w:pPr>
    </w:p>
    <w:p w14:paraId="4929540A" w14:textId="77777777" w:rsidR="00EC5B4F" w:rsidRDefault="004D3E80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Subsection 7(3)</w:t>
      </w:r>
    </w:p>
    <w:p w14:paraId="307B22B5" w14:textId="77777777" w:rsidR="00EC5B4F" w:rsidRDefault="004D3E80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1B4486">
        <w:rPr>
          <w:rFonts w:ascii="Arial" w:hAnsi="Arial" w:cs="Arial"/>
          <w:sz w:val="22"/>
          <w:szCs w:val="22"/>
          <w:lang w:eastAsia="en-US"/>
        </w:rPr>
        <w:t>After “two years” omit “the”, substitute “that”.</w:t>
      </w:r>
    </w:p>
    <w:p w14:paraId="549F7797" w14:textId="5189D9F3" w:rsidR="00D44E53" w:rsidRPr="00EC5B4F" w:rsidRDefault="00D44E53" w:rsidP="00EC5B4F">
      <w:pPr>
        <w:spacing w:after="120"/>
      </w:pPr>
    </w:p>
    <w:p w14:paraId="5B67AC94" w14:textId="07B9D7C5" w:rsidR="00D44E53" w:rsidRPr="00D44E53" w:rsidRDefault="00D44E53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 w:rsidRPr="00D44E53">
        <w:rPr>
          <w:rFonts w:cs="Arial"/>
          <w:sz w:val="24"/>
          <w:szCs w:val="24"/>
        </w:rPr>
        <w:t>Subsection 8(1)</w:t>
      </w:r>
    </w:p>
    <w:p w14:paraId="0F08479E" w14:textId="2DB71AD0" w:rsidR="00D44E53" w:rsidRPr="00CF04D5" w:rsidRDefault="00D44E53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CF04D5">
        <w:rPr>
          <w:rFonts w:ascii="Arial" w:hAnsi="Arial" w:cs="Arial"/>
          <w:sz w:val="22"/>
          <w:szCs w:val="22"/>
          <w:lang w:eastAsia="en-US"/>
        </w:rPr>
        <w:t xml:space="preserve">Omit </w:t>
      </w:r>
      <w:r w:rsidR="00214FEB">
        <w:rPr>
          <w:rFonts w:ascii="Arial" w:hAnsi="Arial" w:cs="Arial"/>
          <w:sz w:val="22"/>
          <w:szCs w:val="22"/>
          <w:lang w:eastAsia="en-US"/>
        </w:rPr>
        <w:t>“</w:t>
      </w:r>
      <w:r w:rsidRPr="00CF04D5">
        <w:rPr>
          <w:rFonts w:ascii="Arial" w:hAnsi="Arial" w:cs="Arial"/>
          <w:sz w:val="22"/>
          <w:szCs w:val="22"/>
          <w:lang w:eastAsia="en-US"/>
        </w:rPr>
        <w:t>and (3)</w:t>
      </w:r>
      <w:r w:rsidR="00214FEB">
        <w:rPr>
          <w:rFonts w:ascii="Arial" w:hAnsi="Arial" w:cs="Arial"/>
          <w:sz w:val="22"/>
          <w:szCs w:val="22"/>
          <w:lang w:eastAsia="en-US"/>
        </w:rPr>
        <w:t>”</w:t>
      </w:r>
      <w:r w:rsidRPr="00CF04D5">
        <w:rPr>
          <w:rFonts w:ascii="Arial" w:hAnsi="Arial" w:cs="Arial"/>
          <w:sz w:val="22"/>
          <w:szCs w:val="22"/>
          <w:lang w:eastAsia="en-US"/>
        </w:rPr>
        <w:t xml:space="preserve"> and </w:t>
      </w:r>
      <w:r w:rsidR="000C6814">
        <w:rPr>
          <w:rFonts w:ascii="Arial" w:hAnsi="Arial" w:cs="Arial"/>
          <w:sz w:val="22"/>
          <w:szCs w:val="22"/>
          <w:lang w:eastAsia="en-US"/>
        </w:rPr>
        <w:t>substitute</w:t>
      </w:r>
      <w:r w:rsidRPr="00CF04D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14FEB">
        <w:rPr>
          <w:rFonts w:ascii="Arial" w:hAnsi="Arial" w:cs="Arial"/>
          <w:sz w:val="22"/>
          <w:szCs w:val="22"/>
          <w:lang w:eastAsia="en-US"/>
        </w:rPr>
        <w:t>“</w:t>
      </w:r>
      <w:r w:rsidRPr="00CF04D5">
        <w:rPr>
          <w:rFonts w:ascii="Arial" w:hAnsi="Arial" w:cs="Arial"/>
          <w:sz w:val="22"/>
          <w:szCs w:val="22"/>
          <w:lang w:eastAsia="en-US"/>
        </w:rPr>
        <w:t>, (3) and (3A)</w:t>
      </w:r>
      <w:r w:rsidR="00214FEB">
        <w:rPr>
          <w:rFonts w:ascii="Arial" w:hAnsi="Arial" w:cs="Arial"/>
          <w:sz w:val="22"/>
          <w:szCs w:val="22"/>
          <w:lang w:eastAsia="en-US"/>
        </w:rPr>
        <w:t>”</w:t>
      </w:r>
      <w:r w:rsidRPr="00CF04D5">
        <w:rPr>
          <w:rFonts w:ascii="Arial" w:hAnsi="Arial" w:cs="Arial"/>
          <w:sz w:val="22"/>
          <w:szCs w:val="22"/>
          <w:lang w:eastAsia="en-US"/>
        </w:rPr>
        <w:t>.</w:t>
      </w:r>
    </w:p>
    <w:p w14:paraId="7A736A2B" w14:textId="77777777" w:rsidR="00D44E53" w:rsidRPr="00EC5B4F" w:rsidRDefault="00D44E53" w:rsidP="00EC5B4F">
      <w:pPr>
        <w:spacing w:after="120"/>
      </w:pPr>
    </w:p>
    <w:p w14:paraId="5EE7129B" w14:textId="72344C80" w:rsidR="00B45FCF" w:rsidRPr="00EF3639" w:rsidRDefault="000714A2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 w:rsidRPr="00EF3639">
        <w:rPr>
          <w:rFonts w:cs="Arial"/>
          <w:sz w:val="24"/>
          <w:szCs w:val="24"/>
        </w:rPr>
        <w:t>Paragraph</w:t>
      </w:r>
      <w:r w:rsidR="00B45FCF" w:rsidRPr="00EF3639">
        <w:rPr>
          <w:rFonts w:cs="Arial"/>
          <w:sz w:val="24"/>
          <w:szCs w:val="24"/>
        </w:rPr>
        <w:t xml:space="preserve"> </w:t>
      </w:r>
      <w:r w:rsidRPr="00EF3639">
        <w:rPr>
          <w:rFonts w:cs="Arial"/>
          <w:sz w:val="24"/>
          <w:szCs w:val="24"/>
        </w:rPr>
        <w:t>8(2)(e)</w:t>
      </w:r>
    </w:p>
    <w:p w14:paraId="61C1BE11" w14:textId="24A40C16" w:rsidR="00B45FCF" w:rsidRPr="00D44E53" w:rsidRDefault="000714A2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D44E53">
        <w:rPr>
          <w:rFonts w:ascii="Arial" w:hAnsi="Arial" w:cs="Arial"/>
          <w:sz w:val="22"/>
          <w:szCs w:val="22"/>
          <w:lang w:eastAsia="en-US"/>
        </w:rPr>
        <w:t>Repeal the paragraph, substitute</w:t>
      </w:r>
      <w:r w:rsidR="00904B83">
        <w:rPr>
          <w:rFonts w:ascii="Arial" w:hAnsi="Arial" w:cs="Arial"/>
          <w:sz w:val="22"/>
          <w:szCs w:val="22"/>
          <w:lang w:eastAsia="en-US"/>
        </w:rPr>
        <w:t>:</w:t>
      </w:r>
    </w:p>
    <w:p w14:paraId="3E9D5D6F" w14:textId="2FCB6161" w:rsidR="00EC5B4F" w:rsidRDefault="00CF04D5" w:rsidP="001D0B42">
      <w:pPr>
        <w:spacing w:after="120"/>
        <w:ind w:left="567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(e)</w:t>
      </w:r>
      <w:r w:rsidR="009F2DCD">
        <w:rPr>
          <w:rFonts w:ascii="Arial" w:hAnsi="Arial" w:cs="Arial"/>
          <w:sz w:val="22"/>
          <w:szCs w:val="22"/>
          <w:lang w:eastAsia="en-US"/>
        </w:rPr>
        <w:tab/>
      </w:r>
      <w:r w:rsidR="000714A2" w:rsidRPr="00D44E53">
        <w:rPr>
          <w:rFonts w:ascii="Arial" w:hAnsi="Arial" w:cs="Arial"/>
          <w:sz w:val="22"/>
          <w:szCs w:val="22"/>
          <w:lang w:eastAsia="en-US"/>
        </w:rPr>
        <w:t>confirmation that each employee included in the claim calculation is an eligible additional employee</w:t>
      </w:r>
    </w:p>
    <w:p w14:paraId="486E1D83" w14:textId="7EEF5503" w:rsidR="001B2A85" w:rsidRPr="00EC5B4F" w:rsidRDefault="001B2A85" w:rsidP="00EC5B4F">
      <w:pPr>
        <w:spacing w:after="120"/>
      </w:pPr>
    </w:p>
    <w:p w14:paraId="689A8D28" w14:textId="71F570F9" w:rsidR="004E4D6D" w:rsidRDefault="004E4D6D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Paragraph 8(3)(d)</w:t>
      </w:r>
    </w:p>
    <w:p w14:paraId="32B7B973" w14:textId="562B54F3" w:rsidR="004E4D6D" w:rsidRPr="004E4D6D" w:rsidRDefault="004E4D6D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4E4D6D">
        <w:rPr>
          <w:rFonts w:ascii="Arial" w:hAnsi="Arial" w:cs="Arial"/>
          <w:sz w:val="22"/>
          <w:szCs w:val="22"/>
          <w:lang w:eastAsia="en-US"/>
        </w:rPr>
        <w:t xml:space="preserve">Omit </w:t>
      </w:r>
      <w:r w:rsidR="00214FEB">
        <w:rPr>
          <w:rFonts w:ascii="Arial" w:hAnsi="Arial" w:cs="Arial"/>
          <w:sz w:val="22"/>
          <w:szCs w:val="22"/>
          <w:lang w:eastAsia="en-US"/>
        </w:rPr>
        <w:t>“</w:t>
      </w:r>
      <w:proofErr w:type="spellStart"/>
      <w:r w:rsidRPr="004E4D6D">
        <w:rPr>
          <w:rFonts w:ascii="Arial" w:hAnsi="Arial" w:cs="Arial"/>
          <w:sz w:val="22"/>
          <w:szCs w:val="22"/>
          <w:lang w:eastAsia="en-US"/>
        </w:rPr>
        <w:t>JobMaker</w:t>
      </w:r>
      <w:proofErr w:type="spellEnd"/>
      <w:r w:rsidR="00214FEB">
        <w:rPr>
          <w:rFonts w:ascii="Arial" w:hAnsi="Arial" w:cs="Arial"/>
          <w:sz w:val="22"/>
          <w:szCs w:val="22"/>
          <w:lang w:eastAsia="en-US"/>
        </w:rPr>
        <w:t>”</w:t>
      </w:r>
      <w:r w:rsidRPr="004E4D6D">
        <w:rPr>
          <w:rFonts w:ascii="Arial" w:hAnsi="Arial" w:cs="Arial"/>
          <w:sz w:val="22"/>
          <w:szCs w:val="22"/>
          <w:lang w:eastAsia="en-US"/>
        </w:rPr>
        <w:t xml:space="preserve"> and substitute </w:t>
      </w:r>
      <w:r w:rsidR="00214FEB">
        <w:rPr>
          <w:rFonts w:ascii="Arial" w:hAnsi="Arial" w:cs="Arial"/>
          <w:sz w:val="22"/>
          <w:szCs w:val="22"/>
          <w:lang w:eastAsia="en-US"/>
        </w:rPr>
        <w:t>“</w:t>
      </w:r>
      <w:r w:rsidRPr="004E4D6D">
        <w:rPr>
          <w:rFonts w:ascii="Arial" w:hAnsi="Arial" w:cs="Arial"/>
          <w:sz w:val="22"/>
          <w:szCs w:val="22"/>
          <w:lang w:eastAsia="en-US"/>
        </w:rPr>
        <w:t>jobmaker</w:t>
      </w:r>
      <w:r w:rsidR="00214FEB">
        <w:rPr>
          <w:rFonts w:ascii="Arial" w:hAnsi="Arial" w:cs="Arial"/>
          <w:sz w:val="22"/>
          <w:szCs w:val="22"/>
          <w:lang w:eastAsia="en-US"/>
        </w:rPr>
        <w:t>”</w:t>
      </w:r>
      <w:r w:rsidRPr="004E4D6D">
        <w:rPr>
          <w:rFonts w:ascii="Arial" w:hAnsi="Arial" w:cs="Arial"/>
          <w:sz w:val="22"/>
          <w:szCs w:val="22"/>
          <w:lang w:eastAsia="en-US"/>
        </w:rPr>
        <w:t>.</w:t>
      </w:r>
    </w:p>
    <w:p w14:paraId="3CD9E047" w14:textId="77777777" w:rsidR="00EE55E8" w:rsidRPr="000D25FD" w:rsidRDefault="00EE55E8" w:rsidP="00EC5B4F">
      <w:pPr>
        <w:spacing w:after="120"/>
      </w:pPr>
    </w:p>
    <w:p w14:paraId="5E1045E4" w14:textId="3A42BA8A" w:rsidR="00904B83" w:rsidRDefault="00904B83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Paragraph (8)(3)(e)</w:t>
      </w:r>
    </w:p>
    <w:p w14:paraId="0E84682F" w14:textId="084A3818" w:rsidR="00904B83" w:rsidRDefault="00904B83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4E4D6D">
        <w:rPr>
          <w:rFonts w:ascii="Arial" w:hAnsi="Arial" w:cs="Arial"/>
          <w:sz w:val="22"/>
          <w:szCs w:val="22"/>
          <w:lang w:eastAsia="en-US"/>
        </w:rPr>
        <w:t xml:space="preserve">Omit </w:t>
      </w:r>
      <w:r>
        <w:rPr>
          <w:rFonts w:ascii="Arial" w:hAnsi="Arial" w:cs="Arial"/>
          <w:sz w:val="22"/>
          <w:szCs w:val="22"/>
          <w:lang w:eastAsia="en-US"/>
        </w:rPr>
        <w:t>“</w:t>
      </w:r>
      <w:proofErr w:type="spellStart"/>
      <w:r w:rsidRPr="004E4D6D">
        <w:rPr>
          <w:rFonts w:ascii="Arial" w:hAnsi="Arial" w:cs="Arial"/>
          <w:sz w:val="22"/>
          <w:szCs w:val="22"/>
          <w:lang w:eastAsia="en-US"/>
        </w:rPr>
        <w:t>JobMaker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”</w:t>
      </w:r>
      <w:r w:rsidRPr="004E4D6D">
        <w:rPr>
          <w:rFonts w:ascii="Arial" w:hAnsi="Arial" w:cs="Arial"/>
          <w:sz w:val="22"/>
          <w:szCs w:val="22"/>
          <w:lang w:eastAsia="en-US"/>
        </w:rPr>
        <w:t xml:space="preserve"> and substitute </w:t>
      </w:r>
      <w:r>
        <w:rPr>
          <w:rFonts w:ascii="Arial" w:hAnsi="Arial" w:cs="Arial"/>
          <w:sz w:val="22"/>
          <w:szCs w:val="22"/>
          <w:lang w:eastAsia="en-US"/>
        </w:rPr>
        <w:t>“</w:t>
      </w:r>
      <w:r w:rsidRPr="004E4D6D">
        <w:rPr>
          <w:rFonts w:ascii="Arial" w:hAnsi="Arial" w:cs="Arial"/>
          <w:sz w:val="22"/>
          <w:szCs w:val="22"/>
          <w:lang w:eastAsia="en-US"/>
        </w:rPr>
        <w:t>jobmaker</w:t>
      </w:r>
      <w:r>
        <w:rPr>
          <w:rFonts w:ascii="Arial" w:hAnsi="Arial" w:cs="Arial"/>
          <w:sz w:val="22"/>
          <w:szCs w:val="22"/>
          <w:lang w:eastAsia="en-US"/>
        </w:rPr>
        <w:t>”</w:t>
      </w:r>
      <w:r w:rsidRPr="004E4D6D">
        <w:rPr>
          <w:rFonts w:ascii="Arial" w:hAnsi="Arial" w:cs="Arial"/>
          <w:sz w:val="22"/>
          <w:szCs w:val="22"/>
          <w:lang w:eastAsia="en-US"/>
        </w:rPr>
        <w:t>.</w:t>
      </w:r>
    </w:p>
    <w:p w14:paraId="2256A53F" w14:textId="710E2D86" w:rsidR="00904B83" w:rsidRPr="00EC5B4F" w:rsidRDefault="00904B83" w:rsidP="00EC5B4F">
      <w:pPr>
        <w:spacing w:after="120"/>
      </w:pPr>
    </w:p>
    <w:p w14:paraId="0F1D714C" w14:textId="77777777" w:rsidR="00EC5B4F" w:rsidRDefault="00904B83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Paragraph 8(3)(f)</w:t>
      </w:r>
    </w:p>
    <w:p w14:paraId="6B72A79D" w14:textId="36164337" w:rsidR="00904B83" w:rsidRPr="00904B83" w:rsidRDefault="00904B83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904B83">
        <w:rPr>
          <w:rFonts w:ascii="Arial" w:hAnsi="Arial" w:cs="Arial"/>
          <w:sz w:val="22"/>
          <w:szCs w:val="22"/>
          <w:lang w:eastAsia="en-US"/>
        </w:rPr>
        <w:t>Repeal the paragraph, substitute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289519F6" w14:textId="750FAF92" w:rsidR="00904B83" w:rsidRPr="00904B83" w:rsidRDefault="00904B83" w:rsidP="001D0B42">
      <w:pPr>
        <w:spacing w:after="120"/>
        <w:ind w:left="567"/>
        <w:rPr>
          <w:rFonts w:ascii="Arial" w:hAnsi="Arial" w:cs="Arial"/>
          <w:sz w:val="22"/>
          <w:szCs w:val="22"/>
          <w:lang w:eastAsia="en-US"/>
        </w:rPr>
      </w:pPr>
      <w:r w:rsidRPr="00904B83">
        <w:rPr>
          <w:rFonts w:ascii="Arial" w:hAnsi="Arial" w:cs="Arial"/>
          <w:sz w:val="22"/>
          <w:szCs w:val="22"/>
          <w:lang w:eastAsia="en-US"/>
        </w:rPr>
        <w:t>(</w:t>
      </w:r>
      <w:r w:rsidR="004D3E80">
        <w:rPr>
          <w:rFonts w:ascii="Arial" w:hAnsi="Arial" w:cs="Arial"/>
          <w:sz w:val="22"/>
          <w:szCs w:val="22"/>
          <w:lang w:eastAsia="en-US"/>
        </w:rPr>
        <w:t>f</w:t>
      </w:r>
      <w:r w:rsidRPr="00904B83">
        <w:rPr>
          <w:rFonts w:ascii="Arial" w:hAnsi="Arial" w:cs="Arial"/>
          <w:sz w:val="22"/>
          <w:szCs w:val="22"/>
          <w:lang w:eastAsia="en-US"/>
        </w:rPr>
        <w:t>)</w:t>
      </w:r>
      <w:r w:rsidR="009F2DCD">
        <w:rPr>
          <w:rFonts w:ascii="Arial" w:hAnsi="Arial" w:cs="Arial"/>
          <w:sz w:val="22"/>
          <w:szCs w:val="22"/>
          <w:lang w:eastAsia="en-US"/>
        </w:rPr>
        <w:tab/>
      </w:r>
      <w:r w:rsidRPr="00904B83">
        <w:rPr>
          <w:rFonts w:ascii="Arial" w:hAnsi="Arial" w:cs="Arial"/>
          <w:sz w:val="22"/>
          <w:szCs w:val="22"/>
          <w:lang w:eastAsia="en-US"/>
        </w:rPr>
        <w:t>whether the employee met the average hours of work requirement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 subsection 30(2) of the Rules for the jobmaker period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47F568C0" w14:textId="7B11C9CE" w:rsidR="00904B83" w:rsidRDefault="00904B83" w:rsidP="00EC5B4F">
      <w:pPr>
        <w:spacing w:after="120"/>
        <w:ind w:left="357"/>
        <w:rPr>
          <w:rFonts w:ascii="Arial" w:hAnsi="Arial" w:cs="Arial"/>
          <w:sz w:val="22"/>
          <w:szCs w:val="22"/>
          <w:lang w:eastAsia="en-US"/>
        </w:rPr>
      </w:pPr>
    </w:p>
    <w:p w14:paraId="2BEDC9AA" w14:textId="432ADA94" w:rsidR="0041057A" w:rsidRPr="005D0F2C" w:rsidRDefault="0041057A" w:rsidP="009F2DCD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After s</w:t>
      </w:r>
      <w:r w:rsidRPr="005D0F2C">
        <w:rPr>
          <w:rFonts w:cs="Arial"/>
          <w:sz w:val="24"/>
          <w:szCs w:val="24"/>
        </w:rPr>
        <w:t>ubsection 8(</w:t>
      </w:r>
      <w:r>
        <w:rPr>
          <w:rFonts w:cs="Arial"/>
          <w:sz w:val="24"/>
          <w:szCs w:val="24"/>
        </w:rPr>
        <w:t>3</w:t>
      </w:r>
      <w:r w:rsidRPr="005D0F2C">
        <w:rPr>
          <w:rFonts w:cs="Arial"/>
          <w:sz w:val="24"/>
          <w:szCs w:val="24"/>
        </w:rPr>
        <w:t>)</w:t>
      </w:r>
    </w:p>
    <w:p w14:paraId="6E834025" w14:textId="77777777" w:rsidR="00EC5B4F" w:rsidRDefault="0041057A" w:rsidP="001D0B42">
      <w:pPr>
        <w:spacing w:after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Insert:</w:t>
      </w:r>
    </w:p>
    <w:p w14:paraId="6638CBC2" w14:textId="7B1BE455" w:rsidR="0041057A" w:rsidRDefault="0041057A" w:rsidP="001D0B42">
      <w:pPr>
        <w:spacing w:after="120"/>
        <w:ind w:left="567"/>
        <w:rPr>
          <w:rFonts w:ascii="Arial" w:hAnsi="Arial" w:cs="Arial"/>
          <w:sz w:val="22"/>
          <w:szCs w:val="22"/>
          <w:lang w:eastAsia="en-US"/>
        </w:rPr>
      </w:pPr>
      <w:r w:rsidRPr="005D0F2C">
        <w:rPr>
          <w:rFonts w:ascii="Arial" w:hAnsi="Arial" w:cs="Arial"/>
          <w:sz w:val="22"/>
          <w:szCs w:val="22"/>
          <w:lang w:eastAsia="en-US"/>
        </w:rPr>
        <w:t>(3A)</w:t>
      </w:r>
      <w:r w:rsidR="009F2DCD">
        <w:rPr>
          <w:rFonts w:ascii="Arial" w:hAnsi="Arial" w:cs="Arial"/>
          <w:sz w:val="22"/>
          <w:szCs w:val="22"/>
          <w:lang w:eastAsia="en-US"/>
        </w:rPr>
        <w:tab/>
      </w:r>
      <w:r w:rsidRPr="005D0F2C">
        <w:rPr>
          <w:rFonts w:ascii="Arial" w:hAnsi="Arial" w:cs="Arial"/>
          <w:sz w:val="22"/>
          <w:szCs w:val="22"/>
          <w:lang w:eastAsia="en-US"/>
        </w:rPr>
        <w:t>If subsection 7(2B) applies to an employer for a jobmaker period, the employer must also provide the information described in subsection (3).</w:t>
      </w:r>
    </w:p>
    <w:p w14:paraId="6FAC1F0C" w14:textId="57D9A98E" w:rsidR="004D3E80" w:rsidRPr="00715E88" w:rsidRDefault="004D3E80" w:rsidP="001D0B42">
      <w:pPr>
        <w:spacing w:after="120"/>
        <w:ind w:left="567"/>
        <w:rPr>
          <w:rFonts w:ascii="Arial" w:hAnsi="Arial" w:cs="Arial"/>
          <w:sz w:val="20"/>
          <w:szCs w:val="20"/>
          <w:lang w:eastAsia="en-US"/>
        </w:rPr>
      </w:pPr>
      <w:r w:rsidRPr="00715E88">
        <w:rPr>
          <w:rFonts w:ascii="Arial" w:hAnsi="Arial" w:cs="Arial"/>
          <w:sz w:val="20"/>
          <w:szCs w:val="20"/>
          <w:lang w:eastAsia="en-US"/>
        </w:rPr>
        <w:t>Note: Information that must be provided under this subsection must be provided in the manner set out in subsection 9(1).</w:t>
      </w:r>
    </w:p>
    <w:p w14:paraId="544A9FF9" w14:textId="77777777" w:rsidR="00715E88" w:rsidRPr="00EC5B4F" w:rsidRDefault="00715E88" w:rsidP="00EC5B4F">
      <w:pPr>
        <w:spacing w:after="120"/>
      </w:pPr>
    </w:p>
    <w:p w14:paraId="49EF8618" w14:textId="15BDD57E" w:rsidR="00FF791F" w:rsidRPr="00EC5B4F" w:rsidRDefault="0041057A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 w:rsidRPr="00EC5B4F">
        <w:rPr>
          <w:rFonts w:cs="Arial"/>
          <w:sz w:val="24"/>
          <w:szCs w:val="24"/>
        </w:rPr>
        <w:t>Subsection 10(2)</w:t>
      </w:r>
    </w:p>
    <w:p w14:paraId="40FB2E0E" w14:textId="11B39EF2" w:rsidR="0041057A" w:rsidRPr="0041057A" w:rsidRDefault="0041057A" w:rsidP="001D0B4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Repeal the </w:t>
      </w:r>
      <w:r w:rsidRPr="0041057A">
        <w:rPr>
          <w:rFonts w:ascii="Arial" w:hAnsi="Arial" w:cs="Arial"/>
          <w:sz w:val="22"/>
          <w:szCs w:val="22"/>
        </w:rPr>
        <w:t>subsection</w:t>
      </w:r>
      <w:r>
        <w:rPr>
          <w:rFonts w:ascii="Arial" w:hAnsi="Arial" w:cs="Arial"/>
          <w:sz w:val="22"/>
          <w:szCs w:val="22"/>
        </w:rPr>
        <w:t>, substitute</w:t>
      </w:r>
      <w:r w:rsidRPr="0041057A">
        <w:rPr>
          <w:rFonts w:ascii="Arial" w:hAnsi="Arial" w:cs="Arial"/>
          <w:sz w:val="22"/>
          <w:szCs w:val="22"/>
        </w:rPr>
        <w:t>:</w:t>
      </w:r>
    </w:p>
    <w:p w14:paraId="7F22A852" w14:textId="22108009" w:rsidR="0041057A" w:rsidRDefault="0041057A" w:rsidP="001D0B4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41057A">
        <w:rPr>
          <w:rFonts w:ascii="Arial" w:hAnsi="Arial" w:cs="Arial"/>
          <w:sz w:val="22"/>
          <w:szCs w:val="22"/>
        </w:rPr>
        <w:t>(2)</w:t>
      </w:r>
      <w:r w:rsidR="009F2DCD">
        <w:rPr>
          <w:rFonts w:ascii="Arial" w:hAnsi="Arial" w:cs="Arial"/>
          <w:sz w:val="22"/>
          <w:szCs w:val="22"/>
        </w:rPr>
        <w:tab/>
      </w:r>
      <w:r w:rsidRPr="0041057A">
        <w:rPr>
          <w:rFonts w:ascii="Arial" w:hAnsi="Arial" w:cs="Arial"/>
          <w:sz w:val="22"/>
          <w:szCs w:val="22"/>
        </w:rPr>
        <w:t>Claim information submitted by an employer in accordance with section 9 (other than information covered by paragraph 8(2)(h)) cannot be changed by an employer after the claim period in which it is provided.</w:t>
      </w:r>
    </w:p>
    <w:p w14:paraId="5E28445C" w14:textId="77777777" w:rsidR="003A1988" w:rsidRPr="00EC5B4F" w:rsidRDefault="003A1988" w:rsidP="00EC5B4F">
      <w:pPr>
        <w:spacing w:after="120"/>
      </w:pPr>
    </w:p>
    <w:p w14:paraId="2527144A" w14:textId="5494BBC6" w:rsidR="00B45FCF" w:rsidRPr="00CF04D5" w:rsidRDefault="00923D10" w:rsidP="00EC5B4F">
      <w:pPr>
        <w:pStyle w:val="Heading2"/>
        <w:numPr>
          <w:ilvl w:val="0"/>
          <w:numId w:val="2"/>
        </w:numPr>
        <w:tabs>
          <w:tab w:val="clear" w:pos="360"/>
        </w:tabs>
        <w:ind w:left="567" w:hanging="567"/>
        <w:rPr>
          <w:rFonts w:cs="Arial"/>
          <w:sz w:val="24"/>
          <w:szCs w:val="24"/>
        </w:rPr>
      </w:pPr>
      <w:r w:rsidRPr="009279DF">
        <w:rPr>
          <w:rFonts w:cs="Arial"/>
          <w:sz w:val="24"/>
          <w:szCs w:val="24"/>
        </w:rPr>
        <w:t>Application</w:t>
      </w:r>
    </w:p>
    <w:p w14:paraId="256DCBD2" w14:textId="58B2F439" w:rsidR="00A17911" w:rsidRPr="00CF04D5" w:rsidRDefault="00923D10" w:rsidP="001D0B42">
      <w:pPr>
        <w:spacing w:after="120"/>
        <w:rPr>
          <w:rFonts w:ascii="Arial" w:hAnsi="Arial" w:cs="Arial"/>
          <w:sz w:val="22"/>
          <w:szCs w:val="22"/>
        </w:rPr>
      </w:pPr>
      <w:r w:rsidRPr="00CF04D5">
        <w:rPr>
          <w:rFonts w:ascii="Arial" w:hAnsi="Arial" w:cs="Arial"/>
          <w:sz w:val="22"/>
          <w:szCs w:val="22"/>
        </w:rPr>
        <w:t>The amendments made by Schedule 1 to this instrument apply in relation to job</w:t>
      </w:r>
      <w:r w:rsidR="00FF791F">
        <w:rPr>
          <w:rFonts w:ascii="Arial" w:hAnsi="Arial" w:cs="Arial"/>
          <w:sz w:val="22"/>
          <w:szCs w:val="22"/>
        </w:rPr>
        <w:t>maker</w:t>
      </w:r>
      <w:r w:rsidRPr="00CF04D5">
        <w:rPr>
          <w:rFonts w:ascii="Arial" w:hAnsi="Arial" w:cs="Arial"/>
          <w:sz w:val="22"/>
          <w:szCs w:val="22"/>
        </w:rPr>
        <w:t xml:space="preserve"> </w:t>
      </w:r>
      <w:r w:rsidR="00FF791F">
        <w:rPr>
          <w:rFonts w:ascii="Arial" w:hAnsi="Arial" w:cs="Arial"/>
          <w:sz w:val="22"/>
          <w:szCs w:val="22"/>
        </w:rPr>
        <w:t>periods</w:t>
      </w:r>
      <w:r w:rsidRPr="00CF04D5">
        <w:rPr>
          <w:rFonts w:ascii="Arial" w:hAnsi="Arial" w:cs="Arial"/>
          <w:sz w:val="22"/>
          <w:szCs w:val="22"/>
        </w:rPr>
        <w:t xml:space="preserve"> </w:t>
      </w:r>
      <w:r w:rsidR="006A00FC">
        <w:rPr>
          <w:rFonts w:ascii="Arial" w:hAnsi="Arial" w:cs="Arial"/>
          <w:sz w:val="22"/>
          <w:szCs w:val="22"/>
        </w:rPr>
        <w:t>commencing</w:t>
      </w:r>
      <w:r w:rsidRPr="00CF04D5">
        <w:rPr>
          <w:rFonts w:ascii="Arial" w:hAnsi="Arial" w:cs="Arial"/>
          <w:sz w:val="22"/>
          <w:szCs w:val="22"/>
        </w:rPr>
        <w:t xml:space="preserve"> on</w:t>
      </w:r>
      <w:r w:rsidR="004F7FBB" w:rsidRPr="00CF04D5">
        <w:rPr>
          <w:rFonts w:ascii="Arial" w:hAnsi="Arial" w:cs="Arial"/>
          <w:sz w:val="22"/>
          <w:szCs w:val="22"/>
        </w:rPr>
        <w:t>,</w:t>
      </w:r>
      <w:r w:rsidRPr="00CF04D5">
        <w:rPr>
          <w:rFonts w:ascii="Arial" w:hAnsi="Arial" w:cs="Arial"/>
          <w:sz w:val="22"/>
          <w:szCs w:val="22"/>
        </w:rPr>
        <w:t xml:space="preserve"> or after</w:t>
      </w:r>
      <w:r w:rsidR="004F7FBB" w:rsidRPr="00CF04D5">
        <w:rPr>
          <w:rFonts w:ascii="Arial" w:hAnsi="Arial" w:cs="Arial"/>
          <w:sz w:val="22"/>
          <w:szCs w:val="22"/>
        </w:rPr>
        <w:t>,</w:t>
      </w:r>
      <w:r w:rsidRPr="00CF04D5">
        <w:rPr>
          <w:rFonts w:ascii="Arial" w:hAnsi="Arial" w:cs="Arial"/>
          <w:sz w:val="22"/>
          <w:szCs w:val="22"/>
        </w:rPr>
        <w:t xml:space="preserve"> </w:t>
      </w:r>
      <w:r w:rsidR="00FF791F">
        <w:rPr>
          <w:rFonts w:ascii="Arial" w:hAnsi="Arial" w:cs="Arial"/>
          <w:sz w:val="22"/>
          <w:szCs w:val="22"/>
        </w:rPr>
        <w:t>7</w:t>
      </w:r>
      <w:r w:rsidRPr="00CF04D5">
        <w:rPr>
          <w:rFonts w:ascii="Arial" w:hAnsi="Arial" w:cs="Arial"/>
          <w:sz w:val="22"/>
          <w:szCs w:val="22"/>
        </w:rPr>
        <w:t xml:space="preserve"> </w:t>
      </w:r>
      <w:r w:rsidR="00FF791F">
        <w:rPr>
          <w:rFonts w:ascii="Arial" w:hAnsi="Arial" w:cs="Arial"/>
          <w:sz w:val="22"/>
          <w:szCs w:val="22"/>
        </w:rPr>
        <w:t>October</w:t>
      </w:r>
      <w:r w:rsidRPr="00CF04D5">
        <w:rPr>
          <w:rFonts w:ascii="Arial" w:hAnsi="Arial" w:cs="Arial"/>
          <w:sz w:val="22"/>
          <w:szCs w:val="22"/>
        </w:rPr>
        <w:t xml:space="preserve"> 2020.</w:t>
      </w:r>
    </w:p>
    <w:sectPr w:rsidR="00A17911" w:rsidRPr="00CF04D5" w:rsidSect="00F65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8" w:right="84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1B13" w14:textId="77777777" w:rsidR="00294F21" w:rsidRDefault="00294F21">
      <w:r>
        <w:separator/>
      </w:r>
    </w:p>
  </w:endnote>
  <w:endnote w:type="continuationSeparator" w:id="0">
    <w:p w14:paraId="47613322" w14:textId="77777777" w:rsidR="00294F21" w:rsidRDefault="00294F21">
      <w:r>
        <w:continuationSeparator/>
      </w:r>
    </w:p>
  </w:endnote>
  <w:endnote w:type="continuationNotice" w:id="1">
    <w:p w14:paraId="74F6048C" w14:textId="77777777" w:rsidR="00294F21" w:rsidRDefault="00294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951E" w14:textId="77777777" w:rsidR="000C66BA" w:rsidRDefault="000C6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29A87" w14:textId="77777777" w:rsidR="00971B42" w:rsidRDefault="00971B42" w:rsidP="00971B42">
    <w:pPr>
      <w:pStyle w:val="Footer"/>
      <w:tabs>
        <w:tab w:val="clear" w:pos="4153"/>
        <w:tab w:val="clear" w:pos="8306"/>
        <w:tab w:val="left" w:pos="36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8471" w14:textId="2A657EC1" w:rsidR="00514A95" w:rsidRDefault="00514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91EEA" w14:textId="77777777" w:rsidR="00294F21" w:rsidRDefault="00294F21">
      <w:r>
        <w:separator/>
      </w:r>
    </w:p>
  </w:footnote>
  <w:footnote w:type="continuationSeparator" w:id="0">
    <w:p w14:paraId="555DB8EC" w14:textId="77777777" w:rsidR="00294F21" w:rsidRDefault="00294F21">
      <w:r>
        <w:continuationSeparator/>
      </w:r>
    </w:p>
  </w:footnote>
  <w:footnote w:type="continuationNotice" w:id="1">
    <w:p w14:paraId="2751BD21" w14:textId="77777777" w:rsidR="00294F21" w:rsidRDefault="00294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27C6B" w14:textId="77777777" w:rsidR="000C66BA" w:rsidRDefault="000C6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F0B16" w14:textId="77777777" w:rsidR="000C66BA" w:rsidRDefault="000C6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2987" w14:textId="6B252CCC" w:rsidR="0051082D" w:rsidRPr="00767CE8" w:rsidRDefault="0051082D" w:rsidP="00F652F9">
    <w:pPr>
      <w:framePr w:w="3241" w:h="526" w:hSpace="180" w:wrap="around" w:vAnchor="page" w:hAnchor="page" w:x="7711" w:y="114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2"/>
        <w:szCs w:val="22"/>
      </w:rPr>
    </w:pPr>
    <w:r w:rsidRPr="00767CE8">
      <w:rPr>
        <w:rFonts w:ascii="Arial" w:hAnsi="Arial" w:cs="Arial"/>
        <w:b/>
        <w:sz w:val="22"/>
        <w:szCs w:val="22"/>
      </w:rPr>
      <w:t xml:space="preserve">Instrument ID: </w:t>
    </w:r>
    <w:r w:rsidR="009F2631">
      <w:rPr>
        <w:rFonts w:ascii="Arial" w:hAnsi="Arial" w:cs="Arial"/>
        <w:b/>
        <w:sz w:val="22"/>
        <w:szCs w:val="22"/>
      </w:rPr>
      <w:t>202</w:t>
    </w:r>
    <w:r w:rsidR="00171567">
      <w:rPr>
        <w:rFonts w:ascii="Arial" w:hAnsi="Arial" w:cs="Arial"/>
        <w:b/>
        <w:sz w:val="22"/>
        <w:szCs w:val="22"/>
      </w:rPr>
      <w:t>1</w:t>
    </w:r>
    <w:r w:rsidR="009F2631">
      <w:rPr>
        <w:rFonts w:ascii="Arial" w:hAnsi="Arial" w:cs="Arial"/>
        <w:b/>
        <w:sz w:val="22"/>
        <w:szCs w:val="22"/>
      </w:rPr>
      <w:t>/</w:t>
    </w:r>
    <w:r w:rsidR="002B34A5">
      <w:rPr>
        <w:rFonts w:ascii="Arial" w:hAnsi="Arial" w:cs="Arial"/>
        <w:b/>
        <w:sz w:val="22"/>
        <w:szCs w:val="22"/>
      </w:rPr>
      <w:t>SEO/007</w:t>
    </w:r>
  </w:p>
  <w:p w14:paraId="0C22EA27" w14:textId="77777777" w:rsidR="0051082D" w:rsidRDefault="0051082D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08BB92B8" wp14:editId="1EF860E2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D7FEF" w14:textId="2E4FC829" w:rsidR="0051082D" w:rsidRPr="00001B90" w:rsidRDefault="0051082D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9B1"/>
    <w:multiLevelType w:val="hybridMultilevel"/>
    <w:tmpl w:val="B4E0A1AC"/>
    <w:lvl w:ilvl="0" w:tplc="C2ACD91E">
      <w:start w:val="1"/>
      <w:numFmt w:val="lowerLetter"/>
      <w:lvlText w:val="(%1)"/>
      <w:lvlJc w:val="left"/>
      <w:pPr>
        <w:ind w:left="11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0" w:hanging="360"/>
      </w:pPr>
    </w:lvl>
    <w:lvl w:ilvl="2" w:tplc="0C09001B" w:tentative="1">
      <w:start w:val="1"/>
      <w:numFmt w:val="lowerRoman"/>
      <w:lvlText w:val="%3."/>
      <w:lvlJc w:val="right"/>
      <w:pPr>
        <w:ind w:left="2590" w:hanging="180"/>
      </w:pPr>
    </w:lvl>
    <w:lvl w:ilvl="3" w:tplc="0C09000F" w:tentative="1">
      <w:start w:val="1"/>
      <w:numFmt w:val="decimal"/>
      <w:lvlText w:val="%4."/>
      <w:lvlJc w:val="left"/>
      <w:pPr>
        <w:ind w:left="3310" w:hanging="360"/>
      </w:pPr>
    </w:lvl>
    <w:lvl w:ilvl="4" w:tplc="0C090019" w:tentative="1">
      <w:start w:val="1"/>
      <w:numFmt w:val="lowerLetter"/>
      <w:lvlText w:val="%5."/>
      <w:lvlJc w:val="left"/>
      <w:pPr>
        <w:ind w:left="4030" w:hanging="360"/>
      </w:pPr>
    </w:lvl>
    <w:lvl w:ilvl="5" w:tplc="0C09001B" w:tentative="1">
      <w:start w:val="1"/>
      <w:numFmt w:val="lowerRoman"/>
      <w:lvlText w:val="%6."/>
      <w:lvlJc w:val="right"/>
      <w:pPr>
        <w:ind w:left="4750" w:hanging="180"/>
      </w:pPr>
    </w:lvl>
    <w:lvl w:ilvl="6" w:tplc="0C09000F" w:tentative="1">
      <w:start w:val="1"/>
      <w:numFmt w:val="decimal"/>
      <w:lvlText w:val="%7."/>
      <w:lvlJc w:val="left"/>
      <w:pPr>
        <w:ind w:left="5470" w:hanging="360"/>
      </w:pPr>
    </w:lvl>
    <w:lvl w:ilvl="7" w:tplc="0C090019" w:tentative="1">
      <w:start w:val="1"/>
      <w:numFmt w:val="lowerLetter"/>
      <w:lvlText w:val="%8."/>
      <w:lvlJc w:val="left"/>
      <w:pPr>
        <w:ind w:left="6190" w:hanging="360"/>
      </w:pPr>
    </w:lvl>
    <w:lvl w:ilvl="8" w:tplc="0C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 w15:restartNumberingAfterBreak="0">
    <w:nsid w:val="2A7F7CA5"/>
    <w:multiLevelType w:val="hybridMultilevel"/>
    <w:tmpl w:val="EC46D350"/>
    <w:lvl w:ilvl="0" w:tplc="4BBE4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C460C"/>
    <w:multiLevelType w:val="multilevel"/>
    <w:tmpl w:val="EE98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CC3903"/>
    <w:multiLevelType w:val="hybridMultilevel"/>
    <w:tmpl w:val="44C46846"/>
    <w:lvl w:ilvl="0" w:tplc="DC16B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4A99"/>
    <w:rsid w:val="00007304"/>
    <w:rsid w:val="0000743E"/>
    <w:rsid w:val="00013309"/>
    <w:rsid w:val="00013AD9"/>
    <w:rsid w:val="000171F2"/>
    <w:rsid w:val="00017CD7"/>
    <w:rsid w:val="00020853"/>
    <w:rsid w:val="00022C8A"/>
    <w:rsid w:val="00022FA9"/>
    <w:rsid w:val="00026BC1"/>
    <w:rsid w:val="000272EF"/>
    <w:rsid w:val="000304E1"/>
    <w:rsid w:val="00030569"/>
    <w:rsid w:val="0003261F"/>
    <w:rsid w:val="0003389F"/>
    <w:rsid w:val="00034883"/>
    <w:rsid w:val="00035397"/>
    <w:rsid w:val="00036F54"/>
    <w:rsid w:val="00040651"/>
    <w:rsid w:val="000414DE"/>
    <w:rsid w:val="00042452"/>
    <w:rsid w:val="00044893"/>
    <w:rsid w:val="00044C4F"/>
    <w:rsid w:val="00045F14"/>
    <w:rsid w:val="000519D2"/>
    <w:rsid w:val="00053761"/>
    <w:rsid w:val="00053842"/>
    <w:rsid w:val="00056206"/>
    <w:rsid w:val="00056A05"/>
    <w:rsid w:val="00061054"/>
    <w:rsid w:val="0006112D"/>
    <w:rsid w:val="00061910"/>
    <w:rsid w:val="00063564"/>
    <w:rsid w:val="0006515F"/>
    <w:rsid w:val="00066DD7"/>
    <w:rsid w:val="000714A2"/>
    <w:rsid w:val="00072E3D"/>
    <w:rsid w:val="000745A8"/>
    <w:rsid w:val="0007527F"/>
    <w:rsid w:val="00075C5D"/>
    <w:rsid w:val="000761BD"/>
    <w:rsid w:val="00082A4A"/>
    <w:rsid w:val="00083FAC"/>
    <w:rsid w:val="00085451"/>
    <w:rsid w:val="00085B76"/>
    <w:rsid w:val="00087C21"/>
    <w:rsid w:val="00090B7A"/>
    <w:rsid w:val="0009111F"/>
    <w:rsid w:val="000939A7"/>
    <w:rsid w:val="0009452C"/>
    <w:rsid w:val="00096865"/>
    <w:rsid w:val="000979BF"/>
    <w:rsid w:val="000A0909"/>
    <w:rsid w:val="000A0B93"/>
    <w:rsid w:val="000A1078"/>
    <w:rsid w:val="000A3198"/>
    <w:rsid w:val="000A3297"/>
    <w:rsid w:val="000A5A3B"/>
    <w:rsid w:val="000A6844"/>
    <w:rsid w:val="000A6CE4"/>
    <w:rsid w:val="000A70C6"/>
    <w:rsid w:val="000B076A"/>
    <w:rsid w:val="000B2C32"/>
    <w:rsid w:val="000B2DD7"/>
    <w:rsid w:val="000B594B"/>
    <w:rsid w:val="000C0DF6"/>
    <w:rsid w:val="000C0EF3"/>
    <w:rsid w:val="000C516E"/>
    <w:rsid w:val="000C66BA"/>
    <w:rsid w:val="000C6814"/>
    <w:rsid w:val="000C7551"/>
    <w:rsid w:val="000C7C0B"/>
    <w:rsid w:val="000D13BC"/>
    <w:rsid w:val="000D25FD"/>
    <w:rsid w:val="000D30EF"/>
    <w:rsid w:val="000D3CC6"/>
    <w:rsid w:val="000D40A4"/>
    <w:rsid w:val="000D4DC1"/>
    <w:rsid w:val="000D5B84"/>
    <w:rsid w:val="000D6A3C"/>
    <w:rsid w:val="000D6B4A"/>
    <w:rsid w:val="000D6E5B"/>
    <w:rsid w:val="000D76C4"/>
    <w:rsid w:val="000E0270"/>
    <w:rsid w:val="000E2060"/>
    <w:rsid w:val="000E2EB8"/>
    <w:rsid w:val="000E3B77"/>
    <w:rsid w:val="000F2FED"/>
    <w:rsid w:val="000F3E93"/>
    <w:rsid w:val="000F3EB1"/>
    <w:rsid w:val="000F52DE"/>
    <w:rsid w:val="001051FA"/>
    <w:rsid w:val="00106686"/>
    <w:rsid w:val="00110ACA"/>
    <w:rsid w:val="00110AF0"/>
    <w:rsid w:val="00110E46"/>
    <w:rsid w:val="00110F37"/>
    <w:rsid w:val="0011349B"/>
    <w:rsid w:val="00114408"/>
    <w:rsid w:val="00115901"/>
    <w:rsid w:val="00116B15"/>
    <w:rsid w:val="00122DA9"/>
    <w:rsid w:val="0012428E"/>
    <w:rsid w:val="001243A8"/>
    <w:rsid w:val="0012513E"/>
    <w:rsid w:val="0012629F"/>
    <w:rsid w:val="00126EED"/>
    <w:rsid w:val="00130A52"/>
    <w:rsid w:val="00131447"/>
    <w:rsid w:val="00132CEF"/>
    <w:rsid w:val="00134D4D"/>
    <w:rsid w:val="00135D68"/>
    <w:rsid w:val="001361C6"/>
    <w:rsid w:val="00141153"/>
    <w:rsid w:val="00144E55"/>
    <w:rsid w:val="00150830"/>
    <w:rsid w:val="0015270F"/>
    <w:rsid w:val="00152749"/>
    <w:rsid w:val="00154159"/>
    <w:rsid w:val="0015541B"/>
    <w:rsid w:val="0015563E"/>
    <w:rsid w:val="00155E7A"/>
    <w:rsid w:val="00156A0A"/>
    <w:rsid w:val="00156D4B"/>
    <w:rsid w:val="001605B9"/>
    <w:rsid w:val="00162C11"/>
    <w:rsid w:val="00163373"/>
    <w:rsid w:val="00165CC9"/>
    <w:rsid w:val="00165DC1"/>
    <w:rsid w:val="0017078D"/>
    <w:rsid w:val="00171567"/>
    <w:rsid w:val="00172075"/>
    <w:rsid w:val="00173050"/>
    <w:rsid w:val="00175FFF"/>
    <w:rsid w:val="00176815"/>
    <w:rsid w:val="00181212"/>
    <w:rsid w:val="0018123D"/>
    <w:rsid w:val="00184795"/>
    <w:rsid w:val="001878FB"/>
    <w:rsid w:val="00187C71"/>
    <w:rsid w:val="00190678"/>
    <w:rsid w:val="00194144"/>
    <w:rsid w:val="001952C6"/>
    <w:rsid w:val="001958EE"/>
    <w:rsid w:val="00197136"/>
    <w:rsid w:val="001A09BD"/>
    <w:rsid w:val="001A271F"/>
    <w:rsid w:val="001A34E7"/>
    <w:rsid w:val="001A39D5"/>
    <w:rsid w:val="001A5431"/>
    <w:rsid w:val="001A67BD"/>
    <w:rsid w:val="001B0FC5"/>
    <w:rsid w:val="001B1C8D"/>
    <w:rsid w:val="001B2A85"/>
    <w:rsid w:val="001B3877"/>
    <w:rsid w:val="001B4486"/>
    <w:rsid w:val="001B6508"/>
    <w:rsid w:val="001B6971"/>
    <w:rsid w:val="001B7BF1"/>
    <w:rsid w:val="001C0007"/>
    <w:rsid w:val="001C2D5C"/>
    <w:rsid w:val="001C3AF0"/>
    <w:rsid w:val="001C627F"/>
    <w:rsid w:val="001C6316"/>
    <w:rsid w:val="001C6C9F"/>
    <w:rsid w:val="001C7B01"/>
    <w:rsid w:val="001D0675"/>
    <w:rsid w:val="001D0B42"/>
    <w:rsid w:val="001D0C43"/>
    <w:rsid w:val="001D1628"/>
    <w:rsid w:val="001D1B57"/>
    <w:rsid w:val="001D2545"/>
    <w:rsid w:val="001D4773"/>
    <w:rsid w:val="001D4C15"/>
    <w:rsid w:val="001E32EA"/>
    <w:rsid w:val="001E4F85"/>
    <w:rsid w:val="001E5061"/>
    <w:rsid w:val="001E57D3"/>
    <w:rsid w:val="001E5A7D"/>
    <w:rsid w:val="001F30CF"/>
    <w:rsid w:val="001F44DE"/>
    <w:rsid w:val="001F4720"/>
    <w:rsid w:val="001F62E5"/>
    <w:rsid w:val="001F6A67"/>
    <w:rsid w:val="001F7E7C"/>
    <w:rsid w:val="00200593"/>
    <w:rsid w:val="00200CD4"/>
    <w:rsid w:val="00201364"/>
    <w:rsid w:val="002025B9"/>
    <w:rsid w:val="00203F0E"/>
    <w:rsid w:val="00204EFB"/>
    <w:rsid w:val="002103F0"/>
    <w:rsid w:val="00210B40"/>
    <w:rsid w:val="002112A9"/>
    <w:rsid w:val="0021318A"/>
    <w:rsid w:val="00214FEB"/>
    <w:rsid w:val="00215431"/>
    <w:rsid w:val="00215A42"/>
    <w:rsid w:val="00215BC9"/>
    <w:rsid w:val="00216C38"/>
    <w:rsid w:val="0021771C"/>
    <w:rsid w:val="002213F3"/>
    <w:rsid w:val="00222180"/>
    <w:rsid w:val="00223D79"/>
    <w:rsid w:val="00224B20"/>
    <w:rsid w:val="00225B5B"/>
    <w:rsid w:val="00226A92"/>
    <w:rsid w:val="002309BC"/>
    <w:rsid w:val="002313A5"/>
    <w:rsid w:val="00234388"/>
    <w:rsid w:val="002358A3"/>
    <w:rsid w:val="0023673F"/>
    <w:rsid w:val="002369C7"/>
    <w:rsid w:val="00237D14"/>
    <w:rsid w:val="00240A16"/>
    <w:rsid w:val="00241107"/>
    <w:rsid w:val="00242CCE"/>
    <w:rsid w:val="002449E3"/>
    <w:rsid w:val="00246081"/>
    <w:rsid w:val="002476E9"/>
    <w:rsid w:val="00247731"/>
    <w:rsid w:val="002504EE"/>
    <w:rsid w:val="00255AB5"/>
    <w:rsid w:val="00256024"/>
    <w:rsid w:val="002571F9"/>
    <w:rsid w:val="00270137"/>
    <w:rsid w:val="0027409C"/>
    <w:rsid w:val="00274305"/>
    <w:rsid w:val="00274BCD"/>
    <w:rsid w:val="00274D06"/>
    <w:rsid w:val="00276FD2"/>
    <w:rsid w:val="0028030B"/>
    <w:rsid w:val="0028093D"/>
    <w:rsid w:val="00282B22"/>
    <w:rsid w:val="00283759"/>
    <w:rsid w:val="00284463"/>
    <w:rsid w:val="00286620"/>
    <w:rsid w:val="002915EB"/>
    <w:rsid w:val="00291DAB"/>
    <w:rsid w:val="00292E75"/>
    <w:rsid w:val="00293F6B"/>
    <w:rsid w:val="00294170"/>
    <w:rsid w:val="002944AD"/>
    <w:rsid w:val="00294B94"/>
    <w:rsid w:val="00294F21"/>
    <w:rsid w:val="00295183"/>
    <w:rsid w:val="0029597C"/>
    <w:rsid w:val="002A0E14"/>
    <w:rsid w:val="002A1515"/>
    <w:rsid w:val="002A22B8"/>
    <w:rsid w:val="002A2CD1"/>
    <w:rsid w:val="002A4D98"/>
    <w:rsid w:val="002A6D63"/>
    <w:rsid w:val="002A777B"/>
    <w:rsid w:val="002A7B75"/>
    <w:rsid w:val="002A7FB3"/>
    <w:rsid w:val="002B014D"/>
    <w:rsid w:val="002B0B63"/>
    <w:rsid w:val="002B34A5"/>
    <w:rsid w:val="002B5B41"/>
    <w:rsid w:val="002C1214"/>
    <w:rsid w:val="002C1E82"/>
    <w:rsid w:val="002C2165"/>
    <w:rsid w:val="002C3473"/>
    <w:rsid w:val="002C560D"/>
    <w:rsid w:val="002C5784"/>
    <w:rsid w:val="002C5A34"/>
    <w:rsid w:val="002C7A81"/>
    <w:rsid w:val="002D066A"/>
    <w:rsid w:val="002D12C4"/>
    <w:rsid w:val="002D144F"/>
    <w:rsid w:val="002D5038"/>
    <w:rsid w:val="002D5068"/>
    <w:rsid w:val="002D640B"/>
    <w:rsid w:val="002D6902"/>
    <w:rsid w:val="002D7B6D"/>
    <w:rsid w:val="002D7DD0"/>
    <w:rsid w:val="002F0C75"/>
    <w:rsid w:val="002F10EF"/>
    <w:rsid w:val="002F18CB"/>
    <w:rsid w:val="002F211D"/>
    <w:rsid w:val="002F32F6"/>
    <w:rsid w:val="002F3447"/>
    <w:rsid w:val="002F34D9"/>
    <w:rsid w:val="002F7C5D"/>
    <w:rsid w:val="00302B6E"/>
    <w:rsid w:val="00303F72"/>
    <w:rsid w:val="00304DF5"/>
    <w:rsid w:val="003052E3"/>
    <w:rsid w:val="00306DB1"/>
    <w:rsid w:val="003107EF"/>
    <w:rsid w:val="00312725"/>
    <w:rsid w:val="00314A4E"/>
    <w:rsid w:val="003150E0"/>
    <w:rsid w:val="003160A7"/>
    <w:rsid w:val="0032158A"/>
    <w:rsid w:val="003229FB"/>
    <w:rsid w:val="00322ACF"/>
    <w:rsid w:val="00322E62"/>
    <w:rsid w:val="003245AF"/>
    <w:rsid w:val="0033332B"/>
    <w:rsid w:val="0033478D"/>
    <w:rsid w:val="0033482D"/>
    <w:rsid w:val="00337974"/>
    <w:rsid w:val="00337DA3"/>
    <w:rsid w:val="00340433"/>
    <w:rsid w:val="00340FD0"/>
    <w:rsid w:val="00342135"/>
    <w:rsid w:val="0034580A"/>
    <w:rsid w:val="00345A07"/>
    <w:rsid w:val="003462FD"/>
    <w:rsid w:val="00347191"/>
    <w:rsid w:val="0034793D"/>
    <w:rsid w:val="00347B2A"/>
    <w:rsid w:val="00347EE3"/>
    <w:rsid w:val="00350A92"/>
    <w:rsid w:val="003514C1"/>
    <w:rsid w:val="00354247"/>
    <w:rsid w:val="00354C19"/>
    <w:rsid w:val="003575E2"/>
    <w:rsid w:val="00360D00"/>
    <w:rsid w:val="00361A02"/>
    <w:rsid w:val="00364CB7"/>
    <w:rsid w:val="003651A6"/>
    <w:rsid w:val="00365450"/>
    <w:rsid w:val="0036571B"/>
    <w:rsid w:val="00367704"/>
    <w:rsid w:val="00367E7D"/>
    <w:rsid w:val="00370256"/>
    <w:rsid w:val="00370AE4"/>
    <w:rsid w:val="0037280F"/>
    <w:rsid w:val="00372F98"/>
    <w:rsid w:val="00372FF9"/>
    <w:rsid w:val="00373E8D"/>
    <w:rsid w:val="0037443C"/>
    <w:rsid w:val="0037526B"/>
    <w:rsid w:val="00377BCC"/>
    <w:rsid w:val="00377D66"/>
    <w:rsid w:val="00380284"/>
    <w:rsid w:val="00380717"/>
    <w:rsid w:val="00381779"/>
    <w:rsid w:val="0038183F"/>
    <w:rsid w:val="003819B3"/>
    <w:rsid w:val="00385118"/>
    <w:rsid w:val="00387366"/>
    <w:rsid w:val="00391A9C"/>
    <w:rsid w:val="00397383"/>
    <w:rsid w:val="003A053F"/>
    <w:rsid w:val="003A067D"/>
    <w:rsid w:val="003A1988"/>
    <w:rsid w:val="003A1C6C"/>
    <w:rsid w:val="003A1D4F"/>
    <w:rsid w:val="003A58BC"/>
    <w:rsid w:val="003A5A04"/>
    <w:rsid w:val="003A64FC"/>
    <w:rsid w:val="003A70D4"/>
    <w:rsid w:val="003A7C40"/>
    <w:rsid w:val="003B00F5"/>
    <w:rsid w:val="003B123A"/>
    <w:rsid w:val="003B2778"/>
    <w:rsid w:val="003B4F31"/>
    <w:rsid w:val="003B5342"/>
    <w:rsid w:val="003B5EDB"/>
    <w:rsid w:val="003B6971"/>
    <w:rsid w:val="003B6B0B"/>
    <w:rsid w:val="003B6D5D"/>
    <w:rsid w:val="003B7A3C"/>
    <w:rsid w:val="003C0157"/>
    <w:rsid w:val="003C0EC9"/>
    <w:rsid w:val="003C47CA"/>
    <w:rsid w:val="003C564E"/>
    <w:rsid w:val="003C7C74"/>
    <w:rsid w:val="003D1A39"/>
    <w:rsid w:val="003D3335"/>
    <w:rsid w:val="003D354B"/>
    <w:rsid w:val="003D58DC"/>
    <w:rsid w:val="003D5A34"/>
    <w:rsid w:val="003D693E"/>
    <w:rsid w:val="003D74F6"/>
    <w:rsid w:val="003D7FCF"/>
    <w:rsid w:val="003E124D"/>
    <w:rsid w:val="003E3E74"/>
    <w:rsid w:val="003E423A"/>
    <w:rsid w:val="003E4A43"/>
    <w:rsid w:val="003E52ED"/>
    <w:rsid w:val="003E5722"/>
    <w:rsid w:val="003E5904"/>
    <w:rsid w:val="003F2FA6"/>
    <w:rsid w:val="003F672C"/>
    <w:rsid w:val="003F71AF"/>
    <w:rsid w:val="004007F2"/>
    <w:rsid w:val="00402CCE"/>
    <w:rsid w:val="0040702C"/>
    <w:rsid w:val="00410152"/>
    <w:rsid w:val="0041057A"/>
    <w:rsid w:val="00411530"/>
    <w:rsid w:val="00412B77"/>
    <w:rsid w:val="00414405"/>
    <w:rsid w:val="00417CCD"/>
    <w:rsid w:val="0042007E"/>
    <w:rsid w:val="0042258D"/>
    <w:rsid w:val="00424F2B"/>
    <w:rsid w:val="004259E8"/>
    <w:rsid w:val="00426099"/>
    <w:rsid w:val="00426390"/>
    <w:rsid w:val="00427967"/>
    <w:rsid w:val="00427D8F"/>
    <w:rsid w:val="00430776"/>
    <w:rsid w:val="00431F41"/>
    <w:rsid w:val="0043366F"/>
    <w:rsid w:val="0043692E"/>
    <w:rsid w:val="004369A7"/>
    <w:rsid w:val="00436E40"/>
    <w:rsid w:val="00441AC4"/>
    <w:rsid w:val="004427F0"/>
    <w:rsid w:val="00446E2A"/>
    <w:rsid w:val="00447D82"/>
    <w:rsid w:val="00451386"/>
    <w:rsid w:val="00451640"/>
    <w:rsid w:val="00451EE1"/>
    <w:rsid w:val="0045268B"/>
    <w:rsid w:val="00452C78"/>
    <w:rsid w:val="00453A50"/>
    <w:rsid w:val="00453FB4"/>
    <w:rsid w:val="0045428E"/>
    <w:rsid w:val="0045715C"/>
    <w:rsid w:val="00461FBC"/>
    <w:rsid w:val="00463856"/>
    <w:rsid w:val="0046417A"/>
    <w:rsid w:val="00466C4E"/>
    <w:rsid w:val="00466FCB"/>
    <w:rsid w:val="004679F5"/>
    <w:rsid w:val="004720A7"/>
    <w:rsid w:val="004745E2"/>
    <w:rsid w:val="00475A2F"/>
    <w:rsid w:val="00480961"/>
    <w:rsid w:val="00480A1F"/>
    <w:rsid w:val="00484715"/>
    <w:rsid w:val="00486677"/>
    <w:rsid w:val="004870DE"/>
    <w:rsid w:val="00490C14"/>
    <w:rsid w:val="004911B5"/>
    <w:rsid w:val="0049467F"/>
    <w:rsid w:val="00495893"/>
    <w:rsid w:val="004968E7"/>
    <w:rsid w:val="004975A9"/>
    <w:rsid w:val="004A30EE"/>
    <w:rsid w:val="004A3AB0"/>
    <w:rsid w:val="004A4956"/>
    <w:rsid w:val="004A742A"/>
    <w:rsid w:val="004B0651"/>
    <w:rsid w:val="004B06F7"/>
    <w:rsid w:val="004B0B86"/>
    <w:rsid w:val="004B1977"/>
    <w:rsid w:val="004B33EC"/>
    <w:rsid w:val="004B4F84"/>
    <w:rsid w:val="004B7906"/>
    <w:rsid w:val="004C1BDB"/>
    <w:rsid w:val="004C3B01"/>
    <w:rsid w:val="004C6134"/>
    <w:rsid w:val="004C68AA"/>
    <w:rsid w:val="004D0B9D"/>
    <w:rsid w:val="004D1089"/>
    <w:rsid w:val="004D22B9"/>
    <w:rsid w:val="004D3E80"/>
    <w:rsid w:val="004D6253"/>
    <w:rsid w:val="004D6EF8"/>
    <w:rsid w:val="004E04AA"/>
    <w:rsid w:val="004E04F8"/>
    <w:rsid w:val="004E2A09"/>
    <w:rsid w:val="004E3A27"/>
    <w:rsid w:val="004E4117"/>
    <w:rsid w:val="004E4D6D"/>
    <w:rsid w:val="004E660F"/>
    <w:rsid w:val="004F2D73"/>
    <w:rsid w:val="004F5BF1"/>
    <w:rsid w:val="004F6767"/>
    <w:rsid w:val="004F6872"/>
    <w:rsid w:val="004F7FBB"/>
    <w:rsid w:val="00500485"/>
    <w:rsid w:val="005008AF"/>
    <w:rsid w:val="005013FF"/>
    <w:rsid w:val="00502190"/>
    <w:rsid w:val="00503AB6"/>
    <w:rsid w:val="0050473D"/>
    <w:rsid w:val="00506840"/>
    <w:rsid w:val="00507465"/>
    <w:rsid w:val="005077CA"/>
    <w:rsid w:val="00507C1E"/>
    <w:rsid w:val="00510446"/>
    <w:rsid w:val="0051082D"/>
    <w:rsid w:val="00510B32"/>
    <w:rsid w:val="00510E8B"/>
    <w:rsid w:val="00511A20"/>
    <w:rsid w:val="00513891"/>
    <w:rsid w:val="00513A8B"/>
    <w:rsid w:val="00513F8C"/>
    <w:rsid w:val="00514A95"/>
    <w:rsid w:val="00515786"/>
    <w:rsid w:val="00517AE7"/>
    <w:rsid w:val="00523A53"/>
    <w:rsid w:val="005251FD"/>
    <w:rsid w:val="005272E2"/>
    <w:rsid w:val="00527EC7"/>
    <w:rsid w:val="005312F5"/>
    <w:rsid w:val="00531DA1"/>
    <w:rsid w:val="00532AC5"/>
    <w:rsid w:val="00534590"/>
    <w:rsid w:val="005361C9"/>
    <w:rsid w:val="005364C0"/>
    <w:rsid w:val="00537318"/>
    <w:rsid w:val="00537D5D"/>
    <w:rsid w:val="00540511"/>
    <w:rsid w:val="005414A9"/>
    <w:rsid w:val="00541B76"/>
    <w:rsid w:val="00543981"/>
    <w:rsid w:val="00543B19"/>
    <w:rsid w:val="00545171"/>
    <w:rsid w:val="0055072D"/>
    <w:rsid w:val="00550EA1"/>
    <w:rsid w:val="00551DA5"/>
    <w:rsid w:val="00552490"/>
    <w:rsid w:val="00554CFA"/>
    <w:rsid w:val="00554FE9"/>
    <w:rsid w:val="00560DD7"/>
    <w:rsid w:val="0056163C"/>
    <w:rsid w:val="00562688"/>
    <w:rsid w:val="00564D84"/>
    <w:rsid w:val="0056765B"/>
    <w:rsid w:val="00567854"/>
    <w:rsid w:val="00567CF5"/>
    <w:rsid w:val="00570631"/>
    <w:rsid w:val="0057174E"/>
    <w:rsid w:val="0057288A"/>
    <w:rsid w:val="0057609B"/>
    <w:rsid w:val="00582467"/>
    <w:rsid w:val="005826ED"/>
    <w:rsid w:val="005848C1"/>
    <w:rsid w:val="005849D8"/>
    <w:rsid w:val="00585124"/>
    <w:rsid w:val="0058609E"/>
    <w:rsid w:val="0058620D"/>
    <w:rsid w:val="0058722D"/>
    <w:rsid w:val="005903F3"/>
    <w:rsid w:val="00590CF6"/>
    <w:rsid w:val="005917A6"/>
    <w:rsid w:val="00595A17"/>
    <w:rsid w:val="005A3375"/>
    <w:rsid w:val="005A3791"/>
    <w:rsid w:val="005B0F08"/>
    <w:rsid w:val="005B110F"/>
    <w:rsid w:val="005B118C"/>
    <w:rsid w:val="005B331E"/>
    <w:rsid w:val="005B387E"/>
    <w:rsid w:val="005B3D68"/>
    <w:rsid w:val="005B4F0F"/>
    <w:rsid w:val="005B51FF"/>
    <w:rsid w:val="005B556C"/>
    <w:rsid w:val="005B604D"/>
    <w:rsid w:val="005B67C2"/>
    <w:rsid w:val="005B6BBF"/>
    <w:rsid w:val="005B72BE"/>
    <w:rsid w:val="005C08EE"/>
    <w:rsid w:val="005C13A2"/>
    <w:rsid w:val="005C45EC"/>
    <w:rsid w:val="005C5D9A"/>
    <w:rsid w:val="005D1BBD"/>
    <w:rsid w:val="005D2382"/>
    <w:rsid w:val="005D32A0"/>
    <w:rsid w:val="005D517C"/>
    <w:rsid w:val="005D540C"/>
    <w:rsid w:val="005D55A1"/>
    <w:rsid w:val="005D5644"/>
    <w:rsid w:val="005D7217"/>
    <w:rsid w:val="005D72DA"/>
    <w:rsid w:val="005E0D80"/>
    <w:rsid w:val="005E214D"/>
    <w:rsid w:val="005E2620"/>
    <w:rsid w:val="005E49E3"/>
    <w:rsid w:val="005E4ECB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034CD"/>
    <w:rsid w:val="006064D3"/>
    <w:rsid w:val="00612328"/>
    <w:rsid w:val="006127B8"/>
    <w:rsid w:val="00613DA2"/>
    <w:rsid w:val="006143A5"/>
    <w:rsid w:val="00621779"/>
    <w:rsid w:val="00621935"/>
    <w:rsid w:val="00622BBA"/>
    <w:rsid w:val="00622FAC"/>
    <w:rsid w:val="006230F5"/>
    <w:rsid w:val="00624120"/>
    <w:rsid w:val="006244E7"/>
    <w:rsid w:val="00624504"/>
    <w:rsid w:val="00627741"/>
    <w:rsid w:val="00631079"/>
    <w:rsid w:val="00632BEB"/>
    <w:rsid w:val="00634E41"/>
    <w:rsid w:val="0063639D"/>
    <w:rsid w:val="0063701F"/>
    <w:rsid w:val="00637471"/>
    <w:rsid w:val="00641670"/>
    <w:rsid w:val="00642BC4"/>
    <w:rsid w:val="00644EDE"/>
    <w:rsid w:val="006461EB"/>
    <w:rsid w:val="0064758C"/>
    <w:rsid w:val="00650315"/>
    <w:rsid w:val="00650FDC"/>
    <w:rsid w:val="006538C9"/>
    <w:rsid w:val="0065519C"/>
    <w:rsid w:val="00657558"/>
    <w:rsid w:val="006577D8"/>
    <w:rsid w:val="00664258"/>
    <w:rsid w:val="00672F63"/>
    <w:rsid w:val="00673BA4"/>
    <w:rsid w:val="00673C52"/>
    <w:rsid w:val="00676945"/>
    <w:rsid w:val="0068055A"/>
    <w:rsid w:val="00680BB4"/>
    <w:rsid w:val="00682106"/>
    <w:rsid w:val="0068234C"/>
    <w:rsid w:val="00682559"/>
    <w:rsid w:val="00684BCD"/>
    <w:rsid w:val="006865FC"/>
    <w:rsid w:val="006866A8"/>
    <w:rsid w:val="00691086"/>
    <w:rsid w:val="006910C8"/>
    <w:rsid w:val="006919FF"/>
    <w:rsid w:val="0069258C"/>
    <w:rsid w:val="00696C29"/>
    <w:rsid w:val="006A00FC"/>
    <w:rsid w:val="006A29E1"/>
    <w:rsid w:val="006A7BFD"/>
    <w:rsid w:val="006B38B0"/>
    <w:rsid w:val="006B42B4"/>
    <w:rsid w:val="006B6639"/>
    <w:rsid w:val="006B76E1"/>
    <w:rsid w:val="006C008D"/>
    <w:rsid w:val="006C1521"/>
    <w:rsid w:val="006C1FD3"/>
    <w:rsid w:val="006C285A"/>
    <w:rsid w:val="006C344E"/>
    <w:rsid w:val="006C5FE2"/>
    <w:rsid w:val="006C6E73"/>
    <w:rsid w:val="006D2766"/>
    <w:rsid w:val="006D3114"/>
    <w:rsid w:val="006D3B0B"/>
    <w:rsid w:val="006D4EA6"/>
    <w:rsid w:val="006E10F3"/>
    <w:rsid w:val="006E27F8"/>
    <w:rsid w:val="006E2B6D"/>
    <w:rsid w:val="006E3D22"/>
    <w:rsid w:val="006E3DDC"/>
    <w:rsid w:val="006E5EE2"/>
    <w:rsid w:val="006E601E"/>
    <w:rsid w:val="006E6EF2"/>
    <w:rsid w:val="006E7BD5"/>
    <w:rsid w:val="006F0028"/>
    <w:rsid w:val="006F00B4"/>
    <w:rsid w:val="006F00D4"/>
    <w:rsid w:val="006F0AC8"/>
    <w:rsid w:val="006F0BF7"/>
    <w:rsid w:val="006F2B11"/>
    <w:rsid w:val="006F3F34"/>
    <w:rsid w:val="006F44E4"/>
    <w:rsid w:val="006F4E8C"/>
    <w:rsid w:val="006F78C4"/>
    <w:rsid w:val="00703C5E"/>
    <w:rsid w:val="00704546"/>
    <w:rsid w:val="007047B7"/>
    <w:rsid w:val="00704877"/>
    <w:rsid w:val="0070498F"/>
    <w:rsid w:val="00705A23"/>
    <w:rsid w:val="00706ACB"/>
    <w:rsid w:val="00710355"/>
    <w:rsid w:val="00710B88"/>
    <w:rsid w:val="00710BA0"/>
    <w:rsid w:val="00711825"/>
    <w:rsid w:val="0071393F"/>
    <w:rsid w:val="00713A82"/>
    <w:rsid w:val="007153AD"/>
    <w:rsid w:val="00715E88"/>
    <w:rsid w:val="00721908"/>
    <w:rsid w:val="00724B34"/>
    <w:rsid w:val="0072581B"/>
    <w:rsid w:val="007265EF"/>
    <w:rsid w:val="007271D6"/>
    <w:rsid w:val="0072721F"/>
    <w:rsid w:val="00731020"/>
    <w:rsid w:val="00732F35"/>
    <w:rsid w:val="00736D5B"/>
    <w:rsid w:val="00740968"/>
    <w:rsid w:val="007416FF"/>
    <w:rsid w:val="00741721"/>
    <w:rsid w:val="00742108"/>
    <w:rsid w:val="00742417"/>
    <w:rsid w:val="00744C02"/>
    <w:rsid w:val="00745C73"/>
    <w:rsid w:val="007478FC"/>
    <w:rsid w:val="00747F4F"/>
    <w:rsid w:val="0075227B"/>
    <w:rsid w:val="00753596"/>
    <w:rsid w:val="007558D3"/>
    <w:rsid w:val="00756876"/>
    <w:rsid w:val="007575C4"/>
    <w:rsid w:val="007611E2"/>
    <w:rsid w:val="00763E42"/>
    <w:rsid w:val="0076476D"/>
    <w:rsid w:val="00766084"/>
    <w:rsid w:val="00766BC9"/>
    <w:rsid w:val="00767417"/>
    <w:rsid w:val="00771758"/>
    <w:rsid w:val="00773AB3"/>
    <w:rsid w:val="0077436F"/>
    <w:rsid w:val="00776EC3"/>
    <w:rsid w:val="007800A8"/>
    <w:rsid w:val="00780FF2"/>
    <w:rsid w:val="00781EE6"/>
    <w:rsid w:val="00782943"/>
    <w:rsid w:val="00783AF9"/>
    <w:rsid w:val="00783C20"/>
    <w:rsid w:val="007848AB"/>
    <w:rsid w:val="00784A59"/>
    <w:rsid w:val="007853B5"/>
    <w:rsid w:val="00785A7B"/>
    <w:rsid w:val="00786DFF"/>
    <w:rsid w:val="00790B8D"/>
    <w:rsid w:val="00793F13"/>
    <w:rsid w:val="0079603E"/>
    <w:rsid w:val="00797788"/>
    <w:rsid w:val="007A010E"/>
    <w:rsid w:val="007A17E3"/>
    <w:rsid w:val="007A190A"/>
    <w:rsid w:val="007A5ABF"/>
    <w:rsid w:val="007A6002"/>
    <w:rsid w:val="007A6D51"/>
    <w:rsid w:val="007A72B1"/>
    <w:rsid w:val="007B0972"/>
    <w:rsid w:val="007B0DF6"/>
    <w:rsid w:val="007B2B77"/>
    <w:rsid w:val="007B471E"/>
    <w:rsid w:val="007B6064"/>
    <w:rsid w:val="007B6F8C"/>
    <w:rsid w:val="007C0976"/>
    <w:rsid w:val="007C2714"/>
    <w:rsid w:val="007C5463"/>
    <w:rsid w:val="007C70AF"/>
    <w:rsid w:val="007D05B9"/>
    <w:rsid w:val="007D143D"/>
    <w:rsid w:val="007D2DC7"/>
    <w:rsid w:val="007D3B7A"/>
    <w:rsid w:val="007D62A9"/>
    <w:rsid w:val="007D6811"/>
    <w:rsid w:val="007E0964"/>
    <w:rsid w:val="007E1CA1"/>
    <w:rsid w:val="007E2B82"/>
    <w:rsid w:val="007E301B"/>
    <w:rsid w:val="007E3293"/>
    <w:rsid w:val="007E5090"/>
    <w:rsid w:val="007E5EBE"/>
    <w:rsid w:val="007E6004"/>
    <w:rsid w:val="007E6478"/>
    <w:rsid w:val="007F04BE"/>
    <w:rsid w:val="007F2B91"/>
    <w:rsid w:val="007F6FDE"/>
    <w:rsid w:val="00802027"/>
    <w:rsid w:val="008036A3"/>
    <w:rsid w:val="00804728"/>
    <w:rsid w:val="0080485B"/>
    <w:rsid w:val="00804E07"/>
    <w:rsid w:val="008058DE"/>
    <w:rsid w:val="00805FB4"/>
    <w:rsid w:val="00805FCD"/>
    <w:rsid w:val="00807A75"/>
    <w:rsid w:val="00810997"/>
    <w:rsid w:val="00812988"/>
    <w:rsid w:val="00812B6D"/>
    <w:rsid w:val="00813040"/>
    <w:rsid w:val="00813AC0"/>
    <w:rsid w:val="00814E7A"/>
    <w:rsid w:val="008163F0"/>
    <w:rsid w:val="00816C72"/>
    <w:rsid w:val="00816D92"/>
    <w:rsid w:val="00820311"/>
    <w:rsid w:val="0082246B"/>
    <w:rsid w:val="00823E43"/>
    <w:rsid w:val="008249DE"/>
    <w:rsid w:val="008256D3"/>
    <w:rsid w:val="0082667D"/>
    <w:rsid w:val="00826833"/>
    <w:rsid w:val="008315AC"/>
    <w:rsid w:val="008322A4"/>
    <w:rsid w:val="00841E3C"/>
    <w:rsid w:val="008430FE"/>
    <w:rsid w:val="00843877"/>
    <w:rsid w:val="00844FBE"/>
    <w:rsid w:val="00846A0E"/>
    <w:rsid w:val="00851389"/>
    <w:rsid w:val="00852FB8"/>
    <w:rsid w:val="00855535"/>
    <w:rsid w:val="00855CAA"/>
    <w:rsid w:val="008571FF"/>
    <w:rsid w:val="00857716"/>
    <w:rsid w:val="008615C0"/>
    <w:rsid w:val="00863DA2"/>
    <w:rsid w:val="00864CEF"/>
    <w:rsid w:val="00864E5E"/>
    <w:rsid w:val="008668E1"/>
    <w:rsid w:val="00866BB5"/>
    <w:rsid w:val="0086713F"/>
    <w:rsid w:val="00870155"/>
    <w:rsid w:val="00872803"/>
    <w:rsid w:val="00874259"/>
    <w:rsid w:val="00874B25"/>
    <w:rsid w:val="00876316"/>
    <w:rsid w:val="00877DC5"/>
    <w:rsid w:val="00880A93"/>
    <w:rsid w:val="0088392B"/>
    <w:rsid w:val="008906E9"/>
    <w:rsid w:val="0089182B"/>
    <w:rsid w:val="00891EF2"/>
    <w:rsid w:val="008962B4"/>
    <w:rsid w:val="00896CED"/>
    <w:rsid w:val="008977F2"/>
    <w:rsid w:val="00897A29"/>
    <w:rsid w:val="008A2296"/>
    <w:rsid w:val="008A5DE9"/>
    <w:rsid w:val="008B0F40"/>
    <w:rsid w:val="008B17C7"/>
    <w:rsid w:val="008B1CED"/>
    <w:rsid w:val="008B283D"/>
    <w:rsid w:val="008B32F6"/>
    <w:rsid w:val="008B5CD3"/>
    <w:rsid w:val="008C360D"/>
    <w:rsid w:val="008C484D"/>
    <w:rsid w:val="008D27B9"/>
    <w:rsid w:val="008D2F8A"/>
    <w:rsid w:val="008D6A58"/>
    <w:rsid w:val="008D721F"/>
    <w:rsid w:val="008D7EE1"/>
    <w:rsid w:val="008D7F7A"/>
    <w:rsid w:val="008E02BE"/>
    <w:rsid w:val="008E3C0C"/>
    <w:rsid w:val="008E6636"/>
    <w:rsid w:val="008E72BC"/>
    <w:rsid w:val="008E7713"/>
    <w:rsid w:val="008F3A0F"/>
    <w:rsid w:val="008F4371"/>
    <w:rsid w:val="008F532A"/>
    <w:rsid w:val="008F6245"/>
    <w:rsid w:val="008F7C21"/>
    <w:rsid w:val="00901DE7"/>
    <w:rsid w:val="009046DF"/>
    <w:rsid w:val="00904B83"/>
    <w:rsid w:val="00905AC3"/>
    <w:rsid w:val="00906516"/>
    <w:rsid w:val="009079A5"/>
    <w:rsid w:val="009105C1"/>
    <w:rsid w:val="00911F3A"/>
    <w:rsid w:val="00912F99"/>
    <w:rsid w:val="0091304C"/>
    <w:rsid w:val="00913A65"/>
    <w:rsid w:val="00914E8B"/>
    <w:rsid w:val="0091574E"/>
    <w:rsid w:val="00915BA5"/>
    <w:rsid w:val="00915DF5"/>
    <w:rsid w:val="00923D10"/>
    <w:rsid w:val="00925DF9"/>
    <w:rsid w:val="009268D0"/>
    <w:rsid w:val="009279DF"/>
    <w:rsid w:val="00931AA0"/>
    <w:rsid w:val="0093325B"/>
    <w:rsid w:val="00933619"/>
    <w:rsid w:val="00934751"/>
    <w:rsid w:val="0093713D"/>
    <w:rsid w:val="009417CA"/>
    <w:rsid w:val="00941A33"/>
    <w:rsid w:val="00941D54"/>
    <w:rsid w:val="00950E56"/>
    <w:rsid w:val="00951288"/>
    <w:rsid w:val="0095165D"/>
    <w:rsid w:val="00952F0A"/>
    <w:rsid w:val="00954ADE"/>
    <w:rsid w:val="00956C68"/>
    <w:rsid w:val="00960417"/>
    <w:rsid w:val="00960696"/>
    <w:rsid w:val="00962392"/>
    <w:rsid w:val="009647D1"/>
    <w:rsid w:val="00964BBB"/>
    <w:rsid w:val="00964D67"/>
    <w:rsid w:val="0096645F"/>
    <w:rsid w:val="009665E1"/>
    <w:rsid w:val="0097053C"/>
    <w:rsid w:val="00971B42"/>
    <w:rsid w:val="00974FB9"/>
    <w:rsid w:val="00976E43"/>
    <w:rsid w:val="009779A9"/>
    <w:rsid w:val="00985810"/>
    <w:rsid w:val="0098675E"/>
    <w:rsid w:val="00991819"/>
    <w:rsid w:val="009918FB"/>
    <w:rsid w:val="00992067"/>
    <w:rsid w:val="00994E47"/>
    <w:rsid w:val="0099547A"/>
    <w:rsid w:val="009A1CA0"/>
    <w:rsid w:val="009A287E"/>
    <w:rsid w:val="009A3E5B"/>
    <w:rsid w:val="009A423F"/>
    <w:rsid w:val="009A5297"/>
    <w:rsid w:val="009A5C32"/>
    <w:rsid w:val="009A7798"/>
    <w:rsid w:val="009B01E8"/>
    <w:rsid w:val="009B046F"/>
    <w:rsid w:val="009B1178"/>
    <w:rsid w:val="009B1BA0"/>
    <w:rsid w:val="009B5F6A"/>
    <w:rsid w:val="009B700D"/>
    <w:rsid w:val="009B7293"/>
    <w:rsid w:val="009B7303"/>
    <w:rsid w:val="009B768B"/>
    <w:rsid w:val="009C073F"/>
    <w:rsid w:val="009C1634"/>
    <w:rsid w:val="009C1AC0"/>
    <w:rsid w:val="009C20DD"/>
    <w:rsid w:val="009C4448"/>
    <w:rsid w:val="009C547B"/>
    <w:rsid w:val="009C5AB4"/>
    <w:rsid w:val="009C5BD3"/>
    <w:rsid w:val="009C628D"/>
    <w:rsid w:val="009D00A0"/>
    <w:rsid w:val="009D3BCB"/>
    <w:rsid w:val="009D7770"/>
    <w:rsid w:val="009E13E0"/>
    <w:rsid w:val="009E3BD9"/>
    <w:rsid w:val="009E46B3"/>
    <w:rsid w:val="009E515B"/>
    <w:rsid w:val="009E5F1D"/>
    <w:rsid w:val="009F044E"/>
    <w:rsid w:val="009F1225"/>
    <w:rsid w:val="009F13BC"/>
    <w:rsid w:val="009F1842"/>
    <w:rsid w:val="009F214E"/>
    <w:rsid w:val="009F2631"/>
    <w:rsid w:val="009F2DCD"/>
    <w:rsid w:val="009F38C4"/>
    <w:rsid w:val="009F3B86"/>
    <w:rsid w:val="009F3EF7"/>
    <w:rsid w:val="009F4AC1"/>
    <w:rsid w:val="009F6455"/>
    <w:rsid w:val="009F7572"/>
    <w:rsid w:val="009F7B53"/>
    <w:rsid w:val="009F7DA2"/>
    <w:rsid w:val="00A00954"/>
    <w:rsid w:val="00A00A3E"/>
    <w:rsid w:val="00A01297"/>
    <w:rsid w:val="00A01A2F"/>
    <w:rsid w:val="00A03286"/>
    <w:rsid w:val="00A040D0"/>
    <w:rsid w:val="00A06441"/>
    <w:rsid w:val="00A07DDD"/>
    <w:rsid w:val="00A105C2"/>
    <w:rsid w:val="00A11638"/>
    <w:rsid w:val="00A11A6B"/>
    <w:rsid w:val="00A12200"/>
    <w:rsid w:val="00A16341"/>
    <w:rsid w:val="00A1744D"/>
    <w:rsid w:val="00A17911"/>
    <w:rsid w:val="00A20730"/>
    <w:rsid w:val="00A20A60"/>
    <w:rsid w:val="00A216EB"/>
    <w:rsid w:val="00A23A72"/>
    <w:rsid w:val="00A241A3"/>
    <w:rsid w:val="00A254E2"/>
    <w:rsid w:val="00A25A31"/>
    <w:rsid w:val="00A262DA"/>
    <w:rsid w:val="00A27A0F"/>
    <w:rsid w:val="00A30012"/>
    <w:rsid w:val="00A30407"/>
    <w:rsid w:val="00A30E81"/>
    <w:rsid w:val="00A43B3B"/>
    <w:rsid w:val="00A43FF4"/>
    <w:rsid w:val="00A45272"/>
    <w:rsid w:val="00A46445"/>
    <w:rsid w:val="00A46898"/>
    <w:rsid w:val="00A46C70"/>
    <w:rsid w:val="00A47300"/>
    <w:rsid w:val="00A5054A"/>
    <w:rsid w:val="00A511BA"/>
    <w:rsid w:val="00A51360"/>
    <w:rsid w:val="00A52380"/>
    <w:rsid w:val="00A531AD"/>
    <w:rsid w:val="00A53500"/>
    <w:rsid w:val="00A552F1"/>
    <w:rsid w:val="00A5679B"/>
    <w:rsid w:val="00A56975"/>
    <w:rsid w:val="00A61047"/>
    <w:rsid w:val="00A64D33"/>
    <w:rsid w:val="00A669FB"/>
    <w:rsid w:val="00A71E14"/>
    <w:rsid w:val="00A72E01"/>
    <w:rsid w:val="00A73020"/>
    <w:rsid w:val="00A739F4"/>
    <w:rsid w:val="00A80B02"/>
    <w:rsid w:val="00A80D6E"/>
    <w:rsid w:val="00A83945"/>
    <w:rsid w:val="00A85D08"/>
    <w:rsid w:val="00A86204"/>
    <w:rsid w:val="00A8696C"/>
    <w:rsid w:val="00A90CD3"/>
    <w:rsid w:val="00A90DDD"/>
    <w:rsid w:val="00A93940"/>
    <w:rsid w:val="00A94304"/>
    <w:rsid w:val="00A95452"/>
    <w:rsid w:val="00A966CC"/>
    <w:rsid w:val="00A96A94"/>
    <w:rsid w:val="00A971F3"/>
    <w:rsid w:val="00A974AA"/>
    <w:rsid w:val="00A97580"/>
    <w:rsid w:val="00AA0DA7"/>
    <w:rsid w:val="00AA1302"/>
    <w:rsid w:val="00AA1E46"/>
    <w:rsid w:val="00AA7AF9"/>
    <w:rsid w:val="00AA7B18"/>
    <w:rsid w:val="00AB02D7"/>
    <w:rsid w:val="00AB0DF0"/>
    <w:rsid w:val="00AB14A1"/>
    <w:rsid w:val="00AB358A"/>
    <w:rsid w:val="00AB449B"/>
    <w:rsid w:val="00AB77C7"/>
    <w:rsid w:val="00AC3451"/>
    <w:rsid w:val="00AC381A"/>
    <w:rsid w:val="00AC449B"/>
    <w:rsid w:val="00AC5A7A"/>
    <w:rsid w:val="00AC5E42"/>
    <w:rsid w:val="00AC60C6"/>
    <w:rsid w:val="00AC750B"/>
    <w:rsid w:val="00AC7C1E"/>
    <w:rsid w:val="00AD0AD2"/>
    <w:rsid w:val="00AD1237"/>
    <w:rsid w:val="00AD1FF9"/>
    <w:rsid w:val="00AD2DCA"/>
    <w:rsid w:val="00AD3443"/>
    <w:rsid w:val="00AD6189"/>
    <w:rsid w:val="00AD7346"/>
    <w:rsid w:val="00AE12C7"/>
    <w:rsid w:val="00AE1EBA"/>
    <w:rsid w:val="00AE2B6B"/>
    <w:rsid w:val="00AE442E"/>
    <w:rsid w:val="00AE65E4"/>
    <w:rsid w:val="00AE66A4"/>
    <w:rsid w:val="00AE6787"/>
    <w:rsid w:val="00AE6F30"/>
    <w:rsid w:val="00AE79C8"/>
    <w:rsid w:val="00AE7FDD"/>
    <w:rsid w:val="00AF057C"/>
    <w:rsid w:val="00AF3AC6"/>
    <w:rsid w:val="00AF494D"/>
    <w:rsid w:val="00AF5E7A"/>
    <w:rsid w:val="00AF64D8"/>
    <w:rsid w:val="00B00164"/>
    <w:rsid w:val="00B002FA"/>
    <w:rsid w:val="00B00C84"/>
    <w:rsid w:val="00B012C9"/>
    <w:rsid w:val="00B04024"/>
    <w:rsid w:val="00B04E5F"/>
    <w:rsid w:val="00B0751B"/>
    <w:rsid w:val="00B123C4"/>
    <w:rsid w:val="00B125A6"/>
    <w:rsid w:val="00B131AD"/>
    <w:rsid w:val="00B14BAB"/>
    <w:rsid w:val="00B16C35"/>
    <w:rsid w:val="00B16DE2"/>
    <w:rsid w:val="00B17AF3"/>
    <w:rsid w:val="00B17EBE"/>
    <w:rsid w:val="00B2143E"/>
    <w:rsid w:val="00B2146A"/>
    <w:rsid w:val="00B21965"/>
    <w:rsid w:val="00B21C55"/>
    <w:rsid w:val="00B2235F"/>
    <w:rsid w:val="00B22879"/>
    <w:rsid w:val="00B239FE"/>
    <w:rsid w:val="00B24C21"/>
    <w:rsid w:val="00B2576A"/>
    <w:rsid w:val="00B262B2"/>
    <w:rsid w:val="00B2756D"/>
    <w:rsid w:val="00B31757"/>
    <w:rsid w:val="00B34D1B"/>
    <w:rsid w:val="00B371C4"/>
    <w:rsid w:val="00B4057E"/>
    <w:rsid w:val="00B41154"/>
    <w:rsid w:val="00B41CC1"/>
    <w:rsid w:val="00B44319"/>
    <w:rsid w:val="00B4515A"/>
    <w:rsid w:val="00B45CDF"/>
    <w:rsid w:val="00B45FCF"/>
    <w:rsid w:val="00B46090"/>
    <w:rsid w:val="00B501D6"/>
    <w:rsid w:val="00B518BE"/>
    <w:rsid w:val="00B574C2"/>
    <w:rsid w:val="00B62730"/>
    <w:rsid w:val="00B629B9"/>
    <w:rsid w:val="00B6444A"/>
    <w:rsid w:val="00B66C91"/>
    <w:rsid w:val="00B67050"/>
    <w:rsid w:val="00B67DA8"/>
    <w:rsid w:val="00B70411"/>
    <w:rsid w:val="00B72523"/>
    <w:rsid w:val="00B72D1F"/>
    <w:rsid w:val="00B734E6"/>
    <w:rsid w:val="00B73CFD"/>
    <w:rsid w:val="00B748C2"/>
    <w:rsid w:val="00B7511B"/>
    <w:rsid w:val="00B75411"/>
    <w:rsid w:val="00B76A2D"/>
    <w:rsid w:val="00B76BA4"/>
    <w:rsid w:val="00B80631"/>
    <w:rsid w:val="00B813C3"/>
    <w:rsid w:val="00B81B35"/>
    <w:rsid w:val="00B81FF7"/>
    <w:rsid w:val="00B85DF9"/>
    <w:rsid w:val="00B85E2A"/>
    <w:rsid w:val="00B85F9E"/>
    <w:rsid w:val="00B86322"/>
    <w:rsid w:val="00B93B46"/>
    <w:rsid w:val="00B93E7D"/>
    <w:rsid w:val="00B97883"/>
    <w:rsid w:val="00BA111A"/>
    <w:rsid w:val="00BA44B4"/>
    <w:rsid w:val="00BA73DD"/>
    <w:rsid w:val="00BB0565"/>
    <w:rsid w:val="00BB3430"/>
    <w:rsid w:val="00BB49A2"/>
    <w:rsid w:val="00BB50B1"/>
    <w:rsid w:val="00BB5845"/>
    <w:rsid w:val="00BB5BFA"/>
    <w:rsid w:val="00BB6DC3"/>
    <w:rsid w:val="00BB6FB8"/>
    <w:rsid w:val="00BB797E"/>
    <w:rsid w:val="00BC00C9"/>
    <w:rsid w:val="00BC0F5E"/>
    <w:rsid w:val="00BC2526"/>
    <w:rsid w:val="00BC4EF9"/>
    <w:rsid w:val="00BC4FDA"/>
    <w:rsid w:val="00BC5CFD"/>
    <w:rsid w:val="00BC5F3E"/>
    <w:rsid w:val="00BC698E"/>
    <w:rsid w:val="00BC6E02"/>
    <w:rsid w:val="00BC6F41"/>
    <w:rsid w:val="00BC7610"/>
    <w:rsid w:val="00BD0863"/>
    <w:rsid w:val="00BD2623"/>
    <w:rsid w:val="00BD2E15"/>
    <w:rsid w:val="00BD37FB"/>
    <w:rsid w:val="00BD446C"/>
    <w:rsid w:val="00BE101F"/>
    <w:rsid w:val="00BE4AA4"/>
    <w:rsid w:val="00BE7DD9"/>
    <w:rsid w:val="00BF1798"/>
    <w:rsid w:val="00BF28F5"/>
    <w:rsid w:val="00BF2C4D"/>
    <w:rsid w:val="00BF2C7B"/>
    <w:rsid w:val="00BF38FD"/>
    <w:rsid w:val="00BF3DB1"/>
    <w:rsid w:val="00BF6C55"/>
    <w:rsid w:val="00BF7305"/>
    <w:rsid w:val="00C00949"/>
    <w:rsid w:val="00C01C90"/>
    <w:rsid w:val="00C03732"/>
    <w:rsid w:val="00C03D4E"/>
    <w:rsid w:val="00C04749"/>
    <w:rsid w:val="00C0586C"/>
    <w:rsid w:val="00C05AF7"/>
    <w:rsid w:val="00C064D4"/>
    <w:rsid w:val="00C10277"/>
    <w:rsid w:val="00C10CFF"/>
    <w:rsid w:val="00C11A89"/>
    <w:rsid w:val="00C1214F"/>
    <w:rsid w:val="00C12A1A"/>
    <w:rsid w:val="00C12F06"/>
    <w:rsid w:val="00C17C48"/>
    <w:rsid w:val="00C20B8E"/>
    <w:rsid w:val="00C22AC5"/>
    <w:rsid w:val="00C22C44"/>
    <w:rsid w:val="00C2351F"/>
    <w:rsid w:val="00C279F6"/>
    <w:rsid w:val="00C27BBB"/>
    <w:rsid w:val="00C27F3E"/>
    <w:rsid w:val="00C30EF6"/>
    <w:rsid w:val="00C31E8B"/>
    <w:rsid w:val="00C339D8"/>
    <w:rsid w:val="00C35B7B"/>
    <w:rsid w:val="00C364F2"/>
    <w:rsid w:val="00C376F7"/>
    <w:rsid w:val="00C37FDC"/>
    <w:rsid w:val="00C44870"/>
    <w:rsid w:val="00C4696B"/>
    <w:rsid w:val="00C470ED"/>
    <w:rsid w:val="00C501C3"/>
    <w:rsid w:val="00C50896"/>
    <w:rsid w:val="00C50AA2"/>
    <w:rsid w:val="00C52E83"/>
    <w:rsid w:val="00C53262"/>
    <w:rsid w:val="00C5538B"/>
    <w:rsid w:val="00C56980"/>
    <w:rsid w:val="00C575C5"/>
    <w:rsid w:val="00C63992"/>
    <w:rsid w:val="00C663F0"/>
    <w:rsid w:val="00C70C26"/>
    <w:rsid w:val="00C717BF"/>
    <w:rsid w:val="00C72ABD"/>
    <w:rsid w:val="00C7339E"/>
    <w:rsid w:val="00C735C5"/>
    <w:rsid w:val="00C770F6"/>
    <w:rsid w:val="00C80EF7"/>
    <w:rsid w:val="00C819BF"/>
    <w:rsid w:val="00C85936"/>
    <w:rsid w:val="00C86EB1"/>
    <w:rsid w:val="00C9057E"/>
    <w:rsid w:val="00C906B0"/>
    <w:rsid w:val="00C926E7"/>
    <w:rsid w:val="00C93DC7"/>
    <w:rsid w:val="00C94745"/>
    <w:rsid w:val="00C949B6"/>
    <w:rsid w:val="00C94B4F"/>
    <w:rsid w:val="00C94E6B"/>
    <w:rsid w:val="00C94FA8"/>
    <w:rsid w:val="00CA110E"/>
    <w:rsid w:val="00CA247C"/>
    <w:rsid w:val="00CA60B8"/>
    <w:rsid w:val="00CA7EF5"/>
    <w:rsid w:val="00CC0732"/>
    <w:rsid w:val="00CC0DEF"/>
    <w:rsid w:val="00CC1886"/>
    <w:rsid w:val="00CC2EFC"/>
    <w:rsid w:val="00CC2F04"/>
    <w:rsid w:val="00CC5A14"/>
    <w:rsid w:val="00CD0092"/>
    <w:rsid w:val="00CD315C"/>
    <w:rsid w:val="00CD3F00"/>
    <w:rsid w:val="00CD634E"/>
    <w:rsid w:val="00CD6869"/>
    <w:rsid w:val="00CD77B9"/>
    <w:rsid w:val="00CE0BB5"/>
    <w:rsid w:val="00CE0E0E"/>
    <w:rsid w:val="00CE6CFF"/>
    <w:rsid w:val="00CE6FE4"/>
    <w:rsid w:val="00CE7267"/>
    <w:rsid w:val="00CE7AC1"/>
    <w:rsid w:val="00CF04D5"/>
    <w:rsid w:val="00CF0ECC"/>
    <w:rsid w:val="00CF17F8"/>
    <w:rsid w:val="00CF249D"/>
    <w:rsid w:val="00CF3B9C"/>
    <w:rsid w:val="00CF6D92"/>
    <w:rsid w:val="00D01736"/>
    <w:rsid w:val="00D022A6"/>
    <w:rsid w:val="00D05351"/>
    <w:rsid w:val="00D0547D"/>
    <w:rsid w:val="00D05B2C"/>
    <w:rsid w:val="00D07216"/>
    <w:rsid w:val="00D11652"/>
    <w:rsid w:val="00D15469"/>
    <w:rsid w:val="00D159BB"/>
    <w:rsid w:val="00D17D39"/>
    <w:rsid w:val="00D203A7"/>
    <w:rsid w:val="00D20C3F"/>
    <w:rsid w:val="00D24441"/>
    <w:rsid w:val="00D2463B"/>
    <w:rsid w:val="00D25C53"/>
    <w:rsid w:val="00D25C5B"/>
    <w:rsid w:val="00D2767E"/>
    <w:rsid w:val="00D2770F"/>
    <w:rsid w:val="00D30875"/>
    <w:rsid w:val="00D329F5"/>
    <w:rsid w:val="00D344F6"/>
    <w:rsid w:val="00D34E3D"/>
    <w:rsid w:val="00D36A90"/>
    <w:rsid w:val="00D37B1F"/>
    <w:rsid w:val="00D44E53"/>
    <w:rsid w:val="00D45696"/>
    <w:rsid w:val="00D4641D"/>
    <w:rsid w:val="00D465D4"/>
    <w:rsid w:val="00D466F0"/>
    <w:rsid w:val="00D47AC1"/>
    <w:rsid w:val="00D509DF"/>
    <w:rsid w:val="00D50C66"/>
    <w:rsid w:val="00D526CE"/>
    <w:rsid w:val="00D56343"/>
    <w:rsid w:val="00D6076A"/>
    <w:rsid w:val="00D62733"/>
    <w:rsid w:val="00D6391F"/>
    <w:rsid w:val="00D6438C"/>
    <w:rsid w:val="00D655A4"/>
    <w:rsid w:val="00D67554"/>
    <w:rsid w:val="00D675E1"/>
    <w:rsid w:val="00D709F0"/>
    <w:rsid w:val="00D720D2"/>
    <w:rsid w:val="00D734B3"/>
    <w:rsid w:val="00D80B44"/>
    <w:rsid w:val="00D81D2A"/>
    <w:rsid w:val="00D82202"/>
    <w:rsid w:val="00D828D4"/>
    <w:rsid w:val="00D833FB"/>
    <w:rsid w:val="00D869C8"/>
    <w:rsid w:val="00D87633"/>
    <w:rsid w:val="00D87EA8"/>
    <w:rsid w:val="00D937F8"/>
    <w:rsid w:val="00D941C4"/>
    <w:rsid w:val="00D953FC"/>
    <w:rsid w:val="00D96610"/>
    <w:rsid w:val="00D977E8"/>
    <w:rsid w:val="00DA141D"/>
    <w:rsid w:val="00DA1B8E"/>
    <w:rsid w:val="00DA4194"/>
    <w:rsid w:val="00DA48EF"/>
    <w:rsid w:val="00DA56F1"/>
    <w:rsid w:val="00DA60C0"/>
    <w:rsid w:val="00DA7CE9"/>
    <w:rsid w:val="00DB25FA"/>
    <w:rsid w:val="00DB3B5B"/>
    <w:rsid w:val="00DB4101"/>
    <w:rsid w:val="00DB580D"/>
    <w:rsid w:val="00DB7230"/>
    <w:rsid w:val="00DC2C79"/>
    <w:rsid w:val="00DD12E8"/>
    <w:rsid w:val="00DD3766"/>
    <w:rsid w:val="00DD3997"/>
    <w:rsid w:val="00DD3DBC"/>
    <w:rsid w:val="00DD47B3"/>
    <w:rsid w:val="00DD6050"/>
    <w:rsid w:val="00DD6669"/>
    <w:rsid w:val="00DD7C37"/>
    <w:rsid w:val="00DD7FAE"/>
    <w:rsid w:val="00DE154B"/>
    <w:rsid w:val="00DE1BF0"/>
    <w:rsid w:val="00DE1C3F"/>
    <w:rsid w:val="00DE2749"/>
    <w:rsid w:val="00DE573B"/>
    <w:rsid w:val="00DE65DA"/>
    <w:rsid w:val="00DE6889"/>
    <w:rsid w:val="00DE73D9"/>
    <w:rsid w:val="00DE7704"/>
    <w:rsid w:val="00DF03A8"/>
    <w:rsid w:val="00DF0702"/>
    <w:rsid w:val="00DF0AC8"/>
    <w:rsid w:val="00DF1173"/>
    <w:rsid w:val="00DF3A95"/>
    <w:rsid w:val="00DF4958"/>
    <w:rsid w:val="00DF4EC9"/>
    <w:rsid w:val="00DF5DE3"/>
    <w:rsid w:val="00DF663F"/>
    <w:rsid w:val="00E005A8"/>
    <w:rsid w:val="00E01F5A"/>
    <w:rsid w:val="00E0250D"/>
    <w:rsid w:val="00E029F9"/>
    <w:rsid w:val="00E0571A"/>
    <w:rsid w:val="00E05893"/>
    <w:rsid w:val="00E07DB3"/>
    <w:rsid w:val="00E1199E"/>
    <w:rsid w:val="00E119BD"/>
    <w:rsid w:val="00E124C3"/>
    <w:rsid w:val="00E12B7B"/>
    <w:rsid w:val="00E13C34"/>
    <w:rsid w:val="00E15B1B"/>
    <w:rsid w:val="00E165B3"/>
    <w:rsid w:val="00E17DCF"/>
    <w:rsid w:val="00E2341A"/>
    <w:rsid w:val="00E249DA"/>
    <w:rsid w:val="00E24AF5"/>
    <w:rsid w:val="00E27F1F"/>
    <w:rsid w:val="00E3200A"/>
    <w:rsid w:val="00E35180"/>
    <w:rsid w:val="00E35F55"/>
    <w:rsid w:val="00E37101"/>
    <w:rsid w:val="00E41D73"/>
    <w:rsid w:val="00E42E0F"/>
    <w:rsid w:val="00E4484F"/>
    <w:rsid w:val="00E450C5"/>
    <w:rsid w:val="00E45D2A"/>
    <w:rsid w:val="00E47037"/>
    <w:rsid w:val="00E477A7"/>
    <w:rsid w:val="00E50922"/>
    <w:rsid w:val="00E51953"/>
    <w:rsid w:val="00E537EA"/>
    <w:rsid w:val="00E548B4"/>
    <w:rsid w:val="00E55F23"/>
    <w:rsid w:val="00E567BB"/>
    <w:rsid w:val="00E6003D"/>
    <w:rsid w:val="00E60C42"/>
    <w:rsid w:val="00E60F52"/>
    <w:rsid w:val="00E611A4"/>
    <w:rsid w:val="00E62BC8"/>
    <w:rsid w:val="00E63D66"/>
    <w:rsid w:val="00E64074"/>
    <w:rsid w:val="00E726CD"/>
    <w:rsid w:val="00E72906"/>
    <w:rsid w:val="00E73922"/>
    <w:rsid w:val="00E7461B"/>
    <w:rsid w:val="00E7493E"/>
    <w:rsid w:val="00E77941"/>
    <w:rsid w:val="00E800FC"/>
    <w:rsid w:val="00E83F99"/>
    <w:rsid w:val="00E84291"/>
    <w:rsid w:val="00E843CC"/>
    <w:rsid w:val="00E84870"/>
    <w:rsid w:val="00E851B2"/>
    <w:rsid w:val="00E85448"/>
    <w:rsid w:val="00E85E06"/>
    <w:rsid w:val="00E86D82"/>
    <w:rsid w:val="00E9016A"/>
    <w:rsid w:val="00E9045E"/>
    <w:rsid w:val="00E91FDD"/>
    <w:rsid w:val="00E92A52"/>
    <w:rsid w:val="00E92EFF"/>
    <w:rsid w:val="00E94C8D"/>
    <w:rsid w:val="00E94CEB"/>
    <w:rsid w:val="00E95373"/>
    <w:rsid w:val="00E97AFE"/>
    <w:rsid w:val="00EA2F18"/>
    <w:rsid w:val="00EA450D"/>
    <w:rsid w:val="00EA61A2"/>
    <w:rsid w:val="00EA6978"/>
    <w:rsid w:val="00EA7646"/>
    <w:rsid w:val="00EB11D4"/>
    <w:rsid w:val="00EB16F9"/>
    <w:rsid w:val="00EB1AAB"/>
    <w:rsid w:val="00EB7AAF"/>
    <w:rsid w:val="00EC0B00"/>
    <w:rsid w:val="00EC1201"/>
    <w:rsid w:val="00EC4311"/>
    <w:rsid w:val="00EC5B4F"/>
    <w:rsid w:val="00EC6129"/>
    <w:rsid w:val="00ED2BD7"/>
    <w:rsid w:val="00ED2D17"/>
    <w:rsid w:val="00ED7DB7"/>
    <w:rsid w:val="00EE0801"/>
    <w:rsid w:val="00EE2AA7"/>
    <w:rsid w:val="00EE2AA9"/>
    <w:rsid w:val="00EE55E8"/>
    <w:rsid w:val="00EE67AD"/>
    <w:rsid w:val="00EE6CD3"/>
    <w:rsid w:val="00EF0F5B"/>
    <w:rsid w:val="00EF18FD"/>
    <w:rsid w:val="00EF1F54"/>
    <w:rsid w:val="00EF2771"/>
    <w:rsid w:val="00EF3639"/>
    <w:rsid w:val="00EF41F2"/>
    <w:rsid w:val="00EF5ACC"/>
    <w:rsid w:val="00EF6B56"/>
    <w:rsid w:val="00EF6E31"/>
    <w:rsid w:val="00EF74F9"/>
    <w:rsid w:val="00EF75E1"/>
    <w:rsid w:val="00F01D8B"/>
    <w:rsid w:val="00F04443"/>
    <w:rsid w:val="00F04764"/>
    <w:rsid w:val="00F04DF5"/>
    <w:rsid w:val="00F060D0"/>
    <w:rsid w:val="00F1042B"/>
    <w:rsid w:val="00F10737"/>
    <w:rsid w:val="00F13A2A"/>
    <w:rsid w:val="00F1414C"/>
    <w:rsid w:val="00F15F11"/>
    <w:rsid w:val="00F233B1"/>
    <w:rsid w:val="00F23501"/>
    <w:rsid w:val="00F2438D"/>
    <w:rsid w:val="00F24926"/>
    <w:rsid w:val="00F25005"/>
    <w:rsid w:val="00F252F6"/>
    <w:rsid w:val="00F25FA9"/>
    <w:rsid w:val="00F27A33"/>
    <w:rsid w:val="00F3078D"/>
    <w:rsid w:val="00F30A9A"/>
    <w:rsid w:val="00F31164"/>
    <w:rsid w:val="00F33E90"/>
    <w:rsid w:val="00F34BDF"/>
    <w:rsid w:val="00F37012"/>
    <w:rsid w:val="00F371F1"/>
    <w:rsid w:val="00F429EB"/>
    <w:rsid w:val="00F43F47"/>
    <w:rsid w:val="00F443AD"/>
    <w:rsid w:val="00F44BAB"/>
    <w:rsid w:val="00F457EE"/>
    <w:rsid w:val="00F4596B"/>
    <w:rsid w:val="00F5040D"/>
    <w:rsid w:val="00F50DD0"/>
    <w:rsid w:val="00F5172E"/>
    <w:rsid w:val="00F5187E"/>
    <w:rsid w:val="00F52270"/>
    <w:rsid w:val="00F523B9"/>
    <w:rsid w:val="00F536A1"/>
    <w:rsid w:val="00F544CD"/>
    <w:rsid w:val="00F56785"/>
    <w:rsid w:val="00F5726E"/>
    <w:rsid w:val="00F5789F"/>
    <w:rsid w:val="00F6226D"/>
    <w:rsid w:val="00F652F9"/>
    <w:rsid w:val="00F65AB3"/>
    <w:rsid w:val="00F65EBC"/>
    <w:rsid w:val="00F71E2C"/>
    <w:rsid w:val="00F74767"/>
    <w:rsid w:val="00F74AB0"/>
    <w:rsid w:val="00F75FD3"/>
    <w:rsid w:val="00F76254"/>
    <w:rsid w:val="00F816AE"/>
    <w:rsid w:val="00F81C52"/>
    <w:rsid w:val="00F849BB"/>
    <w:rsid w:val="00F85EE8"/>
    <w:rsid w:val="00F86555"/>
    <w:rsid w:val="00F964A4"/>
    <w:rsid w:val="00F97997"/>
    <w:rsid w:val="00F97FDF"/>
    <w:rsid w:val="00FA0610"/>
    <w:rsid w:val="00FA285C"/>
    <w:rsid w:val="00FA432C"/>
    <w:rsid w:val="00FA4F75"/>
    <w:rsid w:val="00FA59BF"/>
    <w:rsid w:val="00FA7A50"/>
    <w:rsid w:val="00FB0005"/>
    <w:rsid w:val="00FB1326"/>
    <w:rsid w:val="00FB1FB8"/>
    <w:rsid w:val="00FB4B15"/>
    <w:rsid w:val="00FB711A"/>
    <w:rsid w:val="00FB7367"/>
    <w:rsid w:val="00FC1C66"/>
    <w:rsid w:val="00FC3AB2"/>
    <w:rsid w:val="00FC49BE"/>
    <w:rsid w:val="00FC49E7"/>
    <w:rsid w:val="00FC5942"/>
    <w:rsid w:val="00FC611C"/>
    <w:rsid w:val="00FC613A"/>
    <w:rsid w:val="00FC6809"/>
    <w:rsid w:val="00FC6B03"/>
    <w:rsid w:val="00FC7296"/>
    <w:rsid w:val="00FC7A3A"/>
    <w:rsid w:val="00FD2D0D"/>
    <w:rsid w:val="00FD3DB8"/>
    <w:rsid w:val="00FD42D5"/>
    <w:rsid w:val="00FD68E8"/>
    <w:rsid w:val="00FD6E20"/>
    <w:rsid w:val="00FE01A3"/>
    <w:rsid w:val="00FE0619"/>
    <w:rsid w:val="00FE0FE1"/>
    <w:rsid w:val="00FE24B1"/>
    <w:rsid w:val="00FE2F4C"/>
    <w:rsid w:val="00FE339C"/>
    <w:rsid w:val="00FE360E"/>
    <w:rsid w:val="00FE443B"/>
    <w:rsid w:val="00FE5A86"/>
    <w:rsid w:val="00FE79B8"/>
    <w:rsid w:val="00FE7B6F"/>
    <w:rsid w:val="00FF0868"/>
    <w:rsid w:val="00FF1045"/>
    <w:rsid w:val="00FF11FB"/>
    <w:rsid w:val="00FF18EB"/>
    <w:rsid w:val="00FF2731"/>
    <w:rsid w:val="00FF2F76"/>
    <w:rsid w:val="00FF4E78"/>
    <w:rsid w:val="00FF6E32"/>
    <w:rsid w:val="00FF70CE"/>
    <w:rsid w:val="00FF713D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0F9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styleId="FollowedHyperlink">
    <w:name w:val="FollowedHyperlink"/>
    <w:basedOn w:val="DefaultParagraphFont"/>
    <w:semiHidden/>
    <w:unhideWhenUsed/>
    <w:rsid w:val="00AF3AC6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E20"/>
  </w:style>
  <w:style w:type="paragraph" w:styleId="Revision">
    <w:name w:val="Revision"/>
    <w:hidden/>
    <w:uiPriority w:val="99"/>
    <w:semiHidden/>
    <w:rsid w:val="005D72DA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EF6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6E7BD5"/>
    <w:pPr>
      <w:spacing w:before="200" w:after="160"/>
      <w:ind w:left="851" w:right="864"/>
    </w:pPr>
    <w:rPr>
      <w:rFonts w:ascii="Calibri" w:hAnsi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E7BD5"/>
    <w:rPr>
      <w:rFonts w:ascii="Calibri" w:hAnsi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3C0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haramschno">
    <w:name w:val="charamschno"/>
    <w:basedOn w:val="DefaultParagraphFont"/>
    <w:rsid w:val="00D81D2A"/>
  </w:style>
  <w:style w:type="character" w:customStyle="1" w:styleId="charamschtext">
    <w:name w:val="charamschtext"/>
    <w:basedOn w:val="DefaultParagraphFont"/>
    <w:rsid w:val="00D81D2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6C68"/>
    <w:rPr>
      <w:color w:val="605E5C"/>
      <w:shd w:val="clear" w:color="auto" w:fill="E1DFDD"/>
    </w:rPr>
  </w:style>
  <w:style w:type="paragraph" w:customStyle="1" w:styleId="Default">
    <w:name w:val="Default"/>
    <w:rsid w:val="00971B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71B4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118"/>
    <w:rPr>
      <w:color w:val="605E5C"/>
      <w:shd w:val="clear" w:color="auto" w:fill="E1DFDD"/>
    </w:rPr>
  </w:style>
  <w:style w:type="paragraph" w:customStyle="1" w:styleId="acthead6">
    <w:name w:val="acthead6"/>
    <w:basedOn w:val="Normal"/>
    <w:rsid w:val="00385118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385118"/>
    <w:rPr>
      <w:sz w:val="24"/>
      <w:szCs w:val="24"/>
    </w:rPr>
  </w:style>
  <w:style w:type="character" w:customStyle="1" w:styleId="charampartno">
    <w:name w:val="charampartno"/>
    <w:basedOn w:val="DefaultParagraphFont"/>
    <w:rsid w:val="00385118"/>
  </w:style>
  <w:style w:type="character" w:customStyle="1" w:styleId="charamparttext">
    <w:name w:val="charamparttext"/>
    <w:basedOn w:val="DefaultParagraphFont"/>
    <w:rsid w:val="00385118"/>
  </w:style>
  <w:style w:type="paragraph" w:customStyle="1" w:styleId="acthead9">
    <w:name w:val="acthead9"/>
    <w:basedOn w:val="Normal"/>
    <w:rsid w:val="003851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6C649C5-CB11-423E-96F1-9963EF30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2021-04-16T06:18:00Z</dcterms:created>
  <dcterms:modified xsi:type="dcterms:W3CDTF">2021-04-16T06:18:00Z</dcterms:modified>
</cp:coreProperties>
</file>