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C1B4F" w14:textId="77777777" w:rsidR="001F2A16" w:rsidRPr="00A21BBF" w:rsidRDefault="001F2A16" w:rsidP="003A3878">
      <w:pPr>
        <w:pStyle w:val="Header"/>
        <w:tabs>
          <w:tab w:val="clear" w:pos="4153"/>
          <w:tab w:val="clear" w:pos="8306"/>
        </w:tabs>
        <w:spacing w:after="120"/>
        <w:jc w:val="center"/>
        <w:rPr>
          <w:rFonts w:ascii="Arial" w:hAnsi="Arial" w:cs="Arial"/>
          <w:sz w:val="34"/>
          <w:szCs w:val="34"/>
        </w:rPr>
      </w:pPr>
      <w:r w:rsidRPr="00A21BBF">
        <w:rPr>
          <w:rFonts w:ascii="Arial" w:hAnsi="Arial" w:cs="Arial"/>
          <w:sz w:val="34"/>
          <w:szCs w:val="34"/>
        </w:rPr>
        <w:t>Explanatory Statement</w:t>
      </w:r>
    </w:p>
    <w:p w14:paraId="15AC1B50" w14:textId="77777777" w:rsidR="001F2A16" w:rsidRPr="00A21BBF" w:rsidRDefault="001F2A16" w:rsidP="003A3878">
      <w:pPr>
        <w:pStyle w:val="Header"/>
        <w:tabs>
          <w:tab w:val="clear" w:pos="4153"/>
          <w:tab w:val="clear" w:pos="8306"/>
        </w:tabs>
        <w:spacing w:after="120"/>
        <w:jc w:val="center"/>
        <w:rPr>
          <w:rFonts w:ascii="Arial" w:hAnsi="Arial" w:cs="Arial"/>
          <w:sz w:val="34"/>
          <w:szCs w:val="34"/>
        </w:rPr>
      </w:pPr>
    </w:p>
    <w:p w14:paraId="6B8F7B13" w14:textId="70C50FCB" w:rsidR="009371D0" w:rsidRPr="00A21BBF" w:rsidRDefault="00A65AE8" w:rsidP="003A3878">
      <w:pPr>
        <w:pStyle w:val="Header"/>
        <w:tabs>
          <w:tab w:val="clear" w:pos="4153"/>
          <w:tab w:val="clear" w:pos="8306"/>
        </w:tabs>
        <w:spacing w:after="120"/>
        <w:jc w:val="center"/>
        <w:rPr>
          <w:rFonts w:ascii="Arial" w:hAnsi="Arial" w:cs="Arial"/>
          <w:i/>
          <w:iCs/>
          <w:sz w:val="34"/>
          <w:szCs w:val="34"/>
        </w:rPr>
      </w:pPr>
      <w:r w:rsidRPr="00A21BBF">
        <w:rPr>
          <w:rFonts w:ascii="Arial" w:hAnsi="Arial" w:cs="Arial"/>
          <w:i/>
          <w:iCs/>
          <w:sz w:val="34"/>
          <w:szCs w:val="34"/>
        </w:rPr>
        <w:t>JobMaker Hiring Credit Reporting Obligations</w:t>
      </w:r>
      <w:r w:rsidR="00E65048" w:rsidRPr="00A21BBF">
        <w:rPr>
          <w:rFonts w:ascii="Arial" w:hAnsi="Arial" w:cs="Arial"/>
          <w:i/>
          <w:iCs/>
          <w:sz w:val="34"/>
          <w:szCs w:val="34"/>
        </w:rPr>
        <w:t xml:space="preserve"> </w:t>
      </w:r>
      <w:r w:rsidR="00832031" w:rsidRPr="00A21BBF">
        <w:rPr>
          <w:rFonts w:ascii="Arial" w:hAnsi="Arial" w:cs="Arial"/>
          <w:i/>
          <w:iCs/>
          <w:sz w:val="34"/>
          <w:szCs w:val="34"/>
        </w:rPr>
        <w:t xml:space="preserve">Amendment </w:t>
      </w:r>
      <w:r w:rsidRPr="00A21BBF">
        <w:rPr>
          <w:rFonts w:ascii="Arial" w:hAnsi="Arial" w:cs="Arial"/>
          <w:i/>
          <w:iCs/>
          <w:sz w:val="34"/>
          <w:szCs w:val="34"/>
        </w:rPr>
        <w:t>Instrument</w:t>
      </w:r>
      <w:r w:rsidR="00E65048" w:rsidRPr="00A21BBF">
        <w:rPr>
          <w:rFonts w:ascii="Arial" w:hAnsi="Arial" w:cs="Arial"/>
          <w:i/>
          <w:iCs/>
          <w:sz w:val="34"/>
          <w:szCs w:val="34"/>
        </w:rPr>
        <w:t xml:space="preserve"> 202</w:t>
      </w:r>
      <w:r w:rsidR="004F15B7" w:rsidRPr="00A21BBF">
        <w:rPr>
          <w:rFonts w:ascii="Arial" w:hAnsi="Arial" w:cs="Arial"/>
          <w:i/>
          <w:iCs/>
          <w:sz w:val="34"/>
          <w:szCs w:val="34"/>
        </w:rPr>
        <w:t>1</w:t>
      </w:r>
    </w:p>
    <w:p w14:paraId="15AC1B52" w14:textId="5B65CDA8" w:rsidR="0099555F" w:rsidRPr="00A21BBF" w:rsidRDefault="0099555F" w:rsidP="003A3878">
      <w:pPr>
        <w:pStyle w:val="Header"/>
        <w:tabs>
          <w:tab w:val="clear" w:pos="4153"/>
          <w:tab w:val="clear" w:pos="8306"/>
        </w:tabs>
        <w:spacing w:after="120"/>
        <w:jc w:val="center"/>
        <w:rPr>
          <w:rFonts w:ascii="Arial" w:hAnsi="Arial" w:cs="Arial"/>
          <w:szCs w:val="24"/>
        </w:rPr>
      </w:pPr>
    </w:p>
    <w:p w14:paraId="15AC1B53" w14:textId="77777777" w:rsidR="001F2A16" w:rsidRPr="00A21BBF" w:rsidRDefault="001F2A16" w:rsidP="003A3878">
      <w:pPr>
        <w:pStyle w:val="Header"/>
        <w:tabs>
          <w:tab w:val="clear" w:pos="4153"/>
          <w:tab w:val="clear" w:pos="8306"/>
        </w:tabs>
        <w:spacing w:after="120"/>
        <w:jc w:val="center"/>
        <w:rPr>
          <w:rFonts w:ascii="Arial" w:hAnsi="Arial" w:cs="Arial"/>
          <w:szCs w:val="24"/>
        </w:rPr>
      </w:pPr>
    </w:p>
    <w:p w14:paraId="15AC1B54" w14:textId="2887DFA0" w:rsidR="00486653" w:rsidRPr="00E55799" w:rsidRDefault="00486653" w:rsidP="00E55799">
      <w:pPr>
        <w:pStyle w:val="Heading2"/>
      </w:pPr>
      <w:r w:rsidRPr="00E55799">
        <w:t xml:space="preserve">General </w:t>
      </w:r>
      <w:r w:rsidR="00E55799">
        <w:t>o</w:t>
      </w:r>
      <w:r w:rsidRPr="00E55799">
        <w:t xml:space="preserve">utline of </w:t>
      </w:r>
      <w:r w:rsidR="00E55799">
        <w:t>i</w:t>
      </w:r>
      <w:r w:rsidRPr="00E55799">
        <w:t>nstrument</w:t>
      </w:r>
    </w:p>
    <w:p w14:paraId="15AC1B56" w14:textId="310352CD" w:rsidR="00486653" w:rsidRPr="00E55799" w:rsidRDefault="00486653" w:rsidP="003A3878">
      <w:pPr>
        <w:numPr>
          <w:ilvl w:val="0"/>
          <w:numId w:val="1"/>
        </w:numPr>
        <w:tabs>
          <w:tab w:val="clear" w:pos="786"/>
        </w:tabs>
        <w:spacing w:after="120"/>
        <w:ind w:left="0" w:firstLine="0"/>
        <w:rPr>
          <w:rFonts w:ascii="Arial" w:hAnsi="Arial" w:cs="Arial"/>
          <w:sz w:val="22"/>
          <w:szCs w:val="22"/>
        </w:rPr>
      </w:pPr>
      <w:r w:rsidRPr="00E55799">
        <w:rPr>
          <w:rFonts w:ascii="Arial" w:hAnsi="Arial" w:cs="Arial"/>
          <w:sz w:val="22"/>
          <w:szCs w:val="22"/>
        </w:rPr>
        <w:t>This instrument is made under</w:t>
      </w:r>
      <w:r w:rsidR="00E65048" w:rsidRPr="00E55799">
        <w:rPr>
          <w:rFonts w:ascii="Arial" w:hAnsi="Arial" w:cs="Arial"/>
          <w:sz w:val="22"/>
          <w:szCs w:val="22"/>
        </w:rPr>
        <w:t xml:space="preserve"> subsection</w:t>
      </w:r>
      <w:r w:rsidR="00BE4EF5" w:rsidRPr="00E55799">
        <w:rPr>
          <w:rFonts w:ascii="Arial" w:hAnsi="Arial" w:cs="Arial"/>
          <w:sz w:val="22"/>
          <w:szCs w:val="22"/>
        </w:rPr>
        <w:t xml:space="preserve"> </w:t>
      </w:r>
      <w:r w:rsidR="00E65048" w:rsidRPr="00E55799">
        <w:rPr>
          <w:rFonts w:ascii="Arial" w:hAnsi="Arial" w:cs="Arial"/>
          <w:sz w:val="22"/>
          <w:szCs w:val="22"/>
        </w:rPr>
        <w:t xml:space="preserve">20(4) of the </w:t>
      </w:r>
      <w:r w:rsidR="00E65048" w:rsidRPr="00E55799">
        <w:rPr>
          <w:rFonts w:ascii="Arial" w:hAnsi="Arial" w:cs="Arial"/>
          <w:i/>
          <w:iCs/>
          <w:sz w:val="22"/>
          <w:szCs w:val="22"/>
        </w:rPr>
        <w:t>Coronavirus Economic Response Package (Payments and Benefits) Act</w:t>
      </w:r>
      <w:r w:rsidR="00BE4EF5" w:rsidRPr="00E55799">
        <w:rPr>
          <w:rFonts w:ascii="Arial" w:hAnsi="Arial" w:cs="Arial"/>
          <w:i/>
          <w:iCs/>
          <w:sz w:val="22"/>
          <w:szCs w:val="22"/>
        </w:rPr>
        <w:t xml:space="preserve"> </w:t>
      </w:r>
      <w:r w:rsidR="00E65048" w:rsidRPr="00E55799">
        <w:rPr>
          <w:rFonts w:ascii="Arial" w:hAnsi="Arial" w:cs="Arial"/>
          <w:i/>
          <w:iCs/>
          <w:sz w:val="22"/>
          <w:szCs w:val="22"/>
        </w:rPr>
        <w:t>2020</w:t>
      </w:r>
      <w:r w:rsidR="009B30AB" w:rsidRPr="00E55799">
        <w:rPr>
          <w:rFonts w:ascii="Arial" w:hAnsi="Arial" w:cs="Arial"/>
          <w:sz w:val="22"/>
          <w:szCs w:val="22"/>
        </w:rPr>
        <w:t xml:space="preserve"> and subsection </w:t>
      </w:r>
      <w:r w:rsidR="00A65AE8" w:rsidRPr="00E55799">
        <w:rPr>
          <w:rFonts w:ascii="Arial" w:hAnsi="Arial" w:cs="Arial"/>
          <w:sz w:val="22"/>
          <w:szCs w:val="22"/>
        </w:rPr>
        <w:t>27</w:t>
      </w:r>
      <w:r w:rsidR="009B30AB" w:rsidRPr="00E55799">
        <w:rPr>
          <w:rFonts w:ascii="Arial" w:hAnsi="Arial" w:cs="Arial"/>
          <w:sz w:val="22"/>
          <w:szCs w:val="22"/>
        </w:rPr>
        <w:t>(</w:t>
      </w:r>
      <w:r w:rsidR="00A65AE8" w:rsidRPr="00E55799">
        <w:rPr>
          <w:rFonts w:ascii="Arial" w:hAnsi="Arial" w:cs="Arial"/>
          <w:sz w:val="22"/>
          <w:szCs w:val="22"/>
        </w:rPr>
        <w:t>3</w:t>
      </w:r>
      <w:r w:rsidR="009B30AB" w:rsidRPr="00E55799">
        <w:rPr>
          <w:rFonts w:ascii="Arial" w:hAnsi="Arial" w:cs="Arial"/>
          <w:sz w:val="22"/>
          <w:szCs w:val="22"/>
        </w:rPr>
        <w:t>) of the</w:t>
      </w:r>
      <w:r w:rsidR="009B30AB" w:rsidRPr="00E55799">
        <w:rPr>
          <w:rFonts w:ascii="Arial" w:hAnsi="Arial" w:cs="Arial"/>
          <w:i/>
          <w:iCs/>
          <w:sz w:val="22"/>
          <w:szCs w:val="22"/>
        </w:rPr>
        <w:t xml:space="preserve"> Coronavirus Economic Response Package (Payments and Benefits) Rules 2020</w:t>
      </w:r>
      <w:r w:rsidR="00E73D71" w:rsidRPr="00E55799">
        <w:rPr>
          <w:rFonts w:ascii="Arial" w:hAnsi="Arial" w:cs="Arial"/>
          <w:i/>
          <w:iCs/>
          <w:sz w:val="22"/>
          <w:szCs w:val="22"/>
        </w:rPr>
        <w:t xml:space="preserve"> </w:t>
      </w:r>
      <w:r w:rsidR="00E73D71" w:rsidRPr="00E55799">
        <w:rPr>
          <w:rFonts w:ascii="Arial" w:hAnsi="Arial" w:cs="Arial"/>
          <w:sz w:val="22"/>
          <w:szCs w:val="22"/>
        </w:rPr>
        <w:t>(</w:t>
      </w:r>
      <w:r w:rsidR="00E73D71" w:rsidRPr="00E55799">
        <w:rPr>
          <w:rFonts w:ascii="Arial" w:hAnsi="Arial" w:cs="Arial"/>
          <w:bCs/>
          <w:sz w:val="22"/>
          <w:szCs w:val="22"/>
        </w:rPr>
        <w:t>the</w:t>
      </w:r>
      <w:r w:rsidR="00E73D71" w:rsidRPr="00E55799">
        <w:rPr>
          <w:rFonts w:ascii="Arial" w:hAnsi="Arial" w:cs="Arial"/>
          <w:sz w:val="22"/>
          <w:szCs w:val="22"/>
        </w:rPr>
        <w:t xml:space="preserve"> </w:t>
      </w:r>
      <w:r w:rsidR="00E73D71" w:rsidRPr="00E55799">
        <w:rPr>
          <w:rFonts w:ascii="Arial" w:hAnsi="Arial" w:cs="Arial"/>
          <w:bCs/>
          <w:sz w:val="22"/>
          <w:szCs w:val="22"/>
        </w:rPr>
        <w:t>Rules</w:t>
      </w:r>
      <w:r w:rsidR="00E73D71" w:rsidRPr="00E55799">
        <w:rPr>
          <w:rFonts w:ascii="Arial" w:hAnsi="Arial" w:cs="Arial"/>
          <w:sz w:val="22"/>
          <w:szCs w:val="22"/>
        </w:rPr>
        <w:t>)</w:t>
      </w:r>
      <w:r w:rsidR="001F34FB" w:rsidRPr="00E55799">
        <w:rPr>
          <w:rFonts w:ascii="Arial" w:hAnsi="Arial" w:cs="Arial"/>
          <w:iCs/>
          <w:sz w:val="22"/>
          <w:szCs w:val="22"/>
        </w:rPr>
        <w:t>.</w:t>
      </w:r>
    </w:p>
    <w:p w14:paraId="1FE26C00" w14:textId="77777777" w:rsidR="00E55799" w:rsidRPr="00E55799" w:rsidRDefault="00A82D38" w:rsidP="003A3878">
      <w:pPr>
        <w:numPr>
          <w:ilvl w:val="0"/>
          <w:numId w:val="1"/>
        </w:numPr>
        <w:tabs>
          <w:tab w:val="clear" w:pos="786"/>
        </w:tabs>
        <w:spacing w:after="120"/>
        <w:ind w:left="0" w:firstLine="0"/>
        <w:rPr>
          <w:rFonts w:ascii="Arial" w:hAnsi="Arial" w:cs="Arial"/>
          <w:sz w:val="22"/>
          <w:szCs w:val="22"/>
        </w:rPr>
      </w:pPr>
      <w:r w:rsidRPr="00E55799">
        <w:rPr>
          <w:rFonts w:ascii="Arial" w:hAnsi="Arial" w:cs="Arial"/>
          <w:sz w:val="22"/>
          <w:szCs w:val="22"/>
        </w:rPr>
        <w:t xml:space="preserve">The legislative instrument </w:t>
      </w:r>
      <w:r w:rsidR="003024B7" w:rsidRPr="00E55799">
        <w:rPr>
          <w:rFonts w:ascii="Arial" w:hAnsi="Arial" w:cs="Arial"/>
          <w:sz w:val="22"/>
          <w:szCs w:val="22"/>
        </w:rPr>
        <w:t xml:space="preserve">contains </w:t>
      </w:r>
      <w:r w:rsidR="00FC42B5" w:rsidRPr="00E55799">
        <w:rPr>
          <w:rFonts w:ascii="Arial" w:hAnsi="Arial" w:cs="Arial"/>
          <w:sz w:val="22"/>
          <w:szCs w:val="22"/>
        </w:rPr>
        <w:t xml:space="preserve">changes </w:t>
      </w:r>
      <w:r w:rsidR="003024B7" w:rsidRPr="00E55799">
        <w:rPr>
          <w:rFonts w:ascii="Arial" w:hAnsi="Arial" w:cs="Arial"/>
          <w:sz w:val="22"/>
          <w:szCs w:val="22"/>
        </w:rPr>
        <w:t xml:space="preserve">to the </w:t>
      </w:r>
      <w:r w:rsidR="003024B7" w:rsidRPr="00E55799">
        <w:rPr>
          <w:rFonts w:ascii="Arial" w:hAnsi="Arial" w:cs="Arial"/>
          <w:i/>
          <w:iCs/>
          <w:sz w:val="22"/>
          <w:szCs w:val="22"/>
        </w:rPr>
        <w:t xml:space="preserve">JobMaker Hiring Credit Reporting Obligations Instrument 2020 </w:t>
      </w:r>
      <w:r w:rsidR="003024B7" w:rsidRPr="00E55799">
        <w:rPr>
          <w:rFonts w:ascii="Arial" w:hAnsi="Arial" w:cs="Arial"/>
          <w:sz w:val="22"/>
          <w:szCs w:val="22"/>
        </w:rPr>
        <w:t>(the primary instrument)</w:t>
      </w:r>
      <w:r w:rsidR="00433593" w:rsidRPr="00E55799">
        <w:rPr>
          <w:rFonts w:ascii="Arial" w:hAnsi="Arial" w:cs="Arial"/>
          <w:sz w:val="22"/>
          <w:szCs w:val="22"/>
        </w:rPr>
        <w:t xml:space="preserve"> </w:t>
      </w:r>
      <w:r w:rsidR="00FC42B5" w:rsidRPr="00E55799">
        <w:rPr>
          <w:rFonts w:ascii="Arial" w:hAnsi="Arial" w:cs="Arial"/>
          <w:sz w:val="22"/>
          <w:szCs w:val="22"/>
        </w:rPr>
        <w:t xml:space="preserve">to </w:t>
      </w:r>
      <w:r w:rsidR="00CE2E7A" w:rsidRPr="00E55799">
        <w:rPr>
          <w:rFonts w:ascii="Arial" w:hAnsi="Arial" w:cs="Arial"/>
          <w:sz w:val="22"/>
          <w:szCs w:val="22"/>
        </w:rPr>
        <w:t xml:space="preserve">enable </w:t>
      </w:r>
      <w:r w:rsidR="00664D9F" w:rsidRPr="00E55799">
        <w:rPr>
          <w:rFonts w:ascii="Arial" w:hAnsi="Arial" w:cs="Arial"/>
          <w:sz w:val="22"/>
          <w:szCs w:val="22"/>
        </w:rPr>
        <w:t xml:space="preserve">employers </w:t>
      </w:r>
      <w:r w:rsidR="00830D43" w:rsidRPr="00E55799">
        <w:rPr>
          <w:rFonts w:ascii="Arial" w:hAnsi="Arial" w:cs="Arial"/>
          <w:sz w:val="22"/>
          <w:szCs w:val="22"/>
        </w:rPr>
        <w:t xml:space="preserve">using a software solution that does not support the reporting of all required information through </w:t>
      </w:r>
      <w:r w:rsidR="00CE2E7A" w:rsidRPr="00E55799">
        <w:rPr>
          <w:rFonts w:ascii="Arial" w:hAnsi="Arial" w:cs="Arial"/>
          <w:sz w:val="22"/>
          <w:szCs w:val="22"/>
        </w:rPr>
        <w:t xml:space="preserve">Single Touch Payroll </w:t>
      </w:r>
      <w:r w:rsidR="004001AF" w:rsidRPr="00E55799">
        <w:rPr>
          <w:rFonts w:ascii="Arial" w:hAnsi="Arial" w:cs="Arial"/>
          <w:sz w:val="22"/>
          <w:szCs w:val="22"/>
        </w:rPr>
        <w:t xml:space="preserve">(STP) </w:t>
      </w:r>
      <w:r w:rsidR="00664D9F" w:rsidRPr="00E55799">
        <w:rPr>
          <w:rFonts w:ascii="Arial" w:hAnsi="Arial" w:cs="Arial"/>
          <w:sz w:val="22"/>
          <w:szCs w:val="22"/>
        </w:rPr>
        <w:t xml:space="preserve">to claim JobMaker Hiring Credit </w:t>
      </w:r>
      <w:r w:rsidR="00FC42B5" w:rsidRPr="00E55799">
        <w:rPr>
          <w:rFonts w:ascii="Arial" w:hAnsi="Arial" w:cs="Arial"/>
          <w:sz w:val="22"/>
          <w:szCs w:val="22"/>
        </w:rPr>
        <w:t xml:space="preserve">(JMHC) </w:t>
      </w:r>
      <w:r w:rsidR="00664D9F" w:rsidRPr="00E55799">
        <w:rPr>
          <w:rFonts w:ascii="Arial" w:hAnsi="Arial" w:cs="Arial"/>
          <w:sz w:val="22"/>
          <w:szCs w:val="22"/>
        </w:rPr>
        <w:t>payments</w:t>
      </w:r>
      <w:r w:rsidR="00CE2E7A" w:rsidRPr="00E55799">
        <w:rPr>
          <w:rFonts w:ascii="Arial" w:hAnsi="Arial" w:cs="Arial"/>
          <w:sz w:val="22"/>
          <w:szCs w:val="22"/>
        </w:rPr>
        <w:t xml:space="preserve">. </w:t>
      </w:r>
      <w:r w:rsidR="00624B5C" w:rsidRPr="00E55799">
        <w:rPr>
          <w:rFonts w:ascii="Arial" w:hAnsi="Arial" w:cs="Arial"/>
          <w:sz w:val="22"/>
          <w:szCs w:val="22"/>
        </w:rPr>
        <w:t>The</w:t>
      </w:r>
      <w:r w:rsidR="002B76EE" w:rsidRPr="00E55799">
        <w:rPr>
          <w:rFonts w:ascii="Arial" w:hAnsi="Arial" w:cs="Arial"/>
          <w:sz w:val="22"/>
          <w:szCs w:val="22"/>
        </w:rPr>
        <w:t xml:space="preserve">re are a small number of such software solutions </w:t>
      </w:r>
      <w:r w:rsidR="00AA3484" w:rsidRPr="00E55799">
        <w:rPr>
          <w:rFonts w:ascii="Arial" w:hAnsi="Arial" w:cs="Arial"/>
          <w:sz w:val="22"/>
          <w:szCs w:val="22"/>
        </w:rPr>
        <w:t xml:space="preserve">that </w:t>
      </w:r>
      <w:r w:rsidR="002B76EE" w:rsidRPr="00E55799">
        <w:rPr>
          <w:rFonts w:ascii="Arial" w:hAnsi="Arial" w:cs="Arial"/>
          <w:sz w:val="22"/>
          <w:szCs w:val="22"/>
        </w:rPr>
        <w:t xml:space="preserve">cannot be </w:t>
      </w:r>
      <w:r w:rsidR="00AA3484" w:rsidRPr="00E55799">
        <w:rPr>
          <w:rFonts w:ascii="Arial" w:hAnsi="Arial" w:cs="Arial"/>
          <w:sz w:val="22"/>
          <w:szCs w:val="22"/>
        </w:rPr>
        <w:t>upgrade</w:t>
      </w:r>
      <w:r w:rsidR="002B76EE" w:rsidRPr="00E55799">
        <w:rPr>
          <w:rFonts w:ascii="Arial" w:hAnsi="Arial" w:cs="Arial"/>
          <w:sz w:val="22"/>
          <w:szCs w:val="22"/>
        </w:rPr>
        <w:t>d</w:t>
      </w:r>
      <w:r w:rsidR="00AA3484" w:rsidRPr="00E55799">
        <w:rPr>
          <w:rFonts w:ascii="Arial" w:hAnsi="Arial" w:cs="Arial"/>
          <w:sz w:val="22"/>
          <w:szCs w:val="22"/>
        </w:rPr>
        <w:t xml:space="preserve"> to enable required information to be reported. </w:t>
      </w:r>
      <w:r w:rsidR="002B76EE" w:rsidRPr="00E55799">
        <w:rPr>
          <w:rFonts w:ascii="Arial" w:hAnsi="Arial" w:cs="Arial"/>
          <w:sz w:val="22"/>
          <w:szCs w:val="22"/>
        </w:rPr>
        <w:t>E</w:t>
      </w:r>
      <w:r w:rsidR="00CE2E7A" w:rsidRPr="00E55799">
        <w:rPr>
          <w:rFonts w:ascii="Arial" w:hAnsi="Arial" w:cs="Arial"/>
          <w:sz w:val="22"/>
          <w:szCs w:val="22"/>
        </w:rPr>
        <w:t>mployers</w:t>
      </w:r>
      <w:r w:rsidR="002B76EE" w:rsidRPr="00E55799">
        <w:rPr>
          <w:rFonts w:ascii="Arial" w:hAnsi="Arial" w:cs="Arial"/>
          <w:sz w:val="22"/>
          <w:szCs w:val="22"/>
        </w:rPr>
        <w:t xml:space="preserve"> using these software solutions</w:t>
      </w:r>
      <w:r w:rsidR="00CE2E7A" w:rsidRPr="00E55799">
        <w:rPr>
          <w:rFonts w:ascii="Arial" w:hAnsi="Arial" w:cs="Arial"/>
          <w:sz w:val="22"/>
          <w:szCs w:val="22"/>
        </w:rPr>
        <w:t xml:space="preserve"> will report this </w:t>
      </w:r>
      <w:r w:rsidR="00FC42B5" w:rsidRPr="00E55799">
        <w:rPr>
          <w:rFonts w:ascii="Arial" w:hAnsi="Arial" w:cs="Arial"/>
          <w:sz w:val="22"/>
          <w:szCs w:val="22"/>
        </w:rPr>
        <w:t xml:space="preserve">employee </w:t>
      </w:r>
      <w:r w:rsidR="00CE2E7A" w:rsidRPr="00E55799">
        <w:rPr>
          <w:rFonts w:ascii="Arial" w:hAnsi="Arial" w:cs="Arial"/>
          <w:sz w:val="22"/>
          <w:szCs w:val="22"/>
        </w:rPr>
        <w:t xml:space="preserve">information </w:t>
      </w:r>
      <w:r w:rsidR="00FC42B5" w:rsidRPr="00E55799">
        <w:rPr>
          <w:rFonts w:ascii="Arial" w:hAnsi="Arial" w:cs="Arial"/>
          <w:sz w:val="22"/>
          <w:szCs w:val="22"/>
        </w:rPr>
        <w:t>that would otherwise be reported through STP directly through ATO Online.</w:t>
      </w:r>
      <w:r w:rsidR="00664D9F" w:rsidRPr="00E55799">
        <w:rPr>
          <w:rFonts w:ascii="Arial" w:hAnsi="Arial" w:cs="Arial"/>
          <w:sz w:val="22"/>
          <w:szCs w:val="22"/>
        </w:rPr>
        <w:t xml:space="preserve"> </w:t>
      </w:r>
      <w:r w:rsidR="00320ED1" w:rsidRPr="00E55799">
        <w:rPr>
          <w:rFonts w:ascii="Arial" w:hAnsi="Arial" w:cs="Arial"/>
          <w:sz w:val="22"/>
          <w:szCs w:val="22"/>
        </w:rPr>
        <w:t xml:space="preserve">There are further minor amendments </w:t>
      </w:r>
      <w:r w:rsidR="00FC42B5" w:rsidRPr="00E55799">
        <w:rPr>
          <w:rFonts w:ascii="Arial" w:hAnsi="Arial" w:cs="Arial"/>
          <w:sz w:val="22"/>
          <w:szCs w:val="22"/>
        </w:rPr>
        <w:t xml:space="preserve">including </w:t>
      </w:r>
      <w:r w:rsidR="00320ED1" w:rsidRPr="00E55799">
        <w:rPr>
          <w:rFonts w:ascii="Arial" w:hAnsi="Arial" w:cs="Arial"/>
          <w:sz w:val="22"/>
          <w:szCs w:val="22"/>
        </w:rPr>
        <w:t>clarify</w:t>
      </w:r>
      <w:r w:rsidR="00FC42B5" w:rsidRPr="00E55799">
        <w:rPr>
          <w:rFonts w:ascii="Arial" w:hAnsi="Arial" w:cs="Arial"/>
          <w:sz w:val="22"/>
          <w:szCs w:val="22"/>
        </w:rPr>
        <w:t>ing</w:t>
      </w:r>
      <w:r w:rsidR="00320ED1" w:rsidRPr="00E55799">
        <w:rPr>
          <w:rFonts w:ascii="Arial" w:hAnsi="Arial" w:cs="Arial"/>
          <w:sz w:val="22"/>
          <w:szCs w:val="22"/>
        </w:rPr>
        <w:t xml:space="preserve"> that </w:t>
      </w:r>
      <w:r w:rsidR="00380975" w:rsidRPr="00E55799">
        <w:rPr>
          <w:rFonts w:ascii="Arial" w:hAnsi="Arial" w:cs="Arial"/>
          <w:sz w:val="22"/>
          <w:szCs w:val="22"/>
        </w:rPr>
        <w:t xml:space="preserve">an employer can </w:t>
      </w:r>
      <w:r w:rsidR="00DA442B" w:rsidRPr="00E55799">
        <w:rPr>
          <w:rFonts w:ascii="Arial" w:hAnsi="Arial" w:cs="Arial"/>
          <w:sz w:val="22"/>
          <w:szCs w:val="22"/>
        </w:rPr>
        <w:t xml:space="preserve">update its </w:t>
      </w:r>
      <w:r w:rsidR="00800767" w:rsidRPr="00E55799">
        <w:rPr>
          <w:rFonts w:ascii="Arial" w:hAnsi="Arial" w:cs="Arial"/>
          <w:sz w:val="22"/>
          <w:szCs w:val="22"/>
        </w:rPr>
        <w:t>financial institut</w:t>
      </w:r>
      <w:r w:rsidR="00DA442B" w:rsidRPr="00E55799">
        <w:rPr>
          <w:rFonts w:ascii="Arial" w:hAnsi="Arial" w:cs="Arial"/>
          <w:sz w:val="22"/>
          <w:szCs w:val="22"/>
        </w:rPr>
        <w:t>ion</w:t>
      </w:r>
      <w:r w:rsidR="00800767" w:rsidRPr="00E55799">
        <w:rPr>
          <w:rFonts w:ascii="Arial" w:hAnsi="Arial" w:cs="Arial"/>
          <w:sz w:val="22"/>
          <w:szCs w:val="22"/>
        </w:rPr>
        <w:t xml:space="preserve"> account </w:t>
      </w:r>
      <w:r w:rsidR="00320ED1" w:rsidRPr="00E55799">
        <w:rPr>
          <w:rFonts w:ascii="Arial" w:hAnsi="Arial" w:cs="Arial"/>
          <w:sz w:val="22"/>
          <w:szCs w:val="22"/>
        </w:rPr>
        <w:t xml:space="preserve">details after </w:t>
      </w:r>
      <w:r w:rsidR="00380975" w:rsidRPr="00E55799">
        <w:rPr>
          <w:rFonts w:ascii="Arial" w:hAnsi="Arial" w:cs="Arial"/>
          <w:sz w:val="22"/>
          <w:szCs w:val="22"/>
        </w:rPr>
        <w:t>the</w:t>
      </w:r>
      <w:r w:rsidR="004001AF" w:rsidRPr="00E55799">
        <w:rPr>
          <w:rFonts w:ascii="Arial" w:hAnsi="Arial" w:cs="Arial"/>
          <w:sz w:val="22"/>
          <w:szCs w:val="22"/>
        </w:rPr>
        <w:t xml:space="preserve"> JobMaker </w:t>
      </w:r>
      <w:r w:rsidR="00320ED1" w:rsidRPr="00E55799">
        <w:rPr>
          <w:rFonts w:ascii="Arial" w:hAnsi="Arial" w:cs="Arial"/>
          <w:sz w:val="22"/>
          <w:szCs w:val="22"/>
        </w:rPr>
        <w:t xml:space="preserve">claim period </w:t>
      </w:r>
      <w:r w:rsidR="00380975" w:rsidRPr="00E55799">
        <w:rPr>
          <w:rFonts w:ascii="Arial" w:hAnsi="Arial" w:cs="Arial"/>
          <w:sz w:val="22"/>
          <w:szCs w:val="22"/>
        </w:rPr>
        <w:t>has closed</w:t>
      </w:r>
      <w:r w:rsidR="00320ED1" w:rsidRPr="00E55799">
        <w:rPr>
          <w:rFonts w:ascii="Arial" w:hAnsi="Arial" w:cs="Arial"/>
          <w:sz w:val="22"/>
          <w:szCs w:val="22"/>
        </w:rPr>
        <w:t>.</w:t>
      </w:r>
    </w:p>
    <w:p w14:paraId="15AC1B5F" w14:textId="78D509B5" w:rsidR="00486653" w:rsidRPr="00E55799" w:rsidRDefault="00486653" w:rsidP="003A3878">
      <w:pPr>
        <w:numPr>
          <w:ilvl w:val="0"/>
          <w:numId w:val="1"/>
        </w:numPr>
        <w:tabs>
          <w:tab w:val="clear" w:pos="786"/>
        </w:tabs>
        <w:spacing w:after="120"/>
        <w:ind w:left="0" w:firstLine="0"/>
        <w:rPr>
          <w:rFonts w:ascii="Arial" w:hAnsi="Arial" w:cs="Arial"/>
          <w:sz w:val="22"/>
          <w:szCs w:val="22"/>
        </w:rPr>
      </w:pPr>
      <w:r w:rsidRPr="00E55799">
        <w:rPr>
          <w:rFonts w:ascii="Arial" w:hAnsi="Arial" w:cs="Arial"/>
          <w:sz w:val="22"/>
          <w:szCs w:val="22"/>
        </w:rPr>
        <w:t xml:space="preserve">The instrument is a legislative instrument for the purposes of the </w:t>
      </w:r>
      <w:r w:rsidR="00C4143E" w:rsidRPr="00E55799">
        <w:rPr>
          <w:rFonts w:ascii="Arial" w:hAnsi="Arial" w:cs="Arial"/>
          <w:i/>
          <w:sz w:val="22"/>
          <w:szCs w:val="22"/>
        </w:rPr>
        <w:t xml:space="preserve">Legislation </w:t>
      </w:r>
      <w:r w:rsidRPr="00E55799">
        <w:rPr>
          <w:rFonts w:ascii="Arial" w:hAnsi="Arial" w:cs="Arial"/>
          <w:i/>
          <w:sz w:val="22"/>
          <w:szCs w:val="22"/>
        </w:rPr>
        <w:t>Act 2003</w:t>
      </w:r>
      <w:r w:rsidRPr="00E55799">
        <w:rPr>
          <w:rFonts w:ascii="Arial" w:hAnsi="Arial" w:cs="Arial"/>
          <w:sz w:val="22"/>
          <w:szCs w:val="22"/>
        </w:rPr>
        <w:t>.</w:t>
      </w:r>
    </w:p>
    <w:p w14:paraId="15AC1B62" w14:textId="2A78961D" w:rsidR="006302F7" w:rsidRPr="00E55799" w:rsidRDefault="00B31550" w:rsidP="003A3878">
      <w:pPr>
        <w:numPr>
          <w:ilvl w:val="0"/>
          <w:numId w:val="1"/>
        </w:numPr>
        <w:tabs>
          <w:tab w:val="clear" w:pos="786"/>
        </w:tabs>
        <w:spacing w:after="120"/>
        <w:ind w:left="0" w:firstLine="0"/>
        <w:rPr>
          <w:rFonts w:ascii="Arial" w:hAnsi="Arial" w:cs="Arial"/>
          <w:sz w:val="22"/>
          <w:szCs w:val="22"/>
        </w:rPr>
      </w:pPr>
      <w:r w:rsidRPr="00E55799">
        <w:rPr>
          <w:rFonts w:ascii="Arial" w:hAnsi="Arial" w:cs="Arial"/>
          <w:sz w:val="22"/>
          <w:szCs w:val="22"/>
        </w:rPr>
        <w:t xml:space="preserve">Under subsection 33(3) of the </w:t>
      </w:r>
      <w:r w:rsidRPr="00E55799">
        <w:rPr>
          <w:rFonts w:ascii="Arial" w:hAnsi="Arial" w:cs="Arial"/>
          <w:i/>
          <w:sz w:val="22"/>
          <w:szCs w:val="22"/>
        </w:rPr>
        <w:t>Acts Interpretation Act 1901</w:t>
      </w:r>
      <w:r w:rsidRPr="00E55799">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1C7A503" w14:textId="77777777" w:rsidR="003B7E26" w:rsidRPr="00E55799" w:rsidRDefault="003B7E26" w:rsidP="00E55799">
      <w:pPr>
        <w:spacing w:after="120"/>
        <w:rPr>
          <w:rFonts w:ascii="Arial" w:hAnsi="Arial" w:cs="Arial"/>
          <w:sz w:val="22"/>
          <w:szCs w:val="22"/>
        </w:rPr>
      </w:pPr>
    </w:p>
    <w:p w14:paraId="15AC1B63" w14:textId="77777777" w:rsidR="001D02E6" w:rsidRPr="00E55799" w:rsidRDefault="001D02E6" w:rsidP="003A3878">
      <w:pPr>
        <w:pStyle w:val="Heading2"/>
      </w:pPr>
      <w:r w:rsidRPr="00E55799">
        <w:t>Date of effect</w:t>
      </w:r>
    </w:p>
    <w:p w14:paraId="2A940C9E" w14:textId="531495C4" w:rsidR="00C74E6D" w:rsidRPr="00E55799" w:rsidRDefault="00C74E6D" w:rsidP="003A3878">
      <w:pPr>
        <w:numPr>
          <w:ilvl w:val="0"/>
          <w:numId w:val="1"/>
        </w:numPr>
        <w:tabs>
          <w:tab w:val="clear" w:pos="786"/>
        </w:tabs>
        <w:spacing w:after="120"/>
        <w:ind w:left="0" w:firstLine="0"/>
        <w:rPr>
          <w:rFonts w:ascii="Arial" w:hAnsi="Arial" w:cs="Arial"/>
          <w:sz w:val="22"/>
          <w:szCs w:val="22"/>
        </w:rPr>
      </w:pPr>
      <w:r w:rsidRPr="00E55799">
        <w:rPr>
          <w:rFonts w:ascii="Arial" w:hAnsi="Arial" w:cs="Arial"/>
          <w:sz w:val="22"/>
          <w:szCs w:val="22"/>
        </w:rPr>
        <w:t xml:space="preserve">This instrument commences </w:t>
      </w:r>
      <w:r w:rsidR="00FC42B5" w:rsidRPr="00E55799">
        <w:rPr>
          <w:rFonts w:ascii="Arial" w:hAnsi="Arial" w:cs="Arial"/>
          <w:sz w:val="22"/>
          <w:szCs w:val="22"/>
        </w:rPr>
        <w:t xml:space="preserve">on </w:t>
      </w:r>
      <w:r w:rsidR="00711BFF" w:rsidRPr="00E55799">
        <w:rPr>
          <w:rFonts w:ascii="Arial" w:hAnsi="Arial" w:cs="Arial"/>
          <w:sz w:val="22"/>
          <w:szCs w:val="22"/>
        </w:rPr>
        <w:t>the day</w:t>
      </w:r>
      <w:r w:rsidRPr="00E55799">
        <w:rPr>
          <w:rFonts w:ascii="Arial" w:hAnsi="Arial" w:cs="Arial"/>
          <w:sz w:val="22"/>
          <w:szCs w:val="22"/>
        </w:rPr>
        <w:t xml:space="preserve"> after </w:t>
      </w:r>
      <w:bookmarkStart w:id="0" w:name="_Hlk66435098"/>
      <w:r w:rsidRPr="00E55799">
        <w:rPr>
          <w:rFonts w:ascii="Arial" w:hAnsi="Arial" w:cs="Arial"/>
          <w:sz w:val="22"/>
          <w:szCs w:val="22"/>
        </w:rPr>
        <w:t>it is registered on the Federal Register of Legislation.</w:t>
      </w:r>
      <w:bookmarkEnd w:id="0"/>
    </w:p>
    <w:p w14:paraId="2EAE2454" w14:textId="2FFFDD21" w:rsidR="00F238F7" w:rsidRPr="00E55799" w:rsidRDefault="00F238F7" w:rsidP="003A3878">
      <w:pPr>
        <w:numPr>
          <w:ilvl w:val="0"/>
          <w:numId w:val="1"/>
        </w:numPr>
        <w:tabs>
          <w:tab w:val="clear" w:pos="786"/>
        </w:tabs>
        <w:spacing w:after="120"/>
        <w:ind w:left="0" w:firstLine="0"/>
        <w:rPr>
          <w:rFonts w:ascii="Arial" w:hAnsi="Arial" w:cs="Arial"/>
          <w:sz w:val="22"/>
          <w:szCs w:val="22"/>
        </w:rPr>
      </w:pPr>
      <w:r w:rsidRPr="00E55799">
        <w:rPr>
          <w:rFonts w:ascii="Arial" w:hAnsi="Arial" w:cs="Arial"/>
          <w:sz w:val="22"/>
          <w:szCs w:val="22"/>
        </w:rPr>
        <w:t xml:space="preserve">The amendments made by Schedule 1 to this instrument apply in relation to </w:t>
      </w:r>
      <w:r w:rsidR="004001AF" w:rsidRPr="00E55799">
        <w:rPr>
          <w:rFonts w:ascii="Arial" w:hAnsi="Arial" w:cs="Arial"/>
          <w:sz w:val="22"/>
          <w:szCs w:val="22"/>
        </w:rPr>
        <w:t>j</w:t>
      </w:r>
      <w:r w:rsidRPr="00E55799">
        <w:rPr>
          <w:rFonts w:ascii="Arial" w:hAnsi="Arial" w:cs="Arial"/>
          <w:sz w:val="22"/>
          <w:szCs w:val="22"/>
        </w:rPr>
        <w:t>ob</w:t>
      </w:r>
      <w:r w:rsidR="003024B7" w:rsidRPr="00E55799">
        <w:rPr>
          <w:rFonts w:ascii="Arial" w:hAnsi="Arial" w:cs="Arial"/>
          <w:sz w:val="22"/>
          <w:szCs w:val="22"/>
        </w:rPr>
        <w:t>maker</w:t>
      </w:r>
      <w:r w:rsidRPr="00E55799">
        <w:rPr>
          <w:rFonts w:ascii="Arial" w:hAnsi="Arial" w:cs="Arial"/>
          <w:sz w:val="22"/>
          <w:szCs w:val="22"/>
        </w:rPr>
        <w:t xml:space="preserve"> </w:t>
      </w:r>
      <w:r w:rsidR="003024B7" w:rsidRPr="00E55799">
        <w:rPr>
          <w:rFonts w:ascii="Arial" w:hAnsi="Arial" w:cs="Arial"/>
          <w:sz w:val="22"/>
          <w:szCs w:val="22"/>
        </w:rPr>
        <w:t>periods</w:t>
      </w:r>
      <w:r w:rsidRPr="00E55799">
        <w:rPr>
          <w:rFonts w:ascii="Arial" w:hAnsi="Arial" w:cs="Arial"/>
          <w:sz w:val="22"/>
          <w:szCs w:val="22"/>
        </w:rPr>
        <w:t xml:space="preserve"> </w:t>
      </w:r>
      <w:r w:rsidR="003024B7" w:rsidRPr="00E55799">
        <w:rPr>
          <w:rFonts w:ascii="Arial" w:hAnsi="Arial" w:cs="Arial"/>
          <w:sz w:val="22"/>
          <w:szCs w:val="22"/>
        </w:rPr>
        <w:t>commencing</w:t>
      </w:r>
      <w:r w:rsidRPr="00E55799">
        <w:rPr>
          <w:rFonts w:ascii="Arial" w:hAnsi="Arial" w:cs="Arial"/>
          <w:sz w:val="22"/>
          <w:szCs w:val="22"/>
        </w:rPr>
        <w:t xml:space="preserve"> on, or after, </w:t>
      </w:r>
      <w:r w:rsidR="003024B7" w:rsidRPr="00E55799">
        <w:rPr>
          <w:rFonts w:ascii="Arial" w:hAnsi="Arial" w:cs="Arial"/>
          <w:sz w:val="22"/>
          <w:szCs w:val="22"/>
        </w:rPr>
        <w:t>7 October</w:t>
      </w:r>
      <w:r w:rsidRPr="00E55799">
        <w:rPr>
          <w:rFonts w:ascii="Arial" w:hAnsi="Arial" w:cs="Arial"/>
          <w:sz w:val="22"/>
          <w:szCs w:val="22"/>
        </w:rPr>
        <w:t xml:space="preserve"> 2020.</w:t>
      </w:r>
    </w:p>
    <w:p w14:paraId="4D64CA35" w14:textId="1A8425C6" w:rsidR="00F238F7" w:rsidRPr="00E55799" w:rsidRDefault="00F238F7" w:rsidP="003A3878">
      <w:pPr>
        <w:numPr>
          <w:ilvl w:val="0"/>
          <w:numId w:val="1"/>
        </w:numPr>
        <w:tabs>
          <w:tab w:val="clear" w:pos="786"/>
        </w:tabs>
        <w:spacing w:after="120"/>
        <w:ind w:left="0" w:firstLine="0"/>
        <w:rPr>
          <w:rFonts w:ascii="Arial" w:hAnsi="Arial" w:cs="Arial"/>
          <w:sz w:val="22"/>
          <w:szCs w:val="22"/>
        </w:rPr>
      </w:pPr>
      <w:r w:rsidRPr="00E55799">
        <w:rPr>
          <w:rFonts w:ascii="Arial" w:hAnsi="Arial" w:cs="Arial"/>
          <w:sz w:val="22"/>
          <w:szCs w:val="22"/>
        </w:rPr>
        <w:t xml:space="preserve">Under subsection 12(2) of the </w:t>
      </w:r>
      <w:r w:rsidRPr="00E55799">
        <w:rPr>
          <w:rFonts w:ascii="Arial" w:hAnsi="Arial" w:cs="Arial"/>
          <w:i/>
          <w:sz w:val="22"/>
          <w:szCs w:val="22"/>
        </w:rPr>
        <w:t>Legislation Act 2003</w:t>
      </w:r>
      <w:r w:rsidRPr="00E55799">
        <w:rPr>
          <w:rFonts w:ascii="Arial" w:hAnsi="Arial" w:cs="Arial"/>
          <w:iCs/>
          <w:sz w:val="22"/>
          <w:szCs w:val="22"/>
        </w:rPr>
        <w:t>,</w:t>
      </w:r>
      <w:r w:rsidRPr="00E55799">
        <w:rPr>
          <w:rFonts w:ascii="Arial" w:hAnsi="Arial" w:cs="Arial"/>
          <w:sz w:val="22"/>
          <w:szCs w:val="22"/>
        </w:rPr>
        <w:t xml:space="preserve"> this instrument does not adversely affect the rights or liabilities of any person other than the Commonwealth.</w:t>
      </w:r>
    </w:p>
    <w:p w14:paraId="056A2559" w14:textId="77777777" w:rsidR="003B7E26" w:rsidRPr="00E55799" w:rsidRDefault="003B7E26" w:rsidP="003A3878">
      <w:pPr>
        <w:spacing w:after="120"/>
        <w:rPr>
          <w:rFonts w:ascii="Arial" w:hAnsi="Arial" w:cs="Arial"/>
          <w:sz w:val="22"/>
          <w:szCs w:val="22"/>
        </w:rPr>
      </w:pPr>
    </w:p>
    <w:p w14:paraId="15AC1B6C" w14:textId="16FF2A2B" w:rsidR="00486653" w:rsidRPr="00E55799" w:rsidRDefault="00486653" w:rsidP="003A3878">
      <w:pPr>
        <w:pStyle w:val="Heading2"/>
      </w:pPr>
      <w:r w:rsidRPr="00E55799">
        <w:t>What is the effect of this instrument</w:t>
      </w:r>
      <w:r w:rsidR="00E55799">
        <w:t>?</w:t>
      </w:r>
    </w:p>
    <w:p w14:paraId="53DFAB88" w14:textId="6DA967C7" w:rsidR="00196620" w:rsidRPr="00E55799" w:rsidRDefault="00486653" w:rsidP="003A3878">
      <w:pPr>
        <w:numPr>
          <w:ilvl w:val="0"/>
          <w:numId w:val="1"/>
        </w:numPr>
        <w:tabs>
          <w:tab w:val="clear" w:pos="786"/>
        </w:tabs>
        <w:spacing w:after="120"/>
        <w:ind w:left="0" w:firstLine="0"/>
        <w:rPr>
          <w:rFonts w:ascii="Arial" w:hAnsi="Arial" w:cs="Arial"/>
          <w:sz w:val="22"/>
          <w:szCs w:val="22"/>
        </w:rPr>
      </w:pPr>
      <w:r w:rsidRPr="00E55799">
        <w:rPr>
          <w:rFonts w:ascii="Arial" w:hAnsi="Arial" w:cs="Arial"/>
          <w:sz w:val="22"/>
          <w:szCs w:val="22"/>
        </w:rPr>
        <w:t>The effect of this instrument is</w:t>
      </w:r>
      <w:r w:rsidR="00673B37" w:rsidRPr="00E55799">
        <w:rPr>
          <w:rFonts w:ascii="Arial" w:hAnsi="Arial" w:cs="Arial"/>
          <w:sz w:val="22"/>
          <w:szCs w:val="22"/>
        </w:rPr>
        <w:t xml:space="preserve"> </w:t>
      </w:r>
      <w:r w:rsidR="001325B8" w:rsidRPr="00E55799">
        <w:rPr>
          <w:rFonts w:ascii="Arial" w:hAnsi="Arial" w:cs="Arial"/>
          <w:sz w:val="22"/>
          <w:szCs w:val="22"/>
        </w:rPr>
        <w:t xml:space="preserve">to </w:t>
      </w:r>
      <w:r w:rsidR="003024B7" w:rsidRPr="00E55799">
        <w:rPr>
          <w:rFonts w:ascii="Arial" w:hAnsi="Arial" w:cs="Arial"/>
          <w:sz w:val="22"/>
          <w:szCs w:val="22"/>
        </w:rPr>
        <w:t>make minor corrections to the primary instrument</w:t>
      </w:r>
      <w:r w:rsidR="00664D9F" w:rsidRPr="00E55799">
        <w:rPr>
          <w:rFonts w:ascii="Arial" w:hAnsi="Arial" w:cs="Arial"/>
          <w:sz w:val="22"/>
          <w:szCs w:val="22"/>
        </w:rPr>
        <w:t xml:space="preserve"> as well as</w:t>
      </w:r>
      <w:r w:rsidR="00380975" w:rsidRPr="00E55799">
        <w:rPr>
          <w:rFonts w:ascii="Arial" w:hAnsi="Arial" w:cs="Arial"/>
          <w:sz w:val="22"/>
          <w:szCs w:val="22"/>
        </w:rPr>
        <w:t xml:space="preserve"> amend the reporting requirements to en</w:t>
      </w:r>
      <w:r w:rsidR="00196620" w:rsidRPr="00E55799">
        <w:rPr>
          <w:rFonts w:ascii="Arial" w:hAnsi="Arial" w:cs="Arial"/>
          <w:sz w:val="22"/>
          <w:szCs w:val="22"/>
        </w:rPr>
        <w:t>able</w:t>
      </w:r>
      <w:r w:rsidR="00664D9F" w:rsidRPr="00E55799">
        <w:rPr>
          <w:rFonts w:ascii="Arial" w:hAnsi="Arial" w:cs="Arial"/>
          <w:sz w:val="22"/>
          <w:szCs w:val="22"/>
        </w:rPr>
        <w:t xml:space="preserve"> </w:t>
      </w:r>
      <w:r w:rsidR="00196620" w:rsidRPr="00E55799">
        <w:rPr>
          <w:rFonts w:ascii="Arial" w:hAnsi="Arial" w:cs="Arial"/>
          <w:sz w:val="22"/>
          <w:szCs w:val="22"/>
        </w:rPr>
        <w:t xml:space="preserve">more employers </w:t>
      </w:r>
      <w:r w:rsidR="00664D9F" w:rsidRPr="00E55799">
        <w:rPr>
          <w:rFonts w:ascii="Arial" w:hAnsi="Arial" w:cs="Arial"/>
          <w:sz w:val="22"/>
          <w:szCs w:val="22"/>
        </w:rPr>
        <w:t xml:space="preserve">to </w:t>
      </w:r>
      <w:r w:rsidR="00AF5FEB" w:rsidRPr="00E55799">
        <w:rPr>
          <w:rFonts w:ascii="Arial" w:hAnsi="Arial" w:cs="Arial"/>
          <w:sz w:val="22"/>
          <w:szCs w:val="22"/>
        </w:rPr>
        <w:t xml:space="preserve">access </w:t>
      </w:r>
      <w:r w:rsidR="00A55ADB" w:rsidRPr="00E55799">
        <w:rPr>
          <w:rFonts w:ascii="Arial" w:hAnsi="Arial" w:cs="Arial"/>
          <w:sz w:val="22"/>
          <w:szCs w:val="22"/>
        </w:rPr>
        <w:t>JMHC</w:t>
      </w:r>
      <w:r w:rsidR="00664D9F" w:rsidRPr="00E55799">
        <w:rPr>
          <w:rFonts w:ascii="Arial" w:hAnsi="Arial" w:cs="Arial"/>
          <w:sz w:val="22"/>
          <w:szCs w:val="22"/>
        </w:rPr>
        <w:t xml:space="preserve"> payments</w:t>
      </w:r>
      <w:r w:rsidR="00196620" w:rsidRPr="00E55799">
        <w:rPr>
          <w:rFonts w:ascii="Arial" w:hAnsi="Arial" w:cs="Arial"/>
          <w:sz w:val="22"/>
          <w:szCs w:val="22"/>
        </w:rPr>
        <w:t xml:space="preserve">. </w:t>
      </w:r>
      <w:r w:rsidR="00890260" w:rsidRPr="00E55799">
        <w:rPr>
          <w:rFonts w:ascii="Arial" w:hAnsi="Arial" w:cs="Arial"/>
          <w:sz w:val="22"/>
          <w:szCs w:val="22"/>
        </w:rPr>
        <w:t>Certain</w:t>
      </w:r>
      <w:r w:rsidR="00196620" w:rsidRPr="00E55799">
        <w:rPr>
          <w:rFonts w:ascii="Arial" w:hAnsi="Arial" w:cs="Arial"/>
          <w:sz w:val="22"/>
          <w:szCs w:val="22"/>
        </w:rPr>
        <w:t xml:space="preserve"> employers </w:t>
      </w:r>
      <w:r w:rsidR="00AF5FEB" w:rsidRPr="00E55799">
        <w:rPr>
          <w:rFonts w:ascii="Arial" w:hAnsi="Arial" w:cs="Arial"/>
          <w:sz w:val="22"/>
          <w:szCs w:val="22"/>
        </w:rPr>
        <w:t xml:space="preserve">are currently </w:t>
      </w:r>
      <w:r w:rsidR="00380975" w:rsidRPr="00E55799">
        <w:rPr>
          <w:rFonts w:ascii="Arial" w:hAnsi="Arial" w:cs="Arial"/>
          <w:sz w:val="22"/>
          <w:szCs w:val="22"/>
        </w:rPr>
        <w:t>unable to</w:t>
      </w:r>
      <w:r w:rsidR="00196620" w:rsidRPr="00E55799">
        <w:rPr>
          <w:rFonts w:ascii="Arial" w:hAnsi="Arial" w:cs="Arial"/>
          <w:sz w:val="22"/>
          <w:szCs w:val="22"/>
        </w:rPr>
        <w:t xml:space="preserve"> meet the reporting requirements</w:t>
      </w:r>
      <w:r w:rsidR="00433593" w:rsidRPr="00E55799">
        <w:rPr>
          <w:rFonts w:ascii="Arial" w:hAnsi="Arial" w:cs="Arial"/>
          <w:sz w:val="22"/>
          <w:szCs w:val="22"/>
        </w:rPr>
        <w:t xml:space="preserve"> </w:t>
      </w:r>
      <w:r w:rsidR="00AF5FEB" w:rsidRPr="00E55799">
        <w:rPr>
          <w:rFonts w:ascii="Arial" w:hAnsi="Arial" w:cs="Arial"/>
          <w:sz w:val="22"/>
          <w:szCs w:val="22"/>
        </w:rPr>
        <w:t xml:space="preserve">set out in the primary instrument </w:t>
      </w:r>
      <w:r w:rsidR="00433593" w:rsidRPr="00E55799">
        <w:rPr>
          <w:rFonts w:ascii="Arial" w:hAnsi="Arial" w:cs="Arial"/>
          <w:sz w:val="22"/>
          <w:szCs w:val="22"/>
        </w:rPr>
        <w:t>due to STP software constraints</w:t>
      </w:r>
      <w:r w:rsidR="00196620" w:rsidRPr="00E55799">
        <w:rPr>
          <w:rFonts w:ascii="Arial" w:hAnsi="Arial" w:cs="Arial"/>
          <w:sz w:val="22"/>
          <w:szCs w:val="22"/>
        </w:rPr>
        <w:t xml:space="preserve"> and consequently, </w:t>
      </w:r>
      <w:r w:rsidR="00AF5FEB" w:rsidRPr="00E55799">
        <w:rPr>
          <w:rFonts w:ascii="Arial" w:hAnsi="Arial" w:cs="Arial"/>
          <w:sz w:val="22"/>
          <w:szCs w:val="22"/>
        </w:rPr>
        <w:t xml:space="preserve">are </w:t>
      </w:r>
      <w:r w:rsidR="00196620" w:rsidRPr="00E55799">
        <w:rPr>
          <w:rFonts w:ascii="Arial" w:hAnsi="Arial" w:cs="Arial"/>
          <w:sz w:val="22"/>
          <w:szCs w:val="22"/>
        </w:rPr>
        <w:t xml:space="preserve">ineligible for </w:t>
      </w:r>
      <w:r w:rsidR="00A55ADB" w:rsidRPr="00E55799">
        <w:rPr>
          <w:rFonts w:ascii="Arial" w:hAnsi="Arial" w:cs="Arial"/>
          <w:sz w:val="22"/>
          <w:szCs w:val="22"/>
        </w:rPr>
        <w:t>JMHC</w:t>
      </w:r>
      <w:r w:rsidR="00196620" w:rsidRPr="00E55799">
        <w:rPr>
          <w:rFonts w:ascii="Arial" w:hAnsi="Arial" w:cs="Arial"/>
          <w:sz w:val="22"/>
          <w:szCs w:val="22"/>
        </w:rPr>
        <w:t xml:space="preserve"> payments</w:t>
      </w:r>
      <w:r w:rsidR="00890260" w:rsidRPr="00E55799">
        <w:rPr>
          <w:rFonts w:ascii="Arial" w:hAnsi="Arial" w:cs="Arial"/>
          <w:sz w:val="22"/>
          <w:szCs w:val="22"/>
        </w:rPr>
        <w:t xml:space="preserve"> as they do not satisfy paragraph 27(1)(h) of the Rules</w:t>
      </w:r>
      <w:r w:rsidR="00433593" w:rsidRPr="00E55799">
        <w:rPr>
          <w:rFonts w:ascii="Arial" w:hAnsi="Arial" w:cs="Arial"/>
          <w:sz w:val="22"/>
          <w:szCs w:val="22"/>
        </w:rPr>
        <w:t>. Th</w:t>
      </w:r>
      <w:r w:rsidR="00890260" w:rsidRPr="00E55799">
        <w:rPr>
          <w:rFonts w:ascii="Arial" w:hAnsi="Arial" w:cs="Arial"/>
          <w:sz w:val="22"/>
          <w:szCs w:val="22"/>
        </w:rPr>
        <w:t xml:space="preserve">is instrument </w:t>
      </w:r>
      <w:r w:rsidR="00433593" w:rsidRPr="00E55799">
        <w:rPr>
          <w:rFonts w:ascii="Arial" w:hAnsi="Arial" w:cs="Arial"/>
          <w:sz w:val="22"/>
          <w:szCs w:val="22"/>
        </w:rPr>
        <w:t>will enable employers to meet reporting requirements</w:t>
      </w:r>
      <w:r w:rsidR="00890260" w:rsidRPr="00E55799">
        <w:rPr>
          <w:rFonts w:ascii="Arial" w:hAnsi="Arial" w:cs="Arial"/>
          <w:sz w:val="22"/>
          <w:szCs w:val="22"/>
        </w:rPr>
        <w:t xml:space="preserve"> by providing information </w:t>
      </w:r>
      <w:r w:rsidR="00433593" w:rsidRPr="00E55799">
        <w:rPr>
          <w:rFonts w:ascii="Arial" w:hAnsi="Arial" w:cs="Arial"/>
          <w:sz w:val="22"/>
          <w:szCs w:val="22"/>
        </w:rPr>
        <w:t>through a</w:t>
      </w:r>
      <w:r w:rsidR="007C7DA5" w:rsidRPr="00E55799">
        <w:rPr>
          <w:rFonts w:ascii="Arial" w:hAnsi="Arial" w:cs="Arial"/>
          <w:sz w:val="22"/>
          <w:szCs w:val="22"/>
        </w:rPr>
        <w:t>n</w:t>
      </w:r>
      <w:r w:rsidR="00433593" w:rsidRPr="00E55799">
        <w:rPr>
          <w:rFonts w:ascii="Arial" w:hAnsi="Arial" w:cs="Arial"/>
          <w:sz w:val="22"/>
          <w:szCs w:val="22"/>
        </w:rPr>
        <w:t xml:space="preserve"> </w:t>
      </w:r>
      <w:r w:rsidR="007C7DA5" w:rsidRPr="00E55799">
        <w:rPr>
          <w:rFonts w:ascii="Arial" w:hAnsi="Arial" w:cs="Arial"/>
          <w:sz w:val="22"/>
          <w:szCs w:val="22"/>
        </w:rPr>
        <w:t>alternative mechanism</w:t>
      </w:r>
      <w:r w:rsidR="00830D43" w:rsidRPr="00E55799">
        <w:rPr>
          <w:rFonts w:ascii="Arial" w:hAnsi="Arial" w:cs="Arial"/>
          <w:sz w:val="22"/>
          <w:szCs w:val="22"/>
        </w:rPr>
        <w:t xml:space="preserve"> on ATO</w:t>
      </w:r>
      <w:r w:rsidR="00E55799">
        <w:rPr>
          <w:rFonts w:ascii="Arial" w:hAnsi="Arial" w:cs="Arial"/>
          <w:sz w:val="22"/>
          <w:szCs w:val="22"/>
        </w:rPr>
        <w:t> </w:t>
      </w:r>
      <w:r w:rsidR="00830D43" w:rsidRPr="00E55799">
        <w:rPr>
          <w:rFonts w:ascii="Arial" w:hAnsi="Arial" w:cs="Arial"/>
          <w:sz w:val="22"/>
          <w:szCs w:val="22"/>
        </w:rPr>
        <w:t>Online</w:t>
      </w:r>
      <w:r w:rsidR="00433593" w:rsidRPr="00E55799">
        <w:rPr>
          <w:rFonts w:ascii="Arial" w:hAnsi="Arial" w:cs="Arial"/>
          <w:sz w:val="22"/>
          <w:szCs w:val="22"/>
        </w:rPr>
        <w:t>.</w:t>
      </w:r>
    </w:p>
    <w:p w14:paraId="013C5B3F" w14:textId="77777777" w:rsidR="00E55799" w:rsidRPr="00E55799" w:rsidRDefault="004001AF" w:rsidP="003A3878">
      <w:pPr>
        <w:numPr>
          <w:ilvl w:val="0"/>
          <w:numId w:val="1"/>
        </w:numPr>
        <w:tabs>
          <w:tab w:val="clear" w:pos="786"/>
        </w:tabs>
        <w:spacing w:after="120"/>
        <w:ind w:left="0" w:firstLine="0"/>
        <w:rPr>
          <w:rFonts w:ascii="Arial" w:hAnsi="Arial" w:cs="Arial"/>
          <w:sz w:val="22"/>
          <w:szCs w:val="22"/>
        </w:rPr>
      </w:pPr>
      <w:r w:rsidRPr="00E55799">
        <w:rPr>
          <w:rFonts w:ascii="Arial" w:hAnsi="Arial" w:cs="Arial"/>
          <w:sz w:val="22"/>
          <w:szCs w:val="22"/>
        </w:rPr>
        <w:lastRenderedPageBreak/>
        <w:t xml:space="preserve">In addition, </w:t>
      </w:r>
      <w:r w:rsidR="00890260" w:rsidRPr="00E55799">
        <w:rPr>
          <w:rFonts w:ascii="Arial" w:hAnsi="Arial" w:cs="Arial"/>
          <w:sz w:val="22"/>
          <w:szCs w:val="22"/>
        </w:rPr>
        <w:t xml:space="preserve">this instrument allows employers to </w:t>
      </w:r>
      <w:r w:rsidR="00DA442B" w:rsidRPr="00E55799">
        <w:rPr>
          <w:rFonts w:ascii="Arial" w:hAnsi="Arial" w:cs="Arial"/>
          <w:sz w:val="22"/>
          <w:szCs w:val="22"/>
        </w:rPr>
        <w:t xml:space="preserve">update </w:t>
      </w:r>
      <w:r w:rsidR="00196620" w:rsidRPr="00E55799">
        <w:rPr>
          <w:rFonts w:ascii="Arial" w:hAnsi="Arial" w:cs="Arial"/>
          <w:sz w:val="22"/>
          <w:szCs w:val="22"/>
        </w:rPr>
        <w:t xml:space="preserve">financial institution account </w:t>
      </w:r>
      <w:r w:rsidRPr="00E55799">
        <w:rPr>
          <w:rFonts w:ascii="Arial" w:hAnsi="Arial" w:cs="Arial"/>
          <w:sz w:val="22"/>
          <w:szCs w:val="22"/>
        </w:rPr>
        <w:t>details after a JobMaker claim period has closed</w:t>
      </w:r>
      <w:r w:rsidR="00890260" w:rsidRPr="00E55799">
        <w:rPr>
          <w:rFonts w:ascii="Arial" w:hAnsi="Arial" w:cs="Arial"/>
          <w:sz w:val="22"/>
          <w:szCs w:val="22"/>
        </w:rPr>
        <w:t>. This</w:t>
      </w:r>
      <w:r w:rsidR="00196620" w:rsidRPr="00E55799">
        <w:rPr>
          <w:rFonts w:ascii="Arial" w:hAnsi="Arial" w:cs="Arial"/>
          <w:sz w:val="22"/>
          <w:szCs w:val="22"/>
        </w:rPr>
        <w:t xml:space="preserve"> ensure</w:t>
      </w:r>
      <w:r w:rsidR="00890260" w:rsidRPr="00E55799">
        <w:rPr>
          <w:rFonts w:ascii="Arial" w:hAnsi="Arial" w:cs="Arial"/>
          <w:sz w:val="22"/>
          <w:szCs w:val="22"/>
        </w:rPr>
        <w:t>s</w:t>
      </w:r>
      <w:r w:rsidR="00196620" w:rsidRPr="00E55799">
        <w:rPr>
          <w:rFonts w:ascii="Arial" w:hAnsi="Arial" w:cs="Arial"/>
          <w:sz w:val="22"/>
          <w:szCs w:val="22"/>
        </w:rPr>
        <w:t xml:space="preserve"> employers can update this information after </w:t>
      </w:r>
      <w:r w:rsidR="00800767" w:rsidRPr="00E55799">
        <w:rPr>
          <w:rFonts w:ascii="Arial" w:hAnsi="Arial" w:cs="Arial"/>
          <w:sz w:val="22"/>
          <w:szCs w:val="22"/>
        </w:rPr>
        <w:t>making a claim</w:t>
      </w:r>
      <w:r w:rsidR="00890260" w:rsidRPr="00E55799">
        <w:rPr>
          <w:rFonts w:ascii="Arial" w:hAnsi="Arial" w:cs="Arial"/>
          <w:sz w:val="22"/>
          <w:szCs w:val="22"/>
        </w:rPr>
        <w:t xml:space="preserve"> </w:t>
      </w:r>
      <w:r w:rsidR="00196620" w:rsidRPr="00E55799">
        <w:rPr>
          <w:rFonts w:ascii="Arial" w:hAnsi="Arial" w:cs="Arial"/>
          <w:sz w:val="22"/>
          <w:szCs w:val="22"/>
        </w:rPr>
        <w:t>and receive payment to the correct account</w:t>
      </w:r>
      <w:r w:rsidRPr="00E55799">
        <w:rPr>
          <w:rFonts w:ascii="Arial" w:hAnsi="Arial" w:cs="Arial"/>
          <w:sz w:val="22"/>
          <w:szCs w:val="22"/>
        </w:rPr>
        <w:t>.</w:t>
      </w:r>
    </w:p>
    <w:p w14:paraId="001E7056" w14:textId="2152D183" w:rsidR="003B7E26" w:rsidRPr="00E55799" w:rsidRDefault="003B7E26" w:rsidP="003A3878">
      <w:pPr>
        <w:spacing w:after="120"/>
        <w:rPr>
          <w:rFonts w:ascii="Arial" w:hAnsi="Arial" w:cs="Arial"/>
          <w:sz w:val="22"/>
          <w:szCs w:val="22"/>
        </w:rPr>
      </w:pPr>
    </w:p>
    <w:p w14:paraId="4242B29B" w14:textId="77777777" w:rsidR="00E55799" w:rsidRPr="00E55799" w:rsidRDefault="00640CC2" w:rsidP="003A3878">
      <w:pPr>
        <w:pStyle w:val="Heading2"/>
      </w:pPr>
      <w:r w:rsidRPr="00E55799">
        <w:t>Compliance cost assessment</w:t>
      </w:r>
    </w:p>
    <w:p w14:paraId="7EFCE762" w14:textId="464775FE" w:rsidR="00577EE0" w:rsidRPr="00E55799" w:rsidRDefault="00577EE0" w:rsidP="003A3878">
      <w:pPr>
        <w:numPr>
          <w:ilvl w:val="0"/>
          <w:numId w:val="1"/>
        </w:numPr>
        <w:tabs>
          <w:tab w:val="clear" w:pos="786"/>
        </w:tabs>
        <w:spacing w:after="120"/>
        <w:ind w:left="0" w:firstLine="0"/>
        <w:rPr>
          <w:rFonts w:ascii="Arial" w:hAnsi="Arial" w:cs="Arial"/>
          <w:sz w:val="22"/>
          <w:szCs w:val="22"/>
        </w:rPr>
      </w:pPr>
      <w:r w:rsidRPr="00E55799">
        <w:rPr>
          <w:rFonts w:ascii="Arial" w:hAnsi="Arial" w:cs="Arial"/>
          <w:sz w:val="22"/>
          <w:szCs w:val="22"/>
        </w:rPr>
        <w:t xml:space="preserve">Compliance Cost Impact: Minor – </w:t>
      </w:r>
      <w:r w:rsidR="00400133">
        <w:rPr>
          <w:rFonts w:ascii="Arial" w:hAnsi="Arial" w:cs="Arial"/>
          <w:sz w:val="22"/>
          <w:szCs w:val="22"/>
        </w:rPr>
        <w:t>t</w:t>
      </w:r>
      <w:r w:rsidRPr="00E55799">
        <w:rPr>
          <w:rFonts w:ascii="Arial" w:hAnsi="Arial" w:cs="Arial"/>
          <w:sz w:val="22"/>
          <w:szCs w:val="22"/>
        </w:rPr>
        <w:t>here will be no or minimal impacts for both implementation and ongoing compliance costs. The legislative instrument is minor or machinery in nature.</w:t>
      </w:r>
    </w:p>
    <w:p w14:paraId="12280DE3" w14:textId="6DB2CA04" w:rsidR="00577EE0" w:rsidRPr="00E55799" w:rsidRDefault="00577EE0" w:rsidP="003A3878">
      <w:pPr>
        <w:numPr>
          <w:ilvl w:val="0"/>
          <w:numId w:val="1"/>
        </w:numPr>
        <w:tabs>
          <w:tab w:val="clear" w:pos="786"/>
        </w:tabs>
        <w:spacing w:after="120"/>
        <w:ind w:left="0" w:firstLine="0"/>
        <w:rPr>
          <w:rFonts w:ascii="Arial" w:hAnsi="Arial" w:cs="Arial"/>
          <w:sz w:val="22"/>
          <w:szCs w:val="22"/>
        </w:rPr>
      </w:pPr>
      <w:r w:rsidRPr="00E55799">
        <w:rPr>
          <w:rFonts w:ascii="Arial" w:hAnsi="Arial" w:cs="Arial"/>
          <w:sz w:val="22"/>
          <w:szCs w:val="22"/>
        </w:rPr>
        <w:t>No Regulation Impact Statement required. Prime Minister's Exemption applies – COVID-19 related measures (OBPR ref ID 42600).</w:t>
      </w:r>
    </w:p>
    <w:p w14:paraId="3509B3F2" w14:textId="6A4703DC" w:rsidR="00F930F8" w:rsidRPr="00E55799" w:rsidRDefault="00F930F8" w:rsidP="003A3878">
      <w:pPr>
        <w:spacing w:after="120"/>
        <w:rPr>
          <w:rFonts w:ascii="Arial" w:hAnsi="Arial" w:cs="Arial"/>
          <w:sz w:val="22"/>
          <w:szCs w:val="22"/>
        </w:rPr>
      </w:pPr>
    </w:p>
    <w:p w14:paraId="6443C598" w14:textId="77777777" w:rsidR="00E55799" w:rsidRPr="00E55799" w:rsidRDefault="00FC42B5" w:rsidP="003A3878">
      <w:pPr>
        <w:pStyle w:val="Heading2"/>
      </w:pPr>
      <w:r w:rsidRPr="00E55799">
        <w:t>Changes to the reporting requirements under Single Touch Payroll</w:t>
      </w:r>
    </w:p>
    <w:p w14:paraId="01F4086E" w14:textId="77777777" w:rsidR="00E55799" w:rsidRPr="00E55799" w:rsidRDefault="003409CE" w:rsidP="003A3878">
      <w:pPr>
        <w:numPr>
          <w:ilvl w:val="0"/>
          <w:numId w:val="1"/>
        </w:numPr>
        <w:tabs>
          <w:tab w:val="clear" w:pos="786"/>
        </w:tabs>
        <w:spacing w:after="120"/>
        <w:ind w:left="0" w:firstLine="0"/>
        <w:rPr>
          <w:rFonts w:ascii="Arial" w:hAnsi="Arial" w:cs="Arial"/>
          <w:sz w:val="22"/>
          <w:szCs w:val="22"/>
        </w:rPr>
      </w:pPr>
      <w:r w:rsidRPr="00E55799">
        <w:rPr>
          <w:rFonts w:ascii="Arial" w:hAnsi="Arial" w:cs="Arial"/>
          <w:sz w:val="22"/>
          <w:szCs w:val="22"/>
        </w:rPr>
        <w:t xml:space="preserve">This instrument </w:t>
      </w:r>
      <w:r w:rsidR="004D52EA" w:rsidRPr="00E55799">
        <w:rPr>
          <w:rFonts w:ascii="Arial" w:hAnsi="Arial" w:cs="Arial"/>
          <w:sz w:val="22"/>
          <w:szCs w:val="22"/>
        </w:rPr>
        <w:t>amends</w:t>
      </w:r>
      <w:r w:rsidRPr="00E55799">
        <w:rPr>
          <w:rFonts w:ascii="Arial" w:hAnsi="Arial" w:cs="Arial"/>
          <w:sz w:val="22"/>
          <w:szCs w:val="22"/>
        </w:rPr>
        <w:t xml:space="preserve"> </w:t>
      </w:r>
      <w:r w:rsidR="00DC5A2E" w:rsidRPr="00E55799">
        <w:rPr>
          <w:rFonts w:ascii="Arial" w:hAnsi="Arial" w:cs="Arial"/>
          <w:sz w:val="22"/>
          <w:szCs w:val="22"/>
        </w:rPr>
        <w:t xml:space="preserve">the </w:t>
      </w:r>
      <w:r w:rsidR="0009367C" w:rsidRPr="00E55799">
        <w:rPr>
          <w:rFonts w:ascii="Arial" w:hAnsi="Arial" w:cs="Arial"/>
          <w:sz w:val="22"/>
          <w:szCs w:val="22"/>
        </w:rPr>
        <w:t>primary</w:t>
      </w:r>
      <w:r w:rsidR="00DC5A2E" w:rsidRPr="00E55799">
        <w:rPr>
          <w:rFonts w:ascii="Arial" w:hAnsi="Arial" w:cs="Arial"/>
          <w:sz w:val="22"/>
          <w:szCs w:val="22"/>
        </w:rPr>
        <w:t xml:space="preserve"> instrument.</w:t>
      </w:r>
    </w:p>
    <w:p w14:paraId="7381BD61" w14:textId="77777777" w:rsidR="00E55799" w:rsidRPr="00E55799" w:rsidRDefault="0009367C" w:rsidP="005E7313">
      <w:pPr>
        <w:numPr>
          <w:ilvl w:val="0"/>
          <w:numId w:val="1"/>
        </w:numPr>
        <w:tabs>
          <w:tab w:val="clear" w:pos="786"/>
        </w:tabs>
        <w:spacing w:after="120"/>
        <w:ind w:left="0" w:firstLine="0"/>
        <w:rPr>
          <w:rFonts w:ascii="Arial" w:hAnsi="Arial" w:cs="Arial"/>
          <w:sz w:val="22"/>
          <w:szCs w:val="22"/>
        </w:rPr>
      </w:pPr>
      <w:r w:rsidRPr="00E55799">
        <w:rPr>
          <w:rFonts w:ascii="Arial" w:hAnsi="Arial" w:cs="Arial"/>
          <w:sz w:val="22"/>
          <w:szCs w:val="22"/>
        </w:rPr>
        <w:t xml:space="preserve">The primary instrument </w:t>
      </w:r>
      <w:r w:rsidR="00FC42B5" w:rsidRPr="00E55799">
        <w:rPr>
          <w:rFonts w:ascii="Arial" w:hAnsi="Arial" w:cs="Arial"/>
          <w:sz w:val="22"/>
          <w:szCs w:val="22"/>
        </w:rPr>
        <w:t xml:space="preserve">requires </w:t>
      </w:r>
      <w:r w:rsidR="00A80851" w:rsidRPr="00E55799">
        <w:rPr>
          <w:rFonts w:ascii="Arial" w:hAnsi="Arial" w:cs="Arial"/>
          <w:sz w:val="22"/>
          <w:szCs w:val="22"/>
        </w:rPr>
        <w:t>employers</w:t>
      </w:r>
      <w:r w:rsidR="00FC42B5" w:rsidRPr="00E55799">
        <w:rPr>
          <w:rFonts w:ascii="Arial" w:hAnsi="Arial" w:cs="Arial"/>
          <w:sz w:val="22"/>
          <w:szCs w:val="22"/>
        </w:rPr>
        <w:t xml:space="preserve"> to </w:t>
      </w:r>
      <w:r w:rsidR="00EC70E4" w:rsidRPr="00E55799">
        <w:rPr>
          <w:rFonts w:ascii="Arial" w:hAnsi="Arial" w:cs="Arial"/>
          <w:sz w:val="22"/>
          <w:szCs w:val="22"/>
        </w:rPr>
        <w:t>report</w:t>
      </w:r>
      <w:r w:rsidR="00FC42B5" w:rsidRPr="00E55799">
        <w:rPr>
          <w:rFonts w:ascii="Arial" w:hAnsi="Arial" w:cs="Arial"/>
          <w:sz w:val="22"/>
          <w:szCs w:val="22"/>
        </w:rPr>
        <w:t xml:space="preserve"> information within set timeframes to be eligible for </w:t>
      </w:r>
      <w:r w:rsidR="00EC70E4" w:rsidRPr="00E55799">
        <w:rPr>
          <w:rFonts w:ascii="Arial" w:hAnsi="Arial" w:cs="Arial"/>
          <w:sz w:val="22"/>
          <w:szCs w:val="22"/>
        </w:rPr>
        <w:t xml:space="preserve">the </w:t>
      </w:r>
      <w:r w:rsidR="00A55ADB" w:rsidRPr="00E55799">
        <w:rPr>
          <w:rFonts w:ascii="Arial" w:hAnsi="Arial" w:cs="Arial"/>
          <w:sz w:val="22"/>
          <w:szCs w:val="22"/>
        </w:rPr>
        <w:t>JMHC</w:t>
      </w:r>
      <w:r w:rsidR="00EC70E4" w:rsidRPr="00E55799">
        <w:rPr>
          <w:rFonts w:ascii="Arial" w:hAnsi="Arial" w:cs="Arial"/>
          <w:sz w:val="22"/>
          <w:szCs w:val="22"/>
        </w:rPr>
        <w:t xml:space="preserve"> scheme</w:t>
      </w:r>
      <w:r w:rsidR="00FC42B5" w:rsidRPr="00E55799">
        <w:rPr>
          <w:rFonts w:ascii="Arial" w:hAnsi="Arial" w:cs="Arial"/>
          <w:sz w:val="22"/>
          <w:szCs w:val="22"/>
        </w:rPr>
        <w:t>.</w:t>
      </w:r>
    </w:p>
    <w:p w14:paraId="0287E0A8" w14:textId="77777777" w:rsidR="00E55799" w:rsidRPr="00E55799" w:rsidRDefault="00FC42B5" w:rsidP="005E7313">
      <w:pPr>
        <w:numPr>
          <w:ilvl w:val="0"/>
          <w:numId w:val="1"/>
        </w:numPr>
        <w:tabs>
          <w:tab w:val="clear" w:pos="786"/>
        </w:tabs>
        <w:spacing w:after="120"/>
        <w:ind w:left="0" w:firstLine="0"/>
        <w:rPr>
          <w:rFonts w:ascii="Arial" w:hAnsi="Arial" w:cs="Arial"/>
          <w:sz w:val="22"/>
          <w:szCs w:val="22"/>
        </w:rPr>
      </w:pPr>
      <w:r w:rsidRPr="00E55799">
        <w:rPr>
          <w:rFonts w:ascii="Arial" w:hAnsi="Arial" w:cs="Arial"/>
          <w:sz w:val="22"/>
          <w:szCs w:val="22"/>
        </w:rPr>
        <w:t xml:space="preserve">Employers seeking to access </w:t>
      </w:r>
      <w:r w:rsidR="00A55ADB" w:rsidRPr="00E55799">
        <w:rPr>
          <w:rFonts w:ascii="Arial" w:hAnsi="Arial" w:cs="Arial"/>
          <w:sz w:val="22"/>
          <w:szCs w:val="22"/>
        </w:rPr>
        <w:t>JMHC</w:t>
      </w:r>
      <w:r w:rsidRPr="00E55799">
        <w:rPr>
          <w:rFonts w:ascii="Arial" w:hAnsi="Arial" w:cs="Arial"/>
          <w:sz w:val="22"/>
          <w:szCs w:val="22"/>
        </w:rPr>
        <w:t xml:space="preserve"> payments are required to provide employee details for each eligible employee as outlined in subsection 7(2) of the primary instrument (unless subsection 7(3) applies). Employers must do so in the same manner that they notify the Commissioner of amounts under section 389-5 of Schedule 1 to the </w:t>
      </w:r>
      <w:r w:rsidRPr="00E55799">
        <w:rPr>
          <w:rFonts w:ascii="Arial" w:hAnsi="Arial" w:cs="Arial"/>
          <w:i/>
          <w:iCs/>
          <w:sz w:val="22"/>
          <w:szCs w:val="22"/>
        </w:rPr>
        <w:t>Taxation Administration Act 1953</w:t>
      </w:r>
      <w:r w:rsidRPr="00E55799">
        <w:rPr>
          <w:rFonts w:ascii="Arial" w:hAnsi="Arial" w:cs="Arial"/>
          <w:sz w:val="22"/>
          <w:szCs w:val="22"/>
        </w:rPr>
        <w:t>. This is known as Single Touch Payroll (STP).</w:t>
      </w:r>
    </w:p>
    <w:p w14:paraId="34BB5F1F" w14:textId="534B1595" w:rsidR="00FC42B5" w:rsidRPr="00E55799" w:rsidRDefault="00FC42B5" w:rsidP="005E7313">
      <w:pPr>
        <w:numPr>
          <w:ilvl w:val="0"/>
          <w:numId w:val="1"/>
        </w:numPr>
        <w:tabs>
          <w:tab w:val="clear" w:pos="786"/>
        </w:tabs>
        <w:spacing w:after="120"/>
        <w:ind w:left="0" w:firstLine="0"/>
        <w:rPr>
          <w:rFonts w:ascii="Arial" w:hAnsi="Arial" w:cs="Arial"/>
          <w:sz w:val="22"/>
          <w:szCs w:val="22"/>
        </w:rPr>
      </w:pPr>
      <w:r w:rsidRPr="00E55799">
        <w:rPr>
          <w:rFonts w:ascii="Arial" w:hAnsi="Arial" w:cs="Arial"/>
          <w:sz w:val="22"/>
          <w:szCs w:val="22"/>
        </w:rPr>
        <w:t xml:space="preserve">A small number of employers use software to fulfil their STP obligations that cannot transmit some of the information set out in subsection 7(2). This </w:t>
      </w:r>
      <w:r w:rsidR="005D0A42" w:rsidRPr="00E55799">
        <w:rPr>
          <w:rFonts w:ascii="Arial" w:hAnsi="Arial" w:cs="Arial"/>
          <w:sz w:val="22"/>
          <w:szCs w:val="22"/>
        </w:rPr>
        <w:t xml:space="preserve">would </w:t>
      </w:r>
      <w:r w:rsidRPr="00E55799">
        <w:rPr>
          <w:rFonts w:ascii="Arial" w:hAnsi="Arial" w:cs="Arial"/>
          <w:sz w:val="22"/>
          <w:szCs w:val="22"/>
        </w:rPr>
        <w:t>prevent these employers from access</w:t>
      </w:r>
      <w:r w:rsidR="00A80851" w:rsidRPr="00E55799">
        <w:rPr>
          <w:rFonts w:ascii="Arial" w:hAnsi="Arial" w:cs="Arial"/>
          <w:sz w:val="22"/>
          <w:szCs w:val="22"/>
        </w:rPr>
        <w:t>ing</w:t>
      </w:r>
      <w:r w:rsidRPr="00E55799">
        <w:rPr>
          <w:rFonts w:ascii="Arial" w:hAnsi="Arial" w:cs="Arial"/>
          <w:sz w:val="22"/>
          <w:szCs w:val="22"/>
        </w:rPr>
        <w:t xml:space="preserve"> the JMHC scheme, as they </w:t>
      </w:r>
      <w:r w:rsidR="005D0A42" w:rsidRPr="00E55799">
        <w:rPr>
          <w:rFonts w:ascii="Arial" w:hAnsi="Arial" w:cs="Arial"/>
          <w:sz w:val="22"/>
          <w:szCs w:val="22"/>
        </w:rPr>
        <w:t xml:space="preserve">would </w:t>
      </w:r>
      <w:r w:rsidRPr="00E55799">
        <w:rPr>
          <w:rFonts w:ascii="Arial" w:hAnsi="Arial" w:cs="Arial"/>
          <w:sz w:val="22"/>
          <w:szCs w:val="22"/>
        </w:rPr>
        <w:t>not meet the requirements in the primary instrument and in paragraph 27(1)(h) of the Rules. For example, some software cannot be updated for employers to identify which employees are eligible for the JMHC scheme</w:t>
      </w:r>
      <w:r w:rsidR="00E85F56" w:rsidRPr="00E55799">
        <w:rPr>
          <w:rFonts w:ascii="Arial" w:hAnsi="Arial" w:cs="Arial"/>
          <w:sz w:val="22"/>
          <w:szCs w:val="22"/>
        </w:rPr>
        <w:t xml:space="preserve"> or </w:t>
      </w:r>
      <w:r w:rsidR="0072176B" w:rsidRPr="00E55799">
        <w:rPr>
          <w:rFonts w:ascii="Arial" w:hAnsi="Arial" w:cs="Arial"/>
          <w:sz w:val="22"/>
          <w:szCs w:val="22"/>
        </w:rPr>
        <w:t>to identify</w:t>
      </w:r>
      <w:r w:rsidR="00E85F56" w:rsidRPr="00E55799">
        <w:rPr>
          <w:rFonts w:ascii="Arial" w:hAnsi="Arial" w:cs="Arial"/>
          <w:sz w:val="22"/>
          <w:szCs w:val="22"/>
        </w:rPr>
        <w:t xml:space="preserve"> </w:t>
      </w:r>
      <w:r w:rsidR="0072176B" w:rsidRPr="00E55799">
        <w:rPr>
          <w:rFonts w:ascii="Arial" w:hAnsi="Arial" w:cs="Arial"/>
          <w:sz w:val="22"/>
          <w:szCs w:val="22"/>
        </w:rPr>
        <w:t xml:space="preserve">that an </w:t>
      </w:r>
      <w:r w:rsidR="00E85F56" w:rsidRPr="00E55799">
        <w:rPr>
          <w:rFonts w:ascii="Arial" w:hAnsi="Arial" w:cs="Arial"/>
          <w:sz w:val="22"/>
          <w:szCs w:val="22"/>
        </w:rPr>
        <w:t>employee worked or was paid for a minimum average of 20 hours per week in a jobmaker period</w:t>
      </w:r>
      <w:r w:rsidRPr="00E55799">
        <w:rPr>
          <w:rFonts w:ascii="Arial" w:hAnsi="Arial" w:cs="Arial"/>
          <w:sz w:val="22"/>
          <w:szCs w:val="22"/>
        </w:rPr>
        <w:t>.</w:t>
      </w:r>
    </w:p>
    <w:p w14:paraId="26A32FD3" w14:textId="77777777" w:rsidR="00FC42B5" w:rsidRPr="00E55799" w:rsidRDefault="00FC42B5" w:rsidP="005E7313">
      <w:pPr>
        <w:numPr>
          <w:ilvl w:val="0"/>
          <w:numId w:val="1"/>
        </w:numPr>
        <w:tabs>
          <w:tab w:val="clear" w:pos="786"/>
        </w:tabs>
        <w:spacing w:after="120"/>
        <w:ind w:left="0" w:firstLine="0"/>
        <w:rPr>
          <w:rFonts w:ascii="Arial" w:hAnsi="Arial" w:cs="Arial"/>
          <w:sz w:val="22"/>
          <w:szCs w:val="22"/>
        </w:rPr>
      </w:pPr>
      <w:r w:rsidRPr="00E55799">
        <w:rPr>
          <w:rFonts w:ascii="Arial" w:hAnsi="Arial" w:cs="Arial"/>
          <w:sz w:val="22"/>
          <w:szCs w:val="22"/>
        </w:rPr>
        <w:t>This instrument amends the primary instrument to modify these reporting obligations to provide an alternative mechanism for these affected employers to access the JMHC scheme. This alternative mechanism is given effect by the new subsections 7(2A), (2B) and 8(3A) with associated consequential changes.</w:t>
      </w:r>
    </w:p>
    <w:p w14:paraId="746BB822" w14:textId="42ADDB0B" w:rsidR="00FC42B5" w:rsidRPr="00E55799" w:rsidRDefault="00FC42B5" w:rsidP="005E7313">
      <w:pPr>
        <w:numPr>
          <w:ilvl w:val="0"/>
          <w:numId w:val="1"/>
        </w:numPr>
        <w:tabs>
          <w:tab w:val="clear" w:pos="786"/>
        </w:tabs>
        <w:spacing w:after="120"/>
        <w:ind w:left="0" w:firstLine="0"/>
        <w:rPr>
          <w:rFonts w:ascii="Arial" w:hAnsi="Arial" w:cs="Arial"/>
          <w:sz w:val="22"/>
          <w:szCs w:val="22"/>
        </w:rPr>
      </w:pPr>
      <w:r w:rsidRPr="00E55799">
        <w:rPr>
          <w:rFonts w:ascii="Arial" w:hAnsi="Arial" w:cs="Arial"/>
          <w:sz w:val="22"/>
          <w:szCs w:val="22"/>
        </w:rPr>
        <w:t xml:space="preserve">This alternative option is available where, according to subsection 7(2B), the Commissioner is satisfied that the employer is unable to provide the information in paragraphs 7(2)(b), (d), (e) or (f) </w:t>
      </w:r>
      <w:r w:rsidR="00C169A8" w:rsidRPr="00E55799">
        <w:rPr>
          <w:rFonts w:ascii="Arial" w:hAnsi="Arial" w:cs="Arial"/>
          <w:sz w:val="22"/>
          <w:szCs w:val="22"/>
        </w:rPr>
        <w:t>through</w:t>
      </w:r>
      <w:r w:rsidRPr="00E55799">
        <w:rPr>
          <w:rFonts w:ascii="Arial" w:hAnsi="Arial" w:cs="Arial"/>
          <w:sz w:val="22"/>
          <w:szCs w:val="22"/>
        </w:rPr>
        <w:t xml:space="preserve"> the STP software solution </w:t>
      </w:r>
      <w:r w:rsidR="00C169A8" w:rsidRPr="00E55799">
        <w:rPr>
          <w:rFonts w:ascii="Arial" w:hAnsi="Arial" w:cs="Arial"/>
          <w:sz w:val="22"/>
          <w:szCs w:val="22"/>
        </w:rPr>
        <w:t>used by</w:t>
      </w:r>
      <w:r w:rsidRPr="00E55799">
        <w:rPr>
          <w:rFonts w:ascii="Arial" w:hAnsi="Arial" w:cs="Arial"/>
          <w:sz w:val="22"/>
          <w:szCs w:val="22"/>
        </w:rPr>
        <w:t xml:space="preserve"> employer from the start of a jobmaker period and up to the STP JobMaker Reporting Deadline. Employers will need to contact the ATO to confirm that they cannot use their available STP solution.</w:t>
      </w:r>
    </w:p>
    <w:p w14:paraId="0234C3CC" w14:textId="77777777" w:rsidR="00E55799" w:rsidRPr="00E55799" w:rsidRDefault="00FC42B5" w:rsidP="005E7313">
      <w:pPr>
        <w:numPr>
          <w:ilvl w:val="0"/>
          <w:numId w:val="1"/>
        </w:numPr>
        <w:tabs>
          <w:tab w:val="clear" w:pos="786"/>
        </w:tabs>
        <w:spacing w:after="120"/>
        <w:ind w:left="0" w:firstLine="0"/>
        <w:rPr>
          <w:rFonts w:ascii="Arial" w:hAnsi="Arial" w:cs="Arial"/>
          <w:sz w:val="22"/>
          <w:szCs w:val="22"/>
        </w:rPr>
      </w:pPr>
      <w:r w:rsidRPr="00E55799">
        <w:rPr>
          <w:rFonts w:ascii="Arial" w:hAnsi="Arial" w:cs="Arial"/>
          <w:sz w:val="22"/>
          <w:szCs w:val="22"/>
        </w:rPr>
        <w:t>The ATO will then provide employers with an additional form within ATO Online. Employers must enter each of their employees’ details directly into ATO Online, rather than the ATO pre</w:t>
      </w:r>
      <w:r w:rsidRPr="00E55799">
        <w:rPr>
          <w:rFonts w:ascii="Arial" w:hAnsi="Arial" w:cs="Arial"/>
          <w:sz w:val="22"/>
          <w:szCs w:val="22"/>
        </w:rPr>
        <w:noBreakHyphen/>
        <w:t>populating employee information from STP.</w:t>
      </w:r>
    </w:p>
    <w:p w14:paraId="557A8AA9" w14:textId="31C2333F" w:rsidR="00FC42B5" w:rsidRPr="00E55799" w:rsidRDefault="00FC42B5" w:rsidP="005E7313">
      <w:pPr>
        <w:numPr>
          <w:ilvl w:val="0"/>
          <w:numId w:val="1"/>
        </w:numPr>
        <w:tabs>
          <w:tab w:val="clear" w:pos="786"/>
        </w:tabs>
        <w:spacing w:after="120"/>
        <w:ind w:left="0" w:firstLine="0"/>
        <w:rPr>
          <w:rFonts w:ascii="Arial" w:hAnsi="Arial" w:cs="Arial"/>
          <w:sz w:val="22"/>
          <w:szCs w:val="22"/>
        </w:rPr>
      </w:pPr>
      <w:r w:rsidRPr="00E55799">
        <w:rPr>
          <w:rFonts w:ascii="Arial" w:hAnsi="Arial" w:cs="Arial"/>
          <w:sz w:val="22"/>
          <w:szCs w:val="22"/>
        </w:rPr>
        <w:t xml:space="preserve">The amendment also relaxes the STP reporting requirement for these employers under subsection 7(2A). </w:t>
      </w:r>
      <w:r w:rsidR="004B4A44" w:rsidRPr="00E55799">
        <w:rPr>
          <w:rFonts w:ascii="Arial" w:hAnsi="Arial" w:cs="Arial"/>
          <w:sz w:val="22"/>
          <w:szCs w:val="22"/>
        </w:rPr>
        <w:t>Instead of reporting all information set out in subsection 7(2), t</w:t>
      </w:r>
      <w:r w:rsidRPr="00E55799">
        <w:rPr>
          <w:rFonts w:ascii="Arial" w:hAnsi="Arial" w:cs="Arial"/>
          <w:sz w:val="22"/>
          <w:szCs w:val="22"/>
        </w:rPr>
        <w:t>hese employers will only need to report the full name and TFN of each eligible employee through STP before they claim. These employers will still need to use STP to provide this information by the STP JobMaker Reporting Deadline.</w:t>
      </w:r>
    </w:p>
    <w:p w14:paraId="2DFC9F7F" w14:textId="77777777" w:rsidR="00FC42B5" w:rsidRPr="00E55799" w:rsidRDefault="00FC42B5" w:rsidP="005E7313">
      <w:pPr>
        <w:numPr>
          <w:ilvl w:val="0"/>
          <w:numId w:val="1"/>
        </w:numPr>
        <w:tabs>
          <w:tab w:val="clear" w:pos="786"/>
        </w:tabs>
        <w:spacing w:after="120"/>
        <w:ind w:left="0" w:firstLine="0"/>
        <w:rPr>
          <w:rFonts w:ascii="Arial" w:hAnsi="Arial" w:cs="Arial"/>
          <w:sz w:val="22"/>
          <w:szCs w:val="22"/>
        </w:rPr>
      </w:pPr>
      <w:r w:rsidRPr="00E55799">
        <w:rPr>
          <w:rFonts w:ascii="Arial" w:hAnsi="Arial" w:cs="Arial"/>
          <w:sz w:val="22"/>
          <w:szCs w:val="22"/>
        </w:rPr>
        <w:t>New subsection 8(3A) requires that the employer must provide the information described in subsection 8(3), being the same information that would have been reported through STP, within the claim period in order to be eligible for a JMHC payment.</w:t>
      </w:r>
    </w:p>
    <w:p w14:paraId="25F274C8" w14:textId="6176ED81" w:rsidR="00D04908" w:rsidRPr="00E55799" w:rsidRDefault="00D04908" w:rsidP="003A3878">
      <w:pPr>
        <w:spacing w:after="120"/>
        <w:rPr>
          <w:rFonts w:ascii="Arial" w:hAnsi="Arial" w:cs="Arial"/>
          <w:sz w:val="22"/>
          <w:szCs w:val="22"/>
        </w:rPr>
      </w:pPr>
    </w:p>
    <w:p w14:paraId="75F047CA" w14:textId="3D130A59" w:rsidR="00D04908" w:rsidRPr="00E55799" w:rsidRDefault="007B4FC3" w:rsidP="00E55799">
      <w:pPr>
        <w:pStyle w:val="Heading2"/>
      </w:pPr>
      <w:r w:rsidRPr="00E55799">
        <w:lastRenderedPageBreak/>
        <w:t>Minor</w:t>
      </w:r>
      <w:r w:rsidR="00D04908" w:rsidRPr="00E55799">
        <w:t xml:space="preserve"> amendments</w:t>
      </w:r>
    </w:p>
    <w:p w14:paraId="1033128D" w14:textId="77777777" w:rsidR="00E55799" w:rsidRPr="00E55799" w:rsidRDefault="00C169A8" w:rsidP="005E7313">
      <w:pPr>
        <w:numPr>
          <w:ilvl w:val="0"/>
          <w:numId w:val="1"/>
        </w:numPr>
        <w:tabs>
          <w:tab w:val="clear" w:pos="786"/>
        </w:tabs>
        <w:spacing w:after="120"/>
        <w:ind w:left="0" w:firstLine="0"/>
        <w:rPr>
          <w:rFonts w:ascii="Arial" w:hAnsi="Arial" w:cs="Arial"/>
          <w:sz w:val="22"/>
          <w:szCs w:val="22"/>
        </w:rPr>
      </w:pPr>
      <w:r w:rsidRPr="00E55799">
        <w:rPr>
          <w:rFonts w:ascii="Arial" w:hAnsi="Arial" w:cs="Arial"/>
          <w:sz w:val="22"/>
          <w:szCs w:val="22"/>
        </w:rPr>
        <w:t>The following minor amendments are made by this instrument:</w:t>
      </w:r>
    </w:p>
    <w:p w14:paraId="592F8976" w14:textId="77777777" w:rsidR="00E55799" w:rsidRPr="00E55799" w:rsidRDefault="0032514E" w:rsidP="003A3878">
      <w:pPr>
        <w:pStyle w:val="ListParagraph"/>
        <w:numPr>
          <w:ilvl w:val="1"/>
          <w:numId w:val="1"/>
        </w:numPr>
        <w:tabs>
          <w:tab w:val="clear" w:pos="1440"/>
        </w:tabs>
        <w:spacing w:after="120" w:line="240" w:lineRule="auto"/>
        <w:rPr>
          <w:rFonts w:ascii="Arial" w:hAnsi="Arial" w:cs="Arial"/>
        </w:rPr>
      </w:pPr>
      <w:r w:rsidRPr="00E55799">
        <w:rPr>
          <w:rFonts w:ascii="Arial" w:hAnsi="Arial" w:cs="Arial"/>
        </w:rPr>
        <w:t>removing a repeated closing parenthesis in section 5.</w:t>
      </w:r>
    </w:p>
    <w:p w14:paraId="365D5D04" w14:textId="125B71F5" w:rsidR="00C169A8" w:rsidRPr="00E55799" w:rsidRDefault="00C169A8" w:rsidP="003A3878">
      <w:pPr>
        <w:pStyle w:val="ListParagraph"/>
        <w:numPr>
          <w:ilvl w:val="1"/>
          <w:numId w:val="1"/>
        </w:numPr>
        <w:tabs>
          <w:tab w:val="clear" w:pos="1440"/>
        </w:tabs>
        <w:spacing w:after="120" w:line="240" w:lineRule="auto"/>
        <w:rPr>
          <w:rFonts w:ascii="Arial" w:hAnsi="Arial" w:cs="Arial"/>
        </w:rPr>
      </w:pPr>
      <w:r w:rsidRPr="00E55799">
        <w:rPr>
          <w:rFonts w:ascii="Arial" w:hAnsi="Arial" w:cs="Arial"/>
        </w:rPr>
        <w:t xml:space="preserve">correcting the definition of </w:t>
      </w:r>
      <w:r w:rsidRPr="00E55799">
        <w:rPr>
          <w:rFonts w:ascii="Arial" w:hAnsi="Arial" w:cs="Arial"/>
          <w:i/>
          <w:iCs/>
        </w:rPr>
        <w:t>claim period</w:t>
      </w:r>
      <w:r w:rsidRPr="00E55799">
        <w:rPr>
          <w:rFonts w:ascii="Arial" w:hAnsi="Arial" w:cs="Arial"/>
        </w:rPr>
        <w:t xml:space="preserve"> in section 5 of the primary instrument.</w:t>
      </w:r>
    </w:p>
    <w:p w14:paraId="55177135" w14:textId="77777777" w:rsidR="00E55799" w:rsidRPr="00E55799" w:rsidRDefault="0032514E" w:rsidP="003A3878">
      <w:pPr>
        <w:pStyle w:val="ListParagraph"/>
        <w:numPr>
          <w:ilvl w:val="1"/>
          <w:numId w:val="1"/>
        </w:numPr>
        <w:tabs>
          <w:tab w:val="clear" w:pos="1440"/>
        </w:tabs>
        <w:spacing w:after="120" w:line="240" w:lineRule="auto"/>
        <w:rPr>
          <w:rFonts w:ascii="Arial" w:hAnsi="Arial" w:cs="Arial"/>
        </w:rPr>
      </w:pPr>
      <w:r w:rsidRPr="00E55799">
        <w:rPr>
          <w:rFonts w:ascii="Arial" w:hAnsi="Arial" w:cs="Arial"/>
        </w:rPr>
        <w:t>correcting grammatical error</w:t>
      </w:r>
      <w:r w:rsidR="009D329F" w:rsidRPr="00E55799">
        <w:rPr>
          <w:rFonts w:ascii="Arial" w:hAnsi="Arial" w:cs="Arial"/>
        </w:rPr>
        <w:t>s</w:t>
      </w:r>
      <w:r w:rsidRPr="00E55799">
        <w:rPr>
          <w:rFonts w:ascii="Arial" w:hAnsi="Arial" w:cs="Arial"/>
        </w:rPr>
        <w:t xml:space="preserve"> in subsection</w:t>
      </w:r>
      <w:r w:rsidR="009D329F" w:rsidRPr="00E55799">
        <w:rPr>
          <w:rFonts w:ascii="Arial" w:hAnsi="Arial" w:cs="Arial"/>
        </w:rPr>
        <w:t>s 7(1) and</w:t>
      </w:r>
      <w:r w:rsidRPr="00E55799">
        <w:rPr>
          <w:rFonts w:ascii="Arial" w:hAnsi="Arial" w:cs="Arial"/>
        </w:rPr>
        <w:t xml:space="preserve"> 7(3)</w:t>
      </w:r>
      <w:r w:rsidR="00EB1CD0" w:rsidRPr="00E55799">
        <w:rPr>
          <w:rFonts w:ascii="Arial" w:hAnsi="Arial" w:cs="Arial"/>
        </w:rPr>
        <w:t>.</w:t>
      </w:r>
    </w:p>
    <w:p w14:paraId="037F27F3" w14:textId="0FB95C52" w:rsidR="0032514E" w:rsidRPr="00E55799" w:rsidRDefault="00B109D8" w:rsidP="003A3878">
      <w:pPr>
        <w:pStyle w:val="ListParagraph"/>
        <w:numPr>
          <w:ilvl w:val="1"/>
          <w:numId w:val="1"/>
        </w:numPr>
        <w:tabs>
          <w:tab w:val="clear" w:pos="1440"/>
        </w:tabs>
        <w:spacing w:after="120" w:line="240" w:lineRule="auto"/>
        <w:rPr>
          <w:rFonts w:ascii="Arial" w:hAnsi="Arial" w:cs="Arial"/>
        </w:rPr>
      </w:pPr>
      <w:r w:rsidRPr="00E55799">
        <w:rPr>
          <w:rFonts w:ascii="Arial" w:hAnsi="Arial" w:cs="Arial"/>
        </w:rPr>
        <w:t xml:space="preserve">substituting </w:t>
      </w:r>
      <w:r w:rsidR="00EB1CD0" w:rsidRPr="00E55799">
        <w:rPr>
          <w:rFonts w:ascii="Arial" w:hAnsi="Arial" w:cs="Arial"/>
        </w:rPr>
        <w:t xml:space="preserve">references to “JobMaker” </w:t>
      </w:r>
      <w:r w:rsidRPr="00E55799">
        <w:rPr>
          <w:rFonts w:ascii="Arial" w:hAnsi="Arial" w:cs="Arial"/>
        </w:rPr>
        <w:t xml:space="preserve">with </w:t>
      </w:r>
      <w:r w:rsidR="00EB1CD0" w:rsidRPr="00E55799">
        <w:rPr>
          <w:rFonts w:ascii="Arial" w:hAnsi="Arial" w:cs="Arial"/>
        </w:rPr>
        <w:t>“jobmaker” in paragraphs 8(3)(d) and (e).</w:t>
      </w:r>
    </w:p>
    <w:p w14:paraId="222203D8" w14:textId="5763D1E8" w:rsidR="003D34CA" w:rsidRPr="00E55799" w:rsidRDefault="003D34CA" w:rsidP="003A3878">
      <w:pPr>
        <w:pStyle w:val="ListParagraph"/>
        <w:numPr>
          <w:ilvl w:val="1"/>
          <w:numId w:val="1"/>
        </w:numPr>
        <w:tabs>
          <w:tab w:val="clear" w:pos="1440"/>
        </w:tabs>
        <w:spacing w:after="120" w:line="240" w:lineRule="auto"/>
        <w:rPr>
          <w:rFonts w:ascii="Arial" w:hAnsi="Arial" w:cs="Arial"/>
        </w:rPr>
      </w:pPr>
      <w:r w:rsidRPr="00E55799">
        <w:rPr>
          <w:rFonts w:ascii="Arial" w:hAnsi="Arial" w:cs="Arial"/>
        </w:rPr>
        <w:t xml:space="preserve">repealing </w:t>
      </w:r>
      <w:r w:rsidR="00185F21" w:rsidRPr="00E55799">
        <w:rPr>
          <w:rFonts w:ascii="Arial" w:hAnsi="Arial" w:cs="Arial"/>
        </w:rPr>
        <w:t xml:space="preserve">the </w:t>
      </w:r>
      <w:r w:rsidRPr="00E55799">
        <w:rPr>
          <w:rFonts w:ascii="Arial" w:hAnsi="Arial" w:cs="Arial"/>
        </w:rPr>
        <w:t>redundant words in</w:t>
      </w:r>
      <w:r w:rsidR="00185F21" w:rsidRPr="00E55799">
        <w:rPr>
          <w:rFonts w:ascii="Arial" w:hAnsi="Arial" w:cs="Arial"/>
        </w:rPr>
        <w:t>side the parentheses in</w:t>
      </w:r>
      <w:r w:rsidRPr="00E55799">
        <w:rPr>
          <w:rFonts w:ascii="Arial" w:hAnsi="Arial" w:cs="Arial"/>
        </w:rPr>
        <w:t xml:space="preserve"> paragraph 8(2)(e) </w:t>
      </w:r>
      <w:r w:rsidR="009D329F" w:rsidRPr="00E55799">
        <w:rPr>
          <w:rFonts w:ascii="Arial" w:hAnsi="Arial" w:cs="Arial"/>
        </w:rPr>
        <w:t>as</w:t>
      </w:r>
      <w:r w:rsidRPr="00E55799">
        <w:rPr>
          <w:rFonts w:ascii="Arial" w:hAnsi="Arial" w:cs="Arial"/>
        </w:rPr>
        <w:t xml:space="preserve"> employers</w:t>
      </w:r>
      <w:r w:rsidR="009D329F" w:rsidRPr="00E55799">
        <w:rPr>
          <w:rFonts w:ascii="Arial" w:hAnsi="Arial" w:cs="Arial"/>
        </w:rPr>
        <w:t xml:space="preserve"> are required to</w:t>
      </w:r>
      <w:r w:rsidRPr="00E55799">
        <w:rPr>
          <w:rFonts w:ascii="Arial" w:hAnsi="Arial" w:cs="Arial"/>
        </w:rPr>
        <w:t xml:space="preserve"> provide confirmation </w:t>
      </w:r>
      <w:r w:rsidR="009D329F" w:rsidRPr="00E55799">
        <w:rPr>
          <w:rFonts w:ascii="Arial" w:hAnsi="Arial" w:cs="Arial"/>
        </w:rPr>
        <w:t xml:space="preserve">that each </w:t>
      </w:r>
      <w:r w:rsidRPr="00E55799">
        <w:rPr>
          <w:rFonts w:ascii="Arial" w:hAnsi="Arial" w:cs="Arial"/>
        </w:rPr>
        <w:t xml:space="preserve">employee </w:t>
      </w:r>
      <w:r w:rsidR="009D329F" w:rsidRPr="00E55799">
        <w:rPr>
          <w:rFonts w:ascii="Arial" w:hAnsi="Arial" w:cs="Arial"/>
        </w:rPr>
        <w:t xml:space="preserve">met </w:t>
      </w:r>
      <w:r w:rsidRPr="00E55799">
        <w:rPr>
          <w:rFonts w:ascii="Arial" w:hAnsi="Arial" w:cs="Arial"/>
        </w:rPr>
        <w:t xml:space="preserve">the hours requirement </w:t>
      </w:r>
      <w:r w:rsidR="009D329F" w:rsidRPr="00E55799">
        <w:rPr>
          <w:rFonts w:ascii="Arial" w:hAnsi="Arial" w:cs="Arial"/>
        </w:rPr>
        <w:t>under</w:t>
      </w:r>
      <w:r w:rsidRPr="00E55799">
        <w:rPr>
          <w:rFonts w:ascii="Arial" w:hAnsi="Arial" w:cs="Arial"/>
        </w:rPr>
        <w:t xml:space="preserve"> paragraph 7(2)(f) or 8(3)(f).</w:t>
      </w:r>
    </w:p>
    <w:p w14:paraId="74D13FAC" w14:textId="77777777" w:rsidR="00E55799" w:rsidRPr="00E55799" w:rsidRDefault="00C169A8" w:rsidP="003A3878">
      <w:pPr>
        <w:pStyle w:val="ListParagraph"/>
        <w:numPr>
          <w:ilvl w:val="1"/>
          <w:numId w:val="1"/>
        </w:numPr>
        <w:tabs>
          <w:tab w:val="clear" w:pos="1440"/>
        </w:tabs>
        <w:spacing w:after="120" w:line="240" w:lineRule="auto"/>
        <w:rPr>
          <w:rFonts w:ascii="Arial" w:hAnsi="Arial" w:cs="Arial"/>
        </w:rPr>
      </w:pPr>
      <w:r w:rsidRPr="00E55799">
        <w:rPr>
          <w:rFonts w:ascii="Arial" w:hAnsi="Arial" w:cs="Arial"/>
        </w:rPr>
        <w:t>aligning the reference to the “</w:t>
      </w:r>
      <w:r w:rsidR="003D34CA" w:rsidRPr="00E55799">
        <w:rPr>
          <w:rFonts w:ascii="Arial" w:hAnsi="Arial" w:cs="Arial"/>
        </w:rPr>
        <w:t>hours</w:t>
      </w:r>
      <w:r w:rsidRPr="00E55799">
        <w:rPr>
          <w:rFonts w:ascii="Arial" w:hAnsi="Arial" w:cs="Arial"/>
        </w:rPr>
        <w:t xml:space="preserve"> requirement” </w:t>
      </w:r>
      <w:r w:rsidR="003D34CA" w:rsidRPr="00E55799">
        <w:rPr>
          <w:rFonts w:ascii="Arial" w:hAnsi="Arial" w:cs="Arial"/>
        </w:rPr>
        <w:t xml:space="preserve">in paragraph 8(23)(f) </w:t>
      </w:r>
      <w:r w:rsidRPr="00E55799">
        <w:rPr>
          <w:rFonts w:ascii="Arial" w:hAnsi="Arial" w:cs="Arial"/>
        </w:rPr>
        <w:t>to reflect the wording of subsection 30(2) of the Rules</w:t>
      </w:r>
      <w:r w:rsidR="009D329F" w:rsidRPr="00E55799">
        <w:rPr>
          <w:rFonts w:ascii="Arial" w:hAnsi="Arial" w:cs="Arial"/>
        </w:rPr>
        <w:t>.</w:t>
      </w:r>
    </w:p>
    <w:p w14:paraId="27CEE6EE" w14:textId="7F5ED9AA" w:rsidR="00C169A8" w:rsidRPr="00E55799" w:rsidRDefault="00C169A8" w:rsidP="00E55799">
      <w:pPr>
        <w:spacing w:after="120"/>
        <w:rPr>
          <w:rFonts w:ascii="Arial" w:hAnsi="Arial" w:cs="Arial"/>
          <w:sz w:val="22"/>
          <w:szCs w:val="22"/>
        </w:rPr>
      </w:pPr>
    </w:p>
    <w:p w14:paraId="6CE7A845" w14:textId="77777777" w:rsidR="00E55799" w:rsidRPr="00E55799" w:rsidRDefault="00C169A8" w:rsidP="005E7313">
      <w:pPr>
        <w:numPr>
          <w:ilvl w:val="0"/>
          <w:numId w:val="1"/>
        </w:numPr>
        <w:tabs>
          <w:tab w:val="clear" w:pos="786"/>
        </w:tabs>
        <w:spacing w:after="120"/>
        <w:ind w:left="0" w:firstLine="0"/>
        <w:rPr>
          <w:rFonts w:ascii="Arial" w:hAnsi="Arial" w:cs="Arial"/>
          <w:sz w:val="22"/>
          <w:szCs w:val="22"/>
        </w:rPr>
      </w:pPr>
      <w:r w:rsidRPr="00E55799">
        <w:rPr>
          <w:rFonts w:ascii="Arial" w:hAnsi="Arial" w:cs="Arial"/>
          <w:sz w:val="22"/>
          <w:szCs w:val="22"/>
        </w:rPr>
        <w:t>This instrument also amends subsection 10(2) of the primary instrument to ensure that financial institution account details covered by paragraph 8(2)(h) can be changed by an employer after the claim period</w:t>
      </w:r>
      <w:r w:rsidR="005D0A42" w:rsidRPr="00E55799">
        <w:rPr>
          <w:rFonts w:ascii="Arial" w:hAnsi="Arial" w:cs="Arial"/>
          <w:sz w:val="22"/>
          <w:szCs w:val="22"/>
        </w:rPr>
        <w:t xml:space="preserve"> to enable the JMHC payment to be made into the employer’s preferred account</w:t>
      </w:r>
      <w:r w:rsidRPr="00E55799">
        <w:rPr>
          <w:rFonts w:ascii="Arial" w:hAnsi="Arial" w:cs="Arial"/>
          <w:sz w:val="22"/>
          <w:szCs w:val="22"/>
        </w:rPr>
        <w:t>.</w:t>
      </w:r>
    </w:p>
    <w:p w14:paraId="39FF051A" w14:textId="1A849F80" w:rsidR="00C169A8" w:rsidRPr="00E55799" w:rsidRDefault="00C169A8" w:rsidP="005E7313">
      <w:pPr>
        <w:numPr>
          <w:ilvl w:val="0"/>
          <w:numId w:val="1"/>
        </w:numPr>
        <w:tabs>
          <w:tab w:val="clear" w:pos="786"/>
        </w:tabs>
        <w:spacing w:after="120"/>
        <w:ind w:left="0" w:firstLine="0"/>
        <w:rPr>
          <w:rFonts w:ascii="Arial" w:hAnsi="Arial" w:cs="Arial"/>
          <w:sz w:val="22"/>
          <w:szCs w:val="22"/>
        </w:rPr>
      </w:pPr>
      <w:r w:rsidRPr="00E55799">
        <w:rPr>
          <w:rFonts w:ascii="Arial" w:hAnsi="Arial" w:cs="Arial"/>
          <w:sz w:val="22"/>
          <w:szCs w:val="22"/>
        </w:rPr>
        <w:t xml:space="preserve">While the application of the amendments in this instrument </w:t>
      </w:r>
      <w:r w:rsidR="001F23CF" w:rsidRPr="00E55799">
        <w:rPr>
          <w:rFonts w:ascii="Arial" w:hAnsi="Arial" w:cs="Arial"/>
          <w:sz w:val="22"/>
          <w:szCs w:val="22"/>
        </w:rPr>
        <w:t xml:space="preserve">are </w:t>
      </w:r>
      <w:r w:rsidRPr="00E55799">
        <w:rPr>
          <w:rFonts w:ascii="Arial" w:hAnsi="Arial" w:cs="Arial"/>
          <w:sz w:val="22"/>
          <w:szCs w:val="22"/>
        </w:rPr>
        <w:t xml:space="preserve">retrospective, the changes to provide an alternative mechanism to report information </w:t>
      </w:r>
      <w:r w:rsidR="001F23CF" w:rsidRPr="00E55799">
        <w:rPr>
          <w:rFonts w:ascii="Arial" w:hAnsi="Arial" w:cs="Arial"/>
          <w:sz w:val="22"/>
          <w:szCs w:val="22"/>
        </w:rPr>
        <w:t xml:space="preserve">and change financial institution details </w:t>
      </w:r>
      <w:r w:rsidRPr="00E55799">
        <w:rPr>
          <w:rFonts w:ascii="Arial" w:hAnsi="Arial" w:cs="Arial"/>
          <w:sz w:val="22"/>
          <w:szCs w:val="22"/>
        </w:rPr>
        <w:t xml:space="preserve">are favourable to employers. The </w:t>
      </w:r>
      <w:r w:rsidR="001F23CF" w:rsidRPr="00E55799">
        <w:rPr>
          <w:rFonts w:ascii="Arial" w:hAnsi="Arial" w:cs="Arial"/>
          <w:sz w:val="22"/>
          <w:szCs w:val="22"/>
        </w:rPr>
        <w:t xml:space="preserve">other </w:t>
      </w:r>
      <w:r w:rsidRPr="00E55799">
        <w:rPr>
          <w:rFonts w:ascii="Arial" w:hAnsi="Arial" w:cs="Arial"/>
          <w:sz w:val="22"/>
          <w:szCs w:val="22"/>
        </w:rPr>
        <w:t xml:space="preserve">minor amendments </w:t>
      </w:r>
      <w:r w:rsidR="001F23CF" w:rsidRPr="00E55799">
        <w:rPr>
          <w:rFonts w:ascii="Arial" w:hAnsi="Arial" w:cs="Arial"/>
          <w:sz w:val="22"/>
          <w:szCs w:val="22"/>
        </w:rPr>
        <w:t xml:space="preserve">merely remove errors of a typographical nature from </w:t>
      </w:r>
      <w:r w:rsidRPr="00E55799">
        <w:rPr>
          <w:rFonts w:ascii="Arial" w:hAnsi="Arial" w:cs="Arial"/>
          <w:sz w:val="22"/>
          <w:szCs w:val="22"/>
        </w:rPr>
        <w:t>the instrument. In this way, the retrospectivity is not disadvantageous to affected entities.</w:t>
      </w:r>
    </w:p>
    <w:p w14:paraId="2D131243" w14:textId="77777777" w:rsidR="00C169A8" w:rsidRPr="00E55799" w:rsidRDefault="00C169A8" w:rsidP="00E55799">
      <w:pPr>
        <w:spacing w:after="120"/>
        <w:rPr>
          <w:rFonts w:ascii="Arial" w:hAnsi="Arial" w:cs="Arial"/>
          <w:sz w:val="22"/>
          <w:szCs w:val="22"/>
        </w:rPr>
      </w:pPr>
    </w:p>
    <w:p w14:paraId="4921DA80" w14:textId="77777777" w:rsidR="00E55799" w:rsidRPr="00E55799" w:rsidRDefault="005F518D" w:rsidP="00E55799">
      <w:pPr>
        <w:pStyle w:val="Heading2"/>
      </w:pPr>
      <w:r w:rsidRPr="00E55799">
        <w:t>Availability of independent merits review</w:t>
      </w:r>
    </w:p>
    <w:p w14:paraId="184F6009" w14:textId="0E2F56CE" w:rsidR="005F518D" w:rsidRPr="00E55799" w:rsidRDefault="005F518D" w:rsidP="005E7313">
      <w:pPr>
        <w:numPr>
          <w:ilvl w:val="0"/>
          <w:numId w:val="1"/>
        </w:numPr>
        <w:tabs>
          <w:tab w:val="clear" w:pos="786"/>
        </w:tabs>
        <w:spacing w:after="120"/>
        <w:ind w:left="0" w:firstLine="0"/>
        <w:rPr>
          <w:rFonts w:ascii="Arial" w:hAnsi="Arial" w:cs="Arial"/>
          <w:sz w:val="22"/>
          <w:szCs w:val="22"/>
        </w:rPr>
      </w:pPr>
      <w:r w:rsidRPr="00E55799">
        <w:rPr>
          <w:rFonts w:ascii="Arial" w:hAnsi="Arial" w:cs="Arial"/>
          <w:color w:val="000000"/>
          <w:sz w:val="22"/>
          <w:szCs w:val="22"/>
          <w:shd w:val="clear" w:color="auto" w:fill="FFFFFF"/>
        </w:rPr>
        <w:t>A decision made by the Commissioner under s</w:t>
      </w:r>
      <w:r w:rsidR="008F5FC4" w:rsidRPr="00E55799">
        <w:rPr>
          <w:rFonts w:ascii="Arial" w:hAnsi="Arial" w:cs="Arial"/>
          <w:color w:val="000000"/>
          <w:sz w:val="22"/>
          <w:szCs w:val="22"/>
          <w:shd w:val="clear" w:color="auto" w:fill="FFFFFF"/>
        </w:rPr>
        <w:t>ubs</w:t>
      </w:r>
      <w:r w:rsidRPr="00E55799">
        <w:rPr>
          <w:rFonts w:ascii="Arial" w:hAnsi="Arial" w:cs="Arial"/>
          <w:color w:val="000000"/>
          <w:sz w:val="22"/>
          <w:szCs w:val="22"/>
          <w:shd w:val="clear" w:color="auto" w:fill="FFFFFF"/>
        </w:rPr>
        <w:t>ection 7(2A) of the legislative instrument is subject to independent merits review.</w:t>
      </w:r>
    </w:p>
    <w:p w14:paraId="76D97BBF" w14:textId="4BD80BF9" w:rsidR="005F518D" w:rsidRPr="00E55799" w:rsidRDefault="005F518D" w:rsidP="003A3878">
      <w:pPr>
        <w:spacing w:after="120"/>
        <w:rPr>
          <w:rFonts w:ascii="Arial" w:hAnsi="Arial" w:cs="Arial"/>
          <w:sz w:val="22"/>
          <w:szCs w:val="22"/>
        </w:rPr>
      </w:pPr>
    </w:p>
    <w:p w14:paraId="1A245276" w14:textId="3BB73054" w:rsidR="005F518D" w:rsidRPr="00400133" w:rsidRDefault="005F518D" w:rsidP="00400133">
      <w:pPr>
        <w:pStyle w:val="Heading3"/>
        <w:rPr>
          <w:i/>
          <w:iCs/>
          <w:sz w:val="22"/>
          <w:szCs w:val="22"/>
        </w:rPr>
      </w:pPr>
      <w:r w:rsidRPr="00400133">
        <w:rPr>
          <w:i/>
          <w:iCs/>
          <w:sz w:val="22"/>
          <w:szCs w:val="22"/>
        </w:rPr>
        <w:t>Objecting to decisions under the Coronavirus Economic Response Package (Payments and Benefits) Act</w:t>
      </w:r>
    </w:p>
    <w:p w14:paraId="0911512C" w14:textId="590FB619" w:rsidR="005F518D" w:rsidRPr="00E55799" w:rsidRDefault="005F518D" w:rsidP="005E7313">
      <w:pPr>
        <w:numPr>
          <w:ilvl w:val="0"/>
          <w:numId w:val="1"/>
        </w:numPr>
        <w:tabs>
          <w:tab w:val="clear" w:pos="786"/>
        </w:tabs>
        <w:spacing w:after="120"/>
        <w:ind w:left="0" w:firstLine="0"/>
        <w:rPr>
          <w:rFonts w:ascii="Arial" w:hAnsi="Arial" w:cs="Arial"/>
          <w:color w:val="000000"/>
          <w:sz w:val="22"/>
          <w:szCs w:val="22"/>
          <w:shd w:val="clear" w:color="auto" w:fill="FFFFFF"/>
        </w:rPr>
      </w:pPr>
      <w:r w:rsidRPr="00E55799">
        <w:rPr>
          <w:rFonts w:ascii="Arial" w:hAnsi="Arial" w:cs="Arial"/>
          <w:color w:val="000000"/>
          <w:sz w:val="22"/>
          <w:szCs w:val="22"/>
          <w:shd w:val="clear" w:color="auto" w:fill="FFFFFF"/>
        </w:rPr>
        <w:t xml:space="preserve">Subsection 13(1) of the </w:t>
      </w:r>
      <w:r w:rsidRPr="00E55799">
        <w:rPr>
          <w:rFonts w:ascii="Arial" w:hAnsi="Arial" w:cs="Arial"/>
          <w:i/>
          <w:iCs/>
          <w:color w:val="000000"/>
          <w:sz w:val="22"/>
          <w:szCs w:val="22"/>
          <w:shd w:val="clear" w:color="auto" w:fill="FFFFFF"/>
        </w:rPr>
        <w:t xml:space="preserve">Coronavirus Economic Response Package (Payments and Benefits) Act 2020 </w:t>
      </w:r>
      <w:r w:rsidRPr="00E55799">
        <w:rPr>
          <w:rFonts w:ascii="Arial" w:hAnsi="Arial" w:cs="Arial"/>
          <w:color w:val="000000"/>
          <w:sz w:val="22"/>
          <w:szCs w:val="22"/>
          <w:shd w:val="clear" w:color="auto" w:fill="FFFFFF"/>
        </w:rPr>
        <w:t xml:space="preserve">(CERP Act) states that an entity that is dissatisfied with a decision covered by subsection 13(2) of the CERP Act may object to the decision in the manner set out in Part IVC of the </w:t>
      </w:r>
      <w:r w:rsidRPr="00E55799">
        <w:rPr>
          <w:rFonts w:ascii="Arial" w:hAnsi="Arial" w:cs="Arial"/>
          <w:i/>
          <w:iCs/>
          <w:color w:val="000000"/>
          <w:sz w:val="22"/>
          <w:szCs w:val="22"/>
          <w:shd w:val="clear" w:color="auto" w:fill="FFFFFF"/>
        </w:rPr>
        <w:t>Taxation Administration Act 1953</w:t>
      </w:r>
      <w:r w:rsidRPr="00E55799">
        <w:rPr>
          <w:rFonts w:ascii="Arial" w:hAnsi="Arial" w:cs="Arial"/>
          <w:color w:val="000000"/>
          <w:sz w:val="22"/>
          <w:szCs w:val="22"/>
          <w:shd w:val="clear" w:color="auto" w:fill="FFFFFF"/>
        </w:rPr>
        <w:t xml:space="preserve"> (TAA).</w:t>
      </w:r>
    </w:p>
    <w:p w14:paraId="523EC136" w14:textId="77777777" w:rsidR="005F518D" w:rsidRPr="00E55799" w:rsidRDefault="005F518D" w:rsidP="005E7313">
      <w:pPr>
        <w:numPr>
          <w:ilvl w:val="0"/>
          <w:numId w:val="1"/>
        </w:numPr>
        <w:tabs>
          <w:tab w:val="clear" w:pos="786"/>
        </w:tabs>
        <w:spacing w:after="120"/>
        <w:ind w:left="0" w:firstLine="0"/>
        <w:rPr>
          <w:rFonts w:ascii="Arial" w:hAnsi="Arial" w:cs="Arial"/>
          <w:color w:val="000000"/>
          <w:sz w:val="22"/>
          <w:szCs w:val="22"/>
          <w:shd w:val="clear" w:color="auto" w:fill="FFFFFF"/>
        </w:rPr>
      </w:pPr>
      <w:r w:rsidRPr="00E55799">
        <w:rPr>
          <w:rFonts w:ascii="Arial" w:hAnsi="Arial" w:cs="Arial"/>
          <w:color w:val="000000"/>
          <w:sz w:val="22"/>
          <w:szCs w:val="22"/>
          <w:shd w:val="clear" w:color="auto" w:fill="FFFFFF"/>
        </w:rPr>
        <w:t>For a decision to be covered by subsection 13(2) of the CERP Act, it must be a decision of the kind referred to in paragraphs 13(2)(a) to (f). Relevantly, paragraph (b) covers ‘a decision that the entity is entitled to a Coronavirus economic response payment for a period of a particular amount’.</w:t>
      </w:r>
    </w:p>
    <w:p w14:paraId="0A97B766" w14:textId="77777777" w:rsidR="005F518D" w:rsidRPr="00E55799" w:rsidRDefault="005F518D" w:rsidP="005E7313">
      <w:pPr>
        <w:numPr>
          <w:ilvl w:val="0"/>
          <w:numId w:val="1"/>
        </w:numPr>
        <w:tabs>
          <w:tab w:val="clear" w:pos="786"/>
        </w:tabs>
        <w:spacing w:after="120"/>
        <w:ind w:left="0" w:firstLine="0"/>
        <w:rPr>
          <w:rFonts w:ascii="Arial" w:hAnsi="Arial" w:cs="Arial"/>
          <w:color w:val="000000"/>
          <w:sz w:val="22"/>
          <w:szCs w:val="22"/>
          <w:shd w:val="clear" w:color="auto" w:fill="FFFFFF"/>
        </w:rPr>
      </w:pPr>
      <w:r w:rsidRPr="00E55799">
        <w:rPr>
          <w:rFonts w:ascii="Arial" w:hAnsi="Arial" w:cs="Arial"/>
          <w:color w:val="000000"/>
          <w:sz w:val="22"/>
          <w:szCs w:val="22"/>
          <w:shd w:val="clear" w:color="auto" w:fill="FFFFFF"/>
        </w:rPr>
        <w:t>Subsection 20(1) of the CERP Act allows the Treasurer to make rules prescribing matters required or permitted by the Act to be prescribed by the rules, or matters that are necessary or convenient to be prescribed for carrying out or giving effect to the Act.</w:t>
      </w:r>
    </w:p>
    <w:p w14:paraId="4B6665D7" w14:textId="77777777" w:rsidR="005F518D" w:rsidRPr="00E55799" w:rsidRDefault="005F518D" w:rsidP="005E7313">
      <w:pPr>
        <w:numPr>
          <w:ilvl w:val="0"/>
          <w:numId w:val="1"/>
        </w:numPr>
        <w:tabs>
          <w:tab w:val="clear" w:pos="786"/>
        </w:tabs>
        <w:spacing w:after="120"/>
        <w:ind w:left="0" w:firstLine="0"/>
        <w:rPr>
          <w:rFonts w:ascii="Arial" w:hAnsi="Arial" w:cs="Arial"/>
          <w:color w:val="000000"/>
          <w:sz w:val="22"/>
          <w:szCs w:val="22"/>
          <w:shd w:val="clear" w:color="auto" w:fill="FFFFFF"/>
        </w:rPr>
      </w:pPr>
      <w:r w:rsidRPr="00E55799">
        <w:rPr>
          <w:rFonts w:ascii="Arial" w:hAnsi="Arial" w:cs="Arial"/>
          <w:color w:val="000000"/>
          <w:sz w:val="22"/>
          <w:szCs w:val="22"/>
          <w:shd w:val="clear" w:color="auto" w:fill="FFFFFF"/>
        </w:rPr>
        <w:t>Further, subsection 20(4) of the CERP Act allows the rules to make provision in relation to a matter by conferring a power on the Commissioner to make ‘an instrument of a legislative or administrative character,’ or ‘a decision of an administrative character’. For this legislative instrument, the Rules are the relevant rules.</w:t>
      </w:r>
    </w:p>
    <w:p w14:paraId="1B4AB5BC" w14:textId="2A090346" w:rsidR="005B4629" w:rsidRPr="00E55799" w:rsidRDefault="005F518D" w:rsidP="00400133">
      <w:pPr>
        <w:keepNext/>
        <w:numPr>
          <w:ilvl w:val="0"/>
          <w:numId w:val="1"/>
        </w:numPr>
        <w:tabs>
          <w:tab w:val="clear" w:pos="786"/>
        </w:tabs>
        <w:spacing w:after="120"/>
        <w:ind w:left="0" w:firstLine="0"/>
        <w:rPr>
          <w:rFonts w:ascii="Arial" w:hAnsi="Arial" w:cs="Arial"/>
          <w:color w:val="000000"/>
          <w:sz w:val="22"/>
          <w:szCs w:val="22"/>
          <w:shd w:val="clear" w:color="auto" w:fill="FFFFFF"/>
        </w:rPr>
      </w:pPr>
      <w:r w:rsidRPr="00E55799">
        <w:rPr>
          <w:rFonts w:ascii="Arial" w:hAnsi="Arial" w:cs="Arial"/>
          <w:color w:val="000000"/>
          <w:sz w:val="22"/>
          <w:szCs w:val="22"/>
          <w:shd w:val="clear" w:color="auto" w:fill="FFFFFF"/>
        </w:rPr>
        <w:lastRenderedPageBreak/>
        <w:t xml:space="preserve">Included in the Rules is subsection </w:t>
      </w:r>
      <w:r w:rsidR="005B4629" w:rsidRPr="00E55799">
        <w:rPr>
          <w:rFonts w:ascii="Arial" w:hAnsi="Arial" w:cs="Arial"/>
          <w:color w:val="000000"/>
          <w:sz w:val="22"/>
          <w:szCs w:val="22"/>
          <w:shd w:val="clear" w:color="auto" w:fill="FFFFFF"/>
        </w:rPr>
        <w:t>27</w:t>
      </w:r>
      <w:r w:rsidRPr="00E55799">
        <w:rPr>
          <w:rFonts w:ascii="Arial" w:hAnsi="Arial" w:cs="Arial"/>
          <w:color w:val="000000"/>
          <w:sz w:val="22"/>
          <w:szCs w:val="22"/>
          <w:shd w:val="clear" w:color="auto" w:fill="FFFFFF"/>
        </w:rPr>
        <w:t>(</w:t>
      </w:r>
      <w:r w:rsidR="005B4629" w:rsidRPr="00E55799">
        <w:rPr>
          <w:rFonts w:ascii="Arial" w:hAnsi="Arial" w:cs="Arial"/>
          <w:color w:val="000000"/>
          <w:sz w:val="22"/>
          <w:szCs w:val="22"/>
          <w:shd w:val="clear" w:color="auto" w:fill="FFFFFF"/>
        </w:rPr>
        <w:t>3</w:t>
      </w:r>
      <w:r w:rsidRPr="00E55799">
        <w:rPr>
          <w:rFonts w:ascii="Arial" w:hAnsi="Arial" w:cs="Arial"/>
          <w:color w:val="000000"/>
          <w:sz w:val="22"/>
          <w:szCs w:val="22"/>
          <w:shd w:val="clear" w:color="auto" w:fill="FFFFFF"/>
        </w:rPr>
        <w:t>) which states that:</w:t>
      </w:r>
    </w:p>
    <w:p w14:paraId="51C475B8" w14:textId="05035ECD" w:rsidR="005F518D" w:rsidRPr="00E55799" w:rsidRDefault="005F518D" w:rsidP="00400133">
      <w:pPr>
        <w:pStyle w:val="ListParagraph"/>
        <w:spacing w:after="120" w:line="240" w:lineRule="auto"/>
        <w:ind w:left="709"/>
        <w:rPr>
          <w:rFonts w:ascii="Arial" w:hAnsi="Arial" w:cs="Arial"/>
          <w:color w:val="000000"/>
          <w:shd w:val="clear" w:color="auto" w:fill="FFFFFF"/>
        </w:rPr>
      </w:pPr>
      <w:r w:rsidRPr="00E55799">
        <w:rPr>
          <w:rFonts w:ascii="Arial" w:hAnsi="Arial" w:cs="Arial"/>
          <w:color w:val="000000"/>
          <w:shd w:val="clear" w:color="auto" w:fill="FFFFFF"/>
        </w:rPr>
        <w:t>‘</w:t>
      </w:r>
      <w:r w:rsidR="005B4629" w:rsidRPr="00E55799">
        <w:rPr>
          <w:rFonts w:ascii="Arial" w:hAnsi="Arial" w:cs="Arial"/>
          <w:color w:val="000000"/>
          <w:shd w:val="clear" w:color="auto" w:fill="FFFFFF"/>
        </w:rPr>
        <w:t>The Commissioner may, by legislative instrument, determine reporting requirements for the purposes of paragraph (1)(h)</w:t>
      </w:r>
      <w:r w:rsidRPr="00E55799">
        <w:rPr>
          <w:rFonts w:ascii="Arial" w:hAnsi="Arial" w:cs="Arial"/>
          <w:color w:val="000000"/>
          <w:shd w:val="clear" w:color="auto" w:fill="FFFFFF"/>
        </w:rPr>
        <w:t>.’</w:t>
      </w:r>
    </w:p>
    <w:p w14:paraId="1A7E4461" w14:textId="43A301E9" w:rsidR="005B4629" w:rsidRPr="00E55799" w:rsidRDefault="005F518D" w:rsidP="005E7313">
      <w:pPr>
        <w:numPr>
          <w:ilvl w:val="0"/>
          <w:numId w:val="1"/>
        </w:numPr>
        <w:tabs>
          <w:tab w:val="clear" w:pos="786"/>
        </w:tabs>
        <w:spacing w:after="120"/>
        <w:ind w:left="0" w:firstLine="0"/>
        <w:rPr>
          <w:rFonts w:ascii="Arial" w:hAnsi="Arial" w:cs="Arial"/>
          <w:color w:val="000000"/>
          <w:sz w:val="22"/>
          <w:szCs w:val="22"/>
          <w:shd w:val="clear" w:color="auto" w:fill="FFFFFF"/>
        </w:rPr>
      </w:pPr>
      <w:r w:rsidRPr="00E55799">
        <w:rPr>
          <w:rFonts w:ascii="Arial" w:hAnsi="Arial" w:cs="Arial"/>
          <w:color w:val="000000"/>
          <w:sz w:val="22"/>
          <w:szCs w:val="22"/>
          <w:shd w:val="clear" w:color="auto" w:fill="FFFFFF"/>
        </w:rPr>
        <w:t xml:space="preserve">As the relevant legislative instrument referred to in subsection </w:t>
      </w:r>
      <w:r w:rsidR="005B4629" w:rsidRPr="00E55799">
        <w:rPr>
          <w:rFonts w:ascii="Arial" w:hAnsi="Arial" w:cs="Arial"/>
          <w:color w:val="000000"/>
          <w:sz w:val="22"/>
          <w:szCs w:val="22"/>
          <w:shd w:val="clear" w:color="auto" w:fill="FFFFFF"/>
        </w:rPr>
        <w:t>27(3</w:t>
      </w:r>
      <w:r w:rsidRPr="00E55799">
        <w:rPr>
          <w:rFonts w:ascii="Arial" w:hAnsi="Arial" w:cs="Arial"/>
          <w:color w:val="000000"/>
          <w:sz w:val="22"/>
          <w:szCs w:val="22"/>
          <w:shd w:val="clear" w:color="auto" w:fill="FFFFFF"/>
        </w:rPr>
        <w:t>) of the Rules is th</w:t>
      </w:r>
      <w:r w:rsidR="008C138B" w:rsidRPr="00E55799">
        <w:rPr>
          <w:rFonts w:ascii="Arial" w:hAnsi="Arial" w:cs="Arial"/>
          <w:color w:val="000000"/>
          <w:sz w:val="22"/>
          <w:szCs w:val="22"/>
          <w:shd w:val="clear" w:color="auto" w:fill="FFFFFF"/>
        </w:rPr>
        <w:t>e primary instrument (as amended by this</w:t>
      </w:r>
      <w:r w:rsidRPr="00E55799">
        <w:rPr>
          <w:rFonts w:ascii="Arial" w:hAnsi="Arial" w:cs="Arial"/>
          <w:color w:val="000000"/>
          <w:sz w:val="22"/>
          <w:szCs w:val="22"/>
          <w:shd w:val="clear" w:color="auto" w:fill="FFFFFF"/>
        </w:rPr>
        <w:t xml:space="preserve"> legislative instrument</w:t>
      </w:r>
      <w:r w:rsidR="008C138B" w:rsidRPr="00E55799">
        <w:rPr>
          <w:rFonts w:ascii="Arial" w:hAnsi="Arial" w:cs="Arial"/>
          <w:color w:val="000000"/>
          <w:sz w:val="22"/>
          <w:szCs w:val="22"/>
          <w:shd w:val="clear" w:color="auto" w:fill="FFFFFF"/>
        </w:rPr>
        <w:t>)</w:t>
      </w:r>
      <w:r w:rsidRPr="00E55799">
        <w:rPr>
          <w:rFonts w:ascii="Arial" w:hAnsi="Arial" w:cs="Arial"/>
          <w:color w:val="000000"/>
          <w:sz w:val="22"/>
          <w:szCs w:val="22"/>
          <w:shd w:val="clear" w:color="auto" w:fill="FFFFFF"/>
        </w:rPr>
        <w:t>, a decision that the Commissioner makes under s</w:t>
      </w:r>
      <w:r w:rsidR="005B4629" w:rsidRPr="00E55799">
        <w:rPr>
          <w:rFonts w:ascii="Arial" w:hAnsi="Arial" w:cs="Arial"/>
          <w:color w:val="000000"/>
          <w:sz w:val="22"/>
          <w:szCs w:val="22"/>
          <w:shd w:val="clear" w:color="auto" w:fill="FFFFFF"/>
        </w:rPr>
        <w:t>ubse</w:t>
      </w:r>
      <w:r w:rsidRPr="00E55799">
        <w:rPr>
          <w:rFonts w:ascii="Arial" w:hAnsi="Arial" w:cs="Arial"/>
          <w:color w:val="000000"/>
          <w:sz w:val="22"/>
          <w:szCs w:val="22"/>
          <w:shd w:val="clear" w:color="auto" w:fill="FFFFFF"/>
        </w:rPr>
        <w:t>ction 7</w:t>
      </w:r>
      <w:r w:rsidR="005B4629" w:rsidRPr="00E55799">
        <w:rPr>
          <w:rFonts w:ascii="Arial" w:hAnsi="Arial" w:cs="Arial"/>
          <w:color w:val="000000"/>
          <w:sz w:val="22"/>
          <w:szCs w:val="22"/>
          <w:shd w:val="clear" w:color="auto" w:fill="FFFFFF"/>
        </w:rPr>
        <w:t>(2A)</w:t>
      </w:r>
      <w:r w:rsidRPr="00E55799">
        <w:rPr>
          <w:rFonts w:ascii="Arial" w:hAnsi="Arial" w:cs="Arial"/>
          <w:color w:val="000000"/>
          <w:sz w:val="22"/>
          <w:szCs w:val="22"/>
          <w:shd w:val="clear" w:color="auto" w:fill="FFFFFF"/>
        </w:rPr>
        <w:t xml:space="preserve"> of this legislative instrument will be a decision made under the CERP</w:t>
      </w:r>
      <w:r w:rsidR="00400133">
        <w:rPr>
          <w:rFonts w:ascii="Arial" w:hAnsi="Arial" w:cs="Arial"/>
          <w:color w:val="000000"/>
          <w:sz w:val="22"/>
          <w:szCs w:val="22"/>
          <w:shd w:val="clear" w:color="auto" w:fill="FFFFFF"/>
        </w:rPr>
        <w:t> </w:t>
      </w:r>
      <w:r w:rsidRPr="00E55799">
        <w:rPr>
          <w:rFonts w:ascii="Arial" w:hAnsi="Arial" w:cs="Arial"/>
          <w:color w:val="000000"/>
          <w:sz w:val="22"/>
          <w:szCs w:val="22"/>
          <w:shd w:val="clear" w:color="auto" w:fill="FFFFFF"/>
        </w:rPr>
        <w:t>Act.</w:t>
      </w:r>
    </w:p>
    <w:p w14:paraId="3B0CF5BA" w14:textId="12E0654D" w:rsidR="005B4629" w:rsidRPr="00E55799" w:rsidRDefault="005F518D" w:rsidP="005E7313">
      <w:pPr>
        <w:numPr>
          <w:ilvl w:val="0"/>
          <w:numId w:val="1"/>
        </w:numPr>
        <w:tabs>
          <w:tab w:val="clear" w:pos="786"/>
        </w:tabs>
        <w:spacing w:after="120"/>
        <w:ind w:left="0" w:firstLine="0"/>
        <w:rPr>
          <w:rFonts w:ascii="Arial" w:hAnsi="Arial" w:cs="Arial"/>
          <w:color w:val="000000"/>
          <w:sz w:val="22"/>
          <w:szCs w:val="22"/>
          <w:shd w:val="clear" w:color="auto" w:fill="FFFFFF"/>
        </w:rPr>
      </w:pPr>
      <w:r w:rsidRPr="00E55799">
        <w:rPr>
          <w:rFonts w:ascii="Arial" w:hAnsi="Arial" w:cs="Arial"/>
          <w:color w:val="000000"/>
          <w:sz w:val="22"/>
          <w:szCs w:val="22"/>
          <w:shd w:val="clear" w:color="auto" w:fill="FFFFFF"/>
        </w:rPr>
        <w:t xml:space="preserve">Further, as that decision affects </w:t>
      </w:r>
      <w:r w:rsidR="00CD554C" w:rsidRPr="00E55799">
        <w:rPr>
          <w:rFonts w:ascii="Arial" w:hAnsi="Arial" w:cs="Arial"/>
          <w:color w:val="000000"/>
          <w:sz w:val="22"/>
          <w:szCs w:val="22"/>
          <w:shd w:val="clear" w:color="auto" w:fill="FFFFFF"/>
        </w:rPr>
        <w:t xml:space="preserve">whether an entity is entitled to a </w:t>
      </w:r>
      <w:r w:rsidRPr="00E55799">
        <w:rPr>
          <w:rFonts w:ascii="Arial" w:hAnsi="Arial" w:cs="Arial"/>
          <w:color w:val="000000"/>
          <w:sz w:val="22"/>
          <w:szCs w:val="22"/>
          <w:shd w:val="clear" w:color="auto" w:fill="FFFFFF"/>
        </w:rPr>
        <w:t>J</w:t>
      </w:r>
      <w:r w:rsidR="00CD554C" w:rsidRPr="00E55799">
        <w:rPr>
          <w:rFonts w:ascii="Arial" w:hAnsi="Arial" w:cs="Arial"/>
          <w:color w:val="000000"/>
          <w:sz w:val="22"/>
          <w:szCs w:val="22"/>
          <w:shd w:val="clear" w:color="auto" w:fill="FFFFFF"/>
        </w:rPr>
        <w:t xml:space="preserve">MHC </w:t>
      </w:r>
      <w:r w:rsidRPr="00E55799">
        <w:rPr>
          <w:rFonts w:ascii="Arial" w:hAnsi="Arial" w:cs="Arial"/>
          <w:color w:val="000000"/>
          <w:sz w:val="22"/>
          <w:szCs w:val="22"/>
          <w:shd w:val="clear" w:color="auto" w:fill="FFFFFF"/>
        </w:rPr>
        <w:t xml:space="preserve">payment </w:t>
      </w:r>
      <w:r w:rsidR="00CD554C" w:rsidRPr="00E55799">
        <w:rPr>
          <w:rFonts w:ascii="Arial" w:hAnsi="Arial" w:cs="Arial"/>
          <w:color w:val="000000"/>
          <w:sz w:val="22"/>
          <w:szCs w:val="22"/>
          <w:shd w:val="clear" w:color="auto" w:fill="FFFFFF"/>
        </w:rPr>
        <w:t>under s</w:t>
      </w:r>
      <w:r w:rsidR="008C138B" w:rsidRPr="00E55799">
        <w:rPr>
          <w:rFonts w:ascii="Arial" w:hAnsi="Arial" w:cs="Arial"/>
          <w:color w:val="000000"/>
          <w:sz w:val="22"/>
          <w:szCs w:val="22"/>
          <w:shd w:val="clear" w:color="auto" w:fill="FFFFFF"/>
        </w:rPr>
        <w:t>ubs</w:t>
      </w:r>
      <w:r w:rsidR="00CD554C" w:rsidRPr="00E55799">
        <w:rPr>
          <w:rFonts w:ascii="Arial" w:hAnsi="Arial" w:cs="Arial"/>
          <w:color w:val="000000"/>
          <w:sz w:val="22"/>
          <w:szCs w:val="22"/>
          <w:shd w:val="clear" w:color="auto" w:fill="FFFFFF"/>
        </w:rPr>
        <w:t>ection 27</w:t>
      </w:r>
      <w:r w:rsidR="008C138B" w:rsidRPr="00E55799">
        <w:rPr>
          <w:rFonts w:ascii="Arial" w:hAnsi="Arial" w:cs="Arial"/>
          <w:color w:val="000000"/>
          <w:sz w:val="22"/>
          <w:szCs w:val="22"/>
          <w:shd w:val="clear" w:color="auto" w:fill="FFFFFF"/>
        </w:rPr>
        <w:t>(1)</w:t>
      </w:r>
      <w:r w:rsidR="00CD554C" w:rsidRPr="00E55799">
        <w:rPr>
          <w:rFonts w:ascii="Arial" w:hAnsi="Arial" w:cs="Arial"/>
          <w:color w:val="000000"/>
          <w:sz w:val="22"/>
          <w:szCs w:val="22"/>
          <w:shd w:val="clear" w:color="auto" w:fill="FFFFFF"/>
        </w:rPr>
        <w:t xml:space="preserve"> of the Rules, if the Commissioner is not satisfied that subsection 7(2B) applies then the Commissioner may make a </w:t>
      </w:r>
      <w:r w:rsidRPr="00E55799">
        <w:rPr>
          <w:rFonts w:ascii="Arial" w:hAnsi="Arial" w:cs="Arial"/>
          <w:color w:val="000000"/>
          <w:sz w:val="22"/>
          <w:szCs w:val="22"/>
          <w:shd w:val="clear" w:color="auto" w:fill="FFFFFF"/>
        </w:rPr>
        <w:t xml:space="preserve">decision </w:t>
      </w:r>
      <w:r w:rsidR="00CD554C" w:rsidRPr="00E55799">
        <w:rPr>
          <w:rFonts w:ascii="Arial" w:hAnsi="Arial" w:cs="Arial"/>
          <w:color w:val="000000"/>
          <w:sz w:val="22"/>
          <w:szCs w:val="22"/>
          <w:shd w:val="clear" w:color="auto" w:fill="FFFFFF"/>
        </w:rPr>
        <w:t xml:space="preserve">that the entity is not entitled to </w:t>
      </w:r>
      <w:r w:rsidRPr="00E55799">
        <w:rPr>
          <w:rFonts w:ascii="Arial" w:hAnsi="Arial" w:cs="Arial"/>
          <w:color w:val="000000"/>
          <w:sz w:val="22"/>
          <w:szCs w:val="22"/>
          <w:shd w:val="clear" w:color="auto" w:fill="FFFFFF"/>
        </w:rPr>
        <w:t xml:space="preserve">Coronavirus economic response payment </w:t>
      </w:r>
      <w:r w:rsidR="00CD554C" w:rsidRPr="00E55799">
        <w:rPr>
          <w:rFonts w:ascii="Arial" w:hAnsi="Arial" w:cs="Arial"/>
          <w:color w:val="000000"/>
          <w:sz w:val="22"/>
          <w:szCs w:val="22"/>
          <w:shd w:val="clear" w:color="auto" w:fill="FFFFFF"/>
        </w:rPr>
        <w:t>as they have not met the requirement in paragraph 27(1(h).</w:t>
      </w:r>
    </w:p>
    <w:p w14:paraId="160179C0" w14:textId="0693B27C" w:rsidR="005B4629" w:rsidRPr="00E55799" w:rsidRDefault="005F518D" w:rsidP="005E7313">
      <w:pPr>
        <w:numPr>
          <w:ilvl w:val="0"/>
          <w:numId w:val="1"/>
        </w:numPr>
        <w:tabs>
          <w:tab w:val="clear" w:pos="786"/>
        </w:tabs>
        <w:spacing w:after="120"/>
        <w:ind w:left="0" w:firstLine="0"/>
        <w:rPr>
          <w:rFonts w:ascii="Arial" w:hAnsi="Arial" w:cs="Arial"/>
          <w:color w:val="000000"/>
          <w:sz w:val="22"/>
          <w:szCs w:val="22"/>
          <w:shd w:val="clear" w:color="auto" w:fill="FFFFFF"/>
        </w:rPr>
      </w:pPr>
      <w:r w:rsidRPr="00E55799">
        <w:rPr>
          <w:rFonts w:ascii="Arial" w:hAnsi="Arial" w:cs="Arial"/>
          <w:color w:val="000000"/>
          <w:sz w:val="22"/>
          <w:szCs w:val="22"/>
          <w:shd w:val="clear" w:color="auto" w:fill="FFFFFF"/>
        </w:rPr>
        <w:t xml:space="preserve">Therefore, a decision made by the Commissioner under </w:t>
      </w:r>
      <w:r w:rsidR="00CD554C" w:rsidRPr="00E55799">
        <w:rPr>
          <w:rFonts w:ascii="Arial" w:hAnsi="Arial" w:cs="Arial"/>
          <w:color w:val="000000"/>
          <w:sz w:val="22"/>
          <w:szCs w:val="22"/>
          <w:shd w:val="clear" w:color="auto" w:fill="FFFFFF"/>
        </w:rPr>
        <w:t>sub</w:t>
      </w:r>
      <w:r w:rsidRPr="00E55799">
        <w:rPr>
          <w:rFonts w:ascii="Arial" w:hAnsi="Arial" w:cs="Arial"/>
          <w:color w:val="000000"/>
          <w:sz w:val="22"/>
          <w:szCs w:val="22"/>
          <w:shd w:val="clear" w:color="auto" w:fill="FFFFFF"/>
        </w:rPr>
        <w:t>section 7</w:t>
      </w:r>
      <w:r w:rsidR="00CD554C" w:rsidRPr="00E55799">
        <w:rPr>
          <w:rFonts w:ascii="Arial" w:hAnsi="Arial" w:cs="Arial"/>
          <w:color w:val="000000"/>
          <w:sz w:val="22"/>
          <w:szCs w:val="22"/>
          <w:shd w:val="clear" w:color="auto" w:fill="FFFFFF"/>
        </w:rPr>
        <w:t>(2A)</w:t>
      </w:r>
      <w:r w:rsidRPr="00E55799">
        <w:rPr>
          <w:rFonts w:ascii="Arial" w:hAnsi="Arial" w:cs="Arial"/>
          <w:color w:val="000000"/>
          <w:sz w:val="22"/>
          <w:szCs w:val="22"/>
          <w:shd w:val="clear" w:color="auto" w:fill="FFFFFF"/>
        </w:rPr>
        <w:t xml:space="preserve"> of the legislative instrument will fall under subsection 13(2) of the CERP Act and an entity can object to the decision in the manner set out in Part IVC of the TAA.</w:t>
      </w:r>
    </w:p>
    <w:p w14:paraId="3EAA8C46" w14:textId="77777777" w:rsidR="00E55799" w:rsidRPr="00E55799" w:rsidRDefault="00E55799" w:rsidP="00E55799">
      <w:pPr>
        <w:spacing w:after="120"/>
        <w:rPr>
          <w:rFonts w:ascii="Arial" w:hAnsi="Arial" w:cs="Arial"/>
          <w:sz w:val="22"/>
          <w:szCs w:val="22"/>
        </w:rPr>
      </w:pPr>
    </w:p>
    <w:p w14:paraId="04967C54" w14:textId="59E198AA" w:rsidR="005B4629" w:rsidRPr="00400133" w:rsidRDefault="005F518D" w:rsidP="00400133">
      <w:pPr>
        <w:pStyle w:val="Heading3"/>
        <w:rPr>
          <w:i/>
          <w:iCs/>
          <w:sz w:val="22"/>
          <w:szCs w:val="22"/>
        </w:rPr>
      </w:pPr>
      <w:r w:rsidRPr="00400133">
        <w:rPr>
          <w:i/>
          <w:iCs/>
          <w:sz w:val="22"/>
          <w:szCs w:val="22"/>
        </w:rPr>
        <w:t>Part IVC of the Taxation Administration Act 1953</w:t>
      </w:r>
    </w:p>
    <w:p w14:paraId="7AF542A4" w14:textId="77777777" w:rsidR="005B4629" w:rsidRPr="00E55799" w:rsidRDefault="005F518D" w:rsidP="005E7313">
      <w:pPr>
        <w:numPr>
          <w:ilvl w:val="0"/>
          <w:numId w:val="1"/>
        </w:numPr>
        <w:tabs>
          <w:tab w:val="clear" w:pos="786"/>
        </w:tabs>
        <w:spacing w:after="120"/>
        <w:ind w:left="0" w:firstLine="0"/>
        <w:rPr>
          <w:rFonts w:ascii="Arial" w:hAnsi="Arial" w:cs="Arial"/>
          <w:color w:val="000000"/>
          <w:sz w:val="22"/>
          <w:szCs w:val="22"/>
          <w:shd w:val="clear" w:color="auto" w:fill="FFFFFF"/>
        </w:rPr>
      </w:pPr>
      <w:r w:rsidRPr="00E55799">
        <w:rPr>
          <w:rFonts w:ascii="Arial" w:hAnsi="Arial" w:cs="Arial"/>
          <w:color w:val="000000"/>
          <w:sz w:val="22"/>
          <w:szCs w:val="22"/>
          <w:shd w:val="clear" w:color="auto" w:fill="FFFFFF"/>
        </w:rPr>
        <w:t>Part IVC of the TAA relates to taxation objections, reviews and appeals.</w:t>
      </w:r>
    </w:p>
    <w:p w14:paraId="25C72233" w14:textId="77777777" w:rsidR="005B4629" w:rsidRPr="00E55799" w:rsidRDefault="005F518D" w:rsidP="005E7313">
      <w:pPr>
        <w:numPr>
          <w:ilvl w:val="0"/>
          <w:numId w:val="1"/>
        </w:numPr>
        <w:tabs>
          <w:tab w:val="clear" w:pos="786"/>
        </w:tabs>
        <w:spacing w:after="120"/>
        <w:ind w:left="0" w:firstLine="0"/>
        <w:rPr>
          <w:rFonts w:ascii="Arial" w:hAnsi="Arial" w:cs="Arial"/>
          <w:color w:val="000000"/>
          <w:sz w:val="22"/>
          <w:szCs w:val="22"/>
        </w:rPr>
      </w:pPr>
      <w:r w:rsidRPr="00E55799">
        <w:rPr>
          <w:rFonts w:ascii="Arial" w:hAnsi="Arial" w:cs="Arial"/>
          <w:color w:val="000000"/>
          <w:sz w:val="22"/>
          <w:szCs w:val="22"/>
          <w:shd w:val="clear" w:color="auto" w:fill="FFFFFF"/>
        </w:rPr>
        <w:t xml:space="preserve">If an entity is dissatisfied with a decision in relation to whether the entity was entitled to a Coronavirus economic response payment for a period for a particular amount, the entity can lodge an objection within 60 days after the notice of the decision has been served on the person: </w:t>
      </w:r>
      <w:r w:rsidRPr="00E55799">
        <w:rPr>
          <w:rFonts w:ascii="Arial" w:hAnsi="Arial" w:cs="Arial"/>
          <w:color w:val="000000"/>
          <w:sz w:val="22"/>
          <w:szCs w:val="22"/>
        </w:rPr>
        <w:t>paragraph 14ZW(1)(c) of the TAA.</w:t>
      </w:r>
    </w:p>
    <w:p w14:paraId="1B76F94C" w14:textId="77777777" w:rsidR="005B4629" w:rsidRPr="00E55799" w:rsidRDefault="005F518D" w:rsidP="005E7313">
      <w:pPr>
        <w:numPr>
          <w:ilvl w:val="0"/>
          <w:numId w:val="1"/>
        </w:numPr>
        <w:tabs>
          <w:tab w:val="clear" w:pos="786"/>
        </w:tabs>
        <w:spacing w:after="120"/>
        <w:ind w:left="0" w:firstLine="0"/>
        <w:rPr>
          <w:rFonts w:ascii="Arial" w:hAnsi="Arial" w:cs="Arial"/>
          <w:color w:val="000000"/>
          <w:sz w:val="22"/>
          <w:szCs w:val="22"/>
        </w:rPr>
      </w:pPr>
      <w:r w:rsidRPr="00E55799">
        <w:rPr>
          <w:rFonts w:ascii="Arial" w:hAnsi="Arial" w:cs="Arial"/>
          <w:color w:val="000000"/>
          <w:sz w:val="22"/>
          <w:szCs w:val="22"/>
        </w:rPr>
        <w:t>Subsections 14ZY(1) and (2) of the TAA provide that if the objection has been lodged with the Commissioner within the required period, the Commissioner must decide whether to allow it, wholly or in part, or disallow it, and that such a decision will be an objection decision.</w:t>
      </w:r>
    </w:p>
    <w:p w14:paraId="3828DFAD" w14:textId="77777777" w:rsidR="005B4629" w:rsidRPr="00E55799" w:rsidRDefault="005F518D" w:rsidP="005E7313">
      <w:pPr>
        <w:numPr>
          <w:ilvl w:val="0"/>
          <w:numId w:val="1"/>
        </w:numPr>
        <w:tabs>
          <w:tab w:val="clear" w:pos="786"/>
        </w:tabs>
        <w:spacing w:after="120"/>
        <w:ind w:left="0" w:firstLine="0"/>
        <w:rPr>
          <w:rFonts w:ascii="Arial" w:hAnsi="Arial" w:cs="Arial"/>
          <w:color w:val="000000"/>
          <w:sz w:val="22"/>
          <w:szCs w:val="22"/>
          <w:shd w:val="clear" w:color="auto" w:fill="FFFFFF"/>
        </w:rPr>
      </w:pPr>
      <w:r w:rsidRPr="00E55799">
        <w:rPr>
          <w:rFonts w:ascii="Arial" w:hAnsi="Arial" w:cs="Arial"/>
          <w:color w:val="000000"/>
          <w:sz w:val="22"/>
          <w:szCs w:val="22"/>
          <w:shd w:val="clear" w:color="auto" w:fill="FFFFFF"/>
        </w:rPr>
        <w:t>If the entity is dissatisfied with the objection decision, then the entity can apply to the Administrative Appeals Tribunal (AAT) for a review of that decision if it is a ‘reviewable objection decision’: subparagraph 14ZZ(1)(a)(i) of the TAA. Alternatively, though less common, the person may appeal directly to the Federal Court under subparagraph 14ZZ(1)(a)(ii) of the TAA.</w:t>
      </w:r>
    </w:p>
    <w:p w14:paraId="3B5A50D7" w14:textId="2EA77D1D" w:rsidR="005B4629" w:rsidRPr="00E55799" w:rsidRDefault="005F518D" w:rsidP="005E7313">
      <w:pPr>
        <w:numPr>
          <w:ilvl w:val="0"/>
          <w:numId w:val="1"/>
        </w:numPr>
        <w:tabs>
          <w:tab w:val="clear" w:pos="786"/>
        </w:tabs>
        <w:spacing w:after="120"/>
        <w:ind w:left="0" w:firstLine="0"/>
        <w:rPr>
          <w:rFonts w:ascii="Arial" w:hAnsi="Arial" w:cs="Arial"/>
          <w:color w:val="000000"/>
          <w:sz w:val="22"/>
          <w:szCs w:val="22"/>
          <w:shd w:val="clear" w:color="auto" w:fill="FFFFFF"/>
        </w:rPr>
      </w:pPr>
      <w:r w:rsidRPr="00E55799">
        <w:rPr>
          <w:rFonts w:ascii="Arial" w:hAnsi="Arial" w:cs="Arial"/>
          <w:color w:val="000000"/>
          <w:sz w:val="22"/>
          <w:szCs w:val="22"/>
          <w:shd w:val="clear" w:color="auto" w:fill="FFFFFF"/>
        </w:rPr>
        <w:t>A decision that the Commissioner makes under s</w:t>
      </w:r>
      <w:r w:rsidR="008C138B" w:rsidRPr="00E55799">
        <w:rPr>
          <w:rFonts w:ascii="Arial" w:hAnsi="Arial" w:cs="Arial"/>
          <w:color w:val="000000"/>
          <w:sz w:val="22"/>
          <w:szCs w:val="22"/>
          <w:shd w:val="clear" w:color="auto" w:fill="FFFFFF"/>
        </w:rPr>
        <w:t>ubs</w:t>
      </w:r>
      <w:r w:rsidRPr="00E55799">
        <w:rPr>
          <w:rFonts w:ascii="Arial" w:hAnsi="Arial" w:cs="Arial"/>
          <w:color w:val="000000"/>
          <w:sz w:val="22"/>
          <w:szCs w:val="22"/>
          <w:shd w:val="clear" w:color="auto" w:fill="FFFFFF"/>
        </w:rPr>
        <w:t>ection 7</w:t>
      </w:r>
      <w:r w:rsidR="008C138B" w:rsidRPr="00E55799">
        <w:rPr>
          <w:rFonts w:ascii="Arial" w:hAnsi="Arial" w:cs="Arial"/>
          <w:color w:val="000000"/>
          <w:sz w:val="22"/>
          <w:szCs w:val="22"/>
          <w:shd w:val="clear" w:color="auto" w:fill="FFFFFF"/>
        </w:rPr>
        <w:t>(2A)</w:t>
      </w:r>
      <w:r w:rsidRPr="00E55799">
        <w:rPr>
          <w:rFonts w:ascii="Arial" w:hAnsi="Arial" w:cs="Arial"/>
          <w:color w:val="000000"/>
          <w:sz w:val="22"/>
          <w:szCs w:val="22"/>
          <w:shd w:val="clear" w:color="auto" w:fill="FFFFFF"/>
        </w:rPr>
        <w:t xml:space="preserve"> of the legislative instrument will be a reviewable objection decision.</w:t>
      </w:r>
    </w:p>
    <w:p w14:paraId="201ED517" w14:textId="77777777" w:rsidR="00E55799" w:rsidRPr="00E55799" w:rsidRDefault="00E55799" w:rsidP="00E55799">
      <w:pPr>
        <w:spacing w:after="120"/>
        <w:rPr>
          <w:rFonts w:ascii="Arial" w:hAnsi="Arial" w:cs="Arial"/>
          <w:sz w:val="22"/>
          <w:szCs w:val="22"/>
        </w:rPr>
      </w:pPr>
    </w:p>
    <w:p w14:paraId="1BAE7E0D" w14:textId="49536A38" w:rsidR="0082745E" w:rsidRPr="00E55799" w:rsidRDefault="0082745E" w:rsidP="00E55799">
      <w:pPr>
        <w:pStyle w:val="Heading2"/>
      </w:pPr>
      <w:r w:rsidRPr="00E55799">
        <w:t>Consultation</w:t>
      </w:r>
    </w:p>
    <w:p w14:paraId="1F6631DD" w14:textId="2975BBE4" w:rsidR="00C169A8" w:rsidRPr="00E55799" w:rsidRDefault="00C169A8" w:rsidP="005E7313">
      <w:pPr>
        <w:numPr>
          <w:ilvl w:val="0"/>
          <w:numId w:val="1"/>
        </w:numPr>
        <w:tabs>
          <w:tab w:val="clear" w:pos="786"/>
        </w:tabs>
        <w:spacing w:after="120"/>
        <w:ind w:left="0" w:firstLine="0"/>
        <w:rPr>
          <w:rFonts w:ascii="Arial" w:hAnsi="Arial" w:cs="Arial"/>
          <w:sz w:val="22"/>
          <w:szCs w:val="22"/>
        </w:rPr>
      </w:pPr>
      <w:r w:rsidRPr="00E55799">
        <w:rPr>
          <w:rFonts w:ascii="Arial" w:hAnsi="Arial" w:cs="Arial"/>
          <w:sz w:val="22"/>
          <w:szCs w:val="22"/>
        </w:rPr>
        <w:t>This amendment primarily addresses limitations highlighted by digital software providers about software constraints during consultations to implement the JMHC scheme.</w:t>
      </w:r>
    </w:p>
    <w:p w14:paraId="49446CD1" w14:textId="77777777" w:rsidR="00E55799" w:rsidRPr="00E55799" w:rsidRDefault="00A80851" w:rsidP="005E7313">
      <w:pPr>
        <w:numPr>
          <w:ilvl w:val="0"/>
          <w:numId w:val="1"/>
        </w:numPr>
        <w:tabs>
          <w:tab w:val="clear" w:pos="786"/>
        </w:tabs>
        <w:spacing w:after="120"/>
        <w:ind w:left="0" w:firstLine="0"/>
        <w:rPr>
          <w:rFonts w:ascii="Arial" w:hAnsi="Arial" w:cs="Arial"/>
          <w:sz w:val="22"/>
          <w:szCs w:val="22"/>
        </w:rPr>
      </w:pPr>
      <w:r w:rsidRPr="00E55799">
        <w:rPr>
          <w:rFonts w:ascii="Arial" w:hAnsi="Arial" w:cs="Arial"/>
          <w:sz w:val="22"/>
          <w:szCs w:val="22"/>
        </w:rPr>
        <w:t>This amendment is administrative and necessary to enable the Commissioner to offer an alternative option for employers to claim JMHC payments. The changes enable additional employers to claim JMHC payments who would otherwise be prevented from claiming.</w:t>
      </w:r>
    </w:p>
    <w:p w14:paraId="2731FA32" w14:textId="77777777" w:rsidR="00E55799" w:rsidRPr="00E55799" w:rsidRDefault="001F23CF" w:rsidP="005E7313">
      <w:pPr>
        <w:numPr>
          <w:ilvl w:val="0"/>
          <w:numId w:val="1"/>
        </w:numPr>
        <w:tabs>
          <w:tab w:val="clear" w:pos="786"/>
        </w:tabs>
        <w:spacing w:after="120"/>
        <w:ind w:left="0" w:firstLine="0"/>
        <w:rPr>
          <w:rFonts w:ascii="Arial" w:hAnsi="Arial" w:cs="Arial"/>
          <w:sz w:val="22"/>
          <w:szCs w:val="22"/>
        </w:rPr>
      </w:pPr>
      <w:r w:rsidRPr="00E55799">
        <w:rPr>
          <w:rFonts w:ascii="Arial" w:hAnsi="Arial" w:cs="Arial"/>
          <w:sz w:val="22"/>
          <w:szCs w:val="22"/>
        </w:rPr>
        <w:t xml:space="preserve">To ensure that the alternative option is available at the earliest opportunity, </w:t>
      </w:r>
      <w:r w:rsidR="00850683" w:rsidRPr="00E55799">
        <w:rPr>
          <w:rFonts w:ascii="Arial" w:hAnsi="Arial" w:cs="Arial"/>
          <w:sz w:val="22"/>
          <w:szCs w:val="22"/>
        </w:rPr>
        <w:t>only</w:t>
      </w:r>
      <w:r w:rsidR="006250F1" w:rsidRPr="00E55799">
        <w:rPr>
          <w:rFonts w:ascii="Arial" w:hAnsi="Arial" w:cs="Arial"/>
          <w:sz w:val="22"/>
          <w:szCs w:val="22"/>
        </w:rPr>
        <w:t xml:space="preserve"> targeted</w:t>
      </w:r>
      <w:r w:rsidR="00850683" w:rsidRPr="00E55799">
        <w:rPr>
          <w:rFonts w:ascii="Arial" w:hAnsi="Arial" w:cs="Arial"/>
          <w:sz w:val="22"/>
          <w:szCs w:val="22"/>
        </w:rPr>
        <w:t xml:space="preserve"> consultation was </w:t>
      </w:r>
      <w:r w:rsidRPr="00E55799">
        <w:rPr>
          <w:rFonts w:ascii="Arial" w:hAnsi="Arial" w:cs="Arial"/>
          <w:sz w:val="22"/>
          <w:szCs w:val="22"/>
        </w:rPr>
        <w:t>undertaken</w:t>
      </w:r>
      <w:r w:rsidR="00C1229F" w:rsidRPr="00E55799">
        <w:rPr>
          <w:rFonts w:ascii="Arial" w:hAnsi="Arial" w:cs="Arial"/>
          <w:sz w:val="22"/>
          <w:szCs w:val="22"/>
        </w:rPr>
        <w:t>.</w:t>
      </w:r>
      <w:r w:rsidR="00AF5FEB" w:rsidRPr="00E55799">
        <w:rPr>
          <w:rFonts w:ascii="Arial" w:hAnsi="Arial" w:cs="Arial"/>
          <w:sz w:val="22"/>
          <w:szCs w:val="22"/>
        </w:rPr>
        <w:t xml:space="preserve"> </w:t>
      </w:r>
      <w:r w:rsidR="006250F1" w:rsidRPr="00E55799">
        <w:rPr>
          <w:rFonts w:ascii="Arial" w:hAnsi="Arial" w:cs="Arial"/>
          <w:sz w:val="22"/>
          <w:szCs w:val="22"/>
        </w:rPr>
        <w:t>In these circumstances the Commissioner has undertaken reasonable and appropriate consultation over a shorter period than would otherwise have been used.</w:t>
      </w:r>
    </w:p>
    <w:p w14:paraId="7D026DC3" w14:textId="77777777" w:rsidR="005E7313" w:rsidRPr="005E7313" w:rsidRDefault="006250F1" w:rsidP="005E7313">
      <w:pPr>
        <w:numPr>
          <w:ilvl w:val="0"/>
          <w:numId w:val="1"/>
        </w:numPr>
        <w:tabs>
          <w:tab w:val="clear" w:pos="786"/>
        </w:tabs>
        <w:spacing w:after="120"/>
        <w:ind w:left="0" w:firstLine="0"/>
        <w:rPr>
          <w:rFonts w:ascii="Arial" w:hAnsi="Arial" w:cs="Arial"/>
          <w:sz w:val="22"/>
          <w:szCs w:val="22"/>
        </w:rPr>
      </w:pPr>
      <w:r w:rsidRPr="00E55799">
        <w:rPr>
          <w:rFonts w:ascii="Arial" w:hAnsi="Arial" w:cs="Arial"/>
          <w:color w:val="000000"/>
          <w:sz w:val="22"/>
          <w:szCs w:val="22"/>
          <w:shd w:val="clear" w:color="auto" w:fill="FFFFFF"/>
        </w:rPr>
        <w:t xml:space="preserve">Copies of the draft amendment legislative instrument and explanatory statement were sent to various representatives of professional and industry associations and business </w:t>
      </w:r>
      <w:r w:rsidR="00852103" w:rsidRPr="00E55799">
        <w:rPr>
          <w:rFonts w:ascii="Arial" w:hAnsi="Arial" w:cs="Arial"/>
          <w:color w:val="000000"/>
          <w:sz w:val="22"/>
          <w:szCs w:val="22"/>
          <w:shd w:val="clear" w:color="auto" w:fill="FFFFFF"/>
        </w:rPr>
        <w:t>representatives.</w:t>
      </w:r>
      <w:r w:rsidRPr="00E55799">
        <w:rPr>
          <w:rFonts w:ascii="Arial" w:hAnsi="Arial" w:cs="Arial"/>
          <w:color w:val="000000"/>
          <w:sz w:val="22"/>
          <w:szCs w:val="22"/>
          <w:shd w:val="clear" w:color="auto" w:fill="FFFFFF"/>
        </w:rPr>
        <w:t xml:space="preserve"> Consultees suggested</w:t>
      </w:r>
      <w:r w:rsidR="00624B5C" w:rsidRPr="00E55799">
        <w:rPr>
          <w:rFonts w:ascii="Arial" w:hAnsi="Arial" w:cs="Arial"/>
          <w:color w:val="000000"/>
          <w:sz w:val="22"/>
          <w:szCs w:val="22"/>
          <w:shd w:val="clear" w:color="auto" w:fill="FFFFFF"/>
        </w:rPr>
        <w:t xml:space="preserve"> </w:t>
      </w:r>
      <w:r w:rsidR="00C039F2" w:rsidRPr="00E55799">
        <w:rPr>
          <w:rFonts w:ascii="Arial" w:hAnsi="Arial" w:cs="Arial"/>
          <w:color w:val="000000"/>
          <w:sz w:val="22"/>
          <w:szCs w:val="22"/>
          <w:shd w:val="clear" w:color="auto" w:fill="FFFFFF"/>
        </w:rPr>
        <w:t>modifications to the draft Amendment instrument and explanatory materials. Most, but not all</w:t>
      </w:r>
      <w:r w:rsidR="005D0A42" w:rsidRPr="00E55799">
        <w:rPr>
          <w:rFonts w:ascii="Arial" w:hAnsi="Arial" w:cs="Arial"/>
          <w:color w:val="000000"/>
          <w:sz w:val="22"/>
          <w:szCs w:val="22"/>
          <w:shd w:val="clear" w:color="auto" w:fill="FFFFFF"/>
        </w:rPr>
        <w:t>,</w:t>
      </w:r>
      <w:r w:rsidR="00C039F2" w:rsidRPr="00E55799">
        <w:rPr>
          <w:rFonts w:ascii="Arial" w:hAnsi="Arial" w:cs="Arial"/>
          <w:color w:val="000000"/>
          <w:sz w:val="22"/>
          <w:szCs w:val="22"/>
          <w:shd w:val="clear" w:color="auto" w:fill="FFFFFF"/>
        </w:rPr>
        <w:t xml:space="preserve"> of these suggestions have been adopted or otherwise addressed.</w:t>
      </w:r>
    </w:p>
    <w:p w14:paraId="29BB50F4" w14:textId="28AEDD13" w:rsidR="00852103" w:rsidRPr="00E55799" w:rsidRDefault="00852103" w:rsidP="003A109C">
      <w:pPr>
        <w:spacing w:after="120"/>
        <w:rPr>
          <w:rFonts w:ascii="Arial" w:hAnsi="Arial" w:cs="Arial"/>
          <w:sz w:val="22"/>
          <w:szCs w:val="22"/>
        </w:rPr>
      </w:pPr>
      <w:bookmarkStart w:id="1" w:name="_GoBack"/>
      <w:bookmarkEnd w:id="1"/>
    </w:p>
    <w:p w14:paraId="55A6A19E" w14:textId="2DC2EAED" w:rsidR="00833008" w:rsidRPr="00E55799" w:rsidRDefault="00833008" w:rsidP="003A3878">
      <w:pPr>
        <w:pStyle w:val="Heading3"/>
        <w:spacing w:before="0" w:after="120"/>
        <w:jc w:val="center"/>
        <w:rPr>
          <w:sz w:val="22"/>
          <w:szCs w:val="22"/>
        </w:rPr>
      </w:pPr>
      <w:r w:rsidRPr="00E55799">
        <w:rPr>
          <w:sz w:val="22"/>
          <w:szCs w:val="22"/>
        </w:rPr>
        <w:lastRenderedPageBreak/>
        <w:t>Statement of compatibility with Human Rights</w:t>
      </w:r>
    </w:p>
    <w:p w14:paraId="74930403" w14:textId="77777777" w:rsidR="00833008" w:rsidRPr="00E55799" w:rsidRDefault="00833008" w:rsidP="003A3878">
      <w:pPr>
        <w:spacing w:after="120"/>
        <w:rPr>
          <w:rFonts w:ascii="Arial" w:hAnsi="Arial" w:cs="Arial"/>
          <w:sz w:val="22"/>
          <w:szCs w:val="22"/>
        </w:rPr>
      </w:pPr>
      <w:r w:rsidRPr="00E55799">
        <w:rPr>
          <w:rFonts w:ascii="Arial" w:hAnsi="Arial" w:cs="Arial"/>
          <w:sz w:val="22"/>
          <w:szCs w:val="22"/>
        </w:rPr>
        <w:t xml:space="preserve">Prepared in accordance with Part 3 of the </w:t>
      </w:r>
      <w:r w:rsidRPr="00E55799">
        <w:rPr>
          <w:rFonts w:ascii="Arial" w:hAnsi="Arial" w:cs="Arial"/>
          <w:i/>
          <w:iCs/>
          <w:sz w:val="22"/>
          <w:szCs w:val="22"/>
        </w:rPr>
        <w:t>Human Rights (Parliamentary Scrutiny) Act 2011</w:t>
      </w:r>
    </w:p>
    <w:p w14:paraId="073D82D0" w14:textId="77777777" w:rsidR="005E7313" w:rsidRPr="005E7313" w:rsidRDefault="005E7313" w:rsidP="005E7313">
      <w:pPr>
        <w:spacing w:after="120"/>
        <w:rPr>
          <w:rFonts w:ascii="Arial" w:hAnsi="Arial" w:cs="Arial"/>
          <w:sz w:val="22"/>
          <w:szCs w:val="22"/>
        </w:rPr>
      </w:pPr>
      <w:bookmarkStart w:id="2" w:name="_Hlk68677230"/>
    </w:p>
    <w:p w14:paraId="470DD5AF" w14:textId="2BEB919A" w:rsidR="00833008" w:rsidRPr="00E55799" w:rsidRDefault="00356895" w:rsidP="003A3878">
      <w:pPr>
        <w:pStyle w:val="Heading2"/>
        <w:jc w:val="center"/>
        <w:rPr>
          <w:i/>
          <w:iCs/>
        </w:rPr>
      </w:pPr>
      <w:r w:rsidRPr="00E55799">
        <w:rPr>
          <w:i/>
          <w:iCs/>
        </w:rPr>
        <w:t>JobMaker Hiring Credit Reporting Obligations Amendment Instrument 2021</w:t>
      </w:r>
      <w:bookmarkEnd w:id="2"/>
    </w:p>
    <w:p w14:paraId="78CB784E" w14:textId="0F59B63A" w:rsidR="00833008" w:rsidRPr="00E55799" w:rsidRDefault="00833008" w:rsidP="005E7313">
      <w:pPr>
        <w:spacing w:after="120"/>
        <w:rPr>
          <w:rFonts w:ascii="Arial" w:hAnsi="Arial" w:cs="Arial"/>
          <w:sz w:val="22"/>
          <w:szCs w:val="22"/>
        </w:rPr>
      </w:pPr>
      <w:r w:rsidRPr="00E55799">
        <w:rPr>
          <w:rFonts w:ascii="Arial" w:hAnsi="Arial" w:cs="Arial"/>
          <w:color w:val="000000"/>
          <w:sz w:val="22"/>
          <w:szCs w:val="22"/>
        </w:rPr>
        <w:t xml:space="preserve">This Legislative Instrument is compatible with the human rights and freedoms recognised or </w:t>
      </w:r>
      <w:r w:rsidRPr="00E55799">
        <w:rPr>
          <w:rFonts w:ascii="Arial" w:hAnsi="Arial" w:cs="Arial"/>
          <w:sz w:val="22"/>
          <w:szCs w:val="22"/>
        </w:rPr>
        <w:t xml:space="preserve">declared in the international instruments listed in section 3 of the </w:t>
      </w:r>
      <w:r w:rsidRPr="00E55799">
        <w:rPr>
          <w:rFonts w:ascii="Arial" w:hAnsi="Arial" w:cs="Arial"/>
          <w:i/>
          <w:sz w:val="22"/>
          <w:szCs w:val="22"/>
        </w:rPr>
        <w:t>Human Rights (Parliamentary Scrutiny) Act 2011</w:t>
      </w:r>
      <w:r w:rsidRPr="00E55799">
        <w:rPr>
          <w:rFonts w:ascii="Arial" w:hAnsi="Arial" w:cs="Arial"/>
          <w:sz w:val="22"/>
          <w:szCs w:val="22"/>
        </w:rPr>
        <w:t>.</w:t>
      </w:r>
    </w:p>
    <w:p w14:paraId="7FB097D2" w14:textId="77777777" w:rsidR="003A3878" w:rsidRPr="00E55799" w:rsidRDefault="003A3878" w:rsidP="003A3878">
      <w:pPr>
        <w:spacing w:after="120"/>
        <w:rPr>
          <w:rFonts w:ascii="Arial" w:hAnsi="Arial" w:cs="Arial"/>
          <w:sz w:val="22"/>
          <w:szCs w:val="22"/>
        </w:rPr>
      </w:pPr>
    </w:p>
    <w:p w14:paraId="30D35175" w14:textId="77777777" w:rsidR="00833008" w:rsidRPr="00E55799" w:rsidRDefault="00833008" w:rsidP="003A3878">
      <w:pPr>
        <w:pStyle w:val="Heading2"/>
      </w:pPr>
      <w:r w:rsidRPr="00E55799">
        <w:t>Overview of the legislative instrument</w:t>
      </w:r>
    </w:p>
    <w:p w14:paraId="25F77511" w14:textId="77777777" w:rsidR="00E55799" w:rsidRPr="00E55799" w:rsidRDefault="00833008" w:rsidP="005E7313">
      <w:pPr>
        <w:spacing w:after="120"/>
        <w:rPr>
          <w:rFonts w:ascii="Arial" w:hAnsi="Arial" w:cs="Arial"/>
          <w:sz w:val="22"/>
          <w:szCs w:val="22"/>
        </w:rPr>
      </w:pPr>
      <w:r w:rsidRPr="00E55799">
        <w:rPr>
          <w:rFonts w:ascii="Arial" w:hAnsi="Arial" w:cs="Arial"/>
          <w:sz w:val="22"/>
          <w:szCs w:val="22"/>
        </w:rPr>
        <w:t xml:space="preserve">The legislative instrument </w:t>
      </w:r>
      <w:r w:rsidR="003024B7" w:rsidRPr="00E55799">
        <w:rPr>
          <w:rFonts w:ascii="Arial" w:hAnsi="Arial" w:cs="Arial"/>
          <w:sz w:val="22"/>
          <w:szCs w:val="22"/>
        </w:rPr>
        <w:t xml:space="preserve">makes minor </w:t>
      </w:r>
      <w:r w:rsidR="00A55ADB" w:rsidRPr="00E55799">
        <w:rPr>
          <w:rFonts w:ascii="Arial" w:hAnsi="Arial" w:cs="Arial"/>
          <w:sz w:val="22"/>
          <w:szCs w:val="22"/>
        </w:rPr>
        <w:t xml:space="preserve">updates </w:t>
      </w:r>
      <w:r w:rsidR="003024B7" w:rsidRPr="00E55799">
        <w:rPr>
          <w:rFonts w:ascii="Arial" w:hAnsi="Arial" w:cs="Arial"/>
          <w:sz w:val="22"/>
          <w:szCs w:val="22"/>
        </w:rPr>
        <w:t>to the primary instrument</w:t>
      </w:r>
      <w:r w:rsidR="006250F1" w:rsidRPr="00E55799">
        <w:rPr>
          <w:rFonts w:ascii="Arial" w:hAnsi="Arial" w:cs="Arial"/>
          <w:sz w:val="22"/>
          <w:szCs w:val="22"/>
        </w:rPr>
        <w:t xml:space="preserve"> </w:t>
      </w:r>
      <w:r w:rsidR="004001AF" w:rsidRPr="00E55799">
        <w:rPr>
          <w:rFonts w:ascii="Arial" w:hAnsi="Arial" w:cs="Arial"/>
          <w:sz w:val="22"/>
          <w:szCs w:val="22"/>
        </w:rPr>
        <w:t>and enable</w:t>
      </w:r>
      <w:r w:rsidR="00A55ADB" w:rsidRPr="00E55799">
        <w:rPr>
          <w:rFonts w:ascii="Arial" w:hAnsi="Arial" w:cs="Arial"/>
          <w:sz w:val="22"/>
          <w:szCs w:val="22"/>
        </w:rPr>
        <w:t>s</w:t>
      </w:r>
      <w:r w:rsidR="004001AF" w:rsidRPr="00E55799">
        <w:rPr>
          <w:rFonts w:ascii="Arial" w:hAnsi="Arial" w:cs="Arial"/>
          <w:sz w:val="22"/>
          <w:szCs w:val="22"/>
        </w:rPr>
        <w:t xml:space="preserve"> employers with STP software constraints to make a claim for </w:t>
      </w:r>
      <w:r w:rsidR="00A55ADB" w:rsidRPr="00E55799">
        <w:rPr>
          <w:rFonts w:ascii="Arial" w:hAnsi="Arial" w:cs="Arial"/>
          <w:sz w:val="22"/>
          <w:szCs w:val="22"/>
        </w:rPr>
        <w:t xml:space="preserve">JMHC </w:t>
      </w:r>
      <w:r w:rsidR="004001AF" w:rsidRPr="00E55799">
        <w:rPr>
          <w:rFonts w:ascii="Arial" w:hAnsi="Arial" w:cs="Arial"/>
          <w:sz w:val="22"/>
          <w:szCs w:val="22"/>
        </w:rPr>
        <w:t>payments</w:t>
      </w:r>
      <w:r w:rsidR="00380975" w:rsidRPr="00E55799">
        <w:rPr>
          <w:rFonts w:ascii="Arial" w:hAnsi="Arial" w:cs="Arial"/>
          <w:sz w:val="22"/>
          <w:szCs w:val="22"/>
        </w:rPr>
        <w:t>.</w:t>
      </w:r>
    </w:p>
    <w:p w14:paraId="57FE1408" w14:textId="77777777" w:rsidR="00E55799" w:rsidRPr="00E55799" w:rsidRDefault="00E55799" w:rsidP="00E55799">
      <w:pPr>
        <w:spacing w:after="120"/>
        <w:rPr>
          <w:rFonts w:ascii="Arial" w:hAnsi="Arial" w:cs="Arial"/>
          <w:sz w:val="22"/>
          <w:szCs w:val="22"/>
        </w:rPr>
      </w:pPr>
    </w:p>
    <w:p w14:paraId="3BFD5BF5" w14:textId="46B9910A" w:rsidR="00833008" w:rsidRPr="00E55799" w:rsidRDefault="00833008" w:rsidP="003A3878">
      <w:pPr>
        <w:pStyle w:val="Heading2"/>
      </w:pPr>
      <w:r w:rsidRPr="00E55799">
        <w:t>Human rights implications</w:t>
      </w:r>
    </w:p>
    <w:p w14:paraId="01BD9236" w14:textId="77777777" w:rsidR="00833008" w:rsidRPr="00E55799" w:rsidRDefault="00833008" w:rsidP="005E7313">
      <w:pPr>
        <w:spacing w:after="120"/>
        <w:rPr>
          <w:rFonts w:ascii="Arial" w:hAnsi="Arial" w:cs="Arial"/>
          <w:sz w:val="22"/>
          <w:szCs w:val="22"/>
        </w:rPr>
      </w:pPr>
      <w:r w:rsidRPr="00E55799">
        <w:rPr>
          <w:rFonts w:ascii="Arial" w:hAnsi="Arial" w:cs="Arial"/>
          <w:sz w:val="22"/>
          <w:szCs w:val="22"/>
        </w:rPr>
        <w:t>This Legislative Instrument does not engage any of the applicable rights or freedoms listed in the following covenants:</w:t>
      </w:r>
    </w:p>
    <w:p w14:paraId="609ECAAD" w14:textId="77777777" w:rsidR="00833008" w:rsidRPr="005E7313" w:rsidRDefault="003D0BCF" w:rsidP="005E7313">
      <w:pPr>
        <w:numPr>
          <w:ilvl w:val="0"/>
          <w:numId w:val="15"/>
        </w:numPr>
        <w:spacing w:after="120"/>
        <w:ind w:left="1418" w:hanging="709"/>
        <w:rPr>
          <w:rFonts w:ascii="Arial" w:hAnsi="Arial" w:cs="Arial"/>
          <w:sz w:val="22"/>
          <w:szCs w:val="22"/>
        </w:rPr>
      </w:pPr>
      <w:hyperlink r:id="rId8" w:history="1">
        <w:r w:rsidR="00833008" w:rsidRPr="005E7313">
          <w:rPr>
            <w:rStyle w:val="Hyperlink"/>
            <w:rFonts w:ascii="Arial" w:hAnsi="Arial" w:cs="Arial"/>
            <w:sz w:val="22"/>
            <w:szCs w:val="22"/>
          </w:rPr>
          <w:t>the International Covenant on Civil and Political Rights</w:t>
        </w:r>
      </w:hyperlink>
      <w:r w:rsidR="00833008" w:rsidRPr="005E7313">
        <w:rPr>
          <w:rFonts w:ascii="Arial" w:hAnsi="Arial" w:cs="Arial"/>
          <w:sz w:val="22"/>
          <w:szCs w:val="22"/>
        </w:rPr>
        <w:t xml:space="preserve"> (ICCPR)</w:t>
      </w:r>
    </w:p>
    <w:p w14:paraId="6F1185D1" w14:textId="77777777" w:rsidR="00833008" w:rsidRPr="005E7313" w:rsidRDefault="003D0BCF" w:rsidP="005E7313">
      <w:pPr>
        <w:numPr>
          <w:ilvl w:val="0"/>
          <w:numId w:val="15"/>
        </w:numPr>
        <w:spacing w:after="120"/>
        <w:ind w:left="1418" w:hanging="709"/>
        <w:rPr>
          <w:rStyle w:val="Hyperlink"/>
          <w:rFonts w:ascii="Arial" w:hAnsi="Arial" w:cs="Arial"/>
          <w:color w:val="auto"/>
          <w:sz w:val="22"/>
          <w:szCs w:val="22"/>
          <w:u w:val="none"/>
        </w:rPr>
      </w:pPr>
      <w:hyperlink r:id="rId9" w:history="1">
        <w:r w:rsidR="00833008" w:rsidRPr="005E7313">
          <w:rPr>
            <w:rStyle w:val="Hyperlink"/>
            <w:rFonts w:ascii="Arial" w:hAnsi="Arial" w:cs="Arial"/>
            <w:sz w:val="22"/>
            <w:szCs w:val="22"/>
          </w:rPr>
          <w:t>the International Covenant on Economic, Social and Cultural Rights</w:t>
        </w:r>
      </w:hyperlink>
      <w:r w:rsidR="00833008" w:rsidRPr="005E7313">
        <w:rPr>
          <w:rStyle w:val="Hyperlink"/>
          <w:rFonts w:ascii="Arial" w:hAnsi="Arial" w:cs="Arial"/>
          <w:color w:val="auto"/>
          <w:sz w:val="22"/>
          <w:szCs w:val="22"/>
          <w:u w:val="none"/>
        </w:rPr>
        <w:t xml:space="preserve"> (ICESCR)</w:t>
      </w:r>
    </w:p>
    <w:p w14:paraId="0E479B1D" w14:textId="77777777" w:rsidR="00833008" w:rsidRPr="005E7313" w:rsidRDefault="003D0BCF" w:rsidP="005E7313">
      <w:pPr>
        <w:numPr>
          <w:ilvl w:val="0"/>
          <w:numId w:val="15"/>
        </w:numPr>
        <w:spacing w:after="120"/>
        <w:ind w:left="1418" w:hanging="709"/>
        <w:rPr>
          <w:rStyle w:val="Hyperlink"/>
          <w:rFonts w:ascii="Arial" w:hAnsi="Arial" w:cs="Arial"/>
          <w:color w:val="auto"/>
          <w:sz w:val="22"/>
          <w:szCs w:val="22"/>
          <w:u w:val="none"/>
        </w:rPr>
      </w:pPr>
      <w:hyperlink r:id="rId10" w:history="1">
        <w:r w:rsidR="00833008" w:rsidRPr="005E7313">
          <w:rPr>
            <w:rStyle w:val="Hyperlink"/>
            <w:rFonts w:ascii="Arial" w:hAnsi="Arial" w:cs="Arial"/>
            <w:sz w:val="22"/>
            <w:szCs w:val="22"/>
          </w:rPr>
          <w:t>the International Convention on the Elimination of All Forms of Racial Discrimination</w:t>
        </w:r>
      </w:hyperlink>
      <w:r w:rsidR="00833008" w:rsidRPr="005E7313">
        <w:rPr>
          <w:rStyle w:val="Hyperlink"/>
          <w:rFonts w:ascii="Arial" w:hAnsi="Arial" w:cs="Arial"/>
          <w:color w:val="auto"/>
          <w:sz w:val="22"/>
          <w:szCs w:val="22"/>
          <w:u w:val="none"/>
        </w:rPr>
        <w:t xml:space="preserve"> (CERD)</w:t>
      </w:r>
    </w:p>
    <w:p w14:paraId="6C16687F" w14:textId="77777777" w:rsidR="00833008" w:rsidRPr="005E7313" w:rsidRDefault="003D0BCF" w:rsidP="005E7313">
      <w:pPr>
        <w:numPr>
          <w:ilvl w:val="0"/>
          <w:numId w:val="15"/>
        </w:numPr>
        <w:spacing w:after="120"/>
        <w:ind w:left="1418" w:hanging="709"/>
        <w:rPr>
          <w:rStyle w:val="Hyperlink"/>
          <w:rFonts w:ascii="Arial" w:hAnsi="Arial" w:cs="Arial"/>
          <w:color w:val="auto"/>
          <w:sz w:val="22"/>
          <w:szCs w:val="22"/>
          <w:u w:val="none"/>
        </w:rPr>
      </w:pPr>
      <w:hyperlink r:id="rId11" w:history="1">
        <w:r w:rsidR="00833008" w:rsidRPr="005E7313">
          <w:rPr>
            <w:rStyle w:val="Hyperlink"/>
            <w:rFonts w:ascii="Arial" w:hAnsi="Arial" w:cs="Arial"/>
            <w:sz w:val="22"/>
            <w:szCs w:val="22"/>
          </w:rPr>
          <w:t>the Convention on the Elimination of All Forms of Discrimination against Women</w:t>
        </w:r>
      </w:hyperlink>
      <w:r w:rsidR="00833008" w:rsidRPr="005E7313">
        <w:rPr>
          <w:rStyle w:val="Hyperlink"/>
          <w:rFonts w:ascii="Arial" w:hAnsi="Arial" w:cs="Arial"/>
          <w:color w:val="auto"/>
          <w:sz w:val="22"/>
          <w:szCs w:val="22"/>
          <w:u w:val="none"/>
        </w:rPr>
        <w:t xml:space="preserve"> (CEDAW)</w:t>
      </w:r>
    </w:p>
    <w:p w14:paraId="32B3BC7C" w14:textId="77777777" w:rsidR="00833008" w:rsidRPr="005E7313" w:rsidRDefault="003D0BCF" w:rsidP="005E7313">
      <w:pPr>
        <w:numPr>
          <w:ilvl w:val="0"/>
          <w:numId w:val="15"/>
        </w:numPr>
        <w:spacing w:after="120"/>
        <w:ind w:left="1418" w:hanging="709"/>
        <w:rPr>
          <w:rStyle w:val="Hyperlink"/>
          <w:rFonts w:ascii="Arial" w:hAnsi="Arial" w:cs="Arial"/>
          <w:color w:val="auto"/>
          <w:sz w:val="22"/>
          <w:szCs w:val="22"/>
          <w:u w:val="none"/>
        </w:rPr>
      </w:pPr>
      <w:hyperlink r:id="rId12" w:history="1">
        <w:r w:rsidR="00833008" w:rsidRPr="005E7313">
          <w:rPr>
            <w:rStyle w:val="Hyperlink"/>
            <w:rFonts w:ascii="Arial" w:hAnsi="Arial" w:cs="Arial"/>
            <w:sz w:val="22"/>
            <w:szCs w:val="22"/>
          </w:rPr>
          <w:t>the Convention against Torture and Other Cruel, Inhuman or Degrading Treatment or Punishment</w:t>
        </w:r>
      </w:hyperlink>
      <w:r w:rsidR="00833008" w:rsidRPr="005E7313">
        <w:rPr>
          <w:rStyle w:val="Hyperlink"/>
          <w:rFonts w:ascii="Arial" w:hAnsi="Arial" w:cs="Arial"/>
          <w:color w:val="auto"/>
          <w:sz w:val="22"/>
          <w:szCs w:val="22"/>
          <w:u w:val="none"/>
        </w:rPr>
        <w:t xml:space="preserve"> (CAT)</w:t>
      </w:r>
    </w:p>
    <w:p w14:paraId="3452ADB3" w14:textId="77777777" w:rsidR="00833008" w:rsidRPr="005E7313" w:rsidRDefault="003D0BCF" w:rsidP="005E7313">
      <w:pPr>
        <w:numPr>
          <w:ilvl w:val="0"/>
          <w:numId w:val="15"/>
        </w:numPr>
        <w:spacing w:after="120"/>
        <w:ind w:left="1418" w:hanging="709"/>
        <w:rPr>
          <w:rStyle w:val="Hyperlink"/>
          <w:rFonts w:ascii="Arial" w:hAnsi="Arial" w:cs="Arial"/>
          <w:color w:val="auto"/>
          <w:sz w:val="22"/>
          <w:szCs w:val="22"/>
          <w:u w:val="none"/>
        </w:rPr>
      </w:pPr>
      <w:hyperlink r:id="rId13" w:history="1">
        <w:r w:rsidR="00833008" w:rsidRPr="005E7313">
          <w:rPr>
            <w:rStyle w:val="Hyperlink"/>
            <w:rFonts w:ascii="Arial" w:hAnsi="Arial" w:cs="Arial"/>
            <w:sz w:val="22"/>
            <w:szCs w:val="22"/>
          </w:rPr>
          <w:t>the Convention on the Rights of the Child</w:t>
        </w:r>
      </w:hyperlink>
      <w:r w:rsidR="00833008" w:rsidRPr="005E7313">
        <w:rPr>
          <w:rStyle w:val="Hyperlink"/>
          <w:rFonts w:ascii="Arial" w:hAnsi="Arial" w:cs="Arial"/>
          <w:color w:val="auto"/>
          <w:sz w:val="22"/>
          <w:szCs w:val="22"/>
          <w:u w:val="none"/>
        </w:rPr>
        <w:t xml:space="preserve"> (CRC), and</w:t>
      </w:r>
    </w:p>
    <w:p w14:paraId="62DE7EE5" w14:textId="77777777" w:rsidR="00833008" w:rsidRPr="005E7313" w:rsidRDefault="003D0BCF" w:rsidP="005E7313">
      <w:pPr>
        <w:numPr>
          <w:ilvl w:val="0"/>
          <w:numId w:val="15"/>
        </w:numPr>
        <w:spacing w:after="120"/>
        <w:ind w:left="1418" w:hanging="709"/>
        <w:rPr>
          <w:rStyle w:val="Hyperlink"/>
          <w:rFonts w:ascii="Arial" w:hAnsi="Arial" w:cs="Arial"/>
          <w:color w:val="auto"/>
          <w:sz w:val="22"/>
          <w:szCs w:val="22"/>
          <w:u w:val="none"/>
        </w:rPr>
      </w:pPr>
      <w:hyperlink r:id="rId14" w:history="1">
        <w:r w:rsidR="00833008" w:rsidRPr="005E7313">
          <w:rPr>
            <w:rStyle w:val="Hyperlink"/>
            <w:rFonts w:ascii="Arial" w:hAnsi="Arial" w:cs="Arial"/>
            <w:sz w:val="22"/>
            <w:szCs w:val="22"/>
          </w:rPr>
          <w:t>the Convention on the Rights of Persons with Disabilities</w:t>
        </w:r>
      </w:hyperlink>
      <w:r w:rsidR="00833008" w:rsidRPr="005E7313">
        <w:rPr>
          <w:rStyle w:val="Hyperlink"/>
          <w:rFonts w:ascii="Arial" w:hAnsi="Arial" w:cs="Arial"/>
          <w:color w:val="auto"/>
          <w:sz w:val="22"/>
          <w:szCs w:val="22"/>
          <w:u w:val="none"/>
        </w:rPr>
        <w:t xml:space="preserve"> (CRPD).</w:t>
      </w:r>
    </w:p>
    <w:p w14:paraId="0CB7135A" w14:textId="7B45CFCD" w:rsidR="00833008" w:rsidRPr="00E55799" w:rsidRDefault="00833008" w:rsidP="005E7313">
      <w:pPr>
        <w:spacing w:after="120"/>
        <w:rPr>
          <w:rFonts w:ascii="Arial" w:hAnsi="Arial" w:cs="Arial"/>
          <w:sz w:val="22"/>
          <w:szCs w:val="22"/>
        </w:rPr>
      </w:pPr>
      <w:r w:rsidRPr="00E55799">
        <w:rPr>
          <w:rFonts w:ascii="Arial" w:hAnsi="Arial" w:cs="Arial"/>
          <w:sz w:val="22"/>
          <w:szCs w:val="22"/>
        </w:rPr>
        <w:t xml:space="preserve">This disallowable legislative instrument does not engage with any human rights because it merely provides </w:t>
      </w:r>
      <w:r w:rsidR="003024B7" w:rsidRPr="00E55799">
        <w:rPr>
          <w:rFonts w:ascii="Arial" w:hAnsi="Arial" w:cs="Arial"/>
          <w:sz w:val="22"/>
          <w:szCs w:val="22"/>
        </w:rPr>
        <w:t>minor corrections to the primary instrument</w:t>
      </w:r>
      <w:r w:rsidR="00252EA5" w:rsidRPr="00E55799">
        <w:rPr>
          <w:rFonts w:ascii="Arial" w:hAnsi="Arial" w:cs="Arial"/>
          <w:sz w:val="22"/>
          <w:szCs w:val="22"/>
        </w:rPr>
        <w:t xml:space="preserve"> and other minor amendments to enable certain employers to make a </w:t>
      </w:r>
      <w:r w:rsidR="007C7DA5" w:rsidRPr="00E55799">
        <w:rPr>
          <w:rFonts w:ascii="Arial" w:hAnsi="Arial" w:cs="Arial"/>
          <w:sz w:val="22"/>
          <w:szCs w:val="22"/>
        </w:rPr>
        <w:t>JMHC</w:t>
      </w:r>
      <w:r w:rsidR="00252EA5" w:rsidRPr="00E55799">
        <w:rPr>
          <w:rFonts w:ascii="Arial" w:hAnsi="Arial" w:cs="Arial"/>
          <w:sz w:val="22"/>
          <w:szCs w:val="22"/>
        </w:rPr>
        <w:t xml:space="preserve"> claim</w:t>
      </w:r>
      <w:r w:rsidR="00E2604E" w:rsidRPr="00E55799">
        <w:rPr>
          <w:rFonts w:ascii="Arial" w:hAnsi="Arial" w:cs="Arial"/>
          <w:sz w:val="22"/>
          <w:szCs w:val="22"/>
        </w:rPr>
        <w:t>.</w:t>
      </w:r>
    </w:p>
    <w:p w14:paraId="48C84987" w14:textId="77777777" w:rsidR="00E55799" w:rsidRPr="00E55799" w:rsidRDefault="00E55799" w:rsidP="00E55799">
      <w:pPr>
        <w:spacing w:after="120"/>
        <w:rPr>
          <w:rFonts w:ascii="Arial" w:hAnsi="Arial" w:cs="Arial"/>
          <w:sz w:val="22"/>
          <w:szCs w:val="22"/>
        </w:rPr>
      </w:pPr>
    </w:p>
    <w:p w14:paraId="666E1658" w14:textId="11035B0A" w:rsidR="00833008" w:rsidRPr="00E55799" w:rsidRDefault="00833008" w:rsidP="003A3878">
      <w:pPr>
        <w:pStyle w:val="Heading2"/>
      </w:pPr>
      <w:r w:rsidRPr="00E55799">
        <w:t>Conclusion</w:t>
      </w:r>
    </w:p>
    <w:p w14:paraId="285C2615" w14:textId="4CD005C7" w:rsidR="00833008" w:rsidRPr="00E55799" w:rsidRDefault="00833008" w:rsidP="005E7313">
      <w:pPr>
        <w:spacing w:after="120"/>
        <w:rPr>
          <w:rFonts w:ascii="Arial" w:hAnsi="Arial" w:cs="Arial"/>
          <w:sz w:val="22"/>
          <w:szCs w:val="22"/>
        </w:rPr>
      </w:pPr>
      <w:r w:rsidRPr="00E55799">
        <w:rPr>
          <w:rFonts w:ascii="Arial" w:hAnsi="Arial" w:cs="Arial"/>
          <w:sz w:val="22"/>
          <w:szCs w:val="22"/>
        </w:rPr>
        <w:t xml:space="preserve">This Legislative Instrument is compatible with human rights as it does not raise any human rights issues. Importantly, this instrument positively engages the right to work as it is aimed at assisting employers </w:t>
      </w:r>
      <w:r w:rsidR="001E6EF1" w:rsidRPr="00E55799">
        <w:rPr>
          <w:rFonts w:ascii="Arial" w:hAnsi="Arial" w:cs="Arial"/>
          <w:sz w:val="22"/>
          <w:szCs w:val="22"/>
        </w:rPr>
        <w:t>to employ</w:t>
      </w:r>
      <w:r w:rsidRPr="00E55799">
        <w:rPr>
          <w:rFonts w:ascii="Arial" w:hAnsi="Arial" w:cs="Arial"/>
          <w:sz w:val="22"/>
          <w:szCs w:val="22"/>
        </w:rPr>
        <w:t xml:space="preserve"> people.</w:t>
      </w:r>
    </w:p>
    <w:sectPr w:rsidR="00833008" w:rsidRPr="00E55799" w:rsidSect="00081520">
      <w:headerReference w:type="even" r:id="rId15"/>
      <w:headerReference w:type="first" r:id="rId16"/>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9AB3D" w14:textId="77777777" w:rsidR="00853B60" w:rsidRDefault="00853B60">
      <w:r>
        <w:separator/>
      </w:r>
    </w:p>
  </w:endnote>
  <w:endnote w:type="continuationSeparator" w:id="0">
    <w:p w14:paraId="0312EFF1" w14:textId="77777777" w:rsidR="00853B60" w:rsidRDefault="00853B60">
      <w:r>
        <w:continuationSeparator/>
      </w:r>
    </w:p>
  </w:endnote>
  <w:endnote w:type="continuationNotice" w:id="1">
    <w:p w14:paraId="708ACD6E" w14:textId="77777777" w:rsidR="00853B60" w:rsidRDefault="00853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C40D7" w14:textId="77777777" w:rsidR="00853B60" w:rsidRDefault="00853B60">
      <w:r>
        <w:separator/>
      </w:r>
    </w:p>
  </w:footnote>
  <w:footnote w:type="continuationSeparator" w:id="0">
    <w:p w14:paraId="2D341CEA" w14:textId="77777777" w:rsidR="00853B60" w:rsidRDefault="00853B60">
      <w:r>
        <w:continuationSeparator/>
      </w:r>
    </w:p>
  </w:footnote>
  <w:footnote w:type="continuationNotice" w:id="1">
    <w:p w14:paraId="6FA899E0" w14:textId="77777777" w:rsidR="00853B60" w:rsidRDefault="00853B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A" w14:textId="3A7266B4" w:rsidR="00B92F1A" w:rsidRPr="0067541C" w:rsidRDefault="003D0BCF">
    <w:pPr>
      <w:pStyle w:val="Header"/>
      <w:rPr>
        <w:rFonts w:ascii="Arial" w:hAnsi="Arial" w:cs="Arial"/>
        <w:sz w:val="52"/>
      </w:rPr>
    </w:pPr>
    <w:r>
      <w:rPr>
        <w:noProof/>
      </w:rPr>
      <w:pict w14:anchorId="3A21B6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5" type="#_x0000_t136" style="position:absolute;margin-left:0;margin-top:0;width:623.7pt;height:65.65pt;rotation:315;z-index:-251658752;mso-position-horizontal:center;mso-position-horizontal-relative:margin;mso-position-vertical:center;mso-position-vertical-relative:margin" o:allowincell="f" fillcolor="silver" stroked="f">
          <v:fill opacity=".5"/>
          <v:textpath style="font-family:&quot;Arial&quot;;font-size:1pt" string="CONFIDENTIAL DRAFT"/>
          <w10:wrap anchorx="margin" anchory="margin"/>
        </v:shape>
      </w:pict>
    </w:r>
    <w:r w:rsidR="00B92F1A" w:rsidRPr="0067541C">
      <w:rPr>
        <w:rFonts w:ascii="Arial" w:hAnsi="Arial" w:cs="Arial"/>
        <w:sz w:val="20"/>
      </w:rPr>
      <w:t>Taxation Determination</w:t>
    </w:r>
  </w:p>
  <w:p w14:paraId="15AC1BCB" w14:textId="08BABBE0" w:rsidR="00B92F1A" w:rsidRPr="0067541C" w:rsidRDefault="00B92F1A">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separate"/>
    </w:r>
    <w:r w:rsidR="00AD1844">
      <w:rPr>
        <w:rFonts w:ascii="Arial" w:hAnsi="Arial" w:cs="Arial"/>
        <w:b/>
        <w:bCs/>
        <w:sz w:val="52"/>
        <w:lang w:val="en-US"/>
      </w:rPr>
      <w:t>Error! Reference source not found.</w:t>
    </w:r>
    <w:r w:rsidRPr="0067541C">
      <w:rPr>
        <w:rFonts w:ascii="Arial" w:hAnsi="Arial" w:cs="Arial"/>
        <w:sz w:val="52"/>
      </w:rPr>
      <w:fldChar w:fldCharType="end"/>
    </w:r>
  </w:p>
  <w:p w14:paraId="15AC1BCC" w14:textId="77777777" w:rsidR="00B92F1A" w:rsidRPr="0067541C" w:rsidRDefault="00B92F1A">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5</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E" w14:textId="4E2163FB" w:rsidR="00B92F1A" w:rsidRPr="00767CE8" w:rsidRDefault="00B92F1A" w:rsidP="00767CE8">
    <w:pPr>
      <w:framePr w:w="3241" w:h="526" w:hSpace="180" w:wrap="around" w:vAnchor="page" w:hAnchor="page" w:x="7711" w:y="1141"/>
      <w:pBdr>
        <w:top w:val="single" w:sz="12" w:space="1" w:color="auto"/>
        <w:left w:val="single" w:sz="12" w:space="1" w:color="auto"/>
        <w:bottom w:val="single" w:sz="12" w:space="1" w:color="auto"/>
        <w:right w:val="single" w:sz="12" w:space="1" w:color="auto"/>
      </w:pBdr>
      <w:rPr>
        <w:rFonts w:ascii="Arial" w:hAnsi="Arial" w:cs="Arial"/>
        <w:sz w:val="22"/>
        <w:szCs w:val="22"/>
      </w:rPr>
    </w:pPr>
    <w:r w:rsidRPr="00767CE8">
      <w:rPr>
        <w:rFonts w:ascii="Arial" w:hAnsi="Arial" w:cs="Arial"/>
        <w:b/>
        <w:sz w:val="22"/>
        <w:szCs w:val="22"/>
      </w:rPr>
      <w:t xml:space="preserve">Instrument ID: </w:t>
    </w:r>
    <w:r>
      <w:rPr>
        <w:rFonts w:ascii="Arial" w:hAnsi="Arial" w:cs="Arial"/>
        <w:b/>
        <w:sz w:val="22"/>
        <w:szCs w:val="22"/>
      </w:rPr>
      <w:t>202</w:t>
    </w:r>
    <w:r w:rsidR="004F15B7">
      <w:rPr>
        <w:rFonts w:ascii="Arial" w:hAnsi="Arial" w:cs="Arial"/>
        <w:b/>
        <w:sz w:val="22"/>
        <w:szCs w:val="22"/>
      </w:rPr>
      <w:t>1</w:t>
    </w:r>
    <w:r w:rsidRPr="00512EE2">
      <w:rPr>
        <w:rFonts w:ascii="Arial" w:hAnsi="Arial" w:cs="Arial"/>
        <w:b/>
        <w:sz w:val="22"/>
        <w:szCs w:val="22"/>
      </w:rPr>
      <w:t>/</w:t>
    </w:r>
    <w:r w:rsidR="00312CD5" w:rsidRPr="00512EE2">
      <w:rPr>
        <w:rFonts w:ascii="Arial" w:hAnsi="Arial" w:cs="Arial"/>
        <w:b/>
        <w:sz w:val="22"/>
        <w:szCs w:val="22"/>
      </w:rPr>
      <w:t>SEO</w:t>
    </w:r>
    <w:r w:rsidRPr="00512EE2">
      <w:rPr>
        <w:rFonts w:ascii="Arial" w:hAnsi="Arial" w:cs="Arial"/>
        <w:b/>
        <w:sz w:val="22"/>
        <w:szCs w:val="22"/>
      </w:rPr>
      <w:t>/</w:t>
    </w:r>
    <w:r w:rsidR="00312CD5" w:rsidRPr="00512EE2">
      <w:rPr>
        <w:rFonts w:ascii="Arial" w:hAnsi="Arial" w:cs="Arial"/>
        <w:b/>
        <w:sz w:val="22"/>
        <w:szCs w:val="22"/>
      </w:rPr>
      <w:t>0007</w:t>
    </w:r>
  </w:p>
  <w:p w14:paraId="15AC1BCF" w14:textId="77777777" w:rsidR="00B92F1A" w:rsidRDefault="00B92F1A" w:rsidP="001828A4">
    <w:pPr>
      <w:pStyle w:val="Header"/>
      <w:tabs>
        <w:tab w:val="clear" w:pos="4153"/>
        <w:tab w:val="clear" w:pos="8306"/>
      </w:tabs>
      <w:rPr>
        <w:rFonts w:ascii="Arial" w:hAnsi="Arial" w:cs="Arial"/>
        <w:sz w:val="20"/>
      </w:rPr>
    </w:pPr>
    <w:r>
      <w:rPr>
        <w:noProof/>
      </w:rPr>
      <w:drawing>
        <wp:inline distT="0" distB="0" distL="0" distR="0" wp14:anchorId="15AC1BD1" wp14:editId="15AC1BD2">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2BD916F2" w:rsidR="00B92F1A" w:rsidRPr="001A6644" w:rsidRDefault="00B92F1A"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90499"/>
    <w:multiLevelType w:val="hybridMultilevel"/>
    <w:tmpl w:val="0D1C2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767068"/>
    <w:multiLevelType w:val="hybridMultilevel"/>
    <w:tmpl w:val="3EACC640"/>
    <w:lvl w:ilvl="0" w:tplc="0C090001">
      <w:start w:val="1"/>
      <w:numFmt w:val="bullet"/>
      <w:lvlText w:val=""/>
      <w:lvlJc w:val="left"/>
      <w:pPr>
        <w:tabs>
          <w:tab w:val="num" w:pos="1069"/>
        </w:tabs>
        <w:ind w:left="1069" w:hanging="360"/>
      </w:pPr>
      <w:rPr>
        <w:rFonts w:ascii="Symbol" w:hAnsi="Symbol" w:hint="default"/>
        <w:b w:val="0"/>
        <w:bCs w:val="0"/>
        <w:i w:val="0"/>
        <w:iCs/>
        <w:color w:val="auto"/>
        <w:sz w:val="22"/>
        <w:szCs w:val="22"/>
      </w:rPr>
    </w:lvl>
    <w:lvl w:ilvl="1" w:tplc="E1143ACC">
      <w:start w:val="1"/>
      <w:numFmt w:val="lowerRoman"/>
      <w:lvlText w:val="(%2)"/>
      <w:lvlJc w:val="right"/>
      <w:pPr>
        <w:tabs>
          <w:tab w:val="num" w:pos="2149"/>
        </w:tabs>
        <w:ind w:left="2149" w:hanging="360"/>
      </w:pPr>
      <w:rPr>
        <w:rFonts w:hint="default"/>
      </w:rPr>
    </w:lvl>
    <w:lvl w:ilvl="2" w:tplc="C2ACD91E">
      <w:start w:val="1"/>
      <w:numFmt w:val="lowerLetter"/>
      <w:lvlText w:val="(%3)"/>
      <w:lvlJc w:val="left"/>
      <w:pPr>
        <w:tabs>
          <w:tab w:val="num" w:pos="3049"/>
        </w:tabs>
        <w:ind w:left="3049" w:hanging="360"/>
      </w:pPr>
      <w:rPr>
        <w:rFonts w:hint="default"/>
      </w:rPr>
    </w:lvl>
    <w:lvl w:ilvl="3" w:tplc="0A5495B8">
      <w:numFmt w:val="bullet"/>
      <w:lvlText w:val=""/>
      <w:lvlJc w:val="left"/>
      <w:pPr>
        <w:ind w:left="4054" w:hanging="825"/>
      </w:pPr>
      <w:rPr>
        <w:rFonts w:ascii="Symbol" w:eastAsia="Times New Roman" w:hAnsi="Symbol" w:cs="Times New Roman" w:hint="default"/>
        <w:sz w:val="20"/>
      </w:r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15:restartNumberingAfterBreak="0">
    <w:nsid w:val="15F20E1D"/>
    <w:multiLevelType w:val="hybridMultilevel"/>
    <w:tmpl w:val="2B108930"/>
    <w:lvl w:ilvl="0" w:tplc="0C090001">
      <w:start w:val="1"/>
      <w:numFmt w:val="bullet"/>
      <w:lvlText w:val=""/>
      <w:lvlJc w:val="left"/>
      <w:pPr>
        <w:ind w:left="720" w:hanging="360"/>
      </w:pPr>
      <w:rPr>
        <w:rFonts w:ascii="Symbol" w:hAnsi="Symbol" w:hint="default"/>
        <w:i w:val="0"/>
      </w:rPr>
    </w:lvl>
    <w:lvl w:ilvl="1" w:tplc="6CC8D630">
      <w:start w:val="1"/>
      <w:numFmt w:val="lowerLetter"/>
      <w:lvlText w:val="(%2)"/>
      <w:lvlJc w:val="left"/>
      <w:pPr>
        <w:ind w:left="1440" w:hanging="360"/>
      </w:pPr>
      <w:rPr>
        <w:rFonts w:hint="default"/>
      </w:rPr>
    </w:lvl>
    <w:lvl w:ilvl="2" w:tplc="B1BCE82E">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3D7765"/>
    <w:multiLevelType w:val="multilevel"/>
    <w:tmpl w:val="7450B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7F7CA5"/>
    <w:multiLevelType w:val="hybridMultilevel"/>
    <w:tmpl w:val="EC46D350"/>
    <w:lvl w:ilvl="0" w:tplc="4BBE4FA6">
      <w:start w:val="1"/>
      <w:numFmt w:val="decimal"/>
      <w:lvlText w:val="%1."/>
      <w:lvlJc w:val="left"/>
      <w:pPr>
        <w:tabs>
          <w:tab w:val="num" w:pos="360"/>
        </w:tabs>
        <w:ind w:left="360" w:hanging="360"/>
      </w:pPr>
      <w:rPr>
        <w:b/>
        <w:sz w:val="24"/>
        <w:szCs w:val="24"/>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FCC3903"/>
    <w:multiLevelType w:val="hybridMultilevel"/>
    <w:tmpl w:val="44C46846"/>
    <w:lvl w:ilvl="0" w:tplc="DC16B888">
      <w:start w:val="1"/>
      <w:numFmt w:val="decimal"/>
      <w:lvlText w:val="%1."/>
      <w:lvlJc w:val="left"/>
      <w:pPr>
        <w:tabs>
          <w:tab w:val="num" w:pos="786"/>
        </w:tabs>
        <w:ind w:left="786" w:hanging="360"/>
      </w:pPr>
      <w:rPr>
        <w:rFonts w:ascii="Arial" w:hAnsi="Arial" w:cs="Arial" w:hint="default"/>
        <w:b w:val="0"/>
        <w:bCs/>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34F62A8"/>
    <w:multiLevelType w:val="hybridMultilevel"/>
    <w:tmpl w:val="A94A2C1A"/>
    <w:lvl w:ilvl="0" w:tplc="2810311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1C014D"/>
    <w:multiLevelType w:val="hybridMultilevel"/>
    <w:tmpl w:val="0A6E5F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9A9708D"/>
    <w:multiLevelType w:val="singleLevel"/>
    <w:tmpl w:val="C5920CEA"/>
    <w:lvl w:ilvl="0">
      <w:start w:val="1"/>
      <w:numFmt w:val="decimal"/>
      <w:lvlText w:val="%1."/>
      <w:lvlJc w:val="left"/>
      <w:pPr>
        <w:ind w:left="720" w:hanging="360"/>
      </w:pPr>
      <w:rPr>
        <w:rFonts w:hint="default"/>
      </w:rPr>
    </w:lvl>
  </w:abstractNum>
  <w:abstractNum w:abstractNumId="11" w15:restartNumberingAfterBreak="0">
    <w:nsid w:val="65C3248F"/>
    <w:multiLevelType w:val="hybridMultilevel"/>
    <w:tmpl w:val="2166BF56"/>
    <w:lvl w:ilvl="0" w:tplc="E4F884C8">
      <w:start w:val="1"/>
      <w:numFmt w:val="decimal"/>
      <w:lvlText w:val="%1."/>
      <w:lvlJc w:val="left"/>
      <w:pPr>
        <w:ind w:left="720" w:hanging="360"/>
      </w:pPr>
      <w:rPr>
        <w:i w:val="0"/>
        <w:sz w:val="22"/>
        <w:szCs w:val="22"/>
      </w:rPr>
    </w:lvl>
    <w:lvl w:ilvl="1" w:tplc="6CC8D630">
      <w:start w:val="1"/>
      <w:numFmt w:val="lowerLetter"/>
      <w:lvlText w:val="(%2)"/>
      <w:lvlJc w:val="left"/>
      <w:pPr>
        <w:ind w:left="1440" w:hanging="360"/>
      </w:pPr>
      <w:rPr>
        <w:rFonts w:hint="default"/>
      </w:rPr>
    </w:lvl>
    <w:lvl w:ilvl="2" w:tplc="B1BCE82E">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71D0BFE"/>
    <w:multiLevelType w:val="hybridMultilevel"/>
    <w:tmpl w:val="E43C8568"/>
    <w:lvl w:ilvl="0" w:tplc="C68C6FB6">
      <w:start w:val="1"/>
      <w:numFmt w:val="lowerLetter"/>
      <w:lvlText w:val="(%1)"/>
      <w:lvlJc w:val="left"/>
      <w:pPr>
        <w:ind w:left="1069" w:hanging="360"/>
      </w:pPr>
      <w:rPr>
        <w:rFonts w:ascii="Arial" w:eastAsia="Times New Roman" w:hAnsi="Arial" w:cs="Arial" w:hint="default"/>
        <w:i w:val="0"/>
        <w:iCs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70460715"/>
    <w:multiLevelType w:val="hybridMultilevel"/>
    <w:tmpl w:val="6492CE3C"/>
    <w:lvl w:ilvl="0" w:tplc="87FC5D6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293597"/>
    <w:multiLevelType w:val="hybridMultilevel"/>
    <w:tmpl w:val="4A8C59AA"/>
    <w:lvl w:ilvl="0" w:tplc="0C090001">
      <w:start w:val="1"/>
      <w:numFmt w:val="bullet"/>
      <w:lvlText w:val=""/>
      <w:lvlJc w:val="left"/>
      <w:pPr>
        <w:tabs>
          <w:tab w:val="num" w:pos="360"/>
        </w:tabs>
        <w:ind w:left="360" w:hanging="360"/>
      </w:pPr>
      <w:rPr>
        <w:rFonts w:ascii="Symbol" w:hAnsi="Symbol" w:hint="default"/>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2"/>
  </w:num>
  <w:num w:numId="4">
    <w:abstractNumId w:val="14"/>
  </w:num>
  <w:num w:numId="5">
    <w:abstractNumId w:val="3"/>
  </w:num>
  <w:num w:numId="6">
    <w:abstractNumId w:val="12"/>
  </w:num>
  <w:num w:numId="7">
    <w:abstractNumId w:val="1"/>
  </w:num>
  <w:num w:numId="8">
    <w:abstractNumId w:val="4"/>
  </w:num>
  <w:num w:numId="9">
    <w:abstractNumId w:val="11"/>
  </w:num>
  <w:num w:numId="10">
    <w:abstractNumId w:val="10"/>
  </w:num>
  <w:num w:numId="11">
    <w:abstractNumId w:val="7"/>
  </w:num>
  <w:num w:numId="12">
    <w:abstractNumId w:val="13"/>
  </w:num>
  <w:num w:numId="13">
    <w:abstractNumId w:val="5"/>
  </w:num>
  <w:num w:numId="14">
    <w:abstractNumId w:val="8"/>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03E7"/>
    <w:rsid w:val="00004B19"/>
    <w:rsid w:val="00005602"/>
    <w:rsid w:val="000117B2"/>
    <w:rsid w:val="0001796D"/>
    <w:rsid w:val="00017BF0"/>
    <w:rsid w:val="0002568B"/>
    <w:rsid w:val="000326F5"/>
    <w:rsid w:val="00033782"/>
    <w:rsid w:val="00036EF2"/>
    <w:rsid w:val="00037EC1"/>
    <w:rsid w:val="00041FB6"/>
    <w:rsid w:val="00043FA7"/>
    <w:rsid w:val="000513E3"/>
    <w:rsid w:val="000552E8"/>
    <w:rsid w:val="00056585"/>
    <w:rsid w:val="0005674F"/>
    <w:rsid w:val="00065C6E"/>
    <w:rsid w:val="00072E6E"/>
    <w:rsid w:val="0007347D"/>
    <w:rsid w:val="00073F1B"/>
    <w:rsid w:val="00075B58"/>
    <w:rsid w:val="000761FC"/>
    <w:rsid w:val="000778A0"/>
    <w:rsid w:val="00077DC7"/>
    <w:rsid w:val="00081520"/>
    <w:rsid w:val="00082373"/>
    <w:rsid w:val="00082624"/>
    <w:rsid w:val="00082643"/>
    <w:rsid w:val="0009367C"/>
    <w:rsid w:val="00096DD2"/>
    <w:rsid w:val="000A3656"/>
    <w:rsid w:val="000B11DD"/>
    <w:rsid w:val="000B1785"/>
    <w:rsid w:val="000B7126"/>
    <w:rsid w:val="000C390A"/>
    <w:rsid w:val="000C3C64"/>
    <w:rsid w:val="000C465A"/>
    <w:rsid w:val="000C77DD"/>
    <w:rsid w:val="000E295B"/>
    <w:rsid w:val="000E29E1"/>
    <w:rsid w:val="000E45A0"/>
    <w:rsid w:val="000E7C07"/>
    <w:rsid w:val="000F25D0"/>
    <w:rsid w:val="000F384B"/>
    <w:rsid w:val="000F3FA8"/>
    <w:rsid w:val="00101CD5"/>
    <w:rsid w:val="00104C5F"/>
    <w:rsid w:val="00107460"/>
    <w:rsid w:val="00112415"/>
    <w:rsid w:val="00120B1A"/>
    <w:rsid w:val="00126008"/>
    <w:rsid w:val="0012691E"/>
    <w:rsid w:val="00130EBC"/>
    <w:rsid w:val="001325B8"/>
    <w:rsid w:val="00132868"/>
    <w:rsid w:val="0013678D"/>
    <w:rsid w:val="00140A34"/>
    <w:rsid w:val="001410CA"/>
    <w:rsid w:val="00146ED8"/>
    <w:rsid w:val="00153C9B"/>
    <w:rsid w:val="001543CB"/>
    <w:rsid w:val="00156FDF"/>
    <w:rsid w:val="001574F2"/>
    <w:rsid w:val="001631CD"/>
    <w:rsid w:val="00167202"/>
    <w:rsid w:val="00171A92"/>
    <w:rsid w:val="00176553"/>
    <w:rsid w:val="001828A4"/>
    <w:rsid w:val="001844F0"/>
    <w:rsid w:val="00184930"/>
    <w:rsid w:val="00185F21"/>
    <w:rsid w:val="00187D6B"/>
    <w:rsid w:val="00193B40"/>
    <w:rsid w:val="00196620"/>
    <w:rsid w:val="00197991"/>
    <w:rsid w:val="001A0FF7"/>
    <w:rsid w:val="001A3BE2"/>
    <w:rsid w:val="001C35E7"/>
    <w:rsid w:val="001C4578"/>
    <w:rsid w:val="001C5A6D"/>
    <w:rsid w:val="001C5C42"/>
    <w:rsid w:val="001D02E6"/>
    <w:rsid w:val="001D3FDE"/>
    <w:rsid w:val="001D47C1"/>
    <w:rsid w:val="001D71F4"/>
    <w:rsid w:val="001E11D4"/>
    <w:rsid w:val="001E6EF1"/>
    <w:rsid w:val="001F0184"/>
    <w:rsid w:val="001F10A3"/>
    <w:rsid w:val="001F23CF"/>
    <w:rsid w:val="001F28A6"/>
    <w:rsid w:val="001F2A16"/>
    <w:rsid w:val="001F34FB"/>
    <w:rsid w:val="001F6921"/>
    <w:rsid w:val="001F7C3E"/>
    <w:rsid w:val="00201969"/>
    <w:rsid w:val="002052A5"/>
    <w:rsid w:val="0021222C"/>
    <w:rsid w:val="00213A13"/>
    <w:rsid w:val="00213FA5"/>
    <w:rsid w:val="0021436F"/>
    <w:rsid w:val="0021496E"/>
    <w:rsid w:val="00221767"/>
    <w:rsid w:val="00222AFB"/>
    <w:rsid w:val="00230144"/>
    <w:rsid w:val="0023733A"/>
    <w:rsid w:val="0024044F"/>
    <w:rsid w:val="00240CFB"/>
    <w:rsid w:val="002434F9"/>
    <w:rsid w:val="00245D00"/>
    <w:rsid w:val="00252EA5"/>
    <w:rsid w:val="00255636"/>
    <w:rsid w:val="00257F2D"/>
    <w:rsid w:val="00262CB2"/>
    <w:rsid w:val="00262F9F"/>
    <w:rsid w:val="00265865"/>
    <w:rsid w:val="00265955"/>
    <w:rsid w:val="00266D2D"/>
    <w:rsid w:val="0027331F"/>
    <w:rsid w:val="002736B0"/>
    <w:rsid w:val="00277450"/>
    <w:rsid w:val="002808EB"/>
    <w:rsid w:val="00285357"/>
    <w:rsid w:val="00285E76"/>
    <w:rsid w:val="00285F09"/>
    <w:rsid w:val="00286A27"/>
    <w:rsid w:val="002873EC"/>
    <w:rsid w:val="0029405D"/>
    <w:rsid w:val="002949C3"/>
    <w:rsid w:val="00296C35"/>
    <w:rsid w:val="002A10A4"/>
    <w:rsid w:val="002A26FE"/>
    <w:rsid w:val="002A356C"/>
    <w:rsid w:val="002A654D"/>
    <w:rsid w:val="002B1423"/>
    <w:rsid w:val="002B60E2"/>
    <w:rsid w:val="002B76EE"/>
    <w:rsid w:val="002C1D7A"/>
    <w:rsid w:val="002C2F17"/>
    <w:rsid w:val="002C463D"/>
    <w:rsid w:val="002D3E68"/>
    <w:rsid w:val="002D559E"/>
    <w:rsid w:val="002E0B07"/>
    <w:rsid w:val="002F1257"/>
    <w:rsid w:val="003024B7"/>
    <w:rsid w:val="003038A3"/>
    <w:rsid w:val="00305FDC"/>
    <w:rsid w:val="003108E2"/>
    <w:rsid w:val="00310C61"/>
    <w:rsid w:val="00312CD5"/>
    <w:rsid w:val="00316053"/>
    <w:rsid w:val="003171B3"/>
    <w:rsid w:val="00320ED1"/>
    <w:rsid w:val="00323A2D"/>
    <w:rsid w:val="003247B8"/>
    <w:rsid w:val="00324D6E"/>
    <w:rsid w:val="0032514E"/>
    <w:rsid w:val="0032559D"/>
    <w:rsid w:val="00325D6A"/>
    <w:rsid w:val="003268E3"/>
    <w:rsid w:val="00331616"/>
    <w:rsid w:val="00332E7C"/>
    <w:rsid w:val="00333567"/>
    <w:rsid w:val="003409CE"/>
    <w:rsid w:val="00343669"/>
    <w:rsid w:val="00344575"/>
    <w:rsid w:val="003501C8"/>
    <w:rsid w:val="0035113C"/>
    <w:rsid w:val="00354525"/>
    <w:rsid w:val="00356895"/>
    <w:rsid w:val="00370C94"/>
    <w:rsid w:val="00371C93"/>
    <w:rsid w:val="00374385"/>
    <w:rsid w:val="00380975"/>
    <w:rsid w:val="00380CC4"/>
    <w:rsid w:val="00387B87"/>
    <w:rsid w:val="003935A0"/>
    <w:rsid w:val="003A109C"/>
    <w:rsid w:val="003A1CE2"/>
    <w:rsid w:val="003A3878"/>
    <w:rsid w:val="003A57C2"/>
    <w:rsid w:val="003B2583"/>
    <w:rsid w:val="003B5B75"/>
    <w:rsid w:val="003B6D66"/>
    <w:rsid w:val="003B7965"/>
    <w:rsid w:val="003B7E26"/>
    <w:rsid w:val="003C0686"/>
    <w:rsid w:val="003C117B"/>
    <w:rsid w:val="003C11BB"/>
    <w:rsid w:val="003C5DFC"/>
    <w:rsid w:val="003D08CF"/>
    <w:rsid w:val="003D0BCF"/>
    <w:rsid w:val="003D0CBA"/>
    <w:rsid w:val="003D0F6A"/>
    <w:rsid w:val="003D2357"/>
    <w:rsid w:val="003D34CA"/>
    <w:rsid w:val="003D4BA8"/>
    <w:rsid w:val="003E259D"/>
    <w:rsid w:val="003E5269"/>
    <w:rsid w:val="003E7F37"/>
    <w:rsid w:val="003F3797"/>
    <w:rsid w:val="00400133"/>
    <w:rsid w:val="004001AF"/>
    <w:rsid w:val="00401F8D"/>
    <w:rsid w:val="0040367A"/>
    <w:rsid w:val="00405394"/>
    <w:rsid w:val="0040565F"/>
    <w:rsid w:val="004066E4"/>
    <w:rsid w:val="0040680B"/>
    <w:rsid w:val="00407361"/>
    <w:rsid w:val="0041403F"/>
    <w:rsid w:val="00417C55"/>
    <w:rsid w:val="00424A7B"/>
    <w:rsid w:val="00430612"/>
    <w:rsid w:val="00430AD3"/>
    <w:rsid w:val="00430AEC"/>
    <w:rsid w:val="00433593"/>
    <w:rsid w:val="004447C1"/>
    <w:rsid w:val="00446AA8"/>
    <w:rsid w:val="00446CA0"/>
    <w:rsid w:val="00447966"/>
    <w:rsid w:val="00447DB3"/>
    <w:rsid w:val="0045590D"/>
    <w:rsid w:val="00460E4B"/>
    <w:rsid w:val="0046211F"/>
    <w:rsid w:val="0046216E"/>
    <w:rsid w:val="00462F9E"/>
    <w:rsid w:val="0046600F"/>
    <w:rsid w:val="0046787B"/>
    <w:rsid w:val="00471D82"/>
    <w:rsid w:val="00486653"/>
    <w:rsid w:val="00487D3B"/>
    <w:rsid w:val="00493CA7"/>
    <w:rsid w:val="00493CE7"/>
    <w:rsid w:val="004A5FDA"/>
    <w:rsid w:val="004A63C5"/>
    <w:rsid w:val="004B07FD"/>
    <w:rsid w:val="004B0A75"/>
    <w:rsid w:val="004B4A44"/>
    <w:rsid w:val="004D0984"/>
    <w:rsid w:val="004D098C"/>
    <w:rsid w:val="004D24A9"/>
    <w:rsid w:val="004D41FE"/>
    <w:rsid w:val="004D52EA"/>
    <w:rsid w:val="004E00B6"/>
    <w:rsid w:val="004E0972"/>
    <w:rsid w:val="004E1FC2"/>
    <w:rsid w:val="004E3B2F"/>
    <w:rsid w:val="004E5357"/>
    <w:rsid w:val="004F15B7"/>
    <w:rsid w:val="004F4A07"/>
    <w:rsid w:val="004F5EB1"/>
    <w:rsid w:val="004F6887"/>
    <w:rsid w:val="004F7DE7"/>
    <w:rsid w:val="005030AD"/>
    <w:rsid w:val="0051249C"/>
    <w:rsid w:val="00512EE2"/>
    <w:rsid w:val="00515A0A"/>
    <w:rsid w:val="005176E7"/>
    <w:rsid w:val="00520330"/>
    <w:rsid w:val="005215C4"/>
    <w:rsid w:val="005216FA"/>
    <w:rsid w:val="00523C07"/>
    <w:rsid w:val="00524B6B"/>
    <w:rsid w:val="005256B5"/>
    <w:rsid w:val="00526403"/>
    <w:rsid w:val="00527287"/>
    <w:rsid w:val="005273F7"/>
    <w:rsid w:val="005309ED"/>
    <w:rsid w:val="0053780A"/>
    <w:rsid w:val="005378B3"/>
    <w:rsid w:val="00540961"/>
    <w:rsid w:val="005413EE"/>
    <w:rsid w:val="005541FF"/>
    <w:rsid w:val="005600D9"/>
    <w:rsid w:val="00562482"/>
    <w:rsid w:val="005626E3"/>
    <w:rsid w:val="00565D7B"/>
    <w:rsid w:val="00577EE0"/>
    <w:rsid w:val="0058472A"/>
    <w:rsid w:val="00587443"/>
    <w:rsid w:val="00587C50"/>
    <w:rsid w:val="005917F3"/>
    <w:rsid w:val="00594C39"/>
    <w:rsid w:val="00594F2D"/>
    <w:rsid w:val="005A1C71"/>
    <w:rsid w:val="005A27DA"/>
    <w:rsid w:val="005A4981"/>
    <w:rsid w:val="005B0ACD"/>
    <w:rsid w:val="005B4629"/>
    <w:rsid w:val="005B50A2"/>
    <w:rsid w:val="005B560B"/>
    <w:rsid w:val="005C3408"/>
    <w:rsid w:val="005C72CC"/>
    <w:rsid w:val="005D0A42"/>
    <w:rsid w:val="005D323E"/>
    <w:rsid w:val="005D611B"/>
    <w:rsid w:val="005E7313"/>
    <w:rsid w:val="005F0B40"/>
    <w:rsid w:val="005F1ACE"/>
    <w:rsid w:val="005F256D"/>
    <w:rsid w:val="005F518D"/>
    <w:rsid w:val="0060183A"/>
    <w:rsid w:val="00603110"/>
    <w:rsid w:val="006031B4"/>
    <w:rsid w:val="00607ECB"/>
    <w:rsid w:val="00611C8E"/>
    <w:rsid w:val="00624B5C"/>
    <w:rsid w:val="006250F1"/>
    <w:rsid w:val="006302F7"/>
    <w:rsid w:val="00631F30"/>
    <w:rsid w:val="00635A50"/>
    <w:rsid w:val="00640CC2"/>
    <w:rsid w:val="00641FF8"/>
    <w:rsid w:val="00642420"/>
    <w:rsid w:val="00646158"/>
    <w:rsid w:val="006513F4"/>
    <w:rsid w:val="006532B4"/>
    <w:rsid w:val="00664866"/>
    <w:rsid w:val="00664D9F"/>
    <w:rsid w:val="0066622C"/>
    <w:rsid w:val="00666487"/>
    <w:rsid w:val="00673B37"/>
    <w:rsid w:val="00682B78"/>
    <w:rsid w:val="00682C32"/>
    <w:rsid w:val="0068327B"/>
    <w:rsid w:val="00683835"/>
    <w:rsid w:val="00692F0C"/>
    <w:rsid w:val="006945EA"/>
    <w:rsid w:val="006962F3"/>
    <w:rsid w:val="006A3CDA"/>
    <w:rsid w:val="006B35C4"/>
    <w:rsid w:val="006B5470"/>
    <w:rsid w:val="006B608E"/>
    <w:rsid w:val="006C07CA"/>
    <w:rsid w:val="006C1ED7"/>
    <w:rsid w:val="006C7607"/>
    <w:rsid w:val="006D0138"/>
    <w:rsid w:val="006D6F52"/>
    <w:rsid w:val="006E1133"/>
    <w:rsid w:val="006E57B4"/>
    <w:rsid w:val="006F07FC"/>
    <w:rsid w:val="006F0BC7"/>
    <w:rsid w:val="00701718"/>
    <w:rsid w:val="00703EC9"/>
    <w:rsid w:val="00710359"/>
    <w:rsid w:val="00711BFF"/>
    <w:rsid w:val="00712FFF"/>
    <w:rsid w:val="00714635"/>
    <w:rsid w:val="00714852"/>
    <w:rsid w:val="007155B9"/>
    <w:rsid w:val="00717A27"/>
    <w:rsid w:val="0072176B"/>
    <w:rsid w:val="00722DBF"/>
    <w:rsid w:val="00724F23"/>
    <w:rsid w:val="0073377F"/>
    <w:rsid w:val="00735157"/>
    <w:rsid w:val="0074050C"/>
    <w:rsid w:val="0074732F"/>
    <w:rsid w:val="0076271C"/>
    <w:rsid w:val="00763E21"/>
    <w:rsid w:val="00767CE8"/>
    <w:rsid w:val="00771300"/>
    <w:rsid w:val="0077241D"/>
    <w:rsid w:val="00775490"/>
    <w:rsid w:val="0077667B"/>
    <w:rsid w:val="00793C97"/>
    <w:rsid w:val="00795D0C"/>
    <w:rsid w:val="00797F42"/>
    <w:rsid w:val="007A27DA"/>
    <w:rsid w:val="007A3612"/>
    <w:rsid w:val="007A55BA"/>
    <w:rsid w:val="007A6E19"/>
    <w:rsid w:val="007A772C"/>
    <w:rsid w:val="007B0F83"/>
    <w:rsid w:val="007B4FC3"/>
    <w:rsid w:val="007C1FBD"/>
    <w:rsid w:val="007C54B3"/>
    <w:rsid w:val="007C5C8E"/>
    <w:rsid w:val="007C6BEB"/>
    <w:rsid w:val="007C7DA5"/>
    <w:rsid w:val="007E0A01"/>
    <w:rsid w:val="007E22F5"/>
    <w:rsid w:val="007E4899"/>
    <w:rsid w:val="007E586E"/>
    <w:rsid w:val="007E5D7C"/>
    <w:rsid w:val="007F25F3"/>
    <w:rsid w:val="007F2AB3"/>
    <w:rsid w:val="007F3708"/>
    <w:rsid w:val="007F4901"/>
    <w:rsid w:val="00800767"/>
    <w:rsid w:val="00811F36"/>
    <w:rsid w:val="0081339C"/>
    <w:rsid w:val="00815A68"/>
    <w:rsid w:val="008254B1"/>
    <w:rsid w:val="00826DEB"/>
    <w:rsid w:val="0082745E"/>
    <w:rsid w:val="008307DE"/>
    <w:rsid w:val="00830D43"/>
    <w:rsid w:val="00832031"/>
    <w:rsid w:val="00832A78"/>
    <w:rsid w:val="00833008"/>
    <w:rsid w:val="00836B02"/>
    <w:rsid w:val="008372E9"/>
    <w:rsid w:val="0084597D"/>
    <w:rsid w:val="00846310"/>
    <w:rsid w:val="008467D4"/>
    <w:rsid w:val="00850683"/>
    <w:rsid w:val="00850FB0"/>
    <w:rsid w:val="00852103"/>
    <w:rsid w:val="0085238E"/>
    <w:rsid w:val="00853428"/>
    <w:rsid w:val="00853B60"/>
    <w:rsid w:val="008540EA"/>
    <w:rsid w:val="00854E55"/>
    <w:rsid w:val="0086078F"/>
    <w:rsid w:val="008639BF"/>
    <w:rsid w:val="00865BE4"/>
    <w:rsid w:val="00866A00"/>
    <w:rsid w:val="008702A6"/>
    <w:rsid w:val="0087199F"/>
    <w:rsid w:val="008757CE"/>
    <w:rsid w:val="00876275"/>
    <w:rsid w:val="008774D7"/>
    <w:rsid w:val="00882236"/>
    <w:rsid w:val="0088392C"/>
    <w:rsid w:val="00886F9D"/>
    <w:rsid w:val="00890260"/>
    <w:rsid w:val="00897C0E"/>
    <w:rsid w:val="00897E31"/>
    <w:rsid w:val="008A03EB"/>
    <w:rsid w:val="008A046F"/>
    <w:rsid w:val="008A405A"/>
    <w:rsid w:val="008A6A6A"/>
    <w:rsid w:val="008B650A"/>
    <w:rsid w:val="008B787C"/>
    <w:rsid w:val="008C138B"/>
    <w:rsid w:val="008C3898"/>
    <w:rsid w:val="008C66CC"/>
    <w:rsid w:val="008D229D"/>
    <w:rsid w:val="008D4C74"/>
    <w:rsid w:val="008E00AD"/>
    <w:rsid w:val="008E3548"/>
    <w:rsid w:val="008E3FA1"/>
    <w:rsid w:val="008F311D"/>
    <w:rsid w:val="008F483C"/>
    <w:rsid w:val="008F5FC4"/>
    <w:rsid w:val="008F6FC7"/>
    <w:rsid w:val="00901854"/>
    <w:rsid w:val="00902BBD"/>
    <w:rsid w:val="009051D7"/>
    <w:rsid w:val="00910595"/>
    <w:rsid w:val="00910756"/>
    <w:rsid w:val="00912777"/>
    <w:rsid w:val="00912D61"/>
    <w:rsid w:val="00913555"/>
    <w:rsid w:val="009219FB"/>
    <w:rsid w:val="0092409B"/>
    <w:rsid w:val="009322D7"/>
    <w:rsid w:val="00932BDE"/>
    <w:rsid w:val="009371D0"/>
    <w:rsid w:val="00942436"/>
    <w:rsid w:val="00942B71"/>
    <w:rsid w:val="0094620C"/>
    <w:rsid w:val="00967725"/>
    <w:rsid w:val="00972998"/>
    <w:rsid w:val="00973D91"/>
    <w:rsid w:val="00976718"/>
    <w:rsid w:val="00980907"/>
    <w:rsid w:val="0098195F"/>
    <w:rsid w:val="00984F40"/>
    <w:rsid w:val="009902F8"/>
    <w:rsid w:val="00992BBF"/>
    <w:rsid w:val="00993BB8"/>
    <w:rsid w:val="0099555F"/>
    <w:rsid w:val="009A22A1"/>
    <w:rsid w:val="009A6D76"/>
    <w:rsid w:val="009B30AB"/>
    <w:rsid w:val="009B3A1B"/>
    <w:rsid w:val="009B49C8"/>
    <w:rsid w:val="009B6332"/>
    <w:rsid w:val="009C0912"/>
    <w:rsid w:val="009C1880"/>
    <w:rsid w:val="009C3FA5"/>
    <w:rsid w:val="009C6A95"/>
    <w:rsid w:val="009C7443"/>
    <w:rsid w:val="009D185F"/>
    <w:rsid w:val="009D329F"/>
    <w:rsid w:val="009D37DA"/>
    <w:rsid w:val="009D6694"/>
    <w:rsid w:val="009D6F47"/>
    <w:rsid w:val="009D74E7"/>
    <w:rsid w:val="009E6886"/>
    <w:rsid w:val="009F0300"/>
    <w:rsid w:val="00A02CA7"/>
    <w:rsid w:val="00A031C2"/>
    <w:rsid w:val="00A0354E"/>
    <w:rsid w:val="00A07257"/>
    <w:rsid w:val="00A11968"/>
    <w:rsid w:val="00A13376"/>
    <w:rsid w:val="00A167A8"/>
    <w:rsid w:val="00A200B9"/>
    <w:rsid w:val="00A21BBF"/>
    <w:rsid w:val="00A21F0A"/>
    <w:rsid w:val="00A26011"/>
    <w:rsid w:val="00A31738"/>
    <w:rsid w:val="00A321D3"/>
    <w:rsid w:val="00A3287E"/>
    <w:rsid w:val="00A331FC"/>
    <w:rsid w:val="00A3661B"/>
    <w:rsid w:val="00A41C96"/>
    <w:rsid w:val="00A43286"/>
    <w:rsid w:val="00A506C2"/>
    <w:rsid w:val="00A55ADB"/>
    <w:rsid w:val="00A570D8"/>
    <w:rsid w:val="00A620BE"/>
    <w:rsid w:val="00A62886"/>
    <w:rsid w:val="00A62912"/>
    <w:rsid w:val="00A62B63"/>
    <w:rsid w:val="00A64779"/>
    <w:rsid w:val="00A65AE8"/>
    <w:rsid w:val="00A74C38"/>
    <w:rsid w:val="00A768AC"/>
    <w:rsid w:val="00A77D24"/>
    <w:rsid w:val="00A80851"/>
    <w:rsid w:val="00A82D38"/>
    <w:rsid w:val="00A8543C"/>
    <w:rsid w:val="00A8572F"/>
    <w:rsid w:val="00A8583F"/>
    <w:rsid w:val="00A87DBC"/>
    <w:rsid w:val="00A93E07"/>
    <w:rsid w:val="00A979CF"/>
    <w:rsid w:val="00AA3484"/>
    <w:rsid w:val="00AA4DF8"/>
    <w:rsid w:val="00AB2471"/>
    <w:rsid w:val="00AB780C"/>
    <w:rsid w:val="00AC020F"/>
    <w:rsid w:val="00AC2448"/>
    <w:rsid w:val="00AC5032"/>
    <w:rsid w:val="00AD0620"/>
    <w:rsid w:val="00AD0B0B"/>
    <w:rsid w:val="00AD0B18"/>
    <w:rsid w:val="00AD1844"/>
    <w:rsid w:val="00AD5ADE"/>
    <w:rsid w:val="00AD71D2"/>
    <w:rsid w:val="00AE2204"/>
    <w:rsid w:val="00AE406F"/>
    <w:rsid w:val="00AE7138"/>
    <w:rsid w:val="00AF4CAF"/>
    <w:rsid w:val="00AF5FEB"/>
    <w:rsid w:val="00B0268D"/>
    <w:rsid w:val="00B06532"/>
    <w:rsid w:val="00B109D8"/>
    <w:rsid w:val="00B117BA"/>
    <w:rsid w:val="00B15F23"/>
    <w:rsid w:val="00B16508"/>
    <w:rsid w:val="00B166F5"/>
    <w:rsid w:val="00B20D87"/>
    <w:rsid w:val="00B24053"/>
    <w:rsid w:val="00B3046C"/>
    <w:rsid w:val="00B31550"/>
    <w:rsid w:val="00B41665"/>
    <w:rsid w:val="00B4417C"/>
    <w:rsid w:val="00B53441"/>
    <w:rsid w:val="00B56382"/>
    <w:rsid w:val="00B578AC"/>
    <w:rsid w:val="00B62F06"/>
    <w:rsid w:val="00B6433F"/>
    <w:rsid w:val="00B64CF5"/>
    <w:rsid w:val="00B657EB"/>
    <w:rsid w:val="00B67AA0"/>
    <w:rsid w:val="00B75D2A"/>
    <w:rsid w:val="00B76C9B"/>
    <w:rsid w:val="00B8010B"/>
    <w:rsid w:val="00B823A1"/>
    <w:rsid w:val="00B8428B"/>
    <w:rsid w:val="00B87216"/>
    <w:rsid w:val="00B92F1A"/>
    <w:rsid w:val="00B92F4F"/>
    <w:rsid w:val="00B933CD"/>
    <w:rsid w:val="00B96250"/>
    <w:rsid w:val="00B97B2C"/>
    <w:rsid w:val="00BA41F5"/>
    <w:rsid w:val="00BB2EE2"/>
    <w:rsid w:val="00BB3C9C"/>
    <w:rsid w:val="00BC729C"/>
    <w:rsid w:val="00BC7874"/>
    <w:rsid w:val="00BD6CB7"/>
    <w:rsid w:val="00BD7220"/>
    <w:rsid w:val="00BD78E6"/>
    <w:rsid w:val="00BE4D98"/>
    <w:rsid w:val="00BE4EF5"/>
    <w:rsid w:val="00BE5FCB"/>
    <w:rsid w:val="00BE6B92"/>
    <w:rsid w:val="00BF0B12"/>
    <w:rsid w:val="00BF4822"/>
    <w:rsid w:val="00C01D22"/>
    <w:rsid w:val="00C039F2"/>
    <w:rsid w:val="00C07BEF"/>
    <w:rsid w:val="00C104B6"/>
    <w:rsid w:val="00C10B3D"/>
    <w:rsid w:val="00C10F02"/>
    <w:rsid w:val="00C114F4"/>
    <w:rsid w:val="00C11D03"/>
    <w:rsid w:val="00C1229F"/>
    <w:rsid w:val="00C169A8"/>
    <w:rsid w:val="00C23CF8"/>
    <w:rsid w:val="00C23E66"/>
    <w:rsid w:val="00C303BE"/>
    <w:rsid w:val="00C31967"/>
    <w:rsid w:val="00C34C96"/>
    <w:rsid w:val="00C36065"/>
    <w:rsid w:val="00C37135"/>
    <w:rsid w:val="00C371DE"/>
    <w:rsid w:val="00C409AE"/>
    <w:rsid w:val="00C4143E"/>
    <w:rsid w:val="00C42D50"/>
    <w:rsid w:val="00C46038"/>
    <w:rsid w:val="00C54DF8"/>
    <w:rsid w:val="00C60B49"/>
    <w:rsid w:val="00C67B3A"/>
    <w:rsid w:val="00C71AF2"/>
    <w:rsid w:val="00C7440A"/>
    <w:rsid w:val="00C74E6D"/>
    <w:rsid w:val="00C865ED"/>
    <w:rsid w:val="00C8775A"/>
    <w:rsid w:val="00C94969"/>
    <w:rsid w:val="00CA0877"/>
    <w:rsid w:val="00CA6B59"/>
    <w:rsid w:val="00CB1E3D"/>
    <w:rsid w:val="00CB2BB0"/>
    <w:rsid w:val="00CB3B6C"/>
    <w:rsid w:val="00CB3D46"/>
    <w:rsid w:val="00CB75F1"/>
    <w:rsid w:val="00CB7811"/>
    <w:rsid w:val="00CC1833"/>
    <w:rsid w:val="00CC189F"/>
    <w:rsid w:val="00CC3368"/>
    <w:rsid w:val="00CC46FD"/>
    <w:rsid w:val="00CC4DAB"/>
    <w:rsid w:val="00CD381E"/>
    <w:rsid w:val="00CD554C"/>
    <w:rsid w:val="00CE119F"/>
    <w:rsid w:val="00CE2516"/>
    <w:rsid w:val="00CE2E7A"/>
    <w:rsid w:val="00CF19C4"/>
    <w:rsid w:val="00CF2B0A"/>
    <w:rsid w:val="00D04908"/>
    <w:rsid w:val="00D0546D"/>
    <w:rsid w:val="00D07F3D"/>
    <w:rsid w:val="00D13C04"/>
    <w:rsid w:val="00D178DD"/>
    <w:rsid w:val="00D20A78"/>
    <w:rsid w:val="00D20EEC"/>
    <w:rsid w:val="00D22D20"/>
    <w:rsid w:val="00D26A8C"/>
    <w:rsid w:val="00D278BA"/>
    <w:rsid w:val="00D33EF2"/>
    <w:rsid w:val="00D40454"/>
    <w:rsid w:val="00D4059C"/>
    <w:rsid w:val="00D43BE3"/>
    <w:rsid w:val="00D53D8F"/>
    <w:rsid w:val="00D5751E"/>
    <w:rsid w:val="00D61C76"/>
    <w:rsid w:val="00D6391B"/>
    <w:rsid w:val="00D74024"/>
    <w:rsid w:val="00D77015"/>
    <w:rsid w:val="00D84B39"/>
    <w:rsid w:val="00D87778"/>
    <w:rsid w:val="00D92B48"/>
    <w:rsid w:val="00D92BAF"/>
    <w:rsid w:val="00DA442B"/>
    <w:rsid w:val="00DA5A26"/>
    <w:rsid w:val="00DA5D20"/>
    <w:rsid w:val="00DB1693"/>
    <w:rsid w:val="00DC5A2E"/>
    <w:rsid w:val="00DD0F06"/>
    <w:rsid w:val="00DD5B07"/>
    <w:rsid w:val="00DE2653"/>
    <w:rsid w:val="00DE6821"/>
    <w:rsid w:val="00DF06D3"/>
    <w:rsid w:val="00DF2022"/>
    <w:rsid w:val="00DF34BE"/>
    <w:rsid w:val="00DF5D59"/>
    <w:rsid w:val="00E03D6F"/>
    <w:rsid w:val="00E10B37"/>
    <w:rsid w:val="00E118DA"/>
    <w:rsid w:val="00E11B9F"/>
    <w:rsid w:val="00E135D9"/>
    <w:rsid w:val="00E239E4"/>
    <w:rsid w:val="00E2604E"/>
    <w:rsid w:val="00E36A38"/>
    <w:rsid w:val="00E50621"/>
    <w:rsid w:val="00E53399"/>
    <w:rsid w:val="00E55799"/>
    <w:rsid w:val="00E57589"/>
    <w:rsid w:val="00E65048"/>
    <w:rsid w:val="00E73D71"/>
    <w:rsid w:val="00E77995"/>
    <w:rsid w:val="00E85F56"/>
    <w:rsid w:val="00E86E16"/>
    <w:rsid w:val="00E87099"/>
    <w:rsid w:val="00E87E21"/>
    <w:rsid w:val="00E90AAC"/>
    <w:rsid w:val="00E91428"/>
    <w:rsid w:val="00E91B4E"/>
    <w:rsid w:val="00E934AE"/>
    <w:rsid w:val="00E96A93"/>
    <w:rsid w:val="00EA28E6"/>
    <w:rsid w:val="00EA7C3D"/>
    <w:rsid w:val="00EB02E0"/>
    <w:rsid w:val="00EB1CD0"/>
    <w:rsid w:val="00EB3692"/>
    <w:rsid w:val="00EB6ABC"/>
    <w:rsid w:val="00EC17A4"/>
    <w:rsid w:val="00EC70E4"/>
    <w:rsid w:val="00ED1157"/>
    <w:rsid w:val="00ED12D3"/>
    <w:rsid w:val="00ED2729"/>
    <w:rsid w:val="00ED5143"/>
    <w:rsid w:val="00EE192B"/>
    <w:rsid w:val="00EE34E6"/>
    <w:rsid w:val="00EF581B"/>
    <w:rsid w:val="00EF78C4"/>
    <w:rsid w:val="00F04CD7"/>
    <w:rsid w:val="00F13DD5"/>
    <w:rsid w:val="00F21D48"/>
    <w:rsid w:val="00F238F7"/>
    <w:rsid w:val="00F23E15"/>
    <w:rsid w:val="00F244A2"/>
    <w:rsid w:val="00F35064"/>
    <w:rsid w:val="00F35EB9"/>
    <w:rsid w:val="00F36BD0"/>
    <w:rsid w:val="00F374D8"/>
    <w:rsid w:val="00F44176"/>
    <w:rsid w:val="00F4789F"/>
    <w:rsid w:val="00F50E31"/>
    <w:rsid w:val="00F52CAC"/>
    <w:rsid w:val="00F53089"/>
    <w:rsid w:val="00F539FB"/>
    <w:rsid w:val="00F5684D"/>
    <w:rsid w:val="00F57AB6"/>
    <w:rsid w:val="00F60A25"/>
    <w:rsid w:val="00F633F2"/>
    <w:rsid w:val="00F63E9F"/>
    <w:rsid w:val="00F6480F"/>
    <w:rsid w:val="00F64868"/>
    <w:rsid w:val="00F66E77"/>
    <w:rsid w:val="00F70C2E"/>
    <w:rsid w:val="00F8161D"/>
    <w:rsid w:val="00F839F0"/>
    <w:rsid w:val="00F84DF2"/>
    <w:rsid w:val="00F86713"/>
    <w:rsid w:val="00F90640"/>
    <w:rsid w:val="00F930F8"/>
    <w:rsid w:val="00F932E0"/>
    <w:rsid w:val="00F93FF4"/>
    <w:rsid w:val="00FA1F26"/>
    <w:rsid w:val="00FB1DD2"/>
    <w:rsid w:val="00FB6AA7"/>
    <w:rsid w:val="00FB7701"/>
    <w:rsid w:val="00FC1521"/>
    <w:rsid w:val="00FC1F63"/>
    <w:rsid w:val="00FC40F0"/>
    <w:rsid w:val="00FC42B5"/>
    <w:rsid w:val="00FC6D3B"/>
    <w:rsid w:val="00FD0129"/>
    <w:rsid w:val="00FD432A"/>
    <w:rsid w:val="00FD4CF5"/>
    <w:rsid w:val="00FD6671"/>
    <w:rsid w:val="00FD6D24"/>
    <w:rsid w:val="00FD779D"/>
    <w:rsid w:val="00FE17ED"/>
    <w:rsid w:val="00FE2EC9"/>
    <w:rsid w:val="00FE4A18"/>
    <w:rsid w:val="00FE616F"/>
    <w:rsid w:val="00FF1E5E"/>
    <w:rsid w:val="00FF33E1"/>
    <w:rsid w:val="00FF4315"/>
    <w:rsid w:val="00FF75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15A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555F"/>
    <w:pPr>
      <w:spacing w:before="100" w:beforeAutospacing="1" w:after="100" w:afterAutospacing="1"/>
    </w:pPr>
    <w:rPr>
      <w:szCs w:val="24"/>
    </w:rPr>
  </w:style>
  <w:style w:type="paragraph" w:styleId="Footer">
    <w:name w:val="footer"/>
    <w:basedOn w:val="Normal"/>
    <w:link w:val="FooterChar"/>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paragraph" w:customStyle="1" w:styleId="Default">
    <w:name w:val="Default"/>
    <w:rsid w:val="003B7965"/>
    <w:pPr>
      <w:autoSpaceDE w:val="0"/>
      <w:autoSpaceDN w:val="0"/>
      <w:adjustRightInd w:val="0"/>
    </w:pPr>
    <w:rPr>
      <w:color w:val="000000"/>
      <w:sz w:val="24"/>
      <w:szCs w:val="24"/>
    </w:rPr>
  </w:style>
  <w:style w:type="paragraph" w:customStyle="1" w:styleId="subsection">
    <w:name w:val="subsection"/>
    <w:aliases w:val="ss"/>
    <w:basedOn w:val="Normal"/>
    <w:link w:val="subsectionChar"/>
    <w:rsid w:val="00635A50"/>
    <w:pPr>
      <w:tabs>
        <w:tab w:val="right" w:pos="1021"/>
      </w:tabs>
      <w:spacing w:before="180"/>
      <w:ind w:left="1134" w:hanging="1134"/>
    </w:pPr>
    <w:rPr>
      <w:sz w:val="22"/>
    </w:rPr>
  </w:style>
  <w:style w:type="paragraph" w:customStyle="1" w:styleId="paragraph">
    <w:name w:val="paragraph"/>
    <w:aliases w:val="a"/>
    <w:basedOn w:val="Normal"/>
    <w:link w:val="paragraphChar"/>
    <w:rsid w:val="00635A50"/>
    <w:pPr>
      <w:tabs>
        <w:tab w:val="right" w:pos="1531"/>
      </w:tabs>
      <w:spacing w:before="40"/>
      <w:ind w:left="1644" w:hanging="1644"/>
    </w:pPr>
    <w:rPr>
      <w:sz w:val="22"/>
    </w:rPr>
  </w:style>
  <w:style w:type="character" w:customStyle="1" w:styleId="subsectionChar">
    <w:name w:val="subsection Char"/>
    <w:aliases w:val="ss Char"/>
    <w:basedOn w:val="DefaultParagraphFont"/>
    <w:link w:val="subsection"/>
    <w:locked/>
    <w:rsid w:val="00635A50"/>
    <w:rPr>
      <w:sz w:val="22"/>
    </w:rPr>
  </w:style>
  <w:style w:type="character" w:customStyle="1" w:styleId="paragraphChar">
    <w:name w:val="paragraph Char"/>
    <w:aliases w:val="a Char"/>
    <w:link w:val="paragraph"/>
    <w:rsid w:val="00635A50"/>
    <w:rPr>
      <w:sz w:val="22"/>
    </w:rPr>
  </w:style>
  <w:style w:type="paragraph" w:styleId="Revision">
    <w:name w:val="Revision"/>
    <w:hidden/>
    <w:uiPriority w:val="99"/>
    <w:semiHidden/>
    <w:rsid w:val="00CB1E3D"/>
    <w:rPr>
      <w:sz w:val="24"/>
    </w:rPr>
  </w:style>
  <w:style w:type="character" w:customStyle="1" w:styleId="FooterChar">
    <w:name w:val="Footer Char"/>
    <w:basedOn w:val="DefaultParagraphFont"/>
    <w:link w:val="Footer"/>
    <w:rsid w:val="001F10A3"/>
    <w:rPr>
      <w:sz w:val="24"/>
    </w:rPr>
  </w:style>
  <w:style w:type="paragraph" w:customStyle="1" w:styleId="null">
    <w:name w:val="null"/>
    <w:basedOn w:val="Normal"/>
    <w:rsid w:val="00AB2471"/>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AB2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70997">
      <w:bodyDiv w:val="1"/>
      <w:marLeft w:val="0"/>
      <w:marRight w:val="0"/>
      <w:marTop w:val="0"/>
      <w:marBottom w:val="0"/>
      <w:divBdr>
        <w:top w:val="none" w:sz="0" w:space="0" w:color="auto"/>
        <w:left w:val="none" w:sz="0" w:space="0" w:color="auto"/>
        <w:bottom w:val="none" w:sz="0" w:space="0" w:color="auto"/>
        <w:right w:val="none" w:sz="0" w:space="0" w:color="auto"/>
      </w:divBdr>
    </w:div>
    <w:div w:id="237134897">
      <w:bodyDiv w:val="1"/>
      <w:marLeft w:val="75"/>
      <w:marRight w:val="75"/>
      <w:marTop w:val="75"/>
      <w:marBottom w:val="75"/>
      <w:divBdr>
        <w:top w:val="none" w:sz="0" w:space="0" w:color="auto"/>
        <w:left w:val="none" w:sz="0" w:space="0" w:color="auto"/>
        <w:bottom w:val="none" w:sz="0" w:space="0" w:color="auto"/>
        <w:right w:val="none" w:sz="0" w:space="0" w:color="auto"/>
      </w:divBdr>
      <w:divsChild>
        <w:div w:id="1322126183">
          <w:blockQuote w:val="1"/>
          <w:marLeft w:val="750"/>
          <w:marRight w:val="750"/>
          <w:marTop w:val="100"/>
          <w:marBottom w:val="100"/>
          <w:divBdr>
            <w:top w:val="none" w:sz="0" w:space="0" w:color="auto"/>
            <w:left w:val="none" w:sz="0" w:space="0" w:color="auto"/>
            <w:bottom w:val="none" w:sz="0" w:space="0" w:color="auto"/>
            <w:right w:val="none" w:sz="0" w:space="0" w:color="auto"/>
          </w:divBdr>
        </w:div>
        <w:div w:id="1461455911">
          <w:blockQuote w:val="1"/>
          <w:marLeft w:val="750"/>
          <w:marRight w:val="750"/>
          <w:marTop w:val="100"/>
          <w:marBottom w:val="100"/>
          <w:divBdr>
            <w:top w:val="none" w:sz="0" w:space="0" w:color="auto"/>
            <w:left w:val="none" w:sz="0" w:space="0" w:color="auto"/>
            <w:bottom w:val="none" w:sz="0" w:space="0" w:color="auto"/>
            <w:right w:val="none" w:sz="0" w:space="0" w:color="auto"/>
          </w:divBdr>
        </w:div>
        <w:div w:id="2075080488">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243804165">
      <w:bodyDiv w:val="1"/>
      <w:marLeft w:val="0"/>
      <w:marRight w:val="0"/>
      <w:marTop w:val="0"/>
      <w:marBottom w:val="0"/>
      <w:divBdr>
        <w:top w:val="none" w:sz="0" w:space="0" w:color="auto"/>
        <w:left w:val="none" w:sz="0" w:space="0" w:color="auto"/>
        <w:bottom w:val="none" w:sz="0" w:space="0" w:color="auto"/>
        <w:right w:val="none" w:sz="0" w:space="0" w:color="auto"/>
      </w:divBdr>
    </w:div>
    <w:div w:id="412430200">
      <w:bodyDiv w:val="1"/>
      <w:marLeft w:val="0"/>
      <w:marRight w:val="0"/>
      <w:marTop w:val="0"/>
      <w:marBottom w:val="0"/>
      <w:divBdr>
        <w:top w:val="none" w:sz="0" w:space="0" w:color="auto"/>
        <w:left w:val="none" w:sz="0" w:space="0" w:color="auto"/>
        <w:bottom w:val="none" w:sz="0" w:space="0" w:color="auto"/>
        <w:right w:val="none" w:sz="0" w:space="0" w:color="auto"/>
      </w:divBdr>
    </w:div>
    <w:div w:id="495387708">
      <w:bodyDiv w:val="1"/>
      <w:marLeft w:val="0"/>
      <w:marRight w:val="0"/>
      <w:marTop w:val="0"/>
      <w:marBottom w:val="0"/>
      <w:divBdr>
        <w:top w:val="none" w:sz="0" w:space="0" w:color="auto"/>
        <w:left w:val="none" w:sz="0" w:space="0" w:color="auto"/>
        <w:bottom w:val="none" w:sz="0" w:space="0" w:color="auto"/>
        <w:right w:val="none" w:sz="0" w:space="0" w:color="auto"/>
      </w:divBdr>
    </w:div>
    <w:div w:id="573667159">
      <w:bodyDiv w:val="1"/>
      <w:marLeft w:val="0"/>
      <w:marRight w:val="0"/>
      <w:marTop w:val="0"/>
      <w:marBottom w:val="0"/>
      <w:divBdr>
        <w:top w:val="none" w:sz="0" w:space="0" w:color="auto"/>
        <w:left w:val="none" w:sz="0" w:space="0" w:color="auto"/>
        <w:bottom w:val="none" w:sz="0" w:space="0" w:color="auto"/>
        <w:right w:val="none" w:sz="0" w:space="0" w:color="auto"/>
      </w:divBdr>
    </w:div>
    <w:div w:id="651763549">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173227371">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other/dfat/treaties/1980/23.html" TargetMode="External"/><Relationship Id="rId13" Type="http://schemas.openxmlformats.org/officeDocument/2006/relationships/hyperlink" Target="http://www.austlii.edu.au/au/other/dfat/treaties/1991/4.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stlii.edu.au/au/other/dfat/treaties/1989/21.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lii.edu.au/au/other/dfat/treaties/1983/9.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ustlii.edu.au/au/other/dfat/treaties/1975/40.html" TargetMode="External"/><Relationship Id="rId4" Type="http://schemas.openxmlformats.org/officeDocument/2006/relationships/settings" Target="settings.xml"/><Relationship Id="rId9" Type="http://schemas.openxmlformats.org/officeDocument/2006/relationships/hyperlink" Target="http://www.austlii.edu.au/au/other/dfat/treaties/1976/5.html" TargetMode="External"/><Relationship Id="rId14" Type="http://schemas.openxmlformats.org/officeDocument/2006/relationships/hyperlink" Target="http://www.austlii.edu.au/au/other/dfat/treaties/2008/12.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504E1-4AFC-4109-9D10-66946479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2168</Words>
  <Characters>12402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14541</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2021-04-16T06:28:00Z</dcterms:created>
  <dcterms:modified xsi:type="dcterms:W3CDTF">2021-04-19T23:34:00Z</dcterms:modified>
</cp:coreProperties>
</file>