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20162" w14:textId="77777777" w:rsidR="0048364F" w:rsidRPr="004F58E0" w:rsidRDefault="00193461" w:rsidP="0020300C">
      <w:pPr>
        <w:rPr>
          <w:sz w:val="28"/>
        </w:rPr>
      </w:pPr>
      <w:r w:rsidRPr="004F58E0">
        <w:rPr>
          <w:noProof/>
          <w:lang w:eastAsia="en-AU"/>
        </w:rPr>
        <w:drawing>
          <wp:inline distT="0" distB="0" distL="0" distR="0" wp14:anchorId="4C222D17" wp14:editId="5628B89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BEEAF" w14:textId="77777777" w:rsidR="0048364F" w:rsidRPr="004F58E0" w:rsidRDefault="0048364F" w:rsidP="0048364F">
      <w:pPr>
        <w:rPr>
          <w:sz w:val="19"/>
        </w:rPr>
      </w:pPr>
    </w:p>
    <w:p w14:paraId="72B0807E" w14:textId="77777777" w:rsidR="0048364F" w:rsidRPr="004F58E0" w:rsidRDefault="0008363A" w:rsidP="0048364F">
      <w:pPr>
        <w:pStyle w:val="ShortT"/>
      </w:pPr>
      <w:r w:rsidRPr="004F58E0">
        <w:t>Public Governance, Performance and Accountability (Financial Reporting) Amendment (202</w:t>
      </w:r>
      <w:r w:rsidR="00511168" w:rsidRPr="004F58E0">
        <w:t>1 Measures No. 1</w:t>
      </w:r>
      <w:r w:rsidRPr="004F58E0">
        <w:t xml:space="preserve">) </w:t>
      </w:r>
      <w:r w:rsidR="004F58E0" w:rsidRPr="004F58E0">
        <w:t>Rules 2</w:t>
      </w:r>
      <w:r w:rsidR="00BD48FC" w:rsidRPr="004F58E0">
        <w:t>021</w:t>
      </w:r>
    </w:p>
    <w:p w14:paraId="783E6891" w14:textId="77777777" w:rsidR="0008363A" w:rsidRPr="004F58E0" w:rsidRDefault="0008363A" w:rsidP="00FC07B2">
      <w:pPr>
        <w:pStyle w:val="SignCoverPageStart"/>
        <w:rPr>
          <w:szCs w:val="22"/>
        </w:rPr>
      </w:pPr>
      <w:r w:rsidRPr="004F58E0">
        <w:rPr>
          <w:szCs w:val="22"/>
        </w:rPr>
        <w:t>I, Simon Birmingham, Minister for Finance, make the following rules.</w:t>
      </w:r>
    </w:p>
    <w:p w14:paraId="0D3E7A31" w14:textId="7C4CF195" w:rsidR="0008363A" w:rsidRPr="004F58E0" w:rsidRDefault="0008363A" w:rsidP="00FC07B2">
      <w:pPr>
        <w:keepNext/>
        <w:spacing w:before="300" w:line="240" w:lineRule="atLeast"/>
        <w:ind w:right="397"/>
        <w:jc w:val="both"/>
        <w:rPr>
          <w:szCs w:val="22"/>
        </w:rPr>
      </w:pPr>
      <w:r w:rsidRPr="004F58E0">
        <w:rPr>
          <w:szCs w:val="22"/>
        </w:rPr>
        <w:t>Dated</w:t>
      </w:r>
      <w:r w:rsidR="00DE10A2">
        <w:rPr>
          <w:szCs w:val="22"/>
        </w:rPr>
        <w:t xml:space="preserve"> </w:t>
      </w:r>
      <w:r w:rsidRPr="004F58E0">
        <w:rPr>
          <w:szCs w:val="22"/>
        </w:rPr>
        <w:fldChar w:fldCharType="begin"/>
      </w:r>
      <w:r w:rsidRPr="004F58E0">
        <w:rPr>
          <w:szCs w:val="22"/>
        </w:rPr>
        <w:instrText xml:space="preserve"> DOCPROPERTY  DateMade </w:instrText>
      </w:r>
      <w:r w:rsidRPr="004F58E0">
        <w:rPr>
          <w:szCs w:val="22"/>
        </w:rPr>
        <w:fldChar w:fldCharType="separate"/>
      </w:r>
      <w:r w:rsidR="00DE10A2">
        <w:rPr>
          <w:szCs w:val="22"/>
        </w:rPr>
        <w:t>29 March 2021</w:t>
      </w:r>
      <w:r w:rsidRPr="004F58E0">
        <w:rPr>
          <w:szCs w:val="22"/>
        </w:rPr>
        <w:fldChar w:fldCharType="end"/>
      </w:r>
    </w:p>
    <w:p w14:paraId="30E2527D" w14:textId="77777777" w:rsidR="0008363A" w:rsidRPr="004F58E0" w:rsidRDefault="0008363A" w:rsidP="00FC07B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4F58E0">
        <w:rPr>
          <w:szCs w:val="22"/>
        </w:rPr>
        <w:t>Simon Birmingham</w:t>
      </w:r>
    </w:p>
    <w:p w14:paraId="75835116" w14:textId="77777777" w:rsidR="0008363A" w:rsidRPr="004F58E0" w:rsidRDefault="0008363A" w:rsidP="00FC07B2">
      <w:pPr>
        <w:pStyle w:val="SignCoverPageEnd"/>
        <w:rPr>
          <w:szCs w:val="22"/>
        </w:rPr>
      </w:pPr>
      <w:r w:rsidRPr="004F58E0">
        <w:rPr>
          <w:szCs w:val="22"/>
        </w:rPr>
        <w:t>Minister for Finance</w:t>
      </w:r>
    </w:p>
    <w:p w14:paraId="49CAA45D" w14:textId="77777777" w:rsidR="0008363A" w:rsidRPr="004F58E0" w:rsidRDefault="0008363A" w:rsidP="00FC07B2"/>
    <w:p w14:paraId="7E1068DC" w14:textId="77777777" w:rsidR="0048364F" w:rsidRPr="004E4678" w:rsidRDefault="0048364F" w:rsidP="0048364F">
      <w:pPr>
        <w:pStyle w:val="Header"/>
        <w:tabs>
          <w:tab w:val="clear" w:pos="4150"/>
          <w:tab w:val="clear" w:pos="8307"/>
        </w:tabs>
      </w:pPr>
      <w:r w:rsidRPr="004E4678">
        <w:rPr>
          <w:rStyle w:val="CharAmSchNo"/>
        </w:rPr>
        <w:t xml:space="preserve"> </w:t>
      </w:r>
      <w:r w:rsidRPr="004E4678">
        <w:rPr>
          <w:rStyle w:val="CharAmSchText"/>
        </w:rPr>
        <w:t xml:space="preserve"> </w:t>
      </w:r>
    </w:p>
    <w:p w14:paraId="5693C166" w14:textId="77777777" w:rsidR="0048364F" w:rsidRPr="004E4678" w:rsidRDefault="0048364F" w:rsidP="0048364F">
      <w:pPr>
        <w:pStyle w:val="Header"/>
        <w:tabs>
          <w:tab w:val="clear" w:pos="4150"/>
          <w:tab w:val="clear" w:pos="8307"/>
        </w:tabs>
      </w:pPr>
      <w:r w:rsidRPr="004E4678">
        <w:rPr>
          <w:rStyle w:val="CharAmPartNo"/>
        </w:rPr>
        <w:t xml:space="preserve"> </w:t>
      </w:r>
      <w:r w:rsidRPr="004E4678">
        <w:rPr>
          <w:rStyle w:val="CharAmPartText"/>
        </w:rPr>
        <w:t xml:space="preserve"> </w:t>
      </w:r>
    </w:p>
    <w:p w14:paraId="7D6F3B18" w14:textId="77777777" w:rsidR="0048364F" w:rsidRPr="004F58E0" w:rsidRDefault="0048364F" w:rsidP="0048364F">
      <w:pPr>
        <w:sectPr w:rsidR="0048364F" w:rsidRPr="004F58E0" w:rsidSect="003A7D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F3B0E24" w14:textId="77777777" w:rsidR="00220A0C" w:rsidRPr="004F58E0" w:rsidRDefault="0048364F" w:rsidP="0048364F">
      <w:pPr>
        <w:outlineLvl w:val="0"/>
        <w:rPr>
          <w:sz w:val="36"/>
        </w:rPr>
      </w:pPr>
      <w:r w:rsidRPr="004F58E0">
        <w:rPr>
          <w:sz w:val="36"/>
        </w:rPr>
        <w:lastRenderedPageBreak/>
        <w:t>Contents</w:t>
      </w:r>
    </w:p>
    <w:p w14:paraId="079A4FD3" w14:textId="58C76658" w:rsidR="00C52425" w:rsidRPr="004F58E0" w:rsidRDefault="00C524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58E0">
        <w:fldChar w:fldCharType="begin"/>
      </w:r>
      <w:r w:rsidRPr="004F58E0">
        <w:instrText xml:space="preserve"> TOC \o "1-9" </w:instrText>
      </w:r>
      <w:r w:rsidRPr="004F58E0">
        <w:fldChar w:fldCharType="separate"/>
      </w:r>
      <w:r w:rsidRPr="004F58E0">
        <w:rPr>
          <w:noProof/>
        </w:rPr>
        <w:t>1</w:t>
      </w:r>
      <w:r w:rsidRPr="004F58E0">
        <w:rPr>
          <w:noProof/>
        </w:rPr>
        <w:tab/>
        <w:t>Name</w:t>
      </w:r>
      <w:r w:rsidRPr="004F58E0">
        <w:rPr>
          <w:noProof/>
        </w:rPr>
        <w:tab/>
      </w:r>
      <w:r w:rsidRPr="004F58E0">
        <w:rPr>
          <w:noProof/>
        </w:rPr>
        <w:fldChar w:fldCharType="begin"/>
      </w:r>
      <w:r w:rsidRPr="004F58E0">
        <w:rPr>
          <w:noProof/>
        </w:rPr>
        <w:instrText xml:space="preserve"> PAGEREF _Toc63360185 \h </w:instrText>
      </w:r>
      <w:r w:rsidRPr="004F58E0">
        <w:rPr>
          <w:noProof/>
        </w:rPr>
      </w:r>
      <w:r w:rsidRPr="004F58E0">
        <w:rPr>
          <w:noProof/>
        </w:rPr>
        <w:fldChar w:fldCharType="separate"/>
      </w:r>
      <w:r w:rsidR="00DE10A2">
        <w:rPr>
          <w:noProof/>
        </w:rPr>
        <w:t>1</w:t>
      </w:r>
      <w:r w:rsidRPr="004F58E0">
        <w:rPr>
          <w:noProof/>
        </w:rPr>
        <w:fldChar w:fldCharType="end"/>
      </w:r>
    </w:p>
    <w:p w14:paraId="45F515D6" w14:textId="56FC448D" w:rsidR="00C52425" w:rsidRPr="004F58E0" w:rsidRDefault="00C524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58E0">
        <w:rPr>
          <w:noProof/>
        </w:rPr>
        <w:t>2</w:t>
      </w:r>
      <w:r w:rsidRPr="004F58E0">
        <w:rPr>
          <w:noProof/>
        </w:rPr>
        <w:tab/>
        <w:t>Commencement</w:t>
      </w:r>
      <w:r w:rsidRPr="004F58E0">
        <w:rPr>
          <w:noProof/>
        </w:rPr>
        <w:tab/>
      </w:r>
      <w:r w:rsidRPr="004F58E0">
        <w:rPr>
          <w:noProof/>
        </w:rPr>
        <w:fldChar w:fldCharType="begin"/>
      </w:r>
      <w:r w:rsidRPr="004F58E0">
        <w:rPr>
          <w:noProof/>
        </w:rPr>
        <w:instrText xml:space="preserve"> PAGEREF _Toc63360186 \h </w:instrText>
      </w:r>
      <w:r w:rsidRPr="004F58E0">
        <w:rPr>
          <w:noProof/>
        </w:rPr>
      </w:r>
      <w:r w:rsidRPr="004F58E0">
        <w:rPr>
          <w:noProof/>
        </w:rPr>
        <w:fldChar w:fldCharType="separate"/>
      </w:r>
      <w:r w:rsidR="00DE10A2">
        <w:rPr>
          <w:noProof/>
        </w:rPr>
        <w:t>1</w:t>
      </w:r>
      <w:r w:rsidRPr="004F58E0">
        <w:rPr>
          <w:noProof/>
        </w:rPr>
        <w:fldChar w:fldCharType="end"/>
      </w:r>
    </w:p>
    <w:p w14:paraId="665397D2" w14:textId="47818F66" w:rsidR="00C52425" w:rsidRPr="004F58E0" w:rsidRDefault="00C524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58E0">
        <w:rPr>
          <w:noProof/>
        </w:rPr>
        <w:t>3</w:t>
      </w:r>
      <w:r w:rsidRPr="004F58E0">
        <w:rPr>
          <w:noProof/>
        </w:rPr>
        <w:tab/>
        <w:t>Authority</w:t>
      </w:r>
      <w:r w:rsidRPr="004F58E0">
        <w:rPr>
          <w:noProof/>
        </w:rPr>
        <w:tab/>
      </w:r>
      <w:r w:rsidRPr="004F58E0">
        <w:rPr>
          <w:noProof/>
        </w:rPr>
        <w:fldChar w:fldCharType="begin"/>
      </w:r>
      <w:r w:rsidRPr="004F58E0">
        <w:rPr>
          <w:noProof/>
        </w:rPr>
        <w:instrText xml:space="preserve"> PAGEREF _Toc63360187 \h </w:instrText>
      </w:r>
      <w:r w:rsidRPr="004F58E0">
        <w:rPr>
          <w:noProof/>
        </w:rPr>
      </w:r>
      <w:r w:rsidRPr="004F58E0">
        <w:rPr>
          <w:noProof/>
        </w:rPr>
        <w:fldChar w:fldCharType="separate"/>
      </w:r>
      <w:r w:rsidR="00DE10A2">
        <w:rPr>
          <w:noProof/>
        </w:rPr>
        <w:t>1</w:t>
      </w:r>
      <w:r w:rsidRPr="004F58E0">
        <w:rPr>
          <w:noProof/>
        </w:rPr>
        <w:fldChar w:fldCharType="end"/>
      </w:r>
    </w:p>
    <w:p w14:paraId="2FF42E67" w14:textId="1E273F36" w:rsidR="00C52425" w:rsidRPr="004F58E0" w:rsidRDefault="00C524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58E0">
        <w:rPr>
          <w:noProof/>
        </w:rPr>
        <w:t>4</w:t>
      </w:r>
      <w:r w:rsidRPr="004F58E0">
        <w:rPr>
          <w:noProof/>
        </w:rPr>
        <w:tab/>
        <w:t>Schedules</w:t>
      </w:r>
      <w:r w:rsidRPr="004F58E0">
        <w:rPr>
          <w:noProof/>
        </w:rPr>
        <w:tab/>
      </w:r>
      <w:r w:rsidRPr="004F58E0">
        <w:rPr>
          <w:noProof/>
        </w:rPr>
        <w:fldChar w:fldCharType="begin"/>
      </w:r>
      <w:r w:rsidRPr="004F58E0">
        <w:rPr>
          <w:noProof/>
        </w:rPr>
        <w:instrText xml:space="preserve"> PAGEREF _Toc63360188 \h </w:instrText>
      </w:r>
      <w:r w:rsidRPr="004F58E0">
        <w:rPr>
          <w:noProof/>
        </w:rPr>
      </w:r>
      <w:r w:rsidRPr="004F58E0">
        <w:rPr>
          <w:noProof/>
        </w:rPr>
        <w:fldChar w:fldCharType="separate"/>
      </w:r>
      <w:r w:rsidR="00DE10A2">
        <w:rPr>
          <w:noProof/>
        </w:rPr>
        <w:t>1</w:t>
      </w:r>
      <w:r w:rsidRPr="004F58E0">
        <w:rPr>
          <w:noProof/>
        </w:rPr>
        <w:fldChar w:fldCharType="end"/>
      </w:r>
    </w:p>
    <w:p w14:paraId="45A4FA76" w14:textId="2FC5D860" w:rsidR="00C52425" w:rsidRPr="004F58E0" w:rsidRDefault="00C5242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F58E0">
        <w:rPr>
          <w:noProof/>
        </w:rPr>
        <w:t>Schedule 1—Amendments</w:t>
      </w:r>
      <w:r w:rsidRPr="004F58E0">
        <w:rPr>
          <w:b w:val="0"/>
          <w:noProof/>
          <w:sz w:val="18"/>
        </w:rPr>
        <w:tab/>
      </w:r>
      <w:r w:rsidRPr="004F58E0">
        <w:rPr>
          <w:b w:val="0"/>
          <w:noProof/>
          <w:sz w:val="18"/>
        </w:rPr>
        <w:fldChar w:fldCharType="begin"/>
      </w:r>
      <w:r w:rsidRPr="004F58E0">
        <w:rPr>
          <w:b w:val="0"/>
          <w:noProof/>
          <w:sz w:val="18"/>
        </w:rPr>
        <w:instrText xml:space="preserve"> PAGEREF _Toc63360189 \h </w:instrText>
      </w:r>
      <w:r w:rsidRPr="004F58E0">
        <w:rPr>
          <w:b w:val="0"/>
          <w:noProof/>
          <w:sz w:val="18"/>
        </w:rPr>
      </w:r>
      <w:r w:rsidRPr="004F58E0">
        <w:rPr>
          <w:b w:val="0"/>
          <w:noProof/>
          <w:sz w:val="18"/>
        </w:rPr>
        <w:fldChar w:fldCharType="separate"/>
      </w:r>
      <w:r w:rsidR="00DE10A2">
        <w:rPr>
          <w:b w:val="0"/>
          <w:noProof/>
          <w:sz w:val="18"/>
        </w:rPr>
        <w:t>2</w:t>
      </w:r>
      <w:r w:rsidRPr="004F58E0">
        <w:rPr>
          <w:b w:val="0"/>
          <w:noProof/>
          <w:sz w:val="18"/>
        </w:rPr>
        <w:fldChar w:fldCharType="end"/>
      </w:r>
    </w:p>
    <w:p w14:paraId="652960EC" w14:textId="35E6CEA4" w:rsidR="00C52425" w:rsidRPr="004F58E0" w:rsidRDefault="00C5242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F58E0">
        <w:rPr>
          <w:noProof/>
        </w:rPr>
        <w:t>Public Governance, Performance and Accountability (Financial Reporting) Rule 2015</w:t>
      </w:r>
      <w:r w:rsidRPr="004F58E0">
        <w:rPr>
          <w:i w:val="0"/>
          <w:noProof/>
          <w:sz w:val="18"/>
        </w:rPr>
        <w:tab/>
      </w:r>
      <w:r w:rsidRPr="004F58E0">
        <w:rPr>
          <w:i w:val="0"/>
          <w:noProof/>
          <w:sz w:val="18"/>
        </w:rPr>
        <w:fldChar w:fldCharType="begin"/>
      </w:r>
      <w:r w:rsidRPr="004F58E0">
        <w:rPr>
          <w:i w:val="0"/>
          <w:noProof/>
          <w:sz w:val="18"/>
        </w:rPr>
        <w:instrText xml:space="preserve"> PAGEREF _Toc63360190 \h </w:instrText>
      </w:r>
      <w:r w:rsidRPr="004F58E0">
        <w:rPr>
          <w:i w:val="0"/>
          <w:noProof/>
          <w:sz w:val="18"/>
        </w:rPr>
      </w:r>
      <w:r w:rsidRPr="004F58E0">
        <w:rPr>
          <w:i w:val="0"/>
          <w:noProof/>
          <w:sz w:val="18"/>
        </w:rPr>
        <w:fldChar w:fldCharType="separate"/>
      </w:r>
      <w:r w:rsidR="00DE10A2">
        <w:rPr>
          <w:i w:val="0"/>
          <w:noProof/>
          <w:sz w:val="18"/>
        </w:rPr>
        <w:t>2</w:t>
      </w:r>
      <w:r w:rsidRPr="004F58E0">
        <w:rPr>
          <w:i w:val="0"/>
          <w:noProof/>
          <w:sz w:val="18"/>
        </w:rPr>
        <w:fldChar w:fldCharType="end"/>
      </w:r>
    </w:p>
    <w:p w14:paraId="7F7838B0" w14:textId="77777777" w:rsidR="0048364F" w:rsidRPr="004F58E0" w:rsidRDefault="00C52425" w:rsidP="0048364F">
      <w:r w:rsidRPr="004F58E0">
        <w:fldChar w:fldCharType="end"/>
      </w:r>
    </w:p>
    <w:p w14:paraId="4223BAEA" w14:textId="77777777" w:rsidR="0048364F" w:rsidRPr="004F58E0" w:rsidRDefault="0048364F" w:rsidP="0048364F">
      <w:pPr>
        <w:sectPr w:rsidR="0048364F" w:rsidRPr="004F58E0" w:rsidSect="003A7D4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FC669F6" w14:textId="77777777" w:rsidR="0048364F" w:rsidRPr="004F58E0" w:rsidRDefault="0048364F" w:rsidP="0048364F">
      <w:pPr>
        <w:pStyle w:val="ActHead5"/>
      </w:pPr>
      <w:bookmarkStart w:id="0" w:name="_Toc63360185"/>
      <w:r w:rsidRPr="004E4678">
        <w:rPr>
          <w:rStyle w:val="CharSectno"/>
        </w:rPr>
        <w:lastRenderedPageBreak/>
        <w:t>1</w:t>
      </w:r>
      <w:r w:rsidRPr="004F58E0">
        <w:t xml:space="preserve">  </w:t>
      </w:r>
      <w:r w:rsidR="004F676E" w:rsidRPr="004F58E0">
        <w:t>Name</w:t>
      </w:r>
      <w:bookmarkEnd w:id="0"/>
    </w:p>
    <w:p w14:paraId="29DC0318" w14:textId="6FDAF56C" w:rsidR="0048364F" w:rsidRPr="004F58E0" w:rsidRDefault="0048364F" w:rsidP="0048364F">
      <w:pPr>
        <w:pStyle w:val="subsection"/>
      </w:pPr>
      <w:r w:rsidRPr="004F58E0">
        <w:tab/>
      </w:r>
      <w:r w:rsidRPr="004F58E0">
        <w:tab/>
      </w:r>
      <w:r w:rsidR="0008363A" w:rsidRPr="004F58E0">
        <w:t>This instrument is</w:t>
      </w:r>
      <w:r w:rsidRPr="004F58E0">
        <w:t xml:space="preserve"> the </w:t>
      </w:r>
      <w:r w:rsidR="00414ADE" w:rsidRPr="004F58E0">
        <w:rPr>
          <w:i/>
        </w:rPr>
        <w:fldChar w:fldCharType="begin"/>
      </w:r>
      <w:r w:rsidR="00414ADE" w:rsidRPr="004F58E0">
        <w:rPr>
          <w:i/>
        </w:rPr>
        <w:instrText xml:space="preserve"> STYLEREF  ShortT </w:instrText>
      </w:r>
      <w:r w:rsidR="00414ADE" w:rsidRPr="004F58E0">
        <w:rPr>
          <w:i/>
        </w:rPr>
        <w:fldChar w:fldCharType="separate"/>
      </w:r>
      <w:r w:rsidR="00DE10A2">
        <w:rPr>
          <w:i/>
          <w:noProof/>
        </w:rPr>
        <w:t>Public Governance, Performance and Accountability (Financial Reporting) Amendment (2021 Measures No. 1) Rules 2021</w:t>
      </w:r>
      <w:r w:rsidR="00414ADE" w:rsidRPr="004F58E0">
        <w:rPr>
          <w:i/>
        </w:rPr>
        <w:fldChar w:fldCharType="end"/>
      </w:r>
      <w:r w:rsidRPr="004F58E0">
        <w:t>.</w:t>
      </w:r>
    </w:p>
    <w:p w14:paraId="786F8BF4" w14:textId="77777777" w:rsidR="004F676E" w:rsidRPr="004F58E0" w:rsidRDefault="0048364F" w:rsidP="005452CC">
      <w:pPr>
        <w:pStyle w:val="ActHead5"/>
      </w:pPr>
      <w:bookmarkStart w:id="1" w:name="_Toc63360186"/>
      <w:r w:rsidRPr="004E4678">
        <w:rPr>
          <w:rStyle w:val="CharSectno"/>
        </w:rPr>
        <w:t>2</w:t>
      </w:r>
      <w:r w:rsidRPr="004F58E0">
        <w:t xml:space="preserve">  Commencement</w:t>
      </w:r>
      <w:bookmarkEnd w:id="1"/>
    </w:p>
    <w:p w14:paraId="6A59007B" w14:textId="77777777" w:rsidR="005452CC" w:rsidRPr="004F58E0" w:rsidRDefault="005452CC" w:rsidP="00FC07B2">
      <w:pPr>
        <w:pStyle w:val="subsection"/>
      </w:pPr>
      <w:r w:rsidRPr="004F58E0">
        <w:tab/>
        <w:t>(1)</w:t>
      </w:r>
      <w:r w:rsidRPr="004F58E0">
        <w:tab/>
        <w:t xml:space="preserve">Each provision of </w:t>
      </w:r>
      <w:r w:rsidR="0008363A" w:rsidRPr="004F58E0">
        <w:t>this instrument</w:t>
      </w:r>
      <w:r w:rsidRPr="004F58E0">
        <w:t xml:space="preserve"> specified in column 1 of the table commences, or is taken to have commenced, in accordance with column 2 of the table. Any other statement in column 2 has effect according to its terms.</w:t>
      </w:r>
    </w:p>
    <w:p w14:paraId="73745DCD" w14:textId="77777777" w:rsidR="005452CC" w:rsidRPr="004F58E0" w:rsidRDefault="005452CC" w:rsidP="00FC07B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F58E0" w14:paraId="65C3E52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23F699F" w14:textId="77777777" w:rsidR="005452CC" w:rsidRPr="004F58E0" w:rsidRDefault="005452CC" w:rsidP="00FC07B2">
            <w:pPr>
              <w:pStyle w:val="TableHeading"/>
            </w:pPr>
            <w:r w:rsidRPr="004F58E0">
              <w:t>Commencement information</w:t>
            </w:r>
          </w:p>
        </w:tc>
      </w:tr>
      <w:tr w:rsidR="005452CC" w:rsidRPr="004F58E0" w14:paraId="7AFFD7E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73C0F8C" w14:textId="77777777" w:rsidR="005452CC" w:rsidRPr="004F58E0" w:rsidRDefault="005452CC" w:rsidP="00FC07B2">
            <w:pPr>
              <w:pStyle w:val="TableHeading"/>
            </w:pPr>
            <w:r w:rsidRPr="004F58E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62D2EAC" w14:textId="77777777" w:rsidR="005452CC" w:rsidRPr="004F58E0" w:rsidRDefault="005452CC" w:rsidP="00FC07B2">
            <w:pPr>
              <w:pStyle w:val="TableHeading"/>
            </w:pPr>
            <w:r w:rsidRPr="004F58E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E645AE5" w14:textId="77777777" w:rsidR="005452CC" w:rsidRPr="004F58E0" w:rsidRDefault="005452CC" w:rsidP="00FC07B2">
            <w:pPr>
              <w:pStyle w:val="TableHeading"/>
            </w:pPr>
            <w:r w:rsidRPr="004F58E0">
              <w:t>Column 3</w:t>
            </w:r>
          </w:p>
        </w:tc>
      </w:tr>
      <w:tr w:rsidR="005452CC" w:rsidRPr="004F58E0" w14:paraId="7BF998E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0BD65F" w14:textId="77777777" w:rsidR="005452CC" w:rsidRPr="004F58E0" w:rsidRDefault="005452CC" w:rsidP="00FC07B2">
            <w:pPr>
              <w:pStyle w:val="TableHeading"/>
            </w:pPr>
            <w:r w:rsidRPr="004F58E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52BDFBE" w14:textId="77777777" w:rsidR="005452CC" w:rsidRPr="004F58E0" w:rsidRDefault="005452CC" w:rsidP="00FC07B2">
            <w:pPr>
              <w:pStyle w:val="TableHeading"/>
            </w:pPr>
            <w:r w:rsidRPr="004F58E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F333EB6" w14:textId="77777777" w:rsidR="005452CC" w:rsidRPr="004F58E0" w:rsidRDefault="005452CC" w:rsidP="00FC07B2">
            <w:pPr>
              <w:pStyle w:val="TableHeading"/>
            </w:pPr>
            <w:r w:rsidRPr="004F58E0">
              <w:t>Date/Details</w:t>
            </w:r>
          </w:p>
        </w:tc>
      </w:tr>
      <w:tr w:rsidR="005452CC" w:rsidRPr="004F58E0" w14:paraId="78B7FC82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16C502E" w14:textId="77777777" w:rsidR="005452CC" w:rsidRPr="004F58E0" w:rsidRDefault="005452CC" w:rsidP="00AD7252">
            <w:pPr>
              <w:pStyle w:val="Tabletext"/>
            </w:pPr>
            <w:r w:rsidRPr="004F58E0">
              <w:t xml:space="preserve">1.  </w:t>
            </w:r>
            <w:r w:rsidR="00AD7252" w:rsidRPr="004F58E0">
              <w:t xml:space="preserve">The whole of </w:t>
            </w:r>
            <w:r w:rsidR="0008363A" w:rsidRPr="004F58E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4CC244" w14:textId="77777777" w:rsidR="005452CC" w:rsidRPr="004F58E0" w:rsidRDefault="005452CC" w:rsidP="005452CC">
            <w:pPr>
              <w:pStyle w:val="Tabletext"/>
            </w:pPr>
            <w:r w:rsidRPr="004F58E0">
              <w:t xml:space="preserve">The day after </w:t>
            </w:r>
            <w:r w:rsidR="0008363A" w:rsidRPr="004F58E0">
              <w:t>this instrument is</w:t>
            </w:r>
            <w:r w:rsidRPr="004F58E0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C55E1A" w14:textId="1A3198E4" w:rsidR="005452CC" w:rsidRPr="004F58E0" w:rsidRDefault="00221423">
            <w:pPr>
              <w:pStyle w:val="Tabletext"/>
            </w:pPr>
            <w:r>
              <w:t>9 April 2021</w:t>
            </w:r>
            <w:bookmarkStart w:id="2" w:name="_GoBack"/>
            <w:bookmarkEnd w:id="2"/>
          </w:p>
        </w:tc>
      </w:tr>
    </w:tbl>
    <w:p w14:paraId="455F0B1A" w14:textId="77777777" w:rsidR="005452CC" w:rsidRPr="004F58E0" w:rsidRDefault="005452CC" w:rsidP="00FC07B2">
      <w:pPr>
        <w:pStyle w:val="notetext"/>
        <w:rPr>
          <w:snapToGrid w:val="0"/>
          <w:lang w:eastAsia="en-US"/>
        </w:rPr>
      </w:pPr>
      <w:r w:rsidRPr="004F58E0">
        <w:rPr>
          <w:snapToGrid w:val="0"/>
          <w:lang w:eastAsia="en-US"/>
        </w:rPr>
        <w:t>Note:</w:t>
      </w:r>
      <w:r w:rsidRPr="004F58E0">
        <w:rPr>
          <w:snapToGrid w:val="0"/>
          <w:lang w:eastAsia="en-US"/>
        </w:rPr>
        <w:tab/>
        <w:t xml:space="preserve">This table relates only to the provisions of </w:t>
      </w:r>
      <w:r w:rsidR="0008363A" w:rsidRPr="004F58E0">
        <w:rPr>
          <w:snapToGrid w:val="0"/>
          <w:lang w:eastAsia="en-US"/>
        </w:rPr>
        <w:t>this instrument</w:t>
      </w:r>
      <w:r w:rsidRPr="004F58E0">
        <w:t xml:space="preserve"> </w:t>
      </w:r>
      <w:r w:rsidRPr="004F58E0">
        <w:rPr>
          <w:snapToGrid w:val="0"/>
          <w:lang w:eastAsia="en-US"/>
        </w:rPr>
        <w:t xml:space="preserve">as originally made. It will not be amended to deal with any later amendments of </w:t>
      </w:r>
      <w:r w:rsidR="0008363A" w:rsidRPr="004F58E0">
        <w:rPr>
          <w:snapToGrid w:val="0"/>
          <w:lang w:eastAsia="en-US"/>
        </w:rPr>
        <w:t>this instrument</w:t>
      </w:r>
      <w:r w:rsidRPr="004F58E0">
        <w:rPr>
          <w:snapToGrid w:val="0"/>
          <w:lang w:eastAsia="en-US"/>
        </w:rPr>
        <w:t>.</w:t>
      </w:r>
    </w:p>
    <w:p w14:paraId="6A39B24B" w14:textId="77777777" w:rsidR="005452CC" w:rsidRPr="004F58E0" w:rsidRDefault="005452CC" w:rsidP="004F676E">
      <w:pPr>
        <w:pStyle w:val="subsection"/>
      </w:pPr>
      <w:r w:rsidRPr="004F58E0">
        <w:tab/>
        <w:t>(2)</w:t>
      </w:r>
      <w:r w:rsidRPr="004F58E0">
        <w:tab/>
        <w:t xml:space="preserve">Any information in column 3 of the table is not part of </w:t>
      </w:r>
      <w:r w:rsidR="0008363A" w:rsidRPr="004F58E0">
        <w:t>this instrument</w:t>
      </w:r>
      <w:r w:rsidRPr="004F58E0">
        <w:t xml:space="preserve">. Information may be inserted in this column, or information in it may be edited, in any published version of </w:t>
      </w:r>
      <w:r w:rsidR="0008363A" w:rsidRPr="004F58E0">
        <w:t>this instrument</w:t>
      </w:r>
      <w:r w:rsidRPr="004F58E0">
        <w:t>.</w:t>
      </w:r>
    </w:p>
    <w:p w14:paraId="4279DCE2" w14:textId="77777777" w:rsidR="00BF6650" w:rsidRPr="004F58E0" w:rsidRDefault="00BF6650" w:rsidP="00BF6650">
      <w:pPr>
        <w:pStyle w:val="ActHead5"/>
      </w:pPr>
      <w:bookmarkStart w:id="3" w:name="_Toc63360187"/>
      <w:r w:rsidRPr="004E4678">
        <w:rPr>
          <w:rStyle w:val="CharSectno"/>
        </w:rPr>
        <w:t>3</w:t>
      </w:r>
      <w:r w:rsidRPr="004F58E0">
        <w:t xml:space="preserve">  Authority</w:t>
      </w:r>
      <w:bookmarkEnd w:id="3"/>
    </w:p>
    <w:p w14:paraId="581BAAAF" w14:textId="77777777" w:rsidR="00BF6650" w:rsidRPr="004F58E0" w:rsidRDefault="00BF6650" w:rsidP="00BF6650">
      <w:pPr>
        <w:pStyle w:val="subsection"/>
      </w:pPr>
      <w:r w:rsidRPr="004F58E0">
        <w:tab/>
      </w:r>
      <w:r w:rsidRPr="004F58E0">
        <w:tab/>
      </w:r>
      <w:r w:rsidR="0008363A" w:rsidRPr="004F58E0">
        <w:t>This instrument is</w:t>
      </w:r>
      <w:r w:rsidRPr="004F58E0">
        <w:t xml:space="preserve"> made under the </w:t>
      </w:r>
      <w:r w:rsidR="00E11212" w:rsidRPr="004F58E0">
        <w:rPr>
          <w:i/>
          <w:iCs/>
          <w:color w:val="000000"/>
          <w:szCs w:val="22"/>
          <w:shd w:val="clear" w:color="auto" w:fill="FFFFFF"/>
        </w:rPr>
        <w:t>Public Governance, Performance and Accountability Act 2013</w:t>
      </w:r>
      <w:r w:rsidR="00546FA3" w:rsidRPr="004F58E0">
        <w:t>.</w:t>
      </w:r>
    </w:p>
    <w:p w14:paraId="386FDA96" w14:textId="77777777" w:rsidR="00557C7A" w:rsidRPr="004F58E0" w:rsidRDefault="00BF6650" w:rsidP="00557C7A">
      <w:pPr>
        <w:pStyle w:val="ActHead5"/>
      </w:pPr>
      <w:bookmarkStart w:id="4" w:name="_Toc63360188"/>
      <w:r w:rsidRPr="004E4678">
        <w:rPr>
          <w:rStyle w:val="CharSectno"/>
        </w:rPr>
        <w:t>4</w:t>
      </w:r>
      <w:r w:rsidR="00557C7A" w:rsidRPr="004F58E0">
        <w:t xml:space="preserve">  </w:t>
      </w:r>
      <w:r w:rsidR="00083F48" w:rsidRPr="004F58E0">
        <w:t>Schedules</w:t>
      </w:r>
      <w:bookmarkEnd w:id="4"/>
    </w:p>
    <w:p w14:paraId="36216C42" w14:textId="77777777" w:rsidR="00557C7A" w:rsidRPr="004F58E0" w:rsidRDefault="00557C7A" w:rsidP="00557C7A">
      <w:pPr>
        <w:pStyle w:val="subsection"/>
      </w:pPr>
      <w:r w:rsidRPr="004F58E0">
        <w:tab/>
      </w:r>
      <w:r w:rsidRPr="004F58E0">
        <w:tab/>
      </w:r>
      <w:r w:rsidR="00083F48" w:rsidRPr="004F58E0">
        <w:t xml:space="preserve">Each </w:t>
      </w:r>
      <w:r w:rsidR="00160BD7" w:rsidRPr="004F58E0">
        <w:t>instrument</w:t>
      </w:r>
      <w:r w:rsidR="00083F48" w:rsidRPr="004F58E0">
        <w:t xml:space="preserve"> that is specified in a Schedule to </w:t>
      </w:r>
      <w:r w:rsidR="0008363A" w:rsidRPr="004F58E0">
        <w:t>this instrument</w:t>
      </w:r>
      <w:r w:rsidR="00083F48" w:rsidRPr="004F58E0">
        <w:t xml:space="preserve"> is amended or repealed as set out in the applicable items in the Schedule concerned, and any other item in a Schedule to </w:t>
      </w:r>
      <w:r w:rsidR="0008363A" w:rsidRPr="004F58E0">
        <w:t>this instrument</w:t>
      </w:r>
      <w:r w:rsidR="00083F48" w:rsidRPr="004F58E0">
        <w:t xml:space="preserve"> has effect according to its terms.</w:t>
      </w:r>
    </w:p>
    <w:p w14:paraId="3B42E98F" w14:textId="77777777" w:rsidR="0048364F" w:rsidRPr="004F58E0" w:rsidRDefault="0048364F" w:rsidP="009C5989">
      <w:pPr>
        <w:pStyle w:val="ActHead6"/>
        <w:pageBreakBefore/>
      </w:pPr>
      <w:bookmarkStart w:id="5" w:name="_Toc63360189"/>
      <w:bookmarkStart w:id="6" w:name="opcAmSched"/>
      <w:bookmarkStart w:id="7" w:name="opcCurrentFind"/>
      <w:r w:rsidRPr="004E4678">
        <w:rPr>
          <w:rStyle w:val="CharAmSchNo"/>
        </w:rPr>
        <w:lastRenderedPageBreak/>
        <w:t>Schedule 1</w:t>
      </w:r>
      <w:r w:rsidRPr="004F58E0">
        <w:t>—</w:t>
      </w:r>
      <w:r w:rsidR="00460499" w:rsidRPr="004E4678">
        <w:rPr>
          <w:rStyle w:val="CharAmSchText"/>
        </w:rPr>
        <w:t>Amendments</w:t>
      </w:r>
      <w:bookmarkEnd w:id="5"/>
    </w:p>
    <w:bookmarkEnd w:id="6"/>
    <w:bookmarkEnd w:id="7"/>
    <w:p w14:paraId="1106D4AA" w14:textId="77777777" w:rsidR="0004044E" w:rsidRPr="004E4678" w:rsidRDefault="0004044E" w:rsidP="0004044E">
      <w:pPr>
        <w:pStyle w:val="Header"/>
      </w:pPr>
      <w:r w:rsidRPr="004E4678">
        <w:rPr>
          <w:rStyle w:val="CharAmPartNo"/>
        </w:rPr>
        <w:t xml:space="preserve"> </w:t>
      </w:r>
      <w:r w:rsidRPr="004E4678">
        <w:rPr>
          <w:rStyle w:val="CharAmPartText"/>
        </w:rPr>
        <w:t xml:space="preserve"> </w:t>
      </w:r>
    </w:p>
    <w:p w14:paraId="4E193CB2" w14:textId="77777777" w:rsidR="00FC07B2" w:rsidRPr="004F58E0" w:rsidRDefault="00E11212" w:rsidP="00FC07B2">
      <w:pPr>
        <w:pStyle w:val="ActHead9"/>
      </w:pPr>
      <w:bookmarkStart w:id="8" w:name="_Toc63360190"/>
      <w:r w:rsidRPr="004F58E0">
        <w:t xml:space="preserve">Public Governance, Performance and Accountability (Financial Reporting) </w:t>
      </w:r>
      <w:r w:rsidR="00971646" w:rsidRPr="004F58E0">
        <w:t>Rule 2</w:t>
      </w:r>
      <w:r w:rsidRPr="004F58E0">
        <w:t>015</w:t>
      </w:r>
      <w:bookmarkEnd w:id="8"/>
    </w:p>
    <w:p w14:paraId="393A68AF" w14:textId="77777777" w:rsidR="00FC07B2" w:rsidRPr="004F58E0" w:rsidRDefault="000E2F52" w:rsidP="00FC07B2">
      <w:pPr>
        <w:pStyle w:val="ItemHead"/>
      </w:pPr>
      <w:r w:rsidRPr="004F58E0">
        <w:t>1</w:t>
      </w:r>
      <w:r w:rsidR="00FC07B2" w:rsidRPr="004F58E0">
        <w:t xml:space="preserve">  </w:t>
      </w:r>
      <w:r w:rsidR="00971646" w:rsidRPr="004F58E0">
        <w:t>Subsection 3</w:t>
      </w:r>
      <w:r w:rsidR="00FC07B2" w:rsidRPr="004F58E0">
        <w:t>(2)</w:t>
      </w:r>
    </w:p>
    <w:p w14:paraId="10CECA42" w14:textId="77777777" w:rsidR="00FC07B2" w:rsidRPr="004F58E0" w:rsidRDefault="00FC07B2" w:rsidP="00FC07B2">
      <w:pPr>
        <w:pStyle w:val="Item"/>
      </w:pPr>
      <w:r w:rsidRPr="004F58E0">
        <w:t xml:space="preserve">Omit </w:t>
      </w:r>
      <w:r w:rsidR="00662D92" w:rsidRPr="004F58E0">
        <w:t>“</w:t>
      </w:r>
      <w:r w:rsidR="00971646" w:rsidRPr="004F58E0">
        <w:t>1 July</w:t>
      </w:r>
      <w:r w:rsidRPr="004F58E0">
        <w:t xml:space="preserve"> 2019</w:t>
      </w:r>
      <w:r w:rsidR="00662D92" w:rsidRPr="004F58E0">
        <w:t>”</w:t>
      </w:r>
      <w:r w:rsidRPr="004F58E0">
        <w:t xml:space="preserve">, substitute </w:t>
      </w:r>
      <w:r w:rsidR="00662D92" w:rsidRPr="004F58E0">
        <w:t>“</w:t>
      </w:r>
      <w:r w:rsidR="00971646" w:rsidRPr="004F58E0">
        <w:t>1 July</w:t>
      </w:r>
      <w:r w:rsidRPr="004F58E0">
        <w:t xml:space="preserve"> 2020</w:t>
      </w:r>
      <w:r w:rsidR="00662D92" w:rsidRPr="004F58E0">
        <w:t>”</w:t>
      </w:r>
      <w:r w:rsidRPr="004F58E0">
        <w:t>.</w:t>
      </w:r>
    </w:p>
    <w:p w14:paraId="683200CB" w14:textId="77777777" w:rsidR="00405ADD" w:rsidRPr="004F58E0" w:rsidRDefault="000E2F52" w:rsidP="00FC07B2">
      <w:pPr>
        <w:pStyle w:val="ItemHead"/>
      </w:pPr>
      <w:r w:rsidRPr="004F58E0">
        <w:t>2</w:t>
      </w:r>
      <w:r w:rsidR="00405ADD" w:rsidRPr="004F58E0">
        <w:t xml:space="preserve">  </w:t>
      </w:r>
      <w:r w:rsidR="00971646" w:rsidRPr="004F58E0">
        <w:t>Paragraph 3</w:t>
      </w:r>
      <w:r w:rsidR="00405ADD" w:rsidRPr="004F58E0">
        <w:t>(2)(d)</w:t>
      </w:r>
    </w:p>
    <w:p w14:paraId="61555C23" w14:textId="77777777" w:rsidR="00405ADD" w:rsidRPr="004F58E0" w:rsidRDefault="00405ADD" w:rsidP="00405ADD">
      <w:pPr>
        <w:pStyle w:val="Item"/>
      </w:pPr>
      <w:r w:rsidRPr="004F58E0">
        <w:t xml:space="preserve">Omit </w:t>
      </w:r>
      <w:r w:rsidR="00662D92" w:rsidRPr="004F58E0">
        <w:t>“</w:t>
      </w:r>
      <w:r w:rsidRPr="004F58E0">
        <w:t>Corporation; and</w:t>
      </w:r>
      <w:r w:rsidR="00662D92" w:rsidRPr="004F58E0">
        <w:t>”</w:t>
      </w:r>
      <w:r w:rsidRPr="004F58E0">
        <w:t xml:space="preserve">, substitute </w:t>
      </w:r>
      <w:r w:rsidR="00662D92" w:rsidRPr="004F58E0">
        <w:t>“</w:t>
      </w:r>
      <w:r w:rsidRPr="004F58E0">
        <w:t>Corporation;</w:t>
      </w:r>
      <w:r w:rsidR="00662D92" w:rsidRPr="004F58E0">
        <w:t>”</w:t>
      </w:r>
      <w:r w:rsidRPr="004F58E0">
        <w:t>.</w:t>
      </w:r>
    </w:p>
    <w:p w14:paraId="22BC963D" w14:textId="77777777" w:rsidR="00405ADD" w:rsidRPr="004F58E0" w:rsidRDefault="000E2F52" w:rsidP="00405ADD">
      <w:pPr>
        <w:pStyle w:val="ItemHead"/>
      </w:pPr>
      <w:r w:rsidRPr="004F58E0">
        <w:t>3</w:t>
      </w:r>
      <w:r w:rsidR="00405ADD" w:rsidRPr="004F58E0">
        <w:t xml:space="preserve">  </w:t>
      </w:r>
      <w:r w:rsidR="00971646" w:rsidRPr="004F58E0">
        <w:t>Paragraph 3</w:t>
      </w:r>
      <w:r w:rsidR="00405ADD" w:rsidRPr="004F58E0">
        <w:t>(2)(e)</w:t>
      </w:r>
    </w:p>
    <w:p w14:paraId="37DC6EBD" w14:textId="77777777" w:rsidR="00405ADD" w:rsidRPr="004F58E0" w:rsidRDefault="00405ADD" w:rsidP="00405ADD">
      <w:pPr>
        <w:pStyle w:val="Item"/>
      </w:pPr>
      <w:r w:rsidRPr="004F58E0">
        <w:t xml:space="preserve">Omit </w:t>
      </w:r>
      <w:r w:rsidR="00662D92" w:rsidRPr="004F58E0">
        <w:t>“</w:t>
      </w:r>
      <w:r w:rsidRPr="004F58E0">
        <w:t>Account.</w:t>
      </w:r>
      <w:r w:rsidR="00662D92" w:rsidRPr="004F58E0">
        <w:t>”</w:t>
      </w:r>
      <w:r w:rsidRPr="004F58E0">
        <w:t xml:space="preserve">, substitute </w:t>
      </w:r>
      <w:r w:rsidR="00662D92" w:rsidRPr="004F58E0">
        <w:t>“</w:t>
      </w:r>
      <w:r w:rsidRPr="004F58E0">
        <w:t>Account; and</w:t>
      </w:r>
      <w:r w:rsidR="00662D92" w:rsidRPr="004F58E0">
        <w:t>”</w:t>
      </w:r>
      <w:r w:rsidRPr="004F58E0">
        <w:t>.</w:t>
      </w:r>
    </w:p>
    <w:p w14:paraId="1E911491" w14:textId="77777777" w:rsidR="00F54F05" w:rsidRPr="004F58E0" w:rsidRDefault="000E2F52" w:rsidP="00F54F05">
      <w:pPr>
        <w:pStyle w:val="ItemHead"/>
      </w:pPr>
      <w:r w:rsidRPr="004F58E0">
        <w:t>4</w:t>
      </w:r>
      <w:r w:rsidR="00F54F05" w:rsidRPr="004F58E0">
        <w:t xml:space="preserve">  At the end of subsection 3(2)</w:t>
      </w:r>
    </w:p>
    <w:p w14:paraId="3ECEB23A" w14:textId="77777777" w:rsidR="00F54F05" w:rsidRPr="004F58E0" w:rsidRDefault="00F54F05" w:rsidP="00F54F05">
      <w:pPr>
        <w:pStyle w:val="Item"/>
      </w:pPr>
      <w:r w:rsidRPr="004F58E0">
        <w:t>Add:</w:t>
      </w:r>
    </w:p>
    <w:p w14:paraId="1A9833B7" w14:textId="77777777" w:rsidR="00F54F05" w:rsidRPr="004F58E0" w:rsidRDefault="00F54F05" w:rsidP="00F54F05">
      <w:pPr>
        <w:pStyle w:val="paragraph"/>
      </w:pPr>
      <w:r w:rsidRPr="004F58E0">
        <w:tab/>
        <w:t>(f)</w:t>
      </w:r>
      <w:r w:rsidRPr="004F58E0">
        <w:tab/>
        <w:t>Division 4 of Part 2</w:t>
      </w:r>
      <w:r w:rsidR="004F58E0">
        <w:noBreakHyphen/>
      </w:r>
      <w:r w:rsidRPr="004F58E0">
        <w:t xml:space="preserve">3 of the </w:t>
      </w:r>
      <w:r w:rsidRPr="004F58E0">
        <w:rPr>
          <w:i/>
        </w:rPr>
        <w:t>Public Governance, Performance and Accountability Rule 2014</w:t>
      </w:r>
      <w:r w:rsidR="00B96933" w:rsidRPr="004F58E0">
        <w:t xml:space="preserve"> in relation to how financial statements must be prepared in relation to Commonwealth entities that have ceased to exist or whose functions have been transferred</w:t>
      </w:r>
      <w:r w:rsidRPr="004F58E0">
        <w:t>.</w:t>
      </w:r>
    </w:p>
    <w:p w14:paraId="5C04A262" w14:textId="77777777" w:rsidR="00662D92" w:rsidRPr="004F58E0" w:rsidRDefault="000E2F52" w:rsidP="00662D92">
      <w:pPr>
        <w:pStyle w:val="ItemHead"/>
      </w:pPr>
      <w:r w:rsidRPr="004F58E0">
        <w:t>5</w:t>
      </w:r>
      <w:r w:rsidR="00662D92" w:rsidRPr="004F58E0">
        <w:t xml:space="preserve">  </w:t>
      </w:r>
      <w:r w:rsidR="00DC0BE4" w:rsidRPr="004F58E0">
        <w:t>Section 5</w:t>
      </w:r>
    </w:p>
    <w:p w14:paraId="38D67E91" w14:textId="77777777" w:rsidR="00662D92" w:rsidRPr="004F58E0" w:rsidRDefault="00662D92" w:rsidP="00662D92">
      <w:pPr>
        <w:pStyle w:val="Item"/>
      </w:pPr>
      <w:r w:rsidRPr="004F58E0">
        <w:t>Insert:</w:t>
      </w:r>
    </w:p>
    <w:p w14:paraId="17C248E9" w14:textId="77777777" w:rsidR="00662D92" w:rsidRPr="004F58E0" w:rsidRDefault="00662D92" w:rsidP="00662D92">
      <w:pPr>
        <w:pStyle w:val="Definition"/>
      </w:pPr>
      <w:r w:rsidRPr="004F58E0">
        <w:rPr>
          <w:b/>
          <w:i/>
        </w:rPr>
        <w:t>AASB</w:t>
      </w:r>
      <w:r w:rsidRPr="004F58E0">
        <w:t xml:space="preserve"> means the Australian Accounting Standards Board.</w:t>
      </w:r>
    </w:p>
    <w:p w14:paraId="1373CA05" w14:textId="77777777" w:rsidR="00A72ABF" w:rsidRPr="004F58E0" w:rsidRDefault="000E2F52" w:rsidP="00A72ABF">
      <w:pPr>
        <w:pStyle w:val="ItemHead"/>
      </w:pPr>
      <w:r w:rsidRPr="004F58E0">
        <w:t>6</w:t>
      </w:r>
      <w:r w:rsidR="00A72ABF" w:rsidRPr="004F58E0">
        <w:t xml:space="preserve">  Paragraph 6(1)(b)</w:t>
      </w:r>
    </w:p>
    <w:p w14:paraId="5C19DE35" w14:textId="77777777" w:rsidR="00A72ABF" w:rsidRPr="004F58E0" w:rsidRDefault="00A72ABF" w:rsidP="00A72ABF">
      <w:pPr>
        <w:pStyle w:val="Item"/>
      </w:pPr>
      <w:r w:rsidRPr="004F58E0">
        <w:t>Omit “subsidiaries; and”, substitute “subsidiaries.”.</w:t>
      </w:r>
    </w:p>
    <w:p w14:paraId="676E8087" w14:textId="77777777" w:rsidR="00662D92" w:rsidRPr="004F58E0" w:rsidRDefault="000E2F52" w:rsidP="00970D05">
      <w:pPr>
        <w:pStyle w:val="ItemHead"/>
      </w:pPr>
      <w:r w:rsidRPr="004F58E0">
        <w:t>7</w:t>
      </w:r>
      <w:r w:rsidR="00662D92" w:rsidRPr="004F58E0">
        <w:t xml:space="preserve">  </w:t>
      </w:r>
      <w:r w:rsidR="00DC0BE4" w:rsidRPr="004F58E0">
        <w:t>Section 1</w:t>
      </w:r>
      <w:r w:rsidR="00662D92" w:rsidRPr="004F58E0">
        <w:t>2 (heading)</w:t>
      </w:r>
    </w:p>
    <w:p w14:paraId="15459CC1" w14:textId="77777777" w:rsidR="00662D92" w:rsidRPr="004F58E0" w:rsidRDefault="00662D92" w:rsidP="00662D92">
      <w:pPr>
        <w:pStyle w:val="Item"/>
      </w:pPr>
      <w:r w:rsidRPr="004F58E0">
        <w:t>Repeal the heading, substitute:</w:t>
      </w:r>
    </w:p>
    <w:p w14:paraId="2A9B4632" w14:textId="77777777" w:rsidR="00662D92" w:rsidRPr="004F58E0" w:rsidRDefault="00662D92" w:rsidP="00662D92">
      <w:pPr>
        <w:pStyle w:val="ActHead5"/>
      </w:pPr>
      <w:bookmarkStart w:id="9" w:name="_Toc63360191"/>
      <w:r w:rsidRPr="004E4678">
        <w:rPr>
          <w:rStyle w:val="CharSectno"/>
        </w:rPr>
        <w:t>12</w:t>
      </w:r>
      <w:r w:rsidRPr="004F58E0">
        <w:t xml:space="preserve">  Presentation of financial statements</w:t>
      </w:r>
      <w:bookmarkEnd w:id="9"/>
    </w:p>
    <w:p w14:paraId="21E0BAD7" w14:textId="77777777" w:rsidR="00662D92" w:rsidRPr="004F58E0" w:rsidRDefault="000E2F52" w:rsidP="00662D92">
      <w:pPr>
        <w:pStyle w:val="ItemHead"/>
      </w:pPr>
      <w:r w:rsidRPr="004F58E0">
        <w:t>8</w:t>
      </w:r>
      <w:r w:rsidR="00662D92" w:rsidRPr="004F58E0">
        <w:t xml:space="preserve">  </w:t>
      </w:r>
      <w:r w:rsidR="00DC0BE4" w:rsidRPr="004F58E0">
        <w:t>Section 1</w:t>
      </w:r>
      <w:r w:rsidR="00662D92" w:rsidRPr="004F58E0">
        <w:t>3 (heading)</w:t>
      </w:r>
    </w:p>
    <w:p w14:paraId="456C994E" w14:textId="77777777" w:rsidR="00662D92" w:rsidRPr="004F58E0" w:rsidRDefault="00662D92" w:rsidP="00662D92">
      <w:pPr>
        <w:pStyle w:val="Item"/>
      </w:pPr>
      <w:r w:rsidRPr="004F58E0">
        <w:t>Repeal the heading, substitute:</w:t>
      </w:r>
    </w:p>
    <w:p w14:paraId="72421EF3" w14:textId="77777777" w:rsidR="00662D92" w:rsidRPr="004F58E0" w:rsidRDefault="00662D92" w:rsidP="00662D92">
      <w:pPr>
        <w:pStyle w:val="ActHead5"/>
      </w:pPr>
      <w:bookmarkStart w:id="10" w:name="_Toc63360192"/>
      <w:r w:rsidRPr="004E4678">
        <w:rPr>
          <w:rStyle w:val="CharSectno"/>
        </w:rPr>
        <w:t>13</w:t>
      </w:r>
      <w:r w:rsidRPr="004F58E0">
        <w:t xml:space="preserve">  Statement of cash flows</w:t>
      </w:r>
      <w:bookmarkEnd w:id="10"/>
    </w:p>
    <w:p w14:paraId="6DAA3368" w14:textId="77777777" w:rsidR="00662D92" w:rsidRPr="004F58E0" w:rsidRDefault="000E2F52" w:rsidP="00662D92">
      <w:pPr>
        <w:pStyle w:val="ItemHead"/>
      </w:pPr>
      <w:r w:rsidRPr="004F58E0">
        <w:t>9</w:t>
      </w:r>
      <w:r w:rsidR="00662D92" w:rsidRPr="004F58E0">
        <w:t xml:space="preserve">  </w:t>
      </w:r>
      <w:r w:rsidR="00DC0BE4" w:rsidRPr="004F58E0">
        <w:t>Section 1</w:t>
      </w:r>
      <w:r w:rsidR="00662D92" w:rsidRPr="004F58E0">
        <w:t>4 (heading)</w:t>
      </w:r>
    </w:p>
    <w:p w14:paraId="3583029C" w14:textId="77777777" w:rsidR="00662D92" w:rsidRPr="004F58E0" w:rsidRDefault="00662D92" w:rsidP="00662D92">
      <w:pPr>
        <w:pStyle w:val="Item"/>
      </w:pPr>
      <w:r w:rsidRPr="004F58E0">
        <w:t>Repeal the heading, substitute:</w:t>
      </w:r>
    </w:p>
    <w:p w14:paraId="7E07EED0" w14:textId="77777777" w:rsidR="00662D92" w:rsidRPr="004F58E0" w:rsidRDefault="00662D92" w:rsidP="00662D92">
      <w:pPr>
        <w:pStyle w:val="ActHead5"/>
      </w:pPr>
      <w:bookmarkStart w:id="11" w:name="_Toc63360193"/>
      <w:r w:rsidRPr="004E4678">
        <w:rPr>
          <w:rStyle w:val="CharSectno"/>
        </w:rPr>
        <w:t>14</w:t>
      </w:r>
      <w:r w:rsidRPr="004F58E0">
        <w:t xml:space="preserve">  Accounting for Government grants and disclosure of Government assistance</w:t>
      </w:r>
      <w:bookmarkEnd w:id="11"/>
    </w:p>
    <w:p w14:paraId="1161A118" w14:textId="77777777" w:rsidR="00662D92" w:rsidRPr="004F58E0" w:rsidRDefault="000E2F52" w:rsidP="00662D92">
      <w:pPr>
        <w:pStyle w:val="ItemHead"/>
      </w:pPr>
      <w:r w:rsidRPr="004F58E0">
        <w:t>10</w:t>
      </w:r>
      <w:r w:rsidR="00662D92" w:rsidRPr="004F58E0">
        <w:t xml:space="preserve">  </w:t>
      </w:r>
      <w:r w:rsidR="00DC0BE4" w:rsidRPr="004F58E0">
        <w:t>Section 1</w:t>
      </w:r>
      <w:r w:rsidR="00662D92" w:rsidRPr="004F58E0">
        <w:t>5 (heading)</w:t>
      </w:r>
    </w:p>
    <w:p w14:paraId="696DCF30" w14:textId="77777777" w:rsidR="00662D92" w:rsidRPr="004F58E0" w:rsidRDefault="00662D92" w:rsidP="00662D92">
      <w:pPr>
        <w:pStyle w:val="Item"/>
      </w:pPr>
      <w:r w:rsidRPr="004F58E0">
        <w:t>Repeal the heading, substitute:</w:t>
      </w:r>
    </w:p>
    <w:p w14:paraId="34B24A7E" w14:textId="77777777" w:rsidR="00662D92" w:rsidRPr="004F58E0" w:rsidRDefault="00662D92" w:rsidP="00662D92">
      <w:pPr>
        <w:pStyle w:val="ActHead5"/>
      </w:pPr>
      <w:bookmarkStart w:id="12" w:name="_Toc63360194"/>
      <w:r w:rsidRPr="004E4678">
        <w:rPr>
          <w:rStyle w:val="CharSectno"/>
        </w:rPr>
        <w:lastRenderedPageBreak/>
        <w:t>15</w:t>
      </w:r>
      <w:r w:rsidRPr="004F58E0">
        <w:t xml:space="preserve">  Borrowing costs</w:t>
      </w:r>
      <w:bookmarkEnd w:id="12"/>
    </w:p>
    <w:p w14:paraId="36E08663" w14:textId="77777777" w:rsidR="00662D92" w:rsidRPr="004F58E0" w:rsidRDefault="000E2F52" w:rsidP="00662D92">
      <w:pPr>
        <w:pStyle w:val="ItemHead"/>
      </w:pPr>
      <w:r w:rsidRPr="004F58E0">
        <w:t>11</w:t>
      </w:r>
      <w:r w:rsidR="00662D92" w:rsidRPr="004F58E0">
        <w:t xml:space="preserve">  </w:t>
      </w:r>
      <w:r w:rsidR="00DC0BE4" w:rsidRPr="004F58E0">
        <w:t>Section 1</w:t>
      </w:r>
      <w:r w:rsidR="002F12D7" w:rsidRPr="004F58E0">
        <w:t>6</w:t>
      </w:r>
      <w:r w:rsidR="00662D92" w:rsidRPr="004F58E0">
        <w:t xml:space="preserve"> (heading)</w:t>
      </w:r>
    </w:p>
    <w:p w14:paraId="5E9049CC" w14:textId="77777777" w:rsidR="00662D92" w:rsidRPr="004F58E0" w:rsidRDefault="00662D92" w:rsidP="00662D92">
      <w:pPr>
        <w:pStyle w:val="Item"/>
      </w:pPr>
      <w:r w:rsidRPr="004F58E0">
        <w:t>Repeal the heading, substitute:</w:t>
      </w:r>
    </w:p>
    <w:p w14:paraId="606BFC09" w14:textId="77777777" w:rsidR="00662D92" w:rsidRPr="004F58E0" w:rsidRDefault="00662D92" w:rsidP="00662D92">
      <w:pPr>
        <w:pStyle w:val="ActHead5"/>
      </w:pPr>
      <w:bookmarkStart w:id="13" w:name="_Toc63360195"/>
      <w:r w:rsidRPr="004E4678">
        <w:rPr>
          <w:rStyle w:val="CharSectno"/>
        </w:rPr>
        <w:t>16</w:t>
      </w:r>
      <w:r w:rsidRPr="004F58E0">
        <w:t xml:space="preserve">  Financial instruments</w:t>
      </w:r>
      <w:bookmarkEnd w:id="13"/>
    </w:p>
    <w:p w14:paraId="29B0D8D0" w14:textId="77777777" w:rsidR="00970D05" w:rsidRPr="004F58E0" w:rsidRDefault="000E2F52" w:rsidP="00970D05">
      <w:pPr>
        <w:pStyle w:val="ItemHead"/>
      </w:pPr>
      <w:r w:rsidRPr="004F58E0">
        <w:t>12</w:t>
      </w:r>
      <w:r w:rsidR="00970D05" w:rsidRPr="004F58E0">
        <w:t xml:space="preserve">  </w:t>
      </w:r>
      <w:r w:rsidR="00DC0BE4" w:rsidRPr="004F58E0">
        <w:t>Section 1</w:t>
      </w:r>
      <w:r w:rsidR="00970D05" w:rsidRPr="004F58E0">
        <w:t>7 (heading)</w:t>
      </w:r>
    </w:p>
    <w:p w14:paraId="007A5A7D" w14:textId="77777777" w:rsidR="00970D05" w:rsidRPr="004F58E0" w:rsidRDefault="00970D05" w:rsidP="00970D05">
      <w:pPr>
        <w:pStyle w:val="Item"/>
      </w:pPr>
      <w:r w:rsidRPr="004F58E0">
        <w:t>Repeal the heading, substitute:</w:t>
      </w:r>
    </w:p>
    <w:p w14:paraId="70EE265A" w14:textId="77777777" w:rsidR="00970D05" w:rsidRPr="004F58E0" w:rsidRDefault="00970D05" w:rsidP="00970D05">
      <w:pPr>
        <w:pStyle w:val="ActHead5"/>
      </w:pPr>
      <w:bookmarkStart w:id="14" w:name="_Toc63360196"/>
      <w:r w:rsidRPr="004E4678">
        <w:rPr>
          <w:rStyle w:val="CharSectno"/>
        </w:rPr>
        <w:t>17</w:t>
      </w:r>
      <w:r w:rsidRPr="004F58E0">
        <w:t xml:space="preserve">  Valuation of non</w:t>
      </w:r>
      <w:r w:rsidR="004F58E0">
        <w:noBreakHyphen/>
      </w:r>
      <w:r w:rsidRPr="004F58E0">
        <w:t>financial assets</w:t>
      </w:r>
      <w:bookmarkEnd w:id="14"/>
    </w:p>
    <w:p w14:paraId="7B424CB2" w14:textId="77777777" w:rsidR="00C51B6D" w:rsidRPr="004F58E0" w:rsidRDefault="000E2F52" w:rsidP="00C51B6D">
      <w:pPr>
        <w:pStyle w:val="ItemHead"/>
      </w:pPr>
      <w:r w:rsidRPr="004F58E0">
        <w:t>13</w:t>
      </w:r>
      <w:r w:rsidR="00C51B6D" w:rsidRPr="004F58E0">
        <w:t xml:space="preserve">  </w:t>
      </w:r>
      <w:r w:rsidR="00C93288" w:rsidRPr="004F58E0">
        <w:t>Subsection 1</w:t>
      </w:r>
      <w:r w:rsidR="00C51B6D" w:rsidRPr="004F58E0">
        <w:t>7(1)</w:t>
      </w:r>
    </w:p>
    <w:p w14:paraId="398533BD" w14:textId="77777777" w:rsidR="00C51B6D" w:rsidRPr="004F58E0" w:rsidRDefault="00C51B6D" w:rsidP="00C51B6D">
      <w:pPr>
        <w:pStyle w:val="Item"/>
      </w:pPr>
      <w:r w:rsidRPr="004F58E0">
        <w:t>Repeal the subsection, substitute:</w:t>
      </w:r>
    </w:p>
    <w:p w14:paraId="461EA2DD" w14:textId="77777777" w:rsidR="00C51B6D" w:rsidRPr="004F58E0" w:rsidRDefault="00C51B6D" w:rsidP="00C51B6D">
      <w:pPr>
        <w:pStyle w:val="subsection"/>
      </w:pPr>
      <w:r w:rsidRPr="004F58E0">
        <w:tab/>
        <w:t>(1)</w:t>
      </w:r>
      <w:r w:rsidRPr="004F58E0">
        <w:tab/>
      </w:r>
      <w:r w:rsidR="00C03E33" w:rsidRPr="004F58E0">
        <w:t xml:space="preserve">Reporting entities must apply </w:t>
      </w:r>
      <w:r w:rsidR="00C52425" w:rsidRPr="004F58E0">
        <w:t>subsections (</w:t>
      </w:r>
      <w:r w:rsidR="00C03E33" w:rsidRPr="004F58E0">
        <w:t>2) to (5) w</w:t>
      </w:r>
      <w:r w:rsidRPr="004F58E0">
        <w:t>hen applying any of the following standards in preparation of financial statement</w:t>
      </w:r>
      <w:r w:rsidR="00C03E33" w:rsidRPr="004F58E0">
        <w:t>s</w:t>
      </w:r>
      <w:r w:rsidRPr="004F58E0">
        <w:t>:</w:t>
      </w:r>
    </w:p>
    <w:p w14:paraId="205AE3E2" w14:textId="77777777" w:rsidR="00C51B6D" w:rsidRPr="004F58E0" w:rsidRDefault="00C51B6D" w:rsidP="00C51B6D">
      <w:pPr>
        <w:pStyle w:val="paragraph"/>
      </w:pPr>
      <w:r w:rsidRPr="004F58E0">
        <w:tab/>
        <w:t>(a)</w:t>
      </w:r>
      <w:r w:rsidRPr="004F58E0">
        <w:tab/>
        <w:t>AASB 16 </w:t>
      </w:r>
      <w:r w:rsidRPr="004F58E0">
        <w:rPr>
          <w:i/>
        </w:rPr>
        <w:t>Leases</w:t>
      </w:r>
      <w:r w:rsidRPr="004F58E0">
        <w:t>;</w:t>
      </w:r>
    </w:p>
    <w:p w14:paraId="59E528A5" w14:textId="77777777" w:rsidR="00C51B6D" w:rsidRPr="004F58E0" w:rsidRDefault="00C51B6D" w:rsidP="00C51B6D">
      <w:pPr>
        <w:pStyle w:val="paragraph"/>
      </w:pPr>
      <w:r w:rsidRPr="004F58E0">
        <w:tab/>
        <w:t>(b)</w:t>
      </w:r>
      <w:r w:rsidRPr="004F58E0">
        <w:tab/>
        <w:t>AASB 116 </w:t>
      </w:r>
      <w:r w:rsidRPr="004F58E0">
        <w:rPr>
          <w:i/>
        </w:rPr>
        <w:t>Property, Plant and Equipment</w:t>
      </w:r>
      <w:r w:rsidRPr="004F58E0">
        <w:t>;</w:t>
      </w:r>
    </w:p>
    <w:p w14:paraId="47553016" w14:textId="77777777" w:rsidR="00C51B6D" w:rsidRPr="004F58E0" w:rsidRDefault="00C51B6D" w:rsidP="00C51B6D">
      <w:pPr>
        <w:pStyle w:val="paragraph"/>
      </w:pPr>
      <w:r w:rsidRPr="004F58E0">
        <w:tab/>
        <w:t>(c)</w:t>
      </w:r>
      <w:r w:rsidRPr="004F58E0">
        <w:tab/>
        <w:t>AASB 138 </w:t>
      </w:r>
      <w:r w:rsidRPr="004F58E0">
        <w:rPr>
          <w:i/>
        </w:rPr>
        <w:t>Intangible Assets</w:t>
      </w:r>
      <w:r w:rsidRPr="004F58E0">
        <w:t>;</w:t>
      </w:r>
    </w:p>
    <w:p w14:paraId="2A229648" w14:textId="77777777" w:rsidR="00C51B6D" w:rsidRPr="004F58E0" w:rsidRDefault="00C51B6D" w:rsidP="00C51B6D">
      <w:pPr>
        <w:pStyle w:val="paragraph"/>
      </w:pPr>
      <w:r w:rsidRPr="004F58E0">
        <w:tab/>
        <w:t>(d)</w:t>
      </w:r>
      <w:r w:rsidRPr="004F58E0">
        <w:tab/>
        <w:t>AASB 140 </w:t>
      </w:r>
      <w:r w:rsidRPr="004F58E0">
        <w:rPr>
          <w:i/>
        </w:rPr>
        <w:t>Investment Property</w:t>
      </w:r>
      <w:r w:rsidR="00211A7D" w:rsidRPr="004F58E0">
        <w:t>.</w:t>
      </w:r>
    </w:p>
    <w:p w14:paraId="0BEC1D47" w14:textId="77777777" w:rsidR="00662D92" w:rsidRPr="004F58E0" w:rsidRDefault="000E2F52" w:rsidP="00D529CC">
      <w:pPr>
        <w:pStyle w:val="ItemHead"/>
      </w:pPr>
      <w:r w:rsidRPr="004F58E0">
        <w:t>14</w:t>
      </w:r>
      <w:r w:rsidR="00662D92" w:rsidRPr="004F58E0">
        <w:t xml:space="preserve">  </w:t>
      </w:r>
      <w:r w:rsidR="00DC0BE4" w:rsidRPr="004F58E0">
        <w:t>Section 1</w:t>
      </w:r>
      <w:r w:rsidR="00662D92" w:rsidRPr="004F58E0">
        <w:t>8 (heading)</w:t>
      </w:r>
    </w:p>
    <w:p w14:paraId="7C2BED74" w14:textId="77777777" w:rsidR="00662D92" w:rsidRPr="004F58E0" w:rsidRDefault="00662D92" w:rsidP="00662D92">
      <w:pPr>
        <w:pStyle w:val="Item"/>
      </w:pPr>
      <w:r w:rsidRPr="004F58E0">
        <w:t>Repeal the heading, substitute:</w:t>
      </w:r>
    </w:p>
    <w:p w14:paraId="3C4171FA" w14:textId="77777777" w:rsidR="00662D92" w:rsidRPr="004F58E0" w:rsidRDefault="00662D92" w:rsidP="00662D92">
      <w:pPr>
        <w:pStyle w:val="ActHead5"/>
      </w:pPr>
      <w:bookmarkStart w:id="15" w:name="_Toc63360197"/>
      <w:r w:rsidRPr="004E4678">
        <w:rPr>
          <w:rStyle w:val="CharSectno"/>
        </w:rPr>
        <w:t>18</w:t>
      </w:r>
      <w:r w:rsidRPr="004F58E0">
        <w:t xml:space="preserve">  Application of tiers of Australian Accounting Standards</w:t>
      </w:r>
      <w:bookmarkEnd w:id="15"/>
    </w:p>
    <w:p w14:paraId="35BE60F5" w14:textId="77777777" w:rsidR="00AF1BD3" w:rsidRPr="004F58E0" w:rsidRDefault="000E2F52" w:rsidP="00AF1BD3">
      <w:pPr>
        <w:pStyle w:val="ItemHead"/>
      </w:pPr>
      <w:r w:rsidRPr="004F58E0">
        <w:t>15</w:t>
      </w:r>
      <w:r w:rsidR="00AF1BD3" w:rsidRPr="004F58E0">
        <w:t xml:space="preserve">  </w:t>
      </w:r>
      <w:r w:rsidR="001E3CC0" w:rsidRPr="004F58E0">
        <w:t>Before s</w:t>
      </w:r>
      <w:r w:rsidR="00C93288" w:rsidRPr="004F58E0">
        <w:t>ubsection 1</w:t>
      </w:r>
      <w:r w:rsidR="00AF1BD3" w:rsidRPr="004F58E0">
        <w:t>8(1)</w:t>
      </w:r>
    </w:p>
    <w:p w14:paraId="639A6860" w14:textId="77777777" w:rsidR="001E3CC0" w:rsidRPr="004F58E0" w:rsidRDefault="001E3CC0" w:rsidP="001E3CC0">
      <w:pPr>
        <w:pStyle w:val="Item"/>
      </w:pPr>
      <w:r w:rsidRPr="004F58E0">
        <w:t>Insert:</w:t>
      </w:r>
    </w:p>
    <w:p w14:paraId="35A30EC1" w14:textId="77777777" w:rsidR="00E91F44" w:rsidRPr="004F58E0" w:rsidRDefault="001E3CC0" w:rsidP="001E3CC0">
      <w:pPr>
        <w:pStyle w:val="subsection"/>
      </w:pPr>
      <w:r w:rsidRPr="004F58E0">
        <w:tab/>
        <w:t>(1A)</w:t>
      </w:r>
      <w:r w:rsidRPr="004F58E0">
        <w:tab/>
        <w:t xml:space="preserve">Reporting entities are subject to </w:t>
      </w:r>
      <w:r w:rsidR="00C52425" w:rsidRPr="004F58E0">
        <w:t>subsections (</w:t>
      </w:r>
      <w:r w:rsidRPr="004F58E0">
        <w:t xml:space="preserve">1) to (3) when applying </w:t>
      </w:r>
      <w:r w:rsidR="00E91F44" w:rsidRPr="004F58E0">
        <w:t>AASB 1053 </w:t>
      </w:r>
      <w:r w:rsidR="00E91F44" w:rsidRPr="004F58E0">
        <w:rPr>
          <w:i/>
        </w:rPr>
        <w:t>Application of Tiers of Australian Accounting Standards</w:t>
      </w:r>
      <w:r w:rsidR="00E91F44" w:rsidRPr="004F58E0">
        <w:t>.</w:t>
      </w:r>
    </w:p>
    <w:p w14:paraId="4B79E0D3" w14:textId="77777777" w:rsidR="00D529CC" w:rsidRPr="004F58E0" w:rsidRDefault="000E2F52" w:rsidP="00D529CC">
      <w:pPr>
        <w:pStyle w:val="ItemHead"/>
      </w:pPr>
      <w:r w:rsidRPr="004F58E0">
        <w:t>16</w:t>
      </w:r>
      <w:r w:rsidR="00D529CC" w:rsidRPr="004F58E0">
        <w:t xml:space="preserve">  </w:t>
      </w:r>
      <w:r w:rsidR="00971646" w:rsidRPr="004F58E0">
        <w:t>Paragraph 2</w:t>
      </w:r>
      <w:r w:rsidR="00D529CC" w:rsidRPr="004F58E0">
        <w:t>4(1)(b)</w:t>
      </w:r>
    </w:p>
    <w:p w14:paraId="1DB2C8E9" w14:textId="77777777" w:rsidR="00D529CC" w:rsidRPr="004F58E0" w:rsidRDefault="00D529CC" w:rsidP="00D529CC">
      <w:pPr>
        <w:pStyle w:val="Item"/>
      </w:pPr>
      <w:r w:rsidRPr="004F58E0">
        <w:t>Repeal the paragraph, substitute:</w:t>
      </w:r>
    </w:p>
    <w:p w14:paraId="6ED24658" w14:textId="77777777" w:rsidR="00B708EE" w:rsidRPr="004F58E0" w:rsidRDefault="00D529CC" w:rsidP="00D529CC">
      <w:pPr>
        <w:pStyle w:val="paragraph"/>
      </w:pPr>
      <w:r w:rsidRPr="004F58E0">
        <w:tab/>
        <w:t>(b)</w:t>
      </w:r>
      <w:r w:rsidRPr="004F58E0">
        <w:tab/>
        <w:t>greater than 1,000 FTE employees must estimate the entity</w:t>
      </w:r>
      <w:r w:rsidR="00662D92" w:rsidRPr="004F58E0">
        <w:t>’</w:t>
      </w:r>
      <w:r w:rsidRPr="004F58E0">
        <w:t xml:space="preserve">s LSL liability </w:t>
      </w:r>
      <w:r w:rsidR="00B8011A" w:rsidRPr="004F58E0">
        <w:t>using either of the following methods</w:t>
      </w:r>
      <w:r w:rsidR="00B708EE" w:rsidRPr="004F58E0">
        <w:t>:</w:t>
      </w:r>
    </w:p>
    <w:p w14:paraId="13E1848C" w14:textId="77777777" w:rsidR="00FA0A61" w:rsidRPr="004F58E0" w:rsidRDefault="00B8011A" w:rsidP="00B708EE">
      <w:pPr>
        <w:pStyle w:val="paragraphsub"/>
      </w:pPr>
      <w:r w:rsidRPr="004F58E0">
        <w:tab/>
        <w:t>(i)</w:t>
      </w:r>
      <w:r w:rsidRPr="004F58E0">
        <w:tab/>
        <w:t>an actuarial assessment</w:t>
      </w:r>
      <w:r w:rsidR="00FA0A61" w:rsidRPr="004F58E0">
        <w:t>;</w:t>
      </w:r>
    </w:p>
    <w:p w14:paraId="4DA6BBF6" w14:textId="77777777" w:rsidR="00B708EE" w:rsidRPr="004F58E0" w:rsidRDefault="00FA0A61" w:rsidP="00B708EE">
      <w:pPr>
        <w:pStyle w:val="paragraphsub"/>
      </w:pPr>
      <w:r w:rsidRPr="004F58E0">
        <w:tab/>
        <w:t>(ii)</w:t>
      </w:r>
      <w:r w:rsidRPr="004F58E0">
        <w:tab/>
        <w:t>a detailed calculation basis (e.g.</w:t>
      </w:r>
      <w:r w:rsidR="00B62939" w:rsidRPr="004F58E0">
        <w:t>,</w:t>
      </w:r>
      <w:r w:rsidRPr="004F58E0">
        <w:t xml:space="preserve"> employee by employee).</w:t>
      </w:r>
    </w:p>
    <w:p w14:paraId="1085A2B0" w14:textId="77777777" w:rsidR="009A294A" w:rsidRPr="004F58E0" w:rsidRDefault="000E2F52" w:rsidP="009A294A">
      <w:pPr>
        <w:pStyle w:val="ItemHead"/>
      </w:pPr>
      <w:r w:rsidRPr="004F58E0">
        <w:t>17</w:t>
      </w:r>
      <w:r w:rsidR="009A294A" w:rsidRPr="004F58E0">
        <w:t xml:space="preserve">  </w:t>
      </w:r>
      <w:r w:rsidR="00971646" w:rsidRPr="004F58E0">
        <w:t>Sub</w:t>
      </w:r>
      <w:r w:rsidR="00DC0BE4" w:rsidRPr="004F58E0">
        <w:t>section 2</w:t>
      </w:r>
      <w:r w:rsidR="009A294A" w:rsidRPr="004F58E0">
        <w:t>4(2)</w:t>
      </w:r>
    </w:p>
    <w:p w14:paraId="71BEF700" w14:textId="77777777" w:rsidR="009A294A" w:rsidRPr="004F58E0" w:rsidRDefault="009A294A" w:rsidP="009A294A">
      <w:pPr>
        <w:pStyle w:val="Item"/>
      </w:pPr>
      <w:r w:rsidRPr="004F58E0">
        <w:t>Repeal the subsection, substitute:</w:t>
      </w:r>
    </w:p>
    <w:p w14:paraId="4616BCA0" w14:textId="77777777" w:rsidR="009A294A" w:rsidRPr="004F58E0" w:rsidRDefault="009A294A" w:rsidP="009A294A">
      <w:pPr>
        <w:pStyle w:val="subsection"/>
      </w:pPr>
      <w:r w:rsidRPr="004F58E0">
        <w:tab/>
        <w:t>(2)</w:t>
      </w:r>
      <w:r w:rsidRPr="004F58E0">
        <w:tab/>
        <w:t>For the purposes of calculating the provision of employee benefits</w:t>
      </w:r>
      <w:r w:rsidR="006D3BC8" w:rsidRPr="004F58E0">
        <w:t xml:space="preserve">, </w:t>
      </w:r>
      <w:r w:rsidR="00111B2C" w:rsidRPr="004F58E0">
        <w:t xml:space="preserve">the following </w:t>
      </w:r>
      <w:r w:rsidR="006D3BC8" w:rsidRPr="004F58E0">
        <w:t>relevant on</w:t>
      </w:r>
      <w:r w:rsidR="004F58E0">
        <w:noBreakHyphen/>
      </w:r>
      <w:r w:rsidR="006D3BC8" w:rsidRPr="004F58E0">
        <w:t xml:space="preserve">costs </w:t>
      </w:r>
      <w:r w:rsidR="003B3EE4" w:rsidRPr="004F58E0">
        <w:t>are to</w:t>
      </w:r>
      <w:r w:rsidR="00111B2C" w:rsidRPr="004F58E0">
        <w:t xml:space="preserve"> be allowed for:</w:t>
      </w:r>
    </w:p>
    <w:p w14:paraId="714F2941" w14:textId="77777777" w:rsidR="00111B2C" w:rsidRPr="004F58E0" w:rsidRDefault="00111B2C" w:rsidP="00111B2C">
      <w:pPr>
        <w:pStyle w:val="paragraph"/>
      </w:pPr>
      <w:r w:rsidRPr="004F58E0">
        <w:tab/>
        <w:t>(a)</w:t>
      </w:r>
      <w:r w:rsidRPr="004F58E0">
        <w:tab/>
        <w:t>superannuation contributions made by a Commonwealth entity to meet its superannuation liability;</w:t>
      </w:r>
    </w:p>
    <w:p w14:paraId="04EE885F" w14:textId="77777777" w:rsidR="00111B2C" w:rsidRPr="004F58E0" w:rsidRDefault="00111B2C" w:rsidP="00111B2C">
      <w:pPr>
        <w:pStyle w:val="paragraph"/>
      </w:pPr>
      <w:r w:rsidRPr="004F58E0">
        <w:tab/>
        <w:t>(b)</w:t>
      </w:r>
      <w:r w:rsidRPr="004F58E0">
        <w:tab/>
      </w:r>
      <w:r w:rsidR="00495D68" w:rsidRPr="004F58E0">
        <w:t>accrual of annual leave</w:t>
      </w:r>
      <w:r w:rsidR="00922660" w:rsidRPr="004F58E0">
        <w:t xml:space="preserve"> while an employee is on annual leave or long service leave</w:t>
      </w:r>
      <w:r w:rsidR="00495D68" w:rsidRPr="004F58E0">
        <w:t>;</w:t>
      </w:r>
    </w:p>
    <w:p w14:paraId="4DF24B66" w14:textId="77777777" w:rsidR="00495D68" w:rsidRPr="004F58E0" w:rsidRDefault="00495D68" w:rsidP="00111B2C">
      <w:pPr>
        <w:pStyle w:val="paragraph"/>
      </w:pPr>
      <w:r w:rsidRPr="004F58E0">
        <w:lastRenderedPageBreak/>
        <w:tab/>
        <w:t>(c)</w:t>
      </w:r>
      <w:r w:rsidRPr="004F58E0">
        <w:tab/>
        <w:t>accrual of long service leave while an employee is on annual leave</w:t>
      </w:r>
      <w:r w:rsidR="00922660" w:rsidRPr="004F58E0">
        <w:t xml:space="preserve"> or long service leave</w:t>
      </w:r>
      <w:r w:rsidRPr="004F58E0">
        <w:t>.</w:t>
      </w:r>
    </w:p>
    <w:p w14:paraId="63436C4F" w14:textId="77777777" w:rsidR="00495D68" w:rsidRPr="004F58E0" w:rsidRDefault="00495D68" w:rsidP="00495D68">
      <w:pPr>
        <w:pStyle w:val="subsection2"/>
      </w:pPr>
      <w:r w:rsidRPr="004F58E0">
        <w:t>Other on</w:t>
      </w:r>
      <w:r w:rsidR="004F58E0">
        <w:noBreakHyphen/>
      </w:r>
      <w:r w:rsidRPr="004F58E0">
        <w:t>costs, such as workers</w:t>
      </w:r>
      <w:r w:rsidR="00662D92" w:rsidRPr="004F58E0">
        <w:t>’</w:t>
      </w:r>
      <w:r w:rsidRPr="004F58E0">
        <w:t xml:space="preserve"> compensation insurance and payroll tax</w:t>
      </w:r>
      <w:r w:rsidR="00B62939" w:rsidRPr="004F58E0">
        <w:t>,</w:t>
      </w:r>
      <w:r w:rsidRPr="004F58E0">
        <w:t xml:space="preserve"> are not </w:t>
      </w:r>
      <w:r w:rsidR="00364D3F" w:rsidRPr="004F58E0">
        <w:t>on</w:t>
      </w:r>
      <w:r w:rsidR="004F58E0">
        <w:noBreakHyphen/>
      </w:r>
      <w:r w:rsidR="00364D3F" w:rsidRPr="004F58E0">
        <w:t xml:space="preserve">costs that are to be allowed for in calculating the provision of </w:t>
      </w:r>
      <w:r w:rsidRPr="004F58E0">
        <w:t>employee benefits for the purposes of this section.</w:t>
      </w:r>
    </w:p>
    <w:p w14:paraId="2C9EEDE3" w14:textId="77777777" w:rsidR="00CB73D0" w:rsidRPr="004F58E0" w:rsidRDefault="000E2F52" w:rsidP="00CB73D0">
      <w:pPr>
        <w:pStyle w:val="ItemHead"/>
      </w:pPr>
      <w:r w:rsidRPr="004F58E0">
        <w:t>18</w:t>
      </w:r>
      <w:r w:rsidR="00CB73D0" w:rsidRPr="004F58E0">
        <w:t xml:space="preserve">  After </w:t>
      </w:r>
      <w:r w:rsidR="00971646" w:rsidRPr="004F58E0">
        <w:t>sub</w:t>
      </w:r>
      <w:r w:rsidR="00DC0BE4" w:rsidRPr="004F58E0">
        <w:t>section 2</w:t>
      </w:r>
      <w:r w:rsidR="00CB73D0" w:rsidRPr="004F58E0">
        <w:t>6(1)</w:t>
      </w:r>
    </w:p>
    <w:p w14:paraId="6818F97A" w14:textId="77777777" w:rsidR="00CB73D0" w:rsidRPr="004F58E0" w:rsidRDefault="00CB73D0" w:rsidP="00CB73D0">
      <w:pPr>
        <w:pStyle w:val="Item"/>
      </w:pPr>
      <w:r w:rsidRPr="004F58E0">
        <w:t>Insert:</w:t>
      </w:r>
    </w:p>
    <w:p w14:paraId="21279942" w14:textId="77777777" w:rsidR="004276B2" w:rsidRPr="004F58E0" w:rsidRDefault="00CB73D0" w:rsidP="00CB73D0">
      <w:pPr>
        <w:pStyle w:val="subsection"/>
      </w:pPr>
      <w:r w:rsidRPr="004F58E0">
        <w:tab/>
        <w:t>(1A)</w:t>
      </w:r>
      <w:r w:rsidRPr="004F58E0">
        <w:tab/>
      </w:r>
      <w:r w:rsidR="004276B2" w:rsidRPr="004F58E0">
        <w:t>Where:</w:t>
      </w:r>
    </w:p>
    <w:p w14:paraId="072F4DF3" w14:textId="77777777" w:rsidR="004276B2" w:rsidRPr="004F58E0" w:rsidRDefault="004276B2" w:rsidP="004276B2">
      <w:pPr>
        <w:pStyle w:val="paragraph"/>
      </w:pPr>
      <w:r w:rsidRPr="004F58E0">
        <w:tab/>
        <w:t>(a)</w:t>
      </w:r>
      <w:r w:rsidRPr="004F58E0">
        <w:tab/>
      </w:r>
      <w:r w:rsidR="00F80816" w:rsidRPr="004F58E0">
        <w:t xml:space="preserve">during the reporting period, </w:t>
      </w:r>
      <w:r w:rsidRPr="004F58E0">
        <w:t>a Commonwealth entity has ceased to exist, or some of a Commonwealth entity</w:t>
      </w:r>
      <w:r w:rsidR="00662D92" w:rsidRPr="004F58E0">
        <w:t>’</w:t>
      </w:r>
      <w:r w:rsidRPr="004F58E0">
        <w:t>s functions have been transferred; and</w:t>
      </w:r>
    </w:p>
    <w:p w14:paraId="3CCE1601" w14:textId="77777777" w:rsidR="004276B2" w:rsidRPr="004F58E0" w:rsidRDefault="004276B2" w:rsidP="004276B2">
      <w:pPr>
        <w:pStyle w:val="paragraph"/>
      </w:pPr>
      <w:r w:rsidRPr="004F58E0">
        <w:tab/>
        <w:t>(b)</w:t>
      </w:r>
      <w:r w:rsidRPr="004F58E0">
        <w:tab/>
      </w:r>
      <w:r w:rsidR="00971646" w:rsidRPr="004F58E0">
        <w:t>Division 4</w:t>
      </w:r>
      <w:r w:rsidR="00CB73D0" w:rsidRPr="004F58E0">
        <w:t xml:space="preserve"> of </w:t>
      </w:r>
      <w:r w:rsidR="00971646" w:rsidRPr="004F58E0">
        <w:t>Part 2</w:t>
      </w:r>
      <w:r w:rsidR="004F58E0">
        <w:noBreakHyphen/>
      </w:r>
      <w:r w:rsidR="00CB73D0" w:rsidRPr="004F58E0">
        <w:t xml:space="preserve">3 of the </w:t>
      </w:r>
      <w:r w:rsidR="00CB73D0" w:rsidRPr="004F58E0">
        <w:rPr>
          <w:i/>
        </w:rPr>
        <w:t xml:space="preserve">Public Governance, Performance and Accountability </w:t>
      </w:r>
      <w:r w:rsidR="00971646" w:rsidRPr="004F58E0">
        <w:rPr>
          <w:i/>
        </w:rPr>
        <w:t>Rule 2</w:t>
      </w:r>
      <w:r w:rsidR="00CB73D0" w:rsidRPr="004F58E0">
        <w:rPr>
          <w:i/>
        </w:rPr>
        <w:t>014</w:t>
      </w:r>
      <w:r w:rsidR="00CB73D0" w:rsidRPr="004F58E0">
        <w:t xml:space="preserve"> ap</w:t>
      </w:r>
      <w:r w:rsidRPr="004F58E0">
        <w:t>plies</w:t>
      </w:r>
      <w:r w:rsidR="00AD4309" w:rsidRPr="004F58E0">
        <w:t xml:space="preserve"> to the entity</w:t>
      </w:r>
      <w:r w:rsidRPr="004F58E0">
        <w:t>;</w:t>
      </w:r>
    </w:p>
    <w:p w14:paraId="492EFD14" w14:textId="77777777" w:rsidR="00CB73D0" w:rsidRPr="004F58E0" w:rsidRDefault="00AD4309" w:rsidP="004276B2">
      <w:pPr>
        <w:pStyle w:val="subsection2"/>
      </w:pPr>
      <w:r w:rsidRPr="004F58E0">
        <w:t>the relevant reporting entity</w:t>
      </w:r>
      <w:r w:rsidR="00CB73D0" w:rsidRPr="004F58E0">
        <w:t xml:space="preserve"> must prepare financial statements in accordance with that Division.</w:t>
      </w:r>
    </w:p>
    <w:p w14:paraId="2AAFC481" w14:textId="77777777" w:rsidR="00CB73D0" w:rsidRPr="004F58E0" w:rsidRDefault="00CB73D0" w:rsidP="00CB73D0">
      <w:pPr>
        <w:pStyle w:val="notetext"/>
      </w:pPr>
      <w:r w:rsidRPr="004F58E0">
        <w:t>Note:</w:t>
      </w:r>
      <w:r w:rsidRPr="004F58E0">
        <w:tab/>
      </w:r>
      <w:r w:rsidR="00971646" w:rsidRPr="004F58E0">
        <w:t>Division 4</w:t>
      </w:r>
      <w:r w:rsidRPr="004F58E0">
        <w:t xml:space="preserve"> of </w:t>
      </w:r>
      <w:r w:rsidR="00971646" w:rsidRPr="004F58E0">
        <w:t>Part 2</w:t>
      </w:r>
      <w:r w:rsidR="004F58E0">
        <w:noBreakHyphen/>
      </w:r>
      <w:r w:rsidRPr="004F58E0">
        <w:t xml:space="preserve">3 of the </w:t>
      </w:r>
      <w:r w:rsidRPr="004F58E0">
        <w:rPr>
          <w:i/>
        </w:rPr>
        <w:t xml:space="preserve">Public Governance, Performance and Accountability </w:t>
      </w:r>
      <w:r w:rsidR="00971646" w:rsidRPr="004F58E0">
        <w:rPr>
          <w:i/>
        </w:rPr>
        <w:t>Rule 2</w:t>
      </w:r>
      <w:r w:rsidRPr="004F58E0">
        <w:rPr>
          <w:i/>
        </w:rPr>
        <w:t>014</w:t>
      </w:r>
      <w:r w:rsidRPr="004F58E0">
        <w:t xml:space="preserve"> sets out special reporting requirements that apply when:</w:t>
      </w:r>
    </w:p>
    <w:p w14:paraId="34125358" w14:textId="77777777" w:rsidR="00CB73D0" w:rsidRPr="004F58E0" w:rsidRDefault="00CB73D0" w:rsidP="00CB73D0">
      <w:pPr>
        <w:pStyle w:val="notepara"/>
      </w:pPr>
      <w:r w:rsidRPr="004F58E0">
        <w:t>(a)</w:t>
      </w:r>
      <w:r w:rsidRPr="004F58E0">
        <w:tab/>
        <w:t>a Commonwealth entity has ceased to exist (see Subdivision</w:t>
      </w:r>
      <w:r w:rsidR="004276B2" w:rsidRPr="004F58E0">
        <w:t>s</w:t>
      </w:r>
      <w:r w:rsidRPr="004F58E0">
        <w:t xml:space="preserve"> A </w:t>
      </w:r>
      <w:r w:rsidR="004276B2" w:rsidRPr="004F58E0">
        <w:t xml:space="preserve">and C </w:t>
      </w:r>
      <w:r w:rsidRPr="004F58E0">
        <w:t>of that Division); or</w:t>
      </w:r>
    </w:p>
    <w:p w14:paraId="3E141F93" w14:textId="77777777" w:rsidR="00CB73D0" w:rsidRPr="004F58E0" w:rsidRDefault="00CB73D0" w:rsidP="00CB73D0">
      <w:pPr>
        <w:pStyle w:val="notepara"/>
      </w:pPr>
      <w:r w:rsidRPr="004F58E0">
        <w:t>(b)</w:t>
      </w:r>
      <w:r w:rsidRPr="004F58E0">
        <w:tab/>
        <w:t>a Commonwealth entity has not ceased to exist but some of the Commonwealth entity</w:t>
      </w:r>
      <w:r w:rsidR="00662D92" w:rsidRPr="004F58E0">
        <w:t>’</w:t>
      </w:r>
      <w:r w:rsidRPr="004F58E0">
        <w:t>s functions have been transferred (see S</w:t>
      </w:r>
      <w:r w:rsidR="004276B2" w:rsidRPr="004F58E0">
        <w:t>ubdivisions B and C of that Division)</w:t>
      </w:r>
      <w:r w:rsidRPr="004F58E0">
        <w:t>.</w:t>
      </w:r>
    </w:p>
    <w:p w14:paraId="250C249E" w14:textId="77777777" w:rsidR="004276B2" w:rsidRPr="004F58E0" w:rsidRDefault="000E2F52" w:rsidP="004276B2">
      <w:pPr>
        <w:pStyle w:val="ItemHead"/>
      </w:pPr>
      <w:r w:rsidRPr="004F58E0">
        <w:t>19</w:t>
      </w:r>
      <w:r w:rsidR="004276B2" w:rsidRPr="004F58E0">
        <w:t xml:space="preserve">  </w:t>
      </w:r>
      <w:r w:rsidR="00A92F13" w:rsidRPr="004F58E0">
        <w:t xml:space="preserve">At the end of </w:t>
      </w:r>
      <w:r w:rsidR="00971646" w:rsidRPr="004F58E0">
        <w:t>subparagraph 2</w:t>
      </w:r>
      <w:r w:rsidR="00A92F13" w:rsidRPr="004F58E0">
        <w:t>7(5)(b)(ii)</w:t>
      </w:r>
    </w:p>
    <w:p w14:paraId="5DE58F8C" w14:textId="77777777" w:rsidR="00A92F13" w:rsidRPr="004F58E0" w:rsidRDefault="00A92F13" w:rsidP="00A92F13">
      <w:pPr>
        <w:pStyle w:val="Item"/>
      </w:pPr>
      <w:r w:rsidRPr="004F58E0">
        <w:t xml:space="preserve">Add </w:t>
      </w:r>
      <w:r w:rsidR="00662D92" w:rsidRPr="004F58E0">
        <w:t>“</w:t>
      </w:r>
      <w:r w:rsidRPr="004F58E0">
        <w:t xml:space="preserve">(subject to </w:t>
      </w:r>
      <w:r w:rsidR="003856D3" w:rsidRPr="004F58E0">
        <w:t>sub</w:t>
      </w:r>
      <w:r w:rsidR="00DC0BE4" w:rsidRPr="004F58E0">
        <w:t>section 2</w:t>
      </w:r>
      <w:r w:rsidRPr="004F58E0">
        <w:t>5</w:t>
      </w:r>
      <w:r w:rsidR="003856D3" w:rsidRPr="004F58E0">
        <w:t>(4A)</w:t>
      </w:r>
      <w:r w:rsidRPr="004F58E0">
        <w:t>)</w:t>
      </w:r>
      <w:r w:rsidR="00662D92" w:rsidRPr="004F58E0">
        <w:t>”</w:t>
      </w:r>
      <w:r w:rsidRPr="004F58E0">
        <w:t>.</w:t>
      </w:r>
    </w:p>
    <w:p w14:paraId="4AC0D902" w14:textId="77777777" w:rsidR="00C43AF8" w:rsidRPr="004F58E0" w:rsidRDefault="000E2F52" w:rsidP="00C43AF8">
      <w:pPr>
        <w:pStyle w:val="ItemHead"/>
      </w:pPr>
      <w:r w:rsidRPr="004F58E0">
        <w:t>20</w:t>
      </w:r>
      <w:r w:rsidR="00C43AF8" w:rsidRPr="004F58E0">
        <w:t xml:space="preserve">  </w:t>
      </w:r>
      <w:r w:rsidR="00971646" w:rsidRPr="004F58E0">
        <w:t>Section 3</w:t>
      </w:r>
      <w:r w:rsidR="00C43AF8" w:rsidRPr="004F58E0">
        <w:t>4B</w:t>
      </w:r>
    </w:p>
    <w:p w14:paraId="6351F1D3" w14:textId="77777777" w:rsidR="00C43AF8" w:rsidRPr="004F58E0" w:rsidRDefault="00C43AF8" w:rsidP="00C43AF8">
      <w:pPr>
        <w:pStyle w:val="Item"/>
      </w:pPr>
      <w:r w:rsidRPr="004F58E0">
        <w:t>Repeal the section, substitute:</w:t>
      </w:r>
    </w:p>
    <w:p w14:paraId="59B70C29" w14:textId="77777777" w:rsidR="00C43AF8" w:rsidRPr="004F58E0" w:rsidRDefault="00C43AF8" w:rsidP="00C43AF8">
      <w:pPr>
        <w:pStyle w:val="ActHead5"/>
      </w:pPr>
      <w:bookmarkStart w:id="16" w:name="_Toc63360198"/>
      <w:r w:rsidRPr="004E4678">
        <w:rPr>
          <w:rStyle w:val="CharSectno"/>
        </w:rPr>
        <w:t>34B</w:t>
      </w:r>
      <w:r w:rsidRPr="004F58E0">
        <w:t xml:space="preserve">  </w:t>
      </w:r>
      <w:r w:rsidR="00CC2877" w:rsidRPr="004F58E0">
        <w:t>Disclosure of current and non</w:t>
      </w:r>
      <w:r w:rsidR="004F58E0">
        <w:noBreakHyphen/>
      </w:r>
      <w:r w:rsidR="00CC2877" w:rsidRPr="004F58E0">
        <w:t>current assets and liabilities</w:t>
      </w:r>
      <w:bookmarkEnd w:id="16"/>
    </w:p>
    <w:p w14:paraId="5E5A58EF" w14:textId="77777777" w:rsidR="00C43AF8" w:rsidRPr="004F58E0" w:rsidRDefault="00C43AF8" w:rsidP="00B62939">
      <w:pPr>
        <w:pStyle w:val="SOHeadBold"/>
      </w:pPr>
      <w:r w:rsidRPr="004F58E0">
        <w:t>Guide to this section</w:t>
      </w:r>
    </w:p>
    <w:p w14:paraId="4B12B312" w14:textId="77777777" w:rsidR="00C43AF8" w:rsidRPr="004F58E0" w:rsidRDefault="00C43AF8" w:rsidP="00C43AF8">
      <w:pPr>
        <w:pStyle w:val="SOText"/>
      </w:pPr>
      <w:r w:rsidRPr="004F58E0">
        <w:t>The purpose of this section is to require reporting entities to include in their financial statements a note disclosing total assets, total liabilities, and each asset and liability line item</w:t>
      </w:r>
      <w:r w:rsidR="00B45BFD" w:rsidRPr="004F58E0">
        <w:t xml:space="preserve"> in their </w:t>
      </w:r>
      <w:r w:rsidR="006178E9" w:rsidRPr="004F58E0">
        <w:t>s</w:t>
      </w:r>
      <w:r w:rsidR="00B45BFD" w:rsidRPr="004F58E0">
        <w:t>tatement</w:t>
      </w:r>
      <w:r w:rsidR="009928F3" w:rsidRPr="004F58E0">
        <w:t>s</w:t>
      </w:r>
      <w:r w:rsidR="00B45BFD" w:rsidRPr="004F58E0">
        <w:t xml:space="preserve"> of </w:t>
      </w:r>
      <w:r w:rsidR="006178E9" w:rsidRPr="004F58E0">
        <w:t>f</w:t>
      </w:r>
      <w:r w:rsidR="00B45BFD" w:rsidRPr="004F58E0">
        <w:t xml:space="preserve">inancial </w:t>
      </w:r>
      <w:r w:rsidR="006178E9" w:rsidRPr="004F58E0">
        <w:t>p</w:t>
      </w:r>
      <w:r w:rsidR="00B45BFD" w:rsidRPr="004F58E0">
        <w:t xml:space="preserve">osition and </w:t>
      </w:r>
      <w:r w:rsidR="006178E9" w:rsidRPr="004F58E0">
        <w:t>a</w:t>
      </w:r>
      <w:r w:rsidR="00B45BFD" w:rsidRPr="004F58E0">
        <w:t xml:space="preserve">dministered </w:t>
      </w:r>
      <w:r w:rsidR="006178E9" w:rsidRPr="004F58E0">
        <w:t>s</w:t>
      </w:r>
      <w:r w:rsidR="00B45BFD" w:rsidRPr="004F58E0">
        <w:t>chedule</w:t>
      </w:r>
      <w:r w:rsidR="009928F3" w:rsidRPr="004F58E0">
        <w:t>s</w:t>
      </w:r>
      <w:r w:rsidR="006178E9" w:rsidRPr="004F58E0">
        <w:t xml:space="preserve"> of a</w:t>
      </w:r>
      <w:r w:rsidR="00B45BFD" w:rsidRPr="004F58E0">
        <w:t xml:space="preserve">ssets and </w:t>
      </w:r>
      <w:r w:rsidR="006178E9" w:rsidRPr="004F58E0">
        <w:t>l</w:t>
      </w:r>
      <w:r w:rsidR="00B45BFD" w:rsidRPr="004F58E0">
        <w:t>iabilities</w:t>
      </w:r>
      <w:r w:rsidRPr="004F58E0">
        <w:t>, broken down into:</w:t>
      </w:r>
    </w:p>
    <w:p w14:paraId="276CA91C" w14:textId="77777777" w:rsidR="00C43AF8" w:rsidRPr="004F58E0" w:rsidRDefault="00C43AF8" w:rsidP="00C43AF8">
      <w:pPr>
        <w:pStyle w:val="SOPara"/>
      </w:pPr>
      <w:r w:rsidRPr="004F58E0">
        <w:tab/>
        <w:t>(a)</w:t>
      </w:r>
      <w:r w:rsidRPr="004F58E0">
        <w:tab/>
        <w:t>amounts expected to be recovered or settled within 12 months; and</w:t>
      </w:r>
    </w:p>
    <w:p w14:paraId="0EA05C69" w14:textId="77777777" w:rsidR="00C43AF8" w:rsidRPr="004F58E0" w:rsidRDefault="00C43AF8" w:rsidP="00C43AF8">
      <w:pPr>
        <w:pStyle w:val="SOPara"/>
      </w:pPr>
      <w:r w:rsidRPr="004F58E0">
        <w:tab/>
        <w:t>(b)</w:t>
      </w:r>
      <w:r w:rsidRPr="004F58E0">
        <w:tab/>
        <w:t>other amounts.</w:t>
      </w:r>
    </w:p>
    <w:p w14:paraId="3905D554" w14:textId="77777777" w:rsidR="00C43AF8" w:rsidRPr="004F58E0" w:rsidRDefault="00C43AF8" w:rsidP="00C43AF8">
      <w:pPr>
        <w:pStyle w:val="subsection"/>
      </w:pPr>
      <w:r w:rsidRPr="004F58E0">
        <w:tab/>
      </w:r>
      <w:r w:rsidRPr="004F58E0">
        <w:tab/>
        <w:t>A reporting entity must disclose the following in a note in the financial statements for a reporting period:</w:t>
      </w:r>
    </w:p>
    <w:p w14:paraId="2FD5BF4C" w14:textId="77777777" w:rsidR="00C43AF8" w:rsidRPr="004F58E0" w:rsidRDefault="00C43AF8" w:rsidP="00C43AF8">
      <w:pPr>
        <w:pStyle w:val="paragraph"/>
      </w:pPr>
      <w:r w:rsidRPr="004F58E0">
        <w:tab/>
        <w:t>(a)</w:t>
      </w:r>
      <w:r w:rsidRPr="004F58E0">
        <w:tab/>
        <w:t>the total of:</w:t>
      </w:r>
    </w:p>
    <w:p w14:paraId="3618A0E6" w14:textId="77777777" w:rsidR="00C43AF8" w:rsidRPr="004F58E0" w:rsidRDefault="00C43AF8" w:rsidP="00C43AF8">
      <w:pPr>
        <w:pStyle w:val="paragraphsub"/>
      </w:pPr>
      <w:r w:rsidRPr="004F58E0">
        <w:tab/>
        <w:t>(i)</w:t>
      </w:r>
      <w:r w:rsidRPr="004F58E0">
        <w:tab/>
        <w:t>any amounts expected to be recovered from assets within 12 months after the end of the reporting period; and</w:t>
      </w:r>
    </w:p>
    <w:p w14:paraId="69E16CAC" w14:textId="77777777" w:rsidR="00C43AF8" w:rsidRPr="004F58E0" w:rsidRDefault="00C43AF8" w:rsidP="0055557E">
      <w:pPr>
        <w:pStyle w:val="paragraphsub"/>
      </w:pPr>
      <w:r w:rsidRPr="004F58E0">
        <w:tab/>
        <w:t>(ii)</w:t>
      </w:r>
      <w:r w:rsidRPr="004F58E0">
        <w:tab/>
        <w:t>cash</w:t>
      </w:r>
      <w:r w:rsidR="0055557E" w:rsidRPr="004F58E0">
        <w:t xml:space="preserve"> and cash equivalents</w:t>
      </w:r>
      <w:r w:rsidRPr="004F58E0">
        <w:t>;</w:t>
      </w:r>
    </w:p>
    <w:p w14:paraId="0812E984" w14:textId="77777777" w:rsidR="00F355F3" w:rsidRPr="004F58E0" w:rsidRDefault="00F355F3" w:rsidP="00C43AF8">
      <w:pPr>
        <w:pStyle w:val="paragraph"/>
      </w:pPr>
      <w:r w:rsidRPr="004F58E0">
        <w:tab/>
        <w:t>(b)</w:t>
      </w:r>
      <w:r w:rsidRPr="004F58E0">
        <w:tab/>
        <w:t>the total of any amounts recoverable from non</w:t>
      </w:r>
      <w:r w:rsidR="004F58E0">
        <w:noBreakHyphen/>
      </w:r>
      <w:r w:rsidRPr="004F58E0">
        <w:t>current assets;</w:t>
      </w:r>
    </w:p>
    <w:p w14:paraId="58951710" w14:textId="77777777" w:rsidR="00C43AF8" w:rsidRPr="004F58E0" w:rsidRDefault="00F355F3" w:rsidP="00C43AF8">
      <w:pPr>
        <w:pStyle w:val="paragraph"/>
      </w:pPr>
      <w:r w:rsidRPr="004F58E0">
        <w:tab/>
        <w:t>(c</w:t>
      </w:r>
      <w:r w:rsidR="00C43AF8" w:rsidRPr="004F58E0">
        <w:t>)</w:t>
      </w:r>
      <w:r w:rsidR="00C43AF8" w:rsidRPr="004F58E0">
        <w:tab/>
        <w:t>the total of any amounts expected to be settled for liabilities within 12 months after the end of the reporting period;</w:t>
      </w:r>
    </w:p>
    <w:p w14:paraId="6AA29DCC" w14:textId="77777777" w:rsidR="00C43AF8" w:rsidRPr="004F58E0" w:rsidRDefault="00F355F3" w:rsidP="00C43AF8">
      <w:pPr>
        <w:pStyle w:val="paragraph"/>
      </w:pPr>
      <w:r w:rsidRPr="004F58E0">
        <w:lastRenderedPageBreak/>
        <w:tab/>
        <w:t>(d</w:t>
      </w:r>
      <w:r w:rsidR="00C43AF8" w:rsidRPr="004F58E0">
        <w:t>)</w:t>
      </w:r>
      <w:r w:rsidR="00C43AF8" w:rsidRPr="004F58E0">
        <w:tab/>
        <w:t xml:space="preserve">the total of any amounts that are expected to be settled for liabilities more than 12 months after </w:t>
      </w:r>
      <w:r w:rsidR="00C66AAD" w:rsidRPr="004F58E0">
        <w:t>the end of the reporting period;</w:t>
      </w:r>
    </w:p>
    <w:p w14:paraId="7B8C84E8" w14:textId="77777777" w:rsidR="00C66AAD" w:rsidRPr="004F58E0" w:rsidRDefault="00F355F3" w:rsidP="00B45BFD">
      <w:pPr>
        <w:pStyle w:val="paragraph"/>
      </w:pPr>
      <w:r w:rsidRPr="004F58E0">
        <w:tab/>
        <w:t>(e</w:t>
      </w:r>
      <w:r w:rsidR="00C66AAD" w:rsidRPr="004F58E0">
        <w:t>)</w:t>
      </w:r>
      <w:r w:rsidR="00C66AAD" w:rsidRPr="004F58E0">
        <w:tab/>
        <w:t>for each asset and liability line item</w:t>
      </w:r>
      <w:r w:rsidR="00B45BFD" w:rsidRPr="004F58E0">
        <w:t xml:space="preserve"> in the entity’s Statement of Financial Position and Administered Schedule of Assets and Liabilities</w:t>
      </w:r>
      <w:r w:rsidR="001E3CC0" w:rsidRPr="004F58E0">
        <w:t>, the amounts expected to be recovered or settled:</w:t>
      </w:r>
    </w:p>
    <w:p w14:paraId="58D3A467" w14:textId="77777777" w:rsidR="00C66AAD" w:rsidRPr="004F58E0" w:rsidRDefault="00C66AAD" w:rsidP="00C66AAD">
      <w:pPr>
        <w:pStyle w:val="paragraphsub"/>
      </w:pPr>
      <w:r w:rsidRPr="004F58E0">
        <w:tab/>
        <w:t>(i)</w:t>
      </w:r>
      <w:r w:rsidRPr="004F58E0">
        <w:tab/>
        <w:t>within 12 months after the end of the reporting period; and</w:t>
      </w:r>
    </w:p>
    <w:p w14:paraId="4A56E174" w14:textId="77777777" w:rsidR="00C66AAD" w:rsidRPr="004F58E0" w:rsidRDefault="00C66AAD" w:rsidP="00C66AAD">
      <w:pPr>
        <w:pStyle w:val="paragraphsub"/>
      </w:pPr>
      <w:r w:rsidRPr="004F58E0">
        <w:tab/>
        <w:t>(ii)</w:t>
      </w:r>
      <w:r w:rsidRPr="004F58E0">
        <w:tab/>
        <w:t xml:space="preserve">more than 12 months after </w:t>
      </w:r>
      <w:r w:rsidR="00343B60" w:rsidRPr="004F58E0">
        <w:t>the end of the reporting period.</w:t>
      </w:r>
    </w:p>
    <w:p w14:paraId="0213F769" w14:textId="77777777" w:rsidR="00240674" w:rsidRPr="004F58E0" w:rsidRDefault="009A5366" w:rsidP="009A5366">
      <w:pPr>
        <w:pStyle w:val="ActHead5"/>
        <w:rPr>
          <w:i/>
        </w:rPr>
      </w:pPr>
      <w:bookmarkStart w:id="17" w:name="_Toc63360199"/>
      <w:r w:rsidRPr="004E4678">
        <w:rPr>
          <w:rStyle w:val="CharSectno"/>
        </w:rPr>
        <w:t>34C</w:t>
      </w:r>
      <w:r w:rsidRPr="004F58E0">
        <w:t xml:space="preserve">  Lease maturity analysis under AASB 16 </w:t>
      </w:r>
      <w:r w:rsidRPr="004F58E0">
        <w:rPr>
          <w:i/>
        </w:rPr>
        <w:t>Leases</w:t>
      </w:r>
      <w:bookmarkEnd w:id="17"/>
    </w:p>
    <w:p w14:paraId="53072992" w14:textId="77777777" w:rsidR="009A5366" w:rsidRPr="004F58E0" w:rsidRDefault="009A5366" w:rsidP="00B62939">
      <w:pPr>
        <w:pStyle w:val="SOHeadBold"/>
      </w:pPr>
      <w:r w:rsidRPr="004F58E0">
        <w:t>Guide to this section</w:t>
      </w:r>
    </w:p>
    <w:p w14:paraId="54D2A93F" w14:textId="77777777" w:rsidR="009A5366" w:rsidRPr="004F58E0" w:rsidRDefault="009A5366" w:rsidP="009A5366">
      <w:pPr>
        <w:pStyle w:val="SOText"/>
      </w:pPr>
      <w:r w:rsidRPr="004F58E0">
        <w:t>The purpose of this section is to require reporting entities to:</w:t>
      </w:r>
    </w:p>
    <w:p w14:paraId="30B3B340" w14:textId="77777777" w:rsidR="009A5366" w:rsidRPr="004F58E0" w:rsidRDefault="009A5366" w:rsidP="009A5366">
      <w:pPr>
        <w:pStyle w:val="SOPara"/>
      </w:pPr>
      <w:r w:rsidRPr="004F58E0">
        <w:tab/>
        <w:t>(a)</w:t>
      </w:r>
      <w:r w:rsidRPr="004F58E0">
        <w:tab/>
        <w:t>disclose lease maturity analysis on an undiscounted basis; and</w:t>
      </w:r>
    </w:p>
    <w:p w14:paraId="78F05E29" w14:textId="77777777" w:rsidR="009A5366" w:rsidRPr="004F58E0" w:rsidRDefault="009A5366" w:rsidP="009A5366">
      <w:pPr>
        <w:pStyle w:val="SOPara"/>
      </w:pPr>
      <w:r w:rsidRPr="004F58E0">
        <w:tab/>
        <w:t>(b)</w:t>
      </w:r>
      <w:r w:rsidRPr="004F58E0">
        <w:tab/>
        <w:t>separate lease liabilities from other financial liabilities.</w:t>
      </w:r>
    </w:p>
    <w:p w14:paraId="385948C6" w14:textId="77777777" w:rsidR="006A07AA" w:rsidRPr="004F58E0" w:rsidRDefault="006A07AA" w:rsidP="006A07AA">
      <w:pPr>
        <w:pStyle w:val="SubsectionHead"/>
      </w:pPr>
      <w:r w:rsidRPr="004F58E0">
        <w:t>Reporting entity is a lessee</w:t>
      </w:r>
    </w:p>
    <w:p w14:paraId="5449B3C3" w14:textId="77777777" w:rsidR="009A5366" w:rsidRPr="004F58E0" w:rsidRDefault="009A5366" w:rsidP="009A5366">
      <w:pPr>
        <w:pStyle w:val="subsection"/>
      </w:pPr>
      <w:r w:rsidRPr="004F58E0">
        <w:tab/>
        <w:t>(1)</w:t>
      </w:r>
      <w:r w:rsidRPr="004F58E0">
        <w:tab/>
        <w:t xml:space="preserve">Where a reporting entity is a lessee </w:t>
      </w:r>
      <w:r w:rsidR="00A50C24" w:rsidRPr="004F58E0">
        <w:t>that recognises a right</w:t>
      </w:r>
      <w:r w:rsidR="004F58E0">
        <w:noBreakHyphen/>
      </w:r>
      <w:r w:rsidR="00A50C24" w:rsidRPr="004F58E0">
        <w:t>of</w:t>
      </w:r>
      <w:r w:rsidR="004F58E0">
        <w:noBreakHyphen/>
      </w:r>
      <w:r w:rsidR="00A50C24" w:rsidRPr="004F58E0">
        <w:t>use asset</w:t>
      </w:r>
      <w:r w:rsidRPr="004F58E0">
        <w:t xml:space="preserve"> </w:t>
      </w:r>
      <w:r w:rsidR="00A50C24" w:rsidRPr="004F58E0">
        <w:t xml:space="preserve">and a lease liability under </w:t>
      </w:r>
      <w:r w:rsidRPr="004F58E0">
        <w:t xml:space="preserve">AASB 16 </w:t>
      </w:r>
      <w:r w:rsidRPr="004F58E0">
        <w:rPr>
          <w:i/>
        </w:rPr>
        <w:t>Leases</w:t>
      </w:r>
      <w:r w:rsidRPr="004F58E0">
        <w:t>, the financial statements of the entity must include a note providing a maturity analysis of undiscounted lease payments to be paid by the lessee in the following maturity time bands:</w:t>
      </w:r>
    </w:p>
    <w:p w14:paraId="2A8225E5" w14:textId="77777777" w:rsidR="009A5366" w:rsidRPr="004F58E0" w:rsidRDefault="009A5366" w:rsidP="009A5366">
      <w:pPr>
        <w:pStyle w:val="paragraph"/>
      </w:pPr>
      <w:r w:rsidRPr="004F58E0">
        <w:tab/>
        <w:t>(a)</w:t>
      </w:r>
      <w:r w:rsidRPr="004F58E0">
        <w:tab/>
        <w:t xml:space="preserve">within </w:t>
      </w:r>
      <w:r w:rsidR="00A1423C" w:rsidRPr="004F58E0">
        <w:t>1</w:t>
      </w:r>
      <w:r w:rsidRPr="004F58E0">
        <w:t xml:space="preserve"> year</w:t>
      </w:r>
      <w:r w:rsidR="00A50C24" w:rsidRPr="004F58E0">
        <w:t xml:space="preserve"> after the end of the reporting period</w:t>
      </w:r>
      <w:r w:rsidRPr="004F58E0">
        <w:t>;</w:t>
      </w:r>
    </w:p>
    <w:p w14:paraId="5DF484CD" w14:textId="77777777" w:rsidR="009A5366" w:rsidRPr="004F58E0" w:rsidRDefault="009A5366" w:rsidP="009A5366">
      <w:pPr>
        <w:pStyle w:val="paragraph"/>
      </w:pPr>
      <w:r w:rsidRPr="004F58E0">
        <w:tab/>
        <w:t>(b)</w:t>
      </w:r>
      <w:r w:rsidRPr="004F58E0">
        <w:tab/>
        <w:t>between 1 and 5 years</w:t>
      </w:r>
      <w:r w:rsidR="000A679A" w:rsidRPr="004F58E0">
        <w:t xml:space="preserve"> </w:t>
      </w:r>
      <w:r w:rsidR="00A50C24" w:rsidRPr="004F58E0">
        <w:t>after the end of the reporting period</w:t>
      </w:r>
      <w:r w:rsidRPr="004F58E0">
        <w:t>;</w:t>
      </w:r>
    </w:p>
    <w:p w14:paraId="089798AC" w14:textId="77777777" w:rsidR="009A5366" w:rsidRPr="004F58E0" w:rsidRDefault="009A5366" w:rsidP="009A5366">
      <w:pPr>
        <w:pStyle w:val="paragraph"/>
      </w:pPr>
      <w:r w:rsidRPr="004F58E0">
        <w:tab/>
        <w:t>(c)</w:t>
      </w:r>
      <w:r w:rsidRPr="004F58E0">
        <w:tab/>
        <w:t>more than 5 years</w:t>
      </w:r>
      <w:r w:rsidR="000A679A" w:rsidRPr="004F58E0">
        <w:t xml:space="preserve"> </w:t>
      </w:r>
      <w:r w:rsidR="00A50C24" w:rsidRPr="004F58E0">
        <w:t>after the end of the reporting period</w:t>
      </w:r>
      <w:r w:rsidRPr="004F58E0">
        <w:t>.</w:t>
      </w:r>
    </w:p>
    <w:p w14:paraId="3AC8BD0D" w14:textId="77777777" w:rsidR="006A07AA" w:rsidRPr="004F58E0" w:rsidRDefault="006A07AA" w:rsidP="006A07AA">
      <w:pPr>
        <w:pStyle w:val="subsection"/>
      </w:pPr>
      <w:r w:rsidRPr="004F58E0">
        <w:tab/>
        <w:t>(2)</w:t>
      </w:r>
      <w:r w:rsidRPr="004F58E0">
        <w:tab/>
        <w:t xml:space="preserve">The maturity analysis of the lease liabilities mentioned in </w:t>
      </w:r>
      <w:r w:rsidR="00C93288" w:rsidRPr="004F58E0">
        <w:t>subsection (</w:t>
      </w:r>
      <w:r w:rsidRPr="004F58E0">
        <w:t>1) must be disclosed separately from the maturity analyses of other financial liabilities (if any).</w:t>
      </w:r>
    </w:p>
    <w:p w14:paraId="420968E6" w14:textId="77777777" w:rsidR="006A07AA" w:rsidRPr="004F58E0" w:rsidRDefault="006A07AA" w:rsidP="006A07AA">
      <w:pPr>
        <w:pStyle w:val="SubsectionHead"/>
      </w:pPr>
      <w:r w:rsidRPr="004F58E0">
        <w:t>Reporting entity is a lessor</w:t>
      </w:r>
    </w:p>
    <w:p w14:paraId="7E0A1CD6" w14:textId="77777777" w:rsidR="00F27E4B" w:rsidRPr="004F58E0" w:rsidRDefault="006A07AA" w:rsidP="009A5366">
      <w:pPr>
        <w:pStyle w:val="subsection"/>
      </w:pPr>
      <w:r w:rsidRPr="004F58E0">
        <w:tab/>
        <w:t>(3</w:t>
      </w:r>
      <w:r w:rsidR="009A5366" w:rsidRPr="004F58E0">
        <w:t>)</w:t>
      </w:r>
      <w:r w:rsidR="009A5366" w:rsidRPr="004F58E0">
        <w:tab/>
        <w:t xml:space="preserve">Where a reporting entity is a lessor of a lease identified under AASB 16 </w:t>
      </w:r>
      <w:r w:rsidR="009A5366" w:rsidRPr="004F58E0">
        <w:rPr>
          <w:i/>
        </w:rPr>
        <w:t>Leases</w:t>
      </w:r>
      <w:r w:rsidR="009A5366" w:rsidRPr="004F58E0">
        <w:t>, the financial statem</w:t>
      </w:r>
      <w:r w:rsidR="00B759B1" w:rsidRPr="004F58E0">
        <w:t xml:space="preserve">ents of the entity must include </w:t>
      </w:r>
      <w:r w:rsidR="009A5366" w:rsidRPr="004F58E0">
        <w:t>a note p</w:t>
      </w:r>
      <w:r w:rsidR="00F27E4B" w:rsidRPr="004F58E0">
        <w:t>roviding:</w:t>
      </w:r>
    </w:p>
    <w:p w14:paraId="6501436A" w14:textId="77777777" w:rsidR="00390CC8" w:rsidRPr="004F58E0" w:rsidRDefault="00F27E4B" w:rsidP="00390CC8">
      <w:pPr>
        <w:pStyle w:val="paragraph"/>
      </w:pPr>
      <w:r w:rsidRPr="004F58E0">
        <w:tab/>
        <w:t>(a)</w:t>
      </w:r>
      <w:r w:rsidRPr="004F58E0">
        <w:tab/>
      </w:r>
      <w:r w:rsidR="00390CC8" w:rsidRPr="004F58E0">
        <w:t>a maturity analysis of</w:t>
      </w:r>
      <w:r w:rsidRPr="004F58E0">
        <w:t xml:space="preserve"> </w:t>
      </w:r>
      <w:r w:rsidR="009A5366" w:rsidRPr="004F58E0">
        <w:t>undiscounted lease payments to be received by the lessor on an annu</w:t>
      </w:r>
      <w:r w:rsidR="00390CC8" w:rsidRPr="004F58E0">
        <w:t>al basis for the first 5 years after the end of the reporting period; and</w:t>
      </w:r>
    </w:p>
    <w:p w14:paraId="7C841524" w14:textId="77777777" w:rsidR="009A5366" w:rsidRPr="004F58E0" w:rsidRDefault="00390CC8" w:rsidP="00390CC8">
      <w:pPr>
        <w:pStyle w:val="paragraph"/>
      </w:pPr>
      <w:r w:rsidRPr="004F58E0">
        <w:tab/>
        <w:t>(b)</w:t>
      </w:r>
      <w:r w:rsidRPr="004F58E0">
        <w:tab/>
      </w:r>
      <w:r w:rsidR="00F27E4B" w:rsidRPr="004F58E0">
        <w:t>the total amounts</w:t>
      </w:r>
      <w:r w:rsidR="00B759B1" w:rsidRPr="004F58E0">
        <w:t xml:space="preserve"> for the remaining years </w:t>
      </w:r>
      <w:r w:rsidR="00F27E4B" w:rsidRPr="004F58E0">
        <w:t>of the lease.</w:t>
      </w:r>
    </w:p>
    <w:p w14:paraId="722C0BE6" w14:textId="77777777" w:rsidR="00983EE1" w:rsidRPr="004F58E0" w:rsidRDefault="000E2F52" w:rsidP="00983EE1">
      <w:pPr>
        <w:pStyle w:val="ItemHead"/>
      </w:pPr>
      <w:r w:rsidRPr="004F58E0">
        <w:t>21</w:t>
      </w:r>
      <w:r w:rsidR="00983EE1" w:rsidRPr="004F58E0">
        <w:t xml:space="preserve">  </w:t>
      </w:r>
      <w:r w:rsidR="00971646" w:rsidRPr="004F58E0">
        <w:t>Paragraph 3</w:t>
      </w:r>
      <w:r w:rsidR="00983EE1" w:rsidRPr="004F58E0">
        <w:t>7(c)</w:t>
      </w:r>
    </w:p>
    <w:p w14:paraId="1ED16048" w14:textId="77777777" w:rsidR="00983EE1" w:rsidRPr="004F58E0" w:rsidRDefault="00983EE1" w:rsidP="00983EE1">
      <w:pPr>
        <w:pStyle w:val="Item"/>
      </w:pPr>
      <w:r w:rsidRPr="004F58E0">
        <w:t xml:space="preserve">Omit </w:t>
      </w:r>
      <w:r w:rsidR="00662D92" w:rsidRPr="004F58E0">
        <w:t>“</w:t>
      </w:r>
      <w:r w:rsidRPr="004F58E0">
        <w:t>(appropriations to take account of recoverable GST)</w:t>
      </w:r>
      <w:r w:rsidR="00662D92" w:rsidRPr="004F58E0">
        <w:t>”</w:t>
      </w:r>
      <w:r w:rsidRPr="004F58E0">
        <w:t xml:space="preserve">, substitute </w:t>
      </w:r>
      <w:r w:rsidR="00662D92" w:rsidRPr="004F58E0">
        <w:t>“</w:t>
      </w:r>
      <w:r w:rsidRPr="004F58E0">
        <w:t>(recoverable GST for non</w:t>
      </w:r>
      <w:r w:rsidR="004F58E0">
        <w:noBreakHyphen/>
      </w:r>
      <w:r w:rsidRPr="004F58E0">
        <w:t>corporate Commonwealth entities)</w:t>
      </w:r>
      <w:r w:rsidR="00662D92" w:rsidRPr="004F58E0">
        <w:t>”</w:t>
      </w:r>
      <w:r w:rsidRPr="004F58E0">
        <w:t>.</w:t>
      </w:r>
    </w:p>
    <w:p w14:paraId="61676905" w14:textId="77777777" w:rsidR="00AE17A8" w:rsidRPr="004F58E0" w:rsidRDefault="000E2F52" w:rsidP="00EA36DF">
      <w:pPr>
        <w:pStyle w:val="ItemHead"/>
      </w:pPr>
      <w:r w:rsidRPr="004F58E0">
        <w:t>22</w:t>
      </w:r>
      <w:r w:rsidR="00AE17A8" w:rsidRPr="004F58E0">
        <w:t xml:space="preserve">  </w:t>
      </w:r>
      <w:r w:rsidR="00CC1569" w:rsidRPr="004F58E0">
        <w:t>Subsection 4</w:t>
      </w:r>
      <w:r w:rsidR="00AE17A8" w:rsidRPr="004F58E0">
        <w:t>0(3)</w:t>
      </w:r>
    </w:p>
    <w:p w14:paraId="5734CDDD" w14:textId="77777777" w:rsidR="00AE17A8" w:rsidRPr="004F58E0" w:rsidRDefault="00AE17A8" w:rsidP="00AE17A8">
      <w:pPr>
        <w:pStyle w:val="Item"/>
      </w:pPr>
      <w:r w:rsidRPr="004F58E0">
        <w:t xml:space="preserve">Omit “that amount”, </w:t>
      </w:r>
      <w:r w:rsidR="00B62939" w:rsidRPr="004F58E0">
        <w:t xml:space="preserve">substitute </w:t>
      </w:r>
      <w:r w:rsidRPr="004F58E0">
        <w:t>“</w:t>
      </w:r>
      <w:r w:rsidR="00D25A44" w:rsidRPr="004F58E0">
        <w:t>the amount of formal reduction or exclude the amount of formal addition”</w:t>
      </w:r>
      <w:r w:rsidRPr="004F58E0">
        <w:t>.</w:t>
      </w:r>
    </w:p>
    <w:p w14:paraId="1FCA8A74" w14:textId="77777777" w:rsidR="00EA36DF" w:rsidRPr="004F58E0" w:rsidRDefault="000E2F52" w:rsidP="00EA36DF">
      <w:pPr>
        <w:pStyle w:val="ItemHead"/>
      </w:pPr>
      <w:r w:rsidRPr="004F58E0">
        <w:t>23</w:t>
      </w:r>
      <w:r w:rsidR="00EA36DF" w:rsidRPr="004F58E0">
        <w:t xml:space="preserve">  At the end of </w:t>
      </w:r>
      <w:r w:rsidR="00BE13CF" w:rsidRPr="004F58E0">
        <w:t>section 4</w:t>
      </w:r>
      <w:r w:rsidR="00EA36DF" w:rsidRPr="004F58E0">
        <w:t>0</w:t>
      </w:r>
    </w:p>
    <w:p w14:paraId="382E3E96" w14:textId="77777777" w:rsidR="00EA36DF" w:rsidRPr="004F58E0" w:rsidRDefault="00EA36DF" w:rsidP="00EA36DF">
      <w:pPr>
        <w:pStyle w:val="Item"/>
      </w:pPr>
      <w:r w:rsidRPr="004F58E0">
        <w:t>Add:</w:t>
      </w:r>
    </w:p>
    <w:p w14:paraId="6123CE0B" w14:textId="77777777" w:rsidR="00EA36DF" w:rsidRPr="004F58E0" w:rsidRDefault="00EA36DF" w:rsidP="00EA36DF">
      <w:pPr>
        <w:pStyle w:val="subsection"/>
      </w:pPr>
      <w:r w:rsidRPr="004F58E0">
        <w:lastRenderedPageBreak/>
        <w:tab/>
        <w:t>(4)</w:t>
      </w:r>
      <w:r w:rsidRPr="004F58E0">
        <w:tab/>
        <w:t xml:space="preserve">For the purposes of this section, </w:t>
      </w:r>
      <w:r w:rsidR="00662D92" w:rsidRPr="004F58E0">
        <w:t>‘</w:t>
      </w:r>
      <w:r w:rsidRPr="004F58E0">
        <w:t>Government approved legal instrument</w:t>
      </w:r>
      <w:r w:rsidR="00662D92" w:rsidRPr="004F58E0">
        <w:t>’</w:t>
      </w:r>
      <w:r w:rsidR="00F62B49" w:rsidRPr="004F58E0">
        <w:t xml:space="preserve"> means</w:t>
      </w:r>
      <w:r w:rsidR="00445C4D" w:rsidRPr="004F58E0">
        <w:t xml:space="preserve"> any of the following</w:t>
      </w:r>
      <w:r w:rsidR="00F62B49" w:rsidRPr="004F58E0">
        <w:t>:</w:t>
      </w:r>
    </w:p>
    <w:p w14:paraId="35A455C3" w14:textId="77777777" w:rsidR="00F62B49" w:rsidRPr="004F58E0" w:rsidRDefault="00F62B49" w:rsidP="00F62B49">
      <w:pPr>
        <w:pStyle w:val="paragraph"/>
      </w:pPr>
      <w:r w:rsidRPr="004F58E0">
        <w:tab/>
        <w:t>(a)</w:t>
      </w:r>
      <w:r w:rsidRPr="004F58E0">
        <w:tab/>
        <w:t>an A</w:t>
      </w:r>
      <w:r w:rsidR="00445C4D" w:rsidRPr="004F58E0">
        <w:t>dvance to the Finance Minister</w:t>
      </w:r>
      <w:r w:rsidR="007A16D4" w:rsidRPr="004F58E0">
        <w:t xml:space="preserve"> under an annual Appropriation Act</w:t>
      </w:r>
      <w:r w:rsidR="00DC0BE4" w:rsidRPr="004F58E0">
        <w:t>;</w:t>
      </w:r>
    </w:p>
    <w:p w14:paraId="7C7AE48A" w14:textId="77777777" w:rsidR="00445C4D" w:rsidRPr="004F58E0" w:rsidRDefault="00445C4D" w:rsidP="00F62B49">
      <w:pPr>
        <w:pStyle w:val="paragraph"/>
      </w:pPr>
      <w:r w:rsidRPr="004F58E0">
        <w:tab/>
        <w:t>(b)</w:t>
      </w:r>
      <w:r w:rsidRPr="004F58E0">
        <w:tab/>
      </w:r>
      <w:r w:rsidR="007A16D4" w:rsidRPr="004F58E0">
        <w:t>an Advance to the responsi</w:t>
      </w:r>
      <w:r w:rsidR="00B62939" w:rsidRPr="004F58E0">
        <w:t>ble Presiding Officer under an a</w:t>
      </w:r>
      <w:r w:rsidR="007A16D4" w:rsidRPr="004F58E0">
        <w:t>nnual Appropriation Act</w:t>
      </w:r>
      <w:r w:rsidR="00DC0BE4" w:rsidRPr="004F58E0">
        <w:t>;</w:t>
      </w:r>
    </w:p>
    <w:p w14:paraId="119E8602" w14:textId="77777777" w:rsidR="007A16D4" w:rsidRPr="004F58E0" w:rsidRDefault="007A16D4" w:rsidP="00F62B49">
      <w:pPr>
        <w:pStyle w:val="paragraph"/>
      </w:pPr>
      <w:r w:rsidRPr="004F58E0">
        <w:tab/>
        <w:t>(c)</w:t>
      </w:r>
      <w:r w:rsidRPr="004F58E0">
        <w:tab/>
        <w:t xml:space="preserve">a determination under </w:t>
      </w:r>
      <w:r w:rsidR="00DC0BE4" w:rsidRPr="004F58E0">
        <w:t>section 7</w:t>
      </w:r>
      <w:r w:rsidRPr="004F58E0">
        <w:t>5 of the PGPA Act.</w:t>
      </w:r>
    </w:p>
    <w:p w14:paraId="0987C895" w14:textId="77777777" w:rsidR="00EF2B0D" w:rsidRPr="004F58E0" w:rsidRDefault="000E2F52" w:rsidP="00EF2B0D">
      <w:pPr>
        <w:pStyle w:val="ItemHead"/>
      </w:pPr>
      <w:r w:rsidRPr="004F58E0">
        <w:t>24</w:t>
      </w:r>
      <w:r w:rsidR="00EF2B0D" w:rsidRPr="004F58E0">
        <w:t xml:space="preserve">  </w:t>
      </w:r>
      <w:r w:rsidR="00314573" w:rsidRPr="004F58E0">
        <w:t>P</w:t>
      </w:r>
      <w:r w:rsidR="00DC0BE4" w:rsidRPr="004F58E0">
        <w:t>aragraph 4</w:t>
      </w:r>
      <w:r w:rsidR="00314573" w:rsidRPr="004F58E0">
        <w:t>6(1)(a)</w:t>
      </w:r>
    </w:p>
    <w:p w14:paraId="3926A50A" w14:textId="77777777" w:rsidR="00314573" w:rsidRPr="004F58E0" w:rsidRDefault="00314573" w:rsidP="00314573">
      <w:pPr>
        <w:pStyle w:val="Item"/>
      </w:pPr>
      <w:r w:rsidRPr="004F58E0">
        <w:t>Repeal the paragraph, substitute:</w:t>
      </w:r>
    </w:p>
    <w:p w14:paraId="1A965138" w14:textId="77777777" w:rsidR="00314573" w:rsidRPr="004F58E0" w:rsidRDefault="00314573" w:rsidP="00314573">
      <w:pPr>
        <w:pStyle w:val="paragraph"/>
      </w:pPr>
      <w:r w:rsidRPr="004F58E0">
        <w:tab/>
        <w:t>(a)</w:t>
      </w:r>
      <w:r w:rsidRPr="004F58E0">
        <w:tab/>
        <w:t>authority, including:</w:t>
      </w:r>
    </w:p>
    <w:p w14:paraId="13B689FE" w14:textId="77777777" w:rsidR="00314573" w:rsidRPr="004F58E0" w:rsidRDefault="00314573" w:rsidP="00314573">
      <w:pPr>
        <w:pStyle w:val="paragraphsub"/>
      </w:pPr>
      <w:r w:rsidRPr="004F58E0">
        <w:tab/>
        <w:t>(i)</w:t>
      </w:r>
      <w:r w:rsidRPr="004F58E0">
        <w:tab/>
        <w:t xml:space="preserve">for all special appropriations (including appropriations under section 77 of the PGPA Act which deals with repayments made by the Commonwealth)—the </w:t>
      </w:r>
      <w:r w:rsidR="00A31770" w:rsidRPr="004F58E0">
        <w:t>name of the relevant Act</w:t>
      </w:r>
      <w:r w:rsidRPr="004F58E0">
        <w:t>;</w:t>
      </w:r>
      <w:r w:rsidR="00431CB5" w:rsidRPr="004F58E0">
        <w:t xml:space="preserve"> and</w:t>
      </w:r>
    </w:p>
    <w:p w14:paraId="5CD89509" w14:textId="77777777" w:rsidR="00314573" w:rsidRPr="004F58E0" w:rsidRDefault="00314573" w:rsidP="00314573">
      <w:pPr>
        <w:pStyle w:val="paragraphsub"/>
      </w:pPr>
      <w:r w:rsidRPr="004F58E0">
        <w:tab/>
        <w:t>(ii)</w:t>
      </w:r>
      <w:r w:rsidRPr="004F58E0">
        <w:tab/>
        <w:t>for limited amount special appropriations—the limit for the reporting period; and</w:t>
      </w:r>
    </w:p>
    <w:p w14:paraId="7BDA6A36" w14:textId="77777777" w:rsidR="00314573" w:rsidRPr="004F58E0" w:rsidRDefault="00314573" w:rsidP="00314573">
      <w:pPr>
        <w:pStyle w:val="paragraphsub"/>
      </w:pPr>
      <w:r w:rsidRPr="004F58E0">
        <w:tab/>
        <w:t>(iii)</w:t>
      </w:r>
      <w:r w:rsidRPr="004F58E0">
        <w:tab/>
        <w:t xml:space="preserve">for special appropriations under </w:t>
      </w:r>
      <w:r w:rsidR="00C93288" w:rsidRPr="004F58E0">
        <w:t>section 5</w:t>
      </w:r>
      <w:r w:rsidRPr="004F58E0">
        <w:t>8 of the PGPA Act (which deals with investments by the Commonwealth)—the total of prior year investments redeemed in the current year and redemptions of current year investments (gross); and</w:t>
      </w:r>
    </w:p>
    <w:p w14:paraId="052981B2" w14:textId="77777777" w:rsidR="004A1785" w:rsidRPr="004F58E0" w:rsidRDefault="000E2F52" w:rsidP="00884334">
      <w:pPr>
        <w:pStyle w:val="ItemHead"/>
      </w:pPr>
      <w:r w:rsidRPr="004F58E0">
        <w:t>25</w:t>
      </w:r>
      <w:r w:rsidR="004A1785" w:rsidRPr="004F58E0">
        <w:t xml:space="preserve">  At the end of </w:t>
      </w:r>
      <w:r w:rsidR="00DC0BE4" w:rsidRPr="004F58E0">
        <w:t>paragraph 4</w:t>
      </w:r>
      <w:r w:rsidR="004A1785" w:rsidRPr="004F58E0">
        <w:t>6(1)(b)</w:t>
      </w:r>
    </w:p>
    <w:p w14:paraId="246148AE" w14:textId="77777777" w:rsidR="004A1785" w:rsidRPr="004F58E0" w:rsidRDefault="004A1785" w:rsidP="004A1785">
      <w:pPr>
        <w:pStyle w:val="Item"/>
      </w:pPr>
      <w:r w:rsidRPr="004F58E0">
        <w:t>Add:</w:t>
      </w:r>
    </w:p>
    <w:p w14:paraId="432E0BD5" w14:textId="77777777" w:rsidR="004A1785" w:rsidRPr="004F58E0" w:rsidRDefault="004A1785" w:rsidP="004A1785">
      <w:pPr>
        <w:pStyle w:val="paragraphsub"/>
      </w:pPr>
      <w:r w:rsidRPr="004F58E0">
        <w:tab/>
      </w:r>
      <w:r w:rsidR="003466B5" w:rsidRPr="004F58E0">
        <w:t xml:space="preserve">; </w:t>
      </w:r>
      <w:r w:rsidRPr="004F58E0">
        <w:t>and (iii)</w:t>
      </w:r>
      <w:r w:rsidRPr="004F58E0">
        <w:tab/>
        <w:t xml:space="preserve">the total of repayments made under </w:t>
      </w:r>
      <w:r w:rsidR="00DC0BE4" w:rsidRPr="004F58E0">
        <w:t>section 7</w:t>
      </w:r>
      <w:r w:rsidRPr="004F58E0">
        <w:t>7 of the PGPA Act.</w:t>
      </w:r>
    </w:p>
    <w:p w14:paraId="5888D54D" w14:textId="77777777" w:rsidR="00262BD6" w:rsidRPr="004F58E0" w:rsidRDefault="000E2F52" w:rsidP="00884334">
      <w:pPr>
        <w:pStyle w:val="ItemHead"/>
        <w:rPr>
          <w:i/>
        </w:rPr>
      </w:pPr>
      <w:r w:rsidRPr="004F58E0">
        <w:t>26</w:t>
      </w:r>
      <w:r w:rsidR="00262BD6" w:rsidRPr="004F58E0">
        <w:t xml:space="preserve">  </w:t>
      </w:r>
      <w:r w:rsidR="0035449E" w:rsidRPr="004F58E0">
        <w:t xml:space="preserve">At the end of </w:t>
      </w:r>
      <w:r w:rsidR="00C93288" w:rsidRPr="004F58E0">
        <w:t>subsection 4</w:t>
      </w:r>
      <w:r w:rsidR="00FD7589" w:rsidRPr="004F58E0">
        <w:t>6</w:t>
      </w:r>
      <w:r w:rsidR="0035449E" w:rsidRPr="004F58E0">
        <w:t>(2)</w:t>
      </w:r>
    </w:p>
    <w:p w14:paraId="146BCC88" w14:textId="77777777" w:rsidR="00262BD6" w:rsidRPr="004F58E0" w:rsidRDefault="0035449E" w:rsidP="0035449E">
      <w:pPr>
        <w:pStyle w:val="Item"/>
      </w:pPr>
      <w:r w:rsidRPr="004F58E0">
        <w:t>Add:</w:t>
      </w:r>
    </w:p>
    <w:p w14:paraId="069243EB" w14:textId="77777777" w:rsidR="00FD7589" w:rsidRPr="004F58E0" w:rsidRDefault="00FD7589" w:rsidP="00FD7589">
      <w:pPr>
        <w:pStyle w:val="notetext"/>
      </w:pPr>
      <w:r w:rsidRPr="004F58E0">
        <w:t>Note:</w:t>
      </w:r>
      <w:r w:rsidRPr="004F58E0">
        <w:tab/>
        <w:t xml:space="preserve">For requirements in relation to </w:t>
      </w:r>
      <w:r w:rsidR="0035449E" w:rsidRPr="004F58E0">
        <w:t xml:space="preserve">investments from special accounts </w:t>
      </w:r>
      <w:r w:rsidR="00314573" w:rsidRPr="004F58E0">
        <w:t xml:space="preserve">made </w:t>
      </w:r>
      <w:r w:rsidR="0035449E" w:rsidRPr="004F58E0">
        <w:t xml:space="preserve">under </w:t>
      </w:r>
      <w:r w:rsidR="00F43474" w:rsidRPr="004F58E0">
        <w:t>section 58 of the PGPA Act investment powers that are delegated by the Finance Minister</w:t>
      </w:r>
      <w:r w:rsidRPr="004F58E0">
        <w:t xml:space="preserve">, see </w:t>
      </w:r>
      <w:r w:rsidR="00C93288" w:rsidRPr="004F58E0">
        <w:t>subsection 4</w:t>
      </w:r>
      <w:r w:rsidRPr="004F58E0">
        <w:t>8(9).</w:t>
      </w:r>
    </w:p>
    <w:p w14:paraId="34443EED" w14:textId="77777777" w:rsidR="004A7D44" w:rsidRPr="004F58E0" w:rsidRDefault="000E2F52" w:rsidP="00884334">
      <w:pPr>
        <w:pStyle w:val="ItemHead"/>
      </w:pPr>
      <w:r w:rsidRPr="004F58E0">
        <w:t>27</w:t>
      </w:r>
      <w:r w:rsidR="004A7D44" w:rsidRPr="004F58E0">
        <w:t xml:space="preserve">  At the end of </w:t>
      </w:r>
      <w:r w:rsidR="00C93288" w:rsidRPr="004F58E0">
        <w:t>subsection 4</w:t>
      </w:r>
      <w:r w:rsidR="004A7D44" w:rsidRPr="004F58E0">
        <w:t>8(8)</w:t>
      </w:r>
    </w:p>
    <w:p w14:paraId="392ED88C" w14:textId="77777777" w:rsidR="004A7D44" w:rsidRPr="004F58E0" w:rsidRDefault="004A7D44" w:rsidP="004A7D44">
      <w:pPr>
        <w:pStyle w:val="Item"/>
      </w:pPr>
      <w:r w:rsidRPr="004F58E0">
        <w:t>Add:</w:t>
      </w:r>
    </w:p>
    <w:p w14:paraId="55365384" w14:textId="77777777" w:rsidR="004A7D44" w:rsidRPr="004F58E0" w:rsidRDefault="004A7D44" w:rsidP="004A7D44">
      <w:pPr>
        <w:pStyle w:val="paragraph"/>
      </w:pPr>
      <w:r w:rsidRPr="004F58E0">
        <w:tab/>
      </w:r>
      <w:r w:rsidR="00FD7589" w:rsidRPr="004F58E0">
        <w:t xml:space="preserve">; </w:t>
      </w:r>
      <w:r w:rsidRPr="004F58E0">
        <w:t>and (d)</w:t>
      </w:r>
      <w:r w:rsidRPr="004F58E0">
        <w:tab/>
        <w:t xml:space="preserve">disclose the amount so held in the assets held in </w:t>
      </w:r>
      <w:r w:rsidR="003E4E1D" w:rsidRPr="004F58E0">
        <w:t xml:space="preserve">the </w:t>
      </w:r>
      <w:r w:rsidRPr="004F58E0">
        <w:t xml:space="preserve">trust </w:t>
      </w:r>
      <w:r w:rsidR="003E4E1D" w:rsidRPr="004F58E0">
        <w:t xml:space="preserve">disclosure </w:t>
      </w:r>
      <w:r w:rsidRPr="004F58E0">
        <w:t>note.</w:t>
      </w:r>
    </w:p>
    <w:p w14:paraId="202ED4EF" w14:textId="77777777" w:rsidR="00884334" w:rsidRPr="004F58E0" w:rsidRDefault="000E2F52" w:rsidP="00884334">
      <w:pPr>
        <w:pStyle w:val="ItemHead"/>
      </w:pPr>
      <w:r w:rsidRPr="004F58E0">
        <w:t>28</w:t>
      </w:r>
      <w:r w:rsidR="00884334" w:rsidRPr="004F58E0">
        <w:t xml:space="preserve">  At the end of </w:t>
      </w:r>
      <w:r w:rsidR="00BE13CF" w:rsidRPr="004F58E0">
        <w:t>section 4</w:t>
      </w:r>
      <w:r w:rsidR="00884334" w:rsidRPr="004F58E0">
        <w:t>8</w:t>
      </w:r>
    </w:p>
    <w:p w14:paraId="3FAB9078" w14:textId="77777777" w:rsidR="00884334" w:rsidRPr="004F58E0" w:rsidRDefault="00884334" w:rsidP="00884334">
      <w:pPr>
        <w:pStyle w:val="Item"/>
      </w:pPr>
      <w:r w:rsidRPr="004F58E0">
        <w:t>Add:</w:t>
      </w:r>
    </w:p>
    <w:p w14:paraId="33D2158D" w14:textId="77777777" w:rsidR="000A7057" w:rsidRPr="004F58E0" w:rsidRDefault="000A7057" w:rsidP="000A7057">
      <w:pPr>
        <w:pStyle w:val="subsection"/>
      </w:pPr>
      <w:r w:rsidRPr="004F58E0">
        <w:tab/>
        <w:t>(9)</w:t>
      </w:r>
      <w:r w:rsidRPr="004F58E0">
        <w:tab/>
        <w:t>If an amount is invested by a reporting entity from a special account, the reporting entity must disclose:</w:t>
      </w:r>
    </w:p>
    <w:p w14:paraId="1D91806A" w14:textId="77777777" w:rsidR="000A7057" w:rsidRPr="004F58E0" w:rsidRDefault="000A7057" w:rsidP="000A7057">
      <w:pPr>
        <w:pStyle w:val="paragraph"/>
      </w:pPr>
      <w:r w:rsidRPr="004F58E0">
        <w:tab/>
        <w:t>(a)</w:t>
      </w:r>
      <w:r w:rsidRPr="004F58E0">
        <w:tab/>
        <w:t>all relevant money invested from the special account; and</w:t>
      </w:r>
    </w:p>
    <w:p w14:paraId="71F83334" w14:textId="77777777" w:rsidR="00032E74" w:rsidRPr="004F58E0" w:rsidRDefault="000A7057" w:rsidP="000A7057">
      <w:pPr>
        <w:pStyle w:val="paragraph"/>
      </w:pPr>
      <w:r w:rsidRPr="004F58E0">
        <w:tab/>
        <w:t>(b)</w:t>
      </w:r>
      <w:r w:rsidRPr="004F58E0">
        <w:tab/>
        <w:t xml:space="preserve">all proceeds of the investment credited to the </w:t>
      </w:r>
      <w:r w:rsidR="00A31770" w:rsidRPr="004F58E0">
        <w:t>special account; and</w:t>
      </w:r>
    </w:p>
    <w:p w14:paraId="59D143C8" w14:textId="77777777" w:rsidR="00A31770" w:rsidRPr="004F58E0" w:rsidRDefault="00A31770" w:rsidP="000A7057">
      <w:pPr>
        <w:pStyle w:val="paragraph"/>
      </w:pPr>
      <w:r w:rsidRPr="004F58E0">
        <w:tab/>
        <w:t>(c)</w:t>
      </w:r>
      <w:r w:rsidRPr="004F58E0">
        <w:tab/>
      </w:r>
      <w:r w:rsidR="00D33842" w:rsidRPr="004F58E0">
        <w:t xml:space="preserve">as a footnote to the special accounts disclosure note, </w:t>
      </w:r>
      <w:r w:rsidRPr="004F58E0">
        <w:t xml:space="preserve">the total amounts </w:t>
      </w:r>
      <w:r w:rsidR="00D33842" w:rsidRPr="004F58E0">
        <w:t xml:space="preserve">so </w:t>
      </w:r>
      <w:r w:rsidRPr="004F58E0">
        <w:t>held as investments</w:t>
      </w:r>
      <w:r w:rsidR="00D33842" w:rsidRPr="004F58E0">
        <w:t>.</w:t>
      </w:r>
    </w:p>
    <w:sectPr w:rsidR="00A31770" w:rsidRPr="004F58E0" w:rsidSect="003A7D4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7318D" w14:textId="77777777" w:rsidR="00A31770" w:rsidRDefault="00A31770" w:rsidP="0048364F">
      <w:pPr>
        <w:spacing w:line="240" w:lineRule="auto"/>
      </w:pPr>
      <w:r>
        <w:separator/>
      </w:r>
    </w:p>
  </w:endnote>
  <w:endnote w:type="continuationSeparator" w:id="0">
    <w:p w14:paraId="28F97DE5" w14:textId="77777777" w:rsidR="00A31770" w:rsidRDefault="00A3177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E6CDB" w14:textId="77777777" w:rsidR="00A31770" w:rsidRPr="003A7D43" w:rsidRDefault="003A7D43" w:rsidP="003A7D4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A7D43">
      <w:rPr>
        <w:i/>
        <w:sz w:val="18"/>
      </w:rPr>
      <w:t>OPC64997 -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87171" w14:textId="77777777" w:rsidR="00A31770" w:rsidRDefault="00A31770" w:rsidP="00E97334"/>
  <w:p w14:paraId="1584BAEB" w14:textId="77777777" w:rsidR="00A31770" w:rsidRPr="003A7D43" w:rsidRDefault="003A7D43" w:rsidP="003A7D43">
    <w:pPr>
      <w:rPr>
        <w:rFonts w:cs="Times New Roman"/>
        <w:i/>
        <w:sz w:val="18"/>
      </w:rPr>
    </w:pPr>
    <w:r w:rsidRPr="003A7D43">
      <w:rPr>
        <w:rFonts w:cs="Times New Roman"/>
        <w:i/>
        <w:sz w:val="18"/>
      </w:rPr>
      <w:t>OPC64997 -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6CD00" w14:textId="77777777" w:rsidR="00A31770" w:rsidRPr="003A7D43" w:rsidRDefault="003A7D43" w:rsidP="003A7D4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A7D43">
      <w:rPr>
        <w:i/>
        <w:sz w:val="18"/>
      </w:rPr>
      <w:t>OPC64997 -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14725" w14:textId="77777777" w:rsidR="00A31770" w:rsidRPr="00E33C1C" w:rsidRDefault="00A3177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31770" w14:paraId="384F9F9E" w14:textId="77777777" w:rsidTr="004E467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230F17" w14:textId="77777777" w:rsidR="00A31770" w:rsidRDefault="00A31770" w:rsidP="00FC07B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21C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06BC20" w14:textId="6451B27D" w:rsidR="00A31770" w:rsidRDefault="00A31770" w:rsidP="00FC07B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10A2">
            <w:rPr>
              <w:i/>
              <w:sz w:val="18"/>
            </w:rPr>
            <w:t>Public Governance, Performance and Accountability (Financial Reporting) Amendment (2021 Measures No. 1)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6BD824" w14:textId="77777777" w:rsidR="00A31770" w:rsidRDefault="00A31770" w:rsidP="00FC07B2">
          <w:pPr>
            <w:spacing w:line="0" w:lineRule="atLeast"/>
            <w:jc w:val="right"/>
            <w:rPr>
              <w:sz w:val="18"/>
            </w:rPr>
          </w:pPr>
        </w:p>
      </w:tc>
    </w:tr>
  </w:tbl>
  <w:p w14:paraId="61AB2F43" w14:textId="77777777" w:rsidR="00A31770" w:rsidRPr="003A7D43" w:rsidRDefault="003A7D43" w:rsidP="003A7D43">
    <w:pPr>
      <w:rPr>
        <w:rFonts w:cs="Times New Roman"/>
        <w:i/>
        <w:sz w:val="18"/>
      </w:rPr>
    </w:pPr>
    <w:r w:rsidRPr="003A7D43">
      <w:rPr>
        <w:rFonts w:cs="Times New Roman"/>
        <w:i/>
        <w:sz w:val="18"/>
      </w:rPr>
      <w:t>OPC64997 -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EF720" w14:textId="77777777" w:rsidR="00A31770" w:rsidRPr="00E33C1C" w:rsidRDefault="00A3177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31770" w14:paraId="6BF73A8F" w14:textId="77777777" w:rsidTr="004E467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7B8DDE" w14:textId="77777777" w:rsidR="00A31770" w:rsidRDefault="00A31770" w:rsidP="00FC07B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FE789C" w14:textId="08DD44AF" w:rsidR="00A31770" w:rsidRDefault="00A31770" w:rsidP="00FC07B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10A2">
            <w:rPr>
              <w:i/>
              <w:sz w:val="18"/>
            </w:rPr>
            <w:t>Public Governance, Performance and Accountability (Financial Reporting) Amendment (2021 Measures No. 1)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465AEFF" w14:textId="77777777" w:rsidR="00A31770" w:rsidRDefault="00A31770" w:rsidP="00FC07B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21C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8E7C8F" w14:textId="77777777" w:rsidR="00A31770" w:rsidRPr="003A7D43" w:rsidRDefault="003A7D43" w:rsidP="003A7D43">
    <w:pPr>
      <w:rPr>
        <w:rFonts w:cs="Times New Roman"/>
        <w:i/>
        <w:sz w:val="18"/>
      </w:rPr>
    </w:pPr>
    <w:r w:rsidRPr="003A7D43">
      <w:rPr>
        <w:rFonts w:cs="Times New Roman"/>
        <w:i/>
        <w:sz w:val="18"/>
      </w:rPr>
      <w:t>OPC64997 -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DF1E6" w14:textId="77777777" w:rsidR="00A31770" w:rsidRPr="00E33C1C" w:rsidRDefault="00A3177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31770" w14:paraId="607154DF" w14:textId="77777777" w:rsidTr="004E467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F5CA80" w14:textId="77777777" w:rsidR="00A31770" w:rsidRDefault="00A31770" w:rsidP="00FC07B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21C6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663EB2" w14:textId="3C1E1911" w:rsidR="00A31770" w:rsidRDefault="00A31770" w:rsidP="00FC07B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10A2">
            <w:rPr>
              <w:i/>
              <w:sz w:val="18"/>
            </w:rPr>
            <w:t>Public Governance, Performance and Accountability (Financial Reporting) Amendment (2021 Measures No. 1)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87FF89B" w14:textId="77777777" w:rsidR="00A31770" w:rsidRDefault="00A31770" w:rsidP="00FC07B2">
          <w:pPr>
            <w:spacing w:line="0" w:lineRule="atLeast"/>
            <w:jc w:val="right"/>
            <w:rPr>
              <w:sz w:val="18"/>
            </w:rPr>
          </w:pPr>
        </w:p>
      </w:tc>
    </w:tr>
  </w:tbl>
  <w:p w14:paraId="76D1C94C" w14:textId="77777777" w:rsidR="00A31770" w:rsidRPr="003A7D43" w:rsidRDefault="003A7D43" w:rsidP="003A7D43">
    <w:pPr>
      <w:rPr>
        <w:rFonts w:cs="Times New Roman"/>
        <w:i/>
        <w:sz w:val="18"/>
      </w:rPr>
    </w:pPr>
    <w:r w:rsidRPr="003A7D43">
      <w:rPr>
        <w:rFonts w:cs="Times New Roman"/>
        <w:i/>
        <w:sz w:val="18"/>
      </w:rPr>
      <w:t>OPC64997 -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0AD62" w14:textId="77777777" w:rsidR="00A31770" w:rsidRPr="00E33C1C" w:rsidRDefault="00A3177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31770" w14:paraId="2D3F4676" w14:textId="77777777" w:rsidTr="00FC07B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A85913" w14:textId="77777777" w:rsidR="00A31770" w:rsidRDefault="00A31770" w:rsidP="00FC07B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6E0AE4" w14:textId="4964D6B5" w:rsidR="00A31770" w:rsidRDefault="00A31770" w:rsidP="00FC07B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10A2">
            <w:rPr>
              <w:i/>
              <w:sz w:val="18"/>
            </w:rPr>
            <w:t>Public Governance, Performance and Accountability (Financial Reporting) Amendment (2021 Measures No. 1)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A49043" w14:textId="77777777" w:rsidR="00A31770" w:rsidRDefault="00A31770" w:rsidP="00FC07B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21C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F7EFAE6" w14:textId="77777777" w:rsidR="00A31770" w:rsidRPr="003A7D43" w:rsidRDefault="003A7D43" w:rsidP="003A7D43">
    <w:pPr>
      <w:rPr>
        <w:rFonts w:cs="Times New Roman"/>
        <w:i/>
        <w:sz w:val="18"/>
      </w:rPr>
    </w:pPr>
    <w:r w:rsidRPr="003A7D43">
      <w:rPr>
        <w:rFonts w:cs="Times New Roman"/>
        <w:i/>
        <w:sz w:val="18"/>
      </w:rPr>
      <w:t>OPC64997 -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D5BC9" w14:textId="77777777" w:rsidR="00A31770" w:rsidRPr="00E33C1C" w:rsidRDefault="00A3177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31770" w14:paraId="6FDBAC2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56F3A1" w14:textId="77777777" w:rsidR="00A31770" w:rsidRDefault="00A31770" w:rsidP="00FC07B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CD3784" w14:textId="223985DE" w:rsidR="00A31770" w:rsidRDefault="00A31770" w:rsidP="00FC07B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10A2">
            <w:rPr>
              <w:i/>
              <w:sz w:val="18"/>
            </w:rPr>
            <w:t>Public Governance, Performance and Accountability (Financial Reporting) Amendment (2021 Measures No. 1)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D77622" w14:textId="77777777" w:rsidR="00A31770" w:rsidRDefault="00A31770" w:rsidP="00FC07B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21C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6817AD" w14:textId="77777777" w:rsidR="00A31770" w:rsidRPr="003A7D43" w:rsidRDefault="003A7D43" w:rsidP="003A7D43">
    <w:pPr>
      <w:rPr>
        <w:rFonts w:cs="Times New Roman"/>
        <w:i/>
        <w:sz w:val="18"/>
      </w:rPr>
    </w:pPr>
    <w:r w:rsidRPr="003A7D43">
      <w:rPr>
        <w:rFonts w:cs="Times New Roman"/>
        <w:i/>
        <w:sz w:val="18"/>
      </w:rPr>
      <w:t>OPC64997 -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E5DCD" w14:textId="77777777" w:rsidR="00A31770" w:rsidRDefault="00A31770" w:rsidP="0048364F">
      <w:pPr>
        <w:spacing w:line="240" w:lineRule="auto"/>
      </w:pPr>
      <w:r>
        <w:separator/>
      </w:r>
    </w:p>
  </w:footnote>
  <w:footnote w:type="continuationSeparator" w:id="0">
    <w:p w14:paraId="3B669533" w14:textId="77777777" w:rsidR="00A31770" w:rsidRDefault="00A3177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4EFE5" w14:textId="77777777" w:rsidR="00A31770" w:rsidRPr="005F1388" w:rsidRDefault="00A3177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A221E" w14:textId="77777777" w:rsidR="00A31770" w:rsidRPr="005F1388" w:rsidRDefault="00A3177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0E840" w14:textId="77777777" w:rsidR="00A31770" w:rsidRPr="005F1388" w:rsidRDefault="00A3177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AF3E7" w14:textId="77777777" w:rsidR="00A31770" w:rsidRPr="00ED79B6" w:rsidRDefault="00A3177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E8199" w14:textId="77777777" w:rsidR="00A31770" w:rsidRPr="00ED79B6" w:rsidRDefault="00A3177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BFB9D" w14:textId="77777777" w:rsidR="00A31770" w:rsidRPr="00ED79B6" w:rsidRDefault="00A3177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E8E07" w14:textId="32440F06" w:rsidR="00A31770" w:rsidRPr="00A961C4" w:rsidRDefault="00A3177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F1A2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F1A2E">
      <w:rPr>
        <w:noProof/>
        <w:sz w:val="20"/>
      </w:rPr>
      <w:t>Amendments</w:t>
    </w:r>
    <w:r>
      <w:rPr>
        <w:sz w:val="20"/>
      </w:rPr>
      <w:fldChar w:fldCharType="end"/>
    </w:r>
  </w:p>
  <w:p w14:paraId="0A5B88F9" w14:textId="4CD160D1" w:rsidR="00A31770" w:rsidRPr="00A961C4" w:rsidRDefault="00A3177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4A2778B" w14:textId="77777777" w:rsidR="00A31770" w:rsidRPr="00A961C4" w:rsidRDefault="00A3177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DDBA7" w14:textId="11BBEA1F" w:rsidR="00A31770" w:rsidRPr="00A961C4" w:rsidRDefault="00A3177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AE07E92" w14:textId="59C89A36" w:rsidR="00A31770" w:rsidRPr="00A961C4" w:rsidRDefault="00A3177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16465E8" w14:textId="77777777" w:rsidR="00A31770" w:rsidRPr="00A961C4" w:rsidRDefault="00A3177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A0C03" w14:textId="77777777" w:rsidR="00A31770" w:rsidRPr="00A961C4" w:rsidRDefault="00A3177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3A"/>
    <w:rsid w:val="00000263"/>
    <w:rsid w:val="000113BC"/>
    <w:rsid w:val="000136AF"/>
    <w:rsid w:val="00015BBB"/>
    <w:rsid w:val="0002397E"/>
    <w:rsid w:val="00026225"/>
    <w:rsid w:val="00032E74"/>
    <w:rsid w:val="0004044E"/>
    <w:rsid w:val="00046F47"/>
    <w:rsid w:val="0005120E"/>
    <w:rsid w:val="00054577"/>
    <w:rsid w:val="00057035"/>
    <w:rsid w:val="000614BF"/>
    <w:rsid w:val="0007169C"/>
    <w:rsid w:val="00077593"/>
    <w:rsid w:val="0008363A"/>
    <w:rsid w:val="00083F48"/>
    <w:rsid w:val="000A679A"/>
    <w:rsid w:val="000A7057"/>
    <w:rsid w:val="000A7DF9"/>
    <w:rsid w:val="000C1F4C"/>
    <w:rsid w:val="000D05EF"/>
    <w:rsid w:val="000D1636"/>
    <w:rsid w:val="000D5485"/>
    <w:rsid w:val="000E2F52"/>
    <w:rsid w:val="000E5C7A"/>
    <w:rsid w:val="000F21C1"/>
    <w:rsid w:val="00105D72"/>
    <w:rsid w:val="0010745C"/>
    <w:rsid w:val="00111B2C"/>
    <w:rsid w:val="00117277"/>
    <w:rsid w:val="001303AB"/>
    <w:rsid w:val="001513CB"/>
    <w:rsid w:val="0015607A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B7D09"/>
    <w:rsid w:val="001C69C4"/>
    <w:rsid w:val="001D4D1C"/>
    <w:rsid w:val="001E0A8D"/>
    <w:rsid w:val="001E3590"/>
    <w:rsid w:val="001E3CC0"/>
    <w:rsid w:val="001E7407"/>
    <w:rsid w:val="00201D27"/>
    <w:rsid w:val="0020300C"/>
    <w:rsid w:val="00211A7D"/>
    <w:rsid w:val="00220A0C"/>
    <w:rsid w:val="00221423"/>
    <w:rsid w:val="00223E4A"/>
    <w:rsid w:val="002302EA"/>
    <w:rsid w:val="00240674"/>
    <w:rsid w:val="00240749"/>
    <w:rsid w:val="002468D7"/>
    <w:rsid w:val="00256AB9"/>
    <w:rsid w:val="00262BD6"/>
    <w:rsid w:val="00276F94"/>
    <w:rsid w:val="00285CDD"/>
    <w:rsid w:val="00291167"/>
    <w:rsid w:val="00297ECB"/>
    <w:rsid w:val="002A74E2"/>
    <w:rsid w:val="002B0A18"/>
    <w:rsid w:val="002C152A"/>
    <w:rsid w:val="002D043A"/>
    <w:rsid w:val="002D7B54"/>
    <w:rsid w:val="002F12D7"/>
    <w:rsid w:val="00303923"/>
    <w:rsid w:val="00303AB0"/>
    <w:rsid w:val="00314573"/>
    <w:rsid w:val="0031713F"/>
    <w:rsid w:val="00321913"/>
    <w:rsid w:val="00324EE6"/>
    <w:rsid w:val="003316DC"/>
    <w:rsid w:val="00332E0D"/>
    <w:rsid w:val="00337783"/>
    <w:rsid w:val="003415D3"/>
    <w:rsid w:val="00343B60"/>
    <w:rsid w:val="00346335"/>
    <w:rsid w:val="003466B5"/>
    <w:rsid w:val="00352B0F"/>
    <w:rsid w:val="0035449E"/>
    <w:rsid w:val="003549BD"/>
    <w:rsid w:val="003561B0"/>
    <w:rsid w:val="00364D3F"/>
    <w:rsid w:val="00367960"/>
    <w:rsid w:val="003834BD"/>
    <w:rsid w:val="003856D3"/>
    <w:rsid w:val="00390CC8"/>
    <w:rsid w:val="003A0D76"/>
    <w:rsid w:val="003A15AC"/>
    <w:rsid w:val="003A56EB"/>
    <w:rsid w:val="003A7D43"/>
    <w:rsid w:val="003B0627"/>
    <w:rsid w:val="003B36C1"/>
    <w:rsid w:val="003B3EE4"/>
    <w:rsid w:val="003C5F2B"/>
    <w:rsid w:val="003D0BFE"/>
    <w:rsid w:val="003D5700"/>
    <w:rsid w:val="003E4E1D"/>
    <w:rsid w:val="003F0F5A"/>
    <w:rsid w:val="00400A30"/>
    <w:rsid w:val="004019C9"/>
    <w:rsid w:val="004022CA"/>
    <w:rsid w:val="00405ADD"/>
    <w:rsid w:val="004116CD"/>
    <w:rsid w:val="00412101"/>
    <w:rsid w:val="00414ADE"/>
    <w:rsid w:val="004239F2"/>
    <w:rsid w:val="00424CA9"/>
    <w:rsid w:val="004257BB"/>
    <w:rsid w:val="004261D9"/>
    <w:rsid w:val="004276B2"/>
    <w:rsid w:val="00431CB5"/>
    <w:rsid w:val="00433702"/>
    <w:rsid w:val="0044291A"/>
    <w:rsid w:val="00445C4D"/>
    <w:rsid w:val="00460499"/>
    <w:rsid w:val="00471E6A"/>
    <w:rsid w:val="00474835"/>
    <w:rsid w:val="004819C7"/>
    <w:rsid w:val="0048364F"/>
    <w:rsid w:val="00487838"/>
    <w:rsid w:val="00490F2E"/>
    <w:rsid w:val="00495D68"/>
    <w:rsid w:val="00496DB3"/>
    <w:rsid w:val="00496F97"/>
    <w:rsid w:val="004A1785"/>
    <w:rsid w:val="004A53EA"/>
    <w:rsid w:val="004A7A12"/>
    <w:rsid w:val="004A7D44"/>
    <w:rsid w:val="004B70A7"/>
    <w:rsid w:val="004D13C3"/>
    <w:rsid w:val="004D7DDA"/>
    <w:rsid w:val="004E4678"/>
    <w:rsid w:val="004E780B"/>
    <w:rsid w:val="004F1FAC"/>
    <w:rsid w:val="004F58E0"/>
    <w:rsid w:val="004F676E"/>
    <w:rsid w:val="00511168"/>
    <w:rsid w:val="00515E2B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5137"/>
    <w:rsid w:val="0055557E"/>
    <w:rsid w:val="00557C7A"/>
    <w:rsid w:val="00562A58"/>
    <w:rsid w:val="00563412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05BC9"/>
    <w:rsid w:val="006134EC"/>
    <w:rsid w:val="00613EAD"/>
    <w:rsid w:val="006158AC"/>
    <w:rsid w:val="006178E9"/>
    <w:rsid w:val="00640402"/>
    <w:rsid w:val="00640F78"/>
    <w:rsid w:val="00646E7B"/>
    <w:rsid w:val="00647874"/>
    <w:rsid w:val="00650945"/>
    <w:rsid w:val="00652CC8"/>
    <w:rsid w:val="00655D6A"/>
    <w:rsid w:val="00656DE9"/>
    <w:rsid w:val="00662D92"/>
    <w:rsid w:val="006750B8"/>
    <w:rsid w:val="00677CC2"/>
    <w:rsid w:val="006805E9"/>
    <w:rsid w:val="00685F42"/>
    <w:rsid w:val="006866A1"/>
    <w:rsid w:val="00687E16"/>
    <w:rsid w:val="0069207B"/>
    <w:rsid w:val="006A07AA"/>
    <w:rsid w:val="006A4309"/>
    <w:rsid w:val="006A6695"/>
    <w:rsid w:val="006B0E55"/>
    <w:rsid w:val="006B7006"/>
    <w:rsid w:val="006C7F8C"/>
    <w:rsid w:val="006D3BC8"/>
    <w:rsid w:val="006D5E77"/>
    <w:rsid w:val="006D62A3"/>
    <w:rsid w:val="006D7AB9"/>
    <w:rsid w:val="006E0765"/>
    <w:rsid w:val="006E1E63"/>
    <w:rsid w:val="006E4DF3"/>
    <w:rsid w:val="00700B2C"/>
    <w:rsid w:val="00713084"/>
    <w:rsid w:val="00717C19"/>
    <w:rsid w:val="00720FC2"/>
    <w:rsid w:val="00724031"/>
    <w:rsid w:val="00731459"/>
    <w:rsid w:val="00731E00"/>
    <w:rsid w:val="00732E9D"/>
    <w:rsid w:val="00734329"/>
    <w:rsid w:val="0073491A"/>
    <w:rsid w:val="007440B7"/>
    <w:rsid w:val="00747993"/>
    <w:rsid w:val="007634AD"/>
    <w:rsid w:val="007715C9"/>
    <w:rsid w:val="00774EDD"/>
    <w:rsid w:val="007757EC"/>
    <w:rsid w:val="007A115D"/>
    <w:rsid w:val="007A16D4"/>
    <w:rsid w:val="007A35E6"/>
    <w:rsid w:val="007A6863"/>
    <w:rsid w:val="007C0276"/>
    <w:rsid w:val="007D45C1"/>
    <w:rsid w:val="007E4E3D"/>
    <w:rsid w:val="007E7D4A"/>
    <w:rsid w:val="007F48ED"/>
    <w:rsid w:val="007F7947"/>
    <w:rsid w:val="00812F45"/>
    <w:rsid w:val="00823B55"/>
    <w:rsid w:val="0084172C"/>
    <w:rsid w:val="00856A31"/>
    <w:rsid w:val="00857197"/>
    <w:rsid w:val="00871977"/>
    <w:rsid w:val="008754D0"/>
    <w:rsid w:val="00877B2D"/>
    <w:rsid w:val="00877D48"/>
    <w:rsid w:val="008816F0"/>
    <w:rsid w:val="0088345B"/>
    <w:rsid w:val="00884334"/>
    <w:rsid w:val="00893EAF"/>
    <w:rsid w:val="008A16A5"/>
    <w:rsid w:val="008B5D42"/>
    <w:rsid w:val="008C2B5D"/>
    <w:rsid w:val="008D0EE0"/>
    <w:rsid w:val="008D5B99"/>
    <w:rsid w:val="008D7A27"/>
    <w:rsid w:val="008E4702"/>
    <w:rsid w:val="008E4F9F"/>
    <w:rsid w:val="008E69AA"/>
    <w:rsid w:val="008F4F1C"/>
    <w:rsid w:val="00904A68"/>
    <w:rsid w:val="00922660"/>
    <w:rsid w:val="00922764"/>
    <w:rsid w:val="00925911"/>
    <w:rsid w:val="00926FAF"/>
    <w:rsid w:val="00932377"/>
    <w:rsid w:val="009408EA"/>
    <w:rsid w:val="00943102"/>
    <w:rsid w:val="0094523D"/>
    <w:rsid w:val="009521C6"/>
    <w:rsid w:val="009559E6"/>
    <w:rsid w:val="00970D05"/>
    <w:rsid w:val="00971646"/>
    <w:rsid w:val="00976A63"/>
    <w:rsid w:val="00983419"/>
    <w:rsid w:val="00983EE1"/>
    <w:rsid w:val="009928F3"/>
    <w:rsid w:val="00994821"/>
    <w:rsid w:val="009A294A"/>
    <w:rsid w:val="009A5366"/>
    <w:rsid w:val="009A63E4"/>
    <w:rsid w:val="009C3431"/>
    <w:rsid w:val="009C5989"/>
    <w:rsid w:val="009C5CB0"/>
    <w:rsid w:val="009D08DA"/>
    <w:rsid w:val="009D23B4"/>
    <w:rsid w:val="009F1A2E"/>
    <w:rsid w:val="009F51C4"/>
    <w:rsid w:val="00A00C1D"/>
    <w:rsid w:val="00A06860"/>
    <w:rsid w:val="00A136F5"/>
    <w:rsid w:val="00A1423C"/>
    <w:rsid w:val="00A231E2"/>
    <w:rsid w:val="00A2403A"/>
    <w:rsid w:val="00A2550D"/>
    <w:rsid w:val="00A31770"/>
    <w:rsid w:val="00A4169B"/>
    <w:rsid w:val="00A445F2"/>
    <w:rsid w:val="00A50C24"/>
    <w:rsid w:val="00A50D55"/>
    <w:rsid w:val="00A5165B"/>
    <w:rsid w:val="00A52FDA"/>
    <w:rsid w:val="00A64912"/>
    <w:rsid w:val="00A70A74"/>
    <w:rsid w:val="00A7226C"/>
    <w:rsid w:val="00A72ABF"/>
    <w:rsid w:val="00A75D33"/>
    <w:rsid w:val="00A92F13"/>
    <w:rsid w:val="00AA0343"/>
    <w:rsid w:val="00AA2A5C"/>
    <w:rsid w:val="00AA4881"/>
    <w:rsid w:val="00AB78E9"/>
    <w:rsid w:val="00AD3467"/>
    <w:rsid w:val="00AD4309"/>
    <w:rsid w:val="00AD5641"/>
    <w:rsid w:val="00AD7252"/>
    <w:rsid w:val="00AE0F9B"/>
    <w:rsid w:val="00AE17A8"/>
    <w:rsid w:val="00AF1BD3"/>
    <w:rsid w:val="00AF55FF"/>
    <w:rsid w:val="00AF67B1"/>
    <w:rsid w:val="00B032D8"/>
    <w:rsid w:val="00B1036A"/>
    <w:rsid w:val="00B33B3C"/>
    <w:rsid w:val="00B40D74"/>
    <w:rsid w:val="00B45BFD"/>
    <w:rsid w:val="00B52663"/>
    <w:rsid w:val="00B56DCB"/>
    <w:rsid w:val="00B62939"/>
    <w:rsid w:val="00B64E51"/>
    <w:rsid w:val="00B708EE"/>
    <w:rsid w:val="00B71E56"/>
    <w:rsid w:val="00B759B1"/>
    <w:rsid w:val="00B770D2"/>
    <w:rsid w:val="00B8011A"/>
    <w:rsid w:val="00B94F68"/>
    <w:rsid w:val="00B96933"/>
    <w:rsid w:val="00BA47A3"/>
    <w:rsid w:val="00BA4CB3"/>
    <w:rsid w:val="00BA5026"/>
    <w:rsid w:val="00BB6E79"/>
    <w:rsid w:val="00BD48FC"/>
    <w:rsid w:val="00BE13CF"/>
    <w:rsid w:val="00BE26E7"/>
    <w:rsid w:val="00BE3B31"/>
    <w:rsid w:val="00BE719A"/>
    <w:rsid w:val="00BE720A"/>
    <w:rsid w:val="00BF6650"/>
    <w:rsid w:val="00C02116"/>
    <w:rsid w:val="00C02C1F"/>
    <w:rsid w:val="00C03E33"/>
    <w:rsid w:val="00C048F4"/>
    <w:rsid w:val="00C067E5"/>
    <w:rsid w:val="00C162AE"/>
    <w:rsid w:val="00C164CA"/>
    <w:rsid w:val="00C42BF8"/>
    <w:rsid w:val="00C43AF8"/>
    <w:rsid w:val="00C460AE"/>
    <w:rsid w:val="00C50043"/>
    <w:rsid w:val="00C50A0F"/>
    <w:rsid w:val="00C51B6D"/>
    <w:rsid w:val="00C52425"/>
    <w:rsid w:val="00C52D81"/>
    <w:rsid w:val="00C60A6C"/>
    <w:rsid w:val="00C66AAD"/>
    <w:rsid w:val="00C72DB7"/>
    <w:rsid w:val="00C7573B"/>
    <w:rsid w:val="00C76CF3"/>
    <w:rsid w:val="00C84475"/>
    <w:rsid w:val="00C93288"/>
    <w:rsid w:val="00C948C6"/>
    <w:rsid w:val="00CA7844"/>
    <w:rsid w:val="00CB373B"/>
    <w:rsid w:val="00CB58EF"/>
    <w:rsid w:val="00CB73D0"/>
    <w:rsid w:val="00CC1569"/>
    <w:rsid w:val="00CC2877"/>
    <w:rsid w:val="00CE7D64"/>
    <w:rsid w:val="00CF0BB2"/>
    <w:rsid w:val="00D005C1"/>
    <w:rsid w:val="00D0485F"/>
    <w:rsid w:val="00D13441"/>
    <w:rsid w:val="00D20665"/>
    <w:rsid w:val="00D243A3"/>
    <w:rsid w:val="00D25A44"/>
    <w:rsid w:val="00D31DD5"/>
    <w:rsid w:val="00D3200B"/>
    <w:rsid w:val="00D333D4"/>
    <w:rsid w:val="00D33440"/>
    <w:rsid w:val="00D33842"/>
    <w:rsid w:val="00D4564B"/>
    <w:rsid w:val="00D529CC"/>
    <w:rsid w:val="00D52EFE"/>
    <w:rsid w:val="00D568FC"/>
    <w:rsid w:val="00D56A0D"/>
    <w:rsid w:val="00D5767F"/>
    <w:rsid w:val="00D627A1"/>
    <w:rsid w:val="00D63EF6"/>
    <w:rsid w:val="00D64756"/>
    <w:rsid w:val="00D66518"/>
    <w:rsid w:val="00D70DFB"/>
    <w:rsid w:val="00D71EEA"/>
    <w:rsid w:val="00D735CD"/>
    <w:rsid w:val="00D766DF"/>
    <w:rsid w:val="00D95891"/>
    <w:rsid w:val="00D97AA7"/>
    <w:rsid w:val="00DB5CB4"/>
    <w:rsid w:val="00DC0BE4"/>
    <w:rsid w:val="00DE10A2"/>
    <w:rsid w:val="00DE149E"/>
    <w:rsid w:val="00E05704"/>
    <w:rsid w:val="00E10AD0"/>
    <w:rsid w:val="00E11212"/>
    <w:rsid w:val="00E12F1A"/>
    <w:rsid w:val="00E15561"/>
    <w:rsid w:val="00E21CFB"/>
    <w:rsid w:val="00E22935"/>
    <w:rsid w:val="00E340D9"/>
    <w:rsid w:val="00E54292"/>
    <w:rsid w:val="00E60191"/>
    <w:rsid w:val="00E67022"/>
    <w:rsid w:val="00E74DC7"/>
    <w:rsid w:val="00E87699"/>
    <w:rsid w:val="00E91F44"/>
    <w:rsid w:val="00E92E27"/>
    <w:rsid w:val="00E9586B"/>
    <w:rsid w:val="00E97334"/>
    <w:rsid w:val="00EA0D36"/>
    <w:rsid w:val="00EA36DF"/>
    <w:rsid w:val="00EB6C0F"/>
    <w:rsid w:val="00ED4928"/>
    <w:rsid w:val="00EE2307"/>
    <w:rsid w:val="00EE3749"/>
    <w:rsid w:val="00EE6190"/>
    <w:rsid w:val="00EF2B0D"/>
    <w:rsid w:val="00EF2E3A"/>
    <w:rsid w:val="00EF4FCA"/>
    <w:rsid w:val="00EF6402"/>
    <w:rsid w:val="00EF6EA0"/>
    <w:rsid w:val="00F025DF"/>
    <w:rsid w:val="00F03E6E"/>
    <w:rsid w:val="00F047E2"/>
    <w:rsid w:val="00F04D57"/>
    <w:rsid w:val="00F078DC"/>
    <w:rsid w:val="00F13E86"/>
    <w:rsid w:val="00F27E4B"/>
    <w:rsid w:val="00F32FCB"/>
    <w:rsid w:val="00F355F3"/>
    <w:rsid w:val="00F43474"/>
    <w:rsid w:val="00F54F05"/>
    <w:rsid w:val="00F62B49"/>
    <w:rsid w:val="00F6709F"/>
    <w:rsid w:val="00F677A9"/>
    <w:rsid w:val="00F723BD"/>
    <w:rsid w:val="00F732EA"/>
    <w:rsid w:val="00F753A4"/>
    <w:rsid w:val="00F80816"/>
    <w:rsid w:val="00F84CF5"/>
    <w:rsid w:val="00F8612E"/>
    <w:rsid w:val="00F9591D"/>
    <w:rsid w:val="00FA0A61"/>
    <w:rsid w:val="00FA3BFC"/>
    <w:rsid w:val="00FA420B"/>
    <w:rsid w:val="00FC07B2"/>
    <w:rsid w:val="00FD7589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5E765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F58E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8E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8E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58E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58E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58E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58E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F58E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F58E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F58E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F58E0"/>
  </w:style>
  <w:style w:type="paragraph" w:customStyle="1" w:styleId="OPCParaBase">
    <w:name w:val="OPCParaBase"/>
    <w:qFormat/>
    <w:rsid w:val="004F58E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F58E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F58E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F58E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F58E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F58E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F58E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F58E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F58E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F58E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F58E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F58E0"/>
  </w:style>
  <w:style w:type="paragraph" w:customStyle="1" w:styleId="Blocks">
    <w:name w:val="Blocks"/>
    <w:aliases w:val="bb"/>
    <w:basedOn w:val="OPCParaBase"/>
    <w:qFormat/>
    <w:rsid w:val="004F58E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F58E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F58E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F58E0"/>
    <w:rPr>
      <w:i/>
    </w:rPr>
  </w:style>
  <w:style w:type="paragraph" w:customStyle="1" w:styleId="BoxList">
    <w:name w:val="BoxList"/>
    <w:aliases w:val="bl"/>
    <w:basedOn w:val="BoxText"/>
    <w:qFormat/>
    <w:rsid w:val="004F58E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F58E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F58E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F58E0"/>
    <w:pPr>
      <w:ind w:left="1985" w:hanging="851"/>
    </w:pPr>
  </w:style>
  <w:style w:type="character" w:customStyle="1" w:styleId="CharAmPartNo">
    <w:name w:val="CharAmPartNo"/>
    <w:basedOn w:val="OPCCharBase"/>
    <w:qFormat/>
    <w:rsid w:val="004F58E0"/>
  </w:style>
  <w:style w:type="character" w:customStyle="1" w:styleId="CharAmPartText">
    <w:name w:val="CharAmPartText"/>
    <w:basedOn w:val="OPCCharBase"/>
    <w:qFormat/>
    <w:rsid w:val="004F58E0"/>
  </w:style>
  <w:style w:type="character" w:customStyle="1" w:styleId="CharAmSchNo">
    <w:name w:val="CharAmSchNo"/>
    <w:basedOn w:val="OPCCharBase"/>
    <w:qFormat/>
    <w:rsid w:val="004F58E0"/>
  </w:style>
  <w:style w:type="character" w:customStyle="1" w:styleId="CharAmSchText">
    <w:name w:val="CharAmSchText"/>
    <w:basedOn w:val="OPCCharBase"/>
    <w:qFormat/>
    <w:rsid w:val="004F58E0"/>
  </w:style>
  <w:style w:type="character" w:customStyle="1" w:styleId="CharBoldItalic">
    <w:name w:val="CharBoldItalic"/>
    <w:basedOn w:val="OPCCharBase"/>
    <w:uiPriority w:val="1"/>
    <w:qFormat/>
    <w:rsid w:val="004F58E0"/>
    <w:rPr>
      <w:b/>
      <w:i/>
    </w:rPr>
  </w:style>
  <w:style w:type="character" w:customStyle="1" w:styleId="CharChapNo">
    <w:name w:val="CharChapNo"/>
    <w:basedOn w:val="OPCCharBase"/>
    <w:uiPriority w:val="1"/>
    <w:qFormat/>
    <w:rsid w:val="004F58E0"/>
  </w:style>
  <w:style w:type="character" w:customStyle="1" w:styleId="CharChapText">
    <w:name w:val="CharChapText"/>
    <w:basedOn w:val="OPCCharBase"/>
    <w:uiPriority w:val="1"/>
    <w:qFormat/>
    <w:rsid w:val="004F58E0"/>
  </w:style>
  <w:style w:type="character" w:customStyle="1" w:styleId="CharDivNo">
    <w:name w:val="CharDivNo"/>
    <w:basedOn w:val="OPCCharBase"/>
    <w:uiPriority w:val="1"/>
    <w:qFormat/>
    <w:rsid w:val="004F58E0"/>
  </w:style>
  <w:style w:type="character" w:customStyle="1" w:styleId="CharDivText">
    <w:name w:val="CharDivText"/>
    <w:basedOn w:val="OPCCharBase"/>
    <w:uiPriority w:val="1"/>
    <w:qFormat/>
    <w:rsid w:val="004F58E0"/>
  </w:style>
  <w:style w:type="character" w:customStyle="1" w:styleId="CharItalic">
    <w:name w:val="CharItalic"/>
    <w:basedOn w:val="OPCCharBase"/>
    <w:uiPriority w:val="1"/>
    <w:qFormat/>
    <w:rsid w:val="004F58E0"/>
    <w:rPr>
      <w:i/>
    </w:rPr>
  </w:style>
  <w:style w:type="character" w:customStyle="1" w:styleId="CharPartNo">
    <w:name w:val="CharPartNo"/>
    <w:basedOn w:val="OPCCharBase"/>
    <w:uiPriority w:val="1"/>
    <w:qFormat/>
    <w:rsid w:val="004F58E0"/>
  </w:style>
  <w:style w:type="character" w:customStyle="1" w:styleId="CharPartText">
    <w:name w:val="CharPartText"/>
    <w:basedOn w:val="OPCCharBase"/>
    <w:uiPriority w:val="1"/>
    <w:qFormat/>
    <w:rsid w:val="004F58E0"/>
  </w:style>
  <w:style w:type="character" w:customStyle="1" w:styleId="CharSectno">
    <w:name w:val="CharSectno"/>
    <w:basedOn w:val="OPCCharBase"/>
    <w:qFormat/>
    <w:rsid w:val="004F58E0"/>
  </w:style>
  <w:style w:type="character" w:customStyle="1" w:styleId="CharSubdNo">
    <w:name w:val="CharSubdNo"/>
    <w:basedOn w:val="OPCCharBase"/>
    <w:uiPriority w:val="1"/>
    <w:qFormat/>
    <w:rsid w:val="004F58E0"/>
  </w:style>
  <w:style w:type="character" w:customStyle="1" w:styleId="CharSubdText">
    <w:name w:val="CharSubdText"/>
    <w:basedOn w:val="OPCCharBase"/>
    <w:uiPriority w:val="1"/>
    <w:qFormat/>
    <w:rsid w:val="004F58E0"/>
  </w:style>
  <w:style w:type="paragraph" w:customStyle="1" w:styleId="CTA--">
    <w:name w:val="CTA --"/>
    <w:basedOn w:val="OPCParaBase"/>
    <w:next w:val="Normal"/>
    <w:rsid w:val="004F58E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F58E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F58E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F58E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F58E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F58E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F58E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F58E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F58E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F58E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F58E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F58E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F58E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F58E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F58E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F58E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F58E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F58E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F58E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F58E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F58E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F58E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F58E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F58E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F58E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F58E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F58E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F58E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F58E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F58E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F58E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F58E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F58E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F58E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F58E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F58E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F58E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F58E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F58E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F58E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F58E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F58E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F58E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F58E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F58E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F58E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F58E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F58E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F58E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F58E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F58E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F58E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F58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F58E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F58E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F58E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F58E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F58E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F58E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F58E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F58E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F58E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F58E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F58E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F58E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F58E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F58E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F58E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F58E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F58E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F58E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F58E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F58E0"/>
    <w:rPr>
      <w:sz w:val="16"/>
    </w:rPr>
  </w:style>
  <w:style w:type="table" w:customStyle="1" w:styleId="CFlag">
    <w:name w:val="CFlag"/>
    <w:basedOn w:val="TableNormal"/>
    <w:uiPriority w:val="99"/>
    <w:rsid w:val="004F58E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F58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F58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5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F58E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F58E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F58E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F58E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F58E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F58E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F58E0"/>
    <w:pPr>
      <w:spacing w:before="120"/>
    </w:pPr>
  </w:style>
  <w:style w:type="paragraph" w:customStyle="1" w:styleId="CompiledActNo">
    <w:name w:val="CompiledActNo"/>
    <w:basedOn w:val="OPCParaBase"/>
    <w:next w:val="Normal"/>
    <w:rsid w:val="004F58E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F58E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F58E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F58E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F58E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F58E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F58E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F58E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F58E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F58E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F58E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F58E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F58E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F58E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F58E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F58E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F58E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F58E0"/>
  </w:style>
  <w:style w:type="character" w:customStyle="1" w:styleId="CharSubPartNoCASA">
    <w:name w:val="CharSubPartNo(CASA)"/>
    <w:basedOn w:val="OPCCharBase"/>
    <w:uiPriority w:val="1"/>
    <w:rsid w:val="004F58E0"/>
  </w:style>
  <w:style w:type="paragraph" w:customStyle="1" w:styleId="ENoteTTIndentHeadingSub">
    <w:name w:val="ENoteTTIndentHeadingSub"/>
    <w:aliases w:val="enTTHis"/>
    <w:basedOn w:val="OPCParaBase"/>
    <w:rsid w:val="004F58E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F58E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F58E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F58E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F58E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F58E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F58E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F58E0"/>
    <w:rPr>
      <w:sz w:val="22"/>
    </w:rPr>
  </w:style>
  <w:style w:type="paragraph" w:customStyle="1" w:styleId="SOTextNote">
    <w:name w:val="SO TextNote"/>
    <w:aliases w:val="sont"/>
    <w:basedOn w:val="SOText"/>
    <w:qFormat/>
    <w:rsid w:val="004F58E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F58E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F58E0"/>
    <w:rPr>
      <w:sz w:val="22"/>
    </w:rPr>
  </w:style>
  <w:style w:type="paragraph" w:customStyle="1" w:styleId="FileName">
    <w:name w:val="FileName"/>
    <w:basedOn w:val="Normal"/>
    <w:rsid w:val="004F58E0"/>
  </w:style>
  <w:style w:type="paragraph" w:customStyle="1" w:styleId="TableHeading">
    <w:name w:val="TableHeading"/>
    <w:aliases w:val="th"/>
    <w:basedOn w:val="OPCParaBase"/>
    <w:next w:val="Tabletext"/>
    <w:rsid w:val="004F58E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F58E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F58E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F58E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F58E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F58E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F58E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F58E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F58E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F58E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F58E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F58E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F58E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F58E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F58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5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58E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F58E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58E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F58E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58E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F58E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F58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F58E0"/>
  </w:style>
  <w:style w:type="character" w:customStyle="1" w:styleId="charlegsubtitle1">
    <w:name w:val="charlegsubtitle1"/>
    <w:basedOn w:val="DefaultParagraphFont"/>
    <w:rsid w:val="004F58E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F58E0"/>
    <w:pPr>
      <w:ind w:left="240" w:hanging="240"/>
    </w:pPr>
  </w:style>
  <w:style w:type="paragraph" w:styleId="Index2">
    <w:name w:val="index 2"/>
    <w:basedOn w:val="Normal"/>
    <w:next w:val="Normal"/>
    <w:autoRedefine/>
    <w:rsid w:val="004F58E0"/>
    <w:pPr>
      <w:ind w:left="480" w:hanging="240"/>
    </w:pPr>
  </w:style>
  <w:style w:type="paragraph" w:styleId="Index3">
    <w:name w:val="index 3"/>
    <w:basedOn w:val="Normal"/>
    <w:next w:val="Normal"/>
    <w:autoRedefine/>
    <w:rsid w:val="004F58E0"/>
    <w:pPr>
      <w:ind w:left="720" w:hanging="240"/>
    </w:pPr>
  </w:style>
  <w:style w:type="paragraph" w:styleId="Index4">
    <w:name w:val="index 4"/>
    <w:basedOn w:val="Normal"/>
    <w:next w:val="Normal"/>
    <w:autoRedefine/>
    <w:rsid w:val="004F58E0"/>
    <w:pPr>
      <w:ind w:left="960" w:hanging="240"/>
    </w:pPr>
  </w:style>
  <w:style w:type="paragraph" w:styleId="Index5">
    <w:name w:val="index 5"/>
    <w:basedOn w:val="Normal"/>
    <w:next w:val="Normal"/>
    <w:autoRedefine/>
    <w:rsid w:val="004F58E0"/>
    <w:pPr>
      <w:ind w:left="1200" w:hanging="240"/>
    </w:pPr>
  </w:style>
  <w:style w:type="paragraph" w:styleId="Index6">
    <w:name w:val="index 6"/>
    <w:basedOn w:val="Normal"/>
    <w:next w:val="Normal"/>
    <w:autoRedefine/>
    <w:rsid w:val="004F58E0"/>
    <w:pPr>
      <w:ind w:left="1440" w:hanging="240"/>
    </w:pPr>
  </w:style>
  <w:style w:type="paragraph" w:styleId="Index7">
    <w:name w:val="index 7"/>
    <w:basedOn w:val="Normal"/>
    <w:next w:val="Normal"/>
    <w:autoRedefine/>
    <w:rsid w:val="004F58E0"/>
    <w:pPr>
      <w:ind w:left="1680" w:hanging="240"/>
    </w:pPr>
  </w:style>
  <w:style w:type="paragraph" w:styleId="Index8">
    <w:name w:val="index 8"/>
    <w:basedOn w:val="Normal"/>
    <w:next w:val="Normal"/>
    <w:autoRedefine/>
    <w:rsid w:val="004F58E0"/>
    <w:pPr>
      <w:ind w:left="1920" w:hanging="240"/>
    </w:pPr>
  </w:style>
  <w:style w:type="paragraph" w:styleId="Index9">
    <w:name w:val="index 9"/>
    <w:basedOn w:val="Normal"/>
    <w:next w:val="Normal"/>
    <w:autoRedefine/>
    <w:rsid w:val="004F58E0"/>
    <w:pPr>
      <w:ind w:left="2160" w:hanging="240"/>
    </w:pPr>
  </w:style>
  <w:style w:type="paragraph" w:styleId="NormalIndent">
    <w:name w:val="Normal Indent"/>
    <w:basedOn w:val="Normal"/>
    <w:rsid w:val="004F58E0"/>
    <w:pPr>
      <w:ind w:left="720"/>
    </w:pPr>
  </w:style>
  <w:style w:type="paragraph" w:styleId="FootnoteText">
    <w:name w:val="footnote text"/>
    <w:basedOn w:val="Normal"/>
    <w:link w:val="FootnoteTextChar"/>
    <w:rsid w:val="004F58E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F58E0"/>
  </w:style>
  <w:style w:type="paragraph" w:styleId="CommentText">
    <w:name w:val="annotation text"/>
    <w:basedOn w:val="Normal"/>
    <w:link w:val="CommentTextChar"/>
    <w:rsid w:val="004F58E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F58E0"/>
  </w:style>
  <w:style w:type="paragraph" w:styleId="IndexHeading">
    <w:name w:val="index heading"/>
    <w:basedOn w:val="Normal"/>
    <w:next w:val="Index1"/>
    <w:rsid w:val="004F58E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F58E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F58E0"/>
    <w:pPr>
      <w:ind w:left="480" w:hanging="480"/>
    </w:pPr>
  </w:style>
  <w:style w:type="paragraph" w:styleId="EnvelopeAddress">
    <w:name w:val="envelope address"/>
    <w:basedOn w:val="Normal"/>
    <w:rsid w:val="004F58E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F58E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F58E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F58E0"/>
    <w:rPr>
      <w:sz w:val="16"/>
      <w:szCs w:val="16"/>
    </w:rPr>
  </w:style>
  <w:style w:type="character" w:styleId="PageNumber">
    <w:name w:val="page number"/>
    <w:basedOn w:val="DefaultParagraphFont"/>
    <w:rsid w:val="004F58E0"/>
  </w:style>
  <w:style w:type="character" w:styleId="EndnoteReference">
    <w:name w:val="endnote reference"/>
    <w:basedOn w:val="DefaultParagraphFont"/>
    <w:rsid w:val="004F58E0"/>
    <w:rPr>
      <w:vertAlign w:val="superscript"/>
    </w:rPr>
  </w:style>
  <w:style w:type="paragraph" w:styleId="EndnoteText">
    <w:name w:val="endnote text"/>
    <w:basedOn w:val="Normal"/>
    <w:link w:val="EndnoteTextChar"/>
    <w:rsid w:val="004F58E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F58E0"/>
  </w:style>
  <w:style w:type="paragraph" w:styleId="TableofAuthorities">
    <w:name w:val="table of authorities"/>
    <w:basedOn w:val="Normal"/>
    <w:next w:val="Normal"/>
    <w:rsid w:val="004F58E0"/>
    <w:pPr>
      <w:ind w:left="240" w:hanging="240"/>
    </w:pPr>
  </w:style>
  <w:style w:type="paragraph" w:styleId="MacroText">
    <w:name w:val="macro"/>
    <w:link w:val="MacroTextChar"/>
    <w:rsid w:val="004F5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F58E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F58E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F58E0"/>
    <w:pPr>
      <w:ind w:left="283" w:hanging="283"/>
    </w:pPr>
  </w:style>
  <w:style w:type="paragraph" w:styleId="ListBullet">
    <w:name w:val="List Bullet"/>
    <w:basedOn w:val="Normal"/>
    <w:autoRedefine/>
    <w:rsid w:val="004F58E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F58E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F58E0"/>
    <w:pPr>
      <w:ind w:left="566" w:hanging="283"/>
    </w:pPr>
  </w:style>
  <w:style w:type="paragraph" w:styleId="List3">
    <w:name w:val="List 3"/>
    <w:basedOn w:val="Normal"/>
    <w:rsid w:val="004F58E0"/>
    <w:pPr>
      <w:ind w:left="849" w:hanging="283"/>
    </w:pPr>
  </w:style>
  <w:style w:type="paragraph" w:styleId="List4">
    <w:name w:val="List 4"/>
    <w:basedOn w:val="Normal"/>
    <w:rsid w:val="004F58E0"/>
    <w:pPr>
      <w:ind w:left="1132" w:hanging="283"/>
    </w:pPr>
  </w:style>
  <w:style w:type="paragraph" w:styleId="List5">
    <w:name w:val="List 5"/>
    <w:basedOn w:val="Normal"/>
    <w:rsid w:val="004F58E0"/>
    <w:pPr>
      <w:ind w:left="1415" w:hanging="283"/>
    </w:pPr>
  </w:style>
  <w:style w:type="paragraph" w:styleId="ListBullet2">
    <w:name w:val="List Bullet 2"/>
    <w:basedOn w:val="Normal"/>
    <w:autoRedefine/>
    <w:rsid w:val="004F58E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F58E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F58E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F58E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F58E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F58E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F58E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F58E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F58E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F58E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F58E0"/>
    <w:pPr>
      <w:ind w:left="4252"/>
    </w:pPr>
  </w:style>
  <w:style w:type="character" w:customStyle="1" w:styleId="ClosingChar">
    <w:name w:val="Closing Char"/>
    <w:basedOn w:val="DefaultParagraphFont"/>
    <w:link w:val="Closing"/>
    <w:rsid w:val="004F58E0"/>
    <w:rPr>
      <w:sz w:val="22"/>
    </w:rPr>
  </w:style>
  <w:style w:type="paragraph" w:styleId="Signature">
    <w:name w:val="Signature"/>
    <w:basedOn w:val="Normal"/>
    <w:link w:val="SignatureChar"/>
    <w:rsid w:val="004F58E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F58E0"/>
    <w:rPr>
      <w:sz w:val="22"/>
    </w:rPr>
  </w:style>
  <w:style w:type="paragraph" w:styleId="BodyText">
    <w:name w:val="Body Text"/>
    <w:basedOn w:val="Normal"/>
    <w:link w:val="BodyTextChar"/>
    <w:rsid w:val="004F58E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F58E0"/>
    <w:rPr>
      <w:sz w:val="22"/>
    </w:rPr>
  </w:style>
  <w:style w:type="paragraph" w:styleId="BodyTextIndent">
    <w:name w:val="Body Text Indent"/>
    <w:basedOn w:val="Normal"/>
    <w:link w:val="BodyTextIndentChar"/>
    <w:rsid w:val="004F58E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F58E0"/>
    <w:rPr>
      <w:sz w:val="22"/>
    </w:rPr>
  </w:style>
  <w:style w:type="paragraph" w:styleId="ListContinue">
    <w:name w:val="List Continue"/>
    <w:basedOn w:val="Normal"/>
    <w:rsid w:val="004F58E0"/>
    <w:pPr>
      <w:spacing w:after="120"/>
      <w:ind w:left="283"/>
    </w:pPr>
  </w:style>
  <w:style w:type="paragraph" w:styleId="ListContinue2">
    <w:name w:val="List Continue 2"/>
    <w:basedOn w:val="Normal"/>
    <w:rsid w:val="004F58E0"/>
    <w:pPr>
      <w:spacing w:after="120"/>
      <w:ind w:left="566"/>
    </w:pPr>
  </w:style>
  <w:style w:type="paragraph" w:styleId="ListContinue3">
    <w:name w:val="List Continue 3"/>
    <w:basedOn w:val="Normal"/>
    <w:rsid w:val="004F58E0"/>
    <w:pPr>
      <w:spacing w:after="120"/>
      <w:ind w:left="849"/>
    </w:pPr>
  </w:style>
  <w:style w:type="paragraph" w:styleId="ListContinue4">
    <w:name w:val="List Continue 4"/>
    <w:basedOn w:val="Normal"/>
    <w:rsid w:val="004F58E0"/>
    <w:pPr>
      <w:spacing w:after="120"/>
      <w:ind w:left="1132"/>
    </w:pPr>
  </w:style>
  <w:style w:type="paragraph" w:styleId="ListContinue5">
    <w:name w:val="List Continue 5"/>
    <w:basedOn w:val="Normal"/>
    <w:rsid w:val="004F58E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F58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F58E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F58E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F58E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F58E0"/>
  </w:style>
  <w:style w:type="character" w:customStyle="1" w:styleId="SalutationChar">
    <w:name w:val="Salutation Char"/>
    <w:basedOn w:val="DefaultParagraphFont"/>
    <w:link w:val="Salutation"/>
    <w:rsid w:val="004F58E0"/>
    <w:rPr>
      <w:sz w:val="22"/>
    </w:rPr>
  </w:style>
  <w:style w:type="paragraph" w:styleId="Date">
    <w:name w:val="Date"/>
    <w:basedOn w:val="Normal"/>
    <w:next w:val="Normal"/>
    <w:link w:val="DateChar"/>
    <w:rsid w:val="004F58E0"/>
  </w:style>
  <w:style w:type="character" w:customStyle="1" w:styleId="DateChar">
    <w:name w:val="Date Char"/>
    <w:basedOn w:val="DefaultParagraphFont"/>
    <w:link w:val="Date"/>
    <w:rsid w:val="004F58E0"/>
    <w:rPr>
      <w:sz w:val="22"/>
    </w:rPr>
  </w:style>
  <w:style w:type="paragraph" w:styleId="BodyTextFirstIndent">
    <w:name w:val="Body Text First Indent"/>
    <w:basedOn w:val="BodyText"/>
    <w:link w:val="BodyTextFirstIndentChar"/>
    <w:rsid w:val="004F58E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F58E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F58E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F58E0"/>
    <w:rPr>
      <w:sz w:val="22"/>
    </w:rPr>
  </w:style>
  <w:style w:type="paragraph" w:styleId="BodyText2">
    <w:name w:val="Body Text 2"/>
    <w:basedOn w:val="Normal"/>
    <w:link w:val="BodyText2Char"/>
    <w:rsid w:val="004F58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F58E0"/>
    <w:rPr>
      <w:sz w:val="22"/>
    </w:rPr>
  </w:style>
  <w:style w:type="paragraph" w:styleId="BodyText3">
    <w:name w:val="Body Text 3"/>
    <w:basedOn w:val="Normal"/>
    <w:link w:val="BodyText3Char"/>
    <w:rsid w:val="004F58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F58E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F58E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F58E0"/>
    <w:rPr>
      <w:sz w:val="22"/>
    </w:rPr>
  </w:style>
  <w:style w:type="paragraph" w:styleId="BodyTextIndent3">
    <w:name w:val="Body Text Indent 3"/>
    <w:basedOn w:val="Normal"/>
    <w:link w:val="BodyTextIndent3Char"/>
    <w:rsid w:val="004F58E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F58E0"/>
    <w:rPr>
      <w:sz w:val="16"/>
      <w:szCs w:val="16"/>
    </w:rPr>
  </w:style>
  <w:style w:type="paragraph" w:styleId="BlockText">
    <w:name w:val="Block Text"/>
    <w:basedOn w:val="Normal"/>
    <w:rsid w:val="004F58E0"/>
    <w:pPr>
      <w:spacing w:after="120"/>
      <w:ind w:left="1440" w:right="1440"/>
    </w:pPr>
  </w:style>
  <w:style w:type="character" w:styleId="Hyperlink">
    <w:name w:val="Hyperlink"/>
    <w:basedOn w:val="DefaultParagraphFont"/>
    <w:rsid w:val="004F58E0"/>
    <w:rPr>
      <w:color w:val="0000FF"/>
      <w:u w:val="single"/>
    </w:rPr>
  </w:style>
  <w:style w:type="character" w:styleId="FollowedHyperlink">
    <w:name w:val="FollowedHyperlink"/>
    <w:basedOn w:val="DefaultParagraphFont"/>
    <w:rsid w:val="004F58E0"/>
    <w:rPr>
      <w:color w:val="800080"/>
      <w:u w:val="single"/>
    </w:rPr>
  </w:style>
  <w:style w:type="character" w:styleId="Strong">
    <w:name w:val="Strong"/>
    <w:basedOn w:val="DefaultParagraphFont"/>
    <w:qFormat/>
    <w:rsid w:val="004F58E0"/>
    <w:rPr>
      <w:b/>
      <w:bCs/>
    </w:rPr>
  </w:style>
  <w:style w:type="character" w:styleId="Emphasis">
    <w:name w:val="Emphasis"/>
    <w:basedOn w:val="DefaultParagraphFont"/>
    <w:qFormat/>
    <w:rsid w:val="004F58E0"/>
    <w:rPr>
      <w:i/>
      <w:iCs/>
    </w:rPr>
  </w:style>
  <w:style w:type="paragraph" w:styleId="DocumentMap">
    <w:name w:val="Document Map"/>
    <w:basedOn w:val="Normal"/>
    <w:link w:val="DocumentMapChar"/>
    <w:rsid w:val="004F58E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F58E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F58E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F58E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F58E0"/>
  </w:style>
  <w:style w:type="character" w:customStyle="1" w:styleId="E-mailSignatureChar">
    <w:name w:val="E-mail Signature Char"/>
    <w:basedOn w:val="DefaultParagraphFont"/>
    <w:link w:val="E-mailSignature"/>
    <w:rsid w:val="004F58E0"/>
    <w:rPr>
      <w:sz w:val="22"/>
    </w:rPr>
  </w:style>
  <w:style w:type="paragraph" w:styleId="NormalWeb">
    <w:name w:val="Normal (Web)"/>
    <w:basedOn w:val="Normal"/>
    <w:rsid w:val="004F58E0"/>
  </w:style>
  <w:style w:type="character" w:styleId="HTMLAcronym">
    <w:name w:val="HTML Acronym"/>
    <w:basedOn w:val="DefaultParagraphFont"/>
    <w:rsid w:val="004F58E0"/>
  </w:style>
  <w:style w:type="paragraph" w:styleId="HTMLAddress">
    <w:name w:val="HTML Address"/>
    <w:basedOn w:val="Normal"/>
    <w:link w:val="HTMLAddressChar"/>
    <w:rsid w:val="004F58E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F58E0"/>
    <w:rPr>
      <w:i/>
      <w:iCs/>
      <w:sz w:val="22"/>
    </w:rPr>
  </w:style>
  <w:style w:type="character" w:styleId="HTMLCite">
    <w:name w:val="HTML Cite"/>
    <w:basedOn w:val="DefaultParagraphFont"/>
    <w:rsid w:val="004F58E0"/>
    <w:rPr>
      <w:i/>
      <w:iCs/>
    </w:rPr>
  </w:style>
  <w:style w:type="character" w:styleId="HTMLCode">
    <w:name w:val="HTML Code"/>
    <w:basedOn w:val="DefaultParagraphFont"/>
    <w:rsid w:val="004F58E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F58E0"/>
    <w:rPr>
      <w:i/>
      <w:iCs/>
    </w:rPr>
  </w:style>
  <w:style w:type="character" w:styleId="HTMLKeyboard">
    <w:name w:val="HTML Keyboard"/>
    <w:basedOn w:val="DefaultParagraphFont"/>
    <w:rsid w:val="004F58E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F58E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F58E0"/>
    <w:rPr>
      <w:rFonts w:ascii="Courier New" w:hAnsi="Courier New" w:cs="Courier New"/>
    </w:rPr>
  </w:style>
  <w:style w:type="character" w:styleId="HTMLSample">
    <w:name w:val="HTML Sample"/>
    <w:basedOn w:val="DefaultParagraphFont"/>
    <w:rsid w:val="004F58E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F58E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F58E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F5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58E0"/>
    <w:rPr>
      <w:b/>
      <w:bCs/>
    </w:rPr>
  </w:style>
  <w:style w:type="numbering" w:styleId="1ai">
    <w:name w:val="Outline List 1"/>
    <w:basedOn w:val="NoList"/>
    <w:rsid w:val="004F58E0"/>
    <w:pPr>
      <w:numPr>
        <w:numId w:val="14"/>
      </w:numPr>
    </w:pPr>
  </w:style>
  <w:style w:type="numbering" w:styleId="111111">
    <w:name w:val="Outline List 2"/>
    <w:basedOn w:val="NoList"/>
    <w:rsid w:val="004F58E0"/>
    <w:pPr>
      <w:numPr>
        <w:numId w:val="15"/>
      </w:numPr>
    </w:pPr>
  </w:style>
  <w:style w:type="numbering" w:styleId="ArticleSection">
    <w:name w:val="Outline List 3"/>
    <w:basedOn w:val="NoList"/>
    <w:rsid w:val="004F58E0"/>
    <w:pPr>
      <w:numPr>
        <w:numId w:val="17"/>
      </w:numPr>
    </w:pPr>
  </w:style>
  <w:style w:type="table" w:styleId="TableSimple1">
    <w:name w:val="Table Simple 1"/>
    <w:basedOn w:val="TableNormal"/>
    <w:rsid w:val="004F58E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F58E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F58E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F58E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F58E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F58E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F58E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F58E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F58E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F58E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F58E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F58E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F58E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F58E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F58E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F58E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F58E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F58E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F58E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F58E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F58E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F58E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F58E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F58E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F58E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F58E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F58E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F58E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F58E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F58E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F58E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F58E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F58E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F58E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F58E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F58E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F58E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F58E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F58E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F58E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F58E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F58E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F58E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F58E0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2096</Words>
  <Characters>8618</Characters>
  <Application>Microsoft Office Word</Application>
  <DocSecurity>0</DocSecurity>
  <PresentationFormat/>
  <Lines>4309</Lines>
  <Paragraphs>1339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2020-12-01T06:03:00Z</cp:lastPrinted>
  <dcterms:created xsi:type="dcterms:W3CDTF">2021-04-08T01:28:00Z</dcterms:created>
  <dcterms:modified xsi:type="dcterms:W3CDTF">2021-04-08T01:28:00Z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(Financial Reporting) Amendment (2021 Measures No. 1) Rules 2021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OPC64997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29 March 2021</vt:lpwstr>
  </property>
</Properties>
</file>