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D5094" w14:textId="77777777" w:rsidR="00FA06CA" w:rsidRPr="00067ED7" w:rsidRDefault="00FA06CA" w:rsidP="00FA06CA">
      <w:pPr>
        <w:rPr>
          <w:sz w:val="28"/>
        </w:rPr>
      </w:pPr>
      <w:r w:rsidRPr="00067ED7">
        <w:rPr>
          <w:noProof/>
          <w:lang w:eastAsia="en-AU"/>
        </w:rPr>
        <w:drawing>
          <wp:inline distT="0" distB="0" distL="0" distR="0" wp14:anchorId="5AE3DAE8" wp14:editId="7251CBC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DF917E8" w14:textId="77777777" w:rsidR="00FA06CA" w:rsidRPr="00067ED7" w:rsidRDefault="00FA06CA" w:rsidP="00FA06CA">
      <w:pPr>
        <w:rPr>
          <w:sz w:val="19"/>
        </w:rPr>
      </w:pPr>
    </w:p>
    <w:p w14:paraId="4816E677" w14:textId="4B25A9B5" w:rsidR="00FA06CA" w:rsidRPr="00067ED7" w:rsidRDefault="005B07DA" w:rsidP="00FA06CA">
      <w:pPr>
        <w:pStyle w:val="ShortT"/>
      </w:pPr>
      <w:r w:rsidRPr="00067ED7">
        <w:t>Banking Executive Accountability Regime</w:t>
      </w:r>
      <w:r w:rsidR="00997FF7">
        <w:t xml:space="preserve"> (Size of an Authorised Deposit-</w:t>
      </w:r>
      <w:r w:rsidRPr="00067ED7">
        <w:t>taking Institution) Determination</w:t>
      </w:r>
      <w:r w:rsidR="00067ED7" w:rsidRPr="00067ED7">
        <w:t> </w:t>
      </w:r>
      <w:r w:rsidRPr="00067ED7">
        <w:t>2021</w:t>
      </w:r>
    </w:p>
    <w:p w14:paraId="31942C23" w14:textId="2FEFD5A9" w:rsidR="00FA06CA" w:rsidRPr="00067ED7" w:rsidRDefault="005B07DA" w:rsidP="00FA06CA">
      <w:pPr>
        <w:pStyle w:val="SignCoverPageStart"/>
        <w:spacing w:before="240"/>
        <w:rPr>
          <w:szCs w:val="22"/>
        </w:rPr>
      </w:pPr>
      <w:r w:rsidRPr="00067ED7">
        <w:rPr>
          <w:szCs w:val="22"/>
        </w:rPr>
        <w:t xml:space="preserve">I, Josh </w:t>
      </w:r>
      <w:proofErr w:type="spellStart"/>
      <w:r w:rsidRPr="00067ED7">
        <w:rPr>
          <w:szCs w:val="22"/>
        </w:rPr>
        <w:t>Frydenberg</w:t>
      </w:r>
      <w:proofErr w:type="spellEnd"/>
      <w:r w:rsidRPr="00067ED7">
        <w:rPr>
          <w:szCs w:val="22"/>
        </w:rPr>
        <w:t>, Treasurer, make the following determination.</w:t>
      </w:r>
    </w:p>
    <w:p w14:paraId="1C6E0A71" w14:textId="70F43656" w:rsidR="00FA06CA" w:rsidRPr="00067ED7" w:rsidRDefault="00C20763" w:rsidP="00FA06CA">
      <w:pPr>
        <w:keepNext/>
        <w:spacing w:before="720" w:line="240" w:lineRule="atLeast"/>
        <w:ind w:right="397"/>
        <w:jc w:val="both"/>
        <w:rPr>
          <w:szCs w:val="22"/>
        </w:rPr>
      </w:pPr>
      <w:r>
        <w:rPr>
          <w:szCs w:val="22"/>
        </w:rPr>
        <w:t xml:space="preserve">Dated </w:t>
      </w:r>
      <w:r w:rsidR="000D3A17">
        <w:rPr>
          <w:szCs w:val="22"/>
        </w:rPr>
        <w:t>30 March 2021</w:t>
      </w:r>
    </w:p>
    <w:p w14:paraId="402E4700" w14:textId="7B5D7CCF" w:rsidR="00FA06CA" w:rsidRPr="00067ED7" w:rsidRDefault="00FA06CA" w:rsidP="00FA06CA">
      <w:pPr>
        <w:keepNext/>
        <w:tabs>
          <w:tab w:val="left" w:pos="3402"/>
        </w:tabs>
        <w:spacing w:before="840" w:after="1080" w:line="300" w:lineRule="atLeast"/>
        <w:ind w:right="397"/>
        <w:rPr>
          <w:szCs w:val="22"/>
        </w:rPr>
      </w:pPr>
    </w:p>
    <w:p w14:paraId="4A66A5D0" w14:textId="2E5C5234" w:rsidR="00FA06CA" w:rsidRPr="00067ED7" w:rsidRDefault="005B07DA" w:rsidP="00FA06CA">
      <w:pPr>
        <w:keepNext/>
        <w:tabs>
          <w:tab w:val="left" w:pos="3402"/>
        </w:tabs>
        <w:spacing w:before="480" w:line="300" w:lineRule="atLeast"/>
        <w:ind w:right="397"/>
        <w:rPr>
          <w:szCs w:val="22"/>
        </w:rPr>
      </w:pPr>
      <w:r w:rsidRPr="00067ED7">
        <w:rPr>
          <w:szCs w:val="22"/>
        </w:rPr>
        <w:t xml:space="preserve">Josh </w:t>
      </w:r>
      <w:proofErr w:type="spellStart"/>
      <w:r w:rsidRPr="00067ED7">
        <w:rPr>
          <w:szCs w:val="22"/>
        </w:rPr>
        <w:t>Frydenberg</w:t>
      </w:r>
      <w:proofErr w:type="spellEnd"/>
    </w:p>
    <w:p w14:paraId="5EF3FC18" w14:textId="47FCD9B3" w:rsidR="00FA06CA" w:rsidRPr="00067ED7" w:rsidRDefault="005B07DA" w:rsidP="00FA06CA">
      <w:pPr>
        <w:pStyle w:val="SignCoverPageEnd"/>
        <w:rPr>
          <w:szCs w:val="22"/>
        </w:rPr>
      </w:pPr>
      <w:r w:rsidRPr="00067ED7">
        <w:rPr>
          <w:szCs w:val="22"/>
        </w:rPr>
        <w:t>Treasurer</w:t>
      </w:r>
    </w:p>
    <w:p w14:paraId="511B1543" w14:textId="77777777" w:rsidR="00FA06CA" w:rsidRPr="00067ED7" w:rsidRDefault="00FA06CA" w:rsidP="00FA06CA"/>
    <w:p w14:paraId="170B7E70" w14:textId="77777777" w:rsidR="00FA06CA" w:rsidRPr="00067ED7" w:rsidRDefault="00FA06CA" w:rsidP="00FA06CA">
      <w:pPr>
        <w:pStyle w:val="Header"/>
        <w:tabs>
          <w:tab w:val="clear" w:pos="4150"/>
          <w:tab w:val="clear" w:pos="8307"/>
        </w:tabs>
      </w:pPr>
      <w:r w:rsidRPr="00067ED7">
        <w:rPr>
          <w:rStyle w:val="CharChapNo"/>
        </w:rPr>
        <w:t xml:space="preserve"> </w:t>
      </w:r>
      <w:r w:rsidRPr="00067ED7">
        <w:rPr>
          <w:rStyle w:val="CharChapText"/>
        </w:rPr>
        <w:t xml:space="preserve"> </w:t>
      </w:r>
    </w:p>
    <w:p w14:paraId="2EFE5306" w14:textId="77777777" w:rsidR="00FA06CA" w:rsidRPr="00067ED7" w:rsidRDefault="00FA06CA" w:rsidP="00FA06CA">
      <w:pPr>
        <w:pStyle w:val="Header"/>
        <w:tabs>
          <w:tab w:val="clear" w:pos="4150"/>
          <w:tab w:val="clear" w:pos="8307"/>
        </w:tabs>
      </w:pPr>
      <w:r w:rsidRPr="00067ED7">
        <w:rPr>
          <w:rStyle w:val="CharPartNo"/>
        </w:rPr>
        <w:t xml:space="preserve"> </w:t>
      </w:r>
      <w:r w:rsidRPr="00067ED7">
        <w:rPr>
          <w:rStyle w:val="CharPartText"/>
        </w:rPr>
        <w:t xml:space="preserve"> </w:t>
      </w:r>
    </w:p>
    <w:p w14:paraId="6DC3D9D4" w14:textId="77777777" w:rsidR="00FA06CA" w:rsidRPr="00067ED7" w:rsidRDefault="00FA06CA" w:rsidP="00FA06CA">
      <w:pPr>
        <w:pStyle w:val="Header"/>
        <w:tabs>
          <w:tab w:val="clear" w:pos="4150"/>
          <w:tab w:val="clear" w:pos="8307"/>
        </w:tabs>
      </w:pPr>
      <w:r w:rsidRPr="00067ED7">
        <w:rPr>
          <w:rStyle w:val="CharDivNo"/>
        </w:rPr>
        <w:t xml:space="preserve"> </w:t>
      </w:r>
      <w:r w:rsidRPr="00067ED7">
        <w:rPr>
          <w:rStyle w:val="CharDivText"/>
        </w:rPr>
        <w:t xml:space="preserve"> </w:t>
      </w:r>
    </w:p>
    <w:p w14:paraId="0D889341" w14:textId="77777777" w:rsidR="00FA06CA" w:rsidRPr="00067ED7" w:rsidRDefault="00FA06CA" w:rsidP="00FA06CA">
      <w:pPr>
        <w:sectPr w:rsidR="00FA06CA" w:rsidRPr="00067ED7" w:rsidSect="00067ED7">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4B85D431" w14:textId="77777777" w:rsidR="00FA06CA" w:rsidRPr="00067ED7" w:rsidRDefault="00FA06CA" w:rsidP="00067ED7">
      <w:pPr>
        <w:rPr>
          <w:sz w:val="36"/>
        </w:rPr>
      </w:pPr>
      <w:r w:rsidRPr="00067ED7">
        <w:rPr>
          <w:sz w:val="36"/>
        </w:rPr>
        <w:lastRenderedPageBreak/>
        <w:t>Contents</w:t>
      </w:r>
    </w:p>
    <w:p w14:paraId="4CFDC426" w14:textId="54AEBC60" w:rsidR="007148C3" w:rsidRDefault="00FA06CA">
      <w:pPr>
        <w:pStyle w:val="TOC2"/>
        <w:rPr>
          <w:rFonts w:asciiTheme="minorHAnsi" w:eastAsiaTheme="minorEastAsia" w:hAnsiTheme="minorHAnsi" w:cstheme="minorBidi"/>
          <w:b w:val="0"/>
          <w:noProof/>
          <w:kern w:val="0"/>
          <w:sz w:val="22"/>
          <w:szCs w:val="22"/>
        </w:rPr>
      </w:pPr>
      <w:r w:rsidRPr="00067ED7">
        <w:fldChar w:fldCharType="begin"/>
      </w:r>
      <w:r w:rsidRPr="00067ED7">
        <w:instrText xml:space="preserve"> TOC \o "1-9" </w:instrText>
      </w:r>
      <w:r w:rsidRPr="00067ED7">
        <w:fldChar w:fldCharType="separate"/>
      </w:r>
      <w:r w:rsidR="007148C3">
        <w:rPr>
          <w:noProof/>
        </w:rPr>
        <w:t>Part 1—Preliminary</w:t>
      </w:r>
      <w:r w:rsidR="007148C3">
        <w:rPr>
          <w:noProof/>
        </w:rPr>
        <w:tab/>
      </w:r>
      <w:r w:rsidR="007148C3" w:rsidRPr="007148C3">
        <w:rPr>
          <w:b w:val="0"/>
          <w:noProof/>
          <w:sz w:val="18"/>
        </w:rPr>
        <w:fldChar w:fldCharType="begin"/>
      </w:r>
      <w:r w:rsidR="007148C3" w:rsidRPr="007148C3">
        <w:rPr>
          <w:b w:val="0"/>
          <w:noProof/>
          <w:sz w:val="18"/>
        </w:rPr>
        <w:instrText xml:space="preserve"> PAGEREF _Toc64883760 \h </w:instrText>
      </w:r>
      <w:r w:rsidR="007148C3" w:rsidRPr="007148C3">
        <w:rPr>
          <w:b w:val="0"/>
          <w:noProof/>
          <w:sz w:val="18"/>
        </w:rPr>
      </w:r>
      <w:r w:rsidR="007148C3" w:rsidRPr="007148C3">
        <w:rPr>
          <w:b w:val="0"/>
          <w:noProof/>
          <w:sz w:val="18"/>
        </w:rPr>
        <w:fldChar w:fldCharType="separate"/>
      </w:r>
      <w:r w:rsidR="007C25FC">
        <w:rPr>
          <w:b w:val="0"/>
          <w:noProof/>
          <w:sz w:val="18"/>
        </w:rPr>
        <w:t>1</w:t>
      </w:r>
      <w:r w:rsidR="007148C3" w:rsidRPr="007148C3">
        <w:rPr>
          <w:b w:val="0"/>
          <w:noProof/>
          <w:sz w:val="18"/>
        </w:rPr>
        <w:fldChar w:fldCharType="end"/>
      </w:r>
    </w:p>
    <w:p w14:paraId="3E5AB30E" w14:textId="43540ABC" w:rsidR="007148C3" w:rsidRDefault="007148C3">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_Toc64883761 \h </w:instrText>
      </w:r>
      <w:r>
        <w:rPr>
          <w:noProof/>
        </w:rPr>
      </w:r>
      <w:r>
        <w:rPr>
          <w:noProof/>
        </w:rPr>
        <w:fldChar w:fldCharType="separate"/>
      </w:r>
      <w:r w:rsidR="007C25FC">
        <w:rPr>
          <w:noProof/>
        </w:rPr>
        <w:t>1</w:t>
      </w:r>
      <w:r>
        <w:rPr>
          <w:noProof/>
        </w:rPr>
        <w:fldChar w:fldCharType="end"/>
      </w:r>
    </w:p>
    <w:p w14:paraId="38940457" w14:textId="6F774A29" w:rsidR="007148C3" w:rsidRDefault="007148C3">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_Toc64883762 \h </w:instrText>
      </w:r>
      <w:r>
        <w:rPr>
          <w:noProof/>
        </w:rPr>
      </w:r>
      <w:r>
        <w:rPr>
          <w:noProof/>
        </w:rPr>
        <w:fldChar w:fldCharType="separate"/>
      </w:r>
      <w:r w:rsidR="007C25FC">
        <w:rPr>
          <w:noProof/>
        </w:rPr>
        <w:t>1</w:t>
      </w:r>
      <w:r>
        <w:rPr>
          <w:noProof/>
        </w:rPr>
        <w:fldChar w:fldCharType="end"/>
      </w:r>
    </w:p>
    <w:p w14:paraId="217758CC" w14:textId="100B52AB" w:rsidR="007148C3" w:rsidRDefault="007148C3">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_Toc64883763 \h </w:instrText>
      </w:r>
      <w:r>
        <w:rPr>
          <w:noProof/>
        </w:rPr>
      </w:r>
      <w:r>
        <w:rPr>
          <w:noProof/>
        </w:rPr>
        <w:fldChar w:fldCharType="separate"/>
      </w:r>
      <w:r w:rsidR="007C25FC">
        <w:rPr>
          <w:noProof/>
        </w:rPr>
        <w:t>1</w:t>
      </w:r>
      <w:r>
        <w:rPr>
          <w:noProof/>
        </w:rPr>
        <w:fldChar w:fldCharType="end"/>
      </w:r>
    </w:p>
    <w:p w14:paraId="7A963FC1" w14:textId="492E7B02" w:rsidR="007148C3" w:rsidRDefault="007148C3">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_Toc64883764 \h </w:instrText>
      </w:r>
      <w:r>
        <w:rPr>
          <w:noProof/>
        </w:rPr>
      </w:r>
      <w:r>
        <w:rPr>
          <w:noProof/>
        </w:rPr>
        <w:fldChar w:fldCharType="separate"/>
      </w:r>
      <w:r w:rsidR="007C25FC">
        <w:rPr>
          <w:noProof/>
        </w:rPr>
        <w:t>1</w:t>
      </w:r>
      <w:r>
        <w:rPr>
          <w:noProof/>
        </w:rPr>
        <w:fldChar w:fldCharType="end"/>
      </w:r>
    </w:p>
    <w:p w14:paraId="7118D169" w14:textId="6B59EA2F" w:rsidR="007148C3" w:rsidRDefault="007148C3">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_Toc64883765 \h </w:instrText>
      </w:r>
      <w:r>
        <w:rPr>
          <w:noProof/>
        </w:rPr>
      </w:r>
      <w:r>
        <w:rPr>
          <w:noProof/>
        </w:rPr>
        <w:fldChar w:fldCharType="separate"/>
      </w:r>
      <w:r w:rsidR="007C25FC">
        <w:rPr>
          <w:noProof/>
        </w:rPr>
        <w:t>1</w:t>
      </w:r>
      <w:r>
        <w:rPr>
          <w:noProof/>
        </w:rPr>
        <w:fldChar w:fldCharType="end"/>
      </w:r>
    </w:p>
    <w:p w14:paraId="6026A48D" w14:textId="2C08D25E" w:rsidR="007148C3" w:rsidRDefault="007148C3">
      <w:pPr>
        <w:pStyle w:val="TOC2"/>
        <w:rPr>
          <w:rFonts w:asciiTheme="minorHAnsi" w:eastAsiaTheme="minorEastAsia" w:hAnsiTheme="minorHAnsi" w:cstheme="minorBidi"/>
          <w:b w:val="0"/>
          <w:noProof/>
          <w:kern w:val="0"/>
          <w:sz w:val="22"/>
          <w:szCs w:val="22"/>
        </w:rPr>
      </w:pPr>
      <w:r>
        <w:rPr>
          <w:noProof/>
        </w:rPr>
        <w:t>Part 2—Determining the size of an ADI</w:t>
      </w:r>
      <w:r>
        <w:rPr>
          <w:noProof/>
        </w:rPr>
        <w:tab/>
      </w:r>
      <w:r w:rsidRPr="007148C3">
        <w:rPr>
          <w:b w:val="0"/>
          <w:noProof/>
          <w:sz w:val="18"/>
        </w:rPr>
        <w:fldChar w:fldCharType="begin"/>
      </w:r>
      <w:r w:rsidRPr="007148C3">
        <w:rPr>
          <w:b w:val="0"/>
          <w:noProof/>
          <w:sz w:val="18"/>
        </w:rPr>
        <w:instrText xml:space="preserve"> PAGEREF _Toc64883766 \h </w:instrText>
      </w:r>
      <w:r w:rsidRPr="007148C3">
        <w:rPr>
          <w:b w:val="0"/>
          <w:noProof/>
          <w:sz w:val="18"/>
        </w:rPr>
      </w:r>
      <w:r w:rsidRPr="007148C3">
        <w:rPr>
          <w:b w:val="0"/>
          <w:noProof/>
          <w:sz w:val="18"/>
        </w:rPr>
        <w:fldChar w:fldCharType="separate"/>
      </w:r>
      <w:r w:rsidR="007C25FC">
        <w:rPr>
          <w:b w:val="0"/>
          <w:noProof/>
          <w:sz w:val="18"/>
        </w:rPr>
        <w:t>3</w:t>
      </w:r>
      <w:r w:rsidRPr="007148C3">
        <w:rPr>
          <w:b w:val="0"/>
          <w:noProof/>
          <w:sz w:val="18"/>
        </w:rPr>
        <w:fldChar w:fldCharType="end"/>
      </w:r>
    </w:p>
    <w:p w14:paraId="4583955B" w14:textId="345E93C2" w:rsidR="007148C3" w:rsidRDefault="007148C3">
      <w:pPr>
        <w:pStyle w:val="TOC5"/>
        <w:rPr>
          <w:rFonts w:asciiTheme="minorHAnsi" w:eastAsiaTheme="minorEastAsia" w:hAnsiTheme="minorHAnsi" w:cstheme="minorBidi"/>
          <w:noProof/>
          <w:kern w:val="0"/>
          <w:sz w:val="22"/>
          <w:szCs w:val="22"/>
        </w:rPr>
      </w:pPr>
      <w:r>
        <w:rPr>
          <w:noProof/>
        </w:rPr>
        <w:t>6  Size of an ADI</w:t>
      </w:r>
      <w:r>
        <w:rPr>
          <w:noProof/>
        </w:rPr>
        <w:tab/>
      </w:r>
      <w:r>
        <w:rPr>
          <w:noProof/>
        </w:rPr>
        <w:fldChar w:fldCharType="begin"/>
      </w:r>
      <w:r>
        <w:rPr>
          <w:noProof/>
        </w:rPr>
        <w:instrText xml:space="preserve"> PAGEREF _Toc64883767 \h </w:instrText>
      </w:r>
      <w:r>
        <w:rPr>
          <w:noProof/>
        </w:rPr>
      </w:r>
      <w:r>
        <w:rPr>
          <w:noProof/>
        </w:rPr>
        <w:fldChar w:fldCharType="separate"/>
      </w:r>
      <w:r w:rsidR="007C25FC">
        <w:rPr>
          <w:noProof/>
        </w:rPr>
        <w:t>3</w:t>
      </w:r>
      <w:r>
        <w:rPr>
          <w:noProof/>
        </w:rPr>
        <w:fldChar w:fldCharType="end"/>
      </w:r>
    </w:p>
    <w:p w14:paraId="64059F9E" w14:textId="5154CE63" w:rsidR="007148C3" w:rsidRDefault="007148C3">
      <w:pPr>
        <w:pStyle w:val="TOC5"/>
        <w:rPr>
          <w:rFonts w:asciiTheme="minorHAnsi" w:eastAsiaTheme="minorEastAsia" w:hAnsiTheme="minorHAnsi" w:cstheme="minorBidi"/>
          <w:noProof/>
          <w:kern w:val="0"/>
          <w:sz w:val="22"/>
          <w:szCs w:val="22"/>
        </w:rPr>
      </w:pPr>
      <w:r>
        <w:rPr>
          <w:noProof/>
        </w:rPr>
        <w:t>7  Total resident assets value</w:t>
      </w:r>
      <w:r>
        <w:rPr>
          <w:noProof/>
        </w:rPr>
        <w:tab/>
      </w:r>
      <w:r>
        <w:rPr>
          <w:noProof/>
        </w:rPr>
        <w:fldChar w:fldCharType="begin"/>
      </w:r>
      <w:r>
        <w:rPr>
          <w:noProof/>
        </w:rPr>
        <w:instrText xml:space="preserve"> PAGEREF _Toc64883768 \h </w:instrText>
      </w:r>
      <w:r>
        <w:rPr>
          <w:noProof/>
        </w:rPr>
      </w:r>
      <w:r>
        <w:rPr>
          <w:noProof/>
        </w:rPr>
        <w:fldChar w:fldCharType="separate"/>
      </w:r>
      <w:r w:rsidR="007C25FC">
        <w:rPr>
          <w:noProof/>
        </w:rPr>
        <w:t>3</w:t>
      </w:r>
      <w:r>
        <w:rPr>
          <w:noProof/>
        </w:rPr>
        <w:fldChar w:fldCharType="end"/>
      </w:r>
    </w:p>
    <w:p w14:paraId="46C96F40" w14:textId="3D5559AD" w:rsidR="007148C3" w:rsidRDefault="007148C3">
      <w:pPr>
        <w:pStyle w:val="TOC5"/>
        <w:rPr>
          <w:rFonts w:asciiTheme="minorHAnsi" w:eastAsiaTheme="minorEastAsia" w:hAnsiTheme="minorHAnsi" w:cstheme="minorBidi"/>
          <w:noProof/>
          <w:kern w:val="0"/>
          <w:sz w:val="22"/>
          <w:szCs w:val="22"/>
        </w:rPr>
      </w:pPr>
      <w:r>
        <w:rPr>
          <w:noProof/>
        </w:rPr>
        <w:t>8  Reporting Standards</w:t>
      </w:r>
      <w:r>
        <w:rPr>
          <w:noProof/>
        </w:rPr>
        <w:tab/>
      </w:r>
      <w:r>
        <w:rPr>
          <w:noProof/>
        </w:rPr>
        <w:fldChar w:fldCharType="begin"/>
      </w:r>
      <w:r>
        <w:rPr>
          <w:noProof/>
        </w:rPr>
        <w:instrText xml:space="preserve"> PAGEREF _Toc64883769 \h </w:instrText>
      </w:r>
      <w:r>
        <w:rPr>
          <w:noProof/>
        </w:rPr>
      </w:r>
      <w:r>
        <w:rPr>
          <w:noProof/>
        </w:rPr>
        <w:fldChar w:fldCharType="separate"/>
      </w:r>
      <w:r w:rsidR="007C25FC">
        <w:rPr>
          <w:noProof/>
        </w:rPr>
        <w:t>4</w:t>
      </w:r>
      <w:r>
        <w:rPr>
          <w:noProof/>
        </w:rPr>
        <w:fldChar w:fldCharType="end"/>
      </w:r>
    </w:p>
    <w:p w14:paraId="38BDD7F2" w14:textId="4AC94713" w:rsidR="007148C3" w:rsidRDefault="007148C3">
      <w:pPr>
        <w:pStyle w:val="TOC5"/>
        <w:rPr>
          <w:rFonts w:asciiTheme="minorHAnsi" w:eastAsiaTheme="minorEastAsia" w:hAnsiTheme="minorHAnsi" w:cstheme="minorBidi"/>
          <w:noProof/>
          <w:kern w:val="0"/>
          <w:sz w:val="22"/>
          <w:szCs w:val="22"/>
        </w:rPr>
      </w:pPr>
      <w:r>
        <w:rPr>
          <w:noProof/>
        </w:rPr>
        <w:t>9  Indexation of thresholds</w:t>
      </w:r>
      <w:r>
        <w:rPr>
          <w:noProof/>
        </w:rPr>
        <w:tab/>
      </w:r>
      <w:r>
        <w:rPr>
          <w:noProof/>
        </w:rPr>
        <w:fldChar w:fldCharType="begin"/>
      </w:r>
      <w:r>
        <w:rPr>
          <w:noProof/>
        </w:rPr>
        <w:instrText xml:space="preserve"> PAGEREF _Toc64883770 \h </w:instrText>
      </w:r>
      <w:r>
        <w:rPr>
          <w:noProof/>
        </w:rPr>
      </w:r>
      <w:r>
        <w:rPr>
          <w:noProof/>
        </w:rPr>
        <w:fldChar w:fldCharType="separate"/>
      </w:r>
      <w:r w:rsidR="007C25FC">
        <w:rPr>
          <w:noProof/>
        </w:rPr>
        <w:t>5</w:t>
      </w:r>
      <w:r>
        <w:rPr>
          <w:noProof/>
        </w:rPr>
        <w:fldChar w:fldCharType="end"/>
      </w:r>
    </w:p>
    <w:p w14:paraId="661235C1" w14:textId="10CD9BE7" w:rsidR="007148C3" w:rsidRDefault="007148C3">
      <w:pPr>
        <w:pStyle w:val="TOC6"/>
        <w:rPr>
          <w:rFonts w:asciiTheme="minorHAnsi" w:eastAsiaTheme="minorEastAsia" w:hAnsiTheme="minorHAnsi" w:cstheme="minorBidi"/>
          <w:b w:val="0"/>
          <w:noProof/>
          <w:kern w:val="0"/>
          <w:sz w:val="22"/>
          <w:szCs w:val="22"/>
        </w:rPr>
      </w:pPr>
      <w:r>
        <w:rPr>
          <w:noProof/>
        </w:rPr>
        <w:t>Schedule 1—Repeals</w:t>
      </w:r>
      <w:r>
        <w:rPr>
          <w:noProof/>
        </w:rPr>
        <w:tab/>
      </w:r>
      <w:r w:rsidRPr="007148C3">
        <w:rPr>
          <w:b w:val="0"/>
          <w:noProof/>
          <w:sz w:val="18"/>
        </w:rPr>
        <w:fldChar w:fldCharType="begin"/>
      </w:r>
      <w:r w:rsidRPr="007148C3">
        <w:rPr>
          <w:b w:val="0"/>
          <w:noProof/>
          <w:sz w:val="18"/>
        </w:rPr>
        <w:instrText xml:space="preserve"> PAGEREF _Toc64883771 \h </w:instrText>
      </w:r>
      <w:r w:rsidRPr="007148C3">
        <w:rPr>
          <w:b w:val="0"/>
          <w:noProof/>
          <w:sz w:val="18"/>
        </w:rPr>
      </w:r>
      <w:r w:rsidRPr="007148C3">
        <w:rPr>
          <w:b w:val="0"/>
          <w:noProof/>
          <w:sz w:val="18"/>
        </w:rPr>
        <w:fldChar w:fldCharType="separate"/>
      </w:r>
      <w:r w:rsidR="007C25FC">
        <w:rPr>
          <w:b w:val="0"/>
          <w:noProof/>
          <w:sz w:val="18"/>
        </w:rPr>
        <w:t>6</w:t>
      </w:r>
      <w:r w:rsidRPr="007148C3">
        <w:rPr>
          <w:b w:val="0"/>
          <w:noProof/>
          <w:sz w:val="18"/>
        </w:rPr>
        <w:fldChar w:fldCharType="end"/>
      </w:r>
    </w:p>
    <w:p w14:paraId="63A51AF5" w14:textId="2477C59F" w:rsidR="007148C3" w:rsidRDefault="007148C3">
      <w:pPr>
        <w:pStyle w:val="TOC9"/>
        <w:rPr>
          <w:rFonts w:asciiTheme="minorHAnsi" w:eastAsiaTheme="minorEastAsia" w:hAnsiTheme="minorHAnsi" w:cstheme="minorBidi"/>
          <w:i w:val="0"/>
          <w:noProof/>
          <w:kern w:val="0"/>
          <w:sz w:val="22"/>
          <w:szCs w:val="22"/>
        </w:rPr>
      </w:pPr>
      <w:r>
        <w:rPr>
          <w:noProof/>
        </w:rPr>
        <w:t>Banking Executive Accountability Regime (Size of an Authorised Deposit</w:t>
      </w:r>
      <w:r>
        <w:rPr>
          <w:noProof/>
        </w:rPr>
        <w:noBreakHyphen/>
        <w:t>taking Institution) Determination 2018 [</w:t>
      </w:r>
      <w:r w:rsidRPr="00CA7A6B">
        <w:rPr>
          <w:bCs/>
          <w:noProof/>
        </w:rPr>
        <w:t>F2018L00651</w:t>
      </w:r>
      <w:r>
        <w:rPr>
          <w:noProof/>
        </w:rPr>
        <w:t>]</w:t>
      </w:r>
      <w:r>
        <w:rPr>
          <w:noProof/>
        </w:rPr>
        <w:tab/>
      </w:r>
      <w:r w:rsidRPr="007148C3">
        <w:rPr>
          <w:i w:val="0"/>
          <w:noProof/>
          <w:sz w:val="18"/>
        </w:rPr>
        <w:fldChar w:fldCharType="begin"/>
      </w:r>
      <w:r w:rsidRPr="007148C3">
        <w:rPr>
          <w:i w:val="0"/>
          <w:noProof/>
          <w:sz w:val="18"/>
        </w:rPr>
        <w:instrText xml:space="preserve"> PAGEREF _Toc64883772 \h </w:instrText>
      </w:r>
      <w:r w:rsidRPr="007148C3">
        <w:rPr>
          <w:i w:val="0"/>
          <w:noProof/>
          <w:sz w:val="18"/>
        </w:rPr>
      </w:r>
      <w:r w:rsidRPr="007148C3">
        <w:rPr>
          <w:i w:val="0"/>
          <w:noProof/>
          <w:sz w:val="18"/>
        </w:rPr>
        <w:fldChar w:fldCharType="separate"/>
      </w:r>
      <w:r w:rsidR="007C25FC">
        <w:rPr>
          <w:i w:val="0"/>
          <w:noProof/>
          <w:sz w:val="18"/>
        </w:rPr>
        <w:t>6</w:t>
      </w:r>
      <w:r w:rsidRPr="007148C3">
        <w:rPr>
          <w:i w:val="0"/>
          <w:noProof/>
          <w:sz w:val="18"/>
        </w:rPr>
        <w:fldChar w:fldCharType="end"/>
      </w:r>
    </w:p>
    <w:p w14:paraId="6333CA76" w14:textId="50080DC8" w:rsidR="00FA06CA" w:rsidRPr="00067ED7" w:rsidRDefault="00FA06CA" w:rsidP="00FA06CA">
      <w:r w:rsidRPr="00067ED7">
        <w:fldChar w:fldCharType="end"/>
      </w:r>
    </w:p>
    <w:p w14:paraId="54EAEEA8" w14:textId="77777777" w:rsidR="00FA06CA" w:rsidRPr="00067ED7" w:rsidRDefault="00FA06CA" w:rsidP="00FA06CA">
      <w:pPr>
        <w:sectPr w:rsidR="00FA06CA" w:rsidRPr="00067ED7" w:rsidSect="00067ED7">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p>
    <w:p w14:paraId="53D2949F" w14:textId="3CB31533" w:rsidR="00FA06CA" w:rsidRPr="00067ED7" w:rsidRDefault="00FA06CA" w:rsidP="00FA06CA">
      <w:pPr>
        <w:pStyle w:val="ActHead2"/>
      </w:pPr>
      <w:bookmarkStart w:id="24" w:name="_Toc64883760"/>
      <w:r w:rsidRPr="00067ED7">
        <w:rPr>
          <w:rStyle w:val="CharPartNo"/>
        </w:rPr>
        <w:lastRenderedPageBreak/>
        <w:t>Part</w:t>
      </w:r>
      <w:r w:rsidR="00067ED7" w:rsidRPr="00067ED7">
        <w:rPr>
          <w:rStyle w:val="CharPartNo"/>
        </w:rPr>
        <w:t> </w:t>
      </w:r>
      <w:r w:rsidRPr="00067ED7">
        <w:rPr>
          <w:rStyle w:val="CharPartNo"/>
        </w:rPr>
        <w:t>1</w:t>
      </w:r>
      <w:r w:rsidRPr="00067ED7">
        <w:t>—</w:t>
      </w:r>
      <w:r w:rsidRPr="00067ED7">
        <w:rPr>
          <w:rStyle w:val="CharPartText"/>
        </w:rPr>
        <w:t>Preliminary</w:t>
      </w:r>
      <w:bookmarkEnd w:id="24"/>
    </w:p>
    <w:p w14:paraId="509C7FB0" w14:textId="77777777" w:rsidR="00FA06CA" w:rsidRPr="00067ED7" w:rsidRDefault="00FA06CA" w:rsidP="00FA06CA">
      <w:pPr>
        <w:pStyle w:val="Header"/>
      </w:pPr>
      <w:r w:rsidRPr="00067ED7">
        <w:rPr>
          <w:rStyle w:val="CharDivNo"/>
        </w:rPr>
        <w:t xml:space="preserve"> </w:t>
      </w:r>
      <w:r w:rsidRPr="00067ED7">
        <w:rPr>
          <w:rStyle w:val="CharDivText"/>
        </w:rPr>
        <w:t xml:space="preserve"> </w:t>
      </w:r>
    </w:p>
    <w:p w14:paraId="1EDB5A4E" w14:textId="77777777" w:rsidR="00FA06CA" w:rsidRPr="00067ED7" w:rsidRDefault="00FA06CA" w:rsidP="00FA06CA">
      <w:pPr>
        <w:pStyle w:val="ActHead5"/>
      </w:pPr>
      <w:bookmarkStart w:id="25" w:name="_Toc64883761"/>
      <w:proofErr w:type="gramStart"/>
      <w:r w:rsidRPr="00067ED7">
        <w:rPr>
          <w:rStyle w:val="CharSectno"/>
        </w:rPr>
        <w:t>1</w:t>
      </w:r>
      <w:r w:rsidRPr="00067ED7">
        <w:t xml:space="preserve">  Name</w:t>
      </w:r>
      <w:bookmarkEnd w:id="25"/>
      <w:proofErr w:type="gramEnd"/>
    </w:p>
    <w:p w14:paraId="6024343B" w14:textId="2F772263" w:rsidR="00FA06CA" w:rsidRPr="00067ED7" w:rsidRDefault="00FA06CA" w:rsidP="00FA06CA">
      <w:pPr>
        <w:pStyle w:val="subsection"/>
      </w:pPr>
      <w:r w:rsidRPr="00067ED7">
        <w:tab/>
      </w:r>
      <w:r w:rsidRPr="00067ED7">
        <w:tab/>
        <w:t xml:space="preserve">This instrument is the </w:t>
      </w:r>
      <w:r w:rsidR="005B07DA" w:rsidRPr="00067ED7">
        <w:rPr>
          <w:i/>
          <w:noProof/>
        </w:rPr>
        <w:t>Banking Executive Accountability Regime</w:t>
      </w:r>
      <w:r w:rsidR="00997FF7">
        <w:rPr>
          <w:i/>
          <w:noProof/>
        </w:rPr>
        <w:t xml:space="preserve"> (Size of an Authorised Deposit-</w:t>
      </w:r>
      <w:r w:rsidR="005B07DA" w:rsidRPr="00067ED7">
        <w:rPr>
          <w:i/>
          <w:noProof/>
        </w:rPr>
        <w:t>taking Institution) Determination</w:t>
      </w:r>
      <w:r w:rsidR="00067ED7" w:rsidRPr="00067ED7">
        <w:rPr>
          <w:i/>
          <w:noProof/>
        </w:rPr>
        <w:t> </w:t>
      </w:r>
      <w:r w:rsidR="005B07DA" w:rsidRPr="00067ED7">
        <w:rPr>
          <w:i/>
          <w:noProof/>
        </w:rPr>
        <w:t>2021</w:t>
      </w:r>
      <w:r w:rsidRPr="00067ED7">
        <w:t>.</w:t>
      </w:r>
    </w:p>
    <w:p w14:paraId="67F4A9BA" w14:textId="77777777" w:rsidR="00FA06CA" w:rsidRPr="00067ED7" w:rsidRDefault="00FA06CA" w:rsidP="00FA06CA">
      <w:pPr>
        <w:pStyle w:val="ActHead5"/>
      </w:pPr>
      <w:bookmarkStart w:id="26" w:name="_Toc64883762"/>
      <w:proofErr w:type="gramStart"/>
      <w:r w:rsidRPr="00067ED7">
        <w:rPr>
          <w:rStyle w:val="CharSectno"/>
        </w:rPr>
        <w:t>2</w:t>
      </w:r>
      <w:r w:rsidRPr="00067ED7">
        <w:t xml:space="preserve">  Commencement</w:t>
      </w:r>
      <w:bookmarkEnd w:id="26"/>
      <w:proofErr w:type="gramEnd"/>
    </w:p>
    <w:p w14:paraId="30202CCC" w14:textId="15F36ADD" w:rsidR="00FA06CA" w:rsidRPr="00067ED7" w:rsidRDefault="00FA06CA" w:rsidP="00FA06CA">
      <w:pPr>
        <w:pStyle w:val="subsection"/>
      </w:pPr>
      <w:r w:rsidRPr="00067ED7">
        <w:tab/>
        <w:t>(1)</w:t>
      </w:r>
      <w:r w:rsidRPr="00067ED7">
        <w:tab/>
        <w:t>Each provision of</w:t>
      </w:r>
      <w:r w:rsidR="005B07DA" w:rsidRPr="00067ED7">
        <w:t xml:space="preserve"> this</w:t>
      </w:r>
      <w:r w:rsidRPr="00067ED7">
        <w:t xml:space="preserve"> instrument specified in column 1 of the table commences, or is taken to have commenced, in accordance with column 2 of the table. Any other statement in column 2 has effect according to its terms.</w:t>
      </w:r>
    </w:p>
    <w:p w14:paraId="5D635AFC" w14:textId="77777777" w:rsidR="00FA06CA" w:rsidRPr="00067ED7"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rsidRPr="00067ED7" w14:paraId="54570295" w14:textId="77777777" w:rsidTr="005B07DA">
        <w:trPr>
          <w:cantSplit/>
          <w:tblHeader/>
        </w:trPr>
        <w:tc>
          <w:tcPr>
            <w:tcW w:w="8364" w:type="dxa"/>
            <w:gridSpan w:val="3"/>
            <w:tcBorders>
              <w:top w:val="single" w:sz="12" w:space="0" w:color="auto"/>
              <w:left w:val="nil"/>
              <w:bottom w:val="single" w:sz="6" w:space="0" w:color="auto"/>
              <w:right w:val="nil"/>
            </w:tcBorders>
            <w:hideMark/>
          </w:tcPr>
          <w:p w14:paraId="47A65D53" w14:textId="77777777" w:rsidR="00FA06CA" w:rsidRPr="00067ED7" w:rsidRDefault="00FA06CA" w:rsidP="0048252E">
            <w:pPr>
              <w:pStyle w:val="TableHeading"/>
            </w:pPr>
            <w:r w:rsidRPr="00067ED7">
              <w:t>Commencement information</w:t>
            </w:r>
          </w:p>
        </w:tc>
      </w:tr>
      <w:tr w:rsidR="00FA06CA" w:rsidRPr="00067ED7" w14:paraId="0736C442" w14:textId="77777777" w:rsidTr="005B07DA">
        <w:trPr>
          <w:cantSplit/>
          <w:tblHeader/>
        </w:trPr>
        <w:tc>
          <w:tcPr>
            <w:tcW w:w="2127" w:type="dxa"/>
            <w:tcBorders>
              <w:top w:val="single" w:sz="6" w:space="0" w:color="auto"/>
              <w:left w:val="nil"/>
              <w:bottom w:val="single" w:sz="6" w:space="0" w:color="auto"/>
              <w:right w:val="nil"/>
            </w:tcBorders>
            <w:hideMark/>
          </w:tcPr>
          <w:p w14:paraId="290AE845" w14:textId="77777777" w:rsidR="00FA06CA" w:rsidRPr="00067ED7" w:rsidRDefault="00FA06CA" w:rsidP="0048252E">
            <w:pPr>
              <w:pStyle w:val="TableHeading"/>
            </w:pPr>
            <w:r w:rsidRPr="00067ED7">
              <w:t>Column 1</w:t>
            </w:r>
          </w:p>
        </w:tc>
        <w:tc>
          <w:tcPr>
            <w:tcW w:w="4394" w:type="dxa"/>
            <w:tcBorders>
              <w:top w:val="single" w:sz="6" w:space="0" w:color="auto"/>
              <w:left w:val="nil"/>
              <w:bottom w:val="single" w:sz="6" w:space="0" w:color="auto"/>
              <w:right w:val="nil"/>
            </w:tcBorders>
            <w:hideMark/>
          </w:tcPr>
          <w:p w14:paraId="227D6640" w14:textId="77777777" w:rsidR="00FA06CA" w:rsidRPr="00067ED7" w:rsidRDefault="00FA06CA" w:rsidP="0048252E">
            <w:pPr>
              <w:pStyle w:val="TableHeading"/>
            </w:pPr>
            <w:r w:rsidRPr="00067ED7">
              <w:t>Column 2</w:t>
            </w:r>
          </w:p>
        </w:tc>
        <w:tc>
          <w:tcPr>
            <w:tcW w:w="1843" w:type="dxa"/>
            <w:tcBorders>
              <w:top w:val="single" w:sz="6" w:space="0" w:color="auto"/>
              <w:left w:val="nil"/>
              <w:bottom w:val="single" w:sz="6" w:space="0" w:color="auto"/>
              <w:right w:val="nil"/>
            </w:tcBorders>
            <w:hideMark/>
          </w:tcPr>
          <w:p w14:paraId="3FC86E28" w14:textId="77777777" w:rsidR="00FA06CA" w:rsidRPr="00067ED7" w:rsidRDefault="00FA06CA" w:rsidP="0048252E">
            <w:pPr>
              <w:pStyle w:val="TableHeading"/>
            </w:pPr>
            <w:r w:rsidRPr="00067ED7">
              <w:t>Column 3</w:t>
            </w:r>
          </w:p>
        </w:tc>
      </w:tr>
      <w:tr w:rsidR="00FA06CA" w:rsidRPr="00067ED7" w14:paraId="75A97070" w14:textId="77777777" w:rsidTr="005B07DA">
        <w:trPr>
          <w:cantSplit/>
          <w:tblHeader/>
        </w:trPr>
        <w:tc>
          <w:tcPr>
            <w:tcW w:w="2127" w:type="dxa"/>
            <w:tcBorders>
              <w:top w:val="single" w:sz="6" w:space="0" w:color="auto"/>
              <w:left w:val="nil"/>
              <w:bottom w:val="single" w:sz="12" w:space="0" w:color="auto"/>
              <w:right w:val="nil"/>
            </w:tcBorders>
            <w:hideMark/>
          </w:tcPr>
          <w:p w14:paraId="5B13D5A4" w14:textId="77777777" w:rsidR="00FA06CA" w:rsidRPr="00067ED7" w:rsidRDefault="00FA06CA" w:rsidP="0048252E">
            <w:pPr>
              <w:pStyle w:val="TableHeading"/>
            </w:pPr>
            <w:r w:rsidRPr="00067ED7">
              <w:t>Provisions</w:t>
            </w:r>
          </w:p>
        </w:tc>
        <w:tc>
          <w:tcPr>
            <w:tcW w:w="4394" w:type="dxa"/>
            <w:tcBorders>
              <w:top w:val="single" w:sz="6" w:space="0" w:color="auto"/>
              <w:left w:val="nil"/>
              <w:bottom w:val="single" w:sz="12" w:space="0" w:color="auto"/>
              <w:right w:val="nil"/>
            </w:tcBorders>
            <w:hideMark/>
          </w:tcPr>
          <w:p w14:paraId="22F7E13A" w14:textId="77777777" w:rsidR="00FA06CA" w:rsidRPr="00067ED7" w:rsidRDefault="00FA06CA" w:rsidP="0048252E">
            <w:pPr>
              <w:pStyle w:val="TableHeading"/>
            </w:pPr>
            <w:r w:rsidRPr="00067ED7">
              <w:t>Commencement</w:t>
            </w:r>
          </w:p>
        </w:tc>
        <w:tc>
          <w:tcPr>
            <w:tcW w:w="1843" w:type="dxa"/>
            <w:tcBorders>
              <w:top w:val="single" w:sz="6" w:space="0" w:color="auto"/>
              <w:left w:val="nil"/>
              <w:bottom w:val="single" w:sz="12" w:space="0" w:color="auto"/>
              <w:right w:val="nil"/>
            </w:tcBorders>
            <w:hideMark/>
          </w:tcPr>
          <w:p w14:paraId="1A883016" w14:textId="77777777" w:rsidR="00FA06CA" w:rsidRPr="00067ED7" w:rsidRDefault="00FA06CA" w:rsidP="0048252E">
            <w:pPr>
              <w:pStyle w:val="TableHeading"/>
            </w:pPr>
            <w:r w:rsidRPr="00067ED7">
              <w:t>Date/Details</w:t>
            </w:r>
          </w:p>
        </w:tc>
      </w:tr>
      <w:tr w:rsidR="005B07DA" w:rsidRPr="00067ED7" w14:paraId="6DD53319" w14:textId="77777777" w:rsidTr="005B07DA">
        <w:trPr>
          <w:cantSplit/>
        </w:trPr>
        <w:tc>
          <w:tcPr>
            <w:tcW w:w="2127" w:type="dxa"/>
            <w:tcBorders>
              <w:top w:val="single" w:sz="2" w:space="0" w:color="auto"/>
              <w:left w:val="nil"/>
              <w:bottom w:val="single" w:sz="12" w:space="0" w:color="auto"/>
              <w:right w:val="nil"/>
            </w:tcBorders>
            <w:hideMark/>
          </w:tcPr>
          <w:p w14:paraId="0DF67EEE" w14:textId="0FD0F030" w:rsidR="005B07DA" w:rsidRPr="00067ED7" w:rsidRDefault="005B07DA" w:rsidP="005B07DA">
            <w:pPr>
              <w:pStyle w:val="Tabletext"/>
            </w:pPr>
            <w:r w:rsidRPr="00067ED7">
              <w:t>1.  The whole of this instrument</w:t>
            </w:r>
          </w:p>
        </w:tc>
        <w:tc>
          <w:tcPr>
            <w:tcW w:w="4394" w:type="dxa"/>
            <w:tcBorders>
              <w:top w:val="single" w:sz="2" w:space="0" w:color="auto"/>
              <w:left w:val="nil"/>
              <w:bottom w:val="single" w:sz="12" w:space="0" w:color="auto"/>
              <w:right w:val="nil"/>
            </w:tcBorders>
          </w:tcPr>
          <w:p w14:paraId="44703279" w14:textId="5D9B11EA" w:rsidR="005B07DA" w:rsidRPr="00067ED7" w:rsidRDefault="005B07DA" w:rsidP="005B07DA">
            <w:pPr>
              <w:pStyle w:val="Tabletext"/>
            </w:pPr>
            <w:r w:rsidRPr="00067ED7">
              <w:t xml:space="preserve">The day after this instrument is registered. </w:t>
            </w:r>
          </w:p>
        </w:tc>
        <w:tc>
          <w:tcPr>
            <w:tcW w:w="1843" w:type="dxa"/>
            <w:tcBorders>
              <w:top w:val="single" w:sz="2" w:space="0" w:color="auto"/>
              <w:left w:val="nil"/>
              <w:bottom w:val="single" w:sz="12" w:space="0" w:color="auto"/>
              <w:right w:val="nil"/>
            </w:tcBorders>
          </w:tcPr>
          <w:p w14:paraId="1F4D26C6" w14:textId="77777777" w:rsidR="005B07DA" w:rsidRPr="00067ED7" w:rsidRDefault="005B07DA" w:rsidP="005B07DA">
            <w:pPr>
              <w:pStyle w:val="Tabletext"/>
            </w:pPr>
          </w:p>
        </w:tc>
      </w:tr>
    </w:tbl>
    <w:p w14:paraId="271636A0" w14:textId="77777777" w:rsidR="00FA06CA" w:rsidRPr="00067ED7" w:rsidRDefault="00FA06CA" w:rsidP="00FA06CA">
      <w:pPr>
        <w:pStyle w:val="notetext"/>
      </w:pPr>
      <w:r w:rsidRPr="00067ED7">
        <w:rPr>
          <w:snapToGrid w:val="0"/>
          <w:lang w:eastAsia="en-US"/>
        </w:rPr>
        <w:t>Note:</w:t>
      </w:r>
      <w:r w:rsidRPr="00067ED7">
        <w:rPr>
          <w:snapToGrid w:val="0"/>
          <w:lang w:eastAsia="en-US"/>
        </w:rPr>
        <w:tab/>
        <w:t xml:space="preserve">This table relates only to the provisions of this </w:t>
      </w:r>
      <w:r w:rsidRPr="00067ED7">
        <w:t xml:space="preserve">instrument </w:t>
      </w:r>
      <w:r w:rsidRPr="00067ED7">
        <w:rPr>
          <w:snapToGrid w:val="0"/>
          <w:lang w:eastAsia="en-US"/>
        </w:rPr>
        <w:t>as originally made. It will not be amended to deal with any later amendments of this instrument.</w:t>
      </w:r>
    </w:p>
    <w:p w14:paraId="1A3A6B5F" w14:textId="77777777" w:rsidR="00FA06CA" w:rsidRPr="00067ED7" w:rsidRDefault="00FA06CA" w:rsidP="00FA06CA">
      <w:pPr>
        <w:pStyle w:val="subsection"/>
      </w:pPr>
      <w:r w:rsidRPr="00067ED7">
        <w:tab/>
        <w:t>(2)</w:t>
      </w:r>
      <w:r w:rsidRPr="00067ED7">
        <w:tab/>
        <w:t>Any information in column 3 of the table is not part of this instrument. Information may be inserted in this column, or information in it may be edited, in any published version of this instrument.</w:t>
      </w:r>
    </w:p>
    <w:p w14:paraId="4E35EDC8" w14:textId="77777777" w:rsidR="00FA06CA" w:rsidRPr="00067ED7" w:rsidRDefault="00FA06CA" w:rsidP="00FA06CA">
      <w:pPr>
        <w:pStyle w:val="ActHead5"/>
      </w:pPr>
      <w:bookmarkStart w:id="27" w:name="_Toc64883763"/>
      <w:proofErr w:type="gramStart"/>
      <w:r w:rsidRPr="00067ED7">
        <w:rPr>
          <w:rStyle w:val="CharSectno"/>
        </w:rPr>
        <w:t>3</w:t>
      </w:r>
      <w:r w:rsidRPr="00067ED7">
        <w:t xml:space="preserve">  Authority</w:t>
      </w:r>
      <w:bookmarkEnd w:id="27"/>
      <w:proofErr w:type="gramEnd"/>
    </w:p>
    <w:p w14:paraId="05EFFC6F" w14:textId="14F84EED" w:rsidR="00FA06CA" w:rsidRPr="00067ED7" w:rsidRDefault="00FA06CA" w:rsidP="00FA06CA">
      <w:pPr>
        <w:pStyle w:val="subsection"/>
      </w:pPr>
      <w:r w:rsidRPr="00067ED7">
        <w:tab/>
      </w:r>
      <w:r w:rsidRPr="00067ED7">
        <w:tab/>
        <w:t xml:space="preserve">This instrument is made under </w:t>
      </w:r>
      <w:r w:rsidR="005B07DA" w:rsidRPr="00067ED7">
        <w:t>subsection</w:t>
      </w:r>
      <w:r w:rsidR="00067ED7" w:rsidRPr="00067ED7">
        <w:t> </w:t>
      </w:r>
      <w:proofErr w:type="gramStart"/>
      <w:r w:rsidR="005B07DA" w:rsidRPr="00067ED7">
        <w:t>37G(</w:t>
      </w:r>
      <w:proofErr w:type="gramEnd"/>
      <w:r w:rsidR="005B07DA" w:rsidRPr="00067ED7">
        <w:t xml:space="preserve">3) of the </w:t>
      </w:r>
      <w:r w:rsidR="005B07DA" w:rsidRPr="00067ED7">
        <w:rPr>
          <w:i/>
        </w:rPr>
        <w:t>Banking Act 1959</w:t>
      </w:r>
      <w:r w:rsidRPr="00067ED7">
        <w:t>.</w:t>
      </w:r>
    </w:p>
    <w:p w14:paraId="0930866C" w14:textId="77777777" w:rsidR="007C104A" w:rsidRDefault="007C104A" w:rsidP="007C104A">
      <w:pPr>
        <w:pStyle w:val="ActHead5"/>
      </w:pPr>
      <w:bookmarkStart w:id="28" w:name="_Toc489621897"/>
      <w:bookmarkStart w:id="29" w:name="_Toc64883764"/>
      <w:proofErr w:type="gramStart"/>
      <w:r>
        <w:t>4  Schedules</w:t>
      </w:r>
      <w:bookmarkEnd w:id="28"/>
      <w:bookmarkEnd w:id="29"/>
      <w:proofErr w:type="gramEnd"/>
    </w:p>
    <w:p w14:paraId="25A18E77" w14:textId="77777777" w:rsidR="007C104A" w:rsidRDefault="007C104A" w:rsidP="007C104A">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14:paraId="62B3DB94" w14:textId="59D98C68" w:rsidR="00FA06CA" w:rsidRPr="00067ED7" w:rsidRDefault="007C104A" w:rsidP="00FA06CA">
      <w:pPr>
        <w:pStyle w:val="ActHead5"/>
      </w:pPr>
      <w:bookmarkStart w:id="30" w:name="_Toc64883765"/>
      <w:proofErr w:type="gramStart"/>
      <w:r>
        <w:rPr>
          <w:rStyle w:val="CharSectno"/>
        </w:rPr>
        <w:t>5</w:t>
      </w:r>
      <w:r w:rsidR="00FA06CA" w:rsidRPr="00067ED7">
        <w:t xml:space="preserve">  </w:t>
      </w:r>
      <w:r w:rsidR="005B07DA" w:rsidRPr="00067ED7">
        <w:t>Definitions</w:t>
      </w:r>
      <w:bookmarkEnd w:id="30"/>
      <w:proofErr w:type="gramEnd"/>
    </w:p>
    <w:p w14:paraId="2B46E5F5" w14:textId="49181B43" w:rsidR="005B07DA" w:rsidRPr="00067ED7" w:rsidRDefault="005B07DA" w:rsidP="005B07DA">
      <w:pPr>
        <w:pStyle w:val="notemargin"/>
      </w:pPr>
      <w:r w:rsidRPr="00067ED7">
        <w:t>Note:</w:t>
      </w:r>
      <w:r w:rsidRPr="00067ED7">
        <w:tab/>
        <w:t>Paragraph 13(1</w:t>
      </w:r>
      <w:proofErr w:type="gramStart"/>
      <w:r w:rsidRPr="00067ED7">
        <w:t>)(</w:t>
      </w:r>
      <w:proofErr w:type="gramEnd"/>
      <w:r w:rsidRPr="00067ED7">
        <w:t xml:space="preserve">b) of the </w:t>
      </w:r>
      <w:r w:rsidRPr="00067ED7">
        <w:rPr>
          <w:i/>
        </w:rPr>
        <w:t>Legislation Act 2003</w:t>
      </w:r>
      <w:r w:rsidRPr="00067ED7">
        <w:t xml:space="preserve"> has the effect that expressions have the same meaning in</w:t>
      </w:r>
      <w:r w:rsidR="00067ED7" w:rsidRPr="00067ED7">
        <w:t xml:space="preserve"> </w:t>
      </w:r>
      <w:r w:rsidRPr="00067ED7">
        <w:t xml:space="preserve">this instrument as in the </w:t>
      </w:r>
      <w:r w:rsidRPr="00067ED7">
        <w:rPr>
          <w:i/>
        </w:rPr>
        <w:t>Banking Act 1959</w:t>
      </w:r>
      <w:r w:rsidRPr="00067ED7">
        <w:t xml:space="preserve"> as in force from time to time.</w:t>
      </w:r>
      <w:r w:rsidR="00067ED7" w:rsidRPr="00067ED7">
        <w:t xml:space="preserve"> </w:t>
      </w:r>
    </w:p>
    <w:p w14:paraId="59F0A7B1" w14:textId="77777777" w:rsidR="005B07DA" w:rsidRPr="00067ED7" w:rsidRDefault="005B07DA" w:rsidP="005B07DA">
      <w:pPr>
        <w:pStyle w:val="subsection"/>
      </w:pPr>
      <w:r w:rsidRPr="00067ED7">
        <w:tab/>
      </w:r>
      <w:r w:rsidRPr="00067ED7">
        <w:tab/>
        <w:t>In this instrument:</w:t>
      </w:r>
    </w:p>
    <w:p w14:paraId="005E1A48" w14:textId="77777777" w:rsidR="005B07DA" w:rsidRPr="00067ED7" w:rsidRDefault="005B07DA" w:rsidP="005B07DA">
      <w:pPr>
        <w:pStyle w:val="Definition"/>
      </w:pPr>
      <w:proofErr w:type="gramStart"/>
      <w:r w:rsidRPr="00067ED7">
        <w:rPr>
          <w:b/>
          <w:i/>
        </w:rPr>
        <w:t>final</w:t>
      </w:r>
      <w:proofErr w:type="gramEnd"/>
      <w:r w:rsidRPr="00067ED7">
        <w:rPr>
          <w:b/>
          <w:i/>
        </w:rPr>
        <w:t xml:space="preserve"> report</w:t>
      </w:r>
      <w:r w:rsidRPr="00067ED7">
        <w:t xml:space="preserve"> means a report in relation to an ADI’s final reporting period in a financial year submitted by the ADI to APRA under:</w:t>
      </w:r>
    </w:p>
    <w:p w14:paraId="3522DBA1" w14:textId="77777777" w:rsidR="005B07DA" w:rsidRPr="00067ED7" w:rsidRDefault="005B07DA" w:rsidP="005B07DA">
      <w:pPr>
        <w:pStyle w:val="paragraph"/>
      </w:pPr>
      <w:r w:rsidRPr="00067ED7">
        <w:tab/>
        <w:t>(a)</w:t>
      </w:r>
      <w:r w:rsidRPr="00067ED7">
        <w:tab/>
        <w:t>Reporting Standard ARS 320.0 Statement of Financial Position (Domestic Books); or</w:t>
      </w:r>
    </w:p>
    <w:p w14:paraId="15506E0F" w14:textId="77777777" w:rsidR="005B07DA" w:rsidRPr="00067ED7" w:rsidRDefault="005B07DA" w:rsidP="005B07DA">
      <w:pPr>
        <w:pStyle w:val="paragraph"/>
      </w:pPr>
      <w:r w:rsidRPr="00067ED7">
        <w:tab/>
        <w:t>(b)</w:t>
      </w:r>
      <w:r w:rsidRPr="00067ED7">
        <w:tab/>
        <w:t>Reporting Standard ARS 323.0 Statement of Financial Position (Licensed ADI); or</w:t>
      </w:r>
    </w:p>
    <w:p w14:paraId="499AEAA6" w14:textId="77777777" w:rsidR="005B07DA" w:rsidRPr="00067ED7" w:rsidRDefault="005B07DA" w:rsidP="005B07DA">
      <w:pPr>
        <w:pStyle w:val="paragraph"/>
      </w:pPr>
      <w:r w:rsidRPr="00067ED7">
        <w:lastRenderedPageBreak/>
        <w:tab/>
        <w:t>(c)</w:t>
      </w:r>
      <w:r w:rsidRPr="00067ED7">
        <w:tab/>
        <w:t>Reporting Standard ARS 720.0 ABS/RBA Statement of Financial Position.</w:t>
      </w:r>
    </w:p>
    <w:p w14:paraId="5728BACB" w14:textId="225B6409" w:rsidR="005B07DA" w:rsidRPr="00067ED7" w:rsidRDefault="005B07DA" w:rsidP="005B07DA">
      <w:pPr>
        <w:pStyle w:val="Definition"/>
      </w:pPr>
      <w:proofErr w:type="gramStart"/>
      <w:r w:rsidRPr="00067ED7">
        <w:rPr>
          <w:b/>
          <w:i/>
        </w:rPr>
        <w:t>financial</w:t>
      </w:r>
      <w:proofErr w:type="gramEnd"/>
      <w:r w:rsidRPr="00067ED7">
        <w:rPr>
          <w:b/>
          <w:i/>
        </w:rPr>
        <w:t xml:space="preserve"> year</w:t>
      </w:r>
      <w:r w:rsidRPr="00067ED7">
        <w:t xml:space="preserve"> of an ADI has the meaning given by section</w:t>
      </w:r>
      <w:r w:rsidR="00067ED7" w:rsidRPr="00067ED7">
        <w:t> </w:t>
      </w:r>
      <w:r w:rsidRPr="00067ED7">
        <w:t xml:space="preserve">323D of the </w:t>
      </w:r>
      <w:r w:rsidRPr="00067ED7">
        <w:rPr>
          <w:i/>
        </w:rPr>
        <w:t>Corporations Act 2001</w:t>
      </w:r>
      <w:r w:rsidRPr="00067ED7">
        <w:t>.</w:t>
      </w:r>
    </w:p>
    <w:p w14:paraId="5092EB71" w14:textId="17EB5FA9" w:rsidR="005B07DA" w:rsidRPr="00067ED7" w:rsidRDefault="005B07DA" w:rsidP="005B07DA">
      <w:pPr>
        <w:pStyle w:val="Definition"/>
      </w:pPr>
      <w:r w:rsidRPr="00067ED7">
        <w:rPr>
          <w:b/>
          <w:i/>
        </w:rPr>
        <w:t>Reporting Standard</w:t>
      </w:r>
      <w:r w:rsidRPr="00067ED7">
        <w:t>: see section</w:t>
      </w:r>
      <w:r w:rsidR="00067ED7" w:rsidRPr="00067ED7">
        <w:t> </w:t>
      </w:r>
      <w:r w:rsidRPr="00067ED7">
        <w:t>8.</w:t>
      </w:r>
    </w:p>
    <w:p w14:paraId="2F5F24E5" w14:textId="0A8E04CA" w:rsidR="005B07DA" w:rsidRPr="00067ED7" w:rsidRDefault="005B07DA" w:rsidP="005B07DA">
      <w:pPr>
        <w:pStyle w:val="Definition"/>
      </w:pPr>
      <w:proofErr w:type="gramStart"/>
      <w:r w:rsidRPr="00067ED7">
        <w:rPr>
          <w:b/>
          <w:i/>
        </w:rPr>
        <w:t>total</w:t>
      </w:r>
      <w:proofErr w:type="gramEnd"/>
      <w:r w:rsidRPr="00067ED7">
        <w:rPr>
          <w:b/>
          <w:i/>
        </w:rPr>
        <w:t xml:space="preserve"> asset size</w:t>
      </w:r>
      <w:r w:rsidRPr="00067ED7">
        <w:t>: see section</w:t>
      </w:r>
      <w:r w:rsidR="00067ED7" w:rsidRPr="00067ED7">
        <w:t> </w:t>
      </w:r>
      <w:r w:rsidRPr="00067ED7">
        <w:t>6.</w:t>
      </w:r>
    </w:p>
    <w:p w14:paraId="70172CAC" w14:textId="7C50A016" w:rsidR="005B07DA" w:rsidRPr="00067ED7" w:rsidRDefault="005B07DA" w:rsidP="005B07DA">
      <w:pPr>
        <w:pStyle w:val="Definition"/>
      </w:pPr>
      <w:proofErr w:type="gramStart"/>
      <w:r w:rsidRPr="00067ED7">
        <w:rPr>
          <w:b/>
          <w:i/>
        </w:rPr>
        <w:t>total</w:t>
      </w:r>
      <w:proofErr w:type="gramEnd"/>
      <w:r w:rsidRPr="00067ED7">
        <w:rPr>
          <w:b/>
          <w:i/>
        </w:rPr>
        <w:t xml:space="preserve"> resident assets value</w:t>
      </w:r>
      <w:r w:rsidRPr="00067ED7">
        <w:t>: see section</w:t>
      </w:r>
      <w:r w:rsidR="00067ED7" w:rsidRPr="00067ED7">
        <w:t> </w:t>
      </w:r>
      <w:r w:rsidRPr="00067ED7">
        <w:t>7.</w:t>
      </w:r>
    </w:p>
    <w:p w14:paraId="03D31B0E" w14:textId="5BC416C6" w:rsidR="005B07DA" w:rsidRPr="00067ED7" w:rsidRDefault="005B07DA" w:rsidP="005B07DA">
      <w:pPr>
        <w:pStyle w:val="ActHead2"/>
        <w:pageBreakBefore/>
      </w:pPr>
      <w:bookmarkStart w:id="31" w:name="_Toc64874669"/>
      <w:bookmarkStart w:id="32" w:name="_Toc64883766"/>
      <w:r w:rsidRPr="00067ED7">
        <w:rPr>
          <w:rStyle w:val="CharPartNo"/>
        </w:rPr>
        <w:lastRenderedPageBreak/>
        <w:t>Part</w:t>
      </w:r>
      <w:r w:rsidR="00067ED7" w:rsidRPr="00067ED7">
        <w:rPr>
          <w:rStyle w:val="CharPartNo"/>
        </w:rPr>
        <w:t> </w:t>
      </w:r>
      <w:r w:rsidRPr="00067ED7">
        <w:rPr>
          <w:rStyle w:val="CharPartNo"/>
        </w:rPr>
        <w:t>2</w:t>
      </w:r>
      <w:r w:rsidRPr="00067ED7">
        <w:t>—</w:t>
      </w:r>
      <w:proofErr w:type="gramStart"/>
      <w:r w:rsidRPr="00067ED7">
        <w:rPr>
          <w:rStyle w:val="CharPartText"/>
        </w:rPr>
        <w:t>Determining</w:t>
      </w:r>
      <w:proofErr w:type="gramEnd"/>
      <w:r w:rsidRPr="00067ED7">
        <w:rPr>
          <w:rStyle w:val="CharPartText"/>
        </w:rPr>
        <w:t xml:space="preserve"> the size of an ADI</w:t>
      </w:r>
      <w:bookmarkEnd w:id="31"/>
      <w:bookmarkEnd w:id="32"/>
    </w:p>
    <w:p w14:paraId="54C1A7ED" w14:textId="77777777" w:rsidR="005B07DA" w:rsidRPr="00067ED7" w:rsidRDefault="005B07DA" w:rsidP="005B07DA">
      <w:pPr>
        <w:pStyle w:val="Header"/>
      </w:pPr>
      <w:r w:rsidRPr="00067ED7">
        <w:rPr>
          <w:rStyle w:val="CharDivNo"/>
        </w:rPr>
        <w:t xml:space="preserve"> </w:t>
      </w:r>
      <w:r w:rsidRPr="00067ED7">
        <w:rPr>
          <w:rStyle w:val="CharDivText"/>
        </w:rPr>
        <w:t xml:space="preserve"> </w:t>
      </w:r>
    </w:p>
    <w:p w14:paraId="2453FFA6" w14:textId="77777777" w:rsidR="005B07DA" w:rsidRPr="00067ED7" w:rsidRDefault="005B07DA" w:rsidP="005B07DA">
      <w:pPr>
        <w:pStyle w:val="ActHead5"/>
      </w:pPr>
      <w:bookmarkStart w:id="33" w:name="_Toc35269230"/>
      <w:bookmarkStart w:id="34" w:name="_Toc64874670"/>
      <w:bookmarkStart w:id="35" w:name="_Toc64883767"/>
      <w:proofErr w:type="gramStart"/>
      <w:r w:rsidRPr="00067ED7">
        <w:rPr>
          <w:rStyle w:val="CharSectno"/>
        </w:rPr>
        <w:t>6</w:t>
      </w:r>
      <w:r w:rsidRPr="00067ED7">
        <w:t xml:space="preserve">  </w:t>
      </w:r>
      <w:bookmarkEnd w:id="33"/>
      <w:r w:rsidRPr="00067ED7">
        <w:t>Size</w:t>
      </w:r>
      <w:proofErr w:type="gramEnd"/>
      <w:r w:rsidRPr="00067ED7">
        <w:t xml:space="preserve"> of an ADI</w:t>
      </w:r>
      <w:bookmarkEnd w:id="34"/>
      <w:bookmarkEnd w:id="35"/>
    </w:p>
    <w:p w14:paraId="458340E5" w14:textId="05AA8170" w:rsidR="005B07DA" w:rsidRPr="00067ED7" w:rsidRDefault="005B07DA" w:rsidP="005B07DA">
      <w:pPr>
        <w:pStyle w:val="subsection"/>
      </w:pPr>
      <w:r w:rsidRPr="00067ED7">
        <w:tab/>
        <w:t>(1)</w:t>
      </w:r>
      <w:r w:rsidRPr="00067ED7">
        <w:tab/>
        <w:t>This section determines, for the purposes of subsection</w:t>
      </w:r>
      <w:r w:rsidR="00067ED7" w:rsidRPr="00067ED7">
        <w:t> </w:t>
      </w:r>
      <w:proofErr w:type="gramStart"/>
      <w:r w:rsidRPr="00067ED7">
        <w:t>37G(</w:t>
      </w:r>
      <w:proofErr w:type="gramEnd"/>
      <w:r w:rsidRPr="00067ED7">
        <w:t xml:space="preserve">3) of the </w:t>
      </w:r>
      <w:r w:rsidRPr="00067ED7">
        <w:rPr>
          <w:i/>
        </w:rPr>
        <w:t>Banking Act 1959</w:t>
      </w:r>
      <w:r w:rsidRPr="00067ED7">
        <w:rPr>
          <w:iCs/>
        </w:rPr>
        <w:t>,</w:t>
      </w:r>
      <w:r w:rsidRPr="00067ED7">
        <w:t xml:space="preserve"> the kinds of ADIs that are large ADIs, medium ADIs and small ADIs.</w:t>
      </w:r>
    </w:p>
    <w:p w14:paraId="575D76DE" w14:textId="6E117F06" w:rsidR="005B07DA" w:rsidRPr="00067ED7" w:rsidRDefault="005B07DA" w:rsidP="005B07DA">
      <w:pPr>
        <w:pStyle w:val="subsection"/>
      </w:pPr>
      <w:r w:rsidRPr="00067ED7">
        <w:tab/>
        <w:t>(2)</w:t>
      </w:r>
      <w:r w:rsidRPr="00067ED7">
        <w:tab/>
        <w:t xml:space="preserve">An ADI is a </w:t>
      </w:r>
      <w:r w:rsidRPr="00067ED7">
        <w:rPr>
          <w:b/>
          <w:i/>
        </w:rPr>
        <w:t>large ADI</w:t>
      </w:r>
      <w:r w:rsidRPr="00067ED7">
        <w:t xml:space="preserve"> at a time during a financial year if its total asset size at the start of the financial year is or exceeds $10</w:t>
      </w:r>
      <w:r w:rsidR="007D1175">
        <w:t>7</w:t>
      </w:r>
      <w:r w:rsidRPr="00067ED7">
        <w:t xml:space="preserve"> billion (indexed in accordance with section</w:t>
      </w:r>
      <w:r w:rsidR="00067ED7" w:rsidRPr="00067ED7">
        <w:t> </w:t>
      </w:r>
      <w:r w:rsidRPr="00067ED7">
        <w:t>9).</w:t>
      </w:r>
    </w:p>
    <w:p w14:paraId="37A60F25" w14:textId="3042FFF1" w:rsidR="005B07DA" w:rsidRPr="00067ED7" w:rsidRDefault="005B07DA" w:rsidP="005B07DA">
      <w:pPr>
        <w:pStyle w:val="subsection"/>
      </w:pPr>
      <w:r w:rsidRPr="00067ED7">
        <w:tab/>
        <w:t>(3)</w:t>
      </w:r>
      <w:r w:rsidRPr="00067ED7">
        <w:tab/>
        <w:t xml:space="preserve">An ADI is a </w:t>
      </w:r>
      <w:r w:rsidRPr="00067ED7">
        <w:rPr>
          <w:b/>
          <w:i/>
        </w:rPr>
        <w:t>medium ADI</w:t>
      </w:r>
      <w:r w:rsidRPr="00067ED7">
        <w:t xml:space="preserve"> at a time during a financial year if its total asset size at the start of the financial year exceeds $10 billion (indexed in accordance with section</w:t>
      </w:r>
      <w:r w:rsidR="00067ED7" w:rsidRPr="00067ED7">
        <w:t> </w:t>
      </w:r>
      <w:r w:rsidRPr="00067ED7">
        <w:t>9) and is less than $10</w:t>
      </w:r>
      <w:r w:rsidR="007D1175">
        <w:t>7</w:t>
      </w:r>
      <w:r w:rsidRPr="00067ED7">
        <w:t xml:space="preserve"> billion (indexed in accordance with section</w:t>
      </w:r>
      <w:r w:rsidR="00067ED7" w:rsidRPr="00067ED7">
        <w:t> </w:t>
      </w:r>
      <w:r w:rsidRPr="00067ED7">
        <w:t>9).</w:t>
      </w:r>
    </w:p>
    <w:p w14:paraId="789FD8E0" w14:textId="77777777" w:rsidR="005B07DA" w:rsidRPr="00067ED7" w:rsidRDefault="005B07DA" w:rsidP="005B07DA">
      <w:pPr>
        <w:pStyle w:val="subsection"/>
      </w:pPr>
      <w:r w:rsidRPr="00067ED7">
        <w:tab/>
        <w:t>(4)</w:t>
      </w:r>
      <w:r w:rsidRPr="00067ED7">
        <w:tab/>
        <w:t xml:space="preserve">An ADI is a </w:t>
      </w:r>
      <w:r w:rsidRPr="00067ED7">
        <w:rPr>
          <w:b/>
          <w:i/>
        </w:rPr>
        <w:t xml:space="preserve">small ADI </w:t>
      </w:r>
      <w:r w:rsidRPr="00067ED7">
        <w:t>at a time during a financial year if:</w:t>
      </w:r>
    </w:p>
    <w:p w14:paraId="275012CC" w14:textId="22D95A10" w:rsidR="005B07DA" w:rsidRPr="00067ED7" w:rsidRDefault="005B07DA" w:rsidP="005B07DA">
      <w:pPr>
        <w:pStyle w:val="paragraph"/>
      </w:pPr>
      <w:r w:rsidRPr="00067ED7">
        <w:tab/>
        <w:t>(a)</w:t>
      </w:r>
      <w:r w:rsidRPr="00067ED7">
        <w:tab/>
      </w:r>
      <w:proofErr w:type="gramStart"/>
      <w:r w:rsidRPr="00067ED7">
        <w:t>its</w:t>
      </w:r>
      <w:proofErr w:type="gramEnd"/>
      <w:r w:rsidRPr="00067ED7">
        <w:t xml:space="preserve"> total asset size at the start of the financial year does not exceed $10</w:t>
      </w:r>
      <w:r w:rsidR="00067ED7" w:rsidRPr="00067ED7">
        <w:t xml:space="preserve"> </w:t>
      </w:r>
      <w:r w:rsidRPr="00067ED7">
        <w:t>billion (indexed in accordance with section</w:t>
      </w:r>
      <w:r w:rsidR="00067ED7" w:rsidRPr="00067ED7">
        <w:t> </w:t>
      </w:r>
      <w:r w:rsidRPr="00067ED7">
        <w:t>9); or</w:t>
      </w:r>
    </w:p>
    <w:p w14:paraId="45EDD4AE" w14:textId="77777777" w:rsidR="005B07DA" w:rsidRPr="00067ED7" w:rsidRDefault="005B07DA" w:rsidP="005B07DA">
      <w:pPr>
        <w:pStyle w:val="paragraph"/>
      </w:pPr>
      <w:r w:rsidRPr="00067ED7">
        <w:tab/>
        <w:t>(b)</w:t>
      </w:r>
      <w:r w:rsidRPr="00067ED7">
        <w:tab/>
      </w:r>
      <w:proofErr w:type="gramStart"/>
      <w:r w:rsidRPr="00067ED7">
        <w:t>as</w:t>
      </w:r>
      <w:proofErr w:type="gramEnd"/>
      <w:r w:rsidRPr="00067ED7">
        <w:t xml:space="preserve"> at the start of the financial year, it has not yet submitted a final report for any previous financial year.</w:t>
      </w:r>
    </w:p>
    <w:p w14:paraId="5004F65F" w14:textId="77777777" w:rsidR="005B07DA" w:rsidRPr="00067ED7" w:rsidRDefault="005B07DA" w:rsidP="005B07DA">
      <w:pPr>
        <w:pStyle w:val="subsection"/>
      </w:pPr>
      <w:r w:rsidRPr="00067ED7">
        <w:tab/>
        <w:t>(5)</w:t>
      </w:r>
      <w:r w:rsidRPr="00067ED7">
        <w:tab/>
        <w:t xml:space="preserve">An ADI’s </w:t>
      </w:r>
      <w:r w:rsidRPr="00067ED7">
        <w:rPr>
          <w:b/>
          <w:i/>
        </w:rPr>
        <w:t>total asset size</w:t>
      </w:r>
      <w:r w:rsidRPr="00067ED7">
        <w:t xml:space="preserve"> at the start of a financial year is:</w:t>
      </w:r>
    </w:p>
    <w:p w14:paraId="696C6836" w14:textId="2B0F9D44" w:rsidR="005B07DA" w:rsidRPr="00067ED7" w:rsidRDefault="005B07DA" w:rsidP="005B07DA">
      <w:pPr>
        <w:pStyle w:val="paragraph"/>
      </w:pPr>
      <w:r w:rsidRPr="00067ED7">
        <w:tab/>
        <w:t>(a)</w:t>
      </w:r>
      <w:r w:rsidRPr="00067ED7">
        <w:tab/>
        <w:t>if, as at the start of that financial year, the ADI has submitted a final report for only one earlier financial year—the ADI’s total resident assets value (see section</w:t>
      </w:r>
      <w:r w:rsidR="00067ED7" w:rsidRPr="00067ED7">
        <w:t> </w:t>
      </w:r>
      <w:r w:rsidRPr="00067ED7">
        <w:t>7) in that final report; or</w:t>
      </w:r>
    </w:p>
    <w:p w14:paraId="7EE6C750" w14:textId="77777777" w:rsidR="005B07DA" w:rsidRPr="00067ED7" w:rsidRDefault="005B07DA" w:rsidP="005B07DA">
      <w:pPr>
        <w:pStyle w:val="paragraph"/>
      </w:pPr>
      <w:r w:rsidRPr="00067ED7">
        <w:tab/>
        <w:t>(b)</w:t>
      </w:r>
      <w:r w:rsidRPr="00067ED7">
        <w:tab/>
        <w:t>if, as at the start of that financial year, the ADI has submitted final reports for only 2 earlier financial years—the average of the total resident assets value in the final report for each of those financial years; or</w:t>
      </w:r>
    </w:p>
    <w:p w14:paraId="7679573F" w14:textId="77777777" w:rsidR="005B07DA" w:rsidRPr="00067ED7" w:rsidRDefault="005B07DA" w:rsidP="005B07DA">
      <w:pPr>
        <w:pStyle w:val="paragraph"/>
      </w:pPr>
      <w:r w:rsidRPr="00067ED7">
        <w:tab/>
        <w:t>(c)</w:t>
      </w:r>
      <w:r w:rsidRPr="00067ED7">
        <w:tab/>
        <w:t>if, as at the start of that financial year, the ADI has submitted final reports for 3 or more earlier financial years—the average of the total resident assets value in the final report for each of the 3 most recent of those earlier financial years.</w:t>
      </w:r>
    </w:p>
    <w:p w14:paraId="28151096" w14:textId="6BCD106D" w:rsidR="005B07DA" w:rsidRPr="00067ED7" w:rsidRDefault="005B07DA" w:rsidP="005B07DA">
      <w:pPr>
        <w:pStyle w:val="subsection"/>
      </w:pPr>
      <w:r w:rsidRPr="00067ED7">
        <w:tab/>
        <w:t>(6)</w:t>
      </w:r>
      <w:r w:rsidRPr="00067ED7">
        <w:tab/>
        <w:t xml:space="preserve">For the purposes of </w:t>
      </w:r>
      <w:r w:rsidR="00067ED7" w:rsidRPr="00067ED7">
        <w:t>subsection (</w:t>
      </w:r>
      <w:r w:rsidRPr="00067ED7">
        <w:t>5):</w:t>
      </w:r>
    </w:p>
    <w:p w14:paraId="4B2A1858" w14:textId="746643E5" w:rsidR="005B07DA" w:rsidRPr="00067ED7" w:rsidRDefault="005B07DA" w:rsidP="005B07DA">
      <w:pPr>
        <w:pStyle w:val="paragraph"/>
      </w:pPr>
      <w:r w:rsidRPr="00067ED7">
        <w:tab/>
        <w:t>(a)</w:t>
      </w:r>
      <w:r w:rsidRPr="00067ED7">
        <w:tab/>
        <w:t>if an ADI has submitted final reports for a financial year ending on or before 30</w:t>
      </w:r>
      <w:r w:rsidR="00067ED7" w:rsidRPr="00067ED7">
        <w:t> </w:t>
      </w:r>
      <w:r w:rsidRPr="00067ED7">
        <w:t>June 2019 under both Reporting Standard ARS 720.0 and Reporting Standard ARS 320.0, take into account only the total resident assets value in the final report under Reporting Standard ARS 320.0; and</w:t>
      </w:r>
    </w:p>
    <w:p w14:paraId="28F4B73F" w14:textId="610B8856" w:rsidR="005B07DA" w:rsidRPr="00067ED7" w:rsidRDefault="005B07DA" w:rsidP="005B07DA">
      <w:pPr>
        <w:pStyle w:val="paragraph"/>
      </w:pPr>
      <w:r w:rsidRPr="00067ED7">
        <w:tab/>
        <w:t>(b)</w:t>
      </w:r>
      <w:r w:rsidRPr="00067ED7">
        <w:tab/>
      </w:r>
      <w:proofErr w:type="gramStart"/>
      <w:r w:rsidRPr="00067ED7">
        <w:t>if</w:t>
      </w:r>
      <w:proofErr w:type="gramEnd"/>
      <w:r w:rsidRPr="00067ED7">
        <w:t xml:space="preserve"> an ADI has submitted final reports for a financial year ending after 30</w:t>
      </w:r>
      <w:r w:rsidR="00067ED7" w:rsidRPr="00067ED7">
        <w:t> </w:t>
      </w:r>
      <w:r w:rsidRPr="00067ED7">
        <w:t>June 2019 under both Reporting Standard ARS 720.0 and Reporting Standard ARS 323.0, take into account only the total resident assets value in the final report under Reporting Standard ARS 720.0.</w:t>
      </w:r>
    </w:p>
    <w:p w14:paraId="4F26A61B" w14:textId="77777777" w:rsidR="005B07DA" w:rsidRPr="00067ED7" w:rsidRDefault="005B07DA" w:rsidP="00067ED7">
      <w:pPr>
        <w:pStyle w:val="ActHead5"/>
        <w:spacing w:before="180"/>
        <w:ind w:left="0" w:firstLine="0"/>
      </w:pPr>
      <w:bookmarkStart w:id="36" w:name="_Toc64874671"/>
      <w:bookmarkStart w:id="37" w:name="_Toc64883768"/>
      <w:proofErr w:type="gramStart"/>
      <w:r w:rsidRPr="00067ED7">
        <w:rPr>
          <w:rStyle w:val="CharSectno"/>
        </w:rPr>
        <w:t>7</w:t>
      </w:r>
      <w:r w:rsidRPr="00067ED7">
        <w:t xml:space="preserve">  Total</w:t>
      </w:r>
      <w:proofErr w:type="gramEnd"/>
      <w:r w:rsidRPr="00067ED7">
        <w:t xml:space="preserve"> resident assets value</w:t>
      </w:r>
      <w:bookmarkEnd w:id="36"/>
      <w:bookmarkEnd w:id="37"/>
    </w:p>
    <w:p w14:paraId="18BF38D2" w14:textId="77777777" w:rsidR="005B07DA" w:rsidRPr="00067ED7" w:rsidRDefault="005B07DA" w:rsidP="005B07DA">
      <w:pPr>
        <w:pStyle w:val="subsection"/>
      </w:pPr>
      <w:r w:rsidRPr="00067ED7">
        <w:tab/>
        <w:t>(1)</w:t>
      </w:r>
      <w:r w:rsidRPr="00067ED7">
        <w:tab/>
        <w:t xml:space="preserve">An ADI’s </w:t>
      </w:r>
      <w:r w:rsidRPr="00067ED7">
        <w:rPr>
          <w:b/>
          <w:i/>
        </w:rPr>
        <w:t>total resident assets value</w:t>
      </w:r>
      <w:r w:rsidRPr="00067ED7">
        <w:t xml:space="preserve"> in a final report is determined in accordance with this section.</w:t>
      </w:r>
    </w:p>
    <w:p w14:paraId="7AF3900D" w14:textId="565B7659" w:rsidR="005B07DA" w:rsidRPr="00067ED7" w:rsidRDefault="005B07DA" w:rsidP="005B07DA">
      <w:pPr>
        <w:pStyle w:val="subsection"/>
      </w:pPr>
      <w:r w:rsidRPr="00067ED7">
        <w:tab/>
        <w:t>(2)</w:t>
      </w:r>
      <w:r w:rsidRPr="00067ED7">
        <w:tab/>
        <w:t>If the report is under Reporting Standard ARS 320.0, the total resident assets value is the amount reported in Section A, item</w:t>
      </w:r>
      <w:r w:rsidR="00067ED7" w:rsidRPr="00067ED7">
        <w:t> </w:t>
      </w:r>
      <w:r w:rsidRPr="00067ED7">
        <w:t>10 Total assets in Form ARF 320.0 in that Reporting Standard.</w:t>
      </w:r>
    </w:p>
    <w:p w14:paraId="6CEA32AA" w14:textId="382DF6EB" w:rsidR="005B07DA" w:rsidRPr="00067ED7" w:rsidRDefault="005B07DA" w:rsidP="005B07DA">
      <w:pPr>
        <w:pStyle w:val="subsection"/>
      </w:pPr>
      <w:r w:rsidRPr="00067ED7">
        <w:lastRenderedPageBreak/>
        <w:tab/>
        <w:t>(3)</w:t>
      </w:r>
      <w:r w:rsidRPr="00067ED7">
        <w:tab/>
        <w:t>If the report is under Reporting Standard ARS 323.0, the total resident assets value is the amount reported in Section A, item</w:t>
      </w:r>
      <w:r w:rsidR="00067ED7" w:rsidRPr="00067ED7">
        <w:t> </w:t>
      </w:r>
      <w:r w:rsidRPr="00067ED7">
        <w:t>11 Total assets in Form ARF 323.0 in that Reporting Standard.</w:t>
      </w:r>
    </w:p>
    <w:p w14:paraId="6FA68BFB" w14:textId="77777777" w:rsidR="005B07DA" w:rsidRPr="00067ED7" w:rsidRDefault="005B07DA" w:rsidP="005B07DA">
      <w:pPr>
        <w:pStyle w:val="subsection"/>
      </w:pPr>
      <w:r w:rsidRPr="00067ED7">
        <w:tab/>
        <w:t>(4)</w:t>
      </w:r>
      <w:r w:rsidRPr="00067ED7">
        <w:tab/>
        <w:t>If the report is under Reporting Standard ARS 720.0 and Form ARF 720.0A in that Reporting Standard, the total resident assets value is worked out in accordance with the following method:</w:t>
      </w:r>
    </w:p>
    <w:p w14:paraId="63550F7F" w14:textId="77777777" w:rsidR="005B07DA" w:rsidRPr="00067ED7" w:rsidRDefault="005B07DA" w:rsidP="005B07DA">
      <w:pPr>
        <w:pStyle w:val="BoxStep"/>
        <w:rPr>
          <w:i/>
        </w:rPr>
      </w:pPr>
      <w:r w:rsidRPr="00067ED7">
        <w:rPr>
          <w:i/>
        </w:rPr>
        <w:t xml:space="preserve">Method statement </w:t>
      </w:r>
    </w:p>
    <w:p w14:paraId="514069F4" w14:textId="7998B20B" w:rsidR="005B07DA" w:rsidRPr="00067ED7" w:rsidRDefault="005B07DA" w:rsidP="005B07DA">
      <w:pPr>
        <w:pStyle w:val="BoxStep"/>
        <w:ind w:left="2410" w:hanging="1276"/>
      </w:pPr>
      <w:r w:rsidRPr="00067ED7">
        <w:t>Step 1.</w:t>
      </w:r>
      <w:r w:rsidRPr="00067ED7">
        <w:tab/>
        <w:t>Identify the amount reported in Section A, item</w:t>
      </w:r>
      <w:r w:rsidR="00067ED7" w:rsidRPr="00067ED7">
        <w:t> </w:t>
      </w:r>
      <w:r w:rsidRPr="00067ED7">
        <w:t>13 Total assets including intra</w:t>
      </w:r>
      <w:r w:rsidR="00067ED7">
        <w:noBreakHyphen/>
      </w:r>
      <w:r w:rsidRPr="00067ED7">
        <w:t>group assets.</w:t>
      </w:r>
    </w:p>
    <w:p w14:paraId="2F2DA848" w14:textId="20192F2C" w:rsidR="005B07DA" w:rsidRPr="00067ED7" w:rsidRDefault="005B07DA" w:rsidP="005B07DA">
      <w:pPr>
        <w:pStyle w:val="BoxStep"/>
        <w:ind w:left="2410" w:hanging="1276"/>
      </w:pPr>
      <w:r w:rsidRPr="00067ED7">
        <w:t>Step 2.</w:t>
      </w:r>
      <w:r w:rsidRPr="00067ED7">
        <w:tab/>
        <w:t>Subtract from the result of Step 1 the amount required to be reported in Section A, item</w:t>
      </w:r>
      <w:r w:rsidR="00067ED7" w:rsidRPr="00067ED7">
        <w:t> </w:t>
      </w:r>
      <w:r w:rsidRPr="00067ED7">
        <w:rPr>
          <w:rFonts w:cs="Arial"/>
          <w:color w:val="000000"/>
          <w:szCs w:val="22"/>
        </w:rPr>
        <w:t xml:space="preserve">11.1 </w:t>
      </w:r>
      <w:r w:rsidRPr="00067ED7">
        <w:rPr>
          <w:rFonts w:cs="Arial"/>
          <w:bCs/>
          <w:color w:val="000000"/>
          <w:szCs w:val="22"/>
        </w:rPr>
        <w:t>Total assets excluding intra</w:t>
      </w:r>
      <w:r w:rsidR="00067ED7">
        <w:rPr>
          <w:rFonts w:cs="Arial"/>
          <w:bCs/>
          <w:color w:val="000000"/>
          <w:szCs w:val="22"/>
        </w:rPr>
        <w:noBreakHyphen/>
      </w:r>
      <w:r w:rsidRPr="00067ED7">
        <w:rPr>
          <w:rFonts w:cs="Arial"/>
          <w:bCs/>
          <w:color w:val="000000"/>
          <w:szCs w:val="22"/>
        </w:rPr>
        <w:t>group assets</w:t>
      </w:r>
      <w:r w:rsidRPr="00067ED7">
        <w:rPr>
          <w:rFonts w:cs="Arial"/>
          <w:i/>
          <w:iCs/>
          <w:color w:val="000000"/>
          <w:szCs w:val="22"/>
        </w:rPr>
        <w:t xml:space="preserve"> of which: </w:t>
      </w:r>
      <w:r w:rsidRPr="00067ED7">
        <w:rPr>
          <w:rFonts w:cs="Arial"/>
          <w:color w:val="000000"/>
          <w:szCs w:val="22"/>
        </w:rPr>
        <w:t>Due from non</w:t>
      </w:r>
      <w:r w:rsidR="00067ED7">
        <w:rPr>
          <w:rFonts w:cs="Arial"/>
          <w:color w:val="000000"/>
          <w:szCs w:val="22"/>
        </w:rPr>
        <w:noBreakHyphen/>
      </w:r>
      <w:r w:rsidRPr="00067ED7">
        <w:rPr>
          <w:rFonts w:cs="Arial"/>
          <w:color w:val="000000"/>
          <w:szCs w:val="22"/>
        </w:rPr>
        <w:t>residents</w:t>
      </w:r>
      <w:r w:rsidRPr="00067ED7">
        <w:t>.</w:t>
      </w:r>
    </w:p>
    <w:p w14:paraId="059DA88D" w14:textId="0377E141" w:rsidR="005B07DA" w:rsidRPr="00067ED7" w:rsidRDefault="005B07DA" w:rsidP="005B07DA">
      <w:pPr>
        <w:pStyle w:val="BoxStep"/>
        <w:ind w:left="2410" w:hanging="1276"/>
      </w:pPr>
      <w:r w:rsidRPr="00067ED7">
        <w:t>Step 3.</w:t>
      </w:r>
      <w:r w:rsidRPr="00067ED7">
        <w:tab/>
        <w:t>Subtract from the result of Step 2 the amount required to be reported in Section A, item</w:t>
      </w:r>
      <w:r w:rsidR="00067ED7" w:rsidRPr="00067ED7">
        <w:t> </w:t>
      </w:r>
      <w:r w:rsidRPr="00067ED7">
        <w:t xml:space="preserve">12.1 </w:t>
      </w:r>
      <w:r w:rsidRPr="00067ED7">
        <w:rPr>
          <w:rFonts w:cs="Arial"/>
          <w:bCs/>
          <w:color w:val="000000"/>
          <w:szCs w:val="22"/>
        </w:rPr>
        <w:t>Total intra</w:t>
      </w:r>
      <w:r w:rsidR="00067ED7">
        <w:rPr>
          <w:rFonts w:cs="Arial"/>
          <w:bCs/>
          <w:color w:val="000000"/>
          <w:szCs w:val="22"/>
        </w:rPr>
        <w:noBreakHyphen/>
      </w:r>
      <w:r w:rsidRPr="00067ED7">
        <w:rPr>
          <w:rFonts w:cs="Arial"/>
          <w:bCs/>
          <w:color w:val="000000"/>
          <w:szCs w:val="22"/>
        </w:rPr>
        <w:t xml:space="preserve">group assets </w:t>
      </w:r>
      <w:r w:rsidRPr="00067ED7">
        <w:rPr>
          <w:rFonts w:cs="Arial"/>
          <w:i/>
          <w:iCs/>
          <w:color w:val="000000"/>
          <w:szCs w:val="22"/>
        </w:rPr>
        <w:t xml:space="preserve">of which: </w:t>
      </w:r>
      <w:r w:rsidRPr="00067ED7">
        <w:rPr>
          <w:rFonts w:cs="Arial"/>
          <w:color w:val="000000"/>
          <w:szCs w:val="22"/>
        </w:rPr>
        <w:t>Due from non</w:t>
      </w:r>
      <w:r w:rsidR="00067ED7">
        <w:rPr>
          <w:rFonts w:cs="Arial"/>
          <w:color w:val="000000"/>
          <w:szCs w:val="22"/>
        </w:rPr>
        <w:noBreakHyphen/>
      </w:r>
      <w:r w:rsidRPr="00067ED7">
        <w:rPr>
          <w:rFonts w:cs="Arial"/>
          <w:color w:val="000000"/>
          <w:szCs w:val="22"/>
        </w:rPr>
        <w:t>residents</w:t>
      </w:r>
      <w:r w:rsidRPr="00067ED7">
        <w:t>.</w:t>
      </w:r>
    </w:p>
    <w:p w14:paraId="0C57ED43" w14:textId="5FDB1E4B" w:rsidR="005B07DA" w:rsidRPr="00067ED7" w:rsidRDefault="005B07DA" w:rsidP="005B07DA">
      <w:pPr>
        <w:pStyle w:val="subsection"/>
      </w:pPr>
      <w:r w:rsidRPr="00067ED7">
        <w:tab/>
        <w:t>(5)</w:t>
      </w:r>
      <w:r w:rsidRPr="00067ED7">
        <w:tab/>
        <w:t xml:space="preserve">If the report is under Reporting Standard ARS 720.0 and Form ARF 720.0B in that Reporting Standard, the total resident assets value is the amount reported in Section </w:t>
      </w:r>
      <w:proofErr w:type="gramStart"/>
      <w:r w:rsidRPr="00067ED7">
        <w:t>A</w:t>
      </w:r>
      <w:proofErr w:type="gramEnd"/>
      <w:r w:rsidRPr="00067ED7">
        <w:t>, item</w:t>
      </w:r>
      <w:r w:rsidR="00067ED7" w:rsidRPr="00067ED7">
        <w:t> </w:t>
      </w:r>
      <w:r w:rsidRPr="00067ED7">
        <w:t>13 Total assets including intra</w:t>
      </w:r>
      <w:r w:rsidR="00067ED7">
        <w:noBreakHyphen/>
      </w:r>
      <w:r w:rsidRPr="00067ED7">
        <w:t>group assets.</w:t>
      </w:r>
    </w:p>
    <w:p w14:paraId="2435D41F" w14:textId="77777777" w:rsidR="005B07DA" w:rsidRPr="00067ED7" w:rsidRDefault="005B07DA" w:rsidP="00067ED7">
      <w:pPr>
        <w:pStyle w:val="ActHead5"/>
        <w:ind w:left="0" w:firstLine="0"/>
      </w:pPr>
      <w:bookmarkStart w:id="38" w:name="_Toc40706002"/>
      <w:bookmarkStart w:id="39" w:name="_Toc64874672"/>
      <w:bookmarkStart w:id="40" w:name="_Toc64883769"/>
      <w:proofErr w:type="gramStart"/>
      <w:r w:rsidRPr="00067ED7">
        <w:rPr>
          <w:rStyle w:val="CharSectno"/>
        </w:rPr>
        <w:t>8</w:t>
      </w:r>
      <w:r w:rsidRPr="00067ED7">
        <w:t xml:space="preserve">  Reporting</w:t>
      </w:r>
      <w:proofErr w:type="gramEnd"/>
      <w:r w:rsidRPr="00067ED7">
        <w:t xml:space="preserve"> Standards</w:t>
      </w:r>
      <w:bookmarkEnd w:id="38"/>
      <w:bookmarkEnd w:id="39"/>
      <w:bookmarkEnd w:id="40"/>
    </w:p>
    <w:p w14:paraId="40176641" w14:textId="777F758E" w:rsidR="005B07DA" w:rsidRPr="00067ED7" w:rsidRDefault="005B07DA" w:rsidP="005B07DA">
      <w:pPr>
        <w:pStyle w:val="subsection"/>
      </w:pPr>
      <w:r w:rsidRPr="00067ED7">
        <w:tab/>
        <w:t>(1)</w:t>
      </w:r>
      <w:r w:rsidRPr="00067ED7">
        <w:tab/>
        <w:t xml:space="preserve">If a provision (the </w:t>
      </w:r>
      <w:r w:rsidRPr="00067ED7">
        <w:rPr>
          <w:b/>
          <w:i/>
        </w:rPr>
        <w:t>referring provision</w:t>
      </w:r>
      <w:r w:rsidRPr="00067ED7">
        <w:t>) of this instrument refers, in relation to an ADI’s final reporting period in a financial year, to a Reporting Standard with a particular identifier, the referring provision is to be taken to refer to the version of the Reporting Standard with that identifier that applied to that reporting period because of a determination made under section</w:t>
      </w:r>
      <w:r w:rsidR="00067ED7" w:rsidRPr="00067ED7">
        <w:t> </w:t>
      </w:r>
      <w:r w:rsidRPr="00067ED7">
        <w:t xml:space="preserve">13 of the </w:t>
      </w:r>
      <w:r w:rsidRPr="00067ED7">
        <w:rPr>
          <w:i/>
        </w:rPr>
        <w:t>Financial Sector (Collection of Data) Act 2001</w:t>
      </w:r>
      <w:r w:rsidRPr="00067ED7">
        <w:t>.</w:t>
      </w:r>
    </w:p>
    <w:p w14:paraId="5CBA9FE8" w14:textId="77777777" w:rsidR="005B07DA" w:rsidRPr="00067ED7" w:rsidRDefault="005B07DA" w:rsidP="005B07DA">
      <w:pPr>
        <w:pStyle w:val="notetext"/>
      </w:pPr>
      <w:r w:rsidRPr="00067ED7">
        <w:t>Example: Reporting Standard ARS 323.0 Statement of Financial Position (Licensed ADI).</w:t>
      </w:r>
    </w:p>
    <w:p w14:paraId="7E956E61" w14:textId="77777777" w:rsidR="005B07DA" w:rsidRPr="00067ED7" w:rsidRDefault="005B07DA" w:rsidP="005B07DA">
      <w:pPr>
        <w:pStyle w:val="subsection"/>
      </w:pPr>
      <w:r w:rsidRPr="00067ED7">
        <w:tab/>
        <w:t>(2)</w:t>
      </w:r>
      <w:r w:rsidRPr="00067ED7">
        <w:tab/>
        <w:t>However, if no version of that Reporting Standard applies to that reporting period because that Reporting Standard has been replaced by a Reporting Standard with a different identifier:</w:t>
      </w:r>
    </w:p>
    <w:p w14:paraId="45B87D0B" w14:textId="449425A3" w:rsidR="005B07DA" w:rsidRPr="00067ED7" w:rsidRDefault="005B07DA" w:rsidP="005B07DA">
      <w:pPr>
        <w:pStyle w:val="paragraph"/>
      </w:pPr>
      <w:r w:rsidRPr="00067ED7">
        <w:tab/>
        <w:t>(a)</w:t>
      </w:r>
      <w:r w:rsidRPr="00067ED7">
        <w:tab/>
      </w:r>
      <w:proofErr w:type="gramStart"/>
      <w:r w:rsidR="00067ED7" w:rsidRPr="00067ED7">
        <w:t>subsection</w:t>
      </w:r>
      <w:proofErr w:type="gramEnd"/>
      <w:r w:rsidR="00067ED7" w:rsidRPr="00067ED7">
        <w:t> (</w:t>
      </w:r>
      <w:r w:rsidRPr="00067ED7">
        <w:t>1) applies as if the referring provision referred instead to the Reporting Standard with the different identifier; and</w:t>
      </w:r>
    </w:p>
    <w:p w14:paraId="51A1E7EF" w14:textId="77777777" w:rsidR="005B07DA" w:rsidRPr="00067ED7" w:rsidRDefault="005B07DA" w:rsidP="005B07DA">
      <w:pPr>
        <w:pStyle w:val="paragraph"/>
      </w:pPr>
      <w:r w:rsidRPr="00067ED7">
        <w:tab/>
        <w:t>(b)</w:t>
      </w:r>
      <w:r w:rsidRPr="00067ED7">
        <w:tab/>
      </w:r>
      <w:proofErr w:type="gramStart"/>
      <w:r w:rsidRPr="00067ED7">
        <w:t>if</w:t>
      </w:r>
      <w:proofErr w:type="gramEnd"/>
      <w:r w:rsidRPr="00067ED7">
        <w:t xml:space="preserve"> the referring provision also refers to particular material in the Reporting Standard that has been replaced, it is taken to refer instead to the corresponding material in the applicable version of the Reporting Standard with the different identifier.</w:t>
      </w:r>
    </w:p>
    <w:p w14:paraId="4B4BACF7" w14:textId="77777777" w:rsidR="005B07DA" w:rsidRPr="00067ED7" w:rsidRDefault="005B07DA" w:rsidP="005B07DA">
      <w:pPr>
        <w:pStyle w:val="subsection"/>
      </w:pPr>
      <w:r w:rsidRPr="00067ED7">
        <w:tab/>
        <w:t>(3)</w:t>
      </w:r>
      <w:r w:rsidRPr="00067ED7">
        <w:tab/>
        <w:t>In this section:</w:t>
      </w:r>
    </w:p>
    <w:p w14:paraId="31376436" w14:textId="77777777" w:rsidR="005B07DA" w:rsidRPr="00067ED7" w:rsidRDefault="005B07DA" w:rsidP="005B07DA">
      <w:pPr>
        <w:pStyle w:val="Definition"/>
      </w:pPr>
      <w:proofErr w:type="gramStart"/>
      <w:r w:rsidRPr="00067ED7">
        <w:rPr>
          <w:b/>
          <w:i/>
        </w:rPr>
        <w:t>identifier</w:t>
      </w:r>
      <w:proofErr w:type="gramEnd"/>
      <w:r w:rsidRPr="00067ED7">
        <w:t xml:space="preserve"> means a combination of letters and numbers (with or without punctuation marks, and whether or not followed by a title).</w:t>
      </w:r>
    </w:p>
    <w:p w14:paraId="350C3559" w14:textId="77777777" w:rsidR="005B07DA" w:rsidRPr="00067ED7" w:rsidRDefault="005B07DA" w:rsidP="005B07DA">
      <w:pPr>
        <w:pStyle w:val="ActHead5"/>
      </w:pPr>
      <w:bookmarkStart w:id="41" w:name="_Toc506966872"/>
      <w:bookmarkStart w:id="42" w:name="_Toc64874673"/>
      <w:bookmarkStart w:id="43" w:name="_Toc64883770"/>
      <w:proofErr w:type="gramStart"/>
      <w:r w:rsidRPr="00067ED7">
        <w:rPr>
          <w:rStyle w:val="CharSectno"/>
        </w:rPr>
        <w:lastRenderedPageBreak/>
        <w:t>9</w:t>
      </w:r>
      <w:r w:rsidRPr="00067ED7">
        <w:t xml:space="preserve">  </w:t>
      </w:r>
      <w:bookmarkEnd w:id="41"/>
      <w:r w:rsidRPr="00067ED7">
        <w:t>Indexation</w:t>
      </w:r>
      <w:proofErr w:type="gramEnd"/>
      <w:r w:rsidRPr="00067ED7">
        <w:t xml:space="preserve"> of thresholds</w:t>
      </w:r>
      <w:bookmarkEnd w:id="42"/>
      <w:bookmarkEnd w:id="43"/>
    </w:p>
    <w:p w14:paraId="306766FB" w14:textId="04E3D27D" w:rsidR="005B07DA" w:rsidRPr="00067ED7" w:rsidRDefault="005B07DA" w:rsidP="005B07DA">
      <w:pPr>
        <w:pStyle w:val="subsection"/>
      </w:pPr>
      <w:r w:rsidRPr="00067ED7">
        <w:tab/>
        <w:t>(1)</w:t>
      </w:r>
      <w:r w:rsidRPr="00067ED7">
        <w:tab/>
        <w:t>Each amount referred to in subsection</w:t>
      </w:r>
      <w:r w:rsidR="00067ED7" w:rsidRPr="00067ED7">
        <w:t> </w:t>
      </w:r>
      <w:r w:rsidRPr="00067ED7">
        <w:t>6(2), (3) or (4) is indexed in accordance with this section on 1</w:t>
      </w:r>
      <w:r w:rsidR="00067ED7" w:rsidRPr="00067ED7">
        <w:t> </w:t>
      </w:r>
      <w:r w:rsidRPr="00067ED7">
        <w:t>January 2022 and each 1</w:t>
      </w:r>
      <w:r w:rsidR="00067ED7" w:rsidRPr="00067ED7">
        <w:t> </w:t>
      </w:r>
      <w:r w:rsidRPr="00067ED7">
        <w:t>January after that.</w:t>
      </w:r>
    </w:p>
    <w:p w14:paraId="09E68840" w14:textId="77777777" w:rsidR="005B07DA" w:rsidRPr="00067ED7" w:rsidRDefault="005B07DA" w:rsidP="005B07DA">
      <w:pPr>
        <w:pStyle w:val="subsection"/>
      </w:pPr>
      <w:r w:rsidRPr="00067ED7">
        <w:tab/>
        <w:t>(2)</w:t>
      </w:r>
      <w:r w:rsidRPr="00067ED7">
        <w:tab/>
        <w:t>An amount is indexed by:</w:t>
      </w:r>
    </w:p>
    <w:p w14:paraId="6C05A34A" w14:textId="77777777" w:rsidR="005B07DA" w:rsidRPr="00067ED7" w:rsidRDefault="005B07DA" w:rsidP="005B07DA">
      <w:pPr>
        <w:pStyle w:val="paragraph"/>
      </w:pPr>
      <w:r w:rsidRPr="00067ED7">
        <w:tab/>
        <w:t>(a)</w:t>
      </w:r>
      <w:r w:rsidRPr="00067ED7">
        <w:tab/>
      </w:r>
      <w:proofErr w:type="gramStart"/>
      <w:r w:rsidRPr="00067ED7">
        <w:t>multiplying</w:t>
      </w:r>
      <w:proofErr w:type="gramEnd"/>
      <w:r w:rsidRPr="00067ED7">
        <w:t xml:space="preserve"> the amount by its indexation factor worked out under this section; and </w:t>
      </w:r>
    </w:p>
    <w:p w14:paraId="2F5635E2" w14:textId="77777777" w:rsidR="005B07DA" w:rsidRPr="00067ED7" w:rsidRDefault="005B07DA" w:rsidP="005B07DA">
      <w:pPr>
        <w:pStyle w:val="paragraph"/>
      </w:pPr>
      <w:r w:rsidRPr="00067ED7">
        <w:tab/>
        <w:t>(b)</w:t>
      </w:r>
      <w:r w:rsidRPr="00067ED7">
        <w:tab/>
      </w:r>
      <w:proofErr w:type="gramStart"/>
      <w:r w:rsidRPr="00067ED7">
        <w:t>rounding</w:t>
      </w:r>
      <w:proofErr w:type="gramEnd"/>
      <w:r w:rsidRPr="00067ED7">
        <w:t xml:space="preserve"> the result down to the nearest multiple of $1 billion.  </w:t>
      </w:r>
    </w:p>
    <w:p w14:paraId="195DFD70" w14:textId="77777777" w:rsidR="005B07DA" w:rsidRPr="00067ED7" w:rsidRDefault="005B07DA" w:rsidP="005B07DA">
      <w:pPr>
        <w:pStyle w:val="subsection"/>
      </w:pPr>
      <w:r w:rsidRPr="00067ED7">
        <w:tab/>
        <w:t>(3)</w:t>
      </w:r>
      <w:r w:rsidRPr="00067ED7">
        <w:tab/>
        <w:t>The indexation factor for an amount is the following fraction, calculated to 3 decimal places (but rounding up the third decimal place if the fourth decimal place would be 5 or more):</w:t>
      </w:r>
    </w:p>
    <w:p w14:paraId="45D07F77" w14:textId="77777777" w:rsidR="005B07DA" w:rsidRPr="00067ED7" w:rsidRDefault="005B07DA" w:rsidP="005B07DA">
      <w:pPr>
        <w:pStyle w:val="Formula"/>
      </w:pPr>
    </w:p>
    <w:p w14:paraId="6AB6C089" w14:textId="77777777" w:rsidR="005B07DA" w:rsidRPr="00067ED7" w:rsidRDefault="00EF3FFD" w:rsidP="005B07DA">
      <w:pPr>
        <w:pStyle w:val="Formula"/>
      </w:pPr>
      <m:oMathPara>
        <m:oMath>
          <m:f>
            <m:fPr>
              <m:ctrlPr>
                <w:rPr>
                  <w:rFonts w:ascii="Cambria Math" w:hAnsi="Cambria Math"/>
                  <w:i/>
                </w:rPr>
              </m:ctrlPr>
            </m:fPr>
            <m:num>
              <m:r>
                <m:rPr>
                  <m:sty m:val="p"/>
                </m:rPr>
                <w:rPr>
                  <w:rFonts w:ascii="Cambria Math" w:hAnsi="Cambria Math"/>
                </w:rPr>
                <m:t>relevant GDP number</m:t>
              </m:r>
            </m:num>
            <m:den>
              <m:r>
                <m:rPr>
                  <m:sty m:val="p"/>
                </m:rPr>
                <w:rPr>
                  <w:rFonts w:ascii="Cambria Math" w:hAnsi="Cambria Math"/>
                </w:rPr>
                <m:t>base GDP number</m:t>
              </m:r>
            </m:den>
          </m:f>
        </m:oMath>
      </m:oMathPara>
    </w:p>
    <w:p w14:paraId="00052C7A" w14:textId="77777777" w:rsidR="005B07DA" w:rsidRPr="00067ED7" w:rsidRDefault="005B07DA" w:rsidP="005B07DA">
      <w:pPr>
        <w:pStyle w:val="subsection2"/>
      </w:pPr>
      <w:proofErr w:type="gramStart"/>
      <w:r w:rsidRPr="00067ED7">
        <w:t>where</w:t>
      </w:r>
      <w:proofErr w:type="gramEnd"/>
      <w:r w:rsidRPr="00067ED7">
        <w:t>:</w:t>
      </w:r>
    </w:p>
    <w:p w14:paraId="6187FC97" w14:textId="737BC35B" w:rsidR="005B07DA" w:rsidRPr="00067ED7" w:rsidRDefault="005B07DA" w:rsidP="005B07DA">
      <w:pPr>
        <w:pStyle w:val="Definition"/>
      </w:pPr>
      <w:proofErr w:type="gramStart"/>
      <w:r w:rsidRPr="00067ED7">
        <w:rPr>
          <w:b/>
          <w:i/>
        </w:rPr>
        <w:t>base</w:t>
      </w:r>
      <w:proofErr w:type="gramEnd"/>
      <w:r w:rsidRPr="00067ED7">
        <w:rPr>
          <w:b/>
          <w:i/>
        </w:rPr>
        <w:t xml:space="preserve"> GDP number</w:t>
      </w:r>
      <w:r w:rsidRPr="00067ED7">
        <w:t xml:space="preserve"> is the annual estimate of the Gross Domestic Product: Current Prices</w:t>
      </w:r>
      <w:r w:rsidR="00067ED7">
        <w:noBreakHyphen/>
      </w:r>
      <w:r w:rsidRPr="00067ED7">
        <w:t>Original series most recently published by the Australian Statistician for the financial year ending on:</w:t>
      </w:r>
    </w:p>
    <w:p w14:paraId="38F21682" w14:textId="57BAC3EB" w:rsidR="005B07DA" w:rsidRPr="00067ED7" w:rsidRDefault="005B07DA" w:rsidP="005B07DA">
      <w:pPr>
        <w:pStyle w:val="paragraph"/>
      </w:pPr>
      <w:r w:rsidRPr="00067ED7">
        <w:tab/>
        <w:t>(a)</w:t>
      </w:r>
      <w:r w:rsidRPr="00067ED7">
        <w:tab/>
      </w:r>
      <w:proofErr w:type="gramStart"/>
      <w:r w:rsidRPr="00067ED7">
        <w:t>if</w:t>
      </w:r>
      <w:proofErr w:type="gramEnd"/>
      <w:r w:rsidRPr="00067ED7">
        <w:t xml:space="preserve"> the amount being indexed is $10 billion—30</w:t>
      </w:r>
      <w:r w:rsidR="00067ED7" w:rsidRPr="00067ED7">
        <w:t> </w:t>
      </w:r>
      <w:r w:rsidRPr="00067ED7">
        <w:t>June 2018; or</w:t>
      </w:r>
    </w:p>
    <w:p w14:paraId="3A563EE9" w14:textId="156196A5" w:rsidR="005B07DA" w:rsidRPr="00067ED7" w:rsidRDefault="005B07DA" w:rsidP="005B07DA">
      <w:pPr>
        <w:pStyle w:val="paragraph"/>
      </w:pPr>
      <w:r w:rsidRPr="00067ED7">
        <w:tab/>
        <w:t>(b)</w:t>
      </w:r>
      <w:r w:rsidRPr="00067ED7">
        <w:tab/>
      </w:r>
      <w:proofErr w:type="gramStart"/>
      <w:r w:rsidRPr="00067ED7">
        <w:t>otherwise—</w:t>
      </w:r>
      <w:proofErr w:type="gramEnd"/>
      <w:r w:rsidRPr="00067ED7">
        <w:t>30</w:t>
      </w:r>
      <w:r w:rsidR="00067ED7" w:rsidRPr="00067ED7">
        <w:t> </w:t>
      </w:r>
      <w:r w:rsidRPr="00067ED7">
        <w:t>June 20</w:t>
      </w:r>
      <w:r w:rsidR="007D1175">
        <w:t>20</w:t>
      </w:r>
      <w:r w:rsidRPr="00067ED7">
        <w:t>.</w:t>
      </w:r>
    </w:p>
    <w:p w14:paraId="19B847A4" w14:textId="0BFA5DDF" w:rsidR="005B07DA" w:rsidRPr="00067ED7" w:rsidRDefault="005B07DA" w:rsidP="005B07DA">
      <w:pPr>
        <w:pStyle w:val="Definition"/>
      </w:pPr>
      <w:proofErr w:type="gramStart"/>
      <w:r w:rsidRPr="00067ED7">
        <w:rPr>
          <w:b/>
          <w:i/>
        </w:rPr>
        <w:t>relevant</w:t>
      </w:r>
      <w:proofErr w:type="gramEnd"/>
      <w:r w:rsidRPr="00067ED7">
        <w:rPr>
          <w:b/>
          <w:i/>
        </w:rPr>
        <w:t xml:space="preserve"> GDP number</w:t>
      </w:r>
      <w:r w:rsidRPr="00067ED7">
        <w:t xml:space="preserve"> is the first</w:t>
      </w:r>
      <w:r w:rsidR="00067ED7">
        <w:noBreakHyphen/>
      </w:r>
      <w:r w:rsidRPr="00067ED7">
        <w:t>published annual estimate of the Gross Domestic Product: Current Prices</w:t>
      </w:r>
      <w:r w:rsidR="00067ED7">
        <w:noBreakHyphen/>
      </w:r>
      <w:r w:rsidRPr="00067ED7">
        <w:t>Original series published by the Australian Statistician for the last financial year that ends before the 1</w:t>
      </w:r>
      <w:r w:rsidR="00067ED7" w:rsidRPr="00067ED7">
        <w:t> </w:t>
      </w:r>
      <w:r w:rsidRPr="00067ED7">
        <w:t>January on which the indexation occurs, disregarding any revisions of that estimate.</w:t>
      </w:r>
    </w:p>
    <w:p w14:paraId="4DA10DA2" w14:textId="5518C7FD" w:rsidR="005B07DA" w:rsidRPr="00067ED7" w:rsidRDefault="005B07DA" w:rsidP="005B07DA">
      <w:pPr>
        <w:pStyle w:val="subsection"/>
      </w:pPr>
      <w:r w:rsidRPr="00067ED7">
        <w:tab/>
        <w:t>(4)</w:t>
      </w:r>
      <w:r w:rsidRPr="00067ED7">
        <w:tab/>
        <w:t xml:space="preserve">However, if the fraction worked out under </w:t>
      </w:r>
      <w:r w:rsidR="00067ED7" w:rsidRPr="00067ED7">
        <w:t>subsection (</w:t>
      </w:r>
      <w:r w:rsidRPr="00067ED7">
        <w:t>3) is less than 1, the indexation factor is 1.</w:t>
      </w:r>
    </w:p>
    <w:p w14:paraId="3694DC64" w14:textId="5AADFD2D" w:rsidR="005B07DA" w:rsidRPr="00067ED7" w:rsidRDefault="005B07DA" w:rsidP="005B07DA">
      <w:pPr>
        <w:pStyle w:val="ActHead6"/>
        <w:pageBreakBefore/>
      </w:pPr>
      <w:bookmarkStart w:id="44" w:name="_Toc35269231"/>
      <w:bookmarkStart w:id="45" w:name="_Toc64874674"/>
      <w:bookmarkStart w:id="46" w:name="_Toc64883771"/>
      <w:r w:rsidRPr="00067ED7">
        <w:rPr>
          <w:rStyle w:val="CharAmSchNo"/>
        </w:rPr>
        <w:lastRenderedPageBreak/>
        <w:t>Schedule</w:t>
      </w:r>
      <w:r w:rsidR="00067ED7" w:rsidRPr="00067ED7">
        <w:rPr>
          <w:rStyle w:val="CharAmSchNo"/>
        </w:rPr>
        <w:t> </w:t>
      </w:r>
      <w:r w:rsidRPr="00067ED7">
        <w:rPr>
          <w:rStyle w:val="CharAmSchNo"/>
        </w:rPr>
        <w:t>1</w:t>
      </w:r>
      <w:r w:rsidRPr="00067ED7">
        <w:t>—</w:t>
      </w:r>
      <w:r w:rsidRPr="00067ED7">
        <w:rPr>
          <w:rStyle w:val="CharAmSchText"/>
        </w:rPr>
        <w:t>Repeals</w:t>
      </w:r>
      <w:bookmarkEnd w:id="44"/>
      <w:bookmarkEnd w:id="45"/>
      <w:bookmarkEnd w:id="46"/>
    </w:p>
    <w:p w14:paraId="1AB6B275" w14:textId="572F3FC3" w:rsidR="005B07DA" w:rsidRPr="00067ED7" w:rsidRDefault="005B07DA" w:rsidP="005B07DA">
      <w:pPr>
        <w:pStyle w:val="Header"/>
      </w:pPr>
      <w:bookmarkStart w:id="47" w:name="_Toc35269232"/>
      <w:bookmarkStart w:id="48" w:name="_Toc64874675"/>
      <w:r w:rsidRPr="00067ED7">
        <w:rPr>
          <w:rStyle w:val="CharAmPartNo"/>
        </w:rPr>
        <w:t xml:space="preserve"> </w:t>
      </w:r>
      <w:r w:rsidRPr="00067ED7">
        <w:rPr>
          <w:rStyle w:val="CharAmPartText"/>
        </w:rPr>
        <w:t xml:space="preserve"> </w:t>
      </w:r>
    </w:p>
    <w:p w14:paraId="776109E8" w14:textId="777BD674" w:rsidR="005B07DA" w:rsidRPr="00067ED7" w:rsidRDefault="005B07DA" w:rsidP="005B07DA">
      <w:pPr>
        <w:pStyle w:val="ActHead9"/>
        <w:ind w:left="0" w:firstLine="0"/>
      </w:pPr>
      <w:bookmarkStart w:id="49" w:name="_Toc64883772"/>
      <w:r w:rsidRPr="00067ED7">
        <w:t>Banking Executive Accountability Regime (Size of an Authorised Deposit</w:t>
      </w:r>
      <w:r w:rsidR="00067ED7">
        <w:noBreakHyphen/>
      </w:r>
      <w:r w:rsidRPr="00067ED7">
        <w:t>taking Institution) Determination</w:t>
      </w:r>
      <w:r w:rsidR="00067ED7" w:rsidRPr="00067ED7">
        <w:t> </w:t>
      </w:r>
      <w:r w:rsidRPr="00067ED7">
        <w:t>2018 [</w:t>
      </w:r>
      <w:r w:rsidRPr="00067ED7">
        <w:rPr>
          <w:bCs/>
        </w:rPr>
        <w:t>F2018L00651</w:t>
      </w:r>
      <w:r w:rsidRPr="00067ED7">
        <w:t>]</w:t>
      </w:r>
      <w:bookmarkEnd w:id="47"/>
      <w:bookmarkEnd w:id="48"/>
      <w:bookmarkEnd w:id="49"/>
    </w:p>
    <w:p w14:paraId="60C60B5B" w14:textId="77777777" w:rsidR="005B07DA" w:rsidRPr="00067ED7" w:rsidRDefault="005B07DA" w:rsidP="005B07DA">
      <w:pPr>
        <w:pStyle w:val="ItemHead"/>
      </w:pPr>
      <w:proofErr w:type="gramStart"/>
      <w:r w:rsidRPr="00067ED7">
        <w:t>1  The</w:t>
      </w:r>
      <w:proofErr w:type="gramEnd"/>
      <w:r w:rsidRPr="00067ED7">
        <w:t xml:space="preserve"> whole of the instrument</w:t>
      </w:r>
    </w:p>
    <w:p w14:paraId="28AE887D" w14:textId="77777777" w:rsidR="005B07DA" w:rsidRPr="00067ED7" w:rsidRDefault="005B07DA" w:rsidP="005B07DA">
      <w:pPr>
        <w:pStyle w:val="Item"/>
      </w:pPr>
      <w:r w:rsidRPr="00067ED7">
        <w:t>Repeal the instrument.</w:t>
      </w:r>
    </w:p>
    <w:p w14:paraId="651C2017" w14:textId="5467122B" w:rsidR="005B07DA" w:rsidRPr="00067ED7" w:rsidRDefault="005B07DA" w:rsidP="005B07DA">
      <w:pPr>
        <w:pStyle w:val="Item"/>
      </w:pPr>
    </w:p>
    <w:sectPr w:rsidR="005B07DA" w:rsidRPr="00067ED7" w:rsidSect="00067ED7">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C6237" w14:textId="77777777" w:rsidR="005B07DA" w:rsidRDefault="005B07DA" w:rsidP="00FA06CA">
      <w:pPr>
        <w:spacing w:line="240" w:lineRule="auto"/>
      </w:pPr>
      <w:r>
        <w:separator/>
      </w:r>
    </w:p>
  </w:endnote>
  <w:endnote w:type="continuationSeparator" w:id="0">
    <w:p w14:paraId="113C1461" w14:textId="77777777" w:rsidR="005B07DA" w:rsidRDefault="005B07DA" w:rsidP="00FA0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Regular r:id="rId1" w:subsetted="1" w:fontKey="{30E4807B-41F1-4043-A379-66D08A281FE8}"/>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10F0" w14:textId="77777777" w:rsidR="00EF3FFD" w:rsidRDefault="00EF3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29B27" w14:textId="77777777" w:rsidR="00FA06CA" w:rsidRDefault="00FA06CA" w:rsidP="007500C8">
    <w:pPr>
      <w:pStyle w:val="Footer"/>
    </w:pPr>
    <w:bookmarkStart w:id="4" w:name="_Hlk26286429"/>
    <w:bookmarkStart w:id="5" w:name="_Hlk26286430"/>
    <w:bookmarkStart w:id="6" w:name="_Hlk26286433"/>
    <w:bookmarkStart w:id="7" w:name="_Hlk26286434"/>
    <w:r>
      <w:rPr>
        <w:noProof/>
      </w:rPr>
      <mc:AlternateContent>
        <mc:Choice Requires="wps">
          <w:drawing>
            <wp:anchor distT="0" distB="0" distL="114300" distR="114300" simplePos="0" relativeHeight="251673600" behindDoc="1" locked="0" layoutInCell="1" allowOverlap="1" wp14:anchorId="49EA60E3" wp14:editId="3F93CF8A">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F595A9B" w14:textId="37CC77F5" w:rsidR="00FA06CA" w:rsidRPr="00284719" w:rsidRDefault="00FA06CA" w:rsidP="00EF3FFD">
                          <w:pP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A60E3" id="_x0000_t202" coordsize="21600,21600" o:spt="202" path="m,l,21600r21600,l21600,xe">
              <v:stroke joinstyle="miter"/>
              <v:path gradientshapeok="t" o:connecttype="rect"/>
            </v:shapetype>
            <v:shape id="Text Box 20" o:spid="_x0000_s1028" type="#_x0000_t202" style="position:absolute;margin-left:0;margin-top:793.7pt;width:347.25pt;height:31.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" stroked="f">
              <v:stroke joinstyle="round"/>
              <v:path arrowok="t"/>
              <v:textbox>
                <w:txbxContent>
                  <w:p w14:paraId="5F595A9B" w14:textId="37CC77F5" w:rsidR="00FA06CA" w:rsidRPr="00284719" w:rsidRDefault="00FA06CA" w:rsidP="00EF3FFD">
                    <w:pPr>
                      <w:rPr>
                        <w:rFonts w:ascii="Arial" w:hAnsi="Arial" w:cs="Arial"/>
                        <w:b/>
                        <w:sz w:val="40"/>
                      </w:rPr>
                    </w:pPr>
                  </w:p>
                </w:txbxContent>
              </v:textbox>
              <w10:wrap anchory="page"/>
            </v:shape>
          </w:pict>
        </mc:Fallback>
      </mc:AlternateContent>
    </w:r>
  </w:p>
  <w:bookmarkEnd w:id="4"/>
  <w:bookmarkEnd w:id="5"/>
  <w:bookmarkEnd w:id="6"/>
  <w:bookmarkEnd w:id="7"/>
  <w:p w14:paraId="4D73FEF1" w14:textId="77777777" w:rsidR="00FA06CA" w:rsidRPr="007500C8" w:rsidRDefault="00FA06CA"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38B2" w14:textId="77777777" w:rsidR="00FA06CA" w:rsidRPr="00ED79B6" w:rsidRDefault="00FA06CA" w:rsidP="00BA220B">
    <w:pPr>
      <w:pStyle w:val="Footer"/>
      <w:tabs>
        <w:tab w:val="clear" w:pos="4153"/>
        <w:tab w:val="clear" w:pos="8306"/>
        <w:tab w:val="center" w:pos="4150"/>
        <w:tab w:val="right" w:pos="8307"/>
      </w:tabs>
      <w:spacing w:before="120"/>
    </w:pPr>
    <w:bookmarkStart w:id="10" w:name="_Hlk26286431"/>
    <w:bookmarkStart w:id="11" w:name="_Hlk26286432"/>
    <w:bookmarkStart w:id="12" w:name="_Hlk26286443"/>
    <w:bookmarkStart w:id="13" w:name="_Hlk26286444"/>
    <w:bookmarkEnd w:id="10"/>
    <w:bookmarkEnd w:id="11"/>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2A074" w14:textId="77777777" w:rsidR="00FA06CA" w:rsidRPr="00E33C1C" w:rsidRDefault="00FA06CA"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5168" behindDoc="1" locked="0" layoutInCell="1" allowOverlap="1" wp14:anchorId="6BC887C5" wp14:editId="070D8143">
              <wp:simplePos x="0" y="0"/>
              <wp:positionH relativeFrom="column">
                <wp:align>center</wp:align>
              </wp:positionH>
              <wp:positionV relativeFrom="page">
                <wp:posOffset>10079990</wp:posOffset>
              </wp:positionV>
              <wp:extent cx="4410075" cy="40005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CC50A18" w14:textId="7D5D6258" w:rsidR="00FA06CA" w:rsidRPr="00284719" w:rsidRDefault="00FA06C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C25FC">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887C5" id="_x0000_t202" coordsize="21600,21600" o:spt="202" path="m,l,21600r21600,l21600,xe">
              <v:stroke joinstyle="miter"/>
              <v:path gradientshapeok="t" o:connecttype="rect"/>
            </v:shapetype>
            <v:shape id="Text Box 23" o:spid="_x0000_s1031" type="#_x0000_t202" style="position:absolute;margin-left:0;margin-top:793.7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84TQMAAM0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ALY284TQMAAM0HAAAOAAAAAAAAAAAAAAAAAC4C&#10;AABkcnMvZTJvRG9jLnhtbFBLAQItABQABgAIAAAAIQA8AlKS3wAAAAoBAAAPAAAAAAAAAAAAAAAA&#10;AKcFAABkcnMvZG93bnJldi54bWxQSwUGAAAAAAQABADzAAAAswYAAAAA&#10;" stroked="f">
              <v:stroke joinstyle="round"/>
              <v:path arrowok="t"/>
              <v:textbox>
                <w:txbxContent>
                  <w:p w14:paraId="3CC50A18" w14:textId="7D5D6258" w:rsidR="00FA06CA" w:rsidRPr="00284719" w:rsidRDefault="00FA06C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C25FC">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FA06CA" w14:paraId="738092EE" w14:textId="77777777" w:rsidTr="005B07DA">
      <w:tc>
        <w:tcPr>
          <w:tcW w:w="709" w:type="dxa"/>
          <w:tcBorders>
            <w:top w:val="nil"/>
            <w:left w:val="nil"/>
            <w:bottom w:val="nil"/>
            <w:right w:val="nil"/>
          </w:tcBorders>
        </w:tcPr>
        <w:p w14:paraId="29326D97" w14:textId="77777777" w:rsidR="00FA06CA" w:rsidRDefault="00FA06CA"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EA2FF9E" w14:textId="47D7A340"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7C25FC">
            <w:rPr>
              <w:i/>
              <w:noProof/>
              <w:sz w:val="18"/>
            </w:rPr>
            <w:t>Banking Executive Accountability Regime (Size of an Authorised Deposit-taking Institution) Determination 2021</w:t>
          </w:r>
          <w:r>
            <w:rPr>
              <w:i/>
              <w:sz w:val="18"/>
            </w:rPr>
            <w:fldChar w:fldCharType="end"/>
          </w:r>
        </w:p>
      </w:tc>
      <w:tc>
        <w:tcPr>
          <w:tcW w:w="1384" w:type="dxa"/>
          <w:tcBorders>
            <w:top w:val="nil"/>
            <w:left w:val="nil"/>
            <w:bottom w:val="nil"/>
            <w:right w:val="nil"/>
          </w:tcBorders>
        </w:tcPr>
        <w:p w14:paraId="1E3507FF" w14:textId="77777777" w:rsidR="00FA06CA" w:rsidRDefault="00FA06CA" w:rsidP="00830B62">
          <w:pPr>
            <w:spacing w:line="0" w:lineRule="atLeast"/>
            <w:jc w:val="right"/>
            <w:rPr>
              <w:sz w:val="18"/>
            </w:rPr>
          </w:pPr>
        </w:p>
      </w:tc>
    </w:tr>
  </w:tbl>
  <w:p w14:paraId="76B9DDDD" w14:textId="77777777" w:rsidR="00FA06CA" w:rsidRPr="00ED79B6" w:rsidRDefault="00FA06CA"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BB1B1" w14:textId="77777777" w:rsidR="00FA06CA" w:rsidRPr="00E33C1C" w:rsidRDefault="00FA06CA" w:rsidP="004E063A">
    <w:pPr>
      <w:pBdr>
        <w:top w:val="single" w:sz="6" w:space="1" w:color="auto"/>
      </w:pBdr>
      <w:spacing w:before="120" w:line="0" w:lineRule="atLeast"/>
      <w:rPr>
        <w:sz w:val="16"/>
        <w:szCs w:val="16"/>
      </w:rPr>
    </w:pPr>
    <w:bookmarkStart w:id="18" w:name="_Hlk26286441"/>
    <w:bookmarkStart w:id="19" w:name="_Hlk26286442"/>
    <w:bookmarkStart w:id="20" w:name="_Hlk26286445"/>
    <w:bookmarkStart w:id="21" w:name="_Hlk26286446"/>
    <w:r>
      <w:rPr>
        <w:noProof/>
        <w:sz w:val="16"/>
        <w:szCs w:val="16"/>
        <w:lang w:eastAsia="en-AU"/>
      </w:rPr>
      <mc:AlternateContent>
        <mc:Choice Requires="wps">
          <w:drawing>
            <wp:anchor distT="0" distB="0" distL="114300" distR="114300" simplePos="0" relativeHeight="251653120" behindDoc="1" locked="0" layoutInCell="1" allowOverlap="1" wp14:anchorId="2C24A203" wp14:editId="1468092F">
              <wp:simplePos x="0" y="0"/>
              <wp:positionH relativeFrom="column">
                <wp:align>center</wp:align>
              </wp:positionH>
              <wp:positionV relativeFrom="page">
                <wp:posOffset>10079990</wp:posOffset>
              </wp:positionV>
              <wp:extent cx="4410075" cy="400050"/>
              <wp:effectExtent l="0" t="0" r="952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5412D95" w14:textId="0F927C69" w:rsidR="00FA06CA" w:rsidRPr="00284719" w:rsidRDefault="00FA06CA"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4A203" id="_x0000_t202" coordsize="21600,21600" o:spt="202" path="m,l,21600r21600,l21600,xe">
              <v:stroke joinstyle="miter"/>
              <v:path gradientshapeok="t" o:connecttype="rect"/>
            </v:shapetype>
            <v:shape id="Text Box 22" o:spid="_x0000_s1032" type="#_x0000_t202" style="position:absolute;margin-left:0;margin-top:793.7pt;width:347.25pt;height:31.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Ay0Z+gTQMAAM0HAAAOAAAAAAAAAAAAAAAAAC4C&#10;AABkcnMvZTJvRG9jLnhtbFBLAQItABQABgAIAAAAIQA8AlKS3wAAAAoBAAAPAAAAAAAAAAAAAAAA&#10;AKcFAABkcnMvZG93bnJldi54bWxQSwUGAAAAAAQABADzAAAAswYAAAAA&#10;" stroked="f">
              <v:stroke joinstyle="round"/>
              <v:path arrowok="t"/>
              <v:textbox>
                <w:txbxContent>
                  <w:p w14:paraId="05412D95" w14:textId="0F927C69" w:rsidR="00FA06CA" w:rsidRPr="00284719" w:rsidRDefault="00FA06CA" w:rsidP="00284719">
                    <w:pPr>
                      <w:jc w:val="center"/>
                      <w:rPr>
                        <w:rFonts w:ascii="Arial" w:hAnsi="Arial" w:cs="Arial"/>
                        <w:b/>
                        <w:sz w:val="40"/>
                      </w:rPr>
                    </w:pP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FA06CA" w14:paraId="72B8786A" w14:textId="77777777" w:rsidTr="00B33709">
      <w:tc>
        <w:tcPr>
          <w:tcW w:w="1383" w:type="dxa"/>
          <w:tcBorders>
            <w:top w:val="nil"/>
            <w:left w:val="nil"/>
            <w:bottom w:val="nil"/>
            <w:right w:val="nil"/>
          </w:tcBorders>
        </w:tcPr>
        <w:p w14:paraId="20DCA56D" w14:textId="77777777" w:rsidR="00FA06CA" w:rsidRDefault="00FA06CA" w:rsidP="00830B62">
          <w:pPr>
            <w:spacing w:line="0" w:lineRule="atLeast"/>
            <w:rPr>
              <w:sz w:val="18"/>
            </w:rPr>
          </w:pPr>
        </w:p>
      </w:tc>
      <w:tc>
        <w:tcPr>
          <w:tcW w:w="6380" w:type="dxa"/>
          <w:tcBorders>
            <w:top w:val="nil"/>
            <w:left w:val="nil"/>
            <w:bottom w:val="nil"/>
            <w:right w:val="nil"/>
          </w:tcBorders>
        </w:tcPr>
        <w:p w14:paraId="4BC2FD12" w14:textId="29FEE30D"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F3FFD">
            <w:rPr>
              <w:i/>
              <w:noProof/>
              <w:sz w:val="18"/>
            </w:rPr>
            <w:t>Banking Executive Accountability Regime (Size of an Authorised Deposit-taking Institution) Determination 2021</w:t>
          </w:r>
          <w:r>
            <w:rPr>
              <w:i/>
              <w:sz w:val="18"/>
            </w:rPr>
            <w:fldChar w:fldCharType="end"/>
          </w:r>
        </w:p>
      </w:tc>
      <w:tc>
        <w:tcPr>
          <w:tcW w:w="709" w:type="dxa"/>
          <w:tcBorders>
            <w:top w:val="nil"/>
            <w:left w:val="nil"/>
            <w:bottom w:val="nil"/>
            <w:right w:val="nil"/>
          </w:tcBorders>
        </w:tcPr>
        <w:p w14:paraId="12737767" w14:textId="2553BF0E" w:rsidR="00FA06CA" w:rsidRDefault="00FA06CA"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3FFD">
            <w:rPr>
              <w:i/>
              <w:noProof/>
              <w:sz w:val="18"/>
            </w:rPr>
            <w:t>i</w:t>
          </w:r>
          <w:r w:rsidRPr="00ED79B6">
            <w:rPr>
              <w:i/>
              <w:sz w:val="18"/>
            </w:rPr>
            <w:fldChar w:fldCharType="end"/>
          </w:r>
        </w:p>
      </w:tc>
    </w:tr>
    <w:bookmarkEnd w:id="18"/>
    <w:bookmarkEnd w:id="19"/>
    <w:bookmarkEnd w:id="20"/>
    <w:bookmarkEnd w:id="21"/>
  </w:tbl>
  <w:p w14:paraId="4C67E0DA" w14:textId="77777777" w:rsidR="00FA06CA" w:rsidRPr="00ED79B6" w:rsidRDefault="00FA06CA"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787" w14:textId="77777777" w:rsidR="007500C8" w:rsidRPr="00E33C1C" w:rsidRDefault="00636078"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3360" behindDoc="1" locked="0" layoutInCell="1" allowOverlap="1" wp14:anchorId="5B8FE55A" wp14:editId="3A5EA20F">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6974A7DA" w14:textId="59D4F0C9" w:rsidR="00284719" w:rsidRPr="00284719" w:rsidRDefault="00EF3FFD" w:rsidP="00284719">
                          <w:pPr>
                            <w:jc w:val="center"/>
                            <w:rPr>
                              <w:rFonts w:ascii="Arial" w:hAnsi="Arial" w:cs="Arial"/>
                              <w:b/>
                              <w:sz w:val="40"/>
                            </w:rPr>
                          </w:pPr>
                          <w:bookmarkStart w:id="54" w:name="_GoBack"/>
                          <w:bookmarkEnd w:id="5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FE55A" id="_x0000_t202" coordsize="21600,21600" o:spt="202" path="m,l,21600r21600,l21600,xe">
              <v:stroke joinstyle="miter"/>
              <v:path gradientshapeok="t" o:connecttype="rect"/>
            </v:shapetype>
            <v:shape id="Text Box 25" o:spid="_x0000_s1035" type="#_x0000_t202" style="position:absolute;margin-left:0;margin-top:793.7pt;width:347.25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N5knE5MAwAAzQcAAA4AAAAAAAAAAAAAAAAALgIA&#10;AGRycy9lMm9Eb2MueG1sUEsBAi0AFAAGAAgAAAAhADwCUpLfAAAACgEAAA8AAAAAAAAAAAAAAAAA&#10;pgUAAGRycy9kb3ducmV2LnhtbFBLBQYAAAAABAAEAPMAAACyBgAAAAA=&#10;" stroked="f">
              <v:stroke joinstyle="round"/>
              <v:path arrowok="t"/>
              <v:textbox>
                <w:txbxContent>
                  <w:p w14:paraId="6974A7DA" w14:textId="59D4F0C9" w:rsidR="00284719" w:rsidRPr="00284719" w:rsidRDefault="00EF3FFD" w:rsidP="00284719">
                    <w:pPr>
                      <w:jc w:val="center"/>
                      <w:rPr>
                        <w:rFonts w:ascii="Arial" w:hAnsi="Arial" w:cs="Arial"/>
                        <w:b/>
                        <w:sz w:val="40"/>
                      </w:rPr>
                    </w:pPr>
                    <w:bookmarkStart w:id="55" w:name="_GoBack"/>
                    <w:bookmarkEnd w:id="55"/>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7500C8" w14:paraId="2332D4A3" w14:textId="77777777" w:rsidTr="005B07DA">
      <w:tc>
        <w:tcPr>
          <w:tcW w:w="709" w:type="dxa"/>
          <w:tcBorders>
            <w:top w:val="nil"/>
            <w:left w:val="nil"/>
            <w:bottom w:val="nil"/>
            <w:right w:val="nil"/>
          </w:tcBorders>
        </w:tcPr>
        <w:p w14:paraId="1E2A5FF7" w14:textId="34BAC4C2" w:rsidR="007500C8" w:rsidRDefault="0063607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3FFD">
            <w:rPr>
              <w:i/>
              <w:noProof/>
              <w:sz w:val="18"/>
            </w:rPr>
            <w:t>2</w:t>
          </w:r>
          <w:r w:rsidRPr="00ED79B6">
            <w:rPr>
              <w:i/>
              <w:sz w:val="18"/>
            </w:rPr>
            <w:fldChar w:fldCharType="end"/>
          </w:r>
        </w:p>
      </w:tc>
      <w:tc>
        <w:tcPr>
          <w:tcW w:w="6379" w:type="dxa"/>
          <w:tcBorders>
            <w:top w:val="nil"/>
            <w:left w:val="nil"/>
            <w:bottom w:val="nil"/>
            <w:right w:val="nil"/>
          </w:tcBorders>
        </w:tcPr>
        <w:p w14:paraId="5AB049DD" w14:textId="36DBFECC" w:rsidR="007500C8" w:rsidRDefault="00636078"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F3FFD">
            <w:rPr>
              <w:i/>
              <w:noProof/>
              <w:sz w:val="18"/>
            </w:rPr>
            <w:t>Banking Executive Accountability Regime (Size of an Authorised Deposit-taking Institution) Determination 2021</w:t>
          </w:r>
          <w:r>
            <w:rPr>
              <w:i/>
              <w:sz w:val="18"/>
            </w:rPr>
            <w:fldChar w:fldCharType="end"/>
          </w:r>
        </w:p>
      </w:tc>
      <w:tc>
        <w:tcPr>
          <w:tcW w:w="1384" w:type="dxa"/>
          <w:tcBorders>
            <w:top w:val="nil"/>
            <w:left w:val="nil"/>
            <w:bottom w:val="nil"/>
            <w:right w:val="nil"/>
          </w:tcBorders>
        </w:tcPr>
        <w:p w14:paraId="380E99E6" w14:textId="77777777" w:rsidR="007500C8" w:rsidRDefault="00EF3FFD" w:rsidP="00830B62">
          <w:pPr>
            <w:spacing w:line="0" w:lineRule="atLeast"/>
            <w:jc w:val="right"/>
            <w:rPr>
              <w:sz w:val="18"/>
            </w:rPr>
          </w:pPr>
        </w:p>
      </w:tc>
    </w:tr>
  </w:tbl>
  <w:p w14:paraId="5DC36384" w14:textId="77777777" w:rsidR="007500C8" w:rsidRPr="00ED79B6" w:rsidRDefault="00EF3FFD" w:rsidP="00EF3FF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7BB0" w14:textId="77777777" w:rsidR="00472DBE" w:rsidRPr="00E33C1C" w:rsidRDefault="00636078" w:rsidP="004E063A">
    <w:pPr>
      <w:pBdr>
        <w:top w:val="single" w:sz="6" w:space="1" w:color="auto"/>
      </w:pBdr>
      <w:spacing w:before="120" w:line="0" w:lineRule="atLeast"/>
      <w:rPr>
        <w:sz w:val="16"/>
        <w:szCs w:val="16"/>
      </w:rPr>
    </w:pPr>
    <w:bookmarkStart w:id="56" w:name="_Hlk26286453"/>
    <w:bookmarkStart w:id="57" w:name="_Hlk26286454"/>
    <w:bookmarkStart w:id="58" w:name="_Hlk26286457"/>
    <w:bookmarkStart w:id="59" w:name="_Hlk26286458"/>
    <w:r>
      <w:rPr>
        <w:noProof/>
        <w:sz w:val="16"/>
        <w:szCs w:val="16"/>
        <w:lang w:eastAsia="en-AU"/>
      </w:rPr>
      <mc:AlternateContent>
        <mc:Choice Requires="wps">
          <w:drawing>
            <wp:anchor distT="0" distB="0" distL="114300" distR="114300" simplePos="0" relativeHeight="251661312" behindDoc="1" locked="0" layoutInCell="1" allowOverlap="1" wp14:anchorId="5B7BF6A9" wp14:editId="3DB289BC">
              <wp:simplePos x="0" y="0"/>
              <wp:positionH relativeFrom="column">
                <wp:align>center</wp:align>
              </wp:positionH>
              <wp:positionV relativeFrom="page">
                <wp:posOffset>10079990</wp:posOffset>
              </wp:positionV>
              <wp:extent cx="4410075" cy="4000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5762A0E" w14:textId="28DDF87F" w:rsidR="00284719" w:rsidRPr="00284719" w:rsidRDefault="00EF3FFD"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BF6A9" id="_x0000_t202" coordsize="21600,21600" o:spt="202" path="m,l,21600r21600,l21600,xe">
              <v:stroke joinstyle="miter"/>
              <v:path gradientshapeok="t" o:connecttype="rect"/>
            </v:shapetype>
            <v:shape id="Text Box 3" o:spid="_x0000_s1036" type="#_x0000_t202" style="position:absolute;margin-left:0;margin-top:793.7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0KBzAk4DAADMBwAADgAAAAAAAAAAAAAAAAAu&#10;AgAAZHJzL2Uyb0RvYy54bWxQSwECLQAUAAYACAAAACEAPAJSkt8AAAAKAQAADwAAAAAAAAAAAAAA&#10;AACoBQAAZHJzL2Rvd25yZXYueG1sUEsFBgAAAAAEAAQA8wAAALQGAAAAAA==&#10;" stroked="f">
              <v:stroke joinstyle="round"/>
              <v:path arrowok="t"/>
              <v:textbox>
                <w:txbxContent>
                  <w:p w14:paraId="45762A0E" w14:textId="28DDF87F" w:rsidR="00284719" w:rsidRPr="00284719" w:rsidRDefault="00EF3FFD" w:rsidP="00284719">
                    <w:pPr>
                      <w:jc w:val="center"/>
                      <w:rPr>
                        <w:rFonts w:ascii="Arial" w:hAnsi="Arial" w:cs="Arial"/>
                        <w:b/>
                        <w:sz w:val="40"/>
                      </w:rPr>
                    </w:pP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472DBE" w14:paraId="135F7F53" w14:textId="77777777" w:rsidTr="005B07DA">
      <w:tc>
        <w:tcPr>
          <w:tcW w:w="1357" w:type="dxa"/>
          <w:tcBorders>
            <w:top w:val="nil"/>
            <w:left w:val="nil"/>
            <w:bottom w:val="nil"/>
            <w:right w:val="nil"/>
          </w:tcBorders>
        </w:tcPr>
        <w:p w14:paraId="3340B381" w14:textId="77777777" w:rsidR="00472DBE" w:rsidRDefault="00EF3FFD" w:rsidP="008067B4">
          <w:pPr>
            <w:spacing w:line="0" w:lineRule="atLeast"/>
            <w:rPr>
              <w:sz w:val="18"/>
            </w:rPr>
          </w:pPr>
        </w:p>
      </w:tc>
      <w:tc>
        <w:tcPr>
          <w:tcW w:w="6256" w:type="dxa"/>
          <w:tcBorders>
            <w:top w:val="nil"/>
            <w:left w:val="nil"/>
            <w:bottom w:val="nil"/>
            <w:right w:val="nil"/>
          </w:tcBorders>
        </w:tcPr>
        <w:p w14:paraId="543327EA" w14:textId="5DDD707F" w:rsidR="00472DBE" w:rsidRDefault="00636078"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F3FFD">
            <w:rPr>
              <w:i/>
              <w:noProof/>
              <w:sz w:val="18"/>
            </w:rPr>
            <w:t>Banking Executive Accountability Regime (Size of an Authorised Deposit-taking Institution) Determination 2021</w:t>
          </w:r>
          <w:r>
            <w:rPr>
              <w:i/>
              <w:sz w:val="18"/>
            </w:rPr>
            <w:fldChar w:fldCharType="end"/>
          </w:r>
        </w:p>
      </w:tc>
      <w:tc>
        <w:tcPr>
          <w:tcW w:w="700" w:type="dxa"/>
          <w:tcBorders>
            <w:top w:val="nil"/>
            <w:left w:val="nil"/>
            <w:bottom w:val="nil"/>
            <w:right w:val="nil"/>
          </w:tcBorders>
        </w:tcPr>
        <w:p w14:paraId="498F23DC" w14:textId="7112E5F8" w:rsidR="00472DBE" w:rsidRDefault="00636078"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3FFD">
            <w:rPr>
              <w:i/>
              <w:noProof/>
              <w:sz w:val="18"/>
            </w:rPr>
            <w:t>5</w:t>
          </w:r>
          <w:r w:rsidRPr="00ED79B6">
            <w:rPr>
              <w:i/>
              <w:sz w:val="18"/>
            </w:rPr>
            <w:fldChar w:fldCharType="end"/>
          </w:r>
        </w:p>
      </w:tc>
    </w:tr>
    <w:bookmarkEnd w:id="56"/>
    <w:bookmarkEnd w:id="57"/>
    <w:bookmarkEnd w:id="58"/>
    <w:bookmarkEnd w:id="59"/>
  </w:tbl>
  <w:p w14:paraId="170CC5DD" w14:textId="77777777" w:rsidR="00472DBE" w:rsidRPr="00ED79B6" w:rsidRDefault="00EF3FFD" w:rsidP="00472DBE">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37618" w14:textId="77777777" w:rsidR="007500C8" w:rsidRPr="00E33C1C" w:rsidRDefault="00EF3FFD" w:rsidP="007500C8">
    <w:pPr>
      <w:pBdr>
        <w:top w:val="single" w:sz="6" w:space="1" w:color="auto"/>
      </w:pBdr>
      <w:spacing w:line="0" w:lineRule="atLeast"/>
      <w:rPr>
        <w:sz w:val="16"/>
        <w:szCs w:val="16"/>
      </w:rPr>
    </w:pPr>
    <w:bookmarkStart w:id="62" w:name="_Hlk26286455"/>
    <w:bookmarkStart w:id="63" w:name="_Hlk26286456"/>
  </w:p>
  <w:tbl>
    <w:tblPr>
      <w:tblStyle w:val="TableGrid"/>
      <w:tblW w:w="0" w:type="auto"/>
      <w:tblLook w:val="04A0" w:firstRow="1" w:lastRow="0" w:firstColumn="1" w:lastColumn="0" w:noHBand="0" w:noVBand="1"/>
    </w:tblPr>
    <w:tblGrid>
      <w:gridCol w:w="1359"/>
      <w:gridCol w:w="6254"/>
      <w:gridCol w:w="700"/>
    </w:tblGrid>
    <w:tr w:rsidR="007500C8" w14:paraId="7F6C5A8E" w14:textId="77777777" w:rsidTr="005B07DA">
      <w:tc>
        <w:tcPr>
          <w:tcW w:w="1359" w:type="dxa"/>
          <w:tcBorders>
            <w:top w:val="nil"/>
            <w:left w:val="nil"/>
            <w:bottom w:val="nil"/>
            <w:right w:val="nil"/>
          </w:tcBorders>
        </w:tcPr>
        <w:p w14:paraId="63963488" w14:textId="77777777" w:rsidR="007500C8" w:rsidRDefault="00EF3FFD" w:rsidP="00830B62">
          <w:pPr>
            <w:spacing w:line="0" w:lineRule="atLeast"/>
            <w:rPr>
              <w:sz w:val="18"/>
            </w:rPr>
          </w:pPr>
        </w:p>
      </w:tc>
      <w:tc>
        <w:tcPr>
          <w:tcW w:w="6254" w:type="dxa"/>
          <w:tcBorders>
            <w:top w:val="nil"/>
            <w:left w:val="nil"/>
            <w:bottom w:val="nil"/>
            <w:right w:val="nil"/>
          </w:tcBorders>
        </w:tcPr>
        <w:p w14:paraId="146A3FFE" w14:textId="3AAB9304" w:rsidR="007500C8" w:rsidRDefault="0063607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C25FC">
            <w:rPr>
              <w:i/>
              <w:sz w:val="18"/>
            </w:rPr>
            <w:t>Banking Executive Accountability Regime (Size of an Authorised Deposit taking Institution) Determination 2021</w:t>
          </w:r>
          <w:r w:rsidRPr="007A1328">
            <w:rPr>
              <w:i/>
              <w:sz w:val="18"/>
            </w:rPr>
            <w:fldChar w:fldCharType="end"/>
          </w:r>
        </w:p>
      </w:tc>
      <w:tc>
        <w:tcPr>
          <w:tcW w:w="700" w:type="dxa"/>
          <w:tcBorders>
            <w:top w:val="nil"/>
            <w:left w:val="nil"/>
            <w:bottom w:val="nil"/>
            <w:right w:val="nil"/>
          </w:tcBorders>
        </w:tcPr>
        <w:p w14:paraId="4B25AD0B" w14:textId="77777777" w:rsidR="007500C8" w:rsidRDefault="0063607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62"/>
    <w:bookmarkEnd w:id="63"/>
  </w:tbl>
  <w:p w14:paraId="04F23C65" w14:textId="77777777" w:rsidR="007500C8" w:rsidRPr="00ED79B6" w:rsidRDefault="00EF3FFD"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065B0" w14:textId="77777777" w:rsidR="005B07DA" w:rsidRDefault="005B07DA" w:rsidP="00FA06CA">
      <w:pPr>
        <w:spacing w:line="240" w:lineRule="auto"/>
      </w:pPr>
      <w:r>
        <w:separator/>
      </w:r>
    </w:p>
  </w:footnote>
  <w:footnote w:type="continuationSeparator" w:id="0">
    <w:p w14:paraId="17A3BDF3" w14:textId="77777777" w:rsidR="005B07DA" w:rsidRDefault="005B07DA" w:rsidP="00FA0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C87F" w14:textId="77777777" w:rsidR="00FA06CA" w:rsidRPr="005F1388" w:rsidRDefault="00FA06CA" w:rsidP="00715914">
    <w:pPr>
      <w:pStyle w:val="Header"/>
      <w:tabs>
        <w:tab w:val="clear" w:pos="4150"/>
        <w:tab w:val="clear" w:pos="8307"/>
      </w:tabs>
    </w:pPr>
    <w:r>
      <w:rPr>
        <w:noProof/>
      </w:rPr>
      <mc:AlternateContent>
        <mc:Choice Requires="wps">
          <w:drawing>
            <wp:anchor distT="0" distB="0" distL="114300" distR="114300" simplePos="0" relativeHeight="251672576" behindDoc="1" locked="0" layoutInCell="1" allowOverlap="1" wp14:anchorId="6D8E0044" wp14:editId="7BAD2477">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55AD10F" w14:textId="567B4A3A" w:rsidR="00FA06CA" w:rsidRPr="00284719" w:rsidRDefault="00FA06C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C25FC">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E0044" id="_x0000_t202" coordsize="21600,21600" o:spt="202" path="m,l,21600r21600,l21600,xe">
              <v:stroke joinstyle="miter"/>
              <v:path gradientshapeok="t" o:connecttype="rect"/>
            </v:shapetype>
            <v:shape id="Text Box 15" o:spid="_x0000_s1026" type="#_x0000_t202" style="position:absolute;margin-left:0;margin-top:11.3pt;width:347.25pt;height:31.5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14:paraId="055AD10F" w14:textId="567B4A3A" w:rsidR="00FA06CA" w:rsidRPr="00284719" w:rsidRDefault="00FA06C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C25FC">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A6F3" w14:textId="77777777" w:rsidR="00FA06CA" w:rsidRPr="005F1388" w:rsidRDefault="00FA06CA" w:rsidP="00715914">
    <w:pPr>
      <w:pStyle w:val="Header"/>
      <w:tabs>
        <w:tab w:val="clear" w:pos="4150"/>
        <w:tab w:val="clear" w:pos="8307"/>
      </w:tabs>
    </w:pPr>
    <w:bookmarkStart w:id="0" w:name="_Hlk26286423"/>
    <w:bookmarkStart w:id="1" w:name="_Hlk26286424"/>
    <w:bookmarkStart w:id="2" w:name="_Hlk26286427"/>
    <w:bookmarkStart w:id="3" w:name="_Hlk26286428"/>
    <w:r>
      <w:rPr>
        <w:noProof/>
      </w:rPr>
      <mc:AlternateContent>
        <mc:Choice Requires="wps">
          <w:drawing>
            <wp:anchor distT="0" distB="0" distL="114300" distR="114300" simplePos="0" relativeHeight="251671552" behindDoc="1" locked="0" layoutInCell="1" allowOverlap="1" wp14:anchorId="3C5CDB7F" wp14:editId="515D7120">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7EE8FB7" w14:textId="4A5C8A27" w:rsidR="00FA06CA" w:rsidRPr="00284719" w:rsidRDefault="00FA06CA"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CDB7F" id="_x0000_t202" coordsize="21600,21600" o:spt="202" path="m,l,21600r21600,l21600,xe">
              <v:stroke joinstyle="miter"/>
              <v:path gradientshapeok="t" o:connecttype="rect"/>
            </v:shapetype>
            <v:shape id="Text Box 14" o:spid="_x0000_s1027" type="#_x0000_t202" style="position:absolute;margin-left:0;margin-top:11.3pt;width:347.25pt;height:31.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taCT+UsDAADNBwAADgAAAAAAAAAAAAAAAAAuAgAAZHJz&#10;L2Uyb0RvYy54bWxQSwECLQAUAAYACAAAACEA5grfutwAAAAGAQAADwAAAAAAAAAAAAAAAAClBQAA&#10;ZHJzL2Rvd25yZXYueG1sUEsFBgAAAAAEAAQA8wAAAK4GAAAAAA==&#10;" stroked="f">
              <v:stroke joinstyle="round"/>
              <v:path arrowok="t"/>
              <v:textbox>
                <w:txbxContent>
                  <w:p w14:paraId="57EE8FB7" w14:textId="4A5C8A27" w:rsidR="00FA06CA" w:rsidRPr="00284719" w:rsidRDefault="00FA06CA" w:rsidP="00284719">
                    <w:pPr>
                      <w:jc w:val="center"/>
                      <w:rPr>
                        <w:rFonts w:ascii="Arial" w:hAnsi="Arial" w:cs="Arial"/>
                        <w:b/>
                        <w:sz w:val="40"/>
                      </w:rPr>
                    </w:pPr>
                  </w:p>
                </w:txbxContent>
              </v:textbox>
              <w10:wrap anchory="page"/>
            </v:shap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B089" w14:textId="77777777" w:rsidR="00FA06CA" w:rsidRPr="005F1388" w:rsidRDefault="00FA06CA" w:rsidP="00715914">
    <w:pPr>
      <w:pStyle w:val="Header"/>
      <w:tabs>
        <w:tab w:val="clear" w:pos="4150"/>
        <w:tab w:val="clear" w:pos="8307"/>
      </w:tabs>
    </w:pPr>
    <w:bookmarkStart w:id="8" w:name="_Hlk26286425"/>
    <w:bookmarkStart w:id="9" w:name="_Hlk26286426"/>
    <w:bookmarkEnd w:id="8"/>
    <w:bookmarkEnd w:id="9"/>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34BE8" w14:textId="77777777" w:rsidR="00FA06CA" w:rsidRPr="00ED79B6" w:rsidRDefault="00FA06CA"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77696" behindDoc="1" locked="0" layoutInCell="1" allowOverlap="1" wp14:anchorId="248DAA44" wp14:editId="69C9B0F7">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EF897DF" w14:textId="09A59819" w:rsidR="00FA06CA" w:rsidRPr="00284719" w:rsidRDefault="00FA06C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C25FC">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DAA44" id="_x0000_t202" coordsize="21600,21600" o:spt="202" path="m,l,21600r21600,l21600,xe">
              <v:stroke joinstyle="miter"/>
              <v:path gradientshapeok="t" o:connecttype="rect"/>
            </v:shapetype>
            <v:shape id="Text Box 17" o:spid="_x0000_s1029" type="#_x0000_t202" style="position:absolute;margin-left:0;margin-top:11.3pt;width:347.25pt;height:31.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" stroked="f">
              <v:stroke joinstyle="round"/>
              <v:path arrowok="t"/>
              <v:textbox>
                <w:txbxContent>
                  <w:p w14:paraId="4EF897DF" w14:textId="09A59819" w:rsidR="00FA06CA" w:rsidRPr="00284719" w:rsidRDefault="00FA06C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C25FC">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15135" w14:textId="77777777" w:rsidR="00FA06CA" w:rsidRPr="00ED79B6" w:rsidRDefault="00FA06CA" w:rsidP="00F67BCA">
    <w:pPr>
      <w:pBdr>
        <w:bottom w:val="single" w:sz="6" w:space="1" w:color="auto"/>
      </w:pBdr>
      <w:spacing w:before="1000" w:line="240" w:lineRule="auto"/>
    </w:pPr>
    <w:bookmarkStart w:id="14" w:name="_Hlk26286435"/>
    <w:bookmarkStart w:id="15" w:name="_Hlk26286436"/>
    <w:bookmarkStart w:id="16" w:name="_Hlk26286439"/>
    <w:bookmarkStart w:id="17" w:name="_Hlk26286440"/>
    <w:r>
      <w:rPr>
        <w:noProof/>
        <w:lang w:eastAsia="en-AU"/>
      </w:rPr>
      <mc:AlternateContent>
        <mc:Choice Requires="wps">
          <w:drawing>
            <wp:anchor distT="0" distB="0" distL="114300" distR="114300" simplePos="0" relativeHeight="251676672" behindDoc="1" locked="0" layoutInCell="1" allowOverlap="1" wp14:anchorId="7996F1C2" wp14:editId="2EC58D3F">
              <wp:simplePos x="0" y="0"/>
              <wp:positionH relativeFrom="column">
                <wp:align>center</wp:align>
              </wp:positionH>
              <wp:positionV relativeFrom="page">
                <wp:posOffset>143510</wp:posOffset>
              </wp:positionV>
              <wp:extent cx="4410075" cy="40005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91FE97F" w14:textId="3FD07F17" w:rsidR="00FA06CA" w:rsidRPr="00284719" w:rsidRDefault="00FA06CA"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6F1C2" id="_x0000_t202" coordsize="21600,21600" o:spt="202" path="m,l,21600r21600,l21600,xe">
              <v:stroke joinstyle="miter"/>
              <v:path gradientshapeok="t" o:connecttype="rect"/>
            </v:shapetype>
            <v:shape id="Text Box 16" o:spid="_x0000_s1030" type="#_x0000_t202" style="position:absolute;margin-left:0;margin-top:11.3pt;width:347.25pt;height:31.5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" stroked="f">
              <v:stroke joinstyle="round"/>
              <v:path arrowok="t"/>
              <v:textbox>
                <w:txbxContent>
                  <w:p w14:paraId="091FE97F" w14:textId="3FD07F17" w:rsidR="00FA06CA" w:rsidRPr="00284719" w:rsidRDefault="00FA06CA" w:rsidP="00284719">
                    <w:pPr>
                      <w:jc w:val="center"/>
                      <w:rPr>
                        <w:rFonts w:ascii="Arial" w:hAnsi="Arial" w:cs="Arial"/>
                        <w:b/>
                        <w:sz w:val="40"/>
                      </w:rPr>
                    </w:pPr>
                  </w:p>
                </w:txbxContent>
              </v:textbox>
              <w10:wrap anchory="page"/>
            </v:shape>
          </w:pict>
        </mc:Fallback>
      </mc:AlternateContent>
    </w:r>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D92E4" w14:textId="77777777" w:rsidR="00FA06CA" w:rsidRPr="00ED79B6" w:rsidRDefault="00FA06CA" w:rsidP="00715914">
    <w:pPr>
      <w:pStyle w:val="Header"/>
      <w:tabs>
        <w:tab w:val="clear" w:pos="4150"/>
        <w:tab w:val="clear" w:pos="8307"/>
      </w:tabs>
    </w:pPr>
    <w:bookmarkStart w:id="22" w:name="_Hlk26286437"/>
    <w:bookmarkStart w:id="23" w:name="_Hlk26286438"/>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6AAF9" w14:textId="072515B8" w:rsidR="00715914" w:rsidRDefault="00636078" w:rsidP="00715914">
    <w:pPr>
      <w:rPr>
        <w:sz w:val="20"/>
      </w:rPr>
    </w:pPr>
    <w:r>
      <w:rPr>
        <w:b/>
        <w:noProof/>
        <w:sz w:val="20"/>
        <w:lang w:eastAsia="en-AU"/>
      </w:rPr>
      <mc:AlternateContent>
        <mc:Choice Requires="wps">
          <w:drawing>
            <wp:anchor distT="0" distB="0" distL="114300" distR="114300" simplePos="0" relativeHeight="251659264" behindDoc="1" locked="0" layoutInCell="1" allowOverlap="1" wp14:anchorId="76351D79" wp14:editId="6EB89D25">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CCE1AA6" w14:textId="35900DC5" w:rsidR="00284719" w:rsidRPr="00284719" w:rsidRDefault="00EF3FFD"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51D79" id="_x0000_t202" coordsize="21600,21600" o:spt="202" path="m,l,21600r21600,l21600,xe">
              <v:stroke joinstyle="miter"/>
              <v:path gradientshapeok="t" o:connecttype="rect"/>
            </v:shapetype>
            <v:shape id="Text Box 19" o:spid="_x0000_s1033"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" stroked="f">
              <v:stroke joinstyle="round"/>
              <v:path arrowok="t"/>
              <v:textbox>
                <w:txbxContent>
                  <w:p w14:paraId="7CCE1AA6" w14:textId="35900DC5" w:rsidR="00284719" w:rsidRPr="00284719" w:rsidRDefault="00EF3FFD" w:rsidP="00284719">
                    <w:pPr>
                      <w:jc w:val="center"/>
                      <w:rPr>
                        <w:rFonts w:ascii="Arial" w:hAnsi="Arial" w:cs="Arial"/>
                        <w:b/>
                        <w:sz w:val="40"/>
                      </w:rPr>
                    </w:pP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349CDE0" w14:textId="0335D035" w:rsidR="00715914" w:rsidRDefault="0063607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F3FFD">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F3FFD">
      <w:rPr>
        <w:noProof/>
        <w:sz w:val="20"/>
      </w:rPr>
      <w:t>Preliminary</w:t>
    </w:r>
    <w:r>
      <w:rPr>
        <w:sz w:val="20"/>
      </w:rPr>
      <w:fldChar w:fldCharType="end"/>
    </w:r>
  </w:p>
  <w:p w14:paraId="316BE5CA" w14:textId="656DED6D" w:rsidR="00715914" w:rsidRPr="007A1328" w:rsidRDefault="0063607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35B40F1" w14:textId="77777777" w:rsidR="00715914" w:rsidRPr="007A1328" w:rsidRDefault="00EF3FFD" w:rsidP="00715914">
    <w:pPr>
      <w:rPr>
        <w:b/>
        <w:sz w:val="24"/>
      </w:rPr>
    </w:pPr>
  </w:p>
  <w:p w14:paraId="2ED706C3" w14:textId="6D3B05D5" w:rsidR="00715914" w:rsidRPr="007A1328" w:rsidRDefault="00636078"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7C25F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F3FFD">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D6B5A" w14:textId="4339C0C9" w:rsidR="00715914" w:rsidRPr="007A1328" w:rsidRDefault="00636078" w:rsidP="00715914">
    <w:pPr>
      <w:jc w:val="right"/>
      <w:rPr>
        <w:sz w:val="20"/>
      </w:rPr>
    </w:pPr>
    <w:bookmarkStart w:id="50" w:name="_Hlk26286447"/>
    <w:bookmarkStart w:id="51" w:name="_Hlk26286448"/>
    <w:bookmarkStart w:id="52" w:name="_Hlk26286451"/>
    <w:bookmarkStart w:id="53" w:name="_Hlk26286452"/>
    <w:r>
      <w:rPr>
        <w:noProof/>
        <w:sz w:val="20"/>
        <w:lang w:eastAsia="en-AU"/>
      </w:rPr>
      <mc:AlternateContent>
        <mc:Choice Requires="wps">
          <w:drawing>
            <wp:anchor distT="0" distB="0" distL="114300" distR="114300" simplePos="0" relativeHeight="251657216" behindDoc="1" locked="0" layoutInCell="1" allowOverlap="1" wp14:anchorId="3B718DC0" wp14:editId="0E57DB97">
              <wp:simplePos x="0" y="0"/>
              <wp:positionH relativeFrom="column">
                <wp:align>center</wp:align>
              </wp:positionH>
              <wp:positionV relativeFrom="page">
                <wp:posOffset>143510</wp:posOffset>
              </wp:positionV>
              <wp:extent cx="4410075" cy="400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21D131E0" w14:textId="3B75678B" w:rsidR="00284719" w:rsidRPr="00284719" w:rsidRDefault="00EF3FFD"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18DC0" id="_x0000_t202" coordsize="21600,21600" o:spt="202" path="m,l,21600r21600,l21600,xe">
              <v:stroke joinstyle="miter"/>
              <v:path gradientshapeok="t" o:connecttype="rect"/>
            </v:shapetype>
            <v:shape id="Text Box 2" o:spid="_x0000_s1034" type="#_x0000_t202" style="position:absolute;left:0;text-align:left;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TKk7A0sDAADLBwAADgAAAAAAAAAAAAAAAAAuAgAAZHJz&#10;L2Uyb0RvYy54bWxQSwECLQAUAAYACAAAACEA5grfutwAAAAGAQAADwAAAAAAAAAAAAAAAAClBQAA&#10;ZHJzL2Rvd25yZXYueG1sUEsFBgAAAAAEAAQA8wAAAK4GAAAAAA==&#10;" stroked="f">
              <v:stroke joinstyle="round"/>
              <v:path arrowok="t"/>
              <v:textbox>
                <w:txbxContent>
                  <w:p w14:paraId="21D131E0" w14:textId="3B75678B" w:rsidR="00284719" w:rsidRPr="00284719" w:rsidRDefault="00EF3FFD" w:rsidP="00284719">
                    <w:pPr>
                      <w:jc w:val="center"/>
                      <w:rPr>
                        <w:rFonts w:ascii="Arial" w:hAnsi="Arial" w:cs="Arial"/>
                        <w:b/>
                        <w:sz w:val="40"/>
                      </w:rPr>
                    </w:pP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E9C1CF5" w14:textId="671F66DD" w:rsidR="00715914" w:rsidRPr="007A1328" w:rsidRDefault="00636078" w:rsidP="00715914">
    <w:pPr>
      <w:jc w:val="right"/>
      <w:rPr>
        <w:sz w:val="20"/>
      </w:rPr>
    </w:pPr>
    <w:r w:rsidRPr="007A1328">
      <w:rPr>
        <w:sz w:val="20"/>
      </w:rPr>
      <w:fldChar w:fldCharType="begin"/>
    </w:r>
    <w:r w:rsidRPr="007A1328">
      <w:rPr>
        <w:sz w:val="20"/>
      </w:rPr>
      <w:instrText xml:space="preserve"> STYLEREF CharPartText </w:instrText>
    </w:r>
    <w:r w:rsidR="00EF3FFD">
      <w:rPr>
        <w:sz w:val="20"/>
      </w:rPr>
      <w:fldChar w:fldCharType="separate"/>
    </w:r>
    <w:r w:rsidR="00EF3FFD">
      <w:rPr>
        <w:noProof/>
        <w:sz w:val="20"/>
      </w:rPr>
      <w:t>Determining the size of an ADI</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F3FFD">
      <w:rPr>
        <w:b/>
        <w:sz w:val="20"/>
      </w:rPr>
      <w:fldChar w:fldCharType="separate"/>
    </w:r>
    <w:r w:rsidR="00EF3FFD">
      <w:rPr>
        <w:b/>
        <w:noProof/>
        <w:sz w:val="20"/>
      </w:rPr>
      <w:t>Part 2</w:t>
    </w:r>
    <w:r>
      <w:rPr>
        <w:b/>
        <w:sz w:val="20"/>
      </w:rPr>
      <w:fldChar w:fldCharType="end"/>
    </w:r>
  </w:p>
  <w:p w14:paraId="260FC4DD" w14:textId="216F7DEA" w:rsidR="00715914" w:rsidRPr="007A1328" w:rsidRDefault="0063607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6000E4D" w14:textId="77777777" w:rsidR="00715914" w:rsidRPr="007A1328" w:rsidRDefault="00EF3FFD" w:rsidP="00715914">
    <w:pPr>
      <w:jc w:val="right"/>
      <w:rPr>
        <w:b/>
        <w:sz w:val="24"/>
      </w:rPr>
    </w:pPr>
  </w:p>
  <w:p w14:paraId="0B318CC6" w14:textId="68212029" w:rsidR="00715914" w:rsidRPr="007A1328" w:rsidRDefault="0063607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C25F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F3FFD">
      <w:rPr>
        <w:noProof/>
        <w:sz w:val="24"/>
      </w:rPr>
      <w:t>9</w:t>
    </w:r>
    <w:r w:rsidRPr="007A1328">
      <w:rPr>
        <w:sz w:val="24"/>
      </w:rPr>
      <w:fldChar w:fldCharType="end"/>
    </w:r>
    <w:bookmarkEnd w:id="50"/>
    <w:bookmarkEnd w:id="51"/>
    <w:bookmarkEnd w:id="52"/>
    <w:bookmarkEnd w:id="53"/>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1D752" w14:textId="77777777" w:rsidR="00715914" w:rsidRPr="007A1328" w:rsidRDefault="00EF3FFD" w:rsidP="00715914">
    <w:bookmarkStart w:id="60" w:name="_Hlk26286449"/>
    <w:bookmarkStart w:id="61" w:name="_Hlk26286450"/>
    <w:bookmarkEnd w:id="60"/>
    <w:bookmarkEnd w:id="6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proofState w:spelling="clean" w:grammar="clean"/>
  <w:attachedTemplate r:id="rId1"/>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DA"/>
    <w:rsid w:val="00041F93"/>
    <w:rsid w:val="000644DE"/>
    <w:rsid w:val="00067ED7"/>
    <w:rsid w:val="000D3A17"/>
    <w:rsid w:val="000E31B8"/>
    <w:rsid w:val="00100AB1"/>
    <w:rsid w:val="005B07DA"/>
    <w:rsid w:val="00636078"/>
    <w:rsid w:val="007148C3"/>
    <w:rsid w:val="007C104A"/>
    <w:rsid w:val="007C25FC"/>
    <w:rsid w:val="007D1175"/>
    <w:rsid w:val="008068FA"/>
    <w:rsid w:val="00997FF7"/>
    <w:rsid w:val="009D6E64"/>
    <w:rsid w:val="00B55A62"/>
    <w:rsid w:val="00C20763"/>
    <w:rsid w:val="00C550AE"/>
    <w:rsid w:val="00C92089"/>
    <w:rsid w:val="00C9209D"/>
    <w:rsid w:val="00C9500F"/>
    <w:rsid w:val="00E004F7"/>
    <w:rsid w:val="00EF3FFD"/>
    <w:rsid w:val="00F41C56"/>
    <w:rsid w:val="00FA06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5E99C8"/>
  <w15:chartTrackingRefBased/>
  <w15:docId w15:val="{3A54DF53-162C-4F9A-A868-4C556912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67ED7"/>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067ED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067ED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67ED7"/>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67ED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67ED7"/>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67ED7"/>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67E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7ED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67ED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ED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067ED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067ED7"/>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067ED7"/>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067ED7"/>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067ED7"/>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067ED7"/>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067E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7ED7"/>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067ED7"/>
  </w:style>
  <w:style w:type="paragraph" w:customStyle="1" w:styleId="OPCParaBase">
    <w:name w:val="OPCParaBase"/>
    <w:qFormat/>
    <w:rsid w:val="00067ED7"/>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067ED7"/>
    <w:pPr>
      <w:spacing w:line="240" w:lineRule="auto"/>
    </w:pPr>
    <w:rPr>
      <w:b/>
      <w:sz w:val="40"/>
    </w:rPr>
  </w:style>
  <w:style w:type="paragraph" w:customStyle="1" w:styleId="ActHead1">
    <w:name w:val="ActHead 1"/>
    <w:aliases w:val="c"/>
    <w:basedOn w:val="OPCParaBase"/>
    <w:next w:val="Normal"/>
    <w:qFormat/>
    <w:rsid w:val="00067ED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7ED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7ED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7ED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67ED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7ED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7ED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7ED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7ED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7ED7"/>
  </w:style>
  <w:style w:type="paragraph" w:customStyle="1" w:styleId="Blocks">
    <w:name w:val="Blocks"/>
    <w:aliases w:val="bb"/>
    <w:basedOn w:val="OPCParaBase"/>
    <w:qFormat/>
    <w:rsid w:val="00067ED7"/>
    <w:pPr>
      <w:spacing w:line="240" w:lineRule="auto"/>
    </w:pPr>
    <w:rPr>
      <w:sz w:val="24"/>
    </w:rPr>
  </w:style>
  <w:style w:type="paragraph" w:customStyle="1" w:styleId="BoxText">
    <w:name w:val="BoxText"/>
    <w:aliases w:val="bt"/>
    <w:basedOn w:val="OPCParaBase"/>
    <w:qFormat/>
    <w:rsid w:val="00067ED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7ED7"/>
    <w:rPr>
      <w:b/>
    </w:rPr>
  </w:style>
  <w:style w:type="paragraph" w:customStyle="1" w:styleId="BoxHeadItalic">
    <w:name w:val="BoxHeadItalic"/>
    <w:aliases w:val="bhi"/>
    <w:basedOn w:val="BoxText"/>
    <w:next w:val="BoxStep"/>
    <w:qFormat/>
    <w:rsid w:val="00067ED7"/>
    <w:rPr>
      <w:i/>
    </w:rPr>
  </w:style>
  <w:style w:type="paragraph" w:customStyle="1" w:styleId="BoxList">
    <w:name w:val="BoxList"/>
    <w:aliases w:val="bl"/>
    <w:basedOn w:val="BoxText"/>
    <w:qFormat/>
    <w:rsid w:val="00067ED7"/>
    <w:pPr>
      <w:ind w:left="1559" w:hanging="425"/>
    </w:pPr>
  </w:style>
  <w:style w:type="paragraph" w:customStyle="1" w:styleId="BoxNote">
    <w:name w:val="BoxNote"/>
    <w:aliases w:val="bn"/>
    <w:basedOn w:val="BoxText"/>
    <w:qFormat/>
    <w:rsid w:val="00067ED7"/>
    <w:pPr>
      <w:tabs>
        <w:tab w:val="left" w:pos="1985"/>
      </w:tabs>
      <w:spacing w:before="122" w:line="198" w:lineRule="exact"/>
      <w:ind w:left="2948" w:hanging="1814"/>
    </w:pPr>
    <w:rPr>
      <w:sz w:val="18"/>
    </w:rPr>
  </w:style>
  <w:style w:type="paragraph" w:customStyle="1" w:styleId="BoxPara">
    <w:name w:val="BoxPara"/>
    <w:aliases w:val="bp"/>
    <w:basedOn w:val="BoxText"/>
    <w:qFormat/>
    <w:rsid w:val="00067ED7"/>
    <w:pPr>
      <w:tabs>
        <w:tab w:val="right" w:pos="2268"/>
      </w:tabs>
      <w:ind w:left="2552" w:hanging="1418"/>
    </w:pPr>
  </w:style>
  <w:style w:type="paragraph" w:customStyle="1" w:styleId="BoxStep">
    <w:name w:val="BoxStep"/>
    <w:aliases w:val="bs"/>
    <w:basedOn w:val="BoxText"/>
    <w:qFormat/>
    <w:rsid w:val="00067ED7"/>
    <w:pPr>
      <w:ind w:left="1985" w:hanging="851"/>
    </w:pPr>
  </w:style>
  <w:style w:type="character" w:customStyle="1" w:styleId="CharAmPartNo">
    <w:name w:val="CharAmPartNo"/>
    <w:basedOn w:val="OPCCharBase"/>
    <w:uiPriority w:val="1"/>
    <w:qFormat/>
    <w:rsid w:val="00067ED7"/>
  </w:style>
  <w:style w:type="character" w:customStyle="1" w:styleId="CharAmPartText">
    <w:name w:val="CharAmPartText"/>
    <w:basedOn w:val="OPCCharBase"/>
    <w:uiPriority w:val="1"/>
    <w:qFormat/>
    <w:rsid w:val="00067ED7"/>
  </w:style>
  <w:style w:type="character" w:customStyle="1" w:styleId="CharAmSchNo">
    <w:name w:val="CharAmSchNo"/>
    <w:basedOn w:val="OPCCharBase"/>
    <w:uiPriority w:val="1"/>
    <w:qFormat/>
    <w:rsid w:val="00067ED7"/>
  </w:style>
  <w:style w:type="character" w:customStyle="1" w:styleId="CharAmSchText">
    <w:name w:val="CharAmSchText"/>
    <w:basedOn w:val="OPCCharBase"/>
    <w:uiPriority w:val="1"/>
    <w:qFormat/>
    <w:rsid w:val="00067ED7"/>
  </w:style>
  <w:style w:type="character" w:customStyle="1" w:styleId="CharBoldItalic">
    <w:name w:val="CharBoldItalic"/>
    <w:basedOn w:val="OPCCharBase"/>
    <w:uiPriority w:val="1"/>
    <w:qFormat/>
    <w:rsid w:val="00067ED7"/>
    <w:rPr>
      <w:b/>
      <w:i/>
    </w:rPr>
  </w:style>
  <w:style w:type="character" w:customStyle="1" w:styleId="CharChapNo">
    <w:name w:val="CharChapNo"/>
    <w:basedOn w:val="OPCCharBase"/>
    <w:qFormat/>
    <w:rsid w:val="00067ED7"/>
  </w:style>
  <w:style w:type="character" w:customStyle="1" w:styleId="CharChapText">
    <w:name w:val="CharChapText"/>
    <w:basedOn w:val="OPCCharBase"/>
    <w:qFormat/>
    <w:rsid w:val="00067ED7"/>
  </w:style>
  <w:style w:type="character" w:customStyle="1" w:styleId="CharDivNo">
    <w:name w:val="CharDivNo"/>
    <w:basedOn w:val="OPCCharBase"/>
    <w:qFormat/>
    <w:rsid w:val="00067ED7"/>
  </w:style>
  <w:style w:type="character" w:customStyle="1" w:styleId="CharDivText">
    <w:name w:val="CharDivText"/>
    <w:basedOn w:val="OPCCharBase"/>
    <w:qFormat/>
    <w:rsid w:val="00067ED7"/>
  </w:style>
  <w:style w:type="character" w:customStyle="1" w:styleId="CharItalic">
    <w:name w:val="CharItalic"/>
    <w:basedOn w:val="OPCCharBase"/>
    <w:uiPriority w:val="1"/>
    <w:qFormat/>
    <w:rsid w:val="00067ED7"/>
    <w:rPr>
      <w:i/>
    </w:rPr>
  </w:style>
  <w:style w:type="character" w:customStyle="1" w:styleId="CharPartNo">
    <w:name w:val="CharPartNo"/>
    <w:basedOn w:val="OPCCharBase"/>
    <w:qFormat/>
    <w:rsid w:val="00067ED7"/>
  </w:style>
  <w:style w:type="character" w:customStyle="1" w:styleId="CharPartText">
    <w:name w:val="CharPartText"/>
    <w:basedOn w:val="OPCCharBase"/>
    <w:qFormat/>
    <w:rsid w:val="00067ED7"/>
  </w:style>
  <w:style w:type="character" w:customStyle="1" w:styleId="CharSectno">
    <w:name w:val="CharSectno"/>
    <w:basedOn w:val="OPCCharBase"/>
    <w:qFormat/>
    <w:rsid w:val="00067ED7"/>
  </w:style>
  <w:style w:type="character" w:customStyle="1" w:styleId="CharSubdNo">
    <w:name w:val="CharSubdNo"/>
    <w:basedOn w:val="OPCCharBase"/>
    <w:uiPriority w:val="1"/>
    <w:qFormat/>
    <w:rsid w:val="00067ED7"/>
  </w:style>
  <w:style w:type="character" w:customStyle="1" w:styleId="CharSubdText">
    <w:name w:val="CharSubdText"/>
    <w:basedOn w:val="OPCCharBase"/>
    <w:uiPriority w:val="1"/>
    <w:qFormat/>
    <w:rsid w:val="00067ED7"/>
  </w:style>
  <w:style w:type="paragraph" w:customStyle="1" w:styleId="CTA--">
    <w:name w:val="CTA --"/>
    <w:basedOn w:val="OPCParaBase"/>
    <w:next w:val="Normal"/>
    <w:rsid w:val="00067ED7"/>
    <w:pPr>
      <w:spacing w:before="60" w:line="240" w:lineRule="atLeast"/>
      <w:ind w:left="142" w:hanging="142"/>
    </w:pPr>
    <w:rPr>
      <w:sz w:val="20"/>
    </w:rPr>
  </w:style>
  <w:style w:type="paragraph" w:customStyle="1" w:styleId="CTA-">
    <w:name w:val="CTA -"/>
    <w:basedOn w:val="OPCParaBase"/>
    <w:rsid w:val="00067ED7"/>
    <w:pPr>
      <w:spacing w:before="60" w:line="240" w:lineRule="atLeast"/>
      <w:ind w:left="85" w:hanging="85"/>
    </w:pPr>
    <w:rPr>
      <w:sz w:val="20"/>
    </w:rPr>
  </w:style>
  <w:style w:type="paragraph" w:customStyle="1" w:styleId="CTA---">
    <w:name w:val="CTA ---"/>
    <w:basedOn w:val="OPCParaBase"/>
    <w:next w:val="Normal"/>
    <w:rsid w:val="00067ED7"/>
    <w:pPr>
      <w:spacing w:before="60" w:line="240" w:lineRule="atLeast"/>
      <w:ind w:left="198" w:hanging="198"/>
    </w:pPr>
    <w:rPr>
      <w:sz w:val="20"/>
    </w:rPr>
  </w:style>
  <w:style w:type="paragraph" w:customStyle="1" w:styleId="CTA----">
    <w:name w:val="CTA ----"/>
    <w:basedOn w:val="OPCParaBase"/>
    <w:next w:val="Normal"/>
    <w:rsid w:val="00067ED7"/>
    <w:pPr>
      <w:spacing w:before="60" w:line="240" w:lineRule="atLeast"/>
      <w:ind w:left="255" w:hanging="255"/>
    </w:pPr>
    <w:rPr>
      <w:sz w:val="20"/>
    </w:rPr>
  </w:style>
  <w:style w:type="paragraph" w:customStyle="1" w:styleId="CTA1a">
    <w:name w:val="CTA 1(a)"/>
    <w:basedOn w:val="OPCParaBase"/>
    <w:rsid w:val="00067ED7"/>
    <w:pPr>
      <w:tabs>
        <w:tab w:val="right" w:pos="414"/>
      </w:tabs>
      <w:spacing w:before="40" w:line="240" w:lineRule="atLeast"/>
      <w:ind w:left="675" w:hanging="675"/>
    </w:pPr>
    <w:rPr>
      <w:sz w:val="20"/>
    </w:rPr>
  </w:style>
  <w:style w:type="paragraph" w:customStyle="1" w:styleId="CTA1ai">
    <w:name w:val="CTA 1(a)(i)"/>
    <w:basedOn w:val="OPCParaBase"/>
    <w:rsid w:val="00067ED7"/>
    <w:pPr>
      <w:tabs>
        <w:tab w:val="right" w:pos="1004"/>
      </w:tabs>
      <w:spacing w:before="40" w:line="240" w:lineRule="atLeast"/>
      <w:ind w:left="1253" w:hanging="1253"/>
    </w:pPr>
    <w:rPr>
      <w:sz w:val="20"/>
    </w:rPr>
  </w:style>
  <w:style w:type="paragraph" w:customStyle="1" w:styleId="CTA2a">
    <w:name w:val="CTA 2(a)"/>
    <w:basedOn w:val="OPCParaBase"/>
    <w:rsid w:val="00067ED7"/>
    <w:pPr>
      <w:tabs>
        <w:tab w:val="right" w:pos="482"/>
      </w:tabs>
      <w:spacing w:before="40" w:line="240" w:lineRule="atLeast"/>
      <w:ind w:left="748" w:hanging="748"/>
    </w:pPr>
    <w:rPr>
      <w:sz w:val="20"/>
    </w:rPr>
  </w:style>
  <w:style w:type="paragraph" w:customStyle="1" w:styleId="CTA2ai">
    <w:name w:val="CTA 2(a)(i)"/>
    <w:basedOn w:val="OPCParaBase"/>
    <w:rsid w:val="00067ED7"/>
    <w:pPr>
      <w:tabs>
        <w:tab w:val="right" w:pos="1089"/>
      </w:tabs>
      <w:spacing w:before="40" w:line="240" w:lineRule="atLeast"/>
      <w:ind w:left="1327" w:hanging="1327"/>
    </w:pPr>
    <w:rPr>
      <w:sz w:val="20"/>
    </w:rPr>
  </w:style>
  <w:style w:type="paragraph" w:customStyle="1" w:styleId="CTA3a">
    <w:name w:val="CTA 3(a)"/>
    <w:basedOn w:val="OPCParaBase"/>
    <w:rsid w:val="00067ED7"/>
    <w:pPr>
      <w:tabs>
        <w:tab w:val="right" w:pos="556"/>
      </w:tabs>
      <w:spacing w:before="40" w:line="240" w:lineRule="atLeast"/>
      <w:ind w:left="805" w:hanging="805"/>
    </w:pPr>
    <w:rPr>
      <w:sz w:val="20"/>
    </w:rPr>
  </w:style>
  <w:style w:type="paragraph" w:customStyle="1" w:styleId="CTA3ai">
    <w:name w:val="CTA 3(a)(i)"/>
    <w:basedOn w:val="OPCParaBase"/>
    <w:rsid w:val="00067ED7"/>
    <w:pPr>
      <w:tabs>
        <w:tab w:val="right" w:pos="1140"/>
      </w:tabs>
      <w:spacing w:before="40" w:line="240" w:lineRule="atLeast"/>
      <w:ind w:left="1361" w:hanging="1361"/>
    </w:pPr>
    <w:rPr>
      <w:sz w:val="20"/>
    </w:rPr>
  </w:style>
  <w:style w:type="paragraph" w:customStyle="1" w:styleId="CTA4a">
    <w:name w:val="CTA 4(a)"/>
    <w:basedOn w:val="OPCParaBase"/>
    <w:rsid w:val="00067ED7"/>
    <w:pPr>
      <w:tabs>
        <w:tab w:val="right" w:pos="624"/>
      </w:tabs>
      <w:spacing w:before="40" w:line="240" w:lineRule="atLeast"/>
      <w:ind w:left="873" w:hanging="873"/>
    </w:pPr>
    <w:rPr>
      <w:sz w:val="20"/>
    </w:rPr>
  </w:style>
  <w:style w:type="paragraph" w:customStyle="1" w:styleId="CTA4ai">
    <w:name w:val="CTA 4(a)(i)"/>
    <w:basedOn w:val="OPCParaBase"/>
    <w:rsid w:val="00067ED7"/>
    <w:pPr>
      <w:tabs>
        <w:tab w:val="right" w:pos="1213"/>
      </w:tabs>
      <w:spacing w:before="40" w:line="240" w:lineRule="atLeast"/>
      <w:ind w:left="1452" w:hanging="1452"/>
    </w:pPr>
    <w:rPr>
      <w:sz w:val="20"/>
    </w:rPr>
  </w:style>
  <w:style w:type="paragraph" w:customStyle="1" w:styleId="CTACAPS">
    <w:name w:val="CTA CAPS"/>
    <w:basedOn w:val="OPCParaBase"/>
    <w:rsid w:val="00067ED7"/>
    <w:pPr>
      <w:spacing w:before="60" w:line="240" w:lineRule="atLeast"/>
    </w:pPr>
    <w:rPr>
      <w:sz w:val="20"/>
    </w:rPr>
  </w:style>
  <w:style w:type="paragraph" w:customStyle="1" w:styleId="CTAright">
    <w:name w:val="CTA right"/>
    <w:basedOn w:val="OPCParaBase"/>
    <w:rsid w:val="00067ED7"/>
    <w:pPr>
      <w:spacing w:before="60" w:line="240" w:lineRule="auto"/>
      <w:jc w:val="right"/>
    </w:pPr>
    <w:rPr>
      <w:sz w:val="20"/>
    </w:rPr>
  </w:style>
  <w:style w:type="paragraph" w:customStyle="1" w:styleId="subsection">
    <w:name w:val="subsection"/>
    <w:aliases w:val="ss"/>
    <w:basedOn w:val="OPCParaBase"/>
    <w:link w:val="subsectionChar"/>
    <w:rsid w:val="00067ED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67ED7"/>
    <w:pPr>
      <w:spacing w:before="180" w:line="240" w:lineRule="auto"/>
      <w:ind w:left="1134"/>
    </w:pPr>
  </w:style>
  <w:style w:type="paragraph" w:customStyle="1" w:styleId="EndNotespara">
    <w:name w:val="EndNotes(para)"/>
    <w:aliases w:val="eta"/>
    <w:basedOn w:val="OPCParaBase"/>
    <w:next w:val="EndNotessubpara"/>
    <w:rsid w:val="00067ED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7ED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7ED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7ED7"/>
    <w:pPr>
      <w:tabs>
        <w:tab w:val="right" w:pos="1412"/>
      </w:tabs>
      <w:spacing w:before="60" w:line="240" w:lineRule="auto"/>
      <w:ind w:left="1525" w:hanging="1525"/>
    </w:pPr>
    <w:rPr>
      <w:sz w:val="20"/>
    </w:rPr>
  </w:style>
  <w:style w:type="paragraph" w:customStyle="1" w:styleId="Formula">
    <w:name w:val="Formula"/>
    <w:basedOn w:val="OPCParaBase"/>
    <w:rsid w:val="00067ED7"/>
    <w:pPr>
      <w:spacing w:line="240" w:lineRule="auto"/>
      <w:ind w:left="1134"/>
    </w:pPr>
    <w:rPr>
      <w:sz w:val="20"/>
    </w:rPr>
  </w:style>
  <w:style w:type="paragraph" w:styleId="Header">
    <w:name w:val="header"/>
    <w:basedOn w:val="OPCParaBase"/>
    <w:link w:val="HeaderChar"/>
    <w:unhideWhenUsed/>
    <w:rsid w:val="00067ED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7ED7"/>
    <w:rPr>
      <w:rFonts w:ascii="Times New Roman" w:eastAsia="Times New Roman" w:hAnsi="Times New Roman" w:cs="Times New Roman"/>
      <w:sz w:val="16"/>
      <w:szCs w:val="20"/>
      <w:lang w:eastAsia="en-AU"/>
    </w:rPr>
  </w:style>
  <w:style w:type="paragraph" w:customStyle="1" w:styleId="House">
    <w:name w:val="House"/>
    <w:basedOn w:val="OPCParaBase"/>
    <w:rsid w:val="00067ED7"/>
    <w:pPr>
      <w:spacing w:line="240" w:lineRule="auto"/>
    </w:pPr>
    <w:rPr>
      <w:sz w:val="28"/>
    </w:rPr>
  </w:style>
  <w:style w:type="paragraph" w:customStyle="1" w:styleId="Item">
    <w:name w:val="Item"/>
    <w:aliases w:val="i"/>
    <w:basedOn w:val="OPCParaBase"/>
    <w:next w:val="ItemHead"/>
    <w:rsid w:val="00067ED7"/>
    <w:pPr>
      <w:keepLines/>
      <w:spacing w:before="80" w:line="240" w:lineRule="auto"/>
      <w:ind w:left="709"/>
    </w:pPr>
  </w:style>
  <w:style w:type="paragraph" w:customStyle="1" w:styleId="ItemHead">
    <w:name w:val="ItemHead"/>
    <w:aliases w:val="ih"/>
    <w:basedOn w:val="OPCParaBase"/>
    <w:next w:val="Item"/>
    <w:rsid w:val="00067ED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7ED7"/>
    <w:pPr>
      <w:spacing w:line="240" w:lineRule="auto"/>
    </w:pPr>
    <w:rPr>
      <w:b/>
      <w:sz w:val="32"/>
    </w:rPr>
  </w:style>
  <w:style w:type="paragraph" w:customStyle="1" w:styleId="notedraft">
    <w:name w:val="note(draft)"/>
    <w:aliases w:val="nd"/>
    <w:basedOn w:val="OPCParaBase"/>
    <w:rsid w:val="00067ED7"/>
    <w:pPr>
      <w:spacing w:before="240" w:line="240" w:lineRule="auto"/>
      <w:ind w:left="284" w:hanging="284"/>
    </w:pPr>
    <w:rPr>
      <w:i/>
      <w:sz w:val="24"/>
    </w:rPr>
  </w:style>
  <w:style w:type="paragraph" w:customStyle="1" w:styleId="notemargin">
    <w:name w:val="note(margin)"/>
    <w:aliases w:val="nm"/>
    <w:basedOn w:val="OPCParaBase"/>
    <w:rsid w:val="00067ED7"/>
    <w:pPr>
      <w:tabs>
        <w:tab w:val="left" w:pos="709"/>
      </w:tabs>
      <w:spacing w:before="122" w:line="198" w:lineRule="exact"/>
      <w:ind w:left="709" w:hanging="709"/>
    </w:pPr>
    <w:rPr>
      <w:sz w:val="18"/>
    </w:rPr>
  </w:style>
  <w:style w:type="paragraph" w:customStyle="1" w:styleId="noteToPara">
    <w:name w:val="noteToPara"/>
    <w:aliases w:val="ntp"/>
    <w:basedOn w:val="OPCParaBase"/>
    <w:rsid w:val="00067ED7"/>
    <w:pPr>
      <w:spacing w:before="122" w:line="198" w:lineRule="exact"/>
      <w:ind w:left="2353" w:hanging="709"/>
    </w:pPr>
    <w:rPr>
      <w:sz w:val="18"/>
    </w:rPr>
  </w:style>
  <w:style w:type="paragraph" w:customStyle="1" w:styleId="noteParlAmend">
    <w:name w:val="note(ParlAmend)"/>
    <w:aliases w:val="npp"/>
    <w:basedOn w:val="OPCParaBase"/>
    <w:next w:val="ParlAmend"/>
    <w:rsid w:val="00067ED7"/>
    <w:pPr>
      <w:spacing w:line="240" w:lineRule="auto"/>
      <w:jc w:val="right"/>
    </w:pPr>
    <w:rPr>
      <w:rFonts w:ascii="Arial" w:hAnsi="Arial"/>
      <w:b/>
      <w:i/>
    </w:rPr>
  </w:style>
  <w:style w:type="paragraph" w:customStyle="1" w:styleId="Page1">
    <w:name w:val="Page1"/>
    <w:basedOn w:val="OPCParaBase"/>
    <w:rsid w:val="00067ED7"/>
    <w:pPr>
      <w:spacing w:before="5600" w:line="240" w:lineRule="auto"/>
    </w:pPr>
    <w:rPr>
      <w:b/>
      <w:sz w:val="32"/>
    </w:rPr>
  </w:style>
  <w:style w:type="paragraph" w:customStyle="1" w:styleId="PageBreak">
    <w:name w:val="PageBreak"/>
    <w:aliases w:val="pb"/>
    <w:basedOn w:val="OPCParaBase"/>
    <w:rsid w:val="00067ED7"/>
    <w:pPr>
      <w:spacing w:line="240" w:lineRule="auto"/>
    </w:pPr>
    <w:rPr>
      <w:sz w:val="20"/>
    </w:rPr>
  </w:style>
  <w:style w:type="paragraph" w:customStyle="1" w:styleId="paragraphsub">
    <w:name w:val="paragraph(sub)"/>
    <w:aliases w:val="aa"/>
    <w:basedOn w:val="OPCParaBase"/>
    <w:rsid w:val="00067ED7"/>
    <w:pPr>
      <w:tabs>
        <w:tab w:val="right" w:pos="1985"/>
      </w:tabs>
      <w:spacing w:before="40" w:line="240" w:lineRule="auto"/>
      <w:ind w:left="2098" w:hanging="2098"/>
    </w:pPr>
  </w:style>
  <w:style w:type="paragraph" w:customStyle="1" w:styleId="paragraphsub-sub">
    <w:name w:val="paragraph(sub-sub)"/>
    <w:aliases w:val="aaa"/>
    <w:basedOn w:val="OPCParaBase"/>
    <w:rsid w:val="00067ED7"/>
    <w:pPr>
      <w:tabs>
        <w:tab w:val="right" w:pos="2722"/>
      </w:tabs>
      <w:spacing w:before="40" w:line="240" w:lineRule="auto"/>
      <w:ind w:left="2835" w:hanging="2835"/>
    </w:pPr>
  </w:style>
  <w:style w:type="paragraph" w:customStyle="1" w:styleId="paragraph">
    <w:name w:val="paragraph"/>
    <w:aliases w:val="a"/>
    <w:basedOn w:val="OPCParaBase"/>
    <w:link w:val="paragraphChar"/>
    <w:rsid w:val="00067ED7"/>
    <w:pPr>
      <w:tabs>
        <w:tab w:val="right" w:pos="1531"/>
      </w:tabs>
      <w:spacing w:before="40" w:line="240" w:lineRule="auto"/>
      <w:ind w:left="1644" w:hanging="1644"/>
    </w:pPr>
  </w:style>
  <w:style w:type="paragraph" w:customStyle="1" w:styleId="ParlAmend">
    <w:name w:val="ParlAmend"/>
    <w:aliases w:val="pp"/>
    <w:basedOn w:val="OPCParaBase"/>
    <w:rsid w:val="00067ED7"/>
    <w:pPr>
      <w:spacing w:before="240" w:line="240" w:lineRule="atLeast"/>
      <w:ind w:hanging="567"/>
    </w:pPr>
    <w:rPr>
      <w:sz w:val="24"/>
    </w:rPr>
  </w:style>
  <w:style w:type="paragraph" w:customStyle="1" w:styleId="Penalty">
    <w:name w:val="Penalty"/>
    <w:basedOn w:val="OPCParaBase"/>
    <w:rsid w:val="00067ED7"/>
    <w:pPr>
      <w:tabs>
        <w:tab w:val="left" w:pos="2977"/>
      </w:tabs>
      <w:spacing w:before="180" w:line="240" w:lineRule="auto"/>
      <w:ind w:left="1985" w:hanging="851"/>
    </w:pPr>
  </w:style>
  <w:style w:type="paragraph" w:customStyle="1" w:styleId="Portfolio">
    <w:name w:val="Portfolio"/>
    <w:basedOn w:val="OPCParaBase"/>
    <w:rsid w:val="00067ED7"/>
    <w:pPr>
      <w:spacing w:line="240" w:lineRule="auto"/>
    </w:pPr>
    <w:rPr>
      <w:i/>
      <w:sz w:val="20"/>
    </w:rPr>
  </w:style>
  <w:style w:type="paragraph" w:customStyle="1" w:styleId="Preamble">
    <w:name w:val="Preamble"/>
    <w:basedOn w:val="OPCParaBase"/>
    <w:next w:val="Normal"/>
    <w:rsid w:val="00067ED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7ED7"/>
    <w:pPr>
      <w:spacing w:line="240" w:lineRule="auto"/>
    </w:pPr>
    <w:rPr>
      <w:i/>
      <w:sz w:val="20"/>
    </w:rPr>
  </w:style>
  <w:style w:type="paragraph" w:customStyle="1" w:styleId="Session">
    <w:name w:val="Session"/>
    <w:basedOn w:val="OPCParaBase"/>
    <w:rsid w:val="00067ED7"/>
    <w:pPr>
      <w:spacing w:line="240" w:lineRule="auto"/>
    </w:pPr>
    <w:rPr>
      <w:sz w:val="28"/>
    </w:rPr>
  </w:style>
  <w:style w:type="paragraph" w:customStyle="1" w:styleId="Sponsor">
    <w:name w:val="Sponsor"/>
    <w:basedOn w:val="OPCParaBase"/>
    <w:rsid w:val="00067ED7"/>
    <w:pPr>
      <w:spacing w:line="240" w:lineRule="auto"/>
    </w:pPr>
    <w:rPr>
      <w:i/>
    </w:rPr>
  </w:style>
  <w:style w:type="paragraph" w:customStyle="1" w:styleId="Subitem">
    <w:name w:val="Subitem"/>
    <w:aliases w:val="iss"/>
    <w:basedOn w:val="OPCParaBase"/>
    <w:rsid w:val="00067ED7"/>
    <w:pPr>
      <w:spacing w:before="180" w:line="240" w:lineRule="auto"/>
      <w:ind w:left="709" w:hanging="709"/>
    </w:pPr>
  </w:style>
  <w:style w:type="paragraph" w:customStyle="1" w:styleId="SubitemHead">
    <w:name w:val="SubitemHead"/>
    <w:aliases w:val="issh"/>
    <w:basedOn w:val="OPCParaBase"/>
    <w:rsid w:val="00067ED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067ED7"/>
    <w:pPr>
      <w:spacing w:before="40" w:line="240" w:lineRule="auto"/>
      <w:ind w:left="1134"/>
    </w:pPr>
  </w:style>
  <w:style w:type="paragraph" w:customStyle="1" w:styleId="SubsectionHead">
    <w:name w:val="SubsectionHead"/>
    <w:aliases w:val="ssh"/>
    <w:basedOn w:val="OPCParaBase"/>
    <w:next w:val="subsection"/>
    <w:rsid w:val="00067ED7"/>
    <w:pPr>
      <w:keepNext/>
      <w:keepLines/>
      <w:spacing w:before="240" w:line="240" w:lineRule="auto"/>
      <w:ind w:left="1134"/>
    </w:pPr>
    <w:rPr>
      <w:i/>
    </w:rPr>
  </w:style>
  <w:style w:type="paragraph" w:customStyle="1" w:styleId="Tablea">
    <w:name w:val="Table(a)"/>
    <w:aliases w:val="ta"/>
    <w:basedOn w:val="OPCParaBase"/>
    <w:rsid w:val="00067ED7"/>
    <w:pPr>
      <w:spacing w:before="60" w:line="240" w:lineRule="auto"/>
      <w:ind w:left="284" w:hanging="284"/>
    </w:pPr>
    <w:rPr>
      <w:sz w:val="20"/>
    </w:rPr>
  </w:style>
  <w:style w:type="paragraph" w:customStyle="1" w:styleId="TableAA">
    <w:name w:val="Table(AA)"/>
    <w:aliases w:val="taaa"/>
    <w:basedOn w:val="OPCParaBase"/>
    <w:rsid w:val="00067ED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7ED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67ED7"/>
    <w:pPr>
      <w:spacing w:before="60" w:line="240" w:lineRule="atLeast"/>
    </w:pPr>
    <w:rPr>
      <w:sz w:val="20"/>
    </w:rPr>
  </w:style>
  <w:style w:type="paragraph" w:customStyle="1" w:styleId="TLPBoxTextnote">
    <w:name w:val="TLPBoxText(note"/>
    <w:aliases w:val="right)"/>
    <w:basedOn w:val="OPCParaBase"/>
    <w:rsid w:val="00067ED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7ED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7ED7"/>
    <w:pPr>
      <w:spacing w:before="122" w:line="198" w:lineRule="exact"/>
      <w:ind w:left="1985" w:hanging="851"/>
      <w:jc w:val="right"/>
    </w:pPr>
    <w:rPr>
      <w:sz w:val="18"/>
    </w:rPr>
  </w:style>
  <w:style w:type="paragraph" w:customStyle="1" w:styleId="TLPTableBullet">
    <w:name w:val="TLPTableBullet"/>
    <w:aliases w:val="ttb"/>
    <w:basedOn w:val="OPCParaBase"/>
    <w:rsid w:val="00067ED7"/>
    <w:pPr>
      <w:spacing w:line="240" w:lineRule="exact"/>
      <w:ind w:left="284" w:hanging="284"/>
    </w:pPr>
    <w:rPr>
      <w:sz w:val="20"/>
    </w:rPr>
  </w:style>
  <w:style w:type="paragraph" w:styleId="TOC1">
    <w:name w:val="toc 1"/>
    <w:basedOn w:val="OPCParaBase"/>
    <w:next w:val="Normal"/>
    <w:uiPriority w:val="39"/>
    <w:semiHidden/>
    <w:unhideWhenUsed/>
    <w:rsid w:val="00067ED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7ED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67ED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067ED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67ED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67ED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67ED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67ED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67ED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7ED7"/>
    <w:pPr>
      <w:keepLines/>
      <w:spacing w:before="240" w:after="120" w:line="240" w:lineRule="auto"/>
      <w:ind w:left="794"/>
    </w:pPr>
    <w:rPr>
      <w:b/>
      <w:kern w:val="28"/>
      <w:sz w:val="20"/>
    </w:rPr>
  </w:style>
  <w:style w:type="paragraph" w:customStyle="1" w:styleId="TofSectsHeading">
    <w:name w:val="TofSects(Heading)"/>
    <w:basedOn w:val="OPCParaBase"/>
    <w:rsid w:val="00067ED7"/>
    <w:pPr>
      <w:spacing w:before="240" w:after="120" w:line="240" w:lineRule="auto"/>
    </w:pPr>
    <w:rPr>
      <w:b/>
      <w:sz w:val="24"/>
    </w:rPr>
  </w:style>
  <w:style w:type="paragraph" w:customStyle="1" w:styleId="TofSectsSection">
    <w:name w:val="TofSects(Section)"/>
    <w:basedOn w:val="OPCParaBase"/>
    <w:rsid w:val="00067ED7"/>
    <w:pPr>
      <w:keepLines/>
      <w:spacing w:before="40" w:line="240" w:lineRule="auto"/>
      <w:ind w:left="1588" w:hanging="794"/>
    </w:pPr>
    <w:rPr>
      <w:kern w:val="28"/>
      <w:sz w:val="18"/>
    </w:rPr>
  </w:style>
  <w:style w:type="paragraph" w:customStyle="1" w:styleId="TofSectsSubdiv">
    <w:name w:val="TofSects(Subdiv)"/>
    <w:basedOn w:val="OPCParaBase"/>
    <w:rsid w:val="00067ED7"/>
    <w:pPr>
      <w:keepLines/>
      <w:spacing w:before="80" w:line="240" w:lineRule="auto"/>
      <w:ind w:left="1588" w:hanging="794"/>
    </w:pPr>
    <w:rPr>
      <w:kern w:val="28"/>
    </w:rPr>
  </w:style>
  <w:style w:type="paragraph" w:customStyle="1" w:styleId="WRStyle">
    <w:name w:val="WR Style"/>
    <w:aliases w:val="WR"/>
    <w:basedOn w:val="OPCParaBase"/>
    <w:rsid w:val="00067ED7"/>
    <w:pPr>
      <w:spacing w:before="240" w:line="240" w:lineRule="auto"/>
      <w:ind w:left="284" w:hanging="284"/>
    </w:pPr>
    <w:rPr>
      <w:b/>
      <w:i/>
      <w:kern w:val="28"/>
      <w:sz w:val="24"/>
    </w:rPr>
  </w:style>
  <w:style w:type="paragraph" w:customStyle="1" w:styleId="notepara">
    <w:name w:val="note(para)"/>
    <w:aliases w:val="na"/>
    <w:basedOn w:val="OPCParaBase"/>
    <w:rsid w:val="00067ED7"/>
    <w:pPr>
      <w:spacing w:before="40" w:line="198" w:lineRule="exact"/>
      <w:ind w:left="2354" w:hanging="369"/>
    </w:pPr>
    <w:rPr>
      <w:sz w:val="18"/>
    </w:rPr>
  </w:style>
  <w:style w:type="paragraph" w:styleId="Footer">
    <w:name w:val="footer"/>
    <w:link w:val="FooterChar"/>
    <w:rsid w:val="00067ED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067ED7"/>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067ED7"/>
    <w:rPr>
      <w:sz w:val="16"/>
    </w:rPr>
  </w:style>
  <w:style w:type="table" w:customStyle="1" w:styleId="CFlag">
    <w:name w:val="CFlag"/>
    <w:basedOn w:val="TableNormal"/>
    <w:uiPriority w:val="99"/>
    <w:rsid w:val="00067ED7"/>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067E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ED7"/>
    <w:rPr>
      <w:rFonts w:ascii="Tahoma" w:hAnsi="Tahoma" w:cs="Tahoma"/>
      <w:sz w:val="16"/>
      <w:szCs w:val="16"/>
    </w:rPr>
  </w:style>
  <w:style w:type="table" w:styleId="TableGrid">
    <w:name w:val="Table Grid"/>
    <w:basedOn w:val="TableNormal"/>
    <w:uiPriority w:val="59"/>
    <w:rsid w:val="00067ED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67ED7"/>
    <w:rPr>
      <w:b/>
      <w:sz w:val="28"/>
      <w:szCs w:val="32"/>
    </w:rPr>
  </w:style>
  <w:style w:type="paragraph" w:customStyle="1" w:styleId="LegislationMadeUnder">
    <w:name w:val="LegislationMadeUnder"/>
    <w:basedOn w:val="OPCParaBase"/>
    <w:next w:val="Normal"/>
    <w:rsid w:val="00067ED7"/>
    <w:rPr>
      <w:i/>
      <w:sz w:val="32"/>
      <w:szCs w:val="32"/>
    </w:rPr>
  </w:style>
  <w:style w:type="paragraph" w:customStyle="1" w:styleId="SignCoverPageEnd">
    <w:name w:val="SignCoverPageEnd"/>
    <w:basedOn w:val="OPCParaBase"/>
    <w:next w:val="Normal"/>
    <w:rsid w:val="00067ED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67ED7"/>
    <w:pPr>
      <w:pBdr>
        <w:top w:val="single" w:sz="4" w:space="1" w:color="auto"/>
      </w:pBdr>
      <w:spacing w:before="360"/>
      <w:ind w:right="397"/>
      <w:jc w:val="both"/>
    </w:pPr>
  </w:style>
  <w:style w:type="paragraph" w:customStyle="1" w:styleId="NotesHeading1">
    <w:name w:val="NotesHeading 1"/>
    <w:basedOn w:val="OPCParaBase"/>
    <w:next w:val="Normal"/>
    <w:rsid w:val="00067ED7"/>
    <w:pPr>
      <w:outlineLvl w:val="0"/>
    </w:pPr>
    <w:rPr>
      <w:b/>
      <w:sz w:val="28"/>
      <w:szCs w:val="28"/>
    </w:rPr>
  </w:style>
  <w:style w:type="paragraph" w:customStyle="1" w:styleId="NotesHeading2">
    <w:name w:val="NotesHeading 2"/>
    <w:basedOn w:val="OPCParaBase"/>
    <w:next w:val="Normal"/>
    <w:rsid w:val="00067ED7"/>
    <w:rPr>
      <w:b/>
      <w:sz w:val="28"/>
      <w:szCs w:val="28"/>
    </w:rPr>
  </w:style>
  <w:style w:type="paragraph" w:customStyle="1" w:styleId="CompiledActNo">
    <w:name w:val="CompiledActNo"/>
    <w:basedOn w:val="OPCParaBase"/>
    <w:next w:val="Normal"/>
    <w:rsid w:val="00067ED7"/>
    <w:rPr>
      <w:b/>
      <w:sz w:val="24"/>
      <w:szCs w:val="24"/>
    </w:rPr>
  </w:style>
  <w:style w:type="paragraph" w:customStyle="1" w:styleId="ENotesText">
    <w:name w:val="ENotesText"/>
    <w:aliases w:val="Ent"/>
    <w:basedOn w:val="OPCParaBase"/>
    <w:next w:val="Normal"/>
    <w:rsid w:val="00067ED7"/>
    <w:pPr>
      <w:spacing w:before="120"/>
    </w:pPr>
  </w:style>
  <w:style w:type="paragraph" w:customStyle="1" w:styleId="CompiledMadeUnder">
    <w:name w:val="CompiledMadeUnder"/>
    <w:basedOn w:val="OPCParaBase"/>
    <w:next w:val="Normal"/>
    <w:rsid w:val="00067ED7"/>
    <w:rPr>
      <w:i/>
      <w:sz w:val="24"/>
      <w:szCs w:val="24"/>
    </w:rPr>
  </w:style>
  <w:style w:type="paragraph" w:customStyle="1" w:styleId="Paragraphsub-sub-sub">
    <w:name w:val="Paragraph(sub-sub-sub)"/>
    <w:aliases w:val="aaaa"/>
    <w:basedOn w:val="OPCParaBase"/>
    <w:rsid w:val="00067ED7"/>
    <w:pPr>
      <w:tabs>
        <w:tab w:val="right" w:pos="3402"/>
      </w:tabs>
      <w:spacing w:before="40" w:line="240" w:lineRule="auto"/>
      <w:ind w:left="3402" w:hanging="3402"/>
    </w:pPr>
  </w:style>
  <w:style w:type="paragraph" w:customStyle="1" w:styleId="TableTextEndNotes">
    <w:name w:val="TableTextEndNotes"/>
    <w:aliases w:val="Tten"/>
    <w:basedOn w:val="Normal"/>
    <w:rsid w:val="00067ED7"/>
    <w:pPr>
      <w:spacing w:before="60" w:line="240" w:lineRule="auto"/>
    </w:pPr>
    <w:rPr>
      <w:rFonts w:cs="Arial"/>
      <w:sz w:val="20"/>
      <w:szCs w:val="22"/>
    </w:rPr>
  </w:style>
  <w:style w:type="paragraph" w:customStyle="1" w:styleId="NoteToSubpara">
    <w:name w:val="NoteToSubpara"/>
    <w:aliases w:val="nts"/>
    <w:basedOn w:val="OPCParaBase"/>
    <w:rsid w:val="00067ED7"/>
    <w:pPr>
      <w:spacing w:before="40" w:line="198" w:lineRule="exact"/>
      <w:ind w:left="2835" w:hanging="709"/>
    </w:pPr>
    <w:rPr>
      <w:sz w:val="18"/>
    </w:rPr>
  </w:style>
  <w:style w:type="paragraph" w:customStyle="1" w:styleId="ENoteTableHeading">
    <w:name w:val="ENoteTableHeading"/>
    <w:aliases w:val="enth"/>
    <w:basedOn w:val="OPCParaBase"/>
    <w:rsid w:val="00067ED7"/>
    <w:pPr>
      <w:keepNext/>
      <w:spacing w:before="60" w:line="240" w:lineRule="atLeast"/>
    </w:pPr>
    <w:rPr>
      <w:rFonts w:ascii="Arial" w:hAnsi="Arial"/>
      <w:b/>
      <w:sz w:val="16"/>
    </w:rPr>
  </w:style>
  <w:style w:type="paragraph" w:customStyle="1" w:styleId="ENoteTTi">
    <w:name w:val="ENoteTTi"/>
    <w:aliases w:val="entti"/>
    <w:basedOn w:val="OPCParaBase"/>
    <w:rsid w:val="00067ED7"/>
    <w:pPr>
      <w:keepNext/>
      <w:spacing w:before="60" w:line="240" w:lineRule="atLeast"/>
      <w:ind w:left="170"/>
    </w:pPr>
    <w:rPr>
      <w:sz w:val="16"/>
    </w:rPr>
  </w:style>
  <w:style w:type="paragraph" w:customStyle="1" w:styleId="ENotesHeading1">
    <w:name w:val="ENotesHeading 1"/>
    <w:aliases w:val="Enh1"/>
    <w:basedOn w:val="OPCParaBase"/>
    <w:next w:val="Normal"/>
    <w:rsid w:val="00067ED7"/>
    <w:pPr>
      <w:spacing w:before="120"/>
      <w:outlineLvl w:val="1"/>
    </w:pPr>
    <w:rPr>
      <w:b/>
      <w:sz w:val="28"/>
      <w:szCs w:val="28"/>
    </w:rPr>
  </w:style>
  <w:style w:type="paragraph" w:customStyle="1" w:styleId="ENotesHeading2">
    <w:name w:val="ENotesHeading 2"/>
    <w:aliases w:val="Enh2"/>
    <w:basedOn w:val="OPCParaBase"/>
    <w:next w:val="Normal"/>
    <w:rsid w:val="00067ED7"/>
    <w:pPr>
      <w:spacing w:before="120" w:after="120"/>
      <w:outlineLvl w:val="2"/>
    </w:pPr>
    <w:rPr>
      <w:b/>
      <w:sz w:val="24"/>
      <w:szCs w:val="28"/>
    </w:rPr>
  </w:style>
  <w:style w:type="paragraph" w:customStyle="1" w:styleId="ENoteTTIndentHeading">
    <w:name w:val="ENoteTTIndentHeading"/>
    <w:aliases w:val="enTTHi"/>
    <w:basedOn w:val="OPCParaBase"/>
    <w:rsid w:val="00067ED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7ED7"/>
    <w:pPr>
      <w:spacing w:before="60" w:line="240" w:lineRule="atLeast"/>
    </w:pPr>
    <w:rPr>
      <w:sz w:val="16"/>
    </w:rPr>
  </w:style>
  <w:style w:type="paragraph" w:customStyle="1" w:styleId="MadeunderText">
    <w:name w:val="MadeunderText"/>
    <w:basedOn w:val="OPCParaBase"/>
    <w:next w:val="CompiledMadeUnder"/>
    <w:rsid w:val="00067ED7"/>
    <w:pPr>
      <w:spacing w:before="240"/>
    </w:pPr>
    <w:rPr>
      <w:sz w:val="24"/>
      <w:szCs w:val="24"/>
    </w:rPr>
  </w:style>
  <w:style w:type="paragraph" w:customStyle="1" w:styleId="ENotesHeading3">
    <w:name w:val="ENotesHeading 3"/>
    <w:aliases w:val="Enh3"/>
    <w:basedOn w:val="OPCParaBase"/>
    <w:next w:val="Normal"/>
    <w:rsid w:val="00067ED7"/>
    <w:pPr>
      <w:keepNext/>
      <w:spacing w:before="120" w:line="240" w:lineRule="auto"/>
      <w:outlineLvl w:val="4"/>
    </w:pPr>
    <w:rPr>
      <w:b/>
      <w:szCs w:val="24"/>
    </w:rPr>
  </w:style>
  <w:style w:type="character" w:customStyle="1" w:styleId="CharSubPartTextCASA">
    <w:name w:val="CharSubPartText(CASA)"/>
    <w:basedOn w:val="OPCCharBase"/>
    <w:uiPriority w:val="1"/>
    <w:rsid w:val="00067ED7"/>
  </w:style>
  <w:style w:type="character" w:customStyle="1" w:styleId="CharSubPartNoCASA">
    <w:name w:val="CharSubPartNo(CASA)"/>
    <w:basedOn w:val="OPCCharBase"/>
    <w:uiPriority w:val="1"/>
    <w:rsid w:val="00067ED7"/>
  </w:style>
  <w:style w:type="paragraph" w:customStyle="1" w:styleId="ENoteTTIndentHeadingSub">
    <w:name w:val="ENoteTTIndentHeadingSub"/>
    <w:aliases w:val="enTTHis"/>
    <w:basedOn w:val="OPCParaBase"/>
    <w:rsid w:val="00067ED7"/>
    <w:pPr>
      <w:keepNext/>
      <w:spacing w:before="60" w:line="240" w:lineRule="atLeast"/>
      <w:ind w:left="340"/>
    </w:pPr>
    <w:rPr>
      <w:b/>
      <w:sz w:val="16"/>
    </w:rPr>
  </w:style>
  <w:style w:type="paragraph" w:customStyle="1" w:styleId="ENoteTTiSub">
    <w:name w:val="ENoteTTiSub"/>
    <w:aliases w:val="enttis"/>
    <w:basedOn w:val="OPCParaBase"/>
    <w:rsid w:val="00067ED7"/>
    <w:pPr>
      <w:keepNext/>
      <w:spacing w:before="60" w:line="240" w:lineRule="atLeast"/>
      <w:ind w:left="340"/>
    </w:pPr>
    <w:rPr>
      <w:sz w:val="16"/>
    </w:rPr>
  </w:style>
  <w:style w:type="paragraph" w:customStyle="1" w:styleId="SubDivisionMigration">
    <w:name w:val="SubDivisionMigration"/>
    <w:aliases w:val="sdm"/>
    <w:basedOn w:val="OPCParaBase"/>
    <w:rsid w:val="00067ED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7ED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67ED7"/>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067ED7"/>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067ED7"/>
    <w:rPr>
      <w:rFonts w:ascii="Times New Roman" w:hAnsi="Times New Roman"/>
      <w:szCs w:val="20"/>
    </w:rPr>
  </w:style>
  <w:style w:type="paragraph" w:customStyle="1" w:styleId="SOTextNote">
    <w:name w:val="SO TextNote"/>
    <w:aliases w:val="sont"/>
    <w:basedOn w:val="SOText"/>
    <w:qFormat/>
    <w:rsid w:val="00067ED7"/>
    <w:pPr>
      <w:spacing w:before="122" w:line="198" w:lineRule="exact"/>
      <w:ind w:left="1843" w:hanging="709"/>
    </w:pPr>
    <w:rPr>
      <w:sz w:val="18"/>
    </w:rPr>
  </w:style>
  <w:style w:type="paragraph" w:customStyle="1" w:styleId="SOPara">
    <w:name w:val="SO Para"/>
    <w:aliases w:val="soa"/>
    <w:basedOn w:val="SOText"/>
    <w:link w:val="SOParaChar"/>
    <w:qFormat/>
    <w:rsid w:val="00067ED7"/>
    <w:pPr>
      <w:tabs>
        <w:tab w:val="right" w:pos="1786"/>
      </w:tabs>
      <w:spacing w:before="40"/>
      <w:ind w:left="2070" w:hanging="936"/>
    </w:pPr>
  </w:style>
  <w:style w:type="character" w:customStyle="1" w:styleId="SOParaChar">
    <w:name w:val="SO Para Char"/>
    <w:aliases w:val="soa Char"/>
    <w:basedOn w:val="DefaultParagraphFont"/>
    <w:link w:val="SOPara"/>
    <w:rsid w:val="00067ED7"/>
    <w:rPr>
      <w:rFonts w:ascii="Times New Roman" w:hAnsi="Times New Roman"/>
      <w:szCs w:val="20"/>
    </w:rPr>
  </w:style>
  <w:style w:type="paragraph" w:customStyle="1" w:styleId="FileName">
    <w:name w:val="FileName"/>
    <w:basedOn w:val="Normal"/>
    <w:rsid w:val="00067ED7"/>
  </w:style>
  <w:style w:type="paragraph" w:customStyle="1" w:styleId="TableHeading">
    <w:name w:val="TableHeading"/>
    <w:aliases w:val="th"/>
    <w:basedOn w:val="OPCParaBase"/>
    <w:next w:val="Tabletext"/>
    <w:rsid w:val="00067ED7"/>
    <w:pPr>
      <w:keepNext/>
      <w:spacing w:before="60" w:line="240" w:lineRule="atLeast"/>
    </w:pPr>
    <w:rPr>
      <w:b/>
      <w:sz w:val="20"/>
    </w:rPr>
  </w:style>
  <w:style w:type="paragraph" w:customStyle="1" w:styleId="SOHeadBold">
    <w:name w:val="SO HeadBold"/>
    <w:aliases w:val="sohb"/>
    <w:basedOn w:val="SOText"/>
    <w:next w:val="SOText"/>
    <w:link w:val="SOHeadBoldChar"/>
    <w:qFormat/>
    <w:rsid w:val="00067ED7"/>
    <w:rPr>
      <w:b/>
    </w:rPr>
  </w:style>
  <w:style w:type="character" w:customStyle="1" w:styleId="SOHeadBoldChar">
    <w:name w:val="SO HeadBold Char"/>
    <w:aliases w:val="sohb Char"/>
    <w:basedOn w:val="DefaultParagraphFont"/>
    <w:link w:val="SOHeadBold"/>
    <w:rsid w:val="00067ED7"/>
    <w:rPr>
      <w:rFonts w:ascii="Times New Roman" w:hAnsi="Times New Roman"/>
      <w:b/>
      <w:szCs w:val="20"/>
    </w:rPr>
  </w:style>
  <w:style w:type="paragraph" w:customStyle="1" w:styleId="SOHeadItalic">
    <w:name w:val="SO HeadItalic"/>
    <w:aliases w:val="sohi"/>
    <w:basedOn w:val="SOText"/>
    <w:next w:val="SOText"/>
    <w:link w:val="SOHeadItalicChar"/>
    <w:qFormat/>
    <w:rsid w:val="00067ED7"/>
    <w:rPr>
      <w:i/>
    </w:rPr>
  </w:style>
  <w:style w:type="character" w:customStyle="1" w:styleId="SOHeadItalicChar">
    <w:name w:val="SO HeadItalic Char"/>
    <w:aliases w:val="sohi Char"/>
    <w:basedOn w:val="DefaultParagraphFont"/>
    <w:link w:val="SOHeadItalic"/>
    <w:rsid w:val="00067ED7"/>
    <w:rPr>
      <w:rFonts w:ascii="Times New Roman" w:hAnsi="Times New Roman"/>
      <w:i/>
      <w:szCs w:val="20"/>
    </w:rPr>
  </w:style>
  <w:style w:type="paragraph" w:customStyle="1" w:styleId="SOBullet">
    <w:name w:val="SO Bullet"/>
    <w:aliases w:val="sotb"/>
    <w:basedOn w:val="SOText"/>
    <w:link w:val="SOBulletChar"/>
    <w:qFormat/>
    <w:rsid w:val="00067ED7"/>
    <w:pPr>
      <w:ind w:left="1559" w:hanging="425"/>
    </w:pPr>
  </w:style>
  <w:style w:type="character" w:customStyle="1" w:styleId="SOBulletChar">
    <w:name w:val="SO Bullet Char"/>
    <w:aliases w:val="sotb Char"/>
    <w:basedOn w:val="DefaultParagraphFont"/>
    <w:link w:val="SOBullet"/>
    <w:rsid w:val="00067ED7"/>
    <w:rPr>
      <w:rFonts w:ascii="Times New Roman" w:hAnsi="Times New Roman"/>
      <w:szCs w:val="20"/>
    </w:rPr>
  </w:style>
  <w:style w:type="paragraph" w:customStyle="1" w:styleId="SOBulletNote">
    <w:name w:val="SO BulletNote"/>
    <w:aliases w:val="sonb"/>
    <w:basedOn w:val="SOTextNote"/>
    <w:link w:val="SOBulletNoteChar"/>
    <w:qFormat/>
    <w:rsid w:val="00067ED7"/>
    <w:pPr>
      <w:tabs>
        <w:tab w:val="left" w:pos="1560"/>
      </w:tabs>
      <w:ind w:left="2268" w:hanging="1134"/>
    </w:pPr>
  </w:style>
  <w:style w:type="character" w:customStyle="1" w:styleId="SOBulletNoteChar">
    <w:name w:val="SO BulletNote Char"/>
    <w:aliases w:val="sonb Char"/>
    <w:basedOn w:val="DefaultParagraphFont"/>
    <w:link w:val="SOBulletNote"/>
    <w:rsid w:val="00067ED7"/>
    <w:rPr>
      <w:rFonts w:ascii="Times New Roman" w:hAnsi="Times New Roman"/>
      <w:sz w:val="18"/>
      <w:szCs w:val="20"/>
    </w:rPr>
  </w:style>
  <w:style w:type="paragraph" w:customStyle="1" w:styleId="SOText2">
    <w:name w:val="SO Text2"/>
    <w:aliases w:val="sot2"/>
    <w:basedOn w:val="Normal"/>
    <w:next w:val="SOText"/>
    <w:link w:val="SOText2Char"/>
    <w:rsid w:val="00067ED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7ED7"/>
    <w:rPr>
      <w:rFonts w:ascii="Times New Roman" w:hAnsi="Times New Roman"/>
      <w:szCs w:val="20"/>
    </w:rPr>
  </w:style>
  <w:style w:type="paragraph" w:customStyle="1" w:styleId="SubPartCASA">
    <w:name w:val="SubPart(CASA)"/>
    <w:aliases w:val="csp"/>
    <w:basedOn w:val="OPCParaBase"/>
    <w:next w:val="ActHead3"/>
    <w:rsid w:val="00067ED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67ED7"/>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067ED7"/>
    <w:rPr>
      <w:rFonts w:ascii="Times New Roman" w:eastAsia="Times New Roman" w:hAnsi="Times New Roman" w:cs="Times New Roman"/>
      <w:sz w:val="18"/>
      <w:szCs w:val="20"/>
      <w:lang w:eastAsia="en-AU"/>
    </w:rPr>
  </w:style>
  <w:style w:type="character" w:customStyle="1" w:styleId="DefinitionChar">
    <w:name w:val="Definition Char"/>
    <w:aliases w:val="dd Char"/>
    <w:link w:val="Definition"/>
    <w:rsid w:val="005B07DA"/>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B07DA"/>
    <w:rPr>
      <w:rFonts w:ascii="Times New Roman" w:eastAsia="Times New Roman" w:hAnsi="Times New Roman" w:cs="Times New Roman"/>
      <w:szCs w:val="20"/>
      <w:lang w:eastAsia="en-AU"/>
    </w:rPr>
  </w:style>
  <w:style w:type="character" w:customStyle="1" w:styleId="subsection2Char">
    <w:name w:val="subsection2 Char"/>
    <w:aliases w:val="ss2 Char"/>
    <w:basedOn w:val="DefaultParagraphFont"/>
    <w:link w:val="subsection2"/>
    <w:rsid w:val="005B07DA"/>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i6880fa62fd2465ea894b48b45824d1c xmlns="9f7bc583-7cbe-45b9-a2bd-8bbb6543b37e">
      <Terms xmlns="http://schemas.microsoft.com/office/infopath/2007/PartnerControls"/>
    </i6880fa62fd2465ea894b48b45824d1c>
    <_dlc_DocId xmlns="0f563589-9cf9-4143-b1eb-fb0534803d38">2021RG-111-18739</_dlc_DocId>
    <_dlc_DocIdUrl xmlns="0f563589-9cf9-4143-b1eb-fb0534803d38">
      <Url>http://tweb/sites/rg/ldp/lmu/_layouts/15/DocIdRedir.aspx?ID=2021RG-111-18739</Url>
      <Description>2021RG-111-18739</Description>
    </_dlc_DocIdUr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6950" ma:contentTypeDescription=" " ma:contentTypeScope="" ma:versionID="d0670f442a456944be2dfb1cf670945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E1B01-ADE4-4261-BB3B-BE8B1EE24D69}">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F4989C30-67CD-4454-8B3E-0E793AA8FA44}">
  <ds:schemaRefs>
    <ds:schemaRef ds:uri="office.server.policy"/>
  </ds:schemaRefs>
</ds:datastoreItem>
</file>

<file path=customXml/itemProps3.xml><?xml version="1.0" encoding="utf-8"?>
<ds:datastoreItem xmlns:ds="http://schemas.openxmlformats.org/officeDocument/2006/customXml" ds:itemID="{CA105314-4A33-4D46-B054-2A7192CE25CD}">
  <ds:schemaRefs>
    <ds:schemaRef ds:uri="http://schemas.microsoft.com/sharepoint/v3/contenttype/forms"/>
  </ds:schemaRefs>
</ds:datastoreItem>
</file>

<file path=customXml/itemProps4.xml><?xml version="1.0" encoding="utf-8"?>
<ds:datastoreItem xmlns:ds="http://schemas.openxmlformats.org/officeDocument/2006/customXml" ds:itemID="{E9307781-B5E9-4717-8DB9-DD0B8D35F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D6763E-B6E1-4C6C-B6D3-F64C129A8AC5}">
  <ds:schemaRefs>
    <ds:schemaRef ds:uri="http://schemas.microsoft.com/sharepoint/events"/>
  </ds:schemaRefs>
</ds:datastoreItem>
</file>

<file path=customXml/itemProps6.xml><?xml version="1.0" encoding="utf-8"?>
<ds:datastoreItem xmlns:ds="http://schemas.openxmlformats.org/officeDocument/2006/customXml" ds:itemID="{753D8DD5-C123-4052-A5FB-9C529197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21</TotalTime>
  <Pages>10</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BEAR -Side of an ADI- Determination 2021</dc:title>
  <dc:subject/>
  <dc:creator>Leggett, Chris</dc:creator>
  <cp:keywords/>
  <dc:description/>
  <cp:lastModifiedBy>Cooper, Faith</cp:lastModifiedBy>
  <cp:revision>2</cp:revision>
  <cp:lastPrinted>2021-02-24T03:27:00Z</cp:lastPrinted>
  <dcterms:created xsi:type="dcterms:W3CDTF">2021-02-25T22:17:00Z</dcterms:created>
  <dcterms:modified xsi:type="dcterms:W3CDTF">2021-04-05T22:41:00Z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Banking Executive Accountability Regime (Size of an Authorised Deposit taking Institution) Determination 2021</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ContentTypeId">
    <vt:lpwstr>0x01010036BB8DE7EC542E42A8B2E98CC20CB69700D5C18F41BA18FB44827A222ACD6776F5</vt:lpwstr>
  </property>
  <property fmtid="{D5CDD505-2E9C-101B-9397-08002B2CF9AE}" pid="15" name="TSYRecordClass">
    <vt:lpwstr>7;#TSY RA-9236 - Retain as national archives|c6a225b4-6b93-473e-bcbb-6bc6ab25b623</vt:lpwstr>
  </property>
  <property fmtid="{D5CDD505-2E9C-101B-9397-08002B2CF9AE}" pid="16" name="_dlc_DocIdItemGuid">
    <vt:lpwstr>e5cb9dd3-b92f-4add-ad81-27087f8db2c9</vt:lpwstr>
  </property>
  <property fmtid="{D5CDD505-2E9C-101B-9397-08002B2CF9AE}" pid="17" name="TSYTopic">
    <vt:lpwstr/>
  </property>
  <property fmtid="{D5CDD505-2E9C-101B-9397-08002B2CF9AE}" pid="18" name="RecordPoint_WorkflowType">
    <vt:lpwstr>ActiveSubmitStub</vt:lpwstr>
  </property>
  <property fmtid="{D5CDD505-2E9C-101B-9397-08002B2CF9AE}" pid="19" name="RecordPoint_ActiveItemUniqueId">
    <vt:lpwstr>{009ec139-a486-4240-bc0e-94c2d3486aa7}</vt:lpwstr>
  </property>
  <property fmtid="{D5CDD505-2E9C-101B-9397-08002B2CF9AE}" pid="20" name="lb508a4dc5e84436a0fe496b536466aa">
    <vt:lpwstr>TSY RA-9236 - Retain as national archives|c6a225b4-6b93-473e-bcbb-6bc6ab25b623</vt:lpwstr>
  </property>
  <property fmtid="{D5CDD505-2E9C-101B-9397-08002B2CF9AE}" pid="21" name="Recommendation number/s">
    <vt:lpwstr>22;#RC 6.6|3296c9de-03f6-4e61-a090-d2ef38ecb93a;#23;#RC 6.7|92b84b59-58c7-4a4d-91e1-727ccf6ca8f2;#24;#RC 6.8|33692db0-0b60-4380-9ad6-fd7ac2e636c0;#25;#RC 3.9|bca96f00-36f9-4714-8ea8-dbbe16a25705;#26;#RC 4.12|6bf6ec63-2084-4733-933d-8573aa6f132f</vt:lpwstr>
  </property>
  <property fmtid="{D5CDD505-2E9C-101B-9397-08002B2CF9AE}" pid="22" name="TaxKeyword">
    <vt:lpwstr/>
  </property>
  <property fmtid="{D5CDD505-2E9C-101B-9397-08002B2CF9AE}" pid="23" name="Order">
    <vt:r8>1873900</vt:r8>
  </property>
  <property fmtid="{D5CDD505-2E9C-101B-9397-08002B2CF9AE}" pid="24" name="oae75e2df9d943898d59cb03ca0993c5">
    <vt:lpwstr/>
  </property>
  <property fmtid="{D5CDD505-2E9C-101B-9397-08002B2CF9AE}" pid="25" name="Topics">
    <vt:lpwstr/>
  </property>
</Properties>
</file>