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445B" w14:textId="2D6EF935"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 xml:space="preserve">EXPLANATORY </w:t>
      </w:r>
      <w:r w:rsidR="0039186E">
        <w:rPr>
          <w:rFonts w:ascii="Times New Roman" w:hAnsi="Times New Roman"/>
          <w:u w:val="none"/>
        </w:rPr>
        <w:t>STATEMENT</w:t>
      </w:r>
    </w:p>
    <w:p w14:paraId="4B0207F8" w14:textId="77777777" w:rsidR="00F109D4" w:rsidRPr="00503E44" w:rsidRDefault="00382ADF" w:rsidP="00AA1689">
      <w:pPr>
        <w:spacing w:before="0" w:after="240"/>
        <w:jc w:val="center"/>
        <w:rPr>
          <w:i/>
        </w:rPr>
      </w:pPr>
      <w:r>
        <w:rPr>
          <w:i/>
        </w:rPr>
        <w:t>Banking Act 1959</w:t>
      </w:r>
    </w:p>
    <w:p w14:paraId="27F897ED" w14:textId="34DDE728" w:rsidR="00F109D4" w:rsidRPr="00171993" w:rsidRDefault="00382ADF" w:rsidP="00AA1689">
      <w:pPr>
        <w:tabs>
          <w:tab w:val="left" w:pos="1418"/>
        </w:tabs>
        <w:spacing w:before="0" w:after="240"/>
        <w:jc w:val="center"/>
        <w:rPr>
          <w:i/>
        </w:rPr>
      </w:pPr>
      <w:r w:rsidRPr="00171993">
        <w:rPr>
          <w:i/>
        </w:rPr>
        <w:t>Banking Executive Accountability Regime (Size of an Authorised Deposit-taking Institution) Determination 20</w:t>
      </w:r>
      <w:r w:rsidR="00104F65">
        <w:rPr>
          <w:i/>
        </w:rPr>
        <w:t>2</w:t>
      </w:r>
      <w:r w:rsidR="007530CF">
        <w:rPr>
          <w:i/>
        </w:rPr>
        <w:t>1</w:t>
      </w:r>
    </w:p>
    <w:p w14:paraId="06E928FB" w14:textId="77777777" w:rsidR="00382ADF" w:rsidRDefault="00382ADF" w:rsidP="00D24F18">
      <w:pPr>
        <w:spacing w:before="0" w:after="240"/>
      </w:pPr>
      <w:r>
        <w:t xml:space="preserve">The </w:t>
      </w:r>
      <w:r w:rsidRPr="00382ADF">
        <w:rPr>
          <w:i/>
        </w:rPr>
        <w:t>Treasury Laws Amendment (Banking Executive Accountability and Related Measures) Act 2018</w:t>
      </w:r>
      <w:r>
        <w:t xml:space="preserve"> amended the </w:t>
      </w:r>
      <w:r w:rsidRPr="00382ADF">
        <w:rPr>
          <w:i/>
        </w:rPr>
        <w:t>Banking Act 1959</w:t>
      </w:r>
      <w:r>
        <w:t xml:space="preserve"> </w:t>
      </w:r>
      <w:r w:rsidR="005A432C">
        <w:t xml:space="preserve">(the Act) </w:t>
      </w:r>
      <w:r>
        <w:t>to introduce a new regime, the Banking Executive Accountability Regime (BEAR).</w:t>
      </w:r>
    </w:p>
    <w:p w14:paraId="39D5DC68" w14:textId="6CF40F0B" w:rsidR="00382ADF" w:rsidRDefault="00382ADF" w:rsidP="00D24F18">
      <w:pPr>
        <w:spacing w:before="0" w:after="240"/>
      </w:pPr>
      <w:r>
        <w:t>The BEAR imposes a heigh</w:t>
      </w:r>
      <w:r w:rsidR="00171993">
        <w:t>tened accountability regime on authorised deposit</w:t>
      </w:r>
      <w:r w:rsidR="00171993">
        <w:noBreakHyphen/>
        <w:t>taking institution</w:t>
      </w:r>
      <w:r w:rsidR="004B7846">
        <w:t>s</w:t>
      </w:r>
      <w:r w:rsidR="00171993">
        <w:t xml:space="preserve"> (A</w:t>
      </w:r>
      <w:r>
        <w:t>DI</w:t>
      </w:r>
      <w:r w:rsidR="00F025E1">
        <w:t>s</w:t>
      </w:r>
      <w:r w:rsidR="00171993">
        <w:t xml:space="preserve">) </w:t>
      </w:r>
      <w:r>
        <w:t>and people</w:t>
      </w:r>
      <w:r w:rsidR="00F716F1">
        <w:t>, known as accountable persons,</w:t>
      </w:r>
      <w:r>
        <w:t xml:space="preserve"> with significant influence over the conduct and behaviour </w:t>
      </w:r>
      <w:r w:rsidR="00F716F1">
        <w:t>of</w:t>
      </w:r>
      <w:r>
        <w:t xml:space="preserve"> an ADI. It requires these people to conduct themselves with honesty and integrity and to effectively carry out the business activities for which they are responsible. </w:t>
      </w:r>
    </w:p>
    <w:p w14:paraId="5C755699" w14:textId="0579C6DB" w:rsidR="0082542D" w:rsidRPr="005A432C" w:rsidRDefault="004660E3" w:rsidP="00D24F18">
      <w:pPr>
        <w:spacing w:before="0" w:after="240"/>
      </w:pPr>
      <w:r>
        <w:t xml:space="preserve">The </w:t>
      </w:r>
      <w:r w:rsidR="0082542D">
        <w:t xml:space="preserve">obligations set out in the BEAR </w:t>
      </w:r>
      <w:r>
        <w:t>beg</w:t>
      </w:r>
      <w:r w:rsidR="006413FA">
        <w:t>a</w:t>
      </w:r>
      <w:r>
        <w:t>n to apply to large ADIs from 1 July </w:t>
      </w:r>
      <w:r w:rsidR="0082542D">
        <w:t xml:space="preserve">2018 and to </w:t>
      </w:r>
      <w:r w:rsidR="0082542D" w:rsidRPr="005A432C">
        <w:t xml:space="preserve">small and medium ADIs </w:t>
      </w:r>
      <w:r w:rsidR="0082542D">
        <w:t>from</w:t>
      </w:r>
      <w:r w:rsidR="0082542D" w:rsidRPr="005A432C">
        <w:t xml:space="preserve"> 1 July 2019. </w:t>
      </w:r>
    </w:p>
    <w:p w14:paraId="1C881D1A" w14:textId="3FF9C2EC" w:rsidR="00171993" w:rsidRDefault="0042609D" w:rsidP="00D24F18">
      <w:pPr>
        <w:spacing w:before="0" w:after="240"/>
      </w:pPr>
      <w:r>
        <w:t>The BEAR require</w:t>
      </w:r>
      <w:r w:rsidR="001301A7">
        <w:t>s</w:t>
      </w:r>
      <w:r>
        <w:t xml:space="preserve"> ADIs to set out</w:t>
      </w:r>
      <w:r w:rsidRPr="00692C96">
        <w:t xml:space="preserve"> </w:t>
      </w:r>
      <w:r w:rsidR="00D76647" w:rsidRPr="00692C96">
        <w:t xml:space="preserve">remuneration policies </w:t>
      </w:r>
      <w:r w:rsidR="00D76647">
        <w:t>which defer</w:t>
      </w:r>
      <w:r w:rsidR="00D76647" w:rsidRPr="00692C96">
        <w:t xml:space="preserve"> </w:t>
      </w:r>
      <w:r w:rsidR="00F716F1">
        <w:t xml:space="preserve">a specified proportion of </w:t>
      </w:r>
      <w:r w:rsidR="00D76647">
        <w:t xml:space="preserve">the </w:t>
      </w:r>
      <w:r w:rsidR="00D76647" w:rsidRPr="00692C96">
        <w:t xml:space="preserve">variable remuneration </w:t>
      </w:r>
      <w:r w:rsidR="00D76647">
        <w:t xml:space="preserve">of </w:t>
      </w:r>
      <w:r w:rsidR="00F716F1">
        <w:t>accountable</w:t>
      </w:r>
      <w:r w:rsidR="00D76647">
        <w:t xml:space="preserve"> persons</w:t>
      </w:r>
      <w:r w:rsidR="00F716F1">
        <w:t xml:space="preserve"> for a minimum period</w:t>
      </w:r>
      <w:r w:rsidR="00D76647">
        <w:t xml:space="preserve">. This is intended to create an incentive for these individuals to make decisions taking </w:t>
      </w:r>
      <w:r w:rsidR="00DD50A2">
        <w:t xml:space="preserve">into </w:t>
      </w:r>
      <w:r w:rsidR="00D76647">
        <w:t xml:space="preserve">account </w:t>
      </w:r>
      <w:r w:rsidR="00F716F1">
        <w:t xml:space="preserve">the </w:t>
      </w:r>
      <w:r w:rsidR="00D76647">
        <w:t xml:space="preserve">longer term effects. </w:t>
      </w:r>
      <w:r w:rsidR="00171993" w:rsidRPr="00692C96">
        <w:t xml:space="preserve">The </w:t>
      </w:r>
      <w:r w:rsidR="00F716F1">
        <w:t xml:space="preserve">proportion of an accountable person’s </w:t>
      </w:r>
      <w:r w:rsidR="004B7846">
        <w:t xml:space="preserve">remuneration </w:t>
      </w:r>
      <w:r w:rsidR="00F716F1">
        <w:t xml:space="preserve">which must be deferred depends on </w:t>
      </w:r>
      <w:r w:rsidR="004B7846">
        <w:t>t</w:t>
      </w:r>
      <w:r w:rsidR="00171993" w:rsidRPr="00692C96">
        <w:t>he size of the ADI</w:t>
      </w:r>
      <w:r w:rsidR="00171993">
        <w:t xml:space="preserve"> </w:t>
      </w:r>
      <w:r w:rsidR="004B7846">
        <w:t xml:space="preserve">where </w:t>
      </w:r>
      <w:r w:rsidR="00171993">
        <w:t xml:space="preserve">the </w:t>
      </w:r>
      <w:r w:rsidR="00FC392A">
        <w:t xml:space="preserve">accountable </w:t>
      </w:r>
      <w:r w:rsidR="00171993">
        <w:t>person works</w:t>
      </w:r>
      <w:r w:rsidR="00171993" w:rsidRPr="00692C96">
        <w:t>.</w:t>
      </w:r>
      <w:r w:rsidR="00171993">
        <w:t xml:space="preserve"> </w:t>
      </w:r>
    </w:p>
    <w:p w14:paraId="2CD1290A" w14:textId="77777777" w:rsidR="00D76647" w:rsidRDefault="00D76647" w:rsidP="00D24F18">
      <w:pPr>
        <w:spacing w:before="0" w:after="240"/>
      </w:pPr>
      <w:r>
        <w:t>The BEAR also includes civil penalties where an ADI fails to meet its obligations</w:t>
      </w:r>
      <w:r w:rsidR="00F716F1">
        <w:t xml:space="preserve"> under the BEAR</w:t>
      </w:r>
      <w:r>
        <w:t xml:space="preserve">. The maximum penalty that may be applied by a court is also determined with reference to the size of the ADI. </w:t>
      </w:r>
    </w:p>
    <w:p w14:paraId="25AB5F65" w14:textId="7A038938" w:rsidR="00C97405" w:rsidRDefault="001626D1" w:rsidP="00D24F18">
      <w:pPr>
        <w:spacing w:before="0" w:after="240"/>
      </w:pPr>
      <w:r>
        <w:t>S</w:t>
      </w:r>
      <w:r w:rsidR="007876DA">
        <w:t>ubs</w:t>
      </w:r>
      <w:r w:rsidR="00F8053D" w:rsidRPr="00503E44">
        <w:t xml:space="preserve">ection </w:t>
      </w:r>
      <w:r w:rsidR="00F8053D">
        <w:t>37G</w:t>
      </w:r>
      <w:r w:rsidR="00CC1CA8">
        <w:t>(3)</w:t>
      </w:r>
      <w:r w:rsidR="00F8053D">
        <w:t xml:space="preserve"> of the </w:t>
      </w:r>
      <w:r w:rsidR="004B7846">
        <w:t>Act</w:t>
      </w:r>
      <w:r w:rsidR="00F8053D">
        <w:t xml:space="preserve"> provides the Treasurer with the power to determine by legislative instrument the kinds of ADIs that are large, medium and small. </w:t>
      </w:r>
    </w:p>
    <w:p w14:paraId="462F90B0" w14:textId="6BB7A5F5" w:rsidR="001E0283" w:rsidRDefault="00B96C70" w:rsidP="00D24F18">
      <w:pPr>
        <w:spacing w:before="0" w:after="240"/>
      </w:pPr>
      <w:r>
        <w:t xml:space="preserve">The </w:t>
      </w:r>
      <w:r w:rsidRPr="000A6A20">
        <w:rPr>
          <w:i/>
        </w:rPr>
        <w:t>Banking Executive Accountability Regime (Size of an Authorised Deposit-taking Institution) Determination 20</w:t>
      </w:r>
      <w:r w:rsidR="00104F65" w:rsidRPr="000A6A20">
        <w:rPr>
          <w:i/>
        </w:rPr>
        <w:t>2</w:t>
      </w:r>
      <w:r w:rsidR="007530CF">
        <w:rPr>
          <w:i/>
        </w:rPr>
        <w:t>1</w:t>
      </w:r>
      <w:r w:rsidRPr="000A6A20">
        <w:rPr>
          <w:i/>
        </w:rPr>
        <w:t xml:space="preserve"> </w:t>
      </w:r>
      <w:r w:rsidR="004660E3">
        <w:t xml:space="preserve">(the Determination) </w:t>
      </w:r>
      <w:r w:rsidR="00C97405">
        <w:t xml:space="preserve">replaces the </w:t>
      </w:r>
      <w:r w:rsidR="00C97405" w:rsidRPr="000A6A20">
        <w:rPr>
          <w:i/>
        </w:rPr>
        <w:t>Banking Executive Accountability Regime (Size of an Authorised Deposit-taking Institution) Determination 2018</w:t>
      </w:r>
      <w:r w:rsidR="00D73CC5">
        <w:t>. It sets out the methodology to determine</w:t>
      </w:r>
      <w:r w:rsidR="00C97405">
        <w:t xml:space="preserve"> </w:t>
      </w:r>
      <w:r w:rsidR="00D73CC5">
        <w:t>t</w:t>
      </w:r>
      <w:r>
        <w:t>he size of an ADI</w:t>
      </w:r>
      <w:r w:rsidR="00877D2B">
        <w:t xml:space="preserve"> as small, medium or large</w:t>
      </w:r>
      <w:r w:rsidR="00D73CC5">
        <w:t>, by considering the total assets of the ADI as reported to APRA</w:t>
      </w:r>
      <w:r>
        <w:t xml:space="preserve">. </w:t>
      </w:r>
      <w:r w:rsidR="001E0283">
        <w:t>The key change</w:t>
      </w:r>
      <w:r w:rsidR="00105D8F">
        <w:t>s</w:t>
      </w:r>
      <w:r w:rsidR="001E0283">
        <w:t xml:space="preserve"> </w:t>
      </w:r>
      <w:r w:rsidR="002D4E4B">
        <w:t>from the previous</w:t>
      </w:r>
      <w:r w:rsidR="001E0283">
        <w:t xml:space="preserve"> Determination </w:t>
      </w:r>
      <w:r w:rsidR="00105D8F">
        <w:t xml:space="preserve">are </w:t>
      </w:r>
      <w:r w:rsidR="001E0283">
        <w:t xml:space="preserve">to </w:t>
      </w:r>
      <w:r w:rsidR="000C2038">
        <w:t xml:space="preserve">refer to </w:t>
      </w:r>
      <w:r w:rsidR="001E0283" w:rsidRPr="006B72B7">
        <w:rPr>
          <w:i/>
        </w:rPr>
        <w:t>Reporting Standard ARS 720.0 ABS/RBA Statement of Financial Position</w:t>
      </w:r>
      <w:r w:rsidR="005026D0">
        <w:rPr>
          <w:i/>
        </w:rPr>
        <w:t xml:space="preserve"> </w:t>
      </w:r>
      <w:r w:rsidR="005026D0" w:rsidRPr="005026D0">
        <w:t>(ARS 720.0)</w:t>
      </w:r>
      <w:r w:rsidR="00BF2B3C">
        <w:t xml:space="preserve">, and to </w:t>
      </w:r>
      <w:r w:rsidR="005128AA">
        <w:t xml:space="preserve">rebase the indexation calculations for the higher threshold amount. </w:t>
      </w:r>
    </w:p>
    <w:p w14:paraId="6F20401E" w14:textId="33B3DB39" w:rsidR="00171993" w:rsidRDefault="00652434" w:rsidP="00D24F18">
      <w:pPr>
        <w:spacing w:before="0" w:after="240"/>
      </w:pPr>
      <w:r>
        <w:lastRenderedPageBreak/>
        <w:t xml:space="preserve">The BEAR applies to subsidiaries of ADIs and their accountable persons. </w:t>
      </w:r>
      <w:r w:rsidR="006419D8">
        <w:t>A</w:t>
      </w:r>
      <w:r>
        <w:t xml:space="preserve"> </w:t>
      </w:r>
      <w:r w:rsidR="00171993">
        <w:t xml:space="preserve">subsidiary of an ADI takes on the size of the ADI and also the rules applying to an ADI in that size category. </w:t>
      </w:r>
    </w:p>
    <w:p w14:paraId="155DCC3F" w14:textId="554A131C" w:rsidR="007530CF" w:rsidRDefault="00C97405" w:rsidP="00D24F18">
      <w:pPr>
        <w:spacing w:before="0" w:after="240"/>
      </w:pPr>
      <w:r>
        <w:t>The</w:t>
      </w:r>
      <w:r w:rsidR="004660E3" w:rsidRPr="00331912">
        <w:t xml:space="preserve"> </w:t>
      </w:r>
      <w:r w:rsidR="007530CF">
        <w:t xml:space="preserve">Determination sets out a </w:t>
      </w:r>
      <w:r w:rsidR="004660E3" w:rsidRPr="00331912">
        <w:t xml:space="preserve">methodology </w:t>
      </w:r>
      <w:r w:rsidR="00315CE5">
        <w:t xml:space="preserve">for </w:t>
      </w:r>
      <w:r w:rsidR="007530CF">
        <w:t xml:space="preserve">determing </w:t>
      </w:r>
      <w:r w:rsidR="00CE3E71">
        <w:t>the</w:t>
      </w:r>
      <w:r w:rsidR="004660E3" w:rsidRPr="00331912">
        <w:t xml:space="preserve"> </w:t>
      </w:r>
      <w:r w:rsidR="00CE3E71">
        <w:t xml:space="preserve">size of an ADI </w:t>
      </w:r>
      <w:r w:rsidR="00B86380" w:rsidRPr="00331912">
        <w:t xml:space="preserve">based on total </w:t>
      </w:r>
      <w:r w:rsidR="00AD5CEC">
        <w:t>assets</w:t>
      </w:r>
      <w:r w:rsidR="00B86380" w:rsidRPr="00331912">
        <w:t xml:space="preserve"> reported to APRA in earlier financial years</w:t>
      </w:r>
      <w:r w:rsidR="004660E3" w:rsidRPr="00331912">
        <w:t xml:space="preserve">. </w:t>
      </w:r>
    </w:p>
    <w:p w14:paraId="4348B6C9" w14:textId="27792154" w:rsidR="00171993" w:rsidRDefault="004660E3" w:rsidP="00D24F18">
      <w:pPr>
        <w:spacing w:before="0" w:after="240"/>
      </w:pPr>
      <w:r w:rsidRPr="00331912">
        <w:t xml:space="preserve">An ADI will need to </w:t>
      </w:r>
      <w:r w:rsidR="000D4AE0">
        <w:t>monitor</w:t>
      </w:r>
      <w:r w:rsidR="000D4AE0" w:rsidRPr="00331912">
        <w:t xml:space="preserve"> </w:t>
      </w:r>
      <w:r w:rsidRPr="00331912">
        <w:t xml:space="preserve">its size </w:t>
      </w:r>
      <w:r w:rsidR="000D4AE0">
        <w:t>every financial year</w:t>
      </w:r>
      <w:r w:rsidR="006B22C1" w:rsidRPr="00331912">
        <w:t xml:space="preserve"> </w:t>
      </w:r>
      <w:r w:rsidR="00B86380" w:rsidRPr="00331912">
        <w:t xml:space="preserve">to know </w:t>
      </w:r>
      <w:r w:rsidR="00A0727E">
        <w:t>how the</w:t>
      </w:r>
      <w:r w:rsidR="00B86380" w:rsidRPr="00331912">
        <w:t xml:space="preserve"> obligations in the BEAR </w:t>
      </w:r>
      <w:r w:rsidR="0028355C">
        <w:t xml:space="preserve">that depend on whether it is small, medium or large, </w:t>
      </w:r>
      <w:r w:rsidR="00B86380" w:rsidRPr="00331912">
        <w:t xml:space="preserve">apply to it. </w:t>
      </w:r>
    </w:p>
    <w:p w14:paraId="691F8CA3" w14:textId="520C8F2B" w:rsidR="0039186E" w:rsidRPr="006619D4" w:rsidRDefault="00035AA8" w:rsidP="00D24F18">
      <w:pPr>
        <w:spacing w:before="0" w:after="240"/>
      </w:pPr>
      <w:r>
        <w:t>C</w:t>
      </w:r>
      <w:r w:rsidR="00C25A23">
        <w:t xml:space="preserve">onsultation with two ADIs that are </w:t>
      </w:r>
      <w:r w:rsidR="008659DF">
        <w:t xml:space="preserve">most </w:t>
      </w:r>
      <w:r w:rsidR="00C25A23">
        <w:t>likely to be affected by this Determination was conducted</w:t>
      </w:r>
      <w:r w:rsidR="007154D4">
        <w:t>.</w:t>
      </w:r>
      <w:r w:rsidR="00C25A23">
        <w:t xml:space="preserve"> The ADIs understood their obligations if </w:t>
      </w:r>
      <w:r w:rsidR="00AE5D69">
        <w:t>their size designation changes under this Determination</w:t>
      </w:r>
      <w:r w:rsidR="00A246AF">
        <w:t xml:space="preserve"> and expressed no concerns</w:t>
      </w:r>
      <w:r w:rsidR="00AE5D69">
        <w:t>.</w:t>
      </w:r>
      <w:r w:rsidR="003F58D7">
        <w:t xml:space="preserve"> No full public consultation was conducted because the changes under this Determination are minor in nature, reflecting an updated Reporting Standard </w:t>
      </w:r>
      <w:r w:rsidR="007D1DD0">
        <w:t xml:space="preserve">already being </w:t>
      </w:r>
      <w:r w:rsidR="003F58D7">
        <w:t>used by ADIs.</w:t>
      </w:r>
      <w:r w:rsidR="00FA2B2E">
        <w:t xml:space="preserve"> </w:t>
      </w:r>
      <w:r w:rsidR="003F58D7">
        <w:t>This Reporting Standard is</w:t>
      </w:r>
      <w:r w:rsidR="00FA2B2E">
        <w:t xml:space="preserve"> ARS 720.0, </w:t>
      </w:r>
      <w:r w:rsidR="003F58D7">
        <w:t xml:space="preserve">which </w:t>
      </w:r>
      <w:r w:rsidR="00C118DF">
        <w:t xml:space="preserve">has been consulted on as part of </w:t>
      </w:r>
      <w:r w:rsidR="008B5D26">
        <w:t>APRA’s</w:t>
      </w:r>
      <w:r w:rsidR="00FA2B2E">
        <w:t xml:space="preserve"> longstanding </w:t>
      </w:r>
      <w:r w:rsidR="00A0727E">
        <w:t xml:space="preserve">public </w:t>
      </w:r>
      <w:r w:rsidR="00FA2B2E">
        <w:t>consultation on Economic and Financial Statistics.</w:t>
      </w:r>
      <w:r w:rsidR="007154D4">
        <w:t xml:space="preserve"> </w:t>
      </w:r>
    </w:p>
    <w:p w14:paraId="57990879" w14:textId="1E1891EA" w:rsidR="00171993" w:rsidRDefault="00171993" w:rsidP="00D24F18">
      <w:pPr>
        <w:spacing w:before="0" w:after="240"/>
      </w:pPr>
      <w:r>
        <w:t xml:space="preserve">A detailed explanation of the </w:t>
      </w:r>
      <w:r w:rsidR="00EE48E1">
        <w:t>Determination</w:t>
      </w:r>
      <w:r w:rsidR="009F03A0">
        <w:t>, including the Schedule,</w:t>
      </w:r>
      <w:r>
        <w:t xml:space="preserve"> is at </w:t>
      </w:r>
      <w:r w:rsidRPr="00171993">
        <w:rPr>
          <w:u w:val="single"/>
        </w:rPr>
        <w:t>Attachment</w:t>
      </w:r>
      <w:r w:rsidR="00915995">
        <w:rPr>
          <w:u w:val="single"/>
        </w:rPr>
        <w:t> </w:t>
      </w:r>
      <w:r w:rsidRPr="00171993">
        <w:rPr>
          <w:u w:val="single"/>
        </w:rPr>
        <w:t>A</w:t>
      </w:r>
      <w:r>
        <w:t>.</w:t>
      </w:r>
    </w:p>
    <w:p w14:paraId="2DDE014F" w14:textId="2E9459EA" w:rsidR="00D67DF3" w:rsidRPr="006619D4" w:rsidRDefault="00D67DF3" w:rsidP="00D24F18">
      <w:pPr>
        <w:spacing w:before="0" w:after="240"/>
        <w:rPr>
          <w:u w:val="single"/>
        </w:rPr>
      </w:pPr>
      <w:r>
        <w:t xml:space="preserve">The Statement of Compatibility </w:t>
      </w:r>
      <w:r w:rsidR="002D4E4B">
        <w:t xml:space="preserve">with Human Rights </w:t>
      </w:r>
      <w:r>
        <w:t xml:space="preserve">is set out in </w:t>
      </w:r>
      <w:r w:rsidRPr="00D67DF3">
        <w:rPr>
          <w:u w:val="single"/>
        </w:rPr>
        <w:t>Attachment B</w:t>
      </w:r>
      <w:r>
        <w:t>.</w:t>
      </w:r>
    </w:p>
    <w:p w14:paraId="29482795" w14:textId="132FA8C2" w:rsidR="00D67DF3" w:rsidRDefault="00D67DF3" w:rsidP="00D24F18">
      <w:pPr>
        <w:spacing w:before="0" w:after="240"/>
      </w:pPr>
      <w:r>
        <w:t>The Act does not specify any conditions that need to be met before the power to make the Determination may be exercised.</w:t>
      </w:r>
    </w:p>
    <w:p w14:paraId="70C6FEAC" w14:textId="3AFE9E30" w:rsidR="0039186E" w:rsidRDefault="0039186E" w:rsidP="00D24F18">
      <w:pPr>
        <w:spacing w:before="0" w:after="240"/>
      </w:pPr>
      <w:r>
        <w:t xml:space="preserve">The Determination is a legislative instrument for the purposes of the </w:t>
      </w:r>
      <w:r>
        <w:rPr>
          <w:i/>
        </w:rPr>
        <w:t>Legislation</w:t>
      </w:r>
      <w:r w:rsidR="00915995">
        <w:rPr>
          <w:i/>
        </w:rPr>
        <w:t> </w:t>
      </w:r>
      <w:bookmarkStart w:id="0" w:name="_GoBack"/>
      <w:bookmarkEnd w:id="0"/>
      <w:r>
        <w:rPr>
          <w:i/>
        </w:rPr>
        <w:t>Act </w:t>
      </w:r>
      <w:r w:rsidRPr="0039186E">
        <w:rPr>
          <w:i/>
        </w:rPr>
        <w:t>2003</w:t>
      </w:r>
      <w:r>
        <w:t xml:space="preserve">. </w:t>
      </w:r>
    </w:p>
    <w:p w14:paraId="750F5D26" w14:textId="77777777" w:rsidR="0039186E" w:rsidRDefault="0039186E">
      <w:pPr>
        <w:spacing w:before="0" w:after="0"/>
        <w:rPr>
          <w:b/>
        </w:rPr>
      </w:pPr>
      <w:r>
        <w:rPr>
          <w:b/>
        </w:rPr>
        <w:br w:type="page"/>
      </w:r>
    </w:p>
    <w:p w14:paraId="483C809A" w14:textId="58E5703B" w:rsidR="00E4438C" w:rsidRPr="00647BB7" w:rsidRDefault="00171993" w:rsidP="00171993">
      <w:pPr>
        <w:spacing w:before="240"/>
        <w:jc w:val="right"/>
      </w:pPr>
      <w:r>
        <w:rPr>
          <w:b/>
        </w:rPr>
        <w:lastRenderedPageBreak/>
        <w:t>Attachment A</w:t>
      </w:r>
    </w:p>
    <w:p w14:paraId="541E66F7" w14:textId="46DD37F2" w:rsidR="009143A0" w:rsidRDefault="00171993" w:rsidP="00171993">
      <w:pPr>
        <w:spacing w:before="240"/>
        <w:jc w:val="center"/>
        <w:rPr>
          <w:i/>
        </w:rPr>
      </w:pPr>
      <w:r w:rsidRPr="00171993">
        <w:t>The</w:t>
      </w:r>
      <w:r>
        <w:rPr>
          <w:i/>
        </w:rPr>
        <w:t xml:space="preserve"> </w:t>
      </w:r>
      <w:r w:rsidRPr="00171993">
        <w:rPr>
          <w:i/>
        </w:rPr>
        <w:t>Banking Executive Accountability Regime (Size of an Authorised Deposit-taking Institution) Determination 20</w:t>
      </w:r>
      <w:r w:rsidR="007154D4">
        <w:rPr>
          <w:i/>
        </w:rPr>
        <w:t>2</w:t>
      </w:r>
      <w:r w:rsidR="00A3764B">
        <w:rPr>
          <w:i/>
        </w:rPr>
        <w:t>1</w:t>
      </w:r>
    </w:p>
    <w:p w14:paraId="2D60F576" w14:textId="77777777" w:rsidR="00171993" w:rsidRPr="00171993" w:rsidRDefault="00171993" w:rsidP="00D24F18">
      <w:pPr>
        <w:pStyle w:val="Heading4"/>
      </w:pPr>
      <w:r w:rsidRPr="00171993">
        <w:t>Section 1 – Name</w:t>
      </w:r>
    </w:p>
    <w:p w14:paraId="7BB580A3" w14:textId="2FB808CB" w:rsidR="00171993" w:rsidRDefault="00171993" w:rsidP="00D24F18">
      <w:pPr>
        <w:rPr>
          <w:i/>
        </w:rPr>
      </w:pPr>
      <w:r>
        <w:t xml:space="preserve">Section 1 </w:t>
      </w:r>
      <w:r w:rsidR="00211DC4">
        <w:t xml:space="preserve">provides that the name of the </w:t>
      </w:r>
      <w:r>
        <w:t xml:space="preserve">instrument is the </w:t>
      </w:r>
      <w:r w:rsidRPr="00171993">
        <w:rPr>
          <w:i/>
        </w:rPr>
        <w:t>Banking Executive Accountability Regime (Size of an Authorised Deposit-taking Institution) Determination 20</w:t>
      </w:r>
      <w:r w:rsidR="002D4E4B">
        <w:rPr>
          <w:i/>
        </w:rPr>
        <w:t>2</w:t>
      </w:r>
      <w:r w:rsidR="00A3764B">
        <w:rPr>
          <w:i/>
        </w:rPr>
        <w:t>1</w:t>
      </w:r>
      <w:r>
        <w:rPr>
          <w:i/>
        </w:rPr>
        <w:t xml:space="preserve"> </w:t>
      </w:r>
      <w:r>
        <w:t>(the Determination)</w:t>
      </w:r>
      <w:r w:rsidRPr="00171993">
        <w:t>.</w:t>
      </w:r>
      <w:r>
        <w:rPr>
          <w:i/>
        </w:rPr>
        <w:t xml:space="preserve"> </w:t>
      </w:r>
    </w:p>
    <w:p w14:paraId="7D14E612" w14:textId="77777777" w:rsidR="00171993" w:rsidRDefault="00171993" w:rsidP="005B26FB">
      <w:pPr>
        <w:pStyle w:val="Heading4"/>
      </w:pPr>
      <w:r w:rsidRPr="00171993">
        <w:t xml:space="preserve">Section 2 – Commencement </w:t>
      </w:r>
    </w:p>
    <w:p w14:paraId="25CB404B" w14:textId="4228FA06" w:rsidR="00171993" w:rsidRDefault="00171993" w:rsidP="00D24F18">
      <w:r>
        <w:t xml:space="preserve">Section 2 provides that the instrument commences </w:t>
      </w:r>
      <w:r w:rsidR="00FA337F">
        <w:t>on the day after the instrument is registered</w:t>
      </w:r>
      <w:r>
        <w:t xml:space="preserve">. </w:t>
      </w:r>
    </w:p>
    <w:p w14:paraId="016E4B8D" w14:textId="77777777" w:rsidR="00171993" w:rsidRPr="00171993" w:rsidRDefault="00171993" w:rsidP="005B26FB">
      <w:pPr>
        <w:pStyle w:val="Heading4"/>
      </w:pPr>
      <w:r w:rsidRPr="00171993">
        <w:t>Section 3 – Authority</w:t>
      </w:r>
    </w:p>
    <w:p w14:paraId="7F550C94" w14:textId="77777777" w:rsidR="00171993" w:rsidRDefault="00171993" w:rsidP="00D24F18">
      <w:r w:rsidRPr="00171993">
        <w:t xml:space="preserve">Section 3 provides that the </w:t>
      </w:r>
      <w:r>
        <w:t xml:space="preserve">instrument is made under subsection 37G(3) of the </w:t>
      </w:r>
      <w:r w:rsidRPr="00171993">
        <w:rPr>
          <w:i/>
        </w:rPr>
        <w:t>Banking Act 1959</w:t>
      </w:r>
      <w:r>
        <w:t xml:space="preserve"> (the Act). </w:t>
      </w:r>
    </w:p>
    <w:p w14:paraId="393A9769" w14:textId="744BF850" w:rsidR="00E44E92" w:rsidRDefault="00171993" w:rsidP="005B26FB">
      <w:pPr>
        <w:pStyle w:val="Heading4"/>
      </w:pPr>
      <w:r w:rsidRPr="00171993">
        <w:t xml:space="preserve">Section 4 – </w:t>
      </w:r>
      <w:r w:rsidR="00E44E92">
        <w:t>Schedules</w:t>
      </w:r>
    </w:p>
    <w:p w14:paraId="21820CBA" w14:textId="1808C3EA" w:rsidR="00E44E92" w:rsidRPr="00E44E92" w:rsidRDefault="007154D4" w:rsidP="000A6A20">
      <w:pPr>
        <w:pStyle w:val="base-text-paragraph"/>
        <w:ind w:left="0"/>
      </w:pPr>
      <w:r>
        <w:t xml:space="preserve">Section 4 </w:t>
      </w:r>
      <w:r w:rsidR="0014648A">
        <w:t xml:space="preserve">provides that the Schedule to the </w:t>
      </w:r>
      <w:r w:rsidR="00EE48E1">
        <w:t xml:space="preserve">instrument specifies each instrument that is amended or repealed as set out </w:t>
      </w:r>
      <w:r w:rsidR="007C71B9">
        <w:t>in each applicable item</w:t>
      </w:r>
      <w:r w:rsidR="00EE48E1">
        <w:t xml:space="preserve"> in the Schedule. </w:t>
      </w:r>
    </w:p>
    <w:p w14:paraId="7CD077FC" w14:textId="31960C11" w:rsidR="00171993" w:rsidRDefault="00E44E92" w:rsidP="005B26FB">
      <w:pPr>
        <w:pStyle w:val="Heading4"/>
      </w:pPr>
      <w:r>
        <w:t xml:space="preserve">Section 5 </w:t>
      </w:r>
      <w:r w:rsidRPr="00171993">
        <w:t xml:space="preserve">– </w:t>
      </w:r>
      <w:r w:rsidR="00171993" w:rsidRPr="00171993">
        <w:t>Definitions</w:t>
      </w:r>
      <w:r>
        <w:t xml:space="preserve"> </w:t>
      </w:r>
    </w:p>
    <w:p w14:paraId="6497EB44" w14:textId="1AF2C275" w:rsidR="00171993" w:rsidRPr="00BC5D94" w:rsidRDefault="00171993" w:rsidP="00D24F18">
      <w:pPr>
        <w:rPr>
          <w:szCs w:val="24"/>
        </w:rPr>
      </w:pPr>
      <w:r w:rsidRPr="00BC5D94">
        <w:rPr>
          <w:szCs w:val="24"/>
        </w:rPr>
        <w:t xml:space="preserve">Section </w:t>
      </w:r>
      <w:r w:rsidR="00E44E92">
        <w:rPr>
          <w:szCs w:val="24"/>
        </w:rPr>
        <w:t>5</w:t>
      </w:r>
      <w:r w:rsidRPr="00BC5D94">
        <w:rPr>
          <w:szCs w:val="24"/>
        </w:rPr>
        <w:t xml:space="preserve"> sets out the definitions that are used </w:t>
      </w:r>
      <w:r w:rsidR="00CA505F" w:rsidRPr="00BC5D94">
        <w:rPr>
          <w:szCs w:val="24"/>
        </w:rPr>
        <w:t xml:space="preserve">in the legislative instrument. </w:t>
      </w:r>
    </w:p>
    <w:p w14:paraId="33297F1F" w14:textId="4C36028D" w:rsidR="00253DB2" w:rsidRPr="00BC5D94" w:rsidRDefault="00253DB2" w:rsidP="00D24F18">
      <w:pPr>
        <w:pStyle w:val="Definition"/>
        <w:spacing w:before="0" w:after="120"/>
        <w:ind w:left="0"/>
        <w:jc w:val="both"/>
        <w:rPr>
          <w:sz w:val="24"/>
          <w:szCs w:val="24"/>
        </w:rPr>
      </w:pPr>
      <w:r w:rsidRPr="00BC5D94">
        <w:rPr>
          <w:sz w:val="24"/>
          <w:szCs w:val="24"/>
        </w:rPr>
        <w:t>A brief explanation and summary of the</w:t>
      </w:r>
      <w:r w:rsidR="007C71B9">
        <w:rPr>
          <w:sz w:val="24"/>
          <w:szCs w:val="24"/>
        </w:rPr>
        <w:t xml:space="preserve"> </w:t>
      </w:r>
      <w:r w:rsidRPr="00BC5D94">
        <w:rPr>
          <w:sz w:val="24"/>
          <w:szCs w:val="24"/>
        </w:rPr>
        <w:t xml:space="preserve">terms and </w:t>
      </w:r>
      <w:r w:rsidR="00424056" w:rsidRPr="00BC5D94">
        <w:rPr>
          <w:sz w:val="24"/>
          <w:szCs w:val="24"/>
        </w:rPr>
        <w:t xml:space="preserve">definitions included in the </w:t>
      </w:r>
      <w:r w:rsidR="007C71B9">
        <w:rPr>
          <w:sz w:val="24"/>
          <w:szCs w:val="24"/>
        </w:rPr>
        <w:t xml:space="preserve">instrument </w:t>
      </w:r>
      <w:r w:rsidR="00424056" w:rsidRPr="00BC5D94">
        <w:rPr>
          <w:sz w:val="24"/>
          <w:szCs w:val="24"/>
        </w:rPr>
        <w:t>are</w:t>
      </w:r>
      <w:r w:rsidRPr="00BC5D94">
        <w:rPr>
          <w:sz w:val="24"/>
          <w:szCs w:val="24"/>
        </w:rPr>
        <w:t xml:space="preserve"> set out below. A full explanation of how these terms are used to calculate an ADI’s size is clarified as part of the explanations for sections </w:t>
      </w:r>
      <w:r w:rsidR="00184DAE">
        <w:rPr>
          <w:sz w:val="24"/>
          <w:szCs w:val="24"/>
        </w:rPr>
        <w:t>6 and 7.</w:t>
      </w:r>
    </w:p>
    <w:p w14:paraId="67DC1DB6" w14:textId="51F97692" w:rsidR="00424056" w:rsidRPr="00BC5D94" w:rsidRDefault="00424056" w:rsidP="00D24F18">
      <w:pPr>
        <w:pStyle w:val="Definition"/>
        <w:spacing w:before="0" w:after="120"/>
        <w:ind w:left="0"/>
        <w:rPr>
          <w:sz w:val="24"/>
          <w:szCs w:val="24"/>
        </w:rPr>
      </w:pPr>
      <w:r w:rsidRPr="00BC5D94">
        <w:rPr>
          <w:b/>
          <w:i/>
          <w:sz w:val="24"/>
          <w:szCs w:val="24"/>
        </w:rPr>
        <w:t>final report</w:t>
      </w:r>
      <w:r w:rsidRPr="00BC5D94">
        <w:rPr>
          <w:sz w:val="24"/>
          <w:szCs w:val="24"/>
        </w:rPr>
        <w:t xml:space="preserve"> </w:t>
      </w:r>
      <w:r w:rsidR="000D462C" w:rsidRPr="000D462C">
        <w:rPr>
          <w:sz w:val="24"/>
          <w:szCs w:val="24"/>
        </w:rPr>
        <w:t xml:space="preserve">means a report submitted by an ADI to APRA </w:t>
      </w:r>
      <w:r w:rsidR="0053402B">
        <w:rPr>
          <w:sz w:val="24"/>
          <w:szCs w:val="24"/>
        </w:rPr>
        <w:t>under</w:t>
      </w:r>
      <w:r w:rsidR="000D462C" w:rsidRPr="000D462C">
        <w:rPr>
          <w:sz w:val="24"/>
          <w:szCs w:val="24"/>
        </w:rPr>
        <w:t xml:space="preserve"> Reporting Standard ARS 320.0 Statement of Financial Position (Domestic Books), Reporting Standard ARS 323.0 Statement of Financial Position (Licensed ADI), or Reporting Standard ARS 720.0 ABS/RBA Statement of Financial Position</w:t>
      </w:r>
      <w:r w:rsidR="000D462C" w:rsidRPr="000D462C" w:rsidDel="00164D4F">
        <w:rPr>
          <w:sz w:val="24"/>
          <w:szCs w:val="24"/>
        </w:rPr>
        <w:t xml:space="preserve"> </w:t>
      </w:r>
      <w:r w:rsidRPr="00BC5D94">
        <w:rPr>
          <w:sz w:val="24"/>
          <w:szCs w:val="24"/>
        </w:rPr>
        <w:t xml:space="preserve">in relation to the final reporting period </w:t>
      </w:r>
      <w:r w:rsidR="008433A8">
        <w:rPr>
          <w:sz w:val="24"/>
          <w:szCs w:val="24"/>
        </w:rPr>
        <w:t>for</w:t>
      </w:r>
      <w:r w:rsidR="008433A8" w:rsidRPr="00BC5D94">
        <w:rPr>
          <w:sz w:val="24"/>
          <w:szCs w:val="24"/>
        </w:rPr>
        <w:t xml:space="preserve"> </w:t>
      </w:r>
      <w:r w:rsidR="001301A8" w:rsidRPr="00975112">
        <w:rPr>
          <w:sz w:val="24"/>
          <w:szCs w:val="24"/>
        </w:rPr>
        <w:t>the ADI’s</w:t>
      </w:r>
      <w:r w:rsidR="008433A8" w:rsidRPr="008E024A">
        <w:rPr>
          <w:sz w:val="24"/>
          <w:szCs w:val="24"/>
        </w:rPr>
        <w:t xml:space="preserve"> </w:t>
      </w:r>
      <w:r w:rsidR="001301A8" w:rsidRPr="00975112">
        <w:rPr>
          <w:sz w:val="24"/>
          <w:szCs w:val="24"/>
        </w:rPr>
        <w:t xml:space="preserve">final reporting period </w:t>
      </w:r>
      <w:r w:rsidR="001301A8" w:rsidRPr="001301A8">
        <w:rPr>
          <w:sz w:val="24"/>
          <w:szCs w:val="24"/>
        </w:rPr>
        <w:t>in a</w:t>
      </w:r>
      <w:r w:rsidR="001301A8">
        <w:rPr>
          <w:sz w:val="24"/>
          <w:szCs w:val="24"/>
        </w:rPr>
        <w:t xml:space="preserve"> </w:t>
      </w:r>
      <w:r w:rsidRPr="00BC5D94">
        <w:rPr>
          <w:sz w:val="24"/>
          <w:szCs w:val="24"/>
        </w:rPr>
        <w:t>financial year.</w:t>
      </w:r>
      <w:r w:rsidR="00801CE5">
        <w:rPr>
          <w:sz w:val="24"/>
          <w:szCs w:val="24"/>
        </w:rPr>
        <w:t xml:space="preserve"> </w:t>
      </w:r>
    </w:p>
    <w:p w14:paraId="026CB074" w14:textId="2C4FA102" w:rsidR="00950B22" w:rsidRDefault="00424056" w:rsidP="00D24F18">
      <w:pPr>
        <w:pStyle w:val="Definition"/>
        <w:spacing w:before="0" w:after="120"/>
        <w:ind w:left="0"/>
        <w:rPr>
          <w:sz w:val="24"/>
          <w:szCs w:val="24"/>
        </w:rPr>
      </w:pPr>
      <w:r w:rsidRPr="00BC5D94">
        <w:rPr>
          <w:b/>
          <w:i/>
          <w:sz w:val="24"/>
          <w:szCs w:val="24"/>
        </w:rPr>
        <w:t>financial year</w:t>
      </w:r>
      <w:r w:rsidRPr="00BC5D94">
        <w:rPr>
          <w:sz w:val="24"/>
          <w:szCs w:val="24"/>
        </w:rPr>
        <w:t xml:space="preserve">, in relation to an ADI, means the ADI’s financial year (see section 323D of the </w:t>
      </w:r>
      <w:r w:rsidRPr="00BB1B61">
        <w:rPr>
          <w:i/>
          <w:sz w:val="24"/>
          <w:szCs w:val="24"/>
        </w:rPr>
        <w:t>Corporations Act 2001</w:t>
      </w:r>
      <w:r w:rsidRPr="00BC5D94">
        <w:rPr>
          <w:sz w:val="24"/>
          <w:szCs w:val="24"/>
        </w:rPr>
        <w:t>) and includes financial years that begin before the commencement of this instrument.</w:t>
      </w:r>
      <w:r w:rsidR="00950B22" w:rsidRPr="00BC5D94">
        <w:rPr>
          <w:b/>
          <w:i/>
          <w:sz w:val="24"/>
          <w:szCs w:val="24"/>
        </w:rPr>
        <w:t xml:space="preserve"> </w:t>
      </w:r>
      <w:r w:rsidR="00542A5F" w:rsidRPr="00DF6D90">
        <w:rPr>
          <w:sz w:val="24"/>
          <w:szCs w:val="24"/>
        </w:rPr>
        <w:t>In most circumstances a financial year for an ADI will be a period of 12 consecutive months, with its first financial year commencing on the day the ADI is registered or incorporated.</w:t>
      </w:r>
    </w:p>
    <w:p w14:paraId="05E08500" w14:textId="387579BE" w:rsidR="00724969" w:rsidRPr="00BC5D94" w:rsidRDefault="00724969" w:rsidP="00D24F18">
      <w:pPr>
        <w:pStyle w:val="Definition"/>
        <w:spacing w:before="0" w:after="120"/>
        <w:ind w:left="0"/>
        <w:rPr>
          <w:b/>
          <w:i/>
          <w:sz w:val="24"/>
          <w:szCs w:val="24"/>
        </w:rPr>
      </w:pPr>
      <w:r>
        <w:rPr>
          <w:b/>
          <w:i/>
          <w:sz w:val="24"/>
          <w:szCs w:val="24"/>
        </w:rPr>
        <w:t xml:space="preserve">Reporting Standard </w:t>
      </w:r>
      <w:r w:rsidR="00E86229">
        <w:rPr>
          <w:sz w:val="24"/>
          <w:szCs w:val="24"/>
        </w:rPr>
        <w:t xml:space="preserve">refers to a Reporting Standard determined under section 13 of the </w:t>
      </w:r>
      <w:r w:rsidR="00E86229">
        <w:rPr>
          <w:i/>
          <w:sz w:val="24"/>
          <w:szCs w:val="24"/>
        </w:rPr>
        <w:t>Financial Sector (Collection of Data) Act 2001</w:t>
      </w:r>
      <w:r w:rsidR="00E86229">
        <w:rPr>
          <w:sz w:val="24"/>
          <w:szCs w:val="24"/>
        </w:rPr>
        <w:t xml:space="preserve">. </w:t>
      </w:r>
      <w:r w:rsidR="00BA510F">
        <w:rPr>
          <w:sz w:val="24"/>
          <w:szCs w:val="24"/>
        </w:rPr>
        <w:t xml:space="preserve">Section 8 </w:t>
      </w:r>
      <w:r w:rsidR="000E5687">
        <w:rPr>
          <w:sz w:val="24"/>
          <w:szCs w:val="24"/>
        </w:rPr>
        <w:t>sets out what happens when a Reporting Standard with a particular identifier</w:t>
      </w:r>
      <w:r w:rsidR="00E61793">
        <w:rPr>
          <w:sz w:val="24"/>
          <w:szCs w:val="24"/>
        </w:rPr>
        <w:t xml:space="preserve"> is</w:t>
      </w:r>
      <w:r w:rsidR="000E5687">
        <w:rPr>
          <w:sz w:val="24"/>
          <w:szCs w:val="24"/>
        </w:rPr>
        <w:t xml:space="preserve"> replaced by a Reporting Standard with a different identifier. </w:t>
      </w:r>
    </w:p>
    <w:p w14:paraId="54E1B0AC" w14:textId="4F0CBD61" w:rsidR="00FD0449" w:rsidRPr="00DF6D90" w:rsidRDefault="00FD0449" w:rsidP="00D840E3">
      <w:pPr>
        <w:pStyle w:val="Definition"/>
        <w:spacing w:before="0" w:after="120"/>
        <w:ind w:left="0"/>
        <w:rPr>
          <w:sz w:val="24"/>
          <w:szCs w:val="24"/>
        </w:rPr>
      </w:pPr>
      <w:r w:rsidRPr="00DF6D90">
        <w:rPr>
          <w:b/>
          <w:i/>
          <w:sz w:val="24"/>
          <w:szCs w:val="24"/>
        </w:rPr>
        <w:t>total asset size</w:t>
      </w:r>
      <w:r>
        <w:rPr>
          <w:b/>
          <w:i/>
          <w:sz w:val="24"/>
          <w:szCs w:val="24"/>
        </w:rPr>
        <w:t xml:space="preserve"> </w:t>
      </w:r>
      <w:r>
        <w:rPr>
          <w:sz w:val="24"/>
          <w:szCs w:val="24"/>
        </w:rPr>
        <w:t xml:space="preserve">is the amount used to determine the size of an ADI, and </w:t>
      </w:r>
      <w:r w:rsidR="00F95383">
        <w:rPr>
          <w:sz w:val="24"/>
          <w:szCs w:val="24"/>
        </w:rPr>
        <w:t>includes</w:t>
      </w:r>
      <w:r>
        <w:rPr>
          <w:sz w:val="24"/>
          <w:szCs w:val="24"/>
        </w:rPr>
        <w:t xml:space="preserve"> an average of </w:t>
      </w:r>
      <w:r w:rsidR="008873DE">
        <w:rPr>
          <w:sz w:val="24"/>
          <w:szCs w:val="24"/>
        </w:rPr>
        <w:t>total assets</w:t>
      </w:r>
      <w:r w:rsidR="00F95383">
        <w:rPr>
          <w:sz w:val="24"/>
          <w:szCs w:val="24"/>
        </w:rPr>
        <w:t xml:space="preserve"> </w:t>
      </w:r>
      <w:r>
        <w:rPr>
          <w:sz w:val="24"/>
          <w:szCs w:val="24"/>
        </w:rPr>
        <w:t xml:space="preserve">reported over two or three years. Section 6 </w:t>
      </w:r>
      <w:r w:rsidR="000D10D2">
        <w:rPr>
          <w:sz w:val="24"/>
          <w:szCs w:val="24"/>
        </w:rPr>
        <w:t xml:space="preserve">describes </w:t>
      </w:r>
      <w:r>
        <w:rPr>
          <w:sz w:val="24"/>
          <w:szCs w:val="24"/>
        </w:rPr>
        <w:t xml:space="preserve">how this amount is determined. </w:t>
      </w:r>
    </w:p>
    <w:p w14:paraId="7E6B6AE9" w14:textId="748B1458" w:rsidR="00424056" w:rsidRPr="00BC5D94" w:rsidRDefault="00950B22" w:rsidP="00D24F18">
      <w:pPr>
        <w:pStyle w:val="Definition"/>
        <w:spacing w:before="0" w:after="120"/>
        <w:ind w:left="0"/>
        <w:rPr>
          <w:sz w:val="24"/>
          <w:szCs w:val="24"/>
        </w:rPr>
      </w:pPr>
      <w:r w:rsidRPr="00BC5D94">
        <w:rPr>
          <w:b/>
          <w:i/>
          <w:sz w:val="24"/>
          <w:szCs w:val="24"/>
        </w:rPr>
        <w:lastRenderedPageBreak/>
        <w:t>total resident assets value</w:t>
      </w:r>
      <w:r w:rsidR="00F716F1" w:rsidRPr="00BC5D94">
        <w:rPr>
          <w:b/>
          <w:i/>
          <w:sz w:val="24"/>
          <w:szCs w:val="24"/>
        </w:rPr>
        <w:t xml:space="preserve"> </w:t>
      </w:r>
      <w:r w:rsidR="00F716F1" w:rsidRPr="00BC5D94">
        <w:rPr>
          <w:sz w:val="24"/>
          <w:szCs w:val="24"/>
        </w:rPr>
        <w:t>is the</w:t>
      </w:r>
      <w:r w:rsidRPr="00BC5D94">
        <w:rPr>
          <w:sz w:val="24"/>
          <w:szCs w:val="24"/>
        </w:rPr>
        <w:t xml:space="preserve"> amount of total assets as </w:t>
      </w:r>
      <w:r w:rsidRPr="00F3229B">
        <w:rPr>
          <w:sz w:val="24"/>
          <w:szCs w:val="24"/>
        </w:rPr>
        <w:t>reported to APRA</w:t>
      </w:r>
      <w:r w:rsidR="00C2429F">
        <w:rPr>
          <w:sz w:val="24"/>
          <w:szCs w:val="24"/>
        </w:rPr>
        <w:t xml:space="preserve"> in a final report</w:t>
      </w:r>
      <w:r w:rsidRPr="00F3229B">
        <w:rPr>
          <w:sz w:val="24"/>
          <w:szCs w:val="24"/>
        </w:rPr>
        <w:t xml:space="preserve">. </w:t>
      </w:r>
      <w:r w:rsidR="00FD0449">
        <w:rPr>
          <w:sz w:val="24"/>
          <w:szCs w:val="24"/>
        </w:rPr>
        <w:t xml:space="preserve">Section 7 </w:t>
      </w:r>
      <w:r w:rsidR="00203D5B">
        <w:rPr>
          <w:sz w:val="24"/>
          <w:szCs w:val="24"/>
        </w:rPr>
        <w:t xml:space="preserve">describes </w:t>
      </w:r>
      <w:r w:rsidR="00FD0449">
        <w:rPr>
          <w:sz w:val="24"/>
          <w:szCs w:val="24"/>
        </w:rPr>
        <w:t xml:space="preserve">how this amount is </w:t>
      </w:r>
      <w:r w:rsidR="00FE50D3">
        <w:rPr>
          <w:sz w:val="24"/>
          <w:szCs w:val="24"/>
        </w:rPr>
        <w:t xml:space="preserve">identified. </w:t>
      </w:r>
      <w:r w:rsidR="00FD0449">
        <w:rPr>
          <w:sz w:val="24"/>
          <w:szCs w:val="24"/>
        </w:rPr>
        <w:t xml:space="preserve"> </w:t>
      </w:r>
    </w:p>
    <w:p w14:paraId="5F370E87" w14:textId="77777777" w:rsidR="00470126" w:rsidRDefault="005F64E2" w:rsidP="00D24F18">
      <w:pPr>
        <w:pStyle w:val="Heading4"/>
      </w:pPr>
      <w:r>
        <w:t>Section 6</w:t>
      </w:r>
      <w:r w:rsidR="00424056" w:rsidRPr="00424056">
        <w:t xml:space="preserve"> – Size of an ADI</w:t>
      </w:r>
      <w:r w:rsidR="00DA6C61">
        <w:t xml:space="preserve"> </w:t>
      </w:r>
    </w:p>
    <w:p w14:paraId="2A7C2F13" w14:textId="33AE9AC8" w:rsidR="00D81A90" w:rsidRDefault="00AA38B0" w:rsidP="00D24F18">
      <w:r>
        <w:t>Section 6</w:t>
      </w:r>
      <w:r w:rsidR="00424056" w:rsidRPr="00424056">
        <w:t xml:space="preserve"> </w:t>
      </w:r>
      <w:r w:rsidR="009A1E1D">
        <w:t>introduces the</w:t>
      </w:r>
      <w:r w:rsidR="00091196">
        <w:t xml:space="preserve"> term ‘total asset size’, which is used to determine the size of an ADI. The total asset size i</w:t>
      </w:r>
      <w:r w:rsidR="00D55B35">
        <w:t xml:space="preserve">s in </w:t>
      </w:r>
      <w:r w:rsidR="00091196">
        <w:t xml:space="preserve">turn determined by reference to the ‘total resident assets value’ </w:t>
      </w:r>
      <w:r w:rsidR="00D55B35">
        <w:t xml:space="preserve">in </w:t>
      </w:r>
      <w:r w:rsidR="0032392D">
        <w:t>a final report</w:t>
      </w:r>
      <w:r w:rsidR="00114785">
        <w:t xml:space="preserve"> (</w:t>
      </w:r>
      <w:r w:rsidR="00F92DD8">
        <w:t>explained</w:t>
      </w:r>
      <w:r w:rsidR="00114785">
        <w:t xml:space="preserve"> in section 7)</w:t>
      </w:r>
      <w:r w:rsidR="0032392D">
        <w:t>, or several final reports an ADI has submitted to APRA.</w:t>
      </w:r>
      <w:r w:rsidR="00D57EC6">
        <w:t xml:space="preserve"> </w:t>
      </w:r>
    </w:p>
    <w:p w14:paraId="01582E2B" w14:textId="23E00D2A" w:rsidR="003841B6" w:rsidRDefault="00D81A90" w:rsidP="00D24F18">
      <w:r>
        <w:t>If an ADI has</w:t>
      </w:r>
      <w:r w:rsidR="00D44F5D">
        <w:t xml:space="preserve"> submitted</w:t>
      </w:r>
      <w:r w:rsidR="003841B6">
        <w:t>:</w:t>
      </w:r>
    </w:p>
    <w:p w14:paraId="282278B3" w14:textId="77111F23" w:rsidR="00D81A90" w:rsidRDefault="00D81A90" w:rsidP="00A82BB7">
      <w:pPr>
        <w:pStyle w:val="ListParagraph"/>
        <w:numPr>
          <w:ilvl w:val="0"/>
          <w:numId w:val="16"/>
        </w:numPr>
      </w:pPr>
      <w:r>
        <w:t xml:space="preserve">a final report for </w:t>
      </w:r>
      <w:r w:rsidR="00DC498B">
        <w:t xml:space="preserve">only </w:t>
      </w:r>
      <w:r>
        <w:t>one financial year, its total asset size is the total resident assets value reported in that final report.</w:t>
      </w:r>
    </w:p>
    <w:p w14:paraId="00161310" w14:textId="30FBC5DE" w:rsidR="00D44F5D" w:rsidRPr="00975112" w:rsidRDefault="00D81A90" w:rsidP="00A82BB7">
      <w:pPr>
        <w:pStyle w:val="ListParagraph"/>
        <w:numPr>
          <w:ilvl w:val="0"/>
          <w:numId w:val="16"/>
        </w:numPr>
      </w:pPr>
      <w:r>
        <w:t>final reports for</w:t>
      </w:r>
      <w:r w:rsidR="00DC498B">
        <w:t xml:space="preserve"> only</w:t>
      </w:r>
      <w:r>
        <w:t xml:space="preserve"> two </w:t>
      </w:r>
      <w:r w:rsidRPr="00975112">
        <w:t>financial years, its total asset size is the average of the total resident assets value reported in those two final reports.</w:t>
      </w:r>
    </w:p>
    <w:p w14:paraId="75694E01" w14:textId="607A96D6" w:rsidR="00D44F5D" w:rsidRDefault="00D81A90" w:rsidP="00E93770">
      <w:pPr>
        <w:pStyle w:val="ListParagraph"/>
        <w:numPr>
          <w:ilvl w:val="0"/>
          <w:numId w:val="16"/>
        </w:numPr>
      </w:pPr>
      <w:r w:rsidRPr="00975112">
        <w:t xml:space="preserve">final reports for three </w:t>
      </w:r>
      <w:r w:rsidR="006C2071" w:rsidRPr="00975112">
        <w:t xml:space="preserve">or more </w:t>
      </w:r>
      <w:r>
        <w:t xml:space="preserve">financial years, its total asset size is the average of the total resident assets value in </w:t>
      </w:r>
      <w:r w:rsidR="006C2071">
        <w:t xml:space="preserve">the </w:t>
      </w:r>
      <w:r>
        <w:t xml:space="preserve">three </w:t>
      </w:r>
      <w:r w:rsidR="006C2071">
        <w:t xml:space="preserve">most recent </w:t>
      </w:r>
      <w:r>
        <w:t>reports</w:t>
      </w:r>
      <w:r w:rsidR="006C5FF9">
        <w:t xml:space="preserve"> in three financial years.</w:t>
      </w:r>
      <w:r>
        <w:t xml:space="preserve"> </w:t>
      </w:r>
    </w:p>
    <w:p w14:paraId="50520854" w14:textId="6C3DFEED" w:rsidR="0090538A" w:rsidRDefault="0090538A" w:rsidP="00DF6D90">
      <w:pPr>
        <w:spacing w:before="240"/>
      </w:pPr>
      <w:r>
        <w:t xml:space="preserve">A </w:t>
      </w:r>
      <w:r w:rsidRPr="0068198B">
        <w:rPr>
          <w:b/>
          <w:i/>
        </w:rPr>
        <w:t>small ADI</w:t>
      </w:r>
      <w:r>
        <w:t xml:space="preserve"> is </w:t>
      </w:r>
      <w:r w:rsidR="00F12F3E">
        <w:t xml:space="preserve">an </w:t>
      </w:r>
      <w:r>
        <w:t xml:space="preserve">ADI that has </w:t>
      </w:r>
      <w:r w:rsidR="00F12F3E">
        <w:t>a total asset size</w:t>
      </w:r>
      <w:r>
        <w:t xml:space="preserve"> less than or equal to </w:t>
      </w:r>
      <w:r w:rsidR="00025221">
        <w:t xml:space="preserve">$10 billion, or a new ADI for which it is not yet possible to work out this amount because they have not yet submitted </w:t>
      </w:r>
      <w:r w:rsidR="00F12F3E">
        <w:t>a final report</w:t>
      </w:r>
      <w:r w:rsidR="00025221">
        <w:t xml:space="preserve"> to APRA</w:t>
      </w:r>
      <w:r w:rsidR="000531A5">
        <w:t xml:space="preserve"> (for example a new ADI)</w:t>
      </w:r>
      <w:r w:rsidR="00025221">
        <w:t>.</w:t>
      </w:r>
      <w:r w:rsidR="00E64363">
        <w:t xml:space="preserve"> </w:t>
      </w:r>
      <w:r w:rsidR="00025221">
        <w:t xml:space="preserve"> </w:t>
      </w:r>
    </w:p>
    <w:p w14:paraId="7616555B" w14:textId="7A687DD0" w:rsidR="0090538A" w:rsidRDefault="0090538A" w:rsidP="00DF6D90">
      <w:pPr>
        <w:spacing w:before="240"/>
      </w:pPr>
      <w:r>
        <w:t xml:space="preserve">A </w:t>
      </w:r>
      <w:r w:rsidRPr="0068198B">
        <w:rPr>
          <w:b/>
          <w:i/>
        </w:rPr>
        <w:t>medium ADI</w:t>
      </w:r>
      <w:r>
        <w:t xml:space="preserve"> is </w:t>
      </w:r>
      <w:r w:rsidR="00F12F3E">
        <w:t xml:space="preserve">an </w:t>
      </w:r>
      <w:r>
        <w:t>ADI that has</w:t>
      </w:r>
      <w:r w:rsidR="00025221">
        <w:t xml:space="preserve"> </w:t>
      </w:r>
      <w:r w:rsidR="008001DB">
        <w:t xml:space="preserve">a total asset size </w:t>
      </w:r>
      <w:r w:rsidR="003C1818">
        <w:t xml:space="preserve">greater than </w:t>
      </w:r>
      <w:r w:rsidR="00025221">
        <w:t>$10 billion</w:t>
      </w:r>
      <w:r>
        <w:t xml:space="preserve"> but less than </w:t>
      </w:r>
      <w:r w:rsidR="002B6249">
        <w:t>$10</w:t>
      </w:r>
      <w:r w:rsidR="00E2010E">
        <w:t>7</w:t>
      </w:r>
      <w:r w:rsidR="00025221">
        <w:t xml:space="preserve"> billion</w:t>
      </w:r>
      <w:r>
        <w:t>.</w:t>
      </w:r>
    </w:p>
    <w:p w14:paraId="51D571E7" w14:textId="15AF851C" w:rsidR="0090538A" w:rsidRDefault="0090538A" w:rsidP="00DF6D90">
      <w:r>
        <w:t xml:space="preserve">A </w:t>
      </w:r>
      <w:r w:rsidRPr="0068198B">
        <w:rPr>
          <w:b/>
          <w:i/>
        </w:rPr>
        <w:t>large ADI</w:t>
      </w:r>
      <w:r>
        <w:t xml:space="preserve"> is </w:t>
      </w:r>
      <w:r w:rsidR="00F12F3E">
        <w:t>an A</w:t>
      </w:r>
      <w:r>
        <w:t>DI that has</w:t>
      </w:r>
      <w:r w:rsidR="00025221">
        <w:t xml:space="preserve"> </w:t>
      </w:r>
      <w:r w:rsidR="008001DB">
        <w:t>a total asset size</w:t>
      </w:r>
      <w:r>
        <w:t xml:space="preserve"> greater than or equal to </w:t>
      </w:r>
      <w:r w:rsidR="00025221">
        <w:t>$10</w:t>
      </w:r>
      <w:r w:rsidR="00E2010E">
        <w:t>7</w:t>
      </w:r>
      <w:r w:rsidR="00025221">
        <w:t xml:space="preserve"> billion</w:t>
      </w:r>
      <w:r w:rsidR="003C1818">
        <w:t xml:space="preserve">. </w:t>
      </w:r>
    </w:p>
    <w:p w14:paraId="41FD8EC6" w14:textId="2A244563" w:rsidR="00BA7162" w:rsidRDefault="00BA7162" w:rsidP="00DF6D90">
      <w:r>
        <w:t>Eac</w:t>
      </w:r>
      <w:r w:rsidR="00EC1F49">
        <w:t xml:space="preserve">h of these </w:t>
      </w:r>
      <w:r w:rsidR="000B4EBE">
        <w:t>monetary amounts</w:t>
      </w:r>
      <w:r w:rsidR="00504980">
        <w:t xml:space="preserve"> is a threshold</w:t>
      </w:r>
      <w:r w:rsidR="008A0B86">
        <w:t xml:space="preserve"> demarcating size categories. Each amount</w:t>
      </w:r>
      <w:r w:rsidR="00EC1F49">
        <w:t xml:space="preserve"> is</w:t>
      </w:r>
      <w:r>
        <w:t xml:space="preserve"> indexed in accordance with section 9. </w:t>
      </w:r>
    </w:p>
    <w:p w14:paraId="46DABC0B" w14:textId="679F9CD4" w:rsidR="002B6249" w:rsidRDefault="00101D65" w:rsidP="00DF6D90">
      <w:r>
        <w:t xml:space="preserve">The reason </w:t>
      </w:r>
      <w:r w:rsidR="00A82F84">
        <w:t>$10</w:t>
      </w:r>
      <w:r w:rsidR="00E2010E">
        <w:t>7</w:t>
      </w:r>
      <w:r w:rsidR="00A82F84">
        <w:t xml:space="preserve"> </w:t>
      </w:r>
      <w:r w:rsidR="002B6249">
        <w:t xml:space="preserve">billion is </w:t>
      </w:r>
      <w:r w:rsidR="004D5E9B">
        <w:t>used</w:t>
      </w:r>
      <w:r w:rsidR="00A82F84">
        <w:t xml:space="preserve"> as a threshold</w:t>
      </w:r>
      <w:r w:rsidR="00602570">
        <w:t xml:space="preserve"> in th</w:t>
      </w:r>
      <w:r w:rsidR="00185B4C">
        <w:t>is</w:t>
      </w:r>
      <w:r w:rsidR="00602570">
        <w:t xml:space="preserve"> Determination</w:t>
      </w:r>
      <w:r w:rsidR="00A82F84">
        <w:t xml:space="preserve"> is because under the </w:t>
      </w:r>
      <w:r w:rsidR="00A82F84" w:rsidRPr="000A6A20">
        <w:rPr>
          <w:i/>
        </w:rPr>
        <w:t>Banking Executive Accountability Regime (Size of an Authorised Deposit-taking Institution) Determination 2018</w:t>
      </w:r>
      <w:r w:rsidR="00DF696B">
        <w:t xml:space="preserve">, </w:t>
      </w:r>
      <w:r w:rsidR="0087641C">
        <w:t>the ‘upper threshold’</w:t>
      </w:r>
      <w:r w:rsidR="009D30CE">
        <w:t xml:space="preserve"> </w:t>
      </w:r>
      <w:r w:rsidR="0087641C">
        <w:t>is $100 billion</w:t>
      </w:r>
      <w:r w:rsidR="00432435">
        <w:t xml:space="preserve">, </w:t>
      </w:r>
      <w:r w:rsidR="007227CB">
        <w:t>subject to the indexation provision in that instrument</w:t>
      </w:r>
      <w:r w:rsidR="0087641C">
        <w:t xml:space="preserve">. </w:t>
      </w:r>
      <w:r w:rsidR="007227CB">
        <w:t>The $100 billion threshold</w:t>
      </w:r>
      <w:r w:rsidR="0087641C">
        <w:t xml:space="preserve"> had</w:t>
      </w:r>
      <w:r w:rsidR="00FC0C04">
        <w:t xml:space="preserve"> been indexed on 1 January 2020, </w:t>
      </w:r>
      <w:r w:rsidR="00651C68">
        <w:t>raising</w:t>
      </w:r>
      <w:r w:rsidR="00FC0C04">
        <w:t xml:space="preserve"> it to $10</w:t>
      </w:r>
      <w:r w:rsidR="00E2010E">
        <w:t>7</w:t>
      </w:r>
      <w:r w:rsidR="00FC0C04">
        <w:t xml:space="preserve"> billion. </w:t>
      </w:r>
      <w:r w:rsidR="00F23218">
        <w:t>This</w:t>
      </w:r>
      <w:r w:rsidR="007D3DE1">
        <w:t xml:space="preserve"> Determination</w:t>
      </w:r>
      <w:r w:rsidR="00BA55C1">
        <w:t xml:space="preserve"> </w:t>
      </w:r>
      <w:r w:rsidR="00903276">
        <w:t xml:space="preserve">retains </w:t>
      </w:r>
      <w:r w:rsidR="00C92A99">
        <w:t xml:space="preserve">this new threshold, and </w:t>
      </w:r>
      <w:r w:rsidR="00071568">
        <w:t xml:space="preserve">makes </w:t>
      </w:r>
      <w:r w:rsidR="001D03E3">
        <w:t>$10</w:t>
      </w:r>
      <w:r w:rsidR="00E2010E">
        <w:t>7</w:t>
      </w:r>
      <w:r w:rsidR="001D03E3">
        <w:t xml:space="preserve"> billion the new baseline </w:t>
      </w:r>
      <w:r w:rsidR="00714A5E">
        <w:t>from</w:t>
      </w:r>
      <w:r w:rsidR="00071568">
        <w:t xml:space="preserve"> which indexation</w:t>
      </w:r>
      <w:r w:rsidR="007A6AB0">
        <w:t xml:space="preserve"> </w:t>
      </w:r>
      <w:r w:rsidR="00854046">
        <w:t>in</w:t>
      </w:r>
      <w:r w:rsidR="00A81FAC">
        <w:t xml:space="preserve"> accordance with section 9</w:t>
      </w:r>
      <w:r w:rsidR="00A03BD5">
        <w:t xml:space="preserve"> is calculated</w:t>
      </w:r>
      <w:r w:rsidR="00071568">
        <w:t xml:space="preserve">. </w:t>
      </w:r>
    </w:p>
    <w:p w14:paraId="5989EE3C" w14:textId="334607EC" w:rsidR="00670575" w:rsidRDefault="00AD1907" w:rsidP="00DF6D90">
      <w:r>
        <w:t xml:space="preserve">The size of an ADI is </w:t>
      </w:r>
      <w:r w:rsidR="005A3884">
        <w:t>calculated on the first day of each financial year.</w:t>
      </w:r>
      <w:r w:rsidR="0060009D">
        <w:t xml:space="preserve"> </w:t>
      </w:r>
      <w:r w:rsidR="00D86362">
        <w:t xml:space="preserve">The </w:t>
      </w:r>
      <w:r w:rsidR="0069408F">
        <w:t xml:space="preserve">size </w:t>
      </w:r>
      <w:r w:rsidR="00D86362">
        <w:t xml:space="preserve">category </w:t>
      </w:r>
      <w:r w:rsidR="0060009D">
        <w:t xml:space="preserve">will then </w:t>
      </w:r>
      <w:r w:rsidR="00D86362">
        <w:t xml:space="preserve">apply </w:t>
      </w:r>
      <w:r w:rsidR="0060009D">
        <w:t>to t</w:t>
      </w:r>
      <w:r w:rsidR="000C2A8F">
        <w:t xml:space="preserve">hat ADI for the duration of </w:t>
      </w:r>
      <w:r w:rsidR="008B4C84">
        <w:t xml:space="preserve">that </w:t>
      </w:r>
      <w:r w:rsidR="0060009D">
        <w:t>financial year</w:t>
      </w:r>
      <w:r w:rsidR="00C36B0F">
        <w:t>.</w:t>
      </w:r>
      <w:r w:rsidR="00F94F65">
        <w:t xml:space="preserve"> </w:t>
      </w:r>
      <w:r w:rsidR="00974416">
        <w:t xml:space="preserve">Due to the fact that a final report is lodged in the year following the year </w:t>
      </w:r>
      <w:r w:rsidR="003A00ED">
        <w:t>to which the report relates</w:t>
      </w:r>
      <w:r w:rsidR="00974416">
        <w:t>, t</w:t>
      </w:r>
      <w:r w:rsidR="007A7CAC">
        <w:t xml:space="preserve">here is a </w:t>
      </w:r>
      <w:r w:rsidR="006C2071">
        <w:t xml:space="preserve">lag </w:t>
      </w:r>
      <w:r w:rsidR="007A7CAC">
        <w:t xml:space="preserve">between the financial year </w:t>
      </w:r>
      <w:r w:rsidR="000518BE">
        <w:t>that</w:t>
      </w:r>
      <w:r w:rsidR="007A7CAC">
        <w:t xml:space="preserve"> a final report covers</w:t>
      </w:r>
      <w:r w:rsidR="000518BE">
        <w:t xml:space="preserve">, and the financial year </w:t>
      </w:r>
      <w:r w:rsidR="006B2E97">
        <w:t>to</w:t>
      </w:r>
      <w:r w:rsidR="008574E0">
        <w:t xml:space="preserve"> which a </w:t>
      </w:r>
      <w:r w:rsidR="009D0038">
        <w:t>designation of size</w:t>
      </w:r>
      <w:r w:rsidR="00AF1708">
        <w:t xml:space="preserve"> based </w:t>
      </w:r>
      <w:r w:rsidR="00202E77">
        <w:t>on that final report</w:t>
      </w:r>
      <w:r w:rsidR="00AF1708">
        <w:t>, and any previous final reports,</w:t>
      </w:r>
      <w:r w:rsidR="00202E77">
        <w:t xml:space="preserve"> applies.</w:t>
      </w:r>
    </w:p>
    <w:p w14:paraId="047F8FB3" w14:textId="09771612" w:rsidR="00253DB2" w:rsidRPr="0058047C" w:rsidRDefault="00253DB2" w:rsidP="00D24F18">
      <w:r w:rsidRPr="0058047C">
        <w:rPr>
          <w:rStyle w:val="Referencingstyle"/>
        </w:rPr>
        <w:t>[</w:t>
      </w:r>
      <w:r w:rsidR="00702EC0" w:rsidRPr="0058047C">
        <w:rPr>
          <w:rStyle w:val="Referencingstyle"/>
        </w:rPr>
        <w:t>Subsections 6</w:t>
      </w:r>
      <w:r w:rsidR="00706AED" w:rsidRPr="0058047C">
        <w:rPr>
          <w:rStyle w:val="Referencingstyle"/>
        </w:rPr>
        <w:t>(2</w:t>
      </w:r>
      <w:r w:rsidRPr="0058047C">
        <w:rPr>
          <w:rStyle w:val="Referencingstyle"/>
        </w:rPr>
        <w:t>)</w:t>
      </w:r>
      <w:r w:rsidR="008001DB" w:rsidRPr="0058047C">
        <w:rPr>
          <w:rStyle w:val="Referencingstyle"/>
        </w:rPr>
        <w:t xml:space="preserve"> to</w:t>
      </w:r>
      <w:r w:rsidRPr="0058047C">
        <w:rPr>
          <w:rStyle w:val="Referencingstyle"/>
        </w:rPr>
        <w:t xml:space="preserve"> (</w:t>
      </w:r>
      <w:r w:rsidR="001B517D">
        <w:rPr>
          <w:rStyle w:val="Referencingstyle"/>
        </w:rPr>
        <w:t>5</w:t>
      </w:r>
      <w:r w:rsidRPr="0058047C">
        <w:rPr>
          <w:rStyle w:val="Referencingstyle"/>
        </w:rPr>
        <w:t>) – Size of an ADI]</w:t>
      </w:r>
    </w:p>
    <w:p w14:paraId="7F7039ED" w14:textId="77777777" w:rsidR="00296443" w:rsidRDefault="002E0F14" w:rsidP="00E45AEF">
      <w:r w:rsidRPr="0058047C">
        <w:t xml:space="preserve">Some ADIs have submitted, or currently submit, reports to APRA under </w:t>
      </w:r>
      <w:r w:rsidR="00D84760">
        <w:t xml:space="preserve">Reporting Standard </w:t>
      </w:r>
      <w:r w:rsidRPr="0058047C">
        <w:t xml:space="preserve">ARS 720.0 and either </w:t>
      </w:r>
      <w:r w:rsidR="00D84760">
        <w:t xml:space="preserve">Reporting Standard </w:t>
      </w:r>
      <w:r w:rsidRPr="0058047C">
        <w:t xml:space="preserve">ARS 320.0 or </w:t>
      </w:r>
      <w:r w:rsidR="00D84760">
        <w:t xml:space="preserve">Reporting Standard </w:t>
      </w:r>
      <w:r w:rsidRPr="0058047C">
        <w:t xml:space="preserve">ARS 323.0 in the same financial year. </w:t>
      </w:r>
    </w:p>
    <w:p w14:paraId="50E36B09" w14:textId="78BA43CE" w:rsidR="002E0F14" w:rsidRPr="0058047C" w:rsidRDefault="00AF2E92" w:rsidP="00E45AEF">
      <w:r>
        <w:lastRenderedPageBreak/>
        <w:t>If</w:t>
      </w:r>
      <w:r w:rsidR="00296443">
        <w:t xml:space="preserve"> an ADI has submitted final reports for a financial year ending on or before 30 June 2019 under both Reporting Standard ARS 720.0 and Reporting Standard ARS 320.0, the total resident assets value reported under Reporting Standard ARS 320.0 is used. </w:t>
      </w:r>
      <w:r>
        <w:t>If</w:t>
      </w:r>
      <w:r w:rsidR="00296443">
        <w:t xml:space="preserve"> an ADI has submitted final reports for a financial year ending after 30 June 2019 under </w:t>
      </w:r>
      <w:r w:rsidR="00572D9A">
        <w:t xml:space="preserve">both </w:t>
      </w:r>
      <w:r w:rsidR="00296443">
        <w:t xml:space="preserve">Reporting Standard ARS 720.0 and </w:t>
      </w:r>
      <w:r w:rsidR="00163770">
        <w:t xml:space="preserve">Reporting Standard </w:t>
      </w:r>
      <w:r w:rsidR="00296443">
        <w:t>ARS 323.0, the total resident assets value reported under Reporting Standard 720.0 is used.</w:t>
      </w:r>
      <w:r w:rsidR="00971C35">
        <w:t xml:space="preserve"> </w:t>
      </w:r>
      <w:r w:rsidR="00852A28">
        <w:t>For ADIs that only report under Reporting Standard ARS 323.0</w:t>
      </w:r>
      <w:r w:rsidR="006B5089">
        <w:t xml:space="preserve"> after 30 June 2019</w:t>
      </w:r>
      <w:r w:rsidR="00852A28">
        <w:t>, the tot</w:t>
      </w:r>
      <w:r w:rsidR="00E90DF7">
        <w:t xml:space="preserve">al resident </w:t>
      </w:r>
      <w:r w:rsidR="00E455B0">
        <w:t xml:space="preserve">assets value reported under that </w:t>
      </w:r>
      <w:r w:rsidR="00E90DF7">
        <w:t>Reporting Standard is used.</w:t>
      </w:r>
    </w:p>
    <w:p w14:paraId="3994A674" w14:textId="28EB6232" w:rsidR="002E0F14" w:rsidRDefault="002E0F14" w:rsidP="00E45AEF">
      <w:r w:rsidRPr="00CA5A50">
        <w:rPr>
          <w:rStyle w:val="Referencingstyle"/>
        </w:rPr>
        <w:t>[Subsection</w:t>
      </w:r>
      <w:r w:rsidR="001B517D">
        <w:rPr>
          <w:rStyle w:val="Referencingstyle"/>
        </w:rPr>
        <w:t xml:space="preserve"> 6(6</w:t>
      </w:r>
      <w:r w:rsidR="00296443">
        <w:rPr>
          <w:rStyle w:val="Referencingstyle"/>
        </w:rPr>
        <w:t>)</w:t>
      </w:r>
      <w:r w:rsidR="001B517D">
        <w:rPr>
          <w:rStyle w:val="Referencingstyle"/>
        </w:rPr>
        <w:t xml:space="preserve"> </w:t>
      </w:r>
      <w:r w:rsidR="001B517D" w:rsidRPr="0058047C">
        <w:rPr>
          <w:rStyle w:val="Referencingstyle"/>
        </w:rPr>
        <w:t>– Size of an AD</w:t>
      </w:r>
      <w:r w:rsidR="001B517D">
        <w:rPr>
          <w:rStyle w:val="Referencingstyle"/>
        </w:rPr>
        <w:t>I</w:t>
      </w:r>
      <w:r w:rsidRPr="00CA5A50">
        <w:rPr>
          <w:rStyle w:val="Referencingstyle"/>
        </w:rPr>
        <w:t>]</w:t>
      </w:r>
    </w:p>
    <w:p w14:paraId="1FC596A2" w14:textId="54E81133" w:rsidR="00670575" w:rsidRDefault="00E45AEF" w:rsidP="00E45AEF">
      <w:r>
        <w:t xml:space="preserve">The methodology takes into account the fact that </w:t>
      </w:r>
      <w:r w:rsidR="00D86362">
        <w:t xml:space="preserve">an </w:t>
      </w:r>
      <w:r>
        <w:t xml:space="preserve">ADI can have </w:t>
      </w:r>
      <w:r w:rsidR="006C2071">
        <w:t xml:space="preserve">its </w:t>
      </w:r>
      <w:r>
        <w:t>own financial year</w:t>
      </w:r>
      <w:r w:rsidR="00FE3EE8">
        <w:t xml:space="preserve"> under the </w:t>
      </w:r>
      <w:r w:rsidR="00FE3EE8">
        <w:rPr>
          <w:i/>
        </w:rPr>
        <w:t>Corporations Act 2001</w:t>
      </w:r>
      <w:r w:rsidR="001355F6">
        <w:rPr>
          <w:i/>
        </w:rPr>
        <w:t xml:space="preserve"> </w:t>
      </w:r>
      <w:r w:rsidR="001355F6">
        <w:t>(section 323D)</w:t>
      </w:r>
      <w:r w:rsidR="00FE3EE8">
        <w:t>, and this could differ from the standard financial year</w:t>
      </w:r>
      <w:r>
        <w:t>. Being able to use its own financial year minimises the regulatory burden on an ADI and ties in with its existing reporting obligations to APRA</w:t>
      </w:r>
      <w:r w:rsidR="000A701D">
        <w:t>.</w:t>
      </w:r>
      <w:r w:rsidRPr="00331912">
        <w:t xml:space="preserve"> </w:t>
      </w:r>
    </w:p>
    <w:p w14:paraId="3C588737" w14:textId="6CE3879E" w:rsidR="000860AF" w:rsidRDefault="00756877" w:rsidP="00DF6D90">
      <w:pPr>
        <w:pStyle w:val="ExampleHeading"/>
        <w:ind w:left="0"/>
        <w:rPr>
          <w:rFonts w:ascii="Times New Roman" w:hAnsi="Times New Roman"/>
          <w:sz w:val="24"/>
          <w:szCs w:val="24"/>
        </w:rPr>
      </w:pPr>
      <w:r w:rsidRPr="005020DA">
        <w:rPr>
          <w:rFonts w:ascii="Times New Roman" w:hAnsi="Times New Roman"/>
          <w:sz w:val="24"/>
          <w:szCs w:val="24"/>
        </w:rPr>
        <w:t>Example 1</w:t>
      </w:r>
      <w:r w:rsidR="00721DCC">
        <w:rPr>
          <w:rFonts w:ascii="Times New Roman" w:hAnsi="Times New Roman"/>
          <w:sz w:val="24"/>
          <w:szCs w:val="24"/>
        </w:rPr>
        <w:t xml:space="preserve"> – two-year average</w:t>
      </w:r>
    </w:p>
    <w:p w14:paraId="5E79C492" w14:textId="77777777" w:rsidR="000860AF" w:rsidRDefault="000860AF" w:rsidP="00DF6D90">
      <w:pPr>
        <w:pStyle w:val="ExampleHeading"/>
        <w:ind w:left="0"/>
        <w:rPr>
          <w:rFonts w:ascii="Times New Roman" w:hAnsi="Times New Roman"/>
          <w:b w:val="0"/>
          <w:sz w:val="24"/>
          <w:szCs w:val="24"/>
        </w:rPr>
      </w:pPr>
      <w:r>
        <w:rPr>
          <w:rFonts w:ascii="Times New Roman" w:hAnsi="Times New Roman"/>
          <w:b w:val="0"/>
          <w:sz w:val="24"/>
          <w:szCs w:val="24"/>
        </w:rPr>
        <w:t>It is currently financial year 2020–2021 for an ADI.</w:t>
      </w:r>
    </w:p>
    <w:p w14:paraId="67EFE539" w14:textId="04A8E892" w:rsidR="00B104D2" w:rsidRDefault="000860AF" w:rsidP="00DF6D90">
      <w:pPr>
        <w:pStyle w:val="ExampleHeading"/>
        <w:ind w:left="0"/>
        <w:rPr>
          <w:rFonts w:ascii="Times New Roman" w:hAnsi="Times New Roman"/>
          <w:b w:val="0"/>
          <w:sz w:val="24"/>
          <w:szCs w:val="24"/>
        </w:rPr>
      </w:pPr>
      <w:r>
        <w:rPr>
          <w:rFonts w:ascii="Times New Roman" w:hAnsi="Times New Roman"/>
          <w:b w:val="0"/>
          <w:sz w:val="24"/>
          <w:szCs w:val="24"/>
        </w:rPr>
        <w:t>This ADI has submitted a final report for financial year 201</w:t>
      </w:r>
      <w:r w:rsidR="00932CC2">
        <w:rPr>
          <w:rFonts w:ascii="Times New Roman" w:hAnsi="Times New Roman"/>
          <w:b w:val="0"/>
          <w:sz w:val="24"/>
          <w:szCs w:val="24"/>
        </w:rPr>
        <w:t>8</w:t>
      </w:r>
      <w:r>
        <w:rPr>
          <w:rFonts w:ascii="Times New Roman" w:hAnsi="Times New Roman"/>
          <w:b w:val="0"/>
          <w:sz w:val="24"/>
          <w:szCs w:val="24"/>
        </w:rPr>
        <w:t>–</w:t>
      </w:r>
      <w:r w:rsidR="00932CC2">
        <w:rPr>
          <w:rFonts w:ascii="Times New Roman" w:hAnsi="Times New Roman"/>
          <w:b w:val="0"/>
          <w:sz w:val="24"/>
          <w:szCs w:val="24"/>
        </w:rPr>
        <w:t>19</w:t>
      </w:r>
      <w:r>
        <w:rPr>
          <w:rFonts w:ascii="Times New Roman" w:hAnsi="Times New Roman"/>
          <w:b w:val="0"/>
          <w:sz w:val="24"/>
          <w:szCs w:val="24"/>
        </w:rPr>
        <w:t>, and a final report for financial year 201</w:t>
      </w:r>
      <w:r w:rsidR="00932CC2">
        <w:rPr>
          <w:rFonts w:ascii="Times New Roman" w:hAnsi="Times New Roman"/>
          <w:b w:val="0"/>
          <w:sz w:val="24"/>
          <w:szCs w:val="24"/>
        </w:rPr>
        <w:t>7</w:t>
      </w:r>
      <w:r>
        <w:rPr>
          <w:rFonts w:ascii="Times New Roman" w:hAnsi="Times New Roman"/>
          <w:b w:val="0"/>
          <w:sz w:val="24"/>
          <w:szCs w:val="24"/>
        </w:rPr>
        <w:t>–1</w:t>
      </w:r>
      <w:r w:rsidR="00932CC2">
        <w:rPr>
          <w:rFonts w:ascii="Times New Roman" w:hAnsi="Times New Roman"/>
          <w:b w:val="0"/>
          <w:sz w:val="24"/>
          <w:szCs w:val="24"/>
        </w:rPr>
        <w:t>8</w:t>
      </w:r>
      <w:r>
        <w:rPr>
          <w:rFonts w:ascii="Times New Roman" w:hAnsi="Times New Roman"/>
          <w:b w:val="0"/>
          <w:sz w:val="24"/>
          <w:szCs w:val="24"/>
        </w:rPr>
        <w:t xml:space="preserve">. </w:t>
      </w:r>
    </w:p>
    <w:p w14:paraId="0C1CC6D7" w14:textId="12A5421B" w:rsidR="00B104D2" w:rsidRDefault="00B104D2" w:rsidP="00DF6D90">
      <w:pPr>
        <w:pStyle w:val="ExampleHeading"/>
        <w:ind w:left="0"/>
        <w:rPr>
          <w:rFonts w:ascii="Times New Roman" w:hAnsi="Times New Roman"/>
          <w:b w:val="0"/>
          <w:sz w:val="24"/>
          <w:szCs w:val="24"/>
        </w:rPr>
      </w:pPr>
      <w:r>
        <w:rPr>
          <w:rFonts w:ascii="Times New Roman" w:hAnsi="Times New Roman"/>
          <w:b w:val="0"/>
          <w:sz w:val="24"/>
          <w:szCs w:val="24"/>
        </w:rPr>
        <w:t>In the final report for financial year 201</w:t>
      </w:r>
      <w:r w:rsidR="00932CC2">
        <w:rPr>
          <w:rFonts w:ascii="Times New Roman" w:hAnsi="Times New Roman"/>
          <w:b w:val="0"/>
          <w:sz w:val="24"/>
          <w:szCs w:val="24"/>
        </w:rPr>
        <w:t>8</w:t>
      </w:r>
      <w:r>
        <w:rPr>
          <w:rFonts w:ascii="Times New Roman" w:hAnsi="Times New Roman"/>
          <w:b w:val="0"/>
          <w:sz w:val="24"/>
          <w:szCs w:val="24"/>
        </w:rPr>
        <w:t>–</w:t>
      </w:r>
      <w:r w:rsidR="00932CC2">
        <w:rPr>
          <w:rFonts w:ascii="Times New Roman" w:hAnsi="Times New Roman"/>
          <w:b w:val="0"/>
          <w:sz w:val="24"/>
          <w:szCs w:val="24"/>
        </w:rPr>
        <w:t>19</w:t>
      </w:r>
      <w:r>
        <w:rPr>
          <w:rFonts w:ascii="Times New Roman" w:hAnsi="Times New Roman"/>
          <w:b w:val="0"/>
          <w:sz w:val="24"/>
          <w:szCs w:val="24"/>
        </w:rPr>
        <w:t>, the total resident assets value reported is $22 billion, while in the final report for financial year 20</w:t>
      </w:r>
      <w:r w:rsidR="00932CC2">
        <w:rPr>
          <w:rFonts w:ascii="Times New Roman" w:hAnsi="Times New Roman"/>
          <w:b w:val="0"/>
          <w:sz w:val="24"/>
          <w:szCs w:val="24"/>
        </w:rPr>
        <w:t>17</w:t>
      </w:r>
      <w:r>
        <w:rPr>
          <w:rFonts w:ascii="Times New Roman" w:hAnsi="Times New Roman"/>
          <w:b w:val="0"/>
          <w:sz w:val="24"/>
          <w:szCs w:val="24"/>
        </w:rPr>
        <w:t>–</w:t>
      </w:r>
      <w:r w:rsidR="008A0DF9">
        <w:rPr>
          <w:rFonts w:ascii="Times New Roman" w:hAnsi="Times New Roman"/>
          <w:b w:val="0"/>
          <w:sz w:val="24"/>
          <w:szCs w:val="24"/>
        </w:rPr>
        <w:t>1</w:t>
      </w:r>
      <w:r w:rsidR="00932CC2">
        <w:rPr>
          <w:rFonts w:ascii="Times New Roman" w:hAnsi="Times New Roman"/>
          <w:b w:val="0"/>
          <w:sz w:val="24"/>
          <w:szCs w:val="24"/>
        </w:rPr>
        <w:t>8</w:t>
      </w:r>
      <w:r>
        <w:rPr>
          <w:rFonts w:ascii="Times New Roman" w:hAnsi="Times New Roman"/>
          <w:b w:val="0"/>
          <w:sz w:val="24"/>
          <w:szCs w:val="24"/>
        </w:rPr>
        <w:t>, the total resident assets value reported is $24 billion.</w:t>
      </w:r>
    </w:p>
    <w:p w14:paraId="0BCC2E28" w14:textId="4F2A60E4" w:rsidR="005020DA" w:rsidRPr="005020DA" w:rsidRDefault="006E55BE" w:rsidP="00DF6D90">
      <w:pPr>
        <w:pStyle w:val="ExampleHeading"/>
        <w:ind w:left="0"/>
      </w:pPr>
      <w:r>
        <w:rPr>
          <w:rFonts w:ascii="Times New Roman" w:hAnsi="Times New Roman"/>
          <w:b w:val="0"/>
          <w:sz w:val="24"/>
          <w:szCs w:val="24"/>
        </w:rPr>
        <w:t>Th</w:t>
      </w:r>
      <w:r w:rsidR="008A0DF9">
        <w:rPr>
          <w:rFonts w:ascii="Times New Roman" w:hAnsi="Times New Roman"/>
          <w:b w:val="0"/>
          <w:sz w:val="24"/>
          <w:szCs w:val="24"/>
        </w:rPr>
        <w:t>is</w:t>
      </w:r>
      <w:r>
        <w:rPr>
          <w:rFonts w:ascii="Times New Roman" w:hAnsi="Times New Roman"/>
          <w:b w:val="0"/>
          <w:sz w:val="24"/>
          <w:szCs w:val="24"/>
        </w:rPr>
        <w:t xml:space="preserve"> </w:t>
      </w:r>
      <w:r w:rsidR="008A0DF9">
        <w:rPr>
          <w:rFonts w:ascii="Times New Roman" w:hAnsi="Times New Roman"/>
          <w:b w:val="0"/>
          <w:sz w:val="24"/>
          <w:szCs w:val="24"/>
        </w:rPr>
        <w:t xml:space="preserve">ADI’s </w:t>
      </w:r>
      <w:r>
        <w:rPr>
          <w:rFonts w:ascii="Times New Roman" w:hAnsi="Times New Roman"/>
          <w:b w:val="0"/>
          <w:sz w:val="24"/>
          <w:szCs w:val="24"/>
        </w:rPr>
        <w:t xml:space="preserve">total asset size </w:t>
      </w:r>
      <w:r w:rsidR="003E1957">
        <w:rPr>
          <w:rFonts w:ascii="Times New Roman" w:hAnsi="Times New Roman"/>
          <w:b w:val="0"/>
          <w:sz w:val="24"/>
          <w:szCs w:val="24"/>
        </w:rPr>
        <w:t xml:space="preserve">is </w:t>
      </w:r>
      <w:r w:rsidR="00DC3365">
        <w:rPr>
          <w:rFonts w:ascii="Times New Roman" w:hAnsi="Times New Roman"/>
          <w:b w:val="0"/>
          <w:sz w:val="24"/>
          <w:szCs w:val="24"/>
        </w:rPr>
        <w:t xml:space="preserve">$23 billion, </w:t>
      </w:r>
      <w:r>
        <w:rPr>
          <w:rFonts w:ascii="Times New Roman" w:hAnsi="Times New Roman"/>
          <w:b w:val="0"/>
          <w:sz w:val="24"/>
          <w:szCs w:val="24"/>
        </w:rPr>
        <w:t>the average of these</w:t>
      </w:r>
      <w:r w:rsidR="008A0DF9">
        <w:rPr>
          <w:rFonts w:ascii="Times New Roman" w:hAnsi="Times New Roman"/>
          <w:b w:val="0"/>
          <w:sz w:val="24"/>
          <w:szCs w:val="24"/>
        </w:rPr>
        <w:t xml:space="preserve"> two</w:t>
      </w:r>
      <w:r>
        <w:rPr>
          <w:rFonts w:ascii="Times New Roman" w:hAnsi="Times New Roman"/>
          <w:b w:val="0"/>
          <w:sz w:val="24"/>
          <w:szCs w:val="24"/>
        </w:rPr>
        <w:t xml:space="preserve"> amounts:</w:t>
      </w:r>
    </w:p>
    <w:p w14:paraId="249FB187" w14:textId="1CB8BD7F" w:rsidR="006E55BE" w:rsidRPr="005020DA" w:rsidRDefault="00915995" w:rsidP="006E55BE">
      <w:pPr>
        <w:pStyle w:val="Bullet"/>
        <w:numPr>
          <w:ilvl w:val="0"/>
          <w:numId w:val="0"/>
        </w:numPr>
        <w:ind w:left="1134" w:hanging="567"/>
        <w:rPr>
          <w:rFonts w:ascii="Cambria Math" w:hAnsi="Cambria Math"/>
          <w:szCs w:val="24"/>
        </w:rPr>
      </w:pPr>
      <m:oMath>
        <m:f>
          <m:fPr>
            <m:ctrlPr>
              <w:rPr>
                <w:rFonts w:ascii="Cambria Math" w:hAnsi="Cambria Math"/>
                <w:sz w:val="32"/>
                <w:szCs w:val="32"/>
              </w:rPr>
            </m:ctrlPr>
          </m:fPr>
          <m:num>
            <m:r>
              <m:rPr>
                <m:sty m:val="p"/>
              </m:rPr>
              <w:rPr>
                <w:rFonts w:ascii="Cambria Math" w:hAnsi="Cambria Math"/>
                <w:sz w:val="32"/>
                <w:szCs w:val="32"/>
              </w:rPr>
              <m:t xml:space="preserve">$22 billion+$24 billion </m:t>
            </m:r>
          </m:num>
          <m:den>
            <m:r>
              <m:rPr>
                <m:sty m:val="p"/>
              </m:rPr>
              <w:rPr>
                <w:rFonts w:ascii="Cambria Math" w:hAnsi="Cambria Math"/>
                <w:sz w:val="32"/>
                <w:szCs w:val="32"/>
              </w:rPr>
              <m:t>2</m:t>
            </m:r>
          </m:den>
        </m:f>
      </m:oMath>
      <w:r w:rsidR="006E55BE" w:rsidRPr="005020DA">
        <w:t xml:space="preserve"> </w:t>
      </w:r>
      <w:r w:rsidR="006E55BE" w:rsidRPr="005020DA">
        <w:rPr>
          <w:rFonts w:ascii="Cambria Math" w:hAnsi="Cambria Math"/>
          <w:szCs w:val="24"/>
        </w:rPr>
        <w:t>= $</w:t>
      </w:r>
      <w:r w:rsidR="00AC0C87">
        <w:rPr>
          <w:rFonts w:ascii="Cambria Math" w:hAnsi="Cambria Math"/>
          <w:szCs w:val="24"/>
        </w:rPr>
        <w:t>23</w:t>
      </w:r>
      <w:r w:rsidR="006E55BE" w:rsidRPr="005020DA">
        <w:rPr>
          <w:rFonts w:ascii="Cambria Math" w:hAnsi="Cambria Math"/>
          <w:szCs w:val="24"/>
        </w:rPr>
        <w:t xml:space="preserve"> billion</w:t>
      </w:r>
    </w:p>
    <w:p w14:paraId="313099DD" w14:textId="4F8E21F6" w:rsidR="00AC0C87" w:rsidRDefault="00DC3365" w:rsidP="005020DA">
      <w:pPr>
        <w:pStyle w:val="exampletext"/>
        <w:ind w:left="0"/>
        <w:rPr>
          <w:sz w:val="24"/>
          <w:szCs w:val="24"/>
        </w:rPr>
      </w:pPr>
      <w:r w:rsidRPr="00DF6D90">
        <w:rPr>
          <w:sz w:val="24"/>
          <w:szCs w:val="24"/>
        </w:rPr>
        <w:t>This ADI is therefore a medium ADI for the duration of financial year 2020–21.</w:t>
      </w:r>
    </w:p>
    <w:p w14:paraId="2F0300E4" w14:textId="71B1C179" w:rsidR="00C66473" w:rsidRPr="00DF6D90" w:rsidRDefault="00C66473" w:rsidP="005020DA">
      <w:pPr>
        <w:pStyle w:val="exampletext"/>
        <w:ind w:left="0"/>
        <w:rPr>
          <w:sz w:val="24"/>
          <w:szCs w:val="24"/>
        </w:rPr>
      </w:pPr>
      <w:r>
        <w:rPr>
          <w:sz w:val="24"/>
          <w:szCs w:val="24"/>
        </w:rPr>
        <w:t>Once this ADI has submitted a final report for financial year 2019–20, it would be able to recalculate its total asset size</w:t>
      </w:r>
      <w:r w:rsidR="00365252">
        <w:rPr>
          <w:sz w:val="24"/>
          <w:szCs w:val="24"/>
        </w:rPr>
        <w:t xml:space="preserve"> by taking the average of the three reported amounts</w:t>
      </w:r>
      <w:r w:rsidR="000B7DE8">
        <w:rPr>
          <w:sz w:val="24"/>
          <w:szCs w:val="24"/>
        </w:rPr>
        <w:t xml:space="preserve"> </w:t>
      </w:r>
      <w:r w:rsidR="00D86362">
        <w:rPr>
          <w:sz w:val="24"/>
          <w:szCs w:val="24"/>
        </w:rPr>
        <w:t>for</w:t>
      </w:r>
      <w:r w:rsidR="000B7DE8">
        <w:rPr>
          <w:sz w:val="24"/>
          <w:szCs w:val="24"/>
        </w:rPr>
        <w:t xml:space="preserve"> financial years 2019–20, 2018–19 and 2017–18</w:t>
      </w:r>
      <w:r w:rsidR="00A34743">
        <w:rPr>
          <w:sz w:val="24"/>
          <w:szCs w:val="24"/>
        </w:rPr>
        <w:t xml:space="preserve">. This </w:t>
      </w:r>
      <w:r w:rsidR="00A50EB8">
        <w:rPr>
          <w:sz w:val="24"/>
          <w:szCs w:val="24"/>
        </w:rPr>
        <w:t xml:space="preserve">average amount </w:t>
      </w:r>
      <w:r w:rsidR="00A34743">
        <w:rPr>
          <w:sz w:val="24"/>
          <w:szCs w:val="24"/>
        </w:rPr>
        <w:t xml:space="preserve">will </w:t>
      </w:r>
      <w:r>
        <w:rPr>
          <w:sz w:val="24"/>
          <w:szCs w:val="24"/>
        </w:rPr>
        <w:t>determine the size of this ADI for financial year 2021–22.</w:t>
      </w:r>
    </w:p>
    <w:p w14:paraId="2DCDF3BA" w14:textId="2E80CDB0" w:rsidR="00AC0C87" w:rsidRDefault="00AC0C87" w:rsidP="00DF6D90">
      <w:pPr>
        <w:pStyle w:val="ExampleHeading"/>
        <w:ind w:left="0"/>
        <w:rPr>
          <w:rFonts w:ascii="Times New Roman" w:hAnsi="Times New Roman"/>
          <w:sz w:val="24"/>
          <w:szCs w:val="24"/>
        </w:rPr>
      </w:pPr>
      <w:r w:rsidRPr="00DF6D90">
        <w:rPr>
          <w:rFonts w:ascii="Times New Roman" w:hAnsi="Times New Roman"/>
          <w:sz w:val="24"/>
          <w:szCs w:val="24"/>
        </w:rPr>
        <w:t>Example 2</w:t>
      </w:r>
      <w:r w:rsidR="00721DCC">
        <w:rPr>
          <w:rFonts w:ascii="Times New Roman" w:hAnsi="Times New Roman"/>
          <w:sz w:val="24"/>
          <w:szCs w:val="24"/>
        </w:rPr>
        <w:t xml:space="preserve"> – three-year average </w:t>
      </w:r>
    </w:p>
    <w:p w14:paraId="6B28BB37" w14:textId="77777777" w:rsidR="00AC0C87" w:rsidRDefault="00AC0C87" w:rsidP="00DF6D90">
      <w:pPr>
        <w:pStyle w:val="ExampleHeading"/>
        <w:ind w:left="0"/>
        <w:rPr>
          <w:rFonts w:ascii="Times New Roman" w:hAnsi="Times New Roman"/>
          <w:b w:val="0"/>
          <w:sz w:val="24"/>
          <w:szCs w:val="24"/>
        </w:rPr>
      </w:pPr>
      <w:r>
        <w:rPr>
          <w:rFonts w:ascii="Times New Roman" w:hAnsi="Times New Roman"/>
          <w:b w:val="0"/>
          <w:sz w:val="24"/>
          <w:szCs w:val="24"/>
        </w:rPr>
        <w:t>It is currently financial year 2020–2021 for an ADI.</w:t>
      </w:r>
    </w:p>
    <w:p w14:paraId="31BC4BFD" w14:textId="4B58429B" w:rsidR="008A0DF9" w:rsidRDefault="008B5B82" w:rsidP="00DF6D90">
      <w:pPr>
        <w:pStyle w:val="ExampleHeading"/>
        <w:ind w:left="0"/>
        <w:rPr>
          <w:rFonts w:ascii="Times New Roman" w:hAnsi="Times New Roman"/>
          <w:b w:val="0"/>
          <w:sz w:val="24"/>
          <w:szCs w:val="24"/>
        </w:rPr>
      </w:pPr>
      <w:r>
        <w:rPr>
          <w:rFonts w:ascii="Times New Roman" w:hAnsi="Times New Roman"/>
          <w:b w:val="0"/>
          <w:sz w:val="24"/>
          <w:szCs w:val="24"/>
        </w:rPr>
        <w:t>This ADI has submitted a final report for financial year 201</w:t>
      </w:r>
      <w:r w:rsidR="00932CC2">
        <w:rPr>
          <w:rFonts w:ascii="Times New Roman" w:hAnsi="Times New Roman"/>
          <w:b w:val="0"/>
          <w:sz w:val="24"/>
          <w:szCs w:val="24"/>
        </w:rPr>
        <w:t>8</w:t>
      </w:r>
      <w:r>
        <w:rPr>
          <w:rFonts w:ascii="Times New Roman" w:hAnsi="Times New Roman"/>
          <w:b w:val="0"/>
          <w:sz w:val="24"/>
          <w:szCs w:val="24"/>
        </w:rPr>
        <w:t>–</w:t>
      </w:r>
      <w:r w:rsidR="00932CC2">
        <w:rPr>
          <w:rFonts w:ascii="Times New Roman" w:hAnsi="Times New Roman"/>
          <w:b w:val="0"/>
          <w:sz w:val="24"/>
          <w:szCs w:val="24"/>
        </w:rPr>
        <w:t>19</w:t>
      </w:r>
      <w:r>
        <w:rPr>
          <w:rFonts w:ascii="Times New Roman" w:hAnsi="Times New Roman"/>
          <w:b w:val="0"/>
          <w:sz w:val="24"/>
          <w:szCs w:val="24"/>
        </w:rPr>
        <w:t>, a final report for financial year 201</w:t>
      </w:r>
      <w:r w:rsidR="00932CC2">
        <w:rPr>
          <w:rFonts w:ascii="Times New Roman" w:hAnsi="Times New Roman"/>
          <w:b w:val="0"/>
          <w:sz w:val="24"/>
          <w:szCs w:val="24"/>
        </w:rPr>
        <w:t>7</w:t>
      </w:r>
      <w:r>
        <w:rPr>
          <w:rFonts w:ascii="Times New Roman" w:hAnsi="Times New Roman"/>
          <w:b w:val="0"/>
          <w:sz w:val="24"/>
          <w:szCs w:val="24"/>
        </w:rPr>
        <w:t>–1</w:t>
      </w:r>
      <w:r w:rsidR="00932CC2">
        <w:rPr>
          <w:rFonts w:ascii="Times New Roman" w:hAnsi="Times New Roman"/>
          <w:b w:val="0"/>
          <w:sz w:val="24"/>
          <w:szCs w:val="24"/>
        </w:rPr>
        <w:t>8</w:t>
      </w:r>
      <w:r>
        <w:rPr>
          <w:rFonts w:ascii="Times New Roman" w:hAnsi="Times New Roman"/>
          <w:b w:val="0"/>
          <w:sz w:val="24"/>
          <w:szCs w:val="24"/>
        </w:rPr>
        <w:t xml:space="preserve"> and a final report for financial year 201</w:t>
      </w:r>
      <w:r w:rsidR="00932CC2">
        <w:rPr>
          <w:rFonts w:ascii="Times New Roman" w:hAnsi="Times New Roman"/>
          <w:b w:val="0"/>
          <w:sz w:val="24"/>
          <w:szCs w:val="24"/>
        </w:rPr>
        <w:t>6</w:t>
      </w:r>
      <w:r>
        <w:rPr>
          <w:rFonts w:ascii="Times New Roman" w:hAnsi="Times New Roman"/>
          <w:b w:val="0"/>
          <w:sz w:val="24"/>
          <w:szCs w:val="24"/>
        </w:rPr>
        <w:t>–1</w:t>
      </w:r>
      <w:r w:rsidR="00932CC2">
        <w:rPr>
          <w:rFonts w:ascii="Times New Roman" w:hAnsi="Times New Roman"/>
          <w:b w:val="0"/>
          <w:sz w:val="24"/>
          <w:szCs w:val="24"/>
        </w:rPr>
        <w:t>7</w:t>
      </w:r>
      <w:r>
        <w:rPr>
          <w:rFonts w:ascii="Times New Roman" w:hAnsi="Times New Roman"/>
          <w:b w:val="0"/>
          <w:sz w:val="24"/>
          <w:szCs w:val="24"/>
        </w:rPr>
        <w:t xml:space="preserve">. </w:t>
      </w:r>
    </w:p>
    <w:p w14:paraId="1FBBF74A" w14:textId="0B9DB102" w:rsidR="008A0DF9" w:rsidRDefault="008A0DF9" w:rsidP="008A0DF9">
      <w:pPr>
        <w:pStyle w:val="ExampleHeading"/>
        <w:ind w:left="0"/>
        <w:rPr>
          <w:rFonts w:ascii="Times New Roman" w:hAnsi="Times New Roman"/>
          <w:b w:val="0"/>
          <w:sz w:val="24"/>
          <w:szCs w:val="24"/>
        </w:rPr>
      </w:pPr>
      <w:r>
        <w:rPr>
          <w:rFonts w:ascii="Times New Roman" w:hAnsi="Times New Roman"/>
          <w:b w:val="0"/>
          <w:sz w:val="24"/>
          <w:szCs w:val="24"/>
        </w:rPr>
        <w:t>In the final report for financial year 201</w:t>
      </w:r>
      <w:r w:rsidR="00462659">
        <w:rPr>
          <w:rFonts w:ascii="Times New Roman" w:hAnsi="Times New Roman"/>
          <w:b w:val="0"/>
          <w:sz w:val="24"/>
          <w:szCs w:val="24"/>
        </w:rPr>
        <w:t>8</w:t>
      </w:r>
      <w:r>
        <w:rPr>
          <w:rFonts w:ascii="Times New Roman" w:hAnsi="Times New Roman"/>
          <w:b w:val="0"/>
          <w:sz w:val="24"/>
          <w:szCs w:val="24"/>
        </w:rPr>
        <w:t>–</w:t>
      </w:r>
      <w:r w:rsidR="00462659">
        <w:rPr>
          <w:rFonts w:ascii="Times New Roman" w:hAnsi="Times New Roman"/>
          <w:b w:val="0"/>
          <w:sz w:val="24"/>
          <w:szCs w:val="24"/>
        </w:rPr>
        <w:t>19</w:t>
      </w:r>
      <w:r>
        <w:rPr>
          <w:rFonts w:ascii="Times New Roman" w:hAnsi="Times New Roman"/>
          <w:b w:val="0"/>
          <w:sz w:val="24"/>
          <w:szCs w:val="24"/>
        </w:rPr>
        <w:t>, the total resident assets value reported is $8 billion, in the final report for financial year 201</w:t>
      </w:r>
      <w:r w:rsidR="00462659">
        <w:rPr>
          <w:rFonts w:ascii="Times New Roman" w:hAnsi="Times New Roman"/>
          <w:b w:val="0"/>
          <w:sz w:val="24"/>
          <w:szCs w:val="24"/>
        </w:rPr>
        <w:t>7</w:t>
      </w:r>
      <w:r>
        <w:rPr>
          <w:rFonts w:ascii="Times New Roman" w:hAnsi="Times New Roman"/>
          <w:b w:val="0"/>
          <w:sz w:val="24"/>
          <w:szCs w:val="24"/>
        </w:rPr>
        <w:t>–1</w:t>
      </w:r>
      <w:r w:rsidR="00462659">
        <w:rPr>
          <w:rFonts w:ascii="Times New Roman" w:hAnsi="Times New Roman"/>
          <w:b w:val="0"/>
          <w:sz w:val="24"/>
          <w:szCs w:val="24"/>
        </w:rPr>
        <w:t>8</w:t>
      </w:r>
      <w:r>
        <w:rPr>
          <w:rFonts w:ascii="Times New Roman" w:hAnsi="Times New Roman"/>
          <w:b w:val="0"/>
          <w:sz w:val="24"/>
          <w:szCs w:val="24"/>
        </w:rPr>
        <w:t>, the total resident assets value reported is $9 billion, and in the final report for financial year 201</w:t>
      </w:r>
      <w:r w:rsidR="00462659">
        <w:rPr>
          <w:rFonts w:ascii="Times New Roman" w:hAnsi="Times New Roman"/>
          <w:b w:val="0"/>
          <w:sz w:val="24"/>
          <w:szCs w:val="24"/>
        </w:rPr>
        <w:t>6</w:t>
      </w:r>
      <w:r>
        <w:rPr>
          <w:rFonts w:ascii="Times New Roman" w:hAnsi="Times New Roman"/>
          <w:b w:val="0"/>
          <w:sz w:val="24"/>
          <w:szCs w:val="24"/>
        </w:rPr>
        <w:t>–1</w:t>
      </w:r>
      <w:r w:rsidR="00462659">
        <w:rPr>
          <w:rFonts w:ascii="Times New Roman" w:hAnsi="Times New Roman"/>
          <w:b w:val="0"/>
          <w:sz w:val="24"/>
          <w:szCs w:val="24"/>
        </w:rPr>
        <w:t>7</w:t>
      </w:r>
      <w:r>
        <w:rPr>
          <w:rFonts w:ascii="Times New Roman" w:hAnsi="Times New Roman"/>
          <w:b w:val="0"/>
          <w:sz w:val="24"/>
          <w:szCs w:val="24"/>
        </w:rPr>
        <w:t>, the total resident assets value reported is $10 billion.</w:t>
      </w:r>
    </w:p>
    <w:p w14:paraId="4AF03BDE" w14:textId="0A316EF1" w:rsidR="008A0DF9" w:rsidRDefault="008A0DF9" w:rsidP="00DF6D90">
      <w:pPr>
        <w:pStyle w:val="exampletext"/>
        <w:ind w:left="0"/>
        <w:rPr>
          <w:sz w:val="24"/>
          <w:szCs w:val="24"/>
        </w:rPr>
      </w:pPr>
      <w:r w:rsidRPr="00DF6D90">
        <w:rPr>
          <w:sz w:val="24"/>
          <w:szCs w:val="24"/>
        </w:rPr>
        <w:t>Th</w:t>
      </w:r>
      <w:r>
        <w:rPr>
          <w:sz w:val="24"/>
          <w:szCs w:val="24"/>
        </w:rPr>
        <w:t>is</w:t>
      </w:r>
      <w:r w:rsidRPr="00DF6D90">
        <w:rPr>
          <w:sz w:val="24"/>
          <w:szCs w:val="24"/>
        </w:rPr>
        <w:t xml:space="preserve"> ADI’s </w:t>
      </w:r>
      <w:r>
        <w:rPr>
          <w:sz w:val="24"/>
          <w:szCs w:val="24"/>
        </w:rPr>
        <w:t xml:space="preserve">total asset size is therefore $9 billion, the average </w:t>
      </w:r>
      <w:r w:rsidR="00C40873">
        <w:rPr>
          <w:sz w:val="24"/>
          <w:szCs w:val="24"/>
        </w:rPr>
        <w:t xml:space="preserve">of </w:t>
      </w:r>
      <w:r>
        <w:rPr>
          <w:sz w:val="24"/>
          <w:szCs w:val="24"/>
        </w:rPr>
        <w:t>these three amounts:</w:t>
      </w:r>
    </w:p>
    <w:p w14:paraId="041AE4B5" w14:textId="70CAA3B0" w:rsidR="008A0DF9" w:rsidRPr="005020DA" w:rsidRDefault="00915995" w:rsidP="008A0DF9">
      <w:pPr>
        <w:pStyle w:val="Bullet"/>
        <w:numPr>
          <w:ilvl w:val="0"/>
          <w:numId w:val="0"/>
        </w:numPr>
        <w:ind w:left="1134" w:hanging="567"/>
        <w:rPr>
          <w:rFonts w:ascii="Cambria Math" w:hAnsi="Cambria Math"/>
          <w:szCs w:val="24"/>
        </w:rPr>
      </w:pPr>
      <m:oMath>
        <m:f>
          <m:fPr>
            <m:ctrlPr>
              <w:rPr>
                <w:rFonts w:ascii="Cambria Math" w:hAnsi="Cambria Math"/>
                <w:sz w:val="32"/>
                <w:szCs w:val="32"/>
              </w:rPr>
            </m:ctrlPr>
          </m:fPr>
          <m:num>
            <m:r>
              <m:rPr>
                <m:sty m:val="p"/>
              </m:rPr>
              <w:rPr>
                <w:rFonts w:ascii="Cambria Math" w:hAnsi="Cambria Math"/>
                <w:sz w:val="32"/>
                <w:szCs w:val="32"/>
              </w:rPr>
              <m:t xml:space="preserve">$8 billion+$9 billion+$10billion </m:t>
            </m:r>
          </m:num>
          <m:den>
            <m:r>
              <m:rPr>
                <m:sty m:val="p"/>
              </m:rPr>
              <w:rPr>
                <w:rFonts w:ascii="Cambria Math" w:hAnsi="Cambria Math"/>
                <w:sz w:val="32"/>
                <w:szCs w:val="32"/>
              </w:rPr>
              <m:t>3</m:t>
            </m:r>
          </m:den>
        </m:f>
      </m:oMath>
      <w:r w:rsidR="008A0DF9" w:rsidRPr="005020DA">
        <w:t xml:space="preserve"> </w:t>
      </w:r>
      <w:r w:rsidR="008A0DF9" w:rsidRPr="005020DA">
        <w:rPr>
          <w:rFonts w:ascii="Cambria Math" w:hAnsi="Cambria Math"/>
          <w:szCs w:val="24"/>
        </w:rPr>
        <w:t>= $</w:t>
      </w:r>
      <w:r w:rsidR="008A0DF9">
        <w:rPr>
          <w:rFonts w:ascii="Cambria Math" w:hAnsi="Cambria Math"/>
          <w:szCs w:val="24"/>
        </w:rPr>
        <w:t>9</w:t>
      </w:r>
      <w:r w:rsidR="008A0DF9" w:rsidRPr="005020DA">
        <w:rPr>
          <w:rFonts w:ascii="Cambria Math" w:hAnsi="Cambria Math"/>
          <w:szCs w:val="24"/>
        </w:rPr>
        <w:t xml:space="preserve"> billion</w:t>
      </w:r>
    </w:p>
    <w:p w14:paraId="02575CC2" w14:textId="33C86D6F" w:rsidR="008A0DF9" w:rsidRDefault="008A0DF9" w:rsidP="00DF6D90">
      <w:pPr>
        <w:pStyle w:val="exampletext"/>
        <w:ind w:left="0"/>
        <w:rPr>
          <w:sz w:val="24"/>
          <w:szCs w:val="24"/>
        </w:rPr>
      </w:pPr>
      <w:r>
        <w:rPr>
          <w:sz w:val="24"/>
          <w:szCs w:val="24"/>
        </w:rPr>
        <w:t>This ADI is therefore a small ADI for the duration of financial year 2020–21.</w:t>
      </w:r>
    </w:p>
    <w:p w14:paraId="2B1B1AC9" w14:textId="176205C9" w:rsidR="001560AA" w:rsidRDefault="00CF3140" w:rsidP="00DF6D90">
      <w:pPr>
        <w:pStyle w:val="exampletext"/>
        <w:ind w:left="0"/>
        <w:rPr>
          <w:sz w:val="24"/>
          <w:szCs w:val="24"/>
        </w:rPr>
      </w:pPr>
      <w:r>
        <w:rPr>
          <w:sz w:val="24"/>
          <w:szCs w:val="24"/>
        </w:rPr>
        <w:t>Once this ADI has submitted a final report for financial year 2019–20</w:t>
      </w:r>
      <w:r w:rsidR="00C974F4">
        <w:rPr>
          <w:sz w:val="24"/>
          <w:szCs w:val="24"/>
        </w:rPr>
        <w:t>,</w:t>
      </w:r>
      <w:r>
        <w:rPr>
          <w:sz w:val="24"/>
          <w:szCs w:val="24"/>
        </w:rPr>
        <w:t xml:space="preserve"> </w:t>
      </w:r>
      <w:r w:rsidR="00C974F4">
        <w:rPr>
          <w:sz w:val="24"/>
          <w:szCs w:val="24"/>
        </w:rPr>
        <w:t xml:space="preserve">it </w:t>
      </w:r>
      <w:r>
        <w:rPr>
          <w:sz w:val="24"/>
          <w:szCs w:val="24"/>
        </w:rPr>
        <w:t>would be able to recalculate its total asset size by taking the average of the three most recently reported amounts</w:t>
      </w:r>
      <w:r w:rsidR="000B7DE8">
        <w:rPr>
          <w:sz w:val="24"/>
          <w:szCs w:val="24"/>
        </w:rPr>
        <w:t xml:space="preserve"> from financial years 2019–20, 2018–19 and 2017–18</w:t>
      </w:r>
      <w:r>
        <w:rPr>
          <w:sz w:val="24"/>
          <w:szCs w:val="24"/>
        </w:rPr>
        <w:t>. This average amount will determine the size of this ADI for financial year 2021–22.</w:t>
      </w:r>
      <w:r w:rsidR="00FF0A65">
        <w:rPr>
          <w:sz w:val="24"/>
          <w:szCs w:val="24"/>
        </w:rPr>
        <w:t xml:space="preserve"> </w:t>
      </w:r>
    </w:p>
    <w:p w14:paraId="007081F0" w14:textId="55ACE9DC" w:rsidR="008A0DF9" w:rsidRDefault="00493EB8" w:rsidP="00DF6D90">
      <w:pPr>
        <w:pStyle w:val="exampletext"/>
        <w:ind w:left="0"/>
        <w:rPr>
          <w:b/>
          <w:sz w:val="24"/>
          <w:szCs w:val="24"/>
        </w:rPr>
      </w:pPr>
      <w:r>
        <w:rPr>
          <w:b/>
          <w:sz w:val="24"/>
          <w:szCs w:val="24"/>
        </w:rPr>
        <w:t>Example 3</w:t>
      </w:r>
      <w:r w:rsidR="00AD6BD8">
        <w:rPr>
          <w:b/>
          <w:sz w:val="24"/>
          <w:szCs w:val="24"/>
        </w:rPr>
        <w:t xml:space="preserve"> – new ADI </w:t>
      </w:r>
    </w:p>
    <w:p w14:paraId="3BE63261" w14:textId="3710B8AD" w:rsidR="00493EB8" w:rsidRDefault="00493EB8" w:rsidP="00DF6D90">
      <w:pPr>
        <w:pStyle w:val="exampletext"/>
        <w:ind w:left="0"/>
        <w:rPr>
          <w:sz w:val="24"/>
          <w:szCs w:val="24"/>
        </w:rPr>
      </w:pPr>
      <w:r>
        <w:rPr>
          <w:sz w:val="24"/>
          <w:szCs w:val="24"/>
        </w:rPr>
        <w:t>It is currently financial year 2020–2021 for an ADI.</w:t>
      </w:r>
    </w:p>
    <w:p w14:paraId="1789A416" w14:textId="7A33EC66" w:rsidR="00493EB8" w:rsidRDefault="00493EB8" w:rsidP="00DF6D90">
      <w:pPr>
        <w:pStyle w:val="exampletext"/>
        <w:ind w:left="0"/>
        <w:rPr>
          <w:sz w:val="24"/>
          <w:szCs w:val="24"/>
        </w:rPr>
      </w:pPr>
      <w:r>
        <w:rPr>
          <w:sz w:val="24"/>
          <w:szCs w:val="24"/>
        </w:rPr>
        <w:t xml:space="preserve">This ADI has not yet submitted any final reports because it is a newly formed ADI. It is taken to be a small ADI for the duration of financial year 2020–2021. </w:t>
      </w:r>
    </w:p>
    <w:p w14:paraId="4D432999" w14:textId="77777777" w:rsidR="00470126" w:rsidRDefault="00470126" w:rsidP="00470126">
      <w:pPr>
        <w:pStyle w:val="Heading4"/>
      </w:pPr>
      <w:r>
        <w:t xml:space="preserve">Section 7 </w:t>
      </w:r>
      <w:r w:rsidRPr="00424056">
        <w:t xml:space="preserve">– </w:t>
      </w:r>
      <w:r w:rsidRPr="00DA6C61">
        <w:t>Total resident assets value</w:t>
      </w:r>
    </w:p>
    <w:p w14:paraId="09724435" w14:textId="4A2744EA" w:rsidR="00E31CC8" w:rsidRDefault="00932CC2" w:rsidP="00D24F18">
      <w:r>
        <w:t xml:space="preserve">The total resident assets value is the </w:t>
      </w:r>
      <w:r w:rsidR="0000030A">
        <w:t>total asset</w:t>
      </w:r>
      <w:r w:rsidR="000460A0">
        <w:t>s</w:t>
      </w:r>
      <w:r w:rsidR="0000030A">
        <w:t xml:space="preserve"> amount in </w:t>
      </w:r>
      <w:r w:rsidR="002B37BA">
        <w:t>a</w:t>
      </w:r>
      <w:r w:rsidR="001A5680">
        <w:t xml:space="preserve"> </w:t>
      </w:r>
      <w:r w:rsidR="0000030A">
        <w:t xml:space="preserve">final report </w:t>
      </w:r>
      <w:r w:rsidR="00387AD3">
        <w:t xml:space="preserve">submitted </w:t>
      </w:r>
      <w:r w:rsidR="0000030A">
        <w:t xml:space="preserve">to APRA. </w:t>
      </w:r>
    </w:p>
    <w:p w14:paraId="5F613F7E" w14:textId="2EF19EBC" w:rsidR="004A0697" w:rsidRDefault="00460C47" w:rsidP="00DB73B2">
      <w:r>
        <w:t>For ADIs that are</w:t>
      </w:r>
      <w:r w:rsidR="00BA4978">
        <w:t xml:space="preserve"> </w:t>
      </w:r>
      <w:r w:rsidR="00DB73B2">
        <w:t xml:space="preserve">required to give information using forms </w:t>
      </w:r>
      <w:r w:rsidR="00302921">
        <w:t>under</w:t>
      </w:r>
      <w:r w:rsidR="00DB73B2">
        <w:t xml:space="preserve"> </w:t>
      </w:r>
      <w:r w:rsidR="00834A96">
        <w:t xml:space="preserve">Reporting Standard </w:t>
      </w:r>
      <w:r w:rsidR="00DB73B2">
        <w:t>ARS 720.0</w:t>
      </w:r>
      <w:r w:rsidR="004A0697">
        <w:t>:</w:t>
      </w:r>
    </w:p>
    <w:p w14:paraId="23531FBF" w14:textId="0E042B24" w:rsidR="004A0697" w:rsidRDefault="004A0697" w:rsidP="00975328">
      <w:pPr>
        <w:pStyle w:val="ListParagraph"/>
        <w:numPr>
          <w:ilvl w:val="0"/>
          <w:numId w:val="17"/>
        </w:numPr>
      </w:pPr>
      <w:r>
        <w:t>For</w:t>
      </w:r>
      <w:r w:rsidR="00460C47">
        <w:t xml:space="preserve"> </w:t>
      </w:r>
      <w:r>
        <w:t xml:space="preserve">ADIs submitting Form ARF 720.0A, </w:t>
      </w:r>
      <w:r w:rsidR="0000030A">
        <w:t xml:space="preserve">the </w:t>
      </w:r>
      <w:r w:rsidR="00192F62">
        <w:t>t</w:t>
      </w:r>
      <w:r w:rsidR="00805397">
        <w:t xml:space="preserve">otal </w:t>
      </w:r>
      <w:r w:rsidR="005A7A70">
        <w:t xml:space="preserve">resident </w:t>
      </w:r>
      <w:r w:rsidR="00192F62" w:rsidRPr="00192F62">
        <w:t>assets</w:t>
      </w:r>
      <w:r w:rsidR="0000030A">
        <w:t xml:space="preserve"> value</w:t>
      </w:r>
      <w:r w:rsidR="00192F62" w:rsidRPr="00D451CC">
        <w:t xml:space="preserve"> </w:t>
      </w:r>
      <w:r w:rsidR="001E6BB4">
        <w:t>is worked out by taking the amount reported in Section A, item 13</w:t>
      </w:r>
      <w:r w:rsidR="00DB73B2">
        <w:t xml:space="preserve"> </w:t>
      </w:r>
      <w:r w:rsidR="001E6BB4">
        <w:t>T</w:t>
      </w:r>
      <w:r w:rsidR="00DB73B2">
        <w:t>otal assets including intra</w:t>
      </w:r>
      <w:r w:rsidR="001E6BB4">
        <w:t>-</w:t>
      </w:r>
      <w:r w:rsidR="00DB73B2">
        <w:t>group</w:t>
      </w:r>
      <w:r w:rsidR="001E6BB4">
        <w:t xml:space="preserve"> assets</w:t>
      </w:r>
      <w:r w:rsidR="00B251A3">
        <w:t xml:space="preserve">, and then </w:t>
      </w:r>
      <w:r w:rsidR="00567747">
        <w:t>subtract</w:t>
      </w:r>
      <w:r w:rsidR="00B251A3">
        <w:t>ing</w:t>
      </w:r>
      <w:r w:rsidR="00DB73B2">
        <w:t xml:space="preserve"> assets due </w:t>
      </w:r>
      <w:r w:rsidR="0081358D">
        <w:t>from</w:t>
      </w:r>
      <w:r w:rsidR="00DB73B2">
        <w:t xml:space="preserve"> non-residents (items 11.1 and 12.1)</w:t>
      </w:r>
      <w:r>
        <w:t xml:space="preserve">; </w:t>
      </w:r>
      <w:r w:rsidR="00356B90">
        <w:t>and</w:t>
      </w:r>
      <w:r w:rsidR="00DB73B2">
        <w:t xml:space="preserve"> </w:t>
      </w:r>
    </w:p>
    <w:p w14:paraId="01B550BD" w14:textId="50F7C591" w:rsidR="002E0F62" w:rsidRDefault="008E323D" w:rsidP="00975328">
      <w:pPr>
        <w:pStyle w:val="ListParagraph"/>
        <w:numPr>
          <w:ilvl w:val="0"/>
          <w:numId w:val="17"/>
        </w:numPr>
      </w:pPr>
      <w:r>
        <w:t xml:space="preserve">For </w:t>
      </w:r>
      <w:r w:rsidR="004A0697">
        <w:t xml:space="preserve">ADIs submitting </w:t>
      </w:r>
      <w:r>
        <w:t>Form</w:t>
      </w:r>
      <w:r w:rsidR="00F31F40">
        <w:t xml:space="preserve"> ARF 720.0B, the </w:t>
      </w:r>
      <w:r w:rsidR="008713CB">
        <w:t>t</w:t>
      </w:r>
      <w:r w:rsidR="00876D3A">
        <w:t>otal res</w:t>
      </w:r>
      <w:r w:rsidR="008713CB">
        <w:t xml:space="preserve">ident assets </w:t>
      </w:r>
      <w:r w:rsidR="00876D3A">
        <w:t xml:space="preserve">value </w:t>
      </w:r>
      <w:r w:rsidR="00406FC6">
        <w:t>is the amount reported in</w:t>
      </w:r>
      <w:r w:rsidR="00F31F40">
        <w:t xml:space="preserve"> Section A, item 13 Total assets including intra-group assets.</w:t>
      </w:r>
      <w:r>
        <w:t xml:space="preserve"> </w:t>
      </w:r>
    </w:p>
    <w:p w14:paraId="2563DB2D" w14:textId="5D3DDD70" w:rsidR="00B33BFE" w:rsidRDefault="00A1231C" w:rsidP="00B33BFE">
      <w:r w:rsidRPr="00BD4C1F">
        <w:t xml:space="preserve">ADIs </w:t>
      </w:r>
      <w:r w:rsidR="00100441">
        <w:t>are required to use</w:t>
      </w:r>
      <w:r w:rsidRPr="00BD4C1F">
        <w:t xml:space="preserve"> f</w:t>
      </w:r>
      <w:r w:rsidR="000421FB" w:rsidRPr="00BD4C1F">
        <w:t xml:space="preserve">inal reports </w:t>
      </w:r>
      <w:r w:rsidR="007252C6" w:rsidRPr="00BD4C1F">
        <w:t xml:space="preserve">submitted </w:t>
      </w:r>
      <w:r w:rsidR="000421FB" w:rsidRPr="00BD4C1F">
        <w:t xml:space="preserve">under </w:t>
      </w:r>
      <w:r w:rsidR="00186B3A">
        <w:t xml:space="preserve">Reporting Standard </w:t>
      </w:r>
      <w:r w:rsidR="000421FB" w:rsidRPr="00BD4C1F">
        <w:t>ARS 720.0</w:t>
      </w:r>
      <w:r w:rsidRPr="00BD4C1F">
        <w:t xml:space="preserve"> for financial years ending after 30 June 2019</w:t>
      </w:r>
      <w:r w:rsidR="000421FB" w:rsidRPr="00BD4C1F">
        <w:t xml:space="preserve"> </w:t>
      </w:r>
      <w:r w:rsidR="008524D9" w:rsidRPr="00BD4C1F">
        <w:t>for the purpose of the calc</w:t>
      </w:r>
      <w:r w:rsidR="007252C6" w:rsidRPr="00BD4C1F">
        <w:t>ula</w:t>
      </w:r>
      <w:r w:rsidR="008524D9" w:rsidRPr="00BD4C1F">
        <w:t>tions</w:t>
      </w:r>
      <w:r w:rsidRPr="00BD4C1F">
        <w:t>.</w:t>
      </w:r>
      <w:r w:rsidR="008524D9" w:rsidRPr="00BD4C1F">
        <w:t xml:space="preserve"> </w:t>
      </w:r>
      <w:r w:rsidR="00556A23">
        <w:t xml:space="preserve">However, </w:t>
      </w:r>
      <w:r w:rsidR="00B33BFE">
        <w:t xml:space="preserve">for </w:t>
      </w:r>
      <w:r w:rsidR="00B33BFE" w:rsidRPr="00F75299">
        <w:t xml:space="preserve">ADIs that are not required to </w:t>
      </w:r>
      <w:r w:rsidR="00DA0168">
        <w:t>report under</w:t>
      </w:r>
      <w:r w:rsidR="00B33BFE" w:rsidRPr="00F75299">
        <w:t xml:space="preserve"> </w:t>
      </w:r>
      <w:r w:rsidR="00B33BFE">
        <w:t xml:space="preserve">Reporting Standard </w:t>
      </w:r>
      <w:r w:rsidR="00B33BFE" w:rsidRPr="00F75299">
        <w:t>ARS 720.0, the total</w:t>
      </w:r>
      <w:r w:rsidR="00B33BFE" w:rsidRPr="00192F62">
        <w:t xml:space="preserve"> </w:t>
      </w:r>
      <w:r w:rsidR="00B33BFE">
        <w:t xml:space="preserve">resident </w:t>
      </w:r>
      <w:r w:rsidR="00B33BFE" w:rsidRPr="00192F62">
        <w:t>assets</w:t>
      </w:r>
      <w:r w:rsidR="00B33BFE">
        <w:t xml:space="preserve"> value is found in item 11 in Section A: Assets</w:t>
      </w:r>
      <w:r w:rsidR="00B33BFE" w:rsidRPr="00BF58C9">
        <w:t xml:space="preserve"> </w:t>
      </w:r>
      <w:r w:rsidR="00B33BFE">
        <w:t xml:space="preserve">in Form ARF 323.0. </w:t>
      </w:r>
    </w:p>
    <w:p w14:paraId="7FAF48D7" w14:textId="7CEC5FC0" w:rsidR="00192F62" w:rsidRDefault="002D1322" w:rsidP="00DB73B2">
      <w:r w:rsidRPr="00BD4C1F">
        <w:t>Final reports submitted</w:t>
      </w:r>
      <w:r w:rsidR="00C72CF7" w:rsidRPr="00BD4C1F">
        <w:t xml:space="preserve"> </w:t>
      </w:r>
      <w:r w:rsidRPr="00BD4C1F">
        <w:t xml:space="preserve">under </w:t>
      </w:r>
      <w:r w:rsidR="007023B3">
        <w:t xml:space="preserve">Reporting Standard </w:t>
      </w:r>
      <w:r w:rsidR="009201EE" w:rsidRPr="00BD4C1F">
        <w:t>ARS</w:t>
      </w:r>
      <w:r w:rsidR="00DF351F" w:rsidRPr="00BD4C1F">
        <w:t xml:space="preserve"> 320.0 continue to </w:t>
      </w:r>
      <w:r w:rsidR="00C72CF7" w:rsidRPr="00BD4C1F">
        <w:t xml:space="preserve">be used to </w:t>
      </w:r>
      <w:r w:rsidRPr="00BD4C1F">
        <w:t>calculate</w:t>
      </w:r>
      <w:r w:rsidR="00C72CF7" w:rsidRPr="00BD4C1F">
        <w:t xml:space="preserve"> </w:t>
      </w:r>
      <w:r w:rsidR="002E0F62" w:rsidRPr="00BD4C1F">
        <w:t xml:space="preserve">the total </w:t>
      </w:r>
      <w:r w:rsidR="009945D5" w:rsidRPr="00BD4C1F">
        <w:t xml:space="preserve">resident </w:t>
      </w:r>
      <w:r w:rsidR="002E0F62" w:rsidRPr="00BD4C1F">
        <w:t>assets value</w:t>
      </w:r>
      <w:r>
        <w:t xml:space="preserve"> </w:t>
      </w:r>
      <w:r w:rsidR="00335283">
        <w:t xml:space="preserve">for financial years ending on or before </w:t>
      </w:r>
      <w:r w:rsidR="00356B90" w:rsidRPr="00BD4C1F">
        <w:t>30 June 2019</w:t>
      </w:r>
      <w:r w:rsidR="002E0F62">
        <w:t>. T</w:t>
      </w:r>
      <w:r w:rsidR="00876D3A">
        <w:t>he t</w:t>
      </w:r>
      <w:r w:rsidR="002E0F62">
        <w:t xml:space="preserve">otal </w:t>
      </w:r>
      <w:r w:rsidR="00FA5FD9">
        <w:t xml:space="preserve">resident </w:t>
      </w:r>
      <w:r w:rsidR="002E0F62">
        <w:t>assets</w:t>
      </w:r>
      <w:r w:rsidR="00B245A0">
        <w:t xml:space="preserve"> value</w:t>
      </w:r>
      <w:r w:rsidR="002E0F62">
        <w:t xml:space="preserve"> </w:t>
      </w:r>
      <w:r w:rsidR="00245BDD">
        <w:t>under</w:t>
      </w:r>
      <w:r w:rsidR="002E0F62">
        <w:t xml:space="preserve"> </w:t>
      </w:r>
      <w:r w:rsidR="007023B3">
        <w:t xml:space="preserve">Reporting Standard </w:t>
      </w:r>
      <w:r w:rsidR="002E0F62">
        <w:t xml:space="preserve">ARS 320.0 is found in </w:t>
      </w:r>
      <w:r w:rsidR="00B0541C" w:rsidRPr="001366D2">
        <w:t>item 10</w:t>
      </w:r>
      <w:r w:rsidR="00B0541C">
        <w:t xml:space="preserve"> </w:t>
      </w:r>
      <w:r w:rsidR="00D24F18">
        <w:t>in</w:t>
      </w:r>
      <w:r w:rsidR="00B0541C">
        <w:t xml:space="preserve"> Section A: Assets</w:t>
      </w:r>
      <w:r w:rsidR="00805397">
        <w:t xml:space="preserve"> in ARF Form 320.0</w:t>
      </w:r>
      <w:r w:rsidR="00192F62" w:rsidRPr="00D451CC">
        <w:t>.</w:t>
      </w:r>
      <w:r w:rsidR="00453D02">
        <w:t xml:space="preserve"> </w:t>
      </w:r>
      <w:r w:rsidR="00351EEC">
        <w:t xml:space="preserve">Reporting Standard </w:t>
      </w:r>
      <w:r w:rsidR="00021515">
        <w:t>ARS 320.0 will n</w:t>
      </w:r>
      <w:r w:rsidR="00021515" w:rsidRPr="00BD4C1F">
        <w:t>o</w:t>
      </w:r>
      <w:r w:rsidR="006847BA" w:rsidRPr="00BD4C1F">
        <w:t>t</w:t>
      </w:r>
      <w:r w:rsidR="00021515" w:rsidRPr="00BD4C1F">
        <w:t xml:space="preserve"> </w:t>
      </w:r>
      <w:r w:rsidR="00021515">
        <w:t xml:space="preserve">be relevant </w:t>
      </w:r>
      <w:r w:rsidR="005C1C1D">
        <w:t>in the future</w:t>
      </w:r>
      <w:r w:rsidR="006847BA">
        <w:t>,</w:t>
      </w:r>
      <w:r w:rsidR="005C1C1D">
        <w:t xml:space="preserve"> once </w:t>
      </w:r>
      <w:r w:rsidR="002D4C6D">
        <w:t xml:space="preserve">the multi-year calculations no longer apply historical </w:t>
      </w:r>
      <w:r w:rsidR="00B678E7">
        <w:t xml:space="preserve">data </w:t>
      </w:r>
      <w:r w:rsidR="00245BDD">
        <w:t>under</w:t>
      </w:r>
      <w:r w:rsidR="002D4C6D">
        <w:t xml:space="preserve"> </w:t>
      </w:r>
      <w:r w:rsidR="001929DB">
        <w:t xml:space="preserve">Reporting Standard </w:t>
      </w:r>
      <w:r w:rsidR="002D4C6D">
        <w:t>ARS 320.0</w:t>
      </w:r>
      <w:r w:rsidR="00F43C28">
        <w:t xml:space="preserve"> (see table below)</w:t>
      </w:r>
      <w:r w:rsidR="002D4C6D">
        <w:t xml:space="preserve">. </w:t>
      </w:r>
      <w:r w:rsidR="00021515">
        <w:t xml:space="preserve"> </w:t>
      </w:r>
      <w:r w:rsidR="002C1258">
        <w:t xml:space="preserve"> </w:t>
      </w:r>
    </w:p>
    <w:p w14:paraId="1698E660" w14:textId="5019EA97" w:rsidR="00F16D26" w:rsidRDefault="00F16D26" w:rsidP="007D38A8">
      <w:r>
        <w:t xml:space="preserve">The following table summarises how and when each type of form </w:t>
      </w:r>
      <w:r w:rsidR="00C72CF7">
        <w:t>should be</w:t>
      </w:r>
      <w:r>
        <w:t xml:space="preserve"> used: </w:t>
      </w:r>
    </w:p>
    <w:tbl>
      <w:tblPr>
        <w:tblStyle w:val="TableGrid"/>
        <w:tblW w:w="8500" w:type="dxa"/>
        <w:tblLayout w:type="fixed"/>
        <w:tblLook w:val="04A0" w:firstRow="1" w:lastRow="0" w:firstColumn="1" w:lastColumn="0" w:noHBand="0" w:noVBand="1"/>
      </w:tblPr>
      <w:tblGrid>
        <w:gridCol w:w="1259"/>
        <w:gridCol w:w="3839"/>
        <w:gridCol w:w="3402"/>
      </w:tblGrid>
      <w:tr w:rsidR="00CE20C2" w14:paraId="5FA99F8C" w14:textId="77777777" w:rsidTr="0046501B">
        <w:tc>
          <w:tcPr>
            <w:tcW w:w="1259" w:type="dxa"/>
          </w:tcPr>
          <w:p w14:paraId="3D3FD650" w14:textId="77777777" w:rsidR="00CE20C2" w:rsidRPr="00096C60" w:rsidRDefault="00CE20C2" w:rsidP="00C70E17">
            <w:pPr>
              <w:rPr>
                <w:b/>
              </w:rPr>
            </w:pPr>
            <w:r w:rsidRPr="00096C60">
              <w:rPr>
                <w:b/>
              </w:rPr>
              <w:t>Form</w:t>
            </w:r>
          </w:p>
        </w:tc>
        <w:tc>
          <w:tcPr>
            <w:tcW w:w="3839" w:type="dxa"/>
          </w:tcPr>
          <w:p w14:paraId="550D859D" w14:textId="47DDF318" w:rsidR="00CE20C2" w:rsidRPr="00096C60" w:rsidRDefault="00CE20C2">
            <w:pPr>
              <w:rPr>
                <w:b/>
              </w:rPr>
            </w:pPr>
            <w:r w:rsidRPr="00096C60">
              <w:rPr>
                <w:b/>
              </w:rPr>
              <w:t>Total</w:t>
            </w:r>
            <w:r w:rsidR="005727BE" w:rsidRPr="00096C60">
              <w:rPr>
                <w:b/>
              </w:rPr>
              <w:t xml:space="preserve"> Resident Assets Value</w:t>
            </w:r>
          </w:p>
        </w:tc>
        <w:tc>
          <w:tcPr>
            <w:tcW w:w="3402" w:type="dxa"/>
          </w:tcPr>
          <w:p w14:paraId="02CBCDFA" w14:textId="0D498218" w:rsidR="00CE20C2" w:rsidRPr="00096C60" w:rsidRDefault="00C10F7D" w:rsidP="00C10F7D">
            <w:pPr>
              <w:rPr>
                <w:b/>
              </w:rPr>
            </w:pPr>
            <w:r w:rsidRPr="00096C60">
              <w:rPr>
                <w:b/>
              </w:rPr>
              <w:t xml:space="preserve">For </w:t>
            </w:r>
            <w:r w:rsidR="00625755" w:rsidRPr="00096C60">
              <w:rPr>
                <w:b/>
              </w:rPr>
              <w:t>r</w:t>
            </w:r>
            <w:r w:rsidR="00F22413" w:rsidRPr="00096C60">
              <w:rPr>
                <w:b/>
              </w:rPr>
              <w:t>eference periods</w:t>
            </w:r>
            <w:r w:rsidR="00A1231C" w:rsidRPr="00096C60">
              <w:rPr>
                <w:b/>
              </w:rPr>
              <w:t xml:space="preserve"> ending</w:t>
            </w:r>
          </w:p>
        </w:tc>
      </w:tr>
      <w:tr w:rsidR="002D1322" w14:paraId="1F0A4539" w14:textId="77777777" w:rsidTr="0046501B">
        <w:tc>
          <w:tcPr>
            <w:tcW w:w="1259" w:type="dxa"/>
          </w:tcPr>
          <w:p w14:paraId="4DFC1C33" w14:textId="77777777" w:rsidR="002D1322" w:rsidRDefault="002D1322" w:rsidP="0086138D">
            <w:r>
              <w:t>ARF 320.0</w:t>
            </w:r>
          </w:p>
        </w:tc>
        <w:tc>
          <w:tcPr>
            <w:tcW w:w="3839" w:type="dxa"/>
          </w:tcPr>
          <w:p w14:paraId="5BD2AA24" w14:textId="77777777" w:rsidR="002D1322" w:rsidRDefault="002D1322" w:rsidP="0086138D">
            <w:r>
              <w:t>Section A: Assets: I</w:t>
            </w:r>
            <w:r w:rsidRPr="001366D2">
              <w:t>tem 10</w:t>
            </w:r>
            <w:r>
              <w:t xml:space="preserve"> Total assets</w:t>
            </w:r>
          </w:p>
        </w:tc>
        <w:tc>
          <w:tcPr>
            <w:tcW w:w="3402" w:type="dxa"/>
          </w:tcPr>
          <w:p w14:paraId="3BD615AC" w14:textId="6DC61C34" w:rsidR="00252B4E" w:rsidRDefault="002D1322" w:rsidP="00252B4E">
            <w:r>
              <w:t>Before and including 30 June 2019</w:t>
            </w:r>
            <w:r w:rsidR="00252B4E">
              <w:t xml:space="preserve">. </w:t>
            </w:r>
          </w:p>
        </w:tc>
      </w:tr>
      <w:tr w:rsidR="002D1322" w14:paraId="017DB101" w14:textId="77777777" w:rsidTr="0046501B">
        <w:tc>
          <w:tcPr>
            <w:tcW w:w="1259" w:type="dxa"/>
          </w:tcPr>
          <w:p w14:paraId="6100035C" w14:textId="5F8ABFA9" w:rsidR="002D1322" w:rsidRDefault="002D1322" w:rsidP="002D1322">
            <w:r>
              <w:t>ARF 323.0</w:t>
            </w:r>
          </w:p>
        </w:tc>
        <w:tc>
          <w:tcPr>
            <w:tcW w:w="3839" w:type="dxa"/>
          </w:tcPr>
          <w:p w14:paraId="588DC221" w14:textId="2EDC2D58" w:rsidR="002D1322" w:rsidRDefault="002D1322" w:rsidP="002D1322">
            <w:r>
              <w:t>Section A: Assets: Item 11 T</w:t>
            </w:r>
            <w:r w:rsidRPr="00192F62">
              <w:t>otal assets</w:t>
            </w:r>
            <w:r w:rsidR="009D579B">
              <w:t xml:space="preserve"> </w:t>
            </w:r>
          </w:p>
        </w:tc>
        <w:tc>
          <w:tcPr>
            <w:tcW w:w="3402" w:type="dxa"/>
          </w:tcPr>
          <w:p w14:paraId="7D94BAF1" w14:textId="4DD49ED2" w:rsidR="00A37BC0" w:rsidRDefault="00A37BC0" w:rsidP="002D1322">
            <w:r>
              <w:t>Before and including 30 June 2019.</w:t>
            </w:r>
          </w:p>
          <w:p w14:paraId="515D406F" w14:textId="20EEA09F" w:rsidR="002D1322" w:rsidRDefault="002D1322" w:rsidP="002D1322">
            <w:r>
              <w:t xml:space="preserve">After 30 June 2019, only if not submitting reports under </w:t>
            </w:r>
            <w:r w:rsidR="00F74524">
              <w:t xml:space="preserve">Reporting Standard </w:t>
            </w:r>
            <w:r w:rsidR="00971B06">
              <w:t>ARS 720.0</w:t>
            </w:r>
            <w:r w:rsidR="00E60737">
              <w:t>.</w:t>
            </w:r>
          </w:p>
        </w:tc>
      </w:tr>
      <w:tr w:rsidR="002D1322" w14:paraId="15A8E31F" w14:textId="77777777" w:rsidTr="0046501B">
        <w:tc>
          <w:tcPr>
            <w:tcW w:w="1259" w:type="dxa"/>
          </w:tcPr>
          <w:p w14:paraId="095AB2C1" w14:textId="77777777" w:rsidR="002D1322" w:rsidRDefault="002D1322" w:rsidP="002D1322">
            <w:r>
              <w:lastRenderedPageBreak/>
              <w:t>ARF 720.0A</w:t>
            </w:r>
          </w:p>
        </w:tc>
        <w:tc>
          <w:tcPr>
            <w:tcW w:w="3839" w:type="dxa"/>
          </w:tcPr>
          <w:p w14:paraId="77884803" w14:textId="57FDEDAB" w:rsidR="002D1322" w:rsidRDefault="002D1322" w:rsidP="002D1322">
            <w:r>
              <w:t>Section A: Assets: Item 13 Total assets including intragroup</w:t>
            </w:r>
            <w:r w:rsidR="008B0FDF">
              <w:t xml:space="preserve"> assets</w:t>
            </w:r>
            <w:r>
              <w:t>, less</w:t>
            </w:r>
            <w:r w:rsidR="008B0FDF">
              <w:t>:</w:t>
            </w:r>
          </w:p>
          <w:p w14:paraId="423F9A3E" w14:textId="64939FF0" w:rsidR="002D1322" w:rsidRDefault="002D1322" w:rsidP="002D1322">
            <w:pPr>
              <w:pStyle w:val="ListParagraph"/>
              <w:numPr>
                <w:ilvl w:val="0"/>
                <w:numId w:val="15"/>
              </w:numPr>
              <w:ind w:left="317" w:hanging="284"/>
            </w:pPr>
            <w:r>
              <w:t xml:space="preserve">item 11.1 </w:t>
            </w:r>
            <w:r w:rsidRPr="008321CB">
              <w:rPr>
                <w:rFonts w:cs="Arial"/>
                <w:bCs/>
                <w:color w:val="000000"/>
                <w:szCs w:val="24"/>
              </w:rPr>
              <w:t>Total assets excluding intra-group assets</w:t>
            </w:r>
            <w:r w:rsidRPr="008321CB">
              <w:rPr>
                <w:rFonts w:cs="Arial"/>
                <w:i/>
                <w:iCs/>
                <w:color w:val="000000"/>
                <w:szCs w:val="24"/>
              </w:rPr>
              <w:t xml:space="preserve"> of which: </w:t>
            </w:r>
            <w:r w:rsidR="00BA3EE1">
              <w:rPr>
                <w:rFonts w:cs="Arial"/>
                <w:color w:val="000000"/>
                <w:szCs w:val="24"/>
              </w:rPr>
              <w:t>Due from non-residents;</w:t>
            </w:r>
            <w:r w:rsidRPr="008321CB">
              <w:rPr>
                <w:rFonts w:cs="Arial"/>
                <w:color w:val="000000"/>
                <w:szCs w:val="24"/>
              </w:rPr>
              <w:t xml:space="preserve"> </w:t>
            </w:r>
            <w:r>
              <w:t>and</w:t>
            </w:r>
          </w:p>
          <w:p w14:paraId="1D0D1FCE" w14:textId="77777777" w:rsidR="002D1322" w:rsidRDefault="002D1322" w:rsidP="002D1322">
            <w:pPr>
              <w:pStyle w:val="ListParagraph"/>
              <w:numPr>
                <w:ilvl w:val="0"/>
                <w:numId w:val="15"/>
              </w:numPr>
              <w:ind w:left="317" w:hanging="284"/>
            </w:pPr>
            <w:r>
              <w:t xml:space="preserve">item 12.1 </w:t>
            </w:r>
            <w:r w:rsidRPr="00ED33A9">
              <w:rPr>
                <w:szCs w:val="24"/>
              </w:rPr>
              <w:t xml:space="preserve">: </w:t>
            </w:r>
            <w:r w:rsidRPr="00ED33A9">
              <w:rPr>
                <w:rFonts w:cs="Arial"/>
                <w:bCs/>
                <w:color w:val="000000"/>
                <w:szCs w:val="24"/>
              </w:rPr>
              <w:t xml:space="preserve">Total intra-group assets </w:t>
            </w:r>
            <w:r w:rsidRPr="00ED33A9">
              <w:rPr>
                <w:rFonts w:cs="Arial"/>
                <w:i/>
                <w:iCs/>
                <w:color w:val="000000"/>
                <w:szCs w:val="24"/>
              </w:rPr>
              <w:t xml:space="preserve">of which: </w:t>
            </w:r>
            <w:r w:rsidRPr="00ED33A9">
              <w:rPr>
                <w:rFonts w:cs="Arial"/>
                <w:color w:val="000000"/>
                <w:szCs w:val="24"/>
              </w:rPr>
              <w:t>Due from non-residents</w:t>
            </w:r>
          </w:p>
        </w:tc>
        <w:tc>
          <w:tcPr>
            <w:tcW w:w="3402" w:type="dxa"/>
          </w:tcPr>
          <w:p w14:paraId="1B89EF2A" w14:textId="226A20B8" w:rsidR="002D1322" w:rsidRDefault="002D1322" w:rsidP="002D1322">
            <w:r>
              <w:t>After 30 June 2019</w:t>
            </w:r>
            <w:r w:rsidR="001745E8">
              <w:t>.</w:t>
            </w:r>
          </w:p>
        </w:tc>
      </w:tr>
      <w:tr w:rsidR="002D1322" w14:paraId="72CD5AC9" w14:textId="77777777" w:rsidTr="0046501B">
        <w:tc>
          <w:tcPr>
            <w:tcW w:w="1259" w:type="dxa"/>
          </w:tcPr>
          <w:p w14:paraId="0B1DCCF8" w14:textId="77777777" w:rsidR="002D1322" w:rsidRDefault="002D1322" w:rsidP="002D1322">
            <w:r>
              <w:t>ARF 720.0B</w:t>
            </w:r>
          </w:p>
        </w:tc>
        <w:tc>
          <w:tcPr>
            <w:tcW w:w="3839" w:type="dxa"/>
          </w:tcPr>
          <w:p w14:paraId="114CFC1F" w14:textId="455E916D" w:rsidR="002D1322" w:rsidRDefault="002D1322" w:rsidP="002D1322">
            <w:r>
              <w:t>Section A: Assets: item 13 Total assets including intragroup</w:t>
            </w:r>
            <w:r w:rsidR="008B0FDF">
              <w:t xml:space="preserve"> assets</w:t>
            </w:r>
          </w:p>
        </w:tc>
        <w:tc>
          <w:tcPr>
            <w:tcW w:w="3402" w:type="dxa"/>
          </w:tcPr>
          <w:p w14:paraId="5170E350" w14:textId="5C760809" w:rsidR="002D1322" w:rsidRDefault="002D1322" w:rsidP="002D1322">
            <w:r>
              <w:t>After 30 June 2019</w:t>
            </w:r>
            <w:r w:rsidR="001745E8">
              <w:t>.</w:t>
            </w:r>
          </w:p>
        </w:tc>
      </w:tr>
    </w:tbl>
    <w:p w14:paraId="2AA94261" w14:textId="77777777" w:rsidR="00A57082" w:rsidRDefault="00A57082" w:rsidP="00A57082">
      <w:pPr>
        <w:pStyle w:val="Heading4"/>
      </w:pPr>
      <w:r>
        <w:t xml:space="preserve">Section 8 </w:t>
      </w:r>
      <w:r w:rsidRPr="00424056">
        <w:t xml:space="preserve">– </w:t>
      </w:r>
      <w:r>
        <w:t>Reporting Standards</w:t>
      </w:r>
    </w:p>
    <w:p w14:paraId="3A645AAE" w14:textId="6922E39D" w:rsidR="00A57082" w:rsidRDefault="00A57082" w:rsidP="00A57082">
      <w:pPr>
        <w:pStyle w:val="base-text-paragraph"/>
        <w:ind w:left="0"/>
      </w:pPr>
      <w:r>
        <w:t>Section 8 provides that where a provision of the Determination (section</w:t>
      </w:r>
      <w:r w:rsidR="008B0FDF">
        <w:t>s</w:t>
      </w:r>
      <w:r>
        <w:t xml:space="preserve"> 5 and 7) refers to a particular kind of Reporting Standar</w:t>
      </w:r>
      <w:r w:rsidR="00777FD2">
        <w:t xml:space="preserve">d with a specific identifier in relation to an ADI’s final reporting period in a financial year, that provision is known as a referring provision. The referring provision is taken to refer to the version of the Reporting Standard with that identifier that applied to that reporting period because of a </w:t>
      </w:r>
      <w:r w:rsidR="003672A9">
        <w:t>determination made</w:t>
      </w:r>
      <w:r>
        <w:t xml:space="preserve"> under section 13 of the </w:t>
      </w:r>
      <w:r>
        <w:rPr>
          <w:i/>
        </w:rPr>
        <w:t>Financial Sector (Collection of Data) Act 2001</w:t>
      </w:r>
      <w:r w:rsidR="009E32B1">
        <w:t>.</w:t>
      </w:r>
      <w:r>
        <w:t xml:space="preserve"> However, if no version of that Reporting Standard applies to the final reporting period in a financial year bec</w:t>
      </w:r>
      <w:r w:rsidR="005E3DD4">
        <w:t xml:space="preserve">ause it has been replaced by a </w:t>
      </w:r>
      <w:r>
        <w:t>different Reporting Standard (with a different identifier</w:t>
      </w:r>
      <w:r w:rsidR="00E51E6A">
        <w:t xml:space="preserve"> and included in a different determination</w:t>
      </w:r>
      <w:r>
        <w:t xml:space="preserve">), then a reference to the Reporting Standard that has been replaced is taken to be a reference to the new Reporting Standard. A reference to any material in the Reporting Standard that has been replaced, for example, the reporting form, is taken to be a reference to the corresponding material in the applicable version of the new Reporting Standard. </w:t>
      </w:r>
    </w:p>
    <w:p w14:paraId="36F79E14" w14:textId="6A8D843B" w:rsidR="00A57082" w:rsidRDefault="00A57082" w:rsidP="00A57082">
      <w:pPr>
        <w:pStyle w:val="base-text-paragraph"/>
        <w:ind w:left="0"/>
      </w:pPr>
      <w:r>
        <w:t xml:space="preserve">The intention of this section is to ‘future proof’ this Determination so that if a new Reporting Standard is determined under the </w:t>
      </w:r>
      <w:r>
        <w:rPr>
          <w:i/>
        </w:rPr>
        <w:t>Financial Sector (Collection of Data) Act 2001</w:t>
      </w:r>
      <w:r>
        <w:t xml:space="preserve">, </w:t>
      </w:r>
      <w:r w:rsidR="007F5DB7">
        <w:t xml:space="preserve">and </w:t>
      </w:r>
      <w:r w:rsidR="00AC5AC0">
        <w:t>ADIs</w:t>
      </w:r>
      <w:r>
        <w:t xml:space="preserve"> </w:t>
      </w:r>
      <w:r w:rsidR="007F5DB7">
        <w:t>are required to</w:t>
      </w:r>
      <w:r>
        <w:t xml:space="preserve"> report in accordance with that new Reporting Standard, </w:t>
      </w:r>
      <w:r w:rsidR="00C5469A">
        <w:t>the referring provisions in this Determination operate to refer to the new Reporting Standard</w:t>
      </w:r>
      <w:r>
        <w:t>.</w:t>
      </w:r>
    </w:p>
    <w:p w14:paraId="5593EF20" w14:textId="34005A2F" w:rsidR="00923844" w:rsidRDefault="00923844" w:rsidP="00923844">
      <w:pPr>
        <w:pStyle w:val="Heading4"/>
      </w:pPr>
      <w:r>
        <w:t xml:space="preserve">Section 9 </w:t>
      </w:r>
      <w:r w:rsidRPr="00424056">
        <w:t xml:space="preserve">– </w:t>
      </w:r>
      <w:r w:rsidR="00530980">
        <w:t xml:space="preserve">Indexation of thresholds </w:t>
      </w:r>
    </w:p>
    <w:p w14:paraId="5216B48F" w14:textId="653BA189" w:rsidR="004D5566" w:rsidRDefault="002B6249" w:rsidP="00A57082">
      <w:pPr>
        <w:pStyle w:val="base-text-paragraph"/>
        <w:ind w:left="0"/>
      </w:pPr>
      <w:r>
        <w:t xml:space="preserve">Section 9 provides for </w:t>
      </w:r>
      <w:r w:rsidR="005753BA">
        <w:t xml:space="preserve">indexation </w:t>
      </w:r>
      <w:r w:rsidR="00413FA3">
        <w:t xml:space="preserve">on 1 </w:t>
      </w:r>
      <w:r w:rsidR="008B0FDF">
        <w:t>January</w:t>
      </w:r>
      <w:r w:rsidR="00413FA3">
        <w:t xml:space="preserve"> 2022, and each </w:t>
      </w:r>
      <w:r w:rsidR="008B0FDF">
        <w:t>1 January</w:t>
      </w:r>
      <w:r w:rsidR="00413FA3">
        <w:t xml:space="preserve"> after that, </w:t>
      </w:r>
      <w:r w:rsidR="005753BA">
        <w:t>of each amount referred to in subsection</w:t>
      </w:r>
      <w:r w:rsidR="008B0FDF">
        <w:t>s</w:t>
      </w:r>
      <w:r w:rsidR="005753BA">
        <w:t xml:space="preserve"> 6(2)</w:t>
      </w:r>
      <w:r w:rsidR="008B0FDF">
        <w:t>,</w:t>
      </w:r>
      <w:r w:rsidR="005753BA">
        <w:t xml:space="preserve"> (3)</w:t>
      </w:r>
      <w:r w:rsidR="008B0FDF">
        <w:t xml:space="preserve"> and (4)</w:t>
      </w:r>
      <w:r w:rsidR="005753BA">
        <w:t xml:space="preserve">. </w:t>
      </w:r>
    </w:p>
    <w:p w14:paraId="0BD7BB47" w14:textId="1BAEF038" w:rsidR="0012016A" w:rsidRDefault="0012016A" w:rsidP="00A57082">
      <w:pPr>
        <w:pStyle w:val="base-text-paragraph"/>
        <w:ind w:left="0"/>
      </w:pPr>
      <w:r>
        <w:t xml:space="preserve">An amount is indexed </w:t>
      </w:r>
      <w:r w:rsidR="00BE0C1D">
        <w:t>by multiplying the amount by an indexation factor and rounding the result down to the nearest multiple of $1 billion.</w:t>
      </w:r>
    </w:p>
    <w:p w14:paraId="6C5B8C1B" w14:textId="77777777" w:rsidR="001C5710" w:rsidRDefault="00BE0C1D" w:rsidP="00A57082">
      <w:pPr>
        <w:pStyle w:val="base-text-paragraph"/>
        <w:ind w:left="0"/>
      </w:pPr>
      <w:r>
        <w:t xml:space="preserve">The indexation factor is </w:t>
      </w:r>
      <w:r w:rsidR="00AE46D3">
        <w:t>a fraction calculated by dividing the relevant GDP number by the base GDP number.</w:t>
      </w:r>
      <w:r w:rsidR="004E330A">
        <w:t xml:space="preserve"> </w:t>
      </w:r>
    </w:p>
    <w:p w14:paraId="214260C6" w14:textId="255469E9" w:rsidR="00BE0C1D" w:rsidRDefault="004E330A" w:rsidP="00A57082">
      <w:pPr>
        <w:pStyle w:val="base-text-paragraph"/>
        <w:ind w:left="0"/>
      </w:pPr>
      <w:r>
        <w:t xml:space="preserve">The relevant GDP number is the first-published annual estimate of the Gross Domestic Product: Current Prices-Original series </w:t>
      </w:r>
      <w:r w:rsidR="0019164C">
        <w:t xml:space="preserve">for the </w:t>
      </w:r>
      <w:r w:rsidR="00570302">
        <w:t xml:space="preserve">financial year that ends before the 1 January on which indexation occurs. </w:t>
      </w:r>
      <w:r w:rsidR="00D7088A">
        <w:t>This can be found in</w:t>
      </w:r>
      <w:r w:rsidR="00992266">
        <w:t xml:space="preserve"> the</w:t>
      </w:r>
      <w:r w:rsidR="00D7088A">
        <w:t xml:space="preserve"> </w:t>
      </w:r>
      <w:r w:rsidR="00806ACE">
        <w:t xml:space="preserve">Australian Bureau of Statistics’ </w:t>
      </w:r>
      <w:r w:rsidR="00D7088A">
        <w:t>5</w:t>
      </w:r>
      <w:r w:rsidR="00E0790F">
        <w:t xml:space="preserve">204.0 series at </w:t>
      </w:r>
      <w:r w:rsidR="00E0790F" w:rsidRPr="00096C60">
        <w:t>https://www.abs.gov.au/ausstats/abs@.nsf/mf/5204.0</w:t>
      </w:r>
      <w:r w:rsidR="00E0790F">
        <w:t xml:space="preserve">. </w:t>
      </w:r>
      <w:r w:rsidR="00DD25C9">
        <w:t>For example, if indexation occurs on 1 January 202</w:t>
      </w:r>
      <w:r w:rsidR="008353F0">
        <w:t>2</w:t>
      </w:r>
      <w:r w:rsidR="00DD25C9">
        <w:t xml:space="preserve">, the relevant financial year is the one ending </w:t>
      </w:r>
      <w:r w:rsidR="00614E27">
        <w:t xml:space="preserve">on 30 </w:t>
      </w:r>
      <w:r w:rsidR="00DD25C9">
        <w:t>June 202</w:t>
      </w:r>
      <w:r w:rsidR="008353F0">
        <w:t>1</w:t>
      </w:r>
      <w:r w:rsidR="00DD25C9">
        <w:t>.</w:t>
      </w:r>
      <w:r w:rsidR="00C63D3A">
        <w:t xml:space="preserve"> For the purpose of this calculation, any revisions of that estimate is disregarded.</w:t>
      </w:r>
    </w:p>
    <w:p w14:paraId="0A097815" w14:textId="77777777" w:rsidR="00AD5F92" w:rsidRDefault="001C5710" w:rsidP="00A57082">
      <w:pPr>
        <w:pStyle w:val="base-text-paragraph"/>
        <w:ind w:left="0"/>
      </w:pPr>
      <w:r>
        <w:lastRenderedPageBreak/>
        <w:t xml:space="preserve">The base GDP number is the annual estimate of the Gross Domestic Product: Current Prices-Original series, where, if the amount being indexed is $10 billion, refer to the most recently published series </w:t>
      </w:r>
      <w:r w:rsidR="001C1A40">
        <w:t xml:space="preserve">for the financial year </w:t>
      </w:r>
      <w:r>
        <w:t xml:space="preserve">ending on 30 June 2018. </w:t>
      </w:r>
    </w:p>
    <w:p w14:paraId="50392B97" w14:textId="3525ADC0" w:rsidR="004D5566" w:rsidRDefault="00257FD6" w:rsidP="00A57082">
      <w:pPr>
        <w:pStyle w:val="base-text-paragraph"/>
        <w:ind w:left="0"/>
      </w:pPr>
      <w:r>
        <w:t>For any other amount being indexed, refer to the most recently published series for the financial year ending on 30 June 2019. The</w:t>
      </w:r>
      <w:r w:rsidR="000A6688">
        <w:t xml:space="preserve"> reason a different base year </w:t>
      </w:r>
      <w:r>
        <w:t>is selected for amounts other than $10 b</w:t>
      </w:r>
      <w:r w:rsidR="00E50087">
        <w:t>illion is because indexation has</w:t>
      </w:r>
      <w:r>
        <w:t xml:space="preserve"> already occurred under the </w:t>
      </w:r>
      <w:r w:rsidR="00607FB8" w:rsidRPr="000A6A20">
        <w:rPr>
          <w:i/>
        </w:rPr>
        <w:t>Banking Executive Accountability Regime (Size of an Authorised Deposit-taking Institution) Determination 2018</w:t>
      </w:r>
      <w:r w:rsidR="00FB30C7">
        <w:t xml:space="preserve">, which </w:t>
      </w:r>
      <w:r w:rsidR="003C05FF">
        <w:t>raised</w:t>
      </w:r>
      <w:r w:rsidR="00FB30C7">
        <w:t xml:space="preserve"> the higher threshold</w:t>
      </w:r>
      <w:r w:rsidR="003D7002">
        <w:t xml:space="preserve"> of $100 billion</w:t>
      </w:r>
      <w:r w:rsidR="00FB30C7">
        <w:t xml:space="preserve"> to $10</w:t>
      </w:r>
      <w:r w:rsidR="00E2010E">
        <w:t>7</w:t>
      </w:r>
      <w:r w:rsidR="00FB30C7">
        <w:t xml:space="preserve"> billion on 1 January 2020. </w:t>
      </w:r>
      <w:r w:rsidR="006E26B8">
        <w:t>The $10</w:t>
      </w:r>
      <w:r w:rsidR="00E2010E">
        <w:t>7</w:t>
      </w:r>
      <w:r w:rsidR="006E26B8">
        <w:t xml:space="preserve"> billion threshold did not change on 1 January 2021. </w:t>
      </w:r>
      <w:r w:rsidR="00E60079">
        <w:t>The $10 billion threshold did not change on 1 January 2020</w:t>
      </w:r>
      <w:r w:rsidR="006E26B8">
        <w:t xml:space="preserve"> or 1 January 2021</w:t>
      </w:r>
      <w:r w:rsidR="00E60079">
        <w:t xml:space="preserve">. </w:t>
      </w:r>
      <w:r w:rsidR="00AC166B">
        <w:t xml:space="preserve">By rebasing </w:t>
      </w:r>
      <w:r w:rsidR="005D2DD7">
        <w:t xml:space="preserve">the year </w:t>
      </w:r>
      <w:r w:rsidR="004929B8">
        <w:t>from which the GDP number is taken</w:t>
      </w:r>
      <w:r w:rsidR="00AC166B">
        <w:t>, this Determination p</w:t>
      </w:r>
      <w:r w:rsidR="00C34B38">
        <w:t xml:space="preserve">reserves the </w:t>
      </w:r>
      <w:r w:rsidR="00E940DF">
        <w:t>indexation that has</w:t>
      </w:r>
      <w:r w:rsidR="00AC166B">
        <w:t xml:space="preserve"> </w:t>
      </w:r>
      <w:r w:rsidR="002A76B1">
        <w:t>o</w:t>
      </w:r>
      <w:r w:rsidR="00AC166B">
        <w:t xml:space="preserve">ccurred, while </w:t>
      </w:r>
      <w:r w:rsidR="005C5F83">
        <w:t>providing for</w:t>
      </w:r>
      <w:r w:rsidR="00AC166B">
        <w:t xml:space="preserve"> future indexations.</w:t>
      </w:r>
      <w:r w:rsidR="00EC2CF3">
        <w:t xml:space="preserve"> </w:t>
      </w:r>
      <w:r w:rsidR="00831EA2">
        <w:t xml:space="preserve">1 January 2021 will be the first </w:t>
      </w:r>
      <w:r w:rsidR="009A1F89">
        <w:t>time</w:t>
      </w:r>
      <w:r w:rsidR="00831EA2">
        <w:t xml:space="preserve"> indexation calculations </w:t>
      </w:r>
      <w:r w:rsidR="00FF4842">
        <w:t>occur</w:t>
      </w:r>
      <w:r w:rsidR="00831EA2">
        <w:t xml:space="preserve"> under this Determination.</w:t>
      </w:r>
    </w:p>
    <w:p w14:paraId="2750D1CD" w14:textId="6F60D572" w:rsidR="00EC6B44" w:rsidRPr="00152221" w:rsidRDefault="00EC6B44" w:rsidP="00A57082">
      <w:pPr>
        <w:pStyle w:val="base-text-paragraph"/>
        <w:ind w:left="0"/>
      </w:pPr>
      <w:r>
        <w:t xml:space="preserve">If the indexation factor calculated is less than 1, then the indexation factor is taken to be 1. This means </w:t>
      </w:r>
      <w:r w:rsidR="00C954C0">
        <w:t xml:space="preserve">that the </w:t>
      </w:r>
      <w:r w:rsidR="00F1161C">
        <w:t>threshold amounts</w:t>
      </w:r>
      <w:r w:rsidR="00C954C0">
        <w:t xml:space="preserve"> do not change. </w:t>
      </w:r>
      <w:r>
        <w:t xml:space="preserve"> </w:t>
      </w:r>
    </w:p>
    <w:p w14:paraId="7BFF299D" w14:textId="77777777" w:rsidR="00E2758C" w:rsidRDefault="00E2758C" w:rsidP="00E2758C">
      <w:pPr>
        <w:rPr>
          <w:b/>
        </w:rPr>
      </w:pPr>
      <w:r w:rsidRPr="009F03A0">
        <w:rPr>
          <w:b/>
        </w:rPr>
        <w:t>Schedule 1</w:t>
      </w:r>
      <w:r w:rsidRPr="00E2758C">
        <w:rPr>
          <w:b/>
        </w:rPr>
        <w:t>—</w:t>
      </w:r>
      <w:r w:rsidRPr="009F03A0">
        <w:rPr>
          <w:b/>
        </w:rPr>
        <w:t>Repeals</w:t>
      </w:r>
    </w:p>
    <w:p w14:paraId="604E98C9" w14:textId="77777777" w:rsidR="00585487" w:rsidRDefault="00E2758C" w:rsidP="00585487">
      <w:pPr>
        <w:pStyle w:val="base-text-paragraph"/>
        <w:ind w:left="0"/>
      </w:pPr>
      <w:r>
        <w:t xml:space="preserve">Item 1 </w:t>
      </w:r>
      <w:r w:rsidR="00FD52B0">
        <w:t xml:space="preserve">repeals the </w:t>
      </w:r>
      <w:r w:rsidR="00FD52B0" w:rsidRPr="00585487">
        <w:rPr>
          <w:i/>
        </w:rPr>
        <w:t>Banking Executive Accountability Regime (Size of an Authorised Deposit-taking Institution) Determination 2018</w:t>
      </w:r>
      <w:r w:rsidR="00FD52B0">
        <w:t xml:space="preserve">. </w:t>
      </w:r>
    </w:p>
    <w:p w14:paraId="5A2A89F4" w14:textId="0B3ADCE6" w:rsidR="0039186E" w:rsidRDefault="0039186E" w:rsidP="00585487">
      <w:pPr>
        <w:pStyle w:val="base-text-paragraph"/>
        <w:ind w:left="0"/>
      </w:pPr>
      <w:r>
        <w:br w:type="page"/>
      </w:r>
    </w:p>
    <w:p w14:paraId="10EEF938" w14:textId="3ADB84A7" w:rsidR="00076A59" w:rsidRPr="00D36C1E" w:rsidRDefault="00076A59" w:rsidP="00AB6B63">
      <w:pPr>
        <w:spacing w:before="240"/>
        <w:jc w:val="right"/>
      </w:pPr>
      <w:r w:rsidRPr="00AB6B63">
        <w:rPr>
          <w:b/>
        </w:rPr>
        <w:lastRenderedPageBreak/>
        <w:t>Attachment B</w:t>
      </w:r>
    </w:p>
    <w:p w14:paraId="3740E551" w14:textId="77777777" w:rsidR="00076A59" w:rsidRDefault="00076A59" w:rsidP="00076A59">
      <w:pPr>
        <w:pStyle w:val="Heading3"/>
        <w:jc w:val="center"/>
      </w:pPr>
      <w:r>
        <w:t>Statement of Compatibility with Human Rights</w:t>
      </w:r>
    </w:p>
    <w:p w14:paraId="4FAA3096" w14:textId="77777777" w:rsidR="00076A59" w:rsidRPr="00E4438C" w:rsidRDefault="00076A59" w:rsidP="00076A59">
      <w:pPr>
        <w:jc w:val="center"/>
        <w:rPr>
          <w:i/>
        </w:rPr>
      </w:pPr>
      <w:r w:rsidRPr="00E4438C">
        <w:rPr>
          <w:i/>
        </w:rPr>
        <w:t>Prepared in accordance with Part</w:t>
      </w:r>
      <w:r>
        <w:rPr>
          <w:i/>
        </w:rPr>
        <w:t> </w:t>
      </w:r>
      <w:r w:rsidRPr="00E4438C">
        <w:rPr>
          <w:i/>
        </w:rPr>
        <w:t>3 of the Human Rights (Parliamentary Scrutiny) Act</w:t>
      </w:r>
      <w:r>
        <w:rPr>
          <w:i/>
        </w:rPr>
        <w:t> </w:t>
      </w:r>
      <w:r w:rsidRPr="00E4438C">
        <w:rPr>
          <w:i/>
        </w:rPr>
        <w:t>2011</w:t>
      </w:r>
    </w:p>
    <w:p w14:paraId="4F16D45E" w14:textId="73D46BFD" w:rsidR="00076A59" w:rsidRPr="00076A59" w:rsidRDefault="00076A59" w:rsidP="00076A59">
      <w:pPr>
        <w:jc w:val="center"/>
        <w:rPr>
          <w:b/>
          <w:i/>
        </w:rPr>
      </w:pPr>
      <w:r w:rsidRPr="00AB6B63">
        <w:rPr>
          <w:b/>
          <w:i/>
        </w:rPr>
        <w:t xml:space="preserve">Banking Executive Accountability Regime (Size </w:t>
      </w:r>
      <w:r w:rsidR="006C462E">
        <w:rPr>
          <w:b/>
          <w:i/>
        </w:rPr>
        <w:t>of an Authorised Deposit</w:t>
      </w:r>
      <w:r w:rsidR="006C462E">
        <w:rPr>
          <w:b/>
          <w:i/>
        </w:rPr>
        <w:noBreakHyphen/>
        <w:t xml:space="preserve">taking </w:t>
      </w:r>
      <w:r w:rsidRPr="00AB6B63">
        <w:rPr>
          <w:b/>
          <w:i/>
        </w:rPr>
        <w:t xml:space="preserve">Institution) </w:t>
      </w:r>
      <w:r w:rsidR="006C462E">
        <w:rPr>
          <w:b/>
          <w:i/>
        </w:rPr>
        <w:t xml:space="preserve">Determination </w:t>
      </w:r>
      <w:r w:rsidR="00D56D25">
        <w:rPr>
          <w:b/>
          <w:i/>
        </w:rPr>
        <w:t>202</w:t>
      </w:r>
      <w:r w:rsidR="008353F0">
        <w:rPr>
          <w:b/>
          <w:i/>
        </w:rPr>
        <w:t>1</w:t>
      </w:r>
      <w:r w:rsidR="00D24F18">
        <w:rPr>
          <w:b/>
          <w:i/>
        </w:rPr>
        <w:t xml:space="preserve"> </w:t>
      </w:r>
    </w:p>
    <w:p w14:paraId="39DDE6E0" w14:textId="77777777" w:rsidR="00076A59" w:rsidRDefault="00076A59" w:rsidP="00076A59">
      <w:r>
        <w:t xml:space="preserve">This Legislative Instrument is compatible with the human rights and freedoms recognised or declared in the international instruments listed in section 3 of the </w:t>
      </w:r>
      <w:r w:rsidRPr="00E4438C">
        <w:rPr>
          <w:i/>
        </w:rPr>
        <w:t>Human Rights (Parliamentary Scrutiny) Act</w:t>
      </w:r>
      <w:r>
        <w:rPr>
          <w:i/>
        </w:rPr>
        <w:t> </w:t>
      </w:r>
      <w:r w:rsidRPr="00E4438C">
        <w:rPr>
          <w:i/>
        </w:rPr>
        <w:t>2011</w:t>
      </w:r>
      <w:r>
        <w:t>.</w:t>
      </w:r>
    </w:p>
    <w:p w14:paraId="1E3B7591" w14:textId="55A704E9" w:rsidR="00061FC6" w:rsidRPr="00AB6B63" w:rsidRDefault="00076A59" w:rsidP="00171993">
      <w:pPr>
        <w:spacing w:before="240"/>
        <w:rPr>
          <w:b/>
        </w:rPr>
      </w:pPr>
      <w:r w:rsidRPr="00AB6B63">
        <w:rPr>
          <w:b/>
        </w:rPr>
        <w:t>Overview of the Legislative Instrument</w:t>
      </w:r>
    </w:p>
    <w:p w14:paraId="7630DA5A" w14:textId="77777777" w:rsidR="00076A59" w:rsidRDefault="00076A59" w:rsidP="00D24F18">
      <w:r>
        <w:t xml:space="preserve">The </w:t>
      </w:r>
      <w:r w:rsidRPr="00382ADF">
        <w:rPr>
          <w:i/>
        </w:rPr>
        <w:t>Treasury Laws Amendment (Banking Executive Accountability and Related Measures) Act 2018</w:t>
      </w:r>
      <w:r>
        <w:t xml:space="preserve"> amended the </w:t>
      </w:r>
      <w:r w:rsidRPr="00382ADF">
        <w:rPr>
          <w:i/>
        </w:rPr>
        <w:t>Banking Act 1959</w:t>
      </w:r>
      <w:r>
        <w:t xml:space="preserve"> (the Act) to introduce a new regime, the Banking Executive Accountability Regime (BEAR).</w:t>
      </w:r>
    </w:p>
    <w:p w14:paraId="4B35ACB9" w14:textId="7AAB419C" w:rsidR="00076A59" w:rsidRDefault="00076A59" w:rsidP="00D24F18">
      <w:r>
        <w:t>The BEAR imposes a heightened accountability regime on authorised deposit</w:t>
      </w:r>
      <w:r>
        <w:noBreakHyphen/>
        <w:t>taking institutions (ADI</w:t>
      </w:r>
      <w:r w:rsidR="00AB6B63">
        <w:t>s</w:t>
      </w:r>
      <w:r>
        <w:t xml:space="preserve">) and people, known as accountable persons, with significant influence over the conduct and behaviour of an ADI. It requires these people to conduct themselves with honesty and integrity and to effectively carry out the business activities for which they are responsible. </w:t>
      </w:r>
    </w:p>
    <w:p w14:paraId="02BAAEA2" w14:textId="2EC909F9" w:rsidR="00076A59" w:rsidRDefault="005278D8" w:rsidP="00D24F18">
      <w:r>
        <w:t>The BEAR requires</w:t>
      </w:r>
      <w:r w:rsidR="004035AC">
        <w:t xml:space="preserve"> ADIs to set out</w:t>
      </w:r>
      <w:r w:rsidR="00076A59" w:rsidRPr="00692C96">
        <w:t xml:space="preserve"> remuneration policies </w:t>
      </w:r>
      <w:r w:rsidR="00076A59">
        <w:t>which defer</w:t>
      </w:r>
      <w:r w:rsidR="00076A59" w:rsidRPr="00692C96">
        <w:t xml:space="preserve"> </w:t>
      </w:r>
      <w:r w:rsidR="00076A59">
        <w:t xml:space="preserve">a specified proportion of the </w:t>
      </w:r>
      <w:r w:rsidR="00076A59" w:rsidRPr="00692C96">
        <w:t xml:space="preserve">variable remuneration </w:t>
      </w:r>
      <w:r w:rsidR="00076A59">
        <w:t xml:space="preserve">of accountable persons for a minimum period. This is intended to create an incentive for these individuals to make decisions taking account of the longer term effects. </w:t>
      </w:r>
      <w:r w:rsidR="00076A59" w:rsidRPr="00692C96">
        <w:t xml:space="preserve">The </w:t>
      </w:r>
      <w:r w:rsidR="00076A59">
        <w:t>proportion of an accountable person’s remuneration which must be deferred depends on t</w:t>
      </w:r>
      <w:r w:rsidR="00076A59" w:rsidRPr="00692C96">
        <w:t>he size of the ADI</w:t>
      </w:r>
      <w:r w:rsidR="00076A59">
        <w:t xml:space="preserve"> where the </w:t>
      </w:r>
      <w:r w:rsidR="0042609D">
        <w:t xml:space="preserve">accountable </w:t>
      </w:r>
      <w:r w:rsidR="00076A59">
        <w:t>person works</w:t>
      </w:r>
      <w:r w:rsidR="00076A59" w:rsidRPr="00692C96">
        <w:t>.</w:t>
      </w:r>
      <w:r w:rsidR="00076A59">
        <w:t xml:space="preserve"> </w:t>
      </w:r>
    </w:p>
    <w:p w14:paraId="4ECA4036" w14:textId="77777777" w:rsidR="00076A59" w:rsidRDefault="00076A59" w:rsidP="00D24F18">
      <w:r>
        <w:t xml:space="preserve">The BEAR also includes civil penalties where an ADI fails to meet its obligations under the BEAR. The maximum penalty that may be applied by a court is also determined with reference to the size of the ADI. </w:t>
      </w:r>
    </w:p>
    <w:p w14:paraId="400E3CC6" w14:textId="373FB987" w:rsidR="00076A59" w:rsidRDefault="00076A59" w:rsidP="00D24F18">
      <w:r>
        <w:t>Subs</w:t>
      </w:r>
      <w:r w:rsidRPr="00503E44">
        <w:t xml:space="preserve">ection </w:t>
      </w:r>
      <w:r>
        <w:t>37G</w:t>
      </w:r>
      <w:r w:rsidR="000F551A">
        <w:t>(3)</w:t>
      </w:r>
      <w:r>
        <w:t xml:space="preserve"> of the Act provides the Treasurer with the power to determine by legislative instrument the kinds of ADIs that are large, medium and small. The </w:t>
      </w:r>
      <w:r w:rsidRPr="001A5025">
        <w:rPr>
          <w:i/>
        </w:rPr>
        <w:t>Banking Executive Accountability Regime (Size of an Authorised Deposit-taking</w:t>
      </w:r>
      <w:r w:rsidR="005875A5" w:rsidRPr="001A5025">
        <w:rPr>
          <w:i/>
        </w:rPr>
        <w:t xml:space="preserve"> Institution) Determination 202</w:t>
      </w:r>
      <w:r w:rsidR="008353F0">
        <w:rPr>
          <w:i/>
        </w:rPr>
        <w:t>1</w:t>
      </w:r>
      <w:r w:rsidR="00931249">
        <w:t xml:space="preserve"> sets out the methodology for determining </w:t>
      </w:r>
      <w:r>
        <w:t xml:space="preserve">the size of an ADI as small, medium or large. </w:t>
      </w:r>
    </w:p>
    <w:p w14:paraId="7ED1D15D" w14:textId="12D3DC65" w:rsidR="00076A59" w:rsidRDefault="00076A59" w:rsidP="00D24F18">
      <w:pPr>
        <w:pStyle w:val="Heading4"/>
      </w:pPr>
      <w:r>
        <w:t>Human rights implications</w:t>
      </w:r>
    </w:p>
    <w:p w14:paraId="4C9B6A8D" w14:textId="77777777" w:rsidR="00076A59" w:rsidRDefault="00076A59" w:rsidP="00D24F18">
      <w:r>
        <w:t>This Legislative Instrument is compatible with human rights as it does not raise any human rights issues.</w:t>
      </w:r>
    </w:p>
    <w:p w14:paraId="6327B36B" w14:textId="54A54AFA" w:rsidR="002E30CC" w:rsidRPr="00061FC6" w:rsidRDefault="002E30CC" w:rsidP="00061FC6">
      <w:pPr>
        <w:jc w:val="center"/>
      </w:pPr>
    </w:p>
    <w:sectPr w:rsidR="002E30CC" w:rsidRPr="00061FC6" w:rsidSect="00392BBA">
      <w:pgSz w:w="11906" w:h="16838"/>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2CA6B" w16cid:durableId="22824942"/>
  <w16cid:commentId w16cid:paraId="52DA9A10" w16cid:durableId="2276128B"/>
  <w16cid:commentId w16cid:paraId="01AB8D95" w16cid:durableId="227F8E37"/>
  <w16cid:commentId w16cid:paraId="6899509F" w16cid:durableId="22761290"/>
  <w16cid:commentId w16cid:paraId="5B33BCA6" w16cid:durableId="2282469D"/>
  <w16cid:commentId w16cid:paraId="5E6F4432" w16cid:durableId="227F8E55"/>
  <w16cid:commentId w16cid:paraId="50AD1DBF" w16cid:durableId="2282469F"/>
  <w16cid:commentId w16cid:paraId="7E0ECE81" w16cid:durableId="228246A0"/>
  <w16cid:commentId w16cid:paraId="2CBB0666" w16cid:durableId="228246A1"/>
  <w16cid:commentId w16cid:paraId="2B784AD8" w16cid:durableId="2278A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77DF" w14:textId="77777777" w:rsidR="008E3557" w:rsidRDefault="008E3557" w:rsidP="00954679">
      <w:pPr>
        <w:spacing w:before="0" w:after="0"/>
      </w:pPr>
      <w:r>
        <w:separator/>
      </w:r>
    </w:p>
  </w:endnote>
  <w:endnote w:type="continuationSeparator" w:id="0">
    <w:p w14:paraId="1AC5A3F4" w14:textId="77777777" w:rsidR="008E3557" w:rsidRDefault="008E3557" w:rsidP="00954679">
      <w:pPr>
        <w:spacing w:before="0" w:after="0"/>
      </w:pPr>
      <w:r>
        <w:continuationSeparator/>
      </w:r>
    </w:p>
  </w:endnote>
  <w:endnote w:type="continuationNotice" w:id="1">
    <w:p w14:paraId="5756A249" w14:textId="77777777" w:rsidR="008E3557" w:rsidRDefault="008E35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66CC" w14:textId="77777777" w:rsidR="008E3557" w:rsidRDefault="008E3557" w:rsidP="00954679">
      <w:pPr>
        <w:spacing w:before="0" w:after="0"/>
      </w:pPr>
      <w:r>
        <w:separator/>
      </w:r>
    </w:p>
  </w:footnote>
  <w:footnote w:type="continuationSeparator" w:id="0">
    <w:p w14:paraId="6DF84094" w14:textId="77777777" w:rsidR="008E3557" w:rsidRDefault="008E3557" w:rsidP="00954679">
      <w:pPr>
        <w:spacing w:before="0" w:after="0"/>
      </w:pPr>
      <w:r>
        <w:continuationSeparator/>
      </w:r>
    </w:p>
  </w:footnote>
  <w:footnote w:type="continuationNotice" w:id="1">
    <w:p w14:paraId="0DBDA142" w14:textId="77777777" w:rsidR="008E3557" w:rsidRDefault="008E355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C87"/>
    <w:multiLevelType w:val="hybridMultilevel"/>
    <w:tmpl w:val="7B6C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D17A8F"/>
    <w:multiLevelType w:val="hybridMultilevel"/>
    <w:tmpl w:val="81F29006"/>
    <w:lvl w:ilvl="0" w:tplc="29E208B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A836E0D"/>
    <w:multiLevelType w:val="multilevel"/>
    <w:tmpl w:val="60D8A17C"/>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5D8D2546"/>
    <w:multiLevelType w:val="singleLevel"/>
    <w:tmpl w:val="E9E809D2"/>
    <w:lvl w:ilvl="0">
      <w:start w:val="1"/>
      <w:numFmt w:val="decimal"/>
      <w:lvlRestart w:val="0"/>
      <w:lvlText w:val="%1"/>
      <w:lvlJc w:val="left"/>
      <w:pPr>
        <w:tabs>
          <w:tab w:val="num" w:pos="567"/>
        </w:tabs>
        <w:ind w:left="567" w:hanging="567"/>
      </w:pPr>
      <w:rPr>
        <w:rFonts w:ascii="9999999" w:hAnsi="9999999"/>
        <w:b w:val="0"/>
        <w:i w:val="0"/>
        <w:color w:val="008000"/>
      </w:rPr>
    </w:lvl>
  </w:abstractNum>
  <w:abstractNum w:abstractNumId="6" w15:restartNumberingAfterBreak="0">
    <w:nsid w:val="5EB062D9"/>
    <w:multiLevelType w:val="hybridMultilevel"/>
    <w:tmpl w:val="D9AACB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8" w15:restartNumberingAfterBreak="0">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67A43C0B"/>
    <w:multiLevelType w:val="multilevel"/>
    <w:tmpl w:val="755851E4"/>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3"/>
  </w:num>
  <w:num w:numId="2">
    <w:abstractNumId w:val="9"/>
  </w:num>
  <w:num w:numId="3">
    <w:abstractNumId w:val="1"/>
  </w:num>
  <w:num w:numId="4">
    <w:abstractNumId w:val="7"/>
  </w:num>
  <w:num w:numId="5">
    <w:abstractNumId w:val="4"/>
  </w:num>
  <w:num w:numId="6">
    <w:abstractNumId w:val="5"/>
  </w:num>
  <w:num w:numId="7">
    <w:abstractNumId w:val="8"/>
  </w:num>
  <w:num w:numId="8">
    <w:abstractNumId w:val="8"/>
  </w:num>
  <w:num w:numId="9">
    <w:abstractNumId w:val="9"/>
  </w:num>
  <w:num w:numId="10">
    <w:abstractNumId w:val="9"/>
  </w:num>
  <w:num w:numId="11">
    <w:abstractNumId w:val="9"/>
  </w:num>
  <w:num w:numId="12">
    <w:abstractNumId w:val="9"/>
  </w:num>
  <w:num w:numId="13">
    <w:abstractNumId w:val="9"/>
  </w:num>
  <w:num w:numId="14">
    <w:abstractNumId w:val="9"/>
  </w:num>
  <w:num w:numId="15">
    <w:abstractNumId w:val="0"/>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embedSystemFont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95"/>
    <w:rsid w:val="0000030A"/>
    <w:rsid w:val="00000DFA"/>
    <w:rsid w:val="00001E47"/>
    <w:rsid w:val="0001322A"/>
    <w:rsid w:val="00016EA2"/>
    <w:rsid w:val="00021515"/>
    <w:rsid w:val="000246A4"/>
    <w:rsid w:val="00025221"/>
    <w:rsid w:val="00026DD2"/>
    <w:rsid w:val="0003016A"/>
    <w:rsid w:val="00033D2E"/>
    <w:rsid w:val="00035AA8"/>
    <w:rsid w:val="0003728B"/>
    <w:rsid w:val="00040575"/>
    <w:rsid w:val="000410BC"/>
    <w:rsid w:val="000421FB"/>
    <w:rsid w:val="000428A0"/>
    <w:rsid w:val="000460A0"/>
    <w:rsid w:val="00047742"/>
    <w:rsid w:val="000518BE"/>
    <w:rsid w:val="000531A5"/>
    <w:rsid w:val="000544B4"/>
    <w:rsid w:val="00054D3B"/>
    <w:rsid w:val="00061FC6"/>
    <w:rsid w:val="00071568"/>
    <w:rsid w:val="00073D2F"/>
    <w:rsid w:val="000747D0"/>
    <w:rsid w:val="00074C9D"/>
    <w:rsid w:val="00076A59"/>
    <w:rsid w:val="000847FD"/>
    <w:rsid w:val="00084FE4"/>
    <w:rsid w:val="000860AF"/>
    <w:rsid w:val="00091196"/>
    <w:rsid w:val="000911B2"/>
    <w:rsid w:val="000920FE"/>
    <w:rsid w:val="00093BE1"/>
    <w:rsid w:val="000946D6"/>
    <w:rsid w:val="00095057"/>
    <w:rsid w:val="00095211"/>
    <w:rsid w:val="00096C60"/>
    <w:rsid w:val="0009750D"/>
    <w:rsid w:val="000A26E4"/>
    <w:rsid w:val="000A48CC"/>
    <w:rsid w:val="000A625D"/>
    <w:rsid w:val="000A6688"/>
    <w:rsid w:val="000A6A20"/>
    <w:rsid w:val="000A701D"/>
    <w:rsid w:val="000B1C75"/>
    <w:rsid w:val="000B22C7"/>
    <w:rsid w:val="000B40BA"/>
    <w:rsid w:val="000B4EBE"/>
    <w:rsid w:val="000B6346"/>
    <w:rsid w:val="000B7DE8"/>
    <w:rsid w:val="000C0036"/>
    <w:rsid w:val="000C10DF"/>
    <w:rsid w:val="000C2038"/>
    <w:rsid w:val="000C2A8F"/>
    <w:rsid w:val="000C42CC"/>
    <w:rsid w:val="000C4BE3"/>
    <w:rsid w:val="000C6DF7"/>
    <w:rsid w:val="000C7E0B"/>
    <w:rsid w:val="000D10D2"/>
    <w:rsid w:val="000D237A"/>
    <w:rsid w:val="000D23EA"/>
    <w:rsid w:val="000D32C4"/>
    <w:rsid w:val="000D462C"/>
    <w:rsid w:val="000D4AE0"/>
    <w:rsid w:val="000E074D"/>
    <w:rsid w:val="000E5687"/>
    <w:rsid w:val="000E74ED"/>
    <w:rsid w:val="000E7914"/>
    <w:rsid w:val="000F147D"/>
    <w:rsid w:val="000F3129"/>
    <w:rsid w:val="000F551A"/>
    <w:rsid w:val="000F73ED"/>
    <w:rsid w:val="000F7A0B"/>
    <w:rsid w:val="00100441"/>
    <w:rsid w:val="00100626"/>
    <w:rsid w:val="00101D65"/>
    <w:rsid w:val="001028B6"/>
    <w:rsid w:val="00104F65"/>
    <w:rsid w:val="00105D8F"/>
    <w:rsid w:val="00112A95"/>
    <w:rsid w:val="00113B45"/>
    <w:rsid w:val="00114785"/>
    <w:rsid w:val="0012016A"/>
    <w:rsid w:val="001277CE"/>
    <w:rsid w:val="001301A7"/>
    <w:rsid w:val="001301A8"/>
    <w:rsid w:val="00132194"/>
    <w:rsid w:val="00132EEF"/>
    <w:rsid w:val="001355F6"/>
    <w:rsid w:val="001366D2"/>
    <w:rsid w:val="001463A7"/>
    <w:rsid w:val="0014648A"/>
    <w:rsid w:val="001477D3"/>
    <w:rsid w:val="0015033B"/>
    <w:rsid w:val="0015056B"/>
    <w:rsid w:val="00152221"/>
    <w:rsid w:val="00153BBD"/>
    <w:rsid w:val="001540CB"/>
    <w:rsid w:val="001559B9"/>
    <w:rsid w:val="001560AA"/>
    <w:rsid w:val="00156F54"/>
    <w:rsid w:val="001602E6"/>
    <w:rsid w:val="001626D1"/>
    <w:rsid w:val="00163770"/>
    <w:rsid w:val="001652B2"/>
    <w:rsid w:val="0016682D"/>
    <w:rsid w:val="00170364"/>
    <w:rsid w:val="00171993"/>
    <w:rsid w:val="001745E8"/>
    <w:rsid w:val="00174A07"/>
    <w:rsid w:val="00176485"/>
    <w:rsid w:val="00184DAE"/>
    <w:rsid w:val="00185454"/>
    <w:rsid w:val="00185B4C"/>
    <w:rsid w:val="00185B6B"/>
    <w:rsid w:val="00186124"/>
    <w:rsid w:val="00186562"/>
    <w:rsid w:val="00186B3A"/>
    <w:rsid w:val="0019164C"/>
    <w:rsid w:val="001929DB"/>
    <w:rsid w:val="00192F62"/>
    <w:rsid w:val="00195CC9"/>
    <w:rsid w:val="001A022B"/>
    <w:rsid w:val="001A03D0"/>
    <w:rsid w:val="001A2E35"/>
    <w:rsid w:val="001A4286"/>
    <w:rsid w:val="001A5025"/>
    <w:rsid w:val="001A5680"/>
    <w:rsid w:val="001A5CB1"/>
    <w:rsid w:val="001B35EC"/>
    <w:rsid w:val="001B517D"/>
    <w:rsid w:val="001C1A40"/>
    <w:rsid w:val="001C5710"/>
    <w:rsid w:val="001D03E3"/>
    <w:rsid w:val="001D63E1"/>
    <w:rsid w:val="001D7335"/>
    <w:rsid w:val="001E0283"/>
    <w:rsid w:val="001E06CC"/>
    <w:rsid w:val="001E1035"/>
    <w:rsid w:val="001E1B19"/>
    <w:rsid w:val="001E1E12"/>
    <w:rsid w:val="001E1E93"/>
    <w:rsid w:val="001E2D96"/>
    <w:rsid w:val="001E3682"/>
    <w:rsid w:val="001E4C0D"/>
    <w:rsid w:val="001E6A74"/>
    <w:rsid w:val="001E6BB4"/>
    <w:rsid w:val="001E717A"/>
    <w:rsid w:val="001F41D0"/>
    <w:rsid w:val="001F7CCF"/>
    <w:rsid w:val="0020160C"/>
    <w:rsid w:val="00202E77"/>
    <w:rsid w:val="00203D5B"/>
    <w:rsid w:val="00204EDE"/>
    <w:rsid w:val="00210D07"/>
    <w:rsid w:val="00211DC4"/>
    <w:rsid w:val="00217EF3"/>
    <w:rsid w:val="00220F16"/>
    <w:rsid w:val="00222A03"/>
    <w:rsid w:val="0023127C"/>
    <w:rsid w:val="00231984"/>
    <w:rsid w:val="00235398"/>
    <w:rsid w:val="0023598C"/>
    <w:rsid w:val="00235DA8"/>
    <w:rsid w:val="00235E6A"/>
    <w:rsid w:val="00236BB4"/>
    <w:rsid w:val="002437EF"/>
    <w:rsid w:val="00245BDD"/>
    <w:rsid w:val="00252B4E"/>
    <w:rsid w:val="00253DB2"/>
    <w:rsid w:val="00254C5B"/>
    <w:rsid w:val="0025563A"/>
    <w:rsid w:val="00257FD6"/>
    <w:rsid w:val="0026066A"/>
    <w:rsid w:val="00260A17"/>
    <w:rsid w:val="002650F2"/>
    <w:rsid w:val="002712A0"/>
    <w:rsid w:val="00274182"/>
    <w:rsid w:val="002771E0"/>
    <w:rsid w:val="00277498"/>
    <w:rsid w:val="00277ED5"/>
    <w:rsid w:val="002807CE"/>
    <w:rsid w:val="0028086A"/>
    <w:rsid w:val="00282872"/>
    <w:rsid w:val="00282E24"/>
    <w:rsid w:val="00283522"/>
    <w:rsid w:val="0028355C"/>
    <w:rsid w:val="00291973"/>
    <w:rsid w:val="002945AC"/>
    <w:rsid w:val="00296443"/>
    <w:rsid w:val="002A3057"/>
    <w:rsid w:val="002A6542"/>
    <w:rsid w:val="002A6992"/>
    <w:rsid w:val="002A76B1"/>
    <w:rsid w:val="002B138A"/>
    <w:rsid w:val="002B18D4"/>
    <w:rsid w:val="002B2AD7"/>
    <w:rsid w:val="002B37BA"/>
    <w:rsid w:val="002B5CA7"/>
    <w:rsid w:val="002B6249"/>
    <w:rsid w:val="002C1258"/>
    <w:rsid w:val="002C1DD2"/>
    <w:rsid w:val="002C64C3"/>
    <w:rsid w:val="002D004A"/>
    <w:rsid w:val="002D1322"/>
    <w:rsid w:val="002D2076"/>
    <w:rsid w:val="002D25E4"/>
    <w:rsid w:val="002D4C6D"/>
    <w:rsid w:val="002D4E4B"/>
    <w:rsid w:val="002D790B"/>
    <w:rsid w:val="002E0F14"/>
    <w:rsid w:val="002E0F62"/>
    <w:rsid w:val="002E30CC"/>
    <w:rsid w:val="002E3C20"/>
    <w:rsid w:val="002F4C82"/>
    <w:rsid w:val="002F60D8"/>
    <w:rsid w:val="002F6B01"/>
    <w:rsid w:val="002F7B78"/>
    <w:rsid w:val="003021D8"/>
    <w:rsid w:val="00302921"/>
    <w:rsid w:val="00302B05"/>
    <w:rsid w:val="003049DA"/>
    <w:rsid w:val="00304F18"/>
    <w:rsid w:val="00307AC8"/>
    <w:rsid w:val="00313C7D"/>
    <w:rsid w:val="00315003"/>
    <w:rsid w:val="00315CE5"/>
    <w:rsid w:val="00317CD5"/>
    <w:rsid w:val="0032392D"/>
    <w:rsid w:val="00323E3F"/>
    <w:rsid w:val="0032518D"/>
    <w:rsid w:val="00326294"/>
    <w:rsid w:val="0032697B"/>
    <w:rsid w:val="003311DF"/>
    <w:rsid w:val="00331912"/>
    <w:rsid w:val="003342CD"/>
    <w:rsid w:val="00334F19"/>
    <w:rsid w:val="00335042"/>
    <w:rsid w:val="00335283"/>
    <w:rsid w:val="003406FB"/>
    <w:rsid w:val="00340DA4"/>
    <w:rsid w:val="00341DEE"/>
    <w:rsid w:val="003479AA"/>
    <w:rsid w:val="00351EEC"/>
    <w:rsid w:val="00355A25"/>
    <w:rsid w:val="00355CB5"/>
    <w:rsid w:val="00356B90"/>
    <w:rsid w:val="00357542"/>
    <w:rsid w:val="00362B70"/>
    <w:rsid w:val="00363F44"/>
    <w:rsid w:val="00364076"/>
    <w:rsid w:val="00365252"/>
    <w:rsid w:val="003672A9"/>
    <w:rsid w:val="00371D54"/>
    <w:rsid w:val="0037272E"/>
    <w:rsid w:val="00373720"/>
    <w:rsid w:val="003746DC"/>
    <w:rsid w:val="0037573E"/>
    <w:rsid w:val="00375F64"/>
    <w:rsid w:val="003762BD"/>
    <w:rsid w:val="00380D59"/>
    <w:rsid w:val="00381B75"/>
    <w:rsid w:val="00382ADF"/>
    <w:rsid w:val="003841B6"/>
    <w:rsid w:val="00385619"/>
    <w:rsid w:val="00387AD3"/>
    <w:rsid w:val="0039186E"/>
    <w:rsid w:val="00392BBA"/>
    <w:rsid w:val="00394960"/>
    <w:rsid w:val="003954FD"/>
    <w:rsid w:val="00397D4E"/>
    <w:rsid w:val="003A00ED"/>
    <w:rsid w:val="003A2012"/>
    <w:rsid w:val="003A33BB"/>
    <w:rsid w:val="003A50F6"/>
    <w:rsid w:val="003A63DB"/>
    <w:rsid w:val="003A66F3"/>
    <w:rsid w:val="003B26EF"/>
    <w:rsid w:val="003B4289"/>
    <w:rsid w:val="003B5746"/>
    <w:rsid w:val="003B691E"/>
    <w:rsid w:val="003C05FF"/>
    <w:rsid w:val="003C1468"/>
    <w:rsid w:val="003C1818"/>
    <w:rsid w:val="003C36A6"/>
    <w:rsid w:val="003C36B1"/>
    <w:rsid w:val="003D0902"/>
    <w:rsid w:val="003D529D"/>
    <w:rsid w:val="003D543B"/>
    <w:rsid w:val="003D5FA8"/>
    <w:rsid w:val="003D6252"/>
    <w:rsid w:val="003D7002"/>
    <w:rsid w:val="003E1957"/>
    <w:rsid w:val="003E1CE3"/>
    <w:rsid w:val="003E3994"/>
    <w:rsid w:val="003E421D"/>
    <w:rsid w:val="003E5C5B"/>
    <w:rsid w:val="003F4F7B"/>
    <w:rsid w:val="003F5422"/>
    <w:rsid w:val="003F58D7"/>
    <w:rsid w:val="00402F29"/>
    <w:rsid w:val="004035AC"/>
    <w:rsid w:val="00404F29"/>
    <w:rsid w:val="0040583E"/>
    <w:rsid w:val="00405BE9"/>
    <w:rsid w:val="004069DB"/>
    <w:rsid w:val="00406FC6"/>
    <w:rsid w:val="004073EF"/>
    <w:rsid w:val="00413FA3"/>
    <w:rsid w:val="0041574B"/>
    <w:rsid w:val="00416B9B"/>
    <w:rsid w:val="00421722"/>
    <w:rsid w:val="00422793"/>
    <w:rsid w:val="00422B03"/>
    <w:rsid w:val="00424056"/>
    <w:rsid w:val="0042609D"/>
    <w:rsid w:val="00432435"/>
    <w:rsid w:val="004364FA"/>
    <w:rsid w:val="004377D3"/>
    <w:rsid w:val="00440E38"/>
    <w:rsid w:val="00443C4F"/>
    <w:rsid w:val="00445B72"/>
    <w:rsid w:val="0045199D"/>
    <w:rsid w:val="00453D02"/>
    <w:rsid w:val="0045765B"/>
    <w:rsid w:val="004579C3"/>
    <w:rsid w:val="00460C47"/>
    <w:rsid w:val="00460E21"/>
    <w:rsid w:val="00462095"/>
    <w:rsid w:val="00462659"/>
    <w:rsid w:val="0046501B"/>
    <w:rsid w:val="004660E3"/>
    <w:rsid w:val="00467FF6"/>
    <w:rsid w:val="00470126"/>
    <w:rsid w:val="004718B4"/>
    <w:rsid w:val="00474655"/>
    <w:rsid w:val="00474FD0"/>
    <w:rsid w:val="004756D4"/>
    <w:rsid w:val="00477BFE"/>
    <w:rsid w:val="00480DE2"/>
    <w:rsid w:val="00482B7C"/>
    <w:rsid w:val="00483225"/>
    <w:rsid w:val="004848C2"/>
    <w:rsid w:val="00484D57"/>
    <w:rsid w:val="00486579"/>
    <w:rsid w:val="004929B8"/>
    <w:rsid w:val="00493EB8"/>
    <w:rsid w:val="00495272"/>
    <w:rsid w:val="004A0697"/>
    <w:rsid w:val="004A06B9"/>
    <w:rsid w:val="004A252D"/>
    <w:rsid w:val="004A5B29"/>
    <w:rsid w:val="004B3C0F"/>
    <w:rsid w:val="004B7846"/>
    <w:rsid w:val="004C05E4"/>
    <w:rsid w:val="004D2169"/>
    <w:rsid w:val="004D5566"/>
    <w:rsid w:val="004D5AC6"/>
    <w:rsid w:val="004D5B0B"/>
    <w:rsid w:val="004D5E9B"/>
    <w:rsid w:val="004D7751"/>
    <w:rsid w:val="004E0160"/>
    <w:rsid w:val="004E330A"/>
    <w:rsid w:val="004E39E1"/>
    <w:rsid w:val="004F00E0"/>
    <w:rsid w:val="004F6DE0"/>
    <w:rsid w:val="004F77BF"/>
    <w:rsid w:val="00501DF6"/>
    <w:rsid w:val="005020DA"/>
    <w:rsid w:val="005026D0"/>
    <w:rsid w:val="00503E44"/>
    <w:rsid w:val="00504980"/>
    <w:rsid w:val="00505557"/>
    <w:rsid w:val="00507B89"/>
    <w:rsid w:val="0051220C"/>
    <w:rsid w:val="005128AA"/>
    <w:rsid w:val="005151AD"/>
    <w:rsid w:val="00515283"/>
    <w:rsid w:val="00515F76"/>
    <w:rsid w:val="00516B91"/>
    <w:rsid w:val="005233DE"/>
    <w:rsid w:val="005253A9"/>
    <w:rsid w:val="00525EE8"/>
    <w:rsid w:val="00526BB5"/>
    <w:rsid w:val="005278D8"/>
    <w:rsid w:val="00527F9E"/>
    <w:rsid w:val="00530980"/>
    <w:rsid w:val="00533926"/>
    <w:rsid w:val="0053402B"/>
    <w:rsid w:val="005350C7"/>
    <w:rsid w:val="005415A4"/>
    <w:rsid w:val="00542A5F"/>
    <w:rsid w:val="005463F7"/>
    <w:rsid w:val="0055347F"/>
    <w:rsid w:val="0055675D"/>
    <w:rsid w:val="00556A23"/>
    <w:rsid w:val="005578A4"/>
    <w:rsid w:val="00562E85"/>
    <w:rsid w:val="00563E66"/>
    <w:rsid w:val="00566E8F"/>
    <w:rsid w:val="00567423"/>
    <w:rsid w:val="00567747"/>
    <w:rsid w:val="00570302"/>
    <w:rsid w:val="005727BE"/>
    <w:rsid w:val="00572D9A"/>
    <w:rsid w:val="0057351B"/>
    <w:rsid w:val="005753BA"/>
    <w:rsid w:val="0058047C"/>
    <w:rsid w:val="00580C2E"/>
    <w:rsid w:val="005833BE"/>
    <w:rsid w:val="00583B7A"/>
    <w:rsid w:val="00584224"/>
    <w:rsid w:val="00585487"/>
    <w:rsid w:val="005875A5"/>
    <w:rsid w:val="0059496D"/>
    <w:rsid w:val="005949F1"/>
    <w:rsid w:val="00595442"/>
    <w:rsid w:val="0059696D"/>
    <w:rsid w:val="005A148A"/>
    <w:rsid w:val="005A30DF"/>
    <w:rsid w:val="005A3770"/>
    <w:rsid w:val="005A3884"/>
    <w:rsid w:val="005A432C"/>
    <w:rsid w:val="005A6134"/>
    <w:rsid w:val="005A75B4"/>
    <w:rsid w:val="005A7A70"/>
    <w:rsid w:val="005A7EBE"/>
    <w:rsid w:val="005B26FB"/>
    <w:rsid w:val="005B3A3B"/>
    <w:rsid w:val="005B51C2"/>
    <w:rsid w:val="005C0F36"/>
    <w:rsid w:val="005C1C1D"/>
    <w:rsid w:val="005C5F83"/>
    <w:rsid w:val="005C7B19"/>
    <w:rsid w:val="005D01BC"/>
    <w:rsid w:val="005D1FB8"/>
    <w:rsid w:val="005D28C0"/>
    <w:rsid w:val="005D2DD7"/>
    <w:rsid w:val="005D57FA"/>
    <w:rsid w:val="005D5E19"/>
    <w:rsid w:val="005D7D5A"/>
    <w:rsid w:val="005E3DD4"/>
    <w:rsid w:val="005E4BAC"/>
    <w:rsid w:val="005E6347"/>
    <w:rsid w:val="005F0797"/>
    <w:rsid w:val="005F1724"/>
    <w:rsid w:val="005F64E2"/>
    <w:rsid w:val="005F751B"/>
    <w:rsid w:val="005F7683"/>
    <w:rsid w:val="0060009D"/>
    <w:rsid w:val="0060130D"/>
    <w:rsid w:val="006018FB"/>
    <w:rsid w:val="00602570"/>
    <w:rsid w:val="00605DE2"/>
    <w:rsid w:val="006060B9"/>
    <w:rsid w:val="00606F26"/>
    <w:rsid w:val="00607F85"/>
    <w:rsid w:val="00607FB8"/>
    <w:rsid w:val="00613F6E"/>
    <w:rsid w:val="00614E27"/>
    <w:rsid w:val="006167CA"/>
    <w:rsid w:val="00625755"/>
    <w:rsid w:val="00631BCA"/>
    <w:rsid w:val="006323AA"/>
    <w:rsid w:val="00635FEB"/>
    <w:rsid w:val="0064129F"/>
    <w:rsid w:val="006413FA"/>
    <w:rsid w:val="006419D8"/>
    <w:rsid w:val="00642C7C"/>
    <w:rsid w:val="00647BB7"/>
    <w:rsid w:val="0065163B"/>
    <w:rsid w:val="00651C68"/>
    <w:rsid w:val="00651DFC"/>
    <w:rsid w:val="00652434"/>
    <w:rsid w:val="006562A2"/>
    <w:rsid w:val="006619D4"/>
    <w:rsid w:val="00665F48"/>
    <w:rsid w:val="00670575"/>
    <w:rsid w:val="00671A2C"/>
    <w:rsid w:val="00673C64"/>
    <w:rsid w:val="00680297"/>
    <w:rsid w:val="0068198B"/>
    <w:rsid w:val="00683950"/>
    <w:rsid w:val="006847BA"/>
    <w:rsid w:val="00684914"/>
    <w:rsid w:val="00686D8A"/>
    <w:rsid w:val="0069408F"/>
    <w:rsid w:val="00695A92"/>
    <w:rsid w:val="006973CF"/>
    <w:rsid w:val="006A04CB"/>
    <w:rsid w:val="006A0786"/>
    <w:rsid w:val="006A4849"/>
    <w:rsid w:val="006A5BA6"/>
    <w:rsid w:val="006B0926"/>
    <w:rsid w:val="006B1918"/>
    <w:rsid w:val="006B1F25"/>
    <w:rsid w:val="006B22C1"/>
    <w:rsid w:val="006B2E97"/>
    <w:rsid w:val="006B467F"/>
    <w:rsid w:val="006B494C"/>
    <w:rsid w:val="006B5089"/>
    <w:rsid w:val="006B596A"/>
    <w:rsid w:val="006B72B7"/>
    <w:rsid w:val="006B7856"/>
    <w:rsid w:val="006B7D01"/>
    <w:rsid w:val="006C1840"/>
    <w:rsid w:val="006C2071"/>
    <w:rsid w:val="006C462E"/>
    <w:rsid w:val="006C5FF9"/>
    <w:rsid w:val="006D1C00"/>
    <w:rsid w:val="006E1684"/>
    <w:rsid w:val="006E26B8"/>
    <w:rsid w:val="006E27DA"/>
    <w:rsid w:val="006E3C48"/>
    <w:rsid w:val="006E477D"/>
    <w:rsid w:val="006E55BE"/>
    <w:rsid w:val="006E71C3"/>
    <w:rsid w:val="006E73AE"/>
    <w:rsid w:val="006E7523"/>
    <w:rsid w:val="006E79D8"/>
    <w:rsid w:val="006F1400"/>
    <w:rsid w:val="006F16D4"/>
    <w:rsid w:val="006F38CD"/>
    <w:rsid w:val="006F56BC"/>
    <w:rsid w:val="006F5987"/>
    <w:rsid w:val="006F5B90"/>
    <w:rsid w:val="006F5F79"/>
    <w:rsid w:val="006F6B07"/>
    <w:rsid w:val="007023B3"/>
    <w:rsid w:val="007026A1"/>
    <w:rsid w:val="0070274C"/>
    <w:rsid w:val="00702EC0"/>
    <w:rsid w:val="0070492F"/>
    <w:rsid w:val="00706AED"/>
    <w:rsid w:val="00714A5E"/>
    <w:rsid w:val="007154D4"/>
    <w:rsid w:val="007155A5"/>
    <w:rsid w:val="00716138"/>
    <w:rsid w:val="007176C7"/>
    <w:rsid w:val="00721DCC"/>
    <w:rsid w:val="007227CB"/>
    <w:rsid w:val="00722E18"/>
    <w:rsid w:val="00724969"/>
    <w:rsid w:val="007252C6"/>
    <w:rsid w:val="00730CDE"/>
    <w:rsid w:val="007330D7"/>
    <w:rsid w:val="00733352"/>
    <w:rsid w:val="007338C7"/>
    <w:rsid w:val="007347F0"/>
    <w:rsid w:val="0073511E"/>
    <w:rsid w:val="00736F61"/>
    <w:rsid w:val="007435A4"/>
    <w:rsid w:val="00752755"/>
    <w:rsid w:val="007530CF"/>
    <w:rsid w:val="00756877"/>
    <w:rsid w:val="0076337D"/>
    <w:rsid w:val="00763E75"/>
    <w:rsid w:val="007662C7"/>
    <w:rsid w:val="0076795D"/>
    <w:rsid w:val="00770174"/>
    <w:rsid w:val="00770406"/>
    <w:rsid w:val="00771298"/>
    <w:rsid w:val="00772B89"/>
    <w:rsid w:val="00773F77"/>
    <w:rsid w:val="00776306"/>
    <w:rsid w:val="00777FD2"/>
    <w:rsid w:val="00781B5B"/>
    <w:rsid w:val="007828A2"/>
    <w:rsid w:val="007830B2"/>
    <w:rsid w:val="007876DA"/>
    <w:rsid w:val="00790259"/>
    <w:rsid w:val="0079291D"/>
    <w:rsid w:val="00793235"/>
    <w:rsid w:val="00794C01"/>
    <w:rsid w:val="007A12F4"/>
    <w:rsid w:val="007A6AB0"/>
    <w:rsid w:val="007A7CAC"/>
    <w:rsid w:val="007A7E51"/>
    <w:rsid w:val="007B0077"/>
    <w:rsid w:val="007B03D2"/>
    <w:rsid w:val="007B09C5"/>
    <w:rsid w:val="007B1F10"/>
    <w:rsid w:val="007B3083"/>
    <w:rsid w:val="007B4C4B"/>
    <w:rsid w:val="007C53A4"/>
    <w:rsid w:val="007C6018"/>
    <w:rsid w:val="007C71B9"/>
    <w:rsid w:val="007C736A"/>
    <w:rsid w:val="007C7ED1"/>
    <w:rsid w:val="007D1834"/>
    <w:rsid w:val="007D1DD0"/>
    <w:rsid w:val="007D2706"/>
    <w:rsid w:val="007D38A8"/>
    <w:rsid w:val="007D3A1D"/>
    <w:rsid w:val="007D3DE1"/>
    <w:rsid w:val="007D4B5F"/>
    <w:rsid w:val="007D7020"/>
    <w:rsid w:val="007E018D"/>
    <w:rsid w:val="007E3FBE"/>
    <w:rsid w:val="007E5AF3"/>
    <w:rsid w:val="007E6469"/>
    <w:rsid w:val="007E7851"/>
    <w:rsid w:val="007F0902"/>
    <w:rsid w:val="007F1133"/>
    <w:rsid w:val="007F1B71"/>
    <w:rsid w:val="007F30ED"/>
    <w:rsid w:val="007F5DB7"/>
    <w:rsid w:val="007F696E"/>
    <w:rsid w:val="00800032"/>
    <w:rsid w:val="008001DB"/>
    <w:rsid w:val="00801CE5"/>
    <w:rsid w:val="0080426E"/>
    <w:rsid w:val="0080480A"/>
    <w:rsid w:val="00804BAB"/>
    <w:rsid w:val="00805397"/>
    <w:rsid w:val="00806ACE"/>
    <w:rsid w:val="0080714D"/>
    <w:rsid w:val="00807E7D"/>
    <w:rsid w:val="00810355"/>
    <w:rsid w:val="0081358D"/>
    <w:rsid w:val="0082542D"/>
    <w:rsid w:val="00826655"/>
    <w:rsid w:val="00831675"/>
    <w:rsid w:val="00831EA2"/>
    <w:rsid w:val="008320F4"/>
    <w:rsid w:val="0083428F"/>
    <w:rsid w:val="00834A96"/>
    <w:rsid w:val="008353F0"/>
    <w:rsid w:val="008416F6"/>
    <w:rsid w:val="00842B51"/>
    <w:rsid w:val="008433A8"/>
    <w:rsid w:val="008436E7"/>
    <w:rsid w:val="008440BA"/>
    <w:rsid w:val="008471A2"/>
    <w:rsid w:val="008524D9"/>
    <w:rsid w:val="00852A28"/>
    <w:rsid w:val="008531D1"/>
    <w:rsid w:val="00853F36"/>
    <w:rsid w:val="00854046"/>
    <w:rsid w:val="00856F40"/>
    <w:rsid w:val="008574E0"/>
    <w:rsid w:val="008639A7"/>
    <w:rsid w:val="008659DF"/>
    <w:rsid w:val="008713CB"/>
    <w:rsid w:val="00874AA7"/>
    <w:rsid w:val="0087641C"/>
    <w:rsid w:val="00876D3A"/>
    <w:rsid w:val="00877D2B"/>
    <w:rsid w:val="00882347"/>
    <w:rsid w:val="008837A7"/>
    <w:rsid w:val="0088467C"/>
    <w:rsid w:val="008873DE"/>
    <w:rsid w:val="00887E5D"/>
    <w:rsid w:val="008907EF"/>
    <w:rsid w:val="00893797"/>
    <w:rsid w:val="00894579"/>
    <w:rsid w:val="00894CB3"/>
    <w:rsid w:val="0089710B"/>
    <w:rsid w:val="008A0B86"/>
    <w:rsid w:val="008A0DF9"/>
    <w:rsid w:val="008A5B67"/>
    <w:rsid w:val="008A7FE4"/>
    <w:rsid w:val="008B0FDF"/>
    <w:rsid w:val="008B4322"/>
    <w:rsid w:val="008B4C84"/>
    <w:rsid w:val="008B5B82"/>
    <w:rsid w:val="008B5D26"/>
    <w:rsid w:val="008B658B"/>
    <w:rsid w:val="008B75D2"/>
    <w:rsid w:val="008C7414"/>
    <w:rsid w:val="008D0B59"/>
    <w:rsid w:val="008D0BDD"/>
    <w:rsid w:val="008D16F7"/>
    <w:rsid w:val="008D26DF"/>
    <w:rsid w:val="008D396B"/>
    <w:rsid w:val="008D50F9"/>
    <w:rsid w:val="008D6134"/>
    <w:rsid w:val="008D743B"/>
    <w:rsid w:val="008E024A"/>
    <w:rsid w:val="008E1427"/>
    <w:rsid w:val="008E1721"/>
    <w:rsid w:val="008E323D"/>
    <w:rsid w:val="008E3557"/>
    <w:rsid w:val="008E6B0E"/>
    <w:rsid w:val="008E6E2B"/>
    <w:rsid w:val="008F2ED7"/>
    <w:rsid w:val="008F4903"/>
    <w:rsid w:val="008F57B7"/>
    <w:rsid w:val="00903276"/>
    <w:rsid w:val="0090538A"/>
    <w:rsid w:val="0091020F"/>
    <w:rsid w:val="00911718"/>
    <w:rsid w:val="009139F8"/>
    <w:rsid w:val="009143A0"/>
    <w:rsid w:val="00915995"/>
    <w:rsid w:val="00917E82"/>
    <w:rsid w:val="0092015B"/>
    <w:rsid w:val="009201EE"/>
    <w:rsid w:val="00923844"/>
    <w:rsid w:val="00926CC7"/>
    <w:rsid w:val="00931249"/>
    <w:rsid w:val="00932CC2"/>
    <w:rsid w:val="009331D1"/>
    <w:rsid w:val="00934725"/>
    <w:rsid w:val="0093491F"/>
    <w:rsid w:val="00936570"/>
    <w:rsid w:val="00936694"/>
    <w:rsid w:val="00944933"/>
    <w:rsid w:val="00950B22"/>
    <w:rsid w:val="00950F49"/>
    <w:rsid w:val="00952106"/>
    <w:rsid w:val="00952FF7"/>
    <w:rsid w:val="00954679"/>
    <w:rsid w:val="00961CD6"/>
    <w:rsid w:val="00966825"/>
    <w:rsid w:val="00966E3A"/>
    <w:rsid w:val="00970752"/>
    <w:rsid w:val="00971B06"/>
    <w:rsid w:val="00971C35"/>
    <w:rsid w:val="00974416"/>
    <w:rsid w:val="00975112"/>
    <w:rsid w:val="00975328"/>
    <w:rsid w:val="009769FC"/>
    <w:rsid w:val="009779C5"/>
    <w:rsid w:val="00981DF4"/>
    <w:rsid w:val="00992266"/>
    <w:rsid w:val="009937B8"/>
    <w:rsid w:val="009945D5"/>
    <w:rsid w:val="009A1E1D"/>
    <w:rsid w:val="009A1F89"/>
    <w:rsid w:val="009A2D01"/>
    <w:rsid w:val="009A686A"/>
    <w:rsid w:val="009A737C"/>
    <w:rsid w:val="009A7D95"/>
    <w:rsid w:val="009B2A72"/>
    <w:rsid w:val="009B6F0D"/>
    <w:rsid w:val="009B7915"/>
    <w:rsid w:val="009C116A"/>
    <w:rsid w:val="009C18A7"/>
    <w:rsid w:val="009C5ED4"/>
    <w:rsid w:val="009C5F37"/>
    <w:rsid w:val="009D0038"/>
    <w:rsid w:val="009D0B79"/>
    <w:rsid w:val="009D30CE"/>
    <w:rsid w:val="009D579B"/>
    <w:rsid w:val="009D6D90"/>
    <w:rsid w:val="009E13DF"/>
    <w:rsid w:val="009E1FD8"/>
    <w:rsid w:val="009E2F86"/>
    <w:rsid w:val="009E32B1"/>
    <w:rsid w:val="009E588C"/>
    <w:rsid w:val="009F03A0"/>
    <w:rsid w:val="009F1161"/>
    <w:rsid w:val="009F7B3E"/>
    <w:rsid w:val="00A02EB1"/>
    <w:rsid w:val="00A03BD5"/>
    <w:rsid w:val="00A0727E"/>
    <w:rsid w:val="00A103CA"/>
    <w:rsid w:val="00A12209"/>
    <w:rsid w:val="00A1231C"/>
    <w:rsid w:val="00A246AF"/>
    <w:rsid w:val="00A30756"/>
    <w:rsid w:val="00A30922"/>
    <w:rsid w:val="00A325EB"/>
    <w:rsid w:val="00A34371"/>
    <w:rsid w:val="00A34743"/>
    <w:rsid w:val="00A35E2F"/>
    <w:rsid w:val="00A36DF3"/>
    <w:rsid w:val="00A3764B"/>
    <w:rsid w:val="00A37BC0"/>
    <w:rsid w:val="00A407CC"/>
    <w:rsid w:val="00A46610"/>
    <w:rsid w:val="00A50EB8"/>
    <w:rsid w:val="00A51078"/>
    <w:rsid w:val="00A5291B"/>
    <w:rsid w:val="00A52BEB"/>
    <w:rsid w:val="00A532DD"/>
    <w:rsid w:val="00A551C9"/>
    <w:rsid w:val="00A57082"/>
    <w:rsid w:val="00A625A6"/>
    <w:rsid w:val="00A65B63"/>
    <w:rsid w:val="00A677E7"/>
    <w:rsid w:val="00A7293D"/>
    <w:rsid w:val="00A76330"/>
    <w:rsid w:val="00A77267"/>
    <w:rsid w:val="00A80BCF"/>
    <w:rsid w:val="00A81FAC"/>
    <w:rsid w:val="00A82246"/>
    <w:rsid w:val="00A82BB7"/>
    <w:rsid w:val="00A82F84"/>
    <w:rsid w:val="00A8369C"/>
    <w:rsid w:val="00A83CCC"/>
    <w:rsid w:val="00A85206"/>
    <w:rsid w:val="00A85B50"/>
    <w:rsid w:val="00A92086"/>
    <w:rsid w:val="00A96FDA"/>
    <w:rsid w:val="00AA1689"/>
    <w:rsid w:val="00AA26B9"/>
    <w:rsid w:val="00AA32FD"/>
    <w:rsid w:val="00AA38B0"/>
    <w:rsid w:val="00AA3D5B"/>
    <w:rsid w:val="00AB0710"/>
    <w:rsid w:val="00AB19A8"/>
    <w:rsid w:val="00AB4D3F"/>
    <w:rsid w:val="00AB67A5"/>
    <w:rsid w:val="00AB6B63"/>
    <w:rsid w:val="00AC0C87"/>
    <w:rsid w:val="00AC166B"/>
    <w:rsid w:val="00AC1D15"/>
    <w:rsid w:val="00AC2B04"/>
    <w:rsid w:val="00AC5A05"/>
    <w:rsid w:val="00AC5AC0"/>
    <w:rsid w:val="00AC668E"/>
    <w:rsid w:val="00AD0E94"/>
    <w:rsid w:val="00AD1907"/>
    <w:rsid w:val="00AD2836"/>
    <w:rsid w:val="00AD5CEC"/>
    <w:rsid w:val="00AD5F92"/>
    <w:rsid w:val="00AD6BD8"/>
    <w:rsid w:val="00AE08FB"/>
    <w:rsid w:val="00AE4309"/>
    <w:rsid w:val="00AE46D3"/>
    <w:rsid w:val="00AE5D69"/>
    <w:rsid w:val="00AE6882"/>
    <w:rsid w:val="00AE785F"/>
    <w:rsid w:val="00AE7F5D"/>
    <w:rsid w:val="00AF0BF8"/>
    <w:rsid w:val="00AF1708"/>
    <w:rsid w:val="00AF2E92"/>
    <w:rsid w:val="00AF31CE"/>
    <w:rsid w:val="00AF40F3"/>
    <w:rsid w:val="00AF6F5E"/>
    <w:rsid w:val="00B01730"/>
    <w:rsid w:val="00B02A3D"/>
    <w:rsid w:val="00B0467A"/>
    <w:rsid w:val="00B0541C"/>
    <w:rsid w:val="00B07B0C"/>
    <w:rsid w:val="00B104D2"/>
    <w:rsid w:val="00B10E9A"/>
    <w:rsid w:val="00B170AF"/>
    <w:rsid w:val="00B17C55"/>
    <w:rsid w:val="00B206CE"/>
    <w:rsid w:val="00B218A9"/>
    <w:rsid w:val="00B22462"/>
    <w:rsid w:val="00B245A0"/>
    <w:rsid w:val="00B24B59"/>
    <w:rsid w:val="00B251A3"/>
    <w:rsid w:val="00B25563"/>
    <w:rsid w:val="00B255FC"/>
    <w:rsid w:val="00B261E5"/>
    <w:rsid w:val="00B26D48"/>
    <w:rsid w:val="00B32965"/>
    <w:rsid w:val="00B334F5"/>
    <w:rsid w:val="00B33BFE"/>
    <w:rsid w:val="00B35196"/>
    <w:rsid w:val="00B42EE1"/>
    <w:rsid w:val="00B46A93"/>
    <w:rsid w:val="00B513A3"/>
    <w:rsid w:val="00B53F12"/>
    <w:rsid w:val="00B55F91"/>
    <w:rsid w:val="00B600A8"/>
    <w:rsid w:val="00B60FC0"/>
    <w:rsid w:val="00B64D08"/>
    <w:rsid w:val="00B6657D"/>
    <w:rsid w:val="00B66EFF"/>
    <w:rsid w:val="00B678E7"/>
    <w:rsid w:val="00B86380"/>
    <w:rsid w:val="00B92478"/>
    <w:rsid w:val="00B958C9"/>
    <w:rsid w:val="00B96C70"/>
    <w:rsid w:val="00BA34BF"/>
    <w:rsid w:val="00BA3C4E"/>
    <w:rsid w:val="00BA3EE1"/>
    <w:rsid w:val="00BA4978"/>
    <w:rsid w:val="00BA510F"/>
    <w:rsid w:val="00BA55C1"/>
    <w:rsid w:val="00BA5AD1"/>
    <w:rsid w:val="00BA6B91"/>
    <w:rsid w:val="00BA7162"/>
    <w:rsid w:val="00BB1B61"/>
    <w:rsid w:val="00BC16EF"/>
    <w:rsid w:val="00BC4177"/>
    <w:rsid w:val="00BC4792"/>
    <w:rsid w:val="00BC5D94"/>
    <w:rsid w:val="00BC7E29"/>
    <w:rsid w:val="00BD0E2D"/>
    <w:rsid w:val="00BD0E4A"/>
    <w:rsid w:val="00BD2863"/>
    <w:rsid w:val="00BD28C5"/>
    <w:rsid w:val="00BD4C1F"/>
    <w:rsid w:val="00BD61A2"/>
    <w:rsid w:val="00BE0C1D"/>
    <w:rsid w:val="00BE484D"/>
    <w:rsid w:val="00BE49D7"/>
    <w:rsid w:val="00BE4AEA"/>
    <w:rsid w:val="00BE5423"/>
    <w:rsid w:val="00BE6EA9"/>
    <w:rsid w:val="00BF19EA"/>
    <w:rsid w:val="00BF2B3C"/>
    <w:rsid w:val="00BF52C2"/>
    <w:rsid w:val="00BF58C9"/>
    <w:rsid w:val="00BF6588"/>
    <w:rsid w:val="00C0054C"/>
    <w:rsid w:val="00C02DF6"/>
    <w:rsid w:val="00C0342E"/>
    <w:rsid w:val="00C05944"/>
    <w:rsid w:val="00C07662"/>
    <w:rsid w:val="00C10885"/>
    <w:rsid w:val="00C10F7D"/>
    <w:rsid w:val="00C118DF"/>
    <w:rsid w:val="00C161F7"/>
    <w:rsid w:val="00C2078D"/>
    <w:rsid w:val="00C2232E"/>
    <w:rsid w:val="00C22B3E"/>
    <w:rsid w:val="00C2429F"/>
    <w:rsid w:val="00C253D3"/>
    <w:rsid w:val="00C25A23"/>
    <w:rsid w:val="00C31226"/>
    <w:rsid w:val="00C31387"/>
    <w:rsid w:val="00C338FA"/>
    <w:rsid w:val="00C34B38"/>
    <w:rsid w:val="00C35235"/>
    <w:rsid w:val="00C36B0F"/>
    <w:rsid w:val="00C37E05"/>
    <w:rsid w:val="00C401E6"/>
    <w:rsid w:val="00C40873"/>
    <w:rsid w:val="00C41073"/>
    <w:rsid w:val="00C411E6"/>
    <w:rsid w:val="00C412D4"/>
    <w:rsid w:val="00C43D34"/>
    <w:rsid w:val="00C46238"/>
    <w:rsid w:val="00C46F0E"/>
    <w:rsid w:val="00C47ED1"/>
    <w:rsid w:val="00C515A3"/>
    <w:rsid w:val="00C51C79"/>
    <w:rsid w:val="00C537B5"/>
    <w:rsid w:val="00C5469A"/>
    <w:rsid w:val="00C55D29"/>
    <w:rsid w:val="00C63D3A"/>
    <w:rsid w:val="00C656BD"/>
    <w:rsid w:val="00C66111"/>
    <w:rsid w:val="00C66473"/>
    <w:rsid w:val="00C67515"/>
    <w:rsid w:val="00C67797"/>
    <w:rsid w:val="00C70E17"/>
    <w:rsid w:val="00C72CF7"/>
    <w:rsid w:val="00C7599F"/>
    <w:rsid w:val="00C77A8E"/>
    <w:rsid w:val="00C81FC2"/>
    <w:rsid w:val="00C8240E"/>
    <w:rsid w:val="00C82AB2"/>
    <w:rsid w:val="00C84C04"/>
    <w:rsid w:val="00C852E0"/>
    <w:rsid w:val="00C90A26"/>
    <w:rsid w:val="00C926CA"/>
    <w:rsid w:val="00C92A49"/>
    <w:rsid w:val="00C92A99"/>
    <w:rsid w:val="00C94E4C"/>
    <w:rsid w:val="00C954C0"/>
    <w:rsid w:val="00C96562"/>
    <w:rsid w:val="00C97405"/>
    <w:rsid w:val="00C974F4"/>
    <w:rsid w:val="00CA0BE9"/>
    <w:rsid w:val="00CA138D"/>
    <w:rsid w:val="00CA44E4"/>
    <w:rsid w:val="00CA505F"/>
    <w:rsid w:val="00CA52AD"/>
    <w:rsid w:val="00CA5A50"/>
    <w:rsid w:val="00CA5C48"/>
    <w:rsid w:val="00CB014D"/>
    <w:rsid w:val="00CB1925"/>
    <w:rsid w:val="00CB262B"/>
    <w:rsid w:val="00CB3BBB"/>
    <w:rsid w:val="00CC0553"/>
    <w:rsid w:val="00CC0D3B"/>
    <w:rsid w:val="00CC1CA8"/>
    <w:rsid w:val="00CC7641"/>
    <w:rsid w:val="00CD22BF"/>
    <w:rsid w:val="00CD2D77"/>
    <w:rsid w:val="00CD3437"/>
    <w:rsid w:val="00CD34EE"/>
    <w:rsid w:val="00CE0F37"/>
    <w:rsid w:val="00CE1E9C"/>
    <w:rsid w:val="00CE20C2"/>
    <w:rsid w:val="00CE314E"/>
    <w:rsid w:val="00CE3E71"/>
    <w:rsid w:val="00CE7747"/>
    <w:rsid w:val="00CF08BB"/>
    <w:rsid w:val="00CF099F"/>
    <w:rsid w:val="00CF17C2"/>
    <w:rsid w:val="00CF2269"/>
    <w:rsid w:val="00CF3140"/>
    <w:rsid w:val="00CF325E"/>
    <w:rsid w:val="00CF4DE3"/>
    <w:rsid w:val="00D01CE9"/>
    <w:rsid w:val="00D044D5"/>
    <w:rsid w:val="00D04954"/>
    <w:rsid w:val="00D12981"/>
    <w:rsid w:val="00D13421"/>
    <w:rsid w:val="00D13794"/>
    <w:rsid w:val="00D24052"/>
    <w:rsid w:val="00D24386"/>
    <w:rsid w:val="00D24C08"/>
    <w:rsid w:val="00D24F18"/>
    <w:rsid w:val="00D256CA"/>
    <w:rsid w:val="00D30334"/>
    <w:rsid w:val="00D30AC2"/>
    <w:rsid w:val="00D31575"/>
    <w:rsid w:val="00D326B1"/>
    <w:rsid w:val="00D34626"/>
    <w:rsid w:val="00D347EF"/>
    <w:rsid w:val="00D36C1E"/>
    <w:rsid w:val="00D37990"/>
    <w:rsid w:val="00D41980"/>
    <w:rsid w:val="00D4257A"/>
    <w:rsid w:val="00D44F5D"/>
    <w:rsid w:val="00D55B35"/>
    <w:rsid w:val="00D55D90"/>
    <w:rsid w:val="00D56D25"/>
    <w:rsid w:val="00D57B78"/>
    <w:rsid w:val="00D57EC6"/>
    <w:rsid w:val="00D61CE6"/>
    <w:rsid w:val="00D62665"/>
    <w:rsid w:val="00D64F79"/>
    <w:rsid w:val="00D67230"/>
    <w:rsid w:val="00D67DF3"/>
    <w:rsid w:val="00D7088A"/>
    <w:rsid w:val="00D72190"/>
    <w:rsid w:val="00D73CC5"/>
    <w:rsid w:val="00D76081"/>
    <w:rsid w:val="00D76647"/>
    <w:rsid w:val="00D80794"/>
    <w:rsid w:val="00D81A90"/>
    <w:rsid w:val="00D840E3"/>
    <w:rsid w:val="00D8466C"/>
    <w:rsid w:val="00D84760"/>
    <w:rsid w:val="00D86362"/>
    <w:rsid w:val="00D86A2A"/>
    <w:rsid w:val="00D90171"/>
    <w:rsid w:val="00DA0168"/>
    <w:rsid w:val="00DA0C7D"/>
    <w:rsid w:val="00DA6973"/>
    <w:rsid w:val="00DA6C61"/>
    <w:rsid w:val="00DA70FB"/>
    <w:rsid w:val="00DB3047"/>
    <w:rsid w:val="00DB73B2"/>
    <w:rsid w:val="00DC0153"/>
    <w:rsid w:val="00DC0CDE"/>
    <w:rsid w:val="00DC3365"/>
    <w:rsid w:val="00DC3AA1"/>
    <w:rsid w:val="00DC498B"/>
    <w:rsid w:val="00DC4D72"/>
    <w:rsid w:val="00DD25C9"/>
    <w:rsid w:val="00DD3461"/>
    <w:rsid w:val="00DD50A2"/>
    <w:rsid w:val="00DD57EE"/>
    <w:rsid w:val="00DD7064"/>
    <w:rsid w:val="00DE09B6"/>
    <w:rsid w:val="00DE50A1"/>
    <w:rsid w:val="00DE736B"/>
    <w:rsid w:val="00DE77A5"/>
    <w:rsid w:val="00DF18B7"/>
    <w:rsid w:val="00DF351F"/>
    <w:rsid w:val="00DF696B"/>
    <w:rsid w:val="00DF6D90"/>
    <w:rsid w:val="00E01C28"/>
    <w:rsid w:val="00E02562"/>
    <w:rsid w:val="00E03249"/>
    <w:rsid w:val="00E034BB"/>
    <w:rsid w:val="00E0542A"/>
    <w:rsid w:val="00E0624D"/>
    <w:rsid w:val="00E0790F"/>
    <w:rsid w:val="00E1102A"/>
    <w:rsid w:val="00E1552E"/>
    <w:rsid w:val="00E1703E"/>
    <w:rsid w:val="00E2010E"/>
    <w:rsid w:val="00E209D0"/>
    <w:rsid w:val="00E215C5"/>
    <w:rsid w:val="00E2460D"/>
    <w:rsid w:val="00E24C41"/>
    <w:rsid w:val="00E2758C"/>
    <w:rsid w:val="00E27E13"/>
    <w:rsid w:val="00E31CC8"/>
    <w:rsid w:val="00E35A49"/>
    <w:rsid w:val="00E37367"/>
    <w:rsid w:val="00E402C2"/>
    <w:rsid w:val="00E41C87"/>
    <w:rsid w:val="00E4438C"/>
    <w:rsid w:val="00E44E92"/>
    <w:rsid w:val="00E455B0"/>
    <w:rsid w:val="00E457F3"/>
    <w:rsid w:val="00E45AEF"/>
    <w:rsid w:val="00E46E3A"/>
    <w:rsid w:val="00E47B2F"/>
    <w:rsid w:val="00E50087"/>
    <w:rsid w:val="00E51E6A"/>
    <w:rsid w:val="00E5297B"/>
    <w:rsid w:val="00E60079"/>
    <w:rsid w:val="00E60737"/>
    <w:rsid w:val="00E60AFF"/>
    <w:rsid w:val="00E61793"/>
    <w:rsid w:val="00E62B63"/>
    <w:rsid w:val="00E64363"/>
    <w:rsid w:val="00E64554"/>
    <w:rsid w:val="00E73F09"/>
    <w:rsid w:val="00E74285"/>
    <w:rsid w:val="00E74772"/>
    <w:rsid w:val="00E84F08"/>
    <w:rsid w:val="00E86229"/>
    <w:rsid w:val="00E86E68"/>
    <w:rsid w:val="00E876EF"/>
    <w:rsid w:val="00E90DF7"/>
    <w:rsid w:val="00E91726"/>
    <w:rsid w:val="00E91B2C"/>
    <w:rsid w:val="00E930D9"/>
    <w:rsid w:val="00E93770"/>
    <w:rsid w:val="00E937DD"/>
    <w:rsid w:val="00E940DF"/>
    <w:rsid w:val="00EA45B0"/>
    <w:rsid w:val="00EA66BC"/>
    <w:rsid w:val="00EA6BC0"/>
    <w:rsid w:val="00EA7F2D"/>
    <w:rsid w:val="00EB1AD2"/>
    <w:rsid w:val="00EB7E71"/>
    <w:rsid w:val="00EC11FA"/>
    <w:rsid w:val="00EC1F49"/>
    <w:rsid w:val="00EC2CF3"/>
    <w:rsid w:val="00EC612A"/>
    <w:rsid w:val="00EC6B44"/>
    <w:rsid w:val="00EC6C48"/>
    <w:rsid w:val="00EC6E43"/>
    <w:rsid w:val="00ED084F"/>
    <w:rsid w:val="00ED0982"/>
    <w:rsid w:val="00ED1FC9"/>
    <w:rsid w:val="00ED4E72"/>
    <w:rsid w:val="00ED700B"/>
    <w:rsid w:val="00EE48E1"/>
    <w:rsid w:val="00EF1742"/>
    <w:rsid w:val="00EF1FBB"/>
    <w:rsid w:val="00F00A6F"/>
    <w:rsid w:val="00F015E2"/>
    <w:rsid w:val="00F025E1"/>
    <w:rsid w:val="00F1089B"/>
    <w:rsid w:val="00F109D4"/>
    <w:rsid w:val="00F11435"/>
    <w:rsid w:val="00F1161C"/>
    <w:rsid w:val="00F128D1"/>
    <w:rsid w:val="00F12F3E"/>
    <w:rsid w:val="00F16156"/>
    <w:rsid w:val="00F16D26"/>
    <w:rsid w:val="00F22413"/>
    <w:rsid w:val="00F23218"/>
    <w:rsid w:val="00F268BA"/>
    <w:rsid w:val="00F27077"/>
    <w:rsid w:val="00F27960"/>
    <w:rsid w:val="00F31F40"/>
    <w:rsid w:val="00F3229B"/>
    <w:rsid w:val="00F43C28"/>
    <w:rsid w:val="00F46A44"/>
    <w:rsid w:val="00F47585"/>
    <w:rsid w:val="00F476C4"/>
    <w:rsid w:val="00F50217"/>
    <w:rsid w:val="00F52705"/>
    <w:rsid w:val="00F52A72"/>
    <w:rsid w:val="00F54549"/>
    <w:rsid w:val="00F553DB"/>
    <w:rsid w:val="00F621C8"/>
    <w:rsid w:val="00F645C3"/>
    <w:rsid w:val="00F65C1A"/>
    <w:rsid w:val="00F67BB9"/>
    <w:rsid w:val="00F716F1"/>
    <w:rsid w:val="00F719E4"/>
    <w:rsid w:val="00F74524"/>
    <w:rsid w:val="00F75299"/>
    <w:rsid w:val="00F7796A"/>
    <w:rsid w:val="00F8053D"/>
    <w:rsid w:val="00F80FD9"/>
    <w:rsid w:val="00F81A39"/>
    <w:rsid w:val="00F85E6F"/>
    <w:rsid w:val="00F91CFF"/>
    <w:rsid w:val="00F92DD8"/>
    <w:rsid w:val="00F94F65"/>
    <w:rsid w:val="00F95383"/>
    <w:rsid w:val="00FA066F"/>
    <w:rsid w:val="00FA2B2E"/>
    <w:rsid w:val="00FA337F"/>
    <w:rsid w:val="00FA5988"/>
    <w:rsid w:val="00FA5C94"/>
    <w:rsid w:val="00FA5CCD"/>
    <w:rsid w:val="00FA5FD9"/>
    <w:rsid w:val="00FB00AF"/>
    <w:rsid w:val="00FB0684"/>
    <w:rsid w:val="00FB30C7"/>
    <w:rsid w:val="00FC0712"/>
    <w:rsid w:val="00FC0C04"/>
    <w:rsid w:val="00FC2EC1"/>
    <w:rsid w:val="00FC392A"/>
    <w:rsid w:val="00FD0449"/>
    <w:rsid w:val="00FD128A"/>
    <w:rsid w:val="00FD1CB9"/>
    <w:rsid w:val="00FD52B0"/>
    <w:rsid w:val="00FD6334"/>
    <w:rsid w:val="00FE017D"/>
    <w:rsid w:val="00FE04E4"/>
    <w:rsid w:val="00FE10DA"/>
    <w:rsid w:val="00FE3EE8"/>
    <w:rsid w:val="00FE50D3"/>
    <w:rsid w:val="00FE6497"/>
    <w:rsid w:val="00FE73F9"/>
    <w:rsid w:val="00FF0A65"/>
    <w:rsid w:val="00FF1057"/>
    <w:rsid w:val="00FF3E25"/>
    <w:rsid w:val="00FF4842"/>
    <w:rsid w:val="00FF6AAD"/>
    <w:rsid w:val="00FF6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769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5B2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2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382ADF"/>
    <w:pPr>
      <w:numPr>
        <w:numId w:val="5"/>
      </w:numPr>
      <w:tabs>
        <w:tab w:val="clear" w:pos="2268"/>
        <w:tab w:val="num" w:pos="1701"/>
      </w:tabs>
      <w:ind w:left="1701" w:hanging="425"/>
    </w:pPr>
    <w:rPr>
      <w:sz w:val="22"/>
    </w:rPr>
  </w:style>
  <w:style w:type="paragraph" w:customStyle="1" w:styleId="dotpoint2">
    <w:name w:val="dot point 2"/>
    <w:basedOn w:val="Normal"/>
    <w:rsid w:val="00382ADF"/>
    <w:pPr>
      <w:numPr>
        <w:ilvl w:val="1"/>
        <w:numId w:val="5"/>
      </w:numPr>
      <w:tabs>
        <w:tab w:val="clear" w:pos="2625"/>
        <w:tab w:val="num" w:pos="2127"/>
      </w:tabs>
      <w:ind w:left="2127" w:hanging="426"/>
    </w:pPr>
    <w:rPr>
      <w:sz w:val="22"/>
    </w:rPr>
  </w:style>
  <w:style w:type="paragraph" w:customStyle="1" w:styleId="Definition">
    <w:name w:val="Definition"/>
    <w:aliases w:val="dd"/>
    <w:basedOn w:val="Normal"/>
    <w:link w:val="DefinitionChar"/>
    <w:rsid w:val="00424056"/>
    <w:pPr>
      <w:spacing w:before="180" w:after="0"/>
      <w:ind w:left="1134"/>
    </w:pPr>
    <w:rPr>
      <w:sz w:val="22"/>
    </w:rPr>
  </w:style>
  <w:style w:type="character" w:customStyle="1" w:styleId="DefinitionChar">
    <w:name w:val="Definition Char"/>
    <w:aliases w:val="dd Char"/>
    <w:link w:val="Definition"/>
    <w:rsid w:val="00424056"/>
    <w:rPr>
      <w:sz w:val="22"/>
    </w:rPr>
  </w:style>
  <w:style w:type="character" w:customStyle="1" w:styleId="Referencingstyle">
    <w:name w:val="Referencing style"/>
    <w:basedOn w:val="DefaultParagraphFont"/>
    <w:rsid w:val="009139F8"/>
    <w:rPr>
      <w:rFonts w:ascii="Times New Roman" w:hAnsi="Times New Roman" w:cs="Times New Roman"/>
      <w:b/>
      <w:i/>
      <w:sz w:val="18"/>
    </w:rPr>
  </w:style>
  <w:style w:type="paragraph" w:customStyle="1" w:styleId="exampledotpoint1">
    <w:name w:val="example dot point 1"/>
    <w:basedOn w:val="Normal"/>
    <w:rsid w:val="00302B05"/>
    <w:pPr>
      <w:numPr>
        <w:numId w:val="7"/>
      </w:numPr>
    </w:pPr>
    <w:rPr>
      <w:sz w:val="20"/>
    </w:rPr>
  </w:style>
  <w:style w:type="paragraph" w:customStyle="1" w:styleId="exampledotpoint2">
    <w:name w:val="example dot point 2"/>
    <w:basedOn w:val="Normal"/>
    <w:rsid w:val="00302B05"/>
    <w:pPr>
      <w:numPr>
        <w:ilvl w:val="1"/>
        <w:numId w:val="7"/>
      </w:numPr>
    </w:pPr>
    <w:rPr>
      <w:sz w:val="20"/>
    </w:rPr>
  </w:style>
  <w:style w:type="paragraph" w:customStyle="1" w:styleId="ExampleHeading">
    <w:name w:val="Example Heading"/>
    <w:basedOn w:val="Normal"/>
    <w:next w:val="exampletext"/>
    <w:rsid w:val="00302B05"/>
    <w:pPr>
      <w:keepNext/>
      <w:keepLines/>
      <w:ind w:left="1140"/>
    </w:pPr>
    <w:rPr>
      <w:rFonts w:ascii="Times" w:hAnsi="Times"/>
      <w:b/>
      <w:sz w:val="22"/>
      <w:szCs w:val="22"/>
    </w:rPr>
  </w:style>
  <w:style w:type="paragraph" w:customStyle="1" w:styleId="exampleindent">
    <w:name w:val="example indent"/>
    <w:basedOn w:val="exampletext"/>
    <w:next w:val="exampletext"/>
    <w:rsid w:val="00302B05"/>
    <w:pPr>
      <w:ind w:left="2160"/>
    </w:pPr>
  </w:style>
  <w:style w:type="paragraph" w:customStyle="1" w:styleId="exampletext">
    <w:name w:val="example text"/>
    <w:basedOn w:val="Normal"/>
    <w:rsid w:val="00302B05"/>
    <w:pPr>
      <w:ind w:left="1985"/>
    </w:pPr>
    <w:rPr>
      <w:sz w:val="22"/>
    </w:rPr>
  </w:style>
  <w:style w:type="character" w:customStyle="1" w:styleId="Heading5Char">
    <w:name w:val="Heading 5 Char"/>
    <w:basedOn w:val="DefaultParagraphFont"/>
    <w:link w:val="Heading5"/>
    <w:uiPriority w:val="9"/>
    <w:rsid w:val="005B26F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5B26FB"/>
    <w:rPr>
      <w:rFonts w:asciiTheme="majorHAnsi" w:eastAsiaTheme="majorEastAsia" w:hAnsiTheme="majorHAnsi" w:cstheme="majorBidi"/>
      <w:i/>
      <w:iCs/>
      <w:color w:val="243F60" w:themeColor="accent1" w:themeShade="7F"/>
      <w:sz w:val="24"/>
    </w:rPr>
  </w:style>
  <w:style w:type="paragraph" w:customStyle="1" w:styleId="BoxStep">
    <w:name w:val="BoxStep"/>
    <w:aliases w:val="bs"/>
    <w:basedOn w:val="Normal"/>
    <w:qFormat/>
    <w:rsid w:val="00D840E3"/>
    <w:pPr>
      <w:pBdr>
        <w:top w:val="single" w:sz="6" w:space="5" w:color="auto"/>
        <w:left w:val="single" w:sz="6" w:space="5" w:color="auto"/>
        <w:bottom w:val="single" w:sz="6" w:space="5" w:color="auto"/>
        <w:right w:val="single" w:sz="6" w:space="5" w:color="auto"/>
      </w:pBdr>
      <w:spacing w:before="240" w:after="0"/>
      <w:ind w:left="1985" w:hanging="851"/>
    </w:pPr>
    <w:rPr>
      <w:sz w:val="22"/>
    </w:rPr>
  </w:style>
  <w:style w:type="paragraph" w:customStyle="1" w:styleId="ActHead6">
    <w:name w:val="ActHead 6"/>
    <w:aliases w:val="as"/>
    <w:basedOn w:val="Normal"/>
    <w:next w:val="Normal"/>
    <w:qFormat/>
    <w:rsid w:val="009F03A0"/>
    <w:pPr>
      <w:keepNext/>
      <w:keepLines/>
      <w:spacing w:before="0" w:after="0"/>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F03A0"/>
  </w:style>
  <w:style w:type="character" w:customStyle="1" w:styleId="CharAmSchText">
    <w:name w:val="CharAmSchText"/>
    <w:basedOn w:val="DefaultParagraphFont"/>
    <w:uiPriority w:val="1"/>
    <w:qFormat/>
    <w:rsid w:val="009F03A0"/>
  </w:style>
  <w:style w:type="table" w:styleId="TableGrid">
    <w:name w:val="Table Grid"/>
    <w:basedOn w:val="TableNormal"/>
    <w:uiPriority w:val="59"/>
    <w:rsid w:val="00CE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0C2"/>
    <w:pPr>
      <w:ind w:left="720"/>
      <w:contextualSpacing/>
    </w:pPr>
  </w:style>
  <w:style w:type="paragraph" w:styleId="Revision">
    <w:name w:val="Revision"/>
    <w:hidden/>
    <w:uiPriority w:val="99"/>
    <w:semiHidden/>
    <w:rsid w:val="00440E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36782">
      <w:bodyDiv w:val="1"/>
      <w:marLeft w:val="0"/>
      <w:marRight w:val="0"/>
      <w:marTop w:val="0"/>
      <w:marBottom w:val="0"/>
      <w:divBdr>
        <w:top w:val="none" w:sz="0" w:space="0" w:color="auto"/>
        <w:left w:val="none" w:sz="0" w:space="0" w:color="auto"/>
        <w:bottom w:val="none" w:sz="0" w:space="0" w:color="auto"/>
        <w:right w:val="none" w:sz="0" w:space="0" w:color="auto"/>
      </w:divBdr>
    </w:div>
    <w:div w:id="1171679479">
      <w:bodyDiv w:val="1"/>
      <w:marLeft w:val="0"/>
      <w:marRight w:val="0"/>
      <w:marTop w:val="0"/>
      <w:marBottom w:val="0"/>
      <w:divBdr>
        <w:top w:val="none" w:sz="0" w:space="0" w:color="auto"/>
        <w:left w:val="none" w:sz="0" w:space="0" w:color="auto"/>
        <w:bottom w:val="none" w:sz="0" w:space="0" w:color="auto"/>
        <w:right w:val="none" w:sz="0" w:space="0" w:color="auto"/>
      </w:divBdr>
    </w:div>
    <w:div w:id="1590383775">
      <w:bodyDiv w:val="1"/>
      <w:marLeft w:val="0"/>
      <w:marRight w:val="0"/>
      <w:marTop w:val="0"/>
      <w:marBottom w:val="0"/>
      <w:divBdr>
        <w:top w:val="none" w:sz="0" w:space="0" w:color="auto"/>
        <w:left w:val="none" w:sz="0" w:space="0" w:color="auto"/>
        <w:bottom w:val="none" w:sz="0" w:space="0" w:color="auto"/>
        <w:right w:val="none" w:sz="0" w:space="0" w:color="auto"/>
      </w:divBdr>
    </w:div>
    <w:div w:id="18444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950" ma:contentTypeDescription=" " ma:contentTypeScope="" ma:versionID="d0670f442a456944be2dfb1cf670945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2021RG-111-18740</_dlc_DocId>
    <_dlc_DocIdUrl xmlns="0f563589-9cf9-4143-b1eb-fb0534803d38">
      <Url>http://tweb/sites/rg/ldp/lmu/_layouts/15/DocIdRedir.aspx?ID=2021RG-111-18740</Url>
      <Description>2021RG-111-18740</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48DE-75F3-494B-8B83-20086E6300B2}">
  <ds:schemaRefs>
    <ds:schemaRef ds:uri="http://schemas.microsoft.com/sharepoint/events"/>
  </ds:schemaRefs>
</ds:datastoreItem>
</file>

<file path=customXml/itemProps2.xml><?xml version="1.0" encoding="utf-8"?>
<ds:datastoreItem xmlns:ds="http://schemas.openxmlformats.org/officeDocument/2006/customXml" ds:itemID="{99DF5D64-4612-41D8-9961-F97468C5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F99E0-274E-43D2-B46A-AA205AFD90AC}">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purl.org/dc/terms/"/>
    <ds:schemaRef ds:uri="a3f3b895-a12d-40ed-bbf9-82c550ef3149"/>
    <ds:schemaRef ds:uri="http://www.w3.org/XML/1998/namespace"/>
    <ds:schemaRef ds:uri="http://purl.org/dc/dcmitype/"/>
    <ds:schemaRef ds:uri="9f7bc583-7cbe-45b9-a2bd-8bbb6543b37e"/>
    <ds:schemaRef ds:uri="http://schemas.microsoft.com/sharepoint/v4"/>
  </ds:schemaRefs>
</ds:datastoreItem>
</file>

<file path=customXml/itemProps4.xml><?xml version="1.0" encoding="utf-8"?>
<ds:datastoreItem xmlns:ds="http://schemas.openxmlformats.org/officeDocument/2006/customXml" ds:itemID="{6AB8DEA2-BFB5-4418-856A-F55A6EF94C74}">
  <ds:schemaRefs>
    <ds:schemaRef ds:uri="office.server.policy"/>
  </ds:schemaRefs>
</ds:datastoreItem>
</file>

<file path=customXml/itemProps5.xml><?xml version="1.0" encoding="utf-8"?>
<ds:datastoreItem xmlns:ds="http://schemas.openxmlformats.org/officeDocument/2006/customXml" ds:itemID="{7627FAFC-75AA-47F8-8A25-9AC85F834865}">
  <ds:schemaRefs>
    <ds:schemaRef ds:uri="http://schemas.microsoft.com/sharepoint/v3/contenttype/forms"/>
  </ds:schemaRefs>
</ds:datastoreItem>
</file>

<file path=customXml/itemProps6.xml><?xml version="1.0" encoding="utf-8"?>
<ds:datastoreItem xmlns:ds="http://schemas.openxmlformats.org/officeDocument/2006/customXml" ds:itemID="{C2016603-16E8-45E8-B336-028EA38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 -Size of an ADI- Determination 2021 Explanatory Statement</dc:title>
  <dc:subject/>
  <dc:creator/>
  <cp:keywords>[SEC=DLM-ONLY:For-Official-Use-Only]</cp:keywords>
  <cp:lastModifiedBy/>
  <cp:revision>1</cp:revision>
  <dcterms:created xsi:type="dcterms:W3CDTF">2021-02-24T03:35:00Z</dcterms:created>
  <dcterms:modified xsi:type="dcterms:W3CDTF">2021-04-05T22:46:00Z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For Official Use Only</vt:lpwstr>
  </property>
  <property fmtid="{D5CDD505-2E9C-101B-9397-08002B2CF9AE}" pid="3" name="PM_Caveats_Count">
    <vt:lpwstr>0</vt:lpwstr>
  </property>
  <property fmtid="{D5CDD505-2E9C-101B-9397-08002B2CF9AE}" pid="4" name="PM_Originator_Hash_SHA1">
    <vt:lpwstr>FEB0505530DA01B87AEA15EC01D771E9400E76E7</vt:lpwstr>
  </property>
  <property fmtid="{D5CDD505-2E9C-101B-9397-08002B2CF9AE}" pid="5" name="PM_SecurityClassification">
    <vt:lpwstr>DLM-ONLY</vt:lpwstr>
  </property>
  <property fmtid="{D5CDD505-2E9C-101B-9397-08002B2CF9AE}" pid="6" name="PM_DisplayValueSecClassificationWithQualifier">
    <vt:lpwstr>For Official Use Only</vt:lpwstr>
  </property>
  <property fmtid="{D5CDD505-2E9C-101B-9397-08002B2CF9AE}" pid="7" name="PM_Qualifier">
    <vt:lpwstr>For-Official-Use-Only</vt:lpwstr>
  </property>
  <property fmtid="{D5CDD505-2E9C-101B-9397-08002B2CF9AE}" pid="8" name="PM_Hash_SHA1">
    <vt:lpwstr>FDAB209AAE6FACF451894E67F955A84AD37CFF42</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For Official Use Only</vt:lpwstr>
  </property>
  <property fmtid="{D5CDD505-2E9C-101B-9397-08002B2CF9AE}" pid="11" name="PM_ProtectiveMarkingValue_Header">
    <vt:lpwstr>For Official Use Only</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02E6C5E00B404D4182FA3F96BC450DBC</vt:lpwstr>
  </property>
  <property fmtid="{D5CDD505-2E9C-101B-9397-08002B2CF9AE}" pid="16" name="PM_Note">
    <vt:lpwstr/>
  </property>
  <property fmtid="{D5CDD505-2E9C-101B-9397-08002B2CF9AE}" pid="17" name="PM_Markers">
    <vt:lpwstr/>
  </property>
  <property fmtid="{D5CDD505-2E9C-101B-9397-08002B2CF9AE}" pid="18" name="PM_OriginationTimeStamp">
    <vt:lpwstr>2020-06-04T03:15:50Z</vt:lpwstr>
  </property>
  <property fmtid="{D5CDD505-2E9C-101B-9397-08002B2CF9AE}" pid="19" name="PM_Hash_Version">
    <vt:lpwstr>2018.0</vt:lpwstr>
  </property>
  <property fmtid="{D5CDD505-2E9C-101B-9397-08002B2CF9AE}" pid="20" name="PM_Hash_Salt_Prev">
    <vt:lpwstr>932B3D898D1FE2608BD72DDBBC6BF461</vt:lpwstr>
  </property>
  <property fmtid="{D5CDD505-2E9C-101B-9397-08002B2CF9AE}" pid="21" name="PM_Hash_Salt">
    <vt:lpwstr>FEC1DBE392FE8D1DDFCE8FDA750F11EF</vt:lpwstr>
  </property>
  <property fmtid="{D5CDD505-2E9C-101B-9397-08002B2CF9AE}" pid="22" name="PM_SecurityClassification_Prev">
    <vt:lpwstr>DLM-ONLY</vt:lpwstr>
  </property>
  <property fmtid="{D5CDD505-2E9C-101B-9397-08002B2CF9AE}" pid="23" name="PM_Qualifier_Prev">
    <vt:lpwstr>For-Official-Use-Only</vt:lpwstr>
  </property>
  <property fmtid="{D5CDD505-2E9C-101B-9397-08002B2CF9AE}" pid="24" name="ContentTypeId">
    <vt:lpwstr>0x01010036BB8DE7EC542E42A8B2E98CC20CB69700D5C18F41BA18FB44827A222ACD6776F5</vt:lpwstr>
  </property>
  <property fmtid="{D5CDD505-2E9C-101B-9397-08002B2CF9AE}" pid="25" name="TSYRecordClass">
    <vt:lpwstr>7;#TSY RA-9236 - Retain as national archives|c6a225b4-6b93-473e-bcbb-6bc6ab25b623</vt:lpwstr>
  </property>
  <property fmtid="{D5CDD505-2E9C-101B-9397-08002B2CF9AE}" pid="26" name="_dlc_DocIdItemGuid">
    <vt:lpwstr>ee7327a8-f112-4bd7-a5c4-650e971fa466</vt:lpwstr>
  </property>
  <property fmtid="{D5CDD505-2E9C-101B-9397-08002B2CF9AE}" pid="27" name="RecordPoint_WorkflowType">
    <vt:lpwstr>ActiveSubmitStub</vt:lpwstr>
  </property>
  <property fmtid="{D5CDD505-2E9C-101B-9397-08002B2CF9AE}" pid="28" name="RecordPoint_ActiveItemWebId">
    <vt:lpwstr>{09392e0d-4618-463d-b4d2-50a90b9447cf}</vt:lpwstr>
  </property>
  <property fmtid="{D5CDD505-2E9C-101B-9397-08002B2CF9AE}" pid="29" name="RecordPoint_ActiveItemSiteId">
    <vt:lpwstr>{5b52b9a5-e5b2-4521-8814-a1e24ca2869d}</vt:lpwstr>
  </property>
  <property fmtid="{D5CDD505-2E9C-101B-9397-08002B2CF9AE}" pid="30" name="RecordPoint_ActiveItemListId">
    <vt:lpwstr>{687b78b0-2ddd-4441-8a8b-c9638c2a1939}</vt:lpwstr>
  </property>
  <property fmtid="{D5CDD505-2E9C-101B-9397-08002B2CF9AE}" pid="31" name="RecordPoint_ActiveItemUniqueId">
    <vt:lpwstr>{60384fa9-e32b-46b2-8797-10c6c0d3b09c}</vt:lpwstr>
  </property>
  <property fmtid="{D5CDD505-2E9C-101B-9397-08002B2CF9AE}" pid="32" name="RecordPoint_RecordNumberSubmitted">
    <vt:lpwstr/>
  </property>
  <property fmtid="{D5CDD505-2E9C-101B-9397-08002B2CF9AE}" pid="33" name="RecordPoint_SubmissionCompleted">
    <vt:lpwstr/>
  </property>
  <property fmtid="{D5CDD505-2E9C-101B-9397-08002B2CF9AE}" pid="34" name="TSYTopic">
    <vt:lpwstr/>
  </property>
  <property fmtid="{D5CDD505-2E9C-101B-9397-08002B2CF9AE}" pid="35" name="RecordPoint_SubmissionDate">
    <vt:lpwstr/>
  </property>
  <property fmtid="{D5CDD505-2E9C-101B-9397-08002B2CF9AE}" pid="36" name="RecordPoint_ActiveItemMoved">
    <vt:lpwstr/>
  </property>
  <property fmtid="{D5CDD505-2E9C-101B-9397-08002B2CF9AE}" pid="37" name="RecordPoint_RecordFormat">
    <vt:lpwstr/>
  </property>
  <property fmtid="{D5CDD505-2E9C-101B-9397-08002B2CF9AE}" pid="38" name="TaxKeyword">
    <vt:lpwstr>50;#[SEC=DLM-ONLY:For-Official-Use-Only]|0d3ff208-f484-40e8-b3f9-522628860bf0</vt:lpwstr>
  </property>
  <property fmtid="{D5CDD505-2E9C-101B-9397-08002B2CF9AE}" pid="39" name="lb508a4dc5e84436a0fe496b536466aa">
    <vt:lpwstr>TSY RA-9236 - Retain as national archives|c6a225b4-6b93-473e-bcbb-6bc6ab25b623</vt:lpwstr>
  </property>
  <property fmtid="{D5CDD505-2E9C-101B-9397-08002B2CF9AE}" pid="40" name="Recommendation number/s">
    <vt:lpwstr>22;#RC 6.6|3296c9de-03f6-4e61-a090-d2ef38ecb93a;#23;#RC 6.7|92b84b59-58c7-4a4d-91e1-727ccf6ca8f2;#24;#RC 6.8|33692db0-0b60-4380-9ad6-fd7ac2e636c0;#25;#RC 3.9|bca96f00-36f9-4714-8ea8-dbbe16a25705;#26;#RC 4.12|6bf6ec63-2084-4733-933d-8573aa6f132f</vt:lpwstr>
  </property>
  <property fmtid="{D5CDD505-2E9C-101B-9397-08002B2CF9AE}" pid="41" name="Order">
    <vt:r8>1874000</vt:r8>
  </property>
  <property fmtid="{D5CDD505-2E9C-101B-9397-08002B2CF9AE}" pid="42" name="oae75e2df9d943898d59cb03ca0993c5">
    <vt:lpwstr/>
  </property>
  <property fmtid="{D5CDD505-2E9C-101B-9397-08002B2CF9AE}" pid="43" name="Topics">
    <vt:lpwstr/>
  </property>
</Properties>
</file>