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8BB06" w14:textId="77777777" w:rsidR="00580600" w:rsidRDefault="00580600" w:rsidP="00580600">
      <w:pPr>
        <w:pStyle w:val="BodyText"/>
        <w:jc w:val="center"/>
        <w:rPr>
          <w:sz w:val="20"/>
        </w:rPr>
      </w:pPr>
      <w:r>
        <w:rPr>
          <w:noProof/>
          <w:sz w:val="20"/>
        </w:rPr>
        <w:drawing>
          <wp:inline distT="0" distB="0" distL="0" distR="0" wp14:anchorId="23E0BCC0" wp14:editId="7FB5CF1D">
            <wp:extent cx="972822" cy="690372"/>
            <wp:effectExtent l="0" t="0" r="0" b="0"/>
            <wp:docPr id="7" name="image1.jpeg"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972822" cy="690372"/>
                    </a:xfrm>
                    <a:prstGeom prst="rect">
                      <a:avLst/>
                    </a:prstGeom>
                  </pic:spPr>
                </pic:pic>
              </a:graphicData>
            </a:graphic>
          </wp:inline>
        </w:drawing>
      </w:r>
    </w:p>
    <w:p w14:paraId="124BAC53" w14:textId="77777777" w:rsidR="00580600" w:rsidRDefault="00580600" w:rsidP="00580600">
      <w:pPr>
        <w:pStyle w:val="BodyText"/>
        <w:spacing w:before="3"/>
        <w:rPr>
          <w:sz w:val="12"/>
        </w:rPr>
      </w:pPr>
    </w:p>
    <w:p w14:paraId="7C1EA924" w14:textId="77777777" w:rsidR="00580600" w:rsidRDefault="00580600" w:rsidP="00580600">
      <w:pPr>
        <w:pStyle w:val="BodyText"/>
        <w:spacing w:before="92"/>
        <w:ind w:right="95"/>
        <w:jc w:val="center"/>
      </w:pPr>
      <w:r>
        <w:t>H I G H C O U R T O F A U S T R A L I A</w:t>
      </w:r>
    </w:p>
    <w:p w14:paraId="3F4BC4BC" w14:textId="77777777" w:rsidR="00580600" w:rsidRDefault="00580600" w:rsidP="00580600">
      <w:pPr>
        <w:pStyle w:val="BodyText"/>
        <w:ind w:left="1440"/>
        <w:rPr>
          <w:sz w:val="26"/>
        </w:rPr>
      </w:pPr>
    </w:p>
    <w:p w14:paraId="58C74779" w14:textId="77777777" w:rsidR="00580600" w:rsidRDefault="00580600" w:rsidP="00580600">
      <w:pPr>
        <w:pStyle w:val="Heading3"/>
        <w:spacing w:before="177"/>
        <w:ind w:left="1440"/>
        <w:jc w:val="left"/>
      </w:pPr>
      <w:r>
        <w:rPr>
          <w:u w:val="thick"/>
        </w:rPr>
        <w:t>EXPLANATORY STATEMENT</w:t>
      </w:r>
    </w:p>
    <w:p w14:paraId="700DCB5D" w14:textId="77777777" w:rsidR="00580600" w:rsidRDefault="00580600" w:rsidP="00580600">
      <w:pPr>
        <w:pStyle w:val="BodyText"/>
        <w:spacing w:before="11"/>
        <w:ind w:left="1440"/>
        <w:rPr>
          <w:b/>
          <w:sz w:val="15"/>
        </w:rPr>
      </w:pPr>
    </w:p>
    <w:p w14:paraId="48E12426" w14:textId="77777777" w:rsidR="000375F4" w:rsidRDefault="000375F4" w:rsidP="000375F4">
      <w:pPr>
        <w:pStyle w:val="Heading3"/>
        <w:spacing w:before="120"/>
        <w:ind w:left="1440" w:right="1746"/>
        <w:jc w:val="both"/>
      </w:pPr>
      <w:r w:rsidRPr="00F8473A">
        <w:t>High Court of Australia (Building and Precincts—Regulating the Conduct of Persons) Directions 2021</w:t>
      </w:r>
      <w:bookmarkStart w:id="0" w:name="_GoBack"/>
      <w:bookmarkEnd w:id="0"/>
    </w:p>
    <w:p w14:paraId="09ACE530" w14:textId="77777777" w:rsidR="000375F4" w:rsidRDefault="000375F4" w:rsidP="00580600">
      <w:pPr>
        <w:spacing w:before="92"/>
        <w:ind w:left="1440"/>
        <w:rPr>
          <w:sz w:val="24"/>
        </w:rPr>
      </w:pPr>
    </w:p>
    <w:p w14:paraId="5C3FA9E4" w14:textId="0A32354C" w:rsidR="00580600" w:rsidRDefault="00580600" w:rsidP="00580600">
      <w:pPr>
        <w:spacing w:before="92"/>
        <w:ind w:left="1440"/>
        <w:rPr>
          <w:sz w:val="24"/>
        </w:rPr>
      </w:pPr>
      <w:r>
        <w:rPr>
          <w:sz w:val="24"/>
        </w:rPr>
        <w:t xml:space="preserve">Section 19(2) of the </w:t>
      </w:r>
      <w:r>
        <w:rPr>
          <w:i/>
          <w:sz w:val="24"/>
        </w:rPr>
        <w:t xml:space="preserve">High Court of Australia Act 1979 </w:t>
      </w:r>
      <w:r>
        <w:rPr>
          <w:sz w:val="24"/>
        </w:rPr>
        <w:t>(</w:t>
      </w:r>
      <w:proofErr w:type="spellStart"/>
      <w:r>
        <w:rPr>
          <w:sz w:val="24"/>
        </w:rPr>
        <w:t>Cth</w:t>
      </w:r>
      <w:proofErr w:type="spellEnd"/>
      <w:r>
        <w:rPr>
          <w:sz w:val="24"/>
        </w:rPr>
        <w:t>) provides:</w:t>
      </w:r>
    </w:p>
    <w:p w14:paraId="11657A74" w14:textId="77777777" w:rsidR="00580600" w:rsidRDefault="00580600" w:rsidP="00580600">
      <w:pPr>
        <w:pStyle w:val="BodyText"/>
        <w:ind w:left="1440"/>
      </w:pPr>
    </w:p>
    <w:p w14:paraId="7D1779D2" w14:textId="77777777" w:rsidR="00580600" w:rsidRDefault="00580600" w:rsidP="00CB66C9">
      <w:pPr>
        <w:pStyle w:val="BodyText"/>
        <w:ind w:left="2160" w:right="1490"/>
      </w:pPr>
      <w:r>
        <w:t>The Chief Executive and Principal Registrar has power to do all things that are necessary or convenient to be done for or in connection with the performance of his or her functions and, in particular, has power, on behalf of the Court, to give directions, by legislative instrument, for the purpose of regulating the conduct of persons on any land or in any building referred to in paragraph 17(2)(d).</w:t>
      </w:r>
    </w:p>
    <w:p w14:paraId="08A96AA6" w14:textId="77777777" w:rsidR="00580600" w:rsidRDefault="00580600" w:rsidP="00580600">
      <w:pPr>
        <w:pStyle w:val="BodyText"/>
        <w:ind w:left="1440"/>
        <w:rPr>
          <w:sz w:val="26"/>
        </w:rPr>
      </w:pPr>
    </w:p>
    <w:p w14:paraId="666D116F" w14:textId="77777777" w:rsidR="00580600" w:rsidRDefault="00580600" w:rsidP="00580600">
      <w:pPr>
        <w:spacing w:before="218" w:line="276" w:lineRule="auto"/>
        <w:ind w:left="1440" w:right="1502"/>
        <w:rPr>
          <w:sz w:val="24"/>
        </w:rPr>
      </w:pPr>
      <w:r>
        <w:rPr>
          <w:sz w:val="24"/>
        </w:rPr>
        <w:t xml:space="preserve">The purpose of these Directions is to regulate the conduct of persons in the building and precincts of the High Court in Canberra, and to update the Directions to reflect the provisions of the </w:t>
      </w:r>
      <w:r>
        <w:rPr>
          <w:i/>
          <w:sz w:val="24"/>
        </w:rPr>
        <w:t xml:space="preserve">Court Security Act 2013 </w:t>
      </w:r>
      <w:r>
        <w:rPr>
          <w:sz w:val="24"/>
        </w:rPr>
        <w:t>(</w:t>
      </w:r>
      <w:proofErr w:type="spellStart"/>
      <w:r>
        <w:rPr>
          <w:sz w:val="24"/>
        </w:rPr>
        <w:t>Cth</w:t>
      </w:r>
      <w:proofErr w:type="spellEnd"/>
      <w:r>
        <w:rPr>
          <w:sz w:val="24"/>
        </w:rPr>
        <w:t xml:space="preserve">) and </w:t>
      </w:r>
      <w:r>
        <w:rPr>
          <w:i/>
          <w:sz w:val="24"/>
        </w:rPr>
        <w:t xml:space="preserve">Court Security Regulation 2013 </w:t>
      </w:r>
      <w:r>
        <w:rPr>
          <w:sz w:val="24"/>
        </w:rPr>
        <w:t>(</w:t>
      </w:r>
      <w:proofErr w:type="spellStart"/>
      <w:r>
        <w:rPr>
          <w:sz w:val="24"/>
        </w:rPr>
        <w:t>Cth</w:t>
      </w:r>
      <w:proofErr w:type="spellEnd"/>
      <w:r>
        <w:rPr>
          <w:sz w:val="24"/>
        </w:rPr>
        <w:t>).</w:t>
      </w:r>
    </w:p>
    <w:p w14:paraId="0142B2D5" w14:textId="77777777" w:rsidR="00580600" w:rsidRDefault="00580600" w:rsidP="00580600">
      <w:pPr>
        <w:pStyle w:val="BodyText"/>
        <w:spacing w:before="199" w:line="276" w:lineRule="auto"/>
        <w:ind w:left="1440" w:right="1573"/>
        <w:jc w:val="both"/>
      </w:pPr>
      <w:r>
        <w:t>No consultation was undertaken as the Directions do not substantially alter existing arrangements and they are directed to the public at large and not a particular group or groups.</w:t>
      </w:r>
    </w:p>
    <w:p w14:paraId="76D3513E" w14:textId="188956F3" w:rsidR="00580600" w:rsidRDefault="00580600" w:rsidP="00580600">
      <w:pPr>
        <w:spacing w:before="201" w:line="276" w:lineRule="auto"/>
        <w:ind w:left="1440" w:right="1890"/>
        <w:rPr>
          <w:sz w:val="24"/>
        </w:rPr>
      </w:pPr>
      <w:r>
        <w:rPr>
          <w:sz w:val="24"/>
        </w:rPr>
        <w:t xml:space="preserve">The </w:t>
      </w:r>
      <w:r>
        <w:rPr>
          <w:i/>
          <w:sz w:val="24"/>
        </w:rPr>
        <w:t xml:space="preserve">Court Security Act 2013 </w:t>
      </w:r>
      <w:r>
        <w:rPr>
          <w:sz w:val="24"/>
        </w:rPr>
        <w:t>(</w:t>
      </w:r>
      <w:proofErr w:type="spellStart"/>
      <w:r>
        <w:rPr>
          <w:sz w:val="24"/>
        </w:rPr>
        <w:t>Cth</w:t>
      </w:r>
      <w:proofErr w:type="spellEnd"/>
      <w:r>
        <w:rPr>
          <w:sz w:val="24"/>
        </w:rPr>
        <w:t xml:space="preserve">) and </w:t>
      </w:r>
      <w:r>
        <w:rPr>
          <w:i/>
          <w:sz w:val="24"/>
        </w:rPr>
        <w:t xml:space="preserve">Court Security Regulation 2013 </w:t>
      </w:r>
      <w:r>
        <w:rPr>
          <w:sz w:val="24"/>
        </w:rPr>
        <w:t>(</w:t>
      </w:r>
      <w:proofErr w:type="spellStart"/>
      <w:r>
        <w:rPr>
          <w:sz w:val="24"/>
        </w:rPr>
        <w:t>Cth</w:t>
      </w:r>
      <w:proofErr w:type="spellEnd"/>
      <w:r>
        <w:rPr>
          <w:sz w:val="24"/>
        </w:rPr>
        <w:t xml:space="preserve">) are incorporated by reference and can be found at </w:t>
      </w:r>
      <w:hyperlink r:id="rId6">
        <w:r>
          <w:rPr>
            <w:color w:val="0462C1"/>
            <w:sz w:val="24"/>
            <w:u w:val="single" w:color="0462C1"/>
          </w:rPr>
          <w:t>https://www.legislation.gov.au/Details/C2018C00004</w:t>
        </w:r>
      </w:hyperlink>
      <w:r>
        <w:rPr>
          <w:color w:val="0462C1"/>
          <w:sz w:val="24"/>
          <w:u w:val="single" w:color="0462C1"/>
        </w:rPr>
        <w:t>;</w:t>
      </w:r>
      <w:r>
        <w:rPr>
          <w:color w:val="0462C1"/>
          <w:sz w:val="24"/>
        </w:rPr>
        <w:t xml:space="preserve"> </w:t>
      </w:r>
      <w:r>
        <w:rPr>
          <w:sz w:val="24"/>
        </w:rPr>
        <w:t xml:space="preserve">and </w:t>
      </w:r>
      <w:hyperlink r:id="rId7">
        <w:r>
          <w:rPr>
            <w:color w:val="0462C1"/>
            <w:sz w:val="24"/>
            <w:u w:val="single" w:color="0462C1"/>
          </w:rPr>
          <w:t>https://www.legislation.gov.au/Details/F2013L02112</w:t>
        </w:r>
      </w:hyperlink>
      <w:r>
        <w:rPr>
          <w:color w:val="0462C1"/>
          <w:sz w:val="24"/>
          <w:u w:val="single" w:color="0462C1"/>
        </w:rPr>
        <w:t>.</w:t>
      </w:r>
    </w:p>
    <w:p w14:paraId="4E5262BE" w14:textId="5C47C389" w:rsidR="00DA6549" w:rsidRDefault="00DA6549">
      <w:pPr>
        <w:widowControl/>
        <w:autoSpaceDE/>
        <w:autoSpaceDN/>
        <w:ind w:left="1440"/>
      </w:pPr>
      <w:r>
        <w:br w:type="page"/>
      </w:r>
    </w:p>
    <w:p w14:paraId="2CB0B614" w14:textId="77777777" w:rsidR="00DA6549" w:rsidRDefault="00DA6549" w:rsidP="00DA6549">
      <w:pPr>
        <w:pStyle w:val="Heading3"/>
        <w:spacing w:before="99"/>
        <w:ind w:left="2165" w:right="2405"/>
      </w:pPr>
      <w:r>
        <w:lastRenderedPageBreak/>
        <w:t>Statement of Compatibility with Human Rights</w:t>
      </w:r>
    </w:p>
    <w:p w14:paraId="1245E460" w14:textId="77777777" w:rsidR="00DA6549" w:rsidRDefault="00DA6549" w:rsidP="00DA6549">
      <w:pPr>
        <w:spacing w:before="118"/>
        <w:ind w:left="1330" w:right="1572"/>
        <w:jc w:val="center"/>
        <w:rPr>
          <w:sz w:val="24"/>
        </w:rPr>
      </w:pPr>
      <w:r>
        <w:rPr>
          <w:i/>
          <w:sz w:val="24"/>
        </w:rPr>
        <w:t xml:space="preserve">Prepared in accordance with Part 3 of the Human Rights (Parliamentary Scrutiny) Act 2011 </w:t>
      </w:r>
      <w:r>
        <w:rPr>
          <w:sz w:val="24"/>
        </w:rPr>
        <w:t>(</w:t>
      </w:r>
      <w:proofErr w:type="spellStart"/>
      <w:r>
        <w:rPr>
          <w:sz w:val="24"/>
        </w:rPr>
        <w:t>Cth</w:t>
      </w:r>
      <w:proofErr w:type="spellEnd"/>
      <w:r>
        <w:rPr>
          <w:sz w:val="24"/>
        </w:rPr>
        <w:t>)</w:t>
      </w:r>
    </w:p>
    <w:p w14:paraId="1E56F8D0" w14:textId="2BEF7A4D" w:rsidR="00DA6549" w:rsidRDefault="00F8473A" w:rsidP="00DA6549">
      <w:pPr>
        <w:pStyle w:val="Heading3"/>
        <w:spacing w:before="120"/>
        <w:ind w:right="1749"/>
        <w:jc w:val="both"/>
      </w:pPr>
      <w:r w:rsidRPr="00F8473A">
        <w:t>High Court of Australia (Building and Precincts—Regulating the Conduct of Persons) Directions 2021</w:t>
      </w:r>
    </w:p>
    <w:p w14:paraId="09941769" w14:textId="77777777" w:rsidR="00DA6549" w:rsidRDefault="00DA6549" w:rsidP="00DA6549">
      <w:pPr>
        <w:pStyle w:val="BodyText"/>
        <w:spacing w:before="120"/>
        <w:ind w:left="1140" w:right="1373"/>
        <w:jc w:val="both"/>
      </w:pPr>
      <w:r>
        <w:t xml:space="preserve">This Legislative Instrument is compatible with the human rights and freedoms </w:t>
      </w:r>
      <w:proofErr w:type="spellStart"/>
      <w:r>
        <w:t>recognised</w:t>
      </w:r>
      <w:proofErr w:type="spellEnd"/>
      <w:r>
        <w:rPr>
          <w:spacing w:val="-16"/>
        </w:rPr>
        <w:t xml:space="preserve"> </w:t>
      </w:r>
      <w:r>
        <w:t>or</w:t>
      </w:r>
      <w:r>
        <w:rPr>
          <w:spacing w:val="-15"/>
        </w:rPr>
        <w:t xml:space="preserve"> </w:t>
      </w:r>
      <w:r>
        <w:t>declared</w:t>
      </w:r>
      <w:r>
        <w:rPr>
          <w:spacing w:val="-16"/>
        </w:rPr>
        <w:t xml:space="preserve"> </w:t>
      </w:r>
      <w:r>
        <w:t>in</w:t>
      </w:r>
      <w:r>
        <w:rPr>
          <w:spacing w:val="-14"/>
        </w:rPr>
        <w:t xml:space="preserve"> </w:t>
      </w:r>
      <w:r>
        <w:t>the</w:t>
      </w:r>
      <w:r>
        <w:rPr>
          <w:spacing w:val="-15"/>
        </w:rPr>
        <w:t xml:space="preserve"> </w:t>
      </w:r>
      <w:r>
        <w:t>international</w:t>
      </w:r>
      <w:r>
        <w:rPr>
          <w:spacing w:val="-15"/>
        </w:rPr>
        <w:t xml:space="preserve"> </w:t>
      </w:r>
      <w:r>
        <w:t>instruments</w:t>
      </w:r>
      <w:r>
        <w:rPr>
          <w:spacing w:val="-13"/>
        </w:rPr>
        <w:t xml:space="preserve"> </w:t>
      </w:r>
      <w:r>
        <w:t>listed</w:t>
      </w:r>
      <w:r>
        <w:rPr>
          <w:spacing w:val="-14"/>
        </w:rPr>
        <w:t xml:space="preserve"> </w:t>
      </w:r>
      <w:r>
        <w:t>in</w:t>
      </w:r>
      <w:r>
        <w:rPr>
          <w:spacing w:val="-16"/>
        </w:rPr>
        <w:t xml:space="preserve"> </w:t>
      </w:r>
      <w:r>
        <w:t>section</w:t>
      </w:r>
      <w:r>
        <w:rPr>
          <w:spacing w:val="-14"/>
        </w:rPr>
        <w:t xml:space="preserve"> </w:t>
      </w:r>
      <w:r>
        <w:t>3</w:t>
      </w:r>
      <w:r>
        <w:rPr>
          <w:spacing w:val="-15"/>
        </w:rPr>
        <w:t xml:space="preserve"> </w:t>
      </w:r>
      <w:r>
        <w:t>of</w:t>
      </w:r>
      <w:r>
        <w:rPr>
          <w:spacing w:val="-14"/>
        </w:rPr>
        <w:t xml:space="preserve"> </w:t>
      </w:r>
      <w:r>
        <w:t>the</w:t>
      </w:r>
      <w:r>
        <w:rPr>
          <w:spacing w:val="-8"/>
        </w:rPr>
        <w:t xml:space="preserve"> </w:t>
      </w:r>
      <w:r w:rsidRPr="00484BC1">
        <w:rPr>
          <w:i/>
          <w:iCs/>
        </w:rPr>
        <w:t>Human Rights (Parliamentary Scrutiny) Act 2011</w:t>
      </w:r>
      <w:r>
        <w:rPr>
          <w:spacing w:val="-2"/>
        </w:rPr>
        <w:t xml:space="preserve"> </w:t>
      </w:r>
      <w:r>
        <w:t>(</w:t>
      </w:r>
      <w:proofErr w:type="spellStart"/>
      <w:r>
        <w:t>Cth</w:t>
      </w:r>
      <w:proofErr w:type="spellEnd"/>
      <w:r>
        <w:t>).</w:t>
      </w:r>
    </w:p>
    <w:p w14:paraId="1152D470" w14:textId="77777777" w:rsidR="00DA6549" w:rsidRDefault="00DA6549" w:rsidP="00CB66C9">
      <w:pPr>
        <w:pStyle w:val="BodyText"/>
        <w:ind w:left="1140"/>
        <w:rPr>
          <w:sz w:val="26"/>
        </w:rPr>
      </w:pPr>
    </w:p>
    <w:p w14:paraId="31AC967E" w14:textId="77777777" w:rsidR="00DA6549" w:rsidRDefault="00DA6549" w:rsidP="00DA6549">
      <w:pPr>
        <w:pStyle w:val="Heading3"/>
        <w:spacing w:before="217"/>
        <w:jc w:val="both"/>
      </w:pPr>
      <w:r>
        <w:t>Overview of the Disallowable Legislative Instrument</w:t>
      </w:r>
    </w:p>
    <w:p w14:paraId="45163664" w14:textId="77777777" w:rsidR="00DA6549" w:rsidRDefault="00DA6549" w:rsidP="00CB66C9">
      <w:pPr>
        <w:pStyle w:val="BodyText"/>
        <w:ind w:left="1140"/>
        <w:rPr>
          <w:b/>
        </w:rPr>
      </w:pPr>
    </w:p>
    <w:p w14:paraId="00317346" w14:textId="77777777" w:rsidR="00DA6549" w:rsidRDefault="00DA6549" w:rsidP="00DA6549">
      <w:pPr>
        <w:ind w:left="1140"/>
        <w:jc w:val="both"/>
        <w:rPr>
          <w:sz w:val="24"/>
        </w:rPr>
      </w:pPr>
      <w:r>
        <w:rPr>
          <w:sz w:val="24"/>
        </w:rPr>
        <w:t xml:space="preserve">Section 19(2) of the </w:t>
      </w:r>
      <w:r>
        <w:rPr>
          <w:i/>
          <w:sz w:val="24"/>
        </w:rPr>
        <w:t xml:space="preserve">High Court of Australia Act 1979 </w:t>
      </w:r>
      <w:r>
        <w:rPr>
          <w:sz w:val="24"/>
        </w:rPr>
        <w:t>(</w:t>
      </w:r>
      <w:proofErr w:type="spellStart"/>
      <w:r>
        <w:rPr>
          <w:sz w:val="24"/>
        </w:rPr>
        <w:t>Cth</w:t>
      </w:r>
      <w:proofErr w:type="spellEnd"/>
      <w:r>
        <w:rPr>
          <w:sz w:val="24"/>
        </w:rPr>
        <w:t>) provides:</w:t>
      </w:r>
    </w:p>
    <w:p w14:paraId="041FE8D9" w14:textId="77777777" w:rsidR="00DA6549" w:rsidRDefault="00DA6549" w:rsidP="00CB66C9">
      <w:pPr>
        <w:pStyle w:val="BodyText"/>
        <w:ind w:left="1140"/>
      </w:pPr>
    </w:p>
    <w:p w14:paraId="57348AF3" w14:textId="77777777" w:rsidR="00DA6549" w:rsidRDefault="00DA6549" w:rsidP="00DA6549">
      <w:pPr>
        <w:pStyle w:val="BodyText"/>
        <w:ind w:left="1860" w:right="1490"/>
      </w:pPr>
      <w:r>
        <w:t>The Chief Executive and Principal Registrar has power to do all things that are necessary or convenient to be done for or in connection with the performance of his or her functions and, in particular, has power, on behalf of the Court, to give directions, by legislative instrument, for the purpose of regulating the conduct of persons on any land or in any building referred to in paragraph 17(2)(d).</w:t>
      </w:r>
    </w:p>
    <w:p w14:paraId="15C36462" w14:textId="77777777" w:rsidR="00DA6549" w:rsidRDefault="00DA6549" w:rsidP="00CB66C9">
      <w:pPr>
        <w:pStyle w:val="BodyText"/>
        <w:ind w:left="1140"/>
      </w:pPr>
    </w:p>
    <w:p w14:paraId="03EEB79B" w14:textId="77777777" w:rsidR="00DA6549" w:rsidRDefault="00DA6549" w:rsidP="00DA6549">
      <w:pPr>
        <w:pStyle w:val="BodyText"/>
        <w:spacing w:before="1"/>
        <w:ind w:left="1140" w:right="1370"/>
        <w:jc w:val="both"/>
      </w:pPr>
      <w:r>
        <w:t>The purpose of these Directions is to regulate the conduct of persons in the building and</w:t>
      </w:r>
      <w:r>
        <w:rPr>
          <w:spacing w:val="-11"/>
        </w:rPr>
        <w:t xml:space="preserve"> </w:t>
      </w:r>
      <w:r>
        <w:t>precincts</w:t>
      </w:r>
      <w:r>
        <w:rPr>
          <w:spacing w:val="-11"/>
        </w:rPr>
        <w:t xml:space="preserve"> </w:t>
      </w:r>
      <w:r>
        <w:t>of</w:t>
      </w:r>
      <w:r>
        <w:rPr>
          <w:spacing w:val="-9"/>
        </w:rPr>
        <w:t xml:space="preserve"> </w:t>
      </w:r>
      <w:r>
        <w:t>the</w:t>
      </w:r>
      <w:r>
        <w:rPr>
          <w:spacing w:val="-7"/>
        </w:rPr>
        <w:t xml:space="preserve"> </w:t>
      </w:r>
      <w:r>
        <w:t>High</w:t>
      </w:r>
      <w:r>
        <w:rPr>
          <w:spacing w:val="-7"/>
        </w:rPr>
        <w:t xml:space="preserve"> </w:t>
      </w:r>
      <w:r>
        <w:t>Court</w:t>
      </w:r>
      <w:r>
        <w:rPr>
          <w:spacing w:val="-12"/>
        </w:rPr>
        <w:t xml:space="preserve"> </w:t>
      </w:r>
      <w:r>
        <w:t>in</w:t>
      </w:r>
      <w:r>
        <w:rPr>
          <w:spacing w:val="-10"/>
        </w:rPr>
        <w:t xml:space="preserve"> </w:t>
      </w:r>
      <w:r>
        <w:t>Canberra,</w:t>
      </w:r>
      <w:r>
        <w:rPr>
          <w:spacing w:val="-12"/>
        </w:rPr>
        <w:t xml:space="preserve"> </w:t>
      </w:r>
      <w:r>
        <w:t>and</w:t>
      </w:r>
      <w:r>
        <w:rPr>
          <w:spacing w:val="-11"/>
        </w:rPr>
        <w:t xml:space="preserve"> </w:t>
      </w:r>
      <w:r>
        <w:t>to</w:t>
      </w:r>
      <w:r>
        <w:rPr>
          <w:spacing w:val="-9"/>
        </w:rPr>
        <w:t xml:space="preserve"> </w:t>
      </w:r>
      <w:r>
        <w:t>update</w:t>
      </w:r>
      <w:r>
        <w:rPr>
          <w:spacing w:val="-10"/>
        </w:rPr>
        <w:t xml:space="preserve"> </w:t>
      </w:r>
      <w:r>
        <w:t>the</w:t>
      </w:r>
      <w:r>
        <w:rPr>
          <w:spacing w:val="-10"/>
        </w:rPr>
        <w:t xml:space="preserve"> </w:t>
      </w:r>
      <w:r>
        <w:t>Directions</w:t>
      </w:r>
      <w:r>
        <w:rPr>
          <w:spacing w:val="-11"/>
        </w:rPr>
        <w:t xml:space="preserve"> </w:t>
      </w:r>
      <w:r>
        <w:t>to</w:t>
      </w:r>
      <w:r>
        <w:rPr>
          <w:spacing w:val="-10"/>
        </w:rPr>
        <w:t xml:space="preserve"> </w:t>
      </w:r>
      <w:r>
        <w:t>reflect</w:t>
      </w:r>
      <w:r>
        <w:rPr>
          <w:spacing w:val="-10"/>
        </w:rPr>
        <w:t xml:space="preserve"> </w:t>
      </w:r>
      <w:r>
        <w:t xml:space="preserve">the provisions of the </w:t>
      </w:r>
      <w:r w:rsidRPr="00484BC1">
        <w:rPr>
          <w:i/>
          <w:iCs/>
        </w:rPr>
        <w:t>Court Security Act 2013</w:t>
      </w:r>
      <w:r>
        <w:t xml:space="preserve"> (</w:t>
      </w:r>
      <w:proofErr w:type="spellStart"/>
      <w:r>
        <w:t>Cth</w:t>
      </w:r>
      <w:proofErr w:type="spellEnd"/>
      <w:r>
        <w:t xml:space="preserve">) and </w:t>
      </w:r>
      <w:r w:rsidRPr="00484BC1">
        <w:rPr>
          <w:i/>
          <w:iCs/>
        </w:rPr>
        <w:t>Court Security Regulation 2013</w:t>
      </w:r>
      <w:r>
        <w:t xml:space="preserve"> (</w:t>
      </w:r>
      <w:proofErr w:type="spellStart"/>
      <w:r>
        <w:t>Cth</w:t>
      </w:r>
      <w:proofErr w:type="spellEnd"/>
      <w:r>
        <w:t>).</w:t>
      </w:r>
    </w:p>
    <w:p w14:paraId="78066B07" w14:textId="77777777" w:rsidR="00DA6549" w:rsidRDefault="00DA6549" w:rsidP="00CB66C9">
      <w:pPr>
        <w:pStyle w:val="BodyText"/>
        <w:spacing w:before="5"/>
        <w:ind w:left="1140"/>
        <w:rPr>
          <w:sz w:val="34"/>
        </w:rPr>
      </w:pPr>
    </w:p>
    <w:p w14:paraId="2944F4D0" w14:textId="77777777" w:rsidR="00DA6549" w:rsidRDefault="00DA6549" w:rsidP="00DA6549">
      <w:pPr>
        <w:pStyle w:val="Heading3"/>
        <w:jc w:val="left"/>
      </w:pPr>
      <w:r>
        <w:t>Human rights implications</w:t>
      </w:r>
    </w:p>
    <w:p w14:paraId="5570A069" w14:textId="7BD94457" w:rsidR="00DA6549" w:rsidRDefault="00DA6549" w:rsidP="00DA6549">
      <w:pPr>
        <w:pStyle w:val="BodyText"/>
        <w:spacing w:before="120"/>
        <w:ind w:left="1140" w:right="1716"/>
      </w:pPr>
      <w:r>
        <w:t>This Disallowable Legislative Instrument engages the following rights contained in the International Covenant on Civil and Political Rights (ICCPR):</w:t>
      </w:r>
    </w:p>
    <w:p w14:paraId="591FC885" w14:textId="77777777" w:rsidR="00CB66C9" w:rsidRDefault="00CB66C9" w:rsidP="00DA6549">
      <w:pPr>
        <w:pStyle w:val="BodyText"/>
        <w:spacing w:before="120"/>
        <w:ind w:left="1140" w:right="1716"/>
      </w:pPr>
    </w:p>
    <w:p w14:paraId="5CC6B59C" w14:textId="77777777" w:rsidR="00DA6549" w:rsidRPr="00CB66C9" w:rsidRDefault="00DA6549" w:rsidP="00CB66C9">
      <w:pPr>
        <w:ind w:left="1140"/>
        <w:rPr>
          <w:b/>
          <w:bCs/>
          <w:i/>
          <w:iCs/>
          <w:sz w:val="24"/>
          <w:szCs w:val="24"/>
        </w:rPr>
      </w:pPr>
      <w:r w:rsidRPr="00CB66C9">
        <w:rPr>
          <w:b/>
          <w:bCs/>
          <w:i/>
          <w:iCs/>
          <w:sz w:val="24"/>
          <w:szCs w:val="24"/>
        </w:rPr>
        <w:t>Article 19</w:t>
      </w:r>
    </w:p>
    <w:p w14:paraId="4E31F6DD" w14:textId="77777777" w:rsidR="00DA6549" w:rsidRDefault="00DA6549" w:rsidP="00DA6549">
      <w:pPr>
        <w:pStyle w:val="ListParagraph"/>
        <w:numPr>
          <w:ilvl w:val="1"/>
          <w:numId w:val="2"/>
        </w:numPr>
        <w:tabs>
          <w:tab w:val="left" w:pos="1409"/>
        </w:tabs>
        <w:spacing w:before="149"/>
        <w:rPr>
          <w:sz w:val="24"/>
        </w:rPr>
      </w:pPr>
      <w:r>
        <w:rPr>
          <w:sz w:val="24"/>
        </w:rPr>
        <w:t>Everyone shall have the right to hold opinions without</w:t>
      </w:r>
      <w:r>
        <w:rPr>
          <w:spacing w:val="-7"/>
          <w:sz w:val="24"/>
        </w:rPr>
        <w:t xml:space="preserve"> </w:t>
      </w:r>
      <w:r>
        <w:rPr>
          <w:sz w:val="24"/>
        </w:rPr>
        <w:t>interference.</w:t>
      </w:r>
    </w:p>
    <w:p w14:paraId="6DD86A47" w14:textId="77777777" w:rsidR="00DA6549" w:rsidRDefault="00DA6549" w:rsidP="00DA6549">
      <w:pPr>
        <w:pStyle w:val="ListParagraph"/>
        <w:numPr>
          <w:ilvl w:val="1"/>
          <w:numId w:val="2"/>
        </w:numPr>
        <w:tabs>
          <w:tab w:val="left" w:pos="1409"/>
        </w:tabs>
        <w:spacing w:before="151"/>
        <w:ind w:left="1140" w:right="1498" w:firstLine="0"/>
        <w:rPr>
          <w:sz w:val="24"/>
        </w:rPr>
      </w:pPr>
      <w:r>
        <w:rPr>
          <w:sz w:val="24"/>
        </w:rPr>
        <w:t>Everyone shall have the right to freedom of expression; this right shall include freedom to seek, receive and impart information and ideas of all kinds, regardless</w:t>
      </w:r>
      <w:r>
        <w:rPr>
          <w:spacing w:val="-34"/>
          <w:sz w:val="24"/>
        </w:rPr>
        <w:t xml:space="preserve"> </w:t>
      </w:r>
      <w:r>
        <w:rPr>
          <w:sz w:val="24"/>
        </w:rPr>
        <w:t>of frontiers, either orally, in writing or in print, in the form of art, or through any other media of his</w:t>
      </w:r>
      <w:r>
        <w:rPr>
          <w:spacing w:val="-1"/>
          <w:sz w:val="24"/>
        </w:rPr>
        <w:t xml:space="preserve"> </w:t>
      </w:r>
      <w:r>
        <w:rPr>
          <w:sz w:val="24"/>
        </w:rPr>
        <w:t>choice.</w:t>
      </w:r>
    </w:p>
    <w:p w14:paraId="22721883" w14:textId="77777777" w:rsidR="00DA6549" w:rsidRDefault="00DA6549" w:rsidP="00DA6549">
      <w:pPr>
        <w:pStyle w:val="ListParagraph"/>
        <w:numPr>
          <w:ilvl w:val="1"/>
          <w:numId w:val="2"/>
        </w:numPr>
        <w:tabs>
          <w:tab w:val="left" w:pos="1407"/>
        </w:tabs>
        <w:spacing w:before="149"/>
        <w:ind w:left="1140" w:right="1515" w:firstLine="0"/>
        <w:rPr>
          <w:sz w:val="24"/>
        </w:rPr>
      </w:pPr>
      <w:r>
        <w:rPr>
          <w:sz w:val="24"/>
        </w:rPr>
        <w:t xml:space="preserve">The exercise of the rights provided for in paragraph 2 of this article carries with it special duties and responsibilities. It may therefore be subject </w:t>
      </w:r>
      <w:r>
        <w:rPr>
          <w:spacing w:val="3"/>
          <w:sz w:val="24"/>
        </w:rPr>
        <w:t xml:space="preserve">to </w:t>
      </w:r>
      <w:r>
        <w:rPr>
          <w:sz w:val="24"/>
        </w:rPr>
        <w:t>certain</w:t>
      </w:r>
      <w:r>
        <w:rPr>
          <w:spacing w:val="-34"/>
          <w:sz w:val="24"/>
        </w:rPr>
        <w:t xml:space="preserve"> </w:t>
      </w:r>
      <w:r>
        <w:rPr>
          <w:sz w:val="24"/>
        </w:rPr>
        <w:t>restrictions, but these shall only be such as are provided by law and are</w:t>
      </w:r>
      <w:r>
        <w:rPr>
          <w:spacing w:val="-23"/>
          <w:sz w:val="24"/>
        </w:rPr>
        <w:t xml:space="preserve"> </w:t>
      </w:r>
      <w:r>
        <w:rPr>
          <w:sz w:val="24"/>
        </w:rPr>
        <w:t>necessary:</w:t>
      </w:r>
    </w:p>
    <w:p w14:paraId="0E2310AA" w14:textId="77777777" w:rsidR="00DA6549" w:rsidRDefault="00DA6549" w:rsidP="00DA6549">
      <w:pPr>
        <w:pStyle w:val="ListParagraph"/>
        <w:numPr>
          <w:ilvl w:val="0"/>
          <w:numId w:val="1"/>
        </w:numPr>
        <w:tabs>
          <w:tab w:val="left" w:pos="1501"/>
        </w:tabs>
        <w:spacing w:before="152"/>
        <w:ind w:hanging="361"/>
        <w:rPr>
          <w:sz w:val="24"/>
        </w:rPr>
      </w:pPr>
      <w:r>
        <w:rPr>
          <w:sz w:val="24"/>
        </w:rPr>
        <w:t>For respect of the rights or reputations of</w:t>
      </w:r>
      <w:r>
        <w:rPr>
          <w:spacing w:val="-2"/>
          <w:sz w:val="24"/>
        </w:rPr>
        <w:t xml:space="preserve"> </w:t>
      </w:r>
      <w:r>
        <w:rPr>
          <w:sz w:val="24"/>
        </w:rPr>
        <w:t>others;</w:t>
      </w:r>
    </w:p>
    <w:p w14:paraId="724310A3" w14:textId="77777777" w:rsidR="00DA6549" w:rsidRDefault="00DA6549" w:rsidP="00DA6549">
      <w:pPr>
        <w:pStyle w:val="ListParagraph"/>
        <w:numPr>
          <w:ilvl w:val="0"/>
          <w:numId w:val="1"/>
        </w:numPr>
        <w:tabs>
          <w:tab w:val="left" w:pos="1501"/>
        </w:tabs>
        <w:spacing w:before="149"/>
        <w:ind w:left="1140" w:right="1442" w:firstLine="0"/>
        <w:rPr>
          <w:sz w:val="24"/>
        </w:rPr>
      </w:pPr>
      <w:r>
        <w:rPr>
          <w:sz w:val="24"/>
        </w:rPr>
        <w:t>For the protection of national security or of public order (</w:t>
      </w:r>
      <w:proofErr w:type="spellStart"/>
      <w:r>
        <w:rPr>
          <w:sz w:val="24"/>
        </w:rPr>
        <w:t>ordre</w:t>
      </w:r>
      <w:proofErr w:type="spellEnd"/>
      <w:r>
        <w:rPr>
          <w:sz w:val="24"/>
        </w:rPr>
        <w:t xml:space="preserve"> public), or of</w:t>
      </w:r>
      <w:r>
        <w:rPr>
          <w:spacing w:val="-32"/>
          <w:sz w:val="24"/>
        </w:rPr>
        <w:t xml:space="preserve"> </w:t>
      </w:r>
      <w:r>
        <w:rPr>
          <w:sz w:val="24"/>
        </w:rPr>
        <w:t>public health or</w:t>
      </w:r>
      <w:r>
        <w:rPr>
          <w:spacing w:val="-3"/>
          <w:sz w:val="24"/>
        </w:rPr>
        <w:t xml:space="preserve"> </w:t>
      </w:r>
      <w:r>
        <w:rPr>
          <w:sz w:val="24"/>
        </w:rPr>
        <w:t>morals.</w:t>
      </w:r>
    </w:p>
    <w:p w14:paraId="11E236FA" w14:textId="77777777" w:rsidR="00DA6549" w:rsidRDefault="00DA6549" w:rsidP="00DA6549">
      <w:pPr>
        <w:rPr>
          <w:sz w:val="24"/>
        </w:rPr>
        <w:sectPr w:rsidR="00DA6549">
          <w:pgSz w:w="11910" w:h="16840"/>
          <w:pgMar w:top="1580" w:right="62" w:bottom="280" w:left="300" w:header="720" w:footer="720" w:gutter="0"/>
          <w:cols w:space="720"/>
        </w:sectPr>
      </w:pPr>
    </w:p>
    <w:p w14:paraId="2E63CEBE" w14:textId="77777777" w:rsidR="00DA6549" w:rsidRPr="00CB66C9" w:rsidRDefault="00DA6549" w:rsidP="00CB66C9">
      <w:pPr>
        <w:ind w:left="540"/>
        <w:rPr>
          <w:b/>
          <w:bCs/>
          <w:i/>
          <w:iCs/>
          <w:sz w:val="24"/>
          <w:szCs w:val="24"/>
        </w:rPr>
      </w:pPr>
      <w:r w:rsidRPr="00CB66C9">
        <w:rPr>
          <w:b/>
          <w:bCs/>
          <w:i/>
          <w:iCs/>
          <w:sz w:val="24"/>
          <w:szCs w:val="24"/>
        </w:rPr>
        <w:lastRenderedPageBreak/>
        <w:t>Article 21</w:t>
      </w:r>
    </w:p>
    <w:p w14:paraId="45FF1229" w14:textId="77777777" w:rsidR="00DA6549" w:rsidRDefault="00DA6549" w:rsidP="00CB66C9">
      <w:pPr>
        <w:pStyle w:val="BodyText"/>
        <w:spacing w:before="149"/>
        <w:ind w:left="540" w:right="180"/>
        <w:jc w:val="both"/>
      </w:pPr>
      <w:r>
        <w:rPr>
          <w:sz w:val="22"/>
        </w:rPr>
        <w:t xml:space="preserve">The right of </w:t>
      </w:r>
      <w:r>
        <w:t>peaceful assembly shall be recognized. No restrictions may be placed on the</w:t>
      </w:r>
      <w:r>
        <w:rPr>
          <w:spacing w:val="-16"/>
        </w:rPr>
        <w:t xml:space="preserve"> </w:t>
      </w:r>
      <w:r>
        <w:t>exercise</w:t>
      </w:r>
      <w:r>
        <w:rPr>
          <w:spacing w:val="-14"/>
        </w:rPr>
        <w:t xml:space="preserve"> </w:t>
      </w:r>
      <w:r>
        <w:t>of</w:t>
      </w:r>
      <w:r>
        <w:rPr>
          <w:spacing w:val="-11"/>
        </w:rPr>
        <w:t xml:space="preserve"> </w:t>
      </w:r>
      <w:r>
        <w:t>this</w:t>
      </w:r>
      <w:r>
        <w:rPr>
          <w:spacing w:val="-14"/>
        </w:rPr>
        <w:t xml:space="preserve"> </w:t>
      </w:r>
      <w:r>
        <w:t>right</w:t>
      </w:r>
      <w:r>
        <w:rPr>
          <w:spacing w:val="-13"/>
        </w:rPr>
        <w:t xml:space="preserve"> </w:t>
      </w:r>
      <w:r>
        <w:t>other</w:t>
      </w:r>
      <w:r>
        <w:rPr>
          <w:spacing w:val="-15"/>
        </w:rPr>
        <w:t xml:space="preserve"> </w:t>
      </w:r>
      <w:r>
        <w:t>than</w:t>
      </w:r>
      <w:r>
        <w:rPr>
          <w:spacing w:val="-13"/>
        </w:rPr>
        <w:t xml:space="preserve"> </w:t>
      </w:r>
      <w:r>
        <w:t>those</w:t>
      </w:r>
      <w:r>
        <w:rPr>
          <w:spacing w:val="-13"/>
        </w:rPr>
        <w:t xml:space="preserve"> </w:t>
      </w:r>
      <w:r>
        <w:t>imposed</w:t>
      </w:r>
      <w:r>
        <w:rPr>
          <w:spacing w:val="-13"/>
        </w:rPr>
        <w:t xml:space="preserve"> </w:t>
      </w:r>
      <w:r>
        <w:t>in</w:t>
      </w:r>
      <w:r>
        <w:rPr>
          <w:spacing w:val="-13"/>
        </w:rPr>
        <w:t xml:space="preserve"> </w:t>
      </w:r>
      <w:r>
        <w:t>conformity</w:t>
      </w:r>
      <w:r>
        <w:rPr>
          <w:spacing w:val="-16"/>
        </w:rPr>
        <w:t xml:space="preserve"> </w:t>
      </w:r>
      <w:r>
        <w:t>with</w:t>
      </w:r>
      <w:r>
        <w:rPr>
          <w:spacing w:val="-13"/>
        </w:rPr>
        <w:t xml:space="preserve"> </w:t>
      </w:r>
      <w:r>
        <w:t>the</w:t>
      </w:r>
      <w:r>
        <w:rPr>
          <w:spacing w:val="-13"/>
        </w:rPr>
        <w:t xml:space="preserve"> </w:t>
      </w:r>
      <w:r>
        <w:t>law</w:t>
      </w:r>
      <w:r>
        <w:rPr>
          <w:spacing w:val="-16"/>
        </w:rPr>
        <w:t xml:space="preserve"> </w:t>
      </w:r>
      <w:r>
        <w:t>and</w:t>
      </w:r>
      <w:r>
        <w:rPr>
          <w:spacing w:val="-14"/>
        </w:rPr>
        <w:t xml:space="preserve"> </w:t>
      </w:r>
      <w:r>
        <w:t>which are necessary in a democratic society in the interests of national security or public safety, public order (</w:t>
      </w:r>
      <w:proofErr w:type="spellStart"/>
      <w:r>
        <w:t>ordre</w:t>
      </w:r>
      <w:proofErr w:type="spellEnd"/>
      <w:r>
        <w:t xml:space="preserve"> public), the protection of public health or morals or the protection of the rights and freedoms of</w:t>
      </w:r>
      <w:r>
        <w:rPr>
          <w:spacing w:val="-9"/>
        </w:rPr>
        <w:t xml:space="preserve"> </w:t>
      </w:r>
      <w:r>
        <w:t>others.</w:t>
      </w:r>
    </w:p>
    <w:p w14:paraId="65687F24" w14:textId="77777777" w:rsidR="00DA6549" w:rsidRDefault="00DA6549" w:rsidP="00CB66C9">
      <w:pPr>
        <w:pStyle w:val="BodyText"/>
        <w:ind w:left="540" w:right="180"/>
      </w:pPr>
    </w:p>
    <w:p w14:paraId="74E27685" w14:textId="77777777" w:rsidR="00DA6549" w:rsidRDefault="00DA6549" w:rsidP="00CB66C9">
      <w:pPr>
        <w:pStyle w:val="BodyText"/>
        <w:ind w:left="540" w:right="180"/>
        <w:jc w:val="both"/>
      </w:pPr>
      <w:r>
        <w:t xml:space="preserve">Clause 5(xvii) which prohibits the display of any sign, poster or image within the building or precincts without the prior approval of the Chief Executive or a person </w:t>
      </w:r>
      <w:proofErr w:type="spellStart"/>
      <w:r>
        <w:t>authorised</w:t>
      </w:r>
      <w:proofErr w:type="spellEnd"/>
      <w:r>
        <w:t xml:space="preserve"> by the Chief Executive, restricts the right to freedom of expression contained in article 19 of the ICCPR. It is a permissible limitation of that right. Clause 5(xvii) is consistent with art 19(3) which permits freedom of expression to be limited only</w:t>
      </w:r>
      <w:r>
        <w:rPr>
          <w:spacing w:val="-7"/>
        </w:rPr>
        <w:t xml:space="preserve"> </w:t>
      </w:r>
      <w:r>
        <w:t>where</w:t>
      </w:r>
      <w:r>
        <w:rPr>
          <w:spacing w:val="-3"/>
        </w:rPr>
        <w:t xml:space="preserve"> </w:t>
      </w:r>
      <w:r>
        <w:t>provided</w:t>
      </w:r>
      <w:r>
        <w:rPr>
          <w:spacing w:val="-6"/>
        </w:rPr>
        <w:t xml:space="preserve"> </w:t>
      </w:r>
      <w:r>
        <w:t>for</w:t>
      </w:r>
      <w:r>
        <w:rPr>
          <w:spacing w:val="-4"/>
        </w:rPr>
        <w:t xml:space="preserve"> </w:t>
      </w:r>
      <w:r>
        <w:t>by</w:t>
      </w:r>
      <w:r>
        <w:rPr>
          <w:spacing w:val="-7"/>
        </w:rPr>
        <w:t xml:space="preserve"> </w:t>
      </w:r>
      <w:r>
        <w:t>law</w:t>
      </w:r>
      <w:r>
        <w:rPr>
          <w:spacing w:val="-6"/>
        </w:rPr>
        <w:t xml:space="preserve"> </w:t>
      </w:r>
      <w:r>
        <w:t>and</w:t>
      </w:r>
      <w:r>
        <w:rPr>
          <w:spacing w:val="-4"/>
        </w:rPr>
        <w:t xml:space="preserve"> </w:t>
      </w:r>
      <w:r>
        <w:t>when</w:t>
      </w:r>
      <w:r>
        <w:rPr>
          <w:spacing w:val="-5"/>
        </w:rPr>
        <w:t xml:space="preserve"> </w:t>
      </w:r>
      <w:r>
        <w:t>necessary</w:t>
      </w:r>
      <w:r>
        <w:rPr>
          <w:spacing w:val="-7"/>
        </w:rPr>
        <w:t xml:space="preserve"> </w:t>
      </w:r>
      <w:r>
        <w:t>to</w:t>
      </w:r>
      <w:r>
        <w:rPr>
          <w:spacing w:val="-5"/>
        </w:rPr>
        <w:t xml:space="preserve"> </w:t>
      </w:r>
      <w:r>
        <w:t>protect,</w:t>
      </w:r>
      <w:r>
        <w:rPr>
          <w:spacing w:val="-4"/>
        </w:rPr>
        <w:t xml:space="preserve"> </w:t>
      </w:r>
      <w:r>
        <w:t>inter</w:t>
      </w:r>
      <w:r>
        <w:rPr>
          <w:spacing w:val="-6"/>
        </w:rPr>
        <w:t xml:space="preserve"> </w:t>
      </w:r>
      <w:r>
        <w:t>alia,</w:t>
      </w:r>
      <w:r>
        <w:rPr>
          <w:spacing w:val="-4"/>
        </w:rPr>
        <w:t xml:space="preserve"> </w:t>
      </w:r>
      <w:r>
        <w:t>public</w:t>
      </w:r>
      <w:r>
        <w:rPr>
          <w:spacing w:val="-6"/>
        </w:rPr>
        <w:t xml:space="preserve"> </w:t>
      </w:r>
      <w:r>
        <w:t>order. It</w:t>
      </w:r>
      <w:r>
        <w:rPr>
          <w:spacing w:val="-5"/>
        </w:rPr>
        <w:t xml:space="preserve"> </w:t>
      </w:r>
      <w:r>
        <w:t>is</w:t>
      </w:r>
      <w:r>
        <w:rPr>
          <w:spacing w:val="-6"/>
        </w:rPr>
        <w:t xml:space="preserve"> </w:t>
      </w:r>
      <w:r>
        <w:t>important</w:t>
      </w:r>
      <w:r>
        <w:rPr>
          <w:spacing w:val="-7"/>
        </w:rPr>
        <w:t xml:space="preserve"> </w:t>
      </w:r>
      <w:r>
        <w:t>for</w:t>
      </w:r>
      <w:r>
        <w:rPr>
          <w:spacing w:val="-6"/>
        </w:rPr>
        <w:t xml:space="preserve"> </w:t>
      </w:r>
      <w:r>
        <w:t>the</w:t>
      </w:r>
      <w:r>
        <w:rPr>
          <w:spacing w:val="-3"/>
        </w:rPr>
        <w:t xml:space="preserve"> </w:t>
      </w:r>
      <w:r>
        <w:t>Court</w:t>
      </w:r>
      <w:r>
        <w:rPr>
          <w:spacing w:val="-5"/>
        </w:rPr>
        <w:t xml:space="preserve"> </w:t>
      </w:r>
      <w:r>
        <w:t>to</w:t>
      </w:r>
      <w:r>
        <w:rPr>
          <w:spacing w:val="-5"/>
        </w:rPr>
        <w:t xml:space="preserve"> </w:t>
      </w:r>
      <w:r>
        <w:t>retain</w:t>
      </w:r>
      <w:r>
        <w:rPr>
          <w:spacing w:val="-4"/>
        </w:rPr>
        <w:t xml:space="preserve"> </w:t>
      </w:r>
      <w:r>
        <w:t>the</w:t>
      </w:r>
      <w:r>
        <w:rPr>
          <w:spacing w:val="-5"/>
        </w:rPr>
        <w:t xml:space="preserve"> </w:t>
      </w:r>
      <w:r>
        <w:t>ability</w:t>
      </w:r>
      <w:r>
        <w:rPr>
          <w:spacing w:val="-6"/>
        </w:rPr>
        <w:t xml:space="preserve"> </w:t>
      </w:r>
      <w:r>
        <w:t>to</w:t>
      </w:r>
      <w:r>
        <w:rPr>
          <w:spacing w:val="-4"/>
        </w:rPr>
        <w:t xml:space="preserve"> </w:t>
      </w:r>
      <w:r>
        <w:t>regulate</w:t>
      </w:r>
      <w:r>
        <w:rPr>
          <w:spacing w:val="-5"/>
        </w:rPr>
        <w:t xml:space="preserve"> </w:t>
      </w:r>
      <w:r>
        <w:t>the</w:t>
      </w:r>
      <w:r>
        <w:rPr>
          <w:spacing w:val="-6"/>
        </w:rPr>
        <w:t xml:space="preserve"> </w:t>
      </w:r>
      <w:r>
        <w:t>display</w:t>
      </w:r>
      <w:r>
        <w:rPr>
          <w:spacing w:val="-8"/>
        </w:rPr>
        <w:t xml:space="preserve"> </w:t>
      </w:r>
      <w:r>
        <w:t>of</w:t>
      </w:r>
      <w:r>
        <w:rPr>
          <w:spacing w:val="-3"/>
        </w:rPr>
        <w:t xml:space="preserve"> </w:t>
      </w:r>
      <w:r>
        <w:t>signs,</w:t>
      </w:r>
      <w:r>
        <w:rPr>
          <w:spacing w:val="-4"/>
        </w:rPr>
        <w:t xml:space="preserve"> </w:t>
      </w:r>
      <w:r>
        <w:t xml:space="preserve">posters or images in order to preserve the appearance or substance of its independence and impartiality, and to prevent interference with the orderly conduct of proceedings. It is also proportionate in that there exists provision for the Chief Executive or a person </w:t>
      </w:r>
      <w:proofErr w:type="spellStart"/>
      <w:r>
        <w:t>authorised</w:t>
      </w:r>
      <w:proofErr w:type="spellEnd"/>
      <w:r>
        <w:t xml:space="preserve"> by the Chief Executive to </w:t>
      </w:r>
      <w:proofErr w:type="spellStart"/>
      <w:r>
        <w:t>authorise</w:t>
      </w:r>
      <w:proofErr w:type="spellEnd"/>
      <w:r>
        <w:t xml:space="preserve"> displays of signs, posters and</w:t>
      </w:r>
      <w:r>
        <w:rPr>
          <w:spacing w:val="-27"/>
        </w:rPr>
        <w:t xml:space="preserve"> </w:t>
      </w:r>
      <w:r>
        <w:t>images.</w:t>
      </w:r>
    </w:p>
    <w:p w14:paraId="2EE9C27B" w14:textId="77777777" w:rsidR="00DA6549" w:rsidRDefault="00DA6549" w:rsidP="00CB66C9">
      <w:pPr>
        <w:pStyle w:val="BodyText"/>
        <w:spacing w:before="1"/>
        <w:ind w:left="540" w:right="180"/>
      </w:pPr>
    </w:p>
    <w:p w14:paraId="58D6AD64" w14:textId="77777777" w:rsidR="00DA6549" w:rsidRDefault="00DA6549" w:rsidP="00CB66C9">
      <w:pPr>
        <w:pStyle w:val="BodyText"/>
        <w:ind w:left="540" w:right="180"/>
        <w:jc w:val="both"/>
      </w:pPr>
      <w:r>
        <w:t>Clause 5(xviii) which prohibits a person from conducting or participating in any public protest</w:t>
      </w:r>
      <w:r>
        <w:rPr>
          <w:spacing w:val="-18"/>
        </w:rPr>
        <w:t xml:space="preserve"> </w:t>
      </w:r>
      <w:r>
        <w:t>or</w:t>
      </w:r>
      <w:r>
        <w:rPr>
          <w:spacing w:val="-19"/>
        </w:rPr>
        <w:t xml:space="preserve"> </w:t>
      </w:r>
      <w:r>
        <w:t>assembly</w:t>
      </w:r>
      <w:r>
        <w:rPr>
          <w:spacing w:val="-19"/>
        </w:rPr>
        <w:t xml:space="preserve"> </w:t>
      </w:r>
      <w:r>
        <w:t>within</w:t>
      </w:r>
      <w:r>
        <w:rPr>
          <w:spacing w:val="-18"/>
        </w:rPr>
        <w:t xml:space="preserve"> </w:t>
      </w:r>
      <w:r>
        <w:t>the</w:t>
      </w:r>
      <w:r>
        <w:rPr>
          <w:spacing w:val="-20"/>
        </w:rPr>
        <w:t xml:space="preserve"> </w:t>
      </w:r>
      <w:r>
        <w:t>building</w:t>
      </w:r>
      <w:r>
        <w:rPr>
          <w:spacing w:val="-19"/>
        </w:rPr>
        <w:t xml:space="preserve"> </w:t>
      </w:r>
      <w:r>
        <w:t>without</w:t>
      </w:r>
      <w:r>
        <w:rPr>
          <w:spacing w:val="-18"/>
        </w:rPr>
        <w:t xml:space="preserve"> </w:t>
      </w:r>
      <w:r>
        <w:t>the</w:t>
      </w:r>
      <w:r>
        <w:rPr>
          <w:spacing w:val="-18"/>
        </w:rPr>
        <w:t xml:space="preserve"> </w:t>
      </w:r>
      <w:r>
        <w:t>prior</w:t>
      </w:r>
      <w:r>
        <w:rPr>
          <w:spacing w:val="-19"/>
        </w:rPr>
        <w:t xml:space="preserve"> </w:t>
      </w:r>
      <w:r>
        <w:t>approval</w:t>
      </w:r>
      <w:r>
        <w:rPr>
          <w:spacing w:val="-19"/>
        </w:rPr>
        <w:t xml:space="preserve"> </w:t>
      </w:r>
      <w:r>
        <w:t>of</w:t>
      </w:r>
      <w:r>
        <w:rPr>
          <w:spacing w:val="-16"/>
        </w:rPr>
        <w:t xml:space="preserve"> </w:t>
      </w:r>
      <w:r>
        <w:t>the</w:t>
      </w:r>
      <w:r>
        <w:rPr>
          <w:spacing w:val="-17"/>
        </w:rPr>
        <w:t xml:space="preserve"> </w:t>
      </w:r>
      <w:r>
        <w:t>Chief</w:t>
      </w:r>
      <w:r>
        <w:rPr>
          <w:spacing w:val="-16"/>
        </w:rPr>
        <w:t xml:space="preserve"> </w:t>
      </w:r>
      <w:r>
        <w:t xml:space="preserve">Executive or a person </w:t>
      </w:r>
      <w:proofErr w:type="spellStart"/>
      <w:r>
        <w:t>authorised</w:t>
      </w:r>
      <w:proofErr w:type="spellEnd"/>
      <w:r>
        <w:t xml:space="preserve"> by the Chief Executive, restricts the rights to freedom of expression and freedom of assembly </w:t>
      </w:r>
      <w:proofErr w:type="spellStart"/>
      <w:r>
        <w:t>recognised</w:t>
      </w:r>
      <w:proofErr w:type="spellEnd"/>
      <w:r>
        <w:t xml:space="preserve"> in articles 19 and 21 of the ICCPR. The clause is consistent with art 19(3) which permits freedom of expression to be limited</w:t>
      </w:r>
      <w:r>
        <w:rPr>
          <w:spacing w:val="-11"/>
        </w:rPr>
        <w:t xml:space="preserve"> </w:t>
      </w:r>
      <w:r>
        <w:t>only</w:t>
      </w:r>
      <w:r>
        <w:rPr>
          <w:spacing w:val="-12"/>
        </w:rPr>
        <w:t xml:space="preserve"> </w:t>
      </w:r>
      <w:r>
        <w:t>where</w:t>
      </w:r>
      <w:r>
        <w:rPr>
          <w:spacing w:val="-8"/>
        </w:rPr>
        <w:t xml:space="preserve"> </w:t>
      </w:r>
      <w:r>
        <w:t>provided</w:t>
      </w:r>
      <w:r>
        <w:rPr>
          <w:spacing w:val="-11"/>
        </w:rPr>
        <w:t xml:space="preserve"> </w:t>
      </w:r>
      <w:r>
        <w:t>for</w:t>
      </w:r>
      <w:r>
        <w:rPr>
          <w:spacing w:val="-11"/>
        </w:rPr>
        <w:t xml:space="preserve"> </w:t>
      </w:r>
      <w:r>
        <w:t>by</w:t>
      </w:r>
      <w:r>
        <w:rPr>
          <w:spacing w:val="-12"/>
        </w:rPr>
        <w:t xml:space="preserve"> </w:t>
      </w:r>
      <w:r>
        <w:t>law</w:t>
      </w:r>
      <w:r>
        <w:rPr>
          <w:spacing w:val="-12"/>
        </w:rPr>
        <w:t xml:space="preserve"> </w:t>
      </w:r>
      <w:r>
        <w:t>and</w:t>
      </w:r>
      <w:r>
        <w:rPr>
          <w:spacing w:val="-7"/>
        </w:rPr>
        <w:t xml:space="preserve"> </w:t>
      </w:r>
      <w:r>
        <w:t>when</w:t>
      </w:r>
      <w:r>
        <w:rPr>
          <w:spacing w:val="-11"/>
        </w:rPr>
        <w:t xml:space="preserve"> </w:t>
      </w:r>
      <w:r>
        <w:t>necessary</w:t>
      </w:r>
      <w:r>
        <w:rPr>
          <w:spacing w:val="-11"/>
        </w:rPr>
        <w:t xml:space="preserve"> </w:t>
      </w:r>
      <w:r>
        <w:t>to</w:t>
      </w:r>
      <w:r>
        <w:rPr>
          <w:spacing w:val="-10"/>
        </w:rPr>
        <w:t xml:space="preserve"> </w:t>
      </w:r>
      <w:r>
        <w:t>protect,</w:t>
      </w:r>
      <w:r>
        <w:rPr>
          <w:spacing w:val="-8"/>
        </w:rPr>
        <w:t xml:space="preserve"> </w:t>
      </w:r>
      <w:r>
        <w:t>inter</w:t>
      </w:r>
      <w:r>
        <w:rPr>
          <w:spacing w:val="-9"/>
        </w:rPr>
        <w:t xml:space="preserve"> </w:t>
      </w:r>
      <w:r>
        <w:t>alia,</w:t>
      </w:r>
      <w:r>
        <w:rPr>
          <w:spacing w:val="-9"/>
        </w:rPr>
        <w:t xml:space="preserve"> </w:t>
      </w:r>
      <w:r>
        <w:t>public order. It is important for the Court to retain the ability to regulate public protests and assemblies</w:t>
      </w:r>
      <w:r>
        <w:rPr>
          <w:spacing w:val="-13"/>
        </w:rPr>
        <w:t xml:space="preserve"> </w:t>
      </w:r>
      <w:r>
        <w:t>in</w:t>
      </w:r>
      <w:r>
        <w:rPr>
          <w:spacing w:val="-14"/>
        </w:rPr>
        <w:t xml:space="preserve"> </w:t>
      </w:r>
      <w:r>
        <w:t>order</w:t>
      </w:r>
      <w:r>
        <w:rPr>
          <w:spacing w:val="-12"/>
        </w:rPr>
        <w:t xml:space="preserve"> </w:t>
      </w:r>
      <w:r>
        <w:t>to</w:t>
      </w:r>
      <w:r>
        <w:rPr>
          <w:spacing w:val="-15"/>
        </w:rPr>
        <w:t xml:space="preserve"> </w:t>
      </w:r>
      <w:r>
        <w:t>preserve</w:t>
      </w:r>
      <w:r>
        <w:rPr>
          <w:spacing w:val="-9"/>
        </w:rPr>
        <w:t xml:space="preserve"> </w:t>
      </w:r>
      <w:r>
        <w:t>the</w:t>
      </w:r>
      <w:r>
        <w:rPr>
          <w:spacing w:val="-14"/>
        </w:rPr>
        <w:t xml:space="preserve"> </w:t>
      </w:r>
      <w:r>
        <w:t>appearance</w:t>
      </w:r>
      <w:r>
        <w:rPr>
          <w:spacing w:val="-11"/>
        </w:rPr>
        <w:t xml:space="preserve"> </w:t>
      </w:r>
      <w:r>
        <w:t>or</w:t>
      </w:r>
      <w:r>
        <w:rPr>
          <w:spacing w:val="-13"/>
        </w:rPr>
        <w:t xml:space="preserve"> </w:t>
      </w:r>
      <w:r>
        <w:t>substance</w:t>
      </w:r>
      <w:r>
        <w:rPr>
          <w:spacing w:val="-11"/>
        </w:rPr>
        <w:t xml:space="preserve"> </w:t>
      </w:r>
      <w:r>
        <w:t>of</w:t>
      </w:r>
      <w:r>
        <w:rPr>
          <w:spacing w:val="-12"/>
        </w:rPr>
        <w:t xml:space="preserve"> </w:t>
      </w:r>
      <w:r>
        <w:t>its</w:t>
      </w:r>
      <w:r>
        <w:rPr>
          <w:spacing w:val="-9"/>
        </w:rPr>
        <w:t xml:space="preserve"> </w:t>
      </w:r>
      <w:r>
        <w:t>independence</w:t>
      </w:r>
      <w:r>
        <w:rPr>
          <w:spacing w:val="-11"/>
        </w:rPr>
        <w:t xml:space="preserve"> </w:t>
      </w:r>
      <w:r>
        <w:t xml:space="preserve">and impartiality, and to prevent interference with the orderly conduct of proceedings. The limitation on this right by clause 5(xviii) is proportionate. It does not prevent peaceful assembly in the precincts of the Court, only in the building. The clause also permits public protests and assemblies within the building with the prior approval of the Chief Executive or a person </w:t>
      </w:r>
      <w:proofErr w:type="spellStart"/>
      <w:r>
        <w:t>authorised</w:t>
      </w:r>
      <w:proofErr w:type="spellEnd"/>
      <w:r>
        <w:t xml:space="preserve"> by the Chief</w:t>
      </w:r>
      <w:r>
        <w:rPr>
          <w:spacing w:val="-10"/>
        </w:rPr>
        <w:t xml:space="preserve"> </w:t>
      </w:r>
      <w:r>
        <w:t>Executive.</w:t>
      </w:r>
    </w:p>
    <w:p w14:paraId="3EC6C4D2" w14:textId="77777777" w:rsidR="00DA6549" w:rsidRDefault="00DA6549" w:rsidP="00CB66C9">
      <w:pPr>
        <w:pStyle w:val="BodyText"/>
        <w:ind w:left="540" w:right="180"/>
      </w:pPr>
    </w:p>
    <w:p w14:paraId="6A7990EA" w14:textId="77777777" w:rsidR="00DA6549" w:rsidRDefault="00DA6549" w:rsidP="00CB66C9">
      <w:pPr>
        <w:pStyle w:val="BodyText"/>
        <w:spacing w:before="1"/>
        <w:ind w:left="540" w:right="180"/>
        <w:jc w:val="both"/>
      </w:pPr>
      <w:r>
        <w:t xml:space="preserve">Article 21 of the ICCPR provides that the right of peaceful assembly shall be </w:t>
      </w:r>
      <w:proofErr w:type="spellStart"/>
      <w:r>
        <w:t>recognised</w:t>
      </w:r>
      <w:proofErr w:type="spellEnd"/>
      <w:r>
        <w:t xml:space="preserve"> and that no restrictions may be placed on this right other than those imposed in conformity with the law and which are necessary in a democratic society in the interests of, inter alia, public order or the protections of the rights and freedoms of others. The limitation on this right by clause 5(xviii) is proportionate. It does not prevent peaceful assembly in the precincts of the Court, only in the building. The clause also permits public protests and assemblies within the building with the prior approval of the Chief Executive or a person </w:t>
      </w:r>
      <w:proofErr w:type="spellStart"/>
      <w:r>
        <w:t>authorised</w:t>
      </w:r>
      <w:proofErr w:type="spellEnd"/>
      <w:r>
        <w:t xml:space="preserve"> by the Chief Executive.</w:t>
      </w:r>
    </w:p>
    <w:p w14:paraId="54B95F09" w14:textId="77777777" w:rsidR="00DA6549" w:rsidRDefault="00DA6549" w:rsidP="00CB66C9">
      <w:pPr>
        <w:pStyle w:val="BodyText"/>
        <w:ind w:left="540" w:right="180"/>
      </w:pPr>
    </w:p>
    <w:p w14:paraId="667FCA0A" w14:textId="77777777" w:rsidR="00DA6549" w:rsidRDefault="00DA6549" w:rsidP="00CB66C9">
      <w:pPr>
        <w:pStyle w:val="BodyText"/>
        <w:ind w:left="540" w:right="180"/>
      </w:pPr>
      <w:r>
        <w:t>Conclusion</w:t>
      </w:r>
    </w:p>
    <w:p w14:paraId="4F76BF71" w14:textId="77777777" w:rsidR="00DA6549" w:rsidRDefault="00DA6549" w:rsidP="00CB66C9">
      <w:pPr>
        <w:pStyle w:val="BodyText"/>
        <w:spacing w:before="149"/>
        <w:ind w:left="540" w:right="180"/>
        <w:jc w:val="both"/>
      </w:pPr>
      <w:r>
        <w:t>The Disallowable Legislative Instrument is compatible with human rights because to the extent that it may limit human rights, those limitations are reasonable, necessary and proportionate.</w:t>
      </w:r>
    </w:p>
    <w:p w14:paraId="199B3BC7" w14:textId="77777777" w:rsidR="00DA6549" w:rsidRDefault="00DA6549" w:rsidP="00CB66C9">
      <w:pPr>
        <w:ind w:left="540" w:right="180"/>
      </w:pPr>
    </w:p>
    <w:p w14:paraId="48254845" w14:textId="69A52254" w:rsidR="003F03AA" w:rsidRPr="00F8473A" w:rsidRDefault="00F8473A" w:rsidP="00F8473A">
      <w:pPr>
        <w:spacing w:before="240"/>
        <w:ind w:left="624" w:hanging="624"/>
        <w:rPr>
          <w:rFonts w:ascii="Times New Roman" w:hAnsi="Times New Roman" w:cs="Times New Roman"/>
          <w:b/>
          <w:sz w:val="26"/>
          <w:szCs w:val="26"/>
        </w:rPr>
      </w:pPr>
      <w:r w:rsidRPr="00F8473A">
        <w:rPr>
          <w:rFonts w:ascii="Times New Roman" w:hAnsi="Times New Roman" w:cs="Times New Roman"/>
          <w:sz w:val="18"/>
          <w:szCs w:val="18"/>
        </w:rPr>
        <w:t>Note:</w:t>
      </w:r>
      <w:r w:rsidRPr="00F8473A">
        <w:rPr>
          <w:rFonts w:ascii="Times New Roman" w:hAnsi="Times New Roman" w:cs="Times New Roman"/>
          <w:sz w:val="18"/>
          <w:szCs w:val="18"/>
        </w:rPr>
        <w:tab/>
        <w:t xml:space="preserve">The name of this instrument was amended on registration as the instrument as lodged did not have a unique name (see subsection 10(2), </w:t>
      </w:r>
      <w:r w:rsidRPr="00F8473A">
        <w:rPr>
          <w:rFonts w:ascii="Times New Roman" w:hAnsi="Times New Roman" w:cs="Times New Roman"/>
          <w:i/>
          <w:sz w:val="18"/>
          <w:szCs w:val="18"/>
        </w:rPr>
        <w:t>Legislation Rule 2016</w:t>
      </w:r>
      <w:r w:rsidRPr="00F8473A">
        <w:rPr>
          <w:rFonts w:ascii="Times New Roman" w:hAnsi="Times New Roman" w:cs="Times New Roman"/>
          <w:sz w:val="18"/>
          <w:szCs w:val="18"/>
        </w:rPr>
        <w:t>).</w:t>
      </w:r>
    </w:p>
    <w:sectPr w:rsidR="003F03AA" w:rsidRPr="00F8473A" w:rsidSect="00CB66C9">
      <w:pgSz w:w="11906" w:h="16838"/>
      <w:pgMar w:top="1440" w:right="1106" w:bottom="14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85733"/>
    <w:multiLevelType w:val="hybridMultilevel"/>
    <w:tmpl w:val="FBF4673E"/>
    <w:lvl w:ilvl="0" w:tplc="18E43C3C">
      <w:start w:val="1"/>
      <w:numFmt w:val="lowerLetter"/>
      <w:lvlText w:val="(%1)"/>
      <w:lvlJc w:val="left"/>
      <w:pPr>
        <w:ind w:left="1500" w:hanging="360"/>
      </w:pPr>
      <w:rPr>
        <w:rFonts w:ascii="Arial" w:eastAsia="Arial" w:hAnsi="Arial" w:cs="Arial" w:hint="default"/>
        <w:w w:val="99"/>
        <w:sz w:val="24"/>
        <w:szCs w:val="24"/>
      </w:rPr>
    </w:lvl>
    <w:lvl w:ilvl="1" w:tplc="1EB8EA24">
      <w:numFmt w:val="bullet"/>
      <w:lvlText w:val="•"/>
      <w:lvlJc w:val="left"/>
      <w:pPr>
        <w:ind w:left="2504" w:hanging="360"/>
      </w:pPr>
      <w:rPr>
        <w:rFonts w:hint="default"/>
      </w:rPr>
    </w:lvl>
    <w:lvl w:ilvl="2" w:tplc="E8548260">
      <w:numFmt w:val="bullet"/>
      <w:lvlText w:val="•"/>
      <w:lvlJc w:val="left"/>
      <w:pPr>
        <w:ind w:left="3508" w:hanging="360"/>
      </w:pPr>
      <w:rPr>
        <w:rFonts w:hint="default"/>
      </w:rPr>
    </w:lvl>
    <w:lvl w:ilvl="3" w:tplc="3654AD5A">
      <w:numFmt w:val="bullet"/>
      <w:lvlText w:val="•"/>
      <w:lvlJc w:val="left"/>
      <w:pPr>
        <w:ind w:left="4513" w:hanging="360"/>
      </w:pPr>
      <w:rPr>
        <w:rFonts w:hint="default"/>
      </w:rPr>
    </w:lvl>
    <w:lvl w:ilvl="4" w:tplc="E26A9932">
      <w:numFmt w:val="bullet"/>
      <w:lvlText w:val="•"/>
      <w:lvlJc w:val="left"/>
      <w:pPr>
        <w:ind w:left="5517" w:hanging="360"/>
      </w:pPr>
      <w:rPr>
        <w:rFonts w:hint="default"/>
      </w:rPr>
    </w:lvl>
    <w:lvl w:ilvl="5" w:tplc="B81ED5D8">
      <w:numFmt w:val="bullet"/>
      <w:lvlText w:val="•"/>
      <w:lvlJc w:val="left"/>
      <w:pPr>
        <w:ind w:left="6522" w:hanging="360"/>
      </w:pPr>
      <w:rPr>
        <w:rFonts w:hint="default"/>
      </w:rPr>
    </w:lvl>
    <w:lvl w:ilvl="6" w:tplc="81B20538">
      <w:numFmt w:val="bullet"/>
      <w:lvlText w:val="•"/>
      <w:lvlJc w:val="left"/>
      <w:pPr>
        <w:ind w:left="7526" w:hanging="360"/>
      </w:pPr>
      <w:rPr>
        <w:rFonts w:hint="default"/>
      </w:rPr>
    </w:lvl>
    <w:lvl w:ilvl="7" w:tplc="8632BB74">
      <w:numFmt w:val="bullet"/>
      <w:lvlText w:val="•"/>
      <w:lvlJc w:val="left"/>
      <w:pPr>
        <w:ind w:left="8531" w:hanging="360"/>
      </w:pPr>
      <w:rPr>
        <w:rFonts w:hint="default"/>
      </w:rPr>
    </w:lvl>
    <w:lvl w:ilvl="8" w:tplc="07A0FC98">
      <w:numFmt w:val="bullet"/>
      <w:lvlText w:val="•"/>
      <w:lvlJc w:val="left"/>
      <w:pPr>
        <w:ind w:left="9535" w:hanging="360"/>
      </w:pPr>
      <w:rPr>
        <w:rFonts w:hint="default"/>
      </w:rPr>
    </w:lvl>
  </w:abstractNum>
  <w:abstractNum w:abstractNumId="1" w15:restartNumberingAfterBreak="0">
    <w:nsid w:val="6F490B58"/>
    <w:multiLevelType w:val="hybridMultilevel"/>
    <w:tmpl w:val="BD4C8220"/>
    <w:lvl w:ilvl="0" w:tplc="982A1998">
      <w:numFmt w:val="decimal"/>
      <w:lvlText w:val="%1-"/>
      <w:lvlJc w:val="left"/>
      <w:pPr>
        <w:ind w:left="351" w:hanging="50"/>
      </w:pPr>
      <w:rPr>
        <w:rFonts w:ascii="Times New Roman" w:eastAsia="Times New Roman" w:hAnsi="Times New Roman" w:cs="Times New Roman" w:hint="default"/>
        <w:b/>
        <w:bCs/>
        <w:color w:val="64646D"/>
        <w:w w:val="72"/>
        <w:sz w:val="6"/>
        <w:szCs w:val="6"/>
      </w:rPr>
    </w:lvl>
    <w:lvl w:ilvl="1" w:tplc="234EDA74">
      <w:start w:val="1"/>
      <w:numFmt w:val="decimal"/>
      <w:lvlText w:val="%2."/>
      <w:lvlJc w:val="left"/>
      <w:pPr>
        <w:ind w:left="1408" w:hanging="269"/>
      </w:pPr>
      <w:rPr>
        <w:rFonts w:ascii="Arial" w:eastAsia="Arial" w:hAnsi="Arial" w:cs="Arial" w:hint="default"/>
        <w:w w:val="99"/>
        <w:sz w:val="24"/>
        <w:szCs w:val="24"/>
      </w:rPr>
    </w:lvl>
    <w:lvl w:ilvl="2" w:tplc="37AC0AFA">
      <w:numFmt w:val="bullet"/>
      <w:lvlText w:val="•"/>
      <w:lvlJc w:val="left"/>
      <w:pPr>
        <w:ind w:left="1512" w:hanging="269"/>
      </w:pPr>
      <w:rPr>
        <w:rFonts w:hint="default"/>
      </w:rPr>
    </w:lvl>
    <w:lvl w:ilvl="3" w:tplc="6E6A46EA">
      <w:numFmt w:val="bullet"/>
      <w:lvlText w:val="•"/>
      <w:lvlJc w:val="left"/>
      <w:pPr>
        <w:ind w:left="1625" w:hanging="269"/>
      </w:pPr>
      <w:rPr>
        <w:rFonts w:hint="default"/>
      </w:rPr>
    </w:lvl>
    <w:lvl w:ilvl="4" w:tplc="13C84E22">
      <w:numFmt w:val="bullet"/>
      <w:lvlText w:val="•"/>
      <w:lvlJc w:val="left"/>
      <w:pPr>
        <w:ind w:left="1738" w:hanging="269"/>
      </w:pPr>
      <w:rPr>
        <w:rFonts w:hint="default"/>
      </w:rPr>
    </w:lvl>
    <w:lvl w:ilvl="5" w:tplc="E64CA268">
      <w:numFmt w:val="bullet"/>
      <w:lvlText w:val="•"/>
      <w:lvlJc w:val="left"/>
      <w:pPr>
        <w:ind w:left="1851" w:hanging="269"/>
      </w:pPr>
      <w:rPr>
        <w:rFonts w:hint="default"/>
      </w:rPr>
    </w:lvl>
    <w:lvl w:ilvl="6" w:tplc="F59A9C9E">
      <w:numFmt w:val="bullet"/>
      <w:lvlText w:val="•"/>
      <w:lvlJc w:val="left"/>
      <w:pPr>
        <w:ind w:left="1964" w:hanging="269"/>
      </w:pPr>
      <w:rPr>
        <w:rFonts w:hint="default"/>
      </w:rPr>
    </w:lvl>
    <w:lvl w:ilvl="7" w:tplc="ED36DACC">
      <w:numFmt w:val="bullet"/>
      <w:lvlText w:val="•"/>
      <w:lvlJc w:val="left"/>
      <w:pPr>
        <w:ind w:left="2076" w:hanging="269"/>
      </w:pPr>
      <w:rPr>
        <w:rFonts w:hint="default"/>
      </w:rPr>
    </w:lvl>
    <w:lvl w:ilvl="8" w:tplc="7BB06A6C">
      <w:numFmt w:val="bullet"/>
      <w:lvlText w:val="•"/>
      <w:lvlJc w:val="left"/>
      <w:pPr>
        <w:ind w:left="2189" w:hanging="26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00"/>
    <w:rsid w:val="000375F4"/>
    <w:rsid w:val="00104A80"/>
    <w:rsid w:val="001A0F2A"/>
    <w:rsid w:val="003F03AA"/>
    <w:rsid w:val="00481670"/>
    <w:rsid w:val="00484BC1"/>
    <w:rsid w:val="00580600"/>
    <w:rsid w:val="00CB66C9"/>
    <w:rsid w:val="00DA6549"/>
    <w:rsid w:val="00F847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1F07"/>
  <w15:chartTrackingRefBased/>
  <w15:docId w15:val="{1EDBB524-EBD7-4754-8EE6-975B106D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600"/>
    <w:pPr>
      <w:widowControl w:val="0"/>
      <w:autoSpaceDE w:val="0"/>
      <w:autoSpaceDN w:val="0"/>
    </w:pPr>
    <w:rPr>
      <w:rFonts w:ascii="Arial" w:eastAsia="Arial" w:hAnsi="Arial" w:cs="Arial"/>
      <w:lang w:val="en-US"/>
    </w:rPr>
  </w:style>
  <w:style w:type="paragraph" w:styleId="Heading3">
    <w:name w:val="heading 3"/>
    <w:basedOn w:val="Normal"/>
    <w:link w:val="Heading3Char"/>
    <w:uiPriority w:val="9"/>
    <w:unhideWhenUsed/>
    <w:qFormat/>
    <w:rsid w:val="00580600"/>
    <w:pPr>
      <w:ind w:left="1140"/>
      <w:jc w:val="center"/>
      <w:outlineLvl w:val="2"/>
    </w:pPr>
    <w:rPr>
      <w:b/>
      <w:bCs/>
      <w:sz w:val="24"/>
      <w:szCs w:val="24"/>
    </w:rPr>
  </w:style>
  <w:style w:type="paragraph" w:styleId="Heading4">
    <w:name w:val="heading 4"/>
    <w:basedOn w:val="Normal"/>
    <w:next w:val="Normal"/>
    <w:link w:val="Heading4Char"/>
    <w:uiPriority w:val="9"/>
    <w:semiHidden/>
    <w:unhideWhenUsed/>
    <w:qFormat/>
    <w:rsid w:val="00DA654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0600"/>
    <w:rPr>
      <w:rFonts w:ascii="Arial" w:eastAsia="Arial" w:hAnsi="Arial" w:cs="Arial"/>
      <w:b/>
      <w:bCs/>
      <w:sz w:val="24"/>
      <w:szCs w:val="24"/>
      <w:lang w:val="en-US"/>
    </w:rPr>
  </w:style>
  <w:style w:type="paragraph" w:styleId="BodyText">
    <w:name w:val="Body Text"/>
    <w:basedOn w:val="Normal"/>
    <w:link w:val="BodyTextChar"/>
    <w:uiPriority w:val="1"/>
    <w:qFormat/>
    <w:rsid w:val="00580600"/>
    <w:rPr>
      <w:sz w:val="24"/>
      <w:szCs w:val="24"/>
    </w:rPr>
  </w:style>
  <w:style w:type="character" w:customStyle="1" w:styleId="BodyTextChar">
    <w:name w:val="Body Text Char"/>
    <w:basedOn w:val="DefaultParagraphFont"/>
    <w:link w:val="BodyText"/>
    <w:uiPriority w:val="1"/>
    <w:rsid w:val="00580600"/>
    <w:rPr>
      <w:rFonts w:ascii="Arial" w:eastAsia="Arial" w:hAnsi="Arial" w:cs="Arial"/>
      <w:sz w:val="24"/>
      <w:szCs w:val="24"/>
      <w:lang w:val="en-US"/>
    </w:rPr>
  </w:style>
  <w:style w:type="character" w:customStyle="1" w:styleId="Heading4Char">
    <w:name w:val="Heading 4 Char"/>
    <w:basedOn w:val="DefaultParagraphFont"/>
    <w:link w:val="Heading4"/>
    <w:uiPriority w:val="9"/>
    <w:semiHidden/>
    <w:rsid w:val="00DA6549"/>
    <w:rPr>
      <w:rFonts w:asciiTheme="majorHAnsi" w:eastAsiaTheme="majorEastAsia" w:hAnsiTheme="majorHAnsi" w:cstheme="majorBidi"/>
      <w:i/>
      <w:iCs/>
      <w:color w:val="2F5496" w:themeColor="accent1" w:themeShade="BF"/>
      <w:lang w:val="en-US"/>
    </w:rPr>
  </w:style>
  <w:style w:type="paragraph" w:styleId="ListParagraph">
    <w:name w:val="List Paragraph"/>
    <w:basedOn w:val="Normal"/>
    <w:uiPriority w:val="1"/>
    <w:qFormat/>
    <w:rsid w:val="00DA6549"/>
    <w:pPr>
      <w:ind w:left="2854"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au/Details/F2013L02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au/Details/C2018C0000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1199</Words>
  <Characters>5948</Characters>
  <Application>Microsoft Office Word</Application>
  <DocSecurity>0</DocSecurity>
  <Lines>495</Lines>
  <Paragraphs>216</Paragraphs>
  <ScaleCrop>false</ScaleCrop>
  <HeadingPairs>
    <vt:vector size="2" baseType="variant">
      <vt:variant>
        <vt:lpstr>Title</vt:lpstr>
      </vt:variant>
      <vt:variant>
        <vt:i4>1</vt:i4>
      </vt:variant>
    </vt:vector>
  </HeadingPairs>
  <TitlesOfParts>
    <vt:vector size="1" baseType="lpstr">
      <vt:lpstr/>
    </vt:vector>
  </TitlesOfParts>
  <Company>High Court of Australia</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Resch</dc:creator>
  <cp:keywords/>
  <dc:description/>
  <cp:lastModifiedBy>Conduit, Nikki</cp:lastModifiedBy>
  <cp:revision>4</cp:revision>
  <cp:lastPrinted>2021-03-31T03:21:00Z</cp:lastPrinted>
  <dcterms:created xsi:type="dcterms:W3CDTF">2021-03-31T03:14:00Z</dcterms:created>
  <dcterms:modified xsi:type="dcterms:W3CDTF">2021-03-31T03:24:00Z</dcterms:modified>
</cp:coreProperties>
</file>