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62B9B159" w:rsidR="002436BD" w:rsidRPr="002C6D26" w:rsidRDefault="00E62E09" w:rsidP="001A2234">
      <w:pPr>
        <w:pStyle w:val="Heading"/>
        <w:spacing w:after="240"/>
        <w:jc w:val="center"/>
        <w:rPr>
          <w:rFonts w:ascii="Times New Roman" w:hAnsi="Times New Roman"/>
          <w:sz w:val="24"/>
          <w:szCs w:val="24"/>
        </w:rPr>
      </w:pPr>
      <w:bookmarkStart w:id="0" w:name="_GoBack"/>
      <w:bookmarkEnd w:id="0"/>
      <w:r w:rsidRPr="00E62E09">
        <w:rPr>
          <w:rFonts w:ascii="Times New Roman" w:hAnsi="Times New Roman"/>
          <w:sz w:val="24"/>
          <w:szCs w:val="24"/>
        </w:rPr>
        <w:t>Financial Sector (Collection of Data) (reporting standard)</w:t>
      </w:r>
      <w:r w:rsidR="001A2ADB">
        <w:rPr>
          <w:rFonts w:ascii="Times New Roman" w:hAnsi="Times New Roman"/>
          <w:sz w:val="24"/>
          <w:szCs w:val="24"/>
        </w:rPr>
        <w:t xml:space="preserve"> </w:t>
      </w:r>
      <w:r w:rsidR="002436BD" w:rsidRPr="002C6D26">
        <w:rPr>
          <w:rFonts w:ascii="Times New Roman" w:hAnsi="Times New Roman"/>
          <w:sz w:val="24"/>
          <w:szCs w:val="24"/>
        </w:rPr>
        <w:t>determination No</w:t>
      </w:r>
      <w:r w:rsidR="00A4617E">
        <w:rPr>
          <w:rFonts w:ascii="Times New Roman" w:hAnsi="Times New Roman"/>
          <w:sz w:val="24"/>
          <w:szCs w:val="24"/>
        </w:rPr>
        <w:t>s</w:t>
      </w:r>
      <w:r w:rsidR="002436BD" w:rsidRPr="002C6D26">
        <w:rPr>
          <w:rFonts w:ascii="Times New Roman" w:hAnsi="Times New Roman"/>
          <w:sz w:val="24"/>
          <w:szCs w:val="24"/>
        </w:rPr>
        <w:t xml:space="preserve">. </w:t>
      </w:r>
      <w:r w:rsidR="00672EBD">
        <w:rPr>
          <w:rFonts w:ascii="Times New Roman" w:hAnsi="Times New Roman"/>
          <w:sz w:val="24"/>
          <w:szCs w:val="24"/>
        </w:rPr>
        <w:t>1</w:t>
      </w:r>
      <w:r w:rsidR="00584302">
        <w:rPr>
          <w:rFonts w:ascii="Times New Roman" w:hAnsi="Times New Roman"/>
          <w:sz w:val="24"/>
          <w:szCs w:val="24"/>
        </w:rPr>
        <w:t xml:space="preserve"> to </w:t>
      </w:r>
      <w:r w:rsidR="00672EBD">
        <w:rPr>
          <w:rFonts w:ascii="Times New Roman" w:hAnsi="Times New Roman"/>
          <w:sz w:val="24"/>
          <w:szCs w:val="24"/>
        </w:rPr>
        <w:t>6</w:t>
      </w:r>
      <w:r w:rsidR="002436BD" w:rsidRPr="002C6D26">
        <w:rPr>
          <w:rFonts w:ascii="Times New Roman" w:hAnsi="Times New Roman"/>
          <w:sz w:val="24"/>
          <w:szCs w:val="24"/>
        </w:rPr>
        <w:t xml:space="preserve"> of 20</w:t>
      </w:r>
      <w:r w:rsidR="00E03CB4">
        <w:rPr>
          <w:rFonts w:ascii="Times New Roman" w:hAnsi="Times New Roman"/>
          <w:sz w:val="24"/>
          <w:szCs w:val="24"/>
        </w:rPr>
        <w:t>21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319646ED" w:rsidR="002436BD"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t xml:space="preserve"> </w:t>
      </w:r>
      <w:r w:rsidR="00BD6360" w:rsidRPr="00BD6360">
        <w:rPr>
          <w:rFonts w:ascii="Times New Roman" w:hAnsi="Times New Roman"/>
          <w:sz w:val="24"/>
          <w:szCs w:val="24"/>
        </w:rPr>
        <w:t xml:space="preserve">Subsection 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6D2BCDF5" w14:textId="59799C97" w:rsidR="005E2A43" w:rsidRPr="002C6D26" w:rsidRDefault="005E2A43" w:rsidP="001A2234">
      <w:pPr>
        <w:widowControl w:val="0"/>
        <w:spacing w:after="240"/>
        <w:jc w:val="both"/>
        <w:rPr>
          <w:rFonts w:ascii="Times New Roman" w:hAnsi="Times New Roman"/>
          <w:sz w:val="24"/>
          <w:szCs w:val="24"/>
        </w:rPr>
      </w:pPr>
      <w:r>
        <w:rPr>
          <w:rFonts w:ascii="Times New Roman" w:hAnsi="Times New Roman"/>
          <w:sz w:val="24"/>
          <w:szCs w:val="24"/>
        </w:rPr>
        <w:t xml:space="preserve">Subsection 15(1) of the Act provides that APRA may declare a day on and after which the reporting standards are to apply. </w:t>
      </w:r>
    </w:p>
    <w:p w14:paraId="342D2433" w14:textId="4CF5D9E3" w:rsidR="002E0B99" w:rsidRPr="00246723" w:rsidRDefault="002E0B99" w:rsidP="002E0B99">
      <w:pPr>
        <w:spacing w:after="240"/>
        <w:jc w:val="both"/>
        <w:rPr>
          <w:rFonts w:ascii="Times New Roman" w:hAnsi="Times New Roman"/>
          <w:sz w:val="24"/>
          <w:szCs w:val="24"/>
        </w:rPr>
      </w:pPr>
      <w:r w:rsidRPr="00246723">
        <w:rPr>
          <w:rFonts w:ascii="Times New Roman" w:hAnsi="Times New Roman"/>
          <w:sz w:val="24"/>
          <w:szCs w:val="24"/>
        </w:rPr>
        <w:t>On</w:t>
      </w:r>
      <w:r w:rsidR="00E93BE0">
        <w:rPr>
          <w:rFonts w:ascii="Times New Roman" w:hAnsi="Times New Roman"/>
          <w:sz w:val="24"/>
          <w:szCs w:val="24"/>
        </w:rPr>
        <w:t xml:space="preserve"> 23 March</w:t>
      </w:r>
      <w:r w:rsidR="003C255A">
        <w:rPr>
          <w:rFonts w:ascii="Times New Roman" w:hAnsi="Times New Roman"/>
          <w:sz w:val="24"/>
          <w:szCs w:val="24"/>
        </w:rPr>
        <w:t xml:space="preserve"> 2021</w:t>
      </w:r>
      <w:r w:rsidR="00F84EDE">
        <w:rPr>
          <w:rFonts w:ascii="Times New Roman" w:hAnsi="Times New Roman"/>
          <w:sz w:val="24"/>
          <w:szCs w:val="24"/>
        </w:rPr>
        <w:t>,</w:t>
      </w:r>
      <w:r w:rsidRPr="00246723">
        <w:rPr>
          <w:rFonts w:ascii="Times New Roman" w:hAnsi="Times New Roman"/>
          <w:sz w:val="24"/>
          <w:szCs w:val="24"/>
        </w:rPr>
        <w:t xml:space="preserve"> APRA made the following determinations (the instruments):</w:t>
      </w:r>
    </w:p>
    <w:p w14:paraId="56C8B636" w14:textId="01832EE9" w:rsidR="00736D41" w:rsidRDefault="000B14B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sidR="00736D41">
        <w:rPr>
          <w:rFonts w:ascii="Times New Roman" w:hAnsi="Times New Roman"/>
          <w:sz w:val="24"/>
          <w:szCs w:val="24"/>
        </w:rPr>
        <w:t xml:space="preserve">g standard) determination No. </w:t>
      </w:r>
      <w:r w:rsidR="00D01B10">
        <w:rPr>
          <w:rFonts w:ascii="Times New Roman" w:hAnsi="Times New Roman"/>
          <w:sz w:val="24"/>
          <w:szCs w:val="24"/>
        </w:rPr>
        <w:t>1</w:t>
      </w:r>
      <w:r w:rsidR="00736D41">
        <w:rPr>
          <w:rFonts w:ascii="Times New Roman" w:hAnsi="Times New Roman"/>
          <w:sz w:val="24"/>
          <w:szCs w:val="24"/>
        </w:rPr>
        <w:t xml:space="preserve"> </w:t>
      </w:r>
      <w:r w:rsidRPr="000B14BD">
        <w:rPr>
          <w:rFonts w:ascii="Times New Roman" w:hAnsi="Times New Roman"/>
          <w:sz w:val="24"/>
          <w:szCs w:val="24"/>
        </w:rPr>
        <w:t>of 20</w:t>
      </w:r>
      <w:r w:rsidR="00F14FCD">
        <w:rPr>
          <w:rFonts w:ascii="Times New Roman" w:hAnsi="Times New Roman"/>
          <w:sz w:val="24"/>
          <w:szCs w:val="24"/>
        </w:rPr>
        <w:t>21</w:t>
      </w:r>
      <w:r w:rsidRPr="000B14BD">
        <w:rPr>
          <w:rFonts w:ascii="Times New Roman" w:hAnsi="Times New Roman"/>
          <w:sz w:val="24"/>
          <w:szCs w:val="24"/>
        </w:rPr>
        <w:t xml:space="preserve"> which</w:t>
      </w:r>
      <w:r w:rsidR="00736D41">
        <w:rPr>
          <w:rFonts w:ascii="Times New Roman" w:hAnsi="Times New Roman"/>
          <w:sz w:val="24"/>
          <w:szCs w:val="24"/>
        </w:rPr>
        <w:t>:</w:t>
      </w:r>
    </w:p>
    <w:p w14:paraId="6D032C87" w14:textId="6B9CBCF8" w:rsidR="00736D41" w:rsidRDefault="00BD6360"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00736D41" w:rsidRPr="00736D41">
        <w:rPr>
          <w:rFonts w:ascii="Times New Roman" w:hAnsi="Times New Roman"/>
          <w:i/>
          <w:sz w:val="24"/>
          <w:szCs w:val="24"/>
        </w:rPr>
        <w:t xml:space="preserve">Reporting Standard </w:t>
      </w:r>
      <w:r w:rsidR="006F22AD" w:rsidRPr="006F22AD">
        <w:rPr>
          <w:rFonts w:ascii="Times New Roman" w:hAnsi="Times New Roman"/>
          <w:i/>
          <w:sz w:val="24"/>
          <w:szCs w:val="24"/>
        </w:rPr>
        <w:t xml:space="preserve">GRS 800.1 Policy Data: Public and Product Liability and Professional Indemnity Insurance </w:t>
      </w:r>
      <w:r w:rsidR="005E2A43">
        <w:rPr>
          <w:rFonts w:ascii="Times New Roman" w:hAnsi="Times New Roman"/>
          <w:sz w:val="24"/>
          <w:szCs w:val="24"/>
        </w:rPr>
        <w:t xml:space="preserve">(GRS 800.1) </w:t>
      </w:r>
      <w:r w:rsidR="00736D41" w:rsidRPr="00736D41">
        <w:rPr>
          <w:rFonts w:ascii="Times New Roman" w:hAnsi="Times New Roman"/>
          <w:sz w:val="24"/>
          <w:szCs w:val="24"/>
        </w:rPr>
        <w:t xml:space="preserve">made under Financial Sector (Collection of Data) (reporting standard) determination No. </w:t>
      </w:r>
      <w:r w:rsidR="006F22AD">
        <w:rPr>
          <w:rFonts w:ascii="Times New Roman" w:hAnsi="Times New Roman"/>
          <w:sz w:val="24"/>
          <w:szCs w:val="24"/>
        </w:rPr>
        <w:t>16</w:t>
      </w:r>
      <w:r w:rsidR="00736D41" w:rsidRPr="00736D41">
        <w:rPr>
          <w:rFonts w:ascii="Times New Roman" w:hAnsi="Times New Roman"/>
          <w:sz w:val="24"/>
          <w:szCs w:val="24"/>
        </w:rPr>
        <w:t xml:space="preserve"> of 201</w:t>
      </w:r>
      <w:r w:rsidR="006F22AD">
        <w:rPr>
          <w:rFonts w:ascii="Times New Roman" w:hAnsi="Times New Roman"/>
          <w:sz w:val="24"/>
          <w:szCs w:val="24"/>
        </w:rPr>
        <w:t>6</w:t>
      </w:r>
      <w:r w:rsidR="00736D41">
        <w:rPr>
          <w:rFonts w:ascii="Times New Roman" w:hAnsi="Times New Roman"/>
          <w:sz w:val="24"/>
          <w:szCs w:val="24"/>
        </w:rPr>
        <w:t>; and</w:t>
      </w:r>
    </w:p>
    <w:p w14:paraId="2DD01B00" w14:textId="64C16866" w:rsidR="00AC7A56" w:rsidRPr="005E2A43" w:rsidRDefault="000B14BD" w:rsidP="001A2234">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 xml:space="preserve">determines </w:t>
      </w:r>
      <w:r w:rsidR="005E2A43">
        <w:rPr>
          <w:rFonts w:ascii="Times New Roman" w:hAnsi="Times New Roman"/>
          <w:sz w:val="24"/>
          <w:szCs w:val="24"/>
        </w:rPr>
        <w:t xml:space="preserve">a new version of </w:t>
      </w:r>
      <w:r w:rsidR="006F22AD" w:rsidRPr="00315B65">
        <w:rPr>
          <w:rFonts w:ascii="Times New Roman" w:hAnsi="Times New Roman"/>
          <w:sz w:val="24"/>
          <w:szCs w:val="24"/>
        </w:rPr>
        <w:t>GRS 800.1</w:t>
      </w:r>
      <w:r w:rsidR="00AC7A56" w:rsidRPr="00E93BE0">
        <w:rPr>
          <w:rFonts w:ascii="Times New Roman" w:hAnsi="Times New Roman"/>
          <w:sz w:val="24"/>
          <w:szCs w:val="24"/>
        </w:rPr>
        <w:t>;</w:t>
      </w:r>
    </w:p>
    <w:p w14:paraId="23A88E77" w14:textId="670C2357" w:rsidR="009B67A8" w:rsidRDefault="000B14B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t xml:space="preserve">Financial Sector (Collection of Data) (reporting standard) determination No. </w:t>
      </w:r>
      <w:r w:rsidR="00D01B10">
        <w:rPr>
          <w:rFonts w:ascii="Times New Roman" w:hAnsi="Times New Roman"/>
          <w:sz w:val="24"/>
          <w:szCs w:val="24"/>
        </w:rPr>
        <w:t>2</w:t>
      </w:r>
      <w:r w:rsidRPr="000B14BD">
        <w:rPr>
          <w:rFonts w:ascii="Times New Roman" w:hAnsi="Times New Roman"/>
          <w:sz w:val="24"/>
          <w:szCs w:val="24"/>
        </w:rPr>
        <w:t xml:space="preserve"> of 20</w:t>
      </w:r>
      <w:r w:rsidR="005111B3">
        <w:rPr>
          <w:rFonts w:ascii="Times New Roman" w:hAnsi="Times New Roman"/>
          <w:sz w:val="24"/>
          <w:szCs w:val="24"/>
        </w:rPr>
        <w:t>21</w:t>
      </w:r>
      <w:r w:rsidRPr="000B14BD">
        <w:rPr>
          <w:rFonts w:ascii="Times New Roman" w:hAnsi="Times New Roman"/>
          <w:sz w:val="24"/>
          <w:szCs w:val="24"/>
        </w:rPr>
        <w:t xml:space="preserve"> which</w:t>
      </w:r>
      <w:r w:rsidR="009B67A8">
        <w:rPr>
          <w:rFonts w:ascii="Times New Roman" w:hAnsi="Times New Roman"/>
          <w:sz w:val="24"/>
          <w:szCs w:val="24"/>
        </w:rPr>
        <w:t>:</w:t>
      </w:r>
    </w:p>
    <w:p w14:paraId="146E3F4E" w14:textId="7FFB5653" w:rsidR="009B67A8" w:rsidRDefault="009B67A8"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000D0E5F" w:rsidRPr="005111B3">
        <w:rPr>
          <w:rFonts w:ascii="Times New Roman" w:hAnsi="Times New Roman"/>
          <w:i/>
          <w:sz w:val="24"/>
          <w:szCs w:val="24"/>
        </w:rPr>
        <w:t xml:space="preserve">Reporting Standard </w:t>
      </w:r>
      <w:r w:rsidR="006F22AD" w:rsidRPr="005111B3">
        <w:rPr>
          <w:rFonts w:ascii="Times New Roman" w:hAnsi="Times New Roman"/>
          <w:i/>
          <w:sz w:val="24"/>
          <w:szCs w:val="24"/>
        </w:rPr>
        <w:t>GRS 800.2 Claim Data: Public and Product Liability and Professional Indemnity Insurance</w:t>
      </w:r>
      <w:r w:rsidR="006F22AD" w:rsidRPr="006F22AD">
        <w:rPr>
          <w:rFonts w:ascii="Times New Roman" w:hAnsi="Times New Roman"/>
          <w:sz w:val="24"/>
          <w:szCs w:val="24"/>
        </w:rPr>
        <w:t xml:space="preserve"> </w:t>
      </w:r>
      <w:r w:rsidR="005E2A43">
        <w:rPr>
          <w:rFonts w:ascii="Times New Roman" w:hAnsi="Times New Roman"/>
          <w:sz w:val="24"/>
          <w:szCs w:val="24"/>
        </w:rPr>
        <w:t xml:space="preserve">(GRS 800.2) </w:t>
      </w:r>
      <w:r w:rsidRPr="009B67A8">
        <w:rPr>
          <w:rFonts w:ascii="Times New Roman" w:hAnsi="Times New Roman"/>
          <w:sz w:val="24"/>
          <w:szCs w:val="24"/>
        </w:rPr>
        <w:t xml:space="preserve">made under Financial Sector (Collection of Data) (reporting standard) determination No. </w:t>
      </w:r>
      <w:r w:rsidR="000D0E5F">
        <w:rPr>
          <w:rFonts w:ascii="Times New Roman" w:hAnsi="Times New Roman"/>
          <w:sz w:val="24"/>
          <w:szCs w:val="24"/>
        </w:rPr>
        <w:t>17</w:t>
      </w:r>
      <w:r w:rsidRPr="009B67A8">
        <w:rPr>
          <w:rFonts w:ascii="Times New Roman" w:hAnsi="Times New Roman"/>
          <w:sz w:val="24"/>
          <w:szCs w:val="24"/>
        </w:rPr>
        <w:t xml:space="preserve"> of 201</w:t>
      </w:r>
      <w:r w:rsidR="000D0E5F">
        <w:rPr>
          <w:rFonts w:ascii="Times New Roman" w:hAnsi="Times New Roman"/>
          <w:sz w:val="24"/>
          <w:szCs w:val="24"/>
        </w:rPr>
        <w:t>6</w:t>
      </w:r>
      <w:r w:rsidR="00C31F80">
        <w:rPr>
          <w:rFonts w:ascii="Times New Roman" w:hAnsi="Times New Roman"/>
          <w:sz w:val="24"/>
          <w:szCs w:val="24"/>
        </w:rPr>
        <w:t>; and</w:t>
      </w:r>
    </w:p>
    <w:p w14:paraId="647F3F2B" w14:textId="0E862B18" w:rsidR="00AC7A56" w:rsidRPr="005111B3" w:rsidRDefault="000B14BD" w:rsidP="001A2234">
      <w:pPr>
        <w:widowControl w:val="0"/>
        <w:numPr>
          <w:ilvl w:val="1"/>
          <w:numId w:val="4"/>
        </w:numPr>
        <w:spacing w:after="240"/>
        <w:jc w:val="both"/>
        <w:rPr>
          <w:rFonts w:ascii="Times New Roman" w:hAnsi="Times New Roman"/>
          <w:i/>
          <w:sz w:val="24"/>
          <w:szCs w:val="24"/>
        </w:rPr>
      </w:pPr>
      <w:r w:rsidRPr="000B14BD">
        <w:rPr>
          <w:rFonts w:ascii="Times New Roman" w:hAnsi="Times New Roman"/>
          <w:sz w:val="24"/>
          <w:szCs w:val="24"/>
        </w:rPr>
        <w:t xml:space="preserve">determines </w:t>
      </w:r>
      <w:r w:rsidR="005E2A43">
        <w:rPr>
          <w:rFonts w:ascii="Times New Roman" w:hAnsi="Times New Roman"/>
          <w:sz w:val="24"/>
          <w:szCs w:val="24"/>
        </w:rPr>
        <w:t xml:space="preserve">a new version of </w:t>
      </w:r>
      <w:r w:rsidR="006F22AD" w:rsidRPr="00315B65">
        <w:rPr>
          <w:rFonts w:ascii="Times New Roman" w:hAnsi="Times New Roman"/>
          <w:sz w:val="24"/>
          <w:szCs w:val="24"/>
        </w:rPr>
        <w:t>GRS 800.2</w:t>
      </w:r>
      <w:r w:rsidR="00AC7A56" w:rsidRPr="00DD31BE">
        <w:rPr>
          <w:rFonts w:ascii="Times New Roman" w:hAnsi="Times New Roman"/>
          <w:sz w:val="24"/>
          <w:szCs w:val="24"/>
        </w:rPr>
        <w:t>;</w:t>
      </w:r>
    </w:p>
    <w:p w14:paraId="4BE49C1C" w14:textId="26CCD44E" w:rsidR="006F22AD" w:rsidRDefault="006F22A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t xml:space="preserve">Financial Sector (Collection of Data) (reporting standard) determination No. </w:t>
      </w:r>
      <w:r w:rsidR="00D01B10">
        <w:rPr>
          <w:rFonts w:ascii="Times New Roman" w:hAnsi="Times New Roman"/>
          <w:sz w:val="24"/>
          <w:szCs w:val="24"/>
        </w:rPr>
        <w:t>3</w:t>
      </w:r>
      <w:r w:rsidRPr="000B14BD">
        <w:rPr>
          <w:rFonts w:ascii="Times New Roman" w:hAnsi="Times New Roman"/>
          <w:sz w:val="24"/>
          <w:szCs w:val="24"/>
        </w:rPr>
        <w:t xml:space="preserve"> of 20</w:t>
      </w:r>
      <w:r w:rsidR="00D40854">
        <w:rPr>
          <w:rFonts w:ascii="Times New Roman" w:hAnsi="Times New Roman"/>
          <w:sz w:val="24"/>
          <w:szCs w:val="24"/>
        </w:rPr>
        <w:t>21</w:t>
      </w:r>
      <w:r w:rsidRPr="000B14BD">
        <w:rPr>
          <w:rFonts w:ascii="Times New Roman" w:hAnsi="Times New Roman"/>
          <w:sz w:val="24"/>
          <w:szCs w:val="24"/>
        </w:rPr>
        <w:t xml:space="preserve"> which</w:t>
      </w:r>
      <w:r>
        <w:rPr>
          <w:rFonts w:ascii="Times New Roman" w:hAnsi="Times New Roman"/>
          <w:sz w:val="24"/>
          <w:szCs w:val="24"/>
        </w:rPr>
        <w:t>:</w:t>
      </w:r>
    </w:p>
    <w:p w14:paraId="1C45AB5A" w14:textId="1A684B5D" w:rsidR="006F22AD" w:rsidRDefault="006F22AD"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Pr="009B67A8">
        <w:rPr>
          <w:rFonts w:ascii="Times New Roman" w:hAnsi="Times New Roman"/>
          <w:i/>
          <w:sz w:val="24"/>
          <w:szCs w:val="24"/>
        </w:rPr>
        <w:t xml:space="preserve">Reporting Standard </w:t>
      </w:r>
      <w:r w:rsidRPr="006F22AD">
        <w:rPr>
          <w:rFonts w:ascii="Times New Roman" w:hAnsi="Times New Roman"/>
          <w:i/>
          <w:sz w:val="24"/>
          <w:szCs w:val="24"/>
        </w:rPr>
        <w:t xml:space="preserve">GRS 800.3 Facility Business Data: Public and Product Liability and Professional Indemnity Insurance </w:t>
      </w:r>
      <w:r w:rsidR="005E2A43">
        <w:rPr>
          <w:rFonts w:ascii="Times New Roman" w:hAnsi="Times New Roman"/>
          <w:sz w:val="24"/>
          <w:szCs w:val="24"/>
        </w:rPr>
        <w:t xml:space="preserve">(GRS 800.3) </w:t>
      </w:r>
      <w:r w:rsidRPr="009B67A8">
        <w:rPr>
          <w:rFonts w:ascii="Times New Roman" w:hAnsi="Times New Roman"/>
          <w:sz w:val="24"/>
          <w:szCs w:val="24"/>
        </w:rPr>
        <w:t xml:space="preserve">made under Financial Sector (Collection of Data) (reporting standard) determination No. </w:t>
      </w:r>
      <w:r w:rsidR="000D0E5F">
        <w:rPr>
          <w:rFonts w:ascii="Times New Roman" w:hAnsi="Times New Roman"/>
          <w:sz w:val="24"/>
          <w:szCs w:val="24"/>
        </w:rPr>
        <w:t>18</w:t>
      </w:r>
      <w:r w:rsidRPr="009B67A8">
        <w:rPr>
          <w:rFonts w:ascii="Times New Roman" w:hAnsi="Times New Roman"/>
          <w:sz w:val="24"/>
          <w:szCs w:val="24"/>
        </w:rPr>
        <w:t xml:space="preserve"> of 201</w:t>
      </w:r>
      <w:r w:rsidR="000D0E5F">
        <w:rPr>
          <w:rFonts w:ascii="Times New Roman" w:hAnsi="Times New Roman"/>
          <w:sz w:val="24"/>
          <w:szCs w:val="24"/>
        </w:rPr>
        <w:t>6</w:t>
      </w:r>
      <w:r w:rsidR="00C31F80">
        <w:rPr>
          <w:rFonts w:ascii="Times New Roman" w:hAnsi="Times New Roman"/>
          <w:sz w:val="24"/>
          <w:szCs w:val="24"/>
        </w:rPr>
        <w:t>; and</w:t>
      </w:r>
    </w:p>
    <w:p w14:paraId="37CB529E" w14:textId="061CA4F8" w:rsidR="006F22AD" w:rsidRDefault="006F22AD" w:rsidP="006F22AD">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 xml:space="preserve">determines </w:t>
      </w:r>
      <w:r w:rsidR="005E2A43">
        <w:rPr>
          <w:rFonts w:ascii="Times New Roman" w:hAnsi="Times New Roman"/>
          <w:sz w:val="24"/>
          <w:szCs w:val="24"/>
        </w:rPr>
        <w:t xml:space="preserve">a new version of </w:t>
      </w:r>
      <w:r w:rsidRPr="00D40854">
        <w:rPr>
          <w:rFonts w:ascii="Times New Roman" w:hAnsi="Times New Roman"/>
          <w:sz w:val="24"/>
          <w:szCs w:val="24"/>
        </w:rPr>
        <w:t>GRS 800.3</w:t>
      </w:r>
      <w:r>
        <w:rPr>
          <w:rFonts w:ascii="Times New Roman" w:hAnsi="Times New Roman"/>
          <w:sz w:val="24"/>
          <w:szCs w:val="24"/>
        </w:rPr>
        <w:t>;</w:t>
      </w:r>
    </w:p>
    <w:p w14:paraId="0E2D56B6" w14:textId="7088A045" w:rsidR="006F22AD" w:rsidRDefault="006F22A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lastRenderedPageBreak/>
        <w:t xml:space="preserve">Financial Sector (Collection of Data) (reporting standard) determination No. </w:t>
      </w:r>
      <w:r w:rsidR="00D01B10">
        <w:rPr>
          <w:rFonts w:ascii="Times New Roman" w:hAnsi="Times New Roman"/>
          <w:sz w:val="24"/>
          <w:szCs w:val="24"/>
        </w:rPr>
        <w:t>4</w:t>
      </w:r>
      <w:r w:rsidRPr="000B14BD">
        <w:rPr>
          <w:rFonts w:ascii="Times New Roman" w:hAnsi="Times New Roman"/>
          <w:sz w:val="24"/>
          <w:szCs w:val="24"/>
        </w:rPr>
        <w:t xml:space="preserve"> of 20</w:t>
      </w:r>
      <w:r w:rsidR="00D40854">
        <w:rPr>
          <w:rFonts w:ascii="Times New Roman" w:hAnsi="Times New Roman"/>
          <w:sz w:val="24"/>
          <w:szCs w:val="24"/>
        </w:rPr>
        <w:t>21</w:t>
      </w:r>
      <w:r w:rsidRPr="000B14BD">
        <w:rPr>
          <w:rFonts w:ascii="Times New Roman" w:hAnsi="Times New Roman"/>
          <w:sz w:val="24"/>
          <w:szCs w:val="24"/>
        </w:rPr>
        <w:t xml:space="preserve"> which</w:t>
      </w:r>
      <w:r>
        <w:rPr>
          <w:rFonts w:ascii="Times New Roman" w:hAnsi="Times New Roman"/>
          <w:sz w:val="24"/>
          <w:szCs w:val="24"/>
        </w:rPr>
        <w:t>:</w:t>
      </w:r>
    </w:p>
    <w:p w14:paraId="7C643963" w14:textId="187E333E" w:rsidR="006F22AD" w:rsidRDefault="006F22AD"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Pr="009B67A8">
        <w:rPr>
          <w:rFonts w:ascii="Times New Roman" w:hAnsi="Times New Roman"/>
          <w:i/>
          <w:sz w:val="24"/>
          <w:szCs w:val="24"/>
        </w:rPr>
        <w:t xml:space="preserve">Reporting Standard </w:t>
      </w:r>
      <w:r w:rsidRPr="006F22AD">
        <w:rPr>
          <w:rFonts w:ascii="Times New Roman" w:hAnsi="Times New Roman"/>
          <w:i/>
          <w:sz w:val="24"/>
          <w:szCs w:val="24"/>
        </w:rPr>
        <w:t xml:space="preserve">LOLRS 800.1 Policy Data: Public and Product Liability and Professional Indemnity Insurance </w:t>
      </w:r>
      <w:r w:rsidR="004179C7">
        <w:rPr>
          <w:rFonts w:ascii="Times New Roman" w:hAnsi="Times New Roman"/>
          <w:sz w:val="24"/>
          <w:szCs w:val="24"/>
        </w:rPr>
        <w:t xml:space="preserve">(LOLRS </w:t>
      </w:r>
      <w:r w:rsidR="00FE5045">
        <w:rPr>
          <w:rFonts w:ascii="Times New Roman" w:hAnsi="Times New Roman"/>
          <w:sz w:val="24"/>
          <w:szCs w:val="24"/>
        </w:rPr>
        <w:t xml:space="preserve">800.1) </w:t>
      </w:r>
      <w:r w:rsidRPr="009B67A8">
        <w:rPr>
          <w:rFonts w:ascii="Times New Roman" w:hAnsi="Times New Roman"/>
          <w:sz w:val="24"/>
          <w:szCs w:val="24"/>
        </w:rPr>
        <w:t xml:space="preserve">made under Financial Sector (Collection of Data) (reporting standard) determination No. </w:t>
      </w:r>
      <w:r w:rsidR="000D0E5F">
        <w:rPr>
          <w:rFonts w:ascii="Times New Roman" w:hAnsi="Times New Roman"/>
          <w:sz w:val="24"/>
          <w:szCs w:val="24"/>
        </w:rPr>
        <w:t>1</w:t>
      </w:r>
      <w:r>
        <w:rPr>
          <w:rFonts w:ascii="Times New Roman" w:hAnsi="Times New Roman"/>
          <w:sz w:val="24"/>
          <w:szCs w:val="24"/>
        </w:rPr>
        <w:t>9</w:t>
      </w:r>
      <w:r w:rsidRPr="009B67A8">
        <w:rPr>
          <w:rFonts w:ascii="Times New Roman" w:hAnsi="Times New Roman"/>
          <w:sz w:val="24"/>
          <w:szCs w:val="24"/>
        </w:rPr>
        <w:t xml:space="preserve"> of 201</w:t>
      </w:r>
      <w:r w:rsidR="000D0E5F">
        <w:rPr>
          <w:rFonts w:ascii="Times New Roman" w:hAnsi="Times New Roman"/>
          <w:sz w:val="24"/>
          <w:szCs w:val="24"/>
        </w:rPr>
        <w:t>6</w:t>
      </w:r>
      <w:r w:rsidR="00C31F80">
        <w:rPr>
          <w:rFonts w:ascii="Times New Roman" w:hAnsi="Times New Roman"/>
          <w:sz w:val="24"/>
          <w:szCs w:val="24"/>
        </w:rPr>
        <w:t>; and</w:t>
      </w:r>
    </w:p>
    <w:p w14:paraId="2BFA90CA" w14:textId="61573E4A" w:rsidR="006F22AD" w:rsidRDefault="006F22AD" w:rsidP="006F22AD">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determines</w:t>
      </w:r>
      <w:r w:rsidR="00F84860">
        <w:rPr>
          <w:rFonts w:ascii="Times New Roman" w:hAnsi="Times New Roman"/>
          <w:sz w:val="24"/>
          <w:szCs w:val="24"/>
        </w:rPr>
        <w:t xml:space="preserve"> a new version of</w:t>
      </w:r>
      <w:r w:rsidRPr="006F22AD">
        <w:rPr>
          <w:rFonts w:ascii="Times New Roman" w:hAnsi="Times New Roman"/>
          <w:i/>
          <w:sz w:val="24"/>
          <w:szCs w:val="24"/>
        </w:rPr>
        <w:t xml:space="preserve"> </w:t>
      </w:r>
      <w:r w:rsidRPr="00D40854">
        <w:rPr>
          <w:rFonts w:ascii="Times New Roman" w:hAnsi="Times New Roman"/>
          <w:sz w:val="24"/>
          <w:szCs w:val="24"/>
        </w:rPr>
        <w:t>LOLRS 800.1</w:t>
      </w:r>
      <w:r w:rsidRPr="00DD31BE">
        <w:rPr>
          <w:rFonts w:ascii="Times New Roman" w:hAnsi="Times New Roman"/>
          <w:sz w:val="24"/>
          <w:szCs w:val="24"/>
        </w:rPr>
        <w:t>;</w:t>
      </w:r>
    </w:p>
    <w:p w14:paraId="469158BE" w14:textId="01B39179" w:rsidR="006F22AD" w:rsidRDefault="006F22A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t xml:space="preserve">Financial Sector (Collection of Data) (reporting standard) determination No. </w:t>
      </w:r>
      <w:r w:rsidR="00D01B10">
        <w:rPr>
          <w:rFonts w:ascii="Times New Roman" w:hAnsi="Times New Roman"/>
          <w:sz w:val="24"/>
          <w:szCs w:val="24"/>
        </w:rPr>
        <w:t>5</w:t>
      </w:r>
      <w:r w:rsidRPr="000B14BD">
        <w:rPr>
          <w:rFonts w:ascii="Times New Roman" w:hAnsi="Times New Roman"/>
          <w:sz w:val="24"/>
          <w:szCs w:val="24"/>
        </w:rPr>
        <w:t xml:space="preserve"> of 20</w:t>
      </w:r>
      <w:r w:rsidR="003613F7">
        <w:rPr>
          <w:rFonts w:ascii="Times New Roman" w:hAnsi="Times New Roman"/>
          <w:sz w:val="24"/>
          <w:szCs w:val="24"/>
        </w:rPr>
        <w:t>21</w:t>
      </w:r>
      <w:r w:rsidRPr="000B14BD">
        <w:rPr>
          <w:rFonts w:ascii="Times New Roman" w:hAnsi="Times New Roman"/>
          <w:sz w:val="24"/>
          <w:szCs w:val="24"/>
        </w:rPr>
        <w:t xml:space="preserve"> which</w:t>
      </w:r>
      <w:r>
        <w:rPr>
          <w:rFonts w:ascii="Times New Roman" w:hAnsi="Times New Roman"/>
          <w:sz w:val="24"/>
          <w:szCs w:val="24"/>
        </w:rPr>
        <w:t>:</w:t>
      </w:r>
    </w:p>
    <w:p w14:paraId="5106562D" w14:textId="4CF64B28" w:rsidR="006F22AD" w:rsidRDefault="006F22AD"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Pr="009B67A8">
        <w:rPr>
          <w:rFonts w:ascii="Times New Roman" w:hAnsi="Times New Roman"/>
          <w:i/>
          <w:sz w:val="24"/>
          <w:szCs w:val="24"/>
        </w:rPr>
        <w:t xml:space="preserve">Reporting Standard </w:t>
      </w:r>
      <w:r w:rsidRPr="006F22AD">
        <w:rPr>
          <w:rFonts w:ascii="Times New Roman" w:hAnsi="Times New Roman"/>
          <w:i/>
          <w:sz w:val="24"/>
          <w:szCs w:val="24"/>
        </w:rPr>
        <w:t>LOLRS 800.2 Claim Data: Public and Product Liability and Professional Indemnity Insurance</w:t>
      </w:r>
      <w:r w:rsidR="00C31F80">
        <w:rPr>
          <w:rFonts w:ascii="Times New Roman" w:hAnsi="Times New Roman"/>
          <w:i/>
          <w:sz w:val="24"/>
          <w:szCs w:val="24"/>
        </w:rPr>
        <w:t xml:space="preserve"> </w:t>
      </w:r>
      <w:r w:rsidR="00D13E13">
        <w:rPr>
          <w:rFonts w:ascii="Times New Roman" w:hAnsi="Times New Roman"/>
          <w:sz w:val="24"/>
          <w:szCs w:val="24"/>
        </w:rPr>
        <w:t xml:space="preserve">(LOLRS 800.2) </w:t>
      </w:r>
      <w:r w:rsidR="00C31F80">
        <w:rPr>
          <w:rFonts w:ascii="Times New Roman" w:hAnsi="Times New Roman"/>
          <w:sz w:val="24"/>
          <w:szCs w:val="24"/>
        </w:rPr>
        <w:t>made under Financial Sector (Collection of Data) (reporting standard)</w:t>
      </w:r>
      <w:r w:rsidRPr="006F22AD">
        <w:rPr>
          <w:rFonts w:ascii="Times New Roman" w:hAnsi="Times New Roman"/>
          <w:i/>
          <w:sz w:val="24"/>
          <w:szCs w:val="24"/>
        </w:rPr>
        <w:t xml:space="preserve"> </w:t>
      </w:r>
      <w:r w:rsidRPr="009B67A8">
        <w:rPr>
          <w:rFonts w:ascii="Times New Roman" w:hAnsi="Times New Roman"/>
          <w:sz w:val="24"/>
          <w:szCs w:val="24"/>
        </w:rPr>
        <w:t xml:space="preserve">determination No. </w:t>
      </w:r>
      <w:r w:rsidR="000D0E5F">
        <w:rPr>
          <w:rFonts w:ascii="Times New Roman" w:hAnsi="Times New Roman"/>
          <w:sz w:val="24"/>
          <w:szCs w:val="24"/>
        </w:rPr>
        <w:t>20</w:t>
      </w:r>
      <w:r w:rsidRPr="009B67A8">
        <w:rPr>
          <w:rFonts w:ascii="Times New Roman" w:hAnsi="Times New Roman"/>
          <w:sz w:val="24"/>
          <w:szCs w:val="24"/>
        </w:rPr>
        <w:t xml:space="preserve"> of 201</w:t>
      </w:r>
      <w:r w:rsidR="000D0E5F">
        <w:rPr>
          <w:rFonts w:ascii="Times New Roman" w:hAnsi="Times New Roman"/>
          <w:sz w:val="24"/>
          <w:szCs w:val="24"/>
        </w:rPr>
        <w:t>6</w:t>
      </w:r>
      <w:r w:rsidR="00C31F80">
        <w:rPr>
          <w:rFonts w:ascii="Times New Roman" w:hAnsi="Times New Roman"/>
          <w:sz w:val="24"/>
          <w:szCs w:val="24"/>
        </w:rPr>
        <w:t>; and</w:t>
      </w:r>
    </w:p>
    <w:p w14:paraId="7B24DE6D" w14:textId="0D92B987" w:rsidR="006F22AD" w:rsidRDefault="006F22AD" w:rsidP="006F22AD">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determines</w:t>
      </w:r>
      <w:r w:rsidR="00117B68">
        <w:rPr>
          <w:rFonts w:ascii="Times New Roman" w:hAnsi="Times New Roman"/>
          <w:sz w:val="24"/>
          <w:szCs w:val="24"/>
        </w:rPr>
        <w:t xml:space="preserve"> a new version of </w:t>
      </w:r>
      <w:r w:rsidRPr="003613F7">
        <w:rPr>
          <w:rFonts w:ascii="Times New Roman" w:hAnsi="Times New Roman"/>
          <w:sz w:val="24"/>
          <w:szCs w:val="24"/>
        </w:rPr>
        <w:t>LOLRS 800.2</w:t>
      </w:r>
      <w:r>
        <w:rPr>
          <w:rFonts w:ascii="Times New Roman" w:hAnsi="Times New Roman"/>
          <w:sz w:val="24"/>
          <w:szCs w:val="24"/>
        </w:rPr>
        <w:t>;</w:t>
      </w:r>
      <w:r w:rsidR="000775B5">
        <w:rPr>
          <w:rFonts w:ascii="Times New Roman" w:hAnsi="Times New Roman"/>
          <w:sz w:val="24"/>
          <w:szCs w:val="24"/>
        </w:rPr>
        <w:t xml:space="preserve"> and</w:t>
      </w:r>
    </w:p>
    <w:p w14:paraId="5075F2E2" w14:textId="383BD2B2" w:rsidR="006F22AD" w:rsidRDefault="006F22AD" w:rsidP="00E93BE0">
      <w:pPr>
        <w:widowControl w:val="0"/>
        <w:numPr>
          <w:ilvl w:val="0"/>
          <w:numId w:val="4"/>
        </w:numPr>
        <w:spacing w:after="120"/>
        <w:ind w:left="567" w:hanging="567"/>
        <w:jc w:val="both"/>
        <w:rPr>
          <w:rFonts w:ascii="Times New Roman" w:hAnsi="Times New Roman"/>
          <w:sz w:val="24"/>
          <w:szCs w:val="24"/>
        </w:rPr>
      </w:pPr>
      <w:r w:rsidRPr="000B14BD">
        <w:rPr>
          <w:rFonts w:ascii="Times New Roman" w:hAnsi="Times New Roman"/>
          <w:sz w:val="24"/>
          <w:szCs w:val="24"/>
        </w:rPr>
        <w:t xml:space="preserve">Financial Sector (Collection of Data) (reporting standard) determination No. </w:t>
      </w:r>
      <w:r w:rsidR="00D01B10">
        <w:rPr>
          <w:rFonts w:ascii="Times New Roman" w:hAnsi="Times New Roman"/>
          <w:sz w:val="24"/>
          <w:szCs w:val="24"/>
        </w:rPr>
        <w:t>6</w:t>
      </w:r>
      <w:r w:rsidRPr="000B14BD">
        <w:rPr>
          <w:rFonts w:ascii="Times New Roman" w:hAnsi="Times New Roman"/>
          <w:sz w:val="24"/>
          <w:szCs w:val="24"/>
        </w:rPr>
        <w:t xml:space="preserve"> of 20</w:t>
      </w:r>
      <w:r w:rsidR="00FF6533">
        <w:rPr>
          <w:rFonts w:ascii="Times New Roman" w:hAnsi="Times New Roman"/>
          <w:sz w:val="24"/>
          <w:szCs w:val="24"/>
        </w:rPr>
        <w:t>21</w:t>
      </w:r>
      <w:r w:rsidRPr="000B14BD">
        <w:rPr>
          <w:rFonts w:ascii="Times New Roman" w:hAnsi="Times New Roman"/>
          <w:sz w:val="24"/>
          <w:szCs w:val="24"/>
        </w:rPr>
        <w:t xml:space="preserve"> which</w:t>
      </w:r>
      <w:r>
        <w:rPr>
          <w:rFonts w:ascii="Times New Roman" w:hAnsi="Times New Roman"/>
          <w:sz w:val="24"/>
          <w:szCs w:val="24"/>
        </w:rPr>
        <w:t>:</w:t>
      </w:r>
    </w:p>
    <w:p w14:paraId="57F3A888" w14:textId="5F04AC4D" w:rsidR="006F22AD" w:rsidRDefault="006F22AD" w:rsidP="00E93BE0">
      <w:pPr>
        <w:widowControl w:val="0"/>
        <w:numPr>
          <w:ilvl w:val="1"/>
          <w:numId w:val="4"/>
        </w:numPr>
        <w:spacing w:after="120"/>
        <w:jc w:val="both"/>
        <w:rPr>
          <w:rFonts w:ascii="Times New Roman" w:hAnsi="Times New Roman"/>
          <w:sz w:val="24"/>
          <w:szCs w:val="24"/>
        </w:rPr>
      </w:pPr>
      <w:r>
        <w:rPr>
          <w:rFonts w:ascii="Times New Roman" w:hAnsi="Times New Roman"/>
          <w:sz w:val="24"/>
          <w:szCs w:val="24"/>
        </w:rPr>
        <w:t xml:space="preserve">revokes </w:t>
      </w:r>
      <w:r w:rsidRPr="009B67A8">
        <w:rPr>
          <w:rFonts w:ascii="Times New Roman" w:hAnsi="Times New Roman"/>
          <w:i/>
          <w:sz w:val="24"/>
          <w:szCs w:val="24"/>
        </w:rPr>
        <w:t xml:space="preserve">Reporting Standard </w:t>
      </w:r>
      <w:r w:rsidRPr="006F22AD">
        <w:rPr>
          <w:rFonts w:ascii="Times New Roman" w:hAnsi="Times New Roman"/>
          <w:i/>
          <w:sz w:val="24"/>
          <w:szCs w:val="24"/>
        </w:rPr>
        <w:t>LOLRS 800.3 Facility Business Data: Public and Product Liability and Professional Indemnity Insurance</w:t>
      </w:r>
      <w:r w:rsidR="000D0E5F">
        <w:rPr>
          <w:rFonts w:ascii="Times New Roman" w:hAnsi="Times New Roman"/>
          <w:i/>
          <w:sz w:val="24"/>
          <w:szCs w:val="24"/>
        </w:rPr>
        <w:t xml:space="preserve"> </w:t>
      </w:r>
      <w:r w:rsidR="00117B68">
        <w:rPr>
          <w:rFonts w:ascii="Times New Roman" w:hAnsi="Times New Roman"/>
          <w:sz w:val="24"/>
          <w:szCs w:val="24"/>
        </w:rPr>
        <w:t xml:space="preserve">(LOLRS 800.3) </w:t>
      </w:r>
      <w:r w:rsidRPr="009B67A8">
        <w:rPr>
          <w:rFonts w:ascii="Times New Roman" w:hAnsi="Times New Roman"/>
          <w:sz w:val="24"/>
          <w:szCs w:val="24"/>
        </w:rPr>
        <w:t xml:space="preserve">made under Financial Sector (Collection of Data) (reporting standard) determination No. </w:t>
      </w:r>
      <w:r>
        <w:rPr>
          <w:rFonts w:ascii="Times New Roman" w:hAnsi="Times New Roman"/>
          <w:sz w:val="24"/>
          <w:szCs w:val="24"/>
        </w:rPr>
        <w:t>21</w:t>
      </w:r>
      <w:r w:rsidRPr="009B67A8">
        <w:rPr>
          <w:rFonts w:ascii="Times New Roman" w:hAnsi="Times New Roman"/>
          <w:sz w:val="24"/>
          <w:szCs w:val="24"/>
        </w:rPr>
        <w:t xml:space="preserve"> of 201</w:t>
      </w:r>
      <w:r>
        <w:rPr>
          <w:rFonts w:ascii="Times New Roman" w:hAnsi="Times New Roman"/>
          <w:sz w:val="24"/>
          <w:szCs w:val="24"/>
        </w:rPr>
        <w:t>6</w:t>
      </w:r>
      <w:r w:rsidR="00C31F80">
        <w:rPr>
          <w:rFonts w:ascii="Times New Roman" w:hAnsi="Times New Roman"/>
          <w:sz w:val="24"/>
          <w:szCs w:val="24"/>
        </w:rPr>
        <w:t>; and</w:t>
      </w:r>
    </w:p>
    <w:p w14:paraId="61030506" w14:textId="09F705A3" w:rsidR="006F22AD" w:rsidRPr="000D0E5F" w:rsidRDefault="006F22AD" w:rsidP="000D0E5F">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determines</w:t>
      </w:r>
      <w:r w:rsidR="00117B68">
        <w:rPr>
          <w:rFonts w:ascii="Times New Roman" w:hAnsi="Times New Roman"/>
          <w:sz w:val="24"/>
          <w:szCs w:val="24"/>
        </w:rPr>
        <w:t xml:space="preserve"> a new version of</w:t>
      </w:r>
      <w:r w:rsidRPr="006F22AD">
        <w:rPr>
          <w:rFonts w:ascii="Times New Roman" w:hAnsi="Times New Roman"/>
          <w:i/>
          <w:sz w:val="24"/>
          <w:szCs w:val="24"/>
        </w:rPr>
        <w:t xml:space="preserve"> </w:t>
      </w:r>
      <w:r w:rsidRPr="00D01B10">
        <w:rPr>
          <w:rFonts w:ascii="Times New Roman" w:hAnsi="Times New Roman"/>
          <w:sz w:val="24"/>
          <w:szCs w:val="24"/>
        </w:rPr>
        <w:t>LOLRS 800.3</w:t>
      </w:r>
      <w:r w:rsidR="00C31F80">
        <w:rPr>
          <w:rFonts w:ascii="Times New Roman" w:hAnsi="Times New Roman"/>
          <w:sz w:val="24"/>
          <w:szCs w:val="24"/>
        </w:rPr>
        <w:t>.</w:t>
      </w:r>
    </w:p>
    <w:p w14:paraId="00A7386E" w14:textId="029110E3"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The instruments commence on</w:t>
      </w:r>
      <w:r w:rsidR="00463305">
        <w:rPr>
          <w:rFonts w:ascii="Times New Roman" w:hAnsi="Times New Roman"/>
          <w:sz w:val="24"/>
          <w:szCs w:val="24"/>
        </w:rPr>
        <w:t xml:space="preserve"> </w:t>
      </w:r>
      <w:r w:rsidR="00F84EDE">
        <w:rPr>
          <w:rFonts w:ascii="Times New Roman" w:hAnsi="Times New Roman"/>
          <w:sz w:val="24"/>
          <w:szCs w:val="24"/>
        </w:rPr>
        <w:t>31 December</w:t>
      </w:r>
      <w:r w:rsidR="00463305">
        <w:rPr>
          <w:rFonts w:ascii="Times New Roman" w:hAnsi="Times New Roman"/>
          <w:sz w:val="24"/>
          <w:szCs w:val="24"/>
        </w:rPr>
        <w:t xml:space="preserve"> 2021</w:t>
      </w:r>
      <w:r w:rsidRPr="002C6D26">
        <w:rPr>
          <w:rFonts w:ascii="Times New Roman" w:hAnsi="Times New Roman"/>
          <w:sz w:val="24"/>
          <w:szCs w:val="24"/>
        </w:rPr>
        <w:t>.</w:t>
      </w:r>
      <w:r>
        <w:rPr>
          <w:rFonts w:ascii="Times New Roman" w:hAnsi="Times New Roman"/>
          <w:sz w:val="24"/>
          <w:szCs w:val="24"/>
        </w:rPr>
        <w:tab/>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53F8183F" w14:textId="5FA6FACC" w:rsidR="00315B65" w:rsidRDefault="00315B65" w:rsidP="00A62559">
      <w:pPr>
        <w:pStyle w:val="BodyText"/>
        <w:jc w:val="both"/>
      </w:pPr>
      <w:r w:rsidRPr="00BA53BC">
        <w:rPr>
          <w:szCs w:val="24"/>
        </w:rPr>
        <w:t xml:space="preserve">The </w:t>
      </w:r>
      <w:r>
        <w:rPr>
          <w:szCs w:val="24"/>
        </w:rPr>
        <w:t>National Claims &amp; Policies Database (NCPD)</w:t>
      </w:r>
      <w:r w:rsidRPr="00BA53BC">
        <w:rPr>
          <w:szCs w:val="24"/>
        </w:rPr>
        <w:t xml:space="preserve"> was established by APRA in 2003, at the request of Federal Government in consultation with the insurance industry and other stakeholders.  It was created to provide insurers, the community and State and Federal Governments with a better understanding of public and products liability insurance and professional indemnity insurance and the ability to monitor trends in premiums and claim costs. </w:t>
      </w:r>
    </w:p>
    <w:p w14:paraId="4BDB385E" w14:textId="2B8374DC" w:rsidR="005E327F" w:rsidDel="00C950AB" w:rsidRDefault="0041764C" w:rsidP="005E327F">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Under existing reporting standards, </w:t>
      </w:r>
      <w:r w:rsidRPr="0041764C">
        <w:rPr>
          <w:rFonts w:ascii="Times New Roman" w:hAnsi="Times New Roman"/>
          <w:b w:val="0"/>
          <w:sz w:val="24"/>
          <w:szCs w:val="24"/>
        </w:rPr>
        <w:t>GRS 800.1, GRS 800.2, GRS 800.3, LOLRS 800.1, LOLRS 800.2 and LOLRS 800.3</w:t>
      </w:r>
      <w:r>
        <w:rPr>
          <w:rFonts w:ascii="Times New Roman" w:hAnsi="Times New Roman"/>
          <w:b w:val="0"/>
          <w:sz w:val="24"/>
          <w:szCs w:val="24"/>
        </w:rPr>
        <w:t>,</w:t>
      </w:r>
      <w:r w:rsidR="005E327F" w:rsidRPr="00A532D9" w:rsidDel="00C950AB">
        <w:rPr>
          <w:rFonts w:ascii="Times New Roman" w:hAnsi="Times New Roman"/>
          <w:b w:val="0"/>
          <w:sz w:val="24"/>
          <w:szCs w:val="24"/>
        </w:rPr>
        <w:t xml:space="preserve"> general insurers (within the meaning of the </w:t>
      </w:r>
      <w:r w:rsidR="005E327F" w:rsidRPr="00A532D9" w:rsidDel="00C950AB">
        <w:rPr>
          <w:rFonts w:ascii="Times New Roman" w:hAnsi="Times New Roman"/>
          <w:b w:val="0"/>
          <w:i/>
          <w:sz w:val="24"/>
          <w:szCs w:val="24"/>
        </w:rPr>
        <w:t>Insurance Act 1973</w:t>
      </w:r>
      <w:r w:rsidR="005E327F" w:rsidRPr="00A532D9" w:rsidDel="00C950AB">
        <w:rPr>
          <w:rFonts w:ascii="Times New Roman" w:hAnsi="Times New Roman"/>
          <w:b w:val="0"/>
          <w:sz w:val="24"/>
          <w:szCs w:val="24"/>
        </w:rPr>
        <w:t xml:space="preserve">) and </w:t>
      </w:r>
      <w:r w:rsidR="00A62559" w:rsidDel="00C950AB">
        <w:rPr>
          <w:rFonts w:ascii="Times New Roman" w:hAnsi="Times New Roman"/>
          <w:b w:val="0"/>
          <w:sz w:val="24"/>
          <w:szCs w:val="24"/>
        </w:rPr>
        <w:t xml:space="preserve">Lloyd’s </w:t>
      </w:r>
      <w:r>
        <w:rPr>
          <w:rFonts w:ascii="Times New Roman" w:hAnsi="Times New Roman"/>
          <w:b w:val="0"/>
          <w:sz w:val="24"/>
          <w:szCs w:val="24"/>
        </w:rPr>
        <w:t xml:space="preserve">are required </w:t>
      </w:r>
      <w:r w:rsidR="005E327F" w:rsidRPr="00A532D9" w:rsidDel="00C950AB">
        <w:rPr>
          <w:rFonts w:ascii="Times New Roman" w:hAnsi="Times New Roman"/>
          <w:b w:val="0"/>
          <w:sz w:val="24"/>
          <w:szCs w:val="24"/>
        </w:rPr>
        <w:t xml:space="preserve">to provide information </w:t>
      </w:r>
      <w:r>
        <w:rPr>
          <w:rFonts w:ascii="Times New Roman" w:hAnsi="Times New Roman"/>
          <w:b w:val="0"/>
          <w:sz w:val="24"/>
          <w:szCs w:val="24"/>
        </w:rPr>
        <w:t xml:space="preserve">to APRA </w:t>
      </w:r>
      <w:r w:rsidR="005E327F" w:rsidRPr="00A532D9" w:rsidDel="00C950AB">
        <w:rPr>
          <w:rFonts w:ascii="Times New Roman" w:hAnsi="Times New Roman"/>
          <w:b w:val="0"/>
          <w:sz w:val="24"/>
          <w:szCs w:val="24"/>
        </w:rPr>
        <w:t>in relation to public liability</w:t>
      </w:r>
      <w:r w:rsidR="00071267" w:rsidDel="00C950AB">
        <w:rPr>
          <w:rFonts w:ascii="Times New Roman" w:hAnsi="Times New Roman"/>
          <w:b w:val="0"/>
          <w:sz w:val="24"/>
          <w:szCs w:val="24"/>
        </w:rPr>
        <w:t>, product liability</w:t>
      </w:r>
      <w:r w:rsidR="005E327F" w:rsidRPr="00A532D9" w:rsidDel="00C950AB">
        <w:rPr>
          <w:rFonts w:ascii="Times New Roman" w:hAnsi="Times New Roman"/>
          <w:b w:val="0"/>
          <w:sz w:val="24"/>
          <w:szCs w:val="24"/>
        </w:rPr>
        <w:t xml:space="preserve"> and professional indemnity insurance for the purposes of </w:t>
      </w:r>
      <w:r>
        <w:rPr>
          <w:rFonts w:ascii="Times New Roman" w:hAnsi="Times New Roman"/>
          <w:b w:val="0"/>
          <w:sz w:val="24"/>
          <w:szCs w:val="24"/>
        </w:rPr>
        <w:t>the</w:t>
      </w:r>
      <w:r w:rsidR="0031421E" w:rsidDel="00C950AB">
        <w:rPr>
          <w:rFonts w:ascii="Times New Roman" w:hAnsi="Times New Roman"/>
          <w:b w:val="0"/>
          <w:sz w:val="24"/>
          <w:szCs w:val="24"/>
        </w:rPr>
        <w:t xml:space="preserve"> NCPD</w:t>
      </w:r>
      <w:r w:rsidR="005E327F" w:rsidRPr="00A532D9" w:rsidDel="00C950AB">
        <w:rPr>
          <w:rFonts w:ascii="Times New Roman" w:hAnsi="Times New Roman"/>
          <w:b w:val="0"/>
          <w:sz w:val="24"/>
          <w:szCs w:val="24"/>
        </w:rPr>
        <w:t xml:space="preserve">.  </w:t>
      </w:r>
    </w:p>
    <w:p w14:paraId="5FDB4B40" w14:textId="61A2B770" w:rsidR="00C950AB" w:rsidRDefault="00A62559" w:rsidP="008306CD">
      <w:pPr>
        <w:pStyle w:val="Heading"/>
        <w:tabs>
          <w:tab w:val="left" w:pos="1304"/>
        </w:tabs>
        <w:rPr>
          <w:rFonts w:ascii="Times New Roman" w:hAnsi="Times New Roman"/>
          <w:b w:val="0"/>
          <w:sz w:val="24"/>
          <w:szCs w:val="24"/>
        </w:rPr>
      </w:pPr>
      <w:bookmarkStart w:id="4" w:name="_Hlk65683735"/>
      <w:r w:rsidRPr="00680246">
        <w:rPr>
          <w:rFonts w:ascii="Times New Roman" w:hAnsi="Times New Roman"/>
          <w:b w:val="0"/>
          <w:sz w:val="24"/>
          <w:szCs w:val="24"/>
        </w:rPr>
        <w:t xml:space="preserve">On 5 November 2020, APRA released a consultation proposing </w:t>
      </w:r>
      <w:r>
        <w:rPr>
          <w:rFonts w:ascii="Times New Roman" w:hAnsi="Times New Roman"/>
          <w:b w:val="0"/>
          <w:sz w:val="24"/>
          <w:szCs w:val="24"/>
        </w:rPr>
        <w:t xml:space="preserve">to </w:t>
      </w:r>
      <w:r w:rsidR="00FB706B">
        <w:rPr>
          <w:rFonts w:ascii="Times New Roman" w:hAnsi="Times New Roman"/>
          <w:b w:val="0"/>
          <w:sz w:val="24"/>
          <w:szCs w:val="24"/>
        </w:rPr>
        <w:t xml:space="preserve">collect </w:t>
      </w:r>
      <w:r w:rsidR="00FB706B" w:rsidRPr="00680246">
        <w:rPr>
          <w:rFonts w:ascii="Times New Roman" w:hAnsi="Times New Roman"/>
          <w:b w:val="0"/>
          <w:sz w:val="24"/>
          <w:szCs w:val="24"/>
        </w:rPr>
        <w:t>cyber insurance and management liability data</w:t>
      </w:r>
      <w:r w:rsidR="00483DF9">
        <w:rPr>
          <w:rFonts w:ascii="Times New Roman" w:hAnsi="Times New Roman"/>
          <w:b w:val="0"/>
          <w:sz w:val="24"/>
          <w:szCs w:val="24"/>
        </w:rPr>
        <w:t xml:space="preserve"> as separate standalone categories</w:t>
      </w:r>
      <w:r w:rsidR="00FB706B">
        <w:rPr>
          <w:rFonts w:ascii="Times New Roman" w:hAnsi="Times New Roman"/>
          <w:b w:val="0"/>
          <w:sz w:val="24"/>
          <w:szCs w:val="24"/>
        </w:rPr>
        <w:t xml:space="preserve"> </w:t>
      </w:r>
      <w:r w:rsidR="00483DF9">
        <w:rPr>
          <w:rFonts w:ascii="Times New Roman" w:hAnsi="Times New Roman"/>
          <w:b w:val="0"/>
          <w:sz w:val="24"/>
          <w:szCs w:val="24"/>
        </w:rPr>
        <w:t>within</w:t>
      </w:r>
      <w:r w:rsidR="00483DF9" w:rsidRPr="00680246">
        <w:rPr>
          <w:rFonts w:ascii="Times New Roman" w:hAnsi="Times New Roman"/>
          <w:b w:val="0"/>
          <w:sz w:val="24"/>
          <w:szCs w:val="24"/>
        </w:rPr>
        <w:t xml:space="preserve"> </w:t>
      </w:r>
      <w:r w:rsidR="00483DF9">
        <w:rPr>
          <w:rFonts w:ascii="Times New Roman" w:hAnsi="Times New Roman"/>
          <w:b w:val="0"/>
          <w:sz w:val="24"/>
          <w:szCs w:val="24"/>
        </w:rPr>
        <w:t xml:space="preserve">the NCPD </w:t>
      </w:r>
      <w:r>
        <w:rPr>
          <w:rFonts w:ascii="Times New Roman" w:hAnsi="Times New Roman"/>
          <w:b w:val="0"/>
          <w:sz w:val="24"/>
          <w:szCs w:val="24"/>
        </w:rPr>
        <w:t>to</w:t>
      </w:r>
      <w:r w:rsidRPr="00680246">
        <w:rPr>
          <w:rFonts w:ascii="Times New Roman" w:hAnsi="Times New Roman"/>
          <w:b w:val="0"/>
          <w:sz w:val="24"/>
          <w:szCs w:val="24"/>
        </w:rPr>
        <w:t xml:space="preserve"> </w:t>
      </w:r>
      <w:r w:rsidR="00D12E24">
        <w:rPr>
          <w:rFonts w:ascii="Times New Roman" w:hAnsi="Times New Roman"/>
          <w:b w:val="0"/>
          <w:sz w:val="24"/>
          <w:szCs w:val="24"/>
        </w:rPr>
        <w:t>provide the industry and interested parties with better data to a</w:t>
      </w:r>
      <w:r w:rsidR="001C1A07">
        <w:rPr>
          <w:rFonts w:ascii="Times New Roman" w:hAnsi="Times New Roman"/>
          <w:b w:val="0"/>
          <w:sz w:val="24"/>
          <w:szCs w:val="24"/>
        </w:rPr>
        <w:t>ss</w:t>
      </w:r>
      <w:r w:rsidR="00D12E24">
        <w:rPr>
          <w:rFonts w:ascii="Times New Roman" w:hAnsi="Times New Roman"/>
          <w:b w:val="0"/>
          <w:sz w:val="24"/>
          <w:szCs w:val="24"/>
        </w:rPr>
        <w:t>ess performance and pricing decisions for these products</w:t>
      </w:r>
      <w:r w:rsidRPr="00680246">
        <w:rPr>
          <w:rFonts w:ascii="Times New Roman" w:hAnsi="Times New Roman"/>
          <w:b w:val="0"/>
          <w:sz w:val="24"/>
          <w:szCs w:val="24"/>
        </w:rPr>
        <w:t xml:space="preserve">. </w:t>
      </w:r>
      <w:bookmarkEnd w:id="4"/>
    </w:p>
    <w:p w14:paraId="326DA870" w14:textId="77777777" w:rsidR="00071267" w:rsidRPr="00144660" w:rsidRDefault="00071267" w:rsidP="008306CD">
      <w:pPr>
        <w:pStyle w:val="Heading"/>
        <w:tabs>
          <w:tab w:val="left" w:pos="1304"/>
        </w:tabs>
        <w:rPr>
          <w:rFonts w:ascii="Times New Roman" w:hAnsi="Times New Roman"/>
          <w:b w:val="0"/>
          <w:sz w:val="24"/>
          <w:szCs w:val="24"/>
        </w:rPr>
      </w:pPr>
    </w:p>
    <w:p w14:paraId="078CCE19" w14:textId="2DF0CA01" w:rsidR="00BA53BC" w:rsidRDefault="002436BD" w:rsidP="00BA53BC">
      <w:pPr>
        <w:pStyle w:val="Heading"/>
        <w:keepNext/>
        <w:numPr>
          <w:ilvl w:val="0"/>
          <w:numId w:val="2"/>
        </w:numPr>
        <w:spacing w:after="240"/>
        <w:ind w:left="0" w:firstLine="0"/>
        <w:outlineLvl w:val="0"/>
        <w:rPr>
          <w:rFonts w:ascii="Times New Roman" w:hAnsi="Times New Roman"/>
          <w:sz w:val="24"/>
          <w:szCs w:val="24"/>
        </w:rPr>
      </w:pPr>
      <w:bookmarkStart w:id="5" w:name="bkBackground"/>
      <w:bookmarkEnd w:id="5"/>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315B65">
        <w:rPr>
          <w:rFonts w:ascii="Times New Roman" w:hAnsi="Times New Roman"/>
          <w:sz w:val="24"/>
          <w:szCs w:val="24"/>
        </w:rPr>
        <w:t>s</w:t>
      </w:r>
    </w:p>
    <w:p w14:paraId="6971B164" w14:textId="7018A9D6" w:rsidR="00AA2E32" w:rsidRPr="00046FD3" w:rsidRDefault="00EE321D" w:rsidP="00AA2E32">
      <w:pPr>
        <w:pStyle w:val="BodyText"/>
        <w:jc w:val="both"/>
        <w:rPr>
          <w:szCs w:val="24"/>
        </w:rPr>
      </w:pPr>
      <w:r>
        <w:rPr>
          <w:szCs w:val="24"/>
        </w:rPr>
        <w:t xml:space="preserve">The purpose of the instruments is to </w:t>
      </w:r>
      <w:r w:rsidR="00DC17B0">
        <w:rPr>
          <w:szCs w:val="24"/>
        </w:rPr>
        <w:t>revoke the existing reporting standards,</w:t>
      </w:r>
      <w:r>
        <w:rPr>
          <w:szCs w:val="24"/>
        </w:rPr>
        <w:t xml:space="preserve"> GRS 800.1,</w:t>
      </w:r>
      <w:r w:rsidR="00BF7739">
        <w:rPr>
          <w:szCs w:val="24"/>
        </w:rPr>
        <w:t xml:space="preserve"> GRS 800.2,</w:t>
      </w:r>
      <w:r>
        <w:rPr>
          <w:szCs w:val="24"/>
        </w:rPr>
        <w:t xml:space="preserve"> </w:t>
      </w:r>
      <w:r w:rsidRPr="001F6E34">
        <w:rPr>
          <w:szCs w:val="24"/>
        </w:rPr>
        <w:t>GRS 800.3, LOLRS 800.1</w:t>
      </w:r>
      <w:r w:rsidR="00B8062C">
        <w:rPr>
          <w:szCs w:val="24"/>
        </w:rPr>
        <w:t>, LOLRS 800.2</w:t>
      </w:r>
      <w:r w:rsidRPr="001F6E34">
        <w:rPr>
          <w:szCs w:val="24"/>
        </w:rPr>
        <w:t xml:space="preserve"> and LOLRS 800.3</w:t>
      </w:r>
      <w:r>
        <w:rPr>
          <w:szCs w:val="24"/>
        </w:rPr>
        <w:t>,</w:t>
      </w:r>
      <w:r w:rsidR="00DC17B0">
        <w:rPr>
          <w:szCs w:val="24"/>
        </w:rPr>
        <w:t xml:space="preserve"> and </w:t>
      </w:r>
      <w:r w:rsidR="00E930A4">
        <w:rPr>
          <w:szCs w:val="24"/>
        </w:rPr>
        <w:t xml:space="preserve">replace the </w:t>
      </w:r>
      <w:r w:rsidR="00DC17B0">
        <w:rPr>
          <w:szCs w:val="24"/>
        </w:rPr>
        <w:t>existing</w:t>
      </w:r>
      <w:r w:rsidR="00E930A4">
        <w:rPr>
          <w:szCs w:val="24"/>
        </w:rPr>
        <w:t xml:space="preserve"> reporting standards</w:t>
      </w:r>
      <w:r w:rsidR="00DC17B0">
        <w:rPr>
          <w:szCs w:val="24"/>
        </w:rPr>
        <w:t xml:space="preserve"> with new versions</w:t>
      </w:r>
      <w:r w:rsidR="00E930A4">
        <w:rPr>
          <w:szCs w:val="24"/>
        </w:rPr>
        <w:t xml:space="preserve"> </w:t>
      </w:r>
      <w:r w:rsidR="00B81005">
        <w:rPr>
          <w:szCs w:val="24"/>
        </w:rPr>
        <w:t xml:space="preserve">of the reporting standards </w:t>
      </w:r>
      <w:r w:rsidR="00E930A4">
        <w:rPr>
          <w:szCs w:val="24"/>
        </w:rPr>
        <w:t xml:space="preserve">to allow for the </w:t>
      </w:r>
      <w:r w:rsidR="00483DF9">
        <w:rPr>
          <w:szCs w:val="24"/>
        </w:rPr>
        <w:t>revised</w:t>
      </w:r>
      <w:r w:rsidR="00600BCB">
        <w:rPr>
          <w:szCs w:val="24"/>
        </w:rPr>
        <w:t xml:space="preserve"> </w:t>
      </w:r>
      <w:r w:rsidR="001F6E34" w:rsidRPr="00E930A4">
        <w:rPr>
          <w:szCs w:val="24"/>
        </w:rPr>
        <w:t>collection of cyber insurance and management liability data</w:t>
      </w:r>
      <w:r w:rsidR="00E930A4">
        <w:rPr>
          <w:szCs w:val="24"/>
        </w:rPr>
        <w:t xml:space="preserve"> (revised reporting standards)</w:t>
      </w:r>
      <w:r w:rsidR="00BA53BC" w:rsidRPr="001F6E34">
        <w:rPr>
          <w:szCs w:val="24"/>
        </w:rPr>
        <w:t xml:space="preserve">. </w:t>
      </w:r>
      <w:r w:rsidR="002A20A3">
        <w:rPr>
          <w:szCs w:val="24"/>
        </w:rPr>
        <w:t xml:space="preserve">The </w:t>
      </w:r>
      <w:r w:rsidR="00E930A4">
        <w:rPr>
          <w:szCs w:val="24"/>
        </w:rPr>
        <w:t xml:space="preserve">revised </w:t>
      </w:r>
      <w:r w:rsidR="002A20A3">
        <w:rPr>
          <w:szCs w:val="24"/>
        </w:rPr>
        <w:t>reporting standards also include updated technical data specifications to reflect electronic submission requirements</w:t>
      </w:r>
      <w:r w:rsidR="008306CD">
        <w:rPr>
          <w:szCs w:val="24"/>
        </w:rPr>
        <w:t xml:space="preserve"> and </w:t>
      </w:r>
      <w:r w:rsidR="0032154D">
        <w:rPr>
          <w:szCs w:val="24"/>
        </w:rPr>
        <w:t xml:space="preserve">are set </w:t>
      </w:r>
      <w:r w:rsidR="0032154D" w:rsidRPr="00046FD3">
        <w:rPr>
          <w:szCs w:val="24"/>
        </w:rPr>
        <w:t xml:space="preserve">out in a revised format consistent with recent </w:t>
      </w:r>
      <w:r w:rsidR="00C9651A" w:rsidRPr="00046FD3">
        <w:rPr>
          <w:szCs w:val="24"/>
        </w:rPr>
        <w:t xml:space="preserve">APRA </w:t>
      </w:r>
      <w:r w:rsidR="0032154D" w:rsidRPr="00046FD3">
        <w:rPr>
          <w:szCs w:val="24"/>
        </w:rPr>
        <w:t>instruments</w:t>
      </w:r>
      <w:r w:rsidR="002A20A3" w:rsidRPr="00046FD3">
        <w:rPr>
          <w:szCs w:val="24"/>
        </w:rPr>
        <w:t>.</w:t>
      </w:r>
      <w:r w:rsidR="00AA2E32" w:rsidRPr="00046FD3">
        <w:rPr>
          <w:szCs w:val="24"/>
        </w:rPr>
        <w:t xml:space="preserve"> The reporting requirements are otherwise the same under the revised reporting standards as they </w:t>
      </w:r>
      <w:r w:rsidR="00DC17B0" w:rsidRPr="00046FD3">
        <w:rPr>
          <w:szCs w:val="24"/>
        </w:rPr>
        <w:t>are</w:t>
      </w:r>
      <w:r w:rsidR="00AA2E32" w:rsidRPr="00046FD3">
        <w:rPr>
          <w:szCs w:val="24"/>
        </w:rPr>
        <w:t xml:space="preserve"> under the </w:t>
      </w:r>
      <w:r w:rsidR="00DC17B0" w:rsidRPr="00046FD3">
        <w:rPr>
          <w:szCs w:val="24"/>
        </w:rPr>
        <w:t>existing</w:t>
      </w:r>
      <w:r w:rsidR="00AA2E32" w:rsidRPr="00046FD3">
        <w:rPr>
          <w:szCs w:val="24"/>
        </w:rPr>
        <w:t xml:space="preserve"> versions of the reporting standards. </w:t>
      </w:r>
    </w:p>
    <w:p w14:paraId="15FA00F8" w14:textId="69E35702" w:rsidR="00F16F13" w:rsidRPr="00046FD3" w:rsidRDefault="00F16F13" w:rsidP="00AA2E32">
      <w:pPr>
        <w:pStyle w:val="BodyText"/>
        <w:jc w:val="both"/>
        <w:rPr>
          <w:szCs w:val="24"/>
        </w:rPr>
      </w:pPr>
      <w:r w:rsidRPr="00046FD3">
        <w:rPr>
          <w:szCs w:val="24"/>
        </w:rPr>
        <w:t>Specifically:</w:t>
      </w:r>
    </w:p>
    <w:p w14:paraId="518DE0CF" w14:textId="5AD37A63" w:rsidR="00F16F13" w:rsidRPr="00D204A0" w:rsidRDefault="00046FD3" w:rsidP="00E93BE0">
      <w:pPr>
        <w:widowControl w:val="0"/>
        <w:numPr>
          <w:ilvl w:val="0"/>
          <w:numId w:val="9"/>
        </w:numPr>
        <w:spacing w:after="240"/>
        <w:ind w:left="567" w:hanging="567"/>
        <w:jc w:val="both"/>
        <w:rPr>
          <w:rFonts w:ascii="Times New Roman" w:hAnsi="Times New Roman"/>
          <w:sz w:val="24"/>
          <w:szCs w:val="24"/>
        </w:rPr>
      </w:pPr>
      <w:r w:rsidRPr="00E93BE0">
        <w:rPr>
          <w:rFonts w:ascii="Times New Roman" w:hAnsi="Times New Roman"/>
          <w:sz w:val="24"/>
          <w:szCs w:val="24"/>
        </w:rPr>
        <w:t>GRS 800.1</w:t>
      </w:r>
      <w:r w:rsidR="00625999" w:rsidRPr="00625999">
        <w:t xml:space="preserve"> </w:t>
      </w:r>
      <w:r w:rsidR="00625999" w:rsidRPr="00625999">
        <w:rPr>
          <w:rFonts w:ascii="Times New Roman" w:hAnsi="Times New Roman"/>
          <w:sz w:val="24"/>
          <w:szCs w:val="24"/>
        </w:rPr>
        <w:t xml:space="preserve">requires general insurers that </w:t>
      </w:r>
      <w:r w:rsidR="002C7E89">
        <w:rPr>
          <w:rFonts w:ascii="Times New Roman" w:hAnsi="Times New Roman"/>
          <w:sz w:val="24"/>
          <w:szCs w:val="24"/>
        </w:rPr>
        <w:t>under</w:t>
      </w:r>
      <w:r w:rsidR="00625999" w:rsidRPr="00625999">
        <w:rPr>
          <w:rFonts w:ascii="Times New Roman" w:hAnsi="Times New Roman"/>
          <w:sz w:val="24"/>
          <w:szCs w:val="24"/>
        </w:rPr>
        <w:t>write public liability, product liability or professional indemnity insurance policies to provide data on policies in force during a 6-month reporting period</w:t>
      </w:r>
      <w:r w:rsidR="00625999">
        <w:rPr>
          <w:rFonts w:ascii="Times New Roman" w:hAnsi="Times New Roman"/>
          <w:sz w:val="24"/>
          <w:szCs w:val="24"/>
        </w:rPr>
        <w:t>. T</w:t>
      </w:r>
      <w:r w:rsidR="00625999" w:rsidRPr="00625999">
        <w:rPr>
          <w:rFonts w:ascii="Times New Roman" w:hAnsi="Times New Roman"/>
          <w:sz w:val="24"/>
          <w:szCs w:val="24"/>
        </w:rPr>
        <w:t>he information collected includes the class of business covered by the policy, the policy basis, its current status, the premium earned from the policy and details about the insured party, amongst other details.</w:t>
      </w:r>
      <w:r w:rsidR="005D31B6">
        <w:rPr>
          <w:rFonts w:ascii="Times New Roman" w:hAnsi="Times New Roman"/>
          <w:sz w:val="24"/>
          <w:szCs w:val="24"/>
        </w:rPr>
        <w:t xml:space="preserve"> </w:t>
      </w:r>
      <w:r w:rsidR="005D31B6" w:rsidRPr="00E93BE0">
        <w:rPr>
          <w:rFonts w:ascii="Times New Roman" w:hAnsi="Times New Roman"/>
          <w:sz w:val="24"/>
          <w:szCs w:val="24"/>
        </w:rPr>
        <w:t xml:space="preserve">Amendments have been made to the technical data specifications (the field types), </w:t>
      </w:r>
      <w:r w:rsidR="00935726">
        <w:rPr>
          <w:rFonts w:ascii="Times New Roman" w:hAnsi="Times New Roman"/>
          <w:sz w:val="24"/>
          <w:szCs w:val="24"/>
        </w:rPr>
        <w:t>in the reporting form included as part of GRS 800.1</w:t>
      </w:r>
      <w:r w:rsidR="005D31B6" w:rsidRPr="00E93BE0">
        <w:rPr>
          <w:rFonts w:ascii="Times New Roman" w:hAnsi="Times New Roman"/>
          <w:sz w:val="24"/>
          <w:szCs w:val="24"/>
        </w:rPr>
        <w:t xml:space="preserve">, in order to </w:t>
      </w:r>
      <w:r w:rsidR="00935726">
        <w:rPr>
          <w:rFonts w:ascii="Times New Roman" w:hAnsi="Times New Roman"/>
          <w:sz w:val="24"/>
          <w:szCs w:val="24"/>
        </w:rPr>
        <w:t>include cyber insurance and management liability as a product type.</w:t>
      </w:r>
      <w:r w:rsidR="00F5505E">
        <w:rPr>
          <w:rFonts w:ascii="Times New Roman" w:hAnsi="Times New Roman"/>
          <w:sz w:val="24"/>
          <w:szCs w:val="24"/>
        </w:rPr>
        <w:t xml:space="preserve"> </w:t>
      </w:r>
      <w:r w:rsidR="00F5505E" w:rsidRPr="00F4263F">
        <w:rPr>
          <w:rFonts w:ascii="Times New Roman" w:hAnsi="Times New Roman"/>
          <w:sz w:val="24"/>
          <w:szCs w:val="24"/>
        </w:rPr>
        <w:t>Amendments have</w:t>
      </w:r>
      <w:r w:rsidR="00F5505E">
        <w:rPr>
          <w:rFonts w:ascii="Times New Roman" w:hAnsi="Times New Roman"/>
          <w:sz w:val="24"/>
          <w:szCs w:val="24"/>
        </w:rPr>
        <w:t xml:space="preserve"> also</w:t>
      </w:r>
      <w:r w:rsidR="00F5505E" w:rsidRPr="00F4263F">
        <w:rPr>
          <w:rFonts w:ascii="Times New Roman" w:hAnsi="Times New Roman"/>
          <w:sz w:val="24"/>
          <w:szCs w:val="24"/>
        </w:rPr>
        <w:t xml:space="preserve"> been made to set out information in GRS 800.</w:t>
      </w:r>
      <w:r w:rsidR="00F5505E">
        <w:rPr>
          <w:rFonts w:ascii="Times New Roman" w:hAnsi="Times New Roman"/>
          <w:sz w:val="24"/>
          <w:szCs w:val="24"/>
        </w:rPr>
        <w:t>1</w:t>
      </w:r>
      <w:r w:rsidR="00F5505E" w:rsidRPr="00F4263F">
        <w:rPr>
          <w:rFonts w:ascii="Times New Roman" w:hAnsi="Times New Roman"/>
          <w:sz w:val="24"/>
          <w:szCs w:val="24"/>
        </w:rPr>
        <w:t xml:space="preserve"> in a format consistent with recent APRA instruments</w:t>
      </w:r>
      <w:r w:rsidR="00F5505E">
        <w:rPr>
          <w:rFonts w:ascii="Times New Roman" w:hAnsi="Times New Roman"/>
          <w:sz w:val="24"/>
          <w:szCs w:val="24"/>
        </w:rPr>
        <w:t>.</w:t>
      </w:r>
    </w:p>
    <w:p w14:paraId="7836E96B" w14:textId="79A55A2E" w:rsidR="00046FD3" w:rsidRPr="00E93BE0" w:rsidRDefault="00046FD3" w:rsidP="00E93BE0">
      <w:pPr>
        <w:widowControl w:val="0"/>
        <w:numPr>
          <w:ilvl w:val="0"/>
          <w:numId w:val="9"/>
        </w:numPr>
        <w:spacing w:after="240"/>
        <w:ind w:left="567" w:hanging="567"/>
        <w:jc w:val="both"/>
        <w:rPr>
          <w:rFonts w:ascii="Times New Roman" w:hAnsi="Times New Roman"/>
          <w:sz w:val="24"/>
          <w:szCs w:val="24"/>
        </w:rPr>
      </w:pPr>
      <w:r w:rsidRPr="00E93BE0">
        <w:rPr>
          <w:rFonts w:ascii="Times New Roman" w:hAnsi="Times New Roman"/>
          <w:sz w:val="24"/>
          <w:szCs w:val="24"/>
        </w:rPr>
        <w:t>GRS 800.2</w:t>
      </w:r>
      <w:r w:rsidR="00935726" w:rsidRPr="00E93BE0">
        <w:rPr>
          <w:rFonts w:ascii="Times New Roman" w:hAnsi="Times New Roman"/>
          <w:sz w:val="24"/>
          <w:szCs w:val="24"/>
        </w:rPr>
        <w:t xml:space="preserve"> </w:t>
      </w:r>
      <w:r w:rsidR="00935726" w:rsidRPr="00F4263F">
        <w:rPr>
          <w:rFonts w:ascii="Times New Roman" w:hAnsi="Times New Roman"/>
          <w:sz w:val="24"/>
          <w:szCs w:val="24"/>
        </w:rPr>
        <w:t xml:space="preserve">requires general insurers that have </w:t>
      </w:r>
      <w:r w:rsidR="002C7E89">
        <w:rPr>
          <w:rFonts w:ascii="Times New Roman" w:hAnsi="Times New Roman"/>
          <w:sz w:val="24"/>
          <w:szCs w:val="24"/>
        </w:rPr>
        <w:t>under</w:t>
      </w:r>
      <w:r w:rsidR="00935726" w:rsidRPr="00F4263F">
        <w:rPr>
          <w:rFonts w:ascii="Times New Roman" w:hAnsi="Times New Roman"/>
          <w:sz w:val="24"/>
          <w:szCs w:val="24"/>
        </w:rPr>
        <w:t xml:space="preserve">written public liability, product liability or professional indemnity insurance policies to provide data on claims made or not settled during a </w:t>
      </w:r>
      <w:r w:rsidR="00293C3C" w:rsidRPr="00F4263F">
        <w:rPr>
          <w:rFonts w:ascii="Times New Roman" w:hAnsi="Times New Roman"/>
          <w:sz w:val="24"/>
          <w:szCs w:val="24"/>
        </w:rPr>
        <w:t>6-month</w:t>
      </w:r>
      <w:r w:rsidR="00935726" w:rsidRPr="007A4D67">
        <w:rPr>
          <w:rFonts w:ascii="Times New Roman" w:hAnsi="Times New Roman"/>
          <w:sz w:val="24"/>
          <w:szCs w:val="24"/>
        </w:rPr>
        <w:t xml:space="preserve"> reporting period.</w:t>
      </w:r>
      <w:r w:rsidR="00293C3C" w:rsidRPr="00E93BE0">
        <w:rPr>
          <w:rFonts w:ascii="Times New Roman" w:hAnsi="Times New Roman"/>
          <w:sz w:val="24"/>
          <w:szCs w:val="24"/>
        </w:rPr>
        <w:t xml:space="preserve"> T</w:t>
      </w:r>
      <w:r w:rsidR="00293C3C" w:rsidRPr="00F4263F">
        <w:rPr>
          <w:rFonts w:ascii="Times New Roman" w:hAnsi="Times New Roman"/>
          <w:sz w:val="24"/>
          <w:szCs w:val="24"/>
        </w:rPr>
        <w:t>he information collected includes the class of business covered by the policy, the policy basis, its current status, the dates of loss and report, the jurisdiction of the claim, the nature of the loss and details of the likely case estimate, amongst other information. Amendments have been made to the technical data specifications (the field types), in the reporting form included as part of GRS 800.2, in order to include cyber insurance and management liability as a product type and Cyber – 1</w:t>
      </w:r>
      <w:r w:rsidR="00293C3C" w:rsidRPr="00E93BE0">
        <w:rPr>
          <w:rFonts w:ascii="Times New Roman" w:hAnsi="Times New Roman"/>
          <w:sz w:val="24"/>
          <w:szCs w:val="24"/>
          <w:vertAlign w:val="superscript"/>
        </w:rPr>
        <w:t>st</w:t>
      </w:r>
      <w:r w:rsidR="00293C3C" w:rsidRPr="00F4263F">
        <w:rPr>
          <w:rFonts w:ascii="Times New Roman" w:hAnsi="Times New Roman"/>
          <w:sz w:val="24"/>
          <w:szCs w:val="24"/>
        </w:rPr>
        <w:t xml:space="preserve"> party loss and Cyber </w:t>
      </w:r>
      <w:r w:rsidR="00293C3C" w:rsidRPr="007A4D67">
        <w:rPr>
          <w:rFonts w:ascii="Times New Roman" w:hAnsi="Times New Roman"/>
          <w:sz w:val="24"/>
          <w:szCs w:val="24"/>
        </w:rPr>
        <w:t xml:space="preserve">– </w:t>
      </w:r>
      <w:r w:rsidR="00244F1C">
        <w:rPr>
          <w:rFonts w:ascii="Times New Roman" w:hAnsi="Times New Roman"/>
          <w:sz w:val="24"/>
          <w:szCs w:val="24"/>
        </w:rPr>
        <w:t>3</w:t>
      </w:r>
      <w:r w:rsidR="00244F1C" w:rsidRPr="00E93BE0">
        <w:rPr>
          <w:rFonts w:ascii="Times New Roman" w:hAnsi="Times New Roman"/>
          <w:sz w:val="24"/>
          <w:szCs w:val="24"/>
          <w:vertAlign w:val="superscript"/>
        </w:rPr>
        <w:t>rd</w:t>
      </w:r>
      <w:r w:rsidR="00293C3C" w:rsidRPr="00F4263F">
        <w:rPr>
          <w:rFonts w:ascii="Times New Roman" w:hAnsi="Times New Roman"/>
          <w:sz w:val="24"/>
          <w:szCs w:val="24"/>
        </w:rPr>
        <w:t xml:space="preserve"> party loss as</w:t>
      </w:r>
      <w:r w:rsidR="00C321D7">
        <w:rPr>
          <w:rFonts w:ascii="Times New Roman" w:hAnsi="Times New Roman"/>
          <w:sz w:val="24"/>
          <w:szCs w:val="24"/>
        </w:rPr>
        <w:t xml:space="preserve"> a</w:t>
      </w:r>
      <w:r w:rsidR="00293C3C" w:rsidRPr="00F4263F">
        <w:rPr>
          <w:rFonts w:ascii="Times New Roman" w:hAnsi="Times New Roman"/>
          <w:sz w:val="24"/>
          <w:szCs w:val="24"/>
        </w:rPr>
        <w:t xml:space="preserve"> cause of loss code.</w:t>
      </w:r>
      <w:r w:rsidR="00293C3C" w:rsidRPr="007A4D67">
        <w:rPr>
          <w:rFonts w:ascii="Times New Roman" w:hAnsi="Times New Roman"/>
          <w:sz w:val="24"/>
          <w:szCs w:val="24"/>
        </w:rPr>
        <w:t xml:space="preserve"> </w:t>
      </w:r>
      <w:r w:rsidR="00F5505E" w:rsidRPr="00F4263F">
        <w:rPr>
          <w:rFonts w:ascii="Times New Roman" w:hAnsi="Times New Roman"/>
          <w:sz w:val="24"/>
          <w:szCs w:val="24"/>
        </w:rPr>
        <w:t xml:space="preserve">Amendments have </w:t>
      </w:r>
      <w:r w:rsidR="00F5505E">
        <w:rPr>
          <w:rFonts w:ascii="Times New Roman" w:hAnsi="Times New Roman"/>
          <w:sz w:val="24"/>
          <w:szCs w:val="24"/>
        </w:rPr>
        <w:t xml:space="preserve">also </w:t>
      </w:r>
      <w:r w:rsidR="00F5505E" w:rsidRPr="00F4263F">
        <w:rPr>
          <w:rFonts w:ascii="Times New Roman" w:hAnsi="Times New Roman"/>
          <w:sz w:val="24"/>
          <w:szCs w:val="24"/>
        </w:rPr>
        <w:t>been made to set out information in GRS 800.</w:t>
      </w:r>
      <w:r w:rsidR="00F5505E">
        <w:rPr>
          <w:rFonts w:ascii="Times New Roman" w:hAnsi="Times New Roman"/>
          <w:sz w:val="24"/>
          <w:szCs w:val="24"/>
        </w:rPr>
        <w:t>2</w:t>
      </w:r>
      <w:r w:rsidR="00F5505E" w:rsidRPr="00F4263F">
        <w:rPr>
          <w:rFonts w:ascii="Times New Roman" w:hAnsi="Times New Roman"/>
          <w:sz w:val="24"/>
          <w:szCs w:val="24"/>
        </w:rPr>
        <w:t xml:space="preserve"> in a format consistent with recent APRA instruments</w:t>
      </w:r>
      <w:r w:rsidR="00F5505E">
        <w:rPr>
          <w:rFonts w:ascii="Times New Roman" w:hAnsi="Times New Roman"/>
          <w:sz w:val="24"/>
          <w:szCs w:val="24"/>
        </w:rPr>
        <w:t>.</w:t>
      </w:r>
    </w:p>
    <w:p w14:paraId="3F0D502D" w14:textId="1C3B8594" w:rsidR="00046FD3" w:rsidRPr="00E93BE0" w:rsidRDefault="00046FD3" w:rsidP="00E93BE0">
      <w:pPr>
        <w:widowControl w:val="0"/>
        <w:numPr>
          <w:ilvl w:val="0"/>
          <w:numId w:val="9"/>
        </w:numPr>
        <w:spacing w:after="240"/>
        <w:ind w:left="567" w:hanging="567"/>
        <w:jc w:val="both"/>
        <w:rPr>
          <w:rFonts w:ascii="Times New Roman" w:hAnsi="Times New Roman"/>
          <w:sz w:val="24"/>
          <w:szCs w:val="24"/>
        </w:rPr>
      </w:pPr>
      <w:r w:rsidRPr="00E93BE0">
        <w:rPr>
          <w:rFonts w:ascii="Times New Roman" w:hAnsi="Times New Roman"/>
          <w:sz w:val="24"/>
          <w:szCs w:val="24"/>
        </w:rPr>
        <w:t>GRS 800.3</w:t>
      </w:r>
      <w:r w:rsidR="00293C3C" w:rsidRPr="00E93BE0">
        <w:rPr>
          <w:rFonts w:ascii="Times New Roman" w:hAnsi="Times New Roman"/>
          <w:sz w:val="24"/>
          <w:szCs w:val="24"/>
        </w:rPr>
        <w:t xml:space="preserve"> </w:t>
      </w:r>
      <w:r w:rsidR="00293C3C" w:rsidRPr="00F4263F">
        <w:rPr>
          <w:rFonts w:ascii="Times New Roman" w:hAnsi="Times New Roman"/>
          <w:sz w:val="24"/>
          <w:szCs w:val="24"/>
        </w:rPr>
        <w:t xml:space="preserve">requires general insurers that </w:t>
      </w:r>
      <w:r w:rsidR="002C7E89">
        <w:rPr>
          <w:rFonts w:ascii="Times New Roman" w:hAnsi="Times New Roman"/>
          <w:sz w:val="24"/>
          <w:szCs w:val="24"/>
        </w:rPr>
        <w:t>under</w:t>
      </w:r>
      <w:r w:rsidR="00293C3C" w:rsidRPr="00F4263F">
        <w:rPr>
          <w:rFonts w:ascii="Times New Roman" w:hAnsi="Times New Roman"/>
          <w:sz w:val="24"/>
          <w:szCs w:val="24"/>
        </w:rPr>
        <w:t>write public liability, product liability or professional indemnity facility business to provide data on facility business where the insurer is on-risk during a 6-month reporting period. The information collected includes the facility identifier, the industry code, the number of policies and claims and gross payments made, amongst other details.</w:t>
      </w:r>
      <w:r w:rsidR="003E7E49" w:rsidRPr="00F4263F">
        <w:rPr>
          <w:rFonts w:ascii="Times New Roman" w:hAnsi="Times New Roman"/>
          <w:sz w:val="24"/>
          <w:szCs w:val="24"/>
        </w:rPr>
        <w:t xml:space="preserve"> Amendments have been made to </w:t>
      </w:r>
      <w:r w:rsidR="00BB220F" w:rsidRPr="00F4263F">
        <w:rPr>
          <w:rFonts w:ascii="Times New Roman" w:hAnsi="Times New Roman"/>
          <w:sz w:val="24"/>
          <w:szCs w:val="24"/>
        </w:rPr>
        <w:t xml:space="preserve">set out information in </w:t>
      </w:r>
      <w:r w:rsidR="003E7E49" w:rsidRPr="00F4263F">
        <w:rPr>
          <w:rFonts w:ascii="Times New Roman" w:hAnsi="Times New Roman"/>
          <w:sz w:val="24"/>
          <w:szCs w:val="24"/>
        </w:rPr>
        <w:t>GRS 800.3</w:t>
      </w:r>
      <w:r w:rsidR="00BB220F" w:rsidRPr="00F4263F">
        <w:rPr>
          <w:rFonts w:ascii="Times New Roman" w:hAnsi="Times New Roman"/>
          <w:sz w:val="24"/>
          <w:szCs w:val="24"/>
        </w:rPr>
        <w:t xml:space="preserve"> in a format consistent with recent APRA instruments. </w:t>
      </w:r>
      <w:r w:rsidR="003E7E49" w:rsidRPr="00F4263F">
        <w:rPr>
          <w:rFonts w:ascii="Times New Roman" w:hAnsi="Times New Roman"/>
          <w:sz w:val="24"/>
          <w:szCs w:val="24"/>
        </w:rPr>
        <w:t xml:space="preserve"> </w:t>
      </w:r>
    </w:p>
    <w:p w14:paraId="7942643C" w14:textId="4C90A416" w:rsidR="00046FD3" w:rsidRPr="00E93BE0" w:rsidRDefault="00046FD3" w:rsidP="00E93BE0">
      <w:pPr>
        <w:widowControl w:val="0"/>
        <w:numPr>
          <w:ilvl w:val="0"/>
          <w:numId w:val="9"/>
        </w:numPr>
        <w:spacing w:after="240"/>
        <w:ind w:left="567" w:hanging="567"/>
        <w:jc w:val="both"/>
        <w:rPr>
          <w:rFonts w:ascii="Times New Roman" w:hAnsi="Times New Roman"/>
          <w:sz w:val="24"/>
          <w:szCs w:val="24"/>
        </w:rPr>
      </w:pPr>
      <w:r w:rsidRPr="00E93BE0">
        <w:rPr>
          <w:rFonts w:ascii="Times New Roman" w:hAnsi="Times New Roman"/>
          <w:sz w:val="24"/>
          <w:szCs w:val="24"/>
        </w:rPr>
        <w:t>LOLRS 800.1</w:t>
      </w:r>
      <w:r w:rsidR="00C06692" w:rsidRPr="00E93BE0">
        <w:rPr>
          <w:rFonts w:ascii="Times New Roman" w:hAnsi="Times New Roman"/>
          <w:sz w:val="24"/>
          <w:szCs w:val="24"/>
        </w:rPr>
        <w:t xml:space="preserve"> </w:t>
      </w:r>
      <w:r w:rsidR="00C06692" w:rsidRPr="00F4263F">
        <w:rPr>
          <w:rFonts w:ascii="Times New Roman" w:hAnsi="Times New Roman"/>
          <w:sz w:val="24"/>
          <w:szCs w:val="24"/>
        </w:rPr>
        <w:t xml:space="preserve">requires Lloyd’s to report on public liability, product liability or professional indemnity insurance policies </w:t>
      </w:r>
      <w:r w:rsidR="002C7E89">
        <w:rPr>
          <w:rFonts w:ascii="Times New Roman" w:hAnsi="Times New Roman"/>
          <w:sz w:val="24"/>
          <w:szCs w:val="24"/>
        </w:rPr>
        <w:t>under</w:t>
      </w:r>
      <w:r w:rsidR="00C06692" w:rsidRPr="00F4263F">
        <w:rPr>
          <w:rFonts w:ascii="Times New Roman" w:hAnsi="Times New Roman"/>
          <w:sz w:val="24"/>
          <w:szCs w:val="24"/>
        </w:rPr>
        <w:t xml:space="preserve">written by Lloyd’s underwriters that are in force during a </w:t>
      </w:r>
      <w:r w:rsidR="00CB52E8" w:rsidRPr="00F4263F">
        <w:rPr>
          <w:rFonts w:ascii="Times New Roman" w:hAnsi="Times New Roman"/>
          <w:sz w:val="24"/>
          <w:szCs w:val="24"/>
        </w:rPr>
        <w:t>6-month</w:t>
      </w:r>
      <w:r w:rsidR="00C06692" w:rsidRPr="00F4263F">
        <w:rPr>
          <w:rFonts w:ascii="Times New Roman" w:hAnsi="Times New Roman"/>
          <w:sz w:val="24"/>
          <w:szCs w:val="24"/>
        </w:rPr>
        <w:t xml:space="preserve"> reporting period. The information collected includes the class of business covered by the policy, the policy basis, its current status, the premium earned from the policy and details about the insured party, </w:t>
      </w:r>
      <w:r w:rsidR="00C06692" w:rsidRPr="00F4263F">
        <w:rPr>
          <w:rFonts w:ascii="Times New Roman" w:hAnsi="Times New Roman"/>
          <w:sz w:val="24"/>
          <w:szCs w:val="24"/>
        </w:rPr>
        <w:lastRenderedPageBreak/>
        <w:t>amongst other details. Amendments have been made to the technical data specifications (the field types),</w:t>
      </w:r>
      <w:r w:rsidR="006A5FA7" w:rsidRPr="00F4263F">
        <w:rPr>
          <w:rFonts w:ascii="Times New Roman" w:hAnsi="Times New Roman"/>
          <w:sz w:val="24"/>
          <w:szCs w:val="24"/>
        </w:rPr>
        <w:t xml:space="preserve"> in the reporting form included as part of LOLRS 800.1, in order to include cyber insurance and management liability as a product type</w:t>
      </w:r>
      <w:r w:rsidR="008F6EA5" w:rsidRPr="00F4263F">
        <w:rPr>
          <w:rFonts w:ascii="Times New Roman" w:hAnsi="Times New Roman"/>
          <w:sz w:val="24"/>
          <w:szCs w:val="24"/>
        </w:rPr>
        <w:t>.</w:t>
      </w:r>
      <w:r w:rsidR="00F5505E">
        <w:rPr>
          <w:rFonts w:ascii="Times New Roman" w:hAnsi="Times New Roman"/>
          <w:sz w:val="24"/>
          <w:szCs w:val="24"/>
        </w:rPr>
        <w:t xml:space="preserve"> </w:t>
      </w:r>
      <w:r w:rsidR="00F5505E" w:rsidRPr="00F4263F">
        <w:rPr>
          <w:rFonts w:ascii="Times New Roman" w:hAnsi="Times New Roman"/>
          <w:sz w:val="24"/>
          <w:szCs w:val="24"/>
        </w:rPr>
        <w:t>Amendments have</w:t>
      </w:r>
      <w:r w:rsidR="00F5505E">
        <w:rPr>
          <w:rFonts w:ascii="Times New Roman" w:hAnsi="Times New Roman"/>
          <w:sz w:val="24"/>
          <w:szCs w:val="24"/>
        </w:rPr>
        <w:t xml:space="preserve"> also</w:t>
      </w:r>
      <w:r w:rsidR="00F5505E" w:rsidRPr="00F4263F">
        <w:rPr>
          <w:rFonts w:ascii="Times New Roman" w:hAnsi="Times New Roman"/>
          <w:sz w:val="24"/>
          <w:szCs w:val="24"/>
        </w:rPr>
        <w:t xml:space="preserve"> been made to set out information in </w:t>
      </w:r>
      <w:r w:rsidR="00F5505E">
        <w:rPr>
          <w:rFonts w:ascii="Times New Roman" w:hAnsi="Times New Roman"/>
          <w:sz w:val="24"/>
          <w:szCs w:val="24"/>
        </w:rPr>
        <w:t>LOLRS</w:t>
      </w:r>
      <w:r w:rsidR="00F5505E" w:rsidRPr="00F4263F">
        <w:rPr>
          <w:rFonts w:ascii="Times New Roman" w:hAnsi="Times New Roman"/>
          <w:sz w:val="24"/>
          <w:szCs w:val="24"/>
        </w:rPr>
        <w:t xml:space="preserve"> 800.</w:t>
      </w:r>
      <w:r w:rsidR="00A22471">
        <w:rPr>
          <w:rFonts w:ascii="Times New Roman" w:hAnsi="Times New Roman"/>
          <w:sz w:val="24"/>
          <w:szCs w:val="24"/>
        </w:rPr>
        <w:t>1</w:t>
      </w:r>
      <w:r w:rsidR="00F5505E" w:rsidRPr="00F4263F">
        <w:rPr>
          <w:rFonts w:ascii="Times New Roman" w:hAnsi="Times New Roman"/>
          <w:sz w:val="24"/>
          <w:szCs w:val="24"/>
        </w:rPr>
        <w:t xml:space="preserve"> in a format consistent with recent APRA instruments.</w:t>
      </w:r>
    </w:p>
    <w:p w14:paraId="5F41DA29" w14:textId="1E7983EF" w:rsidR="00046FD3" w:rsidRPr="00E93BE0" w:rsidRDefault="00046FD3" w:rsidP="00E93BE0">
      <w:pPr>
        <w:widowControl w:val="0"/>
        <w:numPr>
          <w:ilvl w:val="0"/>
          <w:numId w:val="9"/>
        </w:numPr>
        <w:spacing w:after="240"/>
        <w:ind w:left="567" w:hanging="567"/>
        <w:jc w:val="both"/>
        <w:rPr>
          <w:rFonts w:ascii="Times New Roman" w:hAnsi="Times New Roman"/>
          <w:sz w:val="24"/>
          <w:szCs w:val="24"/>
        </w:rPr>
      </w:pPr>
      <w:r w:rsidRPr="00E93BE0">
        <w:rPr>
          <w:rFonts w:ascii="Times New Roman" w:hAnsi="Times New Roman"/>
          <w:sz w:val="24"/>
          <w:szCs w:val="24"/>
        </w:rPr>
        <w:t>LOLRS 800.2</w:t>
      </w:r>
      <w:r w:rsidR="00360FFE" w:rsidRPr="00E93BE0">
        <w:rPr>
          <w:rFonts w:ascii="Times New Roman" w:hAnsi="Times New Roman"/>
          <w:sz w:val="24"/>
          <w:szCs w:val="24"/>
        </w:rPr>
        <w:t xml:space="preserve"> </w:t>
      </w:r>
      <w:r w:rsidR="00360FFE" w:rsidRPr="00F4263F">
        <w:rPr>
          <w:rFonts w:ascii="Times New Roman" w:hAnsi="Times New Roman"/>
          <w:sz w:val="24"/>
          <w:szCs w:val="24"/>
        </w:rPr>
        <w:t xml:space="preserve">requires Lloyd’s to report on claims made on (or not settled by) Lloyd’s underwriters during a </w:t>
      </w:r>
      <w:r w:rsidR="00694067" w:rsidRPr="00F4263F">
        <w:rPr>
          <w:rFonts w:ascii="Times New Roman" w:hAnsi="Times New Roman"/>
          <w:sz w:val="24"/>
          <w:szCs w:val="24"/>
        </w:rPr>
        <w:t>6-month</w:t>
      </w:r>
      <w:r w:rsidR="00360FFE" w:rsidRPr="00F4263F">
        <w:rPr>
          <w:rFonts w:ascii="Times New Roman" w:hAnsi="Times New Roman"/>
          <w:sz w:val="24"/>
          <w:szCs w:val="24"/>
        </w:rPr>
        <w:t xml:space="preserve"> reporting period, being claims that relate to public liability, product liability or professional indemnity insurance. </w:t>
      </w:r>
      <w:r w:rsidR="00694067" w:rsidRPr="00F4263F">
        <w:rPr>
          <w:rFonts w:ascii="Times New Roman" w:hAnsi="Times New Roman"/>
          <w:sz w:val="24"/>
          <w:szCs w:val="24"/>
        </w:rPr>
        <w:t>The information collected includes the class of business covered by the policy, the policy basis, its current status, the dates of loss and report, the jurisdiction of the claim, the nature of the loss and details of the likely case estimate, amongst other information. Amendments have been made to the technical data specifications (the field types), in the reporting form included as part of LOLRS 800.2, in order to include Cyber – 1</w:t>
      </w:r>
      <w:r w:rsidR="00694067" w:rsidRPr="00F4263F">
        <w:rPr>
          <w:rFonts w:ascii="Times New Roman" w:hAnsi="Times New Roman"/>
          <w:sz w:val="24"/>
          <w:szCs w:val="24"/>
          <w:vertAlign w:val="superscript"/>
        </w:rPr>
        <w:t>st</w:t>
      </w:r>
      <w:r w:rsidR="00694067" w:rsidRPr="00F4263F">
        <w:rPr>
          <w:rFonts w:ascii="Times New Roman" w:hAnsi="Times New Roman"/>
          <w:sz w:val="24"/>
          <w:szCs w:val="24"/>
        </w:rPr>
        <w:t xml:space="preserve"> party loss and Cyber – </w:t>
      </w:r>
      <w:r w:rsidR="00244F1C">
        <w:rPr>
          <w:rFonts w:ascii="Times New Roman" w:hAnsi="Times New Roman"/>
          <w:sz w:val="24"/>
          <w:szCs w:val="24"/>
        </w:rPr>
        <w:t>3</w:t>
      </w:r>
      <w:r w:rsidR="00244F1C" w:rsidRPr="00E93BE0">
        <w:rPr>
          <w:rFonts w:ascii="Times New Roman" w:hAnsi="Times New Roman"/>
          <w:sz w:val="24"/>
          <w:szCs w:val="24"/>
          <w:vertAlign w:val="superscript"/>
        </w:rPr>
        <w:t>rd</w:t>
      </w:r>
      <w:r w:rsidR="00694067" w:rsidRPr="00F4263F">
        <w:rPr>
          <w:rFonts w:ascii="Times New Roman" w:hAnsi="Times New Roman"/>
          <w:sz w:val="24"/>
          <w:szCs w:val="24"/>
        </w:rPr>
        <w:t xml:space="preserve"> party loss as </w:t>
      </w:r>
      <w:r w:rsidR="00551345">
        <w:rPr>
          <w:rFonts w:ascii="Times New Roman" w:hAnsi="Times New Roman"/>
          <w:sz w:val="24"/>
          <w:szCs w:val="24"/>
        </w:rPr>
        <w:t xml:space="preserve">a </w:t>
      </w:r>
      <w:r w:rsidR="00694067" w:rsidRPr="00F4263F">
        <w:rPr>
          <w:rFonts w:ascii="Times New Roman" w:hAnsi="Times New Roman"/>
          <w:sz w:val="24"/>
          <w:szCs w:val="24"/>
        </w:rPr>
        <w:t>cause of loss code.</w:t>
      </w:r>
      <w:r w:rsidR="00A22471">
        <w:rPr>
          <w:rFonts w:ascii="Times New Roman" w:hAnsi="Times New Roman"/>
          <w:sz w:val="24"/>
          <w:szCs w:val="24"/>
        </w:rPr>
        <w:t xml:space="preserve"> </w:t>
      </w:r>
      <w:r w:rsidR="00A22471" w:rsidRPr="00F4263F">
        <w:rPr>
          <w:rFonts w:ascii="Times New Roman" w:hAnsi="Times New Roman"/>
          <w:sz w:val="24"/>
          <w:szCs w:val="24"/>
        </w:rPr>
        <w:t xml:space="preserve">Amendments have </w:t>
      </w:r>
      <w:r w:rsidR="00A22471">
        <w:rPr>
          <w:rFonts w:ascii="Times New Roman" w:hAnsi="Times New Roman"/>
          <w:sz w:val="24"/>
          <w:szCs w:val="24"/>
        </w:rPr>
        <w:t xml:space="preserve">also </w:t>
      </w:r>
      <w:r w:rsidR="00A22471" w:rsidRPr="00F4263F">
        <w:rPr>
          <w:rFonts w:ascii="Times New Roman" w:hAnsi="Times New Roman"/>
          <w:sz w:val="24"/>
          <w:szCs w:val="24"/>
        </w:rPr>
        <w:t xml:space="preserve">been made to set out information in </w:t>
      </w:r>
      <w:r w:rsidR="00A22471">
        <w:rPr>
          <w:rFonts w:ascii="Times New Roman" w:hAnsi="Times New Roman"/>
          <w:sz w:val="24"/>
          <w:szCs w:val="24"/>
        </w:rPr>
        <w:t>LOLRS</w:t>
      </w:r>
      <w:r w:rsidR="00A22471" w:rsidRPr="00F4263F">
        <w:rPr>
          <w:rFonts w:ascii="Times New Roman" w:hAnsi="Times New Roman"/>
          <w:sz w:val="24"/>
          <w:szCs w:val="24"/>
        </w:rPr>
        <w:t xml:space="preserve"> 800.</w:t>
      </w:r>
      <w:r w:rsidR="00A22471">
        <w:rPr>
          <w:rFonts w:ascii="Times New Roman" w:hAnsi="Times New Roman"/>
          <w:sz w:val="24"/>
          <w:szCs w:val="24"/>
        </w:rPr>
        <w:t>2</w:t>
      </w:r>
      <w:r w:rsidR="00A22471" w:rsidRPr="00F4263F">
        <w:rPr>
          <w:rFonts w:ascii="Times New Roman" w:hAnsi="Times New Roman"/>
          <w:sz w:val="24"/>
          <w:szCs w:val="24"/>
        </w:rPr>
        <w:t xml:space="preserve"> in a format consistent with recent APRA instruments.</w:t>
      </w:r>
    </w:p>
    <w:p w14:paraId="522B7455" w14:textId="4FEECC71" w:rsidR="00046FD3" w:rsidRPr="00F4263F" w:rsidRDefault="00046FD3" w:rsidP="00E93BE0">
      <w:pPr>
        <w:widowControl w:val="0"/>
        <w:numPr>
          <w:ilvl w:val="0"/>
          <w:numId w:val="9"/>
        </w:numPr>
        <w:spacing w:after="240"/>
        <w:ind w:left="567" w:hanging="567"/>
        <w:jc w:val="both"/>
        <w:rPr>
          <w:szCs w:val="24"/>
        </w:rPr>
      </w:pPr>
      <w:r w:rsidRPr="00F4263F">
        <w:rPr>
          <w:rFonts w:ascii="Times New Roman" w:hAnsi="Times New Roman"/>
          <w:sz w:val="24"/>
          <w:szCs w:val="24"/>
        </w:rPr>
        <w:t>LOLRS 800.3</w:t>
      </w:r>
      <w:r w:rsidR="00F4263F" w:rsidRPr="00E93BE0">
        <w:rPr>
          <w:rFonts w:ascii="Times New Roman" w:hAnsi="Times New Roman"/>
          <w:sz w:val="24"/>
          <w:szCs w:val="24"/>
        </w:rPr>
        <w:t xml:space="preserve"> requires </w:t>
      </w:r>
      <w:r w:rsidR="00F4263F" w:rsidRPr="00F4263F">
        <w:rPr>
          <w:rFonts w:ascii="Times New Roman" w:hAnsi="Times New Roman"/>
          <w:sz w:val="24"/>
          <w:szCs w:val="24"/>
        </w:rPr>
        <w:t xml:space="preserve">Lloyd’s to report on public liability, product liability or professional indemnity insurance facility business </w:t>
      </w:r>
      <w:r w:rsidR="002C7E89">
        <w:rPr>
          <w:rFonts w:ascii="Times New Roman" w:hAnsi="Times New Roman"/>
          <w:sz w:val="24"/>
          <w:szCs w:val="24"/>
        </w:rPr>
        <w:t>under</w:t>
      </w:r>
      <w:r w:rsidR="00F4263F" w:rsidRPr="00F4263F">
        <w:rPr>
          <w:rFonts w:ascii="Times New Roman" w:hAnsi="Times New Roman"/>
          <w:sz w:val="24"/>
          <w:szCs w:val="24"/>
        </w:rPr>
        <w:t>written by Lloyd’s underwriters,</w:t>
      </w:r>
      <w:r w:rsidR="00F4263F" w:rsidRPr="00F4263F">
        <w:t xml:space="preserve"> </w:t>
      </w:r>
      <w:r w:rsidR="00F4263F" w:rsidRPr="00F4263F">
        <w:rPr>
          <w:rFonts w:ascii="Times New Roman" w:hAnsi="Times New Roman"/>
          <w:sz w:val="24"/>
          <w:szCs w:val="24"/>
        </w:rPr>
        <w:t>being facility business in relation to which an insurer is on risk during a 6-month reporting period</w:t>
      </w:r>
      <w:r w:rsidR="00F4263F">
        <w:rPr>
          <w:rFonts w:ascii="Times New Roman" w:hAnsi="Times New Roman"/>
          <w:sz w:val="24"/>
          <w:szCs w:val="24"/>
        </w:rPr>
        <w:t xml:space="preserve">. </w:t>
      </w:r>
      <w:r w:rsidR="00E739B6">
        <w:rPr>
          <w:rFonts w:ascii="Times New Roman" w:hAnsi="Times New Roman"/>
          <w:sz w:val="24"/>
          <w:szCs w:val="24"/>
        </w:rPr>
        <w:t>T</w:t>
      </w:r>
      <w:r w:rsidR="00E739B6" w:rsidRPr="00E739B6">
        <w:rPr>
          <w:rFonts w:ascii="Times New Roman" w:hAnsi="Times New Roman"/>
          <w:sz w:val="24"/>
          <w:szCs w:val="24"/>
        </w:rPr>
        <w:t>he information collected includes the facility identifier, the industry code, the number of policies and claims and gross payments made, amongst other details.</w:t>
      </w:r>
      <w:r w:rsidR="00E739B6">
        <w:rPr>
          <w:rFonts w:ascii="Times New Roman" w:hAnsi="Times New Roman"/>
          <w:sz w:val="24"/>
          <w:szCs w:val="24"/>
        </w:rPr>
        <w:t xml:space="preserve"> </w:t>
      </w:r>
      <w:r w:rsidR="00F4263F" w:rsidRPr="00F4263F">
        <w:rPr>
          <w:rFonts w:ascii="Times New Roman" w:hAnsi="Times New Roman"/>
          <w:sz w:val="24"/>
          <w:szCs w:val="24"/>
        </w:rPr>
        <w:t xml:space="preserve">Amendments have been made to set out information in </w:t>
      </w:r>
      <w:r w:rsidR="00F4263F">
        <w:rPr>
          <w:rFonts w:ascii="Times New Roman" w:hAnsi="Times New Roman"/>
          <w:sz w:val="24"/>
          <w:szCs w:val="24"/>
        </w:rPr>
        <w:t>LOLRS</w:t>
      </w:r>
      <w:r w:rsidR="00F4263F" w:rsidRPr="00F4263F">
        <w:rPr>
          <w:rFonts w:ascii="Times New Roman" w:hAnsi="Times New Roman"/>
          <w:sz w:val="24"/>
          <w:szCs w:val="24"/>
        </w:rPr>
        <w:t xml:space="preserve"> 800.3 in a format consistent with recent APRA instruments.</w:t>
      </w:r>
    </w:p>
    <w:p w14:paraId="0CC6C193" w14:textId="0E0785DB" w:rsidR="00631116" w:rsidRDefault="00AD1E70" w:rsidP="00631116">
      <w:pPr>
        <w:spacing w:after="240"/>
        <w:jc w:val="both"/>
        <w:rPr>
          <w:rFonts w:ascii="Times New Roman" w:hAnsi="Times New Roman"/>
          <w:sz w:val="24"/>
          <w:szCs w:val="24"/>
        </w:rPr>
      </w:pPr>
      <w:bookmarkStart w:id="6" w:name="bkPurpose"/>
      <w:bookmarkEnd w:id="6"/>
      <w:r w:rsidRPr="00AD1E70">
        <w:rPr>
          <w:rFonts w:ascii="Times New Roman" w:hAnsi="Times New Roman"/>
          <w:sz w:val="24"/>
          <w:szCs w:val="24"/>
        </w:rPr>
        <w:t xml:space="preserve">Where </w:t>
      </w:r>
      <w:r w:rsidR="002A20A3">
        <w:rPr>
          <w:rFonts w:ascii="Times New Roman" w:hAnsi="Times New Roman"/>
          <w:sz w:val="24"/>
          <w:szCs w:val="24"/>
        </w:rPr>
        <w:t>the reporting standards refer</w:t>
      </w:r>
      <w:r w:rsidR="008B659C">
        <w:rPr>
          <w:rFonts w:ascii="Times New Roman" w:hAnsi="Times New Roman"/>
          <w:sz w:val="24"/>
          <w:szCs w:val="24"/>
        </w:rPr>
        <w:t xml:space="preserve"> to an Act, Regulation,</w:t>
      </w:r>
      <w:r w:rsidR="008B659C" w:rsidRPr="008B659C">
        <w:rPr>
          <w:rFonts w:ascii="Times New Roman" w:hAnsi="Times New Roman"/>
          <w:sz w:val="24"/>
          <w:szCs w:val="24"/>
        </w:rPr>
        <w:t xml:space="preserve"> Prudential Standard, Reporting Standard, Australian Accounting</w:t>
      </w:r>
      <w:r w:rsidR="004C3DF4">
        <w:rPr>
          <w:rFonts w:ascii="Times New Roman" w:hAnsi="Times New Roman"/>
          <w:sz w:val="24"/>
          <w:szCs w:val="24"/>
        </w:rPr>
        <w:t xml:space="preserve"> Standard</w:t>
      </w:r>
      <w:r w:rsidR="008B659C" w:rsidRPr="008B659C">
        <w:rPr>
          <w:rFonts w:ascii="Times New Roman" w:hAnsi="Times New Roman"/>
          <w:sz w:val="24"/>
          <w:szCs w:val="24"/>
        </w:rPr>
        <w:t xml:space="preserve"> or Auditing Standard, this is a reference to the document as it exists from time to time</w:t>
      </w:r>
      <w:r w:rsidR="008B659C" w:rsidRPr="008B659C">
        <w:rPr>
          <w:rFonts w:ascii="Times New Roman" w:hAnsi="Times New Roman"/>
          <w:b/>
          <w:sz w:val="24"/>
          <w:szCs w:val="24"/>
        </w:rPr>
        <w:t xml:space="preserve">, </w:t>
      </w:r>
      <w:r w:rsidR="008B659C" w:rsidRPr="008B659C">
        <w:rPr>
          <w:rFonts w:ascii="Times New Roman" w:hAnsi="Times New Roman"/>
          <w:sz w:val="24"/>
          <w:szCs w:val="24"/>
        </w:rPr>
        <w:t xml:space="preserve">and </w:t>
      </w:r>
      <w:r w:rsidR="00566B0B">
        <w:rPr>
          <w:rFonts w:ascii="Times New Roman" w:hAnsi="Times New Roman"/>
          <w:sz w:val="24"/>
          <w:szCs w:val="24"/>
        </w:rPr>
        <w:t>which is</w:t>
      </w:r>
      <w:r w:rsidR="008B659C" w:rsidRPr="008B659C">
        <w:rPr>
          <w:rFonts w:ascii="Times New Roman" w:hAnsi="Times New Roman"/>
          <w:sz w:val="24"/>
          <w:szCs w:val="24"/>
        </w:rPr>
        <w:t xml:space="preserve"> available on the Federal Register of Legislation at </w:t>
      </w:r>
      <w:hyperlink r:id="rId13" w:history="1">
        <w:r w:rsidR="008B659C" w:rsidRPr="008B659C">
          <w:rPr>
            <w:rStyle w:val="Hyperlink"/>
            <w:rFonts w:ascii="Times New Roman" w:hAnsi="Times New Roman"/>
            <w:sz w:val="24"/>
            <w:szCs w:val="24"/>
          </w:rPr>
          <w:t>www.legislation.gov.au</w:t>
        </w:r>
      </w:hyperlink>
      <w:r w:rsidR="008B659C">
        <w:rPr>
          <w:rFonts w:ascii="Times New Roman" w:hAnsi="Times New Roman"/>
          <w:sz w:val="24"/>
          <w:szCs w:val="24"/>
        </w:rPr>
        <w:t>.</w:t>
      </w:r>
    </w:p>
    <w:p w14:paraId="620B5D9C" w14:textId="60AF91EA" w:rsidR="00692E44" w:rsidRPr="00835BD9" w:rsidRDefault="00692E44" w:rsidP="00692E44">
      <w:pPr>
        <w:spacing w:after="240"/>
        <w:jc w:val="both"/>
        <w:rPr>
          <w:rFonts w:ascii="Times New Roman" w:hAnsi="Times New Roman"/>
          <w:sz w:val="24"/>
          <w:szCs w:val="24"/>
        </w:rPr>
      </w:pPr>
      <w:r w:rsidRPr="00D26946">
        <w:rPr>
          <w:rFonts w:ascii="Times New Roman" w:hAnsi="Times New Roman"/>
          <w:color w:val="000000"/>
          <w:sz w:val="24"/>
          <w:shd w:val="clear" w:color="auto" w:fill="FFFFFF"/>
        </w:rPr>
        <w:t>There are a number of powers that may be exercised by APRA in reporting standards which involve an element of discretion and which may impact the interests of the financial sector entity to which t</w:t>
      </w:r>
      <w:r>
        <w:rPr>
          <w:rFonts w:ascii="Times New Roman" w:hAnsi="Times New Roman"/>
          <w:color w:val="000000"/>
          <w:sz w:val="24"/>
          <w:shd w:val="clear" w:color="auto" w:fill="FFFFFF"/>
        </w:rPr>
        <w:t xml:space="preserve">he reporting standard applies. </w:t>
      </w:r>
      <w:r w:rsidRPr="00D26946">
        <w:rPr>
          <w:rFonts w:ascii="Times New Roman" w:hAnsi="Times New Roman"/>
          <w:color w:val="000000"/>
          <w:sz w:val="24"/>
          <w:shd w:val="clear" w:color="auto" w:fill="FFFFFF"/>
        </w:rPr>
        <w:t>These decisions include APRA refusing to change a reporting period</w:t>
      </w:r>
      <w:r w:rsidR="0058449E">
        <w:rPr>
          <w:rFonts w:ascii="Times New Roman" w:hAnsi="Times New Roman"/>
          <w:color w:val="000000"/>
          <w:sz w:val="24"/>
          <w:shd w:val="clear" w:color="auto" w:fill="FFFFFF"/>
        </w:rPr>
        <w:t>,</w:t>
      </w:r>
      <w:r w:rsidRPr="00D26946">
        <w:rPr>
          <w:rFonts w:ascii="Times New Roman" w:hAnsi="Times New Roman"/>
          <w:color w:val="000000"/>
          <w:sz w:val="24"/>
          <w:shd w:val="clear" w:color="auto" w:fill="FFFFFF"/>
        </w:rPr>
        <w:t xml:space="preserve"> or due date</w:t>
      </w:r>
      <w:r w:rsidR="0058449E">
        <w:rPr>
          <w:rFonts w:ascii="Times New Roman" w:hAnsi="Times New Roman"/>
          <w:color w:val="000000"/>
          <w:sz w:val="24"/>
          <w:shd w:val="clear" w:color="auto" w:fill="FFFFFF"/>
        </w:rPr>
        <w:t>,</w:t>
      </w:r>
      <w:r w:rsidRPr="00D26946">
        <w:rPr>
          <w:rFonts w:ascii="Times New Roman" w:hAnsi="Times New Roman"/>
          <w:color w:val="000000"/>
          <w:sz w:val="24"/>
          <w:shd w:val="clear" w:color="auto" w:fill="FFFFFF"/>
        </w:rPr>
        <w:t xml:space="preserve"> for a</w:t>
      </w:r>
      <w:r>
        <w:rPr>
          <w:rFonts w:ascii="Times New Roman" w:hAnsi="Times New Roman"/>
          <w:color w:val="000000"/>
          <w:sz w:val="24"/>
          <w:shd w:val="clear" w:color="auto" w:fill="FFFFFF"/>
        </w:rPr>
        <w:t xml:space="preserve"> general insurer or Lloyd’s </w:t>
      </w:r>
      <w:r w:rsidRPr="00D26946">
        <w:rPr>
          <w:rFonts w:ascii="Times New Roman" w:hAnsi="Times New Roman"/>
          <w:color w:val="000000"/>
          <w:sz w:val="24"/>
          <w:shd w:val="clear" w:color="auto" w:fill="FFFFFF"/>
        </w:rPr>
        <w:t xml:space="preserve">to provide information required by </w:t>
      </w:r>
      <w:r>
        <w:rPr>
          <w:rFonts w:ascii="Times New Roman" w:hAnsi="Times New Roman"/>
          <w:color w:val="000000"/>
          <w:sz w:val="24"/>
          <w:shd w:val="clear" w:color="auto" w:fill="FFFFFF"/>
        </w:rPr>
        <w:t xml:space="preserve">the </w:t>
      </w:r>
      <w:r w:rsidR="0058449E">
        <w:rPr>
          <w:rFonts w:ascii="Times New Roman" w:hAnsi="Times New Roman"/>
          <w:color w:val="000000"/>
          <w:sz w:val="24"/>
          <w:shd w:val="clear" w:color="auto" w:fill="FFFFFF"/>
        </w:rPr>
        <w:t xml:space="preserve">revised </w:t>
      </w:r>
      <w:r>
        <w:rPr>
          <w:rFonts w:ascii="Times New Roman" w:hAnsi="Times New Roman"/>
          <w:color w:val="000000"/>
          <w:sz w:val="24"/>
          <w:shd w:val="clear" w:color="auto" w:fill="FFFFFF"/>
        </w:rPr>
        <w:t>reporting standards.</w:t>
      </w:r>
      <w:r w:rsidR="00B8062C">
        <w:rPr>
          <w:rFonts w:ascii="Times New Roman" w:hAnsi="Times New Roman"/>
          <w:color w:val="000000"/>
          <w:sz w:val="24"/>
          <w:shd w:val="clear" w:color="auto" w:fill="FFFFFF"/>
        </w:rPr>
        <w:t xml:space="preserve"> </w:t>
      </w:r>
      <w:r w:rsidRPr="00D26946">
        <w:rPr>
          <w:rFonts w:ascii="Times New Roman" w:hAnsi="Times New Roman"/>
          <w:color w:val="000000"/>
          <w:sz w:val="24"/>
          <w:shd w:val="clear" w:color="auto" w:fill="FFFFFF"/>
        </w:rPr>
        <w:t xml:space="preserve">Decisions made by APRA exercising those powers are not subject to merits review. </w:t>
      </w:r>
    </w:p>
    <w:p w14:paraId="69130EAC" w14:textId="77777777" w:rsidR="00692E44" w:rsidRPr="00835BD9" w:rsidRDefault="00692E44" w:rsidP="00692E44">
      <w:pPr>
        <w:spacing w:after="240"/>
        <w:jc w:val="both"/>
        <w:rPr>
          <w:rFonts w:ascii="Times New Roman" w:hAnsi="Times New Roman"/>
          <w:sz w:val="24"/>
          <w:szCs w:val="24"/>
        </w:rPr>
      </w:pPr>
      <w:r w:rsidRPr="00835BD9">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1B26D6FF" w14:textId="5F12EC44" w:rsidR="00692E44" w:rsidRPr="00835BD9" w:rsidRDefault="00692E44" w:rsidP="00692E44">
      <w:pPr>
        <w:spacing w:after="240"/>
        <w:jc w:val="both"/>
        <w:rPr>
          <w:rFonts w:ascii="Times New Roman" w:hAnsi="Times New Roman"/>
          <w:sz w:val="24"/>
          <w:szCs w:val="24"/>
        </w:rPr>
      </w:pPr>
      <w:r w:rsidRPr="00835BD9">
        <w:rPr>
          <w:rFonts w:ascii="Times New Roman" w:hAnsi="Times New Roman"/>
          <w:sz w:val="24"/>
          <w:szCs w:val="24"/>
        </w:rPr>
        <w:t>APRA’s reporting standards collect financial data from</w:t>
      </w:r>
      <w:r>
        <w:rPr>
          <w:rFonts w:ascii="Times New Roman" w:hAnsi="Times New Roman"/>
          <w:sz w:val="24"/>
          <w:szCs w:val="24"/>
        </w:rPr>
        <w:t xml:space="preserve"> regulated entities. This data </w:t>
      </w:r>
      <w:r w:rsidRPr="00835BD9">
        <w:rPr>
          <w:rFonts w:ascii="Times New Roman" w:hAnsi="Times New Roman"/>
          <w:sz w:val="24"/>
          <w:szCs w:val="24"/>
        </w:rPr>
        <w:t>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w:t>
      </w:r>
      <w:r w:rsidR="00B80C83">
        <w:rPr>
          <w:rFonts w:ascii="Times New Roman" w:hAnsi="Times New Roman"/>
          <w:sz w:val="24"/>
          <w:szCs w:val="24"/>
        </w:rPr>
        <w:t xml:space="preserve"> general insurer or Lloyd’s underwriter </w:t>
      </w:r>
      <w:r w:rsidRPr="00835BD9">
        <w:rPr>
          <w:rFonts w:ascii="Times New Roman" w:hAnsi="Times New Roman"/>
          <w:sz w:val="24"/>
          <w:szCs w:val="24"/>
        </w:rPr>
        <w:t>is taking on imprudent risk or is in distress. APRA’s supervisory decisions may be jeopardised if its receipt of data is unreliable due to entities seeking merits review under its reporting standards.</w:t>
      </w:r>
    </w:p>
    <w:p w14:paraId="6AEF613E" w14:textId="492911E0" w:rsidR="00692E44" w:rsidRPr="00B71EB5" w:rsidRDefault="00692E44" w:rsidP="00B71EB5">
      <w:pPr>
        <w:spacing w:after="240"/>
        <w:jc w:val="both"/>
        <w:rPr>
          <w:rFonts w:ascii="Times New Roman" w:hAnsi="Times New Roman"/>
          <w:sz w:val="24"/>
          <w:szCs w:val="24"/>
        </w:rPr>
      </w:pPr>
      <w:r w:rsidRPr="00835BD9">
        <w:rPr>
          <w:rFonts w:ascii="Times New Roman" w:hAnsi="Times New Roman"/>
          <w:sz w:val="24"/>
          <w:szCs w:val="24"/>
        </w:rPr>
        <w:lastRenderedPageBreak/>
        <w:t xml:space="preserve">The data collected by </w:t>
      </w:r>
      <w:r w:rsidR="00B80C83">
        <w:rPr>
          <w:rFonts w:ascii="Times New Roman" w:hAnsi="Times New Roman"/>
          <w:sz w:val="24"/>
          <w:szCs w:val="24"/>
        </w:rPr>
        <w:t>the</w:t>
      </w:r>
      <w:r w:rsidRPr="00835BD9">
        <w:rPr>
          <w:rFonts w:ascii="Times New Roman" w:hAnsi="Times New Roman"/>
          <w:sz w:val="24"/>
          <w:szCs w:val="24"/>
        </w:rPr>
        <w:t xml:space="preserve"> </w:t>
      </w:r>
      <w:r w:rsidR="006C2AD2">
        <w:rPr>
          <w:rFonts w:ascii="Times New Roman" w:hAnsi="Times New Roman"/>
          <w:sz w:val="24"/>
          <w:szCs w:val="24"/>
        </w:rPr>
        <w:t xml:space="preserve">revised </w:t>
      </w:r>
      <w:r w:rsidRPr="00835BD9">
        <w:rPr>
          <w:rFonts w:ascii="Times New Roman" w:hAnsi="Times New Roman"/>
          <w:sz w:val="24"/>
          <w:szCs w:val="24"/>
        </w:rPr>
        <w:t xml:space="preserve">reporting standards is </w:t>
      </w:r>
      <w:r w:rsidR="006B0DD5">
        <w:rPr>
          <w:rFonts w:ascii="Times New Roman" w:hAnsi="Times New Roman"/>
          <w:sz w:val="24"/>
          <w:szCs w:val="24"/>
        </w:rPr>
        <w:t xml:space="preserve">also </w:t>
      </w:r>
      <w:r w:rsidRPr="00835BD9">
        <w:rPr>
          <w:rFonts w:ascii="Times New Roman" w:hAnsi="Times New Roman"/>
          <w:sz w:val="24"/>
          <w:szCs w:val="24"/>
        </w:rPr>
        <w:t>used</w:t>
      </w:r>
      <w:r w:rsidR="006B0DD5">
        <w:rPr>
          <w:rFonts w:ascii="Times New Roman" w:hAnsi="Times New Roman"/>
          <w:sz w:val="24"/>
          <w:szCs w:val="24"/>
        </w:rPr>
        <w:t xml:space="preserve"> </w:t>
      </w:r>
      <w:r w:rsidRPr="00835BD9">
        <w:rPr>
          <w:rFonts w:ascii="Times New Roman" w:hAnsi="Times New Roman"/>
          <w:sz w:val="24"/>
          <w:szCs w:val="24"/>
        </w:rPr>
        <w:t xml:space="preserve">to </w:t>
      </w:r>
      <w:r w:rsidR="00B80C83">
        <w:rPr>
          <w:rFonts w:ascii="Times New Roman" w:hAnsi="Times New Roman"/>
          <w:sz w:val="24"/>
          <w:szCs w:val="24"/>
        </w:rPr>
        <w:t>compile the NCPD</w:t>
      </w:r>
      <w:r w:rsidR="00B8062C">
        <w:rPr>
          <w:rFonts w:ascii="Times New Roman" w:hAnsi="Times New Roman"/>
          <w:sz w:val="24"/>
          <w:szCs w:val="24"/>
        </w:rPr>
        <w:t>.</w:t>
      </w:r>
      <w:r w:rsidR="003469E7">
        <w:rPr>
          <w:rFonts w:ascii="Times New Roman" w:hAnsi="Times New Roman"/>
          <w:sz w:val="24"/>
          <w:szCs w:val="24"/>
        </w:rPr>
        <w:t xml:space="preserve"> The NCPD is deeply established in industry</w:t>
      </w:r>
      <w:r w:rsidR="00D24F23">
        <w:rPr>
          <w:rFonts w:ascii="Times New Roman" w:hAnsi="Times New Roman"/>
          <w:sz w:val="24"/>
          <w:szCs w:val="24"/>
        </w:rPr>
        <w:t>,</w:t>
      </w:r>
      <w:r w:rsidR="003469E7">
        <w:rPr>
          <w:rFonts w:ascii="Times New Roman" w:hAnsi="Times New Roman"/>
          <w:sz w:val="24"/>
          <w:szCs w:val="24"/>
        </w:rPr>
        <w:t xml:space="preserve"> and has been relied upon by general insurers</w:t>
      </w:r>
      <w:r w:rsidR="006B0DD5">
        <w:rPr>
          <w:rFonts w:ascii="Times New Roman" w:hAnsi="Times New Roman"/>
          <w:sz w:val="24"/>
          <w:szCs w:val="24"/>
        </w:rPr>
        <w:t>,</w:t>
      </w:r>
      <w:r w:rsidR="003469E7">
        <w:rPr>
          <w:rFonts w:ascii="Times New Roman" w:hAnsi="Times New Roman"/>
          <w:sz w:val="24"/>
          <w:szCs w:val="24"/>
        </w:rPr>
        <w:t xml:space="preserve"> Lloyd’s and the wider insurance industry to inform their activities since the early 2000s.</w:t>
      </w:r>
      <w:r w:rsidR="00B80C83">
        <w:rPr>
          <w:rFonts w:ascii="Times New Roman" w:hAnsi="Times New Roman"/>
          <w:sz w:val="24"/>
          <w:szCs w:val="24"/>
        </w:rPr>
        <w:t xml:space="preserve"> </w:t>
      </w:r>
      <w:r w:rsidRPr="00835BD9">
        <w:rPr>
          <w:rFonts w:ascii="Times New Roman" w:hAnsi="Times New Roman"/>
          <w:sz w:val="24"/>
          <w:szCs w:val="24"/>
        </w:rPr>
        <w:t>Delays caused by an entity seeking merits review of APRA’s decisions under one or more</w:t>
      </w:r>
      <w:r w:rsidR="003469E7">
        <w:rPr>
          <w:rFonts w:ascii="Times New Roman" w:hAnsi="Times New Roman"/>
          <w:sz w:val="24"/>
          <w:szCs w:val="24"/>
        </w:rPr>
        <w:t xml:space="preserve"> of the</w:t>
      </w:r>
      <w:r w:rsidRPr="00835BD9">
        <w:rPr>
          <w:rFonts w:ascii="Times New Roman" w:hAnsi="Times New Roman"/>
          <w:sz w:val="24"/>
          <w:szCs w:val="24"/>
        </w:rPr>
        <w:t xml:space="preserve"> </w:t>
      </w:r>
      <w:r w:rsidR="006B0DD5">
        <w:rPr>
          <w:rFonts w:ascii="Times New Roman" w:hAnsi="Times New Roman"/>
          <w:sz w:val="24"/>
          <w:szCs w:val="24"/>
        </w:rPr>
        <w:t xml:space="preserve">revised </w:t>
      </w:r>
      <w:r w:rsidRPr="00835BD9">
        <w:rPr>
          <w:rFonts w:ascii="Times New Roman" w:hAnsi="Times New Roman"/>
          <w:sz w:val="24"/>
          <w:szCs w:val="24"/>
        </w:rPr>
        <w:t xml:space="preserve">reporting standards could significantly compromise </w:t>
      </w:r>
      <w:r w:rsidR="00B8062C">
        <w:rPr>
          <w:rFonts w:ascii="Times New Roman" w:hAnsi="Times New Roman"/>
          <w:sz w:val="24"/>
          <w:szCs w:val="24"/>
        </w:rPr>
        <w:t xml:space="preserve">the </w:t>
      </w:r>
      <w:r w:rsidR="003469E7">
        <w:rPr>
          <w:rFonts w:ascii="Times New Roman" w:hAnsi="Times New Roman"/>
          <w:sz w:val="24"/>
          <w:szCs w:val="24"/>
        </w:rPr>
        <w:t>NCPD</w:t>
      </w:r>
      <w:r w:rsidRPr="00835BD9">
        <w:rPr>
          <w:rFonts w:ascii="Times New Roman" w:hAnsi="Times New Roman"/>
          <w:sz w:val="24"/>
          <w:szCs w:val="24"/>
        </w:rPr>
        <w:t xml:space="preserve">. As the </w:t>
      </w:r>
      <w:r w:rsidR="00D24F23">
        <w:rPr>
          <w:rFonts w:ascii="Times New Roman" w:hAnsi="Times New Roman"/>
          <w:sz w:val="24"/>
          <w:szCs w:val="24"/>
        </w:rPr>
        <w:t>database</w:t>
      </w:r>
      <w:r w:rsidRPr="00835BD9">
        <w:rPr>
          <w:rFonts w:ascii="Times New Roman" w:hAnsi="Times New Roman"/>
          <w:sz w:val="24"/>
          <w:szCs w:val="24"/>
        </w:rPr>
        <w:t xml:space="preserve"> </w:t>
      </w:r>
      <w:r w:rsidR="00D24F23">
        <w:rPr>
          <w:rFonts w:ascii="Times New Roman" w:hAnsi="Times New Roman"/>
          <w:sz w:val="24"/>
          <w:szCs w:val="24"/>
        </w:rPr>
        <w:t>is presented</w:t>
      </w:r>
      <w:r w:rsidRPr="00835BD9">
        <w:rPr>
          <w:rFonts w:ascii="Times New Roman" w:hAnsi="Times New Roman"/>
          <w:sz w:val="24"/>
          <w:szCs w:val="24"/>
        </w:rPr>
        <w:t xml:space="preserve"> at an aggregate level, any lack of data from one entity caused by a merits review claim prevents the release of the entire </w:t>
      </w:r>
      <w:r w:rsidR="00D24F23">
        <w:rPr>
          <w:rFonts w:ascii="Times New Roman" w:hAnsi="Times New Roman"/>
          <w:sz w:val="24"/>
          <w:szCs w:val="24"/>
        </w:rPr>
        <w:t>database</w:t>
      </w:r>
      <w:r w:rsidRPr="00835BD9">
        <w:rPr>
          <w:rFonts w:ascii="Times New Roman" w:hAnsi="Times New Roman"/>
          <w:sz w:val="24"/>
          <w:szCs w:val="24"/>
        </w:rPr>
        <w:t>.</w:t>
      </w:r>
    </w:p>
    <w:p w14:paraId="620C833F" w14:textId="3FE35F06" w:rsidR="002436BD" w:rsidRDefault="00B80C83" w:rsidP="00692E44">
      <w:pPr>
        <w:rPr>
          <w:rFonts w:ascii="Times New Roman" w:hAnsi="Times New Roman"/>
          <w:b/>
          <w:sz w:val="24"/>
          <w:szCs w:val="24"/>
        </w:rPr>
      </w:pPr>
      <w:r>
        <w:rPr>
          <w:rFonts w:ascii="Times New Roman" w:hAnsi="Times New Roman"/>
          <w:b/>
          <w:sz w:val="24"/>
          <w:szCs w:val="24"/>
        </w:rPr>
        <w:t xml:space="preserve">3. </w:t>
      </w:r>
      <w:bookmarkStart w:id="7" w:name="bkoperation"/>
      <w:bookmarkStart w:id="8" w:name="bkConsultationNo"/>
      <w:bookmarkEnd w:id="7"/>
      <w:bookmarkEnd w:id="8"/>
      <w:r w:rsidR="002436BD" w:rsidRPr="00AA2E32">
        <w:rPr>
          <w:rFonts w:ascii="Times New Roman" w:hAnsi="Times New Roman"/>
          <w:b/>
          <w:sz w:val="24"/>
          <w:szCs w:val="24"/>
        </w:rPr>
        <w:t>Consultation</w:t>
      </w:r>
    </w:p>
    <w:p w14:paraId="312B4F2A" w14:textId="77777777" w:rsidR="00B80C83" w:rsidRPr="00680246" w:rsidRDefault="00B80C83" w:rsidP="00AA2E32">
      <w:pPr>
        <w:rPr>
          <w:rFonts w:ascii="Times New Roman" w:hAnsi="Times New Roman"/>
          <w:sz w:val="24"/>
          <w:szCs w:val="24"/>
        </w:rPr>
      </w:pPr>
    </w:p>
    <w:p w14:paraId="6AAC7CC6" w14:textId="4949C673" w:rsidR="006B0DD5" w:rsidRPr="002444C9" w:rsidRDefault="003C240D" w:rsidP="006B0DD5">
      <w:pPr>
        <w:pStyle w:val="Heading"/>
        <w:rPr>
          <w:rFonts w:ascii="Times New Roman" w:hAnsi="Times New Roman"/>
          <w:b w:val="0"/>
          <w:sz w:val="24"/>
          <w:szCs w:val="24"/>
        </w:rPr>
      </w:pPr>
      <w:r w:rsidRPr="00680246">
        <w:rPr>
          <w:rFonts w:ascii="Times New Roman" w:hAnsi="Times New Roman"/>
          <w:b w:val="0"/>
          <w:sz w:val="24"/>
          <w:szCs w:val="24"/>
        </w:rPr>
        <w:t>APRA</w:t>
      </w:r>
      <w:r w:rsidR="009D77FB" w:rsidRPr="00680246">
        <w:rPr>
          <w:rFonts w:ascii="Times New Roman" w:hAnsi="Times New Roman"/>
          <w:b w:val="0"/>
          <w:sz w:val="24"/>
          <w:szCs w:val="24"/>
        </w:rPr>
        <w:t xml:space="preserve"> </w:t>
      </w:r>
      <w:r w:rsidR="006F3309">
        <w:rPr>
          <w:rFonts w:ascii="Times New Roman" w:hAnsi="Times New Roman"/>
          <w:b w:val="0"/>
          <w:sz w:val="24"/>
          <w:szCs w:val="24"/>
        </w:rPr>
        <w:t xml:space="preserve">engaged in public </w:t>
      </w:r>
      <w:r w:rsidR="009D77FB" w:rsidRPr="00680246">
        <w:rPr>
          <w:rFonts w:ascii="Times New Roman" w:hAnsi="Times New Roman"/>
          <w:b w:val="0"/>
          <w:sz w:val="24"/>
          <w:szCs w:val="24"/>
        </w:rPr>
        <w:t>consult</w:t>
      </w:r>
      <w:r w:rsidR="006F3309">
        <w:rPr>
          <w:rFonts w:ascii="Times New Roman" w:hAnsi="Times New Roman"/>
          <w:b w:val="0"/>
          <w:sz w:val="24"/>
          <w:szCs w:val="24"/>
        </w:rPr>
        <w:t>ation</w:t>
      </w:r>
      <w:r w:rsidR="009D77FB" w:rsidRPr="00680246">
        <w:rPr>
          <w:rFonts w:ascii="Times New Roman" w:hAnsi="Times New Roman"/>
          <w:b w:val="0"/>
          <w:sz w:val="24"/>
          <w:szCs w:val="24"/>
        </w:rPr>
        <w:t xml:space="preserve"> </w:t>
      </w:r>
      <w:r w:rsidR="006F3309">
        <w:rPr>
          <w:rFonts w:ascii="Times New Roman" w:hAnsi="Times New Roman"/>
          <w:b w:val="0"/>
          <w:sz w:val="24"/>
          <w:szCs w:val="24"/>
        </w:rPr>
        <w:t>on</w:t>
      </w:r>
      <w:r w:rsidR="009D77FB" w:rsidRPr="00680246">
        <w:rPr>
          <w:rFonts w:ascii="Times New Roman" w:hAnsi="Times New Roman"/>
          <w:b w:val="0"/>
          <w:sz w:val="24"/>
          <w:szCs w:val="24"/>
        </w:rPr>
        <w:t xml:space="preserve"> the</w:t>
      </w:r>
      <w:r w:rsidR="006F3309">
        <w:rPr>
          <w:rFonts w:ascii="Times New Roman" w:hAnsi="Times New Roman"/>
          <w:b w:val="0"/>
          <w:sz w:val="24"/>
          <w:szCs w:val="24"/>
        </w:rPr>
        <w:t xml:space="preserve"> </w:t>
      </w:r>
      <w:r w:rsidR="009D77FB" w:rsidRPr="00680246">
        <w:rPr>
          <w:rFonts w:ascii="Times New Roman" w:hAnsi="Times New Roman"/>
          <w:b w:val="0"/>
          <w:sz w:val="24"/>
          <w:szCs w:val="24"/>
        </w:rPr>
        <w:t>instruments</w:t>
      </w:r>
      <w:r w:rsidR="00B76425">
        <w:rPr>
          <w:rStyle w:val="FootnoteReference"/>
          <w:rFonts w:ascii="Times New Roman" w:hAnsi="Times New Roman"/>
          <w:b w:val="0"/>
          <w:sz w:val="24"/>
          <w:szCs w:val="24"/>
        </w:rPr>
        <w:footnoteReference w:id="1"/>
      </w:r>
      <w:r w:rsidR="009D77FB" w:rsidRPr="00680246">
        <w:rPr>
          <w:rFonts w:ascii="Times New Roman" w:hAnsi="Times New Roman"/>
          <w:b w:val="0"/>
          <w:sz w:val="24"/>
          <w:szCs w:val="24"/>
        </w:rPr>
        <w:t xml:space="preserve">. </w:t>
      </w:r>
      <w:bookmarkStart w:id="9" w:name="bkConsultation"/>
      <w:bookmarkStart w:id="10" w:name="bkRISNO"/>
      <w:bookmarkStart w:id="11" w:name="bkRIS"/>
      <w:bookmarkEnd w:id="9"/>
      <w:bookmarkEnd w:id="10"/>
      <w:r w:rsidR="006B0DD5" w:rsidRPr="00043BBF">
        <w:rPr>
          <w:rFonts w:ascii="Times New Roman" w:hAnsi="Times New Roman"/>
          <w:b w:val="0"/>
          <w:sz w:val="24"/>
          <w:szCs w:val="24"/>
        </w:rPr>
        <w:t xml:space="preserve">On 5 November 2020, APRA released a consultation </w:t>
      </w:r>
      <w:r w:rsidR="00D50254">
        <w:rPr>
          <w:rFonts w:ascii="Times New Roman" w:hAnsi="Times New Roman"/>
          <w:b w:val="0"/>
          <w:sz w:val="24"/>
          <w:szCs w:val="24"/>
        </w:rPr>
        <w:t xml:space="preserve">letter </w:t>
      </w:r>
      <w:r w:rsidR="006B0DD5" w:rsidRPr="00043BBF">
        <w:rPr>
          <w:rFonts w:ascii="Times New Roman" w:hAnsi="Times New Roman"/>
          <w:b w:val="0"/>
          <w:sz w:val="24"/>
          <w:szCs w:val="24"/>
        </w:rPr>
        <w:t xml:space="preserve">proposing </w:t>
      </w:r>
      <w:r w:rsidR="006B0DD5">
        <w:rPr>
          <w:rFonts w:ascii="Times New Roman" w:hAnsi="Times New Roman"/>
          <w:b w:val="0"/>
          <w:sz w:val="24"/>
          <w:szCs w:val="24"/>
        </w:rPr>
        <w:t xml:space="preserve">to </w:t>
      </w:r>
      <w:r w:rsidR="00254731">
        <w:rPr>
          <w:rFonts w:ascii="Times New Roman" w:hAnsi="Times New Roman"/>
          <w:b w:val="0"/>
          <w:sz w:val="24"/>
          <w:szCs w:val="24"/>
        </w:rPr>
        <w:t>collect</w:t>
      </w:r>
      <w:r w:rsidR="00254731" w:rsidRPr="00254731">
        <w:rPr>
          <w:rFonts w:ascii="Times New Roman" w:hAnsi="Times New Roman"/>
          <w:b w:val="0"/>
          <w:sz w:val="24"/>
          <w:szCs w:val="24"/>
        </w:rPr>
        <w:t xml:space="preserve"> </w:t>
      </w:r>
      <w:r w:rsidR="00254731" w:rsidRPr="00D91CD8">
        <w:rPr>
          <w:rFonts w:ascii="Times New Roman" w:hAnsi="Times New Roman"/>
          <w:b w:val="0"/>
          <w:sz w:val="24"/>
          <w:szCs w:val="24"/>
        </w:rPr>
        <w:t>cyber insurance and management liability data</w:t>
      </w:r>
      <w:r w:rsidR="00254731">
        <w:rPr>
          <w:rFonts w:ascii="Times New Roman" w:hAnsi="Times New Roman"/>
          <w:b w:val="0"/>
          <w:sz w:val="24"/>
          <w:szCs w:val="24"/>
        </w:rPr>
        <w:t xml:space="preserve"> within</w:t>
      </w:r>
      <w:r w:rsidR="006B0DD5">
        <w:rPr>
          <w:rFonts w:ascii="Times New Roman" w:hAnsi="Times New Roman"/>
          <w:b w:val="0"/>
          <w:sz w:val="24"/>
          <w:szCs w:val="24"/>
        </w:rPr>
        <w:t xml:space="preserve"> t</w:t>
      </w:r>
      <w:r w:rsidR="00D50254">
        <w:rPr>
          <w:rFonts w:ascii="Times New Roman" w:hAnsi="Times New Roman"/>
          <w:b w:val="0"/>
          <w:sz w:val="24"/>
          <w:szCs w:val="24"/>
        </w:rPr>
        <w:t>he NCPD</w:t>
      </w:r>
      <w:r w:rsidR="006B0DD5">
        <w:rPr>
          <w:rFonts w:ascii="Times New Roman" w:hAnsi="Times New Roman"/>
          <w:b w:val="0"/>
          <w:sz w:val="24"/>
          <w:szCs w:val="24"/>
        </w:rPr>
        <w:t xml:space="preserve"> </w:t>
      </w:r>
      <w:r w:rsidR="00D50254">
        <w:rPr>
          <w:rFonts w:ascii="Times New Roman" w:hAnsi="Times New Roman"/>
          <w:b w:val="0"/>
          <w:sz w:val="24"/>
          <w:szCs w:val="24"/>
        </w:rPr>
        <w:t>as a separate standalone category in place of the collectio</w:t>
      </w:r>
      <w:r w:rsidR="002444C9">
        <w:rPr>
          <w:rFonts w:ascii="Times New Roman" w:hAnsi="Times New Roman"/>
          <w:b w:val="0"/>
          <w:sz w:val="24"/>
          <w:szCs w:val="24"/>
        </w:rPr>
        <w:t xml:space="preserve">n of the data on an aggregated basis </w:t>
      </w:r>
      <w:r w:rsidR="00A15AAC">
        <w:rPr>
          <w:rFonts w:ascii="Times New Roman" w:hAnsi="Times New Roman"/>
          <w:b w:val="0"/>
          <w:sz w:val="24"/>
          <w:szCs w:val="24"/>
        </w:rPr>
        <w:t xml:space="preserve">together </w:t>
      </w:r>
      <w:r w:rsidR="002444C9">
        <w:rPr>
          <w:rFonts w:ascii="Times New Roman" w:hAnsi="Times New Roman"/>
          <w:b w:val="0"/>
          <w:sz w:val="24"/>
          <w:szCs w:val="24"/>
        </w:rPr>
        <w:t>with data on other product classes. The revised collection was proposed to provide the industry and interested parties with better data to a</w:t>
      </w:r>
      <w:r w:rsidR="001C1A07">
        <w:rPr>
          <w:rFonts w:ascii="Times New Roman" w:hAnsi="Times New Roman"/>
          <w:b w:val="0"/>
          <w:sz w:val="24"/>
          <w:szCs w:val="24"/>
        </w:rPr>
        <w:t>ss</w:t>
      </w:r>
      <w:r w:rsidR="002444C9">
        <w:rPr>
          <w:rFonts w:ascii="Times New Roman" w:hAnsi="Times New Roman"/>
          <w:b w:val="0"/>
          <w:sz w:val="24"/>
          <w:szCs w:val="24"/>
        </w:rPr>
        <w:t xml:space="preserve">ess performance and pricing decisions for these products. </w:t>
      </w:r>
      <w:r w:rsidR="006B0DD5" w:rsidRPr="00043BBF">
        <w:rPr>
          <w:rFonts w:ascii="Times New Roman" w:hAnsi="Times New Roman"/>
          <w:b w:val="0"/>
          <w:sz w:val="24"/>
          <w:szCs w:val="24"/>
        </w:rPr>
        <w:t xml:space="preserve">APRA specifically sought submissions on the timing of </w:t>
      </w:r>
      <w:r w:rsidR="002444C9">
        <w:rPr>
          <w:rFonts w:ascii="Times New Roman" w:hAnsi="Times New Roman"/>
          <w:b w:val="0"/>
          <w:sz w:val="24"/>
          <w:szCs w:val="24"/>
        </w:rPr>
        <w:t xml:space="preserve">the </w:t>
      </w:r>
      <w:r w:rsidR="004D617D">
        <w:rPr>
          <w:rFonts w:ascii="Times New Roman" w:hAnsi="Times New Roman"/>
          <w:b w:val="0"/>
          <w:sz w:val="24"/>
          <w:szCs w:val="24"/>
        </w:rPr>
        <w:t xml:space="preserve">revised </w:t>
      </w:r>
      <w:r w:rsidR="006B0DD5" w:rsidRPr="00043BBF">
        <w:rPr>
          <w:rFonts w:ascii="Times New Roman" w:hAnsi="Times New Roman"/>
          <w:b w:val="0"/>
          <w:sz w:val="24"/>
          <w:szCs w:val="24"/>
        </w:rPr>
        <w:t>cyber insurance and management liability data collection, addi</w:t>
      </w:r>
      <w:r w:rsidR="006B0DD5" w:rsidRPr="00AE5711">
        <w:rPr>
          <w:rFonts w:ascii="Times New Roman" w:hAnsi="Times New Roman"/>
          <w:b w:val="0"/>
          <w:sz w:val="24"/>
          <w:szCs w:val="24"/>
        </w:rPr>
        <w:t>tional cause of loss codes, treatment of historical data</w:t>
      </w:r>
      <w:r w:rsidR="008937B0">
        <w:rPr>
          <w:rFonts w:ascii="Times New Roman" w:hAnsi="Times New Roman"/>
          <w:b w:val="0"/>
          <w:sz w:val="24"/>
          <w:szCs w:val="24"/>
        </w:rPr>
        <w:t xml:space="preserve"> and</w:t>
      </w:r>
      <w:r w:rsidR="006B0DD5" w:rsidRPr="00AE5711">
        <w:rPr>
          <w:rFonts w:ascii="Times New Roman" w:hAnsi="Times New Roman"/>
          <w:b w:val="0"/>
          <w:sz w:val="24"/>
          <w:szCs w:val="24"/>
        </w:rPr>
        <w:t xml:space="preserve"> publication of data. APRA released drafts of the reporting standards as part of this consultation.</w:t>
      </w:r>
    </w:p>
    <w:p w14:paraId="763BA9F8" w14:textId="77777777" w:rsidR="006B0DD5" w:rsidRPr="008269B5" w:rsidRDefault="006B0DD5" w:rsidP="006B0DD5">
      <w:pPr>
        <w:pStyle w:val="Heading"/>
        <w:rPr>
          <w:rFonts w:ascii="Times New Roman" w:hAnsi="Times New Roman"/>
          <w:sz w:val="24"/>
          <w:szCs w:val="24"/>
        </w:rPr>
      </w:pPr>
    </w:p>
    <w:p w14:paraId="69F47A77" w14:textId="73645B03" w:rsidR="006B0DD5" w:rsidRDefault="006B0DD5" w:rsidP="006B0DD5">
      <w:pPr>
        <w:jc w:val="both"/>
        <w:rPr>
          <w:rFonts w:ascii="Times New Roman" w:hAnsi="Times New Roman"/>
          <w:sz w:val="24"/>
          <w:szCs w:val="24"/>
        </w:rPr>
      </w:pPr>
      <w:r w:rsidRPr="008269B5">
        <w:rPr>
          <w:rFonts w:ascii="Times New Roman" w:hAnsi="Times New Roman"/>
          <w:sz w:val="24"/>
          <w:szCs w:val="24"/>
        </w:rPr>
        <w:t xml:space="preserve">APRA received one submission from the Insurance Council of Australia on behalf of its members in response to the proposals in </w:t>
      </w:r>
      <w:r w:rsidR="002A000D">
        <w:rPr>
          <w:rFonts w:ascii="Times New Roman" w:hAnsi="Times New Roman"/>
          <w:sz w:val="24"/>
          <w:szCs w:val="24"/>
        </w:rPr>
        <w:t>the consultation letter</w:t>
      </w:r>
      <w:r w:rsidRPr="008269B5">
        <w:rPr>
          <w:rFonts w:ascii="Times New Roman" w:hAnsi="Times New Roman"/>
          <w:sz w:val="24"/>
          <w:szCs w:val="24"/>
        </w:rPr>
        <w:t xml:space="preserve">. </w:t>
      </w:r>
      <w:r>
        <w:rPr>
          <w:rFonts w:ascii="Times New Roman" w:hAnsi="Times New Roman"/>
          <w:sz w:val="24"/>
          <w:szCs w:val="24"/>
        </w:rPr>
        <w:t>The submission supported APRA</w:t>
      </w:r>
      <w:r w:rsidR="00A15AAC">
        <w:rPr>
          <w:rFonts w:ascii="Times New Roman" w:hAnsi="Times New Roman"/>
          <w:sz w:val="24"/>
          <w:szCs w:val="24"/>
        </w:rPr>
        <w:t>’s revised</w:t>
      </w:r>
      <w:r>
        <w:rPr>
          <w:rFonts w:ascii="Times New Roman" w:hAnsi="Times New Roman"/>
          <w:sz w:val="24"/>
          <w:szCs w:val="24"/>
        </w:rPr>
        <w:t xml:space="preserve"> collecti</w:t>
      </w:r>
      <w:r w:rsidR="00A15AAC">
        <w:rPr>
          <w:rFonts w:ascii="Times New Roman" w:hAnsi="Times New Roman"/>
          <w:sz w:val="24"/>
          <w:szCs w:val="24"/>
        </w:rPr>
        <w:t>on of</w:t>
      </w:r>
      <w:r>
        <w:rPr>
          <w:rFonts w:ascii="Times New Roman" w:hAnsi="Times New Roman"/>
          <w:sz w:val="24"/>
          <w:szCs w:val="24"/>
        </w:rPr>
        <w:t xml:space="preserve"> cyber insurance and management liability data, and gave feedback in relation to the timing and scope</w:t>
      </w:r>
      <w:r w:rsidR="0014097C">
        <w:rPr>
          <w:rFonts w:ascii="Times New Roman" w:hAnsi="Times New Roman"/>
          <w:sz w:val="24"/>
          <w:szCs w:val="24"/>
        </w:rPr>
        <w:t>, and use of cause of loss codes as part, of</w:t>
      </w:r>
      <w:r>
        <w:rPr>
          <w:rFonts w:ascii="Times New Roman" w:hAnsi="Times New Roman"/>
          <w:sz w:val="24"/>
          <w:szCs w:val="24"/>
        </w:rPr>
        <w:t xml:space="preserve"> reporting. </w:t>
      </w:r>
    </w:p>
    <w:p w14:paraId="630B0C4F" w14:textId="77777777" w:rsidR="006B0DD5" w:rsidRDefault="006B0DD5" w:rsidP="006B0DD5">
      <w:pPr>
        <w:jc w:val="both"/>
        <w:rPr>
          <w:rFonts w:ascii="Times New Roman" w:hAnsi="Times New Roman"/>
          <w:sz w:val="24"/>
          <w:szCs w:val="24"/>
        </w:rPr>
      </w:pPr>
    </w:p>
    <w:p w14:paraId="3A25C164" w14:textId="1299CD1F" w:rsidR="00207433" w:rsidRPr="008269B5" w:rsidRDefault="00A15AAC" w:rsidP="006B0DD5">
      <w:pPr>
        <w:jc w:val="both"/>
        <w:rPr>
          <w:rFonts w:ascii="Times New Roman" w:hAnsi="Times New Roman"/>
          <w:sz w:val="24"/>
          <w:szCs w:val="24"/>
        </w:rPr>
      </w:pPr>
      <w:r>
        <w:rPr>
          <w:rFonts w:ascii="Times New Roman" w:hAnsi="Times New Roman"/>
          <w:sz w:val="24"/>
          <w:szCs w:val="24"/>
        </w:rPr>
        <w:t>T</w:t>
      </w:r>
      <w:r w:rsidR="00FB706B">
        <w:rPr>
          <w:rFonts w:ascii="Times New Roman" w:hAnsi="Times New Roman"/>
          <w:sz w:val="24"/>
          <w:szCs w:val="24"/>
        </w:rPr>
        <w:t>he revised reporting standards</w:t>
      </w:r>
      <w:r w:rsidR="006B0DD5" w:rsidRPr="008269B5">
        <w:rPr>
          <w:rFonts w:ascii="Times New Roman" w:hAnsi="Times New Roman"/>
          <w:sz w:val="24"/>
          <w:szCs w:val="24"/>
        </w:rPr>
        <w:t xml:space="preserve"> </w:t>
      </w:r>
      <w:r w:rsidR="006B0DD5">
        <w:rPr>
          <w:rFonts w:ascii="Times New Roman" w:hAnsi="Times New Roman"/>
          <w:sz w:val="24"/>
          <w:szCs w:val="24"/>
        </w:rPr>
        <w:t>implement</w:t>
      </w:r>
      <w:r w:rsidR="006B0DD5" w:rsidRPr="008269B5">
        <w:rPr>
          <w:rFonts w:ascii="Times New Roman" w:hAnsi="Times New Roman"/>
          <w:sz w:val="24"/>
          <w:szCs w:val="24"/>
        </w:rPr>
        <w:t xml:space="preserve"> the </w:t>
      </w:r>
      <w:r>
        <w:rPr>
          <w:rFonts w:ascii="Times New Roman" w:hAnsi="Times New Roman"/>
          <w:sz w:val="24"/>
          <w:szCs w:val="24"/>
        </w:rPr>
        <w:t xml:space="preserve">revised </w:t>
      </w:r>
      <w:r w:rsidR="006B0DD5" w:rsidRPr="008269B5">
        <w:rPr>
          <w:rFonts w:ascii="Times New Roman" w:hAnsi="Times New Roman"/>
          <w:sz w:val="24"/>
          <w:szCs w:val="24"/>
        </w:rPr>
        <w:t xml:space="preserve">cyber insurance and management liability data collection </w:t>
      </w:r>
      <w:r>
        <w:rPr>
          <w:rFonts w:ascii="Times New Roman" w:hAnsi="Times New Roman"/>
          <w:sz w:val="24"/>
          <w:szCs w:val="24"/>
        </w:rPr>
        <w:t>within the NCPD</w:t>
      </w:r>
      <w:r w:rsidR="00293723">
        <w:rPr>
          <w:rFonts w:ascii="Times New Roman" w:hAnsi="Times New Roman"/>
          <w:sz w:val="24"/>
          <w:szCs w:val="24"/>
        </w:rPr>
        <w:t>,</w:t>
      </w:r>
      <w:r>
        <w:rPr>
          <w:rFonts w:ascii="Times New Roman" w:hAnsi="Times New Roman"/>
          <w:sz w:val="24"/>
          <w:szCs w:val="24"/>
        </w:rPr>
        <w:t xml:space="preserve"> and includes</w:t>
      </w:r>
      <w:r w:rsidR="006B0DD5" w:rsidRPr="008269B5">
        <w:rPr>
          <w:rFonts w:ascii="Times New Roman" w:hAnsi="Times New Roman"/>
          <w:sz w:val="24"/>
          <w:szCs w:val="24"/>
        </w:rPr>
        <w:t xml:space="preserve"> modifications</w:t>
      </w:r>
      <w:r w:rsidR="00FB706B">
        <w:rPr>
          <w:rFonts w:ascii="Times New Roman" w:hAnsi="Times New Roman"/>
          <w:sz w:val="24"/>
          <w:szCs w:val="24"/>
        </w:rPr>
        <w:t xml:space="preserve"> </w:t>
      </w:r>
      <w:r>
        <w:rPr>
          <w:rFonts w:ascii="Times New Roman" w:hAnsi="Times New Roman"/>
          <w:sz w:val="24"/>
          <w:szCs w:val="24"/>
        </w:rPr>
        <w:t xml:space="preserve">to the draft versions </w:t>
      </w:r>
      <w:r w:rsidR="00293723">
        <w:rPr>
          <w:rFonts w:ascii="Times New Roman" w:hAnsi="Times New Roman"/>
          <w:sz w:val="24"/>
          <w:szCs w:val="24"/>
        </w:rPr>
        <w:t xml:space="preserve">of the reporting standards </w:t>
      </w:r>
      <w:r>
        <w:rPr>
          <w:rFonts w:ascii="Times New Roman" w:hAnsi="Times New Roman"/>
          <w:sz w:val="24"/>
          <w:szCs w:val="24"/>
        </w:rPr>
        <w:t>released as part of APRA’s consultation</w:t>
      </w:r>
      <w:r w:rsidR="00EE071F">
        <w:rPr>
          <w:rFonts w:ascii="Times New Roman" w:hAnsi="Times New Roman"/>
          <w:sz w:val="24"/>
          <w:szCs w:val="24"/>
        </w:rPr>
        <w:t>,</w:t>
      </w:r>
      <w:r>
        <w:rPr>
          <w:rFonts w:ascii="Times New Roman" w:hAnsi="Times New Roman"/>
          <w:sz w:val="24"/>
          <w:szCs w:val="24"/>
        </w:rPr>
        <w:t xml:space="preserve"> </w:t>
      </w:r>
      <w:r w:rsidR="00EE071F">
        <w:rPr>
          <w:rFonts w:ascii="Times New Roman" w:hAnsi="Times New Roman"/>
          <w:sz w:val="24"/>
          <w:szCs w:val="24"/>
        </w:rPr>
        <w:t xml:space="preserve">which modifications were made </w:t>
      </w:r>
      <w:r w:rsidR="00FB706B">
        <w:rPr>
          <w:rFonts w:ascii="Times New Roman" w:hAnsi="Times New Roman"/>
          <w:sz w:val="24"/>
          <w:szCs w:val="24"/>
        </w:rPr>
        <w:t xml:space="preserve">to take into </w:t>
      </w:r>
      <w:r>
        <w:rPr>
          <w:rFonts w:ascii="Times New Roman" w:hAnsi="Times New Roman"/>
          <w:sz w:val="24"/>
          <w:szCs w:val="24"/>
        </w:rPr>
        <w:t>account</w:t>
      </w:r>
      <w:r w:rsidR="00FB706B" w:rsidRPr="008269B5">
        <w:rPr>
          <w:rFonts w:ascii="Times New Roman" w:hAnsi="Times New Roman"/>
          <w:sz w:val="24"/>
          <w:szCs w:val="24"/>
        </w:rPr>
        <w:t xml:space="preserve"> the submission</w:t>
      </w:r>
      <w:r w:rsidR="00293723">
        <w:rPr>
          <w:rFonts w:ascii="Times New Roman" w:hAnsi="Times New Roman"/>
          <w:sz w:val="24"/>
          <w:szCs w:val="24"/>
        </w:rPr>
        <w:t xml:space="preserve"> received in response to consultation</w:t>
      </w:r>
      <w:r>
        <w:rPr>
          <w:rFonts w:ascii="Times New Roman" w:hAnsi="Times New Roman"/>
          <w:sz w:val="24"/>
          <w:szCs w:val="24"/>
        </w:rPr>
        <w:t>.</w:t>
      </w:r>
    </w:p>
    <w:p w14:paraId="2B1D5076" w14:textId="77777777" w:rsidR="00AC017F" w:rsidRDefault="00AC017F" w:rsidP="00E93BE0">
      <w:pPr>
        <w:jc w:val="both"/>
      </w:pPr>
    </w:p>
    <w:p w14:paraId="53D8EB30" w14:textId="6CE86952" w:rsidR="002436BD"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1"/>
    <w:p w14:paraId="4498C20F" w14:textId="3FB88088" w:rsidR="00D3484E" w:rsidRDefault="00D3484E" w:rsidP="001A2234">
      <w:pPr>
        <w:pStyle w:val="Heading"/>
        <w:spacing w:after="240"/>
        <w:rPr>
          <w:rFonts w:ascii="Times New Roman" w:hAnsi="Times New Roman"/>
          <w:b w:val="0"/>
          <w:sz w:val="24"/>
          <w:szCs w:val="24"/>
        </w:rPr>
      </w:pPr>
      <w:r w:rsidRPr="00D3484E">
        <w:rPr>
          <w:rFonts w:ascii="Times New Roman" w:hAnsi="Times New Roman"/>
          <w:b w:val="0"/>
          <w:sz w:val="24"/>
          <w:szCs w:val="24"/>
        </w:rPr>
        <w:t xml:space="preserve">The Office of Best Practice Regulation </w:t>
      </w:r>
      <w:r>
        <w:rPr>
          <w:rFonts w:ascii="Times New Roman" w:hAnsi="Times New Roman"/>
          <w:b w:val="0"/>
          <w:sz w:val="24"/>
          <w:szCs w:val="24"/>
        </w:rPr>
        <w:t>h</w:t>
      </w:r>
      <w:r w:rsidRPr="00D3484E">
        <w:rPr>
          <w:rFonts w:ascii="Times New Roman" w:hAnsi="Times New Roman"/>
          <w:b w:val="0"/>
          <w:sz w:val="24"/>
          <w:szCs w:val="24"/>
        </w:rPr>
        <w:t xml:space="preserve">as advised that a Regulation Impact Statement </w:t>
      </w:r>
      <w:r>
        <w:rPr>
          <w:rFonts w:ascii="Times New Roman" w:hAnsi="Times New Roman"/>
          <w:b w:val="0"/>
          <w:sz w:val="24"/>
          <w:szCs w:val="24"/>
        </w:rPr>
        <w:t>is not required for th</w:t>
      </w:r>
      <w:r w:rsidR="00F841D8">
        <w:rPr>
          <w:rFonts w:ascii="Times New Roman" w:hAnsi="Times New Roman"/>
          <w:b w:val="0"/>
          <w:sz w:val="24"/>
          <w:szCs w:val="24"/>
        </w:rPr>
        <w:t>e</w:t>
      </w:r>
      <w:r>
        <w:rPr>
          <w:rFonts w:ascii="Times New Roman" w:hAnsi="Times New Roman"/>
          <w:b w:val="0"/>
          <w:sz w:val="24"/>
          <w:szCs w:val="24"/>
        </w:rPr>
        <w:t xml:space="preserve"> instrument</w:t>
      </w:r>
      <w:r w:rsidR="00F841D8">
        <w:rPr>
          <w:rFonts w:ascii="Times New Roman" w:hAnsi="Times New Roman"/>
          <w:b w:val="0"/>
          <w:sz w:val="24"/>
          <w:szCs w:val="24"/>
        </w:rPr>
        <w:t>s</w:t>
      </w:r>
      <w:r w:rsidRPr="00D3484E">
        <w:rPr>
          <w:rFonts w:ascii="Times New Roman" w:hAnsi="Times New Roman"/>
          <w:b w:val="0"/>
          <w:sz w:val="24"/>
          <w:szCs w:val="24"/>
        </w:rPr>
        <w:t>.</w:t>
      </w:r>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C7D4631" w14:textId="12A7D9C2" w:rsidR="00B04B20"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6E2B9AC" w14:textId="77777777" w:rsidR="00F62307" w:rsidRDefault="00F62307" w:rsidP="001A2234">
      <w:pPr>
        <w:pStyle w:val="Heading"/>
        <w:spacing w:after="240"/>
        <w:sectPr w:rsidR="00F62307" w:rsidSect="003D5032">
          <w:footerReference w:type="default" r:id="rId14"/>
          <w:pgSz w:w="11906" w:h="16838" w:code="9"/>
          <w:pgMar w:top="1440" w:right="1800" w:bottom="1440" w:left="1800" w:header="709" w:footer="709" w:gutter="0"/>
          <w:cols w:space="708"/>
          <w:docGrid w:linePitch="360"/>
        </w:sectPr>
      </w:pPr>
    </w:p>
    <w:p w14:paraId="045800ED" w14:textId="77777777" w:rsidR="00A02429" w:rsidRPr="00F510E0" w:rsidRDefault="00A02429" w:rsidP="00A02429">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3F283D32" w14:textId="77777777" w:rsidR="00A02429" w:rsidRPr="00F510E0" w:rsidRDefault="00A02429" w:rsidP="00A02429">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b/>
          <w:bCs/>
          <w:sz w:val="24"/>
          <w:szCs w:val="24"/>
        </w:rPr>
        <w:t>Statement of Compatibility with Human Rights</w:t>
      </w:r>
    </w:p>
    <w:p w14:paraId="05C06A61" w14:textId="77777777" w:rsidR="00A02429" w:rsidRPr="00F510E0" w:rsidRDefault="00A02429" w:rsidP="00A02429">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sz w:val="24"/>
          <w:szCs w:val="24"/>
        </w:rPr>
        <w:t xml:space="preserve">Prepared in accordance with Part 3 of the </w:t>
      </w:r>
      <w:r w:rsidRPr="00F510E0">
        <w:rPr>
          <w:rFonts w:ascii="Times New Roman" w:hAnsi="Times New Roman"/>
          <w:i/>
          <w:iCs/>
          <w:sz w:val="24"/>
          <w:szCs w:val="24"/>
        </w:rPr>
        <w:t>Human Rights (Parliamentary Scrutiny) Act 2011</w:t>
      </w:r>
    </w:p>
    <w:p w14:paraId="41BDBC17" w14:textId="35108BC9" w:rsidR="00A02429" w:rsidRPr="002C6D26" w:rsidRDefault="00A02429" w:rsidP="00AA2E32">
      <w:pPr>
        <w:pStyle w:val="Heading"/>
        <w:spacing w:after="240"/>
        <w:jc w:val="center"/>
        <w:rPr>
          <w:rFonts w:ascii="Times New Roman" w:hAnsi="Times New Roman"/>
          <w:sz w:val="24"/>
          <w:szCs w:val="24"/>
        </w:rPr>
      </w:pPr>
      <w:r w:rsidRPr="00134D2D">
        <w:rPr>
          <w:rFonts w:ascii="Times New Roman" w:hAnsi="Times New Roman"/>
          <w:sz w:val="24"/>
          <w:szCs w:val="24"/>
        </w:rPr>
        <w:t>Financial Sector (Collection of Data) (reporting standard) determinations No</w:t>
      </w:r>
      <w:r>
        <w:rPr>
          <w:rFonts w:ascii="Times New Roman" w:hAnsi="Times New Roman"/>
          <w:sz w:val="24"/>
          <w:szCs w:val="24"/>
        </w:rPr>
        <w:t>s</w:t>
      </w:r>
      <w:r w:rsidRPr="00134D2D">
        <w:rPr>
          <w:rFonts w:ascii="Times New Roman" w:hAnsi="Times New Roman"/>
          <w:sz w:val="24"/>
          <w:szCs w:val="24"/>
        </w:rPr>
        <w:t xml:space="preserve">. </w:t>
      </w:r>
      <w:r w:rsidR="00F841D8">
        <w:rPr>
          <w:rFonts w:ascii="Times New Roman" w:hAnsi="Times New Roman"/>
          <w:sz w:val="24"/>
          <w:szCs w:val="24"/>
        </w:rPr>
        <w:t>1</w:t>
      </w:r>
      <w:r>
        <w:rPr>
          <w:rFonts w:ascii="Times New Roman" w:hAnsi="Times New Roman"/>
          <w:sz w:val="24"/>
          <w:szCs w:val="24"/>
        </w:rPr>
        <w:t xml:space="preserve"> to </w:t>
      </w:r>
      <w:r w:rsidR="00F841D8">
        <w:rPr>
          <w:rFonts w:ascii="Times New Roman" w:hAnsi="Times New Roman"/>
          <w:sz w:val="24"/>
          <w:szCs w:val="24"/>
        </w:rPr>
        <w:t>6</w:t>
      </w:r>
      <w:r w:rsidRPr="00134D2D">
        <w:rPr>
          <w:rFonts w:ascii="Times New Roman" w:hAnsi="Times New Roman"/>
          <w:sz w:val="24"/>
          <w:szCs w:val="24"/>
        </w:rPr>
        <w:t xml:space="preserve"> </w:t>
      </w:r>
      <w:r>
        <w:rPr>
          <w:rFonts w:ascii="Times New Roman" w:hAnsi="Times New Roman"/>
          <w:sz w:val="24"/>
          <w:szCs w:val="24"/>
        </w:rPr>
        <w:t>of 20</w:t>
      </w:r>
      <w:r w:rsidR="00F841D8">
        <w:rPr>
          <w:rFonts w:ascii="Times New Roman" w:hAnsi="Times New Roman"/>
          <w:sz w:val="24"/>
          <w:szCs w:val="24"/>
        </w:rPr>
        <w:t>21</w:t>
      </w:r>
    </w:p>
    <w:p w14:paraId="26E5A8AE" w14:textId="01175A10" w:rsidR="00A02429" w:rsidRPr="00F510E0" w:rsidRDefault="00A02429" w:rsidP="00A02429">
      <w:pPr>
        <w:shd w:val="clear" w:color="auto" w:fill="FFFFFF"/>
        <w:spacing w:after="240"/>
        <w:jc w:val="both"/>
        <w:rPr>
          <w:rFonts w:ascii="Times New Roman" w:hAnsi="Times New Roman"/>
          <w:sz w:val="24"/>
          <w:szCs w:val="24"/>
          <w:lang w:val="en-US"/>
        </w:rPr>
      </w:pPr>
      <w:r w:rsidRPr="00F510E0">
        <w:rPr>
          <w:rFonts w:ascii="Times New Roman" w:hAnsi="Times New Roman"/>
          <w:sz w:val="24"/>
          <w:szCs w:val="24"/>
        </w:rPr>
        <w:t>The legislative instrument</w:t>
      </w:r>
      <w:r>
        <w:rPr>
          <w:rFonts w:ascii="Times New Roman" w:hAnsi="Times New Roman"/>
          <w:sz w:val="24"/>
          <w:szCs w:val="24"/>
        </w:rPr>
        <w:t>s</w:t>
      </w:r>
      <w:r w:rsidRPr="00F510E0">
        <w:rPr>
          <w:rFonts w:ascii="Times New Roman" w:hAnsi="Times New Roman"/>
          <w:sz w:val="24"/>
          <w:szCs w:val="24"/>
        </w:rPr>
        <w:t xml:space="preserve"> </w:t>
      </w:r>
      <w:r>
        <w:rPr>
          <w:rFonts w:ascii="Times New Roman" w:hAnsi="Times New Roman"/>
          <w:sz w:val="24"/>
          <w:szCs w:val="24"/>
        </w:rPr>
        <w:t>are</w:t>
      </w:r>
      <w:r w:rsidRPr="00F510E0">
        <w:rPr>
          <w:rFonts w:ascii="Times New Roman" w:hAnsi="Times New Roman"/>
          <w:sz w:val="24"/>
          <w:szCs w:val="24"/>
        </w:rPr>
        <w:t xml:space="preserve"> compatible with the human rights and freedoms recognised or declared in the international instrument</w:t>
      </w:r>
      <w:r w:rsidR="00C63D40">
        <w:rPr>
          <w:rFonts w:ascii="Times New Roman" w:hAnsi="Times New Roman"/>
          <w:sz w:val="24"/>
          <w:szCs w:val="24"/>
        </w:rPr>
        <w:t>s</w:t>
      </w:r>
      <w:r w:rsidRPr="00F510E0">
        <w:rPr>
          <w:rFonts w:ascii="Times New Roman" w:hAnsi="Times New Roman"/>
          <w:sz w:val="24"/>
          <w:szCs w:val="24"/>
        </w:rPr>
        <w:t xml:space="preserve"> listed in section 3 of the </w:t>
      </w:r>
      <w:r w:rsidRPr="00F510E0">
        <w:rPr>
          <w:rFonts w:ascii="Times New Roman" w:hAnsi="Times New Roman"/>
          <w:i/>
          <w:iCs/>
          <w:sz w:val="24"/>
          <w:szCs w:val="24"/>
        </w:rPr>
        <w:t>Human Rights (Parliamentary Scrutiny) Act 2011</w:t>
      </w:r>
      <w:r w:rsidRPr="00F510E0">
        <w:rPr>
          <w:rFonts w:ascii="Times New Roman" w:hAnsi="Times New Roman"/>
          <w:sz w:val="24"/>
          <w:szCs w:val="24"/>
        </w:rPr>
        <w:t xml:space="preserve"> (HRPS Act).</w:t>
      </w:r>
    </w:p>
    <w:p w14:paraId="5384EB62" w14:textId="77777777" w:rsidR="00A02429" w:rsidRPr="00F510E0" w:rsidRDefault="00A02429" w:rsidP="00A02429">
      <w:pPr>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Overview of the Legislative Instrument</w:t>
      </w:r>
      <w:r>
        <w:rPr>
          <w:rFonts w:ascii="Times New Roman" w:hAnsi="Times New Roman"/>
          <w:b/>
          <w:bCs/>
          <w:sz w:val="24"/>
          <w:szCs w:val="24"/>
        </w:rPr>
        <w:t>s</w:t>
      </w:r>
    </w:p>
    <w:p w14:paraId="71F03AC3" w14:textId="5AE02D51" w:rsidR="00A02429" w:rsidRDefault="00A02429" w:rsidP="00A02429">
      <w:pPr>
        <w:spacing w:after="240"/>
        <w:jc w:val="both"/>
        <w:rPr>
          <w:rFonts w:ascii="Times New Roman" w:hAnsi="Times New Roman"/>
          <w:sz w:val="24"/>
          <w:szCs w:val="24"/>
        </w:rPr>
      </w:pPr>
      <w:r w:rsidRPr="00F510E0">
        <w:rPr>
          <w:rFonts w:ascii="Times New Roman" w:hAnsi="Times New Roman"/>
          <w:sz w:val="24"/>
          <w:szCs w:val="24"/>
        </w:rPr>
        <w:t xml:space="preserve">The purpose of the </w:t>
      </w:r>
      <w:r w:rsidR="006B0658">
        <w:rPr>
          <w:rFonts w:ascii="Times New Roman" w:hAnsi="Times New Roman"/>
          <w:sz w:val="24"/>
          <w:szCs w:val="24"/>
        </w:rPr>
        <w:t xml:space="preserve">legislative </w:t>
      </w:r>
      <w:r w:rsidRPr="00F510E0">
        <w:rPr>
          <w:rFonts w:ascii="Times New Roman" w:hAnsi="Times New Roman"/>
          <w:sz w:val="24"/>
          <w:szCs w:val="24"/>
        </w:rPr>
        <w:t>instrument</w:t>
      </w:r>
      <w:r>
        <w:rPr>
          <w:rFonts w:ascii="Times New Roman" w:hAnsi="Times New Roman"/>
          <w:sz w:val="24"/>
          <w:szCs w:val="24"/>
        </w:rPr>
        <w:t>s</w:t>
      </w:r>
      <w:r w:rsidRPr="00F510E0">
        <w:rPr>
          <w:rFonts w:ascii="Times New Roman" w:hAnsi="Times New Roman"/>
          <w:sz w:val="24"/>
          <w:szCs w:val="24"/>
        </w:rPr>
        <w:t xml:space="preserve"> is to make </w:t>
      </w:r>
      <w:r>
        <w:rPr>
          <w:rFonts w:ascii="Times New Roman" w:hAnsi="Times New Roman"/>
          <w:sz w:val="24"/>
          <w:szCs w:val="24"/>
        </w:rPr>
        <w:t xml:space="preserve">revised: </w:t>
      </w:r>
    </w:p>
    <w:p w14:paraId="313DA0C2" w14:textId="4ACC6504" w:rsidR="00A02429" w:rsidRPr="00A02429" w:rsidRDefault="00B80C83" w:rsidP="00A02429">
      <w:pPr>
        <w:pStyle w:val="ListParagraph"/>
        <w:numPr>
          <w:ilvl w:val="0"/>
          <w:numId w:val="8"/>
        </w:numPr>
        <w:spacing w:after="240"/>
        <w:jc w:val="both"/>
        <w:rPr>
          <w:rFonts w:ascii="Times New Roman" w:hAnsi="Times New Roman"/>
          <w:i/>
          <w:sz w:val="24"/>
          <w:szCs w:val="24"/>
        </w:rPr>
      </w:pPr>
      <w:r w:rsidRPr="000B14BD">
        <w:rPr>
          <w:rFonts w:ascii="Times New Roman" w:hAnsi="Times New Roman"/>
          <w:i/>
          <w:sz w:val="24"/>
          <w:szCs w:val="24"/>
        </w:rPr>
        <w:t xml:space="preserve">Reporting Standard </w:t>
      </w:r>
      <w:r w:rsidRPr="008269B5">
        <w:rPr>
          <w:rFonts w:ascii="Times New Roman" w:hAnsi="Times New Roman"/>
          <w:i/>
          <w:sz w:val="24"/>
          <w:szCs w:val="24"/>
        </w:rPr>
        <w:t>GRS 800.1 Policy Data: Public and Product Liability and Professional Indemnity Insurance</w:t>
      </w:r>
      <w:r w:rsidR="00DD31BE">
        <w:rPr>
          <w:rFonts w:ascii="Times New Roman" w:hAnsi="Times New Roman"/>
          <w:i/>
          <w:sz w:val="24"/>
          <w:szCs w:val="24"/>
        </w:rPr>
        <w:t xml:space="preserve"> </w:t>
      </w:r>
      <w:r w:rsidR="00DD31BE">
        <w:rPr>
          <w:rFonts w:ascii="Times New Roman" w:hAnsi="Times New Roman"/>
          <w:sz w:val="24"/>
          <w:szCs w:val="24"/>
        </w:rPr>
        <w:t>(GRS 800.1)</w:t>
      </w:r>
      <w:r w:rsidR="00A02429">
        <w:rPr>
          <w:rFonts w:ascii="Times New Roman" w:hAnsi="Times New Roman"/>
          <w:sz w:val="24"/>
          <w:szCs w:val="24"/>
        </w:rPr>
        <w:t>;</w:t>
      </w:r>
    </w:p>
    <w:p w14:paraId="23D444D3" w14:textId="65F79C30" w:rsidR="00A02429" w:rsidRPr="00A02429" w:rsidRDefault="00DD31BE" w:rsidP="0006547C">
      <w:pPr>
        <w:pStyle w:val="ListParagraph"/>
        <w:numPr>
          <w:ilvl w:val="0"/>
          <w:numId w:val="8"/>
        </w:numPr>
        <w:spacing w:after="240"/>
        <w:jc w:val="both"/>
        <w:rPr>
          <w:rFonts w:ascii="Times New Roman" w:hAnsi="Times New Roman"/>
          <w:sz w:val="24"/>
          <w:szCs w:val="24"/>
        </w:rPr>
      </w:pPr>
      <w:r w:rsidRPr="000B14BD">
        <w:rPr>
          <w:rFonts w:ascii="Times New Roman" w:hAnsi="Times New Roman"/>
          <w:i/>
          <w:sz w:val="24"/>
          <w:szCs w:val="24"/>
        </w:rPr>
        <w:t xml:space="preserve">Reporting Standard </w:t>
      </w:r>
      <w:r w:rsidRPr="008269B5">
        <w:rPr>
          <w:rFonts w:ascii="Times New Roman" w:hAnsi="Times New Roman"/>
          <w:i/>
          <w:sz w:val="24"/>
          <w:szCs w:val="24"/>
        </w:rPr>
        <w:t xml:space="preserve">GRS 800.2 Claim Data: Public and Product Liability and Professional Indemnity Insurance </w:t>
      </w:r>
      <w:r w:rsidRPr="00315B65">
        <w:rPr>
          <w:rFonts w:ascii="Times New Roman" w:hAnsi="Times New Roman"/>
          <w:sz w:val="24"/>
          <w:szCs w:val="24"/>
        </w:rPr>
        <w:t>(GRS 800.2)</w:t>
      </w:r>
      <w:r w:rsidR="00A02429" w:rsidRPr="00A02429">
        <w:rPr>
          <w:rFonts w:ascii="Times New Roman" w:hAnsi="Times New Roman"/>
          <w:sz w:val="24"/>
          <w:szCs w:val="24"/>
        </w:rPr>
        <w:t>;</w:t>
      </w:r>
      <w:r w:rsidR="00A02429" w:rsidRPr="00A02429">
        <w:rPr>
          <w:rFonts w:ascii="Times New Roman" w:hAnsi="Times New Roman"/>
          <w:i/>
          <w:sz w:val="24"/>
          <w:szCs w:val="24"/>
        </w:rPr>
        <w:t xml:space="preserve"> </w:t>
      </w:r>
    </w:p>
    <w:p w14:paraId="686A45B2" w14:textId="6EEBBA7B" w:rsidR="00A02429" w:rsidRDefault="00DD31BE" w:rsidP="0006547C">
      <w:pPr>
        <w:pStyle w:val="ListParagraph"/>
        <w:numPr>
          <w:ilvl w:val="0"/>
          <w:numId w:val="8"/>
        </w:numPr>
        <w:spacing w:after="240"/>
        <w:jc w:val="both"/>
        <w:rPr>
          <w:rFonts w:ascii="Times New Roman" w:hAnsi="Times New Roman"/>
          <w:sz w:val="24"/>
          <w:szCs w:val="24"/>
        </w:rPr>
      </w:pPr>
      <w:r w:rsidRPr="000B14BD">
        <w:rPr>
          <w:rFonts w:ascii="Times New Roman" w:hAnsi="Times New Roman"/>
          <w:i/>
          <w:sz w:val="24"/>
          <w:szCs w:val="24"/>
        </w:rPr>
        <w:t xml:space="preserve">Reporting Standard </w:t>
      </w:r>
      <w:r w:rsidRPr="006F22AD">
        <w:rPr>
          <w:rFonts w:ascii="Times New Roman" w:hAnsi="Times New Roman"/>
          <w:i/>
          <w:sz w:val="24"/>
          <w:szCs w:val="24"/>
        </w:rPr>
        <w:t xml:space="preserve">GRS 800.3 Facility Business Data: Public and Product Liability and Professional Indemnity Insurance </w:t>
      </w:r>
      <w:r w:rsidRPr="008269B5">
        <w:rPr>
          <w:rFonts w:ascii="Times New Roman" w:hAnsi="Times New Roman"/>
          <w:sz w:val="24"/>
          <w:szCs w:val="24"/>
        </w:rPr>
        <w:t>(GRS 800.3)</w:t>
      </w:r>
      <w:r w:rsidR="00A02429">
        <w:rPr>
          <w:rFonts w:ascii="Times New Roman" w:hAnsi="Times New Roman"/>
          <w:sz w:val="24"/>
          <w:szCs w:val="24"/>
        </w:rPr>
        <w:t>;</w:t>
      </w:r>
    </w:p>
    <w:p w14:paraId="5E49ADEA" w14:textId="054676F0" w:rsidR="00A02429" w:rsidRDefault="00DD31BE" w:rsidP="0006547C">
      <w:pPr>
        <w:pStyle w:val="ListParagraph"/>
        <w:numPr>
          <w:ilvl w:val="0"/>
          <w:numId w:val="8"/>
        </w:numPr>
        <w:spacing w:after="240"/>
        <w:jc w:val="both"/>
        <w:rPr>
          <w:rFonts w:ascii="Times New Roman" w:hAnsi="Times New Roman"/>
          <w:sz w:val="24"/>
          <w:szCs w:val="24"/>
        </w:rPr>
      </w:pPr>
      <w:r w:rsidRPr="006F22AD">
        <w:rPr>
          <w:rFonts w:ascii="Times New Roman" w:hAnsi="Times New Roman"/>
          <w:i/>
          <w:sz w:val="24"/>
          <w:szCs w:val="24"/>
        </w:rPr>
        <w:t xml:space="preserve">Reporting Standard LOLRS 800.1 Policy Data: Public and Product Liability and Professional Indemnity Insurance </w:t>
      </w:r>
      <w:r w:rsidRPr="008269B5">
        <w:rPr>
          <w:rFonts w:ascii="Times New Roman" w:hAnsi="Times New Roman"/>
          <w:sz w:val="24"/>
          <w:szCs w:val="24"/>
        </w:rPr>
        <w:t>(LOLRS 800.1)</w:t>
      </w:r>
      <w:r w:rsidR="00A02429">
        <w:rPr>
          <w:rFonts w:ascii="Times New Roman" w:hAnsi="Times New Roman"/>
          <w:sz w:val="24"/>
          <w:szCs w:val="24"/>
        </w:rPr>
        <w:t>;</w:t>
      </w:r>
    </w:p>
    <w:p w14:paraId="4F7257A8" w14:textId="1AA074FD" w:rsidR="00A02429" w:rsidRDefault="00DD31BE" w:rsidP="00A02429">
      <w:pPr>
        <w:pStyle w:val="ListParagraph"/>
        <w:numPr>
          <w:ilvl w:val="0"/>
          <w:numId w:val="8"/>
        </w:numPr>
        <w:spacing w:after="240"/>
        <w:jc w:val="both"/>
        <w:rPr>
          <w:rFonts w:ascii="Times New Roman" w:hAnsi="Times New Roman"/>
          <w:sz w:val="24"/>
          <w:szCs w:val="24"/>
        </w:rPr>
      </w:pPr>
      <w:r w:rsidRPr="000B14BD">
        <w:rPr>
          <w:rFonts w:ascii="Times New Roman" w:hAnsi="Times New Roman"/>
          <w:i/>
          <w:sz w:val="24"/>
          <w:szCs w:val="24"/>
        </w:rPr>
        <w:t xml:space="preserve">Reporting Standard </w:t>
      </w:r>
      <w:r w:rsidRPr="006F22AD">
        <w:rPr>
          <w:rFonts w:ascii="Times New Roman" w:hAnsi="Times New Roman"/>
          <w:i/>
          <w:sz w:val="24"/>
          <w:szCs w:val="24"/>
        </w:rPr>
        <w:t>LOLRS 800.2 Claim</w:t>
      </w:r>
      <w:r w:rsidR="002A7C1F">
        <w:rPr>
          <w:rFonts w:ascii="Times New Roman" w:hAnsi="Times New Roman"/>
          <w:i/>
          <w:sz w:val="24"/>
          <w:szCs w:val="24"/>
        </w:rPr>
        <w:t xml:space="preserve"> </w:t>
      </w:r>
      <w:r w:rsidRPr="006F22AD">
        <w:rPr>
          <w:rFonts w:ascii="Times New Roman" w:hAnsi="Times New Roman"/>
          <w:i/>
          <w:sz w:val="24"/>
          <w:szCs w:val="24"/>
        </w:rPr>
        <w:t xml:space="preserve">Data: Public and Product Liability and Professional Indemnity Insurance </w:t>
      </w:r>
      <w:r w:rsidRPr="008269B5">
        <w:rPr>
          <w:rFonts w:ascii="Times New Roman" w:hAnsi="Times New Roman"/>
          <w:sz w:val="24"/>
          <w:szCs w:val="24"/>
        </w:rPr>
        <w:t>(LOLRS 800.2)</w:t>
      </w:r>
      <w:r w:rsidR="00A02429">
        <w:rPr>
          <w:rFonts w:ascii="Times New Roman" w:hAnsi="Times New Roman"/>
          <w:sz w:val="24"/>
          <w:szCs w:val="24"/>
        </w:rPr>
        <w:t>; and</w:t>
      </w:r>
    </w:p>
    <w:p w14:paraId="482B70AE" w14:textId="3198BB3C" w:rsidR="00A02429" w:rsidRPr="00A02429" w:rsidRDefault="00DD31BE" w:rsidP="00A02429">
      <w:pPr>
        <w:pStyle w:val="ListParagraph"/>
        <w:numPr>
          <w:ilvl w:val="0"/>
          <w:numId w:val="8"/>
        </w:numPr>
        <w:spacing w:after="240"/>
        <w:jc w:val="both"/>
        <w:rPr>
          <w:rFonts w:ascii="Times New Roman" w:hAnsi="Times New Roman"/>
          <w:sz w:val="24"/>
          <w:szCs w:val="24"/>
        </w:rPr>
      </w:pPr>
      <w:r w:rsidRPr="000B14BD">
        <w:rPr>
          <w:rFonts w:ascii="Times New Roman" w:hAnsi="Times New Roman"/>
          <w:i/>
          <w:sz w:val="24"/>
          <w:szCs w:val="24"/>
        </w:rPr>
        <w:t xml:space="preserve">Reporting Standard </w:t>
      </w:r>
      <w:r w:rsidRPr="006F22AD">
        <w:rPr>
          <w:rFonts w:ascii="Times New Roman" w:hAnsi="Times New Roman"/>
          <w:i/>
          <w:sz w:val="24"/>
          <w:szCs w:val="24"/>
        </w:rPr>
        <w:t xml:space="preserve">LOLRS 800.3 Facility Business Data: Public and Product Liability and Professional Indemnity Insurance </w:t>
      </w:r>
      <w:r w:rsidRPr="008269B5">
        <w:rPr>
          <w:rFonts w:ascii="Times New Roman" w:hAnsi="Times New Roman"/>
          <w:sz w:val="24"/>
          <w:szCs w:val="24"/>
        </w:rPr>
        <w:t>(LOLRS 800.3)</w:t>
      </w:r>
      <w:r w:rsidR="0031421E">
        <w:rPr>
          <w:rFonts w:ascii="Times New Roman" w:hAnsi="Times New Roman"/>
          <w:sz w:val="24"/>
          <w:szCs w:val="24"/>
        </w:rPr>
        <w:t>.</w:t>
      </w:r>
    </w:p>
    <w:p w14:paraId="401EE22B" w14:textId="6F0CE63D" w:rsidR="00A02429" w:rsidRPr="00F841D8" w:rsidRDefault="0031421E" w:rsidP="00A02429">
      <w:pPr>
        <w:spacing w:after="240"/>
        <w:jc w:val="both"/>
        <w:rPr>
          <w:rFonts w:ascii="Times New Roman" w:hAnsi="Times New Roman"/>
          <w:sz w:val="24"/>
          <w:szCs w:val="24"/>
        </w:rPr>
      </w:pPr>
      <w:r w:rsidRPr="00F841D8">
        <w:rPr>
          <w:rFonts w:ascii="Times New Roman" w:hAnsi="Times New Roman"/>
          <w:sz w:val="24"/>
          <w:szCs w:val="24"/>
        </w:rPr>
        <w:t xml:space="preserve">The </w:t>
      </w:r>
      <w:r w:rsidR="006B0658">
        <w:rPr>
          <w:rFonts w:ascii="Times New Roman" w:hAnsi="Times New Roman"/>
          <w:sz w:val="24"/>
          <w:szCs w:val="24"/>
        </w:rPr>
        <w:t xml:space="preserve">legislative </w:t>
      </w:r>
      <w:r w:rsidRPr="00F841D8">
        <w:rPr>
          <w:rFonts w:ascii="Times New Roman" w:hAnsi="Times New Roman"/>
          <w:sz w:val="24"/>
          <w:szCs w:val="24"/>
        </w:rPr>
        <w:t>instruments determine reporting standards which apply to general insurers and Lloyd’s</w:t>
      </w:r>
      <w:r w:rsidR="00F841D8" w:rsidRPr="00F841D8">
        <w:rPr>
          <w:rFonts w:ascii="Times New Roman" w:hAnsi="Times New Roman"/>
          <w:sz w:val="24"/>
          <w:szCs w:val="24"/>
        </w:rPr>
        <w:t>.</w:t>
      </w:r>
    </w:p>
    <w:p w14:paraId="165B3130" w14:textId="3DAF0300" w:rsidR="00A02429" w:rsidRPr="00F841D8" w:rsidRDefault="00220EB0" w:rsidP="00A02429">
      <w:pPr>
        <w:spacing w:after="240"/>
        <w:jc w:val="both"/>
        <w:rPr>
          <w:rFonts w:ascii="Times New Roman" w:hAnsi="Times New Roman"/>
          <w:sz w:val="24"/>
          <w:szCs w:val="24"/>
        </w:rPr>
      </w:pPr>
      <w:r w:rsidRPr="00F841D8">
        <w:rPr>
          <w:rFonts w:ascii="Times New Roman" w:hAnsi="Times New Roman"/>
          <w:sz w:val="24"/>
          <w:szCs w:val="24"/>
        </w:rPr>
        <w:t>GRS 800.1,</w:t>
      </w:r>
      <w:r w:rsidR="00537D33" w:rsidRPr="00F841D8">
        <w:rPr>
          <w:rFonts w:ascii="Times New Roman" w:hAnsi="Times New Roman"/>
          <w:sz w:val="24"/>
          <w:szCs w:val="24"/>
        </w:rPr>
        <w:t xml:space="preserve"> GRS 800.2, GRS 800.3, LOLRS 800.1, LOLRS 800.2 and LOLRS 800.3 (the reporting standards)</w:t>
      </w:r>
      <w:r w:rsidR="00A02429" w:rsidRPr="00F841D8">
        <w:rPr>
          <w:rFonts w:ascii="Times New Roman" w:hAnsi="Times New Roman"/>
          <w:sz w:val="24"/>
          <w:szCs w:val="24"/>
        </w:rPr>
        <w:t xml:space="preserve"> set out requirements for the provision of information to APRA relating to a</w:t>
      </w:r>
      <w:r w:rsidR="00537D33" w:rsidRPr="00F841D8">
        <w:rPr>
          <w:rFonts w:ascii="Times New Roman" w:hAnsi="Times New Roman"/>
          <w:sz w:val="24"/>
          <w:szCs w:val="24"/>
        </w:rPr>
        <w:t xml:space="preserve"> general insurer’s or Lloyd’s underwriters’ public liability, product liability or professional indemnity insurance policies</w:t>
      </w:r>
      <w:r w:rsidR="00A02429" w:rsidRPr="00F841D8">
        <w:rPr>
          <w:rFonts w:ascii="Times New Roman" w:hAnsi="Times New Roman"/>
          <w:sz w:val="24"/>
          <w:szCs w:val="24"/>
        </w:rPr>
        <w:t xml:space="preserve">. The information collected under </w:t>
      </w:r>
      <w:r w:rsidR="00537D33" w:rsidRPr="00F841D8">
        <w:rPr>
          <w:rFonts w:ascii="Times New Roman" w:hAnsi="Times New Roman"/>
          <w:sz w:val="24"/>
          <w:szCs w:val="24"/>
        </w:rPr>
        <w:t xml:space="preserve">the </w:t>
      </w:r>
      <w:r w:rsidR="008C5A06">
        <w:rPr>
          <w:rFonts w:ascii="Times New Roman" w:hAnsi="Times New Roman"/>
          <w:sz w:val="24"/>
          <w:szCs w:val="24"/>
        </w:rPr>
        <w:t>reporting standards</w:t>
      </w:r>
      <w:r w:rsidR="00537D33" w:rsidRPr="00F841D8">
        <w:rPr>
          <w:rFonts w:ascii="Times New Roman" w:hAnsi="Times New Roman"/>
          <w:sz w:val="24"/>
          <w:szCs w:val="24"/>
        </w:rPr>
        <w:t xml:space="preserve"> are used by APRA for the purpose of </w:t>
      </w:r>
      <w:r w:rsidR="006B0658">
        <w:rPr>
          <w:rFonts w:ascii="Times New Roman" w:hAnsi="Times New Roman"/>
          <w:sz w:val="24"/>
          <w:szCs w:val="24"/>
        </w:rPr>
        <w:t>prudential supervision and publication, including publication in</w:t>
      </w:r>
      <w:r w:rsidR="00537D33" w:rsidRPr="00F841D8">
        <w:rPr>
          <w:rFonts w:ascii="Times New Roman" w:hAnsi="Times New Roman"/>
          <w:sz w:val="24"/>
          <w:szCs w:val="24"/>
        </w:rPr>
        <w:t xml:space="preserve"> the National Claims &amp; Policy Database (NCPD). </w:t>
      </w:r>
    </w:p>
    <w:p w14:paraId="437AC2B3" w14:textId="77777777" w:rsidR="00A02429" w:rsidRPr="00F510E0" w:rsidRDefault="00A02429" w:rsidP="00A02429">
      <w:pPr>
        <w:keepNext/>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Human rights implications</w:t>
      </w:r>
    </w:p>
    <w:p w14:paraId="205BFB22" w14:textId="46E1233D" w:rsidR="00537D33" w:rsidRPr="00AA2E32" w:rsidRDefault="00537D33" w:rsidP="00537D33">
      <w:pPr>
        <w:shd w:val="clear" w:color="auto" w:fill="FFFFFF"/>
        <w:spacing w:after="240"/>
        <w:jc w:val="both"/>
        <w:rPr>
          <w:rFonts w:ascii="Times New Roman" w:hAnsi="Times New Roman"/>
          <w:color w:val="000000"/>
          <w:sz w:val="24"/>
          <w:szCs w:val="24"/>
        </w:rPr>
      </w:pPr>
      <w:r w:rsidRPr="00AA2E32">
        <w:rPr>
          <w:rFonts w:ascii="Times New Roman" w:hAnsi="Times New Roman"/>
          <w:color w:val="000000"/>
          <w:sz w:val="24"/>
          <w:szCs w:val="24"/>
        </w:rPr>
        <w:t>APRA has assessed the instrument</w:t>
      </w:r>
      <w:r w:rsidR="0023059E">
        <w:rPr>
          <w:rFonts w:ascii="Times New Roman" w:hAnsi="Times New Roman"/>
          <w:color w:val="000000"/>
          <w:sz w:val="24"/>
          <w:szCs w:val="24"/>
        </w:rPr>
        <w:t>s</w:t>
      </w:r>
      <w:r w:rsidRPr="00AA2E32">
        <w:rPr>
          <w:rFonts w:ascii="Times New Roman" w:hAnsi="Times New Roman"/>
          <w:color w:val="000000"/>
          <w:sz w:val="24"/>
          <w:szCs w:val="24"/>
        </w:rPr>
        <w:t xml:space="preserve"> and is of the view that </w:t>
      </w:r>
      <w:r w:rsidR="0023059E">
        <w:rPr>
          <w:rFonts w:ascii="Times New Roman" w:hAnsi="Times New Roman"/>
          <w:color w:val="000000"/>
          <w:sz w:val="24"/>
          <w:szCs w:val="24"/>
        </w:rPr>
        <w:t>they</w:t>
      </w:r>
      <w:r w:rsidRPr="00AA2E32">
        <w:rPr>
          <w:rFonts w:ascii="Times New Roman" w:hAnsi="Times New Roman"/>
          <w:color w:val="000000"/>
          <w:sz w:val="24"/>
          <w:szCs w:val="24"/>
        </w:rPr>
        <w:t xml:space="preserve"> </w:t>
      </w:r>
      <w:r w:rsidR="00D24F23">
        <w:rPr>
          <w:rFonts w:ascii="Times New Roman" w:hAnsi="Times New Roman"/>
          <w:color w:val="000000"/>
          <w:sz w:val="24"/>
          <w:szCs w:val="24"/>
        </w:rPr>
        <w:t>do</w:t>
      </w:r>
      <w:r w:rsidRPr="00AA2E32">
        <w:rPr>
          <w:rFonts w:ascii="Times New Roman" w:hAnsi="Times New Roman"/>
          <w:color w:val="000000"/>
          <w:sz w:val="24"/>
          <w:szCs w:val="24"/>
        </w:rPr>
        <w:t xml:space="preserve"> not engage any of the applicable rights or freedoms recognised or declared in the international instruments </w:t>
      </w:r>
      <w:r w:rsidRPr="00AA2E32">
        <w:rPr>
          <w:rFonts w:ascii="Times New Roman" w:hAnsi="Times New Roman"/>
          <w:color w:val="000000"/>
          <w:sz w:val="24"/>
          <w:szCs w:val="24"/>
        </w:rPr>
        <w:lastRenderedPageBreak/>
        <w:t>listed in section 3 of the HRPS Act. Accordingly, in APRA’s assessment, the instrument</w:t>
      </w:r>
      <w:r w:rsidR="003B2EFA">
        <w:rPr>
          <w:rFonts w:ascii="Times New Roman" w:hAnsi="Times New Roman"/>
          <w:color w:val="000000"/>
          <w:sz w:val="24"/>
          <w:szCs w:val="24"/>
        </w:rPr>
        <w:t>s are</w:t>
      </w:r>
      <w:r w:rsidRPr="00AA2E32">
        <w:rPr>
          <w:rFonts w:ascii="Times New Roman" w:hAnsi="Times New Roman"/>
          <w:color w:val="000000"/>
          <w:sz w:val="24"/>
          <w:szCs w:val="24"/>
        </w:rPr>
        <w:t xml:space="preserve"> compatible with human rights.</w:t>
      </w:r>
    </w:p>
    <w:p w14:paraId="03BDFFDA" w14:textId="1F2146A2" w:rsidR="00537D33" w:rsidRPr="00AA2E32" w:rsidRDefault="00537D33" w:rsidP="00537D33">
      <w:pPr>
        <w:shd w:val="clear" w:color="auto" w:fill="FFFFFF"/>
        <w:spacing w:after="240"/>
        <w:jc w:val="both"/>
        <w:rPr>
          <w:rFonts w:ascii="Times New Roman" w:hAnsi="Times New Roman"/>
          <w:color w:val="000000"/>
          <w:sz w:val="24"/>
          <w:szCs w:val="24"/>
        </w:rPr>
      </w:pPr>
      <w:r w:rsidRPr="00AA2E32">
        <w:rPr>
          <w:rFonts w:ascii="Times New Roman" w:hAnsi="Times New Roman"/>
          <w:color w:val="000000"/>
          <w:sz w:val="24"/>
          <w:szCs w:val="24"/>
        </w:rPr>
        <w:t xml:space="preserve">Article 17 of the </w:t>
      </w:r>
      <w:r w:rsidR="006B0658">
        <w:rPr>
          <w:rFonts w:ascii="Times New Roman" w:hAnsi="Times New Roman"/>
          <w:color w:val="000000"/>
          <w:sz w:val="24"/>
          <w:szCs w:val="24"/>
        </w:rPr>
        <w:t>International Covenant on Civil and Political Rights (</w:t>
      </w:r>
      <w:r w:rsidRPr="00AA2E32">
        <w:rPr>
          <w:rFonts w:ascii="Times New Roman" w:hAnsi="Times New Roman"/>
          <w:color w:val="000000"/>
          <w:sz w:val="24"/>
          <w:szCs w:val="24"/>
        </w:rPr>
        <w:t>ICCPR</w:t>
      </w:r>
      <w:r w:rsidR="006B0658">
        <w:rPr>
          <w:rFonts w:ascii="Times New Roman" w:hAnsi="Times New Roman"/>
          <w:color w:val="000000"/>
          <w:sz w:val="24"/>
          <w:szCs w:val="24"/>
        </w:rPr>
        <w:t>)</w:t>
      </w:r>
      <w:r w:rsidRPr="00AA2E32">
        <w:rPr>
          <w:rFonts w:ascii="Times New Roman" w:hAnsi="Times New Roman"/>
          <w:color w:val="000000"/>
          <w:sz w:val="24"/>
          <w:szCs w:val="24"/>
        </w:rPr>
        <w:t xml:space="preserve">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14:paraId="3F41B7FA" w14:textId="38D36C96" w:rsidR="000D45C0" w:rsidRPr="00AA2E32" w:rsidRDefault="00537D33" w:rsidP="00537D33">
      <w:pPr>
        <w:shd w:val="clear" w:color="auto" w:fill="FFFFFF"/>
        <w:spacing w:after="240"/>
        <w:jc w:val="both"/>
        <w:rPr>
          <w:rFonts w:ascii="Times New Roman" w:hAnsi="Times New Roman"/>
          <w:color w:val="000000"/>
          <w:sz w:val="24"/>
          <w:szCs w:val="24"/>
        </w:rPr>
      </w:pPr>
      <w:r w:rsidRPr="00AA2E32">
        <w:rPr>
          <w:rFonts w:ascii="Times New Roman" w:hAnsi="Times New Roman"/>
          <w:color w:val="000000"/>
          <w:sz w:val="24"/>
          <w:szCs w:val="24"/>
        </w:rPr>
        <w:t xml:space="preserve">Determinations No. </w:t>
      </w:r>
      <w:r w:rsidR="001A79E0">
        <w:rPr>
          <w:rFonts w:ascii="Times New Roman" w:hAnsi="Times New Roman"/>
          <w:color w:val="000000"/>
          <w:sz w:val="24"/>
          <w:szCs w:val="24"/>
        </w:rPr>
        <w:t>1</w:t>
      </w:r>
      <w:r w:rsidRPr="00AA2E32">
        <w:rPr>
          <w:rFonts w:ascii="Times New Roman" w:hAnsi="Times New Roman"/>
          <w:color w:val="000000"/>
          <w:sz w:val="24"/>
          <w:szCs w:val="24"/>
        </w:rPr>
        <w:t xml:space="preserve"> </w:t>
      </w:r>
      <w:r w:rsidR="001A79E0">
        <w:rPr>
          <w:rFonts w:ascii="Times New Roman" w:hAnsi="Times New Roman"/>
          <w:color w:val="000000"/>
          <w:sz w:val="24"/>
          <w:szCs w:val="24"/>
        </w:rPr>
        <w:t>to 6</w:t>
      </w:r>
      <w:r w:rsidRPr="00AA2E32">
        <w:rPr>
          <w:rFonts w:ascii="Times New Roman" w:hAnsi="Times New Roman"/>
          <w:color w:val="000000"/>
          <w:sz w:val="24"/>
          <w:szCs w:val="24"/>
        </w:rPr>
        <w:t xml:space="preserve"> of 20</w:t>
      </w:r>
      <w:r w:rsidR="001A79E0">
        <w:rPr>
          <w:rFonts w:ascii="Times New Roman" w:hAnsi="Times New Roman"/>
          <w:color w:val="000000"/>
          <w:sz w:val="24"/>
          <w:szCs w:val="24"/>
        </w:rPr>
        <w:t>21</w:t>
      </w:r>
      <w:r w:rsidRPr="00AA2E32">
        <w:rPr>
          <w:rFonts w:ascii="Times New Roman" w:hAnsi="Times New Roman"/>
          <w:color w:val="000000"/>
          <w:sz w:val="24"/>
          <w:szCs w:val="24"/>
        </w:rPr>
        <w:t xml:space="preserve"> require general insurers and Lloyd’s to report claim, policy and business facility data on public and products liability insurance including all policies that provide cover for legal liability to the public in respect of bodily injury or property damage, policies that provide for compensation for loss and</w:t>
      </w:r>
      <w:r w:rsidR="007F0345">
        <w:rPr>
          <w:rFonts w:ascii="Times New Roman" w:hAnsi="Times New Roman"/>
          <w:color w:val="000000"/>
          <w:sz w:val="24"/>
          <w:szCs w:val="24"/>
        </w:rPr>
        <w:t>/</w:t>
      </w:r>
      <w:r w:rsidRPr="00AA2E32">
        <w:rPr>
          <w:rFonts w:ascii="Times New Roman" w:hAnsi="Times New Roman"/>
          <w:color w:val="000000"/>
          <w:sz w:val="24"/>
          <w:szCs w:val="24"/>
        </w:rPr>
        <w:t>or injury caused by, or as a result of, the use of goods, and environmental clean-up by pollution spills. These determinations also require claim, policy and business facility data on professional indemnity insurance, including all policies that provide cover for professionals relating to actions against that person in tort and/or statute law (in respect of advice and services provided as part of their professional practice), Directors’ and Officers’ liability insurance</w:t>
      </w:r>
      <w:r w:rsidR="007F0345">
        <w:rPr>
          <w:rFonts w:ascii="Times New Roman" w:hAnsi="Times New Roman"/>
          <w:color w:val="000000"/>
          <w:sz w:val="24"/>
          <w:szCs w:val="24"/>
        </w:rPr>
        <w:t>,</w:t>
      </w:r>
      <w:r w:rsidRPr="00AA2E32">
        <w:rPr>
          <w:rFonts w:ascii="Times New Roman" w:hAnsi="Times New Roman"/>
          <w:color w:val="000000"/>
          <w:sz w:val="24"/>
          <w:szCs w:val="24"/>
        </w:rPr>
        <w:t xml:space="preserve"> legal expense insurance and medical indemnity insurance. This provision of data does not involve the disclosure of information directly relating to individual persons. </w:t>
      </w:r>
    </w:p>
    <w:p w14:paraId="2B0D0006" w14:textId="21F99188" w:rsidR="00537D33" w:rsidRPr="00AA2E32" w:rsidRDefault="00537D33" w:rsidP="00537D33">
      <w:pPr>
        <w:shd w:val="clear" w:color="auto" w:fill="FFFFFF"/>
        <w:spacing w:after="240"/>
        <w:jc w:val="both"/>
        <w:rPr>
          <w:rFonts w:ascii="Times New Roman" w:hAnsi="Times New Roman"/>
          <w:color w:val="000000"/>
          <w:sz w:val="24"/>
          <w:szCs w:val="24"/>
        </w:rPr>
      </w:pPr>
      <w:r w:rsidRPr="00AA2E32">
        <w:rPr>
          <w:rFonts w:ascii="Times New Roman" w:hAnsi="Times New Roman"/>
          <w:color w:val="000000"/>
          <w:sz w:val="24"/>
          <w:szCs w:val="24"/>
        </w:rPr>
        <w:t>Further, APRA reviews all releases of data received under reporting standards to ensure that no information pertaining to an individual person can be deduced from the data.</w:t>
      </w:r>
      <w:r w:rsidR="000D45C0" w:rsidRPr="00AA2E32">
        <w:rPr>
          <w:rFonts w:ascii="Times New Roman" w:hAnsi="Times New Roman"/>
          <w:color w:val="000000"/>
          <w:sz w:val="24"/>
          <w:szCs w:val="24"/>
          <w:shd w:val="clear" w:color="auto" w:fill="FFFFFF"/>
        </w:rPr>
        <w:t xml:space="preserve"> APRA does not publish any personal information which it collects. Information provided to APRA under reporting standards is protected information for the purposes of section 56 of the </w:t>
      </w:r>
      <w:r w:rsidR="000D45C0" w:rsidRPr="00AA2E32">
        <w:rPr>
          <w:rFonts w:ascii="Times New Roman" w:hAnsi="Times New Roman"/>
          <w:i/>
          <w:iCs/>
          <w:color w:val="000000"/>
          <w:sz w:val="24"/>
          <w:szCs w:val="24"/>
          <w:shd w:val="clear" w:color="auto" w:fill="FFFFFF"/>
        </w:rPr>
        <w:t>Australian Prudential Regulation Authority Act 1998</w:t>
      </w:r>
      <w:r w:rsidR="000D45C0" w:rsidRPr="00AA2E32">
        <w:rPr>
          <w:rFonts w:ascii="Times New Roman" w:hAnsi="Times New Roman"/>
          <w:color w:val="000000"/>
          <w:sz w:val="24"/>
          <w:szCs w:val="24"/>
          <w:shd w:val="clear" w:color="auto" w:fill="FFFFFF"/>
        </w:rPr>
        <w:t xml:space="preserve"> and cannot be disclosed except under a limited range of circumstances provided for under that section. APRA is also subject to obligations under the </w:t>
      </w:r>
      <w:r w:rsidR="000D45C0" w:rsidRPr="00AA2E32">
        <w:rPr>
          <w:rFonts w:ascii="Times New Roman" w:hAnsi="Times New Roman"/>
          <w:i/>
          <w:color w:val="000000"/>
          <w:sz w:val="24"/>
          <w:szCs w:val="24"/>
          <w:shd w:val="clear" w:color="auto" w:fill="FFFFFF"/>
        </w:rPr>
        <w:t>Privacy Act 1988.</w:t>
      </w:r>
      <w:r w:rsidR="000D45C0" w:rsidRPr="00AA2E32">
        <w:rPr>
          <w:rFonts w:ascii="Times New Roman" w:hAnsi="Times New Roman"/>
          <w:color w:val="000000"/>
          <w:sz w:val="24"/>
          <w:szCs w:val="24"/>
          <w:shd w:val="clear" w:color="auto" w:fill="FFFFFF"/>
        </w:rPr>
        <w:t> </w:t>
      </w:r>
    </w:p>
    <w:p w14:paraId="2CC6B801" w14:textId="5D6B597D" w:rsidR="00537D33" w:rsidRPr="00AA2E32" w:rsidRDefault="00537D33" w:rsidP="00537D33">
      <w:pPr>
        <w:shd w:val="clear" w:color="auto" w:fill="FFFFFF"/>
        <w:spacing w:after="240"/>
        <w:jc w:val="both"/>
        <w:rPr>
          <w:rFonts w:ascii="Times New Roman" w:hAnsi="Times New Roman"/>
          <w:color w:val="000000"/>
          <w:sz w:val="24"/>
          <w:szCs w:val="24"/>
        </w:rPr>
      </w:pPr>
      <w:r w:rsidRPr="00AA2E32">
        <w:rPr>
          <w:rFonts w:ascii="Times New Roman" w:hAnsi="Times New Roman"/>
          <w:color w:val="000000"/>
          <w:sz w:val="24"/>
          <w:szCs w:val="24"/>
        </w:rPr>
        <w:t xml:space="preserve">Consequently, </w:t>
      </w:r>
      <w:r w:rsidR="000D45C0" w:rsidRPr="00AA2E32">
        <w:rPr>
          <w:rFonts w:ascii="Times New Roman" w:hAnsi="Times New Roman"/>
          <w:color w:val="000000"/>
          <w:sz w:val="24"/>
          <w:szCs w:val="24"/>
        </w:rPr>
        <w:t>the reporting standards</w:t>
      </w:r>
      <w:r w:rsidRPr="00AA2E32">
        <w:rPr>
          <w:rFonts w:ascii="Times New Roman" w:hAnsi="Times New Roman"/>
          <w:color w:val="000000"/>
          <w:sz w:val="24"/>
          <w:szCs w:val="24"/>
        </w:rPr>
        <w:t xml:space="preserve"> do not engage any of the applicable rights or freedoms recognised or declared in the international instruments listed in section 3 of the HRPS Act. Accordingly, in APRA’s assessment, th</w:t>
      </w:r>
      <w:r w:rsidR="003B2EFA">
        <w:rPr>
          <w:rFonts w:ascii="Times New Roman" w:hAnsi="Times New Roman"/>
          <w:color w:val="000000"/>
          <w:sz w:val="24"/>
          <w:szCs w:val="24"/>
        </w:rPr>
        <w:t>e</w:t>
      </w:r>
      <w:r w:rsidRPr="00AA2E32">
        <w:rPr>
          <w:rFonts w:ascii="Times New Roman" w:hAnsi="Times New Roman"/>
          <w:color w:val="000000"/>
          <w:sz w:val="24"/>
          <w:szCs w:val="24"/>
        </w:rPr>
        <w:t xml:space="preserve"> instrument</w:t>
      </w:r>
      <w:r w:rsidR="003B2EFA">
        <w:rPr>
          <w:rFonts w:ascii="Times New Roman" w:hAnsi="Times New Roman"/>
          <w:color w:val="000000"/>
          <w:sz w:val="24"/>
          <w:szCs w:val="24"/>
        </w:rPr>
        <w:t>s are</w:t>
      </w:r>
      <w:r w:rsidRPr="00AA2E32">
        <w:rPr>
          <w:rFonts w:ascii="Times New Roman" w:hAnsi="Times New Roman"/>
          <w:color w:val="000000"/>
          <w:sz w:val="24"/>
          <w:szCs w:val="24"/>
        </w:rPr>
        <w:t xml:space="preserve"> compatible with human rights.</w:t>
      </w:r>
    </w:p>
    <w:p w14:paraId="21210DAF" w14:textId="3652E55E" w:rsidR="00A02429" w:rsidRPr="00F510E0" w:rsidRDefault="00537D33" w:rsidP="00A02429">
      <w:pPr>
        <w:shd w:val="clear" w:color="auto" w:fill="FFFFFF"/>
        <w:spacing w:after="240"/>
        <w:jc w:val="both"/>
        <w:rPr>
          <w:rFonts w:ascii="Times New Roman" w:hAnsi="Times New Roman"/>
          <w:b/>
          <w:bCs/>
          <w:sz w:val="24"/>
          <w:szCs w:val="24"/>
        </w:rPr>
      </w:pPr>
      <w:r w:rsidRPr="00537D33" w:rsidDel="00537D33">
        <w:rPr>
          <w:rFonts w:ascii="Times New Roman" w:hAnsi="Times New Roman"/>
          <w:sz w:val="24"/>
          <w:szCs w:val="24"/>
        </w:rPr>
        <w:t xml:space="preserve"> </w:t>
      </w:r>
      <w:r w:rsidR="00A02429" w:rsidRPr="00F510E0">
        <w:rPr>
          <w:rFonts w:ascii="Times New Roman" w:hAnsi="Times New Roman"/>
          <w:b/>
          <w:bCs/>
          <w:sz w:val="24"/>
          <w:szCs w:val="24"/>
        </w:rPr>
        <w:t>Conclusion</w:t>
      </w:r>
    </w:p>
    <w:p w14:paraId="0C16B632" w14:textId="18D2D896" w:rsidR="00A02429" w:rsidRPr="00F510E0" w:rsidRDefault="00A02429" w:rsidP="00A02429">
      <w:pPr>
        <w:spacing w:after="240"/>
        <w:jc w:val="both"/>
        <w:rPr>
          <w:rFonts w:ascii="Times New Roman" w:hAnsi="Times New Roman"/>
          <w:sz w:val="24"/>
          <w:szCs w:val="24"/>
        </w:rPr>
      </w:pPr>
      <w:r w:rsidRPr="00F510E0">
        <w:rPr>
          <w:rFonts w:ascii="Times New Roman" w:hAnsi="Times New Roman"/>
          <w:sz w:val="24"/>
          <w:szCs w:val="24"/>
        </w:rPr>
        <w:t>The instrument</w:t>
      </w:r>
      <w:r>
        <w:rPr>
          <w:rFonts w:ascii="Times New Roman" w:hAnsi="Times New Roman"/>
          <w:sz w:val="24"/>
          <w:szCs w:val="24"/>
        </w:rPr>
        <w:t>s</w:t>
      </w:r>
      <w:r w:rsidRPr="00F510E0">
        <w:rPr>
          <w:rFonts w:ascii="Times New Roman" w:hAnsi="Times New Roman"/>
          <w:sz w:val="24"/>
          <w:szCs w:val="24"/>
        </w:rPr>
        <w:t xml:space="preserve"> </w:t>
      </w:r>
      <w:r>
        <w:rPr>
          <w:rFonts w:ascii="Times New Roman" w:hAnsi="Times New Roman"/>
          <w:sz w:val="24"/>
          <w:szCs w:val="24"/>
        </w:rPr>
        <w:t>are</w:t>
      </w:r>
      <w:r w:rsidRPr="00F510E0">
        <w:rPr>
          <w:rFonts w:ascii="Times New Roman" w:hAnsi="Times New Roman"/>
          <w:sz w:val="24"/>
          <w:szCs w:val="24"/>
        </w:rPr>
        <w:t xml:space="preserve"> compatible with human rights </w:t>
      </w:r>
      <w:r w:rsidR="00184D3F">
        <w:rPr>
          <w:rFonts w:ascii="Times New Roman" w:hAnsi="Times New Roman"/>
          <w:sz w:val="24"/>
          <w:szCs w:val="24"/>
        </w:rPr>
        <w:t xml:space="preserve">as they do not raise any human rights issues. </w:t>
      </w:r>
    </w:p>
    <w:p w14:paraId="4C599EA0" w14:textId="372B6587" w:rsidR="00F62307" w:rsidRPr="00FA5345" w:rsidRDefault="00F62307" w:rsidP="00993130">
      <w:pPr>
        <w:pStyle w:val="Heading"/>
        <w:spacing w:after="240"/>
      </w:pPr>
    </w:p>
    <w:sectPr w:rsidR="00F62307" w:rsidRPr="00FA5345" w:rsidSect="003D5032">
      <w:footerReference w:type="default" r:id="rId15"/>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89FD1" w14:textId="77777777" w:rsidR="00D36F73" w:rsidRDefault="00D36F73" w:rsidP="001A2234">
      <w:r>
        <w:separator/>
      </w:r>
    </w:p>
  </w:endnote>
  <w:endnote w:type="continuationSeparator" w:id="0">
    <w:p w14:paraId="37D189BD" w14:textId="77777777" w:rsidR="00D36F73" w:rsidRDefault="00D36F73"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1A2234" w:rsidRPr="001A2234" w:rsidRDefault="001A2234"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F372EB">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1A2234" w:rsidRDefault="001A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317232"/>
      <w:docPartObj>
        <w:docPartGallery w:val="Page Numbers (Top of Page)"/>
        <w:docPartUnique/>
      </w:docPartObj>
    </w:sdtPr>
    <w:sdtEndPr>
      <w:rPr>
        <w:rFonts w:ascii="Times New Roman" w:hAnsi="Times New Roman"/>
        <w:sz w:val="24"/>
        <w:szCs w:val="24"/>
      </w:rPr>
    </w:sdtEndPr>
    <w:sdtContent>
      <w:p w14:paraId="46EB2CB8" w14:textId="77777777" w:rsidR="00E66223" w:rsidRPr="001A2234" w:rsidRDefault="00CB113F"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71F79C4" w14:textId="77777777" w:rsidR="00E66223" w:rsidRDefault="006F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DE18" w14:textId="77777777" w:rsidR="00D36F73" w:rsidRDefault="00D36F73" w:rsidP="001A2234">
      <w:r>
        <w:separator/>
      </w:r>
    </w:p>
  </w:footnote>
  <w:footnote w:type="continuationSeparator" w:id="0">
    <w:p w14:paraId="44A716B7" w14:textId="77777777" w:rsidR="00D36F73" w:rsidRDefault="00D36F73" w:rsidP="001A2234">
      <w:r>
        <w:continuationSeparator/>
      </w:r>
    </w:p>
  </w:footnote>
  <w:footnote w:id="1">
    <w:p w14:paraId="76E16627" w14:textId="2DF3E9D7" w:rsidR="00B76425" w:rsidRPr="0037152B" w:rsidRDefault="00B76425">
      <w:pPr>
        <w:pStyle w:val="FootnoteText"/>
        <w:rPr>
          <w:rFonts w:ascii="Times New Roman" w:hAnsi="Times New Roman"/>
        </w:rPr>
      </w:pPr>
      <w:r w:rsidRPr="0037152B">
        <w:rPr>
          <w:rStyle w:val="FootnoteReference"/>
          <w:rFonts w:ascii="Times New Roman" w:hAnsi="Times New Roman"/>
        </w:rPr>
        <w:footnoteRef/>
      </w:r>
      <w:r w:rsidRPr="0037152B">
        <w:rPr>
          <w:rFonts w:ascii="Times New Roman" w:hAnsi="Times New Roman"/>
        </w:rPr>
        <w:t xml:space="preserve"> The consultation letter and draft reporting standards are available on APRA’s website at </w:t>
      </w:r>
      <w:hyperlink r:id="rId1" w:history="1">
        <w:r w:rsidR="008F4629" w:rsidRPr="0037152B">
          <w:rPr>
            <w:rStyle w:val="Hyperlink"/>
            <w:rFonts w:ascii="Times New Roman" w:hAnsi="Times New Roman"/>
          </w:rPr>
          <w:t>Collection of cyber insurance and management liability data in the National Claims and Policies Database (NCPD) | APRA</w:t>
        </w:r>
      </w:hyperlink>
      <w:r w:rsidR="008F4629" w:rsidRPr="0037152B">
        <w:rPr>
          <w:rFonts w:ascii="Times New Roman" w:hAnsi="Times New Roman"/>
        </w:rPr>
        <w:t xml:space="preserve"> </w:t>
      </w:r>
      <w:r w:rsidR="0037152B" w:rsidRPr="0037152B">
        <w:rPr>
          <w:rFonts w:ascii="Times New Roman" w:hAnsi="Times New Roman"/>
        </w:rPr>
        <w:t>&lt;</w:t>
      </w:r>
      <w:hyperlink r:id="rId2" w:history="1">
        <w:r w:rsidR="0037152B" w:rsidRPr="0037152B">
          <w:rPr>
            <w:rStyle w:val="Hyperlink"/>
            <w:rFonts w:ascii="Times New Roman" w:hAnsi="Times New Roman"/>
          </w:rPr>
          <w:t>https://www.apra.gov.au/collection-of-cyber-insurance-and-management-liability-data-national-claims-and-policies-database-0</w:t>
        </w:r>
      </w:hyperlink>
      <w:r w:rsidR="0037152B" w:rsidRPr="0037152B">
        <w:rPr>
          <w:rFonts w:ascii="Times New Roman" w:hAnsi="Times New Roman"/>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556211EA"/>
    <w:lvl w:ilvl="0" w:tplc="6F8CE888">
      <w:start w:val="1"/>
      <w:numFmt w:val="decimal"/>
      <w:lvlText w:val="(%1)"/>
      <w:lvlJc w:val="left"/>
      <w:pPr>
        <w:ind w:left="1080" w:hanging="360"/>
      </w:pPr>
      <w:rPr>
        <w:rFonts w:hint="default"/>
      </w:rPr>
    </w:lvl>
    <w:lvl w:ilvl="1" w:tplc="A05EB5EA">
      <w:start w:val="1"/>
      <w:numFmt w:val="lowerRoman"/>
      <w:lvlText w:val="(%2)"/>
      <w:lvlJc w:val="left"/>
      <w:pPr>
        <w:tabs>
          <w:tab w:val="num" w:pos="1134"/>
        </w:tabs>
        <w:ind w:left="1134" w:hanging="567"/>
      </w:pPr>
      <w:rPr>
        <w:rFonts w:hint="default"/>
        <w:i w: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80A52FC"/>
    <w:multiLevelType w:val="hybridMultilevel"/>
    <w:tmpl w:val="B2D0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70264"/>
    <w:multiLevelType w:val="hybridMultilevel"/>
    <w:tmpl w:val="890E8662"/>
    <w:lvl w:ilvl="0" w:tplc="F08A761C">
      <w:start w:val="1"/>
      <w:numFmt w:val="decimal"/>
      <w:lvlText w:val="(%1)"/>
      <w:lvlJc w:val="left"/>
      <w:pPr>
        <w:ind w:left="1080" w:hanging="360"/>
      </w:pPr>
      <w:rPr>
        <w:rFonts w:ascii="Times New Roman" w:hAnsi="Times New Roman" w:hint="default"/>
        <w:sz w:val="24"/>
      </w:rPr>
    </w:lvl>
    <w:lvl w:ilvl="1" w:tplc="A05EB5EA">
      <w:start w:val="1"/>
      <w:numFmt w:val="lowerRoman"/>
      <w:lvlText w:val="(%2)"/>
      <w:lvlJc w:val="left"/>
      <w:pPr>
        <w:tabs>
          <w:tab w:val="num" w:pos="1134"/>
        </w:tabs>
        <w:ind w:left="1134" w:hanging="567"/>
      </w:pPr>
      <w:rPr>
        <w:rFonts w:hint="default"/>
        <w:i w: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519166F"/>
    <w:multiLevelType w:val="hybridMultilevel"/>
    <w:tmpl w:val="8C74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07BF"/>
    <w:rsid w:val="00006945"/>
    <w:rsid w:val="00021EAC"/>
    <w:rsid w:val="000356B0"/>
    <w:rsid w:val="000401FC"/>
    <w:rsid w:val="00046FD3"/>
    <w:rsid w:val="00053075"/>
    <w:rsid w:val="0005448B"/>
    <w:rsid w:val="00071267"/>
    <w:rsid w:val="000775B5"/>
    <w:rsid w:val="000B14BD"/>
    <w:rsid w:val="000D0E5F"/>
    <w:rsid w:val="000D45C0"/>
    <w:rsid w:val="000E369C"/>
    <w:rsid w:val="000E6B52"/>
    <w:rsid w:val="000F108B"/>
    <w:rsid w:val="00106AC3"/>
    <w:rsid w:val="00117024"/>
    <w:rsid w:val="00117B68"/>
    <w:rsid w:val="0014097C"/>
    <w:rsid w:val="0014240C"/>
    <w:rsid w:val="001628E1"/>
    <w:rsid w:val="001708E9"/>
    <w:rsid w:val="00182FA1"/>
    <w:rsid w:val="00184D3F"/>
    <w:rsid w:val="001A2234"/>
    <w:rsid w:val="001A2ADB"/>
    <w:rsid w:val="001A79E0"/>
    <w:rsid w:val="001B70E6"/>
    <w:rsid w:val="001C1A07"/>
    <w:rsid w:val="001C231F"/>
    <w:rsid w:val="001C4907"/>
    <w:rsid w:val="001D47AE"/>
    <w:rsid w:val="001F6E34"/>
    <w:rsid w:val="00204A62"/>
    <w:rsid w:val="00207433"/>
    <w:rsid w:val="00220EB0"/>
    <w:rsid w:val="0023059E"/>
    <w:rsid w:val="002436BD"/>
    <w:rsid w:val="002444C9"/>
    <w:rsid w:val="00244F1C"/>
    <w:rsid w:val="00246723"/>
    <w:rsid w:val="00254731"/>
    <w:rsid w:val="002639CA"/>
    <w:rsid w:val="002643D0"/>
    <w:rsid w:val="00293723"/>
    <w:rsid w:val="00293C3C"/>
    <w:rsid w:val="002A000D"/>
    <w:rsid w:val="002A20A3"/>
    <w:rsid w:val="002A3B24"/>
    <w:rsid w:val="002A73BD"/>
    <w:rsid w:val="002A7C1F"/>
    <w:rsid w:val="002B5971"/>
    <w:rsid w:val="002C7E89"/>
    <w:rsid w:val="002E0B99"/>
    <w:rsid w:val="002E4B68"/>
    <w:rsid w:val="002F7F4C"/>
    <w:rsid w:val="0030506B"/>
    <w:rsid w:val="00310CF8"/>
    <w:rsid w:val="0031421E"/>
    <w:rsid w:val="00315B65"/>
    <w:rsid w:val="0032154D"/>
    <w:rsid w:val="0033244E"/>
    <w:rsid w:val="003469E7"/>
    <w:rsid w:val="00354CB8"/>
    <w:rsid w:val="00360FFE"/>
    <w:rsid w:val="003613F7"/>
    <w:rsid w:val="0037152B"/>
    <w:rsid w:val="00380068"/>
    <w:rsid w:val="003865B2"/>
    <w:rsid w:val="003866AD"/>
    <w:rsid w:val="003A52A5"/>
    <w:rsid w:val="003B2EFA"/>
    <w:rsid w:val="003C240D"/>
    <w:rsid w:val="003C255A"/>
    <w:rsid w:val="003D5032"/>
    <w:rsid w:val="003D7B69"/>
    <w:rsid w:val="003E441D"/>
    <w:rsid w:val="003E7E49"/>
    <w:rsid w:val="0040175E"/>
    <w:rsid w:val="0041764C"/>
    <w:rsid w:val="004179C7"/>
    <w:rsid w:val="00422164"/>
    <w:rsid w:val="00425D5C"/>
    <w:rsid w:val="00427A88"/>
    <w:rsid w:val="00434568"/>
    <w:rsid w:val="004434E5"/>
    <w:rsid w:val="00443A02"/>
    <w:rsid w:val="00463305"/>
    <w:rsid w:val="00463496"/>
    <w:rsid w:val="00464570"/>
    <w:rsid w:val="00483DF9"/>
    <w:rsid w:val="004B00C1"/>
    <w:rsid w:val="004C3D07"/>
    <w:rsid w:val="004C3DF4"/>
    <w:rsid w:val="004D0DFF"/>
    <w:rsid w:val="004D617D"/>
    <w:rsid w:val="004E2008"/>
    <w:rsid w:val="005111B3"/>
    <w:rsid w:val="0051575B"/>
    <w:rsid w:val="00537D33"/>
    <w:rsid w:val="00551345"/>
    <w:rsid w:val="0056141D"/>
    <w:rsid w:val="00566B0B"/>
    <w:rsid w:val="00584302"/>
    <w:rsid w:val="0058449E"/>
    <w:rsid w:val="00590FD9"/>
    <w:rsid w:val="005B068C"/>
    <w:rsid w:val="005D31B6"/>
    <w:rsid w:val="005D4287"/>
    <w:rsid w:val="005E2A43"/>
    <w:rsid w:val="005E327F"/>
    <w:rsid w:val="005E5910"/>
    <w:rsid w:val="00600BCB"/>
    <w:rsid w:val="00622480"/>
    <w:rsid w:val="00625999"/>
    <w:rsid w:val="00631116"/>
    <w:rsid w:val="00647D58"/>
    <w:rsid w:val="00657678"/>
    <w:rsid w:val="006632B7"/>
    <w:rsid w:val="00672EBD"/>
    <w:rsid w:val="006775BF"/>
    <w:rsid w:val="00680246"/>
    <w:rsid w:val="00682865"/>
    <w:rsid w:val="00684F73"/>
    <w:rsid w:val="00686339"/>
    <w:rsid w:val="00692E44"/>
    <w:rsid w:val="00694067"/>
    <w:rsid w:val="006A5FA7"/>
    <w:rsid w:val="006B0658"/>
    <w:rsid w:val="006B093F"/>
    <w:rsid w:val="006B0DD5"/>
    <w:rsid w:val="006C2AD2"/>
    <w:rsid w:val="006C591F"/>
    <w:rsid w:val="006F22AD"/>
    <w:rsid w:val="006F29E2"/>
    <w:rsid w:val="006F3309"/>
    <w:rsid w:val="007031F4"/>
    <w:rsid w:val="007049CF"/>
    <w:rsid w:val="007146E6"/>
    <w:rsid w:val="00734DDE"/>
    <w:rsid w:val="007368AD"/>
    <w:rsid w:val="00736D41"/>
    <w:rsid w:val="007428D4"/>
    <w:rsid w:val="007475C0"/>
    <w:rsid w:val="00747AFF"/>
    <w:rsid w:val="00766714"/>
    <w:rsid w:val="00785CDC"/>
    <w:rsid w:val="00790124"/>
    <w:rsid w:val="00791FDE"/>
    <w:rsid w:val="00796F78"/>
    <w:rsid w:val="007A4D67"/>
    <w:rsid w:val="007B07E5"/>
    <w:rsid w:val="007C2298"/>
    <w:rsid w:val="007E4B2A"/>
    <w:rsid w:val="007F0345"/>
    <w:rsid w:val="008306CD"/>
    <w:rsid w:val="00830F66"/>
    <w:rsid w:val="00834676"/>
    <w:rsid w:val="00836A85"/>
    <w:rsid w:val="00857B5B"/>
    <w:rsid w:val="008862FB"/>
    <w:rsid w:val="008937B0"/>
    <w:rsid w:val="008A2652"/>
    <w:rsid w:val="008B659C"/>
    <w:rsid w:val="008C032C"/>
    <w:rsid w:val="008C5A06"/>
    <w:rsid w:val="008F4629"/>
    <w:rsid w:val="008F6EA5"/>
    <w:rsid w:val="00911D8C"/>
    <w:rsid w:val="009320C4"/>
    <w:rsid w:val="00932EFA"/>
    <w:rsid w:val="00935726"/>
    <w:rsid w:val="009538CA"/>
    <w:rsid w:val="00967D16"/>
    <w:rsid w:val="00993130"/>
    <w:rsid w:val="009974E9"/>
    <w:rsid w:val="009B67A8"/>
    <w:rsid w:val="009C5368"/>
    <w:rsid w:val="009D77FB"/>
    <w:rsid w:val="00A02429"/>
    <w:rsid w:val="00A15AAC"/>
    <w:rsid w:val="00A22471"/>
    <w:rsid w:val="00A279AF"/>
    <w:rsid w:val="00A31FAC"/>
    <w:rsid w:val="00A4133B"/>
    <w:rsid w:val="00A4617E"/>
    <w:rsid w:val="00A545FC"/>
    <w:rsid w:val="00A62559"/>
    <w:rsid w:val="00A63A2B"/>
    <w:rsid w:val="00A642D7"/>
    <w:rsid w:val="00A94FB7"/>
    <w:rsid w:val="00AA17C5"/>
    <w:rsid w:val="00AA2E32"/>
    <w:rsid w:val="00AC017F"/>
    <w:rsid w:val="00AC1AC6"/>
    <w:rsid w:val="00AC1F89"/>
    <w:rsid w:val="00AC2517"/>
    <w:rsid w:val="00AC7A56"/>
    <w:rsid w:val="00AD1E70"/>
    <w:rsid w:val="00AD3A47"/>
    <w:rsid w:val="00AE0C59"/>
    <w:rsid w:val="00B02D82"/>
    <w:rsid w:val="00B04B20"/>
    <w:rsid w:val="00B53358"/>
    <w:rsid w:val="00B64B2E"/>
    <w:rsid w:val="00B71EB5"/>
    <w:rsid w:val="00B731B6"/>
    <w:rsid w:val="00B76425"/>
    <w:rsid w:val="00B8062C"/>
    <w:rsid w:val="00B80C83"/>
    <w:rsid w:val="00B81005"/>
    <w:rsid w:val="00B85B6E"/>
    <w:rsid w:val="00B87116"/>
    <w:rsid w:val="00BA53BC"/>
    <w:rsid w:val="00BA7DA6"/>
    <w:rsid w:val="00BB1678"/>
    <w:rsid w:val="00BB220F"/>
    <w:rsid w:val="00BB406C"/>
    <w:rsid w:val="00BD6360"/>
    <w:rsid w:val="00BD6A16"/>
    <w:rsid w:val="00BF2953"/>
    <w:rsid w:val="00BF7739"/>
    <w:rsid w:val="00C06692"/>
    <w:rsid w:val="00C13FAF"/>
    <w:rsid w:val="00C2437F"/>
    <w:rsid w:val="00C24DB6"/>
    <w:rsid w:val="00C302FA"/>
    <w:rsid w:val="00C31F80"/>
    <w:rsid w:val="00C321D7"/>
    <w:rsid w:val="00C353B9"/>
    <w:rsid w:val="00C3746F"/>
    <w:rsid w:val="00C63D40"/>
    <w:rsid w:val="00C948AA"/>
    <w:rsid w:val="00C950AB"/>
    <w:rsid w:val="00C9651A"/>
    <w:rsid w:val="00CA6CB3"/>
    <w:rsid w:val="00CB113F"/>
    <w:rsid w:val="00CB384A"/>
    <w:rsid w:val="00CB52E8"/>
    <w:rsid w:val="00CD1947"/>
    <w:rsid w:val="00CE3EF2"/>
    <w:rsid w:val="00CF1E5E"/>
    <w:rsid w:val="00D01B10"/>
    <w:rsid w:val="00D119F5"/>
    <w:rsid w:val="00D12E24"/>
    <w:rsid w:val="00D13E13"/>
    <w:rsid w:val="00D204A0"/>
    <w:rsid w:val="00D24A0B"/>
    <w:rsid w:val="00D24F23"/>
    <w:rsid w:val="00D3484E"/>
    <w:rsid w:val="00D36F73"/>
    <w:rsid w:val="00D40854"/>
    <w:rsid w:val="00D50254"/>
    <w:rsid w:val="00D605BC"/>
    <w:rsid w:val="00D60B22"/>
    <w:rsid w:val="00D61C83"/>
    <w:rsid w:val="00D64906"/>
    <w:rsid w:val="00D74DC3"/>
    <w:rsid w:val="00D83531"/>
    <w:rsid w:val="00D87E36"/>
    <w:rsid w:val="00D912B0"/>
    <w:rsid w:val="00DA3D1A"/>
    <w:rsid w:val="00DB1246"/>
    <w:rsid w:val="00DC17B0"/>
    <w:rsid w:val="00DD31BE"/>
    <w:rsid w:val="00DE3479"/>
    <w:rsid w:val="00DF3D38"/>
    <w:rsid w:val="00DF524E"/>
    <w:rsid w:val="00E03CB4"/>
    <w:rsid w:val="00E13397"/>
    <w:rsid w:val="00E15497"/>
    <w:rsid w:val="00E154A3"/>
    <w:rsid w:val="00E16789"/>
    <w:rsid w:val="00E201A8"/>
    <w:rsid w:val="00E52DFE"/>
    <w:rsid w:val="00E61B19"/>
    <w:rsid w:val="00E62E09"/>
    <w:rsid w:val="00E739B6"/>
    <w:rsid w:val="00E90C89"/>
    <w:rsid w:val="00E930A4"/>
    <w:rsid w:val="00E93BE0"/>
    <w:rsid w:val="00EA5CD7"/>
    <w:rsid w:val="00EC5653"/>
    <w:rsid w:val="00EE071F"/>
    <w:rsid w:val="00EE1EEA"/>
    <w:rsid w:val="00EE321D"/>
    <w:rsid w:val="00F14FCD"/>
    <w:rsid w:val="00F16F13"/>
    <w:rsid w:val="00F372EB"/>
    <w:rsid w:val="00F4263F"/>
    <w:rsid w:val="00F436BC"/>
    <w:rsid w:val="00F46BB2"/>
    <w:rsid w:val="00F52148"/>
    <w:rsid w:val="00F5505E"/>
    <w:rsid w:val="00F62307"/>
    <w:rsid w:val="00F714B3"/>
    <w:rsid w:val="00F7706D"/>
    <w:rsid w:val="00F841D8"/>
    <w:rsid w:val="00F84860"/>
    <w:rsid w:val="00F84EDE"/>
    <w:rsid w:val="00F84F25"/>
    <w:rsid w:val="00FA5345"/>
    <w:rsid w:val="00FB706B"/>
    <w:rsid w:val="00FC3FC5"/>
    <w:rsid w:val="00FD1ED9"/>
    <w:rsid w:val="00FE5045"/>
    <w:rsid w:val="00FF22FD"/>
    <w:rsid w:val="00FF6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unhideWhenUsed/>
    <w:rsid w:val="00DA3D1A"/>
    <w:rPr>
      <w:sz w:val="20"/>
    </w:rPr>
  </w:style>
  <w:style w:type="character" w:customStyle="1" w:styleId="FootnoteTextChar">
    <w:name w:val="Footnote Text Char"/>
    <w:basedOn w:val="DefaultParagraphFont"/>
    <w:link w:val="FootnoteText"/>
    <w:uiPriority w:val="99"/>
    <w:rsid w:val="00DA3D1A"/>
    <w:rPr>
      <w:rFonts w:ascii="Trebuchet MS" w:eastAsia="Times New Roman" w:hAnsi="Trebuchet MS"/>
    </w:rPr>
  </w:style>
  <w:style w:type="character" w:styleId="FootnoteReference">
    <w:name w:val="footnote reference"/>
    <w:basedOn w:val="DefaultParagraphFont"/>
    <w:uiPriority w:val="99"/>
    <w:unhideWhenUsed/>
    <w:qFormat/>
    <w:rsid w:val="00DA3D1A"/>
    <w:rPr>
      <w:vertAlign w:val="superscript"/>
    </w:rPr>
  </w:style>
  <w:style w:type="paragraph" w:styleId="BodyText">
    <w:name w:val="Body Text"/>
    <w:basedOn w:val="Normal"/>
    <w:link w:val="BodyTextChar"/>
    <w:rsid w:val="00BA53BC"/>
    <w:pPr>
      <w:spacing w:after="240"/>
    </w:pPr>
    <w:rPr>
      <w:rFonts w:ascii="Times New Roman" w:hAnsi="Times New Roman"/>
      <w:sz w:val="24"/>
    </w:rPr>
  </w:style>
  <w:style w:type="character" w:customStyle="1" w:styleId="BodyTextChar">
    <w:name w:val="Body Text Char"/>
    <w:basedOn w:val="DefaultParagraphFont"/>
    <w:link w:val="BodyText"/>
    <w:rsid w:val="00BA53BC"/>
    <w:rPr>
      <w:rFonts w:ascii="Times New Roman" w:eastAsia="Times New Roman" w:hAnsi="Times New Roman"/>
      <w:sz w:val="24"/>
    </w:rPr>
  </w:style>
  <w:style w:type="paragraph" w:styleId="Title">
    <w:name w:val="Title"/>
    <w:basedOn w:val="Normal"/>
    <w:link w:val="TitleChar"/>
    <w:qFormat/>
    <w:rsid w:val="00BA53BC"/>
    <w:pPr>
      <w:spacing w:before="360"/>
      <w:jc w:val="center"/>
    </w:pPr>
    <w:rPr>
      <w:rFonts w:ascii="Times New Roman" w:hAnsi="Times New Roman"/>
      <w:b/>
      <w:sz w:val="32"/>
    </w:rPr>
  </w:style>
  <w:style w:type="character" w:customStyle="1" w:styleId="TitleChar">
    <w:name w:val="Title Char"/>
    <w:basedOn w:val="DefaultParagraphFont"/>
    <w:link w:val="Title"/>
    <w:rsid w:val="00BA53BC"/>
    <w:rPr>
      <w:rFonts w:ascii="Times New Roman" w:eastAsia="Times New Roman" w:hAnsi="Times New Roman"/>
      <w:b/>
      <w:sz w:val="32"/>
    </w:rPr>
  </w:style>
  <w:style w:type="paragraph" w:styleId="Revision">
    <w:name w:val="Revision"/>
    <w:hidden/>
    <w:uiPriority w:val="99"/>
    <w:semiHidden/>
    <w:rsid w:val="008306CD"/>
    <w:rPr>
      <w:rFonts w:ascii="Trebuchet MS" w:eastAsia="Times New Roman" w:hAnsi="Trebuchet MS"/>
      <w:sz w:val="22"/>
    </w:rPr>
  </w:style>
  <w:style w:type="character" w:styleId="FollowedHyperlink">
    <w:name w:val="FollowedHyperlink"/>
    <w:basedOn w:val="DefaultParagraphFont"/>
    <w:uiPriority w:val="99"/>
    <w:semiHidden/>
    <w:unhideWhenUsed/>
    <w:rsid w:val="008F4629"/>
    <w:rPr>
      <w:color w:val="800080" w:themeColor="followedHyperlink"/>
      <w:u w:val="single"/>
    </w:rPr>
  </w:style>
  <w:style w:type="character" w:styleId="UnresolvedMention">
    <w:name w:val="Unresolved Mention"/>
    <w:basedOn w:val="DefaultParagraphFont"/>
    <w:uiPriority w:val="99"/>
    <w:semiHidden/>
    <w:unhideWhenUsed/>
    <w:rsid w:val="00371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360568">
      <w:bodyDiv w:val="1"/>
      <w:marLeft w:val="0"/>
      <w:marRight w:val="0"/>
      <w:marTop w:val="0"/>
      <w:marBottom w:val="0"/>
      <w:divBdr>
        <w:top w:val="none" w:sz="0" w:space="0" w:color="auto"/>
        <w:left w:val="none" w:sz="0" w:space="0" w:color="auto"/>
        <w:bottom w:val="none" w:sz="0" w:space="0" w:color="auto"/>
        <w:right w:val="none" w:sz="0" w:space="0" w:color="auto"/>
      </w:divBdr>
    </w:div>
    <w:div w:id="20174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collection-of-cyber-insurance-and-management-liability-data-national-claims-and-policies-database-0" TargetMode="External"/><Relationship Id="rId1" Type="http://schemas.openxmlformats.org/officeDocument/2006/relationships/hyperlink" Target="https://www.apra.gov.au/collection-of-cyber-insurance-and-management-liability-data-national-claims-and-policies-databas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FS(COD)(RS) determination No 1-6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5JENXJJSCC7A-445999044-11456</_dlc_DocId>
    <_dlc_DocIdUrl xmlns="814d62cb-2db6-4c25-ab62-b9075facbc11">
      <Url>https://im/teams/LEGAL/_layouts/15/DocIdRedir.aspx?ID=5JENXJJSCC7A-445999044-11456</Url>
      <Description>5JENXJJSCC7A-445999044-11456</Description>
    </_dlc_DocIdUrl>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2.xml><?xml version="1.0" encoding="utf-8"?>
<ds:datastoreItem xmlns:ds="http://schemas.openxmlformats.org/officeDocument/2006/customXml" ds:itemID="{3B74E0B5-57C2-4781-900D-667EC70EB54A}">
  <ds:schemaRefs>
    <ds:schemaRef ds:uri="http://www.w3.org/XML/1998/namespace"/>
    <ds:schemaRef ds:uri="http://purl.org/dc/dcmitype/"/>
    <ds:schemaRef ds:uri="http://purl.org/dc/terms/"/>
    <ds:schemaRef ds:uri="http://schemas.microsoft.com/office/2006/metadata/properties"/>
    <ds:schemaRef ds:uri="814d62cb-2db6-4c25-ab62-b9075facbc11"/>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4.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5.xml><?xml version="1.0" encoding="utf-8"?>
<ds:datastoreItem xmlns:ds="http://schemas.openxmlformats.org/officeDocument/2006/customXml" ds:itemID="{208B6C83-5A5F-4890-B2AE-68D9FB47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44465C-79C6-4CF2-BA1A-3B49F99B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7</Pages>
  <Words>2779</Words>
  <Characters>15761</Characters>
  <Application>Microsoft Office Word</Application>
  <DocSecurity>0</DocSecurity>
  <Lines>276</Lines>
  <Paragraphs>89</Paragraphs>
  <ScaleCrop>false</ScaleCrop>
  <HeadingPairs>
    <vt:vector size="2" baseType="variant">
      <vt:variant>
        <vt:lpstr>Title</vt:lpstr>
      </vt:variant>
      <vt:variant>
        <vt:i4>1</vt:i4>
      </vt:variant>
    </vt:vector>
  </HeadingPairs>
  <TitlesOfParts>
    <vt:vector size="1" baseType="lpstr">
      <vt:lpstr>ES GRS and LOLRS Reporting Standards - FINAL</vt:lpstr>
    </vt:vector>
  </TitlesOfParts>
  <Company>APRA</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1-6 of 2021</dc:title>
  <dc:creator>Sullivan, David</dc:creator>
  <cp:keywords>[SEC=OFFICIAL]</cp:keywords>
  <cp:lastModifiedBy>Michalis, Toni</cp:lastModifiedBy>
  <cp:revision>2</cp:revision>
  <cp:lastPrinted>2018-03-15T21:44:00Z</cp:lastPrinted>
  <dcterms:created xsi:type="dcterms:W3CDTF">2021-03-24T10:26:00Z</dcterms:created>
  <dcterms:modified xsi:type="dcterms:W3CDTF">2021-03-24T10:26:00Z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316898AF3743039B2AB22D1AC1CC717F8448B462</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2021-03-24T10:26:28Z</vt:lpwstr>
  </property>
  <property fmtid="{D5CDD505-2E9C-101B-9397-08002B2CF9AE}" pid="17" name="PM_Hash_Version">
    <vt:lpwstr>2018.0</vt:lpwstr>
  </property>
  <property fmtid="{D5CDD505-2E9C-101B-9397-08002B2CF9AE}" pid="18" name="PM_Hash_Salt_Prev">
    <vt:lpwstr>9EB52FF56C15B9E5294060BA47D53E97</vt:lpwstr>
  </property>
  <property fmtid="{D5CDD505-2E9C-101B-9397-08002B2CF9AE}" pid="19" name="PM_Hash_Salt">
    <vt:lpwstr>0A3894FA544472BDF6628CC43C77740C</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9449b472-b499-440f-931a-ef385b4d1158</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{9449b472-b499-440f-931a-ef385b4d1158}</vt:lpwstr>
  </property>
  <property fmtid="{D5CDD505-2E9C-101B-9397-08002B2CF9AE}" pid="43" name="RecordPoint_RecordNumberSubmitted">
    <vt:lpwstr>R0001310640</vt:lpwstr>
  </property>
  <property fmtid="{D5CDD505-2E9C-101B-9397-08002B2CF9AE}" pid="44" name="RecordPoint_SubmissionCompleted">
    <vt:lpwstr>2021-03-24T22:25:52.9745773+11:00</vt:lpwstr>
  </property>
  <property fmtid="{D5CDD505-2E9C-101B-9397-08002B2CF9AE}" pid="45" name="_docset_NoMedatataSyncRequired">
    <vt:lpwstr>False</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PM_Note">
    <vt:lpwstr/>
  </property>
  <property fmtid="{D5CDD505-2E9C-101B-9397-08002B2CF9AE}" pid="49" name="PM_Markers">
    <vt:lpwstr/>
  </property>
  <property fmtid="{D5CDD505-2E9C-101B-9397-08002B2CF9AE}" pid="50" name="RecordPoint_SubmissionDate">
    <vt:lpwstr/>
  </property>
  <property fmtid="{D5CDD505-2E9C-101B-9397-08002B2CF9AE}" pid="51" name="RecordPoint_ActiveItemMoved">
    <vt:lpwstr/>
  </property>
  <property fmtid="{D5CDD505-2E9C-101B-9397-08002B2CF9AE}" pid="52" name="RecordPoint_RecordFormat">
    <vt:lpwstr/>
  </property>
</Properties>
</file>