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19360143">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62DAF367" w:rsidR="00086BF0" w:rsidRDefault="0033692B" w:rsidP="00086BF0">
      <w:pPr>
        <w:pStyle w:val="ShortT"/>
      </w:pPr>
      <w:r>
        <w:t xml:space="preserve">Radiocommunications </w:t>
      </w:r>
      <w:r w:rsidR="00ED0F28">
        <w:t>(</w:t>
      </w:r>
      <w:r w:rsidR="00BA4B16">
        <w:t>3.4 GHz Band</w:t>
      </w:r>
      <w:r>
        <w:t xml:space="preserve">) </w:t>
      </w:r>
      <w:r w:rsidR="00BA4B16">
        <w:t>Spectrum Conversion Plan</w:t>
      </w:r>
      <w:r>
        <w:t xml:space="preserve"> 2021</w:t>
      </w:r>
    </w:p>
    <w:p w14:paraId="75AA3C11" w14:textId="77777777" w:rsidR="00086BF0" w:rsidRDefault="00086BF0" w:rsidP="00086BF0">
      <w:pPr>
        <w:pStyle w:val="SignCoverPageStart"/>
        <w:spacing w:before="0" w:line="240" w:lineRule="auto"/>
        <w:rPr>
          <w:szCs w:val="22"/>
        </w:rPr>
      </w:pPr>
    </w:p>
    <w:p w14:paraId="1ECF4D11" w14:textId="239AE42F"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BA4B16">
        <w:rPr>
          <w:szCs w:val="22"/>
        </w:rPr>
        <w:t>plan</w:t>
      </w:r>
      <w:r>
        <w:rPr>
          <w:szCs w:val="22"/>
        </w:rPr>
        <w:t xml:space="preserve"> under </w:t>
      </w:r>
      <w:r w:rsidR="00CD293A">
        <w:t>subsection</w:t>
      </w:r>
      <w:r w:rsidR="006B6C91">
        <w:t> </w:t>
      </w:r>
      <w:r w:rsidR="00BA4B16">
        <w:t>38</w:t>
      </w:r>
      <w:r w:rsidR="00CD293A">
        <w:t>(1)</w:t>
      </w:r>
      <w:r>
        <w:t xml:space="preserve"> of the </w:t>
      </w:r>
      <w:r w:rsidR="00CD293A">
        <w:rPr>
          <w:i/>
        </w:rPr>
        <w:t>Radiocommunications Act 1992</w:t>
      </w:r>
      <w:r>
        <w:t>.</w:t>
      </w:r>
    </w:p>
    <w:p w14:paraId="11CC4671" w14:textId="1FCADE5C"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022D60">
        <w:rPr>
          <w:rFonts w:ascii="Times New Roman" w:hAnsi="Times New Roman" w:cs="Times New Roman"/>
        </w:rPr>
        <w:t xml:space="preserve"> 22 March 2021</w:t>
      </w:r>
    </w:p>
    <w:p w14:paraId="605EC01C" w14:textId="42E89835" w:rsidR="00022D60" w:rsidRDefault="00022D60" w:rsidP="00022D60">
      <w:pPr>
        <w:tabs>
          <w:tab w:val="left" w:pos="3119"/>
        </w:tabs>
        <w:spacing w:after="0" w:line="300" w:lineRule="atLeast"/>
        <w:ind w:right="375"/>
        <w:jc w:val="right"/>
        <w:rPr>
          <w:rFonts w:ascii="Times New Roman" w:hAnsi="Times New Roman" w:cs="Times New Roman"/>
        </w:rPr>
      </w:pPr>
      <w:proofErr w:type="spellStart"/>
      <w:r>
        <w:rPr>
          <w:rFonts w:ascii="Times New Roman" w:hAnsi="Times New Roman" w:cs="Times New Roman"/>
        </w:rPr>
        <w:t>Creina</w:t>
      </w:r>
      <w:proofErr w:type="spellEnd"/>
      <w:r>
        <w:rPr>
          <w:rFonts w:ascii="Times New Roman" w:hAnsi="Times New Roman" w:cs="Times New Roman"/>
        </w:rPr>
        <w:t xml:space="preserve"> Chapman</w:t>
      </w:r>
    </w:p>
    <w:p w14:paraId="57DA8D5D" w14:textId="33F1BBF6" w:rsidR="00022D60" w:rsidRDefault="00022D60" w:rsidP="00022D6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2F1D746A" w:rsidR="00086BF0" w:rsidRDefault="00086BF0" w:rsidP="00022D6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1807D6FC" w14:textId="3D1D1D3C" w:rsidR="00022D60" w:rsidRDefault="00022D60" w:rsidP="00022D60">
      <w:pPr>
        <w:tabs>
          <w:tab w:val="left" w:pos="3119"/>
        </w:tabs>
        <w:spacing w:after="0" w:line="300" w:lineRule="atLeast"/>
        <w:ind w:right="375"/>
        <w:jc w:val="right"/>
        <w:rPr>
          <w:rFonts w:ascii="Times New Roman" w:hAnsi="Times New Roman" w:cs="Times New Roman"/>
        </w:rPr>
      </w:pPr>
    </w:p>
    <w:p w14:paraId="20F7583F" w14:textId="4CA76771" w:rsidR="00022D60" w:rsidRDefault="00022D60" w:rsidP="00022D6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Brendan Byrne</w:t>
      </w:r>
    </w:p>
    <w:p w14:paraId="59AD8F71" w14:textId="572FD268" w:rsidR="00022D60" w:rsidRDefault="00022D60" w:rsidP="00022D60">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Default="00086BF0" w:rsidP="00022D60">
      <w:pPr>
        <w:tabs>
          <w:tab w:val="left" w:pos="3119"/>
        </w:tabs>
        <w:spacing w:after="0" w:line="300" w:lineRule="atLeast"/>
        <w:ind w:right="375"/>
        <w:jc w:val="right"/>
        <w:rPr>
          <w:rFonts w:ascii="Times New Roman" w:hAnsi="Times New Roman" w:cs="Times New Roman"/>
        </w:rPr>
      </w:pPr>
      <w:r w:rsidRPr="00022D60">
        <w:rPr>
          <w:rFonts w:ascii="Times New Roman" w:hAnsi="Times New Roman" w:cs="Times New Roman"/>
          <w:strike/>
        </w:rPr>
        <w:t>Member</w:t>
      </w:r>
      <w:r>
        <w:rPr>
          <w:rFonts w:ascii="Times New Roman" w:hAnsi="Times New Roman" w:cs="Times New Roman"/>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pPr>
    </w:p>
    <w:p w14:paraId="01E11DB3" w14:textId="77777777" w:rsidR="00086BF0" w:rsidRPr="00A669CB" w:rsidRDefault="00086BF0" w:rsidP="00086BF0">
      <w:pPr>
        <w:rPr>
          <w:rFonts w:ascii="Times New Roman" w:hAnsi="Times New Roman" w:cs="Times New Roman"/>
          <w:sz w:val="36"/>
          <w:szCs w:val="36"/>
        </w:rPr>
      </w:pPr>
      <w:r w:rsidRPr="00A669CB">
        <w:rPr>
          <w:rFonts w:ascii="Times New Roman" w:hAnsi="Times New Roman" w:cs="Times New Roman"/>
          <w:sz w:val="36"/>
          <w:szCs w:val="36"/>
        </w:rPr>
        <w:lastRenderedPageBreak/>
        <w:t>Contents</w:t>
      </w:r>
    </w:p>
    <w:p w14:paraId="1054714A" w14:textId="43306228" w:rsidR="00A669CB" w:rsidRPr="00A669CB" w:rsidRDefault="00016407">
      <w:pPr>
        <w:pStyle w:val="TOC1"/>
        <w:tabs>
          <w:tab w:val="right" w:leader="dot" w:pos="9016"/>
        </w:tabs>
        <w:rPr>
          <w:rFonts w:ascii="Times New Roman" w:eastAsiaTheme="minorEastAsia" w:hAnsi="Times New Roman" w:cs="Times New Roman"/>
          <w:noProof/>
          <w:lang w:eastAsia="en-AU"/>
        </w:rPr>
      </w:pPr>
      <w:r w:rsidRPr="00A669CB">
        <w:rPr>
          <w:rFonts w:ascii="Times New Roman" w:hAnsi="Times New Roman" w:cs="Times New Roman"/>
          <w:b/>
          <w:sz w:val="24"/>
          <w:szCs w:val="24"/>
        </w:rPr>
        <w:fldChar w:fldCharType="begin"/>
      </w:r>
      <w:r w:rsidRPr="00A669CB">
        <w:rPr>
          <w:rFonts w:ascii="Times New Roman" w:hAnsi="Times New Roman" w:cs="Times New Roman"/>
          <w:b/>
          <w:sz w:val="24"/>
          <w:szCs w:val="24"/>
        </w:rPr>
        <w:instrText xml:space="preserve"> TOC \o "1-1" \h \z \t "ActHead 5,2" </w:instrText>
      </w:r>
      <w:r w:rsidRPr="00A669CB">
        <w:rPr>
          <w:rFonts w:ascii="Times New Roman" w:hAnsi="Times New Roman" w:cs="Times New Roman"/>
          <w:b/>
          <w:sz w:val="24"/>
          <w:szCs w:val="24"/>
        </w:rPr>
        <w:fldChar w:fldCharType="separate"/>
      </w:r>
      <w:hyperlink w:anchor="_Toc64643889" w:history="1">
        <w:r w:rsidR="00A669CB" w:rsidRPr="00A669CB">
          <w:rPr>
            <w:rStyle w:val="Hyperlink"/>
            <w:rFonts w:ascii="Times New Roman" w:hAnsi="Times New Roman" w:cs="Times New Roman"/>
            <w:b/>
            <w:bCs/>
            <w:noProof/>
          </w:rPr>
          <w:t>Part 1—Preliminary</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_Toc64643889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1</w:t>
        </w:r>
        <w:r w:rsidR="00A669CB" w:rsidRPr="00A669CB">
          <w:rPr>
            <w:rFonts w:ascii="Times New Roman" w:hAnsi="Times New Roman" w:cs="Times New Roman"/>
            <w:noProof/>
            <w:webHidden/>
          </w:rPr>
          <w:fldChar w:fldCharType="end"/>
        </w:r>
      </w:hyperlink>
    </w:p>
    <w:p w14:paraId="128AE2F0" w14:textId="5F880F25"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890" w:history="1">
        <w:r w:rsidR="00A669CB" w:rsidRPr="00A669CB">
          <w:rPr>
            <w:rStyle w:val="Hyperlink"/>
            <w:rFonts w:ascii="Times New Roman" w:hAnsi="Times New Roman" w:cs="Times New Roman"/>
            <w:noProof/>
          </w:rPr>
          <w:t>1  Name</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_Toc64643890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1</w:t>
        </w:r>
        <w:r w:rsidR="00A669CB" w:rsidRPr="00A669CB">
          <w:rPr>
            <w:rFonts w:ascii="Times New Roman" w:hAnsi="Times New Roman" w:cs="Times New Roman"/>
            <w:noProof/>
            <w:webHidden/>
          </w:rPr>
          <w:fldChar w:fldCharType="end"/>
        </w:r>
      </w:hyperlink>
    </w:p>
    <w:p w14:paraId="7530D21C" w14:textId="5C8A71F6"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891" w:history="1">
        <w:r w:rsidR="00A669CB" w:rsidRPr="00A669CB">
          <w:rPr>
            <w:rStyle w:val="Hyperlink"/>
            <w:rFonts w:ascii="Times New Roman" w:hAnsi="Times New Roman" w:cs="Times New Roman"/>
            <w:noProof/>
          </w:rPr>
          <w:t>2  Commencement</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_Toc64643891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1</w:t>
        </w:r>
        <w:r w:rsidR="00A669CB" w:rsidRPr="00A669CB">
          <w:rPr>
            <w:rFonts w:ascii="Times New Roman" w:hAnsi="Times New Roman" w:cs="Times New Roman"/>
            <w:noProof/>
            <w:webHidden/>
          </w:rPr>
          <w:fldChar w:fldCharType="end"/>
        </w:r>
      </w:hyperlink>
    </w:p>
    <w:p w14:paraId="6CF97837" w14:textId="3FA4439F"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892" w:history="1">
        <w:r w:rsidR="00A669CB" w:rsidRPr="00A669CB">
          <w:rPr>
            <w:rStyle w:val="Hyperlink"/>
            <w:rFonts w:ascii="Times New Roman" w:hAnsi="Times New Roman" w:cs="Times New Roman"/>
            <w:noProof/>
          </w:rPr>
          <w:t>3  Authority</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_Toc64643892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1</w:t>
        </w:r>
        <w:r w:rsidR="00A669CB" w:rsidRPr="00A669CB">
          <w:rPr>
            <w:rFonts w:ascii="Times New Roman" w:hAnsi="Times New Roman" w:cs="Times New Roman"/>
            <w:noProof/>
            <w:webHidden/>
          </w:rPr>
          <w:fldChar w:fldCharType="end"/>
        </w:r>
      </w:hyperlink>
    </w:p>
    <w:p w14:paraId="3985B7C3" w14:textId="6B325C6A"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893" w:history="1">
        <w:r w:rsidR="00A669CB" w:rsidRPr="00A669CB">
          <w:rPr>
            <w:rStyle w:val="Hyperlink"/>
            <w:rFonts w:ascii="Times New Roman" w:hAnsi="Times New Roman" w:cs="Times New Roman"/>
            <w:noProof/>
          </w:rPr>
          <w:t>4  Definitions</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_Toc64643893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1</w:t>
        </w:r>
        <w:r w:rsidR="00A669CB" w:rsidRPr="00A669CB">
          <w:rPr>
            <w:rFonts w:ascii="Times New Roman" w:hAnsi="Times New Roman" w:cs="Times New Roman"/>
            <w:noProof/>
            <w:webHidden/>
          </w:rPr>
          <w:fldChar w:fldCharType="end"/>
        </w:r>
      </w:hyperlink>
    </w:p>
    <w:p w14:paraId="59E78F53" w14:textId="0607D426"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894" w:history="1">
        <w:r w:rsidR="00A669CB" w:rsidRPr="00A669CB">
          <w:rPr>
            <w:rStyle w:val="Hyperlink"/>
            <w:rFonts w:ascii="Times New Roman" w:hAnsi="Times New Roman" w:cs="Times New Roman"/>
            <w:noProof/>
          </w:rPr>
          <w:t>5  References to other instruments</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_Toc64643894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2</w:t>
        </w:r>
        <w:r w:rsidR="00A669CB" w:rsidRPr="00A669CB">
          <w:rPr>
            <w:rFonts w:ascii="Times New Roman" w:hAnsi="Times New Roman" w:cs="Times New Roman"/>
            <w:noProof/>
            <w:webHidden/>
          </w:rPr>
          <w:fldChar w:fldCharType="end"/>
        </w:r>
      </w:hyperlink>
    </w:p>
    <w:p w14:paraId="23725B0A" w14:textId="178AD613"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895" w:history="1">
        <w:r w:rsidR="00A669CB" w:rsidRPr="00A669CB">
          <w:rPr>
            <w:rStyle w:val="Hyperlink"/>
            <w:rFonts w:ascii="Times New Roman" w:hAnsi="Times New Roman" w:cs="Times New Roman"/>
            <w:noProof/>
          </w:rPr>
          <w:t>6  References to frequency ranges</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_Toc64643895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2</w:t>
        </w:r>
        <w:r w:rsidR="00A669CB" w:rsidRPr="00A669CB">
          <w:rPr>
            <w:rFonts w:ascii="Times New Roman" w:hAnsi="Times New Roman" w:cs="Times New Roman"/>
            <w:noProof/>
            <w:webHidden/>
          </w:rPr>
          <w:fldChar w:fldCharType="end"/>
        </w:r>
      </w:hyperlink>
    </w:p>
    <w:p w14:paraId="751B5A15" w14:textId="3B87066B" w:rsidR="00A669CB" w:rsidRPr="00A669CB" w:rsidRDefault="00022D60">
      <w:pPr>
        <w:pStyle w:val="TOC1"/>
        <w:tabs>
          <w:tab w:val="right" w:leader="dot" w:pos="9016"/>
        </w:tabs>
        <w:rPr>
          <w:rFonts w:ascii="Times New Roman" w:eastAsiaTheme="minorEastAsia" w:hAnsi="Times New Roman" w:cs="Times New Roman"/>
          <w:noProof/>
          <w:lang w:eastAsia="en-AU"/>
        </w:rPr>
      </w:pPr>
      <w:hyperlink w:anchor="_Toc64643896" w:history="1">
        <w:r w:rsidR="00A669CB" w:rsidRPr="00A669CB">
          <w:rPr>
            <w:rStyle w:val="Hyperlink"/>
            <w:rFonts w:ascii="Times New Roman" w:hAnsi="Times New Roman" w:cs="Times New Roman"/>
            <w:b/>
            <w:bCs/>
            <w:noProof/>
          </w:rPr>
          <w:t>Part 2—Procedures and timetable for issuing spectrum licences</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_Toc64643896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3</w:t>
        </w:r>
        <w:r w:rsidR="00A669CB" w:rsidRPr="00A669CB">
          <w:rPr>
            <w:rFonts w:ascii="Times New Roman" w:hAnsi="Times New Roman" w:cs="Times New Roman"/>
            <w:noProof/>
            <w:webHidden/>
          </w:rPr>
          <w:fldChar w:fldCharType="end"/>
        </w:r>
      </w:hyperlink>
    </w:p>
    <w:p w14:paraId="355BD476" w14:textId="3E20CB93"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897" w:history="1">
        <w:r w:rsidR="00A669CB" w:rsidRPr="00A669CB">
          <w:rPr>
            <w:rStyle w:val="Hyperlink"/>
            <w:rFonts w:ascii="Times New Roman" w:hAnsi="Times New Roman" w:cs="Times New Roman"/>
            <w:noProof/>
          </w:rPr>
          <w:t>7  Simplified outline of this Part</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_Toc64643897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3</w:t>
        </w:r>
        <w:r w:rsidR="00A669CB" w:rsidRPr="00A669CB">
          <w:rPr>
            <w:rFonts w:ascii="Times New Roman" w:hAnsi="Times New Roman" w:cs="Times New Roman"/>
            <w:noProof/>
            <w:webHidden/>
          </w:rPr>
          <w:fldChar w:fldCharType="end"/>
        </w:r>
      </w:hyperlink>
    </w:p>
    <w:p w14:paraId="1EF27E06" w14:textId="4A0436B9"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898" w:history="1">
        <w:r w:rsidR="00A669CB" w:rsidRPr="00A669CB">
          <w:rPr>
            <w:rStyle w:val="Hyperlink"/>
            <w:rFonts w:ascii="Times New Roman" w:hAnsi="Times New Roman" w:cs="Times New Roman"/>
            <w:noProof/>
          </w:rPr>
          <w:t>8  Procedures and timetable – preparation of draft spectrum licences and consultation</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_Toc64643898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3</w:t>
        </w:r>
        <w:r w:rsidR="00A669CB" w:rsidRPr="00A669CB">
          <w:rPr>
            <w:rFonts w:ascii="Times New Roman" w:hAnsi="Times New Roman" w:cs="Times New Roman"/>
            <w:noProof/>
            <w:webHidden/>
          </w:rPr>
          <w:fldChar w:fldCharType="end"/>
        </w:r>
      </w:hyperlink>
    </w:p>
    <w:p w14:paraId="57D966C6" w14:textId="183140C2"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899" w:history="1">
        <w:r w:rsidR="00A669CB" w:rsidRPr="00A669CB">
          <w:rPr>
            <w:rStyle w:val="Hyperlink"/>
            <w:rFonts w:ascii="Times New Roman" w:hAnsi="Times New Roman" w:cs="Times New Roman"/>
            <w:noProof/>
          </w:rPr>
          <w:t>9  Procedures and timetable – offer of spectrum licences</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_Toc64643899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3</w:t>
        </w:r>
        <w:r w:rsidR="00A669CB" w:rsidRPr="00A669CB">
          <w:rPr>
            <w:rFonts w:ascii="Times New Roman" w:hAnsi="Times New Roman" w:cs="Times New Roman"/>
            <w:noProof/>
            <w:webHidden/>
          </w:rPr>
          <w:fldChar w:fldCharType="end"/>
        </w:r>
      </w:hyperlink>
    </w:p>
    <w:p w14:paraId="4A48956B" w14:textId="08C722CD"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900" w:history="1">
        <w:r w:rsidR="00A669CB" w:rsidRPr="00A669CB">
          <w:rPr>
            <w:rStyle w:val="Hyperlink"/>
            <w:rFonts w:ascii="Times New Roman" w:hAnsi="Times New Roman" w:cs="Times New Roman"/>
            <w:noProof/>
          </w:rPr>
          <w:t>10  Procedures and timetable – acceptance of offer</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_Toc64643900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4</w:t>
        </w:r>
        <w:r w:rsidR="00A669CB" w:rsidRPr="00A669CB">
          <w:rPr>
            <w:rFonts w:ascii="Times New Roman" w:hAnsi="Times New Roman" w:cs="Times New Roman"/>
            <w:noProof/>
            <w:webHidden/>
          </w:rPr>
          <w:fldChar w:fldCharType="end"/>
        </w:r>
      </w:hyperlink>
    </w:p>
    <w:p w14:paraId="5D98FB64" w14:textId="7D77145D"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901" w:history="1">
        <w:r w:rsidR="00A669CB" w:rsidRPr="00A669CB">
          <w:rPr>
            <w:rStyle w:val="Hyperlink"/>
            <w:rFonts w:ascii="Times New Roman" w:hAnsi="Times New Roman" w:cs="Times New Roman"/>
            <w:noProof/>
          </w:rPr>
          <w:t>11  Procedures – acceptance form</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_Toc64643901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4</w:t>
        </w:r>
        <w:r w:rsidR="00A669CB" w:rsidRPr="00A669CB">
          <w:rPr>
            <w:rFonts w:ascii="Times New Roman" w:hAnsi="Times New Roman" w:cs="Times New Roman"/>
            <w:noProof/>
            <w:webHidden/>
          </w:rPr>
          <w:fldChar w:fldCharType="end"/>
        </w:r>
      </w:hyperlink>
    </w:p>
    <w:p w14:paraId="50F11D25" w14:textId="7A1934B0"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902" w:history="1">
        <w:r w:rsidR="00A669CB" w:rsidRPr="00A669CB">
          <w:rPr>
            <w:rStyle w:val="Hyperlink"/>
            <w:rFonts w:ascii="Times New Roman" w:hAnsi="Times New Roman" w:cs="Times New Roman"/>
            <w:noProof/>
          </w:rPr>
          <w:t>12  Procedures and timetable – issue of spectrum licences</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_Toc64643902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4</w:t>
        </w:r>
        <w:r w:rsidR="00A669CB" w:rsidRPr="00A669CB">
          <w:rPr>
            <w:rFonts w:ascii="Times New Roman" w:hAnsi="Times New Roman" w:cs="Times New Roman"/>
            <w:noProof/>
            <w:webHidden/>
          </w:rPr>
          <w:fldChar w:fldCharType="end"/>
        </w:r>
      </w:hyperlink>
    </w:p>
    <w:p w14:paraId="4CF7EAE8" w14:textId="6A873245"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903" w:history="1">
        <w:r w:rsidR="00A669CB" w:rsidRPr="00A669CB">
          <w:rPr>
            <w:rStyle w:val="Hyperlink"/>
            <w:rFonts w:ascii="Times New Roman" w:hAnsi="Times New Roman" w:cs="Times New Roman"/>
            <w:noProof/>
          </w:rPr>
          <w:t>13  Procedures – failure to accept offer</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_Toc64643903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5</w:t>
        </w:r>
        <w:r w:rsidR="00A669CB" w:rsidRPr="00A669CB">
          <w:rPr>
            <w:rFonts w:ascii="Times New Roman" w:hAnsi="Times New Roman" w:cs="Times New Roman"/>
            <w:noProof/>
            <w:webHidden/>
          </w:rPr>
          <w:fldChar w:fldCharType="end"/>
        </w:r>
      </w:hyperlink>
    </w:p>
    <w:p w14:paraId="5DFBB7A5" w14:textId="112BEA91"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904" w:history="1">
        <w:r w:rsidR="00A669CB" w:rsidRPr="00A669CB">
          <w:rPr>
            <w:rStyle w:val="Hyperlink"/>
            <w:rFonts w:ascii="Times New Roman" w:hAnsi="Times New Roman" w:cs="Times New Roman"/>
            <w:noProof/>
          </w:rPr>
          <w:t>14  Procedures – payment of spectrum access charge</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_Toc64643904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5</w:t>
        </w:r>
        <w:r w:rsidR="00A669CB" w:rsidRPr="00A669CB">
          <w:rPr>
            <w:rFonts w:ascii="Times New Roman" w:hAnsi="Times New Roman" w:cs="Times New Roman"/>
            <w:noProof/>
            <w:webHidden/>
          </w:rPr>
          <w:fldChar w:fldCharType="end"/>
        </w:r>
      </w:hyperlink>
    </w:p>
    <w:p w14:paraId="1CC12E54" w14:textId="7D9A94C2" w:rsidR="00A669CB" w:rsidRPr="00A669CB" w:rsidRDefault="00022D60">
      <w:pPr>
        <w:pStyle w:val="TOC1"/>
        <w:tabs>
          <w:tab w:val="right" w:leader="dot" w:pos="9016"/>
        </w:tabs>
        <w:rPr>
          <w:rFonts w:ascii="Times New Roman" w:eastAsiaTheme="minorEastAsia" w:hAnsi="Times New Roman" w:cs="Times New Roman"/>
          <w:noProof/>
          <w:lang w:eastAsia="en-AU"/>
        </w:rPr>
      </w:pPr>
      <w:hyperlink w:anchor="_Toc64643905" w:history="1">
        <w:r w:rsidR="00A669CB" w:rsidRPr="00A669CB">
          <w:rPr>
            <w:rStyle w:val="Hyperlink"/>
            <w:rFonts w:ascii="Times New Roman" w:hAnsi="Times New Roman" w:cs="Times New Roman"/>
            <w:b/>
            <w:bCs/>
            <w:noProof/>
          </w:rPr>
          <w:t>Part 3—Content of spectrum licences</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_Toc64643905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6</w:t>
        </w:r>
        <w:r w:rsidR="00A669CB" w:rsidRPr="00A669CB">
          <w:rPr>
            <w:rFonts w:ascii="Times New Roman" w:hAnsi="Times New Roman" w:cs="Times New Roman"/>
            <w:noProof/>
            <w:webHidden/>
          </w:rPr>
          <w:fldChar w:fldCharType="end"/>
        </w:r>
      </w:hyperlink>
    </w:p>
    <w:p w14:paraId="3A1B09E2" w14:textId="0E204CD9"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906" w:history="1">
        <w:r w:rsidR="00A669CB" w:rsidRPr="00A669CB">
          <w:rPr>
            <w:rStyle w:val="Hyperlink"/>
            <w:rFonts w:ascii="Times New Roman" w:hAnsi="Times New Roman" w:cs="Times New Roman"/>
            <w:noProof/>
          </w:rPr>
          <w:t>15  Simplified outline of this Part</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_Toc64643906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6</w:t>
        </w:r>
        <w:r w:rsidR="00A669CB" w:rsidRPr="00A669CB">
          <w:rPr>
            <w:rFonts w:ascii="Times New Roman" w:hAnsi="Times New Roman" w:cs="Times New Roman"/>
            <w:noProof/>
            <w:webHidden/>
          </w:rPr>
          <w:fldChar w:fldCharType="end"/>
        </w:r>
      </w:hyperlink>
    </w:p>
    <w:p w14:paraId="3A56F3E0" w14:textId="7F5EE315"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907" w:history="1">
        <w:r w:rsidR="00A669CB" w:rsidRPr="00A669CB">
          <w:rPr>
            <w:rStyle w:val="Hyperlink"/>
            <w:rFonts w:ascii="Times New Roman" w:hAnsi="Times New Roman" w:cs="Times New Roman"/>
            <w:noProof/>
          </w:rPr>
          <w:t>16  Spectrum licences – what will replace existing apparatus licences</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_Toc64643907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6</w:t>
        </w:r>
        <w:r w:rsidR="00A669CB" w:rsidRPr="00A669CB">
          <w:rPr>
            <w:rFonts w:ascii="Times New Roman" w:hAnsi="Times New Roman" w:cs="Times New Roman"/>
            <w:noProof/>
            <w:webHidden/>
          </w:rPr>
          <w:fldChar w:fldCharType="end"/>
        </w:r>
      </w:hyperlink>
    </w:p>
    <w:p w14:paraId="34D6AADF" w14:textId="1CA3011C"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908" w:history="1">
        <w:r w:rsidR="00A669CB" w:rsidRPr="00A669CB">
          <w:rPr>
            <w:rStyle w:val="Hyperlink"/>
            <w:rFonts w:ascii="Times New Roman" w:hAnsi="Times New Roman" w:cs="Times New Roman"/>
            <w:noProof/>
          </w:rPr>
          <w:t>17  Spectrum licences – commencement and duration</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_Toc64643908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6</w:t>
        </w:r>
        <w:r w:rsidR="00A669CB" w:rsidRPr="00A669CB">
          <w:rPr>
            <w:rFonts w:ascii="Times New Roman" w:hAnsi="Times New Roman" w:cs="Times New Roman"/>
            <w:noProof/>
            <w:webHidden/>
          </w:rPr>
          <w:fldChar w:fldCharType="end"/>
        </w:r>
      </w:hyperlink>
    </w:p>
    <w:p w14:paraId="2A660654" w14:textId="0E8BF860"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909" w:history="1">
        <w:r w:rsidR="00A669CB" w:rsidRPr="00A669CB">
          <w:rPr>
            <w:rStyle w:val="Hyperlink"/>
            <w:rFonts w:ascii="Times New Roman" w:hAnsi="Times New Roman" w:cs="Times New Roman"/>
            <w:noProof/>
          </w:rPr>
          <w:t>18  Spectrum licences – core conditions relating to parts of the spectrum and areas</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_Toc64643909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6</w:t>
        </w:r>
        <w:r w:rsidR="00A669CB" w:rsidRPr="00A669CB">
          <w:rPr>
            <w:rFonts w:ascii="Times New Roman" w:hAnsi="Times New Roman" w:cs="Times New Roman"/>
            <w:noProof/>
            <w:webHidden/>
          </w:rPr>
          <w:fldChar w:fldCharType="end"/>
        </w:r>
      </w:hyperlink>
    </w:p>
    <w:p w14:paraId="270D8BC6" w14:textId="1FFD894A"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910" w:history="1">
        <w:r w:rsidR="00A669CB" w:rsidRPr="00A669CB">
          <w:rPr>
            <w:rStyle w:val="Hyperlink"/>
            <w:rFonts w:ascii="Times New Roman" w:hAnsi="Times New Roman" w:cs="Times New Roman"/>
            <w:noProof/>
          </w:rPr>
          <w:t>19  Spectrum licences – core conditions relating to emission limits</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_Toc64643910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9</w:t>
        </w:r>
        <w:r w:rsidR="00A669CB" w:rsidRPr="00A669CB">
          <w:rPr>
            <w:rFonts w:ascii="Times New Roman" w:hAnsi="Times New Roman" w:cs="Times New Roman"/>
            <w:noProof/>
            <w:webHidden/>
          </w:rPr>
          <w:fldChar w:fldCharType="end"/>
        </w:r>
      </w:hyperlink>
    </w:p>
    <w:p w14:paraId="4DB7FACE" w14:textId="2FCF2805"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911" w:history="1">
        <w:r w:rsidR="00A669CB" w:rsidRPr="00A669CB">
          <w:rPr>
            <w:rStyle w:val="Hyperlink"/>
            <w:rFonts w:ascii="Times New Roman" w:hAnsi="Times New Roman" w:cs="Times New Roman"/>
            <w:noProof/>
          </w:rPr>
          <w:t>20  Spectrum licences – other conditions</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_Toc64643911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9</w:t>
        </w:r>
        <w:r w:rsidR="00A669CB" w:rsidRPr="00A669CB">
          <w:rPr>
            <w:rFonts w:ascii="Times New Roman" w:hAnsi="Times New Roman" w:cs="Times New Roman"/>
            <w:noProof/>
            <w:webHidden/>
          </w:rPr>
          <w:fldChar w:fldCharType="end"/>
        </w:r>
      </w:hyperlink>
    </w:p>
    <w:p w14:paraId="261D7C71" w14:textId="06155FDF" w:rsidR="00A669CB" w:rsidRPr="00A669CB" w:rsidRDefault="00022D60">
      <w:pPr>
        <w:pStyle w:val="TOC1"/>
        <w:tabs>
          <w:tab w:val="right" w:leader="dot" w:pos="9016"/>
        </w:tabs>
        <w:rPr>
          <w:rFonts w:ascii="Times New Roman" w:eastAsiaTheme="minorEastAsia" w:hAnsi="Times New Roman" w:cs="Times New Roman"/>
          <w:noProof/>
          <w:lang w:eastAsia="en-AU"/>
        </w:rPr>
      </w:pPr>
      <w:hyperlink w:anchor="_Toc64643912" w:history="1">
        <w:r w:rsidR="00A669CB" w:rsidRPr="00A669CB">
          <w:rPr>
            <w:rStyle w:val="Hyperlink"/>
            <w:rFonts w:ascii="Times New Roman" w:hAnsi="Times New Roman" w:cs="Times New Roman"/>
            <w:b/>
            <w:bCs/>
            <w:noProof/>
          </w:rPr>
          <w:t>Part 4—Other matters</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_Toc64643912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10</w:t>
        </w:r>
        <w:r w:rsidR="00A669CB" w:rsidRPr="00A669CB">
          <w:rPr>
            <w:rFonts w:ascii="Times New Roman" w:hAnsi="Times New Roman" w:cs="Times New Roman"/>
            <w:noProof/>
            <w:webHidden/>
          </w:rPr>
          <w:fldChar w:fldCharType="end"/>
        </w:r>
      </w:hyperlink>
    </w:p>
    <w:p w14:paraId="543BB917" w14:textId="580EA5CB"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913" w:history="1">
        <w:r w:rsidR="00A669CB" w:rsidRPr="00A669CB">
          <w:rPr>
            <w:rStyle w:val="Hyperlink"/>
            <w:rFonts w:ascii="Times New Roman" w:hAnsi="Times New Roman" w:cs="Times New Roman"/>
            <w:noProof/>
          </w:rPr>
          <w:t>21  Simplified outline of this Part</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_Toc64643913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10</w:t>
        </w:r>
        <w:r w:rsidR="00A669CB" w:rsidRPr="00A669CB">
          <w:rPr>
            <w:rFonts w:ascii="Times New Roman" w:hAnsi="Times New Roman" w:cs="Times New Roman"/>
            <w:noProof/>
            <w:webHidden/>
          </w:rPr>
          <w:fldChar w:fldCharType="end"/>
        </w:r>
      </w:hyperlink>
    </w:p>
    <w:p w14:paraId="1238907C" w14:textId="1F921542"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914" w:history="1">
        <w:r w:rsidR="00A669CB" w:rsidRPr="00A669CB">
          <w:rPr>
            <w:rStyle w:val="Hyperlink"/>
            <w:rFonts w:ascii="Times New Roman" w:hAnsi="Times New Roman" w:cs="Times New Roman"/>
            <w:noProof/>
          </w:rPr>
          <w:t>22  Registration of spectrum licences</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_Toc64643914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10</w:t>
        </w:r>
        <w:r w:rsidR="00A669CB" w:rsidRPr="00A669CB">
          <w:rPr>
            <w:rFonts w:ascii="Times New Roman" w:hAnsi="Times New Roman" w:cs="Times New Roman"/>
            <w:noProof/>
            <w:webHidden/>
          </w:rPr>
          <w:fldChar w:fldCharType="end"/>
        </w:r>
      </w:hyperlink>
    </w:p>
    <w:p w14:paraId="1F0B9275" w14:textId="27F4A15D"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915" w:history="1">
        <w:r w:rsidR="00A669CB" w:rsidRPr="00A669CB">
          <w:rPr>
            <w:rStyle w:val="Hyperlink"/>
            <w:rFonts w:ascii="Times New Roman" w:hAnsi="Times New Roman" w:cs="Times New Roman"/>
            <w:noProof/>
          </w:rPr>
          <w:t>23  Renewal of spectrum licences</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_Toc64643915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10</w:t>
        </w:r>
        <w:r w:rsidR="00A669CB" w:rsidRPr="00A669CB">
          <w:rPr>
            <w:rFonts w:ascii="Times New Roman" w:hAnsi="Times New Roman" w:cs="Times New Roman"/>
            <w:noProof/>
            <w:webHidden/>
          </w:rPr>
          <w:fldChar w:fldCharType="end"/>
        </w:r>
      </w:hyperlink>
    </w:p>
    <w:p w14:paraId="19FE48D4" w14:textId="3191FE0A" w:rsidR="00A669CB" w:rsidRPr="00A669CB" w:rsidRDefault="00022D60">
      <w:pPr>
        <w:pStyle w:val="TOC2"/>
        <w:tabs>
          <w:tab w:val="right" w:leader="dot" w:pos="9016"/>
        </w:tabs>
        <w:rPr>
          <w:rFonts w:ascii="Times New Roman" w:eastAsiaTheme="minorEastAsia" w:hAnsi="Times New Roman" w:cs="Times New Roman"/>
          <w:noProof/>
          <w:lang w:eastAsia="en-AU"/>
        </w:rPr>
      </w:pPr>
      <w:hyperlink w:anchor="_Toc64643916" w:history="1">
        <w:r w:rsidR="00A669CB" w:rsidRPr="00A669CB">
          <w:rPr>
            <w:rStyle w:val="Hyperlink"/>
            <w:rFonts w:ascii="Times New Roman" w:hAnsi="Times New Roman" w:cs="Times New Roman"/>
            <w:noProof/>
          </w:rPr>
          <w:t>24  Advisory guidelines</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_Toc64643916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10</w:t>
        </w:r>
        <w:r w:rsidR="00A669CB" w:rsidRPr="00A669CB">
          <w:rPr>
            <w:rFonts w:ascii="Times New Roman" w:hAnsi="Times New Roman" w:cs="Times New Roman"/>
            <w:noProof/>
            <w:webHidden/>
          </w:rPr>
          <w:fldChar w:fldCharType="end"/>
        </w:r>
      </w:hyperlink>
    </w:p>
    <w:p w14:paraId="4B3CBAF1" w14:textId="2FAD2209" w:rsidR="00A669CB" w:rsidRPr="00A669CB" w:rsidRDefault="00022D60">
      <w:pPr>
        <w:pStyle w:val="TOC1"/>
        <w:tabs>
          <w:tab w:val="right" w:leader="dot" w:pos="9016"/>
        </w:tabs>
        <w:rPr>
          <w:rFonts w:ascii="Times New Roman" w:eastAsiaTheme="minorEastAsia" w:hAnsi="Times New Roman" w:cs="Times New Roman"/>
          <w:noProof/>
          <w:lang w:eastAsia="en-AU"/>
        </w:rPr>
      </w:pPr>
      <w:hyperlink w:anchor="_Toc64643917" w:history="1">
        <w:r w:rsidR="00A669CB" w:rsidRPr="00A669CB">
          <w:rPr>
            <w:rStyle w:val="Hyperlink"/>
            <w:rFonts w:ascii="Times New Roman" w:hAnsi="Times New Roman" w:cs="Times New Roman"/>
            <w:b/>
            <w:bCs/>
            <w:noProof/>
          </w:rPr>
          <w:t>Schedule 1—Acceptance form</w:t>
        </w:r>
        <w:r w:rsidR="00A669CB" w:rsidRPr="00A669CB">
          <w:rPr>
            <w:rFonts w:ascii="Times New Roman" w:hAnsi="Times New Roman" w:cs="Times New Roman"/>
            <w:noProof/>
            <w:webHidden/>
          </w:rPr>
          <w:tab/>
        </w:r>
        <w:r w:rsidR="00A669CB" w:rsidRPr="00A669CB">
          <w:rPr>
            <w:rFonts w:ascii="Times New Roman" w:hAnsi="Times New Roman" w:cs="Times New Roman"/>
            <w:noProof/>
            <w:webHidden/>
          </w:rPr>
          <w:fldChar w:fldCharType="begin"/>
        </w:r>
        <w:r w:rsidR="00A669CB" w:rsidRPr="00A669CB">
          <w:rPr>
            <w:rFonts w:ascii="Times New Roman" w:hAnsi="Times New Roman" w:cs="Times New Roman"/>
            <w:noProof/>
            <w:webHidden/>
          </w:rPr>
          <w:instrText xml:space="preserve"> PAGEREF _Toc64643917 \h </w:instrText>
        </w:r>
        <w:r w:rsidR="00A669CB" w:rsidRPr="00A669CB">
          <w:rPr>
            <w:rFonts w:ascii="Times New Roman" w:hAnsi="Times New Roman" w:cs="Times New Roman"/>
            <w:noProof/>
            <w:webHidden/>
          </w:rPr>
        </w:r>
        <w:r w:rsidR="00A669CB" w:rsidRPr="00A669CB">
          <w:rPr>
            <w:rFonts w:ascii="Times New Roman" w:hAnsi="Times New Roman" w:cs="Times New Roman"/>
            <w:noProof/>
            <w:webHidden/>
          </w:rPr>
          <w:fldChar w:fldCharType="separate"/>
        </w:r>
        <w:r w:rsidR="00A669CB" w:rsidRPr="00A669CB">
          <w:rPr>
            <w:rFonts w:ascii="Times New Roman" w:hAnsi="Times New Roman" w:cs="Times New Roman"/>
            <w:noProof/>
            <w:webHidden/>
          </w:rPr>
          <w:t>11</w:t>
        </w:r>
        <w:r w:rsidR="00A669CB" w:rsidRPr="00A669CB">
          <w:rPr>
            <w:rFonts w:ascii="Times New Roman" w:hAnsi="Times New Roman" w:cs="Times New Roman"/>
            <w:noProof/>
            <w:webHidden/>
          </w:rPr>
          <w:fldChar w:fldCharType="end"/>
        </w:r>
      </w:hyperlink>
    </w:p>
    <w:p w14:paraId="794EFB19" w14:textId="73DC85CA" w:rsidR="00086BF0" w:rsidRPr="00D863C5" w:rsidRDefault="00016407" w:rsidP="00016407">
      <w:pPr>
        <w:spacing w:before="120" w:after="0" w:line="240" w:lineRule="auto"/>
        <w:rPr>
          <w:rFonts w:ascii="Times New Roman" w:hAnsi="Times New Roman" w:cs="Times New Roman"/>
        </w:rPr>
      </w:pPr>
      <w:r w:rsidRPr="00A669CB">
        <w:rPr>
          <w:rFonts w:ascii="Times New Roman" w:hAnsi="Times New Roman" w:cs="Times New Roman"/>
          <w:b/>
          <w:sz w:val="24"/>
          <w:szCs w:val="24"/>
        </w:rPr>
        <w:fldChar w:fldCharType="end"/>
      </w:r>
    </w:p>
    <w:p w14:paraId="6603E212" w14:textId="77777777" w:rsidR="00086BF0" w:rsidRDefault="00086BF0" w:rsidP="00086BF0">
      <w:pPr>
        <w:spacing w:after="0"/>
        <w:rPr>
          <w:rFonts w:ascii="Times New Roman" w:hAnsi="Times New Roman" w:cs="Times New Roman"/>
        </w:rPr>
        <w:sectPr w:rsidR="00086BF0">
          <w:headerReference w:type="even" r:id="rId19"/>
          <w:headerReference w:type="default" r:id="rId20"/>
          <w:footerReference w:type="default" r:id="rId21"/>
          <w:headerReference w:type="first" r:id="rId22"/>
          <w:pgSz w:w="11906" w:h="16838"/>
          <w:pgMar w:top="1440" w:right="1440" w:bottom="1440" w:left="1440" w:header="708" w:footer="708" w:gutter="0"/>
          <w:cols w:space="720"/>
        </w:sectPr>
      </w:pPr>
    </w:p>
    <w:p w14:paraId="54781D03" w14:textId="77777777" w:rsidR="00086BF0" w:rsidRPr="00016407" w:rsidRDefault="00086BF0" w:rsidP="00016407">
      <w:pPr>
        <w:pStyle w:val="Heading1"/>
        <w:rPr>
          <w:rStyle w:val="CharPartText"/>
          <w:rFonts w:ascii="Times New Roman" w:hAnsi="Times New Roman" w:cs="Times New Roman"/>
          <w:b/>
          <w:bCs/>
          <w:color w:val="auto"/>
        </w:rPr>
      </w:pPr>
      <w:bookmarkStart w:id="2" w:name="_Toc64643889"/>
      <w:bookmarkStart w:id="3" w:name="_Toc444596031"/>
      <w:r w:rsidRPr="00016407">
        <w:rPr>
          <w:rStyle w:val="CharPartText"/>
          <w:rFonts w:ascii="Times New Roman" w:hAnsi="Times New Roman" w:cs="Times New Roman"/>
          <w:b/>
          <w:bCs/>
          <w:color w:val="auto"/>
        </w:rPr>
        <w:lastRenderedPageBreak/>
        <w:t>Part 1—Preliminary</w:t>
      </w:r>
      <w:bookmarkEnd w:id="2"/>
    </w:p>
    <w:p w14:paraId="1EFDD9FA" w14:textId="265CF95C" w:rsidR="00086BF0" w:rsidRDefault="00086BF0" w:rsidP="00086BF0">
      <w:pPr>
        <w:pStyle w:val="ActHead5"/>
      </w:pPr>
      <w:bookmarkStart w:id="4" w:name="_Toc64643890"/>
      <w:proofErr w:type="gramStart"/>
      <w:r>
        <w:rPr>
          <w:rStyle w:val="CharSectno"/>
        </w:rPr>
        <w:t>1</w:t>
      </w:r>
      <w:r>
        <w:t xml:space="preserve">  Name</w:t>
      </w:r>
      <w:bookmarkEnd w:id="4"/>
      <w:proofErr w:type="gramEnd"/>
    </w:p>
    <w:p w14:paraId="0BA01627" w14:textId="7A2260A9" w:rsidR="00086BF0" w:rsidRDefault="00086BF0" w:rsidP="00086BF0">
      <w:pPr>
        <w:pStyle w:val="subsection"/>
      </w:pPr>
      <w:r>
        <w:tab/>
      </w:r>
      <w:r>
        <w:tab/>
        <w:t>Th</w:t>
      </w:r>
      <w:r w:rsidR="00BA4B16">
        <w:t>is is the</w:t>
      </w:r>
      <w:r w:rsidR="00CD293A">
        <w:t xml:space="preserve"> </w:t>
      </w:r>
      <w:r w:rsidR="00CD293A">
        <w:rPr>
          <w:i/>
          <w:iCs/>
        </w:rPr>
        <w:t xml:space="preserve">Radiocommunications </w:t>
      </w:r>
      <w:r w:rsidR="00D14AD8">
        <w:rPr>
          <w:i/>
          <w:iCs/>
        </w:rPr>
        <w:t>(</w:t>
      </w:r>
      <w:r w:rsidR="00BA4B16">
        <w:rPr>
          <w:i/>
          <w:iCs/>
        </w:rPr>
        <w:t>3.4 GHz Band</w:t>
      </w:r>
      <w:r w:rsidR="00CD293A">
        <w:rPr>
          <w:i/>
          <w:iCs/>
        </w:rPr>
        <w:t xml:space="preserve">) </w:t>
      </w:r>
      <w:r w:rsidR="00BA4B16">
        <w:rPr>
          <w:i/>
          <w:iCs/>
        </w:rPr>
        <w:t>Spectrum Conversion Plan</w:t>
      </w:r>
      <w:r w:rsidR="00CD293A">
        <w:rPr>
          <w:i/>
          <w:iCs/>
        </w:rPr>
        <w:t xml:space="preserve"> 2021</w:t>
      </w:r>
      <w:r>
        <w:t>.</w:t>
      </w:r>
    </w:p>
    <w:p w14:paraId="177E90D7" w14:textId="728A295A" w:rsidR="00086BF0" w:rsidRDefault="00086BF0" w:rsidP="00086BF0">
      <w:pPr>
        <w:pStyle w:val="ActHead5"/>
      </w:pPr>
      <w:bookmarkStart w:id="5" w:name="_Toc444596032"/>
      <w:bookmarkStart w:id="6" w:name="_Toc64643891"/>
      <w:proofErr w:type="gramStart"/>
      <w:r>
        <w:rPr>
          <w:rStyle w:val="CharSectno"/>
        </w:rPr>
        <w:t>2</w:t>
      </w:r>
      <w:r>
        <w:t xml:space="preserve">  Commencement</w:t>
      </w:r>
      <w:bookmarkEnd w:id="5"/>
      <w:bookmarkEnd w:id="6"/>
      <w:proofErr w:type="gramEnd"/>
    </w:p>
    <w:p w14:paraId="3F162153" w14:textId="525410A7" w:rsidR="000220C1" w:rsidRDefault="00086BF0" w:rsidP="00086BF0">
      <w:pPr>
        <w:pStyle w:val="subsection"/>
      </w:pPr>
      <w:r>
        <w:tab/>
      </w:r>
      <w:r>
        <w:tab/>
        <w:t xml:space="preserve">This instrument commences </w:t>
      </w:r>
      <w:r w:rsidR="000220C1">
        <w:t xml:space="preserve">on the </w:t>
      </w:r>
      <w:r w:rsidR="00BA4B16">
        <w:t>day after the day it is registered on the Federal Register of Legislation.</w:t>
      </w:r>
    </w:p>
    <w:p w14:paraId="795025ED" w14:textId="77777777" w:rsidR="00086BF0" w:rsidRDefault="00086BF0" w:rsidP="00086BF0">
      <w:pPr>
        <w:pStyle w:val="LI-BodyTextNote"/>
        <w:spacing w:before="122"/>
      </w:pPr>
      <w:r>
        <w:t>Note:</w:t>
      </w:r>
      <w:r>
        <w:tab/>
        <w:t xml:space="preserve">The Federal Register of Legislation may be accessed free of charge at </w:t>
      </w:r>
      <w:hyperlink r:id="rId23" w:history="1">
        <w:r>
          <w:rPr>
            <w:rStyle w:val="Hyperlink"/>
            <w:rFonts w:eastAsiaTheme="majorEastAsia"/>
          </w:rPr>
          <w:t>www.legislation.gov.au</w:t>
        </w:r>
      </w:hyperlink>
      <w:r>
        <w:t>.</w:t>
      </w:r>
    </w:p>
    <w:p w14:paraId="12CBE75E" w14:textId="70C31B07" w:rsidR="00086BF0" w:rsidRDefault="00086BF0" w:rsidP="00086BF0">
      <w:pPr>
        <w:pStyle w:val="ActHead5"/>
      </w:pPr>
      <w:bookmarkStart w:id="7" w:name="_Toc444596033"/>
      <w:bookmarkStart w:id="8" w:name="_Toc64643892"/>
      <w:proofErr w:type="gramStart"/>
      <w:r>
        <w:rPr>
          <w:rStyle w:val="CharSectno"/>
        </w:rPr>
        <w:t>3</w:t>
      </w:r>
      <w:r>
        <w:t xml:space="preserve">  Authority</w:t>
      </w:r>
      <w:bookmarkEnd w:id="7"/>
      <w:bookmarkEnd w:id="8"/>
      <w:proofErr w:type="gramEnd"/>
    </w:p>
    <w:p w14:paraId="3377B4C6" w14:textId="35DDCBF3" w:rsidR="00086BF0" w:rsidRDefault="00086BF0" w:rsidP="00086BF0">
      <w:pPr>
        <w:pStyle w:val="subsection"/>
      </w:pPr>
      <w:r>
        <w:tab/>
      </w:r>
      <w:r>
        <w:tab/>
        <w:t xml:space="preserve">This instrument is made under </w:t>
      </w:r>
      <w:r w:rsidR="00C55639">
        <w:t xml:space="preserve">subsection </w:t>
      </w:r>
      <w:r w:rsidR="00BA4B16">
        <w:t>38</w:t>
      </w:r>
      <w:r w:rsidR="00C55639">
        <w:t>(1)</w:t>
      </w:r>
      <w:r>
        <w:t xml:space="preserve"> of the </w:t>
      </w:r>
      <w:r w:rsidR="00C55639">
        <w:rPr>
          <w:i/>
        </w:rPr>
        <w:t>Radiocommunications Act 1992</w:t>
      </w:r>
      <w:r>
        <w:t>.</w:t>
      </w:r>
    </w:p>
    <w:p w14:paraId="18E5EEE3" w14:textId="2CC1CC15" w:rsidR="00C71BE9" w:rsidRPr="005919DC" w:rsidRDefault="00C71BE9" w:rsidP="00C71BE9">
      <w:pPr>
        <w:pStyle w:val="LI-BodyTextNote"/>
        <w:spacing w:before="122"/>
      </w:pPr>
      <w:r>
        <w:t>Note:</w:t>
      </w:r>
      <w:r>
        <w:tab/>
        <w:t xml:space="preserve">Section 38 of the Act will be repealed by </w:t>
      </w:r>
      <w:r w:rsidR="005919DC">
        <w:t xml:space="preserve">item 9 of Schedule 3 to the </w:t>
      </w:r>
      <w:r w:rsidR="005919DC">
        <w:rPr>
          <w:i/>
          <w:iCs/>
        </w:rPr>
        <w:t>Radiocommunications Legislation Amendment (Reform and Modernisation) Act 2020</w:t>
      </w:r>
      <w:r w:rsidR="005919DC">
        <w:t xml:space="preserve">. However, </w:t>
      </w:r>
      <w:r w:rsidR="0054274A">
        <w:t>see item 112 of Schedule 3 to that Act</w:t>
      </w:r>
      <w:r w:rsidR="00F14B34">
        <w:t xml:space="preserve"> in relation to offers of spectrum licences made in accordance with this instrument</w:t>
      </w:r>
      <w:r w:rsidR="00CB67EE">
        <w:t xml:space="preserve"> before </w:t>
      </w:r>
      <w:r w:rsidR="00743E55">
        <w:t>item 112 commences</w:t>
      </w:r>
      <w:r w:rsidR="00F14B34">
        <w:t>.</w:t>
      </w:r>
    </w:p>
    <w:p w14:paraId="616032F1" w14:textId="5F326421" w:rsidR="00086BF0" w:rsidRDefault="008A3257" w:rsidP="00086BF0">
      <w:pPr>
        <w:pStyle w:val="ActHead5"/>
      </w:pPr>
      <w:bookmarkStart w:id="9" w:name="_Toc444596034"/>
      <w:bookmarkStart w:id="10" w:name="_Toc64643893"/>
      <w:proofErr w:type="gramStart"/>
      <w:r>
        <w:rPr>
          <w:rStyle w:val="CharSectno"/>
        </w:rPr>
        <w:t>4</w:t>
      </w:r>
      <w:r w:rsidR="00086BF0">
        <w:t xml:space="preserve">  Definitions</w:t>
      </w:r>
      <w:bookmarkEnd w:id="9"/>
      <w:bookmarkEnd w:id="10"/>
      <w:proofErr w:type="gramEnd"/>
    </w:p>
    <w:p w14:paraId="428F2C2E" w14:textId="77777777" w:rsidR="00086BF0" w:rsidRDefault="00086BF0" w:rsidP="00086BF0">
      <w:pPr>
        <w:pStyle w:val="subsection"/>
      </w:pPr>
      <w:r>
        <w:tab/>
      </w:r>
      <w:r>
        <w:tab/>
        <w:t>In this instrument:</w:t>
      </w:r>
    </w:p>
    <w:p w14:paraId="7429B0AF" w14:textId="795A9CC8" w:rsidR="00707D8B" w:rsidRPr="00707D8B" w:rsidRDefault="00707D8B" w:rsidP="00086BF0">
      <w:pPr>
        <w:pStyle w:val="Definition"/>
        <w:rPr>
          <w:bCs/>
          <w:iCs/>
        </w:rPr>
      </w:pPr>
      <w:r>
        <w:rPr>
          <w:b/>
          <w:i/>
        </w:rPr>
        <w:t>acceptance form</w:t>
      </w:r>
      <w:r>
        <w:rPr>
          <w:bCs/>
          <w:iCs/>
        </w:rPr>
        <w:t>: see section 11</w:t>
      </w:r>
      <w:r w:rsidR="0024651B">
        <w:rPr>
          <w:bCs/>
          <w:iCs/>
        </w:rPr>
        <w:t xml:space="preserve"> and Schedule 1</w:t>
      </w:r>
      <w:r>
        <w:rPr>
          <w:bCs/>
          <w:iCs/>
        </w:rPr>
        <w:t>.</w:t>
      </w:r>
    </w:p>
    <w:p w14:paraId="099EB861" w14:textId="381AB8A0" w:rsidR="00086BF0" w:rsidRDefault="00086BF0" w:rsidP="00086BF0">
      <w:pPr>
        <w:pStyle w:val="Definition"/>
      </w:pPr>
      <w:r>
        <w:rPr>
          <w:b/>
          <w:i/>
        </w:rPr>
        <w:t>Act</w:t>
      </w:r>
      <w:r>
        <w:t xml:space="preserve"> means </w:t>
      </w:r>
      <w:r w:rsidR="008A3257">
        <w:t xml:space="preserve">the </w:t>
      </w:r>
      <w:r w:rsidR="008A3257">
        <w:rPr>
          <w:i/>
        </w:rPr>
        <w:t>Radiocommunications Act 1992</w:t>
      </w:r>
      <w:r>
        <w:t>.</w:t>
      </w:r>
    </w:p>
    <w:p w14:paraId="3B4AC91F" w14:textId="527FCBB1" w:rsidR="00A74A15" w:rsidRPr="00A74A15" w:rsidRDefault="00A74A15" w:rsidP="00086BF0">
      <w:pPr>
        <w:pStyle w:val="Definition"/>
        <w:rPr>
          <w:iCs/>
        </w:rPr>
      </w:pPr>
      <w:r>
        <w:rPr>
          <w:b/>
          <w:bCs/>
          <w:i/>
        </w:rPr>
        <w:t xml:space="preserve">charges determination </w:t>
      </w:r>
      <w:r>
        <w:rPr>
          <w:iCs/>
        </w:rPr>
        <w:t xml:space="preserve">means the </w:t>
      </w:r>
      <w:r>
        <w:rPr>
          <w:i/>
        </w:rPr>
        <w:t>Radiocommunications (Spectrum Access Charges – 3.4 GHz Band) Determination 2021</w:t>
      </w:r>
      <w:r>
        <w:rPr>
          <w:iCs/>
        </w:rPr>
        <w:t>.</w:t>
      </w:r>
    </w:p>
    <w:p w14:paraId="273E8312" w14:textId="6254B507" w:rsidR="00E7257B" w:rsidRPr="00E7257B" w:rsidRDefault="00E7257B" w:rsidP="00086BF0">
      <w:pPr>
        <w:pStyle w:val="Definition"/>
        <w:rPr>
          <w:iCs/>
        </w:rPr>
      </w:pPr>
      <w:r>
        <w:rPr>
          <w:b/>
          <w:bCs/>
          <w:i/>
        </w:rPr>
        <w:t>charges direction</w:t>
      </w:r>
      <w:r>
        <w:rPr>
          <w:iCs/>
        </w:rPr>
        <w:t xml:space="preserve"> means the </w:t>
      </w:r>
      <w:r>
        <w:rPr>
          <w:i/>
        </w:rPr>
        <w:t>Radiocommunications (Spectrum Access Charges – 3.4 GHz Band) Direction 2020</w:t>
      </w:r>
      <w:r w:rsidR="006E143B">
        <w:rPr>
          <w:iCs/>
        </w:rPr>
        <w:t>, as in force on the day this instrument commenced.</w:t>
      </w:r>
    </w:p>
    <w:p w14:paraId="097E088A" w14:textId="6894E0D4" w:rsidR="00F46886" w:rsidRDefault="00F46886" w:rsidP="00086BF0">
      <w:pPr>
        <w:pStyle w:val="Definition"/>
        <w:rPr>
          <w:iCs/>
        </w:rPr>
      </w:pPr>
      <w:r>
        <w:rPr>
          <w:b/>
          <w:bCs/>
          <w:i/>
        </w:rPr>
        <w:t>designated area</w:t>
      </w:r>
      <w:r w:rsidR="00A8757F">
        <w:rPr>
          <w:iCs/>
        </w:rPr>
        <w:t xml:space="preserve">, </w:t>
      </w:r>
      <w:r w:rsidR="006233CB">
        <w:rPr>
          <w:iCs/>
        </w:rPr>
        <w:t>for</w:t>
      </w:r>
      <w:r w:rsidR="00B144C9">
        <w:rPr>
          <w:iCs/>
        </w:rPr>
        <w:t xml:space="preserve"> </w:t>
      </w:r>
      <w:r w:rsidR="006233CB">
        <w:rPr>
          <w:iCs/>
        </w:rPr>
        <w:t xml:space="preserve">a </w:t>
      </w:r>
      <w:r w:rsidR="00A8757F">
        <w:rPr>
          <w:iCs/>
        </w:rPr>
        <w:t xml:space="preserve">designated </w:t>
      </w:r>
      <w:r w:rsidR="00C84E72">
        <w:rPr>
          <w:iCs/>
        </w:rPr>
        <w:t>frequency</w:t>
      </w:r>
      <w:r w:rsidR="006233CB">
        <w:rPr>
          <w:iCs/>
        </w:rPr>
        <w:t xml:space="preserve"> range</w:t>
      </w:r>
      <w:r w:rsidR="00B144C9">
        <w:rPr>
          <w:iCs/>
        </w:rPr>
        <w:t xml:space="preserve">, means the named area </w:t>
      </w:r>
      <w:r w:rsidR="00CA3A44">
        <w:rPr>
          <w:iCs/>
        </w:rPr>
        <w:t xml:space="preserve">set out in column 2 of the designation table </w:t>
      </w:r>
      <w:r w:rsidR="00AC6B52">
        <w:rPr>
          <w:iCs/>
        </w:rPr>
        <w:t>for th</w:t>
      </w:r>
      <w:r w:rsidR="006233CB">
        <w:rPr>
          <w:iCs/>
        </w:rPr>
        <w:t xml:space="preserve">e designated </w:t>
      </w:r>
      <w:r w:rsidR="00C84E72">
        <w:rPr>
          <w:iCs/>
        </w:rPr>
        <w:t>frequency</w:t>
      </w:r>
      <w:r w:rsidR="006233CB">
        <w:rPr>
          <w:iCs/>
        </w:rPr>
        <w:t xml:space="preserve"> range</w:t>
      </w:r>
      <w:r w:rsidR="00AC6B52">
        <w:rPr>
          <w:iCs/>
        </w:rPr>
        <w:t>.</w:t>
      </w:r>
    </w:p>
    <w:p w14:paraId="0A4B5C32" w14:textId="5B19843D" w:rsidR="00AC6B52" w:rsidRDefault="00AC6B52" w:rsidP="00AC6B52">
      <w:pPr>
        <w:pStyle w:val="notetext"/>
      </w:pPr>
      <w:r>
        <w:t>Note:</w:t>
      </w:r>
      <w:r>
        <w:tab/>
        <w:t>The</w:t>
      </w:r>
      <w:r w:rsidR="00FA7869">
        <w:t xml:space="preserve"> named areas are described using the </w:t>
      </w:r>
      <w:r w:rsidR="0024651B">
        <w:t>h</w:t>
      </w:r>
      <w:r w:rsidR="00CF7FAA">
        <w:t>ierarchical cell identification scheme set out in the Australian Spectrum Map Grid 2012</w:t>
      </w:r>
      <w:r w:rsidR="00FA7869">
        <w:t>, in the table at subsection 5(2) of the designation notice.</w:t>
      </w:r>
      <w:r w:rsidR="00CF7FAA">
        <w:t xml:space="preserve"> The Australian Spectrum Map Grid 2012 is available, free of charge, from the ACMA’s website: </w:t>
      </w:r>
      <w:hyperlink r:id="rId24" w:history="1">
        <w:r w:rsidR="00CF7FAA" w:rsidRPr="00A231F7">
          <w:rPr>
            <w:rStyle w:val="Hyperlink"/>
          </w:rPr>
          <w:t>http://www.acma.gov.au</w:t>
        </w:r>
      </w:hyperlink>
      <w:r w:rsidR="00CF7FAA">
        <w:t>.</w:t>
      </w:r>
    </w:p>
    <w:p w14:paraId="7FA05E67" w14:textId="07CF64FF" w:rsidR="009E3495" w:rsidRDefault="009E3495" w:rsidP="00086BF0">
      <w:pPr>
        <w:pStyle w:val="Definition"/>
        <w:rPr>
          <w:iCs/>
        </w:rPr>
      </w:pPr>
      <w:r>
        <w:rPr>
          <w:b/>
          <w:bCs/>
          <w:i/>
        </w:rPr>
        <w:t xml:space="preserve">designated </w:t>
      </w:r>
      <w:r w:rsidR="00C84E72">
        <w:rPr>
          <w:b/>
          <w:bCs/>
          <w:i/>
        </w:rPr>
        <w:t>frequency</w:t>
      </w:r>
      <w:r w:rsidR="006233CB">
        <w:rPr>
          <w:b/>
          <w:bCs/>
          <w:i/>
        </w:rPr>
        <w:t xml:space="preserve"> range</w:t>
      </w:r>
      <w:r w:rsidR="00F46886">
        <w:rPr>
          <w:b/>
          <w:bCs/>
          <w:i/>
        </w:rPr>
        <w:t xml:space="preserve"> </w:t>
      </w:r>
      <w:r w:rsidR="00F46886">
        <w:rPr>
          <w:iCs/>
        </w:rPr>
        <w:t xml:space="preserve">means </w:t>
      </w:r>
      <w:r w:rsidR="006233CB">
        <w:rPr>
          <w:iCs/>
        </w:rPr>
        <w:t>a</w:t>
      </w:r>
      <w:r w:rsidR="00F46886">
        <w:rPr>
          <w:iCs/>
        </w:rPr>
        <w:t xml:space="preserve"> part of the spectrum referred to in an item in column</w:t>
      </w:r>
      <w:r w:rsidR="00CF7FAA">
        <w:rPr>
          <w:iCs/>
        </w:rPr>
        <w:t> </w:t>
      </w:r>
      <w:r w:rsidR="00F46886">
        <w:rPr>
          <w:iCs/>
        </w:rPr>
        <w:t xml:space="preserve">1 of the </w:t>
      </w:r>
      <w:r w:rsidR="00CA3A44">
        <w:rPr>
          <w:iCs/>
        </w:rPr>
        <w:t xml:space="preserve">designation </w:t>
      </w:r>
      <w:r w:rsidR="00F46886">
        <w:rPr>
          <w:iCs/>
        </w:rPr>
        <w:t>table.</w:t>
      </w:r>
    </w:p>
    <w:p w14:paraId="3A624502" w14:textId="36A96544" w:rsidR="009E6E2F" w:rsidRDefault="009E6E2F" w:rsidP="00086BF0">
      <w:pPr>
        <w:pStyle w:val="Definition"/>
        <w:rPr>
          <w:iCs/>
        </w:rPr>
      </w:pPr>
      <w:r>
        <w:rPr>
          <w:b/>
          <w:bCs/>
          <w:i/>
        </w:rPr>
        <w:t>designation notice</w:t>
      </w:r>
      <w:r>
        <w:rPr>
          <w:iCs/>
        </w:rPr>
        <w:t xml:space="preserve"> means the </w:t>
      </w:r>
      <w:r>
        <w:rPr>
          <w:i/>
        </w:rPr>
        <w:t>Radiocommunications (Spectrum Designation – 3.4 GHz Band) Notice 2020</w:t>
      </w:r>
      <w:r>
        <w:rPr>
          <w:iCs/>
        </w:rPr>
        <w:t>, as in force on the day this instrument commenced.</w:t>
      </w:r>
    </w:p>
    <w:p w14:paraId="33350C6F" w14:textId="24DEDD41" w:rsidR="00CA3A44" w:rsidRDefault="00CA3A44" w:rsidP="00086BF0">
      <w:pPr>
        <w:pStyle w:val="Definition"/>
        <w:rPr>
          <w:iCs/>
        </w:rPr>
      </w:pPr>
      <w:r>
        <w:rPr>
          <w:b/>
          <w:bCs/>
          <w:i/>
        </w:rPr>
        <w:t>designation table</w:t>
      </w:r>
      <w:r>
        <w:rPr>
          <w:iCs/>
        </w:rPr>
        <w:t xml:space="preserve"> means the table at subsection 5(1) of the designation notice.</w:t>
      </w:r>
    </w:p>
    <w:p w14:paraId="14DAC628" w14:textId="6027062A" w:rsidR="00D860E0" w:rsidRPr="00D860E0" w:rsidRDefault="00D860E0" w:rsidP="00086BF0">
      <w:pPr>
        <w:pStyle w:val="Definition"/>
        <w:rPr>
          <w:iCs/>
        </w:rPr>
      </w:pPr>
      <w:r>
        <w:rPr>
          <w:b/>
          <w:bCs/>
          <w:i/>
        </w:rPr>
        <w:t xml:space="preserve">draft spectrum licence </w:t>
      </w:r>
      <w:r>
        <w:rPr>
          <w:iCs/>
        </w:rPr>
        <w:t xml:space="preserve">means </w:t>
      </w:r>
      <w:r w:rsidR="0026538A">
        <w:rPr>
          <w:iCs/>
        </w:rPr>
        <w:t>a</w:t>
      </w:r>
      <w:r>
        <w:rPr>
          <w:iCs/>
        </w:rPr>
        <w:t xml:space="preserve"> document prepared</w:t>
      </w:r>
      <w:r w:rsidR="0026538A">
        <w:rPr>
          <w:iCs/>
        </w:rPr>
        <w:t>, in accordance with this instrument,</w:t>
      </w:r>
      <w:r>
        <w:rPr>
          <w:iCs/>
        </w:rPr>
        <w:t xml:space="preserve"> for the purposes of </w:t>
      </w:r>
      <w:r w:rsidR="002534AA">
        <w:rPr>
          <w:iCs/>
        </w:rPr>
        <w:t>sub</w:t>
      </w:r>
      <w:r w:rsidR="00DD5F35">
        <w:rPr>
          <w:iCs/>
        </w:rPr>
        <w:t>section 53(1) of the Act</w:t>
      </w:r>
      <w:r w:rsidR="0026538A">
        <w:rPr>
          <w:iCs/>
        </w:rPr>
        <w:t>.</w:t>
      </w:r>
    </w:p>
    <w:p w14:paraId="30431784" w14:textId="77777777" w:rsidR="00CF7FAA" w:rsidRDefault="00CF7FAA" w:rsidP="00CF7FAA">
      <w:pPr>
        <w:pStyle w:val="Definition"/>
        <w:rPr>
          <w:iCs/>
        </w:rPr>
      </w:pPr>
      <w:r>
        <w:rPr>
          <w:b/>
          <w:bCs/>
          <w:i/>
        </w:rPr>
        <w:t>existing apparatus</w:t>
      </w:r>
      <w:r w:rsidRPr="009E3495">
        <w:rPr>
          <w:b/>
          <w:bCs/>
          <w:i/>
        </w:rPr>
        <w:t xml:space="preserve"> licence</w:t>
      </w:r>
      <w:r>
        <w:rPr>
          <w:b/>
          <w:bCs/>
          <w:i/>
        </w:rPr>
        <w:t xml:space="preserve"> </w:t>
      </w:r>
      <w:r>
        <w:rPr>
          <w:iCs/>
        </w:rPr>
        <w:t>means an apparatus licence that authorises the operation of a radiocommunications device:</w:t>
      </w:r>
    </w:p>
    <w:p w14:paraId="18E9EDF6" w14:textId="3128D855" w:rsidR="00CF7FAA" w:rsidRDefault="00CF7FAA" w:rsidP="00CF7FAA">
      <w:pPr>
        <w:pStyle w:val="paragraph"/>
        <w:rPr>
          <w:iCs/>
        </w:rPr>
      </w:pPr>
      <w:r>
        <w:rPr>
          <w:iCs/>
        </w:rPr>
        <w:tab/>
        <w:t>(a)</w:t>
      </w:r>
      <w:r>
        <w:rPr>
          <w:iCs/>
        </w:rPr>
        <w:tab/>
        <w:t xml:space="preserve">in a designated </w:t>
      </w:r>
      <w:r w:rsidR="00C84E72">
        <w:rPr>
          <w:iCs/>
        </w:rPr>
        <w:t>frequency</w:t>
      </w:r>
      <w:r>
        <w:rPr>
          <w:iCs/>
        </w:rPr>
        <w:t xml:space="preserve"> range; and</w:t>
      </w:r>
    </w:p>
    <w:p w14:paraId="615AA306" w14:textId="63FB3E13" w:rsidR="00CF7FAA" w:rsidRPr="00B552A6" w:rsidRDefault="00CF7FAA" w:rsidP="00CF7FAA">
      <w:pPr>
        <w:pStyle w:val="paragraph"/>
        <w:rPr>
          <w:iCs/>
        </w:rPr>
      </w:pPr>
      <w:r>
        <w:rPr>
          <w:iCs/>
        </w:rPr>
        <w:tab/>
        <w:t>(b)</w:t>
      </w:r>
      <w:r>
        <w:rPr>
          <w:iCs/>
        </w:rPr>
        <w:tab/>
        <w:t xml:space="preserve">in a designated area that relates to that designated </w:t>
      </w:r>
      <w:r w:rsidR="00C84E72">
        <w:rPr>
          <w:iCs/>
        </w:rPr>
        <w:t>frequency</w:t>
      </w:r>
      <w:r>
        <w:rPr>
          <w:iCs/>
        </w:rPr>
        <w:t xml:space="preserve"> range.</w:t>
      </w:r>
    </w:p>
    <w:p w14:paraId="2561D3CE" w14:textId="51FCACB1" w:rsidR="00B552A6" w:rsidRDefault="00B552A6" w:rsidP="00086BF0">
      <w:pPr>
        <w:pStyle w:val="Definition"/>
        <w:rPr>
          <w:iCs/>
        </w:rPr>
      </w:pPr>
      <w:r>
        <w:rPr>
          <w:b/>
          <w:bCs/>
          <w:i/>
        </w:rPr>
        <w:lastRenderedPageBreak/>
        <w:t>inner</w:t>
      </w:r>
      <w:r w:rsidR="007B1542">
        <w:rPr>
          <w:b/>
          <w:bCs/>
          <w:i/>
        </w:rPr>
        <w:t xml:space="preserve">-metropolitan area </w:t>
      </w:r>
      <w:r w:rsidR="007B1542">
        <w:rPr>
          <w:iCs/>
        </w:rPr>
        <w:t xml:space="preserve">has the meaning given by clause 1 of Schedule 1 to the </w:t>
      </w:r>
      <w:proofErr w:type="gramStart"/>
      <w:r w:rsidR="007B1542">
        <w:rPr>
          <w:iCs/>
        </w:rPr>
        <w:t>charges</w:t>
      </w:r>
      <w:proofErr w:type="gramEnd"/>
      <w:r w:rsidR="007B1542">
        <w:rPr>
          <w:iCs/>
        </w:rPr>
        <w:t xml:space="preserve"> direction.</w:t>
      </w:r>
    </w:p>
    <w:p w14:paraId="5EFA87A6" w14:textId="1921C04E" w:rsidR="001525F9" w:rsidRPr="001525F9" w:rsidRDefault="001525F9" w:rsidP="00086BF0">
      <w:pPr>
        <w:pStyle w:val="Definition"/>
        <w:rPr>
          <w:iCs/>
        </w:rPr>
      </w:pPr>
      <w:r>
        <w:rPr>
          <w:b/>
          <w:bCs/>
          <w:i/>
        </w:rPr>
        <w:t>inner-metropolitan spectrum licence</w:t>
      </w:r>
      <w:r>
        <w:rPr>
          <w:iCs/>
        </w:rPr>
        <w:t xml:space="preserve">: see subsection </w:t>
      </w:r>
      <w:r w:rsidR="009E4691">
        <w:rPr>
          <w:iCs/>
        </w:rPr>
        <w:t>16</w:t>
      </w:r>
      <w:r>
        <w:rPr>
          <w:iCs/>
        </w:rPr>
        <w:t>(1)</w:t>
      </w:r>
      <w:r w:rsidR="00C867FF">
        <w:rPr>
          <w:iCs/>
        </w:rPr>
        <w:t>.</w:t>
      </w:r>
    </w:p>
    <w:p w14:paraId="5D6D5F88" w14:textId="06DCE3E0" w:rsidR="001525F9" w:rsidRPr="001525F9" w:rsidRDefault="001525F9" w:rsidP="00086BF0">
      <w:pPr>
        <w:pStyle w:val="Definition"/>
        <w:rPr>
          <w:iCs/>
        </w:rPr>
      </w:pPr>
      <w:r>
        <w:rPr>
          <w:b/>
          <w:bCs/>
          <w:i/>
        </w:rPr>
        <w:t xml:space="preserve">outer-metropolitan </w:t>
      </w:r>
      <w:r w:rsidR="00331B39">
        <w:rPr>
          <w:b/>
          <w:bCs/>
          <w:i/>
        </w:rPr>
        <w:t xml:space="preserve">and regional </w:t>
      </w:r>
      <w:r>
        <w:rPr>
          <w:b/>
          <w:bCs/>
          <w:i/>
        </w:rPr>
        <w:t>spectrum licence</w:t>
      </w:r>
      <w:r>
        <w:rPr>
          <w:iCs/>
        </w:rPr>
        <w:t xml:space="preserve">: see subsection </w:t>
      </w:r>
      <w:r w:rsidR="009E4691">
        <w:rPr>
          <w:iCs/>
        </w:rPr>
        <w:t>16</w:t>
      </w:r>
      <w:r>
        <w:rPr>
          <w:iCs/>
        </w:rPr>
        <w:t>(2).</w:t>
      </w:r>
    </w:p>
    <w:p w14:paraId="6718D028" w14:textId="715F6097" w:rsidR="00890C84" w:rsidRPr="007B1542" w:rsidRDefault="00890C84" w:rsidP="00890C84">
      <w:pPr>
        <w:pStyle w:val="Definition"/>
        <w:rPr>
          <w:iCs/>
        </w:rPr>
      </w:pPr>
      <w:r>
        <w:rPr>
          <w:b/>
          <w:bCs/>
          <w:i/>
        </w:rPr>
        <w:t xml:space="preserve">representation </w:t>
      </w:r>
      <w:r w:rsidR="00B42338">
        <w:rPr>
          <w:b/>
          <w:bCs/>
          <w:i/>
        </w:rPr>
        <w:t>deadline</w:t>
      </w:r>
      <w:r>
        <w:rPr>
          <w:iCs/>
        </w:rPr>
        <w:t>: see paragraph 8(3)(b).</w:t>
      </w:r>
    </w:p>
    <w:p w14:paraId="05681FC1" w14:textId="601512CD" w:rsidR="00086BF0" w:rsidRDefault="00086BF0" w:rsidP="00086BF0">
      <w:pPr>
        <w:pStyle w:val="notetext"/>
      </w:pPr>
      <w:r>
        <w:t>Note:</w:t>
      </w:r>
      <w:r>
        <w:tab/>
      </w:r>
      <w:proofErr w:type="gramStart"/>
      <w:r>
        <w:t>A number of</w:t>
      </w:r>
      <w:proofErr w:type="gramEnd"/>
      <w:r>
        <w:t xml:space="preserve"> other expressions used in this instrument are defined in the Act, including the following:</w:t>
      </w:r>
    </w:p>
    <w:p w14:paraId="13FC308E" w14:textId="253C7E68" w:rsidR="00085BB4" w:rsidRDefault="00F975CD" w:rsidP="00086BF0">
      <w:pPr>
        <w:pStyle w:val="notepara"/>
      </w:pPr>
      <w:r>
        <w:t>(a)</w:t>
      </w:r>
      <w:r>
        <w:tab/>
      </w:r>
      <w:r w:rsidR="00085BB4">
        <w:t xml:space="preserve">advisory </w:t>
      </w:r>
      <w:proofErr w:type="gramStart"/>
      <w:r w:rsidR="00085BB4">
        <w:t>guideline;</w:t>
      </w:r>
      <w:proofErr w:type="gramEnd"/>
    </w:p>
    <w:p w14:paraId="5C7703B4" w14:textId="2F5A8E40" w:rsidR="00CF7FAA" w:rsidRDefault="00085BB4" w:rsidP="00086BF0">
      <w:pPr>
        <w:pStyle w:val="notepara"/>
      </w:pPr>
      <w:r>
        <w:t>(</w:t>
      </w:r>
      <w:r w:rsidR="00E94A1D">
        <w:t>b</w:t>
      </w:r>
      <w:r>
        <w:t>)</w:t>
      </w:r>
      <w:r>
        <w:tab/>
      </w:r>
      <w:r w:rsidR="00CF7FAA">
        <w:t xml:space="preserve">apparatus </w:t>
      </w:r>
      <w:proofErr w:type="gramStart"/>
      <w:r w:rsidR="00CF7FAA">
        <w:t>licence;</w:t>
      </w:r>
      <w:proofErr w:type="gramEnd"/>
    </w:p>
    <w:p w14:paraId="401001B2" w14:textId="33175FBA" w:rsidR="005C79E1" w:rsidRDefault="008864A2" w:rsidP="00086BF0">
      <w:pPr>
        <w:pStyle w:val="notepara"/>
      </w:pPr>
      <w:r>
        <w:t>(c)</w:t>
      </w:r>
      <w:r>
        <w:tab/>
        <w:t xml:space="preserve">conversion </w:t>
      </w:r>
      <w:proofErr w:type="gramStart"/>
      <w:r>
        <w:t>plan;</w:t>
      </w:r>
      <w:proofErr w:type="gramEnd"/>
    </w:p>
    <w:p w14:paraId="084BFD68" w14:textId="35E43230" w:rsidR="00E849A9" w:rsidRDefault="00E849A9" w:rsidP="00086BF0">
      <w:pPr>
        <w:pStyle w:val="notepara"/>
      </w:pPr>
      <w:r>
        <w:t>(</w:t>
      </w:r>
      <w:r w:rsidR="008864A2">
        <w:t>d</w:t>
      </w:r>
      <w:r>
        <w:t>)</w:t>
      </w:r>
      <w:r>
        <w:tab/>
      </w:r>
      <w:proofErr w:type="gramStart"/>
      <w:r>
        <w:t>interference;</w:t>
      </w:r>
      <w:proofErr w:type="gramEnd"/>
    </w:p>
    <w:p w14:paraId="2DEAE649" w14:textId="0849317E" w:rsidR="00326889" w:rsidRDefault="00326889" w:rsidP="00086BF0">
      <w:pPr>
        <w:pStyle w:val="notepara"/>
      </w:pPr>
      <w:r>
        <w:t>(</w:t>
      </w:r>
      <w:r w:rsidR="008864A2">
        <w:t>e</w:t>
      </w:r>
      <w:r>
        <w:t>)</w:t>
      </w:r>
      <w:r>
        <w:tab/>
        <w:t xml:space="preserve">radiocommunications </w:t>
      </w:r>
      <w:proofErr w:type="gramStart"/>
      <w:r>
        <w:t>device;</w:t>
      </w:r>
      <w:proofErr w:type="gramEnd"/>
    </w:p>
    <w:p w14:paraId="037E395E" w14:textId="54BA3B48" w:rsidR="00326889" w:rsidRDefault="00326889" w:rsidP="00086BF0">
      <w:pPr>
        <w:pStyle w:val="notepara"/>
      </w:pPr>
      <w:r>
        <w:t>(</w:t>
      </w:r>
      <w:r w:rsidR="008864A2">
        <w:t>f</w:t>
      </w:r>
      <w:r>
        <w:t>)</w:t>
      </w:r>
      <w:r>
        <w:tab/>
        <w:t xml:space="preserve">radiocommunications </w:t>
      </w:r>
      <w:proofErr w:type="gramStart"/>
      <w:r>
        <w:t>transmitter;</w:t>
      </w:r>
      <w:proofErr w:type="gramEnd"/>
    </w:p>
    <w:p w14:paraId="0A4189D8" w14:textId="3D3544F2" w:rsidR="00F975CD" w:rsidRDefault="00CF7FAA" w:rsidP="00086BF0">
      <w:pPr>
        <w:pStyle w:val="notepara"/>
      </w:pPr>
      <w:r>
        <w:t>(</w:t>
      </w:r>
      <w:r w:rsidR="008864A2">
        <w:t>g</w:t>
      </w:r>
      <w:r>
        <w:t>)</w:t>
      </w:r>
      <w:r>
        <w:tab/>
      </w:r>
      <w:proofErr w:type="gramStart"/>
      <w:r>
        <w:t>Register</w:t>
      </w:r>
      <w:r w:rsidR="00F975CD">
        <w:t>;</w:t>
      </w:r>
      <w:proofErr w:type="gramEnd"/>
    </w:p>
    <w:p w14:paraId="7BF3AEF0" w14:textId="3F962742" w:rsidR="003E1BE7" w:rsidRDefault="003E1BE7" w:rsidP="00086BF0">
      <w:pPr>
        <w:pStyle w:val="notepara"/>
      </w:pPr>
      <w:r>
        <w:t>(</w:t>
      </w:r>
      <w:r w:rsidR="008864A2">
        <w:t>h</w:t>
      </w:r>
      <w:r>
        <w:t>)</w:t>
      </w:r>
      <w:r>
        <w:tab/>
      </w:r>
      <w:proofErr w:type="gramStart"/>
      <w:r>
        <w:t>spectrum;</w:t>
      </w:r>
      <w:proofErr w:type="gramEnd"/>
    </w:p>
    <w:p w14:paraId="550A30DD" w14:textId="135DFC01" w:rsidR="006C4567" w:rsidRDefault="006C4567" w:rsidP="00086BF0">
      <w:pPr>
        <w:pStyle w:val="notepara"/>
      </w:pPr>
      <w:r>
        <w:t>(</w:t>
      </w:r>
      <w:r w:rsidR="008864A2">
        <w:t>i</w:t>
      </w:r>
      <w:r>
        <w:t>)</w:t>
      </w:r>
      <w:r>
        <w:tab/>
        <w:t xml:space="preserve">spectrum access </w:t>
      </w:r>
      <w:proofErr w:type="gramStart"/>
      <w:r>
        <w:t>charge;</w:t>
      </w:r>
      <w:proofErr w:type="gramEnd"/>
    </w:p>
    <w:p w14:paraId="4241FC82" w14:textId="52909ECC" w:rsidR="00CF7FAA" w:rsidRDefault="00CF7FAA" w:rsidP="00086BF0">
      <w:pPr>
        <w:pStyle w:val="notepara"/>
      </w:pPr>
      <w:r>
        <w:t>(</w:t>
      </w:r>
      <w:r w:rsidR="008864A2">
        <w:t>j</w:t>
      </w:r>
      <w:r>
        <w:t>)</w:t>
      </w:r>
      <w:r>
        <w:tab/>
        <w:t>spectrum licence</w:t>
      </w:r>
      <w:r w:rsidR="00E94A1D">
        <w:t>.</w:t>
      </w:r>
    </w:p>
    <w:p w14:paraId="13C406F7" w14:textId="1530A8EB" w:rsidR="00086BF0" w:rsidRDefault="00461644" w:rsidP="00086BF0">
      <w:pPr>
        <w:pStyle w:val="ActHead5"/>
      </w:pPr>
      <w:bookmarkStart w:id="11" w:name="_Toc64643894"/>
      <w:proofErr w:type="gramStart"/>
      <w:r w:rsidRPr="00F03566">
        <w:rPr>
          <w:rStyle w:val="CharSectno"/>
        </w:rPr>
        <w:t>5</w:t>
      </w:r>
      <w:r w:rsidR="00086BF0">
        <w:t xml:space="preserve">  References</w:t>
      </w:r>
      <w:proofErr w:type="gramEnd"/>
      <w:r w:rsidR="00086BF0">
        <w:t xml:space="preserve"> to other instruments</w:t>
      </w:r>
      <w:bookmarkEnd w:id="11"/>
    </w:p>
    <w:p w14:paraId="624BF9E2" w14:textId="77777777" w:rsidR="00086BF0" w:rsidRDefault="00086BF0" w:rsidP="00086BF0">
      <w:pPr>
        <w:pStyle w:val="subsection"/>
      </w:pPr>
      <w:r>
        <w:tab/>
      </w:r>
      <w:r>
        <w:tab/>
        <w:t>In this instrument, unless the contrary intention appears:</w:t>
      </w:r>
    </w:p>
    <w:p w14:paraId="17BE503C" w14:textId="77777777" w:rsidR="00086BF0" w:rsidRDefault="00086BF0" w:rsidP="00086BF0">
      <w:pPr>
        <w:pStyle w:val="paragraph"/>
      </w:pPr>
      <w:r>
        <w:tab/>
        <w:t>(a)</w:t>
      </w:r>
      <w:r>
        <w:tab/>
        <w:t>a reference to any other legislative instrument is a reference to that other legislative instrument as in force from time to time; and</w:t>
      </w:r>
    </w:p>
    <w:p w14:paraId="7B18CE4F" w14:textId="7B44FE11" w:rsidR="00086BF0" w:rsidRDefault="00086BF0" w:rsidP="00086BF0">
      <w:pPr>
        <w:pStyle w:val="paragraph"/>
        <w:tabs>
          <w:tab w:val="left" w:pos="2160"/>
          <w:tab w:val="left" w:pos="2880"/>
          <w:tab w:val="left" w:pos="3600"/>
          <w:tab w:val="center" w:pos="4513"/>
        </w:tabs>
      </w:pPr>
      <w:r>
        <w:tab/>
        <w:t>(b)</w:t>
      </w:r>
      <w:r>
        <w:tab/>
        <w:t xml:space="preserve">a reference to any other kind of instrument </w:t>
      </w:r>
      <w:r w:rsidR="00461644">
        <w:t xml:space="preserve">or writing </w:t>
      </w:r>
      <w:r>
        <w:t xml:space="preserve">is a reference to that other instrument </w:t>
      </w:r>
      <w:r w:rsidR="00461644">
        <w:t xml:space="preserve">or writing </w:t>
      </w:r>
      <w:r>
        <w:t xml:space="preserve">as in force </w:t>
      </w:r>
      <w:r w:rsidR="00461644">
        <w:t xml:space="preserve">or existing </w:t>
      </w:r>
      <w:r>
        <w:t>from time to time.</w:t>
      </w:r>
    </w:p>
    <w:p w14:paraId="01AF959A" w14:textId="77777777" w:rsidR="00086BF0" w:rsidRDefault="00086BF0" w:rsidP="00086BF0">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480AF3CF" w14:textId="0A6A24A3" w:rsidR="00086BF0" w:rsidRDefault="00086BF0" w:rsidP="00086BF0">
      <w:pPr>
        <w:pStyle w:val="notetext"/>
      </w:pPr>
      <w:r>
        <w:t>Note 2:</w:t>
      </w:r>
      <w:r>
        <w:tab/>
        <w:t xml:space="preserve">All Commonwealth Acts and legislative instruments are registered on the Federal Register of Legislation. </w:t>
      </w:r>
    </w:p>
    <w:p w14:paraId="250C2F4C" w14:textId="384B4E02" w:rsidR="00461644" w:rsidRDefault="00461644" w:rsidP="00086BF0">
      <w:pPr>
        <w:pStyle w:val="notetext"/>
      </w:pPr>
      <w:r>
        <w:t>Note 3:</w:t>
      </w:r>
      <w:r>
        <w:tab/>
        <w:t>See section 314A of the Act.</w:t>
      </w:r>
    </w:p>
    <w:p w14:paraId="56907626" w14:textId="58A1AB93" w:rsidR="00C44967" w:rsidRDefault="00C44967" w:rsidP="00C44967">
      <w:pPr>
        <w:pStyle w:val="ActHead5"/>
      </w:pPr>
      <w:bookmarkStart w:id="12" w:name="_Toc64643895"/>
      <w:proofErr w:type="gramStart"/>
      <w:r>
        <w:t>6  References</w:t>
      </w:r>
      <w:proofErr w:type="gramEnd"/>
      <w:r>
        <w:t xml:space="preserve"> to frequency ranges</w:t>
      </w:r>
      <w:bookmarkEnd w:id="12"/>
    </w:p>
    <w:p w14:paraId="7F118510" w14:textId="0C17D747" w:rsidR="00C44967" w:rsidRDefault="00C44967" w:rsidP="00C44967">
      <w:pPr>
        <w:pStyle w:val="subsection"/>
      </w:pPr>
      <w:r>
        <w:tab/>
      </w:r>
      <w:r>
        <w:tab/>
        <w:t>In this instrument, unless the contrary intention appears, a reference to a part of the spectrum or a frequency range includes all frequencies that are greater tha</w:t>
      </w:r>
      <w:r w:rsidR="00CF4ADA">
        <w:t>n but not including the lower frequency, up to and including the higher frequency.</w:t>
      </w:r>
    </w:p>
    <w:p w14:paraId="67383540" w14:textId="2E1A3B11" w:rsidR="00086BF0" w:rsidRDefault="00086BF0" w:rsidP="00086BF0">
      <w:pPr>
        <w:rPr>
          <w:rFonts w:ascii="Times New Roman" w:eastAsia="Times New Roman" w:hAnsi="Times New Roman" w:cs="Times New Roman"/>
          <w:b/>
          <w:kern w:val="28"/>
          <w:sz w:val="24"/>
          <w:szCs w:val="20"/>
          <w:lang w:eastAsia="en-AU"/>
        </w:rPr>
      </w:pPr>
      <w:r>
        <w:br w:type="page"/>
      </w:r>
    </w:p>
    <w:p w14:paraId="66305F77" w14:textId="47EDC6E7" w:rsidR="00086BF0" w:rsidRPr="00016407" w:rsidRDefault="00086BF0" w:rsidP="00016407">
      <w:pPr>
        <w:pStyle w:val="Heading1"/>
        <w:rPr>
          <w:rStyle w:val="CharPartText"/>
          <w:rFonts w:ascii="Times New Roman" w:hAnsi="Times New Roman" w:cs="Times New Roman"/>
          <w:b/>
          <w:bCs/>
          <w:color w:val="auto"/>
        </w:rPr>
      </w:pPr>
      <w:bookmarkStart w:id="13" w:name="_Toc64643896"/>
      <w:bookmarkEnd w:id="3"/>
      <w:r w:rsidRPr="00016407">
        <w:rPr>
          <w:rStyle w:val="CharPartText"/>
          <w:rFonts w:ascii="Times New Roman" w:hAnsi="Times New Roman" w:cs="Times New Roman"/>
          <w:b/>
          <w:bCs/>
          <w:color w:val="auto"/>
        </w:rPr>
        <w:lastRenderedPageBreak/>
        <w:t>Part 2—</w:t>
      </w:r>
      <w:r w:rsidR="00986AD8" w:rsidRPr="00016407">
        <w:rPr>
          <w:rStyle w:val="CharPartText"/>
          <w:rFonts w:ascii="Times New Roman" w:hAnsi="Times New Roman" w:cs="Times New Roman"/>
          <w:b/>
          <w:bCs/>
          <w:color w:val="auto"/>
        </w:rPr>
        <w:t>P</w:t>
      </w:r>
      <w:r w:rsidR="00752357" w:rsidRPr="00016407">
        <w:rPr>
          <w:rStyle w:val="CharPartText"/>
          <w:rFonts w:ascii="Times New Roman" w:hAnsi="Times New Roman" w:cs="Times New Roman"/>
          <w:b/>
          <w:bCs/>
          <w:color w:val="auto"/>
        </w:rPr>
        <w:t>rocedure</w:t>
      </w:r>
      <w:r w:rsidR="00986AD8" w:rsidRPr="00016407">
        <w:rPr>
          <w:rStyle w:val="CharPartText"/>
          <w:rFonts w:ascii="Times New Roman" w:hAnsi="Times New Roman" w:cs="Times New Roman"/>
          <w:b/>
          <w:bCs/>
          <w:color w:val="auto"/>
        </w:rPr>
        <w:t xml:space="preserve">s and timetable for issuing spectrum </w:t>
      </w:r>
      <w:proofErr w:type="gramStart"/>
      <w:r w:rsidR="00986AD8" w:rsidRPr="00016407">
        <w:rPr>
          <w:rStyle w:val="CharPartText"/>
          <w:rFonts w:ascii="Times New Roman" w:hAnsi="Times New Roman" w:cs="Times New Roman"/>
          <w:b/>
          <w:bCs/>
          <w:color w:val="auto"/>
        </w:rPr>
        <w:t>licences</w:t>
      </w:r>
      <w:bookmarkEnd w:id="13"/>
      <w:proofErr w:type="gramEnd"/>
    </w:p>
    <w:p w14:paraId="3507F852" w14:textId="2EE6A5AA" w:rsidR="004A6D44" w:rsidRPr="00F80517" w:rsidRDefault="00986AD8" w:rsidP="00F80517">
      <w:pPr>
        <w:pStyle w:val="ActHead5"/>
        <w:rPr>
          <w:rStyle w:val="CharSectno"/>
        </w:rPr>
      </w:pPr>
      <w:bookmarkStart w:id="14" w:name="_Toc43473430"/>
      <w:bookmarkStart w:id="15" w:name="_Toc64643897"/>
      <w:bookmarkStart w:id="16" w:name="_Toc444596036"/>
      <w:proofErr w:type="gramStart"/>
      <w:r>
        <w:rPr>
          <w:rStyle w:val="CharSectno"/>
        </w:rPr>
        <w:t>7</w:t>
      </w:r>
      <w:r w:rsidR="004A6D44" w:rsidRPr="00F80517">
        <w:rPr>
          <w:rStyle w:val="CharSectno"/>
        </w:rPr>
        <w:t xml:space="preserve">  </w:t>
      </w:r>
      <w:r w:rsidR="004A6D44" w:rsidRPr="00F80517">
        <w:t>Simplified</w:t>
      </w:r>
      <w:proofErr w:type="gramEnd"/>
      <w:r w:rsidR="004A6D44" w:rsidRPr="00F80517">
        <w:t xml:space="preserve"> outline of this Part</w:t>
      </w:r>
      <w:bookmarkEnd w:id="14"/>
      <w:bookmarkEnd w:id="15"/>
    </w:p>
    <w:p w14:paraId="22F96015" w14:textId="091FD7A4" w:rsidR="0015041E" w:rsidRDefault="00986AD8" w:rsidP="0015041E">
      <w:pPr>
        <w:pStyle w:val="SOText"/>
      </w:pPr>
      <w:r>
        <w:t>Under subsection 38(1) of the Act, on receiving the designation notice, the ACMA must prepare a conversion plan that sets out the procedures and timetable for issuing spectrum licences to replace existing apparatus licences.</w:t>
      </w:r>
    </w:p>
    <w:p w14:paraId="0DCE4419" w14:textId="6CB32144" w:rsidR="004A6D44" w:rsidRDefault="004A6D44" w:rsidP="004A6D44">
      <w:pPr>
        <w:pStyle w:val="SOText"/>
      </w:pPr>
      <w:r>
        <w:t xml:space="preserve">This Part </w:t>
      </w:r>
      <w:r w:rsidR="003D40F8">
        <w:t xml:space="preserve">sets out those procedures and </w:t>
      </w:r>
      <w:r w:rsidR="00AB3598">
        <w:t xml:space="preserve">that </w:t>
      </w:r>
      <w:r w:rsidR="003D40F8">
        <w:t>timetable</w:t>
      </w:r>
      <w:r w:rsidR="00704A4E">
        <w:t>.</w:t>
      </w:r>
    </w:p>
    <w:p w14:paraId="68CB38E3" w14:textId="577C8800" w:rsidR="00086BF0" w:rsidRPr="00B92AD9" w:rsidRDefault="003D40F8" w:rsidP="00086BF0">
      <w:pPr>
        <w:pStyle w:val="ActHead5"/>
      </w:pPr>
      <w:bookmarkStart w:id="17" w:name="_Toc64643898"/>
      <w:proofErr w:type="gramStart"/>
      <w:r>
        <w:rPr>
          <w:rStyle w:val="CharSectno"/>
        </w:rPr>
        <w:t>8</w:t>
      </w:r>
      <w:r w:rsidR="00086BF0" w:rsidRPr="00B92AD9">
        <w:t xml:space="preserve">  </w:t>
      </w:r>
      <w:bookmarkEnd w:id="16"/>
      <w:r w:rsidR="005D3D27">
        <w:t>Procedures</w:t>
      </w:r>
      <w:proofErr w:type="gramEnd"/>
      <w:r w:rsidR="00554DA0">
        <w:t xml:space="preserve"> and timetable</w:t>
      </w:r>
      <w:r w:rsidR="005D3D27">
        <w:t xml:space="preserve"> – p</w:t>
      </w:r>
      <w:r w:rsidR="00A010F3">
        <w:t>reparation of draft spectrum licences</w:t>
      </w:r>
      <w:r w:rsidR="00605EFD">
        <w:t xml:space="preserve"> and consultation</w:t>
      </w:r>
      <w:bookmarkEnd w:id="17"/>
    </w:p>
    <w:p w14:paraId="06485211" w14:textId="77777777" w:rsidR="00D120B9" w:rsidRDefault="009E6C7C" w:rsidP="00086BF0">
      <w:pPr>
        <w:pStyle w:val="subsection"/>
      </w:pPr>
      <w:r>
        <w:tab/>
      </w:r>
      <w:r w:rsidR="0033094E">
        <w:t>(1)</w:t>
      </w:r>
      <w:r w:rsidR="006C3AA2">
        <w:tab/>
      </w:r>
      <w:r w:rsidR="007510CC">
        <w:t>In accordance with section 53 of the Act</w:t>
      </w:r>
      <w:r w:rsidR="00D120B9">
        <w:t>:</w:t>
      </w:r>
    </w:p>
    <w:p w14:paraId="2FCE803E" w14:textId="41B2FBDC" w:rsidR="009E6C7C" w:rsidRDefault="00D120B9" w:rsidP="00D120B9">
      <w:pPr>
        <w:pStyle w:val="paragraph"/>
      </w:pPr>
      <w:r>
        <w:tab/>
        <w:t>(a)</w:t>
      </w:r>
      <w:r>
        <w:tab/>
      </w:r>
      <w:r w:rsidR="007510CC">
        <w:t xml:space="preserve">the ACMA </w:t>
      </w:r>
      <w:r w:rsidR="009E3495">
        <w:t>must</w:t>
      </w:r>
      <w:r w:rsidR="007510CC">
        <w:t xml:space="preserve"> prepare a draft spectrum licence to replace one or more </w:t>
      </w:r>
      <w:r w:rsidR="00BA771B">
        <w:t>existing apparatus</w:t>
      </w:r>
      <w:r w:rsidR="007510CC">
        <w:t xml:space="preserve"> licence</w:t>
      </w:r>
      <w:r w:rsidR="003400E8">
        <w:t>s</w:t>
      </w:r>
      <w:r>
        <w:t>;</w:t>
      </w:r>
      <w:r w:rsidR="007F1B6D">
        <w:t xml:space="preserve"> and</w:t>
      </w:r>
    </w:p>
    <w:p w14:paraId="34DEC3A5" w14:textId="1C2B702A" w:rsidR="00D120B9" w:rsidRDefault="00D120B9" w:rsidP="00D120B9">
      <w:pPr>
        <w:pStyle w:val="paragraph"/>
      </w:pPr>
      <w:r>
        <w:tab/>
        <w:t>(b)</w:t>
      </w:r>
      <w:r>
        <w:tab/>
      </w:r>
      <w:r w:rsidR="007451BF">
        <w:t>a</w:t>
      </w:r>
      <w:r w:rsidR="00B37050">
        <w:t xml:space="preserve"> draft spectrum licence must, so far as is practicable, authorise the operation of radiocommunications devices to the same extent as, or to a greater extent than, they are authorised under the </w:t>
      </w:r>
      <w:r w:rsidR="00156E16">
        <w:t xml:space="preserve">existing </w:t>
      </w:r>
      <w:r w:rsidR="00E9025C">
        <w:t>apparatus licence</w:t>
      </w:r>
      <w:r w:rsidR="00C0208C">
        <w:t>s</w:t>
      </w:r>
      <w:r w:rsidR="00E9025C">
        <w:t xml:space="preserve"> to be replaced.</w:t>
      </w:r>
    </w:p>
    <w:p w14:paraId="1E4E5A15" w14:textId="497AAF42" w:rsidR="00066596" w:rsidRDefault="00066596" w:rsidP="00086BF0">
      <w:pPr>
        <w:pStyle w:val="subsection"/>
      </w:pPr>
      <w:r>
        <w:tab/>
        <w:t>(2)</w:t>
      </w:r>
      <w:r>
        <w:tab/>
        <w:t xml:space="preserve">The content of </w:t>
      </w:r>
      <w:r w:rsidR="00336B15">
        <w:t>a</w:t>
      </w:r>
      <w:r>
        <w:t xml:space="preserve"> draft spectrum licence </w:t>
      </w:r>
      <w:r w:rsidR="000C441C">
        <w:t>must</w:t>
      </w:r>
      <w:r>
        <w:t xml:space="preserve"> be consistent with </w:t>
      </w:r>
      <w:r w:rsidR="00190A0E">
        <w:t>Part 3 of</w:t>
      </w:r>
      <w:r w:rsidR="004736DD">
        <w:t xml:space="preserve"> </w:t>
      </w:r>
      <w:r>
        <w:t>this instrument</w:t>
      </w:r>
      <w:r w:rsidR="000C441C">
        <w:t>.</w:t>
      </w:r>
    </w:p>
    <w:p w14:paraId="421E6EC4" w14:textId="5E71B312" w:rsidR="006B187C" w:rsidRDefault="000C441C" w:rsidP="00086BF0">
      <w:pPr>
        <w:pStyle w:val="subsection"/>
      </w:pPr>
      <w:r>
        <w:tab/>
        <w:t>(3)</w:t>
      </w:r>
      <w:r>
        <w:tab/>
      </w:r>
      <w:r w:rsidR="00554DA0">
        <w:t>A</w:t>
      </w:r>
      <w:r w:rsidR="0007744E">
        <w:t xml:space="preserve">s soon as practicable after this instrument commences, </w:t>
      </w:r>
      <w:r w:rsidR="00C722A3">
        <w:t xml:space="preserve">the ACMA </w:t>
      </w:r>
      <w:r w:rsidR="009E3495">
        <w:t>must</w:t>
      </w:r>
      <w:r w:rsidR="00554DA0">
        <w:t>, in accordance with section 54 of the Act</w:t>
      </w:r>
      <w:r w:rsidR="006B187C">
        <w:t>:</w:t>
      </w:r>
    </w:p>
    <w:p w14:paraId="2414FCA4" w14:textId="1293C804" w:rsidR="000C441C" w:rsidRDefault="006B187C" w:rsidP="006B187C">
      <w:pPr>
        <w:pStyle w:val="paragraph"/>
      </w:pPr>
      <w:r>
        <w:tab/>
        <w:t>(a)</w:t>
      </w:r>
      <w:r>
        <w:tab/>
      </w:r>
      <w:r w:rsidR="009E3495">
        <w:t>send the draft spectrum licence to the licensee</w:t>
      </w:r>
      <w:r w:rsidR="00411DAF">
        <w:t xml:space="preserve"> of </w:t>
      </w:r>
      <w:r w:rsidR="00E07DC1">
        <w:t>the</w:t>
      </w:r>
      <w:r w:rsidR="00411DAF">
        <w:t xml:space="preserve"> </w:t>
      </w:r>
      <w:r w:rsidR="00BA771B">
        <w:t>existing apparatus</w:t>
      </w:r>
      <w:r w:rsidR="00411DAF">
        <w:t xml:space="preserve"> licence</w:t>
      </w:r>
      <w:r w:rsidR="00E07DC1">
        <w:t>s</w:t>
      </w:r>
      <w:r w:rsidR="00411DAF">
        <w:t xml:space="preserve"> </w:t>
      </w:r>
      <w:r w:rsidR="00B96E1F">
        <w:t xml:space="preserve">that </w:t>
      </w:r>
      <w:r w:rsidR="00CD3970">
        <w:t>are</w:t>
      </w:r>
      <w:r w:rsidR="00B96E1F">
        <w:t xml:space="preserve"> </w:t>
      </w:r>
      <w:r w:rsidR="00411DAF">
        <w:t>to be replaced by the draft spectrum licence</w:t>
      </w:r>
      <w:r>
        <w:t>; and</w:t>
      </w:r>
    </w:p>
    <w:p w14:paraId="7E28E8DC" w14:textId="001E30CA" w:rsidR="006B187C" w:rsidRDefault="006B187C" w:rsidP="006B187C">
      <w:pPr>
        <w:pStyle w:val="paragraph"/>
      </w:pPr>
      <w:r>
        <w:tab/>
        <w:t>(b)</w:t>
      </w:r>
      <w:r>
        <w:tab/>
        <w:t xml:space="preserve">invite the licensee to make representations </w:t>
      </w:r>
      <w:r w:rsidR="00380A61">
        <w:t>on the draft spectrum licence</w:t>
      </w:r>
      <w:r w:rsidR="00890C84">
        <w:t xml:space="preserve"> on or before the day specified in the notice (</w:t>
      </w:r>
      <w:r w:rsidR="00890C84" w:rsidRPr="00890C84">
        <w:rPr>
          <w:b/>
          <w:bCs/>
          <w:i/>
          <w:iCs/>
        </w:rPr>
        <w:t>representation d</w:t>
      </w:r>
      <w:r w:rsidR="00DB4064">
        <w:rPr>
          <w:b/>
          <w:bCs/>
          <w:i/>
          <w:iCs/>
        </w:rPr>
        <w:t>eadline</w:t>
      </w:r>
      <w:r w:rsidR="00890C84">
        <w:t>)</w:t>
      </w:r>
      <w:r w:rsidR="00380A61">
        <w:t>.</w:t>
      </w:r>
    </w:p>
    <w:p w14:paraId="369A8FC9" w14:textId="633F7AF4" w:rsidR="00FF6ECA" w:rsidRDefault="00FF6ECA" w:rsidP="00FF6ECA">
      <w:pPr>
        <w:pStyle w:val="notetext"/>
      </w:pPr>
      <w:r>
        <w:t>Note</w:t>
      </w:r>
      <w:r w:rsidR="00791B73">
        <w:t xml:space="preserve"> 1</w:t>
      </w:r>
      <w:r>
        <w:t>:</w:t>
      </w:r>
      <w:r>
        <w:tab/>
        <w:t>Subsection 54(2)</w:t>
      </w:r>
      <w:r w:rsidR="006256DB">
        <w:t xml:space="preserve"> of the Act</w:t>
      </w:r>
      <w:r>
        <w:t xml:space="preserve"> provides that the ACMA must give the licensee at least one month to make representations.</w:t>
      </w:r>
      <w:r w:rsidR="00F566C4">
        <w:t xml:space="preserve"> Subsection 55(2)</w:t>
      </w:r>
      <w:r w:rsidR="006256DB">
        <w:t xml:space="preserve"> of the Act</w:t>
      </w:r>
      <w:r w:rsidR="00F566C4">
        <w:t xml:space="preserve"> provides that the ACMA must </w:t>
      </w:r>
      <w:r w:rsidR="000B186D">
        <w:t>give due consideration to these</w:t>
      </w:r>
      <w:r w:rsidR="00F566C4">
        <w:t xml:space="preserve"> representations</w:t>
      </w:r>
      <w:r w:rsidR="000B186D">
        <w:t>.</w:t>
      </w:r>
    </w:p>
    <w:p w14:paraId="7F5E4E01" w14:textId="044BDF5F" w:rsidR="00791B73" w:rsidRDefault="00791B73" w:rsidP="00FF6ECA">
      <w:pPr>
        <w:pStyle w:val="notetext"/>
      </w:pPr>
      <w:r>
        <w:t>Note 2:</w:t>
      </w:r>
      <w:r>
        <w:tab/>
        <w:t xml:space="preserve">The licensee may, at </w:t>
      </w:r>
      <w:r w:rsidR="00066E92">
        <w:t xml:space="preserve">the </w:t>
      </w:r>
      <w:r>
        <w:t>time</w:t>
      </w:r>
      <w:r w:rsidR="00066E92">
        <w:t xml:space="preserve"> it makes representations</w:t>
      </w:r>
      <w:r>
        <w:t xml:space="preserve">, </w:t>
      </w:r>
      <w:r w:rsidR="00066E92">
        <w:t xml:space="preserve">choose to </w:t>
      </w:r>
      <w:r>
        <w:t>identify a person to receive an offer under section 9.</w:t>
      </w:r>
    </w:p>
    <w:p w14:paraId="63A123E2" w14:textId="3B6440D7" w:rsidR="00151333" w:rsidRPr="00B92AD9" w:rsidRDefault="00605EFD" w:rsidP="00151333">
      <w:pPr>
        <w:pStyle w:val="ActHead5"/>
      </w:pPr>
      <w:bookmarkStart w:id="18" w:name="_Toc64643899"/>
      <w:proofErr w:type="gramStart"/>
      <w:r>
        <w:rPr>
          <w:rStyle w:val="CharSectno"/>
        </w:rPr>
        <w:t>9</w:t>
      </w:r>
      <w:r w:rsidR="00151333" w:rsidRPr="00B92AD9">
        <w:t xml:space="preserve">  </w:t>
      </w:r>
      <w:r w:rsidR="00D860E0">
        <w:t>Procedures</w:t>
      </w:r>
      <w:proofErr w:type="gramEnd"/>
      <w:r w:rsidR="005B2AC2">
        <w:t xml:space="preserve"> and timetable</w:t>
      </w:r>
      <w:r w:rsidR="006A552F">
        <w:t xml:space="preserve"> </w:t>
      </w:r>
      <w:r w:rsidR="007A3098">
        <w:t>–</w:t>
      </w:r>
      <w:r w:rsidR="006A552F">
        <w:t xml:space="preserve"> </w:t>
      </w:r>
      <w:r w:rsidR="007A3098">
        <w:t>offer of spectrum licence</w:t>
      </w:r>
      <w:r w:rsidR="00442B79">
        <w:t>s</w:t>
      </w:r>
      <w:bookmarkEnd w:id="18"/>
    </w:p>
    <w:p w14:paraId="37EA8CB0" w14:textId="38DE6F9D" w:rsidR="00151333" w:rsidRDefault="00151333" w:rsidP="00151333">
      <w:pPr>
        <w:pStyle w:val="subsection"/>
      </w:pPr>
      <w:r>
        <w:tab/>
      </w:r>
      <w:r w:rsidR="00B12B98">
        <w:t>(1)</w:t>
      </w:r>
      <w:r>
        <w:tab/>
      </w:r>
      <w:r w:rsidR="0090181B">
        <w:t>In accordance with subsection 56(1)</w:t>
      </w:r>
      <w:r w:rsidR="00640C26">
        <w:t xml:space="preserve"> of the Act</w:t>
      </w:r>
      <w:r w:rsidR="00890C84">
        <w:t>, as soon as practicable after the representation d</w:t>
      </w:r>
      <w:r w:rsidR="00533B89">
        <w:t>eadline</w:t>
      </w:r>
      <w:r w:rsidR="00890C84">
        <w:t>, the ACMA must</w:t>
      </w:r>
      <w:r w:rsidR="00B96E1F">
        <w:t xml:space="preserve"> give to the licensee of </w:t>
      </w:r>
      <w:r w:rsidR="00BA771B">
        <w:t>existing apparatus</w:t>
      </w:r>
      <w:r w:rsidR="00B96E1F">
        <w:t xml:space="preserve"> licence</w:t>
      </w:r>
      <w:r w:rsidR="001B2128">
        <w:t>s</w:t>
      </w:r>
      <w:r w:rsidR="00F73406">
        <w:t xml:space="preserve"> a written offer to issue to the licensee a spectrum licence to replace </w:t>
      </w:r>
      <w:r w:rsidR="00A0421C">
        <w:t>one or more</w:t>
      </w:r>
      <w:r w:rsidR="00F73406">
        <w:t xml:space="preserve"> </w:t>
      </w:r>
      <w:r w:rsidR="00BA771B">
        <w:t>existing apparatus</w:t>
      </w:r>
      <w:r w:rsidR="00F73406">
        <w:t xml:space="preserve"> licence</w:t>
      </w:r>
      <w:r w:rsidR="00404005">
        <w:t>s</w:t>
      </w:r>
      <w:r w:rsidR="00F73406">
        <w:t>.</w:t>
      </w:r>
    </w:p>
    <w:p w14:paraId="6F80E638" w14:textId="7846F46A" w:rsidR="002C6404" w:rsidRDefault="002C6404" w:rsidP="00F73406">
      <w:pPr>
        <w:pStyle w:val="notetext"/>
      </w:pPr>
      <w:r>
        <w:t>Note:</w:t>
      </w:r>
      <w:r>
        <w:tab/>
        <w:t>Section 56 of the Act imposes requirements on the offer</w:t>
      </w:r>
      <w:r w:rsidR="005B620C">
        <w:t xml:space="preserve">, including </w:t>
      </w:r>
      <w:r w:rsidR="002E77D9">
        <w:t xml:space="preserve">in relation to </w:t>
      </w:r>
      <w:r w:rsidR="005B620C">
        <w:t>the day on which the offer must close (which must be at least one month later than the day on which the offer is given to the licensee)</w:t>
      </w:r>
      <w:r w:rsidR="002E77D9">
        <w:t xml:space="preserve"> and in relation to the spectrum access charge payable</w:t>
      </w:r>
      <w:r w:rsidR="005B620C">
        <w:t>.</w:t>
      </w:r>
    </w:p>
    <w:p w14:paraId="22D589F0" w14:textId="36EB77E6" w:rsidR="00B12B98" w:rsidRDefault="00B12B98" w:rsidP="00B12B98">
      <w:pPr>
        <w:pStyle w:val="subsection"/>
      </w:pPr>
      <w:r>
        <w:tab/>
        <w:t>(2)</w:t>
      </w:r>
      <w:r>
        <w:tab/>
      </w:r>
      <w:r w:rsidR="00A04717">
        <w:t xml:space="preserve">The </w:t>
      </w:r>
      <w:r w:rsidR="005D25AF">
        <w:t>ACMA</w:t>
      </w:r>
      <w:r w:rsidR="00744D6E" w:rsidRPr="00744D6E">
        <w:t xml:space="preserve"> </w:t>
      </w:r>
      <w:r w:rsidR="00744D6E">
        <w:t>will send the offer by</w:t>
      </w:r>
      <w:r w:rsidR="00CB3F04">
        <w:t xml:space="preserve"> email to</w:t>
      </w:r>
      <w:r w:rsidR="00791B73">
        <w:t xml:space="preserve"> the email address of</w:t>
      </w:r>
      <w:r w:rsidR="00CB3F04">
        <w:t xml:space="preserve"> a person known by the ACMA to be a representative of the licensee.</w:t>
      </w:r>
    </w:p>
    <w:p w14:paraId="7E3C96FD" w14:textId="090AFC25" w:rsidR="00744D6E" w:rsidRDefault="00CB3F04" w:rsidP="00CB3F04">
      <w:pPr>
        <w:pStyle w:val="notetext"/>
      </w:pPr>
      <w:r>
        <w:t>Example:</w:t>
      </w:r>
      <w:r>
        <w:tab/>
        <w:t>A representative of the licensee may be a person with whom ACMA staff have dealt with in respect of apparatus licences or spectrum licences, or a person included on the Register</w:t>
      </w:r>
      <w:r w:rsidR="00984C98">
        <w:t>,</w:t>
      </w:r>
      <w:r>
        <w:t xml:space="preserve"> in relation to the licensee.</w:t>
      </w:r>
    </w:p>
    <w:p w14:paraId="0F39C738" w14:textId="3176EB8D" w:rsidR="00334B89" w:rsidRDefault="00334B89" w:rsidP="00334B89">
      <w:pPr>
        <w:pStyle w:val="subsection"/>
        <w:rPr>
          <w:rStyle w:val="CharSectno"/>
        </w:rPr>
      </w:pPr>
      <w:r>
        <w:rPr>
          <w:rStyle w:val="CharSectno"/>
        </w:rPr>
        <w:tab/>
        <w:t>(3)</w:t>
      </w:r>
      <w:r>
        <w:rPr>
          <w:rStyle w:val="CharSectno"/>
        </w:rPr>
        <w:tab/>
        <w:t xml:space="preserve">The offer must specify an email address for the purposes of </w:t>
      </w:r>
      <w:r w:rsidR="00FB1B6D">
        <w:rPr>
          <w:rStyle w:val="CharSectno"/>
        </w:rPr>
        <w:t>paragrap</w:t>
      </w:r>
      <w:r w:rsidR="00B5112E">
        <w:rPr>
          <w:rStyle w:val="CharSectno"/>
        </w:rPr>
        <w:t>h 10(2)(c).</w:t>
      </w:r>
    </w:p>
    <w:p w14:paraId="7584D258" w14:textId="551B8D14" w:rsidR="00DB592F" w:rsidRPr="00066E92" w:rsidRDefault="00DB592F" w:rsidP="00066E92">
      <w:pPr>
        <w:pStyle w:val="subsection"/>
      </w:pPr>
      <w:r w:rsidRPr="00066E92">
        <w:tab/>
        <w:t>(4)</w:t>
      </w:r>
      <w:r w:rsidRPr="00066E92">
        <w:tab/>
        <w:t xml:space="preserve">Where </w:t>
      </w:r>
      <w:r w:rsidR="008930EA">
        <w:t>a</w:t>
      </w:r>
      <w:r w:rsidRPr="00066E92">
        <w:t xml:space="preserve"> spectrum licence would replace</w:t>
      </w:r>
      <w:r w:rsidR="00006A41" w:rsidRPr="00066E92">
        <w:t xml:space="preserve"> more than one </w:t>
      </w:r>
      <w:r w:rsidR="00BA771B" w:rsidRPr="00066E92">
        <w:t>existing apparatus</w:t>
      </w:r>
      <w:r w:rsidR="00006A41" w:rsidRPr="00066E92">
        <w:t xml:space="preserve"> licence, the offer must specify each </w:t>
      </w:r>
      <w:r w:rsidR="00BA771B" w:rsidRPr="00066E92">
        <w:t>existing apparatus</w:t>
      </w:r>
      <w:r w:rsidR="00006A41" w:rsidRPr="00066E92">
        <w:t xml:space="preserve"> licence that would be replaced by the spectrum licence.</w:t>
      </w:r>
    </w:p>
    <w:p w14:paraId="65F6EEAA" w14:textId="2560658D" w:rsidR="00A16B52" w:rsidRDefault="00A16B52" w:rsidP="00A16B52">
      <w:pPr>
        <w:pStyle w:val="notetext"/>
      </w:pPr>
      <w:r>
        <w:lastRenderedPageBreak/>
        <w:t>Note:</w:t>
      </w:r>
      <w:r>
        <w:tab/>
        <w:t xml:space="preserve">A single spectrum licence may replace more than one </w:t>
      </w:r>
      <w:r w:rsidR="00BA771B">
        <w:t>existing apparatus</w:t>
      </w:r>
      <w:r>
        <w:t xml:space="preserve"> licence – see section </w:t>
      </w:r>
      <w:r w:rsidR="009E4691">
        <w:t>16</w:t>
      </w:r>
      <w:r>
        <w:t>.</w:t>
      </w:r>
    </w:p>
    <w:p w14:paraId="53AEAACB" w14:textId="071C3A36" w:rsidR="004A310F" w:rsidRPr="00B92AD9" w:rsidRDefault="004A310F" w:rsidP="004A310F">
      <w:pPr>
        <w:pStyle w:val="ActHead5"/>
      </w:pPr>
      <w:bookmarkStart w:id="19" w:name="_Toc64643900"/>
      <w:proofErr w:type="gramStart"/>
      <w:r>
        <w:rPr>
          <w:rStyle w:val="CharSectno"/>
        </w:rPr>
        <w:t>10</w:t>
      </w:r>
      <w:r w:rsidRPr="00B92AD9">
        <w:t xml:space="preserve">  </w:t>
      </w:r>
      <w:r>
        <w:t>Procedures</w:t>
      </w:r>
      <w:proofErr w:type="gramEnd"/>
      <w:r>
        <w:t xml:space="preserve"> </w:t>
      </w:r>
      <w:r w:rsidR="001F1334">
        <w:t>and timetable</w:t>
      </w:r>
      <w:r w:rsidR="00100103">
        <w:t xml:space="preserve"> </w:t>
      </w:r>
      <w:r>
        <w:t>– acceptance of offer</w:t>
      </w:r>
      <w:bookmarkEnd w:id="19"/>
    </w:p>
    <w:p w14:paraId="780D4C61" w14:textId="5A1FC897" w:rsidR="00F73406" w:rsidRDefault="00744D6E" w:rsidP="00151333">
      <w:pPr>
        <w:pStyle w:val="subsection"/>
      </w:pPr>
      <w:r>
        <w:tab/>
        <w:t>(1)</w:t>
      </w:r>
      <w:r>
        <w:tab/>
        <w:t xml:space="preserve">If a licensee of </w:t>
      </w:r>
      <w:r w:rsidR="00BA771B">
        <w:t>existing apparatus</w:t>
      </w:r>
      <w:r>
        <w:t xml:space="preserve"> licence</w:t>
      </w:r>
      <w:r w:rsidR="00E52789">
        <w:t>s</w:t>
      </w:r>
      <w:r>
        <w:t xml:space="preserve"> receives an offer</w:t>
      </w:r>
      <w:r w:rsidR="00D43436">
        <w:t>, the licensee may accept the offer only in accordance with section 57 of the Act and this section.</w:t>
      </w:r>
    </w:p>
    <w:p w14:paraId="1FE5BF64" w14:textId="19F97252" w:rsidR="00D43436" w:rsidRDefault="00D43436" w:rsidP="00151333">
      <w:pPr>
        <w:pStyle w:val="subsection"/>
      </w:pPr>
      <w:r>
        <w:tab/>
        <w:t>(2)</w:t>
      </w:r>
      <w:r>
        <w:tab/>
        <w:t>The written notice</w:t>
      </w:r>
      <w:r w:rsidR="00FE57C8">
        <w:t xml:space="preserve"> by which the licensee accepts the offer and agrees to pay the amount of spectrum access charge specified in the offer must</w:t>
      </w:r>
      <w:r w:rsidR="00E43E35">
        <w:t xml:space="preserve"> be</w:t>
      </w:r>
      <w:r w:rsidR="00FE57C8">
        <w:t>:</w:t>
      </w:r>
    </w:p>
    <w:p w14:paraId="7C8DA875" w14:textId="78E05005" w:rsidR="00FE57C8" w:rsidRDefault="00FE57C8" w:rsidP="00FE57C8">
      <w:pPr>
        <w:pStyle w:val="paragraph"/>
      </w:pPr>
      <w:r>
        <w:tab/>
        <w:t>(a)</w:t>
      </w:r>
      <w:r>
        <w:tab/>
        <w:t xml:space="preserve">given </w:t>
      </w:r>
      <w:r w:rsidR="00FE48DD">
        <w:t>on or before the day specified in the offer;</w:t>
      </w:r>
      <w:r w:rsidR="00AA791E">
        <w:t xml:space="preserve"> and</w:t>
      </w:r>
    </w:p>
    <w:p w14:paraId="079127B1" w14:textId="49922F8A" w:rsidR="00FE48DD" w:rsidRDefault="00FE48DD" w:rsidP="00FE57C8">
      <w:pPr>
        <w:pStyle w:val="paragraph"/>
      </w:pPr>
      <w:r>
        <w:tab/>
        <w:t>(b)</w:t>
      </w:r>
      <w:r>
        <w:tab/>
        <w:t>in the acceptance form</w:t>
      </w:r>
      <w:r w:rsidR="003E6F71">
        <w:t>, in accordance with section 11</w:t>
      </w:r>
      <w:r>
        <w:t xml:space="preserve">; </w:t>
      </w:r>
      <w:r w:rsidR="00AA791E">
        <w:t>and</w:t>
      </w:r>
    </w:p>
    <w:p w14:paraId="3D4BC4F9" w14:textId="5449D4CA" w:rsidR="00FE48DD" w:rsidRDefault="00FE48DD" w:rsidP="00FE57C8">
      <w:pPr>
        <w:pStyle w:val="paragraph"/>
      </w:pPr>
      <w:r>
        <w:tab/>
        <w:t>(c)</w:t>
      </w:r>
      <w:r>
        <w:tab/>
      </w:r>
      <w:r w:rsidR="00E43E35">
        <w:t>given to the ACMA by</w:t>
      </w:r>
      <w:r w:rsidR="000C075E">
        <w:t xml:space="preserve"> email to the email address specified in the offer.</w:t>
      </w:r>
    </w:p>
    <w:p w14:paraId="40EF98CB" w14:textId="4C7E7799" w:rsidR="00836EE2" w:rsidRDefault="00836EE2" w:rsidP="00836EE2">
      <w:pPr>
        <w:pStyle w:val="notetext"/>
      </w:pPr>
      <w:r>
        <w:t>Note:</w:t>
      </w:r>
      <w:r>
        <w:tab/>
        <w:t xml:space="preserve">The acceptance form includes a statement by which the licensee agrees to pay the amount of spectrum </w:t>
      </w:r>
      <w:r w:rsidR="00CA341A">
        <w:t xml:space="preserve">access </w:t>
      </w:r>
      <w:r>
        <w:t>charge specified in the offer.</w:t>
      </w:r>
      <w:r w:rsidR="006714DF">
        <w:t xml:space="preserve"> The amount of spectrum </w:t>
      </w:r>
      <w:r w:rsidR="00CA341A">
        <w:t xml:space="preserve">access </w:t>
      </w:r>
      <w:r w:rsidR="006714DF">
        <w:t xml:space="preserve">charge, and the time for payment, </w:t>
      </w:r>
      <w:r w:rsidR="00743346">
        <w:t>are</w:t>
      </w:r>
      <w:r w:rsidR="006714DF">
        <w:t xml:space="preserve"> set out in the </w:t>
      </w:r>
      <w:proofErr w:type="gramStart"/>
      <w:r w:rsidR="006714DF">
        <w:t>charges</w:t>
      </w:r>
      <w:proofErr w:type="gramEnd"/>
      <w:r w:rsidR="006714DF">
        <w:t xml:space="preserve"> determination.</w:t>
      </w:r>
      <w:r w:rsidR="00C32D28">
        <w:t xml:space="preserve"> Failure to pay the spectrum access charge may be a breach of a licence condition – see section 67 of the Act.</w:t>
      </w:r>
    </w:p>
    <w:p w14:paraId="23EFA4CB" w14:textId="2C8603FA" w:rsidR="00E64AAE" w:rsidRPr="00B92AD9" w:rsidRDefault="00E64AAE" w:rsidP="00E64AAE">
      <w:pPr>
        <w:pStyle w:val="ActHead5"/>
      </w:pPr>
      <w:bookmarkStart w:id="20" w:name="_Toc64643901"/>
      <w:proofErr w:type="gramStart"/>
      <w:r>
        <w:rPr>
          <w:rStyle w:val="CharSectno"/>
        </w:rPr>
        <w:t>11</w:t>
      </w:r>
      <w:r w:rsidRPr="00B92AD9">
        <w:t xml:space="preserve">  </w:t>
      </w:r>
      <w:r>
        <w:t>Procedures</w:t>
      </w:r>
      <w:proofErr w:type="gramEnd"/>
      <w:r>
        <w:t xml:space="preserve"> – acceptance form</w:t>
      </w:r>
      <w:bookmarkEnd w:id="20"/>
    </w:p>
    <w:p w14:paraId="3B91D10B" w14:textId="718ACF95" w:rsidR="00E64AAE" w:rsidRDefault="00E64AAE" w:rsidP="00E64AAE">
      <w:pPr>
        <w:pStyle w:val="subsection"/>
      </w:pPr>
      <w:r>
        <w:tab/>
      </w:r>
      <w:r w:rsidR="001A3612">
        <w:t>(1)</w:t>
      </w:r>
      <w:r>
        <w:tab/>
        <w:t xml:space="preserve">Schedule 1 sets out the </w:t>
      </w:r>
      <w:r w:rsidRPr="00B05BF0">
        <w:rPr>
          <w:b/>
          <w:bCs/>
          <w:i/>
          <w:iCs/>
        </w:rPr>
        <w:t>acceptance form</w:t>
      </w:r>
      <w:r>
        <w:t>.</w:t>
      </w:r>
    </w:p>
    <w:p w14:paraId="4E2BB3A8" w14:textId="77777777" w:rsidR="00F31A96" w:rsidRDefault="001A3612" w:rsidP="00E64AAE">
      <w:pPr>
        <w:pStyle w:val="subsection"/>
      </w:pPr>
      <w:r>
        <w:tab/>
        <w:t>(2)</w:t>
      </w:r>
      <w:r>
        <w:tab/>
      </w:r>
      <w:r w:rsidR="004755CE">
        <w:t xml:space="preserve">When the ACMA </w:t>
      </w:r>
      <w:r w:rsidR="001D4DDF">
        <w:t>gives</w:t>
      </w:r>
      <w:r w:rsidR="004755CE">
        <w:t xml:space="preserve"> an offer</w:t>
      </w:r>
      <w:r w:rsidR="00F74C1E">
        <w:t xml:space="preserve"> of a spectrum licence</w:t>
      </w:r>
      <w:r w:rsidR="004755CE">
        <w:t xml:space="preserve"> to the licensee of existing apparatus licence</w:t>
      </w:r>
      <w:r w:rsidR="00B47D2A">
        <w:t>s</w:t>
      </w:r>
      <w:r w:rsidR="004755CE">
        <w:t xml:space="preserve">, </w:t>
      </w:r>
      <w:r w:rsidR="001D4DDF">
        <w:t>t</w:t>
      </w:r>
      <w:r>
        <w:t xml:space="preserve">he ACMA may provide the </w:t>
      </w:r>
      <w:r w:rsidR="004755CE">
        <w:t>licensee a version of the acceptance form</w:t>
      </w:r>
      <w:r w:rsidR="00F31A96">
        <w:t>:</w:t>
      </w:r>
    </w:p>
    <w:p w14:paraId="183A9EB4" w14:textId="242805A7" w:rsidR="00F31A96" w:rsidRDefault="00F31A96" w:rsidP="00F31A96">
      <w:pPr>
        <w:pStyle w:val="paragraph"/>
      </w:pPr>
      <w:r>
        <w:tab/>
        <w:t>(a)</w:t>
      </w:r>
      <w:r>
        <w:tab/>
      </w:r>
      <w:r w:rsidR="004755CE">
        <w:t xml:space="preserve">with additional </w:t>
      </w:r>
      <w:proofErr w:type="gramStart"/>
      <w:r w:rsidR="001D4DDF">
        <w:t xml:space="preserve">factual </w:t>
      </w:r>
      <w:r w:rsidR="004755CE">
        <w:t>information</w:t>
      </w:r>
      <w:proofErr w:type="gramEnd"/>
      <w:r w:rsidR="004755CE">
        <w:t xml:space="preserve"> included about the offer, </w:t>
      </w:r>
      <w:r w:rsidR="001D4DDF">
        <w:t xml:space="preserve">the spectrum licence </w:t>
      </w:r>
      <w:r w:rsidR="009254D6">
        <w:t>identified in the offer</w:t>
      </w:r>
      <w:r w:rsidR="00671694">
        <w:t>, and other matters relevant to the offer</w:t>
      </w:r>
      <w:r>
        <w:t>; and</w:t>
      </w:r>
    </w:p>
    <w:p w14:paraId="0E6D3B5C" w14:textId="77777777" w:rsidR="00167747" w:rsidRDefault="00F31A96" w:rsidP="00F31A96">
      <w:pPr>
        <w:pStyle w:val="paragraph"/>
      </w:pPr>
      <w:r>
        <w:tab/>
        <w:t>(b)</w:t>
      </w:r>
      <w:r>
        <w:tab/>
        <w:t xml:space="preserve">with </w:t>
      </w:r>
      <w:r w:rsidR="00167747">
        <w:t>irrelevant information removed or struck out</w:t>
      </w:r>
      <w:r w:rsidR="009254D6">
        <w:t>.</w:t>
      </w:r>
    </w:p>
    <w:p w14:paraId="754A726C" w14:textId="18F70708" w:rsidR="001A3612" w:rsidRDefault="00167747" w:rsidP="00167747">
      <w:pPr>
        <w:pStyle w:val="subsection"/>
        <w:spacing w:before="120"/>
      </w:pPr>
      <w:r>
        <w:tab/>
      </w:r>
      <w:r>
        <w:tab/>
      </w:r>
      <w:r w:rsidR="003E6F71">
        <w:t>If the ACMA does so, t</w:t>
      </w:r>
      <w:r w:rsidR="008F576D">
        <w:t xml:space="preserve">he licensee </w:t>
      </w:r>
      <w:r w:rsidR="003E6F71">
        <w:t>must</w:t>
      </w:r>
      <w:r w:rsidR="008F576D">
        <w:t xml:space="preserve"> use this version of the acceptance form to accept </w:t>
      </w:r>
      <w:r w:rsidR="00CB60B6">
        <w:t>the offer.</w:t>
      </w:r>
    </w:p>
    <w:p w14:paraId="2FD2EDCC" w14:textId="77777777" w:rsidR="00F74C1E" w:rsidRDefault="00F74C1E" w:rsidP="00F74C1E">
      <w:pPr>
        <w:pStyle w:val="notetext"/>
      </w:pPr>
      <w:r>
        <w:t>Note:</w:t>
      </w:r>
      <w:r>
        <w:tab/>
        <w:t xml:space="preserve">The acceptance form may also be used to make the election in section 9 of the </w:t>
      </w:r>
      <w:proofErr w:type="gramStart"/>
      <w:r>
        <w:t>charges</w:t>
      </w:r>
      <w:proofErr w:type="gramEnd"/>
      <w:r>
        <w:t xml:space="preserve"> determination.</w:t>
      </w:r>
    </w:p>
    <w:p w14:paraId="2C60892B" w14:textId="26FFBC43" w:rsidR="005B2AC2" w:rsidRPr="00B92AD9" w:rsidRDefault="005B2AC2" w:rsidP="005B2AC2">
      <w:pPr>
        <w:pStyle w:val="ActHead5"/>
      </w:pPr>
      <w:bookmarkStart w:id="21" w:name="_Toc64643902"/>
      <w:proofErr w:type="gramStart"/>
      <w:r>
        <w:rPr>
          <w:rStyle w:val="CharSectno"/>
        </w:rPr>
        <w:t>1</w:t>
      </w:r>
      <w:r w:rsidR="00AB3014">
        <w:rPr>
          <w:rStyle w:val="CharSectno"/>
        </w:rPr>
        <w:t>2</w:t>
      </w:r>
      <w:r w:rsidRPr="00B92AD9">
        <w:t xml:space="preserve">  </w:t>
      </w:r>
      <w:r>
        <w:t>Procedures</w:t>
      </w:r>
      <w:proofErr w:type="gramEnd"/>
      <w:r>
        <w:t xml:space="preserve"> </w:t>
      </w:r>
      <w:r w:rsidR="003E6F71">
        <w:t xml:space="preserve">and timetable </w:t>
      </w:r>
      <w:r>
        <w:t xml:space="preserve">– </w:t>
      </w:r>
      <w:r w:rsidR="001F1334">
        <w:t xml:space="preserve">issue of </w:t>
      </w:r>
      <w:r w:rsidR="00A91DDC">
        <w:t xml:space="preserve">spectrum </w:t>
      </w:r>
      <w:r w:rsidR="001F1334">
        <w:t>licence</w:t>
      </w:r>
      <w:r w:rsidR="00A91DDC">
        <w:t>s</w:t>
      </w:r>
      <w:bookmarkEnd w:id="21"/>
    </w:p>
    <w:p w14:paraId="39DB832D" w14:textId="3F768D65" w:rsidR="007B4EB4" w:rsidRDefault="005B2AC2" w:rsidP="007B4EB4">
      <w:pPr>
        <w:pStyle w:val="subsection"/>
      </w:pPr>
      <w:r>
        <w:tab/>
      </w:r>
      <w:r w:rsidR="00190A0E">
        <w:t>(1)</w:t>
      </w:r>
      <w:r>
        <w:tab/>
      </w:r>
      <w:r w:rsidR="001F1334">
        <w:t xml:space="preserve">If a licensee of </w:t>
      </w:r>
      <w:r w:rsidR="00BA771B">
        <w:t>existing apparatus</w:t>
      </w:r>
      <w:r w:rsidR="001F1334">
        <w:t xml:space="preserve"> licence</w:t>
      </w:r>
      <w:r w:rsidR="00EA6BC6">
        <w:t>s</w:t>
      </w:r>
      <w:r w:rsidR="001F1334">
        <w:t xml:space="preserve"> accepts an offer </w:t>
      </w:r>
      <w:r w:rsidR="00AB3014">
        <w:t>in accordance with section 57 of the Act and this instrument</w:t>
      </w:r>
      <w:r w:rsidR="00A73ADA">
        <w:t xml:space="preserve">, </w:t>
      </w:r>
      <w:r w:rsidR="00F81A54">
        <w:t xml:space="preserve">the ACMA must issue the spectrum licence </w:t>
      </w:r>
      <w:r w:rsidR="004D2A19">
        <w:t>identified</w:t>
      </w:r>
      <w:r w:rsidR="00BF5FED">
        <w:t xml:space="preserve"> in the</w:t>
      </w:r>
      <w:r w:rsidR="00A73ADA">
        <w:t xml:space="preserve"> offer</w:t>
      </w:r>
      <w:r w:rsidR="007B4EB4">
        <w:t xml:space="preserve"> as soon as practicable after:</w:t>
      </w:r>
    </w:p>
    <w:p w14:paraId="354422F9" w14:textId="7042463D" w:rsidR="007B4EB4" w:rsidRDefault="007B4EB4" w:rsidP="007B4EB4">
      <w:pPr>
        <w:pStyle w:val="paragraph"/>
      </w:pPr>
      <w:r>
        <w:tab/>
        <w:t>(a)</w:t>
      </w:r>
      <w:r>
        <w:tab/>
        <w:t>for the inner-metropolitan spectrum licence – the licensee accepts the offer;</w:t>
      </w:r>
      <w:r w:rsidR="002840AE">
        <w:t xml:space="preserve"> or</w:t>
      </w:r>
    </w:p>
    <w:p w14:paraId="11FE8B31" w14:textId="1FB46A2B" w:rsidR="007B4EB4" w:rsidRDefault="007B4EB4" w:rsidP="007B4EB4">
      <w:pPr>
        <w:pStyle w:val="paragraph"/>
      </w:pPr>
      <w:r>
        <w:tab/>
        <w:t>(b)</w:t>
      </w:r>
      <w:r>
        <w:tab/>
        <w:t>for the outer-metropolitan</w:t>
      </w:r>
      <w:r w:rsidR="005643D5">
        <w:t xml:space="preserve"> and regional</w:t>
      </w:r>
      <w:r>
        <w:t xml:space="preserve"> spectrum licence, if the licensee has elected that subsection 8(3) of the charges determination is to apply – the licensee has paid the amount specified in paragraph 8(3)(a) of the </w:t>
      </w:r>
      <w:proofErr w:type="gramStart"/>
      <w:r>
        <w:t>charges</w:t>
      </w:r>
      <w:proofErr w:type="gramEnd"/>
      <w:r>
        <w:t xml:space="preserve"> determination;</w:t>
      </w:r>
      <w:r w:rsidR="002840AE">
        <w:t xml:space="preserve"> or</w:t>
      </w:r>
    </w:p>
    <w:p w14:paraId="16277FBF" w14:textId="290B1B14" w:rsidR="00F81A54" w:rsidRDefault="007B4EB4" w:rsidP="00623B7E">
      <w:pPr>
        <w:pStyle w:val="paragraph"/>
      </w:pPr>
      <w:r>
        <w:tab/>
        <w:t>(c)</w:t>
      </w:r>
      <w:r>
        <w:tab/>
        <w:t xml:space="preserve">for the outer-metropolitan </w:t>
      </w:r>
      <w:r w:rsidR="005643D5">
        <w:t xml:space="preserve">and regional </w:t>
      </w:r>
      <w:r>
        <w:t>spectrum licence, if the licensee has not elected that subsection 8(3) of the charges determination is to apply – the licensee has paid the amount specified in subsection 8(1) of the charges determination</w:t>
      </w:r>
      <w:r w:rsidR="00A73ADA">
        <w:t>.</w:t>
      </w:r>
    </w:p>
    <w:p w14:paraId="036AB943" w14:textId="6B98A8C0" w:rsidR="00A73ADA" w:rsidRDefault="00A73ADA" w:rsidP="00A73ADA">
      <w:pPr>
        <w:pStyle w:val="notetext"/>
      </w:pPr>
      <w:r>
        <w:t>Note</w:t>
      </w:r>
      <w:r w:rsidR="004D2A19">
        <w:t xml:space="preserve"> 1</w:t>
      </w:r>
      <w:r>
        <w:t>:</w:t>
      </w:r>
      <w:r>
        <w:tab/>
      </w:r>
      <w:r w:rsidR="003D3FE1">
        <w:t>An</w:t>
      </w:r>
      <w:r>
        <w:t xml:space="preserve"> </w:t>
      </w:r>
      <w:r w:rsidR="00BA771B">
        <w:t>existing apparatus</w:t>
      </w:r>
      <w:r>
        <w:t xml:space="preserve"> licence will cease to be in force immediately before the spectrum li</w:t>
      </w:r>
      <w:r w:rsidR="00396B8B">
        <w:t>c</w:t>
      </w:r>
      <w:r>
        <w:t xml:space="preserve">ence comes into force – see section </w:t>
      </w:r>
      <w:r w:rsidR="001D5189">
        <w:t>57 of the Act</w:t>
      </w:r>
      <w:r>
        <w:t>.</w:t>
      </w:r>
    </w:p>
    <w:p w14:paraId="7B2239D4" w14:textId="1722E08F" w:rsidR="004D2A19" w:rsidRPr="004D2A19" w:rsidRDefault="004D2A19" w:rsidP="004D2A19">
      <w:pPr>
        <w:pStyle w:val="notetext"/>
      </w:pPr>
      <w:r>
        <w:t>Note 2:</w:t>
      </w:r>
      <w:r>
        <w:tab/>
      </w:r>
      <w:r w:rsidR="00C327BE">
        <w:t xml:space="preserve">An offer that is made before the commencement of </w:t>
      </w:r>
      <w:r w:rsidR="009E5862">
        <w:t>item 112</w:t>
      </w:r>
      <w:r w:rsidR="00C327BE">
        <w:t xml:space="preserve"> of Schedule 3 to the </w:t>
      </w:r>
      <w:r w:rsidR="00C327BE">
        <w:rPr>
          <w:i/>
          <w:iCs/>
        </w:rPr>
        <w:t xml:space="preserve">Radiocommunications Legislation Amendment (Reform and Modernisation) Act </w:t>
      </w:r>
      <w:r w:rsidR="00C327BE" w:rsidRPr="00814B56">
        <w:rPr>
          <w:i/>
          <w:iCs/>
        </w:rPr>
        <w:t>2020</w:t>
      </w:r>
      <w:r w:rsidR="00814B56">
        <w:t xml:space="preserve"> may be accepted</w:t>
      </w:r>
      <w:r w:rsidR="00E91FED">
        <w:t>, and a spectrum licence issued,</w:t>
      </w:r>
      <w:r w:rsidR="00814B56">
        <w:t xml:space="preserve"> after the commencement of that Part: s</w:t>
      </w:r>
      <w:r w:rsidRPr="00814B56">
        <w:t>ee</w:t>
      </w:r>
      <w:r>
        <w:t xml:space="preserve"> item 112.</w:t>
      </w:r>
    </w:p>
    <w:p w14:paraId="50D92749" w14:textId="77777777" w:rsidR="000D12FC" w:rsidRPr="004D2A19" w:rsidRDefault="000D12FC" w:rsidP="000D12FC">
      <w:pPr>
        <w:pStyle w:val="notetext"/>
      </w:pPr>
      <w:r>
        <w:t>Note 3:</w:t>
      </w:r>
      <w:r>
        <w:tab/>
        <w:t>See section 9 of the charges determination for the election whether subsection 8(3) of that determination is to apply.</w:t>
      </w:r>
    </w:p>
    <w:p w14:paraId="49B44B5B" w14:textId="02626E42" w:rsidR="00190A0E" w:rsidRDefault="00190A0E" w:rsidP="00190A0E">
      <w:pPr>
        <w:pStyle w:val="subsection"/>
      </w:pPr>
      <w:r>
        <w:tab/>
        <w:t>(2)</w:t>
      </w:r>
      <w:r>
        <w:tab/>
        <w:t>The content of a spectrum licence must be consistent with Part 3 of this instrument.</w:t>
      </w:r>
    </w:p>
    <w:p w14:paraId="1D3C02CB" w14:textId="78FD0DC0" w:rsidR="00652308" w:rsidRPr="00B92AD9" w:rsidRDefault="00652308" w:rsidP="009E5862">
      <w:pPr>
        <w:pStyle w:val="ActHead5"/>
      </w:pPr>
      <w:bookmarkStart w:id="22" w:name="_Toc64643903"/>
      <w:proofErr w:type="gramStart"/>
      <w:r>
        <w:rPr>
          <w:rStyle w:val="CharSectno"/>
        </w:rPr>
        <w:lastRenderedPageBreak/>
        <w:t>13</w:t>
      </w:r>
      <w:r w:rsidRPr="00B92AD9">
        <w:t xml:space="preserve">  </w:t>
      </w:r>
      <w:r>
        <w:t>Procedures</w:t>
      </w:r>
      <w:proofErr w:type="gramEnd"/>
      <w:r>
        <w:t xml:space="preserve"> – failure to accept offer</w:t>
      </w:r>
      <w:bookmarkEnd w:id="22"/>
    </w:p>
    <w:p w14:paraId="2243E61D" w14:textId="6FE5BDD0" w:rsidR="00652308" w:rsidRDefault="00652308" w:rsidP="009E5862">
      <w:pPr>
        <w:pStyle w:val="subsection"/>
        <w:keepNext/>
        <w:keepLines/>
      </w:pPr>
      <w:r>
        <w:tab/>
      </w:r>
      <w:r>
        <w:tab/>
        <w:t xml:space="preserve">If a licensee of </w:t>
      </w:r>
      <w:r w:rsidR="00BA771B">
        <w:t>existing apparatus</w:t>
      </w:r>
      <w:r>
        <w:t xml:space="preserve"> licence</w:t>
      </w:r>
      <w:r w:rsidR="00EC75BF">
        <w:t>s</w:t>
      </w:r>
      <w:r>
        <w:t xml:space="preserve"> does not accept an offer in accordance with section 57 of the Act and this instrument, the ACMA </w:t>
      </w:r>
      <w:r w:rsidR="00396B8B">
        <w:t>may allocate the</w:t>
      </w:r>
      <w:r w:rsidR="007505E2">
        <w:t xml:space="preserve"> spectrum licence to another person under procedures determined under section 60 of the Act.</w:t>
      </w:r>
    </w:p>
    <w:p w14:paraId="6829DA34" w14:textId="005B7593" w:rsidR="005F57E0" w:rsidRPr="004D2A19" w:rsidRDefault="005F57E0" w:rsidP="007505E2">
      <w:pPr>
        <w:pStyle w:val="notetext"/>
      </w:pPr>
      <w:r>
        <w:t>Note:</w:t>
      </w:r>
      <w:r>
        <w:tab/>
        <w:t>See item 112 of Sch</w:t>
      </w:r>
      <w:r w:rsidR="0018053E">
        <w:t>e</w:t>
      </w:r>
      <w:r>
        <w:t xml:space="preserve">dule 3 to the </w:t>
      </w:r>
      <w:r>
        <w:rPr>
          <w:i/>
          <w:iCs/>
        </w:rPr>
        <w:t>Radiocommunications Legislation Amendment (Reform and Modernisation) Act 2020</w:t>
      </w:r>
      <w:r w:rsidR="009E5862">
        <w:t xml:space="preserve"> as to the actions the ACMA may take after the commencement of that item, where an offer was made before the commencement of that item.</w:t>
      </w:r>
    </w:p>
    <w:p w14:paraId="6184680E" w14:textId="397A0D91" w:rsidR="009F2A5E" w:rsidRPr="00B92AD9" w:rsidRDefault="009F2A5E" w:rsidP="009F2A5E">
      <w:pPr>
        <w:pStyle w:val="ActHead5"/>
      </w:pPr>
      <w:bookmarkStart w:id="23" w:name="_Toc64643904"/>
      <w:proofErr w:type="gramStart"/>
      <w:r>
        <w:rPr>
          <w:rStyle w:val="CharSectno"/>
        </w:rPr>
        <w:t>1</w:t>
      </w:r>
      <w:r w:rsidR="00F02134">
        <w:rPr>
          <w:rStyle w:val="CharSectno"/>
        </w:rPr>
        <w:t>4</w:t>
      </w:r>
      <w:r w:rsidRPr="00B92AD9">
        <w:t xml:space="preserve">  </w:t>
      </w:r>
      <w:r>
        <w:t>Procedures</w:t>
      </w:r>
      <w:proofErr w:type="gramEnd"/>
      <w:r>
        <w:t xml:space="preserve"> – payment of spectrum access charge</w:t>
      </w:r>
      <w:bookmarkEnd w:id="23"/>
    </w:p>
    <w:p w14:paraId="2F98BB73" w14:textId="06C32978" w:rsidR="009F2A5E" w:rsidRDefault="009F2A5E" w:rsidP="009F2A5E">
      <w:pPr>
        <w:pStyle w:val="subsection"/>
      </w:pPr>
      <w:r>
        <w:tab/>
      </w:r>
      <w:r>
        <w:tab/>
        <w:t xml:space="preserve">If a licensee of </w:t>
      </w:r>
      <w:r w:rsidR="00BA771B">
        <w:t>existing apparatus</w:t>
      </w:r>
      <w:r>
        <w:t xml:space="preserve"> licence</w:t>
      </w:r>
      <w:r w:rsidR="00EC75BF">
        <w:t>s</w:t>
      </w:r>
      <w:r>
        <w:t xml:space="preserve"> </w:t>
      </w:r>
      <w:r w:rsidR="00133B68">
        <w:t xml:space="preserve">accepts an offer in accordance with section 57 of the Act and this instrument, the </w:t>
      </w:r>
      <w:r w:rsidR="00785C1B">
        <w:t xml:space="preserve">licensee must pay the spectrum access charge </w:t>
      </w:r>
      <w:r w:rsidR="00082BF1">
        <w:t xml:space="preserve">for the spectrum licence </w:t>
      </w:r>
      <w:r w:rsidR="00785C1B">
        <w:t xml:space="preserve">in accordance with the </w:t>
      </w:r>
      <w:proofErr w:type="gramStart"/>
      <w:r w:rsidR="00785C1B">
        <w:t>charges</w:t>
      </w:r>
      <w:proofErr w:type="gramEnd"/>
      <w:r w:rsidR="00785C1B">
        <w:t xml:space="preserve"> determination</w:t>
      </w:r>
      <w:r>
        <w:t>.</w:t>
      </w:r>
    </w:p>
    <w:p w14:paraId="0DBF3B0E" w14:textId="0491A6BA" w:rsidR="0088109F" w:rsidRDefault="009F2A5E" w:rsidP="000F5C32">
      <w:pPr>
        <w:pStyle w:val="notetext"/>
        <w:rPr>
          <w:rStyle w:val="CharSectno"/>
          <w:b/>
          <w:kern w:val="28"/>
          <w:sz w:val="24"/>
        </w:rPr>
      </w:pPr>
      <w:r>
        <w:t>Note:</w:t>
      </w:r>
      <w:r>
        <w:tab/>
        <w:t xml:space="preserve">See </w:t>
      </w:r>
      <w:r w:rsidR="00785C1B">
        <w:t>also the charges direction</w:t>
      </w:r>
      <w:r w:rsidR="00287BD1">
        <w:t>.</w:t>
      </w:r>
      <w:r w:rsidR="0088109F">
        <w:rPr>
          <w:rStyle w:val="CharSectno"/>
        </w:rPr>
        <w:br w:type="page"/>
      </w:r>
    </w:p>
    <w:p w14:paraId="03EB6067" w14:textId="56531452" w:rsidR="0088109F" w:rsidRPr="00016407" w:rsidRDefault="0088109F" w:rsidP="00016407">
      <w:pPr>
        <w:pStyle w:val="Heading1"/>
        <w:rPr>
          <w:rStyle w:val="CharPartText"/>
          <w:rFonts w:ascii="Times New Roman" w:hAnsi="Times New Roman" w:cs="Times New Roman"/>
          <w:b/>
          <w:bCs/>
          <w:color w:val="auto"/>
        </w:rPr>
      </w:pPr>
      <w:bookmarkStart w:id="24" w:name="_Toc64643905"/>
      <w:r w:rsidRPr="00016407">
        <w:rPr>
          <w:rStyle w:val="CharPartText"/>
          <w:rFonts w:ascii="Times New Roman" w:hAnsi="Times New Roman" w:cs="Times New Roman"/>
          <w:b/>
          <w:bCs/>
          <w:color w:val="auto"/>
        </w:rPr>
        <w:lastRenderedPageBreak/>
        <w:t>Part 3—Content of spectrum licences</w:t>
      </w:r>
      <w:bookmarkEnd w:id="24"/>
    </w:p>
    <w:p w14:paraId="77DE0AD5" w14:textId="1F232FAF" w:rsidR="0088109F" w:rsidRPr="002138FE" w:rsidRDefault="00935EA6" w:rsidP="002138FE">
      <w:pPr>
        <w:pStyle w:val="ActHead5"/>
        <w:rPr>
          <w:rStyle w:val="CharSectno"/>
        </w:rPr>
      </w:pPr>
      <w:bookmarkStart w:id="25" w:name="_Toc64643906"/>
      <w:proofErr w:type="gramStart"/>
      <w:r w:rsidRPr="002138FE">
        <w:rPr>
          <w:rStyle w:val="CharSectno"/>
        </w:rPr>
        <w:t>15</w:t>
      </w:r>
      <w:r w:rsidR="0088109F" w:rsidRPr="002138FE">
        <w:t xml:space="preserve">  Simplified</w:t>
      </w:r>
      <w:proofErr w:type="gramEnd"/>
      <w:r w:rsidR="0088109F" w:rsidRPr="002138FE">
        <w:t xml:space="preserve"> outline of this Part</w:t>
      </w:r>
      <w:bookmarkEnd w:id="25"/>
    </w:p>
    <w:p w14:paraId="3EACB228" w14:textId="77777777" w:rsidR="005B5A5B" w:rsidRDefault="006026C0" w:rsidP="0088109F">
      <w:pPr>
        <w:pStyle w:val="SOText"/>
      </w:pPr>
      <w:r>
        <w:t>Subsection 38(1) of the Act provides that a conversion plan must set out the procedures and timetable for issuing spectrum licences to replace existing apparatus licences.</w:t>
      </w:r>
      <w:r w:rsidR="005B5A5B">
        <w:t xml:space="preserve"> </w:t>
      </w:r>
      <w:r>
        <w:t>Subsection 38(3) of the Act provides that the conversion plan may contain such other additional matters as the ACMA thinks fit.</w:t>
      </w:r>
      <w:r w:rsidR="005B5A5B">
        <w:t xml:space="preserve"> </w:t>
      </w:r>
    </w:p>
    <w:p w14:paraId="1C1E6792" w14:textId="0D277B2A" w:rsidR="0088109F" w:rsidRDefault="006026C0" w:rsidP="0088109F">
      <w:pPr>
        <w:pStyle w:val="SOText"/>
      </w:pPr>
      <w:r>
        <w:t>Section 53 of the Act requires the ACMA to prepare draft</w:t>
      </w:r>
      <w:r w:rsidR="00D949B2">
        <w:t>s</w:t>
      </w:r>
      <w:r>
        <w:t xml:space="preserve"> </w:t>
      </w:r>
      <w:r w:rsidR="00D949B2">
        <w:t xml:space="preserve">of the </w:t>
      </w:r>
      <w:r>
        <w:t>spectrum licences</w:t>
      </w:r>
      <w:r w:rsidR="00D949B2">
        <w:t xml:space="preserve"> to replace existing apparatus licences</w:t>
      </w:r>
      <w:r>
        <w:t xml:space="preserve">. Section 8 of this instrument provides that the draft spectrum licences must be </w:t>
      </w:r>
      <w:r w:rsidR="00D949B2">
        <w:t xml:space="preserve">consistent with this </w:t>
      </w:r>
      <w:r w:rsidR="004736DD">
        <w:t>Part</w:t>
      </w:r>
      <w:r w:rsidR="00D949B2">
        <w:t>.</w:t>
      </w:r>
    </w:p>
    <w:p w14:paraId="74DF2ED9" w14:textId="40D91916" w:rsidR="004736DD" w:rsidRDefault="004736DD" w:rsidP="0088109F">
      <w:pPr>
        <w:pStyle w:val="SOText"/>
      </w:pPr>
      <w:r>
        <w:t>If an offer of a spectrum licence is accepted, section 57 of the Act requires the ACMA to issue a spectrum licence. Section 12 of this instrument provides that the spectrum licence must be consistent with this Part.</w:t>
      </w:r>
    </w:p>
    <w:p w14:paraId="1FEC6313" w14:textId="7B2367CA" w:rsidR="00D949B2" w:rsidRDefault="00D949B2" w:rsidP="0088109F">
      <w:pPr>
        <w:pStyle w:val="SOText"/>
      </w:pPr>
      <w:r>
        <w:t>This Part sets out requirements for spectrum licences</w:t>
      </w:r>
      <w:r w:rsidR="00D05127">
        <w:t xml:space="preserve"> issued in accordance with this instrument, and for draft spectrum licences prepared in accordance with this instr</w:t>
      </w:r>
      <w:r w:rsidR="004B79B3">
        <w:t>u</w:t>
      </w:r>
      <w:r w:rsidR="00D05127">
        <w:t>ment</w:t>
      </w:r>
      <w:r w:rsidR="00B45E34">
        <w:t>.</w:t>
      </w:r>
    </w:p>
    <w:p w14:paraId="27737117" w14:textId="5CE2C0E6" w:rsidR="0088109F" w:rsidRDefault="00935EA6" w:rsidP="00605EFD">
      <w:pPr>
        <w:pStyle w:val="ActHead5"/>
        <w:rPr>
          <w:rStyle w:val="CharSectno"/>
        </w:rPr>
      </w:pPr>
      <w:bookmarkStart w:id="26" w:name="_Toc64643907"/>
      <w:proofErr w:type="gramStart"/>
      <w:r>
        <w:rPr>
          <w:rStyle w:val="CharSectno"/>
        </w:rPr>
        <w:t>16</w:t>
      </w:r>
      <w:r w:rsidR="0088109F">
        <w:rPr>
          <w:rStyle w:val="CharSectno"/>
        </w:rPr>
        <w:t xml:space="preserve">  </w:t>
      </w:r>
      <w:r w:rsidR="00A42F13">
        <w:rPr>
          <w:rStyle w:val="CharSectno"/>
        </w:rPr>
        <w:t>S</w:t>
      </w:r>
      <w:r w:rsidR="000746E6">
        <w:rPr>
          <w:rStyle w:val="CharSectno"/>
        </w:rPr>
        <w:t>pectrum</w:t>
      </w:r>
      <w:proofErr w:type="gramEnd"/>
      <w:r w:rsidR="000746E6">
        <w:rPr>
          <w:rStyle w:val="CharSectno"/>
        </w:rPr>
        <w:t xml:space="preserve"> licences – </w:t>
      </w:r>
      <w:r w:rsidR="00D763FB">
        <w:rPr>
          <w:rStyle w:val="CharSectno"/>
        </w:rPr>
        <w:t>what will</w:t>
      </w:r>
      <w:r w:rsidR="000746E6">
        <w:rPr>
          <w:rStyle w:val="CharSectno"/>
        </w:rPr>
        <w:t xml:space="preserve"> replace </w:t>
      </w:r>
      <w:r w:rsidR="00BA771B">
        <w:rPr>
          <w:rStyle w:val="CharSectno"/>
        </w:rPr>
        <w:t>existing apparatus</w:t>
      </w:r>
      <w:r w:rsidR="000746E6">
        <w:rPr>
          <w:rStyle w:val="CharSectno"/>
        </w:rPr>
        <w:t xml:space="preserve"> licences</w:t>
      </w:r>
      <w:bookmarkEnd w:id="26"/>
    </w:p>
    <w:p w14:paraId="1D63C5A8" w14:textId="6614F684" w:rsidR="000746E6" w:rsidRDefault="000746E6" w:rsidP="000746E6">
      <w:pPr>
        <w:pStyle w:val="subsection"/>
      </w:pPr>
      <w:r>
        <w:tab/>
        <w:t>(1)</w:t>
      </w:r>
      <w:r>
        <w:tab/>
      </w:r>
      <w:r w:rsidR="00B552A6">
        <w:t>A single spectrum licence will replac</w:t>
      </w:r>
      <w:r w:rsidR="00A42F13">
        <w:t>e</w:t>
      </w:r>
      <w:r w:rsidR="00B552A6">
        <w:t xml:space="preserve"> all the </w:t>
      </w:r>
      <w:r w:rsidR="00BA771B">
        <w:t>existing apparatus</w:t>
      </w:r>
      <w:r w:rsidR="00B552A6">
        <w:t xml:space="preserve"> licences that authorise the operation of radiocommunications devices in inner-metropolitan areas</w:t>
      </w:r>
      <w:r w:rsidR="001525F9">
        <w:t xml:space="preserve"> (</w:t>
      </w:r>
      <w:r w:rsidR="001525F9" w:rsidRPr="001525F9">
        <w:rPr>
          <w:b/>
          <w:bCs/>
          <w:i/>
          <w:iCs/>
        </w:rPr>
        <w:t>inner-metropolitan spectrum licence</w:t>
      </w:r>
      <w:r w:rsidR="001525F9">
        <w:t>)</w:t>
      </w:r>
      <w:r w:rsidR="00B552A6">
        <w:t>.</w:t>
      </w:r>
    </w:p>
    <w:p w14:paraId="028FF69C" w14:textId="4E4AF4E2" w:rsidR="003C11AA" w:rsidRDefault="003C11AA" w:rsidP="000746E6">
      <w:pPr>
        <w:pStyle w:val="subsection"/>
      </w:pPr>
      <w:r>
        <w:tab/>
        <w:t>(2)</w:t>
      </w:r>
      <w:r>
        <w:tab/>
        <w:t xml:space="preserve">A single spectrum licence will </w:t>
      </w:r>
      <w:r w:rsidR="00A42F13">
        <w:t>replace</w:t>
      </w:r>
      <w:r>
        <w:t xml:space="preserve"> all the </w:t>
      </w:r>
      <w:r w:rsidR="00BA771B">
        <w:t>existing apparatus</w:t>
      </w:r>
      <w:r>
        <w:t xml:space="preserve"> licences that authorise the operation of radiocommunications devices in </w:t>
      </w:r>
      <w:r w:rsidR="002705D7">
        <w:t xml:space="preserve">any designated </w:t>
      </w:r>
      <w:r w:rsidR="009B6277">
        <w:t xml:space="preserve">area other than </w:t>
      </w:r>
      <w:r w:rsidR="00E732F1">
        <w:t>i</w:t>
      </w:r>
      <w:r w:rsidR="009B6277">
        <w:t>n inner</w:t>
      </w:r>
      <w:r>
        <w:t>-metropolitan areas</w:t>
      </w:r>
      <w:r w:rsidR="001525F9">
        <w:t xml:space="preserve"> (</w:t>
      </w:r>
      <w:r w:rsidR="001525F9" w:rsidRPr="001525F9">
        <w:rPr>
          <w:b/>
          <w:bCs/>
          <w:i/>
          <w:iCs/>
        </w:rPr>
        <w:t>outer-metropolitan</w:t>
      </w:r>
      <w:r w:rsidR="009B6277">
        <w:rPr>
          <w:b/>
          <w:bCs/>
          <w:i/>
          <w:iCs/>
        </w:rPr>
        <w:t xml:space="preserve"> and regional</w:t>
      </w:r>
      <w:r w:rsidR="001525F9" w:rsidRPr="001525F9">
        <w:rPr>
          <w:b/>
          <w:bCs/>
          <w:i/>
          <w:iCs/>
        </w:rPr>
        <w:t xml:space="preserve"> spectrum licence</w:t>
      </w:r>
      <w:r w:rsidR="001525F9">
        <w:t>)</w:t>
      </w:r>
      <w:r>
        <w:t>.</w:t>
      </w:r>
    </w:p>
    <w:p w14:paraId="7EE7CF67" w14:textId="0393C37A" w:rsidR="00605EFD" w:rsidRPr="00B92AD9" w:rsidRDefault="009E4691" w:rsidP="00605EFD">
      <w:pPr>
        <w:pStyle w:val="ActHead5"/>
      </w:pPr>
      <w:bookmarkStart w:id="27" w:name="_Toc64643908"/>
      <w:proofErr w:type="gramStart"/>
      <w:r>
        <w:rPr>
          <w:rStyle w:val="CharSectno"/>
        </w:rPr>
        <w:t>17</w:t>
      </w:r>
      <w:r w:rsidR="00605EFD" w:rsidRPr="00B92AD9">
        <w:t xml:space="preserve">  </w:t>
      </w:r>
      <w:r w:rsidR="00D05127">
        <w:t>S</w:t>
      </w:r>
      <w:r w:rsidR="00605EFD">
        <w:t>pectrum</w:t>
      </w:r>
      <w:proofErr w:type="gramEnd"/>
      <w:r w:rsidR="00605EFD">
        <w:t xml:space="preserve"> licences – commencement and duration</w:t>
      </w:r>
      <w:bookmarkEnd w:id="27"/>
    </w:p>
    <w:p w14:paraId="1E0CA5FF" w14:textId="04E4C997" w:rsidR="00605EFD" w:rsidRDefault="00605EFD" w:rsidP="00605EFD">
      <w:pPr>
        <w:pStyle w:val="subsection"/>
      </w:pPr>
      <w:r>
        <w:tab/>
        <w:t>(1)</w:t>
      </w:r>
      <w:r>
        <w:tab/>
        <w:t xml:space="preserve">For the purposes of subsection 65(1) of the Act, </w:t>
      </w:r>
      <w:r w:rsidR="00814F74">
        <w:t>a</w:t>
      </w:r>
      <w:r>
        <w:t xml:space="preserve"> spectrum licence </w:t>
      </w:r>
      <w:r w:rsidR="00814F74">
        <w:t>issued in accordance with this instrument</w:t>
      </w:r>
      <w:r w:rsidR="000C0C71">
        <w:t xml:space="preserve"> will specify that it</w:t>
      </w:r>
      <w:r>
        <w:t xml:space="preserve"> </w:t>
      </w:r>
      <w:r w:rsidRPr="00F26B7F">
        <w:t>come</w:t>
      </w:r>
      <w:r w:rsidR="00C66FDD" w:rsidRPr="00F26B7F">
        <w:t>s</w:t>
      </w:r>
      <w:r w:rsidRPr="00F26B7F">
        <w:t xml:space="preserve"> into force on the day on which it is issued.</w:t>
      </w:r>
    </w:p>
    <w:p w14:paraId="6648D99D" w14:textId="24118D9C" w:rsidR="00605EFD" w:rsidRDefault="00605EFD" w:rsidP="00605EFD">
      <w:pPr>
        <w:pStyle w:val="subsection"/>
      </w:pPr>
      <w:r>
        <w:tab/>
        <w:t>(2)</w:t>
      </w:r>
      <w:r>
        <w:tab/>
        <w:t xml:space="preserve">For the purposes of subsection 65(2) of the Act, </w:t>
      </w:r>
      <w:r w:rsidR="00814F74">
        <w:t>a</w:t>
      </w:r>
      <w:r>
        <w:t xml:space="preserve"> spectrum licence </w:t>
      </w:r>
      <w:r w:rsidR="00814F74">
        <w:t>issued in accordance with this instrument</w:t>
      </w:r>
      <w:r w:rsidR="00EE6AB7">
        <w:t xml:space="preserve"> </w:t>
      </w:r>
      <w:r w:rsidR="000C0C71">
        <w:t>will specify that it</w:t>
      </w:r>
      <w:r>
        <w:t xml:space="preserve"> remain</w:t>
      </w:r>
      <w:r w:rsidR="000C0C71">
        <w:t>s</w:t>
      </w:r>
      <w:r>
        <w:t xml:space="preserve"> in force for the period:</w:t>
      </w:r>
    </w:p>
    <w:p w14:paraId="13D13BCC" w14:textId="77777777" w:rsidR="00605EFD" w:rsidRDefault="00605EFD" w:rsidP="00605EFD">
      <w:pPr>
        <w:pStyle w:val="paragraph"/>
      </w:pPr>
      <w:r>
        <w:tab/>
        <w:t>(a)</w:t>
      </w:r>
      <w:r>
        <w:tab/>
        <w:t>commencing on the day the licence is issued; and</w:t>
      </w:r>
    </w:p>
    <w:p w14:paraId="5CEFB9D4" w14:textId="77777777" w:rsidR="00605EFD" w:rsidRDefault="00605EFD" w:rsidP="00605EFD">
      <w:pPr>
        <w:pStyle w:val="paragraph"/>
      </w:pPr>
      <w:r>
        <w:tab/>
        <w:t>(b)</w:t>
      </w:r>
      <w:r>
        <w:tab/>
        <w:t>ending at the end of 13 December 2030.</w:t>
      </w:r>
    </w:p>
    <w:p w14:paraId="73B8E71C" w14:textId="77777777" w:rsidR="00605EFD" w:rsidRDefault="00605EFD" w:rsidP="00605EFD">
      <w:pPr>
        <w:pStyle w:val="notetext"/>
      </w:pPr>
      <w:r>
        <w:t>Note:</w:t>
      </w:r>
      <w:r>
        <w:tab/>
        <w:t>Other spectrum licences in the 3.4 GHz band that are already in force will cease to be in force on 13 December 2030.</w:t>
      </w:r>
    </w:p>
    <w:p w14:paraId="50152668" w14:textId="58C3E794" w:rsidR="0011624D" w:rsidRPr="00B92AD9" w:rsidRDefault="009E4691" w:rsidP="0011624D">
      <w:pPr>
        <w:pStyle w:val="ActHead5"/>
      </w:pPr>
      <w:bookmarkStart w:id="28" w:name="_Toc64643909"/>
      <w:proofErr w:type="gramStart"/>
      <w:r>
        <w:rPr>
          <w:rStyle w:val="CharSectno"/>
        </w:rPr>
        <w:t>18</w:t>
      </w:r>
      <w:r w:rsidR="0011624D" w:rsidRPr="00B92AD9">
        <w:t xml:space="preserve">  </w:t>
      </w:r>
      <w:r w:rsidR="00D05127">
        <w:t>S</w:t>
      </w:r>
      <w:r w:rsidR="0011624D">
        <w:t>pectrum</w:t>
      </w:r>
      <w:proofErr w:type="gramEnd"/>
      <w:r w:rsidR="0011624D">
        <w:t xml:space="preserve"> licences – core conditions</w:t>
      </w:r>
      <w:r w:rsidR="00BA0774">
        <w:t xml:space="preserve"> relating to parts of the spectrum and area</w:t>
      </w:r>
      <w:r w:rsidR="00113691">
        <w:t>s</w:t>
      </w:r>
      <w:bookmarkEnd w:id="28"/>
    </w:p>
    <w:p w14:paraId="68681988" w14:textId="371CE35A" w:rsidR="00C8152C" w:rsidRPr="00C8152C" w:rsidRDefault="00C8152C" w:rsidP="0011624D">
      <w:pPr>
        <w:pStyle w:val="subsection"/>
        <w:rPr>
          <w:i/>
          <w:iCs/>
        </w:rPr>
      </w:pPr>
      <w:r>
        <w:rPr>
          <w:i/>
          <w:iCs/>
        </w:rPr>
        <w:t>Inner-metropolitan spectrum licence</w:t>
      </w:r>
    </w:p>
    <w:p w14:paraId="30B5E237" w14:textId="003D91DC" w:rsidR="00D05127" w:rsidRDefault="0011624D" w:rsidP="0011624D">
      <w:pPr>
        <w:pStyle w:val="subsection"/>
      </w:pPr>
      <w:r>
        <w:tab/>
        <w:t>(1)</w:t>
      </w:r>
      <w:r>
        <w:tab/>
        <w:t xml:space="preserve">For the purposes of </w:t>
      </w:r>
      <w:r w:rsidR="00C8152C">
        <w:t>section</w:t>
      </w:r>
      <w:r w:rsidR="00A11C8A">
        <w:t xml:space="preserve"> </w:t>
      </w:r>
      <w:r>
        <w:t>6</w:t>
      </w:r>
      <w:r w:rsidR="00D05127">
        <w:t>6</w:t>
      </w:r>
      <w:r>
        <w:t xml:space="preserve"> of the Act</w:t>
      </w:r>
      <w:r w:rsidR="00D05127">
        <w:t>:</w:t>
      </w:r>
    </w:p>
    <w:p w14:paraId="493DBBA4" w14:textId="6EAAEDDD" w:rsidR="00D05127" w:rsidRDefault="00D05127" w:rsidP="00D05127">
      <w:pPr>
        <w:pStyle w:val="paragraph"/>
      </w:pPr>
      <w:r>
        <w:tab/>
        <w:t>(a)</w:t>
      </w:r>
      <w:r>
        <w:tab/>
      </w:r>
      <w:r w:rsidR="00FB6BD1">
        <w:t xml:space="preserve">the parts of the spectrum in which operation of radiocommunications devices is </w:t>
      </w:r>
      <w:r w:rsidR="00932FFF">
        <w:t xml:space="preserve">to be </w:t>
      </w:r>
      <w:r w:rsidR="00FB6BD1">
        <w:t xml:space="preserve">authorised under the inner-metropolitan </w:t>
      </w:r>
      <w:r w:rsidR="002E515D">
        <w:t>spectrum licence are:</w:t>
      </w:r>
    </w:p>
    <w:p w14:paraId="190C225F" w14:textId="78067D89" w:rsidR="007F41A7" w:rsidRDefault="007F41A7" w:rsidP="007F41A7">
      <w:pPr>
        <w:pStyle w:val="paragraphsub"/>
      </w:pPr>
      <w:r>
        <w:tab/>
        <w:t>(i)</w:t>
      </w:r>
      <w:r>
        <w:tab/>
      </w:r>
      <w:r w:rsidR="00A94F3C">
        <w:t>3400 MHz to 3425 MHz;</w:t>
      </w:r>
      <w:r w:rsidR="0064393C">
        <w:t xml:space="preserve"> and</w:t>
      </w:r>
    </w:p>
    <w:p w14:paraId="4449AD5E" w14:textId="73D2DB53" w:rsidR="00A94F3C" w:rsidRDefault="00A94F3C" w:rsidP="007F41A7">
      <w:pPr>
        <w:pStyle w:val="paragraphsub"/>
      </w:pPr>
      <w:r>
        <w:tab/>
        <w:t>(ii)</w:t>
      </w:r>
      <w:r>
        <w:tab/>
      </w:r>
      <w:r w:rsidR="00000CBE">
        <w:t xml:space="preserve">3492.5 MHz to </w:t>
      </w:r>
      <w:r w:rsidR="002777E9">
        <w:t>35</w:t>
      </w:r>
      <w:r w:rsidR="00A2222D">
        <w:t>42.5</w:t>
      </w:r>
      <w:r w:rsidR="002777E9">
        <w:t xml:space="preserve"> </w:t>
      </w:r>
      <w:proofErr w:type="gramStart"/>
      <w:r w:rsidR="002777E9">
        <w:t>MHz;</w:t>
      </w:r>
      <w:proofErr w:type="gramEnd"/>
    </w:p>
    <w:p w14:paraId="205F8633" w14:textId="4FC5E322" w:rsidR="00C8152C" w:rsidRDefault="002777E9" w:rsidP="00215417">
      <w:pPr>
        <w:pStyle w:val="paragraph"/>
        <w:keepNext/>
      </w:pPr>
      <w:r>
        <w:lastRenderedPageBreak/>
        <w:tab/>
      </w:r>
      <w:r w:rsidR="00C8152C">
        <w:t>(b)</w:t>
      </w:r>
      <w:r w:rsidR="00C8152C">
        <w:tab/>
        <w:t xml:space="preserve">the </w:t>
      </w:r>
      <w:r w:rsidR="003608B8">
        <w:t>area</w:t>
      </w:r>
      <w:r w:rsidR="003C7A5A">
        <w:t>s</w:t>
      </w:r>
      <w:r w:rsidR="003608B8">
        <w:t xml:space="preserve"> with</w:t>
      </w:r>
      <w:r w:rsidR="00C8152C">
        <w:t xml:space="preserve">in which operation of radiocommunications devices is </w:t>
      </w:r>
      <w:r w:rsidR="00932FFF">
        <w:t xml:space="preserve">to be </w:t>
      </w:r>
      <w:r w:rsidR="00C8152C">
        <w:t>authorised under the inner-metropolitan spectrum licence are</w:t>
      </w:r>
      <w:r w:rsidR="00D66B67">
        <w:t xml:space="preserve"> the following</w:t>
      </w:r>
      <w:r w:rsidR="00C8152C">
        <w:t>:</w:t>
      </w:r>
    </w:p>
    <w:p w14:paraId="0BAC0B1A" w14:textId="494E1B03" w:rsidR="00C8152C" w:rsidRDefault="00C8152C" w:rsidP="00C8152C">
      <w:pPr>
        <w:pStyle w:val="paragraphsub"/>
      </w:pPr>
      <w:r>
        <w:tab/>
        <w:t>(i)</w:t>
      </w:r>
      <w:r>
        <w:tab/>
      </w:r>
      <w:r w:rsidR="00F3759E">
        <w:t>I</w:t>
      </w:r>
      <w:r w:rsidR="000B1808">
        <w:t xml:space="preserve">nner </w:t>
      </w:r>
      <w:proofErr w:type="gramStart"/>
      <w:r w:rsidR="000B1808">
        <w:t>Adelaide</w:t>
      </w:r>
      <w:r w:rsidR="00A2222D">
        <w:t>;</w:t>
      </w:r>
      <w:proofErr w:type="gramEnd"/>
    </w:p>
    <w:p w14:paraId="62329D3D" w14:textId="4ED62970" w:rsidR="00C8152C" w:rsidRDefault="00C8152C" w:rsidP="00C8152C">
      <w:pPr>
        <w:pStyle w:val="paragraphsub"/>
      </w:pPr>
      <w:r>
        <w:tab/>
        <w:t>(ii)</w:t>
      </w:r>
      <w:r>
        <w:tab/>
      </w:r>
      <w:r w:rsidR="00F3759E">
        <w:t>I</w:t>
      </w:r>
      <w:r w:rsidR="00A2222D">
        <w:t xml:space="preserve">nner </w:t>
      </w:r>
      <w:proofErr w:type="gramStart"/>
      <w:r w:rsidR="00A2222D">
        <w:t>Brisbane;</w:t>
      </w:r>
      <w:proofErr w:type="gramEnd"/>
    </w:p>
    <w:p w14:paraId="4AC72139" w14:textId="47B5AC6A" w:rsidR="00C8152C" w:rsidRDefault="00C8152C" w:rsidP="00C8152C">
      <w:pPr>
        <w:pStyle w:val="paragraphsub"/>
      </w:pPr>
      <w:r>
        <w:tab/>
        <w:t>(iii)</w:t>
      </w:r>
      <w:r>
        <w:tab/>
      </w:r>
      <w:r w:rsidR="00F3759E">
        <w:t>I</w:t>
      </w:r>
      <w:r w:rsidR="00A2222D">
        <w:t xml:space="preserve">nner </w:t>
      </w:r>
      <w:proofErr w:type="gramStart"/>
      <w:r w:rsidR="00A2222D">
        <w:t>Canberra;</w:t>
      </w:r>
      <w:proofErr w:type="gramEnd"/>
    </w:p>
    <w:p w14:paraId="2C74AA36" w14:textId="32EFD589" w:rsidR="00A2222D" w:rsidRDefault="00A2222D" w:rsidP="00C8152C">
      <w:pPr>
        <w:pStyle w:val="paragraphsub"/>
      </w:pPr>
      <w:r>
        <w:tab/>
        <w:t>(iv)</w:t>
      </w:r>
      <w:r>
        <w:tab/>
      </w:r>
      <w:r w:rsidR="00F3759E">
        <w:t>I</w:t>
      </w:r>
      <w:r>
        <w:t xml:space="preserve">nner </w:t>
      </w:r>
      <w:proofErr w:type="gramStart"/>
      <w:r>
        <w:t>Melbourne;</w:t>
      </w:r>
      <w:proofErr w:type="gramEnd"/>
    </w:p>
    <w:p w14:paraId="49CA666F" w14:textId="368DAC6A" w:rsidR="00A2222D" w:rsidRDefault="00A2222D" w:rsidP="00C8152C">
      <w:pPr>
        <w:pStyle w:val="paragraphsub"/>
      </w:pPr>
      <w:r>
        <w:tab/>
        <w:t>(v)</w:t>
      </w:r>
      <w:r>
        <w:tab/>
      </w:r>
      <w:r w:rsidR="00F3759E">
        <w:t>I</w:t>
      </w:r>
      <w:r>
        <w:t xml:space="preserve">nner </w:t>
      </w:r>
      <w:proofErr w:type="gramStart"/>
      <w:r>
        <w:t>Perth;</w:t>
      </w:r>
      <w:proofErr w:type="gramEnd"/>
    </w:p>
    <w:p w14:paraId="0E4E7CDB" w14:textId="1C6E2E46" w:rsidR="00A2222D" w:rsidRDefault="00A2222D" w:rsidP="00C8152C">
      <w:pPr>
        <w:pStyle w:val="paragraphsub"/>
      </w:pPr>
      <w:r>
        <w:tab/>
        <w:t>(vi)</w:t>
      </w:r>
      <w:r>
        <w:tab/>
      </w:r>
      <w:r w:rsidR="00F3759E">
        <w:t>I</w:t>
      </w:r>
      <w:r>
        <w:t>nner Sydney.</w:t>
      </w:r>
    </w:p>
    <w:p w14:paraId="6D19C705" w14:textId="3C12FE46" w:rsidR="00F3759E" w:rsidRPr="00C8152C" w:rsidRDefault="00F3759E" w:rsidP="00F3759E">
      <w:pPr>
        <w:pStyle w:val="subsection"/>
        <w:rPr>
          <w:i/>
          <w:iCs/>
        </w:rPr>
      </w:pPr>
      <w:r>
        <w:rPr>
          <w:i/>
          <w:iCs/>
        </w:rPr>
        <w:t>Outer-metropolitan</w:t>
      </w:r>
      <w:r w:rsidR="00331B39">
        <w:rPr>
          <w:i/>
          <w:iCs/>
        </w:rPr>
        <w:t xml:space="preserve"> and regional</w:t>
      </w:r>
      <w:r>
        <w:rPr>
          <w:i/>
          <w:iCs/>
        </w:rPr>
        <w:t xml:space="preserve"> spectrum licence</w:t>
      </w:r>
    </w:p>
    <w:p w14:paraId="10F4EDCD" w14:textId="0C1A58CA" w:rsidR="00F3759E" w:rsidRDefault="00F3759E" w:rsidP="00F3759E">
      <w:pPr>
        <w:pStyle w:val="subsection"/>
      </w:pPr>
      <w:r>
        <w:tab/>
        <w:t>(2)</w:t>
      </w:r>
      <w:r>
        <w:tab/>
        <w:t>For the purposes of section 66 of the Act</w:t>
      </w:r>
      <w:r w:rsidR="00932FFF">
        <w:t xml:space="preserve">, for the outer-metropolitan </w:t>
      </w:r>
      <w:r w:rsidR="00331B39">
        <w:t xml:space="preserve">and regional </w:t>
      </w:r>
      <w:r w:rsidR="00932FFF">
        <w:t>spectrum licence:</w:t>
      </w:r>
    </w:p>
    <w:p w14:paraId="2CADBF73" w14:textId="62AC3B64" w:rsidR="0004169F" w:rsidRDefault="00F3759E" w:rsidP="00F3759E">
      <w:pPr>
        <w:pStyle w:val="paragraph"/>
      </w:pPr>
      <w:r>
        <w:tab/>
        <w:t>(a)</w:t>
      </w:r>
      <w:r>
        <w:tab/>
        <w:t xml:space="preserve">the parts of the spectrum in which operation of radiocommunications devices is </w:t>
      </w:r>
      <w:r w:rsidR="00932FFF">
        <w:t xml:space="preserve">to be </w:t>
      </w:r>
      <w:r>
        <w:t>authorised are</w:t>
      </w:r>
      <w:r w:rsidR="0004169F">
        <w:t xml:space="preserve"> specified in an item in column 1 of</w:t>
      </w:r>
      <w:r w:rsidR="00940226">
        <w:t xml:space="preserve"> the</w:t>
      </w:r>
      <w:r w:rsidR="0004169F">
        <w:t xml:space="preserve"> table </w:t>
      </w:r>
      <w:r w:rsidR="00940226">
        <w:t>below</w:t>
      </w:r>
      <w:r w:rsidR="0004169F">
        <w:t>;</w:t>
      </w:r>
      <w:r w:rsidR="0013157A">
        <w:t xml:space="preserve"> and</w:t>
      </w:r>
    </w:p>
    <w:p w14:paraId="1F538301" w14:textId="3C4E746A" w:rsidR="00F3759E" w:rsidRDefault="0004169F" w:rsidP="00F3759E">
      <w:pPr>
        <w:pStyle w:val="paragraph"/>
      </w:pPr>
      <w:r>
        <w:tab/>
        <w:t>(b)</w:t>
      </w:r>
      <w:r>
        <w:tab/>
        <w:t>the</w:t>
      </w:r>
      <w:r w:rsidR="002C7383">
        <w:t xml:space="preserve"> area or</w:t>
      </w:r>
      <w:r>
        <w:t xml:space="preserve"> area</w:t>
      </w:r>
      <w:r w:rsidR="00932FFF">
        <w:t>s</w:t>
      </w:r>
      <w:r>
        <w:t xml:space="preserve"> within which</w:t>
      </w:r>
      <w:r w:rsidR="008E4B6B">
        <w:t xml:space="preserve">, for a part of the spectrum specified in an item in column 1, </w:t>
      </w:r>
      <w:r w:rsidR="00932FFF">
        <w:t>operation of radiocommunications devices is to be authorised are specified in the corresponding entry in column 2.</w:t>
      </w:r>
    </w:p>
    <w:p w14:paraId="79160E40" w14:textId="77777777" w:rsidR="00BA0774" w:rsidRPr="00F331CC" w:rsidRDefault="00BA0774" w:rsidP="00BA0774">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048"/>
        <w:gridCol w:w="3479"/>
        <w:gridCol w:w="4499"/>
      </w:tblGrid>
      <w:tr w:rsidR="00BA0774" w:rsidRPr="00F331CC" w14:paraId="1AABD513" w14:textId="77777777" w:rsidTr="00FF34B3">
        <w:trPr>
          <w:tblHeader/>
        </w:trPr>
        <w:tc>
          <w:tcPr>
            <w:tcW w:w="5000" w:type="pct"/>
            <w:gridSpan w:val="3"/>
            <w:tcBorders>
              <w:top w:val="single" w:sz="12" w:space="0" w:color="auto"/>
              <w:bottom w:val="single" w:sz="6" w:space="0" w:color="auto"/>
            </w:tcBorders>
            <w:shd w:val="clear" w:color="auto" w:fill="auto"/>
          </w:tcPr>
          <w:p w14:paraId="5E2DB5FF" w14:textId="2A556019" w:rsidR="00BA0774" w:rsidRPr="00F331CC" w:rsidRDefault="00BA0774" w:rsidP="00CA341A">
            <w:pPr>
              <w:pStyle w:val="TableHeading"/>
            </w:pPr>
            <w:r>
              <w:t>Outer-metropolitan</w:t>
            </w:r>
            <w:r w:rsidR="00BC142A">
              <w:t xml:space="preserve"> and regional</w:t>
            </w:r>
            <w:r>
              <w:t xml:space="preserve"> spectrum licence</w:t>
            </w:r>
          </w:p>
        </w:tc>
      </w:tr>
      <w:tr w:rsidR="00BA0774" w:rsidRPr="00F331CC" w14:paraId="224ACB03" w14:textId="77777777" w:rsidTr="00FF34B3">
        <w:trPr>
          <w:tblHeader/>
        </w:trPr>
        <w:tc>
          <w:tcPr>
            <w:tcW w:w="581" w:type="pct"/>
            <w:tcBorders>
              <w:top w:val="single" w:sz="6" w:space="0" w:color="auto"/>
              <w:bottom w:val="single" w:sz="6" w:space="0" w:color="auto"/>
            </w:tcBorders>
            <w:shd w:val="clear" w:color="auto" w:fill="auto"/>
          </w:tcPr>
          <w:p w14:paraId="4D1A00C9" w14:textId="5EE0022C" w:rsidR="00BA0774" w:rsidRPr="00F331CC" w:rsidRDefault="00BA0774" w:rsidP="00CA341A">
            <w:pPr>
              <w:pStyle w:val="TableHeading"/>
            </w:pPr>
          </w:p>
        </w:tc>
        <w:tc>
          <w:tcPr>
            <w:tcW w:w="1927" w:type="pct"/>
            <w:tcBorders>
              <w:top w:val="single" w:sz="6" w:space="0" w:color="auto"/>
              <w:bottom w:val="single" w:sz="6" w:space="0" w:color="auto"/>
            </w:tcBorders>
            <w:shd w:val="clear" w:color="auto" w:fill="auto"/>
          </w:tcPr>
          <w:p w14:paraId="799CF269" w14:textId="23A42B4D" w:rsidR="00BA0774" w:rsidRPr="00F331CC" w:rsidRDefault="00BA0774" w:rsidP="00CA341A">
            <w:pPr>
              <w:pStyle w:val="TableHeading"/>
            </w:pPr>
            <w:r w:rsidRPr="00F331CC">
              <w:t xml:space="preserve">Column </w:t>
            </w:r>
            <w:r>
              <w:t>1</w:t>
            </w:r>
          </w:p>
        </w:tc>
        <w:tc>
          <w:tcPr>
            <w:tcW w:w="2492" w:type="pct"/>
            <w:tcBorders>
              <w:top w:val="single" w:sz="6" w:space="0" w:color="auto"/>
              <w:bottom w:val="single" w:sz="6" w:space="0" w:color="auto"/>
            </w:tcBorders>
            <w:shd w:val="clear" w:color="auto" w:fill="auto"/>
          </w:tcPr>
          <w:p w14:paraId="150CACB8" w14:textId="02B9B9FB" w:rsidR="00BA0774" w:rsidRPr="00F331CC" w:rsidRDefault="00BA0774" w:rsidP="00CA341A">
            <w:pPr>
              <w:pStyle w:val="TableHeading"/>
            </w:pPr>
            <w:r w:rsidRPr="00F331CC">
              <w:t xml:space="preserve">Column </w:t>
            </w:r>
            <w:r w:rsidR="00A17DDC">
              <w:t>2</w:t>
            </w:r>
          </w:p>
        </w:tc>
      </w:tr>
      <w:tr w:rsidR="00BA0774" w:rsidRPr="00F331CC" w14:paraId="57AD8872" w14:textId="77777777" w:rsidTr="00FF34B3">
        <w:trPr>
          <w:tblHeader/>
        </w:trPr>
        <w:tc>
          <w:tcPr>
            <w:tcW w:w="581" w:type="pct"/>
            <w:tcBorders>
              <w:top w:val="single" w:sz="6" w:space="0" w:color="auto"/>
              <w:bottom w:val="single" w:sz="12" w:space="0" w:color="auto"/>
            </w:tcBorders>
            <w:shd w:val="clear" w:color="auto" w:fill="auto"/>
          </w:tcPr>
          <w:p w14:paraId="2A5B0676" w14:textId="7D68CA7E" w:rsidR="00BA0774" w:rsidRPr="00F331CC" w:rsidRDefault="00BA0774" w:rsidP="00CA341A">
            <w:pPr>
              <w:pStyle w:val="TableHeading"/>
            </w:pPr>
            <w:r>
              <w:t>Item</w:t>
            </w:r>
          </w:p>
        </w:tc>
        <w:tc>
          <w:tcPr>
            <w:tcW w:w="1927" w:type="pct"/>
            <w:tcBorders>
              <w:top w:val="single" w:sz="6" w:space="0" w:color="auto"/>
              <w:bottom w:val="single" w:sz="12" w:space="0" w:color="auto"/>
            </w:tcBorders>
            <w:shd w:val="clear" w:color="auto" w:fill="auto"/>
          </w:tcPr>
          <w:p w14:paraId="0113A494" w14:textId="1CAF190D" w:rsidR="00BA0774" w:rsidRPr="00F331CC" w:rsidRDefault="00BA0774" w:rsidP="00CA341A">
            <w:pPr>
              <w:pStyle w:val="TableHeading"/>
            </w:pPr>
            <w:r>
              <w:t>Part of the spectrum</w:t>
            </w:r>
          </w:p>
        </w:tc>
        <w:tc>
          <w:tcPr>
            <w:tcW w:w="2492" w:type="pct"/>
            <w:tcBorders>
              <w:top w:val="single" w:sz="6" w:space="0" w:color="auto"/>
              <w:bottom w:val="single" w:sz="12" w:space="0" w:color="auto"/>
            </w:tcBorders>
            <w:shd w:val="clear" w:color="auto" w:fill="auto"/>
          </w:tcPr>
          <w:p w14:paraId="699D6EB8" w14:textId="5AEBD7B5" w:rsidR="00BA0774" w:rsidRPr="00F331CC" w:rsidRDefault="00BA0774" w:rsidP="00CA341A">
            <w:pPr>
              <w:pStyle w:val="TableHeading"/>
            </w:pPr>
            <w:r>
              <w:t>Area</w:t>
            </w:r>
          </w:p>
        </w:tc>
      </w:tr>
      <w:tr w:rsidR="00BA0774" w:rsidRPr="00F331CC" w14:paraId="123A3992" w14:textId="77777777" w:rsidTr="00FF34B3">
        <w:tc>
          <w:tcPr>
            <w:tcW w:w="581" w:type="pct"/>
            <w:tcBorders>
              <w:top w:val="single" w:sz="12" w:space="0" w:color="auto"/>
            </w:tcBorders>
            <w:shd w:val="clear" w:color="auto" w:fill="auto"/>
          </w:tcPr>
          <w:p w14:paraId="37586F88" w14:textId="78AD063B" w:rsidR="00BA0774" w:rsidRPr="00BA0774" w:rsidRDefault="00BA0774" w:rsidP="00CA341A">
            <w:pPr>
              <w:pStyle w:val="Tabletext"/>
              <w:rPr>
                <w:i/>
                <w:iCs/>
              </w:rPr>
            </w:pPr>
            <w:r w:rsidRPr="00BA0774">
              <w:rPr>
                <w:i/>
                <w:iCs/>
              </w:rPr>
              <w:t>1.</w:t>
            </w:r>
          </w:p>
        </w:tc>
        <w:tc>
          <w:tcPr>
            <w:tcW w:w="1927" w:type="pct"/>
            <w:tcBorders>
              <w:top w:val="single" w:sz="12" w:space="0" w:color="auto"/>
            </w:tcBorders>
            <w:shd w:val="clear" w:color="auto" w:fill="auto"/>
          </w:tcPr>
          <w:p w14:paraId="56BB8062" w14:textId="0D0E6DA3" w:rsidR="00BA0774" w:rsidRPr="009F6428" w:rsidRDefault="00CC5510" w:rsidP="00CA341A">
            <w:pPr>
              <w:pStyle w:val="Tabletext"/>
            </w:pPr>
            <w:r w:rsidRPr="009F6428">
              <w:t>3400 MHz–3425 MHz</w:t>
            </w:r>
          </w:p>
        </w:tc>
        <w:tc>
          <w:tcPr>
            <w:tcW w:w="2492" w:type="pct"/>
            <w:tcBorders>
              <w:top w:val="single" w:sz="12" w:space="0" w:color="auto"/>
            </w:tcBorders>
            <w:shd w:val="clear" w:color="auto" w:fill="auto"/>
          </w:tcPr>
          <w:p w14:paraId="0AEA94A6" w14:textId="717DC80F" w:rsidR="00BA0774" w:rsidRDefault="00FF34B3" w:rsidP="00CA341A">
            <w:pPr>
              <w:pStyle w:val="Tabletext"/>
            </w:pPr>
            <w:r>
              <w:t>(a)</w:t>
            </w:r>
            <w:r>
              <w:tab/>
              <w:t>Ballarat and Bendigo</w:t>
            </w:r>
          </w:p>
          <w:p w14:paraId="029CDDD5" w14:textId="3AE33D03" w:rsidR="00FF34B3" w:rsidRDefault="00FF34B3" w:rsidP="00CA341A">
            <w:pPr>
              <w:pStyle w:val="Tabletext"/>
            </w:pPr>
            <w:r>
              <w:t>(b)</w:t>
            </w:r>
            <w:r>
              <w:tab/>
              <w:t xml:space="preserve">Outer </w:t>
            </w:r>
            <w:r w:rsidR="00E07841">
              <w:t xml:space="preserve">Metropolitan </w:t>
            </w:r>
            <w:r>
              <w:t>Adelaide</w:t>
            </w:r>
          </w:p>
          <w:p w14:paraId="59D246BE" w14:textId="6DFFD6F5" w:rsidR="00FF34B3" w:rsidRDefault="00FF34B3" w:rsidP="00CA341A">
            <w:pPr>
              <w:pStyle w:val="Tabletext"/>
            </w:pPr>
            <w:r>
              <w:t>(c)</w:t>
            </w:r>
            <w:r>
              <w:tab/>
              <w:t xml:space="preserve">Outer </w:t>
            </w:r>
            <w:r w:rsidR="00E07841">
              <w:t xml:space="preserve">Metropolitan </w:t>
            </w:r>
            <w:r>
              <w:t>Brisbane</w:t>
            </w:r>
          </w:p>
          <w:p w14:paraId="062AA69B" w14:textId="6EF4BBE7" w:rsidR="00FF34B3" w:rsidRDefault="00FF34B3" w:rsidP="00CA341A">
            <w:pPr>
              <w:pStyle w:val="Tabletext"/>
            </w:pPr>
            <w:r>
              <w:t>(d)</w:t>
            </w:r>
            <w:r>
              <w:tab/>
              <w:t xml:space="preserve">Outer </w:t>
            </w:r>
            <w:r w:rsidR="00F66194">
              <w:t xml:space="preserve">Metropolitan </w:t>
            </w:r>
            <w:r>
              <w:t>Canberra</w:t>
            </w:r>
          </w:p>
          <w:p w14:paraId="09C01970" w14:textId="1591F6BB" w:rsidR="00FF34B3" w:rsidRDefault="00FF34B3" w:rsidP="00CA341A">
            <w:pPr>
              <w:pStyle w:val="Tabletext"/>
            </w:pPr>
            <w:r>
              <w:t>(e)</w:t>
            </w:r>
            <w:r>
              <w:tab/>
              <w:t xml:space="preserve">Outer </w:t>
            </w:r>
            <w:r w:rsidR="00F66194">
              <w:t xml:space="preserve">Metropolitan </w:t>
            </w:r>
            <w:r>
              <w:t>Melbourne</w:t>
            </w:r>
          </w:p>
          <w:p w14:paraId="1742BE6A" w14:textId="7AC41AAA" w:rsidR="00FF34B3" w:rsidRDefault="00FF34B3" w:rsidP="00CA341A">
            <w:pPr>
              <w:pStyle w:val="Tabletext"/>
            </w:pPr>
            <w:r>
              <w:t>(f)</w:t>
            </w:r>
            <w:r>
              <w:tab/>
              <w:t xml:space="preserve">Outer </w:t>
            </w:r>
            <w:r w:rsidR="00F66194">
              <w:t xml:space="preserve">Metropolitan </w:t>
            </w:r>
            <w:r>
              <w:t>Perth</w:t>
            </w:r>
          </w:p>
          <w:p w14:paraId="274D1327" w14:textId="7A61B807" w:rsidR="00FF34B3" w:rsidRDefault="00FF34B3" w:rsidP="00CA341A">
            <w:pPr>
              <w:pStyle w:val="Tabletext"/>
            </w:pPr>
            <w:r>
              <w:t>(g)</w:t>
            </w:r>
            <w:r>
              <w:tab/>
              <w:t xml:space="preserve">Outer </w:t>
            </w:r>
            <w:r w:rsidR="00F66194">
              <w:t xml:space="preserve">Metropolitan </w:t>
            </w:r>
            <w:r>
              <w:t>Sydney</w:t>
            </w:r>
          </w:p>
          <w:p w14:paraId="7239107B" w14:textId="5AE58406" w:rsidR="00FF34B3" w:rsidRPr="00F331CC" w:rsidRDefault="00FF34B3" w:rsidP="00CA341A">
            <w:pPr>
              <w:pStyle w:val="Tabletext"/>
            </w:pPr>
            <w:r>
              <w:t>(h)</w:t>
            </w:r>
            <w:r>
              <w:tab/>
              <w:t>Toowoomba</w:t>
            </w:r>
          </w:p>
        </w:tc>
      </w:tr>
      <w:tr w:rsidR="00606077" w:rsidRPr="00F331CC" w14:paraId="6D7E1674" w14:textId="77777777" w:rsidTr="00FF34B3">
        <w:tc>
          <w:tcPr>
            <w:tcW w:w="581" w:type="pct"/>
            <w:shd w:val="clear" w:color="auto" w:fill="auto"/>
          </w:tcPr>
          <w:p w14:paraId="6C4C7FD9" w14:textId="5C9817C0" w:rsidR="00606077" w:rsidRDefault="00606077" w:rsidP="00CA341A">
            <w:pPr>
              <w:pStyle w:val="Tabletext"/>
              <w:rPr>
                <w:i/>
                <w:iCs/>
              </w:rPr>
            </w:pPr>
            <w:r>
              <w:rPr>
                <w:i/>
                <w:iCs/>
              </w:rPr>
              <w:t>2.</w:t>
            </w:r>
          </w:p>
        </w:tc>
        <w:tc>
          <w:tcPr>
            <w:tcW w:w="1927" w:type="pct"/>
            <w:shd w:val="clear" w:color="auto" w:fill="auto"/>
          </w:tcPr>
          <w:p w14:paraId="4DD1AB1B" w14:textId="7261B14E" w:rsidR="00606077" w:rsidRPr="00506490" w:rsidRDefault="00606077" w:rsidP="00CA341A">
            <w:pPr>
              <w:pStyle w:val="Tabletext"/>
            </w:pPr>
            <w:r w:rsidRPr="009F6428">
              <w:t>3400 MHz</w:t>
            </w:r>
            <w:r w:rsidR="00480559" w:rsidRPr="009F6428">
              <w:t>–3442.5 MHz</w:t>
            </w:r>
          </w:p>
        </w:tc>
        <w:tc>
          <w:tcPr>
            <w:tcW w:w="2492" w:type="pct"/>
            <w:shd w:val="clear" w:color="auto" w:fill="auto"/>
          </w:tcPr>
          <w:p w14:paraId="0E4FCD99" w14:textId="7CD6A882" w:rsidR="00480559" w:rsidRDefault="00480559" w:rsidP="00480559">
            <w:pPr>
              <w:pStyle w:val="Tabletext"/>
            </w:pPr>
            <w:r>
              <w:t>(a)</w:t>
            </w:r>
            <w:r>
              <w:tab/>
              <w:t>Regional NSW</w:t>
            </w:r>
          </w:p>
          <w:p w14:paraId="268F2992" w14:textId="4F841062" w:rsidR="00480559" w:rsidRDefault="00480559" w:rsidP="00480559">
            <w:pPr>
              <w:pStyle w:val="Tabletext"/>
            </w:pPr>
            <w:r>
              <w:t>(b)</w:t>
            </w:r>
            <w:r>
              <w:tab/>
              <w:t>Regional Qld</w:t>
            </w:r>
          </w:p>
          <w:p w14:paraId="5D3A8859" w14:textId="036FAB60" w:rsidR="00480559" w:rsidRDefault="00480559" w:rsidP="00480559">
            <w:pPr>
              <w:pStyle w:val="Tabletext"/>
            </w:pPr>
            <w:r>
              <w:t>(c)</w:t>
            </w:r>
            <w:r>
              <w:tab/>
              <w:t>Regional SA</w:t>
            </w:r>
          </w:p>
          <w:p w14:paraId="298DB505" w14:textId="7348B96B" w:rsidR="00480559" w:rsidRDefault="00480559" w:rsidP="00480559">
            <w:pPr>
              <w:pStyle w:val="Tabletext"/>
            </w:pPr>
            <w:r>
              <w:t>(d)</w:t>
            </w:r>
            <w:r>
              <w:tab/>
              <w:t>Regional Vic</w:t>
            </w:r>
          </w:p>
          <w:p w14:paraId="7F9E0DA3" w14:textId="0A6984EA" w:rsidR="00606077" w:rsidRDefault="00480559" w:rsidP="00597D13">
            <w:pPr>
              <w:pStyle w:val="Tabletext"/>
            </w:pPr>
            <w:r>
              <w:t>(e)</w:t>
            </w:r>
            <w:r>
              <w:tab/>
            </w:r>
            <w:r w:rsidR="00597D13">
              <w:t>Regional WA</w:t>
            </w:r>
          </w:p>
        </w:tc>
      </w:tr>
      <w:tr w:rsidR="00597D13" w:rsidRPr="00F331CC" w14:paraId="0E4614F2" w14:textId="77777777" w:rsidTr="00FF34B3">
        <w:tc>
          <w:tcPr>
            <w:tcW w:w="581" w:type="pct"/>
            <w:shd w:val="clear" w:color="auto" w:fill="auto"/>
          </w:tcPr>
          <w:p w14:paraId="696BE297" w14:textId="015A0197" w:rsidR="00597D13" w:rsidRDefault="00597D13" w:rsidP="00CA341A">
            <w:pPr>
              <w:pStyle w:val="Tabletext"/>
              <w:rPr>
                <w:i/>
                <w:iCs/>
              </w:rPr>
            </w:pPr>
            <w:r>
              <w:rPr>
                <w:i/>
                <w:iCs/>
              </w:rPr>
              <w:t>3.</w:t>
            </w:r>
          </w:p>
        </w:tc>
        <w:tc>
          <w:tcPr>
            <w:tcW w:w="1927" w:type="pct"/>
            <w:shd w:val="clear" w:color="auto" w:fill="auto"/>
          </w:tcPr>
          <w:p w14:paraId="6AE09A03" w14:textId="707F0548" w:rsidR="00597D13" w:rsidRPr="001A7B7E" w:rsidRDefault="00597D13" w:rsidP="00CA341A">
            <w:pPr>
              <w:pStyle w:val="Tabletext"/>
            </w:pPr>
            <w:r w:rsidRPr="001A7B7E">
              <w:t>3400 MHz–3475 MHz</w:t>
            </w:r>
          </w:p>
        </w:tc>
        <w:tc>
          <w:tcPr>
            <w:tcW w:w="2492" w:type="pct"/>
            <w:shd w:val="clear" w:color="auto" w:fill="auto"/>
          </w:tcPr>
          <w:p w14:paraId="45815927" w14:textId="5B91DBAC" w:rsidR="00597D13" w:rsidRDefault="000C0C71" w:rsidP="00480559">
            <w:pPr>
              <w:pStyle w:val="Tabletext"/>
            </w:pPr>
            <w:r>
              <w:tab/>
            </w:r>
            <w:r w:rsidR="00597D13">
              <w:t>Remote WA</w:t>
            </w:r>
          </w:p>
        </w:tc>
      </w:tr>
      <w:tr w:rsidR="00BA0774" w:rsidRPr="00F331CC" w14:paraId="506732AB" w14:textId="77777777" w:rsidTr="00FF34B3">
        <w:tc>
          <w:tcPr>
            <w:tcW w:w="581" w:type="pct"/>
            <w:shd w:val="clear" w:color="auto" w:fill="auto"/>
          </w:tcPr>
          <w:p w14:paraId="5EBF4551" w14:textId="6DB89868" w:rsidR="00BA0774" w:rsidRPr="00BA0774" w:rsidRDefault="00597D13" w:rsidP="00CA341A">
            <w:pPr>
              <w:pStyle w:val="Tabletext"/>
              <w:rPr>
                <w:i/>
                <w:iCs/>
              </w:rPr>
            </w:pPr>
            <w:r>
              <w:rPr>
                <w:i/>
                <w:iCs/>
              </w:rPr>
              <w:t>4</w:t>
            </w:r>
            <w:r w:rsidR="00FF34B3">
              <w:rPr>
                <w:i/>
                <w:iCs/>
              </w:rPr>
              <w:t>.</w:t>
            </w:r>
          </w:p>
        </w:tc>
        <w:tc>
          <w:tcPr>
            <w:tcW w:w="1927" w:type="pct"/>
            <w:shd w:val="clear" w:color="auto" w:fill="auto"/>
          </w:tcPr>
          <w:p w14:paraId="41608FA3" w14:textId="01E805D9" w:rsidR="00BA0774" w:rsidRPr="009F6428" w:rsidRDefault="00FF34B3" w:rsidP="00CA341A">
            <w:pPr>
              <w:pStyle w:val="Tabletext"/>
            </w:pPr>
            <w:r w:rsidRPr="009F6428">
              <w:t xml:space="preserve">3492.5 MHz–3542.5 </w:t>
            </w:r>
            <w:r w:rsidR="00181CFB" w:rsidRPr="009F6428">
              <w:t>MHz</w:t>
            </w:r>
          </w:p>
        </w:tc>
        <w:tc>
          <w:tcPr>
            <w:tcW w:w="2492" w:type="pct"/>
            <w:shd w:val="clear" w:color="auto" w:fill="auto"/>
          </w:tcPr>
          <w:p w14:paraId="0F58C71A" w14:textId="77777777" w:rsidR="00181CFB" w:rsidRDefault="00181CFB" w:rsidP="00181CFB">
            <w:pPr>
              <w:pStyle w:val="Tabletext"/>
            </w:pPr>
            <w:r>
              <w:t>(a)</w:t>
            </w:r>
            <w:r>
              <w:tab/>
              <w:t>Ballarat and Bendigo</w:t>
            </w:r>
          </w:p>
          <w:p w14:paraId="5BDAFB99" w14:textId="29109037" w:rsidR="00181CFB" w:rsidRDefault="00181CFB" w:rsidP="00181CFB">
            <w:pPr>
              <w:pStyle w:val="Tabletext"/>
            </w:pPr>
            <w:r>
              <w:t>(b)</w:t>
            </w:r>
            <w:r>
              <w:tab/>
              <w:t xml:space="preserve">Outer </w:t>
            </w:r>
            <w:r w:rsidR="00F66194">
              <w:t xml:space="preserve">Metropolitan </w:t>
            </w:r>
            <w:r>
              <w:t>Adelaide</w:t>
            </w:r>
          </w:p>
          <w:p w14:paraId="7AF2FD89" w14:textId="6671F747" w:rsidR="00181CFB" w:rsidRDefault="00181CFB" w:rsidP="00181CFB">
            <w:pPr>
              <w:pStyle w:val="Tabletext"/>
            </w:pPr>
            <w:r>
              <w:t>(c)</w:t>
            </w:r>
            <w:r>
              <w:tab/>
              <w:t xml:space="preserve">Outer </w:t>
            </w:r>
            <w:r w:rsidR="00F66194">
              <w:t xml:space="preserve">Metropolitan </w:t>
            </w:r>
            <w:r>
              <w:t>Brisbane</w:t>
            </w:r>
          </w:p>
          <w:p w14:paraId="56F5729F" w14:textId="2CCEFB78" w:rsidR="00181CFB" w:rsidRDefault="00181CFB" w:rsidP="00181CFB">
            <w:pPr>
              <w:pStyle w:val="Tabletext"/>
            </w:pPr>
            <w:r>
              <w:t>(d)</w:t>
            </w:r>
            <w:r>
              <w:tab/>
              <w:t xml:space="preserve">Outer </w:t>
            </w:r>
            <w:r w:rsidR="00F66194">
              <w:t xml:space="preserve">Metropolitan </w:t>
            </w:r>
            <w:r>
              <w:t>Canberra</w:t>
            </w:r>
          </w:p>
          <w:p w14:paraId="213B0F5C" w14:textId="3700C796" w:rsidR="00181CFB" w:rsidRDefault="00181CFB" w:rsidP="00181CFB">
            <w:pPr>
              <w:pStyle w:val="Tabletext"/>
            </w:pPr>
            <w:r>
              <w:t>(e)</w:t>
            </w:r>
            <w:r>
              <w:tab/>
              <w:t xml:space="preserve">Outer </w:t>
            </w:r>
            <w:r w:rsidR="0096021C">
              <w:t xml:space="preserve">Metropolitan </w:t>
            </w:r>
            <w:r>
              <w:t>Melbourne</w:t>
            </w:r>
          </w:p>
          <w:p w14:paraId="71C90ED7" w14:textId="56B938A5" w:rsidR="00181CFB" w:rsidRDefault="00181CFB" w:rsidP="00181CFB">
            <w:pPr>
              <w:pStyle w:val="Tabletext"/>
            </w:pPr>
            <w:r>
              <w:t>(f)</w:t>
            </w:r>
            <w:r>
              <w:tab/>
              <w:t xml:space="preserve">Outer </w:t>
            </w:r>
            <w:r w:rsidR="0096021C">
              <w:t xml:space="preserve">Metropolitan </w:t>
            </w:r>
            <w:r>
              <w:t>Perth</w:t>
            </w:r>
          </w:p>
          <w:p w14:paraId="494B46D1" w14:textId="39276B56" w:rsidR="00181CFB" w:rsidRDefault="00181CFB" w:rsidP="00181CFB">
            <w:pPr>
              <w:pStyle w:val="Tabletext"/>
            </w:pPr>
            <w:r>
              <w:t>(g)</w:t>
            </w:r>
            <w:r>
              <w:tab/>
              <w:t xml:space="preserve">Outer </w:t>
            </w:r>
            <w:r w:rsidR="0096021C">
              <w:t xml:space="preserve">Metropolitan </w:t>
            </w:r>
            <w:r>
              <w:t>Sydney</w:t>
            </w:r>
          </w:p>
          <w:p w14:paraId="30733FE6" w14:textId="1EF2154D" w:rsidR="00BA0774" w:rsidRPr="00F331CC" w:rsidRDefault="00181CFB" w:rsidP="00181CFB">
            <w:pPr>
              <w:pStyle w:val="Tabletext"/>
            </w:pPr>
            <w:r>
              <w:t>(h)</w:t>
            </w:r>
            <w:r>
              <w:tab/>
              <w:t>Toowoomba</w:t>
            </w:r>
          </w:p>
        </w:tc>
      </w:tr>
      <w:tr w:rsidR="00BA0774" w:rsidRPr="00F331CC" w14:paraId="6D66BBA8" w14:textId="77777777" w:rsidTr="00FF34B3">
        <w:tc>
          <w:tcPr>
            <w:tcW w:w="581" w:type="pct"/>
            <w:tcBorders>
              <w:top w:val="single" w:sz="2" w:space="0" w:color="auto"/>
              <w:bottom w:val="single" w:sz="12" w:space="0" w:color="auto"/>
            </w:tcBorders>
            <w:shd w:val="clear" w:color="auto" w:fill="auto"/>
          </w:tcPr>
          <w:p w14:paraId="3820AFE6" w14:textId="28E3E8CE" w:rsidR="00BA0774" w:rsidRPr="00CA6AB1" w:rsidRDefault="00CA6AB1" w:rsidP="00BC142A">
            <w:pPr>
              <w:pStyle w:val="Tabletext"/>
              <w:keepNext/>
              <w:keepLines/>
              <w:rPr>
                <w:i/>
                <w:iCs/>
              </w:rPr>
            </w:pPr>
            <w:r w:rsidRPr="00CA6AB1">
              <w:rPr>
                <w:i/>
                <w:iCs/>
              </w:rPr>
              <w:lastRenderedPageBreak/>
              <w:t>5.</w:t>
            </w:r>
          </w:p>
        </w:tc>
        <w:tc>
          <w:tcPr>
            <w:tcW w:w="1927" w:type="pct"/>
            <w:tcBorders>
              <w:top w:val="single" w:sz="2" w:space="0" w:color="auto"/>
              <w:bottom w:val="single" w:sz="12" w:space="0" w:color="auto"/>
            </w:tcBorders>
            <w:shd w:val="clear" w:color="auto" w:fill="auto"/>
          </w:tcPr>
          <w:p w14:paraId="4278978F" w14:textId="43782E4F" w:rsidR="00BA0774" w:rsidRPr="00F331CC" w:rsidRDefault="00D21F33" w:rsidP="00BC142A">
            <w:pPr>
              <w:pStyle w:val="Tabletext"/>
              <w:keepNext/>
              <w:keepLines/>
              <w:rPr>
                <w:lang w:eastAsia="en-US"/>
              </w:rPr>
            </w:pPr>
            <w:r w:rsidRPr="001A7B7E">
              <w:rPr>
                <w:lang w:eastAsia="en-US"/>
              </w:rPr>
              <w:t>3510 MHz–3542.5 MHz</w:t>
            </w:r>
          </w:p>
        </w:tc>
        <w:tc>
          <w:tcPr>
            <w:tcW w:w="2492" w:type="pct"/>
            <w:tcBorders>
              <w:top w:val="single" w:sz="2" w:space="0" w:color="auto"/>
              <w:bottom w:val="single" w:sz="12" w:space="0" w:color="auto"/>
            </w:tcBorders>
            <w:shd w:val="clear" w:color="auto" w:fill="auto"/>
          </w:tcPr>
          <w:p w14:paraId="7D16230F" w14:textId="77777777" w:rsidR="00D21F33" w:rsidRDefault="00D21F33" w:rsidP="00BC142A">
            <w:pPr>
              <w:pStyle w:val="Tabletext"/>
              <w:keepNext/>
              <w:keepLines/>
            </w:pPr>
            <w:r>
              <w:t>(a)</w:t>
            </w:r>
            <w:r>
              <w:tab/>
              <w:t>Regional NSW</w:t>
            </w:r>
          </w:p>
          <w:p w14:paraId="554BE963" w14:textId="77777777" w:rsidR="00D21F33" w:rsidRDefault="00D21F33" w:rsidP="00BC142A">
            <w:pPr>
              <w:pStyle w:val="Tabletext"/>
              <w:keepNext/>
              <w:keepLines/>
            </w:pPr>
            <w:r>
              <w:t>(b)</w:t>
            </w:r>
            <w:r>
              <w:tab/>
              <w:t>Regional Qld</w:t>
            </w:r>
          </w:p>
          <w:p w14:paraId="5C456D61" w14:textId="77777777" w:rsidR="00D21F33" w:rsidRDefault="00D21F33" w:rsidP="00BC142A">
            <w:pPr>
              <w:pStyle w:val="Tabletext"/>
              <w:keepNext/>
              <w:keepLines/>
            </w:pPr>
            <w:r>
              <w:t>(c)</w:t>
            </w:r>
            <w:r>
              <w:tab/>
              <w:t>Regional SA</w:t>
            </w:r>
          </w:p>
          <w:p w14:paraId="6E820A16" w14:textId="77777777" w:rsidR="00D21F33" w:rsidRDefault="00D21F33" w:rsidP="00BC142A">
            <w:pPr>
              <w:pStyle w:val="Tabletext"/>
              <w:keepNext/>
              <w:keepLines/>
            </w:pPr>
            <w:r>
              <w:t>(d)</w:t>
            </w:r>
            <w:r>
              <w:tab/>
              <w:t>Regional Vic</w:t>
            </w:r>
          </w:p>
          <w:p w14:paraId="275B1CA5" w14:textId="0DC9E4C2" w:rsidR="00BA0774" w:rsidRPr="00F331CC" w:rsidRDefault="00D21F33" w:rsidP="00BC142A">
            <w:pPr>
              <w:pStyle w:val="Tabletext"/>
              <w:keepNext/>
              <w:keepLines/>
            </w:pPr>
            <w:r>
              <w:t>(e)</w:t>
            </w:r>
            <w:r>
              <w:tab/>
              <w:t>Regional WA</w:t>
            </w:r>
          </w:p>
        </w:tc>
      </w:tr>
    </w:tbl>
    <w:p w14:paraId="193A1472" w14:textId="795275B2" w:rsidR="00BA0774" w:rsidRDefault="00BA0774" w:rsidP="00BA0774">
      <w:pPr>
        <w:pStyle w:val="notetext"/>
      </w:pPr>
      <w:r w:rsidRPr="00F331CC">
        <w:t>Note:</w:t>
      </w:r>
      <w:r w:rsidRPr="00F331CC">
        <w:tab/>
      </w:r>
      <w:r w:rsidR="00D21F33">
        <w:t>A part of the spectrum, or a portion of a part of the spectrum, may appear in more than one item in the table.</w:t>
      </w:r>
    </w:p>
    <w:p w14:paraId="6B7A36DB" w14:textId="28ABBBE5" w:rsidR="00D21F33" w:rsidRPr="00F331CC" w:rsidRDefault="00D21F33" w:rsidP="00BA0774">
      <w:pPr>
        <w:pStyle w:val="notetext"/>
      </w:pPr>
      <w:r>
        <w:t>Example:</w:t>
      </w:r>
      <w:r>
        <w:tab/>
      </w:r>
      <w:r w:rsidR="005809D6">
        <w:t>The frequency range 3400 MHz–3425 MHz</w:t>
      </w:r>
      <w:r w:rsidR="002570C3">
        <w:t xml:space="preserve"> appears in items 1, 2 and 3 of the table, </w:t>
      </w:r>
      <w:r w:rsidR="0077468C">
        <w:t>so that</w:t>
      </w:r>
      <w:r w:rsidR="002570C3">
        <w:t xml:space="preserve"> the outer-metropolitan </w:t>
      </w:r>
      <w:r w:rsidR="00BC142A">
        <w:t xml:space="preserve">and regional </w:t>
      </w:r>
      <w:r w:rsidR="002570C3">
        <w:t xml:space="preserve">spectrum licence will authorise the operation of radiocommunications devices in that frequency range in all the areas specified in column </w:t>
      </w:r>
      <w:r w:rsidR="0097757C">
        <w:t>2</w:t>
      </w:r>
      <w:r w:rsidR="002570C3">
        <w:t xml:space="preserve"> of those items.</w:t>
      </w:r>
    </w:p>
    <w:p w14:paraId="4BDF4942" w14:textId="25012E07" w:rsidR="005255F0" w:rsidRPr="00C8152C" w:rsidRDefault="005255F0" w:rsidP="005255F0">
      <w:pPr>
        <w:pStyle w:val="subsection"/>
        <w:rPr>
          <w:i/>
          <w:iCs/>
        </w:rPr>
      </w:pPr>
      <w:r>
        <w:rPr>
          <w:i/>
          <w:iCs/>
        </w:rPr>
        <w:t>Definitions</w:t>
      </w:r>
    </w:p>
    <w:p w14:paraId="500A5120" w14:textId="346EC2F1" w:rsidR="005255F0" w:rsidRDefault="005255F0" w:rsidP="005255F0">
      <w:pPr>
        <w:pStyle w:val="subsection"/>
      </w:pPr>
      <w:r>
        <w:tab/>
        <w:t>(3)</w:t>
      </w:r>
      <w:r>
        <w:tab/>
        <w:t xml:space="preserve">In this section, each of the following </w:t>
      </w:r>
      <w:r w:rsidR="00D13118">
        <w:t>has the meaning given by clause 1 of Schedule 1 to the charges direction:</w:t>
      </w:r>
    </w:p>
    <w:p w14:paraId="0A8B07B2" w14:textId="450C3552" w:rsidR="00D13118" w:rsidRDefault="00D13118" w:rsidP="00D13118">
      <w:pPr>
        <w:pStyle w:val="paragraph"/>
      </w:pPr>
      <w:r>
        <w:tab/>
        <w:t>(a)</w:t>
      </w:r>
      <w:r>
        <w:tab/>
      </w:r>
      <w:r>
        <w:rPr>
          <w:b/>
          <w:bCs/>
          <w:i/>
          <w:iCs/>
        </w:rPr>
        <w:t xml:space="preserve">Inner </w:t>
      </w:r>
      <w:proofErr w:type="gramStart"/>
      <w:r>
        <w:rPr>
          <w:b/>
          <w:bCs/>
          <w:i/>
          <w:iCs/>
        </w:rPr>
        <w:t>Adelaide</w:t>
      </w:r>
      <w:r>
        <w:t>;</w:t>
      </w:r>
      <w:proofErr w:type="gramEnd"/>
    </w:p>
    <w:p w14:paraId="00666814" w14:textId="0D38AEFF" w:rsidR="00D13118" w:rsidRDefault="00D13118" w:rsidP="00D13118">
      <w:pPr>
        <w:pStyle w:val="paragraph"/>
      </w:pPr>
      <w:r>
        <w:tab/>
        <w:t>(b)</w:t>
      </w:r>
      <w:r>
        <w:tab/>
      </w:r>
      <w:r>
        <w:rPr>
          <w:b/>
          <w:bCs/>
          <w:i/>
          <w:iCs/>
        </w:rPr>
        <w:t xml:space="preserve">Inner </w:t>
      </w:r>
      <w:proofErr w:type="gramStart"/>
      <w:r>
        <w:rPr>
          <w:b/>
          <w:bCs/>
          <w:i/>
          <w:iCs/>
        </w:rPr>
        <w:t>Brisbane</w:t>
      </w:r>
      <w:r>
        <w:t>;</w:t>
      </w:r>
      <w:proofErr w:type="gramEnd"/>
    </w:p>
    <w:p w14:paraId="529E255B" w14:textId="0B17E549" w:rsidR="00D13118" w:rsidRDefault="00D13118" w:rsidP="00D13118">
      <w:pPr>
        <w:pStyle w:val="paragraph"/>
      </w:pPr>
      <w:r>
        <w:tab/>
        <w:t>(c)</w:t>
      </w:r>
      <w:r>
        <w:tab/>
      </w:r>
      <w:r>
        <w:rPr>
          <w:b/>
          <w:bCs/>
          <w:i/>
          <w:iCs/>
        </w:rPr>
        <w:t xml:space="preserve">Inner </w:t>
      </w:r>
      <w:proofErr w:type="gramStart"/>
      <w:r>
        <w:rPr>
          <w:b/>
          <w:bCs/>
          <w:i/>
          <w:iCs/>
        </w:rPr>
        <w:t>Canberra</w:t>
      </w:r>
      <w:r>
        <w:t>;</w:t>
      </w:r>
      <w:proofErr w:type="gramEnd"/>
    </w:p>
    <w:p w14:paraId="2EC3CC61" w14:textId="2169CF2D" w:rsidR="00D13118" w:rsidRDefault="00D13118" w:rsidP="00D13118">
      <w:pPr>
        <w:pStyle w:val="paragraph"/>
      </w:pPr>
      <w:r>
        <w:tab/>
        <w:t>(d)</w:t>
      </w:r>
      <w:r>
        <w:tab/>
      </w:r>
      <w:r>
        <w:rPr>
          <w:b/>
          <w:bCs/>
          <w:i/>
          <w:iCs/>
        </w:rPr>
        <w:t xml:space="preserve">Inner </w:t>
      </w:r>
      <w:proofErr w:type="gramStart"/>
      <w:r>
        <w:rPr>
          <w:b/>
          <w:bCs/>
          <w:i/>
          <w:iCs/>
        </w:rPr>
        <w:t>Melbourne</w:t>
      </w:r>
      <w:r>
        <w:t>;</w:t>
      </w:r>
      <w:proofErr w:type="gramEnd"/>
    </w:p>
    <w:p w14:paraId="733DA618" w14:textId="7F762530" w:rsidR="00D13118" w:rsidRDefault="00D13118" w:rsidP="00D13118">
      <w:pPr>
        <w:pStyle w:val="paragraph"/>
      </w:pPr>
      <w:r>
        <w:tab/>
        <w:t>(e)</w:t>
      </w:r>
      <w:r>
        <w:tab/>
      </w:r>
      <w:r>
        <w:rPr>
          <w:b/>
          <w:bCs/>
          <w:i/>
          <w:iCs/>
        </w:rPr>
        <w:t xml:space="preserve">Inner </w:t>
      </w:r>
      <w:proofErr w:type="gramStart"/>
      <w:r w:rsidR="00F42F45">
        <w:rPr>
          <w:b/>
          <w:bCs/>
          <w:i/>
          <w:iCs/>
        </w:rPr>
        <w:t>Perth</w:t>
      </w:r>
      <w:r w:rsidR="00F42F45">
        <w:t>;</w:t>
      </w:r>
      <w:proofErr w:type="gramEnd"/>
    </w:p>
    <w:p w14:paraId="727DA93B" w14:textId="2120188A" w:rsidR="00F42F45" w:rsidRPr="00F42F45" w:rsidRDefault="00F42F45" w:rsidP="00D13118">
      <w:pPr>
        <w:pStyle w:val="paragraph"/>
      </w:pPr>
      <w:r>
        <w:tab/>
        <w:t>(f)</w:t>
      </w:r>
      <w:r>
        <w:tab/>
      </w:r>
      <w:r>
        <w:rPr>
          <w:b/>
          <w:bCs/>
          <w:i/>
          <w:iCs/>
        </w:rPr>
        <w:t>Inner Sydney</w:t>
      </w:r>
      <w:r>
        <w:t>.</w:t>
      </w:r>
    </w:p>
    <w:p w14:paraId="4074A1F5" w14:textId="11771023" w:rsidR="00A90DF9" w:rsidRDefault="00A90DF9" w:rsidP="00A90DF9">
      <w:pPr>
        <w:pStyle w:val="subsection"/>
      </w:pPr>
      <w:r>
        <w:tab/>
        <w:t>(</w:t>
      </w:r>
      <w:r w:rsidR="0005185D">
        <w:t>4</w:t>
      </w:r>
      <w:r>
        <w:t>)</w:t>
      </w:r>
      <w:r>
        <w:tab/>
        <w:t xml:space="preserve">In this section, each of the following has the meaning given by </w:t>
      </w:r>
      <w:r w:rsidR="008413BE">
        <w:t>subsection 5(2) of the designation notice</w:t>
      </w:r>
      <w:r>
        <w:t>:</w:t>
      </w:r>
    </w:p>
    <w:p w14:paraId="530F7C6A" w14:textId="31578709" w:rsidR="000A463E" w:rsidRDefault="00A90DF9" w:rsidP="00A90DF9">
      <w:pPr>
        <w:pStyle w:val="paragraph"/>
      </w:pPr>
      <w:r>
        <w:tab/>
        <w:t>(a)</w:t>
      </w:r>
      <w:r>
        <w:tab/>
      </w:r>
      <w:proofErr w:type="gramStart"/>
      <w:r w:rsidR="000A463E" w:rsidRPr="000C0C71">
        <w:rPr>
          <w:b/>
          <w:bCs/>
          <w:i/>
          <w:iCs/>
        </w:rPr>
        <w:t>Adelaide</w:t>
      </w:r>
      <w:r w:rsidR="000A463E">
        <w:t>;</w:t>
      </w:r>
      <w:proofErr w:type="gramEnd"/>
    </w:p>
    <w:p w14:paraId="557613B0" w14:textId="5C7348A3" w:rsidR="00A90DF9" w:rsidRDefault="000A463E" w:rsidP="00A90DF9">
      <w:pPr>
        <w:pStyle w:val="paragraph"/>
      </w:pPr>
      <w:r>
        <w:tab/>
        <w:t>(b)</w:t>
      </w:r>
      <w:r>
        <w:tab/>
      </w:r>
      <w:r w:rsidR="004B79B3">
        <w:rPr>
          <w:b/>
          <w:bCs/>
          <w:i/>
          <w:iCs/>
        </w:rPr>
        <w:t xml:space="preserve">Ballarat and </w:t>
      </w:r>
      <w:proofErr w:type="gramStart"/>
      <w:r w:rsidR="004B79B3">
        <w:rPr>
          <w:b/>
          <w:bCs/>
          <w:i/>
          <w:iCs/>
        </w:rPr>
        <w:t>Bendigo</w:t>
      </w:r>
      <w:r w:rsidR="00A90DF9">
        <w:t>;</w:t>
      </w:r>
      <w:proofErr w:type="gramEnd"/>
    </w:p>
    <w:p w14:paraId="4DB66F5A" w14:textId="2B8D8C8D" w:rsidR="000A463E" w:rsidRDefault="000A463E" w:rsidP="00A90DF9">
      <w:pPr>
        <w:pStyle w:val="paragraph"/>
      </w:pPr>
      <w:r>
        <w:tab/>
        <w:t>(c)</w:t>
      </w:r>
      <w:r>
        <w:tab/>
      </w:r>
      <w:proofErr w:type="gramStart"/>
      <w:r>
        <w:rPr>
          <w:b/>
          <w:bCs/>
          <w:i/>
          <w:iCs/>
        </w:rPr>
        <w:t>Brisbane</w:t>
      </w:r>
      <w:r>
        <w:t>;</w:t>
      </w:r>
      <w:proofErr w:type="gramEnd"/>
    </w:p>
    <w:p w14:paraId="7055CFCA" w14:textId="38ADCAC5" w:rsidR="000A463E" w:rsidRDefault="000A463E" w:rsidP="00A90DF9">
      <w:pPr>
        <w:pStyle w:val="paragraph"/>
      </w:pPr>
      <w:r>
        <w:tab/>
        <w:t>(d)</w:t>
      </w:r>
      <w:r>
        <w:tab/>
      </w:r>
      <w:proofErr w:type="gramStart"/>
      <w:r>
        <w:rPr>
          <w:b/>
          <w:bCs/>
          <w:i/>
          <w:iCs/>
        </w:rPr>
        <w:t>Canberra</w:t>
      </w:r>
      <w:r>
        <w:t>;</w:t>
      </w:r>
      <w:proofErr w:type="gramEnd"/>
    </w:p>
    <w:p w14:paraId="7E48A8D3" w14:textId="7C702E79" w:rsidR="000A463E" w:rsidRDefault="000A463E" w:rsidP="00A90DF9">
      <w:pPr>
        <w:pStyle w:val="paragraph"/>
      </w:pPr>
      <w:r>
        <w:tab/>
        <w:t>(e)</w:t>
      </w:r>
      <w:r>
        <w:tab/>
      </w:r>
      <w:proofErr w:type="gramStart"/>
      <w:r>
        <w:rPr>
          <w:b/>
          <w:bCs/>
          <w:i/>
          <w:iCs/>
        </w:rPr>
        <w:t>Melbourne</w:t>
      </w:r>
      <w:r>
        <w:t>;</w:t>
      </w:r>
      <w:proofErr w:type="gramEnd"/>
    </w:p>
    <w:p w14:paraId="24E05A59" w14:textId="1EE686BF" w:rsidR="007D2EAD" w:rsidRPr="000C0C71" w:rsidRDefault="000A463E" w:rsidP="00A90DF9">
      <w:pPr>
        <w:pStyle w:val="paragraph"/>
        <w:rPr>
          <w:b/>
          <w:bCs/>
          <w:i/>
          <w:iCs/>
        </w:rPr>
      </w:pPr>
      <w:r>
        <w:tab/>
        <w:t>(f)</w:t>
      </w:r>
      <w:r>
        <w:tab/>
      </w:r>
      <w:proofErr w:type="gramStart"/>
      <w:r>
        <w:rPr>
          <w:b/>
          <w:bCs/>
          <w:i/>
          <w:iCs/>
        </w:rPr>
        <w:t>Perth</w:t>
      </w:r>
      <w:r>
        <w:t>;</w:t>
      </w:r>
      <w:proofErr w:type="gramEnd"/>
    </w:p>
    <w:p w14:paraId="2DDE1F0E" w14:textId="3D176792" w:rsidR="00A90DF9" w:rsidRDefault="00A90DF9" w:rsidP="00A90DF9">
      <w:pPr>
        <w:pStyle w:val="paragraph"/>
      </w:pPr>
      <w:r>
        <w:tab/>
        <w:t>(</w:t>
      </w:r>
      <w:r w:rsidR="000A463E">
        <w:t>g</w:t>
      </w:r>
      <w:r>
        <w:t>)</w:t>
      </w:r>
      <w:r>
        <w:tab/>
      </w:r>
      <w:r w:rsidR="004B79B3">
        <w:rPr>
          <w:b/>
          <w:bCs/>
          <w:i/>
          <w:iCs/>
        </w:rPr>
        <w:t xml:space="preserve">Regional </w:t>
      </w:r>
      <w:proofErr w:type="gramStart"/>
      <w:r w:rsidR="004B79B3">
        <w:rPr>
          <w:b/>
          <w:bCs/>
          <w:i/>
          <w:iCs/>
        </w:rPr>
        <w:t>NSW</w:t>
      </w:r>
      <w:r>
        <w:t>;</w:t>
      </w:r>
      <w:proofErr w:type="gramEnd"/>
    </w:p>
    <w:p w14:paraId="3D5A26F1" w14:textId="05B5B440" w:rsidR="00A90DF9" w:rsidRDefault="00A90DF9" w:rsidP="00A90DF9">
      <w:pPr>
        <w:pStyle w:val="paragraph"/>
      </w:pPr>
      <w:r>
        <w:tab/>
        <w:t>(</w:t>
      </w:r>
      <w:r w:rsidR="000A463E">
        <w:t>h</w:t>
      </w:r>
      <w:r>
        <w:t>)</w:t>
      </w:r>
      <w:r>
        <w:tab/>
      </w:r>
      <w:r w:rsidR="004B79B3">
        <w:rPr>
          <w:b/>
          <w:bCs/>
          <w:i/>
          <w:iCs/>
        </w:rPr>
        <w:t xml:space="preserve">Regional </w:t>
      </w:r>
      <w:proofErr w:type="gramStart"/>
      <w:r w:rsidR="004B79B3">
        <w:rPr>
          <w:b/>
          <w:bCs/>
          <w:i/>
          <w:iCs/>
        </w:rPr>
        <w:t>Qld</w:t>
      </w:r>
      <w:r>
        <w:t>;</w:t>
      </w:r>
      <w:proofErr w:type="gramEnd"/>
    </w:p>
    <w:p w14:paraId="4694B0A2" w14:textId="0B04D1D5" w:rsidR="00A90DF9" w:rsidRDefault="00A90DF9" w:rsidP="00A90DF9">
      <w:pPr>
        <w:pStyle w:val="paragraph"/>
      </w:pPr>
      <w:r>
        <w:tab/>
        <w:t>(</w:t>
      </w:r>
      <w:r w:rsidR="000A463E">
        <w:t>i</w:t>
      </w:r>
      <w:r>
        <w:t>)</w:t>
      </w:r>
      <w:r>
        <w:tab/>
      </w:r>
      <w:r w:rsidR="004B79B3">
        <w:rPr>
          <w:b/>
          <w:bCs/>
          <w:i/>
          <w:iCs/>
        </w:rPr>
        <w:t xml:space="preserve">Regional </w:t>
      </w:r>
      <w:proofErr w:type="gramStart"/>
      <w:r w:rsidR="004B79B3">
        <w:rPr>
          <w:b/>
          <w:bCs/>
          <w:i/>
          <w:iCs/>
        </w:rPr>
        <w:t>SA</w:t>
      </w:r>
      <w:r>
        <w:t>;</w:t>
      </w:r>
      <w:proofErr w:type="gramEnd"/>
    </w:p>
    <w:p w14:paraId="514922D3" w14:textId="49CF321D" w:rsidR="00A90DF9" w:rsidRDefault="00A90DF9" w:rsidP="00A90DF9">
      <w:pPr>
        <w:pStyle w:val="paragraph"/>
      </w:pPr>
      <w:r>
        <w:tab/>
        <w:t>(</w:t>
      </w:r>
      <w:r w:rsidR="000A463E">
        <w:t>j</w:t>
      </w:r>
      <w:r>
        <w:t>)</w:t>
      </w:r>
      <w:r>
        <w:tab/>
      </w:r>
      <w:r w:rsidR="004B79B3">
        <w:rPr>
          <w:b/>
          <w:bCs/>
          <w:i/>
          <w:iCs/>
        </w:rPr>
        <w:t xml:space="preserve">Regional </w:t>
      </w:r>
      <w:proofErr w:type="gramStart"/>
      <w:r w:rsidR="004B79B3">
        <w:rPr>
          <w:b/>
          <w:bCs/>
          <w:i/>
          <w:iCs/>
        </w:rPr>
        <w:t>Vic</w:t>
      </w:r>
      <w:r>
        <w:t>;</w:t>
      </w:r>
      <w:proofErr w:type="gramEnd"/>
    </w:p>
    <w:p w14:paraId="7DC9C8AC" w14:textId="33B5D401" w:rsidR="00A90DF9" w:rsidRDefault="00A90DF9" w:rsidP="00A90DF9">
      <w:pPr>
        <w:pStyle w:val="paragraph"/>
      </w:pPr>
      <w:r>
        <w:tab/>
        <w:t>(</w:t>
      </w:r>
      <w:r w:rsidR="000A463E">
        <w:t>k</w:t>
      </w:r>
      <w:r>
        <w:t>)</w:t>
      </w:r>
      <w:r>
        <w:tab/>
      </w:r>
      <w:r w:rsidR="004B79B3">
        <w:rPr>
          <w:b/>
          <w:bCs/>
          <w:i/>
          <w:iCs/>
        </w:rPr>
        <w:t xml:space="preserve">Regional </w:t>
      </w:r>
      <w:proofErr w:type="gramStart"/>
      <w:r w:rsidR="004B79B3">
        <w:rPr>
          <w:b/>
          <w:bCs/>
          <w:i/>
          <w:iCs/>
        </w:rPr>
        <w:t>WA</w:t>
      </w:r>
      <w:r w:rsidR="004B79B3">
        <w:t>;</w:t>
      </w:r>
      <w:proofErr w:type="gramEnd"/>
    </w:p>
    <w:p w14:paraId="074A5AE6" w14:textId="6F2358E9" w:rsidR="004B79B3" w:rsidRDefault="004B79B3" w:rsidP="00A90DF9">
      <w:pPr>
        <w:pStyle w:val="paragraph"/>
      </w:pPr>
      <w:r>
        <w:tab/>
        <w:t>(</w:t>
      </w:r>
      <w:r w:rsidR="000A463E">
        <w:t>l</w:t>
      </w:r>
      <w:r>
        <w:t>)</w:t>
      </w:r>
      <w:r>
        <w:tab/>
      </w:r>
      <w:r>
        <w:rPr>
          <w:b/>
          <w:bCs/>
          <w:i/>
          <w:iCs/>
        </w:rPr>
        <w:t xml:space="preserve">Remote </w:t>
      </w:r>
      <w:proofErr w:type="gramStart"/>
      <w:r>
        <w:rPr>
          <w:b/>
          <w:bCs/>
          <w:i/>
          <w:iCs/>
        </w:rPr>
        <w:t>WA</w:t>
      </w:r>
      <w:r>
        <w:t>;</w:t>
      </w:r>
      <w:proofErr w:type="gramEnd"/>
    </w:p>
    <w:p w14:paraId="67508778" w14:textId="35F1B30B" w:rsidR="000A463E" w:rsidRPr="00E07841" w:rsidRDefault="000A463E" w:rsidP="00A90DF9">
      <w:pPr>
        <w:pStyle w:val="paragraph"/>
      </w:pPr>
      <w:r>
        <w:tab/>
        <w:t>(m)</w:t>
      </w:r>
      <w:r>
        <w:tab/>
      </w:r>
      <w:proofErr w:type="gramStart"/>
      <w:r w:rsidR="00E07841">
        <w:rPr>
          <w:b/>
          <w:bCs/>
          <w:i/>
          <w:iCs/>
        </w:rPr>
        <w:t>Sydney</w:t>
      </w:r>
      <w:r w:rsidR="00E07841">
        <w:t>;</w:t>
      </w:r>
      <w:proofErr w:type="gramEnd"/>
    </w:p>
    <w:p w14:paraId="56709EF3" w14:textId="2A8CA90C" w:rsidR="004B79B3" w:rsidRDefault="004B79B3" w:rsidP="00A90DF9">
      <w:pPr>
        <w:pStyle w:val="paragraph"/>
      </w:pPr>
      <w:r>
        <w:tab/>
        <w:t>(</w:t>
      </w:r>
      <w:r w:rsidR="007D2EAD">
        <w:t>n</w:t>
      </w:r>
      <w:r>
        <w:t>)</w:t>
      </w:r>
      <w:r>
        <w:tab/>
      </w:r>
      <w:r>
        <w:rPr>
          <w:b/>
          <w:bCs/>
          <w:i/>
          <w:iCs/>
        </w:rPr>
        <w:t>Toowoomba</w:t>
      </w:r>
      <w:r>
        <w:t>.</w:t>
      </w:r>
    </w:p>
    <w:p w14:paraId="6858706D" w14:textId="10881555" w:rsidR="0005185D" w:rsidRDefault="0005185D" w:rsidP="0005185D">
      <w:pPr>
        <w:pStyle w:val="subsection"/>
      </w:pPr>
      <w:r>
        <w:tab/>
        <w:t>(5)</w:t>
      </w:r>
      <w:r>
        <w:tab/>
        <w:t>In this section:</w:t>
      </w:r>
    </w:p>
    <w:p w14:paraId="63429C9B" w14:textId="218F0758" w:rsidR="0005185D" w:rsidRDefault="00E07841" w:rsidP="0005185D">
      <w:pPr>
        <w:pStyle w:val="Definition"/>
        <w:rPr>
          <w:iCs/>
        </w:rPr>
      </w:pPr>
      <w:r>
        <w:rPr>
          <w:b/>
          <w:bCs/>
          <w:i/>
        </w:rPr>
        <w:t>Outer Metropolitan Adelaide</w:t>
      </w:r>
      <w:r w:rsidR="0005185D">
        <w:rPr>
          <w:b/>
          <w:bCs/>
          <w:i/>
        </w:rPr>
        <w:t xml:space="preserve"> </w:t>
      </w:r>
      <w:r w:rsidR="0005185D">
        <w:rPr>
          <w:iCs/>
        </w:rPr>
        <w:t xml:space="preserve">means </w:t>
      </w:r>
      <w:r>
        <w:rPr>
          <w:iCs/>
        </w:rPr>
        <w:t>that part of Adelaide that is not Inner Adelaide.</w:t>
      </w:r>
    </w:p>
    <w:p w14:paraId="071987ED" w14:textId="3B65EC56" w:rsidR="00E07841" w:rsidRDefault="00E07841" w:rsidP="0005185D">
      <w:pPr>
        <w:pStyle w:val="Definition"/>
        <w:rPr>
          <w:iCs/>
        </w:rPr>
      </w:pPr>
      <w:r>
        <w:rPr>
          <w:b/>
          <w:bCs/>
          <w:i/>
        </w:rPr>
        <w:t xml:space="preserve">Outer Metropolitan Brisbane </w:t>
      </w:r>
      <w:r>
        <w:rPr>
          <w:iCs/>
        </w:rPr>
        <w:t>means that part of Brisbane that is not Inner Brisbane.</w:t>
      </w:r>
    </w:p>
    <w:p w14:paraId="50287E53" w14:textId="7012009A" w:rsidR="00E07841" w:rsidRDefault="00E07841" w:rsidP="0005185D">
      <w:pPr>
        <w:pStyle w:val="Definition"/>
        <w:rPr>
          <w:iCs/>
        </w:rPr>
      </w:pPr>
      <w:r>
        <w:rPr>
          <w:b/>
          <w:bCs/>
          <w:i/>
        </w:rPr>
        <w:t>Outer Metropolitan Canberra</w:t>
      </w:r>
      <w:r w:rsidRPr="000C0C71">
        <w:rPr>
          <w:iCs/>
        </w:rPr>
        <w:t xml:space="preserve"> </w:t>
      </w:r>
      <w:r w:rsidR="00645B3F" w:rsidRPr="000C0C71">
        <w:rPr>
          <w:iCs/>
        </w:rPr>
        <w:t>means</w:t>
      </w:r>
      <w:r w:rsidR="00800823">
        <w:rPr>
          <w:iCs/>
        </w:rPr>
        <w:t xml:space="preserve"> that part of Canberra that is not Inner Canberra.</w:t>
      </w:r>
    </w:p>
    <w:p w14:paraId="7DAE0F59" w14:textId="3F821C92" w:rsidR="00800823" w:rsidRDefault="00800823" w:rsidP="0005185D">
      <w:pPr>
        <w:pStyle w:val="Definition"/>
        <w:rPr>
          <w:iCs/>
        </w:rPr>
      </w:pPr>
      <w:r>
        <w:rPr>
          <w:b/>
          <w:bCs/>
          <w:i/>
        </w:rPr>
        <w:lastRenderedPageBreak/>
        <w:t xml:space="preserve">Outer Metropolitan Melbourne </w:t>
      </w:r>
      <w:r>
        <w:rPr>
          <w:iCs/>
        </w:rPr>
        <w:t xml:space="preserve">means that </w:t>
      </w:r>
      <w:r w:rsidR="00D35D8D">
        <w:rPr>
          <w:iCs/>
        </w:rPr>
        <w:t>part of Melbourne that is not Inner Melbourne.</w:t>
      </w:r>
    </w:p>
    <w:p w14:paraId="7D8EEFDE" w14:textId="44D1ECA2" w:rsidR="00D35D8D" w:rsidRDefault="00D35D8D" w:rsidP="0005185D">
      <w:pPr>
        <w:pStyle w:val="Definition"/>
        <w:rPr>
          <w:iCs/>
        </w:rPr>
      </w:pPr>
      <w:r>
        <w:rPr>
          <w:b/>
          <w:bCs/>
          <w:i/>
        </w:rPr>
        <w:t xml:space="preserve">Outer Metropolitan Perth </w:t>
      </w:r>
      <w:r>
        <w:rPr>
          <w:iCs/>
        </w:rPr>
        <w:t>means that part of Perth that is not Inner Perth</w:t>
      </w:r>
      <w:r w:rsidR="007D2EAD">
        <w:rPr>
          <w:iCs/>
        </w:rPr>
        <w:t>.</w:t>
      </w:r>
    </w:p>
    <w:p w14:paraId="2221628E" w14:textId="04496B61" w:rsidR="0005185D" w:rsidRPr="004B79B3" w:rsidRDefault="00D35D8D" w:rsidP="000C0C71">
      <w:pPr>
        <w:pStyle w:val="Definition"/>
      </w:pPr>
      <w:r>
        <w:rPr>
          <w:b/>
          <w:bCs/>
          <w:i/>
        </w:rPr>
        <w:t xml:space="preserve">Outer Metropolitan Sydney </w:t>
      </w:r>
      <w:r>
        <w:rPr>
          <w:iCs/>
        </w:rPr>
        <w:t>means that part of Sydney that is not Inner Sydney.</w:t>
      </w:r>
    </w:p>
    <w:p w14:paraId="5A8BA360" w14:textId="0CD31913" w:rsidR="004B79B3" w:rsidRPr="00B92AD9" w:rsidRDefault="00853D5C" w:rsidP="0056076D">
      <w:pPr>
        <w:pStyle w:val="ActHead5"/>
      </w:pPr>
      <w:bookmarkStart w:id="29" w:name="_Toc64643910"/>
      <w:proofErr w:type="gramStart"/>
      <w:r>
        <w:rPr>
          <w:rStyle w:val="CharSectno"/>
        </w:rPr>
        <w:t>19</w:t>
      </w:r>
      <w:r w:rsidR="004B79B3" w:rsidRPr="00B92AD9">
        <w:t xml:space="preserve">  </w:t>
      </w:r>
      <w:r w:rsidR="004B79B3">
        <w:t>Spectrum</w:t>
      </w:r>
      <w:proofErr w:type="gramEnd"/>
      <w:r w:rsidR="004B79B3">
        <w:t xml:space="preserve"> licences – core conditions relating to emission limits</w:t>
      </w:r>
      <w:bookmarkEnd w:id="29"/>
    </w:p>
    <w:p w14:paraId="61E59221" w14:textId="2A14F1AD" w:rsidR="00B25DD3" w:rsidRDefault="00B25DD3" w:rsidP="00B25DD3">
      <w:pPr>
        <w:pStyle w:val="subsection"/>
        <w:rPr>
          <w:rStyle w:val="CharSectno"/>
        </w:rPr>
      </w:pPr>
      <w:r>
        <w:rPr>
          <w:rStyle w:val="CharSectno"/>
        </w:rPr>
        <w:tab/>
      </w:r>
      <w:r>
        <w:rPr>
          <w:rStyle w:val="CharSectno"/>
        </w:rPr>
        <w:tab/>
        <w:t xml:space="preserve">A spectrum licence issued in accordance with this instrument will include </w:t>
      </w:r>
      <w:r w:rsidR="004F189E">
        <w:rPr>
          <w:rStyle w:val="CharSectno"/>
        </w:rPr>
        <w:t xml:space="preserve">the </w:t>
      </w:r>
      <w:r>
        <w:rPr>
          <w:rStyle w:val="CharSectno"/>
        </w:rPr>
        <w:t>core conditions</w:t>
      </w:r>
      <w:r w:rsidR="004F189E">
        <w:rPr>
          <w:rStyle w:val="CharSectno"/>
        </w:rPr>
        <w:t xml:space="preserve"> required by paragraphs 66(1)(b) and 66(1)(d) of the Act.</w:t>
      </w:r>
    </w:p>
    <w:p w14:paraId="6BEE050D" w14:textId="3661D2ED" w:rsidR="00C05191" w:rsidRPr="00B92AD9" w:rsidRDefault="00853D5C" w:rsidP="00C05191">
      <w:pPr>
        <w:pStyle w:val="ActHead5"/>
      </w:pPr>
      <w:bookmarkStart w:id="30" w:name="_Toc64643911"/>
      <w:proofErr w:type="gramStart"/>
      <w:r>
        <w:rPr>
          <w:rStyle w:val="CharSectno"/>
        </w:rPr>
        <w:t>20</w:t>
      </w:r>
      <w:r w:rsidR="00C05191" w:rsidRPr="00B92AD9">
        <w:t xml:space="preserve">  </w:t>
      </w:r>
      <w:r w:rsidR="00C05191">
        <w:t>Spectrum</w:t>
      </w:r>
      <w:proofErr w:type="gramEnd"/>
      <w:r w:rsidR="00C05191">
        <w:t xml:space="preserve"> licences – </w:t>
      </w:r>
      <w:r w:rsidR="004858DB">
        <w:t>other</w:t>
      </w:r>
      <w:r w:rsidR="00C05191">
        <w:t xml:space="preserve"> conditions</w:t>
      </w:r>
      <w:bookmarkEnd w:id="30"/>
    </w:p>
    <w:p w14:paraId="2544B3E4" w14:textId="60CE2557" w:rsidR="00C05191" w:rsidRDefault="00C05191" w:rsidP="00C05191">
      <w:pPr>
        <w:pStyle w:val="subsection"/>
      </w:pPr>
      <w:r>
        <w:tab/>
        <w:t>(1)</w:t>
      </w:r>
      <w:r>
        <w:tab/>
      </w:r>
      <w:r w:rsidR="004858DB">
        <w:t xml:space="preserve">A spectrum licence issued in accordance with this instrument will include </w:t>
      </w:r>
      <w:r w:rsidR="00331E5F">
        <w:t>conditions about:</w:t>
      </w:r>
    </w:p>
    <w:p w14:paraId="4461ED8E" w14:textId="4D22B28A" w:rsidR="00331E5F" w:rsidRDefault="00331E5F" w:rsidP="00331E5F">
      <w:pPr>
        <w:pStyle w:val="paragraph"/>
      </w:pPr>
      <w:r>
        <w:tab/>
        <w:t>(a)</w:t>
      </w:r>
      <w:r>
        <w:tab/>
        <w:t>payment of charges</w:t>
      </w:r>
      <w:r w:rsidR="00CF170C">
        <w:t xml:space="preserve"> and taxes</w:t>
      </w:r>
      <w:r>
        <w:t xml:space="preserve">, as required by section 67 of the Act; </w:t>
      </w:r>
      <w:r w:rsidR="00C30A73">
        <w:t>and</w:t>
      </w:r>
    </w:p>
    <w:p w14:paraId="527541F9" w14:textId="67DDDF27" w:rsidR="00331E5F" w:rsidRDefault="00331E5F" w:rsidP="00331E5F">
      <w:pPr>
        <w:pStyle w:val="paragraph"/>
      </w:pPr>
      <w:r>
        <w:tab/>
        <w:t>(b)</w:t>
      </w:r>
      <w:r>
        <w:tab/>
        <w:t>use by third parties, as required by section 68 of the Act;</w:t>
      </w:r>
      <w:r w:rsidR="00C30A73">
        <w:t xml:space="preserve"> and</w:t>
      </w:r>
    </w:p>
    <w:p w14:paraId="09BACB44" w14:textId="6951FD70" w:rsidR="00331E5F" w:rsidRDefault="00331E5F" w:rsidP="00331E5F">
      <w:pPr>
        <w:pStyle w:val="paragraph"/>
      </w:pPr>
      <w:r>
        <w:tab/>
        <w:t>(c)</w:t>
      </w:r>
      <w:r>
        <w:tab/>
        <w:t xml:space="preserve">registration of </w:t>
      </w:r>
      <w:r w:rsidR="00326889">
        <w:t xml:space="preserve">radiocommunications </w:t>
      </w:r>
      <w:r>
        <w:t>transmitters, as required by section 69 of the Act;</w:t>
      </w:r>
      <w:r w:rsidR="00C30A73">
        <w:t xml:space="preserve"> and</w:t>
      </w:r>
    </w:p>
    <w:p w14:paraId="3C2CB10D" w14:textId="7AB43054" w:rsidR="00331E5F" w:rsidRDefault="00331E5F" w:rsidP="00331E5F">
      <w:pPr>
        <w:pStyle w:val="paragraph"/>
      </w:pPr>
      <w:r>
        <w:tab/>
        <w:t>(d)</w:t>
      </w:r>
      <w:r>
        <w:tab/>
        <w:t>residency and other matters, as required by section 69A of the Act.</w:t>
      </w:r>
    </w:p>
    <w:p w14:paraId="18F8CE36" w14:textId="703B2962" w:rsidR="00596A2A" w:rsidRDefault="00596A2A" w:rsidP="00C05191">
      <w:pPr>
        <w:pStyle w:val="subsection"/>
      </w:pPr>
      <w:r>
        <w:tab/>
        <w:t>(2)</w:t>
      </w:r>
      <w:r>
        <w:tab/>
        <w:t xml:space="preserve">For the purposes of paragraph (1)(c), the condition about registration of </w:t>
      </w:r>
      <w:r w:rsidR="00326889">
        <w:t xml:space="preserve">radiocommunications </w:t>
      </w:r>
      <w:r>
        <w:t>transmitters</w:t>
      </w:r>
      <w:r w:rsidR="00326889">
        <w:t xml:space="preserve"> </w:t>
      </w:r>
      <w:r w:rsidR="00CB5875">
        <w:t>will:</w:t>
      </w:r>
    </w:p>
    <w:p w14:paraId="28AF7EA0" w14:textId="7F62FF67" w:rsidR="00CB5875" w:rsidRDefault="00CB5875" w:rsidP="00CB5875">
      <w:pPr>
        <w:pStyle w:val="paragraph"/>
      </w:pPr>
      <w:r>
        <w:tab/>
        <w:t>(a)</w:t>
      </w:r>
      <w:r>
        <w:tab/>
        <w:t>prohibit the operation of a radiocommunications transmitter unless the requirements under Part 3.5 of the Act to have the transmitter registered have been met; and</w:t>
      </w:r>
    </w:p>
    <w:p w14:paraId="0F112EC5" w14:textId="273CB16D" w:rsidR="00421C52" w:rsidRDefault="00CB5875" w:rsidP="00CB5875">
      <w:pPr>
        <w:pStyle w:val="paragraph"/>
      </w:pPr>
      <w:r>
        <w:tab/>
        <w:t>(b)</w:t>
      </w:r>
      <w:r>
        <w:tab/>
        <w:t xml:space="preserve">exempt </w:t>
      </w:r>
      <w:r w:rsidR="00421C52">
        <w:t xml:space="preserve">the following </w:t>
      </w:r>
      <w:r w:rsidR="00A05BEE">
        <w:t>radiocommunications transmitters from those requirements</w:t>
      </w:r>
      <w:r w:rsidR="00421C52">
        <w:t>:</w:t>
      </w:r>
    </w:p>
    <w:p w14:paraId="7E48E7E3" w14:textId="270F3C82" w:rsidR="00024C7A" w:rsidRDefault="00421C52" w:rsidP="00433B4B">
      <w:pPr>
        <w:pStyle w:val="paragraphsub"/>
      </w:pPr>
      <w:r>
        <w:tab/>
        <w:t>(i)</w:t>
      </w:r>
      <w:r>
        <w:tab/>
      </w:r>
      <w:r w:rsidR="001405BB">
        <w:t>r</w:t>
      </w:r>
      <w:r>
        <w:t xml:space="preserve">adiocommunications transmitters with a maximum total radiated power of less than or equal to 28 dBm per occupied </w:t>
      </w:r>
      <w:proofErr w:type="gramStart"/>
      <w:r>
        <w:t>bandwidth</w:t>
      </w:r>
      <w:r w:rsidR="00024C7A">
        <w:t>;</w:t>
      </w:r>
      <w:proofErr w:type="gramEnd"/>
    </w:p>
    <w:p w14:paraId="5D5F73C2" w14:textId="65A157E5" w:rsidR="00024C7A" w:rsidRDefault="00024C7A" w:rsidP="00433B4B">
      <w:pPr>
        <w:pStyle w:val="paragraphsub"/>
      </w:pPr>
      <w:r>
        <w:tab/>
        <w:t>(ii)</w:t>
      </w:r>
      <w:r>
        <w:tab/>
        <w:t>until 15 February 2022, radiocommunications transmitters with a maximum total radiated power of greater than 28 dBm per occupied bandwidth.</w:t>
      </w:r>
    </w:p>
    <w:p w14:paraId="423F3CAA" w14:textId="5D8ECDEF" w:rsidR="00D749AC" w:rsidRDefault="00D749AC" w:rsidP="00D749AC">
      <w:pPr>
        <w:pStyle w:val="notetext"/>
      </w:pPr>
      <w:r>
        <w:t>Note:</w:t>
      </w:r>
      <w:r>
        <w:tab/>
        <w:t xml:space="preserve">After </w:t>
      </w:r>
      <w:proofErr w:type="gramStart"/>
      <w:r>
        <w:t>15 February 2022</w:t>
      </w:r>
      <w:proofErr w:type="gramEnd"/>
      <w:r>
        <w:t xml:space="preserve"> the exemption to register radiocommunications transmitters with a maximum total radiated power of greater than 28 dBm per occupied bandwidth no longer applies.</w:t>
      </w:r>
    </w:p>
    <w:p w14:paraId="2A1893BD" w14:textId="57A4AA50" w:rsidR="001766B3" w:rsidRDefault="00024C7A" w:rsidP="003B3B95">
      <w:pPr>
        <w:pStyle w:val="subsection"/>
      </w:pPr>
      <w:r>
        <w:tab/>
      </w:r>
      <w:r w:rsidR="003B3B95">
        <w:t>(</w:t>
      </w:r>
      <w:r w:rsidR="00853D5C">
        <w:t>3</w:t>
      </w:r>
      <w:r>
        <w:t>)</w:t>
      </w:r>
      <w:r>
        <w:tab/>
        <w:t xml:space="preserve">For each radiocommunications transmitter referred to in </w:t>
      </w:r>
      <w:r w:rsidR="003B3B95">
        <w:t>subparagraph</w:t>
      </w:r>
      <w:r>
        <w:t xml:space="preserve"> </w:t>
      </w:r>
      <w:r w:rsidR="003B3B95">
        <w:t>(</w:t>
      </w:r>
      <w:r>
        <w:t>2</w:t>
      </w:r>
      <w:r w:rsidR="003B3B95">
        <w:t>)</w:t>
      </w:r>
      <w:r>
        <w:t>(b)(ii)</w:t>
      </w:r>
      <w:r w:rsidR="001766B3">
        <w:t>:</w:t>
      </w:r>
    </w:p>
    <w:p w14:paraId="550EF37E" w14:textId="2326ADA0" w:rsidR="001766B3" w:rsidRDefault="001766B3" w:rsidP="001766B3">
      <w:pPr>
        <w:pStyle w:val="paragraph"/>
      </w:pPr>
      <w:r>
        <w:tab/>
        <w:t>(a)</w:t>
      </w:r>
      <w:r>
        <w:tab/>
      </w:r>
      <w:r w:rsidR="003B3B95">
        <w:t>a</w:t>
      </w:r>
      <w:r w:rsidR="00024C7A">
        <w:t xml:space="preserve"> licensee must keep a record of the geographic location, centre frequency, occupied bandwidth, antenna details (including manufacturer, model, type, gain, polarisation, </w:t>
      </w:r>
      <w:proofErr w:type="gramStart"/>
      <w:r w:rsidR="00024C7A">
        <w:t>azimuth</w:t>
      </w:r>
      <w:proofErr w:type="gramEnd"/>
      <w:r w:rsidR="00024C7A">
        <w:t xml:space="preserve"> and height above ground), maximum true mean power and maximum EIRP of that transmitter</w:t>
      </w:r>
      <w:r>
        <w:t>; and</w:t>
      </w:r>
    </w:p>
    <w:p w14:paraId="13ED12D9" w14:textId="50DDF032" w:rsidR="00CB5875" w:rsidRDefault="001766B3" w:rsidP="00433B4B">
      <w:pPr>
        <w:pStyle w:val="paragraph"/>
      </w:pPr>
      <w:r>
        <w:tab/>
        <w:t>(b)</w:t>
      </w:r>
      <w:r>
        <w:tab/>
        <w:t>i</w:t>
      </w:r>
      <w:r w:rsidR="00024C7A">
        <w:t xml:space="preserve">f the ACMA asks the licensee for a copy of </w:t>
      </w:r>
      <w:r>
        <w:t xml:space="preserve">such a </w:t>
      </w:r>
      <w:r w:rsidR="00024C7A">
        <w:t>record, the licensee must give the ACMA a copy as soon as practicable.</w:t>
      </w:r>
    </w:p>
    <w:p w14:paraId="28B937B8" w14:textId="13918EAE" w:rsidR="00072AEF" w:rsidRDefault="00072AEF" w:rsidP="00072AEF">
      <w:pPr>
        <w:pStyle w:val="notetext"/>
      </w:pPr>
      <w:r>
        <w:t>Note:</w:t>
      </w:r>
      <w:r>
        <w:tab/>
        <w:t xml:space="preserve">Section 145 of the Act provides that the ACMA may refuse to </w:t>
      </w:r>
      <w:r w:rsidR="00EB308A">
        <w:t xml:space="preserve">include in the Register details of a radiocommunications transmitter that is proposed to be operated under a spectrum licence if the ACMA is satisfied that operation of the transmitter could </w:t>
      </w:r>
      <w:r w:rsidR="00E23E23">
        <w:t>cause an unacceptable level of interference. The ACMA may determine, under subsection 145(4), what are unacceptable levels of interference.</w:t>
      </w:r>
    </w:p>
    <w:p w14:paraId="57B60885" w14:textId="62EAAA06" w:rsidR="00C05191" w:rsidRDefault="00C05191" w:rsidP="00433B4B">
      <w:pPr>
        <w:pStyle w:val="subsection"/>
        <w:keepNext/>
        <w:keepLines/>
      </w:pPr>
      <w:r>
        <w:tab/>
        <w:t>(</w:t>
      </w:r>
      <w:r w:rsidR="00DF4663">
        <w:t>4</w:t>
      </w:r>
      <w:r>
        <w:t>)</w:t>
      </w:r>
      <w:r>
        <w:tab/>
      </w:r>
      <w:r w:rsidR="00331E5F">
        <w:t>A spectrum licence issued in accordance with thi</w:t>
      </w:r>
      <w:r w:rsidR="009B4951">
        <w:t>s instrument may include other conditions, as permitted by section 71 of the Act.</w:t>
      </w:r>
    </w:p>
    <w:p w14:paraId="22FFEB27" w14:textId="12D2ED53" w:rsidR="00DD5D64" w:rsidRDefault="00DD5D64">
      <w:pPr>
        <w:spacing w:line="259" w:lineRule="auto"/>
        <w:rPr>
          <w:rFonts w:ascii="Times New Roman" w:eastAsia="Times New Roman" w:hAnsi="Times New Roman" w:cs="Times New Roman"/>
          <w:szCs w:val="20"/>
          <w:lang w:eastAsia="en-AU"/>
        </w:rPr>
      </w:pPr>
      <w:r>
        <w:br w:type="page"/>
      </w:r>
    </w:p>
    <w:p w14:paraId="7FFBEED9" w14:textId="33480F58" w:rsidR="00DD5D64" w:rsidRPr="00016407" w:rsidRDefault="00DD5D64" w:rsidP="00016407">
      <w:pPr>
        <w:pStyle w:val="Heading1"/>
        <w:rPr>
          <w:rStyle w:val="CharPartText"/>
          <w:rFonts w:ascii="Times New Roman" w:hAnsi="Times New Roman" w:cs="Times New Roman"/>
          <w:b/>
          <w:bCs/>
          <w:color w:val="auto"/>
        </w:rPr>
      </w:pPr>
      <w:bookmarkStart w:id="31" w:name="_Toc64643912"/>
      <w:r w:rsidRPr="00016407">
        <w:rPr>
          <w:rStyle w:val="CharPartText"/>
          <w:rFonts w:ascii="Times New Roman" w:hAnsi="Times New Roman" w:cs="Times New Roman"/>
          <w:b/>
          <w:bCs/>
          <w:color w:val="auto"/>
        </w:rPr>
        <w:lastRenderedPageBreak/>
        <w:t xml:space="preserve">Part </w:t>
      </w:r>
      <w:r w:rsidR="00440E7D" w:rsidRPr="00016407">
        <w:rPr>
          <w:rStyle w:val="CharPartText"/>
          <w:rFonts w:ascii="Times New Roman" w:hAnsi="Times New Roman" w:cs="Times New Roman"/>
          <w:b/>
          <w:bCs/>
          <w:color w:val="auto"/>
        </w:rPr>
        <w:t>4</w:t>
      </w:r>
      <w:r w:rsidRPr="00016407">
        <w:rPr>
          <w:rStyle w:val="CharPartText"/>
          <w:rFonts w:ascii="Times New Roman" w:hAnsi="Times New Roman" w:cs="Times New Roman"/>
          <w:b/>
          <w:bCs/>
          <w:color w:val="auto"/>
        </w:rPr>
        <w:t>—Other matters</w:t>
      </w:r>
      <w:bookmarkEnd w:id="31"/>
    </w:p>
    <w:p w14:paraId="7F06FA35" w14:textId="20980149" w:rsidR="00DD5D64" w:rsidRPr="002138FE" w:rsidRDefault="00DF4663" w:rsidP="002138FE">
      <w:pPr>
        <w:pStyle w:val="ActHead5"/>
      </w:pPr>
      <w:bookmarkStart w:id="32" w:name="_Toc64643913"/>
      <w:proofErr w:type="gramStart"/>
      <w:r>
        <w:rPr>
          <w:rStyle w:val="CharSectno"/>
        </w:rPr>
        <w:t>21</w:t>
      </w:r>
      <w:r w:rsidR="00DD5D64" w:rsidRPr="002138FE">
        <w:rPr>
          <w:rStyle w:val="CharSectno"/>
        </w:rPr>
        <w:t xml:space="preserve">  </w:t>
      </w:r>
      <w:r w:rsidR="00DD5D64" w:rsidRPr="002138FE">
        <w:t>Simplified</w:t>
      </w:r>
      <w:proofErr w:type="gramEnd"/>
      <w:r w:rsidR="00DD5D64" w:rsidRPr="002138FE">
        <w:t xml:space="preserve"> outline of this Part</w:t>
      </w:r>
      <w:bookmarkEnd w:id="32"/>
    </w:p>
    <w:p w14:paraId="67382862" w14:textId="7CEC44FA" w:rsidR="00DD5D64" w:rsidRDefault="00DD5D64" w:rsidP="00DD5D64">
      <w:pPr>
        <w:pStyle w:val="SOText"/>
      </w:pPr>
      <w:r>
        <w:t xml:space="preserve">This Part sets out other matters that may be relevant to </w:t>
      </w:r>
      <w:r w:rsidR="0006508B">
        <w:t>the licensee of existing apparatus licence</w:t>
      </w:r>
      <w:r w:rsidR="00631677">
        <w:t>s</w:t>
      </w:r>
      <w:r w:rsidR="0006508B">
        <w:t>, before accepting an offer of a spectrum licence in accordance with this instrument.</w:t>
      </w:r>
    </w:p>
    <w:p w14:paraId="70722572" w14:textId="2C34F21D" w:rsidR="00DD5D64" w:rsidRDefault="00DF4663" w:rsidP="00DD5D64">
      <w:pPr>
        <w:pStyle w:val="ActHead5"/>
        <w:rPr>
          <w:rStyle w:val="CharSectno"/>
        </w:rPr>
      </w:pPr>
      <w:bookmarkStart w:id="33" w:name="_Toc64643914"/>
      <w:proofErr w:type="gramStart"/>
      <w:r>
        <w:rPr>
          <w:rStyle w:val="CharSectno"/>
        </w:rPr>
        <w:t>22</w:t>
      </w:r>
      <w:r w:rsidR="00DD5D64">
        <w:rPr>
          <w:rStyle w:val="CharSectno"/>
        </w:rPr>
        <w:t xml:space="preserve">  </w:t>
      </w:r>
      <w:r w:rsidR="00596A2A">
        <w:rPr>
          <w:rStyle w:val="CharSectno"/>
        </w:rPr>
        <w:t>Registration</w:t>
      </w:r>
      <w:proofErr w:type="gramEnd"/>
      <w:r w:rsidR="00596A2A">
        <w:rPr>
          <w:rStyle w:val="CharSectno"/>
        </w:rPr>
        <w:t xml:space="preserve"> of spectrum licences</w:t>
      </w:r>
      <w:bookmarkEnd w:id="33"/>
    </w:p>
    <w:p w14:paraId="54587B8B" w14:textId="5E0DE643" w:rsidR="00596A2A" w:rsidRDefault="00DD5D64" w:rsidP="00DD5D64">
      <w:pPr>
        <w:pStyle w:val="subsection"/>
      </w:pPr>
      <w:r>
        <w:tab/>
      </w:r>
      <w:r>
        <w:tab/>
      </w:r>
      <w:r w:rsidR="00596A2A">
        <w:t xml:space="preserve">The ACMA will include details of any spectrum licences issued in accordance with this instrument </w:t>
      </w:r>
      <w:r w:rsidR="005B1086">
        <w:t>i</w:t>
      </w:r>
      <w:r w:rsidR="00596A2A">
        <w:t>n the Register.</w:t>
      </w:r>
    </w:p>
    <w:p w14:paraId="55674CA1" w14:textId="2CAB22B1" w:rsidR="00D709E3" w:rsidRDefault="00ED3844" w:rsidP="00D709E3">
      <w:pPr>
        <w:pStyle w:val="ActHead5"/>
        <w:rPr>
          <w:rStyle w:val="CharSectno"/>
        </w:rPr>
      </w:pPr>
      <w:bookmarkStart w:id="34" w:name="_Toc64643915"/>
      <w:proofErr w:type="gramStart"/>
      <w:r>
        <w:rPr>
          <w:rStyle w:val="CharSectno"/>
        </w:rPr>
        <w:t>23</w:t>
      </w:r>
      <w:r w:rsidR="00D709E3">
        <w:rPr>
          <w:rStyle w:val="CharSectno"/>
        </w:rPr>
        <w:t xml:space="preserve">  Renewal</w:t>
      </w:r>
      <w:proofErr w:type="gramEnd"/>
      <w:r w:rsidR="00D709E3">
        <w:rPr>
          <w:rStyle w:val="CharSectno"/>
        </w:rPr>
        <w:t xml:space="preserve"> of spectrum licences</w:t>
      </w:r>
      <w:bookmarkEnd w:id="34"/>
    </w:p>
    <w:p w14:paraId="76F38D8F" w14:textId="41BACEFB" w:rsidR="00D709E3" w:rsidRDefault="00D709E3" w:rsidP="00D709E3">
      <w:pPr>
        <w:pStyle w:val="subsection"/>
      </w:pPr>
      <w:r>
        <w:tab/>
      </w:r>
      <w:r>
        <w:tab/>
      </w:r>
      <w:r w:rsidR="004D5CB4">
        <w:t>Item 44 of Schedule 3 to t</w:t>
      </w:r>
      <w:r>
        <w:t xml:space="preserve">he </w:t>
      </w:r>
      <w:r w:rsidR="004D5CB4">
        <w:rPr>
          <w:i/>
          <w:iCs/>
        </w:rPr>
        <w:t xml:space="preserve">Radiocommunications Legislation Amendment (Reform and Modernisation) Act 2020 </w:t>
      </w:r>
      <w:r w:rsidR="004D5CB4">
        <w:t xml:space="preserve">will insert a new Division 3A of Part 3.2 into the Act, which </w:t>
      </w:r>
      <w:r w:rsidR="002F4F1E">
        <w:t>will provide that:</w:t>
      </w:r>
    </w:p>
    <w:p w14:paraId="22D45102" w14:textId="5FE82CE4" w:rsidR="002F4F1E" w:rsidRDefault="002F4F1E" w:rsidP="002F4F1E">
      <w:pPr>
        <w:pStyle w:val="paragraph"/>
      </w:pPr>
      <w:r>
        <w:tab/>
        <w:t>(a)</w:t>
      </w:r>
      <w:r>
        <w:tab/>
        <w:t>a spectrum licensee may apply for renewal of a spectrum licence (new section 77A); and</w:t>
      </w:r>
    </w:p>
    <w:p w14:paraId="3B1A66C5" w14:textId="1957AA98" w:rsidR="002F4F1E" w:rsidRDefault="002F4F1E" w:rsidP="002F4F1E">
      <w:pPr>
        <w:pStyle w:val="paragraph"/>
      </w:pPr>
      <w:r>
        <w:tab/>
        <w:t>(b)</w:t>
      </w:r>
      <w:r>
        <w:tab/>
        <w:t>the ACMA may request further information in relation to such an application and refuse to consider the application, or take any action in relation to the application, if the information is not provided (new section 77B);</w:t>
      </w:r>
      <w:r w:rsidR="004F193C">
        <w:t xml:space="preserve"> and</w:t>
      </w:r>
    </w:p>
    <w:p w14:paraId="43302CA9" w14:textId="2C6DC41A" w:rsidR="002F4F1E" w:rsidRPr="004D5CB4" w:rsidRDefault="002F4F1E" w:rsidP="002F4F1E">
      <w:pPr>
        <w:pStyle w:val="paragraph"/>
      </w:pPr>
      <w:r>
        <w:tab/>
        <w:t>(c)</w:t>
      </w:r>
      <w:r>
        <w:tab/>
        <w:t>the ACMA may renew t</w:t>
      </w:r>
      <w:r w:rsidR="00F02F49">
        <w:t xml:space="preserve">he spectrum licence, by issuing a new </w:t>
      </w:r>
      <w:r w:rsidR="004B7CD4">
        <w:t xml:space="preserve">spectrum </w:t>
      </w:r>
      <w:r w:rsidR="00F02F49">
        <w:t xml:space="preserve">licence to the applicant or refuse to renew the </w:t>
      </w:r>
      <w:r w:rsidR="00AE0325">
        <w:t xml:space="preserve">spectrum </w:t>
      </w:r>
      <w:r w:rsidR="00F02F49">
        <w:t>licence (new section 77C).</w:t>
      </w:r>
    </w:p>
    <w:p w14:paraId="50A91E64" w14:textId="60847DC7" w:rsidR="00827131" w:rsidRDefault="00827131" w:rsidP="00827131">
      <w:pPr>
        <w:pStyle w:val="notetext"/>
      </w:pPr>
      <w:r>
        <w:t>Note:</w:t>
      </w:r>
      <w:r>
        <w:tab/>
        <w:t xml:space="preserve">Because of </w:t>
      </w:r>
      <w:r w:rsidR="004B0004">
        <w:t>new subsection 65</w:t>
      </w:r>
      <w:proofErr w:type="gramStart"/>
      <w:r w:rsidR="004B0004">
        <w:t>A(</w:t>
      </w:r>
      <w:proofErr w:type="gramEnd"/>
      <w:r w:rsidR="004B0004">
        <w:t xml:space="preserve">21) of the Act, to be inserted by item 40 of Schedule 3 to the </w:t>
      </w:r>
      <w:r w:rsidR="004B0004">
        <w:rPr>
          <w:i/>
          <w:iCs/>
        </w:rPr>
        <w:t>Radiocommunications Legislation Amendment (Reform and Modernisation) Act 2020</w:t>
      </w:r>
      <w:r w:rsidR="004B0004">
        <w:t xml:space="preserve">, </w:t>
      </w:r>
      <w:r w:rsidR="00D1681A">
        <w:t>a spectrum licence issued in accordance with this instrument will not include a renewal statement</w:t>
      </w:r>
      <w:r>
        <w:t>.</w:t>
      </w:r>
    </w:p>
    <w:p w14:paraId="665A21FB" w14:textId="4301B34E" w:rsidR="009C3DF2" w:rsidRDefault="00ED3844" w:rsidP="009C3DF2">
      <w:pPr>
        <w:pStyle w:val="ActHead5"/>
        <w:rPr>
          <w:rStyle w:val="CharSectno"/>
        </w:rPr>
      </w:pPr>
      <w:bookmarkStart w:id="35" w:name="_Toc64643916"/>
      <w:proofErr w:type="gramStart"/>
      <w:r>
        <w:rPr>
          <w:rStyle w:val="CharSectno"/>
        </w:rPr>
        <w:t>24</w:t>
      </w:r>
      <w:r w:rsidR="009C3DF2">
        <w:rPr>
          <w:rStyle w:val="CharSectno"/>
        </w:rPr>
        <w:t xml:space="preserve">  </w:t>
      </w:r>
      <w:r w:rsidR="00085BB4">
        <w:rPr>
          <w:rStyle w:val="CharSectno"/>
        </w:rPr>
        <w:t>A</w:t>
      </w:r>
      <w:r w:rsidR="009C3DF2">
        <w:rPr>
          <w:rStyle w:val="CharSectno"/>
        </w:rPr>
        <w:t>dv</w:t>
      </w:r>
      <w:r w:rsidR="00085BB4">
        <w:rPr>
          <w:rStyle w:val="CharSectno"/>
        </w:rPr>
        <w:t>isory</w:t>
      </w:r>
      <w:proofErr w:type="gramEnd"/>
      <w:r w:rsidR="00085BB4">
        <w:rPr>
          <w:rStyle w:val="CharSectno"/>
        </w:rPr>
        <w:t xml:space="preserve"> guidelines</w:t>
      </w:r>
      <w:bookmarkEnd w:id="35"/>
    </w:p>
    <w:p w14:paraId="2AD67E11" w14:textId="5674FE3A" w:rsidR="009C3DF2" w:rsidRDefault="009C3DF2" w:rsidP="009C3DF2">
      <w:pPr>
        <w:pStyle w:val="subsection"/>
      </w:pPr>
      <w:r>
        <w:tab/>
      </w:r>
      <w:r>
        <w:tab/>
      </w:r>
      <w:r w:rsidR="00085BB4">
        <w:t xml:space="preserve">Any advisory guidelines about interference with radiocommunications that relate to the spectrum licences to be issued in accordance with this instrument may be </w:t>
      </w:r>
      <w:proofErr w:type="gramStart"/>
      <w:r w:rsidR="00085BB4">
        <w:t>taken into account</w:t>
      </w:r>
      <w:proofErr w:type="gramEnd"/>
      <w:r w:rsidR="00085BB4">
        <w:t xml:space="preserve"> when the ACMA </w:t>
      </w:r>
      <w:r w:rsidR="00124E96">
        <w:t xml:space="preserve">or any other person </w:t>
      </w:r>
      <w:r w:rsidR="00085BB4">
        <w:t xml:space="preserve">exercises powers, </w:t>
      </w:r>
      <w:r w:rsidR="00124E96">
        <w:t>or</w:t>
      </w:r>
      <w:r w:rsidR="00085BB4">
        <w:t xml:space="preserve"> performs functions, under the Act</w:t>
      </w:r>
      <w:r w:rsidR="007D376A">
        <w:t xml:space="preserve"> (including in relation to the settlement of interference disputes).</w:t>
      </w:r>
    </w:p>
    <w:p w14:paraId="7B3AABBC" w14:textId="0CFCE864" w:rsidR="00932FFF" w:rsidRDefault="00932FFF" w:rsidP="00F3759E">
      <w:pPr>
        <w:pStyle w:val="paragraphsub"/>
      </w:pPr>
    </w:p>
    <w:p w14:paraId="2F5EE471" w14:textId="77777777" w:rsidR="00BA771B" w:rsidRDefault="00BA771B" w:rsidP="00F3759E">
      <w:pPr>
        <w:pStyle w:val="paragraphsub"/>
        <w:sectPr w:rsidR="00BA771B" w:rsidSect="003626D8">
          <w:headerReference w:type="even" r:id="rId25"/>
          <w:headerReference w:type="default" r:id="rId26"/>
          <w:footerReference w:type="default" r:id="rId27"/>
          <w:headerReference w:type="first" r:id="rId28"/>
          <w:pgSz w:w="11906" w:h="16838"/>
          <w:pgMar w:top="1440" w:right="1440" w:bottom="1440" w:left="1440" w:header="708" w:footer="708" w:gutter="0"/>
          <w:pgNumType w:start="1"/>
          <w:cols w:space="720"/>
        </w:sectPr>
      </w:pPr>
    </w:p>
    <w:p w14:paraId="2ABCF540" w14:textId="42A7AA7E" w:rsidR="00BA771B" w:rsidRPr="00016407" w:rsidRDefault="00BA771B" w:rsidP="00016407">
      <w:pPr>
        <w:pStyle w:val="Heading1"/>
        <w:rPr>
          <w:rStyle w:val="CharPartText"/>
          <w:rFonts w:ascii="Times New Roman" w:hAnsi="Times New Roman" w:cs="Times New Roman"/>
          <w:b/>
          <w:bCs/>
          <w:color w:val="auto"/>
        </w:rPr>
      </w:pPr>
      <w:bookmarkStart w:id="36" w:name="_Toc64643917"/>
      <w:r w:rsidRPr="00016407">
        <w:rPr>
          <w:rStyle w:val="CharPartText"/>
          <w:rFonts w:ascii="Times New Roman" w:hAnsi="Times New Roman" w:cs="Times New Roman"/>
          <w:b/>
          <w:bCs/>
          <w:color w:val="auto"/>
        </w:rPr>
        <w:lastRenderedPageBreak/>
        <w:t>Schedule 1—Acceptance form</w:t>
      </w:r>
      <w:bookmarkEnd w:id="36"/>
    </w:p>
    <w:p w14:paraId="2E197337" w14:textId="124150E2" w:rsidR="00BA771B" w:rsidRPr="00762CB1" w:rsidRDefault="00BA771B" w:rsidP="00BA771B">
      <w:pPr>
        <w:ind w:firstLine="1276"/>
        <w:rPr>
          <w:rFonts w:ascii="Times New Roman" w:hAnsi="Times New Roman" w:cs="Times New Roman"/>
          <w:sz w:val="20"/>
          <w:szCs w:val="20"/>
          <w:lang w:eastAsia="en-AU"/>
        </w:rPr>
      </w:pPr>
      <w:r w:rsidRPr="00762CB1">
        <w:rPr>
          <w:rFonts w:ascii="Times New Roman" w:hAnsi="Times New Roman" w:cs="Times New Roman"/>
          <w:sz w:val="20"/>
          <w:szCs w:val="20"/>
          <w:lang w:eastAsia="en-AU"/>
        </w:rPr>
        <w:t>(s</w:t>
      </w:r>
      <w:r w:rsidR="00D0264F">
        <w:rPr>
          <w:rFonts w:ascii="Times New Roman" w:hAnsi="Times New Roman" w:cs="Times New Roman"/>
          <w:sz w:val="20"/>
          <w:szCs w:val="20"/>
          <w:lang w:eastAsia="en-AU"/>
        </w:rPr>
        <w:t>ubs</w:t>
      </w:r>
      <w:r w:rsidRPr="00762CB1">
        <w:rPr>
          <w:rFonts w:ascii="Times New Roman" w:hAnsi="Times New Roman" w:cs="Times New Roman"/>
          <w:sz w:val="20"/>
          <w:szCs w:val="20"/>
          <w:lang w:eastAsia="en-AU"/>
        </w:rPr>
        <w:t>ection 1</w:t>
      </w:r>
      <w:r>
        <w:rPr>
          <w:rFonts w:ascii="Times New Roman" w:hAnsi="Times New Roman" w:cs="Times New Roman"/>
          <w:sz w:val="20"/>
          <w:szCs w:val="20"/>
          <w:lang w:eastAsia="en-AU"/>
        </w:rPr>
        <w:t>1</w:t>
      </w:r>
      <w:r w:rsidR="00D0264F">
        <w:rPr>
          <w:rFonts w:ascii="Times New Roman" w:hAnsi="Times New Roman" w:cs="Times New Roman"/>
          <w:sz w:val="20"/>
          <w:szCs w:val="20"/>
          <w:lang w:eastAsia="en-AU"/>
        </w:rPr>
        <w:t>(1)</w:t>
      </w:r>
      <w:r w:rsidRPr="00762CB1">
        <w:rPr>
          <w:rFonts w:ascii="Times New Roman" w:hAnsi="Times New Roman" w:cs="Times New Roman"/>
          <w:sz w:val="20"/>
          <w:szCs w:val="20"/>
          <w:lang w:eastAsia="en-AU"/>
        </w:rPr>
        <w:t>)</w:t>
      </w:r>
    </w:p>
    <w:p w14:paraId="3456604A" w14:textId="77777777" w:rsidR="00793B76" w:rsidRDefault="00793B76" w:rsidP="00793B76">
      <w:pPr>
        <w:pStyle w:val="Title"/>
        <w:shd w:val="clear" w:color="auto" w:fill="404040" w:themeFill="text1" w:themeFillTint="BF"/>
        <w:rPr>
          <w:rFonts w:ascii="Arial" w:hAnsi="Arial" w:cs="Arial"/>
          <w:b/>
          <w:bCs/>
          <w:color w:val="FFFFFF" w:themeColor="background1"/>
          <w:sz w:val="44"/>
          <w:szCs w:val="44"/>
        </w:rPr>
      </w:pPr>
      <w:r>
        <w:rPr>
          <w:rFonts w:ascii="Arial" w:hAnsi="Arial" w:cs="Arial"/>
          <w:b/>
          <w:bCs/>
          <w:color w:val="FFFFFF" w:themeColor="background1"/>
          <w:sz w:val="44"/>
          <w:szCs w:val="44"/>
        </w:rPr>
        <w:t>Acceptance Form</w:t>
      </w:r>
    </w:p>
    <w:p w14:paraId="70B8B7FE" w14:textId="3AF817E0" w:rsidR="00793B76" w:rsidRDefault="00793B76" w:rsidP="00793B76">
      <w:pPr>
        <w:rPr>
          <w:rStyle w:val="Strong"/>
          <w:sz w:val="28"/>
          <w:szCs w:val="28"/>
        </w:rPr>
      </w:pPr>
      <w:r>
        <w:rPr>
          <w:rStyle w:val="Strong"/>
          <w:rFonts w:ascii="Arial" w:hAnsi="Arial" w:cs="Arial"/>
          <w:sz w:val="28"/>
          <w:szCs w:val="28"/>
        </w:rPr>
        <w:t>For acceptance of an offer to issue a spectrum licence in the 3.4</w:t>
      </w:r>
      <w:r w:rsidR="00CB60B6">
        <w:rPr>
          <w:rStyle w:val="Strong"/>
          <w:rFonts w:ascii="Arial" w:hAnsi="Arial" w:cs="Arial"/>
          <w:sz w:val="28"/>
          <w:szCs w:val="28"/>
        </w:rPr>
        <w:t> </w:t>
      </w:r>
      <w:r>
        <w:rPr>
          <w:rStyle w:val="Strong"/>
          <w:rFonts w:ascii="Arial" w:hAnsi="Arial" w:cs="Arial"/>
          <w:sz w:val="28"/>
          <w:szCs w:val="28"/>
        </w:rPr>
        <w:t>GHz band</w:t>
      </w:r>
    </w:p>
    <w:p w14:paraId="7977858E" w14:textId="77777777" w:rsidR="00793B76" w:rsidRDefault="00793B76" w:rsidP="00793B76">
      <w:pPr>
        <w:rPr>
          <w:rStyle w:val="Strong"/>
          <w:rFonts w:ascii="Arial" w:hAnsi="Arial" w:cs="Arial"/>
        </w:rPr>
      </w:pPr>
      <w:r>
        <w:rPr>
          <w:rStyle w:val="Strong"/>
          <w:rFonts w:ascii="Arial" w:hAnsi="Arial" w:cs="Arial"/>
        </w:rPr>
        <w:t xml:space="preserve">Subsection 57(1) of the </w:t>
      </w:r>
      <w:r w:rsidRPr="00793B76">
        <w:rPr>
          <w:rStyle w:val="Strong"/>
          <w:rFonts w:ascii="Arial" w:hAnsi="Arial" w:cs="Arial"/>
          <w:i/>
          <w:iCs/>
        </w:rPr>
        <w:t>Radiocommunications Act 1992</w:t>
      </w:r>
    </w:p>
    <w:p w14:paraId="77ED006B" w14:textId="77777777" w:rsidR="00813F27" w:rsidRDefault="00793B76" w:rsidP="00813F27">
      <w:pPr>
        <w:rPr>
          <w:rStyle w:val="Strong"/>
          <w:rFonts w:ascii="Arial" w:hAnsi="Arial" w:cs="Arial"/>
          <w:i/>
          <w:iCs/>
        </w:rPr>
      </w:pPr>
      <w:r w:rsidRPr="00793B76">
        <w:rPr>
          <w:rStyle w:val="Strong"/>
          <w:rFonts w:ascii="Arial" w:hAnsi="Arial" w:cs="Arial"/>
        </w:rPr>
        <w:t xml:space="preserve">Section </w:t>
      </w:r>
      <w:r>
        <w:rPr>
          <w:rStyle w:val="Strong"/>
          <w:rFonts w:ascii="Arial" w:hAnsi="Arial" w:cs="Arial"/>
        </w:rPr>
        <w:t>10</w:t>
      </w:r>
      <w:r w:rsidRPr="00793B76">
        <w:rPr>
          <w:rStyle w:val="Strong"/>
          <w:rFonts w:ascii="Arial" w:hAnsi="Arial" w:cs="Arial"/>
        </w:rPr>
        <w:t xml:space="preserve"> of the </w:t>
      </w:r>
      <w:r w:rsidRPr="00793B76">
        <w:rPr>
          <w:rStyle w:val="Strong"/>
          <w:rFonts w:ascii="Arial" w:hAnsi="Arial" w:cs="Arial"/>
          <w:i/>
          <w:iCs/>
        </w:rPr>
        <w:t>Radiocommunications (3.4 GHz Band) Spectrum Conversion Plan</w:t>
      </w:r>
      <w:r>
        <w:rPr>
          <w:rStyle w:val="Strong"/>
          <w:rFonts w:ascii="Arial" w:hAnsi="Arial" w:cs="Arial"/>
          <w:i/>
          <w:iCs/>
        </w:rPr>
        <w:t> </w:t>
      </w:r>
      <w:r w:rsidRPr="00793B76">
        <w:rPr>
          <w:rStyle w:val="Strong"/>
          <w:rFonts w:ascii="Arial" w:hAnsi="Arial" w:cs="Arial"/>
          <w:i/>
          <w:iCs/>
        </w:rPr>
        <w:t>2021</w:t>
      </w:r>
    </w:p>
    <w:p w14:paraId="794B8335" w14:textId="4CCB2E4F" w:rsidR="00793B76" w:rsidRDefault="00813F27" w:rsidP="00813F27">
      <w:pPr>
        <w:rPr>
          <w:rStyle w:val="Strong"/>
          <w:rFonts w:ascii="Arial" w:hAnsi="Arial" w:cs="Arial"/>
        </w:rPr>
      </w:pPr>
      <w:r>
        <w:rPr>
          <w:rStyle w:val="Strong"/>
          <w:rFonts w:ascii="Arial" w:hAnsi="Arial" w:cs="Arial"/>
        </w:rPr>
        <w:t xml:space="preserve">Section 9 of the </w:t>
      </w:r>
      <w:r>
        <w:rPr>
          <w:rStyle w:val="Strong"/>
          <w:rFonts w:ascii="Arial" w:hAnsi="Arial" w:cs="Arial"/>
          <w:i/>
          <w:iCs/>
        </w:rPr>
        <w:t>Radiocommunications (Spectrum Access Charge</w:t>
      </w:r>
      <w:r w:rsidR="006848CB">
        <w:rPr>
          <w:rStyle w:val="Strong"/>
          <w:rFonts w:ascii="Arial" w:hAnsi="Arial" w:cs="Arial"/>
          <w:i/>
          <w:iCs/>
        </w:rPr>
        <w:t>s</w:t>
      </w:r>
      <w:r>
        <w:rPr>
          <w:rStyle w:val="Strong"/>
          <w:rFonts w:ascii="Arial" w:hAnsi="Arial" w:cs="Arial"/>
          <w:i/>
          <w:iCs/>
        </w:rPr>
        <w:t xml:space="preserve"> – 3.4 GHz Band) Determination 2021</w:t>
      </w:r>
    </w:p>
    <w:p w14:paraId="62F216E9" w14:textId="77777777" w:rsidR="00793B76" w:rsidRDefault="00793B76" w:rsidP="00793B76">
      <w:pPr>
        <w:spacing w:before="360" w:line="257" w:lineRule="auto"/>
        <w:rPr>
          <w:rStyle w:val="Strong"/>
          <w:rFonts w:ascii="Arial" w:hAnsi="Arial" w:cs="Arial"/>
          <w:sz w:val="28"/>
          <w:szCs w:val="28"/>
        </w:rPr>
      </w:pPr>
      <w:r>
        <w:rPr>
          <w:rStyle w:val="Strong"/>
          <w:rFonts w:ascii="Arial" w:hAnsi="Arial" w:cs="Arial"/>
          <w:sz w:val="28"/>
          <w:szCs w:val="28"/>
        </w:rPr>
        <w:t>Instructions for completion</w:t>
      </w:r>
    </w:p>
    <w:p w14:paraId="7C65C16E" w14:textId="6E08E6CF" w:rsidR="00793B76" w:rsidRDefault="00793B76" w:rsidP="00793B76">
      <w:pPr>
        <w:rPr>
          <w:rStyle w:val="Strong"/>
          <w:rFonts w:ascii="Arial" w:hAnsi="Arial" w:cs="Arial"/>
          <w:b w:val="0"/>
          <w:bCs w:val="0"/>
        </w:rPr>
      </w:pPr>
      <w:r>
        <w:rPr>
          <w:rStyle w:val="Strong"/>
          <w:rFonts w:ascii="Arial" w:hAnsi="Arial" w:cs="Arial"/>
        </w:rPr>
        <w:t xml:space="preserve">Parts 1, 2 and 3 of this </w:t>
      </w:r>
      <w:r w:rsidR="00F3141C">
        <w:rPr>
          <w:rStyle w:val="Strong"/>
          <w:rFonts w:ascii="Arial" w:hAnsi="Arial" w:cs="Arial"/>
        </w:rPr>
        <w:t xml:space="preserve">Acceptance </w:t>
      </w:r>
      <w:r>
        <w:rPr>
          <w:rStyle w:val="Strong"/>
          <w:rFonts w:ascii="Arial" w:hAnsi="Arial" w:cs="Arial"/>
        </w:rPr>
        <w:t xml:space="preserve">Form must be completed by an authorised representative of the </w:t>
      </w:r>
      <w:r w:rsidR="007B3545">
        <w:rPr>
          <w:rStyle w:val="Strong"/>
          <w:rFonts w:ascii="Arial" w:hAnsi="Arial" w:cs="Arial"/>
        </w:rPr>
        <w:t>person to whom an offer to issue a spectrum licence was made (</w:t>
      </w:r>
      <w:r w:rsidR="00D0264F">
        <w:rPr>
          <w:rStyle w:val="Strong"/>
          <w:rFonts w:ascii="Arial" w:hAnsi="Arial" w:cs="Arial"/>
        </w:rPr>
        <w:t>L</w:t>
      </w:r>
      <w:r>
        <w:rPr>
          <w:rStyle w:val="Strong"/>
          <w:rFonts w:ascii="Arial" w:hAnsi="Arial" w:cs="Arial"/>
        </w:rPr>
        <w:t>icensee</w:t>
      </w:r>
      <w:r w:rsidR="007B3545">
        <w:rPr>
          <w:rStyle w:val="Strong"/>
          <w:rFonts w:ascii="Arial" w:hAnsi="Arial" w:cs="Arial"/>
        </w:rPr>
        <w:t>)</w:t>
      </w:r>
      <w:r>
        <w:rPr>
          <w:rStyle w:val="Strong"/>
          <w:rFonts w:ascii="Arial" w:hAnsi="Arial" w:cs="Arial"/>
        </w:rPr>
        <w:t>.</w:t>
      </w:r>
    </w:p>
    <w:p w14:paraId="66BAA287" w14:textId="72030C1F" w:rsidR="00793B76" w:rsidRDefault="00793B76" w:rsidP="00793B76">
      <w:pPr>
        <w:rPr>
          <w:rStyle w:val="Strong"/>
          <w:rFonts w:ascii="Arial" w:hAnsi="Arial" w:cs="Arial"/>
          <w:b w:val="0"/>
          <w:bCs w:val="0"/>
        </w:rPr>
      </w:pPr>
      <w:r>
        <w:rPr>
          <w:rStyle w:val="Strong"/>
          <w:rFonts w:ascii="Arial" w:hAnsi="Arial" w:cs="Arial"/>
        </w:rPr>
        <w:t xml:space="preserve">A signed </w:t>
      </w:r>
      <w:r w:rsidR="00F3141C">
        <w:rPr>
          <w:rStyle w:val="Strong"/>
          <w:rFonts w:ascii="Arial" w:hAnsi="Arial" w:cs="Arial"/>
        </w:rPr>
        <w:t xml:space="preserve">Acceptance </w:t>
      </w:r>
      <w:r>
        <w:rPr>
          <w:rStyle w:val="Strong"/>
          <w:rFonts w:ascii="Arial" w:hAnsi="Arial" w:cs="Arial"/>
        </w:rPr>
        <w:t xml:space="preserve">Form must be returned to the ACMA on or before </w:t>
      </w:r>
      <w:r w:rsidR="003377E8">
        <w:rPr>
          <w:rStyle w:val="Strong"/>
          <w:rFonts w:ascii="Arial" w:hAnsi="Arial" w:cs="Arial"/>
        </w:rPr>
        <w:t>the date specified in the offer,</w:t>
      </w:r>
      <w:r>
        <w:rPr>
          <w:rStyle w:val="Strong"/>
          <w:rFonts w:ascii="Arial" w:hAnsi="Arial" w:cs="Arial"/>
        </w:rPr>
        <w:t xml:space="preserve"> by email to </w:t>
      </w:r>
      <w:hyperlink r:id="rId29" w:history="1">
        <w:r>
          <w:rPr>
            <w:rStyle w:val="Hyperlink"/>
            <w:rFonts w:ascii="Arial" w:hAnsi="Arial" w:cs="Arial"/>
            <w:b/>
            <w:bCs/>
          </w:rPr>
          <w:t>spectrumallocations@acma.gov.au</w:t>
        </w:r>
      </w:hyperlink>
      <w:r>
        <w:rPr>
          <w:rStyle w:val="Strong"/>
          <w:rFonts w:ascii="Arial" w:hAnsi="Arial" w:cs="Arial"/>
        </w:rPr>
        <w:t>.</w:t>
      </w:r>
    </w:p>
    <w:p w14:paraId="20FA01C4" w14:textId="77777777" w:rsidR="00793B76" w:rsidRDefault="00793B76" w:rsidP="00793B76">
      <w:pPr>
        <w:shd w:val="clear" w:color="auto" w:fill="404040" w:themeFill="text1" w:themeFillTint="BF"/>
        <w:rPr>
          <w:rStyle w:val="Strong"/>
          <w:rFonts w:ascii="Arial" w:hAnsi="Arial" w:cs="Arial"/>
          <w:color w:val="FFFFFF" w:themeColor="background1"/>
          <w:sz w:val="28"/>
          <w:szCs w:val="28"/>
        </w:rPr>
      </w:pPr>
      <w:r>
        <w:rPr>
          <w:rStyle w:val="Strong"/>
          <w:rFonts w:ascii="Arial" w:hAnsi="Arial" w:cs="Arial"/>
          <w:color w:val="FFFFFF" w:themeColor="background1"/>
          <w:sz w:val="28"/>
          <w:szCs w:val="28"/>
        </w:rPr>
        <w:t>PART 1 – Licensee contact details</w:t>
      </w:r>
    </w:p>
    <w:p w14:paraId="3222852F" w14:textId="77777777" w:rsidR="00793B76" w:rsidRDefault="00793B76" w:rsidP="00793B76">
      <w:pPr>
        <w:rPr>
          <w:rStyle w:val="Strong"/>
          <w:rFonts w:ascii="Arial" w:hAnsi="Arial" w:cs="Arial"/>
          <w:b w:val="0"/>
          <w:bCs w:val="0"/>
        </w:rPr>
      </w:pPr>
      <w:r>
        <w:rPr>
          <w:rStyle w:val="Strong"/>
          <w:rFonts w:ascii="Arial" w:hAnsi="Arial" w:cs="Arial"/>
        </w:rPr>
        <w:t xml:space="preserve">Name of Licensee  </w:t>
      </w:r>
    </w:p>
    <w:p w14:paraId="715C32C3" w14:textId="77777777" w:rsidR="00793B76" w:rsidRDefault="00793B76" w:rsidP="00793B76">
      <w:pPr>
        <w:pBdr>
          <w:top w:val="single" w:sz="4" w:space="1" w:color="auto"/>
          <w:left w:val="single" w:sz="4" w:space="4" w:color="auto"/>
          <w:bottom w:val="single" w:sz="4" w:space="1" w:color="auto"/>
          <w:right w:val="single" w:sz="4" w:space="4" w:color="auto"/>
        </w:pBdr>
        <w:spacing w:before="120" w:after="120"/>
        <w:rPr>
          <w:rStyle w:val="Strong"/>
          <w:rFonts w:ascii="Arial" w:hAnsi="Arial" w:cs="Arial"/>
          <w:b w:val="0"/>
          <w:bCs w:val="0"/>
        </w:rPr>
      </w:pPr>
    </w:p>
    <w:p w14:paraId="7914691C" w14:textId="7A728304" w:rsidR="00793B76" w:rsidRDefault="00793B76" w:rsidP="00712DC1">
      <w:pPr>
        <w:tabs>
          <w:tab w:val="center" w:pos="4513"/>
        </w:tabs>
        <w:rPr>
          <w:rStyle w:val="Strong"/>
          <w:rFonts w:ascii="Arial" w:hAnsi="Arial" w:cs="Arial"/>
          <w:b w:val="0"/>
          <w:bCs w:val="0"/>
        </w:rPr>
      </w:pPr>
      <w:r>
        <w:rPr>
          <w:rStyle w:val="Strong"/>
          <w:rFonts w:ascii="Arial" w:hAnsi="Arial" w:cs="Arial"/>
        </w:rPr>
        <w:t>ABN/ARBN/ACN</w:t>
      </w:r>
    </w:p>
    <w:p w14:paraId="1F114432" w14:textId="77777777" w:rsidR="00793B76" w:rsidRDefault="00793B76" w:rsidP="00793B76">
      <w:pPr>
        <w:pBdr>
          <w:top w:val="single" w:sz="4" w:space="1" w:color="auto"/>
          <w:left w:val="single" w:sz="4" w:space="4" w:color="auto"/>
          <w:bottom w:val="single" w:sz="4" w:space="1" w:color="auto"/>
          <w:right w:val="single" w:sz="4" w:space="4" w:color="auto"/>
        </w:pBdr>
        <w:rPr>
          <w:rStyle w:val="Strong"/>
          <w:rFonts w:ascii="Arial" w:hAnsi="Arial" w:cs="Arial"/>
          <w:b w:val="0"/>
          <w:bCs w:val="0"/>
        </w:rPr>
      </w:pPr>
    </w:p>
    <w:p w14:paraId="7471F0BA" w14:textId="77777777" w:rsidR="00793B76" w:rsidRDefault="00793B76" w:rsidP="00793B76">
      <w:pPr>
        <w:rPr>
          <w:rStyle w:val="Strong"/>
          <w:rFonts w:ascii="Arial" w:hAnsi="Arial" w:cs="Arial"/>
          <w:b w:val="0"/>
          <w:bCs w:val="0"/>
        </w:rPr>
      </w:pPr>
      <w:r>
        <w:rPr>
          <w:rStyle w:val="Strong"/>
          <w:rFonts w:ascii="Arial" w:hAnsi="Arial" w:cs="Arial"/>
        </w:rPr>
        <w:t>Trading name</w:t>
      </w:r>
    </w:p>
    <w:p w14:paraId="522D031C" w14:textId="77777777" w:rsidR="00793B76" w:rsidRDefault="00793B76" w:rsidP="00793B76">
      <w:pPr>
        <w:pBdr>
          <w:top w:val="single" w:sz="4" w:space="1" w:color="auto"/>
          <w:left w:val="single" w:sz="4" w:space="4" w:color="auto"/>
          <w:bottom w:val="single" w:sz="4" w:space="1" w:color="auto"/>
          <w:right w:val="single" w:sz="4" w:space="4" w:color="auto"/>
        </w:pBdr>
        <w:rPr>
          <w:rStyle w:val="Strong"/>
          <w:rFonts w:ascii="Arial" w:hAnsi="Arial" w:cs="Arial"/>
          <w:b w:val="0"/>
          <w:bCs w:val="0"/>
        </w:rPr>
      </w:pPr>
    </w:p>
    <w:p w14:paraId="23DD269C" w14:textId="77777777" w:rsidR="00793B76" w:rsidRDefault="00793B76" w:rsidP="00793B76">
      <w:pPr>
        <w:rPr>
          <w:rStyle w:val="Strong"/>
          <w:rFonts w:ascii="Arial" w:hAnsi="Arial" w:cs="Arial"/>
          <w:b w:val="0"/>
          <w:bCs w:val="0"/>
        </w:rPr>
      </w:pPr>
      <w:r>
        <w:rPr>
          <w:rStyle w:val="Strong"/>
          <w:rFonts w:ascii="Arial" w:hAnsi="Arial" w:cs="Arial"/>
        </w:rPr>
        <w:t>ACMA client number</w:t>
      </w:r>
    </w:p>
    <w:p w14:paraId="761EF58D" w14:textId="77777777" w:rsidR="00793B76" w:rsidRDefault="00793B76" w:rsidP="00793B76">
      <w:pPr>
        <w:pBdr>
          <w:top w:val="single" w:sz="4" w:space="1" w:color="auto"/>
          <w:left w:val="single" w:sz="4" w:space="4" w:color="auto"/>
          <w:bottom w:val="single" w:sz="4" w:space="1" w:color="auto"/>
          <w:right w:val="single" w:sz="4" w:space="4" w:color="auto"/>
        </w:pBdr>
        <w:rPr>
          <w:rStyle w:val="Strong"/>
          <w:rFonts w:ascii="Arial" w:hAnsi="Arial" w:cs="Arial"/>
          <w:b w:val="0"/>
          <w:bCs w:val="0"/>
        </w:rPr>
      </w:pPr>
    </w:p>
    <w:p w14:paraId="1CBF1BFC" w14:textId="77777777" w:rsidR="00793B76" w:rsidRDefault="00793B76" w:rsidP="00793B76">
      <w:pPr>
        <w:rPr>
          <w:rStyle w:val="Strong"/>
          <w:rFonts w:ascii="Arial" w:hAnsi="Arial" w:cs="Arial"/>
          <w:b w:val="0"/>
          <w:bCs w:val="0"/>
        </w:rPr>
      </w:pPr>
      <w:r>
        <w:rPr>
          <w:rStyle w:val="Strong"/>
          <w:rFonts w:ascii="Arial" w:hAnsi="Arial" w:cs="Arial"/>
        </w:rPr>
        <w:t>Registered office address</w:t>
      </w:r>
    </w:p>
    <w:p w14:paraId="6AA14C77" w14:textId="77777777" w:rsidR="00793B76" w:rsidRDefault="00793B76" w:rsidP="00793B76">
      <w:pPr>
        <w:pBdr>
          <w:top w:val="single" w:sz="4" w:space="1" w:color="auto"/>
          <w:left w:val="single" w:sz="4" w:space="4" w:color="auto"/>
          <w:bottom w:val="single" w:sz="4" w:space="1" w:color="auto"/>
          <w:right w:val="single" w:sz="4" w:space="4" w:color="auto"/>
        </w:pBdr>
        <w:rPr>
          <w:rStyle w:val="Strong"/>
          <w:rFonts w:ascii="Arial" w:hAnsi="Arial" w:cs="Arial"/>
          <w:b w:val="0"/>
          <w:bCs w:val="0"/>
        </w:rPr>
      </w:pPr>
    </w:p>
    <w:p w14:paraId="48FF5ABB" w14:textId="77777777" w:rsidR="00793B76" w:rsidRDefault="00793B76" w:rsidP="00793B76">
      <w:pPr>
        <w:shd w:val="clear" w:color="auto" w:fill="404040" w:themeFill="text1" w:themeFillTint="BF"/>
        <w:rPr>
          <w:rStyle w:val="Strong"/>
          <w:rFonts w:ascii="Arial" w:hAnsi="Arial" w:cs="Arial"/>
          <w:color w:val="FFFFFF" w:themeColor="background1"/>
          <w:sz w:val="28"/>
          <w:szCs w:val="28"/>
        </w:rPr>
      </w:pPr>
      <w:r>
        <w:rPr>
          <w:rStyle w:val="Strong"/>
          <w:rFonts w:ascii="Arial" w:hAnsi="Arial" w:cs="Arial"/>
          <w:color w:val="FFFFFF" w:themeColor="background1"/>
          <w:sz w:val="28"/>
          <w:szCs w:val="28"/>
        </w:rPr>
        <w:t>PART 2 – Details of authorised representative</w:t>
      </w:r>
    </w:p>
    <w:p w14:paraId="07488830" w14:textId="77777777" w:rsidR="00793B76" w:rsidRDefault="00793B76" w:rsidP="00793B76">
      <w:pPr>
        <w:rPr>
          <w:rStyle w:val="Strong"/>
          <w:rFonts w:ascii="Arial" w:hAnsi="Arial" w:cs="Arial"/>
          <w:b w:val="0"/>
          <w:bCs w:val="0"/>
        </w:rPr>
      </w:pPr>
      <w:r>
        <w:rPr>
          <w:rStyle w:val="Strong"/>
          <w:rFonts w:ascii="Arial" w:hAnsi="Arial" w:cs="Arial"/>
        </w:rPr>
        <w:t>Full name of authorised representative of Licensee</w:t>
      </w:r>
    </w:p>
    <w:p w14:paraId="049D3B29" w14:textId="77777777" w:rsidR="00793B76" w:rsidRDefault="00793B76" w:rsidP="00793B76">
      <w:pPr>
        <w:pBdr>
          <w:top w:val="single" w:sz="4" w:space="1" w:color="auto"/>
          <w:left w:val="single" w:sz="4" w:space="4" w:color="auto"/>
          <w:bottom w:val="single" w:sz="4" w:space="1" w:color="auto"/>
          <w:right w:val="single" w:sz="4" w:space="4" w:color="auto"/>
        </w:pBdr>
        <w:rPr>
          <w:rStyle w:val="Strong"/>
          <w:rFonts w:ascii="Arial" w:hAnsi="Arial" w:cs="Arial"/>
          <w:b w:val="0"/>
          <w:bCs w:val="0"/>
        </w:rPr>
      </w:pPr>
    </w:p>
    <w:p w14:paraId="1EF33D55" w14:textId="77777777" w:rsidR="00793B76" w:rsidRDefault="00793B76" w:rsidP="00793B76">
      <w:pPr>
        <w:rPr>
          <w:rStyle w:val="Strong"/>
          <w:rFonts w:ascii="Arial" w:hAnsi="Arial" w:cs="Arial"/>
          <w:b w:val="0"/>
          <w:bCs w:val="0"/>
        </w:rPr>
      </w:pPr>
      <w:r>
        <w:rPr>
          <w:rStyle w:val="Strong"/>
          <w:rFonts w:ascii="Arial" w:hAnsi="Arial" w:cs="Arial"/>
        </w:rPr>
        <w:t>Position in organisation</w:t>
      </w:r>
    </w:p>
    <w:p w14:paraId="7484AA83" w14:textId="77777777" w:rsidR="00793B76" w:rsidRDefault="00793B76" w:rsidP="00793B76">
      <w:pPr>
        <w:pBdr>
          <w:top w:val="single" w:sz="4" w:space="1" w:color="auto"/>
          <w:left w:val="single" w:sz="4" w:space="4" w:color="auto"/>
          <w:bottom w:val="single" w:sz="4" w:space="1" w:color="auto"/>
          <w:right w:val="single" w:sz="4" w:space="4" w:color="auto"/>
        </w:pBdr>
        <w:rPr>
          <w:rStyle w:val="Strong"/>
          <w:rFonts w:ascii="Arial" w:hAnsi="Arial" w:cs="Arial"/>
          <w:b w:val="0"/>
          <w:bCs w:val="0"/>
        </w:rPr>
      </w:pPr>
    </w:p>
    <w:p w14:paraId="208E4C1E" w14:textId="77777777" w:rsidR="00793B76" w:rsidRDefault="00793B76" w:rsidP="003377E8">
      <w:pPr>
        <w:keepNext/>
        <w:keepLines/>
        <w:spacing w:line="257" w:lineRule="auto"/>
        <w:rPr>
          <w:rStyle w:val="Strong"/>
          <w:rFonts w:ascii="Arial" w:hAnsi="Arial" w:cs="Arial"/>
          <w:b w:val="0"/>
          <w:bCs w:val="0"/>
        </w:rPr>
      </w:pPr>
      <w:r>
        <w:rPr>
          <w:rStyle w:val="Strong"/>
          <w:rFonts w:ascii="Arial" w:hAnsi="Arial" w:cs="Arial"/>
        </w:rPr>
        <w:lastRenderedPageBreak/>
        <w:t xml:space="preserve">Contact details of authorised </w:t>
      </w:r>
      <w:proofErr w:type="gramStart"/>
      <w:r>
        <w:rPr>
          <w:rStyle w:val="Strong"/>
          <w:rFonts w:ascii="Arial" w:hAnsi="Arial" w:cs="Arial"/>
        </w:rPr>
        <w:t>representative</w:t>
      </w:r>
      <w:proofErr w:type="gramEnd"/>
    </w:p>
    <w:p w14:paraId="0E0ADD5D" w14:textId="77777777" w:rsidR="00793B76" w:rsidRDefault="00793B76" w:rsidP="00C8253E">
      <w:pPr>
        <w:keepNext/>
        <w:keepLines/>
        <w:pBdr>
          <w:top w:val="single" w:sz="4" w:space="1" w:color="auto"/>
          <w:left w:val="single" w:sz="4" w:space="4" w:color="auto"/>
          <w:bottom w:val="single" w:sz="4" w:space="16" w:color="auto"/>
          <w:right w:val="single" w:sz="4" w:space="4" w:color="auto"/>
        </w:pBdr>
        <w:spacing w:line="257" w:lineRule="auto"/>
        <w:rPr>
          <w:rStyle w:val="Strong"/>
          <w:rFonts w:ascii="Arial" w:hAnsi="Arial" w:cs="Arial"/>
          <w:b w:val="0"/>
          <w:bCs w:val="0"/>
        </w:rPr>
      </w:pPr>
      <w:r>
        <w:rPr>
          <w:rStyle w:val="Strong"/>
          <w:rFonts w:ascii="Arial" w:hAnsi="Arial" w:cs="Arial"/>
        </w:rPr>
        <w:t>Work phone:</w:t>
      </w:r>
    </w:p>
    <w:p w14:paraId="51DAF0AE" w14:textId="77777777" w:rsidR="00793B76" w:rsidRDefault="00793B76" w:rsidP="00C8253E">
      <w:pPr>
        <w:keepNext/>
        <w:keepLines/>
        <w:pBdr>
          <w:top w:val="single" w:sz="4" w:space="1" w:color="auto"/>
          <w:left w:val="single" w:sz="4" w:space="4" w:color="auto"/>
          <w:bottom w:val="single" w:sz="4" w:space="16" w:color="auto"/>
          <w:right w:val="single" w:sz="4" w:space="4" w:color="auto"/>
        </w:pBdr>
        <w:spacing w:line="257" w:lineRule="auto"/>
        <w:rPr>
          <w:rStyle w:val="Strong"/>
          <w:rFonts w:ascii="Arial" w:hAnsi="Arial" w:cs="Arial"/>
          <w:b w:val="0"/>
          <w:bCs w:val="0"/>
        </w:rPr>
      </w:pPr>
      <w:r>
        <w:rPr>
          <w:rStyle w:val="Strong"/>
          <w:rFonts w:ascii="Arial" w:hAnsi="Arial" w:cs="Arial"/>
        </w:rPr>
        <w:t>Email:</w:t>
      </w:r>
    </w:p>
    <w:p w14:paraId="3A5CEC07" w14:textId="6EDDF0E7" w:rsidR="00793B76" w:rsidRDefault="00793B76" w:rsidP="00793B76">
      <w:pPr>
        <w:shd w:val="clear" w:color="auto" w:fill="404040" w:themeFill="text1" w:themeFillTint="BF"/>
        <w:rPr>
          <w:rStyle w:val="Strong"/>
          <w:rFonts w:ascii="Arial" w:hAnsi="Arial" w:cs="Arial"/>
          <w:color w:val="FFFFFF" w:themeColor="background1"/>
          <w:sz w:val="28"/>
          <w:szCs w:val="28"/>
        </w:rPr>
      </w:pPr>
      <w:r>
        <w:rPr>
          <w:rStyle w:val="Strong"/>
          <w:rFonts w:ascii="Arial" w:hAnsi="Arial" w:cs="Arial"/>
          <w:color w:val="FFFFFF" w:themeColor="background1"/>
          <w:sz w:val="28"/>
          <w:szCs w:val="28"/>
        </w:rPr>
        <w:t xml:space="preserve">PART 3 – Acceptance of </w:t>
      </w:r>
      <w:r w:rsidR="007B3545">
        <w:rPr>
          <w:rStyle w:val="Strong"/>
          <w:rFonts w:ascii="Arial" w:hAnsi="Arial" w:cs="Arial"/>
          <w:color w:val="FFFFFF" w:themeColor="background1"/>
          <w:sz w:val="28"/>
          <w:szCs w:val="28"/>
        </w:rPr>
        <w:t>o</w:t>
      </w:r>
      <w:r>
        <w:rPr>
          <w:rStyle w:val="Strong"/>
          <w:rFonts w:ascii="Arial" w:hAnsi="Arial" w:cs="Arial"/>
          <w:color w:val="FFFFFF" w:themeColor="background1"/>
          <w:sz w:val="28"/>
          <w:szCs w:val="28"/>
        </w:rPr>
        <w:t>ffer and agreement to pay spectrum access charge</w:t>
      </w:r>
      <w:r w:rsidR="00813F27">
        <w:rPr>
          <w:rStyle w:val="Strong"/>
          <w:rFonts w:ascii="Arial" w:hAnsi="Arial" w:cs="Arial"/>
          <w:color w:val="FFFFFF" w:themeColor="background1"/>
          <w:sz w:val="28"/>
          <w:szCs w:val="28"/>
        </w:rPr>
        <w:t xml:space="preserve">, and instalment </w:t>
      </w:r>
      <w:proofErr w:type="gramStart"/>
      <w:r w:rsidR="00813F27">
        <w:rPr>
          <w:rStyle w:val="Strong"/>
          <w:rFonts w:ascii="Arial" w:hAnsi="Arial" w:cs="Arial"/>
          <w:color w:val="FFFFFF" w:themeColor="background1"/>
          <w:sz w:val="28"/>
          <w:szCs w:val="28"/>
        </w:rPr>
        <w:t>election</w:t>
      </w:r>
      <w:proofErr w:type="gramEnd"/>
    </w:p>
    <w:p w14:paraId="020FC92C" w14:textId="77777777" w:rsidR="00793B76" w:rsidRDefault="00793B76" w:rsidP="00793B76">
      <w:pPr>
        <w:rPr>
          <w:rStyle w:val="Strong"/>
          <w:rFonts w:ascii="Arial" w:hAnsi="Arial" w:cs="Arial"/>
          <w:b w:val="0"/>
          <w:bCs w:val="0"/>
        </w:rPr>
      </w:pPr>
      <w:r>
        <w:rPr>
          <w:rStyle w:val="Strong"/>
          <w:rFonts w:ascii="Arial" w:hAnsi="Arial" w:cs="Arial"/>
        </w:rPr>
        <w:t>The Licensee:</w:t>
      </w:r>
    </w:p>
    <w:p w14:paraId="37D86F25" w14:textId="068DA8BC" w:rsidR="00156D2C" w:rsidRPr="00156D2C" w:rsidRDefault="00CB60B6" w:rsidP="00793B76">
      <w:pPr>
        <w:pStyle w:val="ListParagraph"/>
        <w:numPr>
          <w:ilvl w:val="0"/>
          <w:numId w:val="12"/>
        </w:numPr>
        <w:rPr>
          <w:rStyle w:val="Strong"/>
          <w:rFonts w:ascii="Arial" w:hAnsi="Arial" w:cs="Arial"/>
          <w:b w:val="0"/>
          <w:bCs w:val="0"/>
        </w:rPr>
      </w:pPr>
      <w:r>
        <w:rPr>
          <w:rStyle w:val="Strong"/>
          <w:rFonts w:ascii="Arial" w:hAnsi="Arial" w:cs="Arial"/>
        </w:rPr>
        <w:t>a</w:t>
      </w:r>
      <w:r w:rsidR="00793B76">
        <w:rPr>
          <w:rStyle w:val="Strong"/>
          <w:rFonts w:ascii="Arial" w:hAnsi="Arial" w:cs="Arial"/>
        </w:rPr>
        <w:t xml:space="preserve">cknowledges receipt of the written offer made by the Australian Communications and Media Authority to the Licensee pursuant to section 56 of the </w:t>
      </w:r>
      <w:r w:rsidR="00793B76" w:rsidRPr="003377E8">
        <w:rPr>
          <w:rStyle w:val="Strong"/>
          <w:rFonts w:ascii="Arial" w:hAnsi="Arial" w:cs="Arial"/>
          <w:i/>
          <w:iCs/>
        </w:rPr>
        <w:t>Radiocommunications Act 1992</w:t>
      </w:r>
      <w:r w:rsidR="00793B76">
        <w:rPr>
          <w:rStyle w:val="Strong"/>
          <w:rFonts w:ascii="Arial" w:hAnsi="Arial" w:cs="Arial"/>
        </w:rPr>
        <w:t xml:space="preserve"> (the Act) dated </w:t>
      </w:r>
      <w:r w:rsidR="003377E8" w:rsidRPr="002D52D6">
        <w:rPr>
          <w:rStyle w:val="Strong"/>
          <w:rFonts w:ascii="Arial" w:hAnsi="Arial" w:cs="Arial"/>
          <w:b w:val="0"/>
          <w:bCs w:val="0"/>
        </w:rPr>
        <w:t>[</w:t>
      </w:r>
      <w:r w:rsidRPr="002D52D6">
        <w:rPr>
          <w:rStyle w:val="Strong"/>
          <w:rFonts w:ascii="Arial" w:hAnsi="Arial" w:cs="Arial"/>
          <w:b w:val="0"/>
          <w:bCs w:val="0"/>
          <w:i/>
          <w:iCs/>
        </w:rPr>
        <w:t>DD</w:t>
      </w:r>
      <w:r w:rsidR="00C22CD4" w:rsidRPr="002D52D6">
        <w:rPr>
          <w:rStyle w:val="Strong"/>
          <w:rFonts w:ascii="Arial" w:hAnsi="Arial" w:cs="Arial"/>
          <w:b w:val="0"/>
          <w:bCs w:val="0"/>
          <w:i/>
          <w:iCs/>
        </w:rPr>
        <w:t xml:space="preserve"> Month </w:t>
      </w:r>
      <w:r w:rsidRPr="002D52D6">
        <w:rPr>
          <w:rStyle w:val="Strong"/>
          <w:rFonts w:ascii="Arial" w:hAnsi="Arial" w:cs="Arial"/>
          <w:b w:val="0"/>
          <w:bCs w:val="0"/>
          <w:i/>
          <w:iCs/>
        </w:rPr>
        <w:t>YYYY</w:t>
      </w:r>
      <w:r w:rsidR="003377E8" w:rsidRPr="002D52D6">
        <w:rPr>
          <w:rStyle w:val="Strong"/>
          <w:rFonts w:ascii="Arial" w:hAnsi="Arial" w:cs="Arial"/>
          <w:b w:val="0"/>
          <w:bCs w:val="0"/>
        </w:rPr>
        <w:t>]</w:t>
      </w:r>
      <w:r w:rsidR="00793B76" w:rsidRPr="003377E8">
        <w:rPr>
          <w:rStyle w:val="Strong"/>
          <w:rFonts w:ascii="Arial" w:hAnsi="Arial" w:cs="Arial"/>
        </w:rPr>
        <w:t>,</w:t>
      </w:r>
      <w:r w:rsidR="00793B76">
        <w:rPr>
          <w:rStyle w:val="Strong"/>
          <w:rFonts w:ascii="Arial" w:hAnsi="Arial" w:cs="Arial"/>
        </w:rPr>
        <w:t xml:space="preserve"> to issue to the Licensee the spectrum licence attached to this Acceptance </w:t>
      </w:r>
      <w:r w:rsidR="00156D2C">
        <w:rPr>
          <w:rStyle w:val="Strong"/>
          <w:rFonts w:ascii="Arial" w:hAnsi="Arial" w:cs="Arial"/>
        </w:rPr>
        <w:t>F</w:t>
      </w:r>
      <w:r w:rsidR="00793B76">
        <w:rPr>
          <w:rStyle w:val="Strong"/>
          <w:rFonts w:ascii="Arial" w:hAnsi="Arial" w:cs="Arial"/>
        </w:rPr>
        <w:t>orm to replace apparatus licence numbers</w:t>
      </w:r>
      <w:r w:rsidR="00BB5FD9">
        <w:rPr>
          <w:rStyle w:val="Strong"/>
          <w:rFonts w:ascii="Arial" w:hAnsi="Arial" w:cs="Arial"/>
        </w:rPr>
        <w:t>:</w:t>
      </w:r>
      <w:r w:rsidR="00793B76">
        <w:rPr>
          <w:rStyle w:val="Strong"/>
          <w:rFonts w:ascii="Arial" w:hAnsi="Arial" w:cs="Arial"/>
        </w:rPr>
        <w:t xml:space="preserve"> </w:t>
      </w:r>
    </w:p>
    <w:p w14:paraId="20436BD2" w14:textId="4E8A73AD" w:rsidR="00156D2C" w:rsidRDefault="002D52D6" w:rsidP="00156D2C">
      <w:pPr>
        <w:pStyle w:val="ListParagraph"/>
        <w:rPr>
          <w:rStyle w:val="Strong"/>
          <w:rFonts w:ascii="Arial" w:hAnsi="Arial" w:cs="Arial"/>
          <w:b w:val="0"/>
          <w:bCs w:val="0"/>
        </w:rPr>
      </w:pPr>
      <w:r w:rsidRPr="002D52D6">
        <w:rPr>
          <w:rStyle w:val="Strong"/>
          <w:rFonts w:ascii="Arial" w:hAnsi="Arial" w:cs="Arial"/>
        </w:rPr>
        <w:t>(a)</w:t>
      </w:r>
      <w:r>
        <w:rPr>
          <w:rStyle w:val="Strong"/>
          <w:rFonts w:ascii="Arial" w:hAnsi="Arial" w:cs="Arial"/>
          <w:b w:val="0"/>
          <w:bCs w:val="0"/>
        </w:rPr>
        <w:tab/>
        <w:t>[</w:t>
      </w:r>
      <w:r w:rsidRPr="002D52D6">
        <w:rPr>
          <w:rStyle w:val="Strong"/>
          <w:rFonts w:ascii="Arial" w:hAnsi="Arial" w:cs="Arial"/>
          <w:b w:val="0"/>
          <w:bCs w:val="0"/>
          <w:i/>
          <w:iCs/>
        </w:rPr>
        <w:t>apparatus licence number</w:t>
      </w:r>
      <w:r>
        <w:rPr>
          <w:rStyle w:val="Strong"/>
          <w:rFonts w:ascii="Arial" w:hAnsi="Arial" w:cs="Arial"/>
          <w:b w:val="0"/>
          <w:bCs w:val="0"/>
        </w:rPr>
        <w:t>]</w:t>
      </w:r>
    </w:p>
    <w:p w14:paraId="30849AE0" w14:textId="5C1E4ACC" w:rsidR="002D52D6" w:rsidRDefault="002D52D6" w:rsidP="00156D2C">
      <w:pPr>
        <w:pStyle w:val="ListParagraph"/>
        <w:rPr>
          <w:rStyle w:val="Strong"/>
          <w:rFonts w:ascii="Arial" w:hAnsi="Arial" w:cs="Arial"/>
          <w:b w:val="0"/>
          <w:bCs w:val="0"/>
        </w:rPr>
      </w:pPr>
      <w:r w:rsidRPr="002D52D6">
        <w:rPr>
          <w:rStyle w:val="Strong"/>
          <w:rFonts w:ascii="Arial" w:hAnsi="Arial" w:cs="Arial"/>
        </w:rPr>
        <w:t>(b)</w:t>
      </w:r>
      <w:r>
        <w:rPr>
          <w:rStyle w:val="Strong"/>
          <w:rFonts w:ascii="Arial" w:hAnsi="Arial" w:cs="Arial"/>
          <w:b w:val="0"/>
          <w:bCs w:val="0"/>
        </w:rPr>
        <w:tab/>
        <w:t>[</w:t>
      </w:r>
      <w:r w:rsidRPr="002D52D6">
        <w:rPr>
          <w:rStyle w:val="Strong"/>
          <w:rFonts w:ascii="Arial" w:hAnsi="Arial" w:cs="Arial"/>
          <w:b w:val="0"/>
          <w:bCs w:val="0"/>
          <w:i/>
          <w:iCs/>
        </w:rPr>
        <w:t>apparatus licence number</w:t>
      </w:r>
      <w:r>
        <w:rPr>
          <w:rStyle w:val="Strong"/>
          <w:rFonts w:ascii="Arial" w:hAnsi="Arial" w:cs="Arial"/>
          <w:b w:val="0"/>
          <w:bCs w:val="0"/>
        </w:rPr>
        <w:t>]</w:t>
      </w:r>
    </w:p>
    <w:p w14:paraId="11286A80" w14:textId="3DDC553E" w:rsidR="002D52D6" w:rsidRPr="002D52D6" w:rsidRDefault="002D52D6" w:rsidP="00156D2C">
      <w:pPr>
        <w:pStyle w:val="ListParagraph"/>
        <w:rPr>
          <w:rStyle w:val="Strong"/>
          <w:rFonts w:ascii="Arial" w:hAnsi="Arial" w:cs="Arial"/>
          <w:b w:val="0"/>
          <w:bCs w:val="0"/>
        </w:rPr>
      </w:pPr>
      <w:r>
        <w:rPr>
          <w:rStyle w:val="Strong"/>
          <w:rFonts w:ascii="Arial" w:hAnsi="Arial" w:cs="Arial"/>
          <w:b w:val="0"/>
          <w:bCs w:val="0"/>
        </w:rPr>
        <w:t>[</w:t>
      </w:r>
      <w:r w:rsidRPr="002D52D6">
        <w:rPr>
          <w:rStyle w:val="Strong"/>
          <w:rFonts w:ascii="Arial" w:hAnsi="Arial" w:cs="Arial"/>
          <w:b w:val="0"/>
          <w:bCs w:val="0"/>
          <w:i/>
          <w:iCs/>
        </w:rPr>
        <w:t>complete as appropriate</w:t>
      </w:r>
      <w:r>
        <w:rPr>
          <w:rStyle w:val="Strong"/>
          <w:rFonts w:ascii="Arial" w:hAnsi="Arial" w:cs="Arial"/>
          <w:b w:val="0"/>
          <w:bCs w:val="0"/>
        </w:rPr>
        <w:t>]</w:t>
      </w:r>
    </w:p>
    <w:p w14:paraId="32A54E83" w14:textId="235573AD" w:rsidR="00793B76" w:rsidRDefault="00793B76" w:rsidP="00156D2C">
      <w:pPr>
        <w:pStyle w:val="ListParagraph"/>
        <w:rPr>
          <w:rStyle w:val="Strong"/>
          <w:rFonts w:ascii="Arial" w:hAnsi="Arial" w:cs="Arial"/>
          <w:b w:val="0"/>
          <w:bCs w:val="0"/>
        </w:rPr>
      </w:pPr>
      <w:r>
        <w:rPr>
          <w:rStyle w:val="Strong"/>
          <w:rFonts w:ascii="Arial" w:hAnsi="Arial" w:cs="Arial"/>
        </w:rPr>
        <w:t>held by the Licensee (the Offer); and</w:t>
      </w:r>
    </w:p>
    <w:p w14:paraId="0AC1D3E8" w14:textId="636D663F" w:rsidR="00793B76" w:rsidRDefault="002D52D6" w:rsidP="00793B76">
      <w:pPr>
        <w:pStyle w:val="ListParagraph"/>
        <w:numPr>
          <w:ilvl w:val="0"/>
          <w:numId w:val="12"/>
        </w:numPr>
        <w:rPr>
          <w:rStyle w:val="Strong"/>
          <w:rFonts w:ascii="Arial" w:hAnsi="Arial" w:cs="Arial"/>
          <w:b w:val="0"/>
          <w:bCs w:val="0"/>
        </w:rPr>
      </w:pPr>
      <w:r>
        <w:rPr>
          <w:rStyle w:val="Strong"/>
          <w:rFonts w:ascii="Arial" w:hAnsi="Arial" w:cs="Arial"/>
        </w:rPr>
        <w:t>i</w:t>
      </w:r>
      <w:r w:rsidR="00793B76">
        <w:rPr>
          <w:rStyle w:val="Strong"/>
          <w:rFonts w:ascii="Arial" w:hAnsi="Arial" w:cs="Arial"/>
        </w:rPr>
        <w:t>n accordance with subsection 57(1) of the Act:</w:t>
      </w:r>
    </w:p>
    <w:p w14:paraId="48EB2D5E" w14:textId="277CA861" w:rsidR="00793B76" w:rsidRDefault="00427B8D" w:rsidP="00E421D7">
      <w:pPr>
        <w:pStyle w:val="ListParagraph"/>
        <w:numPr>
          <w:ilvl w:val="1"/>
          <w:numId w:val="12"/>
        </w:numPr>
        <w:ind w:left="1418" w:hanging="709"/>
        <w:rPr>
          <w:rStyle w:val="Strong"/>
          <w:rFonts w:ascii="Arial" w:hAnsi="Arial" w:cs="Arial"/>
          <w:b w:val="0"/>
          <w:bCs w:val="0"/>
        </w:rPr>
      </w:pPr>
      <w:r>
        <w:rPr>
          <w:rStyle w:val="Strong"/>
          <w:rFonts w:ascii="Arial" w:hAnsi="Arial" w:cs="Arial"/>
        </w:rPr>
        <w:t>a</w:t>
      </w:r>
      <w:r w:rsidR="00793B76">
        <w:rPr>
          <w:rStyle w:val="Strong"/>
          <w:rFonts w:ascii="Arial" w:hAnsi="Arial" w:cs="Arial"/>
        </w:rPr>
        <w:t>ccepts the Offer; and</w:t>
      </w:r>
    </w:p>
    <w:p w14:paraId="7E761FFB" w14:textId="54A6C8B8" w:rsidR="005F4B34" w:rsidRPr="00B83C0D" w:rsidRDefault="00427B8D" w:rsidP="00E421D7">
      <w:pPr>
        <w:pStyle w:val="ListParagraph"/>
        <w:numPr>
          <w:ilvl w:val="1"/>
          <w:numId w:val="12"/>
        </w:numPr>
        <w:ind w:left="1418" w:hanging="709"/>
        <w:rPr>
          <w:rStyle w:val="Strong"/>
          <w:rFonts w:ascii="Arial" w:hAnsi="Arial" w:cs="Arial"/>
          <w:b w:val="0"/>
          <w:bCs w:val="0"/>
        </w:rPr>
      </w:pPr>
      <w:r>
        <w:rPr>
          <w:rStyle w:val="Strong"/>
          <w:rFonts w:ascii="Arial" w:hAnsi="Arial" w:cs="Arial"/>
        </w:rPr>
        <w:t>a</w:t>
      </w:r>
      <w:r w:rsidR="00793B76">
        <w:rPr>
          <w:rStyle w:val="Strong"/>
          <w:rFonts w:ascii="Arial" w:hAnsi="Arial" w:cs="Arial"/>
        </w:rPr>
        <w:t xml:space="preserve">grees to pay the spectrum access charge </w:t>
      </w:r>
      <w:r w:rsidR="00F1525A">
        <w:rPr>
          <w:rStyle w:val="Strong"/>
          <w:rFonts w:ascii="Arial" w:hAnsi="Arial" w:cs="Arial"/>
        </w:rPr>
        <w:t xml:space="preserve">for the spectrum licence </w:t>
      </w:r>
      <w:r w:rsidR="00793B76">
        <w:rPr>
          <w:rStyle w:val="Strong"/>
          <w:rFonts w:ascii="Arial" w:hAnsi="Arial" w:cs="Arial"/>
        </w:rPr>
        <w:t>specified in the Offer and fixed by the</w:t>
      </w:r>
      <w:r w:rsidR="00616C3E">
        <w:rPr>
          <w:rStyle w:val="Strong"/>
          <w:rFonts w:ascii="Arial" w:hAnsi="Arial" w:cs="Arial"/>
        </w:rPr>
        <w:t xml:space="preserve"> </w:t>
      </w:r>
      <w:r w:rsidR="00616C3E">
        <w:rPr>
          <w:rStyle w:val="Strong"/>
          <w:rFonts w:ascii="Arial" w:hAnsi="Arial" w:cs="Arial"/>
          <w:i/>
          <w:iCs/>
        </w:rPr>
        <w:t>Radiocommunications (Spectrum Access Charge</w:t>
      </w:r>
      <w:r w:rsidR="006848CB">
        <w:rPr>
          <w:rStyle w:val="Strong"/>
          <w:rFonts w:ascii="Arial" w:hAnsi="Arial" w:cs="Arial"/>
          <w:i/>
          <w:iCs/>
        </w:rPr>
        <w:t>s</w:t>
      </w:r>
      <w:r w:rsidR="00616C3E">
        <w:rPr>
          <w:rStyle w:val="Strong"/>
          <w:rFonts w:ascii="Arial" w:hAnsi="Arial" w:cs="Arial"/>
          <w:i/>
          <w:iCs/>
        </w:rPr>
        <w:t xml:space="preserve"> – 3.4 GHz Band) Determination 2021</w:t>
      </w:r>
      <w:r w:rsidR="005F4B34">
        <w:rPr>
          <w:rStyle w:val="Strong"/>
          <w:rFonts w:ascii="Arial" w:hAnsi="Arial" w:cs="Arial"/>
          <w:i/>
          <w:iCs/>
        </w:rPr>
        <w:t xml:space="preserve"> </w:t>
      </w:r>
      <w:r w:rsidR="005F4B34">
        <w:rPr>
          <w:rStyle w:val="Strong"/>
          <w:rFonts w:ascii="Arial" w:hAnsi="Arial" w:cs="Arial"/>
        </w:rPr>
        <w:t>(Charge</w:t>
      </w:r>
      <w:r w:rsidR="006848CB">
        <w:rPr>
          <w:rStyle w:val="Strong"/>
          <w:rFonts w:ascii="Arial" w:hAnsi="Arial" w:cs="Arial"/>
        </w:rPr>
        <w:t>s</w:t>
      </w:r>
      <w:r w:rsidR="005F4B34">
        <w:rPr>
          <w:rStyle w:val="Strong"/>
          <w:rFonts w:ascii="Arial" w:hAnsi="Arial" w:cs="Arial"/>
        </w:rPr>
        <w:t xml:space="preserve"> Determination); and</w:t>
      </w:r>
    </w:p>
    <w:p w14:paraId="14B5E662" w14:textId="29CC65CF" w:rsidR="005F4B34" w:rsidRPr="00B83C0D" w:rsidRDefault="005F4B34" w:rsidP="005F4B34">
      <w:pPr>
        <w:pStyle w:val="ListParagraph"/>
        <w:numPr>
          <w:ilvl w:val="0"/>
          <w:numId w:val="12"/>
        </w:numPr>
        <w:rPr>
          <w:rStyle w:val="Strong"/>
          <w:rFonts w:ascii="Arial" w:hAnsi="Arial" w:cs="Arial"/>
          <w:b w:val="0"/>
          <w:bCs w:val="0"/>
        </w:rPr>
      </w:pPr>
      <w:r>
        <w:rPr>
          <w:rStyle w:val="Strong"/>
          <w:rFonts w:ascii="Arial" w:hAnsi="Arial" w:cs="Arial"/>
        </w:rPr>
        <w:t>if the Offer is for the outer-metropolitan and regional spectrum licence – for the purposes of the Charge</w:t>
      </w:r>
      <w:r w:rsidR="006848CB">
        <w:rPr>
          <w:rStyle w:val="Strong"/>
          <w:rFonts w:ascii="Arial" w:hAnsi="Arial" w:cs="Arial"/>
        </w:rPr>
        <w:t>s</w:t>
      </w:r>
      <w:r>
        <w:rPr>
          <w:rStyle w:val="Strong"/>
          <w:rFonts w:ascii="Arial" w:hAnsi="Arial" w:cs="Arial"/>
        </w:rPr>
        <w:t xml:space="preserve"> Determination, elects to pay the spectrum access charge:</w:t>
      </w:r>
    </w:p>
    <w:p w14:paraId="2153FD5E" w14:textId="216A8ED7" w:rsidR="005F4B34" w:rsidRDefault="005F4B34" w:rsidP="005F4B34">
      <w:pPr>
        <w:ind w:left="720"/>
        <w:rPr>
          <w:rStyle w:val="Strong"/>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6765248A" wp14:editId="2E37B12E">
                <wp:simplePos x="0" y="0"/>
                <wp:positionH relativeFrom="column">
                  <wp:posOffset>195263</wp:posOffset>
                </wp:positionH>
                <wp:positionV relativeFrom="paragraph">
                  <wp:posOffset>272415</wp:posOffset>
                </wp:positionV>
                <wp:extent cx="1524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3E345" id="Rectangle 3" o:spid="_x0000_s1026" style="position:absolute;margin-left:15.4pt;margin-top:21.45pt;width:12pt;height:12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" fillcolor="white [3201]" strokecolor="black [3200]" strokeweight="1pt"/>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2994EC88" wp14:editId="5142E76F">
                <wp:simplePos x="0" y="0"/>
                <wp:positionH relativeFrom="column">
                  <wp:posOffset>195263</wp:posOffset>
                </wp:positionH>
                <wp:positionV relativeFrom="paragraph">
                  <wp:posOffset>30480</wp:posOffset>
                </wp:positionV>
                <wp:extent cx="1524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2B29D" id="Rectangle 2" o:spid="_x0000_s1026" style="position:absolute;margin-left:15.4pt;margin-top:2.4pt;width:12pt;height: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" fillcolor="white [3201]" strokecolor="black [3200]" strokeweight="1pt"/>
            </w:pict>
          </mc:Fallback>
        </mc:AlternateContent>
      </w:r>
      <w:r>
        <w:rPr>
          <w:rStyle w:val="Strong"/>
          <w:rFonts w:ascii="Arial" w:hAnsi="Arial" w:cs="Arial"/>
        </w:rPr>
        <w:t>upfront, in accordance with subsection 8(1) of the Charge</w:t>
      </w:r>
      <w:r w:rsidR="006848CB">
        <w:rPr>
          <w:rStyle w:val="Strong"/>
          <w:rFonts w:ascii="Arial" w:hAnsi="Arial" w:cs="Arial"/>
        </w:rPr>
        <w:t>s</w:t>
      </w:r>
      <w:r>
        <w:rPr>
          <w:rStyle w:val="Strong"/>
          <w:rFonts w:ascii="Arial" w:hAnsi="Arial" w:cs="Arial"/>
        </w:rPr>
        <w:t xml:space="preserve"> </w:t>
      </w:r>
      <w:proofErr w:type="gramStart"/>
      <w:r>
        <w:rPr>
          <w:rStyle w:val="Strong"/>
          <w:rFonts w:ascii="Arial" w:hAnsi="Arial" w:cs="Arial"/>
        </w:rPr>
        <w:t>Determination;</w:t>
      </w:r>
      <w:proofErr w:type="gramEnd"/>
    </w:p>
    <w:p w14:paraId="2E2BC8BB" w14:textId="0FF6A361" w:rsidR="005F4B34" w:rsidRPr="00B83C0D" w:rsidRDefault="005F4B34" w:rsidP="005F4B34">
      <w:pPr>
        <w:ind w:left="720"/>
        <w:rPr>
          <w:rStyle w:val="Strong"/>
          <w:rFonts w:ascii="Arial" w:hAnsi="Arial" w:cs="Arial"/>
        </w:rPr>
      </w:pPr>
      <w:r>
        <w:rPr>
          <w:rStyle w:val="Strong"/>
          <w:rFonts w:ascii="Arial" w:hAnsi="Arial" w:cs="Arial"/>
        </w:rPr>
        <w:t>by instalments, in accordance with subsection 8(3) of the Charge</w:t>
      </w:r>
      <w:r w:rsidR="006848CB">
        <w:rPr>
          <w:rStyle w:val="Strong"/>
          <w:rFonts w:ascii="Arial" w:hAnsi="Arial" w:cs="Arial"/>
        </w:rPr>
        <w:t>s</w:t>
      </w:r>
      <w:r>
        <w:rPr>
          <w:rStyle w:val="Strong"/>
          <w:rFonts w:ascii="Arial" w:hAnsi="Arial" w:cs="Arial"/>
        </w:rPr>
        <w:t xml:space="preserve"> Determination.</w:t>
      </w:r>
    </w:p>
    <w:p w14:paraId="013850EF" w14:textId="42380091" w:rsidR="00793B76" w:rsidRPr="00206404" w:rsidRDefault="005F4B34" w:rsidP="00206404">
      <w:pPr>
        <w:pStyle w:val="ListParagraph"/>
        <w:rPr>
          <w:rStyle w:val="Strong"/>
          <w:rFonts w:ascii="Arial" w:hAnsi="Arial" w:cs="Arial"/>
        </w:rPr>
      </w:pPr>
      <w:r>
        <w:rPr>
          <w:rStyle w:val="Strong"/>
          <w:rFonts w:ascii="Arial" w:hAnsi="Arial" w:cs="Arial"/>
        </w:rPr>
        <w:t xml:space="preserve">(If no box is selected, or both are selected, the Licensee is taken to have elected to pay the spectrum access charge </w:t>
      </w:r>
      <w:r w:rsidR="005C38AA">
        <w:rPr>
          <w:rStyle w:val="Strong"/>
          <w:rFonts w:ascii="Arial" w:hAnsi="Arial" w:cs="Arial"/>
        </w:rPr>
        <w:t xml:space="preserve">for the outer-metropolitan and regional spectrum licence </w:t>
      </w:r>
      <w:r>
        <w:rPr>
          <w:rStyle w:val="Strong"/>
          <w:rFonts w:ascii="Arial" w:hAnsi="Arial" w:cs="Arial"/>
        </w:rPr>
        <w:t>upfront, in accordance with subsection 8(1) of the Charge</w:t>
      </w:r>
      <w:r w:rsidR="006848CB">
        <w:rPr>
          <w:rStyle w:val="Strong"/>
          <w:rFonts w:ascii="Arial" w:hAnsi="Arial" w:cs="Arial"/>
        </w:rPr>
        <w:t>s</w:t>
      </w:r>
      <w:r>
        <w:rPr>
          <w:rStyle w:val="Strong"/>
          <w:rFonts w:ascii="Arial" w:hAnsi="Arial" w:cs="Arial"/>
        </w:rPr>
        <w:t xml:space="preserve"> Determination.)</w:t>
      </w:r>
    </w:p>
    <w:p w14:paraId="67D37CED" w14:textId="77777777" w:rsidR="00793B76" w:rsidRDefault="00793B76" w:rsidP="00847D9D">
      <w:pPr>
        <w:keepNext/>
        <w:keepLines/>
        <w:spacing w:line="257" w:lineRule="auto"/>
        <w:rPr>
          <w:rStyle w:val="Strong"/>
          <w:rFonts w:ascii="Arial" w:hAnsi="Arial" w:cs="Arial"/>
          <w:b w:val="0"/>
          <w:bCs w:val="0"/>
        </w:rPr>
      </w:pPr>
      <w:r>
        <w:rPr>
          <w:rStyle w:val="Strong"/>
          <w:rFonts w:ascii="Arial" w:hAnsi="Arial" w:cs="Arial"/>
        </w:rPr>
        <w:lastRenderedPageBreak/>
        <w:t>Signature of authorised representative of Licensee</w:t>
      </w:r>
    </w:p>
    <w:p w14:paraId="376C9180" w14:textId="77777777" w:rsidR="00793B76" w:rsidRDefault="00793B76" w:rsidP="00847D9D">
      <w:pPr>
        <w:keepNext/>
        <w:keepLines/>
        <w:pBdr>
          <w:top w:val="single" w:sz="4" w:space="1" w:color="auto"/>
          <w:left w:val="single" w:sz="4" w:space="4" w:color="auto"/>
          <w:bottom w:val="single" w:sz="4" w:space="1" w:color="auto"/>
          <w:right w:val="single" w:sz="4" w:space="4" w:color="auto"/>
        </w:pBdr>
        <w:spacing w:line="257" w:lineRule="auto"/>
        <w:rPr>
          <w:rStyle w:val="Strong"/>
          <w:rFonts w:ascii="Arial" w:hAnsi="Arial" w:cs="Arial"/>
          <w:b w:val="0"/>
          <w:bCs w:val="0"/>
        </w:rPr>
      </w:pPr>
    </w:p>
    <w:p w14:paraId="5B16A993" w14:textId="77777777" w:rsidR="00793B76" w:rsidRDefault="00793B76" w:rsidP="00847D9D">
      <w:pPr>
        <w:keepNext/>
        <w:keepLines/>
        <w:pBdr>
          <w:top w:val="single" w:sz="4" w:space="1" w:color="auto"/>
          <w:left w:val="single" w:sz="4" w:space="4" w:color="auto"/>
          <w:bottom w:val="single" w:sz="4" w:space="1" w:color="auto"/>
          <w:right w:val="single" w:sz="4" w:space="4" w:color="auto"/>
        </w:pBdr>
        <w:spacing w:line="257" w:lineRule="auto"/>
        <w:rPr>
          <w:rStyle w:val="Strong"/>
          <w:rFonts w:ascii="Arial" w:hAnsi="Arial" w:cs="Arial"/>
          <w:b w:val="0"/>
          <w:bCs w:val="0"/>
        </w:rPr>
      </w:pPr>
    </w:p>
    <w:p w14:paraId="0F745096" w14:textId="77777777" w:rsidR="00793B76" w:rsidRDefault="00793B76" w:rsidP="00847D9D">
      <w:pPr>
        <w:keepNext/>
        <w:keepLines/>
        <w:pBdr>
          <w:top w:val="single" w:sz="4" w:space="1" w:color="auto"/>
          <w:left w:val="single" w:sz="4" w:space="4" w:color="auto"/>
          <w:bottom w:val="single" w:sz="4" w:space="1" w:color="auto"/>
          <w:right w:val="single" w:sz="4" w:space="4" w:color="auto"/>
        </w:pBdr>
        <w:spacing w:line="257" w:lineRule="auto"/>
        <w:rPr>
          <w:rStyle w:val="Strong"/>
          <w:rFonts w:ascii="Arial" w:hAnsi="Arial" w:cs="Arial"/>
          <w:b w:val="0"/>
          <w:bCs w:val="0"/>
        </w:rPr>
      </w:pPr>
    </w:p>
    <w:p w14:paraId="7C443858" w14:textId="77777777" w:rsidR="00793B76" w:rsidRDefault="00793B76" w:rsidP="00847D9D">
      <w:pPr>
        <w:keepNext/>
        <w:keepLines/>
        <w:spacing w:line="257" w:lineRule="auto"/>
        <w:rPr>
          <w:rStyle w:val="Strong"/>
          <w:rFonts w:ascii="Arial" w:hAnsi="Arial" w:cs="Arial"/>
          <w:b w:val="0"/>
          <w:bCs w:val="0"/>
        </w:rPr>
      </w:pPr>
      <w:r>
        <w:rPr>
          <w:rStyle w:val="Strong"/>
          <w:rFonts w:ascii="Arial" w:hAnsi="Arial" w:cs="Arial"/>
        </w:rPr>
        <w:t>Full name of authorised representative of Licensee</w:t>
      </w:r>
    </w:p>
    <w:p w14:paraId="60328E77" w14:textId="77777777" w:rsidR="00793B76" w:rsidRDefault="00793B76" w:rsidP="00847D9D">
      <w:pPr>
        <w:keepNext/>
        <w:keepLines/>
        <w:pBdr>
          <w:top w:val="single" w:sz="4" w:space="1" w:color="auto"/>
          <w:left w:val="single" w:sz="4" w:space="4" w:color="auto"/>
          <w:bottom w:val="single" w:sz="4" w:space="1" w:color="auto"/>
          <w:right w:val="single" w:sz="4" w:space="4" w:color="auto"/>
        </w:pBdr>
        <w:spacing w:line="257" w:lineRule="auto"/>
        <w:rPr>
          <w:rStyle w:val="Strong"/>
          <w:rFonts w:ascii="Arial" w:hAnsi="Arial" w:cs="Arial"/>
          <w:b w:val="0"/>
          <w:bCs w:val="0"/>
        </w:rPr>
      </w:pPr>
    </w:p>
    <w:p w14:paraId="0E9046DF" w14:textId="77777777" w:rsidR="00793B76" w:rsidRDefault="00793B76" w:rsidP="00847D9D">
      <w:pPr>
        <w:keepNext/>
        <w:keepLines/>
        <w:spacing w:line="257" w:lineRule="auto"/>
        <w:rPr>
          <w:rStyle w:val="Strong"/>
          <w:rFonts w:ascii="Arial" w:hAnsi="Arial" w:cs="Arial"/>
          <w:b w:val="0"/>
          <w:bCs w:val="0"/>
        </w:rPr>
      </w:pPr>
      <w:r>
        <w:rPr>
          <w:rStyle w:val="Strong"/>
          <w:rFonts w:ascii="Arial" w:hAnsi="Arial" w:cs="Arial"/>
        </w:rPr>
        <w:t>Date</w:t>
      </w:r>
    </w:p>
    <w:p w14:paraId="07379081" w14:textId="0E8F2BE0" w:rsidR="00A676B9" w:rsidRDefault="00A676B9" w:rsidP="00847D9D">
      <w:pPr>
        <w:keepNext/>
        <w:keepLines/>
        <w:rPr>
          <w:rStyle w:val="Strong"/>
          <w:rFonts w:ascii="Arial" w:hAnsi="Arial" w:cs="Arial"/>
          <w:b w:val="0"/>
          <w:bCs w:val="0"/>
        </w:rPr>
      </w:pPr>
      <w:r>
        <w:rPr>
          <w:rStyle w:val="Strong"/>
          <w:rFonts w:ascii="Arial" w:hAnsi="Arial" w:cs="Arial"/>
        </w:rPr>
        <w:t>Signature of witness</w:t>
      </w:r>
    </w:p>
    <w:p w14:paraId="79AF618D" w14:textId="77777777" w:rsidR="00A676B9" w:rsidRDefault="00A676B9" w:rsidP="00847D9D">
      <w:pPr>
        <w:keepNext/>
        <w:keepLines/>
        <w:pBdr>
          <w:top w:val="single" w:sz="4" w:space="1" w:color="auto"/>
          <w:left w:val="single" w:sz="4" w:space="4" w:color="auto"/>
          <w:bottom w:val="single" w:sz="4" w:space="1" w:color="auto"/>
          <w:right w:val="single" w:sz="4" w:space="4" w:color="auto"/>
        </w:pBdr>
        <w:rPr>
          <w:rStyle w:val="Strong"/>
          <w:rFonts w:ascii="Arial" w:hAnsi="Arial" w:cs="Arial"/>
          <w:b w:val="0"/>
          <w:bCs w:val="0"/>
        </w:rPr>
      </w:pPr>
    </w:p>
    <w:p w14:paraId="583E635E" w14:textId="77777777" w:rsidR="00A676B9" w:rsidRDefault="00A676B9" w:rsidP="00A676B9">
      <w:pPr>
        <w:pBdr>
          <w:top w:val="single" w:sz="4" w:space="1" w:color="auto"/>
          <w:left w:val="single" w:sz="4" w:space="4" w:color="auto"/>
          <w:bottom w:val="single" w:sz="4" w:space="1" w:color="auto"/>
          <w:right w:val="single" w:sz="4" w:space="4" w:color="auto"/>
        </w:pBdr>
        <w:rPr>
          <w:rStyle w:val="Strong"/>
          <w:rFonts w:ascii="Arial" w:hAnsi="Arial" w:cs="Arial"/>
          <w:b w:val="0"/>
          <w:bCs w:val="0"/>
        </w:rPr>
      </w:pPr>
    </w:p>
    <w:p w14:paraId="6C7704CE" w14:textId="77777777" w:rsidR="00A676B9" w:rsidRDefault="00A676B9" w:rsidP="00A676B9">
      <w:pPr>
        <w:pBdr>
          <w:top w:val="single" w:sz="4" w:space="1" w:color="auto"/>
          <w:left w:val="single" w:sz="4" w:space="4" w:color="auto"/>
          <w:bottom w:val="single" w:sz="4" w:space="1" w:color="auto"/>
          <w:right w:val="single" w:sz="4" w:space="4" w:color="auto"/>
        </w:pBdr>
        <w:rPr>
          <w:rStyle w:val="Strong"/>
          <w:rFonts w:ascii="Arial" w:hAnsi="Arial" w:cs="Arial"/>
          <w:b w:val="0"/>
          <w:bCs w:val="0"/>
        </w:rPr>
      </w:pPr>
    </w:p>
    <w:p w14:paraId="2D00561D" w14:textId="1E53DFFF" w:rsidR="00A676B9" w:rsidRDefault="00A676B9" w:rsidP="00A676B9">
      <w:pPr>
        <w:rPr>
          <w:rStyle w:val="Strong"/>
          <w:rFonts w:ascii="Arial" w:hAnsi="Arial" w:cs="Arial"/>
          <w:b w:val="0"/>
          <w:bCs w:val="0"/>
        </w:rPr>
      </w:pPr>
      <w:r>
        <w:rPr>
          <w:rStyle w:val="Strong"/>
          <w:rFonts w:ascii="Arial" w:hAnsi="Arial" w:cs="Arial"/>
        </w:rPr>
        <w:t>Full name of witness</w:t>
      </w:r>
    </w:p>
    <w:p w14:paraId="00F45302" w14:textId="77777777" w:rsidR="00A676B9" w:rsidRDefault="00A676B9" w:rsidP="00A676B9">
      <w:pPr>
        <w:pBdr>
          <w:top w:val="single" w:sz="4" w:space="1" w:color="auto"/>
          <w:left w:val="single" w:sz="4" w:space="4" w:color="auto"/>
          <w:bottom w:val="single" w:sz="4" w:space="1" w:color="auto"/>
          <w:right w:val="single" w:sz="4" w:space="4" w:color="auto"/>
        </w:pBdr>
        <w:rPr>
          <w:rStyle w:val="Strong"/>
          <w:rFonts w:ascii="Arial" w:hAnsi="Arial" w:cs="Arial"/>
          <w:b w:val="0"/>
          <w:bCs w:val="0"/>
        </w:rPr>
      </w:pPr>
    </w:p>
    <w:p w14:paraId="3821173E" w14:textId="77777777" w:rsidR="00A676B9" w:rsidRDefault="00A676B9" w:rsidP="00A676B9">
      <w:pPr>
        <w:rPr>
          <w:rStyle w:val="Strong"/>
          <w:rFonts w:ascii="Arial" w:hAnsi="Arial" w:cs="Arial"/>
          <w:b w:val="0"/>
          <w:bCs w:val="0"/>
        </w:rPr>
      </w:pPr>
      <w:r>
        <w:rPr>
          <w:rStyle w:val="Strong"/>
          <w:rFonts w:ascii="Arial" w:hAnsi="Arial" w:cs="Arial"/>
        </w:rPr>
        <w:t>Date</w:t>
      </w:r>
    </w:p>
    <w:p w14:paraId="6885831C" w14:textId="77777777" w:rsidR="00A676B9" w:rsidRDefault="00A676B9" w:rsidP="00A676B9">
      <w:pPr>
        <w:pBdr>
          <w:top w:val="single" w:sz="4" w:space="1" w:color="auto"/>
          <w:left w:val="single" w:sz="4" w:space="4" w:color="auto"/>
          <w:bottom w:val="single" w:sz="4" w:space="1" w:color="auto"/>
          <w:right w:val="single" w:sz="4" w:space="4" w:color="auto"/>
        </w:pBdr>
        <w:rPr>
          <w:rStyle w:val="Strong"/>
          <w:rFonts w:ascii="Arial" w:hAnsi="Arial" w:cs="Arial"/>
          <w:b w:val="0"/>
          <w:bCs w:val="0"/>
        </w:rPr>
      </w:pPr>
    </w:p>
    <w:p w14:paraId="4FFB921B" w14:textId="77777777" w:rsidR="00793B76" w:rsidRDefault="00793B76" w:rsidP="00793B76">
      <w:pPr>
        <w:pBdr>
          <w:top w:val="single" w:sz="4" w:space="1" w:color="auto"/>
          <w:left w:val="single" w:sz="4" w:space="4" w:color="auto"/>
          <w:bottom w:val="single" w:sz="4" w:space="1" w:color="auto"/>
          <w:right w:val="single" w:sz="4" w:space="4" w:color="auto"/>
        </w:pBdr>
        <w:rPr>
          <w:rStyle w:val="Strong"/>
          <w:rFonts w:ascii="Arial" w:hAnsi="Arial" w:cs="Arial"/>
          <w:b w:val="0"/>
          <w:bCs w:val="0"/>
        </w:rPr>
      </w:pPr>
    </w:p>
    <w:sectPr w:rsidR="00793B76" w:rsidSect="00E36190">
      <w:headerReference w:type="even" r:id="rId30"/>
      <w:headerReference w:type="default" r:id="rId31"/>
      <w:headerReference w:type="first" r:id="rId3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09B68" w14:textId="77777777" w:rsidR="00244D24" w:rsidRDefault="00244D24" w:rsidP="0017734A">
      <w:pPr>
        <w:spacing w:after="0" w:line="240" w:lineRule="auto"/>
      </w:pPr>
      <w:r>
        <w:separator/>
      </w:r>
    </w:p>
  </w:endnote>
  <w:endnote w:type="continuationSeparator" w:id="0">
    <w:p w14:paraId="130CDC02" w14:textId="77777777" w:rsidR="00244D24" w:rsidRDefault="00244D24" w:rsidP="0017734A">
      <w:pPr>
        <w:spacing w:after="0" w:line="240" w:lineRule="auto"/>
      </w:pPr>
      <w:r>
        <w:continuationSeparator/>
      </w:r>
    </w:p>
  </w:endnote>
  <w:endnote w:type="continuationNotice" w:id="1">
    <w:p w14:paraId="73D0FE61" w14:textId="77777777" w:rsidR="00244D24" w:rsidRDefault="00244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77F6" w14:textId="77777777" w:rsidR="00244D24" w:rsidRDefault="00244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0E709" w14:textId="77777777" w:rsidR="00244D24" w:rsidRDefault="00244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9AFA8" w14:textId="77777777" w:rsidR="00244D24" w:rsidRDefault="00244D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62A1C" w14:textId="4CB6AFAB" w:rsidR="00244D24" w:rsidRDefault="00244D24" w:rsidP="003626D8">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(3.4 GHz Band) Spectrum Conversion Plan 2021</w:t>
    </w:r>
  </w:p>
  <w:p w14:paraId="56756B0E" w14:textId="77777777" w:rsidR="00244D24" w:rsidRPr="00BF4061" w:rsidRDefault="00244D24" w:rsidP="00BF4061">
    <w:pPr>
      <w:pStyle w:val="Footer"/>
      <w:jc w:val="right"/>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E2AE2" w14:textId="58C83F3B" w:rsidR="00244D24" w:rsidRDefault="00244D24" w:rsidP="00070F59">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(3.4 GHz Band) Spectrum Conversion Plan 2021</w:t>
    </w:r>
  </w:p>
  <w:p w14:paraId="630BDF91" w14:textId="77777777" w:rsidR="00244D24" w:rsidRPr="00BF4061" w:rsidRDefault="00244D24" w:rsidP="00BF4061">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sidRPr="00BF4061">
      <w:rPr>
        <w:rFonts w:ascii="Times New Roman" w:hAnsi="Times New Roman" w:cs="Times New Roman"/>
        <w:noProof/>
      </w:rPr>
      <w:t>1</w:t>
    </w:r>
    <w:r w:rsidRPr="00BF406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6A7DF" w14:textId="77777777" w:rsidR="00244D24" w:rsidRDefault="00244D24" w:rsidP="0017734A">
      <w:pPr>
        <w:spacing w:after="0" w:line="240" w:lineRule="auto"/>
      </w:pPr>
      <w:r>
        <w:separator/>
      </w:r>
    </w:p>
  </w:footnote>
  <w:footnote w:type="continuationSeparator" w:id="0">
    <w:p w14:paraId="30311D30" w14:textId="77777777" w:rsidR="00244D24" w:rsidRDefault="00244D24" w:rsidP="0017734A">
      <w:pPr>
        <w:spacing w:after="0" w:line="240" w:lineRule="auto"/>
      </w:pPr>
      <w:r>
        <w:continuationSeparator/>
      </w:r>
    </w:p>
  </w:footnote>
  <w:footnote w:type="continuationNotice" w:id="1">
    <w:p w14:paraId="2639A222" w14:textId="77777777" w:rsidR="00244D24" w:rsidRDefault="00244D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D319F" w14:textId="77777777" w:rsidR="00244D24" w:rsidRDefault="00244D2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DDCE2" w14:textId="2C12B6FD" w:rsidR="00244D24" w:rsidRDefault="00244D2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FE7F1" w14:textId="3FF792FE" w:rsidR="00244D24" w:rsidRPr="00AA77FD" w:rsidRDefault="00244D24" w:rsidP="003626D8">
    <w:pPr>
      <w:pStyle w:val="Header"/>
      <w:pBdr>
        <w:bottom w:val="single" w:sz="4" w:space="1" w:color="auto"/>
      </w:pBdr>
      <w:rPr>
        <w:rFonts w:ascii="Times New Roman" w:hAnsi="Times New Roman" w:cs="Times New Roman"/>
      </w:rPr>
    </w:pPr>
    <w:r w:rsidRPr="00AA77FD">
      <w:rPr>
        <w:rFonts w:ascii="Times New Roman" w:hAnsi="Times New Roman" w:cs="Times New Roman"/>
        <w:noProof/>
      </w:rPr>
      <w:t>Schedule 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2B394" w14:textId="6DA3481F" w:rsidR="00244D24" w:rsidRDefault="00244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DF450" w14:textId="77777777" w:rsidR="00244D24" w:rsidRDefault="00244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02A0B" w14:textId="77777777" w:rsidR="00244D24" w:rsidRDefault="00244D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E2707" w14:textId="7C34AB1A" w:rsidR="00244D24" w:rsidRDefault="00244D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4A590" w14:textId="0B94F8D0" w:rsidR="00244D24" w:rsidRPr="00A03DB3" w:rsidRDefault="00244D24" w:rsidP="00A03D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6C0F7" w14:textId="7555EB66" w:rsidR="00244D24" w:rsidRDefault="00244D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1286E" w14:textId="18AB465C" w:rsidR="00244D24" w:rsidRDefault="00244D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FC250" w14:textId="7A7A1445" w:rsidR="00244D24" w:rsidRPr="00F03566" w:rsidRDefault="00244D24" w:rsidP="003626D8">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022D60">
      <w:rPr>
        <w:rFonts w:ascii="Times New Roman" w:hAnsi="Times New Roman" w:cs="Times New Roman"/>
        <w:noProof/>
      </w:rPr>
      <w:t>21</w:t>
    </w:r>
    <w:r>
      <w:rPr>
        <w:rFonts w:ascii="Times New Roman" w:hAnsi="Times New Roman" w:cs="Times New Roman"/>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56B18" w14:textId="6D19FA7C" w:rsidR="00244D24" w:rsidRDefault="00244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A0534C"/>
    <w:multiLevelType w:val="hybridMultilevel"/>
    <w:tmpl w:val="A5B8F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0024F5F"/>
    <w:multiLevelType w:val="hybridMultilevel"/>
    <w:tmpl w:val="A93860B2"/>
    <w:lvl w:ilvl="0" w:tplc="0C09000F">
      <w:start w:val="1"/>
      <w:numFmt w:val="decimal"/>
      <w:lvlText w:val="%1."/>
      <w:lvlJc w:val="left"/>
      <w:pPr>
        <w:ind w:left="720" w:hanging="360"/>
      </w:pPr>
    </w:lvl>
    <w:lvl w:ilvl="1" w:tplc="F0FC8A2E">
      <w:start w:val="1"/>
      <w:numFmt w:val="lowerLetter"/>
      <w:lvlText w:val="(%2)"/>
      <w:lvlJc w:val="left"/>
      <w:pPr>
        <w:ind w:left="1440" w:hanging="360"/>
      </w:pPr>
      <w:rPr>
        <w:rFonts w:hint="default"/>
        <w:b/>
        <w:bCs/>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6"/>
  </w:num>
  <w:num w:numId="5">
    <w:abstractNumId w:val="4"/>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CBE"/>
    <w:rsid w:val="000012A4"/>
    <w:rsid w:val="000036A3"/>
    <w:rsid w:val="0000465F"/>
    <w:rsid w:val="00006A41"/>
    <w:rsid w:val="00010658"/>
    <w:rsid w:val="00011FF2"/>
    <w:rsid w:val="00013825"/>
    <w:rsid w:val="00014DF6"/>
    <w:rsid w:val="00015980"/>
    <w:rsid w:val="00015AB2"/>
    <w:rsid w:val="00016407"/>
    <w:rsid w:val="000178F5"/>
    <w:rsid w:val="00020C61"/>
    <w:rsid w:val="000220C1"/>
    <w:rsid w:val="00022D60"/>
    <w:rsid w:val="00024C7A"/>
    <w:rsid w:val="00027AFD"/>
    <w:rsid w:val="00031441"/>
    <w:rsid w:val="000340E0"/>
    <w:rsid w:val="00036992"/>
    <w:rsid w:val="0004001A"/>
    <w:rsid w:val="000402A1"/>
    <w:rsid w:val="00040D72"/>
    <w:rsid w:val="0004169F"/>
    <w:rsid w:val="000425E6"/>
    <w:rsid w:val="00043A48"/>
    <w:rsid w:val="00044BF6"/>
    <w:rsid w:val="00044E44"/>
    <w:rsid w:val="0005185D"/>
    <w:rsid w:val="00051A12"/>
    <w:rsid w:val="00053180"/>
    <w:rsid w:val="000563AD"/>
    <w:rsid w:val="00061810"/>
    <w:rsid w:val="00063EAB"/>
    <w:rsid w:val="0006508B"/>
    <w:rsid w:val="00066596"/>
    <w:rsid w:val="00066E92"/>
    <w:rsid w:val="00070F59"/>
    <w:rsid w:val="00072AEF"/>
    <w:rsid w:val="000746E6"/>
    <w:rsid w:val="0007617C"/>
    <w:rsid w:val="00076459"/>
    <w:rsid w:val="00077358"/>
    <w:rsid w:val="0007744E"/>
    <w:rsid w:val="00081177"/>
    <w:rsid w:val="00082BF1"/>
    <w:rsid w:val="00085BB4"/>
    <w:rsid w:val="00086BF0"/>
    <w:rsid w:val="00086C9F"/>
    <w:rsid w:val="00087F5A"/>
    <w:rsid w:val="00087FC1"/>
    <w:rsid w:val="00091F74"/>
    <w:rsid w:val="00092547"/>
    <w:rsid w:val="00093359"/>
    <w:rsid w:val="000939BF"/>
    <w:rsid w:val="000947E8"/>
    <w:rsid w:val="0009779B"/>
    <w:rsid w:val="00097890"/>
    <w:rsid w:val="000A1321"/>
    <w:rsid w:val="000A1FBD"/>
    <w:rsid w:val="000A2111"/>
    <w:rsid w:val="000A35B8"/>
    <w:rsid w:val="000A463E"/>
    <w:rsid w:val="000B1808"/>
    <w:rsid w:val="000B186D"/>
    <w:rsid w:val="000B226A"/>
    <w:rsid w:val="000B53FD"/>
    <w:rsid w:val="000B6428"/>
    <w:rsid w:val="000B6A3F"/>
    <w:rsid w:val="000B7FD2"/>
    <w:rsid w:val="000C05A9"/>
    <w:rsid w:val="000C075E"/>
    <w:rsid w:val="000C0C71"/>
    <w:rsid w:val="000C441C"/>
    <w:rsid w:val="000D12FC"/>
    <w:rsid w:val="000D1E54"/>
    <w:rsid w:val="000D6066"/>
    <w:rsid w:val="000D676B"/>
    <w:rsid w:val="000E2A21"/>
    <w:rsid w:val="000E35B9"/>
    <w:rsid w:val="000E7C3B"/>
    <w:rsid w:val="000F0D4D"/>
    <w:rsid w:val="000F1010"/>
    <w:rsid w:val="000F17B5"/>
    <w:rsid w:val="000F1CE3"/>
    <w:rsid w:val="000F2057"/>
    <w:rsid w:val="000F279C"/>
    <w:rsid w:val="000F3755"/>
    <w:rsid w:val="000F5C32"/>
    <w:rsid w:val="000F6D96"/>
    <w:rsid w:val="000F7714"/>
    <w:rsid w:val="000F77CA"/>
    <w:rsid w:val="00100103"/>
    <w:rsid w:val="001013E7"/>
    <w:rsid w:val="00110424"/>
    <w:rsid w:val="00113691"/>
    <w:rsid w:val="001138B2"/>
    <w:rsid w:val="0011624D"/>
    <w:rsid w:val="00120094"/>
    <w:rsid w:val="00123B04"/>
    <w:rsid w:val="001247D7"/>
    <w:rsid w:val="00124881"/>
    <w:rsid w:val="00124E96"/>
    <w:rsid w:val="00130D07"/>
    <w:rsid w:val="001311DF"/>
    <w:rsid w:val="0013157A"/>
    <w:rsid w:val="001316D8"/>
    <w:rsid w:val="00133B68"/>
    <w:rsid w:val="00134FF8"/>
    <w:rsid w:val="00137259"/>
    <w:rsid w:val="0014018D"/>
    <w:rsid w:val="00140407"/>
    <w:rsid w:val="001405BB"/>
    <w:rsid w:val="001410E0"/>
    <w:rsid w:val="001445F2"/>
    <w:rsid w:val="00144D95"/>
    <w:rsid w:val="00146719"/>
    <w:rsid w:val="0015041E"/>
    <w:rsid w:val="00151333"/>
    <w:rsid w:val="001525F9"/>
    <w:rsid w:val="00152CE6"/>
    <w:rsid w:val="00153270"/>
    <w:rsid w:val="00154ECC"/>
    <w:rsid w:val="00156D2C"/>
    <w:rsid w:val="00156E16"/>
    <w:rsid w:val="001604E7"/>
    <w:rsid w:val="00160E85"/>
    <w:rsid w:val="00160F8E"/>
    <w:rsid w:val="00162473"/>
    <w:rsid w:val="001625FD"/>
    <w:rsid w:val="0016293C"/>
    <w:rsid w:val="00162ECF"/>
    <w:rsid w:val="0016462E"/>
    <w:rsid w:val="00166EBC"/>
    <w:rsid w:val="00167747"/>
    <w:rsid w:val="001729BF"/>
    <w:rsid w:val="001748A1"/>
    <w:rsid w:val="001766B3"/>
    <w:rsid w:val="0017734A"/>
    <w:rsid w:val="0018053E"/>
    <w:rsid w:val="00181CFB"/>
    <w:rsid w:val="00183F2C"/>
    <w:rsid w:val="00183F81"/>
    <w:rsid w:val="00190A0E"/>
    <w:rsid w:val="00190B1B"/>
    <w:rsid w:val="0019145C"/>
    <w:rsid w:val="001920F7"/>
    <w:rsid w:val="001928A2"/>
    <w:rsid w:val="00195265"/>
    <w:rsid w:val="001971B8"/>
    <w:rsid w:val="001A0213"/>
    <w:rsid w:val="001A2B69"/>
    <w:rsid w:val="001A3612"/>
    <w:rsid w:val="001A4B39"/>
    <w:rsid w:val="001A6E85"/>
    <w:rsid w:val="001A7608"/>
    <w:rsid w:val="001A7B7E"/>
    <w:rsid w:val="001B084D"/>
    <w:rsid w:val="001B0BA6"/>
    <w:rsid w:val="001B0F39"/>
    <w:rsid w:val="001B1E06"/>
    <w:rsid w:val="001B2128"/>
    <w:rsid w:val="001B2574"/>
    <w:rsid w:val="001B2B09"/>
    <w:rsid w:val="001B327F"/>
    <w:rsid w:val="001B5B81"/>
    <w:rsid w:val="001B70D5"/>
    <w:rsid w:val="001B7427"/>
    <w:rsid w:val="001C22D8"/>
    <w:rsid w:val="001C240E"/>
    <w:rsid w:val="001C2999"/>
    <w:rsid w:val="001C329F"/>
    <w:rsid w:val="001C3477"/>
    <w:rsid w:val="001C3C78"/>
    <w:rsid w:val="001C4471"/>
    <w:rsid w:val="001C447F"/>
    <w:rsid w:val="001C4E4C"/>
    <w:rsid w:val="001C50BD"/>
    <w:rsid w:val="001C6DF6"/>
    <w:rsid w:val="001C7EF2"/>
    <w:rsid w:val="001D2C48"/>
    <w:rsid w:val="001D429A"/>
    <w:rsid w:val="001D4DDF"/>
    <w:rsid w:val="001D5189"/>
    <w:rsid w:val="001D6094"/>
    <w:rsid w:val="001D6380"/>
    <w:rsid w:val="001E0709"/>
    <w:rsid w:val="001E0E34"/>
    <w:rsid w:val="001E0EF9"/>
    <w:rsid w:val="001E1426"/>
    <w:rsid w:val="001E3A74"/>
    <w:rsid w:val="001E45EA"/>
    <w:rsid w:val="001F1334"/>
    <w:rsid w:val="001F2A6E"/>
    <w:rsid w:val="001F2B9D"/>
    <w:rsid w:val="001F3FD1"/>
    <w:rsid w:val="002059DD"/>
    <w:rsid w:val="00206404"/>
    <w:rsid w:val="00211306"/>
    <w:rsid w:val="00211382"/>
    <w:rsid w:val="002118CC"/>
    <w:rsid w:val="00211DAE"/>
    <w:rsid w:val="00212D44"/>
    <w:rsid w:val="002138FE"/>
    <w:rsid w:val="00215417"/>
    <w:rsid w:val="00215EB0"/>
    <w:rsid w:val="00215F01"/>
    <w:rsid w:val="00216376"/>
    <w:rsid w:val="00217AF2"/>
    <w:rsid w:val="002200E3"/>
    <w:rsid w:val="00220AB3"/>
    <w:rsid w:val="00222584"/>
    <w:rsid w:val="00222A18"/>
    <w:rsid w:val="0023236F"/>
    <w:rsid w:val="00232C53"/>
    <w:rsid w:val="002332A2"/>
    <w:rsid w:val="00233BF3"/>
    <w:rsid w:val="00234C6C"/>
    <w:rsid w:val="00234E4F"/>
    <w:rsid w:val="002359DE"/>
    <w:rsid w:val="002369E6"/>
    <w:rsid w:val="00241A08"/>
    <w:rsid w:val="00244C34"/>
    <w:rsid w:val="00244D24"/>
    <w:rsid w:val="0024651B"/>
    <w:rsid w:val="00251567"/>
    <w:rsid w:val="002534AA"/>
    <w:rsid w:val="0025352D"/>
    <w:rsid w:val="002555A3"/>
    <w:rsid w:val="002567DD"/>
    <w:rsid w:val="002569B5"/>
    <w:rsid w:val="002570C3"/>
    <w:rsid w:val="00263D45"/>
    <w:rsid w:val="0026538A"/>
    <w:rsid w:val="00267174"/>
    <w:rsid w:val="002705C8"/>
    <w:rsid w:val="002705D7"/>
    <w:rsid w:val="00277551"/>
    <w:rsid w:val="002777E9"/>
    <w:rsid w:val="00280AB4"/>
    <w:rsid w:val="002815B8"/>
    <w:rsid w:val="00281F93"/>
    <w:rsid w:val="00282F42"/>
    <w:rsid w:val="002840AE"/>
    <w:rsid w:val="002870F0"/>
    <w:rsid w:val="00287BD1"/>
    <w:rsid w:val="00291C8D"/>
    <w:rsid w:val="002929F5"/>
    <w:rsid w:val="00292F2F"/>
    <w:rsid w:val="002974F0"/>
    <w:rsid w:val="002A4BBA"/>
    <w:rsid w:val="002B0BD1"/>
    <w:rsid w:val="002B73D8"/>
    <w:rsid w:val="002C1F8C"/>
    <w:rsid w:val="002C3A96"/>
    <w:rsid w:val="002C6404"/>
    <w:rsid w:val="002C6C26"/>
    <w:rsid w:val="002C7383"/>
    <w:rsid w:val="002C74AF"/>
    <w:rsid w:val="002C788E"/>
    <w:rsid w:val="002C7D22"/>
    <w:rsid w:val="002D0B74"/>
    <w:rsid w:val="002D52D6"/>
    <w:rsid w:val="002D7CBD"/>
    <w:rsid w:val="002E1500"/>
    <w:rsid w:val="002E3987"/>
    <w:rsid w:val="002E515D"/>
    <w:rsid w:val="002E5B01"/>
    <w:rsid w:val="002E62EB"/>
    <w:rsid w:val="002E77D9"/>
    <w:rsid w:val="002F0E3F"/>
    <w:rsid w:val="002F143D"/>
    <w:rsid w:val="002F3393"/>
    <w:rsid w:val="002F4F1E"/>
    <w:rsid w:val="002F7598"/>
    <w:rsid w:val="00301DF1"/>
    <w:rsid w:val="0030548A"/>
    <w:rsid w:val="00307285"/>
    <w:rsid w:val="003077BE"/>
    <w:rsid w:val="00311ADE"/>
    <w:rsid w:val="003166CF"/>
    <w:rsid w:val="00320212"/>
    <w:rsid w:val="00320889"/>
    <w:rsid w:val="00323150"/>
    <w:rsid w:val="003246E7"/>
    <w:rsid w:val="00324E3F"/>
    <w:rsid w:val="00326470"/>
    <w:rsid w:val="00326889"/>
    <w:rsid w:val="003272B7"/>
    <w:rsid w:val="003273E0"/>
    <w:rsid w:val="0032788F"/>
    <w:rsid w:val="0033094E"/>
    <w:rsid w:val="00331B39"/>
    <w:rsid w:val="00331E5F"/>
    <w:rsid w:val="00332817"/>
    <w:rsid w:val="00332A9E"/>
    <w:rsid w:val="00334B89"/>
    <w:rsid w:val="0033543B"/>
    <w:rsid w:val="0033692B"/>
    <w:rsid w:val="00336B15"/>
    <w:rsid w:val="003377E8"/>
    <w:rsid w:val="003400E8"/>
    <w:rsid w:val="003421D6"/>
    <w:rsid w:val="00344A03"/>
    <w:rsid w:val="00346B71"/>
    <w:rsid w:val="00347EB1"/>
    <w:rsid w:val="00353877"/>
    <w:rsid w:val="00357B08"/>
    <w:rsid w:val="00357F32"/>
    <w:rsid w:val="003608B8"/>
    <w:rsid w:val="003626D8"/>
    <w:rsid w:val="00365E9D"/>
    <w:rsid w:val="00366F3B"/>
    <w:rsid w:val="00370A0A"/>
    <w:rsid w:val="0037205D"/>
    <w:rsid w:val="00372D68"/>
    <w:rsid w:val="00372F94"/>
    <w:rsid w:val="00373C4D"/>
    <w:rsid w:val="00373C94"/>
    <w:rsid w:val="003741EA"/>
    <w:rsid w:val="0037502B"/>
    <w:rsid w:val="003754CD"/>
    <w:rsid w:val="00380A61"/>
    <w:rsid w:val="00380DC2"/>
    <w:rsid w:val="003813EE"/>
    <w:rsid w:val="003824FC"/>
    <w:rsid w:val="00387C2F"/>
    <w:rsid w:val="00391738"/>
    <w:rsid w:val="00395204"/>
    <w:rsid w:val="00396B8B"/>
    <w:rsid w:val="003973D0"/>
    <w:rsid w:val="00397CE1"/>
    <w:rsid w:val="003A0F02"/>
    <w:rsid w:val="003B0193"/>
    <w:rsid w:val="003B2206"/>
    <w:rsid w:val="003B2C48"/>
    <w:rsid w:val="003B3B95"/>
    <w:rsid w:val="003B511B"/>
    <w:rsid w:val="003B5BD7"/>
    <w:rsid w:val="003B64CF"/>
    <w:rsid w:val="003B67C4"/>
    <w:rsid w:val="003B6983"/>
    <w:rsid w:val="003B6A10"/>
    <w:rsid w:val="003C0096"/>
    <w:rsid w:val="003C11AA"/>
    <w:rsid w:val="003C34F0"/>
    <w:rsid w:val="003C54D6"/>
    <w:rsid w:val="003C7A5A"/>
    <w:rsid w:val="003D16FE"/>
    <w:rsid w:val="003D2DA3"/>
    <w:rsid w:val="003D3FE1"/>
    <w:rsid w:val="003D40F8"/>
    <w:rsid w:val="003D44FE"/>
    <w:rsid w:val="003D749D"/>
    <w:rsid w:val="003E05A2"/>
    <w:rsid w:val="003E1BE7"/>
    <w:rsid w:val="003E56BF"/>
    <w:rsid w:val="003E6F71"/>
    <w:rsid w:val="003E76CF"/>
    <w:rsid w:val="003F0CA6"/>
    <w:rsid w:val="003F0CE2"/>
    <w:rsid w:val="003F1A9B"/>
    <w:rsid w:val="003F40B7"/>
    <w:rsid w:val="003F70DF"/>
    <w:rsid w:val="00400DD7"/>
    <w:rsid w:val="004025F4"/>
    <w:rsid w:val="00404005"/>
    <w:rsid w:val="004042B9"/>
    <w:rsid w:val="004047F1"/>
    <w:rsid w:val="00411DAF"/>
    <w:rsid w:val="00416E07"/>
    <w:rsid w:val="00417B8B"/>
    <w:rsid w:val="00421C52"/>
    <w:rsid w:val="004228FC"/>
    <w:rsid w:val="00422B14"/>
    <w:rsid w:val="0042310B"/>
    <w:rsid w:val="004235A9"/>
    <w:rsid w:val="00424038"/>
    <w:rsid w:val="00425281"/>
    <w:rsid w:val="00425FA8"/>
    <w:rsid w:val="00426BB5"/>
    <w:rsid w:val="00427B8D"/>
    <w:rsid w:val="004305C5"/>
    <w:rsid w:val="0043103D"/>
    <w:rsid w:val="00433B4B"/>
    <w:rsid w:val="004345E8"/>
    <w:rsid w:val="00434B53"/>
    <w:rsid w:val="004361D9"/>
    <w:rsid w:val="00440610"/>
    <w:rsid w:val="00440E7D"/>
    <w:rsid w:val="00442B79"/>
    <w:rsid w:val="00442FFA"/>
    <w:rsid w:val="00444F19"/>
    <w:rsid w:val="00450283"/>
    <w:rsid w:val="00452993"/>
    <w:rsid w:val="00455A3C"/>
    <w:rsid w:val="00456520"/>
    <w:rsid w:val="004579C4"/>
    <w:rsid w:val="00461644"/>
    <w:rsid w:val="00462848"/>
    <w:rsid w:val="004656A7"/>
    <w:rsid w:val="00471328"/>
    <w:rsid w:val="00471518"/>
    <w:rsid w:val="00472AB7"/>
    <w:rsid w:val="004736DD"/>
    <w:rsid w:val="004755CE"/>
    <w:rsid w:val="00480559"/>
    <w:rsid w:val="004858DB"/>
    <w:rsid w:val="00487686"/>
    <w:rsid w:val="00491576"/>
    <w:rsid w:val="00494AD8"/>
    <w:rsid w:val="004970D1"/>
    <w:rsid w:val="004A310F"/>
    <w:rsid w:val="004A6D44"/>
    <w:rsid w:val="004B0004"/>
    <w:rsid w:val="004B4796"/>
    <w:rsid w:val="004B79B3"/>
    <w:rsid w:val="004B7CD4"/>
    <w:rsid w:val="004C06D8"/>
    <w:rsid w:val="004C2527"/>
    <w:rsid w:val="004C2C30"/>
    <w:rsid w:val="004C47C7"/>
    <w:rsid w:val="004C6F47"/>
    <w:rsid w:val="004C75F2"/>
    <w:rsid w:val="004D102A"/>
    <w:rsid w:val="004D1121"/>
    <w:rsid w:val="004D2A19"/>
    <w:rsid w:val="004D42A5"/>
    <w:rsid w:val="004D5CB4"/>
    <w:rsid w:val="004D664C"/>
    <w:rsid w:val="004D6B79"/>
    <w:rsid w:val="004D7C14"/>
    <w:rsid w:val="004E1AB0"/>
    <w:rsid w:val="004E233D"/>
    <w:rsid w:val="004E3164"/>
    <w:rsid w:val="004E3F71"/>
    <w:rsid w:val="004E45E8"/>
    <w:rsid w:val="004E4635"/>
    <w:rsid w:val="004F0A48"/>
    <w:rsid w:val="004F0F9D"/>
    <w:rsid w:val="004F1654"/>
    <w:rsid w:val="004F189E"/>
    <w:rsid w:val="004F193C"/>
    <w:rsid w:val="004F54B8"/>
    <w:rsid w:val="004F73AB"/>
    <w:rsid w:val="004F7972"/>
    <w:rsid w:val="004F7B50"/>
    <w:rsid w:val="00502445"/>
    <w:rsid w:val="00506490"/>
    <w:rsid w:val="00507565"/>
    <w:rsid w:val="00507B1F"/>
    <w:rsid w:val="00507D03"/>
    <w:rsid w:val="00517982"/>
    <w:rsid w:val="005236D8"/>
    <w:rsid w:val="005255F0"/>
    <w:rsid w:val="005261CE"/>
    <w:rsid w:val="00527341"/>
    <w:rsid w:val="00530060"/>
    <w:rsid w:val="00530687"/>
    <w:rsid w:val="00533B89"/>
    <w:rsid w:val="005365F6"/>
    <w:rsid w:val="0054274A"/>
    <w:rsid w:val="00543DBA"/>
    <w:rsid w:val="005460F6"/>
    <w:rsid w:val="00551D09"/>
    <w:rsid w:val="00553490"/>
    <w:rsid w:val="00553DD5"/>
    <w:rsid w:val="00554DA0"/>
    <w:rsid w:val="0056076D"/>
    <w:rsid w:val="0056253B"/>
    <w:rsid w:val="005643D5"/>
    <w:rsid w:val="00567F69"/>
    <w:rsid w:val="00577C64"/>
    <w:rsid w:val="005809D6"/>
    <w:rsid w:val="00583F0E"/>
    <w:rsid w:val="00585DEC"/>
    <w:rsid w:val="00590982"/>
    <w:rsid w:val="005919DC"/>
    <w:rsid w:val="005920B2"/>
    <w:rsid w:val="005948F8"/>
    <w:rsid w:val="005957A6"/>
    <w:rsid w:val="00596A2A"/>
    <w:rsid w:val="00597D13"/>
    <w:rsid w:val="005A00B0"/>
    <w:rsid w:val="005A0C59"/>
    <w:rsid w:val="005A13C4"/>
    <w:rsid w:val="005A27C6"/>
    <w:rsid w:val="005A3582"/>
    <w:rsid w:val="005A41BC"/>
    <w:rsid w:val="005A4BFC"/>
    <w:rsid w:val="005A53C8"/>
    <w:rsid w:val="005B0316"/>
    <w:rsid w:val="005B1086"/>
    <w:rsid w:val="005B14D7"/>
    <w:rsid w:val="005B2AC2"/>
    <w:rsid w:val="005B4F22"/>
    <w:rsid w:val="005B5A5B"/>
    <w:rsid w:val="005B620C"/>
    <w:rsid w:val="005B73D9"/>
    <w:rsid w:val="005C0555"/>
    <w:rsid w:val="005C07F0"/>
    <w:rsid w:val="005C1C59"/>
    <w:rsid w:val="005C38AA"/>
    <w:rsid w:val="005C3DBE"/>
    <w:rsid w:val="005C4D1A"/>
    <w:rsid w:val="005C4F3C"/>
    <w:rsid w:val="005C79E1"/>
    <w:rsid w:val="005C7CA8"/>
    <w:rsid w:val="005D070B"/>
    <w:rsid w:val="005D079F"/>
    <w:rsid w:val="005D0D57"/>
    <w:rsid w:val="005D1753"/>
    <w:rsid w:val="005D25AF"/>
    <w:rsid w:val="005D3D27"/>
    <w:rsid w:val="005D43B5"/>
    <w:rsid w:val="005D5DDE"/>
    <w:rsid w:val="005D7E45"/>
    <w:rsid w:val="005D7EF9"/>
    <w:rsid w:val="005E3873"/>
    <w:rsid w:val="005E3CF1"/>
    <w:rsid w:val="005E3F70"/>
    <w:rsid w:val="005F0D9D"/>
    <w:rsid w:val="005F474D"/>
    <w:rsid w:val="005F4B34"/>
    <w:rsid w:val="005F57E0"/>
    <w:rsid w:val="006026C0"/>
    <w:rsid w:val="00603932"/>
    <w:rsid w:val="00603981"/>
    <w:rsid w:val="00605EFD"/>
    <w:rsid w:val="00606077"/>
    <w:rsid w:val="00606CE5"/>
    <w:rsid w:val="00607891"/>
    <w:rsid w:val="00616C3E"/>
    <w:rsid w:val="006208AE"/>
    <w:rsid w:val="006233CB"/>
    <w:rsid w:val="00623B7E"/>
    <w:rsid w:val="006256DB"/>
    <w:rsid w:val="006261FA"/>
    <w:rsid w:val="0062630F"/>
    <w:rsid w:val="00626CD3"/>
    <w:rsid w:val="00630181"/>
    <w:rsid w:val="0063096D"/>
    <w:rsid w:val="00630E2D"/>
    <w:rsid w:val="00631677"/>
    <w:rsid w:val="00632A5A"/>
    <w:rsid w:val="006340B2"/>
    <w:rsid w:val="00634A55"/>
    <w:rsid w:val="00634EE0"/>
    <w:rsid w:val="0063584D"/>
    <w:rsid w:val="00635EA1"/>
    <w:rsid w:val="00636EDD"/>
    <w:rsid w:val="00640849"/>
    <w:rsid w:val="00640C26"/>
    <w:rsid w:val="00640DCC"/>
    <w:rsid w:val="006437D6"/>
    <w:rsid w:val="0064393C"/>
    <w:rsid w:val="006453A3"/>
    <w:rsid w:val="00645B3F"/>
    <w:rsid w:val="00650E29"/>
    <w:rsid w:val="00650F57"/>
    <w:rsid w:val="00652308"/>
    <w:rsid w:val="00653901"/>
    <w:rsid w:val="00657113"/>
    <w:rsid w:val="006575C0"/>
    <w:rsid w:val="006608EC"/>
    <w:rsid w:val="00662E1E"/>
    <w:rsid w:val="00663991"/>
    <w:rsid w:val="0066405E"/>
    <w:rsid w:val="006641D3"/>
    <w:rsid w:val="00666AB7"/>
    <w:rsid w:val="00670C1A"/>
    <w:rsid w:val="006714DF"/>
    <w:rsid w:val="00671694"/>
    <w:rsid w:val="0067324A"/>
    <w:rsid w:val="00675EA3"/>
    <w:rsid w:val="00681361"/>
    <w:rsid w:val="0068304A"/>
    <w:rsid w:val="006848CB"/>
    <w:rsid w:val="00685108"/>
    <w:rsid w:val="00687751"/>
    <w:rsid w:val="00693D4F"/>
    <w:rsid w:val="00697C55"/>
    <w:rsid w:val="006A073B"/>
    <w:rsid w:val="006A4389"/>
    <w:rsid w:val="006A5206"/>
    <w:rsid w:val="006A552F"/>
    <w:rsid w:val="006A6D37"/>
    <w:rsid w:val="006A715C"/>
    <w:rsid w:val="006B051F"/>
    <w:rsid w:val="006B187C"/>
    <w:rsid w:val="006B2561"/>
    <w:rsid w:val="006B36DC"/>
    <w:rsid w:val="006B5E7F"/>
    <w:rsid w:val="006B6C91"/>
    <w:rsid w:val="006B6DDF"/>
    <w:rsid w:val="006B7765"/>
    <w:rsid w:val="006C0251"/>
    <w:rsid w:val="006C3AA2"/>
    <w:rsid w:val="006C3B4C"/>
    <w:rsid w:val="006C4567"/>
    <w:rsid w:val="006D14B8"/>
    <w:rsid w:val="006D36DE"/>
    <w:rsid w:val="006D5CCA"/>
    <w:rsid w:val="006D7488"/>
    <w:rsid w:val="006D7EC0"/>
    <w:rsid w:val="006E0C36"/>
    <w:rsid w:val="006E143B"/>
    <w:rsid w:val="006E5B82"/>
    <w:rsid w:val="006E7FFE"/>
    <w:rsid w:val="006F0547"/>
    <w:rsid w:val="006F1E86"/>
    <w:rsid w:val="006F5CF2"/>
    <w:rsid w:val="006F5F7B"/>
    <w:rsid w:val="006F662B"/>
    <w:rsid w:val="00700BBF"/>
    <w:rsid w:val="00703828"/>
    <w:rsid w:val="00704A4E"/>
    <w:rsid w:val="00705DD0"/>
    <w:rsid w:val="007077EE"/>
    <w:rsid w:val="00707D8B"/>
    <w:rsid w:val="00710AEE"/>
    <w:rsid w:val="0071142C"/>
    <w:rsid w:val="00712DC1"/>
    <w:rsid w:val="00712FA9"/>
    <w:rsid w:val="00715645"/>
    <w:rsid w:val="00716DE0"/>
    <w:rsid w:val="00720FF8"/>
    <w:rsid w:val="00721966"/>
    <w:rsid w:val="0072798C"/>
    <w:rsid w:val="00733FB0"/>
    <w:rsid w:val="0073426E"/>
    <w:rsid w:val="0073508B"/>
    <w:rsid w:val="0073594C"/>
    <w:rsid w:val="00735A25"/>
    <w:rsid w:val="00735B1B"/>
    <w:rsid w:val="00735C2F"/>
    <w:rsid w:val="00737B0D"/>
    <w:rsid w:val="0074015E"/>
    <w:rsid w:val="00740784"/>
    <w:rsid w:val="007425BC"/>
    <w:rsid w:val="00743346"/>
    <w:rsid w:val="0074335A"/>
    <w:rsid w:val="00743519"/>
    <w:rsid w:val="00743B26"/>
    <w:rsid w:val="00743E55"/>
    <w:rsid w:val="00744D6E"/>
    <w:rsid w:val="007451BF"/>
    <w:rsid w:val="0074560B"/>
    <w:rsid w:val="007500ED"/>
    <w:rsid w:val="007505E2"/>
    <w:rsid w:val="007510CC"/>
    <w:rsid w:val="00752357"/>
    <w:rsid w:val="00752F72"/>
    <w:rsid w:val="007557CE"/>
    <w:rsid w:val="00755E7D"/>
    <w:rsid w:val="00756034"/>
    <w:rsid w:val="00756A7D"/>
    <w:rsid w:val="007616FD"/>
    <w:rsid w:val="00761A86"/>
    <w:rsid w:val="007627E1"/>
    <w:rsid w:val="00762CB1"/>
    <w:rsid w:val="00763288"/>
    <w:rsid w:val="00763880"/>
    <w:rsid w:val="0076397D"/>
    <w:rsid w:val="007665FB"/>
    <w:rsid w:val="00770264"/>
    <w:rsid w:val="00774670"/>
    <w:rsid w:val="0077468C"/>
    <w:rsid w:val="007778B9"/>
    <w:rsid w:val="00782317"/>
    <w:rsid w:val="00782ADA"/>
    <w:rsid w:val="007833EE"/>
    <w:rsid w:val="007836D8"/>
    <w:rsid w:val="00783876"/>
    <w:rsid w:val="00783CDE"/>
    <w:rsid w:val="00784E40"/>
    <w:rsid w:val="0078549A"/>
    <w:rsid w:val="00785681"/>
    <w:rsid w:val="00785C1B"/>
    <w:rsid w:val="00791402"/>
    <w:rsid w:val="007916A3"/>
    <w:rsid w:val="00791B73"/>
    <w:rsid w:val="00791C85"/>
    <w:rsid w:val="0079222A"/>
    <w:rsid w:val="00793B76"/>
    <w:rsid w:val="00795B8C"/>
    <w:rsid w:val="00796E4F"/>
    <w:rsid w:val="00797C9D"/>
    <w:rsid w:val="007A3098"/>
    <w:rsid w:val="007A5A25"/>
    <w:rsid w:val="007B1542"/>
    <w:rsid w:val="007B1D75"/>
    <w:rsid w:val="007B3545"/>
    <w:rsid w:val="007B4EB4"/>
    <w:rsid w:val="007C19DE"/>
    <w:rsid w:val="007C1AC6"/>
    <w:rsid w:val="007D093E"/>
    <w:rsid w:val="007D29C5"/>
    <w:rsid w:val="007D2EAD"/>
    <w:rsid w:val="007D3584"/>
    <w:rsid w:val="007D376A"/>
    <w:rsid w:val="007D5537"/>
    <w:rsid w:val="007E1C85"/>
    <w:rsid w:val="007E2A37"/>
    <w:rsid w:val="007E3B9D"/>
    <w:rsid w:val="007E3C0E"/>
    <w:rsid w:val="007E56EC"/>
    <w:rsid w:val="007F0023"/>
    <w:rsid w:val="007F1B6D"/>
    <w:rsid w:val="007F1C33"/>
    <w:rsid w:val="007F2850"/>
    <w:rsid w:val="007F36B1"/>
    <w:rsid w:val="007F41A7"/>
    <w:rsid w:val="007F4218"/>
    <w:rsid w:val="007F5AE7"/>
    <w:rsid w:val="007F7147"/>
    <w:rsid w:val="00800823"/>
    <w:rsid w:val="00800926"/>
    <w:rsid w:val="00805535"/>
    <w:rsid w:val="00806C8A"/>
    <w:rsid w:val="00807D67"/>
    <w:rsid w:val="0081244E"/>
    <w:rsid w:val="00812A22"/>
    <w:rsid w:val="00813F27"/>
    <w:rsid w:val="00814838"/>
    <w:rsid w:val="00814B56"/>
    <w:rsid w:val="00814F74"/>
    <w:rsid w:val="0082176D"/>
    <w:rsid w:val="008248BD"/>
    <w:rsid w:val="00827131"/>
    <w:rsid w:val="0083008D"/>
    <w:rsid w:val="00834492"/>
    <w:rsid w:val="00834B8F"/>
    <w:rsid w:val="00835CC3"/>
    <w:rsid w:val="00836EE2"/>
    <w:rsid w:val="008413BE"/>
    <w:rsid w:val="00846593"/>
    <w:rsid w:val="00847D9D"/>
    <w:rsid w:val="0085131D"/>
    <w:rsid w:val="00853D5C"/>
    <w:rsid w:val="00854E86"/>
    <w:rsid w:val="00856DA1"/>
    <w:rsid w:val="0086239F"/>
    <w:rsid w:val="008637D4"/>
    <w:rsid w:val="008637E2"/>
    <w:rsid w:val="00867572"/>
    <w:rsid w:val="00870270"/>
    <w:rsid w:val="008704B6"/>
    <w:rsid w:val="00870FEA"/>
    <w:rsid w:val="00872344"/>
    <w:rsid w:val="008730D8"/>
    <w:rsid w:val="00873EDD"/>
    <w:rsid w:val="008745FD"/>
    <w:rsid w:val="0087576E"/>
    <w:rsid w:val="0088109F"/>
    <w:rsid w:val="00882371"/>
    <w:rsid w:val="00883A55"/>
    <w:rsid w:val="00886114"/>
    <w:rsid w:val="008864A2"/>
    <w:rsid w:val="00890C84"/>
    <w:rsid w:val="00890E78"/>
    <w:rsid w:val="00890FDF"/>
    <w:rsid w:val="00892659"/>
    <w:rsid w:val="0089278F"/>
    <w:rsid w:val="00892B07"/>
    <w:rsid w:val="008930EA"/>
    <w:rsid w:val="0089465E"/>
    <w:rsid w:val="00895A23"/>
    <w:rsid w:val="00895DCA"/>
    <w:rsid w:val="00895EE2"/>
    <w:rsid w:val="00896A23"/>
    <w:rsid w:val="008976B4"/>
    <w:rsid w:val="008A1DAF"/>
    <w:rsid w:val="008A2812"/>
    <w:rsid w:val="008A2CE6"/>
    <w:rsid w:val="008A3257"/>
    <w:rsid w:val="008B1831"/>
    <w:rsid w:val="008B23AD"/>
    <w:rsid w:val="008B23CF"/>
    <w:rsid w:val="008B2B2C"/>
    <w:rsid w:val="008C0A2C"/>
    <w:rsid w:val="008C0BAC"/>
    <w:rsid w:val="008C108D"/>
    <w:rsid w:val="008C1097"/>
    <w:rsid w:val="008C13F8"/>
    <w:rsid w:val="008C5FC8"/>
    <w:rsid w:val="008C7462"/>
    <w:rsid w:val="008D4A16"/>
    <w:rsid w:val="008D642E"/>
    <w:rsid w:val="008E03AE"/>
    <w:rsid w:val="008E0733"/>
    <w:rsid w:val="008E16E9"/>
    <w:rsid w:val="008E28B0"/>
    <w:rsid w:val="008E3E60"/>
    <w:rsid w:val="008E4B6B"/>
    <w:rsid w:val="008E5CF6"/>
    <w:rsid w:val="008E5D57"/>
    <w:rsid w:val="008E605E"/>
    <w:rsid w:val="008E61A1"/>
    <w:rsid w:val="008E6821"/>
    <w:rsid w:val="008F015D"/>
    <w:rsid w:val="008F01A7"/>
    <w:rsid w:val="008F0D09"/>
    <w:rsid w:val="008F13B4"/>
    <w:rsid w:val="008F295F"/>
    <w:rsid w:val="008F2A6B"/>
    <w:rsid w:val="008F576D"/>
    <w:rsid w:val="0090181B"/>
    <w:rsid w:val="00903870"/>
    <w:rsid w:val="0090394B"/>
    <w:rsid w:val="00914F7F"/>
    <w:rsid w:val="0091792E"/>
    <w:rsid w:val="00917A9B"/>
    <w:rsid w:val="00920A95"/>
    <w:rsid w:val="00922850"/>
    <w:rsid w:val="009247B3"/>
    <w:rsid w:val="009248C6"/>
    <w:rsid w:val="009254D6"/>
    <w:rsid w:val="0092704D"/>
    <w:rsid w:val="009305CC"/>
    <w:rsid w:val="009316AB"/>
    <w:rsid w:val="00931FB4"/>
    <w:rsid w:val="00932FFF"/>
    <w:rsid w:val="00935BBD"/>
    <w:rsid w:val="00935EA6"/>
    <w:rsid w:val="00936E66"/>
    <w:rsid w:val="00937D66"/>
    <w:rsid w:val="00940226"/>
    <w:rsid w:val="009426E0"/>
    <w:rsid w:val="00942C81"/>
    <w:rsid w:val="0094430C"/>
    <w:rsid w:val="009476F7"/>
    <w:rsid w:val="009535DE"/>
    <w:rsid w:val="00954745"/>
    <w:rsid w:val="00954B44"/>
    <w:rsid w:val="00954F0C"/>
    <w:rsid w:val="0095626E"/>
    <w:rsid w:val="0095709B"/>
    <w:rsid w:val="00957210"/>
    <w:rsid w:val="0096004E"/>
    <w:rsid w:val="0096021C"/>
    <w:rsid w:val="009637DB"/>
    <w:rsid w:val="00966602"/>
    <w:rsid w:val="00966DA5"/>
    <w:rsid w:val="0097228D"/>
    <w:rsid w:val="00974C3F"/>
    <w:rsid w:val="00975F84"/>
    <w:rsid w:val="0097757C"/>
    <w:rsid w:val="00984C98"/>
    <w:rsid w:val="00985050"/>
    <w:rsid w:val="009853BF"/>
    <w:rsid w:val="009855C7"/>
    <w:rsid w:val="00986AD8"/>
    <w:rsid w:val="00987A5F"/>
    <w:rsid w:val="00994542"/>
    <w:rsid w:val="00994CCF"/>
    <w:rsid w:val="00995BA5"/>
    <w:rsid w:val="009A1B27"/>
    <w:rsid w:val="009A4361"/>
    <w:rsid w:val="009A6DB9"/>
    <w:rsid w:val="009A6FFD"/>
    <w:rsid w:val="009B3E70"/>
    <w:rsid w:val="009B4522"/>
    <w:rsid w:val="009B4951"/>
    <w:rsid w:val="009B6277"/>
    <w:rsid w:val="009C32EC"/>
    <w:rsid w:val="009C3DF2"/>
    <w:rsid w:val="009C50E6"/>
    <w:rsid w:val="009C7883"/>
    <w:rsid w:val="009D050F"/>
    <w:rsid w:val="009D1FCF"/>
    <w:rsid w:val="009D2AA7"/>
    <w:rsid w:val="009D2BAB"/>
    <w:rsid w:val="009D3917"/>
    <w:rsid w:val="009D43C9"/>
    <w:rsid w:val="009D640C"/>
    <w:rsid w:val="009D6F59"/>
    <w:rsid w:val="009E19F0"/>
    <w:rsid w:val="009E2417"/>
    <w:rsid w:val="009E2EBD"/>
    <w:rsid w:val="009E3495"/>
    <w:rsid w:val="009E4691"/>
    <w:rsid w:val="009E5862"/>
    <w:rsid w:val="009E6C7C"/>
    <w:rsid w:val="009E6E2F"/>
    <w:rsid w:val="009F0185"/>
    <w:rsid w:val="009F19D6"/>
    <w:rsid w:val="009F2A5E"/>
    <w:rsid w:val="009F6428"/>
    <w:rsid w:val="00A010F3"/>
    <w:rsid w:val="00A02649"/>
    <w:rsid w:val="00A03DB3"/>
    <w:rsid w:val="00A0421C"/>
    <w:rsid w:val="00A04717"/>
    <w:rsid w:val="00A04E7A"/>
    <w:rsid w:val="00A05BEE"/>
    <w:rsid w:val="00A06C71"/>
    <w:rsid w:val="00A0761D"/>
    <w:rsid w:val="00A11C8A"/>
    <w:rsid w:val="00A141C2"/>
    <w:rsid w:val="00A1592B"/>
    <w:rsid w:val="00A16B52"/>
    <w:rsid w:val="00A17DDC"/>
    <w:rsid w:val="00A21C38"/>
    <w:rsid w:val="00A2222D"/>
    <w:rsid w:val="00A236E5"/>
    <w:rsid w:val="00A26464"/>
    <w:rsid w:val="00A26D53"/>
    <w:rsid w:val="00A35082"/>
    <w:rsid w:val="00A36E67"/>
    <w:rsid w:val="00A425B7"/>
    <w:rsid w:val="00A42F13"/>
    <w:rsid w:val="00A4439F"/>
    <w:rsid w:val="00A45C1A"/>
    <w:rsid w:val="00A46F76"/>
    <w:rsid w:val="00A47961"/>
    <w:rsid w:val="00A533E4"/>
    <w:rsid w:val="00A53D82"/>
    <w:rsid w:val="00A54916"/>
    <w:rsid w:val="00A55336"/>
    <w:rsid w:val="00A5740E"/>
    <w:rsid w:val="00A5783F"/>
    <w:rsid w:val="00A6386A"/>
    <w:rsid w:val="00A65C02"/>
    <w:rsid w:val="00A667E2"/>
    <w:rsid w:val="00A669CB"/>
    <w:rsid w:val="00A66E43"/>
    <w:rsid w:val="00A676B9"/>
    <w:rsid w:val="00A70EBA"/>
    <w:rsid w:val="00A717A9"/>
    <w:rsid w:val="00A7192B"/>
    <w:rsid w:val="00A71F1D"/>
    <w:rsid w:val="00A71F32"/>
    <w:rsid w:val="00A71F94"/>
    <w:rsid w:val="00A731A1"/>
    <w:rsid w:val="00A73ADA"/>
    <w:rsid w:val="00A74A15"/>
    <w:rsid w:val="00A76964"/>
    <w:rsid w:val="00A77131"/>
    <w:rsid w:val="00A7736A"/>
    <w:rsid w:val="00A778ED"/>
    <w:rsid w:val="00A816D6"/>
    <w:rsid w:val="00A87309"/>
    <w:rsid w:val="00A8757F"/>
    <w:rsid w:val="00A90DF9"/>
    <w:rsid w:val="00A91DDC"/>
    <w:rsid w:val="00A944B3"/>
    <w:rsid w:val="00A94F3C"/>
    <w:rsid w:val="00A965A3"/>
    <w:rsid w:val="00A96D22"/>
    <w:rsid w:val="00AA1E0A"/>
    <w:rsid w:val="00AA77FD"/>
    <w:rsid w:val="00AA791E"/>
    <w:rsid w:val="00AB1A1E"/>
    <w:rsid w:val="00AB3014"/>
    <w:rsid w:val="00AB3598"/>
    <w:rsid w:val="00AB403A"/>
    <w:rsid w:val="00AB49DB"/>
    <w:rsid w:val="00AB56BB"/>
    <w:rsid w:val="00AC08D6"/>
    <w:rsid w:val="00AC3EF4"/>
    <w:rsid w:val="00AC5FC8"/>
    <w:rsid w:val="00AC682B"/>
    <w:rsid w:val="00AC6B52"/>
    <w:rsid w:val="00AC7332"/>
    <w:rsid w:val="00AC7F5E"/>
    <w:rsid w:val="00AD07A2"/>
    <w:rsid w:val="00AD14AA"/>
    <w:rsid w:val="00AD1EEA"/>
    <w:rsid w:val="00AD5558"/>
    <w:rsid w:val="00AD64D1"/>
    <w:rsid w:val="00AD72AC"/>
    <w:rsid w:val="00AD79AF"/>
    <w:rsid w:val="00AD7EA6"/>
    <w:rsid w:val="00AE0325"/>
    <w:rsid w:val="00AE0971"/>
    <w:rsid w:val="00AE1ECA"/>
    <w:rsid w:val="00AE283C"/>
    <w:rsid w:val="00AE2A5C"/>
    <w:rsid w:val="00AE2DB8"/>
    <w:rsid w:val="00AE42E7"/>
    <w:rsid w:val="00AE50D5"/>
    <w:rsid w:val="00AF2EC0"/>
    <w:rsid w:val="00AF30CB"/>
    <w:rsid w:val="00AF3EF4"/>
    <w:rsid w:val="00AF5D5B"/>
    <w:rsid w:val="00AF5F2F"/>
    <w:rsid w:val="00AF76DA"/>
    <w:rsid w:val="00B05BF0"/>
    <w:rsid w:val="00B06DC1"/>
    <w:rsid w:val="00B12B98"/>
    <w:rsid w:val="00B13B65"/>
    <w:rsid w:val="00B144C9"/>
    <w:rsid w:val="00B159E2"/>
    <w:rsid w:val="00B1640A"/>
    <w:rsid w:val="00B16596"/>
    <w:rsid w:val="00B17854"/>
    <w:rsid w:val="00B20320"/>
    <w:rsid w:val="00B20FB2"/>
    <w:rsid w:val="00B22FA4"/>
    <w:rsid w:val="00B23A2D"/>
    <w:rsid w:val="00B25DD3"/>
    <w:rsid w:val="00B263BE"/>
    <w:rsid w:val="00B30316"/>
    <w:rsid w:val="00B30E43"/>
    <w:rsid w:val="00B32048"/>
    <w:rsid w:val="00B33252"/>
    <w:rsid w:val="00B34A4D"/>
    <w:rsid w:val="00B35762"/>
    <w:rsid w:val="00B37050"/>
    <w:rsid w:val="00B3734E"/>
    <w:rsid w:val="00B401F7"/>
    <w:rsid w:val="00B419EB"/>
    <w:rsid w:val="00B42338"/>
    <w:rsid w:val="00B42633"/>
    <w:rsid w:val="00B4465D"/>
    <w:rsid w:val="00B45375"/>
    <w:rsid w:val="00B45D74"/>
    <w:rsid w:val="00B45E34"/>
    <w:rsid w:val="00B4723E"/>
    <w:rsid w:val="00B475CB"/>
    <w:rsid w:val="00B47D2A"/>
    <w:rsid w:val="00B508D1"/>
    <w:rsid w:val="00B5112E"/>
    <w:rsid w:val="00B516B4"/>
    <w:rsid w:val="00B524EE"/>
    <w:rsid w:val="00B53F1A"/>
    <w:rsid w:val="00B552A6"/>
    <w:rsid w:val="00B564B6"/>
    <w:rsid w:val="00B60C21"/>
    <w:rsid w:val="00B64612"/>
    <w:rsid w:val="00B676E3"/>
    <w:rsid w:val="00B67E4C"/>
    <w:rsid w:val="00B7359B"/>
    <w:rsid w:val="00B749E2"/>
    <w:rsid w:val="00B76AA8"/>
    <w:rsid w:val="00B802ED"/>
    <w:rsid w:val="00B80A34"/>
    <w:rsid w:val="00B82810"/>
    <w:rsid w:val="00B85138"/>
    <w:rsid w:val="00B85A4F"/>
    <w:rsid w:val="00B862B4"/>
    <w:rsid w:val="00B90313"/>
    <w:rsid w:val="00B90F17"/>
    <w:rsid w:val="00B91629"/>
    <w:rsid w:val="00B92AD9"/>
    <w:rsid w:val="00B94518"/>
    <w:rsid w:val="00B94EDF"/>
    <w:rsid w:val="00B9578D"/>
    <w:rsid w:val="00B95F1E"/>
    <w:rsid w:val="00B96E1F"/>
    <w:rsid w:val="00BA0774"/>
    <w:rsid w:val="00BA4326"/>
    <w:rsid w:val="00BA4B16"/>
    <w:rsid w:val="00BA4B76"/>
    <w:rsid w:val="00BA771B"/>
    <w:rsid w:val="00BA7DB7"/>
    <w:rsid w:val="00BB09D1"/>
    <w:rsid w:val="00BB3DE8"/>
    <w:rsid w:val="00BB4DAE"/>
    <w:rsid w:val="00BB5C6B"/>
    <w:rsid w:val="00BB5FD9"/>
    <w:rsid w:val="00BC00EF"/>
    <w:rsid w:val="00BC142A"/>
    <w:rsid w:val="00BC30F7"/>
    <w:rsid w:val="00BC3F80"/>
    <w:rsid w:val="00BC772B"/>
    <w:rsid w:val="00BD2431"/>
    <w:rsid w:val="00BD263E"/>
    <w:rsid w:val="00BD36E2"/>
    <w:rsid w:val="00BD77C9"/>
    <w:rsid w:val="00BE095C"/>
    <w:rsid w:val="00BE1487"/>
    <w:rsid w:val="00BE183E"/>
    <w:rsid w:val="00BE3087"/>
    <w:rsid w:val="00BE4BC7"/>
    <w:rsid w:val="00BE5458"/>
    <w:rsid w:val="00BE5721"/>
    <w:rsid w:val="00BE5B1F"/>
    <w:rsid w:val="00BE5E99"/>
    <w:rsid w:val="00BF0923"/>
    <w:rsid w:val="00BF3E66"/>
    <w:rsid w:val="00BF4061"/>
    <w:rsid w:val="00BF55EA"/>
    <w:rsid w:val="00BF5FED"/>
    <w:rsid w:val="00BF6820"/>
    <w:rsid w:val="00BF6E57"/>
    <w:rsid w:val="00C000FF"/>
    <w:rsid w:val="00C00767"/>
    <w:rsid w:val="00C00840"/>
    <w:rsid w:val="00C01F15"/>
    <w:rsid w:val="00C02031"/>
    <w:rsid w:val="00C0208C"/>
    <w:rsid w:val="00C03B70"/>
    <w:rsid w:val="00C04BC4"/>
    <w:rsid w:val="00C04EFD"/>
    <w:rsid w:val="00C05191"/>
    <w:rsid w:val="00C07041"/>
    <w:rsid w:val="00C07CAE"/>
    <w:rsid w:val="00C1006A"/>
    <w:rsid w:val="00C10EA1"/>
    <w:rsid w:val="00C1375D"/>
    <w:rsid w:val="00C13BF3"/>
    <w:rsid w:val="00C15FDE"/>
    <w:rsid w:val="00C227FB"/>
    <w:rsid w:val="00C22CD4"/>
    <w:rsid w:val="00C2478E"/>
    <w:rsid w:val="00C25DB4"/>
    <w:rsid w:val="00C26B2E"/>
    <w:rsid w:val="00C30A73"/>
    <w:rsid w:val="00C327BE"/>
    <w:rsid w:val="00C32D28"/>
    <w:rsid w:val="00C3462B"/>
    <w:rsid w:val="00C34CDB"/>
    <w:rsid w:val="00C35476"/>
    <w:rsid w:val="00C3633E"/>
    <w:rsid w:val="00C4005F"/>
    <w:rsid w:val="00C440D9"/>
    <w:rsid w:val="00C44967"/>
    <w:rsid w:val="00C50FA1"/>
    <w:rsid w:val="00C5287B"/>
    <w:rsid w:val="00C54100"/>
    <w:rsid w:val="00C55639"/>
    <w:rsid w:val="00C636F8"/>
    <w:rsid w:val="00C63A44"/>
    <w:rsid w:val="00C63BBA"/>
    <w:rsid w:val="00C64E67"/>
    <w:rsid w:val="00C66FDD"/>
    <w:rsid w:val="00C71BE9"/>
    <w:rsid w:val="00C71D3D"/>
    <w:rsid w:val="00C7219F"/>
    <w:rsid w:val="00C722A3"/>
    <w:rsid w:val="00C75A2B"/>
    <w:rsid w:val="00C7657B"/>
    <w:rsid w:val="00C76B64"/>
    <w:rsid w:val="00C76D9C"/>
    <w:rsid w:val="00C77845"/>
    <w:rsid w:val="00C806D8"/>
    <w:rsid w:val="00C8152C"/>
    <w:rsid w:val="00C8253E"/>
    <w:rsid w:val="00C83126"/>
    <w:rsid w:val="00C84E72"/>
    <w:rsid w:val="00C860CF"/>
    <w:rsid w:val="00C867FF"/>
    <w:rsid w:val="00C86D04"/>
    <w:rsid w:val="00C90678"/>
    <w:rsid w:val="00C913F2"/>
    <w:rsid w:val="00C91D52"/>
    <w:rsid w:val="00C9448D"/>
    <w:rsid w:val="00C94E91"/>
    <w:rsid w:val="00CA0BEF"/>
    <w:rsid w:val="00CA2E7F"/>
    <w:rsid w:val="00CA311A"/>
    <w:rsid w:val="00CA341A"/>
    <w:rsid w:val="00CA3A44"/>
    <w:rsid w:val="00CA3DFE"/>
    <w:rsid w:val="00CA644A"/>
    <w:rsid w:val="00CA6AB1"/>
    <w:rsid w:val="00CA7C66"/>
    <w:rsid w:val="00CB305D"/>
    <w:rsid w:val="00CB3F04"/>
    <w:rsid w:val="00CB576D"/>
    <w:rsid w:val="00CB5875"/>
    <w:rsid w:val="00CB5F4A"/>
    <w:rsid w:val="00CB60B6"/>
    <w:rsid w:val="00CB67EE"/>
    <w:rsid w:val="00CB6DCD"/>
    <w:rsid w:val="00CB7288"/>
    <w:rsid w:val="00CC4D0A"/>
    <w:rsid w:val="00CC5510"/>
    <w:rsid w:val="00CC5612"/>
    <w:rsid w:val="00CC64DD"/>
    <w:rsid w:val="00CD1FF4"/>
    <w:rsid w:val="00CD2532"/>
    <w:rsid w:val="00CD293A"/>
    <w:rsid w:val="00CD2FCD"/>
    <w:rsid w:val="00CD3260"/>
    <w:rsid w:val="00CD3970"/>
    <w:rsid w:val="00CD47EB"/>
    <w:rsid w:val="00CD6716"/>
    <w:rsid w:val="00CD672C"/>
    <w:rsid w:val="00CD7804"/>
    <w:rsid w:val="00CD7FE4"/>
    <w:rsid w:val="00CE0887"/>
    <w:rsid w:val="00CE0BFB"/>
    <w:rsid w:val="00CE1874"/>
    <w:rsid w:val="00CE2885"/>
    <w:rsid w:val="00CE445F"/>
    <w:rsid w:val="00CE5D8E"/>
    <w:rsid w:val="00CE5E3A"/>
    <w:rsid w:val="00CE6142"/>
    <w:rsid w:val="00CE7843"/>
    <w:rsid w:val="00CF12D6"/>
    <w:rsid w:val="00CF170C"/>
    <w:rsid w:val="00CF4A41"/>
    <w:rsid w:val="00CF4ADA"/>
    <w:rsid w:val="00CF4D0D"/>
    <w:rsid w:val="00CF62B7"/>
    <w:rsid w:val="00CF6B0C"/>
    <w:rsid w:val="00CF713E"/>
    <w:rsid w:val="00CF71C5"/>
    <w:rsid w:val="00CF7FAA"/>
    <w:rsid w:val="00D0102F"/>
    <w:rsid w:val="00D01270"/>
    <w:rsid w:val="00D0264F"/>
    <w:rsid w:val="00D03B2A"/>
    <w:rsid w:val="00D05127"/>
    <w:rsid w:val="00D06440"/>
    <w:rsid w:val="00D06DE7"/>
    <w:rsid w:val="00D11754"/>
    <w:rsid w:val="00D120B9"/>
    <w:rsid w:val="00D13118"/>
    <w:rsid w:val="00D1450B"/>
    <w:rsid w:val="00D14AD8"/>
    <w:rsid w:val="00D15825"/>
    <w:rsid w:val="00D1681A"/>
    <w:rsid w:val="00D2041E"/>
    <w:rsid w:val="00D21F33"/>
    <w:rsid w:val="00D26F25"/>
    <w:rsid w:val="00D27345"/>
    <w:rsid w:val="00D31F3F"/>
    <w:rsid w:val="00D31FFC"/>
    <w:rsid w:val="00D34240"/>
    <w:rsid w:val="00D3424B"/>
    <w:rsid w:val="00D34DC4"/>
    <w:rsid w:val="00D35150"/>
    <w:rsid w:val="00D35880"/>
    <w:rsid w:val="00D35D8D"/>
    <w:rsid w:val="00D43436"/>
    <w:rsid w:val="00D43DCA"/>
    <w:rsid w:val="00D4487B"/>
    <w:rsid w:val="00D45D6C"/>
    <w:rsid w:val="00D46443"/>
    <w:rsid w:val="00D5061E"/>
    <w:rsid w:val="00D5081D"/>
    <w:rsid w:val="00D510ED"/>
    <w:rsid w:val="00D53F1C"/>
    <w:rsid w:val="00D54D7A"/>
    <w:rsid w:val="00D55903"/>
    <w:rsid w:val="00D56CCA"/>
    <w:rsid w:val="00D56EE5"/>
    <w:rsid w:val="00D60BC6"/>
    <w:rsid w:val="00D60F71"/>
    <w:rsid w:val="00D617DF"/>
    <w:rsid w:val="00D6267A"/>
    <w:rsid w:val="00D62DCD"/>
    <w:rsid w:val="00D62FE4"/>
    <w:rsid w:val="00D63A69"/>
    <w:rsid w:val="00D63F2D"/>
    <w:rsid w:val="00D65F59"/>
    <w:rsid w:val="00D66B67"/>
    <w:rsid w:val="00D709E3"/>
    <w:rsid w:val="00D71167"/>
    <w:rsid w:val="00D714B8"/>
    <w:rsid w:val="00D73471"/>
    <w:rsid w:val="00D745D3"/>
    <w:rsid w:val="00D749AC"/>
    <w:rsid w:val="00D763FB"/>
    <w:rsid w:val="00D8248E"/>
    <w:rsid w:val="00D860E0"/>
    <w:rsid w:val="00D863C5"/>
    <w:rsid w:val="00D86F7E"/>
    <w:rsid w:val="00D8736C"/>
    <w:rsid w:val="00D91A89"/>
    <w:rsid w:val="00D949B2"/>
    <w:rsid w:val="00D969CF"/>
    <w:rsid w:val="00DA1AFF"/>
    <w:rsid w:val="00DA271E"/>
    <w:rsid w:val="00DA3F1E"/>
    <w:rsid w:val="00DA5164"/>
    <w:rsid w:val="00DA578C"/>
    <w:rsid w:val="00DA6A3A"/>
    <w:rsid w:val="00DA6E57"/>
    <w:rsid w:val="00DB0569"/>
    <w:rsid w:val="00DB4064"/>
    <w:rsid w:val="00DB592F"/>
    <w:rsid w:val="00DC0CDF"/>
    <w:rsid w:val="00DC0FD7"/>
    <w:rsid w:val="00DC31AF"/>
    <w:rsid w:val="00DC37AD"/>
    <w:rsid w:val="00DC4262"/>
    <w:rsid w:val="00DC5A20"/>
    <w:rsid w:val="00DC7585"/>
    <w:rsid w:val="00DD02DF"/>
    <w:rsid w:val="00DD12B4"/>
    <w:rsid w:val="00DD5406"/>
    <w:rsid w:val="00DD5D64"/>
    <w:rsid w:val="00DD5F35"/>
    <w:rsid w:val="00DE3A34"/>
    <w:rsid w:val="00DE61D2"/>
    <w:rsid w:val="00DE7E53"/>
    <w:rsid w:val="00DF0277"/>
    <w:rsid w:val="00DF193D"/>
    <w:rsid w:val="00DF1C6F"/>
    <w:rsid w:val="00DF1D1D"/>
    <w:rsid w:val="00DF2AE4"/>
    <w:rsid w:val="00DF2D1D"/>
    <w:rsid w:val="00DF32FD"/>
    <w:rsid w:val="00DF4663"/>
    <w:rsid w:val="00DF736B"/>
    <w:rsid w:val="00DF7A89"/>
    <w:rsid w:val="00E00B07"/>
    <w:rsid w:val="00E028A8"/>
    <w:rsid w:val="00E033E9"/>
    <w:rsid w:val="00E03ABF"/>
    <w:rsid w:val="00E042CE"/>
    <w:rsid w:val="00E07841"/>
    <w:rsid w:val="00E07DC1"/>
    <w:rsid w:val="00E10247"/>
    <w:rsid w:val="00E10694"/>
    <w:rsid w:val="00E114A5"/>
    <w:rsid w:val="00E1191F"/>
    <w:rsid w:val="00E13491"/>
    <w:rsid w:val="00E1583F"/>
    <w:rsid w:val="00E20965"/>
    <w:rsid w:val="00E21A40"/>
    <w:rsid w:val="00E23E23"/>
    <w:rsid w:val="00E240CB"/>
    <w:rsid w:val="00E24123"/>
    <w:rsid w:val="00E2614E"/>
    <w:rsid w:val="00E27701"/>
    <w:rsid w:val="00E3058F"/>
    <w:rsid w:val="00E30CF8"/>
    <w:rsid w:val="00E318F7"/>
    <w:rsid w:val="00E33B21"/>
    <w:rsid w:val="00E356E6"/>
    <w:rsid w:val="00E36190"/>
    <w:rsid w:val="00E36ECC"/>
    <w:rsid w:val="00E401F0"/>
    <w:rsid w:val="00E415A1"/>
    <w:rsid w:val="00E421D7"/>
    <w:rsid w:val="00E43CFB"/>
    <w:rsid w:val="00E43E35"/>
    <w:rsid w:val="00E458FD"/>
    <w:rsid w:val="00E46836"/>
    <w:rsid w:val="00E469AF"/>
    <w:rsid w:val="00E46AE2"/>
    <w:rsid w:val="00E47AE9"/>
    <w:rsid w:val="00E52789"/>
    <w:rsid w:val="00E53B76"/>
    <w:rsid w:val="00E54F68"/>
    <w:rsid w:val="00E579B8"/>
    <w:rsid w:val="00E601CF"/>
    <w:rsid w:val="00E618B6"/>
    <w:rsid w:val="00E64039"/>
    <w:rsid w:val="00E64651"/>
    <w:rsid w:val="00E64AAE"/>
    <w:rsid w:val="00E64C64"/>
    <w:rsid w:val="00E71C07"/>
    <w:rsid w:val="00E7257B"/>
    <w:rsid w:val="00E72A9B"/>
    <w:rsid w:val="00E7312C"/>
    <w:rsid w:val="00E732F1"/>
    <w:rsid w:val="00E7332E"/>
    <w:rsid w:val="00E73678"/>
    <w:rsid w:val="00E772B6"/>
    <w:rsid w:val="00E779A2"/>
    <w:rsid w:val="00E815FB"/>
    <w:rsid w:val="00E849A9"/>
    <w:rsid w:val="00E84FF9"/>
    <w:rsid w:val="00E9025C"/>
    <w:rsid w:val="00E90B30"/>
    <w:rsid w:val="00E91E2C"/>
    <w:rsid w:val="00E91FED"/>
    <w:rsid w:val="00E92778"/>
    <w:rsid w:val="00E934DA"/>
    <w:rsid w:val="00E94A1D"/>
    <w:rsid w:val="00E94FE3"/>
    <w:rsid w:val="00EA0178"/>
    <w:rsid w:val="00EA2158"/>
    <w:rsid w:val="00EA3CB5"/>
    <w:rsid w:val="00EA4752"/>
    <w:rsid w:val="00EA574F"/>
    <w:rsid w:val="00EA6BC6"/>
    <w:rsid w:val="00EA7A20"/>
    <w:rsid w:val="00EB1E03"/>
    <w:rsid w:val="00EB2D49"/>
    <w:rsid w:val="00EB308A"/>
    <w:rsid w:val="00EB67AF"/>
    <w:rsid w:val="00EC0B7D"/>
    <w:rsid w:val="00EC52DF"/>
    <w:rsid w:val="00EC54C3"/>
    <w:rsid w:val="00EC5B45"/>
    <w:rsid w:val="00EC75BF"/>
    <w:rsid w:val="00ED0D84"/>
    <w:rsid w:val="00ED0F28"/>
    <w:rsid w:val="00ED177B"/>
    <w:rsid w:val="00ED1A0B"/>
    <w:rsid w:val="00ED2E8B"/>
    <w:rsid w:val="00ED3844"/>
    <w:rsid w:val="00ED5BE7"/>
    <w:rsid w:val="00ED5C0B"/>
    <w:rsid w:val="00ED7234"/>
    <w:rsid w:val="00ED78F1"/>
    <w:rsid w:val="00EE350A"/>
    <w:rsid w:val="00EE4114"/>
    <w:rsid w:val="00EE6AB7"/>
    <w:rsid w:val="00EF00D5"/>
    <w:rsid w:val="00EF27BA"/>
    <w:rsid w:val="00EF3760"/>
    <w:rsid w:val="00EF3F27"/>
    <w:rsid w:val="00EF528F"/>
    <w:rsid w:val="00F0040F"/>
    <w:rsid w:val="00F02134"/>
    <w:rsid w:val="00F02F49"/>
    <w:rsid w:val="00F03566"/>
    <w:rsid w:val="00F04F8F"/>
    <w:rsid w:val="00F07307"/>
    <w:rsid w:val="00F07A2C"/>
    <w:rsid w:val="00F108D4"/>
    <w:rsid w:val="00F137FC"/>
    <w:rsid w:val="00F1448E"/>
    <w:rsid w:val="00F14B34"/>
    <w:rsid w:val="00F151D5"/>
    <w:rsid w:val="00F1525A"/>
    <w:rsid w:val="00F16723"/>
    <w:rsid w:val="00F16AFD"/>
    <w:rsid w:val="00F2245D"/>
    <w:rsid w:val="00F24960"/>
    <w:rsid w:val="00F260D9"/>
    <w:rsid w:val="00F26B7F"/>
    <w:rsid w:val="00F305B5"/>
    <w:rsid w:val="00F313D4"/>
    <w:rsid w:val="00F3141C"/>
    <w:rsid w:val="00F31A96"/>
    <w:rsid w:val="00F31B38"/>
    <w:rsid w:val="00F31EC9"/>
    <w:rsid w:val="00F33C94"/>
    <w:rsid w:val="00F3668D"/>
    <w:rsid w:val="00F3759E"/>
    <w:rsid w:val="00F42F45"/>
    <w:rsid w:val="00F4656B"/>
    <w:rsid w:val="00F46886"/>
    <w:rsid w:val="00F50E44"/>
    <w:rsid w:val="00F53963"/>
    <w:rsid w:val="00F55E31"/>
    <w:rsid w:val="00F566C4"/>
    <w:rsid w:val="00F56822"/>
    <w:rsid w:val="00F56A69"/>
    <w:rsid w:val="00F57EAF"/>
    <w:rsid w:val="00F60FA5"/>
    <w:rsid w:val="00F62C1E"/>
    <w:rsid w:val="00F63280"/>
    <w:rsid w:val="00F66194"/>
    <w:rsid w:val="00F73406"/>
    <w:rsid w:val="00F74C1E"/>
    <w:rsid w:val="00F76554"/>
    <w:rsid w:val="00F7756F"/>
    <w:rsid w:val="00F777B7"/>
    <w:rsid w:val="00F77DB5"/>
    <w:rsid w:val="00F80517"/>
    <w:rsid w:val="00F80B91"/>
    <w:rsid w:val="00F81A54"/>
    <w:rsid w:val="00F856A6"/>
    <w:rsid w:val="00F85ED9"/>
    <w:rsid w:val="00F86F2B"/>
    <w:rsid w:val="00F87ADC"/>
    <w:rsid w:val="00F87D34"/>
    <w:rsid w:val="00F90642"/>
    <w:rsid w:val="00F9331A"/>
    <w:rsid w:val="00F95E8E"/>
    <w:rsid w:val="00F96C4F"/>
    <w:rsid w:val="00F975CD"/>
    <w:rsid w:val="00FA1E6A"/>
    <w:rsid w:val="00FA3C06"/>
    <w:rsid w:val="00FA6E9B"/>
    <w:rsid w:val="00FA6EEC"/>
    <w:rsid w:val="00FA7869"/>
    <w:rsid w:val="00FA79B6"/>
    <w:rsid w:val="00FB0FBA"/>
    <w:rsid w:val="00FB1145"/>
    <w:rsid w:val="00FB1B6D"/>
    <w:rsid w:val="00FB2221"/>
    <w:rsid w:val="00FB59C1"/>
    <w:rsid w:val="00FB6B27"/>
    <w:rsid w:val="00FB6BD1"/>
    <w:rsid w:val="00FB7DD2"/>
    <w:rsid w:val="00FC3EB7"/>
    <w:rsid w:val="00FC5C8C"/>
    <w:rsid w:val="00FC69E6"/>
    <w:rsid w:val="00FD09BB"/>
    <w:rsid w:val="00FD0C5A"/>
    <w:rsid w:val="00FD1CFF"/>
    <w:rsid w:val="00FD323F"/>
    <w:rsid w:val="00FD42D8"/>
    <w:rsid w:val="00FD5A55"/>
    <w:rsid w:val="00FD6BA0"/>
    <w:rsid w:val="00FD7138"/>
    <w:rsid w:val="00FE19B7"/>
    <w:rsid w:val="00FE1A4B"/>
    <w:rsid w:val="00FE1BF5"/>
    <w:rsid w:val="00FE38AD"/>
    <w:rsid w:val="00FE39CA"/>
    <w:rsid w:val="00FE48DD"/>
    <w:rsid w:val="00FE48EF"/>
    <w:rsid w:val="00FE57C8"/>
    <w:rsid w:val="00FE75A9"/>
    <w:rsid w:val="00FF059F"/>
    <w:rsid w:val="00FF34B3"/>
    <w:rsid w:val="00FF65AC"/>
    <w:rsid w:val="00FF6E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9"/>
    <w:qFormat/>
    <w:rsid w:val="005300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4A6D44"/>
    <w:pPr>
      <w:keepNext/>
      <w:spacing w:before="240" w:after="60" w:line="240" w:lineRule="auto"/>
      <w:outlineLvl w:val="1"/>
    </w:pPr>
    <w:rPr>
      <w:rFonts w:ascii="Times New Roman" w:eastAsia="Times New Roman" w:hAnsi="Times New Roman" w:cs="Times New Roman"/>
      <w:b/>
      <w:bCs/>
      <w:iCs/>
      <w:sz w:val="24"/>
      <w:szCs w:val="28"/>
      <w:lang w:eastAsia="en-AU"/>
    </w:rPr>
  </w:style>
  <w:style w:type="paragraph" w:styleId="Heading3">
    <w:name w:val="heading 3"/>
    <w:basedOn w:val="Normal"/>
    <w:next w:val="Normal"/>
    <w:link w:val="Heading3Char"/>
    <w:uiPriority w:val="9"/>
    <w:unhideWhenUsed/>
    <w:qFormat/>
    <w:rsid w:val="00491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rsid w:val="004A6D44"/>
    <w:rPr>
      <w:rFonts w:ascii="Times New Roman" w:eastAsia="Times New Roman" w:hAnsi="Times New Roman" w:cs="Times New Roman"/>
      <w:b/>
      <w:bCs/>
      <w:iCs/>
      <w:sz w:val="24"/>
      <w:szCs w:val="28"/>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2A4BBA"/>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CF7FAA"/>
    <w:rPr>
      <w:color w:val="605E5C"/>
      <w:shd w:val="clear" w:color="auto" w:fill="E1DFDD"/>
    </w:rPr>
  </w:style>
  <w:style w:type="paragraph" w:styleId="Title">
    <w:name w:val="Title"/>
    <w:basedOn w:val="Normal"/>
    <w:next w:val="Normal"/>
    <w:link w:val="TitleChar"/>
    <w:uiPriority w:val="10"/>
    <w:qFormat/>
    <w:rsid w:val="00793B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7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93B76"/>
    <w:rPr>
      <w:b/>
      <w:bCs/>
    </w:rPr>
  </w:style>
  <w:style w:type="paragraph" w:styleId="TOC2">
    <w:name w:val="toc 2"/>
    <w:basedOn w:val="Normal"/>
    <w:next w:val="Normal"/>
    <w:autoRedefine/>
    <w:uiPriority w:val="39"/>
    <w:unhideWhenUsed/>
    <w:rsid w:val="008637E2"/>
    <w:pPr>
      <w:spacing w:after="100"/>
      <w:ind w:left="220"/>
    </w:pPr>
  </w:style>
  <w:style w:type="paragraph" w:styleId="TOC1">
    <w:name w:val="toc 1"/>
    <w:basedOn w:val="Normal"/>
    <w:next w:val="Normal"/>
    <w:autoRedefine/>
    <w:uiPriority w:val="39"/>
    <w:unhideWhenUsed/>
    <w:rsid w:val="008637E2"/>
    <w:pPr>
      <w:spacing w:after="100"/>
    </w:pPr>
  </w:style>
  <w:style w:type="character" w:customStyle="1" w:styleId="Heading1Char">
    <w:name w:val="Heading 1 Char"/>
    <w:basedOn w:val="DefaultParagraphFont"/>
    <w:link w:val="Heading1"/>
    <w:uiPriority w:val="9"/>
    <w:rsid w:val="0053006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0060"/>
    <w:pPr>
      <w:spacing w:line="259" w:lineRule="auto"/>
      <w:outlineLvl w:val="9"/>
    </w:pPr>
    <w:rPr>
      <w:lang w:val="en-US"/>
    </w:rPr>
  </w:style>
  <w:style w:type="paragraph" w:styleId="TOC3">
    <w:name w:val="toc 3"/>
    <w:basedOn w:val="Normal"/>
    <w:next w:val="Normal"/>
    <w:autoRedefine/>
    <w:uiPriority w:val="39"/>
    <w:unhideWhenUsed/>
    <w:rsid w:val="00530060"/>
    <w:pPr>
      <w:spacing w:after="100" w:line="259" w:lineRule="auto"/>
      <w:ind w:left="440"/>
    </w:pPr>
    <w:rPr>
      <w:rFonts w:eastAsiaTheme="minorEastAsia" w:cs="Times New Roman"/>
      <w:lang w:val="en-US"/>
    </w:rPr>
  </w:style>
  <w:style w:type="character" w:customStyle="1" w:styleId="Heading3Char">
    <w:name w:val="Heading 3 Char"/>
    <w:basedOn w:val="DefaultParagraphFont"/>
    <w:link w:val="Heading3"/>
    <w:uiPriority w:val="9"/>
    <w:rsid w:val="0049157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355160269">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 w:id="188135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mailto:spectrumallocations@acm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cma.gov.au" TargetMode="External"/><Relationship Id="rId32"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legislation.gov.au" TargetMode="Externa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EE7FD5A2C566F4CA420B3B18ED06803" ma:contentTypeVersion="0" ma:contentTypeDescription="Create a new document." ma:contentTypeScope="" ma:versionID="5f6f2d9a154bfdb3f05a19a44cd5d67c">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3NE2HDV7HD6D-1999768025-181</_dlc_DocId>
    <_dlc_DocIdUrl xmlns="1d983eb4-33f7-44b0-aea1-cbdcf0c55136">
      <Url>http://collaboration/organisation/cid/RPB/MSAS/lib/_layouts/15/DocIdRedir.aspx?ID=3NE2HDV7HD6D-1999768025-181</Url>
      <Description>3NE2HDV7HD6D-1999768025-181</Description>
    </_dlc_DocIdUrl>
  </documentManagement>
</p:properties>
</file>

<file path=customXml/itemProps1.xml><?xml version="1.0" encoding="utf-8"?>
<ds:datastoreItem xmlns:ds="http://schemas.openxmlformats.org/officeDocument/2006/customXml" ds:itemID="{09639B06-2CFD-404C-BFD4-5CB54F963D05}">
  <ds:schemaRefs>
    <ds:schemaRef ds:uri="http://schemas.microsoft.com/sharepoint/events"/>
  </ds:schemaRefs>
</ds:datastoreItem>
</file>

<file path=customXml/itemProps2.xml><?xml version="1.0" encoding="utf-8"?>
<ds:datastoreItem xmlns:ds="http://schemas.openxmlformats.org/officeDocument/2006/customXml" ds:itemID="{E0F5060C-96AA-499D-84D2-EAFA3FFCD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4.xml><?xml version="1.0" encoding="utf-8"?>
<ds:datastoreItem xmlns:ds="http://schemas.openxmlformats.org/officeDocument/2006/customXml" ds:itemID="{93217AF2-025A-489C-B213-0C63FD70CEB0}">
  <ds:schemaRefs>
    <ds:schemaRef ds:uri="http://schemas.microsoft.com/sharepoint/v3/contenttype/forms"/>
  </ds:schemaRefs>
</ds:datastoreItem>
</file>

<file path=customXml/itemProps5.xml><?xml version="1.0" encoding="utf-8"?>
<ds:datastoreItem xmlns:ds="http://schemas.openxmlformats.org/officeDocument/2006/customXml" ds:itemID="{5A6A1459-A477-46EA-9CB4-A77073B0AF7A}">
  <ds:schemaRefs>
    <ds:schemaRef ds:uri="http://purl.org/dc/terms/"/>
    <ds:schemaRef ds:uri="http://schemas.openxmlformats.org/package/2006/metadata/core-properties"/>
    <ds:schemaRef ds:uri="1d983eb4-33f7-44b0-aea1-cbdcf0c55136"/>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4066</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6</cp:revision>
  <cp:lastPrinted>2021-02-19T05:13:00Z</cp:lastPrinted>
  <dcterms:created xsi:type="dcterms:W3CDTF">2021-03-17T05:15:00Z</dcterms:created>
  <dcterms:modified xsi:type="dcterms:W3CDTF">2021-03-23T00:30:00Z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0x0101006EE7FD5A2C566F4CA420B3B18ED06803</vt:lpwstr>
  </property>
  <property fmtid="{D5CDD505-2E9C-101B-9397-08002B2CF9AE}" pid="3" name="_dlc_DocIdItemGuid">
    <vt:lpwstr>c0857bb4-e342-4600-8cfc-b6aa2bf35486</vt:lpwstr>
  </property>
</Properties>
</file>