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5F1388" w:rsidRDefault="00DA186E" w:rsidP="00715914">
      <w:pPr>
        <w:rPr>
          <w:sz w:val="28"/>
        </w:rPr>
      </w:pPr>
      <w:r>
        <w:rPr>
          <w:noProof/>
          <w:lang w:eastAsia="en-AU"/>
        </w:rPr>
        <w:drawing>
          <wp:inline distT="0" distB="0" distL="0" distR="0" wp14:anchorId="5ABD02C2" wp14:editId="201FB54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E500D4" w:rsidRDefault="00715914" w:rsidP="00715914">
      <w:pPr>
        <w:rPr>
          <w:sz w:val="19"/>
        </w:rPr>
      </w:pPr>
    </w:p>
    <w:p w:rsidR="00554826" w:rsidRPr="00E500D4" w:rsidRDefault="001E1282" w:rsidP="00554826">
      <w:pPr>
        <w:pStyle w:val="ShortT"/>
      </w:pPr>
      <w:r>
        <w:t xml:space="preserve">Therapeutic Goods </w:t>
      </w:r>
      <w:r w:rsidR="00480B09">
        <w:t>(</w:t>
      </w:r>
      <w:r w:rsidR="00B91A3D">
        <w:t>Medicines—</w:t>
      </w:r>
      <w:r w:rsidR="00357CC1">
        <w:t xml:space="preserve">Standard for </w:t>
      </w:r>
      <w:r w:rsidR="00E7192F">
        <w:t>Serialisation</w:t>
      </w:r>
      <w:r w:rsidR="00E7192F" w:rsidRPr="00606E80">
        <w:t xml:space="preserve"> and </w:t>
      </w:r>
      <w:r w:rsidR="00FD3F40" w:rsidRPr="00606E80">
        <w:t>Data Matrix</w:t>
      </w:r>
      <w:r w:rsidR="00357CC1" w:rsidRPr="00606E80">
        <w:t xml:space="preserve"> Codes</w:t>
      </w:r>
      <w:r w:rsidR="00480B09">
        <w:t xml:space="preserve">) (TGO </w:t>
      </w:r>
      <w:r w:rsidR="00480B09" w:rsidRPr="005C3FFA">
        <w:t>10</w:t>
      </w:r>
      <w:r w:rsidR="005C3FFA">
        <w:t>6</w:t>
      </w:r>
      <w:r w:rsidR="00480B09">
        <w:t>) Order 202</w:t>
      </w:r>
      <w:r w:rsidR="00B33A5B">
        <w:t>1</w:t>
      </w:r>
    </w:p>
    <w:p w:rsidR="00287EE0" w:rsidRDefault="00554826" w:rsidP="00A1449E">
      <w:pPr>
        <w:pStyle w:val="SignCoverPageStart"/>
        <w:spacing w:before="240"/>
        <w:ind w:right="91"/>
        <w:rPr>
          <w:color w:val="000000"/>
          <w:shd w:val="clear" w:color="auto" w:fill="FFFFFF"/>
        </w:rPr>
      </w:pPr>
      <w:r w:rsidRPr="00DA182D">
        <w:rPr>
          <w:szCs w:val="22"/>
        </w:rPr>
        <w:t>I</w:t>
      </w:r>
      <w:r w:rsidRPr="0020543F">
        <w:rPr>
          <w:szCs w:val="22"/>
        </w:rPr>
        <w:t xml:space="preserve">, </w:t>
      </w:r>
      <w:r w:rsidR="00BA660A" w:rsidRPr="0020543F">
        <w:rPr>
          <w:szCs w:val="22"/>
        </w:rPr>
        <w:t>Jane Cook</w:t>
      </w:r>
      <w:r w:rsidR="007D0089">
        <w:rPr>
          <w:szCs w:val="22"/>
        </w:rPr>
        <w:t xml:space="preserve">, </w:t>
      </w:r>
      <w:r w:rsidR="00285B28">
        <w:rPr>
          <w:color w:val="000000"/>
          <w:shd w:val="clear" w:color="auto" w:fill="FFFFFF"/>
        </w:rPr>
        <w:t xml:space="preserve">as delegate </w:t>
      </w:r>
      <w:r w:rsidR="00BA660A">
        <w:rPr>
          <w:color w:val="000000"/>
          <w:shd w:val="clear" w:color="auto" w:fill="FFFFFF"/>
        </w:rPr>
        <w:t xml:space="preserve">of </w:t>
      </w:r>
      <w:r w:rsidR="00285B28">
        <w:rPr>
          <w:color w:val="000000"/>
          <w:shd w:val="clear" w:color="auto" w:fill="FFFFFF"/>
        </w:rPr>
        <w:t>the Minister for Health</w:t>
      </w:r>
      <w:r w:rsidR="00B54D98">
        <w:rPr>
          <w:color w:val="000000"/>
          <w:shd w:val="clear" w:color="auto" w:fill="FFFFFF"/>
        </w:rPr>
        <w:t xml:space="preserve"> and Aged Care</w:t>
      </w:r>
      <w:r w:rsidR="00285B28">
        <w:rPr>
          <w:color w:val="000000"/>
          <w:shd w:val="clear" w:color="auto" w:fill="FFFFFF"/>
        </w:rPr>
        <w:t>, make the following o</w:t>
      </w:r>
      <w:r w:rsidR="00A1449E">
        <w:rPr>
          <w:color w:val="000000"/>
          <w:shd w:val="clear" w:color="auto" w:fill="FFFFFF"/>
        </w:rPr>
        <w:t>rder.</w:t>
      </w:r>
    </w:p>
    <w:p w:rsidR="00554826" w:rsidRPr="00001A63" w:rsidRDefault="00554826" w:rsidP="00A1449E">
      <w:pPr>
        <w:pStyle w:val="SignCoverPageStart"/>
        <w:spacing w:before="240"/>
        <w:ind w:right="91"/>
        <w:rPr>
          <w:szCs w:val="22"/>
        </w:rPr>
      </w:pPr>
      <w:r>
        <w:rPr>
          <w:szCs w:val="22"/>
        </w:rPr>
        <w:t>Dated</w:t>
      </w:r>
      <w:r w:rsidR="00A517AD">
        <w:rPr>
          <w:szCs w:val="22"/>
        </w:rPr>
        <w:t xml:space="preserve"> 24 March</w:t>
      </w:r>
      <w:r w:rsidR="009917BE">
        <w:rPr>
          <w:szCs w:val="22"/>
        </w:rPr>
        <w:t xml:space="preserve"> 2021</w:t>
      </w:r>
    </w:p>
    <w:p w:rsidR="00517A8A" w:rsidRDefault="00BA660A" w:rsidP="00517A8A">
      <w:pPr>
        <w:keepNext/>
        <w:tabs>
          <w:tab w:val="left" w:pos="3402"/>
        </w:tabs>
        <w:spacing w:before="1440" w:line="300" w:lineRule="atLeast"/>
        <w:ind w:right="397"/>
        <w:rPr>
          <w:szCs w:val="22"/>
        </w:rPr>
      </w:pPr>
      <w:r w:rsidRPr="0020543F">
        <w:rPr>
          <w:szCs w:val="22"/>
        </w:rPr>
        <w:t>Dr Jane Cook</w:t>
      </w:r>
      <w:bookmarkStart w:id="0" w:name="_GoBack"/>
      <w:bookmarkEnd w:id="0"/>
    </w:p>
    <w:p w:rsidR="00BA660A" w:rsidRDefault="00BA660A" w:rsidP="00517A8A">
      <w:pPr>
        <w:pStyle w:val="SignCoverPageEnd"/>
        <w:ind w:right="91"/>
        <w:rPr>
          <w:sz w:val="22"/>
        </w:rPr>
      </w:pPr>
      <w:r>
        <w:rPr>
          <w:sz w:val="22"/>
        </w:rPr>
        <w:t>First Assistant Secretary</w:t>
      </w:r>
    </w:p>
    <w:p w:rsidR="00BA660A" w:rsidRDefault="00BA660A" w:rsidP="00517A8A">
      <w:pPr>
        <w:pStyle w:val="SignCoverPageEnd"/>
        <w:ind w:right="91"/>
        <w:rPr>
          <w:sz w:val="22"/>
        </w:rPr>
      </w:pPr>
      <w:r>
        <w:rPr>
          <w:sz w:val="22"/>
        </w:rPr>
        <w:t>Medicines Regulation Division</w:t>
      </w:r>
    </w:p>
    <w:p w:rsidR="00BA660A" w:rsidRDefault="00BA660A" w:rsidP="00517A8A">
      <w:pPr>
        <w:pStyle w:val="SignCoverPageEnd"/>
        <w:ind w:right="91"/>
        <w:rPr>
          <w:sz w:val="22"/>
        </w:rPr>
      </w:pPr>
      <w:r>
        <w:rPr>
          <w:sz w:val="22"/>
        </w:rPr>
        <w:t>Health Products Regulation Group</w:t>
      </w:r>
    </w:p>
    <w:p w:rsidR="00517A8A" w:rsidRPr="008E0027" w:rsidRDefault="00517A8A" w:rsidP="00517A8A">
      <w:pPr>
        <w:pStyle w:val="SignCoverPageEnd"/>
        <w:ind w:right="91"/>
        <w:rPr>
          <w:sz w:val="22"/>
        </w:rPr>
      </w:pPr>
      <w:r w:rsidRPr="00DC7DFE">
        <w:rPr>
          <w:sz w:val="22"/>
        </w:rPr>
        <w:t>Department of Health</w:t>
      </w:r>
    </w:p>
    <w:p w:rsidR="00F6696E" w:rsidRDefault="00F6696E" w:rsidP="00F6696E"/>
    <w:p w:rsidR="00B014B5" w:rsidRDefault="00B014B5" w:rsidP="00F6696E"/>
    <w:p w:rsidR="00B014B5" w:rsidRDefault="00B014B5" w:rsidP="00F6696E">
      <w:pPr>
        <w:sectPr w:rsidR="00B014B5"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rsidR="003F0D9D" w:rsidRDefault="003F0D9D" w:rsidP="003F0D9D">
      <w:pPr>
        <w:outlineLvl w:val="0"/>
        <w:rPr>
          <w:sz w:val="36"/>
        </w:rPr>
      </w:pPr>
      <w:r w:rsidRPr="007A1328">
        <w:rPr>
          <w:sz w:val="36"/>
        </w:rPr>
        <w:lastRenderedPageBreak/>
        <w:t>Contents</w:t>
      </w:r>
    </w:p>
    <w:p w:rsidR="00EF2B28" w:rsidRDefault="003F0D9D">
      <w:pPr>
        <w:pStyle w:val="TOC2"/>
        <w:rPr>
          <w:rFonts w:asciiTheme="minorHAnsi" w:eastAsiaTheme="minorEastAsia" w:hAnsiTheme="minorHAnsi" w:cstheme="minorBidi"/>
          <w:b w:val="0"/>
          <w:noProof/>
          <w:kern w:val="0"/>
          <w:sz w:val="22"/>
          <w:szCs w:val="22"/>
        </w:rPr>
      </w:pPr>
      <w:r>
        <w:rPr>
          <w:sz w:val="18"/>
        </w:rPr>
        <w:fldChar w:fldCharType="begin"/>
      </w:r>
      <w:r>
        <w:instrText xml:space="preserve"> TOC \o "1-9" </w:instrText>
      </w:r>
      <w:r>
        <w:rPr>
          <w:sz w:val="18"/>
        </w:rPr>
        <w:fldChar w:fldCharType="separate"/>
      </w:r>
      <w:r w:rsidR="00EF2B28">
        <w:rPr>
          <w:noProof/>
        </w:rPr>
        <w:t>Part 1—Preliminary</w:t>
      </w:r>
      <w:r w:rsidR="00EF2B28">
        <w:rPr>
          <w:noProof/>
        </w:rPr>
        <w:tab/>
      </w:r>
      <w:r w:rsidR="00EF2B28">
        <w:rPr>
          <w:noProof/>
        </w:rPr>
        <w:fldChar w:fldCharType="begin"/>
      </w:r>
      <w:r w:rsidR="00EF2B28">
        <w:rPr>
          <w:noProof/>
        </w:rPr>
        <w:instrText xml:space="preserve"> PAGEREF _Toc67040233 \h </w:instrText>
      </w:r>
      <w:r w:rsidR="00EF2B28">
        <w:rPr>
          <w:noProof/>
        </w:rPr>
      </w:r>
      <w:r w:rsidR="00EF2B28">
        <w:rPr>
          <w:noProof/>
        </w:rPr>
        <w:fldChar w:fldCharType="separate"/>
      </w:r>
      <w:r w:rsidR="00EF2B28">
        <w:rPr>
          <w:noProof/>
        </w:rPr>
        <w:t>1</w:t>
      </w:r>
      <w:r w:rsidR="00EF2B28">
        <w:rPr>
          <w:noProof/>
        </w:rPr>
        <w:fldChar w:fldCharType="end"/>
      </w:r>
    </w:p>
    <w:p w:rsidR="00EF2B28" w:rsidRDefault="00EF2B28">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_Toc67040234 \h </w:instrText>
      </w:r>
      <w:r>
        <w:rPr>
          <w:noProof/>
        </w:rPr>
      </w:r>
      <w:r>
        <w:rPr>
          <w:noProof/>
        </w:rPr>
        <w:fldChar w:fldCharType="separate"/>
      </w:r>
      <w:r>
        <w:rPr>
          <w:noProof/>
        </w:rPr>
        <w:t>1</w:t>
      </w:r>
      <w:r>
        <w:rPr>
          <w:noProof/>
        </w:rPr>
        <w:fldChar w:fldCharType="end"/>
      </w:r>
    </w:p>
    <w:p w:rsidR="00EF2B28" w:rsidRDefault="00EF2B28">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_Toc67040235 \h </w:instrText>
      </w:r>
      <w:r>
        <w:rPr>
          <w:noProof/>
        </w:rPr>
      </w:r>
      <w:r>
        <w:rPr>
          <w:noProof/>
        </w:rPr>
        <w:fldChar w:fldCharType="separate"/>
      </w:r>
      <w:r>
        <w:rPr>
          <w:noProof/>
        </w:rPr>
        <w:t>1</w:t>
      </w:r>
      <w:r>
        <w:rPr>
          <w:noProof/>
        </w:rPr>
        <w:fldChar w:fldCharType="end"/>
      </w:r>
    </w:p>
    <w:p w:rsidR="00EF2B28" w:rsidRDefault="00EF2B28">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_Toc67040236 \h </w:instrText>
      </w:r>
      <w:r>
        <w:rPr>
          <w:noProof/>
        </w:rPr>
      </w:r>
      <w:r>
        <w:rPr>
          <w:noProof/>
        </w:rPr>
        <w:fldChar w:fldCharType="separate"/>
      </w:r>
      <w:r>
        <w:rPr>
          <w:noProof/>
        </w:rPr>
        <w:t>1</w:t>
      </w:r>
      <w:r>
        <w:rPr>
          <w:noProof/>
        </w:rPr>
        <w:fldChar w:fldCharType="end"/>
      </w:r>
    </w:p>
    <w:p w:rsidR="00EF2B28" w:rsidRDefault="00EF2B28">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_Toc67040237 \h </w:instrText>
      </w:r>
      <w:r>
        <w:rPr>
          <w:noProof/>
        </w:rPr>
      </w:r>
      <w:r>
        <w:rPr>
          <w:noProof/>
        </w:rPr>
        <w:fldChar w:fldCharType="separate"/>
      </w:r>
      <w:r>
        <w:rPr>
          <w:noProof/>
        </w:rPr>
        <w:t>1</w:t>
      </w:r>
      <w:r>
        <w:rPr>
          <w:noProof/>
        </w:rPr>
        <w:fldChar w:fldCharType="end"/>
      </w:r>
    </w:p>
    <w:p w:rsidR="00EF2B28" w:rsidRDefault="00EF2B28">
      <w:pPr>
        <w:pStyle w:val="TOC5"/>
        <w:rPr>
          <w:rFonts w:asciiTheme="minorHAnsi" w:eastAsiaTheme="minorEastAsia" w:hAnsiTheme="minorHAnsi" w:cstheme="minorBidi"/>
          <w:noProof/>
          <w:kern w:val="0"/>
          <w:sz w:val="22"/>
          <w:szCs w:val="22"/>
        </w:rPr>
      </w:pPr>
      <w:r>
        <w:rPr>
          <w:noProof/>
        </w:rPr>
        <w:t>5  Standard</w:t>
      </w:r>
      <w:r>
        <w:rPr>
          <w:noProof/>
        </w:rPr>
        <w:tab/>
      </w:r>
      <w:r>
        <w:rPr>
          <w:noProof/>
        </w:rPr>
        <w:fldChar w:fldCharType="begin"/>
      </w:r>
      <w:r>
        <w:rPr>
          <w:noProof/>
        </w:rPr>
        <w:instrText xml:space="preserve"> PAGEREF _Toc67040238 \h </w:instrText>
      </w:r>
      <w:r>
        <w:rPr>
          <w:noProof/>
        </w:rPr>
      </w:r>
      <w:r>
        <w:rPr>
          <w:noProof/>
        </w:rPr>
        <w:fldChar w:fldCharType="separate"/>
      </w:r>
      <w:r>
        <w:rPr>
          <w:noProof/>
        </w:rPr>
        <w:t>2</w:t>
      </w:r>
      <w:r>
        <w:rPr>
          <w:noProof/>
        </w:rPr>
        <w:fldChar w:fldCharType="end"/>
      </w:r>
    </w:p>
    <w:p w:rsidR="00EF2B28" w:rsidRDefault="00EF2B28">
      <w:pPr>
        <w:pStyle w:val="TOC5"/>
        <w:rPr>
          <w:rFonts w:asciiTheme="minorHAnsi" w:eastAsiaTheme="minorEastAsia" w:hAnsiTheme="minorHAnsi" w:cstheme="minorBidi"/>
          <w:noProof/>
          <w:kern w:val="0"/>
          <w:sz w:val="22"/>
          <w:szCs w:val="22"/>
        </w:rPr>
      </w:pPr>
      <w:r>
        <w:rPr>
          <w:noProof/>
        </w:rPr>
        <w:t>6  Application</w:t>
      </w:r>
      <w:r>
        <w:rPr>
          <w:noProof/>
        </w:rPr>
        <w:tab/>
      </w:r>
      <w:r>
        <w:rPr>
          <w:noProof/>
        </w:rPr>
        <w:fldChar w:fldCharType="begin"/>
      </w:r>
      <w:r>
        <w:rPr>
          <w:noProof/>
        </w:rPr>
        <w:instrText xml:space="preserve"> PAGEREF _Toc67040239 \h </w:instrText>
      </w:r>
      <w:r>
        <w:rPr>
          <w:noProof/>
        </w:rPr>
      </w:r>
      <w:r>
        <w:rPr>
          <w:noProof/>
        </w:rPr>
        <w:fldChar w:fldCharType="separate"/>
      </w:r>
      <w:r>
        <w:rPr>
          <w:noProof/>
        </w:rPr>
        <w:t>3</w:t>
      </w:r>
      <w:r>
        <w:rPr>
          <w:noProof/>
        </w:rPr>
        <w:fldChar w:fldCharType="end"/>
      </w:r>
    </w:p>
    <w:p w:rsidR="00EF2B28" w:rsidRDefault="00EF2B28">
      <w:pPr>
        <w:pStyle w:val="TOC2"/>
        <w:rPr>
          <w:rFonts w:asciiTheme="minorHAnsi" w:eastAsiaTheme="minorEastAsia" w:hAnsiTheme="minorHAnsi" w:cstheme="minorBidi"/>
          <w:b w:val="0"/>
          <w:noProof/>
          <w:kern w:val="0"/>
          <w:sz w:val="22"/>
          <w:szCs w:val="22"/>
        </w:rPr>
      </w:pPr>
      <w:r>
        <w:rPr>
          <w:noProof/>
        </w:rPr>
        <w:t>Part 2—Requirements</w:t>
      </w:r>
      <w:r>
        <w:rPr>
          <w:noProof/>
        </w:rPr>
        <w:tab/>
      </w:r>
      <w:r>
        <w:rPr>
          <w:noProof/>
        </w:rPr>
        <w:fldChar w:fldCharType="begin"/>
      </w:r>
      <w:r>
        <w:rPr>
          <w:noProof/>
        </w:rPr>
        <w:instrText xml:space="preserve"> PAGEREF _Toc67040240 \h </w:instrText>
      </w:r>
      <w:r>
        <w:rPr>
          <w:noProof/>
        </w:rPr>
      </w:r>
      <w:r>
        <w:rPr>
          <w:noProof/>
        </w:rPr>
        <w:fldChar w:fldCharType="separate"/>
      </w:r>
      <w:r>
        <w:rPr>
          <w:noProof/>
        </w:rPr>
        <w:t>3</w:t>
      </w:r>
      <w:r>
        <w:rPr>
          <w:noProof/>
        </w:rPr>
        <w:fldChar w:fldCharType="end"/>
      </w:r>
    </w:p>
    <w:p w:rsidR="00EF2B28" w:rsidRDefault="00EF2B28">
      <w:pPr>
        <w:pStyle w:val="TOC5"/>
        <w:rPr>
          <w:rFonts w:asciiTheme="minorHAnsi" w:eastAsiaTheme="minorEastAsia" w:hAnsiTheme="minorHAnsi" w:cstheme="minorBidi"/>
          <w:noProof/>
          <w:kern w:val="0"/>
          <w:sz w:val="22"/>
          <w:szCs w:val="22"/>
        </w:rPr>
      </w:pPr>
      <w:r>
        <w:rPr>
          <w:noProof/>
        </w:rPr>
        <w:t>7  General requirements</w:t>
      </w:r>
      <w:r>
        <w:rPr>
          <w:noProof/>
        </w:rPr>
        <w:tab/>
      </w:r>
      <w:r>
        <w:rPr>
          <w:noProof/>
        </w:rPr>
        <w:fldChar w:fldCharType="begin"/>
      </w:r>
      <w:r>
        <w:rPr>
          <w:noProof/>
        </w:rPr>
        <w:instrText xml:space="preserve"> PAGEREF _Toc67040241 \h </w:instrText>
      </w:r>
      <w:r>
        <w:rPr>
          <w:noProof/>
        </w:rPr>
      </w:r>
      <w:r>
        <w:rPr>
          <w:noProof/>
        </w:rPr>
        <w:fldChar w:fldCharType="separate"/>
      </w:r>
      <w:r>
        <w:rPr>
          <w:noProof/>
        </w:rPr>
        <w:t>3</w:t>
      </w:r>
      <w:r>
        <w:rPr>
          <w:noProof/>
        </w:rPr>
        <w:fldChar w:fldCharType="end"/>
      </w:r>
    </w:p>
    <w:p w:rsidR="00EF2B28" w:rsidRDefault="00EF2B28">
      <w:pPr>
        <w:pStyle w:val="TOC5"/>
        <w:rPr>
          <w:rFonts w:asciiTheme="minorHAnsi" w:eastAsiaTheme="minorEastAsia" w:hAnsiTheme="minorHAnsi" w:cstheme="minorBidi"/>
          <w:noProof/>
          <w:kern w:val="0"/>
          <w:sz w:val="22"/>
          <w:szCs w:val="22"/>
        </w:rPr>
      </w:pPr>
      <w:r>
        <w:rPr>
          <w:noProof/>
        </w:rPr>
        <w:t>8  Application of a data matrix code</w:t>
      </w:r>
      <w:r>
        <w:rPr>
          <w:noProof/>
        </w:rPr>
        <w:tab/>
      </w:r>
      <w:r>
        <w:rPr>
          <w:noProof/>
        </w:rPr>
        <w:fldChar w:fldCharType="begin"/>
      </w:r>
      <w:r>
        <w:rPr>
          <w:noProof/>
        </w:rPr>
        <w:instrText xml:space="preserve"> PAGEREF _Toc67040242 \h </w:instrText>
      </w:r>
      <w:r>
        <w:rPr>
          <w:noProof/>
        </w:rPr>
      </w:r>
      <w:r>
        <w:rPr>
          <w:noProof/>
        </w:rPr>
        <w:fldChar w:fldCharType="separate"/>
      </w:r>
      <w:r>
        <w:rPr>
          <w:noProof/>
        </w:rPr>
        <w:t>4</w:t>
      </w:r>
      <w:r>
        <w:rPr>
          <w:noProof/>
        </w:rPr>
        <w:fldChar w:fldCharType="end"/>
      </w:r>
    </w:p>
    <w:p w:rsidR="00EF2B28" w:rsidRDefault="00EF2B28">
      <w:pPr>
        <w:pStyle w:val="TOC5"/>
        <w:rPr>
          <w:rFonts w:asciiTheme="minorHAnsi" w:eastAsiaTheme="minorEastAsia" w:hAnsiTheme="minorHAnsi" w:cstheme="minorBidi"/>
          <w:noProof/>
          <w:kern w:val="0"/>
          <w:sz w:val="22"/>
          <w:szCs w:val="22"/>
        </w:rPr>
      </w:pPr>
      <w:r>
        <w:rPr>
          <w:noProof/>
        </w:rPr>
        <w:t>9  Formatting etc. of a data matrix code</w:t>
      </w:r>
      <w:r>
        <w:rPr>
          <w:noProof/>
        </w:rPr>
        <w:tab/>
      </w:r>
      <w:r>
        <w:rPr>
          <w:noProof/>
        </w:rPr>
        <w:fldChar w:fldCharType="begin"/>
      </w:r>
      <w:r>
        <w:rPr>
          <w:noProof/>
        </w:rPr>
        <w:instrText xml:space="preserve"> PAGEREF _Toc67040243 \h </w:instrText>
      </w:r>
      <w:r>
        <w:rPr>
          <w:noProof/>
        </w:rPr>
      </w:r>
      <w:r>
        <w:rPr>
          <w:noProof/>
        </w:rPr>
        <w:fldChar w:fldCharType="separate"/>
      </w:r>
      <w:r>
        <w:rPr>
          <w:noProof/>
        </w:rPr>
        <w:t>4</w:t>
      </w:r>
      <w:r>
        <w:rPr>
          <w:noProof/>
        </w:rPr>
        <w:fldChar w:fldCharType="end"/>
      </w:r>
    </w:p>
    <w:p w:rsidR="00EF2B28" w:rsidRDefault="00EF2B28">
      <w:pPr>
        <w:pStyle w:val="TOC5"/>
        <w:rPr>
          <w:rFonts w:asciiTheme="minorHAnsi" w:eastAsiaTheme="minorEastAsia" w:hAnsiTheme="minorHAnsi" w:cstheme="minorBidi"/>
          <w:noProof/>
          <w:kern w:val="0"/>
          <w:sz w:val="22"/>
          <w:szCs w:val="22"/>
        </w:rPr>
      </w:pPr>
      <w:r>
        <w:rPr>
          <w:noProof/>
        </w:rPr>
        <w:t>10  Information in a data matrix code</w:t>
      </w:r>
      <w:r>
        <w:rPr>
          <w:noProof/>
        </w:rPr>
        <w:tab/>
      </w:r>
      <w:r>
        <w:rPr>
          <w:noProof/>
        </w:rPr>
        <w:fldChar w:fldCharType="begin"/>
      </w:r>
      <w:r>
        <w:rPr>
          <w:noProof/>
        </w:rPr>
        <w:instrText xml:space="preserve"> PAGEREF _Toc67040244 \h </w:instrText>
      </w:r>
      <w:r>
        <w:rPr>
          <w:noProof/>
        </w:rPr>
      </w:r>
      <w:r>
        <w:rPr>
          <w:noProof/>
        </w:rPr>
        <w:fldChar w:fldCharType="separate"/>
      </w:r>
      <w:r>
        <w:rPr>
          <w:noProof/>
        </w:rPr>
        <w:t>4</w:t>
      </w:r>
      <w:r>
        <w:rPr>
          <w:noProof/>
        </w:rPr>
        <w:fldChar w:fldCharType="end"/>
      </w:r>
    </w:p>
    <w:p w:rsidR="003F0D9D" w:rsidRPr="00A802BC" w:rsidRDefault="003F0D9D" w:rsidP="003F0D9D">
      <w:pPr>
        <w:outlineLvl w:val="0"/>
        <w:rPr>
          <w:sz w:val="20"/>
        </w:rPr>
      </w:pPr>
      <w:r>
        <w:fldChar w:fldCharType="end"/>
      </w:r>
    </w:p>
    <w:p w:rsidR="003F0D9D" w:rsidRDefault="003F0D9D" w:rsidP="003F0D9D">
      <w:pPr>
        <w:sectPr w:rsidR="003F0D9D" w:rsidSect="00317087">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rsidR="002F21A0" w:rsidRPr="00702D8C" w:rsidRDefault="002F21A0" w:rsidP="002F21A0">
      <w:pPr>
        <w:pStyle w:val="ActHead2"/>
        <w:rPr>
          <w:rStyle w:val="CharPartNo"/>
        </w:rPr>
      </w:pPr>
      <w:bookmarkStart w:id="1" w:name="_Toc4068944"/>
      <w:bookmarkStart w:id="2" w:name="_Toc67040233"/>
      <w:r w:rsidRPr="00702D8C">
        <w:rPr>
          <w:rStyle w:val="CharPartNo"/>
        </w:rPr>
        <w:lastRenderedPageBreak/>
        <w:t>Part 1—Preliminary</w:t>
      </w:r>
      <w:bookmarkEnd w:id="1"/>
      <w:bookmarkEnd w:id="2"/>
    </w:p>
    <w:p w:rsidR="00071E8C" w:rsidRDefault="00071E8C" w:rsidP="00071E8C">
      <w:pPr>
        <w:pStyle w:val="ActHead5"/>
      </w:pPr>
      <w:bookmarkStart w:id="3" w:name="BKCheck15B_3"/>
      <w:bookmarkStart w:id="4" w:name="_Toc30598948"/>
      <w:bookmarkStart w:id="5" w:name="_Toc67040234"/>
      <w:bookmarkEnd w:id="3"/>
      <w:proofErr w:type="gramStart"/>
      <w:r>
        <w:t>1</w:t>
      </w:r>
      <w:r w:rsidRPr="00554826">
        <w:t xml:space="preserve">  </w:t>
      </w:r>
      <w:r>
        <w:t>Name</w:t>
      </w:r>
      <w:bookmarkEnd w:id="4"/>
      <w:bookmarkEnd w:id="5"/>
      <w:proofErr w:type="gramEnd"/>
    </w:p>
    <w:p w:rsidR="00071E8C" w:rsidRDefault="00071E8C" w:rsidP="00071E8C">
      <w:pPr>
        <w:pStyle w:val="subsection"/>
        <w:tabs>
          <w:tab w:val="left" w:pos="1418"/>
        </w:tabs>
      </w:pPr>
      <w:r>
        <w:tab/>
      </w:r>
      <w:r w:rsidRPr="00274759">
        <w:t>(1)</w:t>
      </w:r>
      <w:r w:rsidRPr="00274759">
        <w:tab/>
      </w:r>
      <w:r w:rsidRPr="009C2562">
        <w:t xml:space="preserve">This </w:t>
      </w:r>
      <w:r>
        <w:t xml:space="preserve">instrument </w:t>
      </w:r>
      <w:r w:rsidRPr="009C2562">
        <w:t xml:space="preserve">is the </w:t>
      </w:r>
      <w:r w:rsidRPr="0002430A">
        <w:rPr>
          <w:i/>
        </w:rPr>
        <w:t xml:space="preserve">Therapeutic Goods </w:t>
      </w:r>
      <w:r>
        <w:rPr>
          <w:i/>
        </w:rPr>
        <w:t>(</w:t>
      </w:r>
      <w:r w:rsidR="00B91A3D">
        <w:rPr>
          <w:i/>
        </w:rPr>
        <w:t>Medicines—</w:t>
      </w:r>
      <w:r w:rsidRPr="0002430A">
        <w:rPr>
          <w:i/>
        </w:rPr>
        <w:t xml:space="preserve">Standard for </w:t>
      </w:r>
      <w:r w:rsidR="00EB5101">
        <w:rPr>
          <w:i/>
        </w:rPr>
        <w:t xml:space="preserve">Serialisation </w:t>
      </w:r>
      <w:r w:rsidR="00EB5101" w:rsidRPr="00606E80">
        <w:rPr>
          <w:i/>
        </w:rPr>
        <w:t xml:space="preserve">and </w:t>
      </w:r>
      <w:r w:rsidR="000B3E70" w:rsidRPr="00606E80">
        <w:rPr>
          <w:i/>
        </w:rPr>
        <w:t>Data Matrix Codes</w:t>
      </w:r>
      <w:r>
        <w:rPr>
          <w:i/>
        </w:rPr>
        <w:t>)</w:t>
      </w:r>
      <w:r w:rsidR="00697B65">
        <w:rPr>
          <w:i/>
        </w:rPr>
        <w:t xml:space="preserve"> (TGO </w:t>
      </w:r>
      <w:r w:rsidR="005C3FFA">
        <w:rPr>
          <w:i/>
        </w:rPr>
        <w:t>106</w:t>
      </w:r>
      <w:r w:rsidR="00697B65">
        <w:rPr>
          <w:i/>
        </w:rPr>
        <w:t>)</w:t>
      </w:r>
      <w:r>
        <w:rPr>
          <w:i/>
        </w:rPr>
        <w:t xml:space="preserve"> Order</w:t>
      </w:r>
      <w:r w:rsidRPr="0002430A">
        <w:rPr>
          <w:i/>
        </w:rPr>
        <w:t xml:space="preserve"> </w:t>
      </w:r>
      <w:r w:rsidR="00F5617A" w:rsidRPr="0002430A">
        <w:rPr>
          <w:i/>
        </w:rPr>
        <w:t>20</w:t>
      </w:r>
      <w:r w:rsidR="00F5617A">
        <w:rPr>
          <w:i/>
        </w:rPr>
        <w:t>2</w:t>
      </w:r>
      <w:r w:rsidR="00B33A5B">
        <w:rPr>
          <w:i/>
        </w:rPr>
        <w:t>1</w:t>
      </w:r>
      <w:r>
        <w:t>.</w:t>
      </w:r>
    </w:p>
    <w:p w:rsidR="00071E8C" w:rsidRPr="00274759" w:rsidRDefault="00071E8C" w:rsidP="00071E8C">
      <w:pPr>
        <w:pStyle w:val="subsection"/>
        <w:tabs>
          <w:tab w:val="left" w:pos="1418"/>
        </w:tabs>
      </w:pPr>
      <w:r>
        <w:tab/>
        <w:t>(2)</w:t>
      </w:r>
      <w:r>
        <w:tab/>
        <w:t xml:space="preserve">This instrument may also be cited as TGO </w:t>
      </w:r>
      <w:r w:rsidR="00F5617A" w:rsidRPr="005C3FFA">
        <w:t>10</w:t>
      </w:r>
      <w:r w:rsidR="005C3FFA">
        <w:t>6</w:t>
      </w:r>
      <w:r w:rsidR="00E3670A">
        <w:t>.</w:t>
      </w:r>
    </w:p>
    <w:p w:rsidR="00287EE0" w:rsidRDefault="00554826" w:rsidP="00554826">
      <w:pPr>
        <w:pStyle w:val="ActHead5"/>
      </w:pPr>
      <w:bookmarkStart w:id="6" w:name="_Toc30598949"/>
      <w:bookmarkStart w:id="7" w:name="_Toc67040235"/>
      <w:proofErr w:type="gramStart"/>
      <w:r w:rsidRPr="00554826">
        <w:t xml:space="preserve">2  </w:t>
      </w:r>
      <w:r w:rsidR="00287EE0">
        <w:t>Commencement</w:t>
      </w:r>
      <w:bookmarkEnd w:id="6"/>
      <w:bookmarkEnd w:id="7"/>
      <w:proofErr w:type="gramEnd"/>
    </w:p>
    <w:p w:rsidR="00287EE0" w:rsidRPr="00274759" w:rsidRDefault="00287EE0" w:rsidP="00E05ACC">
      <w:pPr>
        <w:pStyle w:val="subsection"/>
        <w:tabs>
          <w:tab w:val="left" w:pos="1418"/>
        </w:tabs>
      </w:pPr>
      <w:r>
        <w:tab/>
      </w:r>
      <w:r w:rsidRPr="00274759">
        <w:t>(1)</w:t>
      </w:r>
      <w:r w:rsidRPr="00274759">
        <w:tab/>
        <w:t>Each provision of this instrument specified in column 1 of the table commences, or is taken to have commenced, in accordance with column 2 of the table. Any other statement in column 2 has effect according to its terms.</w:t>
      </w:r>
    </w:p>
    <w:p w:rsidR="00B91A3D" w:rsidRPr="003422B4" w:rsidRDefault="00B91A3D" w:rsidP="00B91A3D">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B91A3D" w:rsidRPr="003422B4" w:rsidTr="00317087">
        <w:trPr>
          <w:tblHeader/>
        </w:trPr>
        <w:tc>
          <w:tcPr>
            <w:tcW w:w="8364" w:type="dxa"/>
            <w:gridSpan w:val="3"/>
            <w:tcBorders>
              <w:top w:val="single" w:sz="12" w:space="0" w:color="auto"/>
              <w:bottom w:val="single" w:sz="6" w:space="0" w:color="auto"/>
            </w:tcBorders>
            <w:shd w:val="clear" w:color="auto" w:fill="auto"/>
            <w:hideMark/>
          </w:tcPr>
          <w:p w:rsidR="00B91A3D" w:rsidRPr="003422B4" w:rsidRDefault="00B91A3D" w:rsidP="00317087">
            <w:pPr>
              <w:pStyle w:val="TableHeading"/>
            </w:pPr>
            <w:r w:rsidRPr="003422B4">
              <w:t>Commencement information</w:t>
            </w:r>
          </w:p>
        </w:tc>
      </w:tr>
      <w:tr w:rsidR="00B91A3D" w:rsidRPr="003422B4" w:rsidTr="00317087">
        <w:trPr>
          <w:tblHeader/>
        </w:trPr>
        <w:tc>
          <w:tcPr>
            <w:tcW w:w="2127" w:type="dxa"/>
            <w:tcBorders>
              <w:top w:val="single" w:sz="6" w:space="0" w:color="auto"/>
              <w:bottom w:val="single" w:sz="6" w:space="0" w:color="auto"/>
            </w:tcBorders>
            <w:shd w:val="clear" w:color="auto" w:fill="auto"/>
            <w:hideMark/>
          </w:tcPr>
          <w:p w:rsidR="00B91A3D" w:rsidRPr="003422B4" w:rsidRDefault="00B91A3D" w:rsidP="00317087">
            <w:pPr>
              <w:pStyle w:val="TableHeading"/>
            </w:pPr>
            <w:r w:rsidRPr="003422B4">
              <w:t>Column 1</w:t>
            </w:r>
          </w:p>
        </w:tc>
        <w:tc>
          <w:tcPr>
            <w:tcW w:w="4394" w:type="dxa"/>
            <w:tcBorders>
              <w:top w:val="single" w:sz="6" w:space="0" w:color="auto"/>
              <w:bottom w:val="single" w:sz="6" w:space="0" w:color="auto"/>
            </w:tcBorders>
            <w:shd w:val="clear" w:color="auto" w:fill="auto"/>
            <w:hideMark/>
          </w:tcPr>
          <w:p w:rsidR="00B91A3D" w:rsidRPr="003422B4" w:rsidRDefault="00B91A3D" w:rsidP="00317087">
            <w:pPr>
              <w:pStyle w:val="TableHeading"/>
            </w:pPr>
            <w:r w:rsidRPr="003422B4">
              <w:t>Column 2</w:t>
            </w:r>
          </w:p>
        </w:tc>
        <w:tc>
          <w:tcPr>
            <w:tcW w:w="1843" w:type="dxa"/>
            <w:tcBorders>
              <w:top w:val="single" w:sz="6" w:space="0" w:color="auto"/>
              <w:bottom w:val="single" w:sz="6" w:space="0" w:color="auto"/>
            </w:tcBorders>
            <w:shd w:val="clear" w:color="auto" w:fill="auto"/>
            <w:hideMark/>
          </w:tcPr>
          <w:p w:rsidR="00B91A3D" w:rsidRPr="003422B4" w:rsidRDefault="00B91A3D" w:rsidP="00317087">
            <w:pPr>
              <w:pStyle w:val="TableHeading"/>
            </w:pPr>
            <w:r w:rsidRPr="003422B4">
              <w:t>Column 3</w:t>
            </w:r>
          </w:p>
        </w:tc>
      </w:tr>
      <w:tr w:rsidR="00B91A3D" w:rsidRPr="003422B4" w:rsidTr="00317087">
        <w:trPr>
          <w:tblHeader/>
        </w:trPr>
        <w:tc>
          <w:tcPr>
            <w:tcW w:w="2127" w:type="dxa"/>
            <w:tcBorders>
              <w:top w:val="single" w:sz="6" w:space="0" w:color="auto"/>
              <w:bottom w:val="single" w:sz="12" w:space="0" w:color="auto"/>
            </w:tcBorders>
            <w:shd w:val="clear" w:color="auto" w:fill="auto"/>
            <w:hideMark/>
          </w:tcPr>
          <w:p w:rsidR="00B91A3D" w:rsidRPr="003422B4" w:rsidRDefault="00B91A3D" w:rsidP="00317087">
            <w:pPr>
              <w:pStyle w:val="TableHeading"/>
            </w:pPr>
            <w:r w:rsidRPr="003422B4">
              <w:t>Provisions</w:t>
            </w:r>
          </w:p>
        </w:tc>
        <w:tc>
          <w:tcPr>
            <w:tcW w:w="4394" w:type="dxa"/>
            <w:tcBorders>
              <w:top w:val="single" w:sz="6" w:space="0" w:color="auto"/>
              <w:bottom w:val="single" w:sz="12" w:space="0" w:color="auto"/>
            </w:tcBorders>
            <w:shd w:val="clear" w:color="auto" w:fill="auto"/>
            <w:hideMark/>
          </w:tcPr>
          <w:p w:rsidR="00B91A3D" w:rsidRPr="003422B4" w:rsidRDefault="00B91A3D" w:rsidP="00317087">
            <w:pPr>
              <w:pStyle w:val="TableHeading"/>
            </w:pPr>
            <w:r w:rsidRPr="003422B4">
              <w:t>Commencement</w:t>
            </w:r>
          </w:p>
        </w:tc>
        <w:tc>
          <w:tcPr>
            <w:tcW w:w="1843" w:type="dxa"/>
            <w:tcBorders>
              <w:top w:val="single" w:sz="6" w:space="0" w:color="auto"/>
              <w:bottom w:val="single" w:sz="12" w:space="0" w:color="auto"/>
            </w:tcBorders>
            <w:shd w:val="clear" w:color="auto" w:fill="auto"/>
            <w:hideMark/>
          </w:tcPr>
          <w:p w:rsidR="00B91A3D" w:rsidRPr="003422B4" w:rsidRDefault="00B91A3D" w:rsidP="00317087">
            <w:pPr>
              <w:pStyle w:val="TableHeading"/>
            </w:pPr>
            <w:r w:rsidRPr="003422B4">
              <w:t>Date/Details</w:t>
            </w:r>
          </w:p>
        </w:tc>
      </w:tr>
      <w:tr w:rsidR="00B91A3D" w:rsidRPr="003422B4" w:rsidTr="00317087">
        <w:tc>
          <w:tcPr>
            <w:tcW w:w="2127" w:type="dxa"/>
            <w:tcBorders>
              <w:top w:val="single" w:sz="12" w:space="0" w:color="auto"/>
              <w:bottom w:val="single" w:sz="12" w:space="0" w:color="auto"/>
            </w:tcBorders>
            <w:shd w:val="clear" w:color="auto" w:fill="auto"/>
            <w:hideMark/>
          </w:tcPr>
          <w:p w:rsidR="00B91A3D" w:rsidRPr="003A6229" w:rsidRDefault="00B91A3D" w:rsidP="00317087">
            <w:pPr>
              <w:pStyle w:val="Tabletext"/>
              <w:rPr>
                <w:i/>
              </w:rPr>
            </w:pPr>
            <w:r w:rsidRPr="003422B4">
              <w:t xml:space="preserve">1.  </w:t>
            </w:r>
            <w:r>
              <w:t>The whole of this instrument</w:t>
            </w:r>
          </w:p>
        </w:tc>
        <w:tc>
          <w:tcPr>
            <w:tcW w:w="4394" w:type="dxa"/>
            <w:tcBorders>
              <w:top w:val="single" w:sz="12" w:space="0" w:color="auto"/>
              <w:bottom w:val="single" w:sz="12" w:space="0" w:color="auto"/>
            </w:tcBorders>
            <w:shd w:val="clear" w:color="auto" w:fill="auto"/>
            <w:hideMark/>
          </w:tcPr>
          <w:p w:rsidR="00B91A3D" w:rsidRPr="00474046" w:rsidRDefault="00E7192F" w:rsidP="00D338A1">
            <w:pPr>
              <w:pStyle w:val="Tabletext"/>
            </w:pPr>
            <w:r>
              <w:t xml:space="preserve">1 </w:t>
            </w:r>
            <w:r w:rsidR="00780058">
              <w:t xml:space="preserve">January </w:t>
            </w:r>
            <w:r>
              <w:t>202</w:t>
            </w:r>
            <w:r w:rsidR="00780058">
              <w:t>3</w:t>
            </w:r>
            <w:r>
              <w:t>.</w:t>
            </w:r>
          </w:p>
        </w:tc>
        <w:tc>
          <w:tcPr>
            <w:tcW w:w="1843" w:type="dxa"/>
            <w:tcBorders>
              <w:top w:val="single" w:sz="12" w:space="0" w:color="auto"/>
              <w:bottom w:val="single" w:sz="12" w:space="0" w:color="auto"/>
            </w:tcBorders>
            <w:shd w:val="clear" w:color="auto" w:fill="auto"/>
          </w:tcPr>
          <w:p w:rsidR="00B91A3D" w:rsidRPr="00474046" w:rsidRDefault="00E7192F" w:rsidP="001632A6">
            <w:pPr>
              <w:pStyle w:val="Tabletext"/>
            </w:pPr>
            <w:r>
              <w:t xml:space="preserve">1 </w:t>
            </w:r>
            <w:r w:rsidR="001632A6">
              <w:t xml:space="preserve">January </w:t>
            </w:r>
            <w:r>
              <w:t>202</w:t>
            </w:r>
            <w:r w:rsidR="001632A6">
              <w:t>3</w:t>
            </w:r>
          </w:p>
        </w:tc>
      </w:tr>
    </w:tbl>
    <w:p w:rsidR="00287EE0" w:rsidRPr="00274759" w:rsidRDefault="00287EE0" w:rsidP="00287EE0">
      <w:pPr>
        <w:pStyle w:val="notetext"/>
      </w:pPr>
      <w:r w:rsidRPr="00274759">
        <w:rPr>
          <w:snapToGrid w:val="0"/>
          <w:lang w:eastAsia="en-US"/>
        </w:rPr>
        <w:t xml:space="preserve">Note: </w:t>
      </w:r>
      <w:r w:rsidRPr="00274759">
        <w:rPr>
          <w:snapToGrid w:val="0"/>
          <w:lang w:eastAsia="en-US"/>
        </w:rPr>
        <w:tab/>
        <w:t>This table relates only to the provisions of this instrument as originally made. It will not be amended to deal with any later amendments of this instrument.</w:t>
      </w:r>
    </w:p>
    <w:p w:rsidR="00554826" w:rsidRPr="00232984" w:rsidRDefault="00287EE0" w:rsidP="00E05ACC">
      <w:pPr>
        <w:pStyle w:val="subsection"/>
      </w:pPr>
      <w:r w:rsidRPr="00274759">
        <w:tab/>
        <w:t>(2)</w:t>
      </w:r>
      <w:r w:rsidRPr="00274759">
        <w:tab/>
        <w:t>Any information in column 3 of the table is not part of this instrument. Information may be inserted in this column, or information in it may be edited, in any published version of this instrument.</w:t>
      </w:r>
    </w:p>
    <w:p w:rsidR="00287EE0" w:rsidRDefault="00554826" w:rsidP="00E05ACC">
      <w:pPr>
        <w:pStyle w:val="ActHead5"/>
      </w:pPr>
      <w:bookmarkStart w:id="8" w:name="_Toc30598950"/>
      <w:bookmarkStart w:id="9" w:name="_Toc67040236"/>
      <w:proofErr w:type="gramStart"/>
      <w:r w:rsidRPr="00554826">
        <w:t xml:space="preserve">3  </w:t>
      </w:r>
      <w:r w:rsidR="00287EE0">
        <w:t>Authority</w:t>
      </w:r>
      <w:bookmarkEnd w:id="8"/>
      <w:bookmarkEnd w:id="9"/>
      <w:proofErr w:type="gramEnd"/>
    </w:p>
    <w:p w:rsidR="00287EE0" w:rsidRPr="00554826" w:rsidRDefault="00535240" w:rsidP="003F6415">
      <w:pPr>
        <w:pStyle w:val="subsection"/>
      </w:pPr>
      <w:r>
        <w:tab/>
      </w:r>
      <w:r>
        <w:tab/>
      </w:r>
      <w:r w:rsidR="00287EE0" w:rsidRPr="00094F45">
        <w:t>This instrument is made under section 10 of the</w:t>
      </w:r>
      <w:r w:rsidR="00511442">
        <w:rPr>
          <w:b/>
        </w:rPr>
        <w:t xml:space="preserve"> </w:t>
      </w:r>
      <w:r w:rsidR="00511442" w:rsidRPr="00E3670A">
        <w:rPr>
          <w:i/>
        </w:rPr>
        <w:t>Therap</w:t>
      </w:r>
      <w:r w:rsidR="00E3670A" w:rsidRPr="00E3670A">
        <w:rPr>
          <w:i/>
        </w:rPr>
        <w:t>e</w:t>
      </w:r>
      <w:r w:rsidR="00511442" w:rsidRPr="00E3670A">
        <w:rPr>
          <w:i/>
        </w:rPr>
        <w:t>utic Goods</w:t>
      </w:r>
      <w:r w:rsidR="00287EE0" w:rsidRPr="00E3670A">
        <w:rPr>
          <w:i/>
        </w:rPr>
        <w:t xml:space="preserve"> </w:t>
      </w:r>
      <w:r w:rsidR="00E90E10" w:rsidRPr="00E3670A">
        <w:rPr>
          <w:i/>
        </w:rPr>
        <w:t>Act</w:t>
      </w:r>
      <w:r w:rsidR="00511442" w:rsidRPr="00E3670A">
        <w:rPr>
          <w:i/>
        </w:rPr>
        <w:t xml:space="preserve"> 1989</w:t>
      </w:r>
      <w:r w:rsidR="00287EE0" w:rsidRPr="00094F45">
        <w:t>.</w:t>
      </w:r>
    </w:p>
    <w:p w:rsidR="00554826" w:rsidRPr="00554826" w:rsidRDefault="00287EE0" w:rsidP="00554826">
      <w:pPr>
        <w:pStyle w:val="ActHead5"/>
      </w:pPr>
      <w:bookmarkStart w:id="10" w:name="_Toc30598951"/>
      <w:bookmarkStart w:id="11" w:name="_Toc67040237"/>
      <w:proofErr w:type="gramStart"/>
      <w:r>
        <w:lastRenderedPageBreak/>
        <w:t>4</w:t>
      </w:r>
      <w:r w:rsidR="00554826" w:rsidRPr="00554826">
        <w:t xml:space="preserve">  Definitions</w:t>
      </w:r>
      <w:bookmarkEnd w:id="10"/>
      <w:bookmarkEnd w:id="11"/>
      <w:proofErr w:type="gramEnd"/>
    </w:p>
    <w:p w:rsidR="00554826" w:rsidRPr="009C2562" w:rsidRDefault="00554826" w:rsidP="00554826">
      <w:pPr>
        <w:pStyle w:val="notetext"/>
      </w:pPr>
      <w:r w:rsidRPr="009C2562">
        <w:t>Note:</w:t>
      </w:r>
      <w:r w:rsidRPr="009C2562">
        <w:tab/>
        <w:t>A number of expressions used in this instrument are defined in</w:t>
      </w:r>
      <w:r w:rsidR="00287EE0">
        <w:t xml:space="preserve"> </w:t>
      </w:r>
      <w:r w:rsidR="00F3011B">
        <w:t>sub</w:t>
      </w:r>
      <w:r w:rsidRPr="00E05ACC">
        <w:t>section</w:t>
      </w:r>
      <w:r>
        <w:t xml:space="preserve"> </w:t>
      </w:r>
      <w:r w:rsidR="00F3011B">
        <w:t xml:space="preserve">3(1) </w:t>
      </w:r>
      <w:r>
        <w:t>of the Act</w:t>
      </w:r>
      <w:r w:rsidRPr="009C2562">
        <w:t>, including the following:</w:t>
      </w:r>
    </w:p>
    <w:p w:rsidR="00E839A9" w:rsidRDefault="00E839A9" w:rsidP="00667CEA">
      <w:pPr>
        <w:pStyle w:val="notepara"/>
      </w:pPr>
      <w:r w:rsidRPr="00F66D7B">
        <w:t>(</w:t>
      </w:r>
      <w:r w:rsidR="0083747A">
        <w:t>a</w:t>
      </w:r>
      <w:r w:rsidRPr="00F66D7B">
        <w:t>)</w:t>
      </w:r>
      <w:r w:rsidRPr="00F66D7B">
        <w:tab/>
      </w:r>
      <w:proofErr w:type="gramStart"/>
      <w:r w:rsidRPr="00F66D7B">
        <w:t>batch</w:t>
      </w:r>
      <w:proofErr w:type="gramEnd"/>
      <w:r w:rsidRPr="00F66D7B">
        <w:t>;</w:t>
      </w:r>
    </w:p>
    <w:p w:rsidR="00A51959" w:rsidRDefault="00A51959" w:rsidP="00667CEA">
      <w:pPr>
        <w:pStyle w:val="notepara"/>
      </w:pPr>
      <w:r>
        <w:t>(</w:t>
      </w:r>
      <w:r w:rsidR="0083747A">
        <w:t>b</w:t>
      </w:r>
      <w:r>
        <w:t>)</w:t>
      </w:r>
      <w:r>
        <w:tab/>
      </w:r>
      <w:proofErr w:type="gramStart"/>
      <w:r>
        <w:t>container</w:t>
      </w:r>
      <w:proofErr w:type="gramEnd"/>
      <w:r>
        <w:t>;</w:t>
      </w:r>
    </w:p>
    <w:p w:rsidR="00667CEA" w:rsidRDefault="00D210C1" w:rsidP="00667CEA">
      <w:pPr>
        <w:pStyle w:val="notepara"/>
      </w:pPr>
      <w:r>
        <w:t>(</w:t>
      </w:r>
      <w:r w:rsidR="0083747A">
        <w:t>c</w:t>
      </w:r>
      <w:r>
        <w:t>)</w:t>
      </w:r>
      <w:r>
        <w:tab/>
      </w:r>
      <w:proofErr w:type="gramStart"/>
      <w:r w:rsidR="00A71E5E" w:rsidRPr="00094F45">
        <w:t>export</w:t>
      </w:r>
      <w:proofErr w:type="gramEnd"/>
      <w:r w:rsidR="00A71E5E" w:rsidRPr="00094F45">
        <w:t xml:space="preserve"> only medicine;</w:t>
      </w:r>
    </w:p>
    <w:p w:rsidR="00A71E5E" w:rsidRPr="00A71E5E" w:rsidRDefault="00A71E5E" w:rsidP="00A71E5E">
      <w:pPr>
        <w:pStyle w:val="notepara"/>
      </w:pPr>
      <w:r w:rsidRPr="00A71E5E">
        <w:t>(</w:t>
      </w:r>
      <w:r w:rsidR="00EF6664">
        <w:t>d</w:t>
      </w:r>
      <w:r w:rsidRPr="00A71E5E">
        <w:t>)</w:t>
      </w:r>
      <w:r w:rsidRPr="00A71E5E">
        <w:tab/>
      </w:r>
      <w:proofErr w:type="gramStart"/>
      <w:r w:rsidRPr="00094F45">
        <w:t>label</w:t>
      </w:r>
      <w:proofErr w:type="gramEnd"/>
      <w:r w:rsidRPr="00094F45">
        <w:t>;</w:t>
      </w:r>
    </w:p>
    <w:p w:rsidR="004377C5" w:rsidRDefault="005A681C">
      <w:pPr>
        <w:pStyle w:val="notepara"/>
      </w:pPr>
      <w:r>
        <w:t>(</w:t>
      </w:r>
      <w:r w:rsidR="00EF6664">
        <w:t>e</w:t>
      </w:r>
      <w:r>
        <w:t>)</w:t>
      </w:r>
      <w:r>
        <w:tab/>
      </w:r>
      <w:proofErr w:type="gramStart"/>
      <w:r>
        <w:t>medicine</w:t>
      </w:r>
      <w:proofErr w:type="gramEnd"/>
      <w:r w:rsidR="00D210C1">
        <w:t>;</w:t>
      </w:r>
    </w:p>
    <w:p w:rsidR="00134A36" w:rsidRDefault="004377C5">
      <w:pPr>
        <w:pStyle w:val="notepara"/>
      </w:pPr>
      <w:r>
        <w:t>(</w:t>
      </w:r>
      <w:r w:rsidR="00EF6664">
        <w:t>f</w:t>
      </w:r>
      <w:r>
        <w:t>)</w:t>
      </w:r>
      <w:r>
        <w:tab/>
      </w:r>
      <w:proofErr w:type="gramStart"/>
      <w:r>
        <w:t>primary</w:t>
      </w:r>
      <w:proofErr w:type="gramEnd"/>
      <w:r>
        <w:t xml:space="preserve"> pack</w:t>
      </w:r>
      <w:r w:rsidR="00706349">
        <w:t>;</w:t>
      </w:r>
    </w:p>
    <w:p w:rsidR="00A71E5E" w:rsidRPr="00A71E5E" w:rsidRDefault="00E839A9">
      <w:pPr>
        <w:pStyle w:val="notepara"/>
      </w:pPr>
      <w:r>
        <w:t>(</w:t>
      </w:r>
      <w:r w:rsidR="00EF6664">
        <w:t>g</w:t>
      </w:r>
      <w:r w:rsidR="0046362D">
        <w:t>)</w:t>
      </w:r>
      <w:r w:rsidR="0046362D">
        <w:tab/>
      </w:r>
      <w:proofErr w:type="gramStart"/>
      <w:r w:rsidR="0046362D">
        <w:t>product</w:t>
      </w:r>
      <w:proofErr w:type="gramEnd"/>
      <w:r w:rsidR="0046362D">
        <w:t xml:space="preserve"> information</w:t>
      </w:r>
      <w:r w:rsidR="004377C5">
        <w:t>;</w:t>
      </w:r>
    </w:p>
    <w:p w:rsidR="005424D5" w:rsidRDefault="00BE4593">
      <w:pPr>
        <w:pStyle w:val="notepara"/>
      </w:pPr>
      <w:r>
        <w:t>(</w:t>
      </w:r>
      <w:r w:rsidR="00EF6664">
        <w:t>h</w:t>
      </w:r>
      <w:r w:rsidR="00A71E5E" w:rsidRPr="00A71E5E">
        <w:t>)</w:t>
      </w:r>
      <w:r w:rsidR="00A71E5E" w:rsidRPr="00A71E5E">
        <w:tab/>
      </w:r>
      <w:proofErr w:type="gramStart"/>
      <w:r w:rsidR="00A71E5E" w:rsidRPr="00094F45">
        <w:t>standard</w:t>
      </w:r>
      <w:proofErr w:type="gramEnd"/>
      <w:r w:rsidR="00D210C1">
        <w:t>.</w:t>
      </w:r>
    </w:p>
    <w:p w:rsidR="00510E66" w:rsidRPr="00E05ACC" w:rsidRDefault="00104210" w:rsidP="00E20B3F">
      <w:pPr>
        <w:pStyle w:val="subsection"/>
        <w:rPr>
          <w:szCs w:val="22"/>
        </w:rPr>
      </w:pPr>
      <w:r>
        <w:rPr>
          <w:szCs w:val="22"/>
        </w:rPr>
        <w:tab/>
      </w:r>
      <w:r w:rsidR="002003C0">
        <w:rPr>
          <w:szCs w:val="22"/>
        </w:rPr>
        <w:tab/>
      </w:r>
      <w:r w:rsidR="00510E66" w:rsidRPr="00E20B3F">
        <w:t>In</w:t>
      </w:r>
      <w:r w:rsidR="00510E66" w:rsidRPr="00E05ACC">
        <w:rPr>
          <w:szCs w:val="22"/>
        </w:rPr>
        <w:t xml:space="preserve"> this </w:t>
      </w:r>
      <w:r w:rsidR="00E90E10">
        <w:rPr>
          <w:szCs w:val="22"/>
        </w:rPr>
        <w:t>instrument</w:t>
      </w:r>
      <w:r w:rsidR="00510E66" w:rsidRPr="00E05ACC">
        <w:rPr>
          <w:szCs w:val="22"/>
        </w:rPr>
        <w:t>:</w:t>
      </w:r>
    </w:p>
    <w:p w:rsidR="0039732E" w:rsidRPr="00C91B68" w:rsidRDefault="00510E66" w:rsidP="00E20B3F">
      <w:pPr>
        <w:pStyle w:val="Definition"/>
      </w:pPr>
      <w:r w:rsidRPr="00E05ACC">
        <w:rPr>
          <w:b/>
          <w:i/>
          <w:szCs w:val="22"/>
        </w:rPr>
        <w:t xml:space="preserve">Act </w:t>
      </w:r>
      <w:r w:rsidRPr="00E05ACC">
        <w:rPr>
          <w:szCs w:val="22"/>
        </w:rPr>
        <w:t xml:space="preserve">means the </w:t>
      </w:r>
      <w:r w:rsidRPr="00E05ACC">
        <w:rPr>
          <w:i/>
          <w:szCs w:val="22"/>
        </w:rPr>
        <w:t>Therapeutic Goods Act 1989</w:t>
      </w:r>
      <w:r w:rsidRPr="00E05ACC">
        <w:rPr>
          <w:szCs w:val="22"/>
        </w:rPr>
        <w:t>.</w:t>
      </w:r>
    </w:p>
    <w:p w:rsidR="009616F7" w:rsidRPr="00060AE7" w:rsidRDefault="009616F7" w:rsidP="00C91B68">
      <w:pPr>
        <w:pStyle w:val="Definition"/>
      </w:pPr>
      <w:r w:rsidRPr="0031170A">
        <w:rPr>
          <w:b/>
          <w:i/>
        </w:rPr>
        <w:t>Barcode Specifications</w:t>
      </w:r>
      <w:r w:rsidRPr="006914E1">
        <w:rPr>
          <w:i/>
        </w:rPr>
        <w:t xml:space="preserve"> </w:t>
      </w:r>
      <w:r>
        <w:t xml:space="preserve">means the </w:t>
      </w:r>
      <w:r w:rsidR="00706349">
        <w:t xml:space="preserve">document titled </w:t>
      </w:r>
      <w:r w:rsidRPr="006914E1">
        <w:rPr>
          <w:i/>
        </w:rPr>
        <w:t xml:space="preserve">Barcode </w:t>
      </w:r>
      <w:r w:rsidR="00B71320">
        <w:rPr>
          <w:i/>
        </w:rPr>
        <w:t>s</w:t>
      </w:r>
      <w:r w:rsidRPr="006914E1">
        <w:rPr>
          <w:i/>
        </w:rPr>
        <w:t xml:space="preserve">pecifications for </w:t>
      </w:r>
      <w:r w:rsidR="00B71320">
        <w:rPr>
          <w:i/>
        </w:rPr>
        <w:t>b</w:t>
      </w:r>
      <w:r w:rsidRPr="006914E1">
        <w:rPr>
          <w:i/>
        </w:rPr>
        <w:t xml:space="preserve">lood and </w:t>
      </w:r>
      <w:r w:rsidR="00B71320">
        <w:rPr>
          <w:i/>
        </w:rPr>
        <w:t>b</w:t>
      </w:r>
      <w:r w:rsidRPr="006914E1">
        <w:rPr>
          <w:i/>
        </w:rPr>
        <w:t xml:space="preserve">lood </w:t>
      </w:r>
      <w:r w:rsidR="00B71320">
        <w:rPr>
          <w:i/>
        </w:rPr>
        <w:t>p</w:t>
      </w:r>
      <w:r w:rsidRPr="006914E1">
        <w:rPr>
          <w:i/>
        </w:rPr>
        <w:t xml:space="preserve">roducts </w:t>
      </w:r>
      <w:r w:rsidR="00B71320">
        <w:rPr>
          <w:i/>
        </w:rPr>
        <w:t>f</w:t>
      </w:r>
      <w:r w:rsidRPr="006914E1">
        <w:rPr>
          <w:i/>
        </w:rPr>
        <w:t>unded under the National Blood Arrangements</w:t>
      </w:r>
      <w:r>
        <w:t xml:space="preserve"> published by the National Blood Authority (5 September 2014)</w:t>
      </w:r>
      <w:r w:rsidR="00AA593F">
        <w:t>, a</w:t>
      </w:r>
      <w:r w:rsidR="00AA593F" w:rsidRPr="00060AE7">
        <w:t>s in force or existing at the commencement of this instrument</w:t>
      </w:r>
      <w:r>
        <w:t>.</w:t>
      </w:r>
    </w:p>
    <w:p w:rsidR="009616F7" w:rsidRPr="009C2562" w:rsidRDefault="009616F7" w:rsidP="00E72941">
      <w:pPr>
        <w:pStyle w:val="notetext"/>
        <w:spacing w:line="240" w:lineRule="auto"/>
      </w:pPr>
      <w:r w:rsidRPr="009C2562">
        <w:t>Note:</w:t>
      </w:r>
      <w:r w:rsidRPr="009C2562">
        <w:tab/>
      </w:r>
      <w:r>
        <w:t>Th</w:t>
      </w:r>
      <w:r w:rsidR="00706349">
        <w:t xml:space="preserve">is document is </w:t>
      </w:r>
      <w:r w:rsidR="0031170A">
        <w:t>available</w:t>
      </w:r>
      <w:r w:rsidR="00302786">
        <w:t xml:space="preserve"> on the internet at www.blood.gov.au</w:t>
      </w:r>
      <w:r w:rsidR="001945B0">
        <w:t>.</w:t>
      </w:r>
    </w:p>
    <w:p w:rsidR="00FD3F40" w:rsidRDefault="00A87CD8" w:rsidP="00C91B68">
      <w:pPr>
        <w:pStyle w:val="Definition"/>
        <w:rPr>
          <w:szCs w:val="22"/>
          <w:shd w:val="clear" w:color="auto" w:fill="FFFFFF"/>
        </w:rPr>
      </w:pPr>
      <w:proofErr w:type="gramStart"/>
      <w:r w:rsidRPr="00162A40">
        <w:rPr>
          <w:b/>
          <w:i/>
          <w:szCs w:val="22"/>
        </w:rPr>
        <w:t>d</w:t>
      </w:r>
      <w:r w:rsidR="00FD3F40" w:rsidRPr="000B456F">
        <w:rPr>
          <w:b/>
          <w:i/>
          <w:szCs w:val="22"/>
        </w:rPr>
        <w:t>ata</w:t>
      </w:r>
      <w:proofErr w:type="gramEnd"/>
      <w:r w:rsidR="00FD3F40" w:rsidRPr="000B456F">
        <w:rPr>
          <w:b/>
          <w:i/>
          <w:szCs w:val="22"/>
        </w:rPr>
        <w:t xml:space="preserve"> matrix</w:t>
      </w:r>
      <w:r w:rsidRPr="00162A40">
        <w:rPr>
          <w:b/>
          <w:i/>
          <w:szCs w:val="22"/>
        </w:rPr>
        <w:t xml:space="preserve"> code</w:t>
      </w:r>
      <w:r w:rsidR="00FD3F40" w:rsidRPr="00162A40">
        <w:rPr>
          <w:szCs w:val="22"/>
        </w:rPr>
        <w:t xml:space="preserve"> means a </w:t>
      </w:r>
      <w:r w:rsidR="008D3350" w:rsidRPr="00767F4B">
        <w:rPr>
          <w:szCs w:val="22"/>
        </w:rPr>
        <w:t>two-dimensional</w:t>
      </w:r>
      <w:r w:rsidR="00FD3F40" w:rsidRPr="00767F4B">
        <w:rPr>
          <w:szCs w:val="22"/>
        </w:rPr>
        <w:t xml:space="preserve"> </w:t>
      </w:r>
      <w:r w:rsidR="00DA31BA" w:rsidRPr="00A36934">
        <w:rPr>
          <w:szCs w:val="22"/>
        </w:rPr>
        <w:t xml:space="preserve">arrangement of data </w:t>
      </w:r>
      <w:r w:rsidR="00511EB7" w:rsidRPr="000C4867">
        <w:rPr>
          <w:szCs w:val="22"/>
          <w:shd w:val="clear" w:color="auto" w:fill="FFFFFF"/>
        </w:rPr>
        <w:t xml:space="preserve">consisting of </w:t>
      </w:r>
      <w:r w:rsidRPr="000C4867">
        <w:rPr>
          <w:szCs w:val="22"/>
          <w:shd w:val="clear" w:color="auto" w:fill="FFFFFF"/>
        </w:rPr>
        <w:t xml:space="preserve">blocks or dots </w:t>
      </w:r>
      <w:r w:rsidR="00511EB7" w:rsidRPr="00AD0D5D">
        <w:rPr>
          <w:szCs w:val="22"/>
          <w:shd w:val="clear" w:color="auto" w:fill="FFFFFF"/>
        </w:rPr>
        <w:t xml:space="preserve">in a square or rectangular </w:t>
      </w:r>
      <w:r w:rsidR="00511EB7" w:rsidRPr="00A22F39">
        <w:rPr>
          <w:szCs w:val="22"/>
          <w:shd w:val="clear" w:color="auto" w:fill="FFFFFF"/>
        </w:rPr>
        <w:t>pattern</w:t>
      </w:r>
      <w:r w:rsidR="00C91B68">
        <w:rPr>
          <w:szCs w:val="22"/>
          <w:shd w:val="clear" w:color="auto" w:fill="FFFFFF"/>
        </w:rPr>
        <w:t xml:space="preserve"> </w:t>
      </w:r>
      <w:r w:rsidRPr="00162A40">
        <w:rPr>
          <w:szCs w:val="22"/>
          <w:shd w:val="clear" w:color="auto" w:fill="FFFFFF"/>
        </w:rPr>
        <w:t xml:space="preserve">but </w:t>
      </w:r>
      <w:r w:rsidRPr="00D51456">
        <w:rPr>
          <w:szCs w:val="22"/>
          <w:shd w:val="clear" w:color="auto" w:fill="FFFFFF"/>
        </w:rPr>
        <w:t xml:space="preserve">does not include </w:t>
      </w:r>
      <w:r w:rsidR="00DB3ECF" w:rsidRPr="00767F4B">
        <w:rPr>
          <w:szCs w:val="22"/>
          <w:shd w:val="clear" w:color="auto" w:fill="FFFFFF"/>
        </w:rPr>
        <w:t xml:space="preserve">a </w:t>
      </w:r>
      <w:r w:rsidR="00DB3ECF" w:rsidRPr="0074619D">
        <w:rPr>
          <w:szCs w:val="22"/>
          <w:shd w:val="clear" w:color="auto" w:fill="FFFFFF"/>
        </w:rPr>
        <w:t xml:space="preserve">QR </w:t>
      </w:r>
      <w:r w:rsidR="00DA31BA" w:rsidRPr="00162A40">
        <w:rPr>
          <w:szCs w:val="22"/>
          <w:shd w:val="clear" w:color="auto" w:fill="FFFFFF"/>
        </w:rPr>
        <w:t>c</w:t>
      </w:r>
      <w:r w:rsidR="00DB3ECF" w:rsidRPr="000B456F">
        <w:rPr>
          <w:szCs w:val="22"/>
          <w:shd w:val="clear" w:color="auto" w:fill="FFFFFF"/>
        </w:rPr>
        <w:t>ode</w:t>
      </w:r>
      <w:r w:rsidR="00DB3ECF" w:rsidRPr="00162A40">
        <w:rPr>
          <w:szCs w:val="22"/>
          <w:shd w:val="clear" w:color="auto" w:fill="FFFFFF"/>
        </w:rPr>
        <w:t>.</w:t>
      </w:r>
    </w:p>
    <w:p w:rsidR="00970B17" w:rsidRPr="004E7FF0" w:rsidRDefault="00970B17" w:rsidP="000B456F">
      <w:pPr>
        <w:pStyle w:val="Definition"/>
      </w:pPr>
      <w:r w:rsidRPr="000B456F">
        <w:rPr>
          <w:b/>
          <w:i/>
        </w:rPr>
        <w:t>GS1</w:t>
      </w:r>
      <w:r>
        <w:t xml:space="preserve"> </w:t>
      </w:r>
      <w:r w:rsidR="006C5BF0">
        <w:t>means</w:t>
      </w:r>
      <w:r>
        <w:t xml:space="preserve"> the not</w:t>
      </w:r>
      <w:r w:rsidR="00905079">
        <w:t>-</w:t>
      </w:r>
      <w:r>
        <w:t>for</w:t>
      </w:r>
      <w:r w:rsidR="00905079">
        <w:t>-</w:t>
      </w:r>
      <w:r>
        <w:t xml:space="preserve">profit </w:t>
      </w:r>
      <w:r w:rsidR="00905079">
        <w:t>standards organisation</w:t>
      </w:r>
      <w:r>
        <w:t xml:space="preserve"> known as GS1</w:t>
      </w:r>
      <w:r w:rsidR="006C5BF0">
        <w:t xml:space="preserve"> that has its headquarters in Belgium.</w:t>
      </w:r>
    </w:p>
    <w:p w:rsidR="00B91A3D" w:rsidRDefault="00B91A3D" w:rsidP="00B91A3D">
      <w:pPr>
        <w:pStyle w:val="Definition"/>
        <w:rPr>
          <w:szCs w:val="22"/>
        </w:rPr>
      </w:pPr>
      <w:r w:rsidRPr="000B456F">
        <w:rPr>
          <w:b/>
          <w:i/>
          <w:szCs w:val="22"/>
        </w:rPr>
        <w:t>GS1 General Specifications</w:t>
      </w:r>
      <w:r>
        <w:rPr>
          <w:szCs w:val="22"/>
        </w:rPr>
        <w:t xml:space="preserve"> </w:t>
      </w:r>
      <w:r w:rsidR="001D1715" w:rsidRPr="003A41DC">
        <w:rPr>
          <w:szCs w:val="22"/>
        </w:rPr>
        <w:t xml:space="preserve">means the </w:t>
      </w:r>
      <w:r w:rsidR="00706349">
        <w:rPr>
          <w:szCs w:val="22"/>
        </w:rPr>
        <w:t xml:space="preserve">standard titled </w:t>
      </w:r>
      <w:r w:rsidR="001D1715" w:rsidRPr="008F562C">
        <w:rPr>
          <w:i/>
          <w:szCs w:val="22"/>
        </w:rPr>
        <w:t>GS1 General Specifications</w:t>
      </w:r>
      <w:r w:rsidR="001D1715" w:rsidRPr="003A41DC">
        <w:rPr>
          <w:szCs w:val="22"/>
        </w:rPr>
        <w:t xml:space="preserve"> published by GS1</w:t>
      </w:r>
      <w:r w:rsidR="0029146F">
        <w:rPr>
          <w:szCs w:val="22"/>
        </w:rPr>
        <w:t>,</w:t>
      </w:r>
      <w:r w:rsidR="001D1715" w:rsidRPr="003A41DC">
        <w:rPr>
          <w:szCs w:val="22"/>
        </w:rPr>
        <w:t xml:space="preserve"> </w:t>
      </w:r>
      <w:r>
        <w:rPr>
          <w:szCs w:val="22"/>
        </w:rPr>
        <w:t xml:space="preserve">as </w:t>
      </w:r>
      <w:r w:rsidR="000C62DC">
        <w:rPr>
          <w:szCs w:val="22"/>
        </w:rPr>
        <w:t>in force</w:t>
      </w:r>
      <w:r>
        <w:rPr>
          <w:szCs w:val="22"/>
        </w:rPr>
        <w:t xml:space="preserve"> from time to time.</w:t>
      </w:r>
    </w:p>
    <w:p w:rsidR="001D1715" w:rsidRPr="00E72941" w:rsidRDefault="001D1715" w:rsidP="00E72941">
      <w:pPr>
        <w:pStyle w:val="notetext"/>
        <w:spacing w:line="240" w:lineRule="auto"/>
      </w:pPr>
      <w:r w:rsidRPr="00E72941">
        <w:t>Note:</w:t>
      </w:r>
      <w:r w:rsidRPr="00E72941">
        <w:tab/>
        <w:t>Th</w:t>
      </w:r>
      <w:r w:rsidR="00706349">
        <w:t xml:space="preserve">is standard is </w:t>
      </w:r>
      <w:r w:rsidR="0031170A" w:rsidRPr="00E72941">
        <w:t xml:space="preserve">available </w:t>
      </w:r>
      <w:r w:rsidRPr="00E72941">
        <w:t>on the internet at www.gs1.org.</w:t>
      </w:r>
    </w:p>
    <w:p w:rsidR="00B91A3D" w:rsidRPr="00B91A3D" w:rsidRDefault="000D38D7" w:rsidP="00B91A3D">
      <w:pPr>
        <w:pStyle w:val="Definition"/>
      </w:pPr>
      <w:r>
        <w:rPr>
          <w:b/>
          <w:i/>
          <w:szCs w:val="22"/>
        </w:rPr>
        <w:t>GTIN</w:t>
      </w:r>
      <w:r w:rsidRPr="001E038F">
        <w:rPr>
          <w:szCs w:val="22"/>
        </w:rPr>
        <w:t>,</w:t>
      </w:r>
      <w:r w:rsidRPr="001E038F">
        <w:rPr>
          <w:i/>
          <w:szCs w:val="22"/>
        </w:rPr>
        <w:t xml:space="preserve"> </w:t>
      </w:r>
      <w:r w:rsidRPr="001E038F">
        <w:rPr>
          <w:szCs w:val="22"/>
        </w:rPr>
        <w:t xml:space="preserve">or </w:t>
      </w:r>
      <w:r w:rsidRPr="008F562C">
        <w:rPr>
          <w:szCs w:val="22"/>
        </w:rPr>
        <w:t>Global Trade Item Number</w:t>
      </w:r>
      <w:r w:rsidRPr="00ED2DED">
        <w:rPr>
          <w:szCs w:val="22"/>
        </w:rPr>
        <w:t>,</w:t>
      </w:r>
      <w:r w:rsidRPr="008F562C">
        <w:rPr>
          <w:szCs w:val="22"/>
        </w:rPr>
        <w:t xml:space="preserve"> </w:t>
      </w:r>
      <w:r w:rsidR="00B91A3D">
        <w:rPr>
          <w:szCs w:val="22"/>
        </w:rPr>
        <w:t xml:space="preserve">means </w:t>
      </w:r>
      <w:r w:rsidR="00EE0873">
        <w:rPr>
          <w:szCs w:val="22"/>
        </w:rPr>
        <w:t>the GS1 identification key used to identify trade items</w:t>
      </w:r>
      <w:r>
        <w:rPr>
          <w:szCs w:val="22"/>
        </w:rPr>
        <w:t xml:space="preserve"> as defined in the GS1 General Specifications</w:t>
      </w:r>
      <w:r w:rsidR="00B91A3D">
        <w:rPr>
          <w:szCs w:val="22"/>
        </w:rPr>
        <w:t>.</w:t>
      </w:r>
    </w:p>
    <w:p w:rsidR="00EE0873" w:rsidRPr="008F562C" w:rsidRDefault="00EE0873" w:rsidP="008F562C">
      <w:pPr>
        <w:pStyle w:val="notetext"/>
        <w:spacing w:line="240" w:lineRule="auto"/>
      </w:pPr>
      <w:r w:rsidRPr="00E72941">
        <w:lastRenderedPageBreak/>
        <w:t>Note:</w:t>
      </w:r>
      <w:r w:rsidRPr="00E72941">
        <w:tab/>
      </w:r>
      <w:r>
        <w:t xml:space="preserve">A GTIN comprises a GS1 </w:t>
      </w:r>
      <w:r w:rsidR="000D38D7">
        <w:t>company prefix, an item reference and check digit</w:t>
      </w:r>
      <w:r w:rsidRPr="00E72941">
        <w:t>.</w:t>
      </w:r>
    </w:p>
    <w:p w:rsidR="00A21BA4" w:rsidRDefault="00A21BA4">
      <w:pPr>
        <w:pStyle w:val="Definition"/>
        <w:rPr>
          <w:szCs w:val="22"/>
        </w:rPr>
      </w:pPr>
      <w:proofErr w:type="gramStart"/>
      <w:r>
        <w:rPr>
          <w:b/>
          <w:i/>
          <w:szCs w:val="22"/>
        </w:rPr>
        <w:t>national</w:t>
      </w:r>
      <w:proofErr w:type="gramEnd"/>
      <w:r>
        <w:rPr>
          <w:b/>
          <w:i/>
          <w:szCs w:val="22"/>
        </w:rPr>
        <w:t xml:space="preserve"> blood arrangements</w:t>
      </w:r>
      <w:r w:rsidRPr="00EB5101">
        <w:rPr>
          <w:szCs w:val="22"/>
        </w:rPr>
        <w:t xml:space="preserve"> has the same meaning as in the </w:t>
      </w:r>
      <w:r w:rsidRPr="000B456F">
        <w:rPr>
          <w:i/>
          <w:szCs w:val="22"/>
        </w:rPr>
        <w:t>National Blood Authority Act 2003</w:t>
      </w:r>
      <w:r w:rsidRPr="00EB5101">
        <w:rPr>
          <w:szCs w:val="22"/>
        </w:rPr>
        <w:t>.</w:t>
      </w:r>
    </w:p>
    <w:p w:rsidR="000A2A28" w:rsidRPr="004A4C12" w:rsidRDefault="000A2A28" w:rsidP="000B456F">
      <w:pPr>
        <w:pStyle w:val="Definition"/>
        <w:rPr>
          <w:szCs w:val="22"/>
        </w:rPr>
      </w:pPr>
      <w:r w:rsidRPr="000B456F">
        <w:rPr>
          <w:b/>
          <w:i/>
          <w:szCs w:val="22"/>
        </w:rPr>
        <w:t>Regulations</w:t>
      </w:r>
      <w:r>
        <w:rPr>
          <w:szCs w:val="22"/>
        </w:rPr>
        <w:t xml:space="preserve"> means the </w:t>
      </w:r>
      <w:r w:rsidRPr="004A4C12">
        <w:rPr>
          <w:i/>
          <w:szCs w:val="22"/>
        </w:rPr>
        <w:t>Therapeutic Goods Regulations 1990</w:t>
      </w:r>
      <w:r>
        <w:rPr>
          <w:szCs w:val="22"/>
        </w:rPr>
        <w:t>.</w:t>
      </w:r>
    </w:p>
    <w:p w:rsidR="00102C9F" w:rsidRDefault="00102C9F" w:rsidP="00102C9F">
      <w:pPr>
        <w:pStyle w:val="Definition"/>
        <w:rPr>
          <w:szCs w:val="22"/>
        </w:rPr>
      </w:pPr>
      <w:proofErr w:type="gramStart"/>
      <w:r>
        <w:rPr>
          <w:b/>
          <w:i/>
          <w:szCs w:val="22"/>
        </w:rPr>
        <w:t>relevant</w:t>
      </w:r>
      <w:proofErr w:type="gramEnd"/>
      <w:r>
        <w:rPr>
          <w:b/>
          <w:i/>
          <w:szCs w:val="22"/>
        </w:rPr>
        <w:t xml:space="preserve"> level of packaging</w:t>
      </w:r>
      <w:r w:rsidRPr="00F804DB">
        <w:rPr>
          <w:szCs w:val="22"/>
        </w:rPr>
        <w:t xml:space="preserve">, </w:t>
      </w:r>
      <w:r w:rsidR="008B3364">
        <w:rPr>
          <w:szCs w:val="22"/>
        </w:rPr>
        <w:t>in relation to a medicine</w:t>
      </w:r>
      <w:r w:rsidR="00ED2DED" w:rsidRPr="00F804DB">
        <w:rPr>
          <w:szCs w:val="22"/>
        </w:rPr>
        <w:t>,</w:t>
      </w:r>
      <w:r w:rsidRPr="00F804DB">
        <w:rPr>
          <w:szCs w:val="22"/>
        </w:rPr>
        <w:t xml:space="preserve"> means </w:t>
      </w:r>
      <w:r>
        <w:rPr>
          <w:szCs w:val="22"/>
        </w:rPr>
        <w:t>one of the following:</w:t>
      </w:r>
    </w:p>
    <w:p w:rsidR="00102C9F" w:rsidRDefault="00102C9F" w:rsidP="0058729E">
      <w:pPr>
        <w:pStyle w:val="paragraph"/>
      </w:pPr>
      <w:r>
        <w:tab/>
        <w:t>(a)</w:t>
      </w:r>
      <w:r>
        <w:tab/>
      </w:r>
      <w:proofErr w:type="gramStart"/>
      <w:r w:rsidR="008B3364">
        <w:t>the</w:t>
      </w:r>
      <w:proofErr w:type="gramEnd"/>
      <w:r w:rsidR="008B3364">
        <w:t xml:space="preserve"> </w:t>
      </w:r>
      <w:r w:rsidRPr="00CC0F88">
        <w:t>primary pack</w:t>
      </w:r>
      <w:r w:rsidR="004E4CCB">
        <w:t>;</w:t>
      </w:r>
    </w:p>
    <w:p w:rsidR="00102C9F" w:rsidRDefault="00102C9F" w:rsidP="0058729E">
      <w:pPr>
        <w:pStyle w:val="paragraph"/>
      </w:pPr>
      <w:r>
        <w:tab/>
        <w:t>(b)</w:t>
      </w:r>
      <w:r>
        <w:tab/>
      </w:r>
      <w:proofErr w:type="gramStart"/>
      <w:r w:rsidR="008B3364">
        <w:t>the</w:t>
      </w:r>
      <w:proofErr w:type="gramEnd"/>
      <w:r w:rsidR="008B3364">
        <w:t xml:space="preserve"> </w:t>
      </w:r>
      <w:r w:rsidRPr="00CC0F88">
        <w:t>container</w:t>
      </w:r>
      <w:r w:rsidR="004E4CCB">
        <w:t>;</w:t>
      </w:r>
    </w:p>
    <w:p w:rsidR="00102C9F" w:rsidRPr="00CC0F88" w:rsidRDefault="00102C9F" w:rsidP="0058729E">
      <w:pPr>
        <w:pStyle w:val="paragraph"/>
      </w:pPr>
      <w:r>
        <w:tab/>
      </w:r>
      <w:r w:rsidRPr="00955A5D">
        <w:t>(c)</w:t>
      </w:r>
      <w:r w:rsidRPr="00955A5D">
        <w:tab/>
        <w:t>single unit packaging within a container.</w:t>
      </w:r>
    </w:p>
    <w:p w:rsidR="008B3364" w:rsidRDefault="008B3364" w:rsidP="008B3364">
      <w:pPr>
        <w:pStyle w:val="notetext"/>
        <w:spacing w:line="240" w:lineRule="auto"/>
      </w:pPr>
      <w:r w:rsidRPr="004C5A34">
        <w:t>Note</w:t>
      </w:r>
      <w:r>
        <w:t xml:space="preserve"> 1</w:t>
      </w:r>
      <w:r w:rsidRPr="004C5A34">
        <w:t>:</w:t>
      </w:r>
      <w:r w:rsidRPr="004C5A34">
        <w:tab/>
      </w:r>
      <w:r w:rsidRPr="00E72941">
        <w:rPr>
          <w:b/>
          <w:i/>
        </w:rPr>
        <w:t>Primary pack</w:t>
      </w:r>
      <w:r w:rsidRPr="004C5A34">
        <w:t xml:space="preserve"> </w:t>
      </w:r>
      <w:r>
        <w:t>is defined in</w:t>
      </w:r>
      <w:r w:rsidRPr="004C5A34">
        <w:t xml:space="preserve"> </w:t>
      </w:r>
      <w:r w:rsidRPr="00955A5D">
        <w:t>sub</w:t>
      </w:r>
      <w:r w:rsidRPr="004C5A34">
        <w:t>section 3</w:t>
      </w:r>
      <w:r w:rsidRPr="00955A5D">
        <w:t>(1)</w:t>
      </w:r>
      <w:r w:rsidRPr="004C5A34">
        <w:t xml:space="preserve"> of the Act</w:t>
      </w:r>
      <w:r>
        <w:t xml:space="preserve"> as meaning </w:t>
      </w:r>
      <w:r w:rsidRPr="00355AE6">
        <w:t>the complete pack in which the goods, or the goods and their container, are to be supplied to consumers</w:t>
      </w:r>
      <w:r w:rsidRPr="004C5A34">
        <w:t>.</w:t>
      </w:r>
    </w:p>
    <w:p w:rsidR="00355AE6" w:rsidRPr="009C2562" w:rsidRDefault="00355AE6" w:rsidP="00E72941">
      <w:pPr>
        <w:pStyle w:val="notetext"/>
        <w:spacing w:line="240" w:lineRule="auto"/>
      </w:pPr>
      <w:r w:rsidRPr="004C5A34">
        <w:t>Note</w:t>
      </w:r>
      <w:r>
        <w:t xml:space="preserve"> </w:t>
      </w:r>
      <w:r w:rsidR="008B3364">
        <w:t>2</w:t>
      </w:r>
      <w:r w:rsidRPr="004C5A34">
        <w:t>:</w:t>
      </w:r>
      <w:r w:rsidRPr="004C5A34">
        <w:tab/>
      </w:r>
      <w:r w:rsidRPr="00E72941">
        <w:rPr>
          <w:b/>
          <w:i/>
        </w:rPr>
        <w:t>Container</w:t>
      </w:r>
      <w:r w:rsidRPr="004C5A34">
        <w:t xml:space="preserve"> </w:t>
      </w:r>
      <w:r>
        <w:t>is defined in</w:t>
      </w:r>
      <w:r w:rsidRPr="004C5A34">
        <w:t xml:space="preserve"> </w:t>
      </w:r>
      <w:r w:rsidRPr="00955A5D">
        <w:t>sub</w:t>
      </w:r>
      <w:r w:rsidRPr="004C5A34">
        <w:t>section 3</w:t>
      </w:r>
      <w:r w:rsidRPr="00955A5D">
        <w:t>(1)</w:t>
      </w:r>
      <w:r w:rsidRPr="004C5A34">
        <w:t xml:space="preserve"> of the Act</w:t>
      </w:r>
      <w:r>
        <w:t xml:space="preserve"> as meaning </w:t>
      </w:r>
      <w:r w:rsidRPr="00355AE6">
        <w:t>the vessel, bottle, tube, ampoule, syringe, vial, sachet, strip pack, blister pack, wrapper, cover or other similar article that immediately covers the goods, but does not include an article intended for ingestion</w:t>
      </w:r>
      <w:r w:rsidRPr="004C5A34">
        <w:t>.</w:t>
      </w:r>
    </w:p>
    <w:p w:rsidR="002E3C73" w:rsidRDefault="00355AE6" w:rsidP="00E72941">
      <w:pPr>
        <w:pStyle w:val="notetext"/>
        <w:spacing w:line="240" w:lineRule="auto"/>
      </w:pPr>
      <w:r w:rsidRPr="00D469CE">
        <w:t>Note 3</w:t>
      </w:r>
      <w:r w:rsidRPr="00D469CE">
        <w:tab/>
      </w:r>
      <w:r w:rsidR="00E8505D" w:rsidRPr="00D469CE">
        <w:t>S</w:t>
      </w:r>
      <w:r w:rsidRPr="00D469CE">
        <w:t>ingle unit packaging withi</w:t>
      </w:r>
      <w:r w:rsidR="00B819FB" w:rsidRPr="00D469CE">
        <w:t xml:space="preserve">n a container </w:t>
      </w:r>
      <w:r w:rsidR="00E8505D" w:rsidRPr="00D469CE">
        <w:t>include</w:t>
      </w:r>
      <w:r w:rsidR="00A950AB" w:rsidRPr="00D469CE">
        <w:t>s</w:t>
      </w:r>
      <w:r w:rsidR="00E8505D" w:rsidRPr="00D469CE">
        <w:t xml:space="preserve"> </w:t>
      </w:r>
      <w:r w:rsidR="002E3C73">
        <w:t>an</w:t>
      </w:r>
      <w:r w:rsidR="002E3C73" w:rsidRPr="00D469CE">
        <w:t xml:space="preserve"> </w:t>
      </w:r>
      <w:r w:rsidR="00E8505D" w:rsidRPr="00D469CE">
        <w:t xml:space="preserve">individual </w:t>
      </w:r>
      <w:r w:rsidR="003450CF" w:rsidRPr="00D469CE">
        <w:t>segment of a strip or blister pack</w:t>
      </w:r>
      <w:r w:rsidR="00EE0873">
        <w:t>,</w:t>
      </w:r>
      <w:r w:rsidR="003450CF" w:rsidRPr="00D469CE">
        <w:t xml:space="preserve"> </w:t>
      </w:r>
      <w:r w:rsidR="002E3C73">
        <w:t xml:space="preserve">which immediately covers a single </w:t>
      </w:r>
      <w:r w:rsidR="003450CF" w:rsidRPr="00D469CE">
        <w:t>dosage unit</w:t>
      </w:r>
      <w:r w:rsidR="002E3C73">
        <w:t>,</w:t>
      </w:r>
      <w:r w:rsidR="003450CF" w:rsidRPr="00D469CE">
        <w:t xml:space="preserve"> </w:t>
      </w:r>
      <w:r w:rsidR="002E3C73">
        <w:t xml:space="preserve">and which </w:t>
      </w:r>
      <w:r w:rsidR="003450CF" w:rsidRPr="00D469CE">
        <w:t>can be readily detached</w:t>
      </w:r>
      <w:r w:rsidR="002E3C73">
        <w:t>.</w:t>
      </w:r>
    </w:p>
    <w:p w:rsidR="00EA6CBC" w:rsidRDefault="00F0114F" w:rsidP="00F0114F">
      <w:pPr>
        <w:pStyle w:val="Definition"/>
        <w:rPr>
          <w:szCs w:val="22"/>
        </w:rPr>
      </w:pPr>
      <w:proofErr w:type="gramStart"/>
      <w:r w:rsidRPr="00F804DB">
        <w:rPr>
          <w:b/>
          <w:i/>
          <w:szCs w:val="22"/>
        </w:rPr>
        <w:t>serialisation</w:t>
      </w:r>
      <w:proofErr w:type="gramEnd"/>
      <w:r w:rsidRPr="00F804DB">
        <w:rPr>
          <w:szCs w:val="22"/>
        </w:rPr>
        <w:t>, in relation to a medicine</w:t>
      </w:r>
      <w:r w:rsidR="00ED2DED" w:rsidRPr="00F804DB">
        <w:rPr>
          <w:szCs w:val="22"/>
        </w:rPr>
        <w:t>,</w:t>
      </w:r>
      <w:r w:rsidRPr="00F804DB">
        <w:rPr>
          <w:szCs w:val="22"/>
        </w:rPr>
        <w:t xml:space="preserve"> means the unique identification of </w:t>
      </w:r>
      <w:r w:rsidR="00E839A9">
        <w:rPr>
          <w:szCs w:val="22"/>
        </w:rPr>
        <w:t>each unit of the medicine</w:t>
      </w:r>
      <w:r w:rsidR="002536B4">
        <w:rPr>
          <w:szCs w:val="22"/>
        </w:rPr>
        <w:t xml:space="preserve"> </w:t>
      </w:r>
      <w:r w:rsidR="0030154A" w:rsidRPr="008F562C">
        <w:rPr>
          <w:szCs w:val="22"/>
        </w:rPr>
        <w:t>in a batch</w:t>
      </w:r>
      <w:r w:rsidR="004A3EA8">
        <w:rPr>
          <w:szCs w:val="22"/>
        </w:rPr>
        <w:t>,</w:t>
      </w:r>
      <w:r w:rsidR="0030154A">
        <w:rPr>
          <w:szCs w:val="22"/>
        </w:rPr>
        <w:t xml:space="preserve"> </w:t>
      </w:r>
      <w:r w:rsidR="00E839A9">
        <w:rPr>
          <w:szCs w:val="22"/>
        </w:rPr>
        <w:t xml:space="preserve">at </w:t>
      </w:r>
      <w:r w:rsidR="00102C9F">
        <w:rPr>
          <w:szCs w:val="22"/>
        </w:rPr>
        <w:t>a relevant</w:t>
      </w:r>
      <w:r w:rsidR="00CC0F88">
        <w:rPr>
          <w:szCs w:val="22"/>
        </w:rPr>
        <w:t xml:space="preserve"> </w:t>
      </w:r>
      <w:r w:rsidR="00102C9F">
        <w:rPr>
          <w:szCs w:val="22"/>
        </w:rPr>
        <w:t>level</w:t>
      </w:r>
      <w:r w:rsidR="00F66D7B">
        <w:rPr>
          <w:szCs w:val="22"/>
        </w:rPr>
        <w:t xml:space="preserve"> of </w:t>
      </w:r>
      <w:r w:rsidR="00CC0F88">
        <w:rPr>
          <w:szCs w:val="22"/>
        </w:rPr>
        <w:t>packaging</w:t>
      </w:r>
      <w:r w:rsidR="00102C9F">
        <w:rPr>
          <w:szCs w:val="22"/>
        </w:rPr>
        <w:t>.</w:t>
      </w:r>
    </w:p>
    <w:p w:rsidR="003327B6" w:rsidRPr="00992D9C" w:rsidRDefault="003327B6" w:rsidP="00E72941">
      <w:pPr>
        <w:pStyle w:val="notetext"/>
        <w:spacing w:line="240" w:lineRule="auto"/>
        <w:rPr>
          <w:szCs w:val="22"/>
        </w:rPr>
      </w:pPr>
      <w:r w:rsidRPr="00992D9C">
        <w:rPr>
          <w:szCs w:val="22"/>
        </w:rPr>
        <w:t>Note:</w:t>
      </w:r>
      <w:r>
        <w:rPr>
          <w:szCs w:val="22"/>
        </w:rPr>
        <w:tab/>
      </w:r>
      <w:r w:rsidRPr="00992D9C">
        <w:rPr>
          <w:szCs w:val="22"/>
        </w:rPr>
        <w:t xml:space="preserve">Other grammatical forms of the word </w:t>
      </w:r>
      <w:r w:rsidRPr="00E2422F">
        <w:rPr>
          <w:b/>
          <w:i/>
          <w:szCs w:val="22"/>
        </w:rPr>
        <w:t>seriali</w:t>
      </w:r>
      <w:r w:rsidR="00F37A1B">
        <w:rPr>
          <w:b/>
          <w:i/>
          <w:szCs w:val="22"/>
        </w:rPr>
        <w:t>sation</w:t>
      </w:r>
      <w:r w:rsidRPr="00E2422F">
        <w:rPr>
          <w:szCs w:val="22"/>
        </w:rPr>
        <w:t xml:space="preserve"> </w:t>
      </w:r>
      <w:r w:rsidRPr="00992D9C">
        <w:rPr>
          <w:szCs w:val="22"/>
        </w:rPr>
        <w:t xml:space="preserve">(such as </w:t>
      </w:r>
      <w:r w:rsidRPr="00E2422F">
        <w:rPr>
          <w:b/>
          <w:i/>
          <w:szCs w:val="22"/>
        </w:rPr>
        <w:t>serialis</w:t>
      </w:r>
      <w:r w:rsidR="00F37A1B">
        <w:rPr>
          <w:b/>
          <w:i/>
          <w:szCs w:val="22"/>
        </w:rPr>
        <w:t>ed</w:t>
      </w:r>
      <w:r w:rsidRPr="00992D9C">
        <w:rPr>
          <w:szCs w:val="22"/>
        </w:rPr>
        <w:t xml:space="preserve">) have a corresponding meaning (see section 18A of the </w:t>
      </w:r>
      <w:r w:rsidRPr="00992D9C">
        <w:rPr>
          <w:i/>
          <w:szCs w:val="22"/>
        </w:rPr>
        <w:t>Acts Interpretation Act 1901</w:t>
      </w:r>
      <w:r w:rsidRPr="00992D9C">
        <w:rPr>
          <w:szCs w:val="22"/>
        </w:rPr>
        <w:t>).</w:t>
      </w:r>
    </w:p>
    <w:p w:rsidR="001A01D7" w:rsidRDefault="003D07DE" w:rsidP="00A318DC">
      <w:pPr>
        <w:pStyle w:val="Definition"/>
        <w:rPr>
          <w:szCs w:val="22"/>
        </w:rPr>
      </w:pPr>
      <w:proofErr w:type="gramStart"/>
      <w:r w:rsidRPr="000B456F">
        <w:rPr>
          <w:b/>
          <w:i/>
          <w:szCs w:val="22"/>
        </w:rPr>
        <w:t>s</w:t>
      </w:r>
      <w:r w:rsidR="001A01D7" w:rsidRPr="000B456F">
        <w:rPr>
          <w:b/>
          <w:i/>
          <w:szCs w:val="22"/>
        </w:rPr>
        <w:t>erial</w:t>
      </w:r>
      <w:proofErr w:type="gramEnd"/>
      <w:r w:rsidR="001A01D7" w:rsidRPr="000B456F">
        <w:rPr>
          <w:b/>
          <w:i/>
          <w:szCs w:val="22"/>
        </w:rPr>
        <w:t xml:space="preserve"> number</w:t>
      </w:r>
      <w:r w:rsidR="00E8505D">
        <w:rPr>
          <w:b/>
          <w:szCs w:val="22"/>
        </w:rPr>
        <w:t xml:space="preserve"> </w:t>
      </w:r>
      <w:r w:rsidR="001A01D7" w:rsidRPr="008E3CC0">
        <w:rPr>
          <w:szCs w:val="22"/>
        </w:rPr>
        <w:t xml:space="preserve">means </w:t>
      </w:r>
      <w:r w:rsidR="00D338A1">
        <w:rPr>
          <w:szCs w:val="22"/>
        </w:rPr>
        <w:t>a</w:t>
      </w:r>
      <w:r w:rsidR="00D338A1" w:rsidRPr="00C91B68">
        <w:rPr>
          <w:szCs w:val="22"/>
        </w:rPr>
        <w:t xml:space="preserve"> </w:t>
      </w:r>
      <w:r w:rsidR="005301B2" w:rsidRPr="00C91B68">
        <w:rPr>
          <w:szCs w:val="22"/>
        </w:rPr>
        <w:t xml:space="preserve">number </w:t>
      </w:r>
      <w:r w:rsidR="005301B2" w:rsidRPr="008E3CC0">
        <w:rPr>
          <w:szCs w:val="22"/>
        </w:rPr>
        <w:t xml:space="preserve">that uniquely </w:t>
      </w:r>
      <w:r w:rsidR="005301B2" w:rsidRPr="00A950AB">
        <w:rPr>
          <w:szCs w:val="22"/>
        </w:rPr>
        <w:t xml:space="preserve">identifies </w:t>
      </w:r>
      <w:r w:rsidR="00D34F3B" w:rsidRPr="00A950AB">
        <w:rPr>
          <w:szCs w:val="22"/>
        </w:rPr>
        <w:t xml:space="preserve">a </w:t>
      </w:r>
      <w:r w:rsidR="005301B2" w:rsidRPr="00A950AB">
        <w:rPr>
          <w:szCs w:val="22"/>
        </w:rPr>
        <w:t xml:space="preserve">unit </w:t>
      </w:r>
      <w:r w:rsidR="00F5171B" w:rsidRPr="00A950AB">
        <w:rPr>
          <w:szCs w:val="22"/>
        </w:rPr>
        <w:t xml:space="preserve">of </w:t>
      </w:r>
      <w:r w:rsidR="001632A6" w:rsidRPr="00A950AB">
        <w:rPr>
          <w:szCs w:val="22"/>
        </w:rPr>
        <w:t xml:space="preserve">a </w:t>
      </w:r>
      <w:r w:rsidR="00A87CD8" w:rsidRPr="00A950AB">
        <w:rPr>
          <w:szCs w:val="22"/>
        </w:rPr>
        <w:t>medicine</w:t>
      </w:r>
      <w:r w:rsidR="00590CEA" w:rsidRPr="00E8505D">
        <w:rPr>
          <w:szCs w:val="22"/>
        </w:rPr>
        <w:t>.</w:t>
      </w:r>
    </w:p>
    <w:p w:rsidR="001E7DCA" w:rsidRDefault="001E7DCA" w:rsidP="001E7DCA">
      <w:pPr>
        <w:pStyle w:val="ActHead5"/>
      </w:pPr>
      <w:bookmarkStart w:id="12" w:name="_Toc4068949"/>
      <w:bookmarkStart w:id="13" w:name="_Toc67040238"/>
      <w:bookmarkStart w:id="14" w:name="_Toc30598952"/>
      <w:bookmarkStart w:id="15" w:name="_Toc454781205"/>
      <w:proofErr w:type="gramStart"/>
      <w:r>
        <w:t>5</w:t>
      </w:r>
      <w:r w:rsidRPr="00554826">
        <w:t xml:space="preserve"> </w:t>
      </w:r>
      <w:r w:rsidRPr="00141A69">
        <w:t xml:space="preserve"> </w:t>
      </w:r>
      <w:r>
        <w:t>Standard</w:t>
      </w:r>
      <w:bookmarkEnd w:id="12"/>
      <w:bookmarkEnd w:id="13"/>
      <w:proofErr w:type="gramEnd"/>
    </w:p>
    <w:p w:rsidR="001E7DCA" w:rsidRPr="004F08F5" w:rsidRDefault="001E7DCA" w:rsidP="001E7DCA">
      <w:pPr>
        <w:pStyle w:val="subsection"/>
      </w:pPr>
      <w:r>
        <w:tab/>
      </w:r>
      <w:r>
        <w:tab/>
        <w:t xml:space="preserve">This instrument constitutes a standard </w:t>
      </w:r>
      <w:r w:rsidRPr="00146E0D">
        <w:t>for</w:t>
      </w:r>
      <w:r w:rsidR="00747D58" w:rsidRPr="00146E0D">
        <w:t xml:space="preserve"> </w:t>
      </w:r>
      <w:r w:rsidR="00747D58">
        <w:t>medicine</w:t>
      </w:r>
      <w:r w:rsidR="000B03C1">
        <w:t>s</w:t>
      </w:r>
      <w:r w:rsidR="00A81340">
        <w:t xml:space="preserve"> </w:t>
      </w:r>
      <w:r w:rsidR="00AE134C">
        <w:t>in relation to</w:t>
      </w:r>
      <w:r w:rsidR="00AE134C" w:rsidRPr="00146E0D">
        <w:t xml:space="preserve"> serialisati</w:t>
      </w:r>
      <w:r w:rsidR="00AE134C">
        <w:t>on</w:t>
      </w:r>
      <w:r w:rsidR="00AE134C" w:rsidRPr="009C7F55">
        <w:t xml:space="preserve"> </w:t>
      </w:r>
      <w:r w:rsidR="00A81340">
        <w:t xml:space="preserve">and </w:t>
      </w:r>
      <w:r w:rsidR="000B03C1">
        <w:t xml:space="preserve">the </w:t>
      </w:r>
      <w:r w:rsidR="00A81340">
        <w:t>use of data matrix codes</w:t>
      </w:r>
      <w:r>
        <w:t>.</w:t>
      </w:r>
    </w:p>
    <w:p w:rsidR="0045605A" w:rsidRPr="003F6415" w:rsidRDefault="001E7DCA" w:rsidP="003F6415">
      <w:pPr>
        <w:pStyle w:val="ActHead5"/>
      </w:pPr>
      <w:bookmarkStart w:id="16" w:name="_Toc67040239"/>
      <w:proofErr w:type="gramStart"/>
      <w:r>
        <w:lastRenderedPageBreak/>
        <w:t>6</w:t>
      </w:r>
      <w:r w:rsidR="0045605A" w:rsidRPr="003F6415">
        <w:t xml:space="preserve">  Application</w:t>
      </w:r>
      <w:bookmarkEnd w:id="14"/>
      <w:bookmarkEnd w:id="16"/>
      <w:proofErr w:type="gramEnd"/>
    </w:p>
    <w:p w:rsidR="00F254CD" w:rsidRPr="001F5B09" w:rsidRDefault="0045605A" w:rsidP="000B456F">
      <w:pPr>
        <w:pStyle w:val="subsection"/>
        <w:keepNext/>
      </w:pPr>
      <w:r>
        <w:tab/>
      </w:r>
      <w:r w:rsidR="00F5171B">
        <w:tab/>
        <w:t>This instrument appl</w:t>
      </w:r>
      <w:r w:rsidR="00181974">
        <w:t>ies</w:t>
      </w:r>
      <w:r w:rsidR="00F5171B">
        <w:t xml:space="preserve"> to</w:t>
      </w:r>
      <w:r w:rsidR="00DD3721">
        <w:t xml:space="preserve"> a medicine</w:t>
      </w:r>
      <w:r w:rsidR="005B48BF">
        <w:t>,</w:t>
      </w:r>
      <w:r w:rsidR="00DD3721">
        <w:t xml:space="preserve"> </w:t>
      </w:r>
      <w:r w:rsidR="00181974">
        <w:t xml:space="preserve">other than a medicine </w:t>
      </w:r>
      <w:r w:rsidR="00DD3721">
        <w:t>that is</w:t>
      </w:r>
      <w:r w:rsidR="00F5171B">
        <w:t>:</w:t>
      </w:r>
    </w:p>
    <w:p w:rsidR="00511442" w:rsidRDefault="00F00122" w:rsidP="00E20B3F">
      <w:pPr>
        <w:pStyle w:val="paragraph"/>
      </w:pPr>
      <w:r>
        <w:tab/>
      </w:r>
      <w:r w:rsidR="000A0228">
        <w:t>(a)</w:t>
      </w:r>
      <w:r>
        <w:tab/>
      </w:r>
      <w:proofErr w:type="gramStart"/>
      <w:r w:rsidR="00511442">
        <w:t>an</w:t>
      </w:r>
      <w:proofErr w:type="gramEnd"/>
      <w:r w:rsidR="00511442">
        <w:t xml:space="preserve"> export only medicin</w:t>
      </w:r>
      <w:r w:rsidR="004F38B2">
        <w:t>e</w:t>
      </w:r>
      <w:r w:rsidR="009209E8">
        <w:t>;</w:t>
      </w:r>
      <w:r w:rsidR="0052477C">
        <w:t xml:space="preserve"> or</w:t>
      </w:r>
    </w:p>
    <w:p w:rsidR="00ED2DED" w:rsidRDefault="00F00122" w:rsidP="000B456F">
      <w:pPr>
        <w:pStyle w:val="paragraph"/>
      </w:pPr>
      <w:r>
        <w:tab/>
      </w:r>
      <w:r w:rsidR="000A0228">
        <w:t>(b)</w:t>
      </w:r>
      <w:r>
        <w:tab/>
      </w:r>
      <w:r w:rsidR="00ED2DED" w:rsidRPr="00ED2DED">
        <w:t>blood or a blood product funded under the national blood arrangements and which is required to implement global barcode standards in accordance with the Barcode Specifications</w:t>
      </w:r>
      <w:r w:rsidR="00ED2DED">
        <w:t>; or</w:t>
      </w:r>
    </w:p>
    <w:p w:rsidR="00ED2DED" w:rsidRDefault="00ED2DED" w:rsidP="000B456F">
      <w:pPr>
        <w:pStyle w:val="paragraph"/>
      </w:pPr>
      <w:r>
        <w:tab/>
        <w:t>(c)</w:t>
      </w:r>
      <w:r>
        <w:tab/>
      </w:r>
      <w:proofErr w:type="gramStart"/>
      <w:r>
        <w:t>the</w:t>
      </w:r>
      <w:proofErr w:type="gramEnd"/>
      <w:r>
        <w:t xml:space="preserve"> subject of an approval or authority under section 19 or section 19A of the Act; or</w:t>
      </w:r>
    </w:p>
    <w:p w:rsidR="00F254CD" w:rsidRDefault="00ED2DED" w:rsidP="000B456F">
      <w:pPr>
        <w:pStyle w:val="paragraph"/>
      </w:pPr>
      <w:r>
        <w:tab/>
        <w:t>(d)</w:t>
      </w:r>
      <w:r>
        <w:tab/>
      </w:r>
      <w:proofErr w:type="gramStart"/>
      <w:r w:rsidR="005F09C4">
        <w:t>mentioned</w:t>
      </w:r>
      <w:proofErr w:type="gramEnd"/>
      <w:r w:rsidR="005F09C4">
        <w:t xml:space="preserve"> in</w:t>
      </w:r>
      <w:r w:rsidR="00F254CD">
        <w:t xml:space="preserve"> item 1 of Schedule 5 to the Regulations</w:t>
      </w:r>
      <w:r>
        <w:t>.</w:t>
      </w:r>
    </w:p>
    <w:p w:rsidR="00330E12" w:rsidRDefault="005F09C4" w:rsidP="00A318DC">
      <w:pPr>
        <w:pStyle w:val="notetext"/>
        <w:spacing w:after="240" w:line="240" w:lineRule="auto"/>
      </w:pPr>
      <w:r w:rsidRPr="00E72941">
        <w:t>Note:</w:t>
      </w:r>
      <w:r w:rsidRPr="00E72941">
        <w:tab/>
        <w:t>Item 1 of Schedule 5 to the Regulations applies to therapeutic goods that are imported for use in the treatment of the importer or the importer’s immediate family in certain circumstances.</w:t>
      </w:r>
    </w:p>
    <w:p w:rsidR="002F21A0" w:rsidRPr="00D578F8" w:rsidRDefault="002F21A0" w:rsidP="00A318DC">
      <w:pPr>
        <w:pStyle w:val="ActHead2"/>
        <w:spacing w:before="360"/>
        <w:rPr>
          <w:rStyle w:val="CharPartNo"/>
        </w:rPr>
      </w:pPr>
      <w:bookmarkStart w:id="17" w:name="_Toc4068952"/>
      <w:bookmarkStart w:id="18" w:name="_Toc67040240"/>
      <w:r w:rsidRPr="00702D8C">
        <w:rPr>
          <w:rStyle w:val="CharPartNo"/>
        </w:rPr>
        <w:t>Part 2—</w:t>
      </w:r>
      <w:r>
        <w:rPr>
          <w:rStyle w:val="CharPartNo"/>
        </w:rPr>
        <w:t>Requirements</w:t>
      </w:r>
      <w:bookmarkEnd w:id="17"/>
      <w:bookmarkEnd w:id="18"/>
    </w:p>
    <w:p w:rsidR="00D338A1" w:rsidRPr="003F6415" w:rsidRDefault="00D338A1" w:rsidP="00D338A1">
      <w:pPr>
        <w:pStyle w:val="ActHead5"/>
      </w:pPr>
      <w:bookmarkStart w:id="19" w:name="_Toc67040241"/>
      <w:proofErr w:type="gramStart"/>
      <w:r w:rsidRPr="002F21A0">
        <w:t xml:space="preserve">7  </w:t>
      </w:r>
      <w:r>
        <w:t>General</w:t>
      </w:r>
      <w:proofErr w:type="gramEnd"/>
      <w:r>
        <w:t xml:space="preserve"> r</w:t>
      </w:r>
      <w:r w:rsidRPr="002F21A0">
        <w:t>equirements</w:t>
      </w:r>
      <w:bookmarkEnd w:id="19"/>
    </w:p>
    <w:p w:rsidR="00C17D67" w:rsidRPr="008F562C" w:rsidRDefault="00C17D67" w:rsidP="00E20B3F">
      <w:pPr>
        <w:pStyle w:val="SubsectionHead"/>
      </w:pPr>
      <w:r>
        <w:t>Requirements for medicines that are serialised</w:t>
      </w:r>
    </w:p>
    <w:p w:rsidR="00102C9F" w:rsidRDefault="00D338A1" w:rsidP="00D338A1">
      <w:pPr>
        <w:pStyle w:val="subsection"/>
        <w:keepNext/>
      </w:pPr>
      <w:r>
        <w:tab/>
        <w:t>(1)</w:t>
      </w:r>
      <w:r>
        <w:tab/>
      </w:r>
      <w:r w:rsidR="00581728">
        <w:t>T</w:t>
      </w:r>
      <w:r>
        <w:t>he requirements in relation to a medicine</w:t>
      </w:r>
      <w:r w:rsidR="00581728">
        <w:t xml:space="preserve"> that is serialised, other than a medicine mentioned in subsection</w:t>
      </w:r>
      <w:r>
        <w:t xml:space="preserve"> </w:t>
      </w:r>
      <w:r w:rsidR="00581728">
        <w:t xml:space="preserve">(2), </w:t>
      </w:r>
      <w:r>
        <w:t xml:space="preserve">are those requirements specified </w:t>
      </w:r>
      <w:r w:rsidRPr="00217508">
        <w:t>in</w:t>
      </w:r>
      <w:r w:rsidR="00102C9F">
        <w:t>:</w:t>
      </w:r>
    </w:p>
    <w:p w:rsidR="00102C9F" w:rsidRDefault="00102C9F" w:rsidP="00102C9F">
      <w:pPr>
        <w:pStyle w:val="paragraph"/>
      </w:pPr>
      <w:r>
        <w:tab/>
        <w:t>(a)</w:t>
      </w:r>
      <w:r>
        <w:tab/>
      </w:r>
      <w:proofErr w:type="gramStart"/>
      <w:r>
        <w:t>s</w:t>
      </w:r>
      <w:r w:rsidRPr="00217508">
        <w:t>ection</w:t>
      </w:r>
      <w:proofErr w:type="gramEnd"/>
      <w:r>
        <w:t xml:space="preserve"> 8; and</w:t>
      </w:r>
    </w:p>
    <w:p w:rsidR="00102C9F" w:rsidRDefault="00102C9F" w:rsidP="00102C9F">
      <w:pPr>
        <w:pStyle w:val="paragraph"/>
      </w:pPr>
      <w:r>
        <w:tab/>
        <w:t>(b)</w:t>
      </w:r>
      <w:r>
        <w:tab/>
      </w:r>
      <w:proofErr w:type="gramStart"/>
      <w:r>
        <w:t>section</w:t>
      </w:r>
      <w:proofErr w:type="gramEnd"/>
      <w:r>
        <w:t xml:space="preserve"> 9; and</w:t>
      </w:r>
    </w:p>
    <w:p w:rsidR="00102C9F" w:rsidRDefault="00102C9F" w:rsidP="00102C9F">
      <w:pPr>
        <w:pStyle w:val="paragraph"/>
      </w:pPr>
      <w:r>
        <w:tab/>
        <w:t>(c)</w:t>
      </w:r>
      <w:r>
        <w:tab/>
      </w:r>
      <w:proofErr w:type="gramStart"/>
      <w:r>
        <w:t>section</w:t>
      </w:r>
      <w:proofErr w:type="gramEnd"/>
      <w:r>
        <w:t xml:space="preserve"> 10.</w:t>
      </w:r>
    </w:p>
    <w:p w:rsidR="00581728" w:rsidRDefault="00D93222" w:rsidP="00D93222">
      <w:pPr>
        <w:pStyle w:val="subsection"/>
      </w:pPr>
      <w:r>
        <w:tab/>
      </w:r>
      <w:r w:rsidRPr="00496B38">
        <w:t>(2)</w:t>
      </w:r>
      <w:r w:rsidRPr="00496B38">
        <w:tab/>
        <w:t>The requirements in relation to a medicine that</w:t>
      </w:r>
      <w:r w:rsidR="00F4381A">
        <w:t xml:space="preserve"> is</w:t>
      </w:r>
      <w:r w:rsidRPr="00FC56B7">
        <w:t xml:space="preserve"> serialised</w:t>
      </w:r>
      <w:r w:rsidR="00B4531A" w:rsidRPr="00FC56B7">
        <w:t xml:space="preserve"> without the application of</w:t>
      </w:r>
      <w:r w:rsidR="00496B38" w:rsidRPr="00FC56B7">
        <w:t xml:space="preserve"> a data mat</w:t>
      </w:r>
      <w:r w:rsidR="00B4531A" w:rsidRPr="00FC56B7">
        <w:t>r</w:t>
      </w:r>
      <w:r w:rsidR="00496B38" w:rsidRPr="00FC56B7">
        <w:t>ix code</w:t>
      </w:r>
      <w:r w:rsidR="00CD4A5A" w:rsidRPr="00FC56B7">
        <w:t>,</w:t>
      </w:r>
      <w:r w:rsidR="00F4381A">
        <w:t xml:space="preserve"> but which</w:t>
      </w:r>
      <w:r w:rsidR="00496B38" w:rsidRPr="00FC56B7">
        <w:t xml:space="preserve"> </w:t>
      </w:r>
      <w:r w:rsidR="00FA6069" w:rsidRPr="00FC56B7">
        <w:t xml:space="preserve">has a data matrix code containing a GTIN </w:t>
      </w:r>
      <w:r w:rsidR="00CD4A5A" w:rsidRPr="00FC56B7">
        <w:t>for a</w:t>
      </w:r>
      <w:r w:rsidR="00FA6069" w:rsidRPr="00FC56B7">
        <w:t xml:space="preserve"> purpose</w:t>
      </w:r>
      <w:r w:rsidR="00CD4A5A" w:rsidRPr="00FC56B7">
        <w:t xml:space="preserve"> other than serialisation,</w:t>
      </w:r>
      <w:r w:rsidR="00FA6069" w:rsidRPr="00FC56B7">
        <w:t xml:space="preserve"> </w:t>
      </w:r>
      <w:r w:rsidR="00FF2545">
        <w:t>where the medicine</w:t>
      </w:r>
      <w:r w:rsidR="00FF2545" w:rsidRPr="00FC56B7">
        <w:t xml:space="preserve"> </w:t>
      </w:r>
      <w:r w:rsidR="00581728">
        <w:t xml:space="preserve">satisfies the </w:t>
      </w:r>
      <w:r w:rsidR="00C17D67">
        <w:t>circumstance</w:t>
      </w:r>
      <w:r w:rsidR="00581728">
        <w:t xml:space="preserve"> specified in subsection (3)</w:t>
      </w:r>
      <w:r w:rsidR="00FF2545">
        <w:t>, are those requirements specified in:</w:t>
      </w:r>
    </w:p>
    <w:p w:rsidR="00FF2545" w:rsidRDefault="00FF2545" w:rsidP="00FF2545">
      <w:pPr>
        <w:pStyle w:val="paragraph"/>
      </w:pPr>
      <w:r>
        <w:tab/>
        <w:t>(a)</w:t>
      </w:r>
      <w:r>
        <w:tab/>
      </w:r>
      <w:proofErr w:type="gramStart"/>
      <w:r>
        <w:t>s</w:t>
      </w:r>
      <w:r w:rsidRPr="00217508">
        <w:t>ection</w:t>
      </w:r>
      <w:proofErr w:type="gramEnd"/>
      <w:r>
        <w:t xml:space="preserve"> 9; and</w:t>
      </w:r>
    </w:p>
    <w:p w:rsidR="00FF2545" w:rsidRDefault="00FF2545" w:rsidP="00FF2545">
      <w:pPr>
        <w:pStyle w:val="paragraph"/>
      </w:pPr>
      <w:r>
        <w:tab/>
        <w:t>(b)</w:t>
      </w:r>
      <w:r>
        <w:tab/>
      </w:r>
      <w:proofErr w:type="gramStart"/>
      <w:r>
        <w:t>section</w:t>
      </w:r>
      <w:proofErr w:type="gramEnd"/>
      <w:r>
        <w:t xml:space="preserve"> 10.</w:t>
      </w:r>
    </w:p>
    <w:p w:rsidR="00D962B4" w:rsidRPr="00A60647" w:rsidRDefault="00581728" w:rsidP="008F562C">
      <w:pPr>
        <w:pStyle w:val="subsection"/>
      </w:pPr>
      <w:r>
        <w:lastRenderedPageBreak/>
        <w:tab/>
      </w:r>
      <w:r w:rsidR="00D962B4" w:rsidRPr="00A60647">
        <w:t>(3)</w:t>
      </w:r>
      <w:r w:rsidR="00D962B4" w:rsidRPr="00A60647">
        <w:tab/>
        <w:t>For subsection (2), the circumstance</w:t>
      </w:r>
      <w:r w:rsidR="00C17D67" w:rsidRPr="00A60647">
        <w:t xml:space="preserve"> is </w:t>
      </w:r>
      <w:r w:rsidR="00D962B4" w:rsidRPr="00A60647">
        <w:t>tha</w:t>
      </w:r>
      <w:r w:rsidR="00C17D67" w:rsidRPr="008F562C">
        <w:t xml:space="preserve">t the medicine is dispensed, or </w:t>
      </w:r>
      <w:r w:rsidR="00D962B4" w:rsidRPr="00A60647">
        <w:t>extemporaneously compounded, for a particular person for therapeutic application to that person by</w:t>
      </w:r>
      <w:r w:rsidR="00C17D67" w:rsidRPr="008F562C">
        <w:t xml:space="preserve"> a person mentioned in</w:t>
      </w:r>
      <w:r w:rsidR="00A60647">
        <w:t xml:space="preserve"> column 2 of</w:t>
      </w:r>
      <w:r w:rsidR="00C17D67" w:rsidRPr="008F562C">
        <w:t xml:space="preserve"> item 1, 2, 3 or 4 </w:t>
      </w:r>
      <w:r w:rsidR="00A60647">
        <w:t>in</w:t>
      </w:r>
      <w:r w:rsidR="00C17D67" w:rsidRPr="008F562C">
        <w:t> Schedule 8 to the Regulations.</w:t>
      </w:r>
    </w:p>
    <w:p w:rsidR="00C17D67" w:rsidRPr="008F562C" w:rsidRDefault="00C17D67" w:rsidP="00E20B3F">
      <w:pPr>
        <w:pStyle w:val="SubsectionHead"/>
      </w:pPr>
      <w:r>
        <w:t>Requirements for medicines that are not serialised</w:t>
      </w:r>
    </w:p>
    <w:p w:rsidR="00D338A1" w:rsidRDefault="00D962B4" w:rsidP="0020543F">
      <w:pPr>
        <w:pStyle w:val="subsection"/>
        <w:keepNext/>
      </w:pPr>
      <w:r>
        <w:tab/>
      </w:r>
      <w:r w:rsidR="00D338A1">
        <w:t>(</w:t>
      </w:r>
      <w:r w:rsidR="009D7841">
        <w:t>4</w:t>
      </w:r>
      <w:r w:rsidR="00D338A1">
        <w:t>)</w:t>
      </w:r>
      <w:r w:rsidR="00D338A1">
        <w:tab/>
        <w:t xml:space="preserve">The requirements in relation to a medicine that is </w:t>
      </w:r>
      <w:r w:rsidR="00D338A1" w:rsidRPr="00FC56B7">
        <w:t>not serialised</w:t>
      </w:r>
      <w:r w:rsidR="00E02C75" w:rsidRPr="00FC56B7">
        <w:t>,</w:t>
      </w:r>
      <w:r w:rsidR="003543BF" w:rsidRPr="00FC56B7">
        <w:t xml:space="preserve"> but </w:t>
      </w:r>
      <w:r w:rsidR="00E02C75" w:rsidRPr="00FC56B7">
        <w:t xml:space="preserve">which </w:t>
      </w:r>
      <w:r w:rsidR="00D338A1" w:rsidRPr="00FC56B7">
        <w:t>has a data matrix code contain</w:t>
      </w:r>
      <w:r w:rsidR="007A4DE3">
        <w:t>ing</w:t>
      </w:r>
      <w:r w:rsidR="00D338A1" w:rsidRPr="00FC56B7">
        <w:t xml:space="preserve"> a GTIN</w:t>
      </w:r>
      <w:r w:rsidR="00D338A1">
        <w:t xml:space="preserve"> applied to</w:t>
      </w:r>
      <w:r w:rsidR="003543BF">
        <w:t xml:space="preserve"> </w:t>
      </w:r>
      <w:r w:rsidR="004A3EA8">
        <w:t xml:space="preserve">a unit of </w:t>
      </w:r>
      <w:r w:rsidR="003543BF">
        <w:t xml:space="preserve">the medicine </w:t>
      </w:r>
      <w:r w:rsidR="00DE5ECF" w:rsidRPr="00E90956">
        <w:t>at</w:t>
      </w:r>
      <w:r w:rsidR="003543BF">
        <w:t xml:space="preserve"> </w:t>
      </w:r>
      <w:r w:rsidR="00102C9F">
        <w:t>a relevant</w:t>
      </w:r>
      <w:r w:rsidR="003543BF">
        <w:t xml:space="preserve"> </w:t>
      </w:r>
      <w:r w:rsidR="00102C9F">
        <w:t>level</w:t>
      </w:r>
      <w:r w:rsidR="00F66D7B">
        <w:t xml:space="preserve"> of </w:t>
      </w:r>
      <w:r w:rsidR="003543BF">
        <w:t>packaging</w:t>
      </w:r>
      <w:r w:rsidR="001056BE" w:rsidRPr="00E90956">
        <w:t xml:space="preserve">, </w:t>
      </w:r>
      <w:r w:rsidR="00D338A1">
        <w:t>are the requirements specified in:</w:t>
      </w:r>
    </w:p>
    <w:p w:rsidR="00D338A1" w:rsidRPr="00102C9F" w:rsidRDefault="00D338A1" w:rsidP="00E20B3F">
      <w:pPr>
        <w:pStyle w:val="paragraph"/>
      </w:pPr>
      <w:r>
        <w:tab/>
      </w:r>
      <w:r w:rsidRPr="00102C9F">
        <w:t>(</w:t>
      </w:r>
      <w:r w:rsidR="00102C9F" w:rsidRPr="001E5B57">
        <w:t>a</w:t>
      </w:r>
      <w:r w:rsidRPr="00102C9F">
        <w:t>)</w:t>
      </w:r>
      <w:r w:rsidRPr="00102C9F">
        <w:tab/>
      </w:r>
      <w:proofErr w:type="gramStart"/>
      <w:r w:rsidRPr="00102C9F">
        <w:t>section</w:t>
      </w:r>
      <w:proofErr w:type="gramEnd"/>
      <w:r w:rsidRPr="00102C9F">
        <w:t xml:space="preserve"> 9; and</w:t>
      </w:r>
    </w:p>
    <w:p w:rsidR="00D338A1" w:rsidRDefault="00D338A1" w:rsidP="00D338A1">
      <w:pPr>
        <w:pStyle w:val="paragraph"/>
      </w:pPr>
      <w:r w:rsidRPr="00102C9F">
        <w:tab/>
        <w:t>(</w:t>
      </w:r>
      <w:r w:rsidR="00102C9F" w:rsidRPr="001E5B57">
        <w:t>b</w:t>
      </w:r>
      <w:r w:rsidRPr="00102C9F">
        <w:t>)</w:t>
      </w:r>
      <w:r w:rsidRPr="00102C9F">
        <w:tab/>
      </w:r>
      <w:proofErr w:type="gramStart"/>
      <w:r w:rsidRPr="00102C9F">
        <w:t>section</w:t>
      </w:r>
      <w:proofErr w:type="gramEnd"/>
      <w:r w:rsidRPr="00102C9F">
        <w:t xml:space="preserve"> 10</w:t>
      </w:r>
      <w:r w:rsidR="00102C9F">
        <w:t>.</w:t>
      </w:r>
    </w:p>
    <w:p w:rsidR="001325E6" w:rsidRDefault="001325E6" w:rsidP="001325E6">
      <w:pPr>
        <w:pStyle w:val="notetext"/>
        <w:spacing w:line="240" w:lineRule="auto"/>
      </w:pPr>
      <w:r w:rsidRPr="00E72941">
        <w:t>Note:</w:t>
      </w:r>
      <w:r w:rsidRPr="00E72941">
        <w:tab/>
      </w:r>
      <w:r>
        <w:t>The requirements in sections 9 and 10 only apply in relation to the units of the medicine that have a data matrix code contain</w:t>
      </w:r>
      <w:r w:rsidR="008B3364">
        <w:t>ing</w:t>
      </w:r>
      <w:r>
        <w:t xml:space="preserve"> a GTIN applied at a relevant level of packaging</w:t>
      </w:r>
      <w:r w:rsidRPr="00E72941">
        <w:t>.</w:t>
      </w:r>
    </w:p>
    <w:p w:rsidR="00D35416" w:rsidRPr="003F6415" w:rsidRDefault="005218C3" w:rsidP="00D35416">
      <w:pPr>
        <w:pStyle w:val="ActHead5"/>
      </w:pPr>
      <w:bookmarkStart w:id="20" w:name="_Toc67040242"/>
      <w:proofErr w:type="gramStart"/>
      <w:r>
        <w:t>8</w:t>
      </w:r>
      <w:r w:rsidR="00D35416">
        <w:t xml:space="preserve">  </w:t>
      </w:r>
      <w:r w:rsidR="0092247D">
        <w:t>Application</w:t>
      </w:r>
      <w:proofErr w:type="gramEnd"/>
      <w:r w:rsidR="0092247D">
        <w:t xml:space="preserve"> of </w:t>
      </w:r>
      <w:r w:rsidR="009D7841">
        <w:t xml:space="preserve">a </w:t>
      </w:r>
      <w:r w:rsidR="0092247D">
        <w:t>d</w:t>
      </w:r>
      <w:r w:rsidR="00D35416">
        <w:t>ata matrix code</w:t>
      </w:r>
      <w:bookmarkEnd w:id="20"/>
    </w:p>
    <w:p w:rsidR="00D338A1" w:rsidRDefault="00D338A1" w:rsidP="00D338A1">
      <w:pPr>
        <w:pStyle w:val="subsection"/>
        <w:keepNext/>
      </w:pPr>
      <w:r>
        <w:tab/>
        <w:t>(1)</w:t>
      </w:r>
      <w:r>
        <w:tab/>
        <w:t xml:space="preserve">A data matrix code </w:t>
      </w:r>
      <w:r w:rsidR="002536B4">
        <w:t xml:space="preserve">containing </w:t>
      </w:r>
      <w:r w:rsidR="00D23CD0">
        <w:t>the</w:t>
      </w:r>
      <w:r w:rsidR="003E032E">
        <w:t xml:space="preserve"> </w:t>
      </w:r>
      <w:r w:rsidR="002536B4">
        <w:t xml:space="preserve">GTIN </w:t>
      </w:r>
      <w:r w:rsidR="00884265" w:rsidRPr="00AE16B4">
        <w:t>of</w:t>
      </w:r>
      <w:r w:rsidR="00884265">
        <w:t xml:space="preserve"> </w:t>
      </w:r>
      <w:r w:rsidR="00AE16B4">
        <w:t xml:space="preserve">a </w:t>
      </w:r>
      <w:r w:rsidR="00884265">
        <w:t xml:space="preserve">medicine </w:t>
      </w:r>
      <w:r w:rsidR="0068152C">
        <w:t xml:space="preserve">and </w:t>
      </w:r>
      <w:r w:rsidR="00927AD9">
        <w:t xml:space="preserve">a </w:t>
      </w:r>
      <w:r w:rsidR="0068152C">
        <w:t xml:space="preserve">serial number </w:t>
      </w:r>
      <w:r>
        <w:t xml:space="preserve">must be applied to the label of </w:t>
      </w:r>
      <w:r w:rsidRPr="00960140">
        <w:t>each</w:t>
      </w:r>
      <w:r>
        <w:t xml:space="preserve"> serialised </w:t>
      </w:r>
      <w:r w:rsidRPr="001E5B57">
        <w:t>unit</w:t>
      </w:r>
      <w:r>
        <w:t xml:space="preserve"> of the medicine</w:t>
      </w:r>
      <w:r w:rsidR="000313D0">
        <w:t>.</w:t>
      </w:r>
    </w:p>
    <w:p w:rsidR="00D338A1" w:rsidRDefault="00D338A1" w:rsidP="00D338A1">
      <w:pPr>
        <w:pStyle w:val="subsection"/>
        <w:keepNext/>
      </w:pPr>
      <w:r>
        <w:tab/>
        <w:t>(2)</w:t>
      </w:r>
      <w:r>
        <w:tab/>
      </w:r>
      <w:r w:rsidR="009C7CA3">
        <w:t>Subject to subsection (3), t</w:t>
      </w:r>
      <w:r>
        <w:t xml:space="preserve">he data elements in the data matrix code </w:t>
      </w:r>
      <w:r w:rsidR="00704FD7">
        <w:t xml:space="preserve">mentioned in subsection (1) </w:t>
      </w:r>
      <w:r>
        <w:t>must</w:t>
      </w:r>
      <w:r w:rsidR="00C47272">
        <w:t>, when taken together,</w:t>
      </w:r>
      <w:r>
        <w:t xml:space="preserve"> </w:t>
      </w:r>
      <w:r w:rsidR="00C47272">
        <w:t xml:space="preserve">uniquely identify </w:t>
      </w:r>
      <w:r>
        <w:t xml:space="preserve">each </w:t>
      </w:r>
      <w:r w:rsidRPr="001E5B57">
        <w:t xml:space="preserve">unit of </w:t>
      </w:r>
      <w:r w:rsidR="00C47272">
        <w:t xml:space="preserve">the </w:t>
      </w:r>
      <w:r>
        <w:t>medicine</w:t>
      </w:r>
      <w:r w:rsidR="00C47272">
        <w:t xml:space="preserve"> globally</w:t>
      </w:r>
      <w:r>
        <w:t>.</w:t>
      </w:r>
    </w:p>
    <w:p w:rsidR="009C7CA3" w:rsidRDefault="009C7CA3" w:rsidP="009C7CA3">
      <w:pPr>
        <w:pStyle w:val="subsection"/>
      </w:pPr>
      <w:r>
        <w:tab/>
        <w:t>(3)</w:t>
      </w:r>
      <w:r>
        <w:tab/>
        <w:t xml:space="preserve">If a data matrix code containing </w:t>
      </w:r>
      <w:r w:rsidR="00927AD9">
        <w:t xml:space="preserve">a </w:t>
      </w:r>
      <w:r>
        <w:t>GTIN</w:t>
      </w:r>
      <w:r w:rsidR="00D23CD0">
        <w:t xml:space="preserve"> </w:t>
      </w:r>
      <w:r>
        <w:t>is applied to</w:t>
      </w:r>
      <w:r w:rsidRPr="008E3CC0">
        <w:t xml:space="preserve"> the primary pack of </w:t>
      </w:r>
      <w:r>
        <w:t>the</w:t>
      </w:r>
      <w:r w:rsidRPr="008E3CC0">
        <w:t xml:space="preserve"> medicine</w:t>
      </w:r>
      <w:r w:rsidRPr="00DE3CED">
        <w:t xml:space="preserve">, </w:t>
      </w:r>
      <w:r>
        <w:t xml:space="preserve">then </w:t>
      </w:r>
      <w:r w:rsidRPr="00DE3CED">
        <w:t>the data matrix code must</w:t>
      </w:r>
      <w:r w:rsidR="00D23CD0">
        <w:t xml:space="preserve"> also</w:t>
      </w:r>
      <w:r>
        <w:t xml:space="preserve"> contain the following information in relation to a unit of the medicine:</w:t>
      </w:r>
    </w:p>
    <w:p w:rsidR="009C7CA3" w:rsidRDefault="009C7CA3" w:rsidP="00E20B3F">
      <w:pPr>
        <w:pStyle w:val="paragraph"/>
      </w:pPr>
      <w:r>
        <w:tab/>
        <w:t>(a)</w:t>
      </w:r>
      <w:r>
        <w:tab/>
      </w:r>
      <w:proofErr w:type="gramStart"/>
      <w:r>
        <w:t>the</w:t>
      </w:r>
      <w:proofErr w:type="gramEnd"/>
      <w:r>
        <w:t xml:space="preserve"> batch number;</w:t>
      </w:r>
      <w:r w:rsidR="008224C6">
        <w:t xml:space="preserve"> and</w:t>
      </w:r>
    </w:p>
    <w:p w:rsidR="009C7CA3" w:rsidRDefault="009C7CA3" w:rsidP="00E20B3F">
      <w:pPr>
        <w:pStyle w:val="paragraph"/>
      </w:pPr>
      <w:r>
        <w:tab/>
        <w:t>(b)</w:t>
      </w:r>
      <w:r>
        <w:tab/>
      </w:r>
      <w:proofErr w:type="gramStart"/>
      <w:r>
        <w:t>the</w:t>
      </w:r>
      <w:proofErr w:type="gramEnd"/>
      <w:r>
        <w:t xml:space="preserve"> e</w:t>
      </w:r>
      <w:r w:rsidRPr="005424D5">
        <w:t>xpiry date</w:t>
      </w:r>
      <w:r w:rsidR="00FC56B7">
        <w:t>.</w:t>
      </w:r>
    </w:p>
    <w:p w:rsidR="00D338A1" w:rsidRPr="003F6415" w:rsidRDefault="00D338A1" w:rsidP="00D338A1">
      <w:pPr>
        <w:pStyle w:val="ActHead5"/>
      </w:pPr>
      <w:bookmarkStart w:id="21" w:name="_Toc67040243"/>
      <w:bookmarkStart w:id="22" w:name="_Toc98919859"/>
      <w:bookmarkStart w:id="23" w:name="_Toc121709899"/>
      <w:bookmarkStart w:id="24" w:name="_Toc206836374"/>
      <w:bookmarkEnd w:id="15"/>
      <w:proofErr w:type="gramStart"/>
      <w:r>
        <w:t>9  Formatting</w:t>
      </w:r>
      <w:proofErr w:type="gramEnd"/>
      <w:r>
        <w:t xml:space="preserve"> etc</w:t>
      </w:r>
      <w:r w:rsidR="00B31B60">
        <w:t>.</w:t>
      </w:r>
      <w:r>
        <w:t xml:space="preserve"> of </w:t>
      </w:r>
      <w:r w:rsidR="009D7841">
        <w:t xml:space="preserve">a </w:t>
      </w:r>
      <w:r>
        <w:t>data matrix code</w:t>
      </w:r>
      <w:bookmarkEnd w:id="21"/>
    </w:p>
    <w:p w:rsidR="00D338A1" w:rsidRDefault="00D338A1" w:rsidP="00D338A1">
      <w:pPr>
        <w:pStyle w:val="subsection"/>
      </w:pPr>
      <w:r>
        <w:tab/>
      </w:r>
      <w:r>
        <w:tab/>
        <w:t xml:space="preserve">A </w:t>
      </w:r>
      <w:r w:rsidRPr="000B4152">
        <w:t>data matrix</w:t>
      </w:r>
      <w:r>
        <w:t xml:space="preserve"> </w:t>
      </w:r>
      <w:r w:rsidRPr="002536B4">
        <w:t xml:space="preserve">code </w:t>
      </w:r>
      <w:r w:rsidRPr="00C3037D">
        <w:t>applied to a unit of the medicine</w:t>
      </w:r>
      <w:r w:rsidRPr="002536B4">
        <w:t xml:space="preserve"> must be:</w:t>
      </w:r>
    </w:p>
    <w:p w:rsidR="00D338A1" w:rsidRDefault="00D338A1" w:rsidP="00D338A1">
      <w:pPr>
        <w:pStyle w:val="paragraph"/>
      </w:pPr>
      <w:r>
        <w:lastRenderedPageBreak/>
        <w:tab/>
        <w:t>(a)</w:t>
      </w:r>
      <w:r>
        <w:tab/>
        <w:t xml:space="preserve">formatted in accordance with the requirements applicable to a </w:t>
      </w:r>
      <w:r w:rsidRPr="00A36934">
        <w:t>GS1</w:t>
      </w:r>
      <w:r>
        <w:t xml:space="preserve"> </w:t>
      </w:r>
      <w:proofErr w:type="spellStart"/>
      <w:r>
        <w:t>DataMatrix</w:t>
      </w:r>
      <w:proofErr w:type="spellEnd"/>
      <w:r>
        <w:t xml:space="preserve"> as described in the </w:t>
      </w:r>
      <w:r w:rsidRPr="0074619D">
        <w:t>GS1 General Specifications</w:t>
      </w:r>
      <w:r>
        <w:t>; and</w:t>
      </w:r>
    </w:p>
    <w:p w:rsidR="00D338A1" w:rsidRDefault="00D338A1" w:rsidP="00D338A1">
      <w:pPr>
        <w:pStyle w:val="paragraph"/>
      </w:pPr>
      <w:r>
        <w:tab/>
        <w:t>(b)</w:t>
      </w:r>
      <w:r>
        <w:tab/>
      </w:r>
      <w:proofErr w:type="gramStart"/>
      <w:r>
        <w:t>applied</w:t>
      </w:r>
      <w:proofErr w:type="gramEnd"/>
      <w:r>
        <w:t xml:space="preserve"> to the label of each </w:t>
      </w:r>
      <w:r w:rsidRPr="00C3037D">
        <w:t>unit</w:t>
      </w:r>
      <w:r>
        <w:t xml:space="preserve"> of the medicine so as to minimise the risk of an inadvertent reading of any other machine-readable code on the label; and</w:t>
      </w:r>
    </w:p>
    <w:p w:rsidR="00D338A1" w:rsidRDefault="00D338A1" w:rsidP="00D338A1">
      <w:pPr>
        <w:pStyle w:val="paragraph"/>
      </w:pPr>
      <w:r>
        <w:tab/>
        <w:t>(c)</w:t>
      </w:r>
      <w:r>
        <w:tab/>
      </w:r>
      <w:proofErr w:type="gramStart"/>
      <w:r>
        <w:t>machine-readable</w:t>
      </w:r>
      <w:proofErr w:type="gramEnd"/>
      <w:r>
        <w:t xml:space="preserve"> for the shelf life of the medicine.</w:t>
      </w:r>
    </w:p>
    <w:p w:rsidR="00D338A1" w:rsidRDefault="00D338A1" w:rsidP="00D338A1">
      <w:pPr>
        <w:pStyle w:val="ActHead5"/>
      </w:pPr>
      <w:bookmarkStart w:id="25" w:name="_Toc67040244"/>
      <w:proofErr w:type="gramStart"/>
      <w:r>
        <w:t>10  Information</w:t>
      </w:r>
      <w:proofErr w:type="gramEnd"/>
      <w:r>
        <w:t xml:space="preserve"> in a data matrix code</w:t>
      </w:r>
      <w:bookmarkEnd w:id="25"/>
    </w:p>
    <w:p w:rsidR="00D338A1" w:rsidRDefault="00D338A1" w:rsidP="00D338A1">
      <w:pPr>
        <w:pStyle w:val="subsection"/>
      </w:pPr>
      <w:r>
        <w:tab/>
        <w:t>(1)</w:t>
      </w:r>
      <w:r>
        <w:tab/>
        <w:t xml:space="preserve">The information </w:t>
      </w:r>
      <w:r w:rsidRPr="009F760A">
        <w:t xml:space="preserve">in </w:t>
      </w:r>
      <w:r>
        <w:t>a</w:t>
      </w:r>
      <w:r w:rsidRPr="009F760A">
        <w:t xml:space="preserve"> data matrix</w:t>
      </w:r>
      <w:r>
        <w:t xml:space="preserve"> code </w:t>
      </w:r>
      <w:r w:rsidRPr="00C3037D">
        <w:t>applied to a unit of the medicine</w:t>
      </w:r>
      <w:r w:rsidRPr="002536B4">
        <w:t xml:space="preserve"> must</w:t>
      </w:r>
      <w:r>
        <w:t xml:space="preserve"> be consistent with:</w:t>
      </w:r>
    </w:p>
    <w:p w:rsidR="00D338A1" w:rsidRPr="005424D5" w:rsidRDefault="00D338A1" w:rsidP="00D338A1">
      <w:pPr>
        <w:pStyle w:val="paragraph"/>
      </w:pPr>
      <w:r>
        <w:tab/>
        <w:t>(a)</w:t>
      </w:r>
      <w:r>
        <w:tab/>
      </w:r>
      <w:proofErr w:type="gramStart"/>
      <w:r>
        <w:t>any</w:t>
      </w:r>
      <w:proofErr w:type="gramEnd"/>
      <w:r>
        <w:t xml:space="preserve"> human-readable information in or on the packagin</w:t>
      </w:r>
      <w:r w:rsidRPr="005424D5">
        <w:t>g</w:t>
      </w:r>
      <w:r w:rsidRPr="00A22F39">
        <w:t xml:space="preserve">, including higher and lower levels of packaging and product information and consumer medicine information </w:t>
      </w:r>
      <w:r w:rsidR="00D117A7">
        <w:t>in relation</w:t>
      </w:r>
      <w:r w:rsidR="00D117A7" w:rsidRPr="00A22F39">
        <w:t xml:space="preserve"> </w:t>
      </w:r>
      <w:r w:rsidRPr="00A22F39">
        <w:t>to the medicine</w:t>
      </w:r>
      <w:r w:rsidRPr="005424D5">
        <w:t>; and</w:t>
      </w:r>
    </w:p>
    <w:p w:rsidR="00D338A1" w:rsidRDefault="00D338A1" w:rsidP="00D338A1">
      <w:pPr>
        <w:pStyle w:val="paragraph"/>
      </w:pPr>
      <w:r>
        <w:tab/>
        <w:t>(b)</w:t>
      </w:r>
      <w:r>
        <w:tab/>
      </w:r>
      <w:proofErr w:type="gramStart"/>
      <w:r>
        <w:t>the</w:t>
      </w:r>
      <w:proofErr w:type="gramEnd"/>
      <w:r>
        <w:t xml:space="preserve"> information in any </w:t>
      </w:r>
      <w:r w:rsidRPr="005424D5">
        <w:t>other machine-readable code present on the label</w:t>
      </w:r>
      <w:r>
        <w:t xml:space="preserve"> of the goods.</w:t>
      </w:r>
    </w:p>
    <w:p w:rsidR="00D338A1" w:rsidRDefault="00D338A1" w:rsidP="00D338A1">
      <w:pPr>
        <w:pStyle w:val="subsection"/>
      </w:pPr>
      <w:r>
        <w:tab/>
        <w:t>(2)</w:t>
      </w:r>
      <w:r>
        <w:tab/>
        <w:t xml:space="preserve">Any information in a data matrix code to enable access to </w:t>
      </w:r>
      <w:r w:rsidR="009D7841">
        <w:t>the</w:t>
      </w:r>
      <w:r w:rsidRPr="008E3CC0">
        <w:t xml:space="preserve"> </w:t>
      </w:r>
      <w:r>
        <w:t xml:space="preserve">product information </w:t>
      </w:r>
      <w:r w:rsidR="009D7841">
        <w:t xml:space="preserve">in relation to the medicine </w:t>
      </w:r>
      <w:r>
        <w:t>must identify the current, approved version of the product information.</w:t>
      </w:r>
    </w:p>
    <w:p w:rsidR="00D338A1" w:rsidRDefault="00D338A1" w:rsidP="00D338A1">
      <w:pPr>
        <w:pStyle w:val="subsection"/>
      </w:pPr>
      <w:r>
        <w:tab/>
        <w:t>(3)</w:t>
      </w:r>
      <w:r>
        <w:tab/>
        <w:t xml:space="preserve">Any information in a data matrix code to enable access to </w:t>
      </w:r>
      <w:r w:rsidR="009D7841">
        <w:t>the</w:t>
      </w:r>
      <w:r w:rsidRPr="008E3CC0">
        <w:t xml:space="preserve"> </w:t>
      </w:r>
      <w:r>
        <w:t xml:space="preserve">consumer medicine information </w:t>
      </w:r>
      <w:r w:rsidR="009D7841">
        <w:t xml:space="preserve">in relation to the medicine </w:t>
      </w:r>
      <w:r>
        <w:t xml:space="preserve">must identify the most current </w:t>
      </w:r>
      <w:r w:rsidR="009D7841">
        <w:t xml:space="preserve">version of the </w:t>
      </w:r>
      <w:r>
        <w:t>consumer medicine information.</w:t>
      </w:r>
    </w:p>
    <w:p w:rsidR="009C7CA3" w:rsidRDefault="009C7CA3" w:rsidP="009C7CA3">
      <w:pPr>
        <w:pStyle w:val="subsection"/>
      </w:pPr>
      <w:bookmarkStart w:id="26" w:name="_Toc37162421"/>
      <w:r>
        <w:tab/>
        <w:t>(4)</w:t>
      </w:r>
      <w:r>
        <w:tab/>
        <w:t>If</w:t>
      </w:r>
      <w:r w:rsidRPr="008E3CC0">
        <w:t xml:space="preserve"> </w:t>
      </w:r>
      <w:r>
        <w:t xml:space="preserve">a data matrix code containing </w:t>
      </w:r>
      <w:r w:rsidR="00A36DF5">
        <w:t xml:space="preserve">a </w:t>
      </w:r>
      <w:r>
        <w:t>GTIN is applied to</w:t>
      </w:r>
      <w:r w:rsidRPr="008E3CC0">
        <w:t xml:space="preserve"> the primary pack of</w:t>
      </w:r>
      <w:r w:rsidR="00824EC2">
        <w:t xml:space="preserve"> a unit of</w:t>
      </w:r>
      <w:r w:rsidRPr="008E3CC0">
        <w:t xml:space="preserve"> </w:t>
      </w:r>
      <w:r>
        <w:t>the</w:t>
      </w:r>
      <w:r w:rsidRPr="008E3CC0">
        <w:t xml:space="preserve"> medicine</w:t>
      </w:r>
      <w:r>
        <w:t>, then the information contained within the data matrix code must be transcribed in human-readable format that is:</w:t>
      </w:r>
    </w:p>
    <w:p w:rsidR="009C7CA3" w:rsidRDefault="009C7CA3" w:rsidP="009C7CA3">
      <w:pPr>
        <w:pStyle w:val="paragraph"/>
      </w:pPr>
      <w:r>
        <w:tab/>
        <w:t>(a)</w:t>
      </w:r>
      <w:r>
        <w:tab/>
        <w:t xml:space="preserve">located adjacent to the data matrix code, </w:t>
      </w:r>
      <w:r w:rsidRPr="00C3037D">
        <w:t>where space permits</w:t>
      </w:r>
      <w:r w:rsidRPr="002536B4">
        <w:t>, in</w:t>
      </w:r>
      <w:r>
        <w:t xml:space="preserve"> accordance with the GS1 General Specifications; and</w:t>
      </w:r>
    </w:p>
    <w:p w:rsidR="00A75FE9" w:rsidRDefault="009C7CA3" w:rsidP="0020543F">
      <w:pPr>
        <w:pStyle w:val="paragraph"/>
      </w:pPr>
      <w:r>
        <w:tab/>
        <w:t>(b)</w:t>
      </w:r>
      <w:r>
        <w:tab/>
      </w:r>
      <w:proofErr w:type="gramStart"/>
      <w:r>
        <w:t>in</w:t>
      </w:r>
      <w:proofErr w:type="gramEnd"/>
      <w:r>
        <w:t xml:space="preserve"> a form that would enable a user to interpret the </w:t>
      </w:r>
      <w:r w:rsidR="009D7841">
        <w:t xml:space="preserve">information </w:t>
      </w:r>
      <w:r>
        <w:t>without knowledge</w:t>
      </w:r>
      <w:r w:rsidRPr="00E0439A">
        <w:t xml:space="preserve"> </w:t>
      </w:r>
      <w:r>
        <w:t>of the GS1 General Specifications.</w:t>
      </w:r>
      <w:bookmarkEnd w:id="22"/>
      <w:bookmarkEnd w:id="23"/>
      <w:bookmarkEnd w:id="24"/>
      <w:bookmarkEnd w:id="26"/>
    </w:p>
    <w:sectPr w:rsidR="00A75FE9" w:rsidSect="008C2EAC">
      <w:headerReference w:type="even" r:id="rId19"/>
      <w:headerReference w:type="default" r:id="rId20"/>
      <w:footerReference w:type="even" r:id="rId21"/>
      <w:footerReference w:type="default" r:id="rId22"/>
      <w:headerReference w:type="first" r:id="rId23"/>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A7A" w:rsidRDefault="00190A7A" w:rsidP="00715914">
      <w:pPr>
        <w:spacing w:line="240" w:lineRule="auto"/>
      </w:pPr>
      <w:r>
        <w:separator/>
      </w:r>
    </w:p>
  </w:endnote>
  <w:endnote w:type="continuationSeparator" w:id="0">
    <w:p w:rsidR="00190A7A" w:rsidRDefault="00190A7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6B4" w:rsidRPr="00E33C1C" w:rsidRDefault="00AE16B4"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E16B4" w:rsidTr="00B33709">
      <w:tc>
        <w:tcPr>
          <w:tcW w:w="709" w:type="dxa"/>
          <w:tcBorders>
            <w:top w:val="nil"/>
            <w:left w:val="nil"/>
            <w:bottom w:val="nil"/>
            <w:right w:val="nil"/>
          </w:tcBorders>
        </w:tcPr>
        <w:p w:rsidR="00AE16B4" w:rsidRDefault="00AE16B4"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w:t>
          </w:r>
          <w:r w:rsidRPr="00ED79B6">
            <w:rPr>
              <w:i/>
              <w:sz w:val="18"/>
            </w:rPr>
            <w:fldChar w:fldCharType="end"/>
          </w:r>
        </w:p>
      </w:tc>
      <w:tc>
        <w:tcPr>
          <w:tcW w:w="6379" w:type="dxa"/>
          <w:tcBorders>
            <w:top w:val="nil"/>
            <w:left w:val="nil"/>
            <w:bottom w:val="nil"/>
            <w:right w:val="nil"/>
          </w:tcBorders>
        </w:tcPr>
        <w:p w:rsidR="00AE16B4" w:rsidRPr="004E1307" w:rsidRDefault="00AE16B4"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Therapeutic Goods (Medicines—Standard for Serialisation and Data Matrix Codes) (TGO 106) Order 2021</w:t>
          </w:r>
          <w:r w:rsidRPr="004E1307">
            <w:rPr>
              <w:i/>
              <w:sz w:val="18"/>
            </w:rPr>
            <w:fldChar w:fldCharType="end"/>
          </w:r>
        </w:p>
      </w:tc>
      <w:tc>
        <w:tcPr>
          <w:tcW w:w="1383" w:type="dxa"/>
          <w:tcBorders>
            <w:top w:val="nil"/>
            <w:left w:val="nil"/>
            <w:bottom w:val="nil"/>
            <w:right w:val="nil"/>
          </w:tcBorders>
        </w:tcPr>
        <w:p w:rsidR="00AE16B4" w:rsidRDefault="00AE16B4" w:rsidP="00A369E3">
          <w:pPr>
            <w:spacing w:line="0" w:lineRule="atLeast"/>
            <w:jc w:val="right"/>
            <w:rPr>
              <w:sz w:val="18"/>
            </w:rPr>
          </w:pPr>
        </w:p>
      </w:tc>
    </w:tr>
    <w:tr w:rsidR="00AE16B4"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AE16B4" w:rsidRDefault="00AE16B4" w:rsidP="00A369E3">
          <w:pPr>
            <w:jc w:val="right"/>
            <w:rPr>
              <w:sz w:val="18"/>
            </w:rPr>
          </w:pPr>
        </w:p>
      </w:tc>
    </w:tr>
  </w:tbl>
  <w:p w:rsidR="00AE16B4" w:rsidRPr="00ED79B6" w:rsidRDefault="00AE16B4"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6B4" w:rsidRPr="00E33C1C" w:rsidRDefault="00AE16B4"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E16B4" w:rsidTr="00A369E3">
      <w:tc>
        <w:tcPr>
          <w:tcW w:w="1384" w:type="dxa"/>
          <w:tcBorders>
            <w:top w:val="nil"/>
            <w:left w:val="nil"/>
            <w:bottom w:val="nil"/>
            <w:right w:val="nil"/>
          </w:tcBorders>
        </w:tcPr>
        <w:p w:rsidR="00AE16B4" w:rsidRDefault="00AE16B4" w:rsidP="00A369E3">
          <w:pPr>
            <w:spacing w:line="0" w:lineRule="atLeast"/>
            <w:rPr>
              <w:sz w:val="18"/>
            </w:rPr>
          </w:pPr>
        </w:p>
      </w:tc>
      <w:tc>
        <w:tcPr>
          <w:tcW w:w="6379" w:type="dxa"/>
          <w:tcBorders>
            <w:top w:val="nil"/>
            <w:left w:val="nil"/>
            <w:bottom w:val="nil"/>
            <w:right w:val="nil"/>
          </w:tcBorders>
        </w:tcPr>
        <w:p w:rsidR="00AE16B4" w:rsidRDefault="00AE16B4"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Therapeutic Goods (Medicines—Standard for Serialisation and Data Matrix Codes) (TGO 106) Order 2021</w:t>
          </w:r>
          <w:r w:rsidRPr="004E1307">
            <w:rPr>
              <w:i/>
              <w:sz w:val="18"/>
            </w:rPr>
            <w:fldChar w:fldCharType="end"/>
          </w:r>
        </w:p>
      </w:tc>
      <w:tc>
        <w:tcPr>
          <w:tcW w:w="709" w:type="dxa"/>
          <w:tcBorders>
            <w:top w:val="nil"/>
            <w:left w:val="nil"/>
            <w:bottom w:val="nil"/>
            <w:right w:val="nil"/>
          </w:tcBorders>
        </w:tcPr>
        <w:p w:rsidR="00AE16B4" w:rsidRDefault="00AE16B4"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w:t>
          </w:r>
          <w:r w:rsidRPr="00ED79B6">
            <w:rPr>
              <w:i/>
              <w:sz w:val="18"/>
            </w:rPr>
            <w:fldChar w:fldCharType="end"/>
          </w:r>
        </w:p>
      </w:tc>
    </w:tr>
    <w:tr w:rsidR="00AE16B4"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AE16B4" w:rsidRDefault="00AE16B4" w:rsidP="00A369E3">
          <w:pPr>
            <w:rPr>
              <w:sz w:val="18"/>
            </w:rPr>
          </w:pPr>
        </w:p>
      </w:tc>
    </w:tr>
  </w:tbl>
  <w:p w:rsidR="00AE16B4" w:rsidRPr="00ED79B6" w:rsidRDefault="00AE16B4"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6B4" w:rsidRPr="00E33C1C" w:rsidRDefault="00AE16B4"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AE16B4" w:rsidTr="00B33709">
      <w:tc>
        <w:tcPr>
          <w:tcW w:w="1384" w:type="dxa"/>
          <w:tcBorders>
            <w:top w:val="nil"/>
            <w:left w:val="nil"/>
            <w:bottom w:val="nil"/>
            <w:right w:val="nil"/>
          </w:tcBorders>
        </w:tcPr>
        <w:p w:rsidR="00AE16B4" w:rsidRDefault="00AE16B4" w:rsidP="00A369E3">
          <w:pPr>
            <w:spacing w:line="0" w:lineRule="atLeast"/>
            <w:rPr>
              <w:sz w:val="18"/>
            </w:rPr>
          </w:pPr>
        </w:p>
      </w:tc>
      <w:tc>
        <w:tcPr>
          <w:tcW w:w="6379" w:type="dxa"/>
          <w:tcBorders>
            <w:top w:val="nil"/>
            <w:left w:val="nil"/>
            <w:bottom w:val="nil"/>
            <w:right w:val="nil"/>
          </w:tcBorders>
        </w:tcPr>
        <w:p w:rsidR="00AE16B4" w:rsidRDefault="00AE16B4" w:rsidP="00A369E3">
          <w:pPr>
            <w:spacing w:line="0" w:lineRule="atLeast"/>
            <w:jc w:val="center"/>
            <w:rPr>
              <w:sz w:val="18"/>
            </w:rPr>
          </w:pPr>
        </w:p>
      </w:tc>
      <w:tc>
        <w:tcPr>
          <w:tcW w:w="709" w:type="dxa"/>
          <w:tcBorders>
            <w:top w:val="nil"/>
            <w:left w:val="nil"/>
            <w:bottom w:val="nil"/>
            <w:right w:val="nil"/>
          </w:tcBorders>
        </w:tcPr>
        <w:p w:rsidR="00AE16B4" w:rsidRDefault="00AE16B4" w:rsidP="00A369E3">
          <w:pPr>
            <w:spacing w:line="0" w:lineRule="atLeast"/>
            <w:jc w:val="right"/>
            <w:rPr>
              <w:sz w:val="18"/>
            </w:rPr>
          </w:pPr>
        </w:p>
      </w:tc>
    </w:tr>
  </w:tbl>
  <w:p w:rsidR="00AE16B4" w:rsidRPr="00ED79B6" w:rsidRDefault="00AE16B4"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6B4" w:rsidRPr="002B0EA5" w:rsidRDefault="00AE16B4" w:rsidP="0031708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AE16B4" w:rsidTr="00317087">
      <w:tc>
        <w:tcPr>
          <w:tcW w:w="365" w:type="pct"/>
        </w:tcPr>
        <w:p w:rsidR="00AE16B4" w:rsidRDefault="00AE16B4" w:rsidP="0031708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iv</w:t>
          </w:r>
          <w:r w:rsidRPr="00ED79B6">
            <w:rPr>
              <w:i/>
              <w:sz w:val="18"/>
            </w:rPr>
            <w:fldChar w:fldCharType="end"/>
          </w:r>
        </w:p>
      </w:tc>
      <w:tc>
        <w:tcPr>
          <w:tcW w:w="3688" w:type="pct"/>
        </w:tcPr>
        <w:p w:rsidR="00AE16B4" w:rsidRDefault="00AE16B4" w:rsidP="0031708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Therapeutic Goods (Medicines—Standard for Serialisation and Data Matrix Codes) (TGO 106) Order 2021</w:t>
          </w:r>
          <w:r w:rsidRPr="004E1307">
            <w:rPr>
              <w:i/>
              <w:sz w:val="18"/>
            </w:rPr>
            <w:fldChar w:fldCharType="end"/>
          </w:r>
        </w:p>
      </w:tc>
      <w:tc>
        <w:tcPr>
          <w:tcW w:w="947" w:type="pct"/>
        </w:tcPr>
        <w:p w:rsidR="00AE16B4" w:rsidRDefault="00AE16B4" w:rsidP="00317087">
          <w:pPr>
            <w:spacing w:line="0" w:lineRule="atLeast"/>
            <w:jc w:val="right"/>
            <w:rPr>
              <w:sz w:val="18"/>
            </w:rPr>
          </w:pPr>
        </w:p>
      </w:tc>
    </w:tr>
    <w:tr w:rsidR="00AE16B4" w:rsidTr="00317087">
      <w:tc>
        <w:tcPr>
          <w:tcW w:w="5000" w:type="pct"/>
          <w:gridSpan w:val="3"/>
        </w:tcPr>
        <w:p w:rsidR="00AE16B4" w:rsidRDefault="00AE16B4" w:rsidP="00317087">
          <w:pPr>
            <w:jc w:val="right"/>
            <w:rPr>
              <w:sz w:val="18"/>
            </w:rPr>
          </w:pPr>
        </w:p>
      </w:tc>
    </w:tr>
  </w:tbl>
  <w:p w:rsidR="00AE16B4" w:rsidRPr="00ED79B6" w:rsidRDefault="00AE16B4" w:rsidP="0031708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6B4" w:rsidRPr="002B0EA5" w:rsidRDefault="00AE16B4" w:rsidP="0031708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5197"/>
      <w:gridCol w:w="1551"/>
    </w:tblGrid>
    <w:tr w:rsidR="00AE16B4" w:rsidTr="00782439">
      <w:tc>
        <w:tcPr>
          <w:tcW w:w="941" w:type="pct"/>
        </w:tcPr>
        <w:p w:rsidR="00AE16B4" w:rsidRDefault="00AE16B4" w:rsidP="00317087">
          <w:pPr>
            <w:spacing w:line="0" w:lineRule="atLeast"/>
            <w:rPr>
              <w:sz w:val="18"/>
            </w:rPr>
          </w:pPr>
        </w:p>
      </w:tc>
      <w:tc>
        <w:tcPr>
          <w:tcW w:w="3126" w:type="pct"/>
        </w:tcPr>
        <w:p w:rsidR="00AE16B4" w:rsidRDefault="00AE16B4" w:rsidP="0031708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E176A">
            <w:rPr>
              <w:i/>
              <w:noProof/>
              <w:sz w:val="18"/>
            </w:rPr>
            <w:t>Therapeutic Goods (Medicines—Standard for Serialisation and Data Matrix Codes) (TGO 106) Order 2021</w:t>
          </w:r>
          <w:r w:rsidRPr="004E1307">
            <w:rPr>
              <w:i/>
              <w:sz w:val="18"/>
            </w:rPr>
            <w:fldChar w:fldCharType="end"/>
          </w:r>
        </w:p>
      </w:tc>
      <w:tc>
        <w:tcPr>
          <w:tcW w:w="933" w:type="pct"/>
        </w:tcPr>
        <w:p w:rsidR="00AE16B4" w:rsidRDefault="00AE16B4" w:rsidP="0031708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176A">
            <w:rPr>
              <w:i/>
              <w:noProof/>
              <w:sz w:val="18"/>
            </w:rPr>
            <w:t>i</w:t>
          </w:r>
          <w:r w:rsidRPr="00ED79B6">
            <w:rPr>
              <w:i/>
              <w:sz w:val="18"/>
            </w:rPr>
            <w:fldChar w:fldCharType="end"/>
          </w:r>
        </w:p>
      </w:tc>
    </w:tr>
    <w:tr w:rsidR="00AE16B4" w:rsidTr="00782439">
      <w:tc>
        <w:tcPr>
          <w:tcW w:w="5000" w:type="pct"/>
          <w:gridSpan w:val="3"/>
        </w:tcPr>
        <w:p w:rsidR="00AE16B4" w:rsidRDefault="00AE16B4" w:rsidP="00317087">
          <w:pPr>
            <w:rPr>
              <w:sz w:val="18"/>
            </w:rPr>
          </w:pPr>
        </w:p>
      </w:tc>
    </w:tr>
  </w:tbl>
  <w:p w:rsidR="00AE16B4" w:rsidRPr="00ED79B6" w:rsidRDefault="00AE16B4" w:rsidP="0031708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6B4" w:rsidRPr="002B0EA5" w:rsidRDefault="00AE16B4" w:rsidP="00F254CD">
    <w:pPr>
      <w:pBdr>
        <w:top w:val="single" w:sz="6" w:space="1" w:color="auto"/>
      </w:pBdr>
      <w:spacing w:before="120" w:line="0" w:lineRule="atLeast"/>
      <w:rPr>
        <w:sz w:val="16"/>
        <w:szCs w:val="16"/>
      </w:rPr>
    </w:pPr>
  </w:p>
  <w:tbl>
    <w:tblPr>
      <w:tblStyle w:val="TableGrid"/>
      <w:tblW w:w="51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529"/>
      <w:gridCol w:w="1573"/>
      <w:gridCol w:w="12"/>
    </w:tblGrid>
    <w:tr w:rsidR="00AE16B4" w:rsidTr="0074619D">
      <w:trPr>
        <w:gridAfter w:val="1"/>
        <w:wAfter w:w="7" w:type="pct"/>
      </w:trPr>
      <w:tc>
        <w:tcPr>
          <w:tcW w:w="831" w:type="pct"/>
        </w:tcPr>
        <w:p w:rsidR="00AE16B4" w:rsidRDefault="00AE16B4" w:rsidP="00F254C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176A">
            <w:rPr>
              <w:i/>
              <w:noProof/>
              <w:sz w:val="18"/>
            </w:rPr>
            <w:t>2</w:t>
          </w:r>
          <w:r w:rsidRPr="00ED79B6">
            <w:rPr>
              <w:i/>
              <w:sz w:val="18"/>
            </w:rPr>
            <w:fldChar w:fldCharType="end"/>
          </w:r>
        </w:p>
      </w:tc>
      <w:tc>
        <w:tcPr>
          <w:tcW w:w="3240" w:type="pct"/>
        </w:tcPr>
        <w:p w:rsidR="00AE16B4" w:rsidRPr="00606E80" w:rsidRDefault="00AE16B4" w:rsidP="00E35C6C">
          <w:pPr>
            <w:spacing w:line="0" w:lineRule="atLeast"/>
            <w:jc w:val="center"/>
            <w:rPr>
              <w:sz w:val="18"/>
            </w:rPr>
          </w:pPr>
          <w:r w:rsidRPr="00606E80">
            <w:rPr>
              <w:i/>
              <w:sz w:val="18"/>
            </w:rPr>
            <w:t>Therapeutic Goods (Medicines—Standard for Serialisation and Data Matrix Codes) (TGO 106) Order 202</w:t>
          </w:r>
          <w:r>
            <w:rPr>
              <w:i/>
              <w:sz w:val="18"/>
            </w:rPr>
            <w:t>1</w:t>
          </w:r>
        </w:p>
      </w:tc>
      <w:tc>
        <w:tcPr>
          <w:tcW w:w="922" w:type="pct"/>
        </w:tcPr>
        <w:p w:rsidR="00AE16B4" w:rsidRDefault="00AE16B4" w:rsidP="00F254CD">
          <w:pPr>
            <w:spacing w:line="0" w:lineRule="atLeast"/>
            <w:jc w:val="right"/>
            <w:rPr>
              <w:sz w:val="18"/>
            </w:rPr>
          </w:pPr>
        </w:p>
      </w:tc>
    </w:tr>
    <w:tr w:rsidR="00AE16B4" w:rsidTr="0074619D">
      <w:tc>
        <w:tcPr>
          <w:tcW w:w="5000" w:type="pct"/>
          <w:gridSpan w:val="4"/>
        </w:tcPr>
        <w:p w:rsidR="00AE16B4" w:rsidRDefault="00AE16B4" w:rsidP="00F254CD">
          <w:pPr>
            <w:jc w:val="right"/>
            <w:rPr>
              <w:sz w:val="18"/>
            </w:rPr>
          </w:pPr>
        </w:p>
      </w:tc>
    </w:tr>
  </w:tbl>
  <w:p w:rsidR="00AE16B4" w:rsidRPr="00ED79B6" w:rsidRDefault="00AE16B4" w:rsidP="00F254CD">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6B4" w:rsidRPr="002B0EA5" w:rsidRDefault="00AE16B4" w:rsidP="00F254C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
      <w:gridCol w:w="5250"/>
      <w:gridCol w:w="1525"/>
    </w:tblGrid>
    <w:tr w:rsidR="00AE16B4" w:rsidTr="0074619D">
      <w:tc>
        <w:tcPr>
          <w:tcW w:w="925" w:type="pct"/>
        </w:tcPr>
        <w:p w:rsidR="00AE16B4" w:rsidRDefault="00AE16B4" w:rsidP="00F254CD">
          <w:pPr>
            <w:spacing w:line="0" w:lineRule="atLeast"/>
            <w:rPr>
              <w:sz w:val="18"/>
            </w:rPr>
          </w:pPr>
        </w:p>
      </w:tc>
      <w:tc>
        <w:tcPr>
          <w:tcW w:w="3158" w:type="pct"/>
        </w:tcPr>
        <w:p w:rsidR="00AE16B4" w:rsidRPr="00606E80" w:rsidRDefault="00AE16B4" w:rsidP="005B70CB">
          <w:pPr>
            <w:spacing w:line="0" w:lineRule="atLeast"/>
            <w:jc w:val="center"/>
            <w:rPr>
              <w:sz w:val="18"/>
            </w:rPr>
          </w:pPr>
          <w:r w:rsidRPr="00606E80">
            <w:rPr>
              <w:i/>
              <w:sz w:val="18"/>
            </w:rPr>
            <w:t>Therapeutic Goods (</w:t>
          </w:r>
          <w:r>
            <w:rPr>
              <w:i/>
              <w:sz w:val="18"/>
            </w:rPr>
            <w:t>Medicines—</w:t>
          </w:r>
          <w:r w:rsidRPr="00606E80">
            <w:rPr>
              <w:i/>
              <w:sz w:val="18"/>
            </w:rPr>
            <w:t xml:space="preserve">Standard for </w:t>
          </w:r>
          <w:r>
            <w:rPr>
              <w:i/>
              <w:sz w:val="18"/>
            </w:rPr>
            <w:t xml:space="preserve">Serialisation and </w:t>
          </w:r>
          <w:r w:rsidRPr="00606E80">
            <w:rPr>
              <w:i/>
              <w:sz w:val="18"/>
            </w:rPr>
            <w:t>Data Matrix Codes) (TGO 106) Order 202</w:t>
          </w:r>
          <w:r>
            <w:rPr>
              <w:i/>
              <w:sz w:val="18"/>
            </w:rPr>
            <w:t>1</w:t>
          </w:r>
        </w:p>
      </w:tc>
      <w:tc>
        <w:tcPr>
          <w:tcW w:w="917" w:type="pct"/>
        </w:tcPr>
        <w:p w:rsidR="00AE16B4" w:rsidRDefault="00AE16B4" w:rsidP="00F254C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176A">
            <w:rPr>
              <w:i/>
              <w:noProof/>
              <w:sz w:val="18"/>
            </w:rPr>
            <w:t>1</w:t>
          </w:r>
          <w:r w:rsidRPr="00ED79B6">
            <w:rPr>
              <w:i/>
              <w:sz w:val="18"/>
            </w:rPr>
            <w:fldChar w:fldCharType="end"/>
          </w:r>
        </w:p>
      </w:tc>
    </w:tr>
    <w:tr w:rsidR="00AE16B4" w:rsidTr="0074619D">
      <w:tc>
        <w:tcPr>
          <w:tcW w:w="5000" w:type="pct"/>
          <w:gridSpan w:val="3"/>
        </w:tcPr>
        <w:p w:rsidR="00AE16B4" w:rsidRDefault="00AE16B4" w:rsidP="00F254CD">
          <w:pPr>
            <w:rPr>
              <w:sz w:val="18"/>
            </w:rPr>
          </w:pPr>
        </w:p>
      </w:tc>
    </w:tr>
  </w:tbl>
  <w:p w:rsidR="00AE16B4" w:rsidRPr="00ED79B6" w:rsidRDefault="00AE16B4" w:rsidP="00F254CD">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A7A" w:rsidRDefault="00190A7A" w:rsidP="00715914">
      <w:pPr>
        <w:spacing w:line="240" w:lineRule="auto"/>
      </w:pPr>
      <w:r>
        <w:separator/>
      </w:r>
    </w:p>
  </w:footnote>
  <w:footnote w:type="continuationSeparator" w:id="0">
    <w:p w:rsidR="00190A7A" w:rsidRDefault="00190A7A"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6B4" w:rsidRPr="005F1388" w:rsidRDefault="00AE16B4"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6B4" w:rsidRPr="005F1388" w:rsidRDefault="00AE16B4"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6B4" w:rsidRPr="00ED79B6" w:rsidRDefault="00AE16B4" w:rsidP="00317087">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6B4" w:rsidRPr="00ED79B6" w:rsidRDefault="00AE16B4" w:rsidP="00317087">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6B4" w:rsidRPr="00ED79B6" w:rsidRDefault="00AE16B4"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6B4" w:rsidRDefault="00AE16B4" w:rsidP="00715914">
    <w:pPr>
      <w:rPr>
        <w:sz w:val="20"/>
      </w:rPr>
    </w:pPr>
  </w:p>
  <w:p w:rsidR="00AE16B4" w:rsidRDefault="00AE16B4" w:rsidP="00715914">
    <w:pPr>
      <w:rPr>
        <w:sz w:val="20"/>
      </w:rPr>
    </w:pPr>
  </w:p>
  <w:p w:rsidR="00AE16B4" w:rsidRPr="007A1328" w:rsidRDefault="00AE16B4" w:rsidP="00715914">
    <w:pPr>
      <w:rPr>
        <w:sz w:val="20"/>
      </w:rPr>
    </w:pPr>
  </w:p>
  <w:p w:rsidR="00AE16B4" w:rsidRPr="007A1328" w:rsidRDefault="00AE16B4" w:rsidP="00715914">
    <w:pPr>
      <w:rPr>
        <w:b/>
        <w:sz w:val="24"/>
      </w:rPr>
    </w:pPr>
  </w:p>
  <w:p w:rsidR="00AE16B4" w:rsidRPr="007A1328" w:rsidRDefault="00AE16B4"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6B4" w:rsidRPr="007A1328" w:rsidRDefault="00AE16B4" w:rsidP="00715914">
    <w:pPr>
      <w:jc w:val="right"/>
      <w:rPr>
        <w:sz w:val="20"/>
      </w:rPr>
    </w:pPr>
  </w:p>
  <w:p w:rsidR="00AE16B4" w:rsidRPr="007A1328" w:rsidRDefault="00AE16B4" w:rsidP="00715914">
    <w:pPr>
      <w:jc w:val="right"/>
      <w:rPr>
        <w:sz w:val="20"/>
      </w:rPr>
    </w:pPr>
  </w:p>
  <w:p w:rsidR="00AE16B4" w:rsidRPr="007A1328" w:rsidRDefault="00AE16B4" w:rsidP="00715914">
    <w:pPr>
      <w:jc w:val="right"/>
      <w:rPr>
        <w:sz w:val="20"/>
      </w:rPr>
    </w:pPr>
  </w:p>
  <w:p w:rsidR="00AE16B4" w:rsidRPr="007A1328" w:rsidRDefault="00AE16B4" w:rsidP="00715914">
    <w:pPr>
      <w:jc w:val="right"/>
      <w:rPr>
        <w:b/>
        <w:sz w:val="24"/>
      </w:rPr>
    </w:pPr>
  </w:p>
  <w:p w:rsidR="00AE16B4" w:rsidRPr="007A1328" w:rsidRDefault="00AE16B4" w:rsidP="00D6537E">
    <w:pPr>
      <w:pBdr>
        <w:bottom w:val="single" w:sz="6" w:space="1" w:color="auto"/>
      </w:pBdr>
      <w:spacing w:after="120"/>
      <w:jc w:val="right"/>
      <w:rPr>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6B4" w:rsidRDefault="00AE1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5C14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707A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38E6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5ABE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1E66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26F9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F27A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EBA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5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0418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A1331"/>
    <w:multiLevelType w:val="hybridMultilevel"/>
    <w:tmpl w:val="E94CD02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BD3696"/>
    <w:multiLevelType w:val="hybridMultilevel"/>
    <w:tmpl w:val="1846BA82"/>
    <w:lvl w:ilvl="0" w:tplc="5B5E8724">
      <w:start w:val="1"/>
      <w:numFmt w:val="lowerLetter"/>
      <w:lvlText w:val="(%1)"/>
      <w:lvlJc w:val="left"/>
      <w:pPr>
        <w:ind w:left="2360" w:hanging="375"/>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3" w15:restartNumberingAfterBreak="0">
    <w:nsid w:val="0C607FF6"/>
    <w:multiLevelType w:val="hybridMultilevel"/>
    <w:tmpl w:val="B9B0104E"/>
    <w:lvl w:ilvl="0" w:tplc="0C09000F">
      <w:start w:val="1"/>
      <w:numFmt w:val="decimal"/>
      <w:lvlText w:val="%1."/>
      <w:lvlJc w:val="left"/>
      <w:pPr>
        <w:ind w:left="1740" w:hanging="360"/>
      </w:pPr>
    </w:lvl>
    <w:lvl w:ilvl="1" w:tplc="0C090019" w:tentative="1">
      <w:start w:val="1"/>
      <w:numFmt w:val="lowerLetter"/>
      <w:lvlText w:val="%2."/>
      <w:lvlJc w:val="left"/>
      <w:pPr>
        <w:ind w:left="2460" w:hanging="360"/>
      </w:pPr>
    </w:lvl>
    <w:lvl w:ilvl="2" w:tplc="0C09001B" w:tentative="1">
      <w:start w:val="1"/>
      <w:numFmt w:val="lowerRoman"/>
      <w:lvlText w:val="%3."/>
      <w:lvlJc w:val="right"/>
      <w:pPr>
        <w:ind w:left="3180" w:hanging="180"/>
      </w:pPr>
    </w:lvl>
    <w:lvl w:ilvl="3" w:tplc="0C09000F" w:tentative="1">
      <w:start w:val="1"/>
      <w:numFmt w:val="decimal"/>
      <w:lvlText w:val="%4."/>
      <w:lvlJc w:val="left"/>
      <w:pPr>
        <w:ind w:left="3900" w:hanging="360"/>
      </w:pPr>
    </w:lvl>
    <w:lvl w:ilvl="4" w:tplc="0C090019" w:tentative="1">
      <w:start w:val="1"/>
      <w:numFmt w:val="lowerLetter"/>
      <w:lvlText w:val="%5."/>
      <w:lvlJc w:val="left"/>
      <w:pPr>
        <w:ind w:left="4620" w:hanging="360"/>
      </w:pPr>
    </w:lvl>
    <w:lvl w:ilvl="5" w:tplc="0C09001B" w:tentative="1">
      <w:start w:val="1"/>
      <w:numFmt w:val="lowerRoman"/>
      <w:lvlText w:val="%6."/>
      <w:lvlJc w:val="right"/>
      <w:pPr>
        <w:ind w:left="5340" w:hanging="180"/>
      </w:pPr>
    </w:lvl>
    <w:lvl w:ilvl="6" w:tplc="0C09000F" w:tentative="1">
      <w:start w:val="1"/>
      <w:numFmt w:val="decimal"/>
      <w:lvlText w:val="%7."/>
      <w:lvlJc w:val="left"/>
      <w:pPr>
        <w:ind w:left="6060" w:hanging="360"/>
      </w:pPr>
    </w:lvl>
    <w:lvl w:ilvl="7" w:tplc="0C090019" w:tentative="1">
      <w:start w:val="1"/>
      <w:numFmt w:val="lowerLetter"/>
      <w:lvlText w:val="%8."/>
      <w:lvlJc w:val="left"/>
      <w:pPr>
        <w:ind w:left="6780" w:hanging="360"/>
      </w:pPr>
    </w:lvl>
    <w:lvl w:ilvl="8" w:tplc="0C09001B" w:tentative="1">
      <w:start w:val="1"/>
      <w:numFmt w:val="lowerRoman"/>
      <w:lvlText w:val="%9."/>
      <w:lvlJc w:val="right"/>
      <w:pPr>
        <w:ind w:left="7500" w:hanging="180"/>
      </w:pPr>
    </w:lvl>
  </w:abstractNum>
  <w:abstractNum w:abstractNumId="14" w15:restartNumberingAfterBreak="0">
    <w:nsid w:val="10E43F84"/>
    <w:multiLevelType w:val="hybridMultilevel"/>
    <w:tmpl w:val="3000C34A"/>
    <w:lvl w:ilvl="0" w:tplc="5D9C91C2">
      <w:start w:val="1"/>
      <w:numFmt w:val="lowerRoman"/>
      <w:lvlText w:val="%1."/>
      <w:lvlJc w:val="righ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19A16AB6"/>
    <w:multiLevelType w:val="hybridMultilevel"/>
    <w:tmpl w:val="CB2E535E"/>
    <w:lvl w:ilvl="0" w:tplc="F81CED8C">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B1F288C"/>
    <w:multiLevelType w:val="hybridMultilevel"/>
    <w:tmpl w:val="52224F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C2F63F8"/>
    <w:multiLevelType w:val="hybridMultilevel"/>
    <w:tmpl w:val="7D76981C"/>
    <w:lvl w:ilvl="0" w:tplc="0C090019">
      <w:start w:val="1"/>
      <w:numFmt w:val="lowerLetter"/>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318A3F55"/>
    <w:multiLevelType w:val="hybridMultilevel"/>
    <w:tmpl w:val="E43A4C20"/>
    <w:lvl w:ilvl="0" w:tplc="30660090">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3A4C364C"/>
    <w:multiLevelType w:val="hybridMultilevel"/>
    <w:tmpl w:val="9DC41268"/>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BA0373E"/>
    <w:multiLevelType w:val="hybridMultilevel"/>
    <w:tmpl w:val="4858EB9E"/>
    <w:lvl w:ilvl="0" w:tplc="3C88AD7E">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3" w15:restartNumberingAfterBreak="0">
    <w:nsid w:val="3BC23112"/>
    <w:multiLevelType w:val="hybridMultilevel"/>
    <w:tmpl w:val="3B6055C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461AF5"/>
    <w:multiLevelType w:val="hybridMultilevel"/>
    <w:tmpl w:val="D25E0760"/>
    <w:lvl w:ilvl="0" w:tplc="660093B4">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6D06EC4"/>
    <w:multiLevelType w:val="hybridMultilevel"/>
    <w:tmpl w:val="7E88B2F6"/>
    <w:lvl w:ilvl="0" w:tplc="F1F632F4">
      <w:start w:val="1"/>
      <w:numFmt w:val="decimal"/>
      <w:lvlText w:val="(%1)"/>
      <w:lvlJc w:val="left"/>
      <w:pPr>
        <w:ind w:left="1070" w:hanging="360"/>
      </w:pPr>
      <w:rPr>
        <w:rFonts w:hint="default"/>
      </w:rPr>
    </w:lvl>
    <w:lvl w:ilvl="1" w:tplc="0C09001B">
      <w:start w:val="1"/>
      <w:numFmt w:val="lowerRoman"/>
      <w:lvlText w:val="%2."/>
      <w:lvlJc w:val="righ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6" w15:restartNumberingAfterBreak="0">
    <w:nsid w:val="4AE32E5D"/>
    <w:multiLevelType w:val="hybridMultilevel"/>
    <w:tmpl w:val="2BE677B6"/>
    <w:lvl w:ilvl="0" w:tplc="5B5E8724">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5B9066AA"/>
    <w:multiLevelType w:val="hybridMultilevel"/>
    <w:tmpl w:val="77AA2744"/>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E176FB7"/>
    <w:multiLevelType w:val="hybridMultilevel"/>
    <w:tmpl w:val="28F49A9E"/>
    <w:lvl w:ilvl="0" w:tplc="D81A0FE8">
      <w:start w:val="100"/>
      <w:numFmt w:val="lowerRoman"/>
      <w:lvlText w:val="%1."/>
      <w:lvlJc w:val="righ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3A58B4"/>
    <w:multiLevelType w:val="hybridMultilevel"/>
    <w:tmpl w:val="155A88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F55D41"/>
    <w:multiLevelType w:val="hybridMultilevel"/>
    <w:tmpl w:val="ACF4BE0C"/>
    <w:lvl w:ilvl="0" w:tplc="0C090019">
      <w:start w:val="1"/>
      <w:numFmt w:val="lowerLetter"/>
      <w:lvlText w:val="%1."/>
      <w:lvlJc w:val="left"/>
      <w:pPr>
        <w:ind w:left="252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E132F6D"/>
    <w:multiLevelType w:val="hybridMultilevel"/>
    <w:tmpl w:val="3CA88C04"/>
    <w:lvl w:ilvl="0" w:tplc="5B5E8724">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7A6541E0"/>
    <w:multiLevelType w:val="hybridMultilevel"/>
    <w:tmpl w:val="7244047C"/>
    <w:lvl w:ilvl="0" w:tplc="0C09000F">
      <w:start w:val="1"/>
      <w:numFmt w:val="decimal"/>
      <w:lvlText w:val="%1."/>
      <w:lvlJc w:val="left"/>
      <w:pPr>
        <w:ind w:left="108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1"/>
  </w:num>
  <w:num w:numId="13">
    <w:abstractNumId w:val="16"/>
  </w:num>
  <w:num w:numId="14">
    <w:abstractNumId w:val="12"/>
  </w:num>
  <w:num w:numId="15">
    <w:abstractNumId w:val="31"/>
  </w:num>
  <w:num w:numId="16">
    <w:abstractNumId w:val="15"/>
  </w:num>
  <w:num w:numId="17">
    <w:abstractNumId w:val="18"/>
  </w:num>
  <w:num w:numId="18">
    <w:abstractNumId w:val="23"/>
  </w:num>
  <w:num w:numId="19">
    <w:abstractNumId w:val="25"/>
  </w:num>
  <w:num w:numId="20">
    <w:abstractNumId w:val="19"/>
  </w:num>
  <w:num w:numId="21">
    <w:abstractNumId w:val="26"/>
  </w:num>
  <w:num w:numId="22">
    <w:abstractNumId w:val="13"/>
  </w:num>
  <w:num w:numId="23">
    <w:abstractNumId w:val="10"/>
  </w:num>
  <w:num w:numId="24">
    <w:abstractNumId w:val="29"/>
  </w:num>
  <w:num w:numId="25">
    <w:abstractNumId w:val="22"/>
  </w:num>
  <w:num w:numId="26">
    <w:abstractNumId w:val="17"/>
  </w:num>
  <w:num w:numId="27">
    <w:abstractNumId w:val="27"/>
  </w:num>
  <w:num w:numId="28">
    <w:abstractNumId w:val="24"/>
  </w:num>
  <w:num w:numId="29">
    <w:abstractNumId w:val="14"/>
  </w:num>
  <w:num w:numId="30">
    <w:abstractNumId w:val="28"/>
  </w:num>
  <w:num w:numId="31">
    <w:abstractNumId w:val="20"/>
  </w:num>
  <w:num w:numId="32">
    <w:abstractNumId w:val="3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03B"/>
    <w:rsid w:val="000024BC"/>
    <w:rsid w:val="0000264A"/>
    <w:rsid w:val="00004174"/>
    <w:rsid w:val="00004470"/>
    <w:rsid w:val="0001076F"/>
    <w:rsid w:val="000136AF"/>
    <w:rsid w:val="000157F2"/>
    <w:rsid w:val="0002540C"/>
    <w:rsid w:val="000258B1"/>
    <w:rsid w:val="00030760"/>
    <w:rsid w:val="000313D0"/>
    <w:rsid w:val="000325E7"/>
    <w:rsid w:val="00036ED7"/>
    <w:rsid w:val="000377CA"/>
    <w:rsid w:val="00040862"/>
    <w:rsid w:val="00040A89"/>
    <w:rsid w:val="00041E56"/>
    <w:rsid w:val="000437C1"/>
    <w:rsid w:val="00043D45"/>
    <w:rsid w:val="0004455A"/>
    <w:rsid w:val="00045F89"/>
    <w:rsid w:val="000528FD"/>
    <w:rsid w:val="0005365D"/>
    <w:rsid w:val="000548BB"/>
    <w:rsid w:val="00060AE7"/>
    <w:rsid w:val="000614BF"/>
    <w:rsid w:val="00062597"/>
    <w:rsid w:val="0006709C"/>
    <w:rsid w:val="00071563"/>
    <w:rsid w:val="00071E8C"/>
    <w:rsid w:val="00074376"/>
    <w:rsid w:val="000806EE"/>
    <w:rsid w:val="0008188A"/>
    <w:rsid w:val="00082FE5"/>
    <w:rsid w:val="00094F45"/>
    <w:rsid w:val="00097744"/>
    <w:rsid w:val="00097788"/>
    <w:rsid w:val="000978F5"/>
    <w:rsid w:val="00097E73"/>
    <w:rsid w:val="000A0228"/>
    <w:rsid w:val="000A2A28"/>
    <w:rsid w:val="000A31D2"/>
    <w:rsid w:val="000B03C1"/>
    <w:rsid w:val="000B07E1"/>
    <w:rsid w:val="000B1003"/>
    <w:rsid w:val="000B15CD"/>
    <w:rsid w:val="000B35EB"/>
    <w:rsid w:val="000B3E70"/>
    <w:rsid w:val="000B4152"/>
    <w:rsid w:val="000B456F"/>
    <w:rsid w:val="000B475B"/>
    <w:rsid w:val="000C0207"/>
    <w:rsid w:val="000C3F2C"/>
    <w:rsid w:val="000C422E"/>
    <w:rsid w:val="000C4867"/>
    <w:rsid w:val="000C4D00"/>
    <w:rsid w:val="000C62DC"/>
    <w:rsid w:val="000C6ECC"/>
    <w:rsid w:val="000D05EF"/>
    <w:rsid w:val="000D0C25"/>
    <w:rsid w:val="000D2E92"/>
    <w:rsid w:val="000D38D7"/>
    <w:rsid w:val="000D3E43"/>
    <w:rsid w:val="000E2261"/>
    <w:rsid w:val="000E2855"/>
    <w:rsid w:val="000E5018"/>
    <w:rsid w:val="000E64B7"/>
    <w:rsid w:val="000E78B7"/>
    <w:rsid w:val="000F21C1"/>
    <w:rsid w:val="000F2C64"/>
    <w:rsid w:val="000F4E53"/>
    <w:rsid w:val="000F7236"/>
    <w:rsid w:val="001024DF"/>
    <w:rsid w:val="00102C9F"/>
    <w:rsid w:val="00103EF0"/>
    <w:rsid w:val="00104210"/>
    <w:rsid w:val="001056BE"/>
    <w:rsid w:val="00105BD0"/>
    <w:rsid w:val="0010745C"/>
    <w:rsid w:val="00107D96"/>
    <w:rsid w:val="00111F79"/>
    <w:rsid w:val="001208F3"/>
    <w:rsid w:val="0012155C"/>
    <w:rsid w:val="0012559F"/>
    <w:rsid w:val="00125E85"/>
    <w:rsid w:val="001263B2"/>
    <w:rsid w:val="001275A0"/>
    <w:rsid w:val="00127D88"/>
    <w:rsid w:val="001325E6"/>
    <w:rsid w:val="00132CEB"/>
    <w:rsid w:val="001339B0"/>
    <w:rsid w:val="00133AE3"/>
    <w:rsid w:val="00133DB8"/>
    <w:rsid w:val="00134A36"/>
    <w:rsid w:val="00137B91"/>
    <w:rsid w:val="00140179"/>
    <w:rsid w:val="001402A1"/>
    <w:rsid w:val="00140FCF"/>
    <w:rsid w:val="00142B62"/>
    <w:rsid w:val="001441B7"/>
    <w:rsid w:val="0014542A"/>
    <w:rsid w:val="00146E0D"/>
    <w:rsid w:val="001516CB"/>
    <w:rsid w:val="00152336"/>
    <w:rsid w:val="00157B8B"/>
    <w:rsid w:val="00161D84"/>
    <w:rsid w:val="0016210E"/>
    <w:rsid w:val="00162A40"/>
    <w:rsid w:val="00162AEF"/>
    <w:rsid w:val="001632A6"/>
    <w:rsid w:val="00166C2F"/>
    <w:rsid w:val="00167476"/>
    <w:rsid w:val="00171004"/>
    <w:rsid w:val="0017451A"/>
    <w:rsid w:val="0017577A"/>
    <w:rsid w:val="001809D7"/>
    <w:rsid w:val="00181974"/>
    <w:rsid w:val="00182285"/>
    <w:rsid w:val="0018619F"/>
    <w:rsid w:val="00190A7A"/>
    <w:rsid w:val="001939E1"/>
    <w:rsid w:val="001945B0"/>
    <w:rsid w:val="00194C3E"/>
    <w:rsid w:val="00195382"/>
    <w:rsid w:val="00197EEF"/>
    <w:rsid w:val="001A01D7"/>
    <w:rsid w:val="001A2F4A"/>
    <w:rsid w:val="001A3704"/>
    <w:rsid w:val="001A3AEA"/>
    <w:rsid w:val="001B130C"/>
    <w:rsid w:val="001B1552"/>
    <w:rsid w:val="001B1DAB"/>
    <w:rsid w:val="001B20EB"/>
    <w:rsid w:val="001B2CB6"/>
    <w:rsid w:val="001B425A"/>
    <w:rsid w:val="001B6157"/>
    <w:rsid w:val="001C1148"/>
    <w:rsid w:val="001C5F0A"/>
    <w:rsid w:val="001C61C5"/>
    <w:rsid w:val="001C69C4"/>
    <w:rsid w:val="001D1715"/>
    <w:rsid w:val="001D37EF"/>
    <w:rsid w:val="001D56DA"/>
    <w:rsid w:val="001D5A5B"/>
    <w:rsid w:val="001D6759"/>
    <w:rsid w:val="001E1282"/>
    <w:rsid w:val="001E3590"/>
    <w:rsid w:val="001E5B57"/>
    <w:rsid w:val="001E7407"/>
    <w:rsid w:val="001E7DCA"/>
    <w:rsid w:val="001F1F87"/>
    <w:rsid w:val="001F2C61"/>
    <w:rsid w:val="001F51B3"/>
    <w:rsid w:val="001F5BED"/>
    <w:rsid w:val="001F5D5E"/>
    <w:rsid w:val="001F6219"/>
    <w:rsid w:val="001F6CD4"/>
    <w:rsid w:val="001F7269"/>
    <w:rsid w:val="002003C0"/>
    <w:rsid w:val="0020041F"/>
    <w:rsid w:val="0020543F"/>
    <w:rsid w:val="002064F3"/>
    <w:rsid w:val="00206C4D"/>
    <w:rsid w:val="00207AF9"/>
    <w:rsid w:val="00211971"/>
    <w:rsid w:val="00215AF1"/>
    <w:rsid w:val="00216C67"/>
    <w:rsid w:val="002179D3"/>
    <w:rsid w:val="00223512"/>
    <w:rsid w:val="002249EB"/>
    <w:rsid w:val="00227314"/>
    <w:rsid w:val="00227BBD"/>
    <w:rsid w:val="00231A7D"/>
    <w:rsid w:val="002321E8"/>
    <w:rsid w:val="00232984"/>
    <w:rsid w:val="002345CF"/>
    <w:rsid w:val="0024010F"/>
    <w:rsid w:val="00240749"/>
    <w:rsid w:val="00241D41"/>
    <w:rsid w:val="00243018"/>
    <w:rsid w:val="00244792"/>
    <w:rsid w:val="00245CE2"/>
    <w:rsid w:val="00246A1E"/>
    <w:rsid w:val="00251427"/>
    <w:rsid w:val="00251A52"/>
    <w:rsid w:val="002536B4"/>
    <w:rsid w:val="002564A4"/>
    <w:rsid w:val="0026736C"/>
    <w:rsid w:val="00281242"/>
    <w:rsid w:val="00281308"/>
    <w:rsid w:val="00284719"/>
    <w:rsid w:val="00285868"/>
    <w:rsid w:val="00285B28"/>
    <w:rsid w:val="00287EE0"/>
    <w:rsid w:val="00290DEE"/>
    <w:rsid w:val="0029146F"/>
    <w:rsid w:val="00297ECB"/>
    <w:rsid w:val="002A3210"/>
    <w:rsid w:val="002A7BCF"/>
    <w:rsid w:val="002B09F2"/>
    <w:rsid w:val="002B2FB2"/>
    <w:rsid w:val="002C0851"/>
    <w:rsid w:val="002C21E3"/>
    <w:rsid w:val="002C2AF6"/>
    <w:rsid w:val="002C3FD1"/>
    <w:rsid w:val="002C4244"/>
    <w:rsid w:val="002D03FA"/>
    <w:rsid w:val="002D043A"/>
    <w:rsid w:val="002D0D77"/>
    <w:rsid w:val="002D266B"/>
    <w:rsid w:val="002D4F36"/>
    <w:rsid w:val="002D54D2"/>
    <w:rsid w:val="002D6224"/>
    <w:rsid w:val="002D6675"/>
    <w:rsid w:val="002E3C73"/>
    <w:rsid w:val="002E72FA"/>
    <w:rsid w:val="002F1297"/>
    <w:rsid w:val="002F1D35"/>
    <w:rsid w:val="002F21A0"/>
    <w:rsid w:val="002F5F18"/>
    <w:rsid w:val="00300009"/>
    <w:rsid w:val="0030154A"/>
    <w:rsid w:val="00302786"/>
    <w:rsid w:val="00303F88"/>
    <w:rsid w:val="00304F8B"/>
    <w:rsid w:val="00307EC5"/>
    <w:rsid w:val="0031170A"/>
    <w:rsid w:val="0031453F"/>
    <w:rsid w:val="003148FF"/>
    <w:rsid w:val="00314BBD"/>
    <w:rsid w:val="00317087"/>
    <w:rsid w:val="00324A10"/>
    <w:rsid w:val="00330E12"/>
    <w:rsid w:val="003327B6"/>
    <w:rsid w:val="0033326C"/>
    <w:rsid w:val="00333AEE"/>
    <w:rsid w:val="00335B15"/>
    <w:rsid w:val="00335BC6"/>
    <w:rsid w:val="003415D3"/>
    <w:rsid w:val="00341D36"/>
    <w:rsid w:val="00344338"/>
    <w:rsid w:val="00344701"/>
    <w:rsid w:val="00344D57"/>
    <w:rsid w:val="003450CF"/>
    <w:rsid w:val="00345746"/>
    <w:rsid w:val="00347D46"/>
    <w:rsid w:val="00352429"/>
    <w:rsid w:val="00352B0F"/>
    <w:rsid w:val="003543BF"/>
    <w:rsid w:val="003546BC"/>
    <w:rsid w:val="00355AE6"/>
    <w:rsid w:val="00355F43"/>
    <w:rsid w:val="00357CC1"/>
    <w:rsid w:val="00360459"/>
    <w:rsid w:val="003656CD"/>
    <w:rsid w:val="00373AFD"/>
    <w:rsid w:val="00375817"/>
    <w:rsid w:val="0038049F"/>
    <w:rsid w:val="00380E5F"/>
    <w:rsid w:val="0038174D"/>
    <w:rsid w:val="00385322"/>
    <w:rsid w:val="00385999"/>
    <w:rsid w:val="0039000C"/>
    <w:rsid w:val="003905D2"/>
    <w:rsid w:val="00390904"/>
    <w:rsid w:val="00397147"/>
    <w:rsid w:val="0039732E"/>
    <w:rsid w:val="003A08F3"/>
    <w:rsid w:val="003A0DFF"/>
    <w:rsid w:val="003A258B"/>
    <w:rsid w:val="003B4941"/>
    <w:rsid w:val="003C5A96"/>
    <w:rsid w:val="003C5F75"/>
    <w:rsid w:val="003C5FC4"/>
    <w:rsid w:val="003C6231"/>
    <w:rsid w:val="003D07DE"/>
    <w:rsid w:val="003D0BFE"/>
    <w:rsid w:val="003D23D5"/>
    <w:rsid w:val="003D5700"/>
    <w:rsid w:val="003D573D"/>
    <w:rsid w:val="003D6083"/>
    <w:rsid w:val="003D749D"/>
    <w:rsid w:val="003E032E"/>
    <w:rsid w:val="003E2D18"/>
    <w:rsid w:val="003E341B"/>
    <w:rsid w:val="003E4D00"/>
    <w:rsid w:val="003E775E"/>
    <w:rsid w:val="003E7A71"/>
    <w:rsid w:val="003F0D9D"/>
    <w:rsid w:val="003F4998"/>
    <w:rsid w:val="003F5015"/>
    <w:rsid w:val="003F6415"/>
    <w:rsid w:val="003F658B"/>
    <w:rsid w:val="0040245D"/>
    <w:rsid w:val="00402CA5"/>
    <w:rsid w:val="004047B2"/>
    <w:rsid w:val="004116CD"/>
    <w:rsid w:val="004133A9"/>
    <w:rsid w:val="004146C5"/>
    <w:rsid w:val="00415D03"/>
    <w:rsid w:val="004173CA"/>
    <w:rsid w:val="00417EB9"/>
    <w:rsid w:val="00420B0E"/>
    <w:rsid w:val="00422D66"/>
    <w:rsid w:val="00424CA9"/>
    <w:rsid w:val="00424F31"/>
    <w:rsid w:val="00424F38"/>
    <w:rsid w:val="004261AD"/>
    <w:rsid w:val="004276DF"/>
    <w:rsid w:val="00431E9B"/>
    <w:rsid w:val="004377C5"/>
    <w:rsid w:val="004379E3"/>
    <w:rsid w:val="0044015E"/>
    <w:rsid w:val="00440C8E"/>
    <w:rsid w:val="0044291A"/>
    <w:rsid w:val="00446321"/>
    <w:rsid w:val="00452604"/>
    <w:rsid w:val="00455985"/>
    <w:rsid w:val="0045605A"/>
    <w:rsid w:val="00463045"/>
    <w:rsid w:val="0046362D"/>
    <w:rsid w:val="00464F0A"/>
    <w:rsid w:val="00467661"/>
    <w:rsid w:val="004714AE"/>
    <w:rsid w:val="00471679"/>
    <w:rsid w:val="00471D7F"/>
    <w:rsid w:val="00472DBE"/>
    <w:rsid w:val="004732A2"/>
    <w:rsid w:val="00474A19"/>
    <w:rsid w:val="00475DD1"/>
    <w:rsid w:val="00477830"/>
    <w:rsid w:val="00480B09"/>
    <w:rsid w:val="00486EDD"/>
    <w:rsid w:val="00487764"/>
    <w:rsid w:val="00491AD0"/>
    <w:rsid w:val="00492FCB"/>
    <w:rsid w:val="004958C6"/>
    <w:rsid w:val="00496B38"/>
    <w:rsid w:val="00496F97"/>
    <w:rsid w:val="00497495"/>
    <w:rsid w:val="004A3EA8"/>
    <w:rsid w:val="004A4C12"/>
    <w:rsid w:val="004B0EF3"/>
    <w:rsid w:val="004B6C48"/>
    <w:rsid w:val="004C084D"/>
    <w:rsid w:val="004C4E59"/>
    <w:rsid w:val="004C5A34"/>
    <w:rsid w:val="004C5FC9"/>
    <w:rsid w:val="004C6809"/>
    <w:rsid w:val="004D2CB6"/>
    <w:rsid w:val="004D3128"/>
    <w:rsid w:val="004D6712"/>
    <w:rsid w:val="004D7A85"/>
    <w:rsid w:val="004E063A"/>
    <w:rsid w:val="004E079C"/>
    <w:rsid w:val="004E1081"/>
    <w:rsid w:val="004E1307"/>
    <w:rsid w:val="004E1D7E"/>
    <w:rsid w:val="004E4CCB"/>
    <w:rsid w:val="004E78DC"/>
    <w:rsid w:val="004E7A5D"/>
    <w:rsid w:val="004E7BEC"/>
    <w:rsid w:val="004E7FF0"/>
    <w:rsid w:val="004F0B6C"/>
    <w:rsid w:val="004F38B2"/>
    <w:rsid w:val="005001D3"/>
    <w:rsid w:val="00500CD0"/>
    <w:rsid w:val="00505D3D"/>
    <w:rsid w:val="00506AF6"/>
    <w:rsid w:val="00506F54"/>
    <w:rsid w:val="0051044C"/>
    <w:rsid w:val="00510E66"/>
    <w:rsid w:val="00511442"/>
    <w:rsid w:val="00511627"/>
    <w:rsid w:val="00511EB7"/>
    <w:rsid w:val="0051231D"/>
    <w:rsid w:val="00516B8D"/>
    <w:rsid w:val="005173B8"/>
    <w:rsid w:val="00517A8A"/>
    <w:rsid w:val="005218C3"/>
    <w:rsid w:val="0052477C"/>
    <w:rsid w:val="00527BF4"/>
    <w:rsid w:val="005301B2"/>
    <w:rsid w:val="005303C8"/>
    <w:rsid w:val="0053409D"/>
    <w:rsid w:val="00534A96"/>
    <w:rsid w:val="00535240"/>
    <w:rsid w:val="00537CE0"/>
    <w:rsid w:val="00537FBC"/>
    <w:rsid w:val="005407F0"/>
    <w:rsid w:val="005424D5"/>
    <w:rsid w:val="00542605"/>
    <w:rsid w:val="005441E3"/>
    <w:rsid w:val="005457C8"/>
    <w:rsid w:val="00545B9C"/>
    <w:rsid w:val="0055437F"/>
    <w:rsid w:val="00554826"/>
    <w:rsid w:val="00562877"/>
    <w:rsid w:val="00574ADE"/>
    <w:rsid w:val="005810D1"/>
    <w:rsid w:val="005812C5"/>
    <w:rsid w:val="00581728"/>
    <w:rsid w:val="00582A18"/>
    <w:rsid w:val="00584811"/>
    <w:rsid w:val="00585784"/>
    <w:rsid w:val="00585FE3"/>
    <w:rsid w:val="005869DC"/>
    <w:rsid w:val="00586CA6"/>
    <w:rsid w:val="0058729E"/>
    <w:rsid w:val="00590CEA"/>
    <w:rsid w:val="00592AA2"/>
    <w:rsid w:val="00593AA6"/>
    <w:rsid w:val="00594161"/>
    <w:rsid w:val="00594749"/>
    <w:rsid w:val="00597C06"/>
    <w:rsid w:val="005A3096"/>
    <w:rsid w:val="005A371B"/>
    <w:rsid w:val="005A52D4"/>
    <w:rsid w:val="005A5CF6"/>
    <w:rsid w:val="005A65D5"/>
    <w:rsid w:val="005A681C"/>
    <w:rsid w:val="005B2C88"/>
    <w:rsid w:val="005B351D"/>
    <w:rsid w:val="005B4067"/>
    <w:rsid w:val="005B48BF"/>
    <w:rsid w:val="005B50F3"/>
    <w:rsid w:val="005B70CB"/>
    <w:rsid w:val="005C15F5"/>
    <w:rsid w:val="005C27EE"/>
    <w:rsid w:val="005C2ED0"/>
    <w:rsid w:val="005C3F41"/>
    <w:rsid w:val="005C3FFA"/>
    <w:rsid w:val="005C5C73"/>
    <w:rsid w:val="005C61EB"/>
    <w:rsid w:val="005D078D"/>
    <w:rsid w:val="005D175C"/>
    <w:rsid w:val="005D1D92"/>
    <w:rsid w:val="005D200B"/>
    <w:rsid w:val="005D2D09"/>
    <w:rsid w:val="005E16A2"/>
    <w:rsid w:val="005E2222"/>
    <w:rsid w:val="005E5B30"/>
    <w:rsid w:val="005F09C4"/>
    <w:rsid w:val="005F232D"/>
    <w:rsid w:val="005F28FA"/>
    <w:rsid w:val="005F42E8"/>
    <w:rsid w:val="005F5057"/>
    <w:rsid w:val="005F65A6"/>
    <w:rsid w:val="005F7417"/>
    <w:rsid w:val="00600219"/>
    <w:rsid w:val="00604F2A"/>
    <w:rsid w:val="00606E80"/>
    <w:rsid w:val="00606F89"/>
    <w:rsid w:val="00612C0C"/>
    <w:rsid w:val="00615469"/>
    <w:rsid w:val="00617C74"/>
    <w:rsid w:val="00620076"/>
    <w:rsid w:val="006231C1"/>
    <w:rsid w:val="00624FB4"/>
    <w:rsid w:val="00627E0A"/>
    <w:rsid w:val="00631137"/>
    <w:rsid w:val="0063432D"/>
    <w:rsid w:val="00642AF2"/>
    <w:rsid w:val="00646DA7"/>
    <w:rsid w:val="0065488B"/>
    <w:rsid w:val="0065612A"/>
    <w:rsid w:val="00657179"/>
    <w:rsid w:val="006623A3"/>
    <w:rsid w:val="0066313C"/>
    <w:rsid w:val="0066403B"/>
    <w:rsid w:val="006677AB"/>
    <w:rsid w:val="00667CEA"/>
    <w:rsid w:val="00670A8B"/>
    <w:rsid w:val="00670EA1"/>
    <w:rsid w:val="00673806"/>
    <w:rsid w:val="00677CC2"/>
    <w:rsid w:val="0068152C"/>
    <w:rsid w:val="00681BA8"/>
    <w:rsid w:val="00683E54"/>
    <w:rsid w:val="0068744B"/>
    <w:rsid w:val="006905DE"/>
    <w:rsid w:val="0069207B"/>
    <w:rsid w:val="006939C2"/>
    <w:rsid w:val="006966D1"/>
    <w:rsid w:val="00697B65"/>
    <w:rsid w:val="006A154F"/>
    <w:rsid w:val="006A437B"/>
    <w:rsid w:val="006A5FCA"/>
    <w:rsid w:val="006A737C"/>
    <w:rsid w:val="006B01C9"/>
    <w:rsid w:val="006B0B51"/>
    <w:rsid w:val="006B2968"/>
    <w:rsid w:val="006B3ADD"/>
    <w:rsid w:val="006B481C"/>
    <w:rsid w:val="006B5789"/>
    <w:rsid w:val="006B630D"/>
    <w:rsid w:val="006C048C"/>
    <w:rsid w:val="006C30C5"/>
    <w:rsid w:val="006C5BF0"/>
    <w:rsid w:val="006C7F8C"/>
    <w:rsid w:val="006D0435"/>
    <w:rsid w:val="006D360E"/>
    <w:rsid w:val="006D4409"/>
    <w:rsid w:val="006E1BCE"/>
    <w:rsid w:val="006E224A"/>
    <w:rsid w:val="006E2E1C"/>
    <w:rsid w:val="006E4516"/>
    <w:rsid w:val="006E6246"/>
    <w:rsid w:val="006E69C2"/>
    <w:rsid w:val="006E6DCC"/>
    <w:rsid w:val="006F0D97"/>
    <w:rsid w:val="006F2FFA"/>
    <w:rsid w:val="006F318F"/>
    <w:rsid w:val="006F7F2F"/>
    <w:rsid w:val="0070017E"/>
    <w:rsid w:val="00700B2C"/>
    <w:rsid w:val="00700CA1"/>
    <w:rsid w:val="00701020"/>
    <w:rsid w:val="00703A87"/>
    <w:rsid w:val="00704FD7"/>
    <w:rsid w:val="007050A2"/>
    <w:rsid w:val="00706349"/>
    <w:rsid w:val="00706E78"/>
    <w:rsid w:val="00711180"/>
    <w:rsid w:val="00713084"/>
    <w:rsid w:val="00713FD3"/>
    <w:rsid w:val="00714F20"/>
    <w:rsid w:val="007153DA"/>
    <w:rsid w:val="0071590F"/>
    <w:rsid w:val="00715914"/>
    <w:rsid w:val="00716E60"/>
    <w:rsid w:val="00717B7A"/>
    <w:rsid w:val="00720DF4"/>
    <w:rsid w:val="0072147A"/>
    <w:rsid w:val="00723791"/>
    <w:rsid w:val="00726B45"/>
    <w:rsid w:val="00731E00"/>
    <w:rsid w:val="0073281A"/>
    <w:rsid w:val="00733605"/>
    <w:rsid w:val="00733667"/>
    <w:rsid w:val="00735B6C"/>
    <w:rsid w:val="007412A4"/>
    <w:rsid w:val="00742FFD"/>
    <w:rsid w:val="007440B7"/>
    <w:rsid w:val="00745BEC"/>
    <w:rsid w:val="0074619D"/>
    <w:rsid w:val="00747D58"/>
    <w:rsid w:val="007500C8"/>
    <w:rsid w:val="007535E8"/>
    <w:rsid w:val="00754717"/>
    <w:rsid w:val="00756272"/>
    <w:rsid w:val="00760204"/>
    <w:rsid w:val="00762D38"/>
    <w:rsid w:val="0076334A"/>
    <w:rsid w:val="00765740"/>
    <w:rsid w:val="00767F4B"/>
    <w:rsid w:val="007715C9"/>
    <w:rsid w:val="00771613"/>
    <w:rsid w:val="00774E3C"/>
    <w:rsid w:val="00774EDD"/>
    <w:rsid w:val="007757EC"/>
    <w:rsid w:val="007775F0"/>
    <w:rsid w:val="00780058"/>
    <w:rsid w:val="007806D8"/>
    <w:rsid w:val="007813D7"/>
    <w:rsid w:val="00782373"/>
    <w:rsid w:val="00782439"/>
    <w:rsid w:val="00783E89"/>
    <w:rsid w:val="0079034B"/>
    <w:rsid w:val="00790630"/>
    <w:rsid w:val="00793915"/>
    <w:rsid w:val="007A01EC"/>
    <w:rsid w:val="007A0F19"/>
    <w:rsid w:val="007A4DE3"/>
    <w:rsid w:val="007A55CA"/>
    <w:rsid w:val="007B3D88"/>
    <w:rsid w:val="007B5D39"/>
    <w:rsid w:val="007C224C"/>
    <w:rsid w:val="007C2253"/>
    <w:rsid w:val="007C770B"/>
    <w:rsid w:val="007D0089"/>
    <w:rsid w:val="007D3BEE"/>
    <w:rsid w:val="007D3E46"/>
    <w:rsid w:val="007D4E31"/>
    <w:rsid w:val="007D7911"/>
    <w:rsid w:val="007E07F8"/>
    <w:rsid w:val="007E163D"/>
    <w:rsid w:val="007E667A"/>
    <w:rsid w:val="007E7128"/>
    <w:rsid w:val="007F1D07"/>
    <w:rsid w:val="007F28C9"/>
    <w:rsid w:val="007F51B2"/>
    <w:rsid w:val="007F69D8"/>
    <w:rsid w:val="007F6BDF"/>
    <w:rsid w:val="008036B3"/>
    <w:rsid w:val="008040DD"/>
    <w:rsid w:val="008067CD"/>
    <w:rsid w:val="008117E9"/>
    <w:rsid w:val="0081415B"/>
    <w:rsid w:val="00816DC4"/>
    <w:rsid w:val="00817B63"/>
    <w:rsid w:val="00820E2B"/>
    <w:rsid w:val="008211DA"/>
    <w:rsid w:val="00821705"/>
    <w:rsid w:val="008224C6"/>
    <w:rsid w:val="00824498"/>
    <w:rsid w:val="00824EC2"/>
    <w:rsid w:val="00826BD1"/>
    <w:rsid w:val="0083547A"/>
    <w:rsid w:val="0083747A"/>
    <w:rsid w:val="00840B1F"/>
    <w:rsid w:val="00841688"/>
    <w:rsid w:val="00847827"/>
    <w:rsid w:val="00854486"/>
    <w:rsid w:val="00854D0B"/>
    <w:rsid w:val="008559C9"/>
    <w:rsid w:val="00856A31"/>
    <w:rsid w:val="00860B4E"/>
    <w:rsid w:val="0086151F"/>
    <w:rsid w:val="00863421"/>
    <w:rsid w:val="00863559"/>
    <w:rsid w:val="00863883"/>
    <w:rsid w:val="008639FB"/>
    <w:rsid w:val="00863FD2"/>
    <w:rsid w:val="00867B37"/>
    <w:rsid w:val="008703CE"/>
    <w:rsid w:val="00871801"/>
    <w:rsid w:val="00874D1C"/>
    <w:rsid w:val="008754D0"/>
    <w:rsid w:val="00875D13"/>
    <w:rsid w:val="00876CB5"/>
    <w:rsid w:val="0088030E"/>
    <w:rsid w:val="00884265"/>
    <w:rsid w:val="008855C9"/>
    <w:rsid w:val="00886456"/>
    <w:rsid w:val="00896176"/>
    <w:rsid w:val="008A0BF0"/>
    <w:rsid w:val="008A46E1"/>
    <w:rsid w:val="008A4F43"/>
    <w:rsid w:val="008A538A"/>
    <w:rsid w:val="008B0377"/>
    <w:rsid w:val="008B0C91"/>
    <w:rsid w:val="008B117E"/>
    <w:rsid w:val="008B1BC6"/>
    <w:rsid w:val="008B2706"/>
    <w:rsid w:val="008B3364"/>
    <w:rsid w:val="008B51B9"/>
    <w:rsid w:val="008B64A4"/>
    <w:rsid w:val="008B6631"/>
    <w:rsid w:val="008C0997"/>
    <w:rsid w:val="008C2EAC"/>
    <w:rsid w:val="008D0C4F"/>
    <w:rsid w:val="008D0EE0"/>
    <w:rsid w:val="008D0F22"/>
    <w:rsid w:val="008D3350"/>
    <w:rsid w:val="008E0027"/>
    <w:rsid w:val="008E0A5A"/>
    <w:rsid w:val="008E1962"/>
    <w:rsid w:val="008E3CC0"/>
    <w:rsid w:val="008E6067"/>
    <w:rsid w:val="008E7D60"/>
    <w:rsid w:val="008F44FF"/>
    <w:rsid w:val="008F54E7"/>
    <w:rsid w:val="008F562C"/>
    <w:rsid w:val="009016BE"/>
    <w:rsid w:val="00901E46"/>
    <w:rsid w:val="00902AD1"/>
    <w:rsid w:val="00903422"/>
    <w:rsid w:val="00903BD0"/>
    <w:rsid w:val="0090409F"/>
    <w:rsid w:val="00905079"/>
    <w:rsid w:val="0091306B"/>
    <w:rsid w:val="0091593A"/>
    <w:rsid w:val="00917D9F"/>
    <w:rsid w:val="009209E8"/>
    <w:rsid w:val="00921747"/>
    <w:rsid w:val="0092247D"/>
    <w:rsid w:val="00924EC9"/>
    <w:rsid w:val="009254C3"/>
    <w:rsid w:val="00927AD9"/>
    <w:rsid w:val="00927C20"/>
    <w:rsid w:val="00930E1E"/>
    <w:rsid w:val="00932377"/>
    <w:rsid w:val="00934B2F"/>
    <w:rsid w:val="00935B53"/>
    <w:rsid w:val="00940114"/>
    <w:rsid w:val="00941236"/>
    <w:rsid w:val="0094303B"/>
    <w:rsid w:val="00943FD5"/>
    <w:rsid w:val="00944176"/>
    <w:rsid w:val="00946697"/>
    <w:rsid w:val="00947D5A"/>
    <w:rsid w:val="0095213F"/>
    <w:rsid w:val="009532A5"/>
    <w:rsid w:val="009545BD"/>
    <w:rsid w:val="00954C81"/>
    <w:rsid w:val="00955A5D"/>
    <w:rsid w:val="009560FB"/>
    <w:rsid w:val="00957292"/>
    <w:rsid w:val="00957EF1"/>
    <w:rsid w:val="00960140"/>
    <w:rsid w:val="009606BD"/>
    <w:rsid w:val="009616F7"/>
    <w:rsid w:val="00962D58"/>
    <w:rsid w:val="00964CF0"/>
    <w:rsid w:val="009664D8"/>
    <w:rsid w:val="00970325"/>
    <w:rsid w:val="00970A75"/>
    <w:rsid w:val="00970B17"/>
    <w:rsid w:val="0097148A"/>
    <w:rsid w:val="009732C7"/>
    <w:rsid w:val="00974089"/>
    <w:rsid w:val="00977806"/>
    <w:rsid w:val="009815B0"/>
    <w:rsid w:val="00981C24"/>
    <w:rsid w:val="00982242"/>
    <w:rsid w:val="009858DB"/>
    <w:rsid w:val="009868E9"/>
    <w:rsid w:val="00986A44"/>
    <w:rsid w:val="009900A3"/>
    <w:rsid w:val="009917BE"/>
    <w:rsid w:val="00995474"/>
    <w:rsid w:val="00995CE5"/>
    <w:rsid w:val="009A3564"/>
    <w:rsid w:val="009B0161"/>
    <w:rsid w:val="009B0F9D"/>
    <w:rsid w:val="009B1053"/>
    <w:rsid w:val="009B6632"/>
    <w:rsid w:val="009B70E0"/>
    <w:rsid w:val="009B73CA"/>
    <w:rsid w:val="009C3413"/>
    <w:rsid w:val="009C4585"/>
    <w:rsid w:val="009C4891"/>
    <w:rsid w:val="009C489B"/>
    <w:rsid w:val="009C5643"/>
    <w:rsid w:val="009C58D4"/>
    <w:rsid w:val="009C7CA3"/>
    <w:rsid w:val="009C7F55"/>
    <w:rsid w:val="009D0EF2"/>
    <w:rsid w:val="009D1057"/>
    <w:rsid w:val="009D41FD"/>
    <w:rsid w:val="009D7841"/>
    <w:rsid w:val="009E4459"/>
    <w:rsid w:val="009E5529"/>
    <w:rsid w:val="009F14BB"/>
    <w:rsid w:val="009F760A"/>
    <w:rsid w:val="009F7746"/>
    <w:rsid w:val="00A00D8A"/>
    <w:rsid w:val="00A0441E"/>
    <w:rsid w:val="00A04DFC"/>
    <w:rsid w:val="00A05D26"/>
    <w:rsid w:val="00A0689E"/>
    <w:rsid w:val="00A07139"/>
    <w:rsid w:val="00A10151"/>
    <w:rsid w:val="00A12128"/>
    <w:rsid w:val="00A1449E"/>
    <w:rsid w:val="00A14A6D"/>
    <w:rsid w:val="00A14B2E"/>
    <w:rsid w:val="00A15C31"/>
    <w:rsid w:val="00A20BC2"/>
    <w:rsid w:val="00A215FC"/>
    <w:rsid w:val="00A21BA4"/>
    <w:rsid w:val="00A22C98"/>
    <w:rsid w:val="00A22F39"/>
    <w:rsid w:val="00A231E2"/>
    <w:rsid w:val="00A318DC"/>
    <w:rsid w:val="00A33B50"/>
    <w:rsid w:val="00A3425B"/>
    <w:rsid w:val="00A355BA"/>
    <w:rsid w:val="00A36934"/>
    <w:rsid w:val="00A369E3"/>
    <w:rsid w:val="00A36DF5"/>
    <w:rsid w:val="00A422E2"/>
    <w:rsid w:val="00A463E0"/>
    <w:rsid w:val="00A46442"/>
    <w:rsid w:val="00A47DA9"/>
    <w:rsid w:val="00A502A5"/>
    <w:rsid w:val="00A517AD"/>
    <w:rsid w:val="00A51959"/>
    <w:rsid w:val="00A55E80"/>
    <w:rsid w:val="00A57600"/>
    <w:rsid w:val="00A60647"/>
    <w:rsid w:val="00A64912"/>
    <w:rsid w:val="00A66BE5"/>
    <w:rsid w:val="00A67629"/>
    <w:rsid w:val="00A70A74"/>
    <w:rsid w:val="00A717F3"/>
    <w:rsid w:val="00A718F2"/>
    <w:rsid w:val="00A71E5E"/>
    <w:rsid w:val="00A75FE9"/>
    <w:rsid w:val="00A76FF9"/>
    <w:rsid w:val="00A77D18"/>
    <w:rsid w:val="00A81340"/>
    <w:rsid w:val="00A82D3D"/>
    <w:rsid w:val="00A83CF4"/>
    <w:rsid w:val="00A8490C"/>
    <w:rsid w:val="00A873FB"/>
    <w:rsid w:val="00A87CD8"/>
    <w:rsid w:val="00A90D33"/>
    <w:rsid w:val="00A91198"/>
    <w:rsid w:val="00A91B7D"/>
    <w:rsid w:val="00A93334"/>
    <w:rsid w:val="00A93CB7"/>
    <w:rsid w:val="00A945D1"/>
    <w:rsid w:val="00A950AB"/>
    <w:rsid w:val="00AA066A"/>
    <w:rsid w:val="00AA593F"/>
    <w:rsid w:val="00AA5BA7"/>
    <w:rsid w:val="00AB3B26"/>
    <w:rsid w:val="00AB435D"/>
    <w:rsid w:val="00AC23D5"/>
    <w:rsid w:val="00AC5F43"/>
    <w:rsid w:val="00AC6438"/>
    <w:rsid w:val="00AD0D5D"/>
    <w:rsid w:val="00AD4729"/>
    <w:rsid w:val="00AD47C9"/>
    <w:rsid w:val="00AD53CC"/>
    <w:rsid w:val="00AD5641"/>
    <w:rsid w:val="00AD7B71"/>
    <w:rsid w:val="00AE134C"/>
    <w:rsid w:val="00AE16B4"/>
    <w:rsid w:val="00AE2093"/>
    <w:rsid w:val="00AE42C8"/>
    <w:rsid w:val="00AE5EC9"/>
    <w:rsid w:val="00AF00EA"/>
    <w:rsid w:val="00AF06CF"/>
    <w:rsid w:val="00AF1C9F"/>
    <w:rsid w:val="00AF47D9"/>
    <w:rsid w:val="00B014B5"/>
    <w:rsid w:val="00B0198F"/>
    <w:rsid w:val="00B0364E"/>
    <w:rsid w:val="00B03747"/>
    <w:rsid w:val="00B05641"/>
    <w:rsid w:val="00B07CDB"/>
    <w:rsid w:val="00B1464C"/>
    <w:rsid w:val="00B16A31"/>
    <w:rsid w:val="00B1742F"/>
    <w:rsid w:val="00B17DFD"/>
    <w:rsid w:val="00B20040"/>
    <w:rsid w:val="00B22B19"/>
    <w:rsid w:val="00B25306"/>
    <w:rsid w:val="00B2737D"/>
    <w:rsid w:val="00B27831"/>
    <w:rsid w:val="00B308FE"/>
    <w:rsid w:val="00B31181"/>
    <w:rsid w:val="00B3156B"/>
    <w:rsid w:val="00B31737"/>
    <w:rsid w:val="00B31B60"/>
    <w:rsid w:val="00B33709"/>
    <w:rsid w:val="00B33A5B"/>
    <w:rsid w:val="00B33B3C"/>
    <w:rsid w:val="00B34C44"/>
    <w:rsid w:val="00B3627D"/>
    <w:rsid w:val="00B36392"/>
    <w:rsid w:val="00B40A1D"/>
    <w:rsid w:val="00B418CB"/>
    <w:rsid w:val="00B42BA5"/>
    <w:rsid w:val="00B43085"/>
    <w:rsid w:val="00B4333D"/>
    <w:rsid w:val="00B4531A"/>
    <w:rsid w:val="00B45473"/>
    <w:rsid w:val="00B467E1"/>
    <w:rsid w:val="00B47444"/>
    <w:rsid w:val="00B50ADC"/>
    <w:rsid w:val="00B50F96"/>
    <w:rsid w:val="00B52947"/>
    <w:rsid w:val="00B53C65"/>
    <w:rsid w:val="00B54D98"/>
    <w:rsid w:val="00B566B1"/>
    <w:rsid w:val="00B57F95"/>
    <w:rsid w:val="00B628CF"/>
    <w:rsid w:val="00B63834"/>
    <w:rsid w:val="00B71320"/>
    <w:rsid w:val="00B72680"/>
    <w:rsid w:val="00B73650"/>
    <w:rsid w:val="00B74354"/>
    <w:rsid w:val="00B80199"/>
    <w:rsid w:val="00B8139B"/>
    <w:rsid w:val="00B819FB"/>
    <w:rsid w:val="00B83204"/>
    <w:rsid w:val="00B856E7"/>
    <w:rsid w:val="00B878A8"/>
    <w:rsid w:val="00B90B94"/>
    <w:rsid w:val="00B9196E"/>
    <w:rsid w:val="00B91A3D"/>
    <w:rsid w:val="00B96AE0"/>
    <w:rsid w:val="00BA220B"/>
    <w:rsid w:val="00BA2CF9"/>
    <w:rsid w:val="00BA3A57"/>
    <w:rsid w:val="00BA5758"/>
    <w:rsid w:val="00BA660A"/>
    <w:rsid w:val="00BA7015"/>
    <w:rsid w:val="00BB1533"/>
    <w:rsid w:val="00BB1AF7"/>
    <w:rsid w:val="00BB34BA"/>
    <w:rsid w:val="00BB38B3"/>
    <w:rsid w:val="00BB4E1A"/>
    <w:rsid w:val="00BB5FB6"/>
    <w:rsid w:val="00BC015E"/>
    <w:rsid w:val="00BC76AC"/>
    <w:rsid w:val="00BD0ECB"/>
    <w:rsid w:val="00BD3C37"/>
    <w:rsid w:val="00BD52BA"/>
    <w:rsid w:val="00BD7739"/>
    <w:rsid w:val="00BE012D"/>
    <w:rsid w:val="00BE12A5"/>
    <w:rsid w:val="00BE176A"/>
    <w:rsid w:val="00BE2155"/>
    <w:rsid w:val="00BE4593"/>
    <w:rsid w:val="00BE614C"/>
    <w:rsid w:val="00BE719A"/>
    <w:rsid w:val="00BE720A"/>
    <w:rsid w:val="00BF0D73"/>
    <w:rsid w:val="00BF2465"/>
    <w:rsid w:val="00BF3DF0"/>
    <w:rsid w:val="00BF6187"/>
    <w:rsid w:val="00C11D6E"/>
    <w:rsid w:val="00C1227F"/>
    <w:rsid w:val="00C14504"/>
    <w:rsid w:val="00C16619"/>
    <w:rsid w:val="00C17D67"/>
    <w:rsid w:val="00C23F2B"/>
    <w:rsid w:val="00C25C74"/>
    <w:rsid w:val="00C25E7F"/>
    <w:rsid w:val="00C26BF8"/>
    <w:rsid w:val="00C2746F"/>
    <w:rsid w:val="00C27A02"/>
    <w:rsid w:val="00C3037D"/>
    <w:rsid w:val="00C323D6"/>
    <w:rsid w:val="00C324A0"/>
    <w:rsid w:val="00C33BA0"/>
    <w:rsid w:val="00C37725"/>
    <w:rsid w:val="00C401A3"/>
    <w:rsid w:val="00C42BF8"/>
    <w:rsid w:val="00C43EB4"/>
    <w:rsid w:val="00C446B0"/>
    <w:rsid w:val="00C45102"/>
    <w:rsid w:val="00C462FD"/>
    <w:rsid w:val="00C467F3"/>
    <w:rsid w:val="00C46C7E"/>
    <w:rsid w:val="00C47272"/>
    <w:rsid w:val="00C50043"/>
    <w:rsid w:val="00C56156"/>
    <w:rsid w:val="00C641AB"/>
    <w:rsid w:val="00C731BD"/>
    <w:rsid w:val="00C7478A"/>
    <w:rsid w:val="00C7573B"/>
    <w:rsid w:val="00C7587E"/>
    <w:rsid w:val="00C75E06"/>
    <w:rsid w:val="00C80D24"/>
    <w:rsid w:val="00C8409F"/>
    <w:rsid w:val="00C849E6"/>
    <w:rsid w:val="00C84CD6"/>
    <w:rsid w:val="00C862C0"/>
    <w:rsid w:val="00C8783D"/>
    <w:rsid w:val="00C91032"/>
    <w:rsid w:val="00C91B68"/>
    <w:rsid w:val="00C94774"/>
    <w:rsid w:val="00C95B81"/>
    <w:rsid w:val="00C97148"/>
    <w:rsid w:val="00C97A54"/>
    <w:rsid w:val="00CA5B23"/>
    <w:rsid w:val="00CB0619"/>
    <w:rsid w:val="00CB1448"/>
    <w:rsid w:val="00CB47B2"/>
    <w:rsid w:val="00CB602E"/>
    <w:rsid w:val="00CB79EC"/>
    <w:rsid w:val="00CB7E90"/>
    <w:rsid w:val="00CC0F88"/>
    <w:rsid w:val="00CC65E3"/>
    <w:rsid w:val="00CD1752"/>
    <w:rsid w:val="00CD4A5A"/>
    <w:rsid w:val="00CD4DC1"/>
    <w:rsid w:val="00CD53EE"/>
    <w:rsid w:val="00CE051D"/>
    <w:rsid w:val="00CE1335"/>
    <w:rsid w:val="00CE493D"/>
    <w:rsid w:val="00CF07FA"/>
    <w:rsid w:val="00CF0AA2"/>
    <w:rsid w:val="00CF0BB2"/>
    <w:rsid w:val="00CF353C"/>
    <w:rsid w:val="00CF39C3"/>
    <w:rsid w:val="00CF3EE8"/>
    <w:rsid w:val="00D01D24"/>
    <w:rsid w:val="00D02A49"/>
    <w:rsid w:val="00D02EDB"/>
    <w:rsid w:val="00D117A7"/>
    <w:rsid w:val="00D120EF"/>
    <w:rsid w:val="00D13441"/>
    <w:rsid w:val="00D150E7"/>
    <w:rsid w:val="00D161E5"/>
    <w:rsid w:val="00D1791E"/>
    <w:rsid w:val="00D17DFE"/>
    <w:rsid w:val="00D210C1"/>
    <w:rsid w:val="00D2326B"/>
    <w:rsid w:val="00D23BE8"/>
    <w:rsid w:val="00D23CD0"/>
    <w:rsid w:val="00D25D64"/>
    <w:rsid w:val="00D27937"/>
    <w:rsid w:val="00D33039"/>
    <w:rsid w:val="00D338A1"/>
    <w:rsid w:val="00D33BA9"/>
    <w:rsid w:val="00D34F3B"/>
    <w:rsid w:val="00D35416"/>
    <w:rsid w:val="00D469CE"/>
    <w:rsid w:val="00D50B39"/>
    <w:rsid w:val="00D51456"/>
    <w:rsid w:val="00D5167C"/>
    <w:rsid w:val="00D52DC2"/>
    <w:rsid w:val="00D53BCC"/>
    <w:rsid w:val="00D54C9E"/>
    <w:rsid w:val="00D56BD0"/>
    <w:rsid w:val="00D60977"/>
    <w:rsid w:val="00D62A89"/>
    <w:rsid w:val="00D64641"/>
    <w:rsid w:val="00D6537E"/>
    <w:rsid w:val="00D700F7"/>
    <w:rsid w:val="00D70DFB"/>
    <w:rsid w:val="00D724DB"/>
    <w:rsid w:val="00D742C1"/>
    <w:rsid w:val="00D747AC"/>
    <w:rsid w:val="00D766DF"/>
    <w:rsid w:val="00D8206C"/>
    <w:rsid w:val="00D84E2A"/>
    <w:rsid w:val="00D91F10"/>
    <w:rsid w:val="00D92EFB"/>
    <w:rsid w:val="00D93222"/>
    <w:rsid w:val="00D94FA2"/>
    <w:rsid w:val="00D962B4"/>
    <w:rsid w:val="00D97326"/>
    <w:rsid w:val="00DA0FFA"/>
    <w:rsid w:val="00DA186E"/>
    <w:rsid w:val="00DA2CD6"/>
    <w:rsid w:val="00DA31BA"/>
    <w:rsid w:val="00DA4116"/>
    <w:rsid w:val="00DB251C"/>
    <w:rsid w:val="00DB3ECF"/>
    <w:rsid w:val="00DB4630"/>
    <w:rsid w:val="00DB5774"/>
    <w:rsid w:val="00DB6E58"/>
    <w:rsid w:val="00DC1452"/>
    <w:rsid w:val="00DC4F88"/>
    <w:rsid w:val="00DC5D0D"/>
    <w:rsid w:val="00DC7DC5"/>
    <w:rsid w:val="00DC7DFE"/>
    <w:rsid w:val="00DD23DB"/>
    <w:rsid w:val="00DD303F"/>
    <w:rsid w:val="00DD3721"/>
    <w:rsid w:val="00DD4102"/>
    <w:rsid w:val="00DD4233"/>
    <w:rsid w:val="00DD432A"/>
    <w:rsid w:val="00DE107C"/>
    <w:rsid w:val="00DE421D"/>
    <w:rsid w:val="00DE5ECF"/>
    <w:rsid w:val="00DE7531"/>
    <w:rsid w:val="00DF1017"/>
    <w:rsid w:val="00DF1C26"/>
    <w:rsid w:val="00DF2388"/>
    <w:rsid w:val="00DF5C5D"/>
    <w:rsid w:val="00E02C75"/>
    <w:rsid w:val="00E0439A"/>
    <w:rsid w:val="00E05704"/>
    <w:rsid w:val="00E05866"/>
    <w:rsid w:val="00E05ACC"/>
    <w:rsid w:val="00E14FF1"/>
    <w:rsid w:val="00E15C58"/>
    <w:rsid w:val="00E2069A"/>
    <w:rsid w:val="00E20B3F"/>
    <w:rsid w:val="00E25B0E"/>
    <w:rsid w:val="00E27E3E"/>
    <w:rsid w:val="00E30FF3"/>
    <w:rsid w:val="00E328E4"/>
    <w:rsid w:val="00E338EF"/>
    <w:rsid w:val="00E35057"/>
    <w:rsid w:val="00E35C6C"/>
    <w:rsid w:val="00E3670A"/>
    <w:rsid w:val="00E441B8"/>
    <w:rsid w:val="00E47814"/>
    <w:rsid w:val="00E544BB"/>
    <w:rsid w:val="00E54F8A"/>
    <w:rsid w:val="00E55A4F"/>
    <w:rsid w:val="00E5602C"/>
    <w:rsid w:val="00E56AB9"/>
    <w:rsid w:val="00E6270A"/>
    <w:rsid w:val="00E6418E"/>
    <w:rsid w:val="00E672A1"/>
    <w:rsid w:val="00E70FEC"/>
    <w:rsid w:val="00E71902"/>
    <w:rsid w:val="00E7192F"/>
    <w:rsid w:val="00E72941"/>
    <w:rsid w:val="00E74C97"/>
    <w:rsid w:val="00E74DC7"/>
    <w:rsid w:val="00E74FCA"/>
    <w:rsid w:val="00E802A4"/>
    <w:rsid w:val="00E8075A"/>
    <w:rsid w:val="00E839A9"/>
    <w:rsid w:val="00E8505D"/>
    <w:rsid w:val="00E90956"/>
    <w:rsid w:val="00E90E10"/>
    <w:rsid w:val="00E93524"/>
    <w:rsid w:val="00E93B81"/>
    <w:rsid w:val="00E940D8"/>
    <w:rsid w:val="00E94D5E"/>
    <w:rsid w:val="00E9623C"/>
    <w:rsid w:val="00E974BD"/>
    <w:rsid w:val="00EA0D10"/>
    <w:rsid w:val="00EA30C0"/>
    <w:rsid w:val="00EA467D"/>
    <w:rsid w:val="00EA6AC0"/>
    <w:rsid w:val="00EA6CBC"/>
    <w:rsid w:val="00EA7100"/>
    <w:rsid w:val="00EA7F9F"/>
    <w:rsid w:val="00EB00BF"/>
    <w:rsid w:val="00EB1274"/>
    <w:rsid w:val="00EB2315"/>
    <w:rsid w:val="00EB4EE7"/>
    <w:rsid w:val="00EB5101"/>
    <w:rsid w:val="00EB5A31"/>
    <w:rsid w:val="00EB5CBF"/>
    <w:rsid w:val="00EC38DD"/>
    <w:rsid w:val="00EC4DEC"/>
    <w:rsid w:val="00EC52A2"/>
    <w:rsid w:val="00EC5A96"/>
    <w:rsid w:val="00ED2BB6"/>
    <w:rsid w:val="00ED2DED"/>
    <w:rsid w:val="00ED34E1"/>
    <w:rsid w:val="00ED372B"/>
    <w:rsid w:val="00ED3B8D"/>
    <w:rsid w:val="00ED58F0"/>
    <w:rsid w:val="00ED64D3"/>
    <w:rsid w:val="00ED6FB7"/>
    <w:rsid w:val="00EE0873"/>
    <w:rsid w:val="00EE5E36"/>
    <w:rsid w:val="00EF2B28"/>
    <w:rsid w:val="00EF2E3A"/>
    <w:rsid w:val="00EF32BE"/>
    <w:rsid w:val="00EF3985"/>
    <w:rsid w:val="00EF6664"/>
    <w:rsid w:val="00EF6901"/>
    <w:rsid w:val="00F00122"/>
    <w:rsid w:val="00F0114F"/>
    <w:rsid w:val="00F02C7C"/>
    <w:rsid w:val="00F05302"/>
    <w:rsid w:val="00F072A7"/>
    <w:rsid w:val="00F078DC"/>
    <w:rsid w:val="00F126B0"/>
    <w:rsid w:val="00F16735"/>
    <w:rsid w:val="00F17D6E"/>
    <w:rsid w:val="00F20397"/>
    <w:rsid w:val="00F22233"/>
    <w:rsid w:val="00F254CD"/>
    <w:rsid w:val="00F25544"/>
    <w:rsid w:val="00F3011B"/>
    <w:rsid w:val="00F30230"/>
    <w:rsid w:val="00F30C98"/>
    <w:rsid w:val="00F3172D"/>
    <w:rsid w:val="00F32BA8"/>
    <w:rsid w:val="00F32EE0"/>
    <w:rsid w:val="00F349F1"/>
    <w:rsid w:val="00F35190"/>
    <w:rsid w:val="00F36578"/>
    <w:rsid w:val="00F37A1B"/>
    <w:rsid w:val="00F41BD2"/>
    <w:rsid w:val="00F41C4C"/>
    <w:rsid w:val="00F42A04"/>
    <w:rsid w:val="00F4350D"/>
    <w:rsid w:val="00F4381A"/>
    <w:rsid w:val="00F43C90"/>
    <w:rsid w:val="00F44428"/>
    <w:rsid w:val="00F479C4"/>
    <w:rsid w:val="00F508CE"/>
    <w:rsid w:val="00F5171B"/>
    <w:rsid w:val="00F533EA"/>
    <w:rsid w:val="00F5617A"/>
    <w:rsid w:val="00F567F7"/>
    <w:rsid w:val="00F618BC"/>
    <w:rsid w:val="00F639A8"/>
    <w:rsid w:val="00F64F37"/>
    <w:rsid w:val="00F6696E"/>
    <w:rsid w:val="00F66D7B"/>
    <w:rsid w:val="00F6786A"/>
    <w:rsid w:val="00F67D57"/>
    <w:rsid w:val="00F728BB"/>
    <w:rsid w:val="00F73956"/>
    <w:rsid w:val="00F73BD6"/>
    <w:rsid w:val="00F75EE7"/>
    <w:rsid w:val="00F804DB"/>
    <w:rsid w:val="00F83989"/>
    <w:rsid w:val="00F84013"/>
    <w:rsid w:val="00F85099"/>
    <w:rsid w:val="00F92F37"/>
    <w:rsid w:val="00F9379C"/>
    <w:rsid w:val="00F9632C"/>
    <w:rsid w:val="00F9712D"/>
    <w:rsid w:val="00FA1E52"/>
    <w:rsid w:val="00FA2EDA"/>
    <w:rsid w:val="00FA4CCF"/>
    <w:rsid w:val="00FA5A98"/>
    <w:rsid w:val="00FA6069"/>
    <w:rsid w:val="00FA7C76"/>
    <w:rsid w:val="00FB1BA2"/>
    <w:rsid w:val="00FB22AD"/>
    <w:rsid w:val="00FB42AA"/>
    <w:rsid w:val="00FB5A08"/>
    <w:rsid w:val="00FB5D8F"/>
    <w:rsid w:val="00FB70BB"/>
    <w:rsid w:val="00FB7D8D"/>
    <w:rsid w:val="00FC5454"/>
    <w:rsid w:val="00FC56B7"/>
    <w:rsid w:val="00FC6A75"/>
    <w:rsid w:val="00FC6A80"/>
    <w:rsid w:val="00FD0697"/>
    <w:rsid w:val="00FD3F40"/>
    <w:rsid w:val="00FD6E65"/>
    <w:rsid w:val="00FD774D"/>
    <w:rsid w:val="00FD7927"/>
    <w:rsid w:val="00FE37A7"/>
    <w:rsid w:val="00FE4688"/>
    <w:rsid w:val="00FE4AE2"/>
    <w:rsid w:val="00FE6B13"/>
    <w:rsid w:val="00FF0C6B"/>
    <w:rsid w:val="00FF2545"/>
    <w:rsid w:val="00FF4E5E"/>
    <w:rsid w:val="00FF5704"/>
    <w:rsid w:val="00FF62A9"/>
    <w:rsid w:val="00FF7B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629583"/>
  <w15:docId w15:val="{AB108C8D-35DC-4951-878C-572F49B0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customStyle="1" w:styleId="apple-converted-space">
    <w:name w:val="apple-converted-space"/>
    <w:basedOn w:val="DefaultParagraphFont"/>
    <w:rsid w:val="0094303B"/>
  </w:style>
  <w:style w:type="character" w:styleId="CommentReference">
    <w:name w:val="annotation reference"/>
    <w:basedOn w:val="DefaultParagraphFont"/>
    <w:uiPriority w:val="99"/>
    <w:unhideWhenUsed/>
    <w:rsid w:val="00B34C44"/>
    <w:rPr>
      <w:sz w:val="16"/>
      <w:szCs w:val="16"/>
    </w:rPr>
  </w:style>
  <w:style w:type="paragraph" w:styleId="CommentText">
    <w:name w:val="annotation text"/>
    <w:basedOn w:val="Normal"/>
    <w:link w:val="CommentTextChar"/>
    <w:uiPriority w:val="99"/>
    <w:unhideWhenUsed/>
    <w:rsid w:val="00B34C44"/>
    <w:pPr>
      <w:spacing w:line="240" w:lineRule="auto"/>
    </w:pPr>
    <w:rPr>
      <w:sz w:val="20"/>
    </w:rPr>
  </w:style>
  <w:style w:type="character" w:customStyle="1" w:styleId="CommentTextChar">
    <w:name w:val="Comment Text Char"/>
    <w:basedOn w:val="DefaultParagraphFont"/>
    <w:link w:val="CommentText"/>
    <w:uiPriority w:val="99"/>
    <w:rsid w:val="00B34C44"/>
  </w:style>
  <w:style w:type="paragraph" w:styleId="CommentSubject">
    <w:name w:val="annotation subject"/>
    <w:basedOn w:val="CommentText"/>
    <w:next w:val="CommentText"/>
    <w:link w:val="CommentSubjectChar"/>
    <w:uiPriority w:val="99"/>
    <w:semiHidden/>
    <w:unhideWhenUsed/>
    <w:rsid w:val="00B34C44"/>
    <w:rPr>
      <w:b/>
      <w:bCs/>
    </w:rPr>
  </w:style>
  <w:style w:type="character" w:customStyle="1" w:styleId="CommentSubjectChar">
    <w:name w:val="Comment Subject Char"/>
    <w:basedOn w:val="CommentTextChar"/>
    <w:link w:val="CommentSubject"/>
    <w:uiPriority w:val="99"/>
    <w:semiHidden/>
    <w:rsid w:val="00B34C44"/>
    <w:rPr>
      <w:b/>
      <w:bCs/>
    </w:rPr>
  </w:style>
  <w:style w:type="paragraph" w:styleId="Revision">
    <w:name w:val="Revision"/>
    <w:hidden/>
    <w:uiPriority w:val="99"/>
    <w:semiHidden/>
    <w:rsid w:val="00B34C44"/>
    <w:rPr>
      <w:sz w:val="22"/>
    </w:rPr>
  </w:style>
  <w:style w:type="paragraph" w:customStyle="1" w:styleId="TableText0">
    <w:name w:val="TableText"/>
    <w:basedOn w:val="Normal"/>
    <w:link w:val="TableTextChar"/>
    <w:rsid w:val="008B0C91"/>
    <w:pPr>
      <w:spacing w:before="60" w:after="60" w:line="240" w:lineRule="exact"/>
    </w:pPr>
    <w:rPr>
      <w:rFonts w:eastAsia="Times New Roman" w:cs="Times New Roman"/>
    </w:rPr>
  </w:style>
  <w:style w:type="paragraph" w:customStyle="1" w:styleId="TableColHead">
    <w:name w:val="TableColHead"/>
    <w:basedOn w:val="Normal"/>
    <w:rsid w:val="008B0C91"/>
    <w:pPr>
      <w:keepNext/>
      <w:spacing w:before="120" w:after="60" w:line="200" w:lineRule="exact"/>
    </w:pPr>
    <w:rPr>
      <w:rFonts w:ascii="Arial" w:eastAsia="Times New Roman" w:hAnsi="Arial" w:cs="Times New Roman"/>
      <w:b/>
      <w:sz w:val="18"/>
      <w:szCs w:val="24"/>
    </w:rPr>
  </w:style>
  <w:style w:type="character" w:customStyle="1" w:styleId="TableTextChar">
    <w:name w:val="TableText Char"/>
    <w:basedOn w:val="DefaultParagraphFont"/>
    <w:link w:val="TableText0"/>
    <w:rsid w:val="008B0C91"/>
    <w:rPr>
      <w:rFonts w:eastAsia="Times New Roman" w:cs="Times New Roman"/>
      <w:sz w:val="22"/>
    </w:rPr>
  </w:style>
  <w:style w:type="character" w:styleId="Hyperlink">
    <w:name w:val="Hyperlink"/>
    <w:basedOn w:val="DefaultParagraphFont"/>
    <w:uiPriority w:val="99"/>
    <w:unhideWhenUsed/>
    <w:rsid w:val="00C8783D"/>
    <w:rPr>
      <w:color w:val="0000FF"/>
      <w:u w:val="single"/>
    </w:rPr>
  </w:style>
  <w:style w:type="paragraph" w:customStyle="1" w:styleId="HR">
    <w:name w:val="HR"/>
    <w:aliases w:val="Regulation Heading"/>
    <w:basedOn w:val="Normal"/>
    <w:next w:val="R1"/>
    <w:rsid w:val="00511442"/>
    <w:pPr>
      <w:keepNext/>
      <w:keepLines/>
      <w:spacing w:before="360" w:line="240" w:lineRule="auto"/>
      <w:ind w:left="964" w:hanging="964"/>
    </w:pPr>
    <w:rPr>
      <w:rFonts w:ascii="Arial" w:eastAsia="Times New Roman" w:hAnsi="Arial" w:cs="Times New Roman"/>
      <w:b/>
      <w:sz w:val="24"/>
      <w:szCs w:val="24"/>
      <w:lang w:eastAsia="en-AU"/>
    </w:rPr>
  </w:style>
  <w:style w:type="paragraph" w:customStyle="1" w:styleId="R1">
    <w:name w:val="R1"/>
    <w:aliases w:val="1. or 1.(1)"/>
    <w:basedOn w:val="Normal"/>
    <w:next w:val="Normal"/>
    <w:rsid w:val="00511442"/>
    <w:pPr>
      <w:keepLines/>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A2S">
    <w:name w:val="A2S"/>
    <w:aliases w:val="Schedule Inst Amendment"/>
    <w:basedOn w:val="Normal"/>
    <w:next w:val="Normal"/>
    <w:rsid w:val="00511442"/>
    <w:pPr>
      <w:keepNext/>
      <w:spacing w:before="120" w:line="260" w:lineRule="exact"/>
      <w:ind w:left="964"/>
    </w:pPr>
    <w:rPr>
      <w:rFonts w:eastAsia="Times New Roman" w:cs="Times New Roman"/>
      <w:i/>
      <w:sz w:val="24"/>
      <w:szCs w:val="24"/>
      <w:lang w:eastAsia="en-AU"/>
    </w:rPr>
  </w:style>
  <w:style w:type="paragraph" w:styleId="ListParagraph">
    <w:name w:val="List Paragraph"/>
    <w:basedOn w:val="Normal"/>
    <w:uiPriority w:val="34"/>
    <w:qFormat/>
    <w:rsid w:val="00511442"/>
    <w:pPr>
      <w:spacing w:line="240" w:lineRule="auto"/>
      <w:ind w:left="720"/>
      <w:contextualSpacing/>
    </w:pPr>
    <w:rPr>
      <w:rFonts w:eastAsia="Times New Roman" w:cs="Times New Roman"/>
      <w:sz w:val="24"/>
      <w:szCs w:val="24"/>
      <w:lang w:eastAsia="en-AU"/>
    </w:rPr>
  </w:style>
  <w:style w:type="paragraph" w:customStyle="1" w:styleId="A1S">
    <w:name w:val="A1S"/>
    <w:aliases w:val="1.Schedule Amendment"/>
    <w:basedOn w:val="Normal"/>
    <w:next w:val="A2S"/>
    <w:rsid w:val="009B0F9D"/>
    <w:pPr>
      <w:keepNext/>
      <w:keepLines/>
      <w:spacing w:before="480" w:line="260" w:lineRule="exact"/>
      <w:ind w:left="964" w:hanging="964"/>
    </w:pPr>
    <w:rPr>
      <w:rFonts w:ascii="Arial" w:eastAsia="Times New Roman" w:hAnsi="Arial" w:cs="Times New Roman"/>
      <w:b/>
      <w:sz w:val="24"/>
      <w:szCs w:val="24"/>
      <w:lang w:eastAsia="en-AU"/>
    </w:rPr>
  </w:style>
  <w:style w:type="paragraph" w:customStyle="1" w:styleId="AS">
    <w:name w:val="AS"/>
    <w:aliases w:val="Schedule title Amendment"/>
    <w:basedOn w:val="Normal"/>
    <w:next w:val="Normal"/>
    <w:rsid w:val="009B0F9D"/>
    <w:pPr>
      <w:keepNext/>
      <w:keepLines/>
      <w:spacing w:before="480" w:line="240" w:lineRule="auto"/>
      <w:ind w:left="2410" w:hanging="2410"/>
    </w:pPr>
    <w:rPr>
      <w:rFonts w:ascii="Arial" w:eastAsia="Times New Roman" w:hAnsi="Arial" w:cs="Times New Roman"/>
      <w:b/>
      <w:sz w:val="32"/>
      <w:szCs w:val="24"/>
      <w:lang w:eastAsia="en-AU"/>
    </w:rPr>
  </w:style>
  <w:style w:type="paragraph" w:customStyle="1" w:styleId="A3S">
    <w:name w:val="A3S"/>
    <w:aliases w:val="Schedule Amendment"/>
    <w:basedOn w:val="Normal"/>
    <w:next w:val="A1S"/>
    <w:rsid w:val="009B0F9D"/>
    <w:pPr>
      <w:spacing w:before="60" w:line="260" w:lineRule="exact"/>
      <w:ind w:left="1247"/>
      <w:jc w:val="both"/>
    </w:pPr>
    <w:rPr>
      <w:rFonts w:eastAsia="Times New Roman" w:cs="Times New Roman"/>
      <w:sz w:val="24"/>
      <w:szCs w:val="24"/>
      <w:lang w:eastAsia="en-AU"/>
    </w:rPr>
  </w:style>
  <w:style w:type="paragraph" w:customStyle="1" w:styleId="Default">
    <w:name w:val="Default"/>
    <w:rsid w:val="0039732E"/>
    <w:pPr>
      <w:autoSpaceDE w:val="0"/>
      <w:autoSpaceDN w:val="0"/>
      <w:adjustRightInd w:val="0"/>
    </w:pPr>
    <w:rPr>
      <w:rFonts w:cs="Times New Roman"/>
      <w:color w:val="000000"/>
      <w:sz w:val="24"/>
      <w:szCs w:val="24"/>
    </w:rPr>
  </w:style>
  <w:style w:type="character" w:styleId="Emphasis">
    <w:name w:val="Emphasis"/>
    <w:basedOn w:val="DefaultParagraphFont"/>
    <w:uiPriority w:val="20"/>
    <w:qFormat/>
    <w:rsid w:val="00511EB7"/>
    <w:rPr>
      <w:i/>
      <w:iCs/>
    </w:rPr>
  </w:style>
  <w:style w:type="character" w:customStyle="1" w:styleId="ActHead5Char">
    <w:name w:val="ActHead 5 Char"/>
    <w:aliases w:val="s Char"/>
    <w:link w:val="ActHead5"/>
    <w:rsid w:val="001E7DCA"/>
    <w:rPr>
      <w:rFonts w:eastAsia="Times New Roman" w:cs="Times New Roman"/>
      <w:b/>
      <w:kern w:val="28"/>
      <w:sz w:val="24"/>
      <w:lang w:eastAsia="en-AU"/>
    </w:rPr>
  </w:style>
  <w:style w:type="character" w:customStyle="1" w:styleId="paragraphChar">
    <w:name w:val="paragraph Char"/>
    <w:aliases w:val="a Char"/>
    <w:basedOn w:val="DefaultParagraphFont"/>
    <w:link w:val="paragraph"/>
    <w:rsid w:val="00F4381A"/>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04772">
      <w:bodyDiv w:val="1"/>
      <w:marLeft w:val="0"/>
      <w:marRight w:val="0"/>
      <w:marTop w:val="0"/>
      <w:marBottom w:val="0"/>
      <w:divBdr>
        <w:top w:val="none" w:sz="0" w:space="0" w:color="auto"/>
        <w:left w:val="none" w:sz="0" w:space="0" w:color="auto"/>
        <w:bottom w:val="none" w:sz="0" w:space="0" w:color="auto"/>
        <w:right w:val="none" w:sz="0" w:space="0" w:color="auto"/>
      </w:divBdr>
    </w:div>
    <w:div w:id="590042661">
      <w:bodyDiv w:val="1"/>
      <w:marLeft w:val="0"/>
      <w:marRight w:val="0"/>
      <w:marTop w:val="0"/>
      <w:marBottom w:val="0"/>
      <w:divBdr>
        <w:top w:val="none" w:sz="0" w:space="0" w:color="auto"/>
        <w:left w:val="none" w:sz="0" w:space="0" w:color="auto"/>
        <w:bottom w:val="none" w:sz="0" w:space="0" w:color="auto"/>
        <w:right w:val="none" w:sz="0" w:space="0" w:color="auto"/>
      </w:divBdr>
    </w:div>
    <w:div w:id="1669140131">
      <w:bodyDiv w:val="1"/>
      <w:marLeft w:val="0"/>
      <w:marRight w:val="0"/>
      <w:marTop w:val="0"/>
      <w:marBottom w:val="0"/>
      <w:divBdr>
        <w:top w:val="none" w:sz="0" w:space="0" w:color="auto"/>
        <w:left w:val="none" w:sz="0" w:space="0" w:color="auto"/>
        <w:bottom w:val="none" w:sz="0" w:space="0" w:color="auto"/>
        <w:right w:val="none" w:sz="0" w:space="0" w:color="auto"/>
      </w:divBdr>
    </w:div>
    <w:div w:id="189904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cath\Desktop\TGO%2078%202018%20-%20in%20new%20template_-_principal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4DA0B-BBA2-45F7-B396-18964284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TGO 78 2018 - in new template_-_principal_instrument</Template>
  <TotalTime>1</TotalTime>
  <Pages>8</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Cath</dc:creator>
  <cp:lastModifiedBy>CARTER, Bless</cp:lastModifiedBy>
  <cp:revision>5</cp:revision>
  <cp:lastPrinted>2020-10-29T05:16:00Z</cp:lastPrinted>
  <dcterms:created xsi:type="dcterms:W3CDTF">2021-03-24T05:12:00Z</dcterms:created>
  <dcterms:modified xsi:type="dcterms:W3CDTF">2021-03-24T05:12:00Z</dcterms:modified>
</cp:coreProperties>
</file>