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B047A" w14:textId="77777777" w:rsidR="007E1372" w:rsidRPr="00A87399" w:rsidRDefault="007E1372" w:rsidP="007E1372">
      <w:pPr>
        <w:rPr>
          <w:rFonts w:cs="Arial"/>
          <w:b/>
        </w:rPr>
      </w:pPr>
    </w:p>
    <w:p w14:paraId="4D8B047B" w14:textId="77777777" w:rsidR="007E1372" w:rsidRPr="00A87399" w:rsidRDefault="007E1372" w:rsidP="007E1372">
      <w:pPr>
        <w:rPr>
          <w:rFonts w:cs="Arial"/>
          <w:noProof/>
          <w:color w:val="000000" w:themeColor="text1"/>
          <w:sz w:val="20"/>
          <w:lang w:val="en-AU" w:eastAsia="en-AU"/>
        </w:rPr>
      </w:pPr>
      <w:r w:rsidRPr="00A87399">
        <w:rPr>
          <w:rFonts w:cs="Arial"/>
          <w:noProof/>
          <w:color w:val="000000" w:themeColor="text1"/>
          <w:sz w:val="20"/>
          <w:lang w:eastAsia="en-GB"/>
        </w:rPr>
        <w:drawing>
          <wp:inline distT="0" distB="0" distL="0" distR="0" wp14:anchorId="4D8B04F9" wp14:editId="4D8B04FA">
            <wp:extent cx="2657475" cy="438150"/>
            <wp:effectExtent l="0" t="0" r="9525" b="0"/>
            <wp:docPr id="6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B047C" w14:textId="77777777" w:rsidR="007E1372" w:rsidRPr="00A87399" w:rsidRDefault="007E1372" w:rsidP="007E1372">
      <w:pPr>
        <w:pBdr>
          <w:bottom w:val="single" w:sz="4" w:space="1" w:color="auto"/>
        </w:pBdr>
        <w:jc w:val="center"/>
        <w:rPr>
          <w:rFonts w:cs="Arial"/>
          <w:color w:val="000000" w:themeColor="text1"/>
          <w:sz w:val="20"/>
          <w:lang w:eastAsia="en-GB"/>
        </w:rPr>
      </w:pPr>
    </w:p>
    <w:p w14:paraId="4D8B047D" w14:textId="698340A6" w:rsidR="007E1372" w:rsidRPr="00A87399" w:rsidRDefault="007E1372" w:rsidP="007E1372">
      <w:pPr>
        <w:pBdr>
          <w:bottom w:val="single" w:sz="4" w:space="1" w:color="auto"/>
        </w:pBdr>
        <w:tabs>
          <w:tab w:val="left" w:pos="851"/>
        </w:tabs>
        <w:rPr>
          <w:rFonts w:cs="Arial"/>
          <w:b/>
          <w:color w:val="000000" w:themeColor="text1"/>
          <w:sz w:val="20"/>
        </w:rPr>
      </w:pPr>
      <w:r w:rsidRPr="00A87399">
        <w:rPr>
          <w:rFonts w:cs="Arial"/>
          <w:b/>
          <w:sz w:val="20"/>
          <w:szCs w:val="20"/>
        </w:rPr>
        <w:t>Food Standards (Application A1180 – Natural Glycolipids as a preservative in non-alcoholic beverages</w:t>
      </w:r>
      <w:r w:rsidR="00BF0CCE">
        <w:rPr>
          <w:rFonts w:cs="Arial"/>
          <w:b/>
          <w:sz w:val="20"/>
          <w:szCs w:val="20"/>
        </w:rPr>
        <w:t>) Variation</w:t>
      </w:r>
      <w:r w:rsidRPr="00A87399">
        <w:rPr>
          <w:rFonts w:cs="Arial"/>
          <w:b/>
          <w:sz w:val="20"/>
          <w:szCs w:val="20"/>
        </w:rPr>
        <w:t xml:space="preserve"> </w:t>
      </w:r>
    </w:p>
    <w:p w14:paraId="4D8B047E" w14:textId="77777777" w:rsidR="007E1372" w:rsidRPr="00A87399" w:rsidRDefault="007E1372" w:rsidP="007E1372">
      <w:pPr>
        <w:rPr>
          <w:rFonts w:cs="Arial"/>
          <w:color w:val="000000" w:themeColor="text1"/>
          <w:sz w:val="20"/>
        </w:rPr>
      </w:pPr>
    </w:p>
    <w:p w14:paraId="4D8B047F" w14:textId="77777777" w:rsidR="007E1372" w:rsidRPr="00A87399" w:rsidRDefault="007E1372" w:rsidP="007E1372">
      <w:pPr>
        <w:rPr>
          <w:rFonts w:cs="Arial"/>
          <w:color w:val="000000" w:themeColor="text1"/>
          <w:sz w:val="20"/>
        </w:rPr>
      </w:pPr>
    </w:p>
    <w:p w14:paraId="4D8B0480" w14:textId="77777777" w:rsidR="007E1372" w:rsidRPr="00A87399" w:rsidRDefault="007E1372" w:rsidP="007E1372">
      <w:pPr>
        <w:rPr>
          <w:rFonts w:cs="Arial"/>
          <w:color w:val="000000" w:themeColor="text1"/>
          <w:sz w:val="20"/>
        </w:rPr>
      </w:pPr>
      <w:r w:rsidRPr="00A87399">
        <w:rPr>
          <w:rFonts w:cs="Arial"/>
          <w:color w:val="000000" w:themeColor="text1"/>
          <w:sz w:val="20"/>
        </w:rPr>
        <w:t xml:space="preserve">The Board of Food Standards Australia New Zealand gives notice of the making of this variation under section 92 of the </w:t>
      </w:r>
      <w:r w:rsidRPr="00A87399">
        <w:rPr>
          <w:rFonts w:cs="Arial"/>
          <w:i/>
          <w:color w:val="000000" w:themeColor="text1"/>
          <w:sz w:val="20"/>
        </w:rPr>
        <w:t>Food Standards Australia New Zealand Act 1991</w:t>
      </w:r>
      <w:r w:rsidRPr="00A87399">
        <w:rPr>
          <w:rFonts w:cs="Arial"/>
          <w:color w:val="000000" w:themeColor="text1"/>
          <w:sz w:val="20"/>
        </w:rPr>
        <w:t>. The variation commences on the date specified in clause 3 of the variation.</w:t>
      </w:r>
    </w:p>
    <w:p w14:paraId="4D8B0481" w14:textId="77777777" w:rsidR="007E1372" w:rsidRPr="00A87399" w:rsidRDefault="007E1372" w:rsidP="007E1372">
      <w:pPr>
        <w:rPr>
          <w:rFonts w:cs="Arial"/>
          <w:color w:val="000000" w:themeColor="text1"/>
          <w:sz w:val="20"/>
        </w:rPr>
      </w:pPr>
    </w:p>
    <w:p w14:paraId="4D8B0482" w14:textId="68E67576" w:rsidR="007E1372" w:rsidRPr="00A87399" w:rsidRDefault="007E1372" w:rsidP="007E1372">
      <w:pPr>
        <w:rPr>
          <w:rFonts w:cs="Arial"/>
          <w:color w:val="000000" w:themeColor="text1"/>
          <w:sz w:val="20"/>
        </w:rPr>
      </w:pPr>
      <w:r w:rsidRPr="00A87399">
        <w:rPr>
          <w:rFonts w:cs="Arial"/>
          <w:color w:val="000000" w:themeColor="text1"/>
          <w:sz w:val="20"/>
        </w:rPr>
        <w:t xml:space="preserve">Dated 19 </w:t>
      </w:r>
      <w:r w:rsidR="0036642B" w:rsidRPr="00A87399">
        <w:rPr>
          <w:rFonts w:cs="Arial"/>
          <w:color w:val="000000" w:themeColor="text1"/>
          <w:sz w:val="20"/>
        </w:rPr>
        <w:t>March</w:t>
      </w:r>
      <w:r w:rsidRPr="00A87399">
        <w:rPr>
          <w:rFonts w:cs="Arial"/>
          <w:color w:val="000000" w:themeColor="text1"/>
          <w:sz w:val="20"/>
        </w:rPr>
        <w:t xml:space="preserve"> 2021</w:t>
      </w:r>
    </w:p>
    <w:p w14:paraId="4D8B0483" w14:textId="77777777" w:rsidR="007E1372" w:rsidRPr="00A87399" w:rsidRDefault="007E1372" w:rsidP="007E1372">
      <w:pPr>
        <w:rPr>
          <w:rFonts w:cs="Arial"/>
          <w:color w:val="000000" w:themeColor="text1"/>
          <w:sz w:val="20"/>
        </w:rPr>
      </w:pPr>
      <w:r w:rsidRPr="00A87399">
        <w:rPr>
          <w:rFonts w:cs="Arial"/>
          <w:noProof/>
          <w:color w:val="000000" w:themeColor="text1"/>
          <w:sz w:val="20"/>
          <w:lang w:eastAsia="en-GB"/>
        </w:rPr>
        <w:drawing>
          <wp:inline distT="0" distB="0" distL="0" distR="0" wp14:anchorId="4D8B04FB" wp14:editId="4D8B04FC">
            <wp:extent cx="1086904" cy="1547085"/>
            <wp:effectExtent l="0" t="1587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ig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99065" cy="156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B0484" w14:textId="77777777" w:rsidR="007E1372" w:rsidRPr="00A87399" w:rsidRDefault="007E1372" w:rsidP="007E1372">
      <w:pPr>
        <w:rPr>
          <w:rFonts w:cs="Arial"/>
          <w:color w:val="000000" w:themeColor="text1"/>
          <w:sz w:val="20"/>
        </w:rPr>
      </w:pPr>
      <w:r w:rsidRPr="00A87399">
        <w:rPr>
          <w:rFonts w:cs="Arial"/>
          <w:color w:val="000000" w:themeColor="text1"/>
          <w:sz w:val="20"/>
        </w:rPr>
        <w:t>Joanna Richards</w:t>
      </w:r>
    </w:p>
    <w:p w14:paraId="4D8B0485" w14:textId="77777777" w:rsidR="007E1372" w:rsidRPr="00A87399" w:rsidRDefault="007E1372" w:rsidP="007E1372">
      <w:pPr>
        <w:rPr>
          <w:rFonts w:cs="Arial"/>
          <w:color w:val="000000" w:themeColor="text1"/>
          <w:sz w:val="20"/>
        </w:rPr>
      </w:pPr>
      <w:r w:rsidRPr="00A87399">
        <w:rPr>
          <w:rFonts w:cs="Arial"/>
          <w:color w:val="000000" w:themeColor="text1"/>
          <w:sz w:val="20"/>
        </w:rPr>
        <w:t>Standards Management Officer</w:t>
      </w:r>
    </w:p>
    <w:p w14:paraId="4D8B0486" w14:textId="77777777" w:rsidR="007E1372" w:rsidRPr="00A87399" w:rsidRDefault="007E1372" w:rsidP="007E1372">
      <w:pPr>
        <w:rPr>
          <w:rFonts w:cs="Arial"/>
          <w:color w:val="000000" w:themeColor="text1"/>
          <w:sz w:val="20"/>
        </w:rPr>
      </w:pPr>
      <w:r w:rsidRPr="00A87399">
        <w:rPr>
          <w:rFonts w:cs="Arial"/>
          <w:color w:val="000000" w:themeColor="text1"/>
          <w:sz w:val="20"/>
        </w:rPr>
        <w:t>Delegate of the Board of Food Standards Australia New Zealand</w:t>
      </w:r>
    </w:p>
    <w:p w14:paraId="4D8B0487" w14:textId="77777777" w:rsidR="007E1372" w:rsidRPr="00A87399" w:rsidRDefault="007E1372" w:rsidP="007E1372">
      <w:pPr>
        <w:rPr>
          <w:rFonts w:cs="Arial"/>
          <w:color w:val="000000" w:themeColor="text1"/>
          <w:sz w:val="20"/>
        </w:rPr>
      </w:pPr>
    </w:p>
    <w:p w14:paraId="4D8B0488" w14:textId="77777777" w:rsidR="007E1372" w:rsidRPr="00A87399" w:rsidRDefault="007E1372" w:rsidP="007E1372">
      <w:pPr>
        <w:rPr>
          <w:rFonts w:cs="Arial"/>
          <w:sz w:val="20"/>
        </w:rPr>
      </w:pPr>
    </w:p>
    <w:p w14:paraId="4D8B0489" w14:textId="77777777" w:rsidR="007E1372" w:rsidRPr="00A87399" w:rsidRDefault="007E1372" w:rsidP="007E1372">
      <w:pPr>
        <w:rPr>
          <w:rFonts w:cs="Arial"/>
          <w:sz w:val="20"/>
        </w:rPr>
      </w:pPr>
    </w:p>
    <w:p w14:paraId="4D8B048A" w14:textId="77777777" w:rsidR="007E1372" w:rsidRPr="00A87399" w:rsidRDefault="007E1372" w:rsidP="007E1372">
      <w:pPr>
        <w:rPr>
          <w:rFonts w:cs="Arial"/>
          <w:sz w:val="20"/>
        </w:rPr>
      </w:pPr>
    </w:p>
    <w:p w14:paraId="4D8B048C" w14:textId="7D4F9D9B" w:rsidR="007E1372" w:rsidRPr="00A87399" w:rsidRDefault="007E1372" w:rsidP="007E137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cs="Arial"/>
          <w:b/>
          <w:sz w:val="20"/>
          <w:lang w:val="en-AU"/>
        </w:rPr>
      </w:pPr>
      <w:r w:rsidRPr="00A87399">
        <w:rPr>
          <w:rFonts w:cs="Arial"/>
          <w:b/>
          <w:sz w:val="20"/>
          <w:lang w:val="en-AU"/>
        </w:rPr>
        <w:t xml:space="preserve">Note:  </w:t>
      </w:r>
    </w:p>
    <w:p w14:paraId="4D8B048D" w14:textId="6A22E457" w:rsidR="007E1372" w:rsidRPr="00A87399" w:rsidRDefault="007E1372" w:rsidP="007E137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cs="Arial"/>
          <w:sz w:val="20"/>
          <w:lang w:val="en-AU"/>
        </w:rPr>
      </w:pPr>
      <w:r w:rsidRPr="00A87399">
        <w:rPr>
          <w:rFonts w:cs="Arial"/>
          <w:sz w:val="20"/>
          <w:lang w:val="en-AU"/>
        </w:rPr>
        <w:t xml:space="preserve">This variation will be published in the Commonwealth </w:t>
      </w:r>
      <w:r w:rsidR="0036642B" w:rsidRPr="00A87399">
        <w:rPr>
          <w:rFonts w:cs="Arial"/>
          <w:sz w:val="20"/>
          <w:lang w:val="en-AU"/>
        </w:rPr>
        <w:t>of Australia Gazette No. FSC 139</w:t>
      </w:r>
      <w:r w:rsidRPr="00A87399">
        <w:rPr>
          <w:rFonts w:cs="Arial"/>
          <w:sz w:val="20"/>
          <w:lang w:val="en-AU"/>
        </w:rPr>
        <w:t xml:space="preserve"> on </w:t>
      </w:r>
      <w:r w:rsidR="0036642B" w:rsidRPr="00A87399">
        <w:rPr>
          <w:rFonts w:cs="Arial"/>
          <w:sz w:val="20"/>
          <w:lang w:val="en-AU"/>
        </w:rPr>
        <w:t>26 March</w:t>
      </w:r>
      <w:r w:rsidRPr="00A87399">
        <w:rPr>
          <w:rFonts w:cs="Arial"/>
          <w:sz w:val="20"/>
          <w:lang w:val="en-AU"/>
        </w:rPr>
        <w:t xml:space="preserve"> 2021 This means that this date is the gazettal date for the purposes of clause 3 of the variation.</w:t>
      </w:r>
    </w:p>
    <w:p w14:paraId="4D8B048E" w14:textId="77777777" w:rsidR="007E1372" w:rsidRPr="00A87399" w:rsidRDefault="007E1372" w:rsidP="007E1372">
      <w:pPr>
        <w:rPr>
          <w:rFonts w:cs="Arial"/>
          <w:color w:val="FF0000"/>
        </w:rPr>
      </w:pPr>
    </w:p>
    <w:p w14:paraId="4D8B048F" w14:textId="77777777" w:rsidR="007E1372" w:rsidRPr="00A87399" w:rsidRDefault="007E1372" w:rsidP="007E1372">
      <w:pPr>
        <w:rPr>
          <w:rFonts w:cs="Arial"/>
        </w:rPr>
      </w:pPr>
      <w:r w:rsidRPr="00A87399">
        <w:rPr>
          <w:rFonts w:cs="Arial"/>
        </w:rPr>
        <w:br w:type="page"/>
      </w:r>
      <w:bookmarkStart w:id="0" w:name="_GoBack"/>
      <w:bookmarkEnd w:id="0"/>
    </w:p>
    <w:p w14:paraId="4D8B0490" w14:textId="77777777" w:rsidR="007E1372" w:rsidRPr="00A87399" w:rsidRDefault="007E1372" w:rsidP="007E1372">
      <w:pPr>
        <w:pStyle w:val="FSCDraftingitemheading"/>
        <w:rPr>
          <w:rFonts w:cs="Arial"/>
        </w:rPr>
      </w:pPr>
      <w:r w:rsidRPr="00A87399">
        <w:rPr>
          <w:rFonts w:cs="Arial"/>
        </w:rPr>
        <w:lastRenderedPageBreak/>
        <w:t>1</w:t>
      </w:r>
      <w:r w:rsidRPr="00A87399">
        <w:rPr>
          <w:rFonts w:cs="Arial"/>
        </w:rPr>
        <w:tab/>
        <w:t>Name</w:t>
      </w:r>
    </w:p>
    <w:p w14:paraId="4D8B0491" w14:textId="77777777" w:rsidR="007E1372" w:rsidRPr="00A87399" w:rsidRDefault="007E1372" w:rsidP="007E1372">
      <w:pPr>
        <w:pStyle w:val="FSCDraftingitem"/>
        <w:rPr>
          <w:rFonts w:cs="Arial"/>
        </w:rPr>
      </w:pPr>
      <w:r w:rsidRPr="00A87399">
        <w:rPr>
          <w:rFonts w:cs="Arial"/>
        </w:rPr>
        <w:t xml:space="preserve">This instrument is the </w:t>
      </w:r>
      <w:r w:rsidRPr="00A87399">
        <w:rPr>
          <w:rFonts w:cs="Arial"/>
          <w:i/>
        </w:rPr>
        <w:t>Food Standards (Application A1180 – Natural Glycolipids as a preservative in non-alcoholic beverages) Variation</w:t>
      </w:r>
      <w:r w:rsidRPr="00A87399">
        <w:rPr>
          <w:rFonts w:cs="Arial"/>
        </w:rPr>
        <w:t>.</w:t>
      </w:r>
    </w:p>
    <w:p w14:paraId="4D8B0492" w14:textId="77777777" w:rsidR="007E1372" w:rsidRPr="00A87399" w:rsidRDefault="007E1372" w:rsidP="007E1372">
      <w:pPr>
        <w:pStyle w:val="FSCDraftingitemheading"/>
        <w:rPr>
          <w:rFonts w:cs="Arial"/>
        </w:rPr>
      </w:pPr>
      <w:r w:rsidRPr="00A87399">
        <w:rPr>
          <w:rFonts w:cs="Arial"/>
        </w:rPr>
        <w:t>2</w:t>
      </w:r>
      <w:r w:rsidRPr="00A87399">
        <w:rPr>
          <w:rFonts w:cs="Arial"/>
        </w:rPr>
        <w:tab/>
        <w:t xml:space="preserve">Variation to standards in the </w:t>
      </w:r>
      <w:r w:rsidRPr="00A87399">
        <w:rPr>
          <w:rFonts w:cs="Arial"/>
          <w:i/>
        </w:rPr>
        <w:t>Australia New Zealand Food Standards Code</w:t>
      </w:r>
    </w:p>
    <w:p w14:paraId="4D8B0493" w14:textId="77777777" w:rsidR="007E1372" w:rsidRPr="00A87399" w:rsidRDefault="007E1372" w:rsidP="007E1372">
      <w:pPr>
        <w:pStyle w:val="FSCDraftingitem"/>
        <w:rPr>
          <w:rFonts w:cs="Arial"/>
        </w:rPr>
      </w:pPr>
      <w:r w:rsidRPr="00A87399">
        <w:rPr>
          <w:rFonts w:cs="Arial"/>
        </w:rPr>
        <w:t xml:space="preserve">The Schedule varies Standards in the </w:t>
      </w:r>
      <w:r w:rsidRPr="00A87399">
        <w:rPr>
          <w:rFonts w:cs="Arial"/>
          <w:i/>
        </w:rPr>
        <w:t>Australia New Zealand Food Standards Code</w:t>
      </w:r>
      <w:r w:rsidRPr="00A87399">
        <w:rPr>
          <w:rFonts w:cs="Arial"/>
        </w:rPr>
        <w:t>.</w:t>
      </w:r>
    </w:p>
    <w:p w14:paraId="4D8B0494" w14:textId="77777777" w:rsidR="007E1372" w:rsidRPr="00A87399" w:rsidRDefault="007E1372" w:rsidP="007E1372">
      <w:pPr>
        <w:pStyle w:val="FSCDraftingitemheading"/>
        <w:rPr>
          <w:rFonts w:cs="Arial"/>
        </w:rPr>
      </w:pPr>
      <w:r w:rsidRPr="00A87399">
        <w:rPr>
          <w:rFonts w:cs="Arial"/>
        </w:rPr>
        <w:t>3</w:t>
      </w:r>
      <w:r w:rsidRPr="00A87399">
        <w:rPr>
          <w:rFonts w:cs="Arial"/>
        </w:rPr>
        <w:tab/>
        <w:t>Commencement</w:t>
      </w:r>
    </w:p>
    <w:p w14:paraId="4D8B0495" w14:textId="77777777" w:rsidR="007E1372" w:rsidRPr="00A87399" w:rsidRDefault="007E1372" w:rsidP="007E1372">
      <w:pPr>
        <w:pStyle w:val="FSCDraftingitem"/>
        <w:rPr>
          <w:rFonts w:cs="Arial"/>
        </w:rPr>
      </w:pPr>
      <w:r w:rsidRPr="00A87399">
        <w:rPr>
          <w:rFonts w:cs="Arial"/>
        </w:rPr>
        <w:t>The variation commences on the date of gazettal.</w:t>
      </w:r>
    </w:p>
    <w:p w14:paraId="4D8B0496" w14:textId="77777777" w:rsidR="007E1372" w:rsidRPr="00A87399" w:rsidRDefault="007E1372" w:rsidP="007E1372">
      <w:pPr>
        <w:jc w:val="center"/>
        <w:rPr>
          <w:rFonts w:cs="Arial"/>
          <w:b/>
          <w:sz w:val="20"/>
        </w:rPr>
      </w:pPr>
      <w:r w:rsidRPr="00A87399">
        <w:rPr>
          <w:rFonts w:cs="Arial"/>
          <w:b/>
          <w:sz w:val="20"/>
        </w:rPr>
        <w:t>Schedule</w:t>
      </w:r>
    </w:p>
    <w:p w14:paraId="4D8B0497" w14:textId="77777777" w:rsidR="007E1372" w:rsidRPr="00A87399" w:rsidRDefault="007E1372" w:rsidP="007E1372">
      <w:pPr>
        <w:pStyle w:val="FSCDraftingitem"/>
        <w:rPr>
          <w:rFonts w:cs="Arial"/>
          <w:lang w:bidi="en-US"/>
        </w:rPr>
      </w:pPr>
      <w:r w:rsidRPr="00A87399">
        <w:rPr>
          <w:rFonts w:cs="Arial"/>
          <w:b/>
          <w:lang w:bidi="en-US"/>
        </w:rPr>
        <w:t>[1]</w:t>
      </w:r>
      <w:r w:rsidRPr="00A87399">
        <w:rPr>
          <w:rFonts w:cs="Arial"/>
          <w:b/>
          <w:lang w:bidi="en-US"/>
        </w:rPr>
        <w:tab/>
        <w:t>Schedule 2</w:t>
      </w:r>
      <w:r w:rsidRPr="00A87399">
        <w:rPr>
          <w:rFonts w:cs="Arial"/>
          <w:lang w:bidi="en-US"/>
        </w:rPr>
        <w:t xml:space="preserve"> is varied by</w:t>
      </w:r>
      <w:r w:rsidRPr="00A87399">
        <w:rPr>
          <w:rFonts w:cs="Arial"/>
          <w:b/>
          <w:lang w:bidi="en-US"/>
        </w:rPr>
        <w:t xml:space="preserve"> </w:t>
      </w:r>
      <w:r w:rsidRPr="00A87399">
        <w:rPr>
          <w:rFonts w:cs="Arial"/>
          <w:lang w:bidi="en-US"/>
        </w:rPr>
        <w:t>inserting in the table to section S2—2 in alphabetical order</w:t>
      </w:r>
    </w:p>
    <w:tbl>
      <w:tblPr>
        <w:tblStyle w:val="TableGrid"/>
        <w:tblW w:w="45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692"/>
      </w:tblGrid>
      <w:tr w:rsidR="007E1372" w:rsidRPr="00A87399" w14:paraId="4D8B049A" w14:textId="77777777" w:rsidTr="00197861">
        <w:trPr>
          <w:jc w:val="center"/>
        </w:trPr>
        <w:tc>
          <w:tcPr>
            <w:tcW w:w="1844" w:type="dxa"/>
          </w:tcPr>
          <w:p w14:paraId="4D8B0498" w14:textId="77777777" w:rsidR="007E1372" w:rsidRPr="00A87399" w:rsidRDefault="007E1372" w:rsidP="00197861">
            <w:pPr>
              <w:pStyle w:val="FSCtblMain"/>
              <w:rPr>
                <w:rFonts w:ascii="Arial" w:hAnsi="Arial"/>
              </w:rPr>
            </w:pPr>
            <w:r w:rsidRPr="00A87399">
              <w:rPr>
                <w:rFonts w:ascii="Arial" w:hAnsi="Arial"/>
              </w:rPr>
              <w:t>MPN</w:t>
            </w:r>
          </w:p>
        </w:tc>
        <w:tc>
          <w:tcPr>
            <w:tcW w:w="2692" w:type="dxa"/>
          </w:tcPr>
          <w:p w14:paraId="4D8B0499" w14:textId="77777777" w:rsidR="007E1372" w:rsidRPr="00A87399" w:rsidRDefault="007E1372" w:rsidP="00197861">
            <w:pPr>
              <w:pStyle w:val="FSCtblMain"/>
              <w:rPr>
                <w:rFonts w:ascii="Arial" w:hAnsi="Arial"/>
              </w:rPr>
            </w:pPr>
            <w:r w:rsidRPr="00A87399">
              <w:rPr>
                <w:rFonts w:ascii="Arial" w:hAnsi="Arial"/>
                <w:lang w:val="en-AU"/>
              </w:rPr>
              <w:t>most probable number</w:t>
            </w:r>
          </w:p>
        </w:tc>
      </w:tr>
    </w:tbl>
    <w:p w14:paraId="4D8B049B" w14:textId="77777777" w:rsidR="007E1372" w:rsidRPr="00A87399" w:rsidRDefault="007E1372" w:rsidP="007E1372">
      <w:pPr>
        <w:pStyle w:val="FSCDraftingitem"/>
        <w:rPr>
          <w:rFonts w:cs="Arial"/>
          <w:b/>
          <w:lang w:bidi="en-US"/>
        </w:rPr>
      </w:pPr>
      <w:r w:rsidRPr="00A87399">
        <w:rPr>
          <w:rFonts w:cs="Arial"/>
          <w:b/>
          <w:lang w:bidi="en-US"/>
        </w:rPr>
        <w:t>[2]</w:t>
      </w:r>
      <w:r w:rsidRPr="00A87399">
        <w:rPr>
          <w:rFonts w:cs="Arial"/>
          <w:b/>
          <w:lang w:bidi="en-US"/>
        </w:rPr>
        <w:tab/>
        <w:t>Schedule 3</w:t>
      </w:r>
      <w:r w:rsidRPr="00A87399">
        <w:rPr>
          <w:rFonts w:cs="Arial"/>
          <w:lang w:bidi="en-US"/>
        </w:rPr>
        <w:t xml:space="preserve"> is varied by</w:t>
      </w:r>
    </w:p>
    <w:p w14:paraId="4D8B049C" w14:textId="77777777" w:rsidR="007E1372" w:rsidRPr="00A87399" w:rsidRDefault="007E1372" w:rsidP="007E1372">
      <w:pPr>
        <w:pStyle w:val="FSCDraftingitem"/>
        <w:rPr>
          <w:rFonts w:cs="Arial"/>
          <w:lang w:bidi="en-US"/>
        </w:rPr>
      </w:pPr>
      <w:r w:rsidRPr="00A87399">
        <w:rPr>
          <w:rFonts w:cs="Arial"/>
          <w:lang w:bidi="en-US"/>
        </w:rPr>
        <w:t>[2.1]</w:t>
      </w:r>
      <w:r w:rsidRPr="00A87399">
        <w:rPr>
          <w:rFonts w:cs="Arial"/>
          <w:b/>
          <w:lang w:bidi="en-US"/>
        </w:rPr>
        <w:tab/>
      </w:r>
      <w:r w:rsidRPr="00A87399">
        <w:rPr>
          <w:rFonts w:cs="Arial"/>
          <w:lang w:bidi="en-US"/>
        </w:rPr>
        <w:t>inserting in the table to subsection S3—2(2) in alphabetical order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550"/>
      </w:tblGrid>
      <w:tr w:rsidR="007E1372" w:rsidRPr="00A87399" w14:paraId="4D8B049F" w14:textId="77777777" w:rsidTr="00197861">
        <w:trPr>
          <w:cantSplit/>
          <w:jc w:val="center"/>
        </w:trPr>
        <w:tc>
          <w:tcPr>
            <w:tcW w:w="4254" w:type="dxa"/>
          </w:tcPr>
          <w:p w14:paraId="4D8B049D" w14:textId="77777777" w:rsidR="007E1372" w:rsidRPr="00A87399" w:rsidRDefault="007E1372" w:rsidP="00197861">
            <w:pPr>
              <w:pStyle w:val="FSCtblMain"/>
              <w:rPr>
                <w:rFonts w:ascii="Arial" w:hAnsi="Arial"/>
              </w:rPr>
            </w:pPr>
            <w:r w:rsidRPr="00A87399">
              <w:rPr>
                <w:rFonts w:ascii="Arial" w:hAnsi="Arial"/>
                <w:lang w:val="en-AU"/>
              </w:rPr>
              <w:t>Sweet osmanthus ear glycolipids</w:t>
            </w:r>
          </w:p>
        </w:tc>
        <w:tc>
          <w:tcPr>
            <w:tcW w:w="2550" w:type="dxa"/>
          </w:tcPr>
          <w:p w14:paraId="4D8B049E" w14:textId="77777777" w:rsidR="007E1372" w:rsidRPr="00A87399" w:rsidRDefault="007E1372" w:rsidP="00197861">
            <w:pPr>
              <w:pStyle w:val="FSCtblMain"/>
              <w:rPr>
                <w:rFonts w:ascii="Arial" w:hAnsi="Arial"/>
              </w:rPr>
            </w:pPr>
            <w:r w:rsidRPr="00A87399">
              <w:rPr>
                <w:rFonts w:ascii="Arial" w:hAnsi="Arial"/>
                <w:lang w:val="en-AU"/>
              </w:rPr>
              <w:t>section S3—43</w:t>
            </w:r>
          </w:p>
        </w:tc>
      </w:tr>
    </w:tbl>
    <w:p w14:paraId="4D8B04A0" w14:textId="77777777" w:rsidR="007E1372" w:rsidRPr="00A87399" w:rsidRDefault="007E1372" w:rsidP="007E1372">
      <w:pPr>
        <w:pStyle w:val="FSCDraftingitem"/>
        <w:rPr>
          <w:rFonts w:cs="Arial"/>
          <w:b/>
          <w:lang w:bidi="en-US"/>
        </w:rPr>
      </w:pPr>
      <w:r w:rsidRPr="00A87399">
        <w:rPr>
          <w:rFonts w:cs="Arial"/>
          <w:lang w:bidi="en-US"/>
        </w:rPr>
        <w:t>[2.2]</w:t>
      </w:r>
      <w:r w:rsidRPr="00A87399">
        <w:rPr>
          <w:rFonts w:cs="Arial"/>
          <w:b/>
          <w:lang w:bidi="en-US"/>
        </w:rPr>
        <w:tab/>
      </w:r>
      <w:r w:rsidRPr="00A87399">
        <w:rPr>
          <w:rFonts w:cs="Arial"/>
          <w:lang w:bidi="en-US"/>
        </w:rPr>
        <w:t>inserting after section S3—42</w:t>
      </w:r>
    </w:p>
    <w:p w14:paraId="4D8B04A1" w14:textId="77777777" w:rsidR="007E1372" w:rsidRPr="00A87399" w:rsidRDefault="007E1372" w:rsidP="007E1372">
      <w:pPr>
        <w:pStyle w:val="FSCh5Section"/>
        <w:rPr>
          <w:rFonts w:cs="Arial"/>
          <w:lang w:bidi="en-US"/>
        </w:rPr>
      </w:pPr>
      <w:r w:rsidRPr="00A87399">
        <w:rPr>
          <w:rFonts w:cs="Arial"/>
          <w:lang w:bidi="en-US"/>
        </w:rPr>
        <w:t>S3—43</w:t>
      </w:r>
      <w:r w:rsidRPr="00A87399">
        <w:rPr>
          <w:rFonts w:cs="Arial"/>
          <w:lang w:bidi="en-US"/>
        </w:rPr>
        <w:tab/>
        <w:t xml:space="preserve">Specification for </w:t>
      </w:r>
      <w:r w:rsidRPr="00A87399">
        <w:rPr>
          <w:rFonts w:cs="Arial"/>
          <w:lang w:val="en-AU"/>
        </w:rPr>
        <w:t>sweet osmanthus ear glycolipids</w:t>
      </w:r>
    </w:p>
    <w:p w14:paraId="4D8B04A2" w14:textId="77777777" w:rsidR="007E1372" w:rsidRPr="00A87399" w:rsidRDefault="007E1372" w:rsidP="007E1372">
      <w:pPr>
        <w:pStyle w:val="FSCtMain"/>
      </w:pPr>
      <w:r w:rsidRPr="00A87399">
        <w:tab/>
      </w:r>
      <w:r w:rsidRPr="00A87399">
        <w:tab/>
        <w:t xml:space="preserve">For </w:t>
      </w:r>
      <w:r w:rsidRPr="00A87399">
        <w:rPr>
          <w:lang w:val="en-AU"/>
        </w:rPr>
        <w:t>sweet osmanthus ear glycolipids</w:t>
      </w:r>
      <w:r w:rsidRPr="00A87399">
        <w:t>, the specifications are the following:</w:t>
      </w:r>
    </w:p>
    <w:p w14:paraId="4D8B04A3" w14:textId="77777777" w:rsidR="007E1372" w:rsidRPr="00A87399" w:rsidRDefault="007E1372" w:rsidP="007E1372">
      <w:pPr>
        <w:pStyle w:val="FSCtPara"/>
      </w:pPr>
      <w:r w:rsidRPr="00A87399">
        <w:tab/>
        <w:t>(a)</w:t>
      </w:r>
      <w:r w:rsidRPr="00A87399">
        <w:tab/>
        <w:t>CAS number—2205009-17-0;</w:t>
      </w:r>
    </w:p>
    <w:p w14:paraId="4D8B04A4" w14:textId="77777777" w:rsidR="007E1372" w:rsidRPr="00A87399" w:rsidRDefault="007E1372" w:rsidP="007E1372">
      <w:pPr>
        <w:pStyle w:val="FSCtPara"/>
      </w:pPr>
      <w:r w:rsidRPr="00A87399">
        <w:tab/>
        <w:t>(b)</w:t>
      </w:r>
      <w:r w:rsidRPr="00A87399">
        <w:tab/>
        <w:t xml:space="preserve">chemical structure—a mixture of long-chain glycolipids obtained from the fermentation and filtration of the non-GMO </w:t>
      </w:r>
      <w:r w:rsidRPr="00A87399">
        <w:rPr>
          <w:i/>
        </w:rPr>
        <w:t>Dacryopinax spathularia</w:t>
      </w:r>
      <w:r w:rsidRPr="00A87399">
        <w:t xml:space="preserve"> strain MUCL 53181;</w:t>
      </w:r>
    </w:p>
    <w:p w14:paraId="4D8B04A5" w14:textId="77777777" w:rsidR="007E1372" w:rsidRPr="00A87399" w:rsidRDefault="007E1372" w:rsidP="007E1372">
      <w:pPr>
        <w:pStyle w:val="FSCtPara"/>
      </w:pPr>
      <w:r w:rsidRPr="00A87399">
        <w:tab/>
        <w:t>(c)</w:t>
      </w:r>
      <w:r w:rsidRPr="00A87399">
        <w:tab/>
        <w:t>description—off-white to ivory powder;</w:t>
      </w:r>
    </w:p>
    <w:p w14:paraId="4D8B04A6" w14:textId="77777777" w:rsidR="007E1372" w:rsidRPr="00A87399" w:rsidRDefault="007E1372" w:rsidP="007E1372">
      <w:pPr>
        <w:pStyle w:val="FSCtPara"/>
      </w:pPr>
      <w:r w:rsidRPr="00A87399">
        <w:tab/>
        <w:t>(d)</w:t>
      </w:r>
      <w:r w:rsidRPr="00A87399">
        <w:tab/>
        <w:t>pH—between 5.0 and 7.0 (1% aqueous solution);</w:t>
      </w:r>
    </w:p>
    <w:p w14:paraId="4D8B04A7" w14:textId="77777777" w:rsidR="007E1372" w:rsidRPr="00A87399" w:rsidRDefault="007E1372" w:rsidP="007E1372">
      <w:pPr>
        <w:pStyle w:val="FSCtPara"/>
      </w:pPr>
      <w:r w:rsidRPr="00A87399">
        <w:tab/>
        <w:t>(e)</w:t>
      </w:r>
      <w:r w:rsidRPr="00A87399">
        <w:tab/>
        <w:t>water—less than 5%;</w:t>
      </w:r>
    </w:p>
    <w:p w14:paraId="4D8B04A8" w14:textId="77777777" w:rsidR="007E1372" w:rsidRPr="00A87399" w:rsidRDefault="007E1372" w:rsidP="007E1372">
      <w:pPr>
        <w:pStyle w:val="FSCtPara"/>
      </w:pPr>
      <w:r w:rsidRPr="00A87399">
        <w:tab/>
        <w:t>(f)</w:t>
      </w:r>
      <w:r w:rsidRPr="00A87399">
        <w:tab/>
        <w:t>protein—less than 3%;</w:t>
      </w:r>
    </w:p>
    <w:p w14:paraId="4D8B04A9" w14:textId="77777777" w:rsidR="007E1372" w:rsidRPr="00A87399" w:rsidRDefault="007E1372" w:rsidP="007E1372">
      <w:pPr>
        <w:pStyle w:val="FSCtPara"/>
      </w:pPr>
      <w:r w:rsidRPr="00A87399">
        <w:tab/>
        <w:t>(g)</w:t>
      </w:r>
      <w:r w:rsidRPr="00A87399">
        <w:tab/>
        <w:t>fat—less than 2%;</w:t>
      </w:r>
    </w:p>
    <w:p w14:paraId="4D8B04AA" w14:textId="77777777" w:rsidR="007E1372" w:rsidRPr="00A87399" w:rsidRDefault="007E1372" w:rsidP="007E1372">
      <w:pPr>
        <w:pStyle w:val="FSCtPara"/>
      </w:pPr>
      <w:r w:rsidRPr="00A87399">
        <w:tab/>
        <w:t>(h)</w:t>
      </w:r>
      <w:r w:rsidRPr="00A87399">
        <w:tab/>
        <w:t>total glycolipid content on a dry weight basis for the powder—no less than 93%;</w:t>
      </w:r>
    </w:p>
    <w:p w14:paraId="4D8B04AB" w14:textId="77777777" w:rsidR="007E1372" w:rsidRPr="00A87399" w:rsidRDefault="007E1372" w:rsidP="007E1372">
      <w:pPr>
        <w:pStyle w:val="FSCtPara"/>
      </w:pPr>
      <w:r w:rsidRPr="00A87399">
        <w:tab/>
        <w:t>(i)</w:t>
      </w:r>
      <w:r w:rsidRPr="00A87399">
        <w:tab/>
        <w:t>lead—not more than 2 mg/kg;</w:t>
      </w:r>
    </w:p>
    <w:p w14:paraId="4D8B04AC" w14:textId="77777777" w:rsidR="007E1372" w:rsidRPr="00A87399" w:rsidRDefault="007E1372" w:rsidP="007E1372">
      <w:pPr>
        <w:pStyle w:val="FSCtPara"/>
      </w:pPr>
      <w:r w:rsidRPr="00A87399">
        <w:tab/>
        <w:t>(j)</w:t>
      </w:r>
      <w:r w:rsidRPr="00A87399">
        <w:tab/>
        <w:t>arsenic—not more than 1 mg/kg;</w:t>
      </w:r>
    </w:p>
    <w:p w14:paraId="4D8B04AD" w14:textId="77777777" w:rsidR="007E1372" w:rsidRPr="00A87399" w:rsidRDefault="007E1372" w:rsidP="007E1372">
      <w:pPr>
        <w:pStyle w:val="FSCtPara"/>
      </w:pPr>
      <w:r w:rsidRPr="00A87399">
        <w:tab/>
        <w:t>(k)</w:t>
      </w:r>
      <w:r w:rsidRPr="00A87399">
        <w:tab/>
        <w:t>cadmium— not more than 1 mg/kg;</w:t>
      </w:r>
    </w:p>
    <w:p w14:paraId="4D8B04AE" w14:textId="77777777" w:rsidR="007E1372" w:rsidRPr="00A87399" w:rsidRDefault="007E1372" w:rsidP="007E1372">
      <w:pPr>
        <w:pStyle w:val="FSCtPara"/>
      </w:pPr>
      <w:r w:rsidRPr="00A87399">
        <w:tab/>
        <w:t>(l)</w:t>
      </w:r>
      <w:r w:rsidRPr="00A87399">
        <w:tab/>
        <w:t>mercury— not more than 1 mg/kg;</w:t>
      </w:r>
    </w:p>
    <w:p w14:paraId="4D8B04AF" w14:textId="77777777" w:rsidR="007E1372" w:rsidRPr="00A87399" w:rsidRDefault="007E1372" w:rsidP="007E1372">
      <w:pPr>
        <w:pStyle w:val="FSCtPara"/>
      </w:pPr>
      <w:r w:rsidRPr="00A87399">
        <w:tab/>
        <w:t>(m)</w:t>
      </w:r>
      <w:r w:rsidRPr="00A87399">
        <w:tab/>
      </w:r>
      <w:r w:rsidRPr="00A87399">
        <w:rPr>
          <w:rFonts w:eastAsia="Calibri"/>
          <w:szCs w:val="20"/>
          <w:lang w:val="en-AU"/>
        </w:rPr>
        <w:t>microbial limits</w:t>
      </w:r>
      <w:r w:rsidRPr="00A87399">
        <w:t>:</w:t>
      </w:r>
    </w:p>
    <w:p w14:paraId="4D8B04B0" w14:textId="77777777" w:rsidR="007E1372" w:rsidRPr="00A87399" w:rsidRDefault="007E1372" w:rsidP="007E1372">
      <w:pPr>
        <w:pStyle w:val="FSCtSubpara"/>
      </w:pPr>
      <w:r w:rsidRPr="00A87399">
        <w:tab/>
        <w:t>(i)</w:t>
      </w:r>
      <w:r w:rsidRPr="00A87399">
        <w:tab/>
        <w:t>total aerobic microbial count—not more than 100 cfu/g;</w:t>
      </w:r>
    </w:p>
    <w:p w14:paraId="4D8B04B1" w14:textId="77777777" w:rsidR="007E1372" w:rsidRPr="00A87399" w:rsidRDefault="007E1372" w:rsidP="007E1372">
      <w:pPr>
        <w:pStyle w:val="FSCtSubpara"/>
      </w:pPr>
      <w:r w:rsidRPr="00A87399">
        <w:tab/>
        <w:t>(ii)</w:t>
      </w:r>
      <w:r w:rsidRPr="00A87399">
        <w:tab/>
        <w:t>total yeast and mould count—not more than 10 cfu/g;</w:t>
      </w:r>
    </w:p>
    <w:p w14:paraId="4D8B04B2" w14:textId="77777777" w:rsidR="007E1372" w:rsidRPr="00A87399" w:rsidRDefault="007E1372" w:rsidP="007E1372">
      <w:pPr>
        <w:pStyle w:val="FSCtSubpara"/>
      </w:pPr>
      <w:r w:rsidRPr="00A87399">
        <w:tab/>
        <w:t>(iii)</w:t>
      </w:r>
      <w:r w:rsidRPr="00A87399">
        <w:tab/>
        <w:t>coliforms—not more than 3 MPN/g;</w:t>
      </w:r>
    </w:p>
    <w:p w14:paraId="4D8B04B3" w14:textId="77777777" w:rsidR="007E1372" w:rsidRPr="00A87399" w:rsidRDefault="007E1372" w:rsidP="007E1372">
      <w:pPr>
        <w:pStyle w:val="FSCtSubpara"/>
      </w:pPr>
      <w:r w:rsidRPr="00A87399">
        <w:tab/>
        <w:t>(iv)</w:t>
      </w:r>
      <w:r w:rsidRPr="00A87399">
        <w:tab/>
      </w:r>
      <w:r w:rsidRPr="00A87399">
        <w:rPr>
          <w:i/>
        </w:rPr>
        <w:t>Escherichia coli</w:t>
      </w:r>
      <w:r w:rsidRPr="00A87399">
        <w:t>—not more than 3 MPN/g.</w:t>
      </w:r>
    </w:p>
    <w:p w14:paraId="4D8B04B4" w14:textId="77777777" w:rsidR="007E1372" w:rsidRPr="00A87399" w:rsidRDefault="007E1372" w:rsidP="007E1372">
      <w:pPr>
        <w:pStyle w:val="FSCDraftingitem"/>
        <w:rPr>
          <w:rFonts w:cs="Arial"/>
          <w:b/>
          <w:lang w:bidi="en-US"/>
        </w:rPr>
      </w:pPr>
      <w:r w:rsidRPr="00A87399">
        <w:rPr>
          <w:rFonts w:cs="Arial"/>
          <w:b/>
          <w:lang w:bidi="en-US"/>
        </w:rPr>
        <w:t>[3]</w:t>
      </w:r>
      <w:r w:rsidRPr="00A87399">
        <w:rPr>
          <w:rFonts w:cs="Arial"/>
          <w:b/>
          <w:lang w:bidi="en-US"/>
        </w:rPr>
        <w:tab/>
        <w:t>Schedule 8</w:t>
      </w:r>
      <w:r w:rsidRPr="00A87399">
        <w:rPr>
          <w:rFonts w:cs="Arial"/>
          <w:lang w:bidi="en-US"/>
        </w:rPr>
        <w:t xml:space="preserve"> is varied by</w:t>
      </w:r>
    </w:p>
    <w:p w14:paraId="4D8B04B5" w14:textId="77777777" w:rsidR="007E1372" w:rsidRPr="00A87399" w:rsidRDefault="007E1372" w:rsidP="007E1372">
      <w:pPr>
        <w:pStyle w:val="FSCDraftingitem"/>
        <w:rPr>
          <w:rFonts w:cs="Arial"/>
          <w:b/>
          <w:lang w:bidi="en-US"/>
        </w:rPr>
      </w:pPr>
      <w:r w:rsidRPr="00A87399">
        <w:rPr>
          <w:rFonts w:cs="Arial"/>
          <w:lang w:bidi="en-US"/>
        </w:rPr>
        <w:t>[3.1]</w:t>
      </w:r>
      <w:r w:rsidRPr="00A87399">
        <w:rPr>
          <w:rFonts w:cs="Arial"/>
          <w:b/>
          <w:lang w:bidi="en-US"/>
        </w:rPr>
        <w:tab/>
      </w:r>
      <w:r w:rsidRPr="00A87399">
        <w:rPr>
          <w:rFonts w:cs="Arial"/>
          <w:lang w:bidi="en-US"/>
        </w:rPr>
        <w:t>inserting in the table to section S8—2 entitled ‘Food additive names—alphabetical listing’, in alphabetical order</w:t>
      </w:r>
    </w:p>
    <w:tbl>
      <w:tblPr>
        <w:tblStyle w:val="TableGrid2"/>
        <w:tblW w:w="4422" w:type="dxa"/>
        <w:tblInd w:w="0" w:type="dxa"/>
        <w:tblLook w:val="04A0" w:firstRow="1" w:lastRow="0" w:firstColumn="1" w:lastColumn="0" w:noHBand="0" w:noVBand="1"/>
      </w:tblPr>
      <w:tblGrid>
        <w:gridCol w:w="3402"/>
        <w:gridCol w:w="1020"/>
      </w:tblGrid>
      <w:tr w:rsidR="007E1372" w:rsidRPr="00A87399" w14:paraId="4D8B04B8" w14:textId="77777777" w:rsidTr="00197861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B04B6" w14:textId="77777777" w:rsidR="007E1372" w:rsidRPr="00A87399" w:rsidRDefault="007E1372" w:rsidP="00197861">
            <w:pPr>
              <w:pStyle w:val="FSCtblMain"/>
              <w:rPr>
                <w:lang w:eastAsia="en-US"/>
              </w:rPr>
            </w:pPr>
            <w:r w:rsidRPr="00A87399">
              <w:rPr>
                <w:lang w:val="en-AU"/>
              </w:rPr>
              <w:t>Sweet osmanthus ear glycolipids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B04B7" w14:textId="77777777" w:rsidR="007E1372" w:rsidRPr="00A87399" w:rsidRDefault="007E1372" w:rsidP="00197861">
            <w:pPr>
              <w:pStyle w:val="FSCtblMain"/>
              <w:rPr>
                <w:lang w:eastAsia="en-US"/>
              </w:rPr>
            </w:pPr>
            <w:r w:rsidRPr="00A87399">
              <w:t>–</w:t>
            </w:r>
          </w:p>
        </w:tc>
      </w:tr>
    </w:tbl>
    <w:p w14:paraId="4D8B04B9" w14:textId="77777777" w:rsidR="007E1372" w:rsidRPr="00A87399" w:rsidRDefault="007E1372" w:rsidP="007E1372">
      <w:pPr>
        <w:pStyle w:val="FSCDraftingitem"/>
        <w:rPr>
          <w:rFonts w:cs="Arial"/>
          <w:b/>
          <w:lang w:bidi="en-US"/>
        </w:rPr>
      </w:pPr>
      <w:r w:rsidRPr="00A87399">
        <w:rPr>
          <w:rFonts w:cs="Arial"/>
          <w:lang w:bidi="en-US"/>
        </w:rPr>
        <w:t>[3.2]</w:t>
      </w:r>
      <w:r w:rsidRPr="00A87399">
        <w:rPr>
          <w:rFonts w:cs="Arial"/>
          <w:b/>
          <w:lang w:bidi="en-US"/>
        </w:rPr>
        <w:tab/>
      </w:r>
      <w:r w:rsidRPr="00A87399">
        <w:rPr>
          <w:rFonts w:cs="Arial"/>
          <w:lang w:bidi="en-US"/>
        </w:rPr>
        <w:t>inserting in the table to section S8—2 entitled ‘Food additive names—numerical listing’, after the entry for</w:t>
      </w:r>
      <w:r w:rsidRPr="00A87399">
        <w:rPr>
          <w:rFonts w:cs="Arial"/>
          <w:b/>
          <w:lang w:bidi="en-US"/>
        </w:rPr>
        <w:t xml:space="preserve"> ‘</w:t>
      </w:r>
      <w:r w:rsidRPr="00A87399">
        <w:rPr>
          <w:rFonts w:cs="Arial"/>
        </w:rPr>
        <w:t>Sodium hydrosulphite</w:t>
      </w:r>
      <w:r w:rsidRPr="00A87399">
        <w:rPr>
          <w:rFonts w:cs="Arial"/>
          <w:b/>
          <w:lang w:bidi="en-US"/>
        </w:rPr>
        <w:t>’</w:t>
      </w:r>
    </w:p>
    <w:tbl>
      <w:tblPr>
        <w:tblStyle w:val="TableGrid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3402"/>
      </w:tblGrid>
      <w:tr w:rsidR="007E1372" w:rsidRPr="00A87399" w14:paraId="4D8B04BC" w14:textId="77777777" w:rsidTr="00197861">
        <w:trPr>
          <w:cantSplit/>
        </w:trPr>
        <w:tc>
          <w:tcPr>
            <w:tcW w:w="1020" w:type="dxa"/>
            <w:hideMark/>
          </w:tcPr>
          <w:p w14:paraId="4D8B04BA" w14:textId="77777777" w:rsidR="007E1372" w:rsidRPr="00A87399" w:rsidRDefault="007E1372" w:rsidP="00197861">
            <w:pPr>
              <w:pStyle w:val="FSCtblMain"/>
              <w:rPr>
                <w:rFonts w:ascii="Arial" w:hAnsi="Arial"/>
              </w:rPr>
            </w:pPr>
            <w:r w:rsidRPr="00A87399">
              <w:rPr>
                <w:rFonts w:ascii="Arial" w:hAnsi="Arial"/>
              </w:rPr>
              <w:t>–</w:t>
            </w:r>
          </w:p>
        </w:tc>
        <w:tc>
          <w:tcPr>
            <w:tcW w:w="3402" w:type="dxa"/>
            <w:hideMark/>
          </w:tcPr>
          <w:p w14:paraId="4D8B04BB" w14:textId="77777777" w:rsidR="007E1372" w:rsidRPr="00A87399" w:rsidRDefault="007E1372" w:rsidP="00197861">
            <w:pPr>
              <w:pStyle w:val="FSCtblMain"/>
              <w:rPr>
                <w:rFonts w:ascii="Arial" w:hAnsi="Arial"/>
              </w:rPr>
            </w:pPr>
            <w:r w:rsidRPr="00A87399">
              <w:rPr>
                <w:rFonts w:ascii="Arial" w:hAnsi="Arial"/>
                <w:lang w:val="en-AU"/>
              </w:rPr>
              <w:t>Sweet osmanthus ear glycolipids</w:t>
            </w:r>
          </w:p>
        </w:tc>
      </w:tr>
    </w:tbl>
    <w:p w14:paraId="4D8B04BD" w14:textId="77777777" w:rsidR="007E1372" w:rsidRPr="00A87399" w:rsidRDefault="007E1372" w:rsidP="007E1372">
      <w:pPr>
        <w:pStyle w:val="FSCDraftingitemheading"/>
        <w:ind w:left="0" w:firstLine="0"/>
        <w:rPr>
          <w:rFonts w:cs="Arial"/>
          <w:lang w:bidi="en-US"/>
        </w:rPr>
      </w:pPr>
    </w:p>
    <w:p w14:paraId="4D8B04BE" w14:textId="77777777" w:rsidR="007E1372" w:rsidRPr="00A87399" w:rsidRDefault="007E1372" w:rsidP="007E1372">
      <w:pPr>
        <w:pStyle w:val="FSCDraftingitem"/>
        <w:rPr>
          <w:rFonts w:cs="Arial"/>
          <w:b/>
          <w:lang w:bidi="en-US"/>
        </w:rPr>
      </w:pPr>
      <w:r w:rsidRPr="00A87399">
        <w:rPr>
          <w:rFonts w:cs="Arial"/>
          <w:b/>
          <w:lang w:bidi="en-US"/>
        </w:rPr>
        <w:t>[4]</w:t>
      </w:r>
      <w:r w:rsidRPr="00A87399">
        <w:rPr>
          <w:rFonts w:cs="Arial"/>
          <w:b/>
          <w:lang w:bidi="en-US"/>
        </w:rPr>
        <w:tab/>
        <w:t>Schedule 15</w:t>
      </w:r>
      <w:r w:rsidRPr="00A87399">
        <w:rPr>
          <w:rFonts w:cs="Arial"/>
          <w:lang w:bidi="en-US"/>
        </w:rPr>
        <w:t xml:space="preserve"> is varied by</w:t>
      </w:r>
    </w:p>
    <w:p w14:paraId="4D8B04BF" w14:textId="77777777" w:rsidR="007E1372" w:rsidRPr="00A87399" w:rsidRDefault="007E1372" w:rsidP="007E1372">
      <w:pPr>
        <w:pStyle w:val="FSCDraftingitem"/>
        <w:rPr>
          <w:rFonts w:cs="Arial"/>
          <w:b/>
          <w:lang w:bidi="en-US"/>
        </w:rPr>
      </w:pPr>
      <w:r w:rsidRPr="00A87399">
        <w:rPr>
          <w:rFonts w:cs="Arial"/>
          <w:lang w:bidi="en-US"/>
        </w:rPr>
        <w:t>[4.1]</w:t>
      </w:r>
      <w:r w:rsidRPr="00A87399">
        <w:rPr>
          <w:rFonts w:cs="Arial"/>
          <w:lang w:bidi="en-US"/>
        </w:rPr>
        <w:tab/>
        <w:t>inserting in item 14.1.2 of the table to section S15–5, after the heading ‘Fruit and vegetable juices and fruit and vegetable juice products’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7E1372" w:rsidRPr="00A87399" w14:paraId="4D8B04C4" w14:textId="77777777" w:rsidTr="00197861">
        <w:trPr>
          <w:cantSplit/>
        </w:trPr>
        <w:tc>
          <w:tcPr>
            <w:tcW w:w="1668" w:type="dxa"/>
          </w:tcPr>
          <w:p w14:paraId="4D8B04C0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</w:p>
        </w:tc>
        <w:tc>
          <w:tcPr>
            <w:tcW w:w="4252" w:type="dxa"/>
          </w:tcPr>
          <w:p w14:paraId="4D8B04C1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  <w:r w:rsidRPr="00A87399">
              <w:rPr>
                <w:rFonts w:ascii="Arial" w:hAnsi="Arial"/>
                <w:lang w:val="en-AU"/>
              </w:rPr>
              <w:t>Sweet osmanthus ear glycolipids</w:t>
            </w:r>
          </w:p>
        </w:tc>
        <w:tc>
          <w:tcPr>
            <w:tcW w:w="992" w:type="dxa"/>
          </w:tcPr>
          <w:p w14:paraId="4D8B04C2" w14:textId="77777777" w:rsidR="007E1372" w:rsidRPr="00A87399" w:rsidRDefault="007E1372" w:rsidP="00197861">
            <w:pPr>
              <w:pStyle w:val="FSCtblAdd2"/>
              <w:rPr>
                <w:rFonts w:ascii="Arial" w:hAnsi="Arial"/>
              </w:rPr>
            </w:pPr>
            <w:r w:rsidRPr="00A87399">
              <w:rPr>
                <w:rFonts w:ascii="Arial" w:hAnsi="Arial"/>
              </w:rPr>
              <w:t>100</w:t>
            </w:r>
          </w:p>
        </w:tc>
        <w:tc>
          <w:tcPr>
            <w:tcW w:w="2160" w:type="dxa"/>
          </w:tcPr>
          <w:p w14:paraId="4D8B04C3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</w:p>
        </w:tc>
      </w:tr>
    </w:tbl>
    <w:p w14:paraId="4D8B04C5" w14:textId="77777777" w:rsidR="007E1372" w:rsidRPr="00A87399" w:rsidRDefault="007E1372" w:rsidP="007E1372">
      <w:pPr>
        <w:pStyle w:val="FSCDraftingitem"/>
        <w:rPr>
          <w:rFonts w:cs="Arial"/>
          <w:b/>
          <w:lang w:bidi="en-US"/>
        </w:rPr>
      </w:pPr>
      <w:r w:rsidRPr="00A87399">
        <w:rPr>
          <w:rFonts w:cs="Arial"/>
          <w:lang w:bidi="en-US"/>
        </w:rPr>
        <w:t>[4.2]</w:t>
      </w:r>
      <w:r w:rsidRPr="00A87399">
        <w:rPr>
          <w:rFonts w:cs="Arial"/>
          <w:lang w:bidi="en-US"/>
        </w:rPr>
        <w:tab/>
        <w:t>inserting in item 14.1.3 of the table to section S15–5, after the entry for ‘</w:t>
      </w:r>
      <w:r w:rsidRPr="00A87399">
        <w:rPr>
          <w:rFonts w:cs="Arial"/>
        </w:rPr>
        <w:t>Quinine</w:t>
      </w:r>
      <w:r w:rsidRPr="00A87399">
        <w:rPr>
          <w:rFonts w:cs="Arial"/>
          <w:lang w:bidi="en-US"/>
        </w:rPr>
        <w:t>’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7E1372" w:rsidRPr="00A87399" w14:paraId="4D8B04CA" w14:textId="77777777" w:rsidTr="00197861">
        <w:trPr>
          <w:cantSplit/>
        </w:trPr>
        <w:tc>
          <w:tcPr>
            <w:tcW w:w="1668" w:type="dxa"/>
          </w:tcPr>
          <w:p w14:paraId="4D8B04C6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</w:p>
        </w:tc>
        <w:tc>
          <w:tcPr>
            <w:tcW w:w="4252" w:type="dxa"/>
          </w:tcPr>
          <w:p w14:paraId="4D8B04C7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  <w:r w:rsidRPr="00A87399">
              <w:rPr>
                <w:rFonts w:ascii="Arial" w:hAnsi="Arial"/>
                <w:lang w:val="en-AU"/>
              </w:rPr>
              <w:t>Sweet osmanthus ear glycolipids</w:t>
            </w:r>
          </w:p>
        </w:tc>
        <w:tc>
          <w:tcPr>
            <w:tcW w:w="992" w:type="dxa"/>
          </w:tcPr>
          <w:p w14:paraId="4D8B04C8" w14:textId="77777777" w:rsidR="007E1372" w:rsidRPr="00A87399" w:rsidRDefault="007E1372" w:rsidP="00197861">
            <w:pPr>
              <w:pStyle w:val="FSCtblAdd2"/>
              <w:rPr>
                <w:rFonts w:ascii="Arial" w:hAnsi="Arial"/>
              </w:rPr>
            </w:pPr>
            <w:r w:rsidRPr="00A87399">
              <w:rPr>
                <w:rFonts w:ascii="Arial" w:hAnsi="Arial"/>
              </w:rPr>
              <w:t>50</w:t>
            </w:r>
          </w:p>
        </w:tc>
        <w:tc>
          <w:tcPr>
            <w:tcW w:w="2160" w:type="dxa"/>
          </w:tcPr>
          <w:p w14:paraId="4D8B04C9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</w:p>
        </w:tc>
      </w:tr>
    </w:tbl>
    <w:p w14:paraId="4D8B04CB" w14:textId="77777777" w:rsidR="007E1372" w:rsidRPr="00A87399" w:rsidRDefault="007E1372" w:rsidP="007E1372">
      <w:pPr>
        <w:pStyle w:val="FSCDraftingitem"/>
        <w:rPr>
          <w:rFonts w:cs="Arial"/>
          <w:b/>
          <w:lang w:bidi="en-US"/>
        </w:rPr>
      </w:pPr>
      <w:r w:rsidRPr="00A87399">
        <w:rPr>
          <w:rFonts w:cs="Arial"/>
          <w:lang w:bidi="en-US"/>
        </w:rPr>
        <w:t>[4.3]</w:t>
      </w:r>
      <w:r w:rsidRPr="00A87399">
        <w:rPr>
          <w:rFonts w:cs="Arial"/>
          <w:lang w:bidi="en-US"/>
        </w:rPr>
        <w:tab/>
        <w:t>inserting in item 14.1.4 of the table to section S15–5, after the entry for ‘</w:t>
      </w:r>
      <w:r w:rsidRPr="00A87399">
        <w:rPr>
          <w:rFonts w:cs="Arial"/>
        </w:rPr>
        <w:t>Monk fruit extract (luo han guo extract)</w:t>
      </w:r>
      <w:r w:rsidRPr="00A87399">
        <w:rPr>
          <w:rFonts w:cs="Arial"/>
          <w:lang w:bidi="en-US"/>
        </w:rPr>
        <w:t>’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7E1372" w:rsidRPr="00A87399" w14:paraId="4D8B04D0" w14:textId="77777777" w:rsidTr="00197861">
        <w:trPr>
          <w:cantSplit/>
        </w:trPr>
        <w:tc>
          <w:tcPr>
            <w:tcW w:w="1668" w:type="dxa"/>
          </w:tcPr>
          <w:p w14:paraId="4D8B04CC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</w:p>
        </w:tc>
        <w:tc>
          <w:tcPr>
            <w:tcW w:w="4252" w:type="dxa"/>
          </w:tcPr>
          <w:p w14:paraId="4D8B04CD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  <w:r w:rsidRPr="00A87399">
              <w:rPr>
                <w:rFonts w:ascii="Arial" w:hAnsi="Arial"/>
                <w:lang w:val="en-AU"/>
              </w:rPr>
              <w:t>Sweet osmanthus ear glycolipids</w:t>
            </w:r>
          </w:p>
        </w:tc>
        <w:tc>
          <w:tcPr>
            <w:tcW w:w="992" w:type="dxa"/>
          </w:tcPr>
          <w:p w14:paraId="4D8B04CE" w14:textId="77777777" w:rsidR="007E1372" w:rsidRPr="00A87399" w:rsidRDefault="007E1372" w:rsidP="00197861">
            <w:pPr>
              <w:pStyle w:val="FSCtblAdd2"/>
              <w:rPr>
                <w:rFonts w:ascii="Arial" w:hAnsi="Arial"/>
              </w:rPr>
            </w:pPr>
            <w:r w:rsidRPr="00A87399">
              <w:rPr>
                <w:rFonts w:ascii="Arial" w:hAnsi="Arial"/>
              </w:rPr>
              <w:t>20</w:t>
            </w:r>
          </w:p>
        </w:tc>
        <w:tc>
          <w:tcPr>
            <w:tcW w:w="2160" w:type="dxa"/>
          </w:tcPr>
          <w:p w14:paraId="4D8B04CF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</w:p>
        </w:tc>
      </w:tr>
    </w:tbl>
    <w:p w14:paraId="4D8B04D1" w14:textId="77777777" w:rsidR="007E1372" w:rsidRPr="00A87399" w:rsidRDefault="007E1372" w:rsidP="007E1372">
      <w:pPr>
        <w:pStyle w:val="FSCDraftingitem"/>
        <w:rPr>
          <w:rFonts w:cs="Arial"/>
          <w:b/>
          <w:lang w:bidi="en-US"/>
        </w:rPr>
      </w:pPr>
      <w:r w:rsidRPr="00A87399">
        <w:rPr>
          <w:rFonts w:cs="Arial"/>
          <w:lang w:bidi="en-US"/>
        </w:rPr>
        <w:t>[4.4]</w:t>
      </w:r>
      <w:r w:rsidRPr="00A87399">
        <w:rPr>
          <w:rFonts w:cs="Arial"/>
          <w:lang w:bidi="en-US"/>
        </w:rPr>
        <w:tab/>
        <w:t>inserting in item 14.1.5 of the table to section S15–5, after the entry for ‘Additives permitted at GMP’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7E1372" w:rsidRPr="00A87399" w14:paraId="4D8B04D6" w14:textId="77777777" w:rsidTr="00197861">
        <w:trPr>
          <w:cantSplit/>
        </w:trPr>
        <w:tc>
          <w:tcPr>
            <w:tcW w:w="1668" w:type="dxa"/>
          </w:tcPr>
          <w:p w14:paraId="4D8B04D2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</w:p>
        </w:tc>
        <w:tc>
          <w:tcPr>
            <w:tcW w:w="4252" w:type="dxa"/>
          </w:tcPr>
          <w:p w14:paraId="4D8B04D3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  <w:r w:rsidRPr="00A87399">
              <w:rPr>
                <w:rFonts w:ascii="Arial" w:hAnsi="Arial"/>
                <w:lang w:val="en-AU"/>
              </w:rPr>
              <w:t>Sweet osmanthus ear glycolipids</w:t>
            </w:r>
          </w:p>
        </w:tc>
        <w:tc>
          <w:tcPr>
            <w:tcW w:w="992" w:type="dxa"/>
          </w:tcPr>
          <w:p w14:paraId="4D8B04D4" w14:textId="77777777" w:rsidR="007E1372" w:rsidRPr="00A87399" w:rsidRDefault="007E1372" w:rsidP="00197861">
            <w:pPr>
              <w:pStyle w:val="FSCtblAdd2"/>
              <w:rPr>
                <w:rFonts w:ascii="Arial" w:hAnsi="Arial"/>
              </w:rPr>
            </w:pPr>
            <w:r w:rsidRPr="00A87399">
              <w:rPr>
                <w:rFonts w:ascii="Arial" w:hAnsi="Arial"/>
              </w:rPr>
              <w:t>10</w:t>
            </w:r>
          </w:p>
        </w:tc>
        <w:tc>
          <w:tcPr>
            <w:tcW w:w="2160" w:type="dxa"/>
          </w:tcPr>
          <w:p w14:paraId="4D8B04D5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</w:p>
        </w:tc>
      </w:tr>
    </w:tbl>
    <w:p w14:paraId="4D8B04D7" w14:textId="77777777" w:rsidR="007E1372" w:rsidRPr="00A87399" w:rsidRDefault="007E1372" w:rsidP="007E1372">
      <w:pPr>
        <w:pStyle w:val="FSCDraftingitem"/>
        <w:rPr>
          <w:rFonts w:cs="Arial"/>
          <w:b/>
          <w:lang w:bidi="en-US"/>
        </w:rPr>
      </w:pPr>
      <w:r w:rsidRPr="00A87399">
        <w:rPr>
          <w:rFonts w:cs="Arial"/>
          <w:lang w:bidi="en-US"/>
        </w:rPr>
        <w:t>[4.5]</w:t>
      </w:r>
      <w:r w:rsidRPr="00A87399">
        <w:rPr>
          <w:rFonts w:cs="Arial"/>
          <w:lang w:bidi="en-US"/>
        </w:rPr>
        <w:tab/>
        <w:t>inserting in item 14.2.1 of the table to section S15–5, after the heading ‘Beer and related products’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7E1372" w:rsidRPr="00A87399" w14:paraId="4D8B04DC" w14:textId="77777777" w:rsidTr="00197861">
        <w:trPr>
          <w:cantSplit/>
        </w:trPr>
        <w:tc>
          <w:tcPr>
            <w:tcW w:w="1668" w:type="dxa"/>
          </w:tcPr>
          <w:p w14:paraId="4D8B04D8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</w:p>
        </w:tc>
        <w:tc>
          <w:tcPr>
            <w:tcW w:w="4252" w:type="dxa"/>
          </w:tcPr>
          <w:p w14:paraId="4D8B04D9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  <w:r w:rsidRPr="00A87399">
              <w:rPr>
                <w:rFonts w:ascii="Arial" w:hAnsi="Arial"/>
                <w:lang w:val="en-AU"/>
              </w:rPr>
              <w:t>Sweet osmanthus ear glycolipids</w:t>
            </w:r>
          </w:p>
        </w:tc>
        <w:tc>
          <w:tcPr>
            <w:tcW w:w="992" w:type="dxa"/>
          </w:tcPr>
          <w:p w14:paraId="4D8B04DA" w14:textId="77777777" w:rsidR="007E1372" w:rsidRPr="00A87399" w:rsidRDefault="007E1372" w:rsidP="00197861">
            <w:pPr>
              <w:pStyle w:val="FSCtblAdd2"/>
              <w:rPr>
                <w:rFonts w:ascii="Arial" w:hAnsi="Arial"/>
              </w:rPr>
            </w:pPr>
            <w:r w:rsidRPr="00A87399">
              <w:rPr>
                <w:rFonts w:ascii="Arial" w:hAnsi="Arial"/>
              </w:rPr>
              <w:t>100</w:t>
            </w:r>
          </w:p>
        </w:tc>
        <w:tc>
          <w:tcPr>
            <w:tcW w:w="2160" w:type="dxa"/>
          </w:tcPr>
          <w:p w14:paraId="4D8B04DB" w14:textId="77777777" w:rsidR="007E1372" w:rsidRPr="00A87399" w:rsidRDefault="007E1372" w:rsidP="00197861">
            <w:pPr>
              <w:pStyle w:val="FSCtblAdd1"/>
              <w:rPr>
                <w:rFonts w:ascii="Arial" w:hAnsi="Arial"/>
              </w:rPr>
            </w:pPr>
            <w:r w:rsidRPr="00A87399">
              <w:rPr>
                <w:rFonts w:ascii="Arial" w:hAnsi="Arial"/>
              </w:rPr>
              <w:t>Only beer where the alcohol has been removed</w:t>
            </w:r>
          </w:p>
        </w:tc>
      </w:tr>
    </w:tbl>
    <w:p w14:paraId="4D8B04DD" w14:textId="77777777" w:rsidR="007E1372" w:rsidRPr="00A87399" w:rsidRDefault="007E1372" w:rsidP="007E1372">
      <w:pPr>
        <w:rPr>
          <w:rFonts w:cs="Arial"/>
          <w:noProof/>
          <w:color w:val="000000" w:themeColor="text1"/>
          <w:sz w:val="20"/>
          <w:lang w:val="en-AU" w:eastAsia="en-AU"/>
        </w:rPr>
      </w:pPr>
    </w:p>
    <w:p w14:paraId="4D8B04DE" w14:textId="77777777" w:rsidR="007E1372" w:rsidRPr="00A87399" w:rsidRDefault="007E1372" w:rsidP="007E1372">
      <w:pPr>
        <w:rPr>
          <w:rFonts w:cs="Arial"/>
          <w:noProof/>
          <w:color w:val="000000" w:themeColor="text1"/>
          <w:sz w:val="20"/>
          <w:lang w:val="en-AU" w:eastAsia="en-AU"/>
        </w:rPr>
      </w:pPr>
    </w:p>
    <w:p w14:paraId="4D8B04DF" w14:textId="77777777" w:rsidR="007E1372" w:rsidRPr="00A87399" w:rsidRDefault="007E1372" w:rsidP="007E1372">
      <w:pPr>
        <w:rPr>
          <w:rFonts w:cs="Arial"/>
          <w:noProof/>
          <w:color w:val="000000" w:themeColor="text1"/>
          <w:sz w:val="20"/>
          <w:lang w:val="en-AU" w:eastAsia="en-AU"/>
        </w:rPr>
      </w:pPr>
    </w:p>
    <w:p w14:paraId="4D8B04E0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1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2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3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4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5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6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7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8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9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A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B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C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D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E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EF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F0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F1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F2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F3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F4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F5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F6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F7" w14:textId="77777777" w:rsidR="007E1372" w:rsidRDefault="007E1372" w:rsidP="007E1372">
      <w:pPr>
        <w:rPr>
          <w:noProof/>
          <w:color w:val="000000" w:themeColor="text1"/>
          <w:sz w:val="20"/>
          <w:lang w:val="en-AU" w:eastAsia="en-AU"/>
        </w:rPr>
      </w:pPr>
    </w:p>
    <w:p w14:paraId="4D8B04F8" w14:textId="77777777" w:rsidR="00D5526B" w:rsidRPr="003A01FB" w:rsidRDefault="00D5526B" w:rsidP="003A01FB"/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96E5B" w14:textId="77777777" w:rsidR="00E37230" w:rsidRDefault="00E37230" w:rsidP="007E1372">
      <w:r>
        <w:separator/>
      </w:r>
    </w:p>
  </w:endnote>
  <w:endnote w:type="continuationSeparator" w:id="0">
    <w:p w14:paraId="5F4252E5" w14:textId="77777777" w:rsidR="00E37230" w:rsidRDefault="00E37230" w:rsidP="007E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C6DB6" w14:textId="77777777" w:rsidR="00E37230" w:rsidRDefault="00E37230" w:rsidP="007E1372">
      <w:r>
        <w:separator/>
      </w:r>
    </w:p>
  </w:footnote>
  <w:footnote w:type="continuationSeparator" w:id="0">
    <w:p w14:paraId="5478C330" w14:textId="77777777" w:rsidR="00E37230" w:rsidRDefault="00E37230" w:rsidP="007E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72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6642B"/>
    <w:rsid w:val="00382573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E1372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A87399"/>
    <w:rsid w:val="00B53154"/>
    <w:rsid w:val="00B72074"/>
    <w:rsid w:val="00BC2133"/>
    <w:rsid w:val="00BE4F3A"/>
    <w:rsid w:val="00BF0CCE"/>
    <w:rsid w:val="00C019A6"/>
    <w:rsid w:val="00C572A2"/>
    <w:rsid w:val="00C76901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37230"/>
    <w:rsid w:val="00E4001E"/>
    <w:rsid w:val="00E53ACA"/>
    <w:rsid w:val="00E9409E"/>
    <w:rsid w:val="00EC65E9"/>
    <w:rsid w:val="00F4105E"/>
    <w:rsid w:val="00F55B3E"/>
    <w:rsid w:val="00F616DA"/>
    <w:rsid w:val="00F76F95"/>
    <w:rsid w:val="00FC4197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B047A"/>
  <w15:chartTrackingRefBased/>
  <w15:docId w15:val="{F872D394-0EF5-4F16-A689-987B7CF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7E1372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styleId="TableGrid">
    <w:name w:val="Table Grid"/>
    <w:basedOn w:val="TableNormal"/>
    <w:rsid w:val="007E1372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locked/>
    <w:rsid w:val="007E1372"/>
    <w:pPr>
      <w:tabs>
        <w:tab w:val="left" w:pos="851"/>
      </w:tabs>
      <w:spacing w:before="120" w:after="120"/>
    </w:pPr>
    <w:rPr>
      <w:rFonts w:eastAsia="Times New Roman" w:cs="Times New Roman"/>
      <w:sz w:val="20"/>
      <w:szCs w:val="20"/>
    </w:rPr>
  </w:style>
  <w:style w:type="paragraph" w:customStyle="1" w:styleId="FSCDraftingitemheading">
    <w:name w:val="FSC_Drafting_item_heading"/>
    <w:basedOn w:val="Normal"/>
    <w:qFormat/>
    <w:locked/>
    <w:rsid w:val="007E1372"/>
    <w:pPr>
      <w:widowControl w:val="0"/>
      <w:spacing w:before="120" w:after="120"/>
      <w:ind w:left="851" w:hanging="851"/>
    </w:pPr>
    <w:rPr>
      <w:rFonts w:eastAsia="Times New Roman" w:cs="Times New Roman"/>
      <w:b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7E1372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SCtblMain">
    <w:name w:val="FSC_tbl_Main"/>
    <w:basedOn w:val="Normal"/>
    <w:rsid w:val="007E1372"/>
    <w:pPr>
      <w:keepLines/>
      <w:tabs>
        <w:tab w:val="right" w:pos="3969"/>
      </w:tabs>
      <w:spacing w:before="60" w:after="60"/>
    </w:pPr>
    <w:rPr>
      <w:rFonts w:eastAsia="Times New Roman" w:cs="Arial"/>
      <w:sz w:val="18"/>
      <w:szCs w:val="20"/>
      <w:lang w:eastAsia="en-AU"/>
    </w:rPr>
  </w:style>
  <w:style w:type="paragraph" w:customStyle="1" w:styleId="FSCh5Section">
    <w:name w:val="FSC_h5_Section"/>
    <w:basedOn w:val="Normal"/>
    <w:next w:val="Normal"/>
    <w:qFormat/>
    <w:rsid w:val="007E1372"/>
    <w:pPr>
      <w:keepNext/>
      <w:widowControl w:val="0"/>
      <w:spacing w:before="240" w:after="120"/>
      <w:ind w:left="1701" w:hanging="1701"/>
      <w:outlineLvl w:val="4"/>
    </w:pPr>
    <w:rPr>
      <w:rFonts w:eastAsia="Times New Roman" w:cs="Times New Roman"/>
      <w:b/>
      <w:bCs/>
      <w:kern w:val="32"/>
      <w:szCs w:val="24"/>
      <w:lang w:eastAsia="en-AU"/>
    </w:rPr>
  </w:style>
  <w:style w:type="paragraph" w:customStyle="1" w:styleId="FSCtMain">
    <w:name w:val="FSC_t_Main"/>
    <w:basedOn w:val="Normal"/>
    <w:rsid w:val="007E1372"/>
    <w:pPr>
      <w:widowControl w:val="0"/>
      <w:tabs>
        <w:tab w:val="left" w:pos="1134"/>
      </w:tabs>
      <w:spacing w:before="120" w:after="120"/>
      <w:ind w:left="1701" w:hanging="1701"/>
    </w:pPr>
    <w:rPr>
      <w:rFonts w:eastAsia="Times New Roman" w:cs="Arial"/>
      <w:iCs/>
      <w:sz w:val="20"/>
      <w:lang w:eastAsia="en-AU"/>
    </w:rPr>
  </w:style>
  <w:style w:type="paragraph" w:customStyle="1" w:styleId="FSCtPara">
    <w:name w:val="FSC_t_Para"/>
    <w:aliases w:val="t2_Para"/>
    <w:basedOn w:val="FSCtMain"/>
    <w:qFormat/>
    <w:rsid w:val="007E1372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basedOn w:val="FSCtMain"/>
    <w:qFormat/>
    <w:rsid w:val="007E1372"/>
    <w:pPr>
      <w:tabs>
        <w:tab w:val="clear" w:pos="1134"/>
        <w:tab w:val="left" w:pos="2268"/>
      </w:tabs>
      <w:spacing w:before="60" w:after="60"/>
      <w:ind w:left="2835" w:hanging="2835"/>
    </w:pPr>
  </w:style>
  <w:style w:type="table" w:customStyle="1" w:styleId="TableGrid1">
    <w:name w:val="Table Grid1"/>
    <w:basedOn w:val="TableNormal"/>
    <w:next w:val="TableGrid"/>
    <w:uiPriority w:val="59"/>
    <w:rsid w:val="007E1372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SCtblAdd1">
    <w:name w:val="FSC_tbl_Add1"/>
    <w:basedOn w:val="Normal"/>
    <w:qFormat/>
    <w:rsid w:val="007E1372"/>
    <w:pPr>
      <w:keepLines/>
      <w:spacing w:before="20" w:after="20"/>
    </w:pPr>
    <w:rPr>
      <w:rFonts w:cs="Arial"/>
      <w:sz w:val="18"/>
    </w:rPr>
  </w:style>
  <w:style w:type="paragraph" w:customStyle="1" w:styleId="FSCtblAdd2">
    <w:name w:val="FSC_tbl_Add2"/>
    <w:basedOn w:val="Normal"/>
    <w:qFormat/>
    <w:rsid w:val="007E1372"/>
    <w:pPr>
      <w:keepLines/>
      <w:spacing w:before="20" w:after="20"/>
      <w:jc w:val="right"/>
    </w:pPr>
    <w:rPr>
      <w:rFonts w:cs="Arial"/>
      <w:sz w:val="18"/>
    </w:rPr>
  </w:style>
  <w:style w:type="table" w:customStyle="1" w:styleId="TableGrid2">
    <w:name w:val="Table Grid2"/>
    <w:basedOn w:val="TableNormal"/>
    <w:next w:val="TableGrid"/>
    <w:uiPriority w:val="59"/>
    <w:rsid w:val="007E1372"/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40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43bd8487-b9f6-4055-946c-a118d364275d</TermId>
        </TermInfo>
      </Terms>
    </bd06d2da0152468b9236b575a71e0e7c>
    <_dlc_DocId xmlns="ff5de93e-c5e8-4efc-a1bd-21450292fcfe">X3VAMR3A5FUY-552-7895</_dlc_DocId>
    <_dlc_DocIdUrl xmlns="ff5de93e-c5e8-4efc-a1bd-21450292fcfe">
      <Url>http://teams/Sections/RAP/_layouts/15/DocIdRedir.aspx?ID=X3VAMR3A5FUY-552-7895</Url>
      <Description>X3VAMR3A5FUY-552-7895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40FB-CD13-4387-ADDD-1579A6292D9F}">
  <ds:schemaRefs>
    <ds:schemaRef ds:uri="http://schemas.microsoft.com/office/2006/metadata/properties"/>
    <ds:schemaRef ds:uri="http://schemas.microsoft.com/office/infopath/2007/PartnerControls"/>
    <ds:schemaRef ds:uri="ec50576e-4a27-4780-a1e1-e59563bc70b8"/>
    <ds:schemaRef ds:uri="ff5de93e-c5e8-4efc-a1bd-21450292fcfe"/>
  </ds:schemaRefs>
</ds:datastoreItem>
</file>

<file path=customXml/itemProps2.xml><?xml version="1.0" encoding="utf-8"?>
<ds:datastoreItem xmlns:ds="http://schemas.openxmlformats.org/officeDocument/2006/customXml" ds:itemID="{7ADDD5BD-3271-470C-826A-0720E658F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BEAEA-9BFE-4A00-839A-42495AD2BB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C699BA-5506-425F-BAF5-4A95FF9D864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7F5AC48-5C64-41AB-8FBB-2104406A8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F4C9BC-47D8-45DA-8CD6-CF5FC9EEA7B2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163EBDA0-5A2C-432F-B6AA-38375593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Tailee Vecchi</dc:creator>
  <cp:keywords/>
  <dc:description/>
  <cp:lastModifiedBy>RichaJ</cp:lastModifiedBy>
  <cp:revision>6</cp:revision>
  <dcterms:created xsi:type="dcterms:W3CDTF">2021-02-11T01:34:00Z</dcterms:created>
  <dcterms:modified xsi:type="dcterms:W3CDTF">2021-03-24T02:18:00Z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cb790eba-9b77-40a3-b9e0-5a8c1dfe4b1c</vt:lpwstr>
  </property>
  <property fmtid="{D5CDD505-2E9C-101B-9397-08002B2CF9AE}" pid="3" name="bjSaver">
    <vt:lpwstr>NIRxwK0u8rEaK3QvQc4OMTjVpAjSnRIZ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0x01010004C4C934AD08B647A78FCADD498BE3190200326A638932699E48A89F1995A4895C37</vt:lpwstr>
  </property>
  <property fmtid="{D5CDD505-2E9C-101B-9397-08002B2CF9AE}" pid="8" name="_dlc_DocIdItemGuid">
    <vt:lpwstr>b853619b-41d4-4ae9-add1-0c7021ea7b85</vt:lpwstr>
  </property>
  <property fmtid="{D5CDD505-2E9C-101B-9397-08002B2CF9AE}" pid="9" name="DisposalClass">
    <vt:lpwstr/>
  </property>
  <property fmtid="{D5CDD505-2E9C-101B-9397-08002B2CF9AE}" pid="10" name="BCS_">
    <vt:lpwstr>40;#Evaluation|43bd8487-b9f6-4055-946c-a118d364275d</vt:lpwstr>
  </property>
</Properties>
</file>