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3C8EF483" w:rsidR="002436BD" w:rsidRPr="00613F01" w:rsidRDefault="00E62E09" w:rsidP="001A2234">
      <w:pPr>
        <w:pStyle w:val="Heading"/>
        <w:spacing w:after="240"/>
        <w:jc w:val="center"/>
        <w:rPr>
          <w:rFonts w:ascii="Times New Roman" w:hAnsi="Times New Roman"/>
          <w:sz w:val="24"/>
          <w:szCs w:val="24"/>
        </w:rPr>
      </w:pPr>
      <w:bookmarkStart w:id="0" w:name="_GoBack"/>
      <w:bookmarkEnd w:id="0"/>
      <w:r w:rsidRPr="00613F01">
        <w:rPr>
          <w:rFonts w:ascii="Times New Roman" w:hAnsi="Times New Roman"/>
          <w:sz w:val="24"/>
          <w:szCs w:val="24"/>
        </w:rPr>
        <w:t>Financial Sector (Collection of Data) (reporting standard)</w:t>
      </w:r>
      <w:r w:rsidR="001A2ADB" w:rsidRPr="00613F01">
        <w:rPr>
          <w:rFonts w:ascii="Times New Roman" w:hAnsi="Times New Roman"/>
          <w:sz w:val="24"/>
          <w:szCs w:val="24"/>
        </w:rPr>
        <w:t xml:space="preserve"> </w:t>
      </w:r>
      <w:r w:rsidR="002436BD" w:rsidRPr="00613F01">
        <w:rPr>
          <w:rFonts w:ascii="Times New Roman" w:hAnsi="Times New Roman"/>
          <w:sz w:val="24"/>
          <w:szCs w:val="24"/>
        </w:rPr>
        <w:t xml:space="preserve">determination No. </w:t>
      </w:r>
      <w:r w:rsidR="00D91A3B">
        <w:rPr>
          <w:rFonts w:ascii="Times New Roman" w:hAnsi="Times New Roman"/>
          <w:sz w:val="24"/>
          <w:szCs w:val="24"/>
        </w:rPr>
        <w:t>8</w:t>
      </w:r>
      <w:r w:rsidR="00C02366" w:rsidRPr="00613F01">
        <w:rPr>
          <w:rFonts w:ascii="Times New Roman" w:hAnsi="Times New Roman"/>
          <w:sz w:val="24"/>
          <w:szCs w:val="24"/>
        </w:rPr>
        <w:t xml:space="preserve"> of 202</w:t>
      </w:r>
      <w:r w:rsidR="00FE5F57" w:rsidRPr="00613F01">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0EF642C2" w:rsidR="002436BD"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186BB53E" w14:textId="0F34A2F4" w:rsidR="00AF311B" w:rsidRPr="002C6D26" w:rsidRDefault="00AF311B" w:rsidP="001A2234">
      <w:pPr>
        <w:widowControl w:val="0"/>
        <w:spacing w:after="240"/>
        <w:jc w:val="both"/>
        <w:rPr>
          <w:rFonts w:ascii="Times New Roman" w:hAnsi="Times New Roman"/>
          <w:sz w:val="24"/>
          <w:szCs w:val="24"/>
        </w:rPr>
      </w:pPr>
      <w:r>
        <w:rPr>
          <w:rFonts w:ascii="Times New Roman" w:hAnsi="Times New Roman"/>
          <w:sz w:val="24"/>
          <w:szCs w:val="24"/>
        </w:rPr>
        <w:t xml:space="preserve">Subsection 15(1) of the Act provides that APRA may declare a day on and after which the reporting standards are to apply. </w:t>
      </w:r>
    </w:p>
    <w:p w14:paraId="647F3F2B" w14:textId="43397459" w:rsidR="00AC7A56" w:rsidRPr="00134D2D" w:rsidRDefault="00246723" w:rsidP="00FE5F57">
      <w:pPr>
        <w:spacing w:after="240"/>
        <w:jc w:val="both"/>
        <w:rPr>
          <w:rFonts w:ascii="Times New Roman" w:hAnsi="Times New Roman"/>
          <w:sz w:val="24"/>
          <w:szCs w:val="24"/>
        </w:rPr>
      </w:pPr>
      <w:r w:rsidRPr="00A811B4">
        <w:rPr>
          <w:rFonts w:ascii="Times New Roman" w:hAnsi="Times New Roman"/>
          <w:sz w:val="24"/>
          <w:szCs w:val="24"/>
        </w:rPr>
        <w:t xml:space="preserve">On </w:t>
      </w:r>
      <w:r w:rsidR="00A811B4" w:rsidRPr="00A811B4">
        <w:rPr>
          <w:rFonts w:ascii="Times New Roman" w:hAnsi="Times New Roman"/>
          <w:sz w:val="24"/>
          <w:szCs w:val="24"/>
        </w:rPr>
        <w:t>22</w:t>
      </w:r>
      <w:r w:rsidR="00C02366" w:rsidRPr="00A811B4">
        <w:rPr>
          <w:rFonts w:ascii="Times New Roman" w:hAnsi="Times New Roman"/>
          <w:sz w:val="24"/>
          <w:szCs w:val="24"/>
        </w:rPr>
        <w:t xml:space="preserve"> </w:t>
      </w:r>
      <w:r w:rsidR="00546DC7" w:rsidRPr="00A811B4">
        <w:rPr>
          <w:rFonts w:ascii="Times New Roman" w:hAnsi="Times New Roman"/>
          <w:sz w:val="24"/>
          <w:szCs w:val="24"/>
        </w:rPr>
        <w:t>March</w:t>
      </w:r>
      <w:r w:rsidR="00C02366" w:rsidRPr="00A811B4">
        <w:rPr>
          <w:rFonts w:ascii="Times New Roman" w:hAnsi="Times New Roman"/>
          <w:sz w:val="24"/>
          <w:szCs w:val="24"/>
        </w:rPr>
        <w:t xml:space="preserve"> 202</w:t>
      </w:r>
      <w:r w:rsidR="00FE5F57" w:rsidRPr="00A811B4">
        <w:rPr>
          <w:rFonts w:ascii="Times New Roman" w:hAnsi="Times New Roman"/>
          <w:sz w:val="24"/>
          <w:szCs w:val="24"/>
        </w:rPr>
        <w:t>1</w:t>
      </w:r>
      <w:r w:rsidRPr="00A811B4">
        <w:rPr>
          <w:rFonts w:ascii="Times New Roman" w:hAnsi="Times New Roman"/>
          <w:sz w:val="24"/>
          <w:szCs w:val="24"/>
        </w:rPr>
        <w:t>,</w:t>
      </w:r>
      <w:r w:rsidRPr="00246723">
        <w:rPr>
          <w:rFonts w:ascii="Times New Roman" w:hAnsi="Times New Roman"/>
          <w:sz w:val="24"/>
          <w:szCs w:val="24"/>
        </w:rPr>
        <w:t xml:space="preserve"> APRA made </w:t>
      </w:r>
      <w:r w:rsidR="000B14BD" w:rsidRPr="00134D2D">
        <w:rPr>
          <w:rFonts w:ascii="Times New Roman" w:hAnsi="Times New Roman"/>
          <w:sz w:val="24"/>
          <w:szCs w:val="24"/>
        </w:rPr>
        <w:t>Financial Sector (Collection of Data) (reportin</w:t>
      </w:r>
      <w:r w:rsidR="00736D41" w:rsidRPr="00134D2D">
        <w:rPr>
          <w:rFonts w:ascii="Times New Roman" w:hAnsi="Times New Roman"/>
          <w:sz w:val="24"/>
          <w:szCs w:val="24"/>
        </w:rPr>
        <w:t xml:space="preserve">g standard) determination No. </w:t>
      </w:r>
      <w:r w:rsidR="00D91A3B">
        <w:rPr>
          <w:rFonts w:ascii="Times New Roman" w:hAnsi="Times New Roman"/>
          <w:sz w:val="24"/>
          <w:szCs w:val="24"/>
        </w:rPr>
        <w:t>8</w:t>
      </w:r>
      <w:r w:rsidR="00736D41" w:rsidRPr="00134D2D">
        <w:rPr>
          <w:rFonts w:ascii="Times New Roman" w:hAnsi="Times New Roman"/>
          <w:sz w:val="24"/>
          <w:szCs w:val="24"/>
        </w:rPr>
        <w:t xml:space="preserve"> </w:t>
      </w:r>
      <w:r w:rsidR="000B14BD" w:rsidRPr="00134D2D">
        <w:rPr>
          <w:rFonts w:ascii="Times New Roman" w:hAnsi="Times New Roman"/>
          <w:sz w:val="24"/>
          <w:szCs w:val="24"/>
        </w:rPr>
        <w:t>of 20</w:t>
      </w:r>
      <w:r w:rsidR="00C02366" w:rsidRPr="00134D2D">
        <w:rPr>
          <w:rFonts w:ascii="Times New Roman" w:hAnsi="Times New Roman"/>
          <w:sz w:val="24"/>
          <w:szCs w:val="24"/>
        </w:rPr>
        <w:t>2</w:t>
      </w:r>
      <w:r w:rsidR="00FE5F57">
        <w:rPr>
          <w:rFonts w:ascii="Times New Roman" w:hAnsi="Times New Roman"/>
          <w:sz w:val="24"/>
          <w:szCs w:val="24"/>
        </w:rPr>
        <w:t>1</w:t>
      </w:r>
      <w:r w:rsidR="000B14BD" w:rsidRPr="00134D2D">
        <w:rPr>
          <w:rFonts w:ascii="Times New Roman" w:hAnsi="Times New Roman"/>
          <w:sz w:val="24"/>
          <w:szCs w:val="24"/>
        </w:rPr>
        <w:t xml:space="preserve"> </w:t>
      </w:r>
      <w:r w:rsidR="00340EED">
        <w:rPr>
          <w:rFonts w:ascii="Times New Roman" w:hAnsi="Times New Roman"/>
          <w:sz w:val="24"/>
          <w:szCs w:val="24"/>
        </w:rPr>
        <w:t xml:space="preserve">(the instrument) </w:t>
      </w:r>
      <w:r w:rsidR="000B14BD" w:rsidRPr="00134D2D">
        <w:rPr>
          <w:rFonts w:ascii="Times New Roman" w:hAnsi="Times New Roman"/>
          <w:sz w:val="24"/>
          <w:szCs w:val="24"/>
        </w:rPr>
        <w:t>which</w:t>
      </w:r>
      <w:r w:rsidR="00FE5F57">
        <w:rPr>
          <w:rFonts w:ascii="Times New Roman" w:hAnsi="Times New Roman"/>
          <w:sz w:val="24"/>
          <w:szCs w:val="24"/>
        </w:rPr>
        <w:t xml:space="preserve"> </w:t>
      </w:r>
      <w:r w:rsidR="00E373A0">
        <w:rPr>
          <w:rFonts w:ascii="Times New Roman" w:hAnsi="Times New Roman"/>
          <w:sz w:val="24"/>
          <w:szCs w:val="24"/>
        </w:rPr>
        <w:t>revokes</w:t>
      </w:r>
      <w:r w:rsidR="00E373A0" w:rsidRPr="00E373A0">
        <w:rPr>
          <w:rFonts w:ascii="Times New Roman" w:hAnsi="Times New Roman"/>
          <w:i/>
          <w:sz w:val="24"/>
          <w:szCs w:val="24"/>
        </w:rPr>
        <w:t xml:space="preserve"> </w:t>
      </w:r>
      <w:r w:rsidR="00E373A0" w:rsidRPr="00134D2D">
        <w:rPr>
          <w:rFonts w:ascii="Times New Roman" w:hAnsi="Times New Roman"/>
          <w:i/>
          <w:sz w:val="24"/>
          <w:szCs w:val="24"/>
        </w:rPr>
        <w:t xml:space="preserve">Reporting Standard </w:t>
      </w:r>
      <w:r w:rsidR="00E373A0">
        <w:rPr>
          <w:rFonts w:ascii="Times New Roman" w:hAnsi="Times New Roman"/>
          <w:i/>
          <w:sz w:val="24"/>
          <w:szCs w:val="24"/>
        </w:rPr>
        <w:t>ARS 210.0 Liquidity</w:t>
      </w:r>
      <w:r w:rsidR="00E373A0">
        <w:rPr>
          <w:rFonts w:ascii="Times New Roman" w:hAnsi="Times New Roman"/>
          <w:sz w:val="24"/>
          <w:szCs w:val="24"/>
        </w:rPr>
        <w:t xml:space="preserve"> </w:t>
      </w:r>
      <w:r w:rsidR="00B016BD">
        <w:rPr>
          <w:rFonts w:ascii="Times New Roman" w:hAnsi="Times New Roman"/>
          <w:sz w:val="24"/>
          <w:szCs w:val="24"/>
        </w:rPr>
        <w:t xml:space="preserve">(ARS 210.0) </w:t>
      </w:r>
      <w:r w:rsidR="00E373A0">
        <w:rPr>
          <w:rFonts w:ascii="Times New Roman" w:hAnsi="Times New Roman"/>
          <w:sz w:val="24"/>
          <w:szCs w:val="24"/>
        </w:rPr>
        <w:t xml:space="preserve">made under Financial Sector (Collection of Data) (reporting standard) determination No. 19 of 2017 and </w:t>
      </w:r>
      <w:r w:rsidR="000B14BD" w:rsidRPr="00134D2D">
        <w:rPr>
          <w:rFonts w:ascii="Times New Roman" w:hAnsi="Times New Roman"/>
          <w:sz w:val="24"/>
          <w:szCs w:val="24"/>
        </w:rPr>
        <w:t>determines</w:t>
      </w:r>
      <w:r w:rsidR="00B016BD">
        <w:rPr>
          <w:rFonts w:ascii="Times New Roman" w:hAnsi="Times New Roman"/>
          <w:sz w:val="24"/>
          <w:szCs w:val="24"/>
        </w:rPr>
        <w:t xml:space="preserve"> a new </w:t>
      </w:r>
      <w:r w:rsidR="00E7794E">
        <w:rPr>
          <w:rFonts w:ascii="Times New Roman" w:hAnsi="Times New Roman"/>
          <w:sz w:val="24"/>
          <w:szCs w:val="24"/>
        </w:rPr>
        <w:t xml:space="preserve">version of </w:t>
      </w:r>
      <w:r w:rsidR="00225D0F">
        <w:rPr>
          <w:rFonts w:ascii="Times New Roman" w:hAnsi="Times New Roman"/>
          <w:sz w:val="24"/>
          <w:szCs w:val="24"/>
        </w:rPr>
        <w:t>A</w:t>
      </w:r>
      <w:r w:rsidR="000B14BD" w:rsidRPr="00134D2D">
        <w:rPr>
          <w:rFonts w:ascii="Times New Roman" w:hAnsi="Times New Roman"/>
          <w:sz w:val="24"/>
          <w:szCs w:val="24"/>
        </w:rPr>
        <w:t>RS</w:t>
      </w:r>
      <w:r w:rsidR="00C02366" w:rsidRPr="00134D2D">
        <w:rPr>
          <w:rFonts w:ascii="Times New Roman" w:hAnsi="Times New Roman"/>
          <w:sz w:val="24"/>
          <w:szCs w:val="24"/>
        </w:rPr>
        <w:t> </w:t>
      </w:r>
      <w:r w:rsidR="00DC7AA8">
        <w:rPr>
          <w:rFonts w:ascii="Times New Roman" w:hAnsi="Times New Roman"/>
          <w:sz w:val="24"/>
          <w:szCs w:val="24"/>
        </w:rPr>
        <w:t>210</w:t>
      </w:r>
      <w:r w:rsidR="004F70BE" w:rsidRPr="00134D2D">
        <w:rPr>
          <w:rFonts w:ascii="Times New Roman" w:hAnsi="Times New Roman"/>
          <w:sz w:val="24"/>
          <w:szCs w:val="24"/>
        </w:rPr>
        <w:t>.0.</w:t>
      </w:r>
    </w:p>
    <w:p w14:paraId="00A7386E" w14:textId="73AA8FC5"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Pr>
          <w:rFonts w:ascii="Times New Roman" w:hAnsi="Times New Roman"/>
          <w:sz w:val="24"/>
          <w:szCs w:val="24"/>
        </w:rPr>
        <w:t xml:space="preserve"> </w:t>
      </w:r>
      <w:r w:rsidRPr="001C1E63">
        <w:rPr>
          <w:rFonts w:ascii="Times New Roman" w:hAnsi="Times New Roman"/>
          <w:sz w:val="24"/>
          <w:szCs w:val="24"/>
        </w:rPr>
        <w:t>commence</w:t>
      </w:r>
      <w:r w:rsidR="00FE5F57" w:rsidRPr="001C1E63">
        <w:rPr>
          <w:rFonts w:ascii="Times New Roman" w:hAnsi="Times New Roman"/>
          <w:sz w:val="24"/>
          <w:szCs w:val="24"/>
        </w:rPr>
        <w:t>s</w:t>
      </w:r>
      <w:r w:rsidRPr="001C1E63">
        <w:rPr>
          <w:rFonts w:ascii="Times New Roman" w:hAnsi="Times New Roman"/>
          <w:sz w:val="24"/>
          <w:szCs w:val="24"/>
        </w:rPr>
        <w:t xml:space="preserve"> on</w:t>
      </w:r>
      <w:r w:rsidR="00D50699" w:rsidRPr="001C1E63">
        <w:rPr>
          <w:rFonts w:ascii="Times New Roman" w:hAnsi="Times New Roman"/>
          <w:sz w:val="24"/>
          <w:szCs w:val="24"/>
        </w:rPr>
        <w:t xml:space="preserve"> </w:t>
      </w:r>
      <w:r w:rsidR="00DC6CAB">
        <w:rPr>
          <w:rFonts w:ascii="Times New Roman" w:hAnsi="Times New Roman"/>
          <w:sz w:val="24"/>
          <w:szCs w:val="24"/>
        </w:rPr>
        <w:t>1 April 2021</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0BF5900" w14:textId="77777777" w:rsidR="00A84938" w:rsidRDefault="00223A20" w:rsidP="00EA4BBA">
      <w:pPr>
        <w:spacing w:after="240"/>
        <w:ind w:right="113"/>
        <w:jc w:val="both"/>
        <w:rPr>
          <w:rFonts w:ascii="Times New Roman" w:hAnsi="Times New Roman"/>
          <w:sz w:val="24"/>
          <w:szCs w:val="24"/>
        </w:rPr>
      </w:pPr>
      <w:bookmarkStart w:id="4" w:name="bkBackground"/>
      <w:bookmarkEnd w:id="4"/>
      <w:r w:rsidRPr="00223A20">
        <w:rPr>
          <w:rFonts w:ascii="Times New Roman" w:hAnsi="Times New Roman"/>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p>
    <w:p w14:paraId="246C0951" w14:textId="46A72FB3" w:rsidR="00E46392" w:rsidRDefault="00A84938" w:rsidP="00EA4BBA">
      <w:pPr>
        <w:spacing w:after="240"/>
        <w:ind w:right="113"/>
        <w:jc w:val="both"/>
        <w:rPr>
          <w:rFonts w:ascii="Times New Roman" w:hAnsi="Times New Roman"/>
          <w:sz w:val="24"/>
        </w:rPr>
      </w:pPr>
      <w:r>
        <w:rPr>
          <w:rFonts w:ascii="Times New Roman" w:hAnsi="Times New Roman"/>
          <w:sz w:val="24"/>
          <w:szCs w:val="24"/>
        </w:rPr>
        <w:t>A</w:t>
      </w:r>
      <w:r w:rsidR="00223A20">
        <w:rPr>
          <w:rFonts w:ascii="Times New Roman" w:hAnsi="Times New Roman"/>
          <w:sz w:val="24"/>
          <w:szCs w:val="24"/>
        </w:rPr>
        <w:t>uthorised deposit-taking institutions (</w:t>
      </w:r>
      <w:r w:rsidR="00223A20" w:rsidRPr="00223A20">
        <w:rPr>
          <w:rFonts w:ascii="Times New Roman" w:hAnsi="Times New Roman"/>
          <w:sz w:val="24"/>
          <w:szCs w:val="24"/>
        </w:rPr>
        <w:t>ADIs</w:t>
      </w:r>
      <w:r w:rsidR="00223A20">
        <w:rPr>
          <w:rFonts w:ascii="Times New Roman" w:hAnsi="Times New Roman"/>
          <w:sz w:val="24"/>
          <w:szCs w:val="24"/>
        </w:rPr>
        <w:t>)</w:t>
      </w:r>
      <w:r w:rsidR="00223A20" w:rsidRPr="00223A20">
        <w:rPr>
          <w:rFonts w:ascii="Times New Roman" w:hAnsi="Times New Roman"/>
          <w:sz w:val="24"/>
          <w:szCs w:val="24"/>
        </w:rPr>
        <w:t xml:space="preserve"> </w:t>
      </w:r>
      <w:r w:rsidR="00EA4BBA" w:rsidRPr="00EA4BBA">
        <w:rPr>
          <w:rFonts w:ascii="Times New Roman" w:hAnsi="Times New Roman"/>
          <w:sz w:val="24"/>
          <w:szCs w:val="24"/>
        </w:rPr>
        <w:t>are currently required to report liquidity data to APRA</w:t>
      </w:r>
      <w:r w:rsidR="00E46392">
        <w:rPr>
          <w:rFonts w:ascii="Times New Roman" w:hAnsi="Times New Roman"/>
          <w:sz w:val="24"/>
          <w:szCs w:val="24"/>
        </w:rPr>
        <w:t xml:space="preserve"> under ARS 210.0</w:t>
      </w:r>
      <w:r w:rsidR="00EA4BBA" w:rsidRPr="00EA4BBA">
        <w:rPr>
          <w:rFonts w:ascii="Times New Roman" w:hAnsi="Times New Roman"/>
          <w:sz w:val="24"/>
          <w:szCs w:val="24"/>
        </w:rPr>
        <w:t xml:space="preserve"> for the purpose of supervision of liquidity risk. </w:t>
      </w:r>
      <w:r w:rsidR="00223A20" w:rsidRPr="00223A20">
        <w:rPr>
          <w:rFonts w:ascii="Times New Roman" w:hAnsi="Times New Roman"/>
          <w:sz w:val="24"/>
        </w:rPr>
        <w:t xml:space="preserve">ARS 210.0 contains </w:t>
      </w:r>
      <w:r w:rsidR="00223A20" w:rsidRPr="00223A20">
        <w:rPr>
          <w:rFonts w:ascii="Times New Roman" w:hAnsi="Times New Roman"/>
          <w:i/>
          <w:sz w:val="24"/>
        </w:rPr>
        <w:t>Reporting Form ARF 210.5 Daily Liquidity Report</w:t>
      </w:r>
      <w:r w:rsidR="00223A20" w:rsidRPr="00223A20">
        <w:rPr>
          <w:rFonts w:ascii="Times New Roman" w:hAnsi="Times New Roman"/>
          <w:sz w:val="24"/>
        </w:rPr>
        <w:t xml:space="preserve"> (ARF 210.5) and associated instructions. ADIs report daily liquidity information to APRA under ARF 210.5 when requested by APRA. In March 2020 APRA requested </w:t>
      </w:r>
      <w:r w:rsidR="00010E34">
        <w:rPr>
          <w:rFonts w:ascii="Times New Roman" w:hAnsi="Times New Roman"/>
          <w:sz w:val="24"/>
        </w:rPr>
        <w:t>that</w:t>
      </w:r>
      <w:r w:rsidR="007D493F">
        <w:rPr>
          <w:rFonts w:ascii="Times New Roman" w:hAnsi="Times New Roman"/>
          <w:sz w:val="24"/>
        </w:rPr>
        <w:t>,</w:t>
      </w:r>
      <w:r w:rsidR="00010E34">
        <w:rPr>
          <w:rFonts w:ascii="Times New Roman" w:hAnsi="Times New Roman"/>
          <w:sz w:val="24"/>
        </w:rPr>
        <w:t xml:space="preserve"> commencing </w:t>
      </w:r>
      <w:r w:rsidR="00700BD2">
        <w:rPr>
          <w:rFonts w:ascii="Times New Roman" w:hAnsi="Times New Roman"/>
          <w:sz w:val="24"/>
        </w:rPr>
        <w:t>from 1 April 2020</w:t>
      </w:r>
      <w:r w:rsidR="007D493F">
        <w:rPr>
          <w:rFonts w:ascii="Times New Roman" w:hAnsi="Times New Roman"/>
          <w:sz w:val="24"/>
        </w:rPr>
        <w:t>,</w:t>
      </w:r>
      <w:r w:rsidR="00700BD2">
        <w:rPr>
          <w:rFonts w:ascii="Times New Roman" w:hAnsi="Times New Roman"/>
          <w:sz w:val="24"/>
        </w:rPr>
        <w:t xml:space="preserve"> </w:t>
      </w:r>
      <w:r w:rsidR="00E46392">
        <w:rPr>
          <w:rFonts w:ascii="Times New Roman" w:hAnsi="Times New Roman"/>
          <w:sz w:val="24"/>
        </w:rPr>
        <w:t>certain</w:t>
      </w:r>
      <w:r w:rsidR="00223A20" w:rsidRPr="00223A20">
        <w:rPr>
          <w:rFonts w:ascii="Times New Roman" w:hAnsi="Times New Roman"/>
          <w:sz w:val="24"/>
        </w:rPr>
        <w:t xml:space="preserve"> ADIs submit a modified version of ARF 210.5 to APRA. The request was aimed at the provision of timely information on ADIs’ liquidity risk in response to the impacts of COVID-19. The modified version of ARF 210.5 contained additional information on ADIs’ funding maturities and minimum liquidity holdings. </w:t>
      </w:r>
    </w:p>
    <w:p w14:paraId="371BF104" w14:textId="3427FD89" w:rsidR="00E46392" w:rsidRDefault="00292891" w:rsidP="00E46392">
      <w:pPr>
        <w:spacing w:after="240"/>
        <w:ind w:right="113"/>
        <w:jc w:val="both"/>
        <w:rPr>
          <w:rFonts w:ascii="Times New Roman" w:hAnsi="Times New Roman"/>
          <w:sz w:val="24"/>
        </w:rPr>
      </w:pPr>
      <w:r>
        <w:rPr>
          <w:rFonts w:ascii="Times New Roman" w:hAnsi="Times New Roman"/>
          <w:sz w:val="24"/>
        </w:rPr>
        <w:t>APRA has</w:t>
      </w:r>
      <w:r w:rsidR="00223A20" w:rsidRPr="00223A20">
        <w:rPr>
          <w:rFonts w:ascii="Times New Roman" w:hAnsi="Times New Roman"/>
          <w:sz w:val="24"/>
        </w:rPr>
        <w:t xml:space="preserve"> </w:t>
      </w:r>
      <w:r>
        <w:rPr>
          <w:rFonts w:ascii="Times New Roman" w:hAnsi="Times New Roman"/>
          <w:sz w:val="24"/>
        </w:rPr>
        <w:t>examined</w:t>
      </w:r>
      <w:r w:rsidR="00EB0D29">
        <w:rPr>
          <w:rFonts w:ascii="Times New Roman" w:hAnsi="Times New Roman"/>
          <w:sz w:val="24"/>
        </w:rPr>
        <w:t xml:space="preserve"> data submitted</w:t>
      </w:r>
      <w:r w:rsidR="00223A20" w:rsidRPr="00223A20">
        <w:rPr>
          <w:rFonts w:ascii="Times New Roman" w:hAnsi="Times New Roman"/>
          <w:sz w:val="24"/>
        </w:rPr>
        <w:t xml:space="preserve"> since April 2020</w:t>
      </w:r>
      <w:r w:rsidR="00C73940" w:rsidRPr="00C73940">
        <w:rPr>
          <w:rFonts w:ascii="Times New Roman" w:hAnsi="Times New Roman"/>
          <w:sz w:val="24"/>
        </w:rPr>
        <w:t xml:space="preserve"> </w:t>
      </w:r>
      <w:r w:rsidR="00C73940">
        <w:rPr>
          <w:rFonts w:ascii="Times New Roman" w:hAnsi="Times New Roman"/>
          <w:sz w:val="24"/>
        </w:rPr>
        <w:t>in the modified version of ARF 210.5</w:t>
      </w:r>
      <w:r w:rsidR="00223A20" w:rsidRPr="00223A20">
        <w:rPr>
          <w:rFonts w:ascii="Times New Roman" w:hAnsi="Times New Roman"/>
          <w:sz w:val="24"/>
        </w:rPr>
        <w:t xml:space="preserve">, </w:t>
      </w:r>
      <w:r w:rsidR="00C73940">
        <w:rPr>
          <w:rFonts w:ascii="Times New Roman" w:hAnsi="Times New Roman"/>
          <w:sz w:val="24"/>
        </w:rPr>
        <w:t>and</w:t>
      </w:r>
      <w:r w:rsidR="00223A20" w:rsidRPr="00223A20">
        <w:rPr>
          <w:rFonts w:ascii="Times New Roman" w:hAnsi="Times New Roman"/>
          <w:sz w:val="24"/>
        </w:rPr>
        <w:t xml:space="preserve"> identified some areas where the reporting instructions for ARF 210.5 could be clarified. </w:t>
      </w:r>
    </w:p>
    <w:p w14:paraId="7FA50A5F" w14:textId="5ADB5F84" w:rsidR="002436BD" w:rsidRPr="00E46392" w:rsidRDefault="002436BD" w:rsidP="00E46392">
      <w:pPr>
        <w:pStyle w:val="ListParagraph"/>
        <w:numPr>
          <w:ilvl w:val="0"/>
          <w:numId w:val="2"/>
        </w:numPr>
        <w:spacing w:after="240"/>
        <w:ind w:right="113"/>
        <w:jc w:val="both"/>
        <w:rPr>
          <w:rFonts w:ascii="Times New Roman" w:hAnsi="Times New Roman"/>
          <w:b/>
          <w:sz w:val="24"/>
          <w:szCs w:val="24"/>
        </w:rPr>
      </w:pPr>
      <w:r w:rsidRPr="00E46392">
        <w:rPr>
          <w:rFonts w:ascii="Times New Roman" w:hAnsi="Times New Roman"/>
          <w:b/>
          <w:sz w:val="24"/>
          <w:szCs w:val="24"/>
        </w:rPr>
        <w:lastRenderedPageBreak/>
        <w:t xml:space="preserve">Purpose </w:t>
      </w:r>
      <w:r w:rsidR="00DF524E" w:rsidRPr="00E46392">
        <w:rPr>
          <w:rFonts w:ascii="Times New Roman" w:hAnsi="Times New Roman"/>
          <w:b/>
          <w:sz w:val="24"/>
          <w:szCs w:val="24"/>
        </w:rPr>
        <w:t xml:space="preserve">and operation </w:t>
      </w:r>
      <w:r w:rsidRPr="00E46392">
        <w:rPr>
          <w:rFonts w:ascii="Times New Roman" w:hAnsi="Times New Roman"/>
          <w:b/>
          <w:sz w:val="24"/>
          <w:szCs w:val="24"/>
        </w:rPr>
        <w:t>of the instrument</w:t>
      </w:r>
    </w:p>
    <w:p w14:paraId="39D60ECA" w14:textId="2685B819" w:rsidR="00285977" w:rsidRDefault="00EA4BBA" w:rsidP="00E46392">
      <w:pPr>
        <w:spacing w:after="240"/>
        <w:ind w:right="113"/>
        <w:jc w:val="both"/>
        <w:rPr>
          <w:rFonts w:ascii="Times New Roman" w:hAnsi="Times New Roman"/>
          <w:sz w:val="24"/>
          <w:szCs w:val="24"/>
        </w:rPr>
      </w:pPr>
      <w:bookmarkStart w:id="5" w:name="bkPurpose"/>
      <w:bookmarkEnd w:id="5"/>
      <w:r w:rsidRPr="00EA4BBA">
        <w:rPr>
          <w:rFonts w:ascii="Times New Roman" w:hAnsi="Times New Roman"/>
          <w:sz w:val="24"/>
          <w:szCs w:val="24"/>
        </w:rPr>
        <w:t xml:space="preserve">The purpose of the instrument is to revoke the existing ARS 210.0 and replace it with a new version of ARS 210.0 that </w:t>
      </w:r>
      <w:r w:rsidR="00E46392">
        <w:rPr>
          <w:rFonts w:ascii="Times New Roman" w:hAnsi="Times New Roman"/>
          <w:sz w:val="24"/>
        </w:rPr>
        <w:t>includes</w:t>
      </w:r>
      <w:r w:rsidR="00E46392" w:rsidRPr="00223A20">
        <w:rPr>
          <w:rFonts w:ascii="Times New Roman" w:hAnsi="Times New Roman"/>
          <w:sz w:val="24"/>
        </w:rPr>
        <w:t xml:space="preserve"> updates to </w:t>
      </w:r>
      <w:r w:rsidR="00E46392">
        <w:rPr>
          <w:rFonts w:ascii="Times New Roman" w:hAnsi="Times New Roman"/>
          <w:sz w:val="24"/>
        </w:rPr>
        <w:t xml:space="preserve">align </w:t>
      </w:r>
      <w:r w:rsidR="00E46392" w:rsidRPr="00223A20">
        <w:rPr>
          <w:rFonts w:ascii="Times New Roman" w:hAnsi="Times New Roman"/>
          <w:sz w:val="24"/>
        </w:rPr>
        <w:t xml:space="preserve">ARF 210.5 with the modified version </w:t>
      </w:r>
      <w:r w:rsidR="00C73940">
        <w:rPr>
          <w:rFonts w:ascii="Times New Roman" w:hAnsi="Times New Roman"/>
          <w:sz w:val="24"/>
        </w:rPr>
        <w:t xml:space="preserve">that has been </w:t>
      </w:r>
      <w:r w:rsidR="00E46392" w:rsidRPr="00223A20">
        <w:rPr>
          <w:rFonts w:ascii="Times New Roman" w:hAnsi="Times New Roman"/>
          <w:sz w:val="24"/>
        </w:rPr>
        <w:t>submitted by certain ADIs</w:t>
      </w:r>
      <w:r w:rsidR="00C73940">
        <w:rPr>
          <w:rFonts w:ascii="Times New Roman" w:hAnsi="Times New Roman"/>
          <w:sz w:val="24"/>
        </w:rPr>
        <w:t xml:space="preserve"> since April 2020</w:t>
      </w:r>
      <w:r w:rsidR="00E46392" w:rsidRPr="00223A20">
        <w:rPr>
          <w:rFonts w:ascii="Times New Roman" w:hAnsi="Times New Roman"/>
          <w:sz w:val="24"/>
        </w:rPr>
        <w:t xml:space="preserve">. APRA has also drafted updates to the reporting instructions </w:t>
      </w:r>
      <w:r w:rsidR="00812BF6">
        <w:rPr>
          <w:rFonts w:ascii="Times New Roman" w:hAnsi="Times New Roman"/>
          <w:sz w:val="24"/>
        </w:rPr>
        <w:t xml:space="preserve">for </w:t>
      </w:r>
      <w:r w:rsidR="00812BF6" w:rsidRPr="00223A20">
        <w:rPr>
          <w:rFonts w:ascii="Times New Roman" w:hAnsi="Times New Roman"/>
          <w:sz w:val="24"/>
        </w:rPr>
        <w:t xml:space="preserve">ARF 210.5 </w:t>
      </w:r>
      <w:r w:rsidR="00E46392" w:rsidRPr="00223A20">
        <w:rPr>
          <w:rFonts w:ascii="Times New Roman" w:hAnsi="Times New Roman"/>
          <w:sz w:val="24"/>
        </w:rPr>
        <w:t>to provide additional guidance and ensure consistent reporting across entities.</w:t>
      </w:r>
      <w:r w:rsidR="00E46392">
        <w:rPr>
          <w:rFonts w:ascii="Times New Roman" w:hAnsi="Times New Roman"/>
          <w:sz w:val="24"/>
        </w:rPr>
        <w:t xml:space="preserve"> </w:t>
      </w:r>
      <w:r w:rsidR="008136B8">
        <w:rPr>
          <w:rFonts w:ascii="Times New Roman" w:hAnsi="Times New Roman"/>
          <w:sz w:val="24"/>
        </w:rPr>
        <w:t xml:space="preserve">Additionally, </w:t>
      </w:r>
      <w:r w:rsidR="00285977" w:rsidRPr="00285977">
        <w:rPr>
          <w:rFonts w:ascii="Times New Roman" w:hAnsi="Times New Roman"/>
          <w:sz w:val="24"/>
          <w:szCs w:val="24"/>
        </w:rPr>
        <w:t xml:space="preserve">APRA has added a net cash flow overlay item and accompanying reporting instructions to capture any adjustments to net cash outflows made under paragraph 70 of </w:t>
      </w:r>
      <w:r w:rsidR="00285977" w:rsidRPr="00285977">
        <w:rPr>
          <w:rFonts w:ascii="Times New Roman" w:hAnsi="Times New Roman"/>
          <w:i/>
          <w:sz w:val="24"/>
          <w:szCs w:val="24"/>
        </w:rPr>
        <w:t>Prudential Standard APS 210 Liquidity</w:t>
      </w:r>
      <w:r w:rsidR="00285977" w:rsidRPr="00285977">
        <w:rPr>
          <w:rFonts w:ascii="Times New Roman" w:hAnsi="Times New Roman"/>
          <w:sz w:val="24"/>
          <w:szCs w:val="24"/>
        </w:rPr>
        <w:t>.</w:t>
      </w:r>
    </w:p>
    <w:p w14:paraId="5E028595" w14:textId="6FFDDDAC" w:rsidR="00835BD9" w:rsidRDefault="007A6A51" w:rsidP="00225D0F">
      <w:pPr>
        <w:spacing w:after="240"/>
        <w:jc w:val="both"/>
        <w:rPr>
          <w:rStyle w:val="Hyperlink"/>
          <w:rFonts w:ascii="Times New Roman" w:hAnsi="Times New Roman"/>
          <w:sz w:val="24"/>
          <w:szCs w:val="24"/>
        </w:rPr>
      </w:pPr>
      <w:bookmarkStart w:id="6" w:name="_Hlk65769522"/>
      <w:r w:rsidRPr="00AD1E70">
        <w:rPr>
          <w:rFonts w:ascii="Times New Roman" w:hAnsi="Times New Roman"/>
          <w:sz w:val="24"/>
          <w:szCs w:val="24"/>
        </w:rPr>
        <w:t xml:space="preserve">Where </w:t>
      </w:r>
      <w:r>
        <w:rPr>
          <w:rFonts w:ascii="Times New Roman" w:hAnsi="Times New Roman"/>
          <w:sz w:val="24"/>
          <w:szCs w:val="24"/>
        </w:rPr>
        <w:t>the instrument refers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3"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p>
    <w:p w14:paraId="679F6821" w14:textId="40F06DA0" w:rsidR="00DF7D68" w:rsidRPr="00DF7D68" w:rsidRDefault="00DF7D68" w:rsidP="00DF7D68">
      <w:pPr>
        <w:spacing w:after="240"/>
        <w:jc w:val="both"/>
        <w:rPr>
          <w:rFonts w:ascii="Times New Roman" w:hAnsi="Times New Roman"/>
          <w:sz w:val="24"/>
          <w:szCs w:val="24"/>
        </w:rPr>
      </w:pPr>
      <w:r w:rsidRPr="00DF7D68">
        <w:rPr>
          <w:rFonts w:ascii="Times New Roman" w:hAnsi="Times New Roman"/>
          <w:sz w:val="24"/>
          <w:szCs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an ADI to provide information required by </w:t>
      </w:r>
      <w:r>
        <w:rPr>
          <w:rFonts w:ascii="Times New Roman" w:hAnsi="Times New Roman"/>
          <w:sz w:val="24"/>
          <w:szCs w:val="24"/>
        </w:rPr>
        <w:t>ARS 210.0</w:t>
      </w:r>
      <w:r w:rsidRPr="00DF7D68">
        <w:rPr>
          <w:rFonts w:ascii="Times New Roman" w:hAnsi="Times New Roman"/>
          <w:sz w:val="24"/>
          <w:szCs w:val="24"/>
        </w:rPr>
        <w:t>. Decisions made by APRA exercising those powers are not subject to merits review.</w:t>
      </w:r>
    </w:p>
    <w:p w14:paraId="696AB35F" w14:textId="77777777" w:rsidR="00DF7D68" w:rsidRPr="00DF7D68" w:rsidRDefault="00DF7D68" w:rsidP="00DF7D68">
      <w:pPr>
        <w:spacing w:after="240"/>
        <w:jc w:val="both"/>
        <w:rPr>
          <w:rFonts w:ascii="Times New Roman" w:hAnsi="Times New Roman"/>
          <w:sz w:val="24"/>
          <w:szCs w:val="24"/>
        </w:rPr>
      </w:pPr>
      <w:r w:rsidRPr="00DF7D68">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3D70273E" w14:textId="77777777" w:rsidR="00DF7D68" w:rsidRPr="00DF7D68" w:rsidRDefault="00DF7D68" w:rsidP="00DF7D68">
      <w:pPr>
        <w:spacing w:after="240"/>
        <w:jc w:val="both"/>
        <w:rPr>
          <w:rFonts w:ascii="Times New Roman" w:hAnsi="Times New Roman"/>
          <w:sz w:val="24"/>
          <w:szCs w:val="24"/>
        </w:rPr>
      </w:pPr>
      <w:r w:rsidRPr="00DF7D68">
        <w:rPr>
          <w:rFonts w:ascii="Times New Roman" w:hAnsi="Times New Roman"/>
          <w:sz w:val="24"/>
          <w:szCs w:val="24"/>
        </w:rPr>
        <w:t>APRA’s reporting standards collect financial data from regulated entities. This data 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129E464D" w14:textId="77777777" w:rsidR="00DF7D68" w:rsidRPr="00DF7D68" w:rsidRDefault="00DF7D68" w:rsidP="00DF7D68">
      <w:pPr>
        <w:spacing w:after="240"/>
        <w:jc w:val="both"/>
        <w:rPr>
          <w:rFonts w:ascii="Times New Roman" w:hAnsi="Times New Roman"/>
          <w:sz w:val="24"/>
          <w:szCs w:val="24"/>
        </w:rPr>
      </w:pPr>
      <w:r w:rsidRPr="00DF7D68">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32761642" w14:textId="5CFBA41B" w:rsidR="007A6A51" w:rsidRDefault="00DF7D68" w:rsidP="00DF7D68">
      <w:pPr>
        <w:spacing w:after="240"/>
        <w:jc w:val="both"/>
        <w:rPr>
          <w:rFonts w:ascii="Times New Roman" w:hAnsi="Times New Roman"/>
          <w:sz w:val="24"/>
          <w:szCs w:val="24"/>
        </w:rPr>
      </w:pPr>
      <w:r w:rsidRPr="00DF7D68">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7" w:name="bkoperation"/>
      <w:bookmarkStart w:id="8" w:name="bkConsultationNo"/>
      <w:bookmarkEnd w:id="7"/>
      <w:bookmarkEnd w:id="8"/>
      <w:bookmarkEnd w:id="6"/>
      <w:r w:rsidRPr="002C6D26">
        <w:rPr>
          <w:rFonts w:ascii="Times New Roman" w:hAnsi="Times New Roman"/>
          <w:sz w:val="24"/>
          <w:szCs w:val="24"/>
        </w:rPr>
        <w:t>Consultation</w:t>
      </w:r>
    </w:p>
    <w:p w14:paraId="6690A2EE" w14:textId="549DC9D9" w:rsidR="004A14E0" w:rsidRPr="001A2234" w:rsidRDefault="00285977" w:rsidP="00C02366">
      <w:pPr>
        <w:pStyle w:val="Heading"/>
        <w:tabs>
          <w:tab w:val="left" w:pos="360"/>
        </w:tabs>
        <w:spacing w:after="240"/>
        <w:rPr>
          <w:rFonts w:ascii="Times New Roman" w:hAnsi="Times New Roman"/>
          <w:b w:val="0"/>
          <w:sz w:val="24"/>
          <w:szCs w:val="24"/>
        </w:rPr>
      </w:pPr>
      <w:r w:rsidRPr="00285977">
        <w:rPr>
          <w:rFonts w:ascii="Times New Roman" w:hAnsi="Times New Roman"/>
          <w:b w:val="0"/>
          <w:sz w:val="24"/>
          <w:szCs w:val="24"/>
        </w:rPr>
        <w:t xml:space="preserve">APRA consulted publicly on the proposed amendments to ARS 210.0 from </w:t>
      </w:r>
      <w:r>
        <w:rPr>
          <w:rFonts w:ascii="Times New Roman" w:hAnsi="Times New Roman"/>
          <w:b w:val="0"/>
          <w:sz w:val="24"/>
          <w:szCs w:val="24"/>
        </w:rPr>
        <w:t>September 2020 to October 2020</w:t>
      </w:r>
      <w:r w:rsidRPr="00285977">
        <w:rPr>
          <w:rFonts w:ascii="Times New Roman" w:hAnsi="Times New Roman"/>
          <w:b w:val="0"/>
          <w:sz w:val="24"/>
          <w:szCs w:val="24"/>
        </w:rPr>
        <w:t xml:space="preserve">. A total of </w:t>
      </w:r>
      <w:r>
        <w:rPr>
          <w:rFonts w:ascii="Times New Roman" w:hAnsi="Times New Roman"/>
          <w:b w:val="0"/>
          <w:sz w:val="24"/>
          <w:szCs w:val="24"/>
        </w:rPr>
        <w:t>seven</w:t>
      </w:r>
      <w:r w:rsidRPr="00285977">
        <w:rPr>
          <w:rFonts w:ascii="Times New Roman" w:hAnsi="Times New Roman"/>
          <w:b w:val="0"/>
          <w:sz w:val="24"/>
          <w:szCs w:val="24"/>
        </w:rPr>
        <w:t xml:space="preserve"> submissions were received in response to </w:t>
      </w:r>
      <w:r w:rsidRPr="00285977">
        <w:rPr>
          <w:rFonts w:ascii="Times New Roman" w:hAnsi="Times New Roman"/>
          <w:b w:val="0"/>
          <w:sz w:val="24"/>
          <w:szCs w:val="24"/>
        </w:rPr>
        <w:lastRenderedPageBreak/>
        <w:t xml:space="preserve">APRA’s consultation, which resulted in further guidance and clarification being provided for certain items in the reporting instructions. In </w:t>
      </w:r>
      <w:r>
        <w:rPr>
          <w:rFonts w:ascii="Times New Roman" w:hAnsi="Times New Roman"/>
          <w:b w:val="0"/>
          <w:sz w:val="24"/>
          <w:szCs w:val="24"/>
        </w:rPr>
        <w:t>December 2020</w:t>
      </w:r>
      <w:r w:rsidRPr="00285977">
        <w:rPr>
          <w:rFonts w:ascii="Times New Roman" w:hAnsi="Times New Roman"/>
          <w:b w:val="0"/>
          <w:sz w:val="24"/>
          <w:szCs w:val="24"/>
        </w:rPr>
        <w:t xml:space="preserve">, APRA released a response letter </w:t>
      </w:r>
      <w:r w:rsidR="00E46392" w:rsidRPr="00E46392">
        <w:rPr>
          <w:rFonts w:ascii="Times New Roman" w:hAnsi="Times New Roman"/>
          <w:b w:val="0"/>
          <w:i/>
          <w:sz w:val="24"/>
          <w:szCs w:val="24"/>
        </w:rPr>
        <w:t>Proposed changes to ARS 210.0 Liquidity - response to submission</w:t>
      </w:r>
      <w:r w:rsidR="00E46392">
        <w:rPr>
          <w:rFonts w:ascii="Times New Roman" w:hAnsi="Times New Roman"/>
          <w:b w:val="0"/>
          <w:i/>
          <w:sz w:val="24"/>
          <w:szCs w:val="24"/>
        </w:rPr>
        <w:t>s</w:t>
      </w:r>
      <w:r w:rsidRPr="00285977">
        <w:rPr>
          <w:rFonts w:ascii="Times New Roman" w:hAnsi="Times New Roman"/>
          <w:b w:val="0"/>
          <w:sz w:val="24"/>
          <w:szCs w:val="24"/>
        </w:rPr>
        <w:t xml:space="preserve"> and final revised ARS 210.0</w:t>
      </w:r>
      <w:r w:rsidR="00FE2284">
        <w:rPr>
          <w:rStyle w:val="FootnoteReference"/>
          <w:rFonts w:ascii="Times New Roman" w:hAnsi="Times New Roman"/>
          <w:b w:val="0"/>
          <w:sz w:val="24"/>
          <w:szCs w:val="24"/>
        </w:rPr>
        <w:footnoteReference w:id="2"/>
      </w:r>
      <w:r w:rsidR="004A14E0">
        <w:rPr>
          <w:rFonts w:ascii="Times New Roman" w:hAnsi="Times New Roman"/>
          <w:b w:val="0"/>
          <w:sz w:val="24"/>
          <w:szCs w:val="24"/>
        </w:rPr>
        <w:t xml:space="preserve">. </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9" w:name="bkConsultation"/>
      <w:bookmarkStart w:id="10" w:name="bkRISNO"/>
      <w:bookmarkStart w:id="11" w:name="bkRIS"/>
      <w:bookmarkEnd w:id="9"/>
      <w:bookmarkEnd w:id="10"/>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0959C7BC"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w:t>
      </w:r>
      <w:r w:rsidR="00EA4BBA">
        <w:rPr>
          <w:rFonts w:ascii="Times New Roman" w:hAnsi="Times New Roman"/>
          <w:b w:val="0"/>
          <w:sz w:val="24"/>
          <w:szCs w:val="24"/>
        </w:rPr>
        <w:t>is</w:t>
      </w:r>
      <w:r w:rsidRPr="009B02DA">
        <w:rPr>
          <w:rFonts w:ascii="Times New Roman" w:hAnsi="Times New Roman"/>
          <w:b w:val="0"/>
          <w:sz w:val="24"/>
          <w:szCs w:val="24"/>
        </w:rPr>
        <w:t xml:space="preserve"> legislative instrument</w:t>
      </w:r>
      <w:r w:rsidR="00A279AF">
        <w:rPr>
          <w:rFonts w:ascii="Times New Roman" w:hAnsi="Times New Roman"/>
          <w:b w:val="0"/>
          <w:sz w:val="24"/>
          <w:szCs w:val="24"/>
        </w:rPr>
        <w:t>.</w:t>
      </w:r>
      <w:bookmarkEnd w:id="11"/>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67D58833"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determination No. </w:t>
      </w:r>
      <w:r w:rsidR="00D91A3B">
        <w:rPr>
          <w:rFonts w:ascii="Times New Roman" w:hAnsi="Times New Roman"/>
          <w:b/>
          <w:bCs/>
          <w:sz w:val="24"/>
          <w:szCs w:val="24"/>
        </w:rPr>
        <w:t>8</w:t>
      </w:r>
      <w:r w:rsidRPr="007D54B9">
        <w:rPr>
          <w:rFonts w:ascii="Times New Roman" w:hAnsi="Times New Roman"/>
          <w:b/>
          <w:bCs/>
          <w:sz w:val="24"/>
          <w:szCs w:val="24"/>
        </w:rPr>
        <w:t xml:space="preserve"> </w:t>
      </w:r>
      <w:r>
        <w:rPr>
          <w:rFonts w:ascii="Times New Roman" w:hAnsi="Times New Roman"/>
          <w:b/>
          <w:bCs/>
          <w:sz w:val="24"/>
          <w:szCs w:val="24"/>
        </w:rPr>
        <w:t>of 2021</w:t>
      </w:r>
    </w:p>
    <w:p w14:paraId="6EA52F82"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p>
    <w:p w14:paraId="2BCD6C81" w14:textId="578E1EF7" w:rsidR="007D54B9" w:rsidRPr="007D54B9" w:rsidRDefault="007D54B9" w:rsidP="007D54B9">
      <w:pPr>
        <w:spacing w:after="240"/>
        <w:jc w:val="both"/>
        <w:rPr>
          <w:rFonts w:ascii="Times New Roman" w:hAnsi="Times New Roman"/>
          <w:sz w:val="24"/>
          <w:szCs w:val="24"/>
        </w:rPr>
      </w:pPr>
      <w:r w:rsidRPr="007D54B9">
        <w:rPr>
          <w:rFonts w:ascii="Times New Roman" w:hAnsi="Times New Roman"/>
          <w:sz w:val="24"/>
          <w:szCs w:val="24"/>
        </w:rPr>
        <w:t xml:space="preserve">The purpose of the instrument is to revoke </w:t>
      </w:r>
      <w:r w:rsidRPr="00134D2D">
        <w:rPr>
          <w:rFonts w:ascii="Times New Roman" w:hAnsi="Times New Roman"/>
          <w:i/>
          <w:sz w:val="24"/>
          <w:szCs w:val="24"/>
        </w:rPr>
        <w:t xml:space="preserve">Reporting Standard </w:t>
      </w:r>
      <w:r>
        <w:rPr>
          <w:rFonts w:ascii="Times New Roman" w:hAnsi="Times New Roman"/>
          <w:i/>
          <w:sz w:val="24"/>
          <w:szCs w:val="24"/>
        </w:rPr>
        <w:t>A</w:t>
      </w:r>
      <w:r w:rsidRPr="00134D2D">
        <w:rPr>
          <w:rFonts w:ascii="Times New Roman" w:hAnsi="Times New Roman"/>
          <w:i/>
          <w:sz w:val="24"/>
          <w:szCs w:val="24"/>
        </w:rPr>
        <w:t>RS </w:t>
      </w:r>
      <w:r w:rsidR="00EA4BBA">
        <w:rPr>
          <w:rFonts w:ascii="Times New Roman" w:hAnsi="Times New Roman"/>
          <w:i/>
          <w:sz w:val="24"/>
          <w:szCs w:val="24"/>
        </w:rPr>
        <w:t>210.0 Liquidity</w:t>
      </w:r>
      <w:r w:rsidRPr="007D54B9">
        <w:rPr>
          <w:rFonts w:ascii="Times New Roman" w:hAnsi="Times New Roman"/>
          <w:i/>
          <w:sz w:val="24"/>
          <w:szCs w:val="24"/>
        </w:rPr>
        <w:t xml:space="preserve"> </w:t>
      </w:r>
      <w:r w:rsidR="00C632D7">
        <w:rPr>
          <w:rFonts w:ascii="Times New Roman" w:hAnsi="Times New Roman"/>
          <w:sz w:val="24"/>
          <w:szCs w:val="24"/>
        </w:rPr>
        <w:t xml:space="preserve">(ARS 210.0) </w:t>
      </w:r>
      <w:r>
        <w:rPr>
          <w:rFonts w:ascii="Times New Roman" w:hAnsi="Times New Roman"/>
          <w:sz w:val="24"/>
          <w:szCs w:val="24"/>
        </w:rPr>
        <w:t>determined by APRA in 201</w:t>
      </w:r>
      <w:r w:rsidR="00E46392">
        <w:rPr>
          <w:rFonts w:ascii="Times New Roman" w:hAnsi="Times New Roman"/>
          <w:sz w:val="24"/>
          <w:szCs w:val="24"/>
        </w:rPr>
        <w:t>7</w:t>
      </w:r>
      <w:r w:rsidRPr="007D54B9">
        <w:rPr>
          <w:rFonts w:ascii="Times New Roman" w:hAnsi="Times New Roman"/>
          <w:sz w:val="24"/>
          <w:szCs w:val="24"/>
        </w:rPr>
        <w:t xml:space="preserve"> and replace it with a new</w:t>
      </w:r>
      <w:r w:rsidR="00C632D7">
        <w:rPr>
          <w:rFonts w:ascii="Times New Roman" w:hAnsi="Times New Roman"/>
          <w:sz w:val="24"/>
          <w:szCs w:val="24"/>
        </w:rPr>
        <w:t xml:space="preserve"> version of </w:t>
      </w:r>
      <w:r>
        <w:rPr>
          <w:rFonts w:ascii="Times New Roman" w:hAnsi="Times New Roman"/>
          <w:sz w:val="24"/>
          <w:szCs w:val="24"/>
        </w:rPr>
        <w:t xml:space="preserve">ARS </w:t>
      </w:r>
      <w:r w:rsidR="00EA4BBA">
        <w:rPr>
          <w:rFonts w:ascii="Times New Roman" w:hAnsi="Times New Roman"/>
          <w:sz w:val="24"/>
          <w:szCs w:val="24"/>
        </w:rPr>
        <w:t>210</w:t>
      </w:r>
      <w:r w:rsidRPr="007D54B9">
        <w:rPr>
          <w:rFonts w:ascii="Times New Roman" w:hAnsi="Times New Roman"/>
          <w:sz w:val="24"/>
          <w:szCs w:val="24"/>
        </w:rPr>
        <w:t>.</w:t>
      </w:r>
      <w:r>
        <w:rPr>
          <w:rFonts w:ascii="Times New Roman" w:hAnsi="Times New Roman"/>
          <w:sz w:val="24"/>
          <w:szCs w:val="24"/>
        </w:rPr>
        <w:t>0</w:t>
      </w:r>
      <w:r w:rsidRPr="007D54B9">
        <w:rPr>
          <w:rFonts w:ascii="Times New Roman" w:hAnsi="Times New Roman"/>
          <w:sz w:val="24"/>
          <w:szCs w:val="24"/>
        </w:rPr>
        <w:t>.</w:t>
      </w:r>
    </w:p>
    <w:p w14:paraId="5AAD0FDA" w14:textId="254F477A" w:rsidR="007D54B9" w:rsidRPr="007D54B9" w:rsidRDefault="007D54B9" w:rsidP="00EA4BBA">
      <w:pPr>
        <w:spacing w:after="240"/>
        <w:jc w:val="both"/>
        <w:rPr>
          <w:rFonts w:ascii="Times New Roman" w:hAnsi="Times New Roman"/>
          <w:sz w:val="24"/>
          <w:szCs w:val="24"/>
        </w:rPr>
      </w:pPr>
      <w:r w:rsidRPr="007D54B9">
        <w:rPr>
          <w:rFonts w:ascii="Times New Roman" w:hAnsi="Times New Roman"/>
          <w:sz w:val="24"/>
          <w:szCs w:val="24"/>
        </w:rPr>
        <w:t xml:space="preserve">ARS </w:t>
      </w:r>
      <w:r w:rsidR="00EA4BBA">
        <w:rPr>
          <w:rFonts w:ascii="Times New Roman" w:hAnsi="Times New Roman"/>
          <w:sz w:val="24"/>
          <w:szCs w:val="24"/>
        </w:rPr>
        <w:t>210</w:t>
      </w:r>
      <w:r w:rsidRPr="007D54B9">
        <w:rPr>
          <w:rFonts w:ascii="Times New Roman" w:hAnsi="Times New Roman"/>
          <w:sz w:val="24"/>
          <w:szCs w:val="24"/>
        </w:rPr>
        <w:t>.</w:t>
      </w:r>
      <w:r>
        <w:rPr>
          <w:rFonts w:ascii="Times New Roman" w:hAnsi="Times New Roman"/>
          <w:sz w:val="24"/>
          <w:szCs w:val="24"/>
        </w:rPr>
        <w:t>0</w:t>
      </w:r>
      <w:r w:rsidRPr="007D54B9">
        <w:rPr>
          <w:rFonts w:ascii="Times New Roman" w:hAnsi="Times New Roman"/>
          <w:sz w:val="24"/>
          <w:szCs w:val="24"/>
        </w:rPr>
        <w:t xml:space="preserve"> </w:t>
      </w:r>
      <w:r w:rsidRPr="00614388">
        <w:rPr>
          <w:rFonts w:ascii="Times New Roman" w:hAnsi="Times New Roman"/>
          <w:sz w:val="24"/>
          <w:szCs w:val="24"/>
        </w:rPr>
        <w:t xml:space="preserve">outlines the overall requirements for the provision of information to APRA relating to </w:t>
      </w:r>
      <w:r w:rsidR="00385F12">
        <w:rPr>
          <w:rFonts w:ascii="Times New Roman" w:hAnsi="Times New Roman"/>
          <w:sz w:val="24"/>
          <w:szCs w:val="24"/>
        </w:rPr>
        <w:t>the</w:t>
      </w:r>
      <w:r w:rsidRPr="00614388">
        <w:rPr>
          <w:rFonts w:ascii="Times New Roman" w:hAnsi="Times New Roman"/>
          <w:sz w:val="24"/>
          <w:szCs w:val="24"/>
        </w:rPr>
        <w:t xml:space="preserve"> </w:t>
      </w:r>
      <w:r w:rsidR="00E46392">
        <w:rPr>
          <w:rFonts w:ascii="Times New Roman" w:hAnsi="Times New Roman"/>
          <w:sz w:val="24"/>
          <w:szCs w:val="24"/>
        </w:rPr>
        <w:t>liquidity risk</w:t>
      </w:r>
      <w:r w:rsidR="00385F12">
        <w:rPr>
          <w:rFonts w:ascii="Times New Roman" w:hAnsi="Times New Roman"/>
          <w:sz w:val="24"/>
          <w:szCs w:val="24"/>
        </w:rPr>
        <w:t xml:space="preserve"> of an authorised deposit taking institution (ADI)</w:t>
      </w:r>
      <w:r w:rsidRPr="007D54B9">
        <w:rPr>
          <w:rFonts w:ascii="Times New Roman" w:hAnsi="Times New Roman"/>
          <w:sz w:val="24"/>
          <w:szCs w:val="24"/>
        </w:rPr>
        <w:t>. ADIs are bodies corporate authorised to carry on banking business in Australia.</w:t>
      </w:r>
    </w:p>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77777777"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77777777"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 is compatible with human rights as it does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255E" w14:textId="77777777" w:rsidR="00E66223" w:rsidRDefault="00E66223" w:rsidP="001A2234">
      <w:r>
        <w:separator/>
      </w:r>
    </w:p>
  </w:endnote>
  <w:endnote w:type="continuationSeparator" w:id="0">
    <w:p w14:paraId="2E45F5C4" w14:textId="77777777" w:rsidR="00E66223" w:rsidRDefault="00E66223" w:rsidP="001A2234">
      <w:r>
        <w:continuationSeparator/>
      </w:r>
    </w:p>
  </w:endnote>
  <w:endnote w:type="continuationNotice" w:id="1">
    <w:p w14:paraId="7ECCE1AA" w14:textId="77777777" w:rsidR="00E66223" w:rsidRDefault="00E6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E66223" w:rsidRPr="001A2234" w:rsidRDefault="00E66223"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7D54B9">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E66223" w:rsidRDefault="00E6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065B8" w14:textId="77777777" w:rsidR="00E66223" w:rsidRDefault="00E66223" w:rsidP="001A2234">
      <w:r>
        <w:separator/>
      </w:r>
    </w:p>
  </w:footnote>
  <w:footnote w:type="continuationSeparator" w:id="0">
    <w:p w14:paraId="044EAF35" w14:textId="77777777" w:rsidR="00E66223" w:rsidRDefault="00E66223" w:rsidP="001A2234">
      <w:r>
        <w:continuationSeparator/>
      </w:r>
    </w:p>
  </w:footnote>
  <w:footnote w:type="continuationNotice" w:id="1">
    <w:p w14:paraId="0AD2BFEE" w14:textId="77777777" w:rsidR="00E66223" w:rsidRDefault="00E66223"/>
  </w:footnote>
  <w:footnote w:id="2">
    <w:p w14:paraId="44557D5F" w14:textId="2B6E7ADF" w:rsidR="00FE2284" w:rsidRPr="00A811B4" w:rsidRDefault="00FE2284">
      <w:pPr>
        <w:pStyle w:val="FootnoteText"/>
        <w:rPr>
          <w:rFonts w:ascii="Arial" w:hAnsi="Arial" w:cs="Arial"/>
          <w:sz w:val="18"/>
          <w:szCs w:val="18"/>
        </w:rPr>
      </w:pPr>
      <w:r w:rsidRPr="00A811B4">
        <w:rPr>
          <w:rStyle w:val="FootnoteReference"/>
          <w:rFonts w:ascii="Arial" w:hAnsi="Arial" w:cs="Arial"/>
          <w:sz w:val="18"/>
          <w:szCs w:val="18"/>
        </w:rPr>
        <w:footnoteRef/>
      </w:r>
      <w:r w:rsidRPr="00A811B4">
        <w:rPr>
          <w:rFonts w:ascii="Arial" w:hAnsi="Arial" w:cs="Arial"/>
          <w:sz w:val="18"/>
          <w:szCs w:val="18"/>
        </w:rPr>
        <w:t xml:space="preserve"> </w:t>
      </w:r>
      <w:hyperlink r:id="rId1" w:history="1">
        <w:r w:rsidRPr="00A811B4">
          <w:rPr>
            <w:rStyle w:val="Hyperlink"/>
            <w:rFonts w:ascii="Arial" w:hAnsi="Arial" w:cs="Arial"/>
            <w:sz w:val="18"/>
            <w:szCs w:val="18"/>
          </w:rPr>
          <w:t>Proposed changes to ARS 210.0 Liquidity - response to submissions | APRA</w:t>
        </w:r>
      </w:hyperlink>
      <w:r w:rsidRPr="00A811B4">
        <w:rPr>
          <w:rFonts w:ascii="Arial" w:hAnsi="Arial" w:cs="Arial"/>
          <w:sz w:val="18"/>
          <w:szCs w:val="18"/>
        </w:rPr>
        <w:t xml:space="preserve"> </w:t>
      </w:r>
      <w:r w:rsidR="00DB4283" w:rsidRPr="00A811B4">
        <w:rPr>
          <w:rFonts w:ascii="Arial" w:hAnsi="Arial" w:cs="Arial"/>
          <w:sz w:val="18"/>
          <w:szCs w:val="18"/>
        </w:rPr>
        <w:t>&lt;</w:t>
      </w:r>
      <w:hyperlink r:id="rId2" w:history="1">
        <w:r w:rsidR="00DB4283" w:rsidRPr="00A811B4">
          <w:rPr>
            <w:rStyle w:val="Hyperlink"/>
            <w:rFonts w:ascii="Arial" w:hAnsi="Arial" w:cs="Arial"/>
            <w:sz w:val="18"/>
            <w:szCs w:val="18"/>
          </w:rPr>
          <w:t>https://www.apra.gov.au/proposed-changes-to-ars-2100-liquidity-response-to-submissions</w:t>
        </w:r>
      </w:hyperlink>
      <w:r w:rsidR="00DB4283" w:rsidRPr="00A811B4">
        <w:rPr>
          <w:rFonts w:ascii="Arial" w:hAnsi="Arial" w:cs="Arial"/>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
  </w:num>
  <w:num w:numId="3">
    <w:abstractNumId w:val="9"/>
  </w:num>
  <w:num w:numId="4">
    <w:abstractNumId w:val="3"/>
  </w:num>
  <w:num w:numId="5">
    <w:abstractNumId w:val="4"/>
  </w:num>
  <w:num w:numId="6">
    <w:abstractNumId w:val="2"/>
  </w:num>
  <w:num w:numId="7">
    <w:abstractNumId w:val="6"/>
  </w:num>
  <w:num w:numId="8">
    <w:abstractNumId w:val="5"/>
  </w:num>
  <w:num w:numId="9">
    <w:abstractNumId w:val="8"/>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10A0B"/>
    <w:rsid w:val="00010E34"/>
    <w:rsid w:val="00022BE7"/>
    <w:rsid w:val="00025C1C"/>
    <w:rsid w:val="000401F3"/>
    <w:rsid w:val="000401FC"/>
    <w:rsid w:val="000448C9"/>
    <w:rsid w:val="00057D82"/>
    <w:rsid w:val="00074CEB"/>
    <w:rsid w:val="00076618"/>
    <w:rsid w:val="00083727"/>
    <w:rsid w:val="0008681E"/>
    <w:rsid w:val="000A5AA9"/>
    <w:rsid w:val="000B14BD"/>
    <w:rsid w:val="000B5BB6"/>
    <w:rsid w:val="000D3451"/>
    <w:rsid w:val="000D76DC"/>
    <w:rsid w:val="000E0FF5"/>
    <w:rsid w:val="000E15E6"/>
    <w:rsid w:val="000E20F6"/>
    <w:rsid w:val="000E369C"/>
    <w:rsid w:val="000E3A02"/>
    <w:rsid w:val="001062E7"/>
    <w:rsid w:val="00113307"/>
    <w:rsid w:val="0011393A"/>
    <w:rsid w:val="00117D61"/>
    <w:rsid w:val="00122C95"/>
    <w:rsid w:val="00126870"/>
    <w:rsid w:val="00132748"/>
    <w:rsid w:val="00134D2D"/>
    <w:rsid w:val="00137F0E"/>
    <w:rsid w:val="00142358"/>
    <w:rsid w:val="00143FBB"/>
    <w:rsid w:val="00156332"/>
    <w:rsid w:val="00157FF6"/>
    <w:rsid w:val="00162333"/>
    <w:rsid w:val="0016436B"/>
    <w:rsid w:val="0016652D"/>
    <w:rsid w:val="001739AE"/>
    <w:rsid w:val="0018173C"/>
    <w:rsid w:val="00182FA1"/>
    <w:rsid w:val="0018346E"/>
    <w:rsid w:val="00187486"/>
    <w:rsid w:val="00191481"/>
    <w:rsid w:val="00194899"/>
    <w:rsid w:val="001A075E"/>
    <w:rsid w:val="001A2234"/>
    <w:rsid w:val="001A2ADB"/>
    <w:rsid w:val="001B2A41"/>
    <w:rsid w:val="001C1E63"/>
    <w:rsid w:val="001C2543"/>
    <w:rsid w:val="001C2D20"/>
    <w:rsid w:val="001C310E"/>
    <w:rsid w:val="001C463B"/>
    <w:rsid w:val="001E4FD3"/>
    <w:rsid w:val="001F6192"/>
    <w:rsid w:val="0021596D"/>
    <w:rsid w:val="00223A20"/>
    <w:rsid w:val="00225D0F"/>
    <w:rsid w:val="002436BD"/>
    <w:rsid w:val="00245634"/>
    <w:rsid w:val="00246723"/>
    <w:rsid w:val="00264B90"/>
    <w:rsid w:val="00267087"/>
    <w:rsid w:val="00275936"/>
    <w:rsid w:val="00281F8F"/>
    <w:rsid w:val="00285923"/>
    <w:rsid w:val="00285977"/>
    <w:rsid w:val="00291EEA"/>
    <w:rsid w:val="00292891"/>
    <w:rsid w:val="00293B84"/>
    <w:rsid w:val="00297CB5"/>
    <w:rsid w:val="002A0F07"/>
    <w:rsid w:val="002A5F5F"/>
    <w:rsid w:val="002A73BD"/>
    <w:rsid w:val="002B526C"/>
    <w:rsid w:val="002B5971"/>
    <w:rsid w:val="002C0701"/>
    <w:rsid w:val="002C2806"/>
    <w:rsid w:val="002D4BAF"/>
    <w:rsid w:val="002D7C33"/>
    <w:rsid w:val="002E1CB1"/>
    <w:rsid w:val="002F123D"/>
    <w:rsid w:val="002F70A2"/>
    <w:rsid w:val="00300EEF"/>
    <w:rsid w:val="003015DA"/>
    <w:rsid w:val="0030506B"/>
    <w:rsid w:val="00305648"/>
    <w:rsid w:val="00305A9C"/>
    <w:rsid w:val="00305E5F"/>
    <w:rsid w:val="00310CF8"/>
    <w:rsid w:val="00331ED2"/>
    <w:rsid w:val="00333AAB"/>
    <w:rsid w:val="00340EED"/>
    <w:rsid w:val="00341B48"/>
    <w:rsid w:val="00343074"/>
    <w:rsid w:val="00343D8A"/>
    <w:rsid w:val="003509F8"/>
    <w:rsid w:val="003511BF"/>
    <w:rsid w:val="00354CB8"/>
    <w:rsid w:val="00361F8E"/>
    <w:rsid w:val="00380068"/>
    <w:rsid w:val="00382846"/>
    <w:rsid w:val="003843DB"/>
    <w:rsid w:val="00384D39"/>
    <w:rsid w:val="00385F12"/>
    <w:rsid w:val="003866AD"/>
    <w:rsid w:val="003977AE"/>
    <w:rsid w:val="003A52A5"/>
    <w:rsid w:val="003B1BE0"/>
    <w:rsid w:val="003C18BE"/>
    <w:rsid w:val="003D5032"/>
    <w:rsid w:val="003E4F75"/>
    <w:rsid w:val="003E74CF"/>
    <w:rsid w:val="003F7007"/>
    <w:rsid w:val="003F712D"/>
    <w:rsid w:val="0040175E"/>
    <w:rsid w:val="00404BBB"/>
    <w:rsid w:val="004139D9"/>
    <w:rsid w:val="00420DB0"/>
    <w:rsid w:val="00422164"/>
    <w:rsid w:val="00425D5C"/>
    <w:rsid w:val="004275FF"/>
    <w:rsid w:val="00427A88"/>
    <w:rsid w:val="00434568"/>
    <w:rsid w:val="00435131"/>
    <w:rsid w:val="0043679F"/>
    <w:rsid w:val="00443A02"/>
    <w:rsid w:val="004455DC"/>
    <w:rsid w:val="00453D19"/>
    <w:rsid w:val="00453D3C"/>
    <w:rsid w:val="00456BE0"/>
    <w:rsid w:val="00464570"/>
    <w:rsid w:val="00473A51"/>
    <w:rsid w:val="004776F6"/>
    <w:rsid w:val="00481AC4"/>
    <w:rsid w:val="00482857"/>
    <w:rsid w:val="00482F85"/>
    <w:rsid w:val="00491310"/>
    <w:rsid w:val="004A14E0"/>
    <w:rsid w:val="004A707E"/>
    <w:rsid w:val="004C3D07"/>
    <w:rsid w:val="004C4ADF"/>
    <w:rsid w:val="004E2008"/>
    <w:rsid w:val="004E5201"/>
    <w:rsid w:val="004E6D9E"/>
    <w:rsid w:val="004F2722"/>
    <w:rsid w:val="004F2954"/>
    <w:rsid w:val="004F3323"/>
    <w:rsid w:val="004F70BE"/>
    <w:rsid w:val="005002DD"/>
    <w:rsid w:val="00511825"/>
    <w:rsid w:val="00514AE1"/>
    <w:rsid w:val="005152C0"/>
    <w:rsid w:val="0051575B"/>
    <w:rsid w:val="005373BC"/>
    <w:rsid w:val="00540092"/>
    <w:rsid w:val="00541A8B"/>
    <w:rsid w:val="00545F91"/>
    <w:rsid w:val="00546DC7"/>
    <w:rsid w:val="005502D1"/>
    <w:rsid w:val="00552287"/>
    <w:rsid w:val="005557AE"/>
    <w:rsid w:val="005568DD"/>
    <w:rsid w:val="00556D12"/>
    <w:rsid w:val="0056141D"/>
    <w:rsid w:val="00561601"/>
    <w:rsid w:val="0056214B"/>
    <w:rsid w:val="005666AB"/>
    <w:rsid w:val="00566B0B"/>
    <w:rsid w:val="005711FF"/>
    <w:rsid w:val="00575541"/>
    <w:rsid w:val="00580FC3"/>
    <w:rsid w:val="00583F21"/>
    <w:rsid w:val="00585BF8"/>
    <w:rsid w:val="00590F40"/>
    <w:rsid w:val="005953C6"/>
    <w:rsid w:val="005A32C7"/>
    <w:rsid w:val="005A51DD"/>
    <w:rsid w:val="005C33BD"/>
    <w:rsid w:val="005D4287"/>
    <w:rsid w:val="005E5910"/>
    <w:rsid w:val="005F297E"/>
    <w:rsid w:val="005F6FD1"/>
    <w:rsid w:val="005F7DAA"/>
    <w:rsid w:val="00610CFB"/>
    <w:rsid w:val="00613F01"/>
    <w:rsid w:val="006142AE"/>
    <w:rsid w:val="00614388"/>
    <w:rsid w:val="00616B20"/>
    <w:rsid w:val="006202A3"/>
    <w:rsid w:val="00622480"/>
    <w:rsid w:val="00627C13"/>
    <w:rsid w:val="00630F93"/>
    <w:rsid w:val="00631116"/>
    <w:rsid w:val="00635169"/>
    <w:rsid w:val="00642ACA"/>
    <w:rsid w:val="006432C1"/>
    <w:rsid w:val="00644CBA"/>
    <w:rsid w:val="00647D58"/>
    <w:rsid w:val="00652745"/>
    <w:rsid w:val="006544E1"/>
    <w:rsid w:val="00657678"/>
    <w:rsid w:val="00666614"/>
    <w:rsid w:val="00682865"/>
    <w:rsid w:val="00684900"/>
    <w:rsid w:val="00684F73"/>
    <w:rsid w:val="006A22BF"/>
    <w:rsid w:val="006A43F1"/>
    <w:rsid w:val="006B093F"/>
    <w:rsid w:val="006B0B74"/>
    <w:rsid w:val="006B4B39"/>
    <w:rsid w:val="006C591F"/>
    <w:rsid w:val="006C59B9"/>
    <w:rsid w:val="006D6CB4"/>
    <w:rsid w:val="006E7887"/>
    <w:rsid w:val="006F1C44"/>
    <w:rsid w:val="00700BD2"/>
    <w:rsid w:val="007031F4"/>
    <w:rsid w:val="007049CF"/>
    <w:rsid w:val="00707277"/>
    <w:rsid w:val="00724F0B"/>
    <w:rsid w:val="00730E49"/>
    <w:rsid w:val="007368AD"/>
    <w:rsid w:val="00736D41"/>
    <w:rsid w:val="00736D9A"/>
    <w:rsid w:val="007428D4"/>
    <w:rsid w:val="007430E5"/>
    <w:rsid w:val="00745C6F"/>
    <w:rsid w:val="00747AFF"/>
    <w:rsid w:val="00756284"/>
    <w:rsid w:val="00766B3D"/>
    <w:rsid w:val="0077361A"/>
    <w:rsid w:val="00781232"/>
    <w:rsid w:val="00781AE3"/>
    <w:rsid w:val="0078519B"/>
    <w:rsid w:val="00785CDC"/>
    <w:rsid w:val="0079175F"/>
    <w:rsid w:val="00792DAE"/>
    <w:rsid w:val="00796D9A"/>
    <w:rsid w:val="007A1CC7"/>
    <w:rsid w:val="007A6A51"/>
    <w:rsid w:val="007C2298"/>
    <w:rsid w:val="007D0BEE"/>
    <w:rsid w:val="007D39FD"/>
    <w:rsid w:val="007D3E28"/>
    <w:rsid w:val="007D493F"/>
    <w:rsid w:val="007D54B9"/>
    <w:rsid w:val="007E4B2A"/>
    <w:rsid w:val="007F59E2"/>
    <w:rsid w:val="007F7D4A"/>
    <w:rsid w:val="0080080F"/>
    <w:rsid w:val="0080158E"/>
    <w:rsid w:val="00802197"/>
    <w:rsid w:val="00812BF6"/>
    <w:rsid w:val="008134E4"/>
    <w:rsid w:val="008136B8"/>
    <w:rsid w:val="0082518E"/>
    <w:rsid w:val="00830F66"/>
    <w:rsid w:val="008317DE"/>
    <w:rsid w:val="00832289"/>
    <w:rsid w:val="0083316F"/>
    <w:rsid w:val="00834123"/>
    <w:rsid w:val="00834676"/>
    <w:rsid w:val="00835BD9"/>
    <w:rsid w:val="008360CE"/>
    <w:rsid w:val="00852EAD"/>
    <w:rsid w:val="008558B1"/>
    <w:rsid w:val="00862488"/>
    <w:rsid w:val="00864003"/>
    <w:rsid w:val="00871E54"/>
    <w:rsid w:val="00890C79"/>
    <w:rsid w:val="00892D63"/>
    <w:rsid w:val="00895DAC"/>
    <w:rsid w:val="008A33CD"/>
    <w:rsid w:val="008B659C"/>
    <w:rsid w:val="008E00D9"/>
    <w:rsid w:val="008E143B"/>
    <w:rsid w:val="008E2E3D"/>
    <w:rsid w:val="008F2233"/>
    <w:rsid w:val="008F275E"/>
    <w:rsid w:val="00901D3C"/>
    <w:rsid w:val="00902344"/>
    <w:rsid w:val="009145DF"/>
    <w:rsid w:val="009226AE"/>
    <w:rsid w:val="00922FBC"/>
    <w:rsid w:val="00923688"/>
    <w:rsid w:val="009320C4"/>
    <w:rsid w:val="00932EFA"/>
    <w:rsid w:val="009356BF"/>
    <w:rsid w:val="009439CF"/>
    <w:rsid w:val="009626AB"/>
    <w:rsid w:val="009660F6"/>
    <w:rsid w:val="00967D16"/>
    <w:rsid w:val="009744F7"/>
    <w:rsid w:val="009817EA"/>
    <w:rsid w:val="00981D3A"/>
    <w:rsid w:val="0098231B"/>
    <w:rsid w:val="00982949"/>
    <w:rsid w:val="00987321"/>
    <w:rsid w:val="009B02DA"/>
    <w:rsid w:val="009B17A9"/>
    <w:rsid w:val="009B67A8"/>
    <w:rsid w:val="009C0141"/>
    <w:rsid w:val="009C5368"/>
    <w:rsid w:val="009D4E42"/>
    <w:rsid w:val="009D53FE"/>
    <w:rsid w:val="009D708F"/>
    <w:rsid w:val="009F5B1C"/>
    <w:rsid w:val="00A03FD1"/>
    <w:rsid w:val="00A117DB"/>
    <w:rsid w:val="00A279AF"/>
    <w:rsid w:val="00A31F71"/>
    <w:rsid w:val="00A342FA"/>
    <w:rsid w:val="00A36726"/>
    <w:rsid w:val="00A37C12"/>
    <w:rsid w:val="00A4133B"/>
    <w:rsid w:val="00A41FC1"/>
    <w:rsid w:val="00A42365"/>
    <w:rsid w:val="00A63A2B"/>
    <w:rsid w:val="00A642D7"/>
    <w:rsid w:val="00A66D48"/>
    <w:rsid w:val="00A672CD"/>
    <w:rsid w:val="00A70688"/>
    <w:rsid w:val="00A811B4"/>
    <w:rsid w:val="00A8208F"/>
    <w:rsid w:val="00A84938"/>
    <w:rsid w:val="00AA5522"/>
    <w:rsid w:val="00AB2CA3"/>
    <w:rsid w:val="00AC0092"/>
    <w:rsid w:val="00AC2517"/>
    <w:rsid w:val="00AC3FF0"/>
    <w:rsid w:val="00AC7A56"/>
    <w:rsid w:val="00AD1E70"/>
    <w:rsid w:val="00AD6628"/>
    <w:rsid w:val="00AF311B"/>
    <w:rsid w:val="00B016BD"/>
    <w:rsid w:val="00B02803"/>
    <w:rsid w:val="00B02D82"/>
    <w:rsid w:val="00B04B20"/>
    <w:rsid w:val="00B059A1"/>
    <w:rsid w:val="00B124FA"/>
    <w:rsid w:val="00B16668"/>
    <w:rsid w:val="00B44CFC"/>
    <w:rsid w:val="00B46DC7"/>
    <w:rsid w:val="00B4787D"/>
    <w:rsid w:val="00B50C89"/>
    <w:rsid w:val="00B52DDA"/>
    <w:rsid w:val="00B64B2E"/>
    <w:rsid w:val="00B71A9E"/>
    <w:rsid w:val="00B71EB5"/>
    <w:rsid w:val="00B731B6"/>
    <w:rsid w:val="00B754DC"/>
    <w:rsid w:val="00B84219"/>
    <w:rsid w:val="00B85B6E"/>
    <w:rsid w:val="00B91992"/>
    <w:rsid w:val="00B93BFF"/>
    <w:rsid w:val="00B963BE"/>
    <w:rsid w:val="00BA4F61"/>
    <w:rsid w:val="00BA52D1"/>
    <w:rsid w:val="00BA5EB2"/>
    <w:rsid w:val="00BA7DA6"/>
    <w:rsid w:val="00BB1678"/>
    <w:rsid w:val="00BB7224"/>
    <w:rsid w:val="00BC1783"/>
    <w:rsid w:val="00BC2EEA"/>
    <w:rsid w:val="00BC3E7D"/>
    <w:rsid w:val="00BC609E"/>
    <w:rsid w:val="00BC6E15"/>
    <w:rsid w:val="00BD3D55"/>
    <w:rsid w:val="00BD6360"/>
    <w:rsid w:val="00BD66B1"/>
    <w:rsid w:val="00BE578F"/>
    <w:rsid w:val="00BF2953"/>
    <w:rsid w:val="00C02366"/>
    <w:rsid w:val="00C02942"/>
    <w:rsid w:val="00C0368E"/>
    <w:rsid w:val="00C166F0"/>
    <w:rsid w:val="00C1702B"/>
    <w:rsid w:val="00C26A22"/>
    <w:rsid w:val="00C302FA"/>
    <w:rsid w:val="00C3072D"/>
    <w:rsid w:val="00C3178E"/>
    <w:rsid w:val="00C3292D"/>
    <w:rsid w:val="00C33045"/>
    <w:rsid w:val="00C41639"/>
    <w:rsid w:val="00C4681D"/>
    <w:rsid w:val="00C632D7"/>
    <w:rsid w:val="00C66C00"/>
    <w:rsid w:val="00C73940"/>
    <w:rsid w:val="00C755BD"/>
    <w:rsid w:val="00C80B16"/>
    <w:rsid w:val="00C83956"/>
    <w:rsid w:val="00C83ECC"/>
    <w:rsid w:val="00C92702"/>
    <w:rsid w:val="00C948AA"/>
    <w:rsid w:val="00CA33DC"/>
    <w:rsid w:val="00CA6CB3"/>
    <w:rsid w:val="00CB0977"/>
    <w:rsid w:val="00CB0F92"/>
    <w:rsid w:val="00CB384A"/>
    <w:rsid w:val="00CB4C18"/>
    <w:rsid w:val="00CB6262"/>
    <w:rsid w:val="00CC0F76"/>
    <w:rsid w:val="00CC37BF"/>
    <w:rsid w:val="00CD1947"/>
    <w:rsid w:val="00CE3EF2"/>
    <w:rsid w:val="00CF33D2"/>
    <w:rsid w:val="00D119F5"/>
    <w:rsid w:val="00D228AE"/>
    <w:rsid w:val="00D3484E"/>
    <w:rsid w:val="00D36C7E"/>
    <w:rsid w:val="00D36F73"/>
    <w:rsid w:val="00D46E2B"/>
    <w:rsid w:val="00D50699"/>
    <w:rsid w:val="00D51C9B"/>
    <w:rsid w:val="00D605BC"/>
    <w:rsid w:val="00D61C83"/>
    <w:rsid w:val="00D64906"/>
    <w:rsid w:val="00D70C8A"/>
    <w:rsid w:val="00D74DC3"/>
    <w:rsid w:val="00D81A80"/>
    <w:rsid w:val="00D83531"/>
    <w:rsid w:val="00D87E36"/>
    <w:rsid w:val="00D912B0"/>
    <w:rsid w:val="00D91A3B"/>
    <w:rsid w:val="00D937D6"/>
    <w:rsid w:val="00DA3D1A"/>
    <w:rsid w:val="00DA6D66"/>
    <w:rsid w:val="00DB0979"/>
    <w:rsid w:val="00DB2009"/>
    <w:rsid w:val="00DB2B8C"/>
    <w:rsid w:val="00DB4283"/>
    <w:rsid w:val="00DC198B"/>
    <w:rsid w:val="00DC6CAB"/>
    <w:rsid w:val="00DC7AA8"/>
    <w:rsid w:val="00DD2E63"/>
    <w:rsid w:val="00DD3580"/>
    <w:rsid w:val="00DE0DE0"/>
    <w:rsid w:val="00DE183E"/>
    <w:rsid w:val="00DE3659"/>
    <w:rsid w:val="00DF3D38"/>
    <w:rsid w:val="00DF524E"/>
    <w:rsid w:val="00DF7D68"/>
    <w:rsid w:val="00E013A9"/>
    <w:rsid w:val="00E14C55"/>
    <w:rsid w:val="00E15497"/>
    <w:rsid w:val="00E154A3"/>
    <w:rsid w:val="00E158B2"/>
    <w:rsid w:val="00E16789"/>
    <w:rsid w:val="00E201A8"/>
    <w:rsid w:val="00E241B7"/>
    <w:rsid w:val="00E3334F"/>
    <w:rsid w:val="00E3435D"/>
    <w:rsid w:val="00E373A0"/>
    <w:rsid w:val="00E46392"/>
    <w:rsid w:val="00E4750A"/>
    <w:rsid w:val="00E52DFE"/>
    <w:rsid w:val="00E53788"/>
    <w:rsid w:val="00E56C5E"/>
    <w:rsid w:val="00E61B19"/>
    <w:rsid w:val="00E62E09"/>
    <w:rsid w:val="00E66223"/>
    <w:rsid w:val="00E71180"/>
    <w:rsid w:val="00E722A4"/>
    <w:rsid w:val="00E72515"/>
    <w:rsid w:val="00E7794E"/>
    <w:rsid w:val="00E90C89"/>
    <w:rsid w:val="00E91BF6"/>
    <w:rsid w:val="00EA4BBA"/>
    <w:rsid w:val="00EB0D29"/>
    <w:rsid w:val="00EB3130"/>
    <w:rsid w:val="00EB42E3"/>
    <w:rsid w:val="00EC0FDD"/>
    <w:rsid w:val="00EC5653"/>
    <w:rsid w:val="00EC5FA9"/>
    <w:rsid w:val="00EE01F2"/>
    <w:rsid w:val="00EE3647"/>
    <w:rsid w:val="00EE55B8"/>
    <w:rsid w:val="00F1353F"/>
    <w:rsid w:val="00F372EB"/>
    <w:rsid w:val="00F436BC"/>
    <w:rsid w:val="00F456FD"/>
    <w:rsid w:val="00F510E0"/>
    <w:rsid w:val="00F57F16"/>
    <w:rsid w:val="00F70B8C"/>
    <w:rsid w:val="00F71CD3"/>
    <w:rsid w:val="00F7706D"/>
    <w:rsid w:val="00F950EB"/>
    <w:rsid w:val="00FA5345"/>
    <w:rsid w:val="00FC3FC5"/>
    <w:rsid w:val="00FC6BE4"/>
    <w:rsid w:val="00FD346B"/>
    <w:rsid w:val="00FE2284"/>
    <w:rsid w:val="00FE44FC"/>
    <w:rsid w:val="00FE5F57"/>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character" w:styleId="UnresolvedMention">
    <w:name w:val="Unresolved Mention"/>
    <w:basedOn w:val="DefaultParagraphFont"/>
    <w:uiPriority w:val="99"/>
    <w:semiHidden/>
    <w:unhideWhenUsed/>
    <w:rsid w:val="00DB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proposed-changes-to-ars-2100-liquidity-response-to-submissions" TargetMode="External"/><Relationship Id="rId1" Type="http://schemas.openxmlformats.org/officeDocument/2006/relationships/hyperlink" Target="https://www.apra.gov.au/proposed-changes-to-ars-2100-liquidity-response-to-sub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FS(COD)(RS) determination No 8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5JENXJJSCC7A-445999044-11444</_dlc_DocId>
    <_dlc_DocIdUrl xmlns="814d62cb-2db6-4c25-ab62-b9075facbc11">
      <Url>https://im/teams/LEGAL/_layouts/15/DocIdRedir.aspx?ID=5JENXJJSCC7A-445999044-11444</Url>
      <Description>5JENXJJSCC7A-445999044-11444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2.xml><?xml version="1.0" encoding="utf-8"?>
<ds:datastoreItem xmlns:ds="http://schemas.openxmlformats.org/officeDocument/2006/customXml" ds:itemID="{3B74E0B5-57C2-4781-900D-667EC70EB54A}">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814d62cb-2db6-4c25-ab62-b9075facbc11"/>
  </ds:schemaRefs>
</ds:datastoreItem>
</file>

<file path=customXml/itemProps3.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4.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5.xml><?xml version="1.0" encoding="utf-8"?>
<ds:datastoreItem xmlns:ds="http://schemas.openxmlformats.org/officeDocument/2006/customXml" ds:itemID="{13DD3ADD-61F2-4768-9B69-C54B52E3C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8FBEE1-4268-4C1E-96DE-0F7CE1B4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TotalTime>
  <Pages>4</Pages>
  <Words>1209</Words>
  <Characters>6678</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8 of 2021</dc:title>
  <dc:creator>Sullivan, David</dc:creator>
  <cp:keywords>[SEC=OFFICIAL]</cp:keywords>
  <cp:lastModifiedBy>Michalis, Toni</cp:lastModifiedBy>
  <cp:revision>2</cp:revision>
  <cp:lastPrinted>2019-11-29T01:09:00Z</cp:lastPrinted>
  <dcterms:created xsi:type="dcterms:W3CDTF">2021-03-23T03:53:00Z</dcterms:created>
  <dcterms:modified xsi:type="dcterms:W3CDTF">2021-03-23T03:53:00Z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C519B3A3344D9B52FEF4C8ECAB5A2BDE6780F075</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2021-03-23T03:52:48Z</vt:lpwstr>
  </property>
  <property fmtid="{D5CDD505-2E9C-101B-9397-08002B2CF9AE}" pid="17" name="PM_Hash_Version">
    <vt:lpwstr>2018.0</vt:lpwstr>
  </property>
  <property fmtid="{D5CDD505-2E9C-101B-9397-08002B2CF9AE}" pid="18" name="PM_Hash_Salt_Prev">
    <vt:lpwstr>FDEC2A8E5FCDAEFC08762F56EA195C8C</vt:lpwstr>
  </property>
  <property fmtid="{D5CDD505-2E9C-101B-9397-08002B2CF9AE}" pid="19" name="PM_Hash_Salt">
    <vt:lpwstr>DB3474A6CF4BBB84B616E2F43BEC7CD2</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b0708898-ce9e-4d10-b1f2-dff4f8a2ae4b</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{b0708898-ce9e-4d10-b1f2-dff4f8a2ae4b}</vt:lpwstr>
  </property>
  <property fmtid="{D5CDD505-2E9C-101B-9397-08002B2CF9AE}" pid="43" name="RecordPoint_RecordNumberSubmitted">
    <vt:lpwstr>R0001309743</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RecordPoint_SubmissionCompleted">
    <vt:lpwstr>2021-03-23T15:36:34.8274647+11:00</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ies>
</file>