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58D19" w14:textId="77777777" w:rsidR="00F73F54" w:rsidRPr="00A54E2C" w:rsidRDefault="00F73F54" w:rsidP="00F73F54">
      <w:pPr>
        <w:pStyle w:val="Heading1"/>
        <w:spacing w:after="360"/>
        <w:rPr>
          <w:rFonts w:ascii="Times New Roman" w:hAnsi="Times New Roman"/>
          <w:sz w:val="24"/>
          <w:szCs w:val="24"/>
        </w:rPr>
      </w:pPr>
      <w:r w:rsidRPr="00A54E2C">
        <w:rPr>
          <w:rFonts w:ascii="Times New Roman" w:hAnsi="Times New Roman"/>
          <w:sz w:val="24"/>
          <w:szCs w:val="24"/>
        </w:rPr>
        <w:t xml:space="preserve">EXPLANATORY </w:t>
      </w:r>
      <w:r>
        <w:rPr>
          <w:rFonts w:ascii="Times New Roman" w:hAnsi="Times New Roman"/>
          <w:sz w:val="24"/>
          <w:szCs w:val="24"/>
        </w:rPr>
        <w:t>STATEMENT</w:t>
      </w:r>
    </w:p>
    <w:p w14:paraId="70D2DFC8" w14:textId="77777777" w:rsidR="00F73F54" w:rsidRPr="00A54E2C" w:rsidRDefault="00F73F54" w:rsidP="00F73F54">
      <w:pPr>
        <w:pStyle w:val="Heading2"/>
        <w:jc w:val="center"/>
        <w:rPr>
          <w:sz w:val="24"/>
          <w:szCs w:val="24"/>
        </w:rPr>
      </w:pPr>
      <w:r w:rsidRPr="000A4211">
        <w:rPr>
          <w:sz w:val="24"/>
          <w:szCs w:val="24"/>
        </w:rPr>
        <w:t xml:space="preserve">Issued by authority of the </w:t>
      </w:r>
      <w:sdt>
        <w:sdtPr>
          <w:rPr>
            <w:b w:val="0"/>
            <w:szCs w:val="24"/>
          </w:rPr>
          <w:id w:val="435951383"/>
          <w:placeholder>
            <w:docPart w:val="35F3B8046C4F4631AEBBA17DEBFD82F7"/>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Content>
          <w:r w:rsidRPr="000A4211">
            <w:rPr>
              <w:sz w:val="24"/>
              <w:szCs w:val="24"/>
            </w:rPr>
            <w:t>Treasurer</w:t>
          </w:r>
        </w:sdtContent>
      </w:sdt>
    </w:p>
    <w:p w14:paraId="64DFE47B" w14:textId="77777777" w:rsidR="00F73F54" w:rsidRPr="00A54E2C" w:rsidRDefault="00F73F54" w:rsidP="00F73F54">
      <w:pPr>
        <w:spacing w:after="240"/>
        <w:jc w:val="center"/>
        <w:rPr>
          <w:i/>
        </w:rPr>
      </w:pPr>
      <w:r w:rsidRPr="00A54E2C">
        <w:rPr>
          <w:i/>
        </w:rPr>
        <w:t>Coronavirus Economic Response Package (Payments and Benefits) Act 2020</w:t>
      </w:r>
    </w:p>
    <w:p w14:paraId="7C4D2104" w14:textId="301F6EC3" w:rsidR="00F73F54" w:rsidRPr="00EA3350" w:rsidRDefault="00F73F54" w:rsidP="00F73F54">
      <w:pPr>
        <w:tabs>
          <w:tab w:val="left" w:pos="1418"/>
        </w:tabs>
        <w:spacing w:before="0" w:after="240"/>
        <w:jc w:val="center"/>
        <w:rPr>
          <w:i/>
        </w:rPr>
      </w:pPr>
      <w:r w:rsidRPr="00A54E2C">
        <w:rPr>
          <w:i/>
        </w:rPr>
        <w:t xml:space="preserve">Coronavirus </w:t>
      </w:r>
      <w:r w:rsidRPr="00EA3350">
        <w:rPr>
          <w:i/>
        </w:rPr>
        <w:t>Economic Response Package (Payment</w:t>
      </w:r>
      <w:r w:rsidR="000E3051" w:rsidRPr="00EA3350">
        <w:rPr>
          <w:i/>
        </w:rPr>
        <w:t>s and Benefits) Amendment Rules </w:t>
      </w:r>
      <w:r w:rsidRPr="00EA3350">
        <w:rPr>
          <w:i/>
        </w:rPr>
        <w:t>(</w:t>
      </w:r>
      <w:r w:rsidR="000E3051" w:rsidRPr="00EA3350">
        <w:rPr>
          <w:i/>
        </w:rPr>
        <w:t>No. </w:t>
      </w:r>
      <w:r w:rsidR="00D605CA" w:rsidRPr="00EA3350">
        <w:rPr>
          <w:i/>
        </w:rPr>
        <w:t>10</w:t>
      </w:r>
      <w:r w:rsidR="002E2565" w:rsidRPr="00EA3350">
        <w:rPr>
          <w:i/>
        </w:rPr>
        <w:t>) 2021</w:t>
      </w:r>
    </w:p>
    <w:p w14:paraId="35F88A98" w14:textId="71A9A776" w:rsidR="00F73F54" w:rsidRPr="00EA3350" w:rsidRDefault="00F73F54" w:rsidP="00F73F54">
      <w:r w:rsidRPr="00EA3350">
        <w:t xml:space="preserve">Subsection 20(1) of the </w:t>
      </w:r>
      <w:r w:rsidRPr="00EA3350">
        <w:rPr>
          <w:i/>
        </w:rPr>
        <w:t>Coronavirus Economic Response Package (Payments and Benefits) Act 2020</w:t>
      </w:r>
      <w:r w:rsidRPr="00EA3350">
        <w:t xml:space="preserve"> (the Act) provides that the Treasurer may make rules prescribing matters required or permitted by the Act to be prescribed, or necessary or convenient to be prescribed for carrying out or givin</w:t>
      </w:r>
      <w:r w:rsidR="00E07282">
        <w:t>g effect to the Act.</w:t>
      </w:r>
    </w:p>
    <w:p w14:paraId="4908E9EF" w14:textId="14698AAE" w:rsidR="00317E32" w:rsidRDefault="00317E32" w:rsidP="00F73F54">
      <w:r w:rsidRPr="00EA3350">
        <w:t xml:space="preserve">In support of the Act, the </w:t>
      </w:r>
      <w:r w:rsidRPr="00EA3350">
        <w:rPr>
          <w:i/>
        </w:rPr>
        <w:t>Coronavirus Economic Response Package (Payments and Benefits) Rules 2020</w:t>
      </w:r>
      <w:r w:rsidRPr="00EA3350">
        <w:t xml:space="preserve"> (the Rules) establish the JobKeeper scheme and specify details about the scheme.</w:t>
      </w:r>
    </w:p>
    <w:p w14:paraId="66CE2535" w14:textId="77777777" w:rsidR="008771F1" w:rsidRDefault="00040DCA">
      <w:r>
        <w:t xml:space="preserve">On 11 March 2021, the Australian Government announced the SME Recovery Loan Scheme to support the flow of credit to small and medium enterprises that received the JobKeeper payment in the </w:t>
      </w:r>
      <w:r w:rsidR="00C71A7C">
        <w:t>first</w:t>
      </w:r>
      <w:r>
        <w:t xml:space="preserve"> quarter</w:t>
      </w:r>
      <w:r w:rsidR="00C71A7C">
        <w:t xml:space="preserve"> of 2021</w:t>
      </w:r>
      <w:r w:rsidR="008771F1">
        <w:t>.</w:t>
      </w:r>
    </w:p>
    <w:p w14:paraId="5F049E80" w14:textId="359AB460" w:rsidR="008D67E0" w:rsidRDefault="00F73F54">
      <w:r w:rsidRPr="00EA3350">
        <w:t xml:space="preserve">The purpose of the </w:t>
      </w:r>
      <w:r w:rsidRPr="00EA3350">
        <w:rPr>
          <w:i/>
        </w:rPr>
        <w:t xml:space="preserve">Coronavirus Economic Response Package (Payments and Benefits) Amendment Rules (No. </w:t>
      </w:r>
      <w:r w:rsidR="00B27D81" w:rsidRPr="00EA3350">
        <w:rPr>
          <w:i/>
        </w:rPr>
        <w:t>10</w:t>
      </w:r>
      <w:r w:rsidR="0019465C" w:rsidRPr="00EA3350">
        <w:rPr>
          <w:i/>
        </w:rPr>
        <w:t>) 2021</w:t>
      </w:r>
      <w:r w:rsidR="008252F9">
        <w:t xml:space="preserve"> (the Amending Rules</w:t>
      </w:r>
      <w:r w:rsidRPr="00EA3350">
        <w:t xml:space="preserve">) is to </w:t>
      </w:r>
      <w:r w:rsidR="00A92767" w:rsidRPr="00EA3350">
        <w:t xml:space="preserve">allow </w:t>
      </w:r>
      <w:r w:rsidR="00FB3AF5" w:rsidRPr="00EA3350">
        <w:t>financial institutions</w:t>
      </w:r>
      <w:r w:rsidR="00040DCA">
        <w:t xml:space="preserve"> </w:t>
      </w:r>
      <w:r w:rsidR="008771F1">
        <w:t>participating</w:t>
      </w:r>
      <w:r w:rsidR="00040DCA">
        <w:t xml:space="preserve"> in the SME </w:t>
      </w:r>
      <w:r w:rsidR="00A67B19">
        <w:t xml:space="preserve">Recovery </w:t>
      </w:r>
      <w:r w:rsidR="00040DCA">
        <w:t>Loan Scheme</w:t>
      </w:r>
      <w:r w:rsidR="00221496" w:rsidRPr="00EA3350">
        <w:t xml:space="preserve"> to confirm that notices have been provided by the Commissioner</w:t>
      </w:r>
      <w:r w:rsidR="00221496" w:rsidRPr="00221496">
        <w:t xml:space="preserve"> of Taxation (Commissioner) to entities concerning their election to participate in the JobKeeper payment program</w:t>
      </w:r>
      <w:r w:rsidR="00FB3AF5">
        <w:t xml:space="preserve">. </w:t>
      </w:r>
    </w:p>
    <w:p w14:paraId="031AAD0B" w14:textId="1D3C53E3" w:rsidR="00893361" w:rsidRDefault="00893361">
      <w:r>
        <w:t xml:space="preserve">The </w:t>
      </w:r>
      <w:r w:rsidR="00F93FAB">
        <w:t xml:space="preserve">amendments </w:t>
      </w:r>
      <w:r w:rsidR="004F7910">
        <w:t>build on the existing confirmation process</w:t>
      </w:r>
      <w:r w:rsidR="00E607E2">
        <w:t xml:space="preserve"> in the Rules</w:t>
      </w:r>
      <w:r w:rsidR="004F7910">
        <w:t xml:space="preserve"> for authorised</w:t>
      </w:r>
      <w:r w:rsidR="008771F1">
        <w:noBreakHyphen/>
      </w:r>
      <w:r w:rsidR="004F7910">
        <w:t xml:space="preserve">deposit taking institutions (ADIs) and allow both </w:t>
      </w:r>
      <w:r w:rsidR="008D67E0">
        <w:t xml:space="preserve">ADIs </w:t>
      </w:r>
      <w:r w:rsidR="004F7910">
        <w:t xml:space="preserve">and non-ADIs </w:t>
      </w:r>
      <w:r w:rsidR="00F93FAB">
        <w:t xml:space="preserve">to </w:t>
      </w:r>
      <w:r>
        <w:t xml:space="preserve">seek confirmation of </w:t>
      </w:r>
      <w:r w:rsidR="008D67E0">
        <w:t xml:space="preserve">the </w:t>
      </w:r>
      <w:r>
        <w:t xml:space="preserve">information about </w:t>
      </w:r>
      <w:r w:rsidR="00A67B19">
        <w:t>an</w:t>
      </w:r>
      <w:r>
        <w:t xml:space="preserve"> entity’s election to participate in the </w:t>
      </w:r>
      <w:r w:rsidR="00F93FAB" w:rsidRPr="00F93FAB">
        <w:t>JobKeeper payment program.</w:t>
      </w:r>
    </w:p>
    <w:p w14:paraId="3E04FD2E" w14:textId="099ADC3D" w:rsidR="00893361" w:rsidRDefault="00893361">
      <w:r>
        <w:t xml:space="preserve">Where a financial institution </w:t>
      </w:r>
      <w:r w:rsidRPr="00893361">
        <w:t xml:space="preserve">provides a notice to the Commissioner in the approved form, the Commissioner is required to advise the </w:t>
      </w:r>
      <w:r>
        <w:t>financial institution</w:t>
      </w:r>
      <w:r w:rsidRPr="00893361">
        <w:t xml:space="preserve"> if the specified information concerning the JobKeeper payment is information that has been exchanged between the Commissioner and t</w:t>
      </w:r>
      <w:r>
        <w:t>he entity. This ensur</w:t>
      </w:r>
      <w:r w:rsidR="000D5AA3">
        <w:t>es that a financial institution</w:t>
      </w:r>
      <w:r>
        <w:t xml:space="preserve"> </w:t>
      </w:r>
      <w:r w:rsidRPr="00893361">
        <w:t>can verify if all of the information specified in the approved form as having been exchanged with the Commissioner, is information either provided by an entity to the Commissioner or provided by the Commissioner to the entity.</w:t>
      </w:r>
    </w:p>
    <w:p w14:paraId="45A14F7B" w14:textId="0B80389B" w:rsidR="00317E32" w:rsidRDefault="008252F9">
      <w:r>
        <w:t xml:space="preserve">The Amending </w:t>
      </w:r>
      <w:r w:rsidR="00317E32">
        <w:t xml:space="preserve">Rules also include minor </w:t>
      </w:r>
      <w:r w:rsidR="003B733F">
        <w:t>miscellaneous</w:t>
      </w:r>
      <w:r w:rsidR="00317E32">
        <w:t xml:space="preserve"> amendments to the Rules </w:t>
      </w:r>
      <w:r w:rsidR="00C721CE">
        <w:t>that</w:t>
      </w:r>
      <w:r w:rsidR="00317E32">
        <w:t xml:space="preserve"> ensure the </w:t>
      </w:r>
      <w:r w:rsidR="001905AA">
        <w:t>payment and</w:t>
      </w:r>
      <w:r w:rsidR="003B733F">
        <w:t xml:space="preserve"> notice requirements under Division </w:t>
      </w:r>
      <w:r w:rsidR="00F74340">
        <w:t>4</w:t>
      </w:r>
      <w:r w:rsidR="00F138A3">
        <w:t xml:space="preserve"> and 5</w:t>
      </w:r>
      <w:r w:rsidR="003B733F">
        <w:t xml:space="preserve"> of the Rules appropriately and accurately reflect the two-tiered </w:t>
      </w:r>
      <w:r w:rsidR="00593A45">
        <w:t xml:space="preserve">JobKeeper </w:t>
      </w:r>
      <w:r w:rsidR="003B733F">
        <w:t xml:space="preserve">payment system. These changes do not affect the </w:t>
      </w:r>
      <w:r w:rsidR="003432C4">
        <w:t>operation of the Scheme</w:t>
      </w:r>
      <w:r w:rsidR="003B733F">
        <w:t xml:space="preserve"> and are consistent with the </w:t>
      </w:r>
      <w:r w:rsidR="006A7D10">
        <w:t xml:space="preserve">intended policy. </w:t>
      </w:r>
    </w:p>
    <w:p w14:paraId="6333F511" w14:textId="673BA90B" w:rsidR="00B27D81" w:rsidRDefault="00426E5A" w:rsidP="00893361">
      <w:r>
        <w:t>Targeted consultation was undertaken on the instrument</w:t>
      </w:r>
      <w:r w:rsidR="00B27D81">
        <w:t>.</w:t>
      </w:r>
    </w:p>
    <w:p w14:paraId="73177DD9" w14:textId="41F4039D" w:rsidR="00893361" w:rsidRDefault="00893361" w:rsidP="00893361">
      <w:r>
        <w:t xml:space="preserve">The Amending Rules are a legislative instrument for the purposes of the </w:t>
      </w:r>
      <w:r>
        <w:rPr>
          <w:i/>
        </w:rPr>
        <w:t>Legislation Act 2003</w:t>
      </w:r>
      <w:r>
        <w:t>.</w:t>
      </w:r>
      <w:r w:rsidR="00C721CE">
        <w:t xml:space="preserve"> </w:t>
      </w:r>
      <w:r>
        <w:t>The Amending Rules</w:t>
      </w:r>
      <w:r w:rsidR="005474EE">
        <w:t xml:space="preserve"> </w:t>
      </w:r>
      <w:r w:rsidR="000D5AA3">
        <w:t>commenced</w:t>
      </w:r>
      <w:r>
        <w:t xml:space="preserve"> on the day after the instrument was registered.</w:t>
      </w:r>
    </w:p>
    <w:p w14:paraId="455E8C99" w14:textId="186F3500" w:rsidR="000D1F4A" w:rsidRDefault="00893361">
      <w:r>
        <w:lastRenderedPageBreak/>
        <w:t xml:space="preserve">A statement of Compatibility with Human Rights is at </w:t>
      </w:r>
      <w:r>
        <w:rPr>
          <w:u w:val="single"/>
        </w:rPr>
        <w:t>Attachment A</w:t>
      </w:r>
      <w:r>
        <w:t>.</w:t>
      </w:r>
    </w:p>
    <w:p w14:paraId="5102AD90" w14:textId="4D708BF0" w:rsidR="008F1CB6" w:rsidRPr="008F1CB6" w:rsidRDefault="008F1CB6" w:rsidP="001F4F4D">
      <w:pPr>
        <w:pageBreakBefore/>
        <w:ind w:left="6480"/>
        <w:rPr>
          <w:b/>
          <w:u w:val="single"/>
        </w:rPr>
      </w:pPr>
      <w:r w:rsidRPr="008F1CB6">
        <w:rPr>
          <w:b/>
          <w:u w:val="single"/>
        </w:rPr>
        <w:lastRenderedPageBreak/>
        <w:t>ATTACHMENT A</w:t>
      </w:r>
    </w:p>
    <w:p w14:paraId="6EC949FF" w14:textId="77777777" w:rsidR="008F1CB6" w:rsidRPr="008F1CB6" w:rsidRDefault="008F1CB6" w:rsidP="008F1CB6">
      <w:pPr>
        <w:keepNext/>
        <w:tabs>
          <w:tab w:val="left" w:pos="1987"/>
        </w:tabs>
        <w:outlineLvl w:val="2"/>
        <w:rPr>
          <w:b/>
          <w:kern w:val="28"/>
        </w:rPr>
      </w:pPr>
      <w:r w:rsidRPr="008F1CB6">
        <w:rPr>
          <w:b/>
          <w:kern w:val="28"/>
        </w:rPr>
        <w:t>Statement of Compatibility with Human Rights</w:t>
      </w:r>
    </w:p>
    <w:p w14:paraId="3B28AFED" w14:textId="77777777" w:rsidR="008F1CB6" w:rsidRPr="008F1CB6" w:rsidRDefault="008F1CB6" w:rsidP="008F1CB6">
      <w:pPr>
        <w:jc w:val="center"/>
        <w:rPr>
          <w:i/>
        </w:rPr>
      </w:pPr>
      <w:r w:rsidRPr="008F1CB6">
        <w:rPr>
          <w:i/>
        </w:rPr>
        <w:t>Prepared in accordance with Part 3 of the Human Rights (Parliamentary Scrutiny) Act 2011</w:t>
      </w:r>
    </w:p>
    <w:p w14:paraId="22F1ED58" w14:textId="471854E4" w:rsidR="008F1CB6" w:rsidRDefault="008F1CB6" w:rsidP="008F1CB6">
      <w:pPr>
        <w:keepNext/>
        <w:tabs>
          <w:tab w:val="left" w:pos="1987"/>
        </w:tabs>
        <w:jc w:val="center"/>
        <w:outlineLvl w:val="2"/>
        <w:rPr>
          <w:b/>
          <w:kern w:val="28"/>
        </w:rPr>
      </w:pPr>
      <w:r>
        <w:rPr>
          <w:b/>
          <w:kern w:val="28"/>
        </w:rPr>
        <w:t>Coronavirus Economic Response Package (Payments and Benefits) Amendment Rules</w:t>
      </w:r>
      <w:r w:rsidR="00F6299E">
        <w:rPr>
          <w:b/>
          <w:kern w:val="28"/>
        </w:rPr>
        <w:t> </w:t>
      </w:r>
      <w:r>
        <w:rPr>
          <w:b/>
          <w:kern w:val="28"/>
        </w:rPr>
        <w:t>(No. 10) 2021</w:t>
      </w:r>
    </w:p>
    <w:p w14:paraId="46CDB203" w14:textId="6E0707CC" w:rsidR="001F4F4D" w:rsidRPr="008F1CB6" w:rsidRDefault="001F4F4D" w:rsidP="001F4F4D">
      <w:r>
        <w:t xml:space="preserve">The </w:t>
      </w:r>
      <w:r>
        <w:rPr>
          <w:i/>
        </w:rPr>
        <w:t>Coronavirus Economic Response Package (Payments and Benefits) Amendment Rules (No. 10) 2020</w:t>
      </w:r>
      <w:r>
        <w:t xml:space="preserve"> (</w:t>
      </w:r>
      <w:r w:rsidR="008252F9">
        <w:t>the Amending Rules</w:t>
      </w:r>
      <w:r>
        <w:t>)</w:t>
      </w:r>
      <w:r>
        <w:rPr>
          <w:i/>
        </w:rPr>
        <w:t xml:space="preserve"> </w:t>
      </w:r>
      <w:r>
        <w:t xml:space="preserve">are compatible with the human rights and freedoms recognised or declared in the international instruments listed in section 3 of the </w:t>
      </w:r>
      <w:r>
        <w:rPr>
          <w:i/>
        </w:rPr>
        <w:t>Human Rights (Parliamentary Scrutiny) Act 2011</w:t>
      </w:r>
      <w:r>
        <w:t>.</w:t>
      </w:r>
    </w:p>
    <w:p w14:paraId="2A880E90" w14:textId="56EA467C" w:rsidR="008F1CB6" w:rsidRPr="008F1CB6" w:rsidRDefault="008F1CB6" w:rsidP="008F1CB6">
      <w:pPr>
        <w:keepNext/>
        <w:tabs>
          <w:tab w:val="left" w:pos="1987"/>
        </w:tabs>
        <w:outlineLvl w:val="2"/>
        <w:rPr>
          <w:b/>
          <w:kern w:val="28"/>
        </w:rPr>
      </w:pPr>
      <w:r w:rsidRPr="008F1CB6">
        <w:rPr>
          <w:b/>
          <w:kern w:val="28"/>
        </w:rPr>
        <w:t xml:space="preserve">Overview of the </w:t>
      </w:r>
      <w:r w:rsidR="001F4F4D">
        <w:rPr>
          <w:b/>
          <w:kern w:val="28"/>
        </w:rPr>
        <w:t>Rules</w:t>
      </w:r>
    </w:p>
    <w:p w14:paraId="40A3668E" w14:textId="5ED24779" w:rsidR="008F1CB6" w:rsidRPr="008F1CB6" w:rsidRDefault="00E07282" w:rsidP="008F1CB6">
      <w:r>
        <w:t>The purpose of the</w:t>
      </w:r>
      <w:r w:rsidR="001F4F4D" w:rsidRPr="00EA3350">
        <w:t xml:space="preserve"> Amending Rules</w:t>
      </w:r>
      <w:r>
        <w:t xml:space="preserve"> </w:t>
      </w:r>
      <w:r w:rsidR="001F4F4D" w:rsidRPr="00EA3350">
        <w:t>is to allow financial institutions to confirm that notices have been provided by the Commissioner</w:t>
      </w:r>
      <w:r w:rsidR="001F4F4D" w:rsidRPr="00221496">
        <w:t xml:space="preserve"> of Taxation (Commissioner) to entities concerning their election to participate in the JobKeeper payment program</w:t>
      </w:r>
      <w:r w:rsidR="008F1CB6" w:rsidRPr="008F1CB6">
        <w:t xml:space="preserve">. </w:t>
      </w:r>
    </w:p>
    <w:p w14:paraId="57A230EC" w14:textId="77777777" w:rsidR="008F1CB6" w:rsidRPr="008F1CB6" w:rsidRDefault="008F1CB6" w:rsidP="008F1CB6">
      <w:pPr>
        <w:keepNext/>
        <w:tabs>
          <w:tab w:val="left" w:pos="1987"/>
        </w:tabs>
        <w:outlineLvl w:val="2"/>
        <w:rPr>
          <w:b/>
          <w:kern w:val="28"/>
        </w:rPr>
      </w:pPr>
      <w:r w:rsidRPr="008F1CB6">
        <w:rPr>
          <w:b/>
          <w:kern w:val="28"/>
        </w:rPr>
        <w:t>Human rights implications</w:t>
      </w:r>
    </w:p>
    <w:p w14:paraId="2A48D239" w14:textId="3B5824A5" w:rsidR="004F7910" w:rsidRDefault="004F7910" w:rsidP="004F7910">
      <w:pPr>
        <w:keepLines/>
      </w:pPr>
      <w:r>
        <w:t>The Amending Rules No. 1</w:t>
      </w:r>
      <w:r w:rsidR="008252F9">
        <w:t>0</w:t>
      </w:r>
      <w:r>
        <w:t xml:space="preserve"> may engage the following human rights or freedoms: </w:t>
      </w:r>
    </w:p>
    <w:p w14:paraId="46B5B0A5" w14:textId="77777777" w:rsidR="004F7910" w:rsidRDefault="004F7910" w:rsidP="004F7910">
      <w:pPr>
        <w:keepLines/>
        <w:rPr>
          <w:i/>
        </w:rPr>
      </w:pPr>
      <w:r>
        <w:rPr>
          <w:i/>
        </w:rPr>
        <w:t>Privacy</w:t>
      </w:r>
    </w:p>
    <w:p w14:paraId="43467EE9" w14:textId="77777777" w:rsidR="004F7910" w:rsidRDefault="004F7910" w:rsidP="004F7910">
      <w:r>
        <w:t xml:space="preserve">Article 17 of the </w:t>
      </w:r>
      <w:r>
        <w:rPr>
          <w:i/>
        </w:rPr>
        <w:t>International Covenant on Civil and Political Rights</w:t>
      </w:r>
      <w:r>
        <w:t xml:space="preserve"> (the ICCPR) provides: </w:t>
      </w:r>
    </w:p>
    <w:p w14:paraId="027F89BD" w14:textId="77777777" w:rsidR="004F7910" w:rsidRPr="00C17102" w:rsidRDefault="004F7910" w:rsidP="004F7910">
      <w:pPr>
        <w:pStyle w:val="Dash"/>
        <w:keepNext/>
        <w:tabs>
          <w:tab w:val="left" w:pos="720"/>
        </w:tabs>
        <w:ind w:left="720" w:firstLine="0"/>
        <w:rPr>
          <w:rFonts w:ascii="Times New Roman" w:hAnsi="Times New Roman" w:cs="Times New Roman"/>
        </w:rPr>
      </w:pPr>
      <w:r w:rsidRPr="00C17102">
        <w:rPr>
          <w:rFonts w:ascii="Times New Roman" w:hAnsi="Times New Roman" w:cs="Times New Roman"/>
        </w:rPr>
        <w:t>No one shall be subjected to arbitrary or unlawful interf</w:t>
      </w:r>
      <w:bookmarkStart w:id="0" w:name="_GoBack"/>
      <w:bookmarkEnd w:id="0"/>
      <w:r w:rsidRPr="00C17102">
        <w:rPr>
          <w:rFonts w:ascii="Times New Roman" w:hAnsi="Times New Roman" w:cs="Times New Roman"/>
        </w:rPr>
        <w:t>erence with his privacy, family, home or correspondence, nor to unlawful attacks on his honour and reputation.</w:t>
      </w:r>
    </w:p>
    <w:p w14:paraId="71D3CA02" w14:textId="32915A39" w:rsidR="004F7910" w:rsidRDefault="004F7910" w:rsidP="004F7910">
      <w:r>
        <w:t xml:space="preserve">Participation in the </w:t>
      </w:r>
      <w:r w:rsidR="00A67B19">
        <w:t>SME Recovery Loan Scheme</w:t>
      </w:r>
      <w:r w:rsidR="00A67B19" w:rsidRPr="00EA3350">
        <w:t xml:space="preserve"> </w:t>
      </w:r>
      <w:r w:rsidR="00A67B19">
        <w:t>may require</w:t>
      </w:r>
      <w:r>
        <w:t xml:space="preserve"> the provision of information to the Commissioner </w:t>
      </w:r>
      <w:r w:rsidR="00A67B19">
        <w:t xml:space="preserve">by participating </w:t>
      </w:r>
      <w:r w:rsidR="008920AA">
        <w:t>financial institutions</w:t>
      </w:r>
      <w:r w:rsidR="00A67B19">
        <w:t xml:space="preserve"> about an entity’s</w:t>
      </w:r>
      <w:r w:rsidR="00A67B19" w:rsidRPr="00221496">
        <w:t xml:space="preserve"> election to participate in the JobKeeper payment program</w:t>
      </w:r>
      <w:r w:rsidR="00A67B19">
        <w:t>.</w:t>
      </w:r>
      <w:r>
        <w:t xml:space="preserve"> These amendments do not allo</w:t>
      </w:r>
      <w:r w:rsidR="00A67B19">
        <w:t>w the Commissioner to disclose</w:t>
      </w:r>
      <w:r>
        <w:t xml:space="preserve"> the details of any information provided by the entity to the </w:t>
      </w:r>
      <w:r w:rsidR="00A67B19">
        <w:t>Commissioner</w:t>
      </w:r>
      <w:r>
        <w:t xml:space="preserve"> but rather only allow the Commissioner to confirm</w:t>
      </w:r>
      <w:r w:rsidR="00A67B19">
        <w:t xml:space="preserve"> to </w:t>
      </w:r>
      <w:r w:rsidR="008920AA">
        <w:t>a participating financial institution</w:t>
      </w:r>
      <w:r>
        <w:t xml:space="preserve"> that </w:t>
      </w:r>
      <w:r w:rsidR="00A67B19">
        <w:t>certain</w:t>
      </w:r>
      <w:r>
        <w:t xml:space="preserve"> information has been exchanged</w:t>
      </w:r>
      <w:r w:rsidR="008920AA">
        <w:t xml:space="preserve"> by an entity</w:t>
      </w:r>
      <w:r>
        <w:t xml:space="preserve"> with the Commissioner.</w:t>
      </w:r>
    </w:p>
    <w:p w14:paraId="64F9B154" w14:textId="77777777" w:rsidR="004F7910" w:rsidRPr="00786837" w:rsidRDefault="004F7910" w:rsidP="004F7910">
      <w:r w:rsidRPr="00786837">
        <w:t>To any extent to which the provision of this confirmation of exchange of information constitutes a limitation of a person’s right to be protected from interference with his or her privacy, the limitation is justified because the provision of information is:</w:t>
      </w:r>
    </w:p>
    <w:p w14:paraId="5A14C4FF" w14:textId="0BE7376A" w:rsidR="004F7910" w:rsidRPr="00786837" w:rsidRDefault="004F7910" w:rsidP="004F7910">
      <w:pPr>
        <w:pStyle w:val="dotpoint"/>
        <w:numPr>
          <w:ilvl w:val="0"/>
          <w:numId w:val="2"/>
        </w:numPr>
        <w:rPr>
          <w:sz w:val="24"/>
          <w:szCs w:val="24"/>
        </w:rPr>
      </w:pPr>
      <w:r w:rsidRPr="00786837">
        <w:rPr>
          <w:sz w:val="24"/>
          <w:szCs w:val="24"/>
        </w:rPr>
        <w:t>in pursuit of the legitimate objective identifi</w:t>
      </w:r>
      <w:r w:rsidR="00040DCA" w:rsidRPr="00786837">
        <w:rPr>
          <w:sz w:val="24"/>
          <w:szCs w:val="24"/>
        </w:rPr>
        <w:t>ed – which is to provide continued and targeted support to deal with the ongoing</w:t>
      </w:r>
      <w:r w:rsidR="003B5B8B" w:rsidRPr="00786837">
        <w:rPr>
          <w:sz w:val="24"/>
          <w:szCs w:val="24"/>
        </w:rPr>
        <w:t xml:space="preserve"> economic</w:t>
      </w:r>
      <w:r w:rsidR="00040DCA" w:rsidRPr="00786837">
        <w:rPr>
          <w:sz w:val="24"/>
          <w:szCs w:val="24"/>
        </w:rPr>
        <w:t xml:space="preserve"> impact</w:t>
      </w:r>
      <w:r w:rsidR="003B5B8B" w:rsidRPr="00786837">
        <w:rPr>
          <w:sz w:val="24"/>
          <w:szCs w:val="24"/>
        </w:rPr>
        <w:t>s</w:t>
      </w:r>
      <w:r w:rsidR="00040DCA" w:rsidRPr="00786837">
        <w:rPr>
          <w:sz w:val="24"/>
          <w:szCs w:val="24"/>
        </w:rPr>
        <w:t xml:space="preserve"> of the Coronavirus</w:t>
      </w:r>
      <w:r w:rsidRPr="00786837">
        <w:rPr>
          <w:sz w:val="24"/>
          <w:szCs w:val="24"/>
        </w:rPr>
        <w:t>; and</w:t>
      </w:r>
    </w:p>
    <w:p w14:paraId="69D65089" w14:textId="4FE9B1F7" w:rsidR="004F7910" w:rsidRPr="00786837" w:rsidRDefault="004F7910" w:rsidP="004F7910">
      <w:pPr>
        <w:pStyle w:val="dotpoint"/>
        <w:numPr>
          <w:ilvl w:val="0"/>
          <w:numId w:val="2"/>
        </w:numPr>
        <w:rPr>
          <w:sz w:val="24"/>
          <w:szCs w:val="24"/>
        </w:rPr>
      </w:pPr>
      <w:r w:rsidRPr="00786837">
        <w:rPr>
          <w:sz w:val="24"/>
          <w:szCs w:val="24"/>
        </w:rPr>
        <w:t xml:space="preserve">rationally connected and proportionate to the objective sought as the information is required to facilitate the ability of </w:t>
      </w:r>
      <w:r w:rsidR="008920AA">
        <w:rPr>
          <w:sz w:val="24"/>
          <w:szCs w:val="24"/>
        </w:rPr>
        <w:t>a financial institution</w:t>
      </w:r>
      <w:r w:rsidRPr="00786837">
        <w:rPr>
          <w:sz w:val="24"/>
          <w:szCs w:val="24"/>
        </w:rPr>
        <w:t xml:space="preserve"> to </w:t>
      </w:r>
      <w:r w:rsidR="008920AA">
        <w:rPr>
          <w:sz w:val="24"/>
          <w:szCs w:val="24"/>
        </w:rPr>
        <w:t xml:space="preserve">meaningfully </w:t>
      </w:r>
      <w:r w:rsidRPr="00786837">
        <w:rPr>
          <w:sz w:val="24"/>
          <w:szCs w:val="24"/>
        </w:rPr>
        <w:t xml:space="preserve">participate in the </w:t>
      </w:r>
      <w:r w:rsidR="00786837" w:rsidRPr="00786837">
        <w:rPr>
          <w:sz w:val="24"/>
          <w:szCs w:val="24"/>
        </w:rPr>
        <w:t>SME Recovery</w:t>
      </w:r>
      <w:r w:rsidRPr="00786837">
        <w:rPr>
          <w:sz w:val="24"/>
          <w:szCs w:val="24"/>
        </w:rPr>
        <w:t xml:space="preserve"> </w:t>
      </w:r>
      <w:r w:rsidR="00786837" w:rsidRPr="00786837">
        <w:rPr>
          <w:sz w:val="24"/>
          <w:szCs w:val="24"/>
        </w:rPr>
        <w:t>Loan S</w:t>
      </w:r>
      <w:r w:rsidRPr="00786837">
        <w:rPr>
          <w:sz w:val="24"/>
          <w:szCs w:val="24"/>
        </w:rPr>
        <w:t>cheme.</w:t>
      </w:r>
    </w:p>
    <w:p w14:paraId="3CBB3FC4" w14:textId="7765AE95" w:rsidR="002C034A" w:rsidRPr="005B6930" w:rsidRDefault="004F7910" w:rsidP="005B6930">
      <w:r w:rsidRPr="005B6930">
        <w:lastRenderedPageBreak/>
        <w:t>For these reasons, the Amending Rules do not unnecessarily restrict a person’s right to privacy. Many affected entities will not be individuals, but instead will be companies and other entity types</w:t>
      </w:r>
      <w:r w:rsidR="00786837">
        <w:t>.</w:t>
      </w:r>
    </w:p>
    <w:p w14:paraId="02028846" w14:textId="0D9C3573" w:rsidR="008F1CB6" w:rsidRPr="008F1CB6" w:rsidRDefault="008F1CB6" w:rsidP="004F7910">
      <w:pPr>
        <w:keepNext/>
        <w:tabs>
          <w:tab w:val="left" w:pos="1987"/>
        </w:tabs>
        <w:outlineLvl w:val="2"/>
        <w:rPr>
          <w:b/>
          <w:kern w:val="28"/>
        </w:rPr>
      </w:pPr>
      <w:r w:rsidRPr="008F1CB6">
        <w:rPr>
          <w:b/>
          <w:kern w:val="28"/>
        </w:rPr>
        <w:t>Conclusion</w:t>
      </w:r>
    </w:p>
    <w:p w14:paraId="363294C9" w14:textId="2C183CA3" w:rsidR="008F1CB6" w:rsidRPr="008F1CB6" w:rsidRDefault="00AD0CEF" w:rsidP="008F1CB6">
      <w:r>
        <w:t>To the extent that this legislative i</w:t>
      </w:r>
      <w:r w:rsidR="008F1CB6" w:rsidRPr="008F1CB6">
        <w:t xml:space="preserve">nstrument </w:t>
      </w:r>
      <w:r>
        <w:t>engages rights under the ICCPR, it is compatible with human rights.</w:t>
      </w:r>
    </w:p>
    <w:p w14:paraId="4D82B511" w14:textId="77777777" w:rsidR="008F1CB6" w:rsidRPr="008F1CB6" w:rsidRDefault="008F1CB6" w:rsidP="008F1CB6">
      <w:pPr>
        <w:spacing w:before="0" w:after="0"/>
      </w:pPr>
    </w:p>
    <w:p w14:paraId="2A693A0C" w14:textId="77777777" w:rsidR="008F1CB6" w:rsidRPr="008F1CB6" w:rsidRDefault="008F1CB6" w:rsidP="008F1CB6">
      <w:pPr>
        <w:spacing w:before="120"/>
      </w:pPr>
    </w:p>
    <w:p w14:paraId="7D50FC31" w14:textId="5FBAB766" w:rsidR="008F1CB6" w:rsidRDefault="008F1CB6"/>
    <w:sectPr w:rsidR="008F1C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36E0D"/>
    <w:multiLevelType w:val="multilevel"/>
    <w:tmpl w:val="5A90A802"/>
    <w:name w:val="DotPointList"/>
    <w:lvl w:ilvl="0">
      <w:start w:val="1"/>
      <w:numFmt w:val="bullet"/>
      <w:lvlText w:val="•"/>
      <w:lvlJc w:val="left"/>
      <w:pPr>
        <w:tabs>
          <w:tab w:val="num" w:pos="1004"/>
        </w:tabs>
        <w:ind w:left="1004" w:hanging="284"/>
      </w:pPr>
      <w:rPr>
        <w:b w:val="0"/>
        <w:i w:val="0"/>
        <w:color w:val="000000"/>
        <w:sz w:val="24"/>
        <w:szCs w:val="24"/>
      </w:rPr>
    </w:lvl>
    <w:lvl w:ilvl="1">
      <w:start w:val="1"/>
      <w:numFmt w:val="bullet"/>
      <w:lvlText w:val="–"/>
      <w:lvlJc w:val="left"/>
      <w:pPr>
        <w:tabs>
          <w:tab w:val="num" w:pos="228"/>
        </w:tabs>
        <w:ind w:left="228" w:hanging="357"/>
      </w:pPr>
      <w:rPr>
        <w:b w:val="0"/>
        <w:i w:val="0"/>
        <w:color w:val="000000"/>
      </w:rPr>
    </w:lvl>
    <w:lvl w:ilvl="2">
      <w:start w:val="1"/>
      <w:numFmt w:val="decimal"/>
      <w:lvlText w:val="%3"/>
      <w:lvlJc w:val="left"/>
      <w:pPr>
        <w:tabs>
          <w:tab w:val="num" w:pos="437"/>
        </w:tabs>
        <w:ind w:left="437" w:hanging="567"/>
      </w:pPr>
      <w:rPr>
        <w:b w:val="0"/>
        <w:i w:val="0"/>
        <w:color w:val="000000"/>
      </w:rPr>
    </w:lvl>
    <w:lvl w:ilvl="3">
      <w:start w:val="1"/>
      <w:numFmt w:val="decimal"/>
      <w:lvlText w:val="%4"/>
      <w:lvlJc w:val="left"/>
      <w:pPr>
        <w:tabs>
          <w:tab w:val="num" w:pos="1004"/>
        </w:tabs>
        <w:ind w:left="1004" w:hanging="567"/>
      </w:pPr>
      <w:rPr>
        <w:b w:val="0"/>
        <w:i w:val="0"/>
        <w:color w:val="000000"/>
      </w:rPr>
    </w:lvl>
    <w:lvl w:ilvl="4">
      <w:start w:val="1"/>
      <w:numFmt w:val="decimal"/>
      <w:lvlText w:val="%5"/>
      <w:lvlJc w:val="left"/>
      <w:pPr>
        <w:tabs>
          <w:tab w:val="num" w:pos="1571"/>
        </w:tabs>
        <w:ind w:left="1571" w:hanging="567"/>
      </w:pPr>
      <w:rPr>
        <w:b w:val="0"/>
        <w:i w:val="0"/>
        <w:color w:val="000000"/>
      </w:rPr>
    </w:lvl>
    <w:lvl w:ilvl="5">
      <w:start w:val="1"/>
      <w:numFmt w:val="decimal"/>
      <w:lvlText w:val="%6"/>
      <w:lvlJc w:val="left"/>
      <w:pPr>
        <w:tabs>
          <w:tab w:val="num" w:pos="2138"/>
        </w:tabs>
        <w:ind w:left="2138" w:hanging="567"/>
      </w:pPr>
      <w:rPr>
        <w:b w:val="0"/>
        <w:i w:val="0"/>
        <w:color w:val="000000"/>
      </w:rPr>
    </w:lvl>
    <w:lvl w:ilvl="6">
      <w:start w:val="1"/>
      <w:numFmt w:val="decimal"/>
      <w:lvlText w:val="%7"/>
      <w:lvlJc w:val="left"/>
      <w:pPr>
        <w:tabs>
          <w:tab w:val="num" w:pos="2705"/>
        </w:tabs>
        <w:ind w:left="2705" w:hanging="567"/>
      </w:pPr>
      <w:rPr>
        <w:b w:val="0"/>
        <w:i w:val="0"/>
        <w:color w:val="000000"/>
      </w:rPr>
    </w:lvl>
    <w:lvl w:ilvl="7">
      <w:start w:val="1"/>
      <w:numFmt w:val="decimal"/>
      <w:lvlText w:val="%8"/>
      <w:lvlJc w:val="left"/>
      <w:pPr>
        <w:tabs>
          <w:tab w:val="num" w:pos="3272"/>
        </w:tabs>
        <w:ind w:left="3272" w:hanging="567"/>
      </w:pPr>
      <w:rPr>
        <w:b w:val="0"/>
        <w:i w:val="0"/>
        <w:color w:val="000000"/>
      </w:rPr>
    </w:lvl>
    <w:lvl w:ilvl="8">
      <w:start w:val="1"/>
      <w:numFmt w:val="decimal"/>
      <w:lvlText w:val="%9"/>
      <w:lvlJc w:val="left"/>
      <w:pPr>
        <w:tabs>
          <w:tab w:val="num" w:pos="3839"/>
        </w:tabs>
        <w:ind w:left="3839" w:hanging="567"/>
      </w:pPr>
      <w:rPr>
        <w:b w:val="0"/>
        <w:i w:val="0"/>
        <w:color w:val="000000"/>
      </w:rPr>
    </w:lvl>
  </w:abstractNum>
  <w:abstractNum w:abstractNumId="1" w15:restartNumberingAfterBreak="0">
    <w:nsid w:val="67A43C0B"/>
    <w:multiLevelType w:val="multilevel"/>
    <w:tmpl w:val="7FE2830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F54"/>
    <w:rsid w:val="00040DCA"/>
    <w:rsid w:val="000A2192"/>
    <w:rsid w:val="000D1F4A"/>
    <w:rsid w:val="000D5572"/>
    <w:rsid w:val="000D5AA3"/>
    <w:rsid w:val="000E3051"/>
    <w:rsid w:val="00133893"/>
    <w:rsid w:val="001905AA"/>
    <w:rsid w:val="0019465C"/>
    <w:rsid w:val="001D7A5F"/>
    <w:rsid w:val="001F4F4D"/>
    <w:rsid w:val="00221496"/>
    <w:rsid w:val="00243A8B"/>
    <w:rsid w:val="002A5EDB"/>
    <w:rsid w:val="002C034A"/>
    <w:rsid w:val="002C3641"/>
    <w:rsid w:val="002C7507"/>
    <w:rsid w:val="002E2565"/>
    <w:rsid w:val="00317E32"/>
    <w:rsid w:val="003432C4"/>
    <w:rsid w:val="003B5B8B"/>
    <w:rsid w:val="003B733F"/>
    <w:rsid w:val="00426E5A"/>
    <w:rsid w:val="004F7910"/>
    <w:rsid w:val="005474EE"/>
    <w:rsid w:val="005526AB"/>
    <w:rsid w:val="00593A45"/>
    <w:rsid w:val="005B6930"/>
    <w:rsid w:val="005C1C23"/>
    <w:rsid w:val="006369F4"/>
    <w:rsid w:val="00673095"/>
    <w:rsid w:val="006A7D10"/>
    <w:rsid w:val="00786837"/>
    <w:rsid w:val="007D5CBC"/>
    <w:rsid w:val="007E5359"/>
    <w:rsid w:val="008252F9"/>
    <w:rsid w:val="008771F1"/>
    <w:rsid w:val="008920AA"/>
    <w:rsid w:val="00893361"/>
    <w:rsid w:val="008C67FB"/>
    <w:rsid w:val="008D67E0"/>
    <w:rsid w:val="008F1CB6"/>
    <w:rsid w:val="0090444A"/>
    <w:rsid w:val="00917657"/>
    <w:rsid w:val="009C42D7"/>
    <w:rsid w:val="00A67B19"/>
    <w:rsid w:val="00A92767"/>
    <w:rsid w:val="00AD0CEF"/>
    <w:rsid w:val="00AD3DD1"/>
    <w:rsid w:val="00B04AAA"/>
    <w:rsid w:val="00B27D81"/>
    <w:rsid w:val="00B32128"/>
    <w:rsid w:val="00B741DC"/>
    <w:rsid w:val="00B800C1"/>
    <w:rsid w:val="00C17102"/>
    <w:rsid w:val="00C371A6"/>
    <w:rsid w:val="00C6634A"/>
    <w:rsid w:val="00C71A7C"/>
    <w:rsid w:val="00C721CE"/>
    <w:rsid w:val="00D605CA"/>
    <w:rsid w:val="00D96BE2"/>
    <w:rsid w:val="00E07282"/>
    <w:rsid w:val="00E25D9E"/>
    <w:rsid w:val="00E607E2"/>
    <w:rsid w:val="00E80202"/>
    <w:rsid w:val="00EA3350"/>
    <w:rsid w:val="00ED07EF"/>
    <w:rsid w:val="00F138A3"/>
    <w:rsid w:val="00F6299E"/>
    <w:rsid w:val="00F73F54"/>
    <w:rsid w:val="00F74340"/>
    <w:rsid w:val="00F93FAB"/>
    <w:rsid w:val="00F96FAD"/>
    <w:rsid w:val="00FB3A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CB3B9"/>
  <w15:chartTrackingRefBased/>
  <w15:docId w15:val="{D29DCCC3-18D5-49F9-B26B-A3EEF46B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F54"/>
    <w:pPr>
      <w:spacing w:before="24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F73F54"/>
    <w:pPr>
      <w:keepNext/>
      <w:spacing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F73F54"/>
    <w:pPr>
      <w:keepNext/>
      <w:spacing w:after="60"/>
      <w:outlineLvl w:val="1"/>
    </w:pPr>
    <w:rPr>
      <w:b/>
      <w:sz w:val="28"/>
      <w:u w:val="single"/>
    </w:rPr>
  </w:style>
  <w:style w:type="paragraph" w:styleId="Heading3">
    <w:name w:val="heading 3"/>
    <w:basedOn w:val="Normal"/>
    <w:next w:val="Normal"/>
    <w:link w:val="Heading3Char"/>
    <w:uiPriority w:val="9"/>
    <w:semiHidden/>
    <w:unhideWhenUsed/>
    <w:qFormat/>
    <w:rsid w:val="008F1CB6"/>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3F54"/>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F73F54"/>
    <w:rPr>
      <w:rFonts w:ascii="Times New Roman" w:eastAsia="Times New Roman" w:hAnsi="Times New Roman" w:cs="Times New Roman"/>
      <w:b/>
      <w:sz w:val="28"/>
      <w:szCs w:val="20"/>
      <w:u w:val="single"/>
      <w:lang w:eastAsia="en-AU"/>
    </w:rPr>
  </w:style>
  <w:style w:type="paragraph" w:styleId="BalloonText">
    <w:name w:val="Balloon Text"/>
    <w:basedOn w:val="Normal"/>
    <w:link w:val="BalloonTextChar"/>
    <w:uiPriority w:val="99"/>
    <w:semiHidden/>
    <w:unhideWhenUsed/>
    <w:rsid w:val="00EA335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350"/>
    <w:rPr>
      <w:rFonts w:ascii="Segoe UI" w:eastAsia="Times New Roman" w:hAnsi="Segoe UI" w:cs="Segoe UI"/>
      <w:sz w:val="18"/>
      <w:szCs w:val="18"/>
      <w:lang w:eastAsia="en-AU"/>
    </w:rPr>
  </w:style>
  <w:style w:type="character" w:customStyle="1" w:styleId="Heading3Char">
    <w:name w:val="Heading 3 Char"/>
    <w:basedOn w:val="DefaultParagraphFont"/>
    <w:link w:val="Heading3"/>
    <w:uiPriority w:val="9"/>
    <w:semiHidden/>
    <w:rsid w:val="008F1CB6"/>
    <w:rPr>
      <w:rFonts w:asciiTheme="majorHAnsi" w:eastAsiaTheme="majorEastAsia" w:hAnsiTheme="majorHAnsi" w:cstheme="majorBidi"/>
      <w:color w:val="1F4D78" w:themeColor="accent1" w:themeShade="7F"/>
      <w:sz w:val="24"/>
      <w:szCs w:val="24"/>
      <w:lang w:eastAsia="en-AU"/>
    </w:rPr>
  </w:style>
  <w:style w:type="paragraph" w:customStyle="1" w:styleId="Bullet">
    <w:name w:val="Bullet"/>
    <w:basedOn w:val="Normal"/>
    <w:rsid w:val="004F7910"/>
    <w:pPr>
      <w:numPr>
        <w:numId w:val="1"/>
      </w:numPr>
    </w:pPr>
    <w:rPr>
      <w:szCs w:val="23"/>
    </w:rPr>
  </w:style>
  <w:style w:type="character" w:customStyle="1" w:styleId="DashChar">
    <w:name w:val="Dash Char"/>
    <w:basedOn w:val="DefaultParagraphFont"/>
    <w:link w:val="Dash"/>
    <w:locked/>
    <w:rsid w:val="004F7910"/>
    <w:rPr>
      <w:sz w:val="24"/>
      <w:szCs w:val="23"/>
    </w:rPr>
  </w:style>
  <w:style w:type="paragraph" w:customStyle="1" w:styleId="Dash">
    <w:name w:val="Dash"/>
    <w:basedOn w:val="Normal"/>
    <w:link w:val="DashChar"/>
    <w:rsid w:val="004F7910"/>
    <w:pPr>
      <w:numPr>
        <w:ilvl w:val="1"/>
        <w:numId w:val="1"/>
      </w:numPr>
    </w:pPr>
    <w:rPr>
      <w:rFonts w:asciiTheme="minorHAnsi" w:eastAsiaTheme="minorHAnsi" w:hAnsiTheme="minorHAnsi" w:cstheme="minorBidi"/>
      <w:szCs w:val="23"/>
      <w:lang w:eastAsia="en-US"/>
    </w:rPr>
  </w:style>
  <w:style w:type="paragraph" w:customStyle="1" w:styleId="DoubleDot">
    <w:name w:val="Double Dot"/>
    <w:basedOn w:val="Normal"/>
    <w:rsid w:val="004F7910"/>
    <w:pPr>
      <w:numPr>
        <w:ilvl w:val="2"/>
        <w:numId w:val="1"/>
      </w:numPr>
    </w:pPr>
    <w:rPr>
      <w:szCs w:val="23"/>
    </w:rPr>
  </w:style>
  <w:style w:type="paragraph" w:customStyle="1" w:styleId="dotpoint">
    <w:name w:val="dot point"/>
    <w:basedOn w:val="Normal"/>
    <w:rsid w:val="004F7910"/>
    <w:pPr>
      <w:tabs>
        <w:tab w:val="num" w:pos="1004"/>
      </w:tabs>
      <w:spacing w:before="120"/>
      <w:ind w:left="1004" w:hanging="284"/>
    </w:pPr>
    <w:rPr>
      <w:sz w:val="22"/>
    </w:rPr>
  </w:style>
  <w:style w:type="character" w:styleId="CommentReference">
    <w:name w:val="annotation reference"/>
    <w:basedOn w:val="DefaultParagraphFont"/>
    <w:uiPriority w:val="99"/>
    <w:semiHidden/>
    <w:unhideWhenUsed/>
    <w:rsid w:val="000A2192"/>
    <w:rPr>
      <w:sz w:val="16"/>
      <w:szCs w:val="16"/>
    </w:rPr>
  </w:style>
  <w:style w:type="paragraph" w:styleId="CommentText">
    <w:name w:val="annotation text"/>
    <w:basedOn w:val="Normal"/>
    <w:link w:val="CommentTextChar"/>
    <w:uiPriority w:val="99"/>
    <w:semiHidden/>
    <w:unhideWhenUsed/>
    <w:rsid w:val="000A2192"/>
    <w:rPr>
      <w:sz w:val="20"/>
    </w:rPr>
  </w:style>
  <w:style w:type="character" w:customStyle="1" w:styleId="CommentTextChar">
    <w:name w:val="Comment Text Char"/>
    <w:basedOn w:val="DefaultParagraphFont"/>
    <w:link w:val="CommentText"/>
    <w:uiPriority w:val="99"/>
    <w:semiHidden/>
    <w:rsid w:val="000A21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A2192"/>
    <w:rPr>
      <w:b/>
      <w:bCs/>
    </w:rPr>
  </w:style>
  <w:style w:type="character" w:customStyle="1" w:styleId="CommentSubjectChar">
    <w:name w:val="Comment Subject Char"/>
    <w:basedOn w:val="CommentTextChar"/>
    <w:link w:val="CommentSubject"/>
    <w:uiPriority w:val="99"/>
    <w:semiHidden/>
    <w:rsid w:val="000A2192"/>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389201">
      <w:bodyDiv w:val="1"/>
      <w:marLeft w:val="0"/>
      <w:marRight w:val="0"/>
      <w:marTop w:val="0"/>
      <w:marBottom w:val="0"/>
      <w:divBdr>
        <w:top w:val="none" w:sz="0" w:space="0" w:color="auto"/>
        <w:left w:val="none" w:sz="0" w:space="0" w:color="auto"/>
        <w:bottom w:val="none" w:sz="0" w:space="0" w:color="auto"/>
        <w:right w:val="none" w:sz="0" w:space="0" w:color="auto"/>
      </w:divBdr>
    </w:div>
    <w:div w:id="1465657569">
      <w:bodyDiv w:val="1"/>
      <w:marLeft w:val="0"/>
      <w:marRight w:val="0"/>
      <w:marTop w:val="0"/>
      <w:marBottom w:val="0"/>
      <w:divBdr>
        <w:top w:val="none" w:sz="0" w:space="0" w:color="auto"/>
        <w:left w:val="none" w:sz="0" w:space="0" w:color="auto"/>
        <w:bottom w:val="none" w:sz="0" w:space="0" w:color="auto"/>
        <w:right w:val="none" w:sz="0" w:space="0" w:color="auto"/>
      </w:divBdr>
    </w:div>
    <w:div w:id="1690377403">
      <w:bodyDiv w:val="1"/>
      <w:marLeft w:val="0"/>
      <w:marRight w:val="0"/>
      <w:marTop w:val="0"/>
      <w:marBottom w:val="0"/>
      <w:divBdr>
        <w:top w:val="none" w:sz="0" w:space="0" w:color="auto"/>
        <w:left w:val="none" w:sz="0" w:space="0" w:color="auto"/>
        <w:bottom w:val="none" w:sz="0" w:space="0" w:color="auto"/>
        <w:right w:val="none" w:sz="0" w:space="0" w:color="auto"/>
      </w:divBdr>
    </w:div>
    <w:div w:id="1818380190">
      <w:bodyDiv w:val="1"/>
      <w:marLeft w:val="0"/>
      <w:marRight w:val="0"/>
      <w:marTop w:val="0"/>
      <w:marBottom w:val="0"/>
      <w:divBdr>
        <w:top w:val="none" w:sz="0" w:space="0" w:color="auto"/>
        <w:left w:val="none" w:sz="0" w:space="0" w:color="auto"/>
        <w:bottom w:val="none" w:sz="0" w:space="0" w:color="auto"/>
        <w:right w:val="none" w:sz="0" w:space="0" w:color="auto"/>
      </w:divBdr>
    </w:div>
    <w:div w:id="211735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F3B8046C4F4631AEBBA17DEBFD82F7"/>
        <w:category>
          <w:name w:val="General"/>
          <w:gallery w:val="placeholder"/>
        </w:category>
        <w:types>
          <w:type w:val="bbPlcHdr"/>
        </w:types>
        <w:behaviors>
          <w:behavior w:val="content"/>
        </w:behaviors>
        <w:guid w:val="{F528B528-E1F1-43DF-ACDC-F915DD2E4C9C}"/>
      </w:docPartPr>
      <w:docPartBody>
        <w:p w:rsidR="00DA2D37" w:rsidRDefault="00EF4C3F" w:rsidP="00EF4C3F">
          <w:pPr>
            <w:pStyle w:val="35F3B8046C4F4631AEBBA17DEBFD82F7"/>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C3F"/>
    <w:rsid w:val="00D47D13"/>
    <w:rsid w:val="00DA2D37"/>
    <w:rsid w:val="00EF4C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4C3F"/>
    <w:rPr>
      <w:color w:val="808080"/>
    </w:rPr>
  </w:style>
  <w:style w:type="paragraph" w:customStyle="1" w:styleId="35F3B8046C4F4631AEBBA17DEBFD82F7">
    <w:name w:val="35F3B8046C4F4631AEBBA17DEBFD82F7"/>
    <w:rsid w:val="00EF4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6615" ma:contentTypeDescription=" " ma:contentTypeScope="" ma:versionID="01eda8f1164f5d9195547c43e9f36f89">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i6880fa62fd2465ea894b48b45824d1c xmlns="9f7bc583-7cbe-45b9-a2bd-8bbb6543b37e">
      <Terms xmlns="http://schemas.microsoft.com/office/infopath/2007/PartnerControls"/>
    </i6880fa62fd2465ea894b48b45824d1c>
    <_dlc_DocId xmlns="0f563589-9cf9-4143-b1eb-fb0534803d38">2021RG-111-18583</_dlc_DocId>
    <_dlc_DocIdUrl xmlns="0f563589-9cf9-4143-b1eb-fb0534803d38">
      <Url>http://tweb/sites/rg/ldp/lmu/_layouts/15/DocIdRedir.aspx?ID=2021RG-111-18583</Url>
      <Description>2021RG-111-18583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EE344-D882-4A58-99AE-1BBAA6C260C6}"/>
</file>

<file path=customXml/itemProps2.xml><?xml version="1.0" encoding="utf-8"?>
<ds:datastoreItem xmlns:ds="http://schemas.openxmlformats.org/officeDocument/2006/customXml" ds:itemID="{77E3B556-C50B-4178-8E05-B81E61A84BC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687b78b0-2ddd-4441-8a8b-c9638c2a1939"/>
    <ds:schemaRef ds:uri="http://schemas.microsoft.com/sharepoint/v3"/>
    <ds:schemaRef ds:uri="http://purl.org/dc/terms/"/>
    <ds:schemaRef ds:uri="9f7bc583-7cbe-45b9-a2bd-8bbb6543b37e"/>
    <ds:schemaRef ds:uri="0f563589-9cf9-4143-b1eb-fb0534803d38"/>
    <ds:schemaRef ds:uri="http://www.w3.org/XML/1998/namespace"/>
    <ds:schemaRef ds:uri="http://purl.org/dc/dcmitype/"/>
  </ds:schemaRefs>
</ds:datastoreItem>
</file>

<file path=customXml/itemProps3.xml><?xml version="1.0" encoding="utf-8"?>
<ds:datastoreItem xmlns:ds="http://schemas.openxmlformats.org/officeDocument/2006/customXml" ds:itemID="{09102674-B003-46CE-86E3-A2B6178A2BCD}">
  <ds:schemaRefs>
    <ds:schemaRef ds:uri="http://schemas.microsoft.com/sharepoint/v3/contenttype/forms"/>
  </ds:schemaRefs>
</ds:datastoreItem>
</file>

<file path=customXml/itemProps4.xml><?xml version="1.0" encoding="utf-8"?>
<ds:datastoreItem xmlns:ds="http://schemas.openxmlformats.org/officeDocument/2006/customXml" ds:itemID="{A3A164D0-05A4-407D-BDE8-806FB83704A1}">
  <ds:schemaRefs>
    <ds:schemaRef ds:uri="office.server.policy"/>
  </ds:schemaRefs>
</ds:datastoreItem>
</file>

<file path=customXml/itemProps5.xml><?xml version="1.0" encoding="utf-8"?>
<ds:datastoreItem xmlns:ds="http://schemas.openxmlformats.org/officeDocument/2006/customXml" ds:itemID="{FC640989-98DD-4A03-9A9C-6FBF8AB2F930}"/>
</file>

<file path=customXml/itemProps6.xml><?xml version="1.0" encoding="utf-8"?>
<ds:datastoreItem xmlns:ds="http://schemas.openxmlformats.org/officeDocument/2006/customXml" ds:itemID="{742B8A0E-3FD3-4E21-B70E-7D17115A4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4</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Department of the Treasury</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210318- ES-TSY_46_604-JobKeeperRules_10.FINAL</dc:title>
  <dc:subject/>
  <dc:creator>Kinra, Mohita</dc:creator>
  <cp:keywords/>
  <dc:description/>
  <cp:lastModifiedBy>Yore, Tom</cp:lastModifiedBy>
  <cp:revision>35</cp:revision>
  <dcterms:created xsi:type="dcterms:W3CDTF">2021-03-18T04:04:00Z</dcterms:created>
  <dcterms:modified xsi:type="dcterms:W3CDTF">2021-03-18T07:11:00Z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0x01010036BB8DE7EC542E42A8B2E98CC20CB69700D5C18F41BA18FB44827A222ACD6776F5</vt:lpwstr>
  </property>
  <property fmtid="{D5CDD505-2E9C-101B-9397-08002B2CF9AE}" pid="3" name="TSYTopic">
    <vt:lpwstr/>
  </property>
  <property fmtid="{D5CDD505-2E9C-101B-9397-08002B2CF9AE}" pid="4" name="TSYRecordClass">
    <vt:lpwstr>7;#TSY RA-9236 - Retain as national archives|c6a225b4-6b93-473e-bcbb-6bc6ab25b623</vt:lpwstr>
  </property>
  <property fmtid="{D5CDD505-2E9C-101B-9397-08002B2CF9AE}" pid="5" name="_dlc_DocIdItemGuid">
    <vt:lpwstr>e7e98e8c-709e-4892-8dc0-4d5331e1b137</vt:lpwstr>
  </property>
  <property fmtid="{D5CDD505-2E9C-101B-9397-08002B2CF9AE}" pid="6" name="Order">
    <vt:r8>1858300</vt:r8>
  </property>
  <property fmtid="{D5CDD505-2E9C-101B-9397-08002B2CF9AE}" pid="7" name="oae75e2df9d943898d59cb03ca0993c5">
    <vt:lpwstr/>
  </property>
  <property fmtid="{D5CDD505-2E9C-101B-9397-08002B2CF9AE}" pid="8" name="Topics">
    <vt:lpwstr/>
  </property>
</Properties>
</file>