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01CC" w14:textId="77777777" w:rsidR="00FB640B" w:rsidRPr="008B24C8" w:rsidRDefault="0057002B" w:rsidP="00915032">
      <w:pPr>
        <w:spacing w:line="276" w:lineRule="auto"/>
        <w:jc w:val="center"/>
        <w:rPr>
          <w:rFonts w:ascii="Times New Roman" w:hAnsi="Times New Roman" w:cs="Times New Roman"/>
          <w:u w:val="single"/>
        </w:rPr>
      </w:pPr>
      <w:r w:rsidRPr="008B24C8">
        <w:rPr>
          <w:rFonts w:ascii="Times New Roman" w:hAnsi="Times New Roman" w:cs="Times New Roman"/>
          <w:u w:val="single"/>
        </w:rPr>
        <w:t>EXPLANATORY STATEMENT</w:t>
      </w:r>
    </w:p>
    <w:p w14:paraId="6A35C68C" w14:textId="3F1C1B83" w:rsidR="0057002B" w:rsidRPr="008B24C8" w:rsidRDefault="0057002B" w:rsidP="00915032">
      <w:pPr>
        <w:spacing w:line="276" w:lineRule="auto"/>
        <w:jc w:val="center"/>
        <w:rPr>
          <w:rFonts w:ascii="Times New Roman" w:hAnsi="Times New Roman" w:cs="Times New Roman"/>
        </w:rPr>
      </w:pPr>
      <w:r w:rsidRPr="008B24C8">
        <w:rPr>
          <w:rFonts w:ascii="Times New Roman" w:hAnsi="Times New Roman" w:cs="Times New Roman"/>
        </w:rPr>
        <w:t xml:space="preserve">Issued by authority of the Minister for Immigration, Citizenship, Migrant </w:t>
      </w:r>
      <w:r w:rsidR="008E7082">
        <w:rPr>
          <w:rFonts w:ascii="Times New Roman" w:hAnsi="Times New Roman" w:cs="Times New Roman"/>
        </w:rPr>
        <w:t>Services</w:t>
      </w:r>
      <w:r w:rsidRPr="008B24C8">
        <w:rPr>
          <w:rFonts w:ascii="Times New Roman" w:hAnsi="Times New Roman" w:cs="Times New Roman"/>
        </w:rPr>
        <w:t xml:space="preserve"> and</w:t>
      </w:r>
      <w:r w:rsidRPr="008B24C8">
        <w:rPr>
          <w:rFonts w:ascii="Times New Roman" w:hAnsi="Times New Roman" w:cs="Times New Roman"/>
        </w:rPr>
        <w:br/>
        <w:t>Multicultural Affairs</w:t>
      </w:r>
      <w:r w:rsidR="0019164E">
        <w:rPr>
          <w:rFonts w:ascii="Times New Roman" w:hAnsi="Times New Roman" w:cs="Times New Roman"/>
        </w:rPr>
        <w:t xml:space="preserve"> </w:t>
      </w:r>
    </w:p>
    <w:p w14:paraId="2C0EE817" w14:textId="77777777" w:rsidR="0057002B" w:rsidRPr="008B24C8" w:rsidRDefault="00C76AF8" w:rsidP="00915032">
      <w:pPr>
        <w:spacing w:line="276" w:lineRule="auto"/>
        <w:jc w:val="center"/>
        <w:rPr>
          <w:rFonts w:ascii="Times New Roman" w:hAnsi="Times New Roman" w:cs="Times New Roman"/>
          <w:i/>
        </w:rPr>
      </w:pPr>
      <w:r>
        <w:rPr>
          <w:rFonts w:ascii="Times New Roman" w:hAnsi="Times New Roman" w:cs="Times New Roman"/>
          <w:i/>
        </w:rPr>
        <w:t>Migration Act 1958</w:t>
      </w:r>
    </w:p>
    <w:p w14:paraId="52EA7E2A" w14:textId="77777777" w:rsidR="0057002B" w:rsidRPr="008B24C8" w:rsidRDefault="0057002B" w:rsidP="00915032">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bookmarkStart w:id="0" w:name="_GoBack"/>
      <w:bookmarkEnd w:id="0"/>
    </w:p>
    <w:p w14:paraId="08F6F9DD" w14:textId="3C5EDAB4" w:rsidR="0057002B" w:rsidRPr="008B24C8" w:rsidRDefault="00C76AF8" w:rsidP="00915032">
      <w:pPr>
        <w:spacing w:before="360" w:after="600" w:line="276" w:lineRule="auto"/>
        <w:jc w:val="center"/>
        <w:rPr>
          <w:rFonts w:ascii="Times New Roman" w:hAnsi="Times New Roman" w:cs="Times New Roman"/>
          <w:b/>
          <w:i/>
        </w:rPr>
      </w:pPr>
      <w:r w:rsidRPr="00C76AF8">
        <w:rPr>
          <w:rFonts w:ascii="Times New Roman" w:hAnsi="Times New Roman" w:cs="Times New Roman"/>
          <w:b/>
          <w:i/>
        </w:rPr>
        <w:t xml:space="preserve">Migration (Specification of Occupations and Assessing Authorities—Subclass </w:t>
      </w:r>
      <w:r w:rsidR="00AF4ABE">
        <w:rPr>
          <w:rFonts w:ascii="Times New Roman" w:hAnsi="Times New Roman" w:cs="Times New Roman"/>
          <w:b/>
          <w:i/>
        </w:rPr>
        <w:t>186 Visa</w:t>
      </w:r>
      <w:proofErr w:type="gramStart"/>
      <w:r w:rsidR="00AF4ABE">
        <w:rPr>
          <w:rFonts w:ascii="Times New Roman" w:hAnsi="Times New Roman" w:cs="Times New Roman"/>
          <w:b/>
          <w:i/>
        </w:rPr>
        <w:t>)</w:t>
      </w:r>
      <w:proofErr w:type="gramEnd"/>
      <w:r w:rsidR="00AF4ABE">
        <w:rPr>
          <w:rFonts w:ascii="Times New Roman" w:hAnsi="Times New Roman" w:cs="Times New Roman"/>
          <w:b/>
          <w:i/>
        </w:rPr>
        <w:br/>
      </w:r>
      <w:r w:rsidRPr="00C76AF8">
        <w:rPr>
          <w:rFonts w:ascii="Times New Roman" w:hAnsi="Times New Roman" w:cs="Times New Roman"/>
          <w:b/>
          <w:i/>
        </w:rPr>
        <w:t>Amendment Instrument (LIN 21/009)</w:t>
      </w:r>
      <w:r w:rsidR="00AF4ABE">
        <w:rPr>
          <w:rFonts w:ascii="Times New Roman" w:hAnsi="Times New Roman" w:cs="Times New Roman"/>
          <w:b/>
          <w:i/>
        </w:rPr>
        <w:t xml:space="preserve"> </w:t>
      </w:r>
      <w:r w:rsidRPr="00C76AF8">
        <w:rPr>
          <w:rFonts w:ascii="Times New Roman" w:hAnsi="Times New Roman" w:cs="Times New Roman"/>
          <w:b/>
          <w:i/>
        </w:rPr>
        <w:t>2021</w:t>
      </w:r>
    </w:p>
    <w:p w14:paraId="05DC3648" w14:textId="77777777" w:rsidR="0057002B" w:rsidRPr="008B24C8" w:rsidRDefault="0057002B"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sidRPr="008B24C8">
        <w:rPr>
          <w:rFonts w:ascii="Times New Roman" w:hAnsi="Times New Roman" w:cs="Times New Roman"/>
        </w:rPr>
        <w:t>The inst</w:t>
      </w:r>
      <w:r w:rsidR="00C76AF8">
        <w:rPr>
          <w:rFonts w:ascii="Times New Roman" w:hAnsi="Times New Roman" w:cs="Times New Roman"/>
        </w:rPr>
        <w:t xml:space="preserve">rument, Departmental reference </w:t>
      </w:r>
      <w:r w:rsidRPr="008B24C8">
        <w:rPr>
          <w:rFonts w:ascii="Times New Roman" w:hAnsi="Times New Roman" w:cs="Times New Roman"/>
        </w:rPr>
        <w:t>LIN</w:t>
      </w:r>
      <w:r w:rsidR="00C76AF8">
        <w:rPr>
          <w:rFonts w:ascii="Times New Roman" w:hAnsi="Times New Roman" w:cs="Times New Roman"/>
        </w:rPr>
        <w:t xml:space="preserve"> 21/009, is made under paragraph 186.234(2</w:t>
      </w:r>
      <w:proofErr w:type="gramStart"/>
      <w:r w:rsidR="00C76AF8">
        <w:rPr>
          <w:rFonts w:ascii="Times New Roman" w:hAnsi="Times New Roman" w:cs="Times New Roman"/>
        </w:rPr>
        <w:t>)(</w:t>
      </w:r>
      <w:proofErr w:type="gramEnd"/>
      <w:r w:rsidR="00C76AF8">
        <w:rPr>
          <w:rFonts w:ascii="Times New Roman" w:hAnsi="Times New Roman" w:cs="Times New Roman"/>
        </w:rPr>
        <w:t>a) of Schedule 2 to</w:t>
      </w:r>
      <w:r w:rsidRPr="008B24C8">
        <w:rPr>
          <w:rFonts w:ascii="Times New Roman" w:hAnsi="Times New Roman" w:cs="Times New Roman"/>
        </w:rPr>
        <w:t xml:space="preserve"> </w:t>
      </w:r>
      <w:r w:rsidRPr="008B24C8">
        <w:rPr>
          <w:rFonts w:ascii="Times New Roman" w:hAnsi="Times New Roman" w:cs="Times New Roman"/>
          <w:i/>
        </w:rPr>
        <w:t>Migration Regulations 1994</w:t>
      </w:r>
      <w:r w:rsidR="00C76AF8">
        <w:rPr>
          <w:rFonts w:ascii="Times New Roman" w:hAnsi="Times New Roman" w:cs="Times New Roman"/>
        </w:rPr>
        <w:t xml:space="preserve"> (the Migration Regulations). </w:t>
      </w:r>
    </w:p>
    <w:p w14:paraId="6C1B14F6" w14:textId="2E82AD92" w:rsidR="00AF4ABE" w:rsidRDefault="00C76AF8" w:rsidP="00AF4ABE">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instrument</w:t>
      </w:r>
      <w:r w:rsidR="00BD598E" w:rsidRPr="008B24C8">
        <w:rPr>
          <w:rFonts w:ascii="Times New Roman" w:hAnsi="Times New Roman" w:cs="Times New Roman"/>
        </w:rPr>
        <w:t xml:space="preserve"> </w:t>
      </w:r>
      <w:r>
        <w:rPr>
          <w:rFonts w:ascii="Times New Roman" w:hAnsi="Times New Roman" w:cs="Times New Roman"/>
        </w:rPr>
        <w:t xml:space="preserve">amends </w:t>
      </w:r>
      <w:r w:rsidRPr="00C76AF8">
        <w:rPr>
          <w:rFonts w:ascii="Times New Roman" w:hAnsi="Times New Roman" w:cs="Times New Roman"/>
          <w:i/>
        </w:rPr>
        <w:t>Migration (LIN 19/049: Specification of Occupations and Assessing Authorities —Subclass 186 Visa) Instrument 2019</w:t>
      </w:r>
      <w:r w:rsidRPr="00C76AF8">
        <w:rPr>
          <w:rFonts w:ascii="Times New Roman" w:hAnsi="Times New Roman" w:cs="Times New Roman"/>
        </w:rPr>
        <w:t xml:space="preserve"> (F2019L00275</w:t>
      </w:r>
      <w:r>
        <w:rPr>
          <w:rFonts w:ascii="Times New Roman" w:hAnsi="Times New Roman" w:cs="Times New Roman"/>
        </w:rPr>
        <w:t>)</w:t>
      </w:r>
      <w:r w:rsidRPr="00C76AF8">
        <w:rPr>
          <w:rFonts w:ascii="Times New Roman" w:hAnsi="Times New Roman" w:cs="Times New Roman"/>
        </w:rPr>
        <w:t xml:space="preserve"> </w:t>
      </w:r>
      <w:r>
        <w:rPr>
          <w:rFonts w:ascii="Times New Roman" w:hAnsi="Times New Roman" w:cs="Times New Roman"/>
        </w:rPr>
        <w:t>(</w:t>
      </w:r>
      <w:r w:rsidR="00464CD7">
        <w:rPr>
          <w:rFonts w:ascii="Times New Roman" w:hAnsi="Times New Roman" w:cs="Times New Roman"/>
        </w:rPr>
        <w:t>LIN 19/049</w:t>
      </w:r>
      <w:r w:rsidR="00B75478">
        <w:rPr>
          <w:rFonts w:ascii="Times New Roman" w:hAnsi="Times New Roman" w:cs="Times New Roman"/>
        </w:rPr>
        <w:t xml:space="preserve">) </w:t>
      </w:r>
      <w:r w:rsidR="00EA12C9" w:rsidRPr="008B24C8">
        <w:rPr>
          <w:rFonts w:ascii="Times New Roman" w:hAnsi="Times New Roman" w:cs="Times New Roman"/>
        </w:rPr>
        <w:t xml:space="preserve">in accordance with subsection 33(3) of the </w:t>
      </w:r>
      <w:r w:rsidR="00EA12C9" w:rsidRPr="008B24C8">
        <w:rPr>
          <w:rFonts w:ascii="Times New Roman" w:hAnsi="Times New Roman" w:cs="Times New Roman"/>
          <w:i/>
        </w:rPr>
        <w:t>Acts Interpretation Act 1901</w:t>
      </w:r>
      <w:r w:rsidR="00BD598E" w:rsidRPr="008B24C8">
        <w:rPr>
          <w:rFonts w:ascii="Times New Roman" w:hAnsi="Times New Roman" w:cs="Times New Roman"/>
          <w:i/>
        </w:rPr>
        <w:t xml:space="preserve"> </w:t>
      </w:r>
      <w:r w:rsidR="00BD598E" w:rsidRPr="008B24C8">
        <w:rPr>
          <w:rFonts w:ascii="Times New Roman" w:hAnsi="Times New Roman" w:cs="Times New Roman"/>
        </w:rPr>
        <w:t>(the Acts Interpretation Act)</w:t>
      </w:r>
      <w:r w:rsidR="00EA12C9" w:rsidRPr="008B24C8">
        <w:rPr>
          <w:rFonts w:ascii="Times New Roman" w:hAnsi="Times New Roman" w:cs="Times New Roman"/>
        </w:rPr>
        <w:t xml:space="preserve">.  That subsection provides that where an Act confers a power to make a legislative instrument, the power includes a power to </w:t>
      </w:r>
      <w:r w:rsidR="00BD598E" w:rsidRPr="008B24C8">
        <w:rPr>
          <w:rFonts w:ascii="Times New Roman" w:hAnsi="Times New Roman" w:cs="Times New Roman"/>
        </w:rPr>
        <w:t xml:space="preserve">amend or repeal that instrument, subject to any conditions that apply to the initial instrument-making power.  </w:t>
      </w:r>
    </w:p>
    <w:p w14:paraId="66001308" w14:textId="482B6679" w:rsidR="00BD598E" w:rsidRPr="00AF4ABE" w:rsidRDefault="00BD598E" w:rsidP="00AF4ABE">
      <w:pPr>
        <w:pStyle w:val="ListParagraph"/>
        <w:numPr>
          <w:ilvl w:val="0"/>
          <w:numId w:val="1"/>
        </w:numPr>
        <w:spacing w:before="240" w:after="240" w:line="276" w:lineRule="auto"/>
        <w:ind w:left="567" w:hanging="567"/>
        <w:contextualSpacing w:val="0"/>
        <w:rPr>
          <w:rFonts w:ascii="Times New Roman" w:hAnsi="Times New Roman" w:cs="Times New Roman"/>
        </w:rPr>
      </w:pPr>
      <w:r w:rsidRPr="00AF4ABE">
        <w:rPr>
          <w:rFonts w:ascii="Times New Roman" w:hAnsi="Times New Roman" w:cs="Times New Roman"/>
        </w:rPr>
        <w:t xml:space="preserve">Paragraph 13(1)(a) of the </w:t>
      </w:r>
      <w:r w:rsidRPr="00AF4ABE">
        <w:rPr>
          <w:rFonts w:ascii="Times New Roman" w:hAnsi="Times New Roman" w:cs="Times New Roman"/>
          <w:i/>
        </w:rPr>
        <w:t>Legislation Act 2003</w:t>
      </w:r>
      <w:r w:rsidRPr="00AF4ABE">
        <w:rPr>
          <w:rFonts w:ascii="Times New Roman" w:hAnsi="Times New Roman" w:cs="Times New Roman"/>
        </w:rPr>
        <w:t xml:space="preserve"> (the Legislation Act) provides that subsection 33(3) of the Acts Interpretation Act applies to an instrument-making power in the Migration Regulations as if the Migration Regulations</w:t>
      </w:r>
      <w:r w:rsidR="00C76AF8" w:rsidRPr="00AF4ABE">
        <w:rPr>
          <w:rFonts w:ascii="Times New Roman" w:hAnsi="Times New Roman" w:cs="Times New Roman"/>
        </w:rPr>
        <w:t xml:space="preserve"> were an Act.  This means that paragraph 186.234(2</w:t>
      </w:r>
      <w:proofErr w:type="gramStart"/>
      <w:r w:rsidR="00C76AF8" w:rsidRPr="00AF4ABE">
        <w:rPr>
          <w:rFonts w:ascii="Times New Roman" w:hAnsi="Times New Roman" w:cs="Times New Roman"/>
        </w:rPr>
        <w:t>)(</w:t>
      </w:r>
      <w:proofErr w:type="gramEnd"/>
      <w:r w:rsidR="00C76AF8" w:rsidRPr="00AF4ABE">
        <w:rPr>
          <w:rFonts w:ascii="Times New Roman" w:hAnsi="Times New Roman" w:cs="Times New Roman"/>
        </w:rPr>
        <w:t xml:space="preserve">a) of Schedule 2 </w:t>
      </w:r>
      <w:r w:rsidR="003306C8">
        <w:rPr>
          <w:rFonts w:ascii="Times New Roman" w:hAnsi="Times New Roman" w:cs="Times New Roman"/>
        </w:rPr>
        <w:t>to</w:t>
      </w:r>
      <w:r w:rsidR="003306C8" w:rsidRPr="00AF4ABE">
        <w:rPr>
          <w:rFonts w:ascii="Times New Roman" w:hAnsi="Times New Roman" w:cs="Times New Roman"/>
        </w:rPr>
        <w:t xml:space="preserve"> </w:t>
      </w:r>
      <w:r w:rsidRPr="00AF4ABE">
        <w:rPr>
          <w:rFonts w:ascii="Times New Roman" w:hAnsi="Times New Roman" w:cs="Times New Roman"/>
        </w:rPr>
        <w:t xml:space="preserve">the Migration Regulations also includes a power to amend or repeal an instrument made under that provision.  </w:t>
      </w:r>
    </w:p>
    <w:p w14:paraId="2BE708E0" w14:textId="602EA348" w:rsidR="00BD598E" w:rsidRPr="008B24C8" w:rsidRDefault="00C76AF8"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instrument commences on </w:t>
      </w:r>
      <w:r w:rsidR="00E65C19">
        <w:rPr>
          <w:rFonts w:ascii="Times New Roman" w:hAnsi="Times New Roman" w:cs="Times New Roman"/>
        </w:rPr>
        <w:t>the day</w:t>
      </w:r>
      <w:r w:rsidR="00D61E7A">
        <w:rPr>
          <w:rFonts w:ascii="Times New Roman" w:hAnsi="Times New Roman" w:cs="Times New Roman"/>
        </w:rPr>
        <w:t xml:space="preserve"> after</w:t>
      </w:r>
      <w:r w:rsidR="00E65C19">
        <w:rPr>
          <w:rFonts w:ascii="Times New Roman" w:hAnsi="Times New Roman" w:cs="Times New Roman"/>
        </w:rPr>
        <w:t xml:space="preserve"> it is registered</w:t>
      </w:r>
      <w:r w:rsidR="00D61E7A">
        <w:rPr>
          <w:rFonts w:ascii="Times New Roman" w:hAnsi="Times New Roman" w:cs="Times New Roman"/>
        </w:rPr>
        <w:t xml:space="preserve"> on the Federal Register of Legislation</w:t>
      </w:r>
      <w:r w:rsidR="00AA4557">
        <w:rPr>
          <w:rFonts w:ascii="Times New Roman" w:hAnsi="Times New Roman" w:cs="Times New Roman"/>
        </w:rPr>
        <w:t>, and i</w:t>
      </w:r>
      <w:r w:rsidR="00BD598E" w:rsidRPr="008B24C8">
        <w:rPr>
          <w:rFonts w:ascii="Times New Roman" w:hAnsi="Times New Roman" w:cs="Times New Roman"/>
        </w:rPr>
        <w:t xml:space="preserve">s a </w:t>
      </w:r>
      <w:r w:rsidR="00AA4557">
        <w:rPr>
          <w:rFonts w:ascii="Times New Roman" w:hAnsi="Times New Roman" w:cs="Times New Roman"/>
        </w:rPr>
        <w:t>legislative</w:t>
      </w:r>
      <w:r w:rsidR="00BD598E" w:rsidRPr="008B24C8">
        <w:rPr>
          <w:rFonts w:ascii="Times New Roman" w:hAnsi="Times New Roman" w:cs="Times New Roman"/>
        </w:rPr>
        <w:t xml:space="preserve"> instrument for </w:t>
      </w:r>
      <w:r w:rsidR="00B75478">
        <w:rPr>
          <w:rFonts w:ascii="Times New Roman" w:hAnsi="Times New Roman" w:cs="Times New Roman"/>
        </w:rPr>
        <w:t>the Legislation Act</w:t>
      </w:r>
      <w:r w:rsidR="00BD598E" w:rsidRPr="008B24C8">
        <w:rPr>
          <w:rFonts w:ascii="Times New Roman" w:hAnsi="Times New Roman" w:cs="Times New Roman"/>
        </w:rPr>
        <w:t xml:space="preserve">.  </w:t>
      </w:r>
    </w:p>
    <w:p w14:paraId="594C5396" w14:textId="77777777" w:rsidR="00EA12C9" w:rsidRDefault="00BD598E" w:rsidP="00915032">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Purpose</w:t>
      </w:r>
    </w:p>
    <w:p w14:paraId="602F9601" w14:textId="191326B7" w:rsidR="009472B3" w:rsidRPr="009472B3" w:rsidRDefault="00B75478" w:rsidP="00AF4ABE">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pu</w:t>
      </w:r>
      <w:r w:rsidR="009472B3">
        <w:rPr>
          <w:rFonts w:ascii="Times New Roman" w:hAnsi="Times New Roman" w:cs="Times New Roman"/>
        </w:rPr>
        <w:t xml:space="preserve">rpose of the instrument is to update the specified assessing authorities in relation to the following occupations: </w:t>
      </w:r>
      <w:r w:rsidR="009472B3" w:rsidRPr="009472B3">
        <w:rPr>
          <w:rFonts w:ascii="Times New Roman" w:hAnsi="Times New Roman" w:cs="Times New Roman"/>
        </w:rPr>
        <w:t>chief executive or managing director</w:t>
      </w:r>
      <w:r w:rsidR="009472B3">
        <w:rPr>
          <w:rFonts w:ascii="Times New Roman" w:hAnsi="Times New Roman" w:cs="Times New Roman"/>
        </w:rPr>
        <w:t xml:space="preserve">, </w:t>
      </w:r>
      <w:r w:rsidR="009472B3" w:rsidRPr="009472B3">
        <w:rPr>
          <w:rFonts w:ascii="Times New Roman" w:hAnsi="Times New Roman" w:cs="Times New Roman"/>
        </w:rPr>
        <w:t>corporate general manager</w:t>
      </w:r>
      <w:r w:rsidR="009472B3">
        <w:rPr>
          <w:rFonts w:ascii="Times New Roman" w:hAnsi="Times New Roman" w:cs="Times New Roman"/>
        </w:rPr>
        <w:t xml:space="preserve">, </w:t>
      </w:r>
      <w:r w:rsidR="009472B3" w:rsidRPr="009472B3">
        <w:rPr>
          <w:rFonts w:ascii="Times New Roman" w:hAnsi="Times New Roman" w:cs="Times New Roman"/>
        </w:rPr>
        <w:t>engineering manager</w:t>
      </w:r>
      <w:r w:rsidR="009472B3">
        <w:rPr>
          <w:rFonts w:ascii="Times New Roman" w:hAnsi="Times New Roman" w:cs="Times New Roman"/>
        </w:rPr>
        <w:t xml:space="preserve">, </w:t>
      </w:r>
      <w:r w:rsidR="0032546F">
        <w:rPr>
          <w:rFonts w:ascii="Times New Roman" w:hAnsi="Times New Roman" w:cs="Times New Roman"/>
        </w:rPr>
        <w:t>childcare</w:t>
      </w:r>
      <w:r w:rsidR="009472B3" w:rsidRPr="009472B3">
        <w:rPr>
          <w:rFonts w:ascii="Times New Roman" w:hAnsi="Times New Roman" w:cs="Times New Roman"/>
        </w:rPr>
        <w:t xml:space="preserve"> centre manager</w:t>
      </w:r>
      <w:r w:rsidR="009472B3">
        <w:rPr>
          <w:rFonts w:ascii="Times New Roman" w:hAnsi="Times New Roman" w:cs="Times New Roman"/>
        </w:rPr>
        <w:t xml:space="preserve"> and </w:t>
      </w:r>
      <w:r w:rsidR="009472B3" w:rsidRPr="009472B3">
        <w:rPr>
          <w:rFonts w:ascii="Times New Roman" w:hAnsi="Times New Roman" w:cs="Times New Roman"/>
        </w:rPr>
        <w:t>podiatrist</w:t>
      </w:r>
      <w:r w:rsidR="009472B3">
        <w:rPr>
          <w:rFonts w:ascii="Times New Roman" w:hAnsi="Times New Roman" w:cs="Times New Roman"/>
        </w:rPr>
        <w:t xml:space="preserve">. </w:t>
      </w:r>
    </w:p>
    <w:p w14:paraId="1C9A8F83" w14:textId="29A1A22C" w:rsidR="008B24C8" w:rsidRPr="002C0FA7" w:rsidRDefault="008B24C8"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sidRPr="002C0FA7">
        <w:rPr>
          <w:rFonts w:ascii="Times New Roman" w:hAnsi="Times New Roman" w:cs="Times New Roman"/>
        </w:rPr>
        <w:t xml:space="preserve">The instrument specifies </w:t>
      </w:r>
      <w:r w:rsidR="00341142">
        <w:rPr>
          <w:rFonts w:ascii="Times New Roman" w:hAnsi="Times New Roman" w:cs="Times New Roman"/>
        </w:rPr>
        <w:t>matters</w:t>
      </w:r>
      <w:r w:rsidRPr="002C0FA7">
        <w:rPr>
          <w:rFonts w:ascii="Times New Roman" w:hAnsi="Times New Roman" w:cs="Times New Roman"/>
        </w:rPr>
        <w:t xml:space="preserve"> </w:t>
      </w:r>
      <w:r w:rsidR="00464080" w:rsidRPr="002C0FA7">
        <w:rPr>
          <w:rFonts w:ascii="Times New Roman" w:hAnsi="Times New Roman" w:cs="Times New Roman"/>
        </w:rPr>
        <w:t>relating</w:t>
      </w:r>
      <w:r w:rsidRPr="002C0FA7">
        <w:rPr>
          <w:rFonts w:ascii="Times New Roman" w:hAnsi="Times New Roman" w:cs="Times New Roman"/>
        </w:rPr>
        <w:t xml:space="preserve"> to applications for a </w:t>
      </w:r>
      <w:r w:rsidR="00AF4ABE">
        <w:rPr>
          <w:rFonts w:ascii="Times New Roman" w:hAnsi="Times New Roman" w:cs="Times New Roman"/>
        </w:rPr>
        <w:t>Subclass</w:t>
      </w:r>
      <w:r w:rsidR="00AF4ABE" w:rsidRPr="002C0FA7">
        <w:rPr>
          <w:rFonts w:ascii="Times New Roman" w:hAnsi="Times New Roman" w:cs="Times New Roman"/>
        </w:rPr>
        <w:t xml:space="preserve"> </w:t>
      </w:r>
      <w:r w:rsidR="00ED3B35" w:rsidRPr="002C0FA7">
        <w:rPr>
          <w:rFonts w:ascii="Times New Roman" w:hAnsi="Times New Roman" w:cs="Times New Roman"/>
        </w:rPr>
        <w:t>186</w:t>
      </w:r>
      <w:r w:rsidRPr="002C0FA7">
        <w:rPr>
          <w:rFonts w:ascii="Times New Roman" w:hAnsi="Times New Roman" w:cs="Times New Roman"/>
        </w:rPr>
        <w:t xml:space="preserve"> (</w:t>
      </w:r>
      <w:r w:rsidR="00ED3B35" w:rsidRPr="002C0FA7">
        <w:rPr>
          <w:rFonts w:ascii="Times New Roman" w:hAnsi="Times New Roman" w:cs="Times New Roman"/>
        </w:rPr>
        <w:t>Employer Nomination Scheme</w:t>
      </w:r>
      <w:r w:rsidRPr="002C0FA7">
        <w:rPr>
          <w:rFonts w:ascii="Times New Roman" w:hAnsi="Times New Roman" w:cs="Times New Roman"/>
        </w:rPr>
        <w:t xml:space="preserve">) visa </w:t>
      </w:r>
      <w:r w:rsidR="00ED3B35" w:rsidRPr="002C0FA7">
        <w:rPr>
          <w:rFonts w:ascii="Times New Roman" w:hAnsi="Times New Roman" w:cs="Times New Roman"/>
        </w:rPr>
        <w:t xml:space="preserve">in the Direct Entry Stream </w:t>
      </w:r>
      <w:r w:rsidRPr="002C0FA7">
        <w:rPr>
          <w:rFonts w:ascii="Times New Roman" w:hAnsi="Times New Roman" w:cs="Times New Roman"/>
        </w:rPr>
        <w:t>(</w:t>
      </w:r>
      <w:r w:rsidR="00464080" w:rsidRPr="002C0FA7">
        <w:rPr>
          <w:rFonts w:ascii="Times New Roman" w:hAnsi="Times New Roman" w:cs="Times New Roman"/>
        </w:rPr>
        <w:t xml:space="preserve">a </w:t>
      </w:r>
      <w:r w:rsidR="00AF4ABE">
        <w:rPr>
          <w:rFonts w:ascii="Times New Roman" w:hAnsi="Times New Roman" w:cs="Times New Roman"/>
        </w:rPr>
        <w:t>Subclass</w:t>
      </w:r>
      <w:r w:rsidR="00AF4ABE" w:rsidRPr="002C0FA7">
        <w:rPr>
          <w:rFonts w:ascii="Times New Roman" w:hAnsi="Times New Roman" w:cs="Times New Roman"/>
        </w:rPr>
        <w:t xml:space="preserve"> </w:t>
      </w:r>
      <w:r w:rsidR="00ED3B35" w:rsidRPr="002C0FA7">
        <w:rPr>
          <w:rFonts w:ascii="Times New Roman" w:hAnsi="Times New Roman" w:cs="Times New Roman"/>
        </w:rPr>
        <w:t xml:space="preserve">186 visa). </w:t>
      </w:r>
      <w:r w:rsidR="003306C8">
        <w:rPr>
          <w:rFonts w:ascii="Times New Roman" w:hAnsi="Times New Roman" w:cs="Times New Roman"/>
        </w:rPr>
        <w:t xml:space="preserve"> </w:t>
      </w:r>
      <w:r w:rsidRPr="002C0FA7">
        <w:rPr>
          <w:rFonts w:ascii="Times New Roman" w:hAnsi="Times New Roman" w:cs="Times New Roman"/>
        </w:rPr>
        <w:t xml:space="preserve">Under </w:t>
      </w:r>
      <w:r w:rsidR="002C0FA7" w:rsidRPr="002C0FA7">
        <w:rPr>
          <w:rFonts w:ascii="Times New Roman" w:hAnsi="Times New Roman" w:cs="Times New Roman"/>
        </w:rPr>
        <w:t>sub</w:t>
      </w:r>
      <w:r w:rsidRPr="002C0FA7">
        <w:rPr>
          <w:rFonts w:ascii="Times New Roman" w:hAnsi="Times New Roman" w:cs="Times New Roman"/>
        </w:rPr>
        <w:t>clause</w:t>
      </w:r>
      <w:r w:rsidR="00AF4ABE">
        <w:rPr>
          <w:rFonts w:ascii="Times New Roman" w:hAnsi="Times New Roman" w:cs="Times New Roman"/>
        </w:rPr>
        <w:t> </w:t>
      </w:r>
      <w:r w:rsidR="001C617D" w:rsidRPr="002C0FA7">
        <w:rPr>
          <w:rFonts w:ascii="Times New Roman" w:hAnsi="Times New Roman" w:cs="Times New Roman"/>
        </w:rPr>
        <w:t>186.234</w:t>
      </w:r>
      <w:r w:rsidR="002C0FA7" w:rsidRPr="002C0FA7">
        <w:rPr>
          <w:rFonts w:ascii="Times New Roman" w:hAnsi="Times New Roman" w:cs="Times New Roman"/>
        </w:rPr>
        <w:t>(1)</w:t>
      </w:r>
      <w:r w:rsidRPr="002C0FA7">
        <w:rPr>
          <w:rFonts w:ascii="Times New Roman" w:hAnsi="Times New Roman" w:cs="Times New Roman"/>
        </w:rPr>
        <w:t xml:space="preserve"> of Schedule </w:t>
      </w:r>
      <w:r w:rsidR="001C617D" w:rsidRPr="002C0FA7">
        <w:rPr>
          <w:rFonts w:ascii="Times New Roman" w:hAnsi="Times New Roman" w:cs="Times New Roman"/>
        </w:rPr>
        <w:t>2</w:t>
      </w:r>
      <w:r w:rsidRPr="002C0FA7">
        <w:rPr>
          <w:rFonts w:ascii="Times New Roman" w:hAnsi="Times New Roman" w:cs="Times New Roman"/>
        </w:rPr>
        <w:t xml:space="preserve"> to the Migration Regulations, </w:t>
      </w:r>
      <w:r w:rsidR="00EC6946">
        <w:rPr>
          <w:rFonts w:ascii="Times New Roman" w:hAnsi="Times New Roman" w:cs="Times New Roman"/>
        </w:rPr>
        <w:t>at the time of application</w:t>
      </w:r>
      <w:r w:rsidRPr="002C0FA7">
        <w:rPr>
          <w:rFonts w:ascii="Times New Roman" w:hAnsi="Times New Roman" w:cs="Times New Roman"/>
        </w:rPr>
        <w:t xml:space="preserve"> </w:t>
      </w:r>
      <w:r w:rsidR="00EC6946">
        <w:rPr>
          <w:rFonts w:ascii="Times New Roman" w:hAnsi="Times New Roman" w:cs="Times New Roman"/>
        </w:rPr>
        <w:t xml:space="preserve">for a </w:t>
      </w:r>
      <w:r w:rsidR="00AF4ABE" w:rsidRPr="002C0FA7">
        <w:rPr>
          <w:rFonts w:ascii="Times New Roman" w:hAnsi="Times New Roman" w:cs="Times New Roman"/>
        </w:rPr>
        <w:t xml:space="preserve">Subclass </w:t>
      </w:r>
      <w:r w:rsidR="001C617D" w:rsidRPr="002C0FA7">
        <w:rPr>
          <w:rFonts w:ascii="Times New Roman" w:hAnsi="Times New Roman" w:cs="Times New Roman"/>
        </w:rPr>
        <w:t>186</w:t>
      </w:r>
      <w:r w:rsidRPr="002C0FA7">
        <w:rPr>
          <w:rFonts w:ascii="Times New Roman" w:hAnsi="Times New Roman" w:cs="Times New Roman"/>
        </w:rPr>
        <w:t xml:space="preserve"> visa</w:t>
      </w:r>
      <w:r w:rsidR="00EC6946">
        <w:rPr>
          <w:rFonts w:ascii="Times New Roman" w:hAnsi="Times New Roman" w:cs="Times New Roman"/>
        </w:rPr>
        <w:t>, an applicant must</w:t>
      </w:r>
      <w:r w:rsidRPr="002C0FA7">
        <w:rPr>
          <w:rFonts w:ascii="Times New Roman" w:hAnsi="Times New Roman" w:cs="Times New Roman"/>
        </w:rPr>
        <w:t xml:space="preserve">: </w:t>
      </w:r>
    </w:p>
    <w:p w14:paraId="708064B0" w14:textId="44070826" w:rsidR="008B24C8" w:rsidRDefault="007109C1" w:rsidP="00915032">
      <w:pPr>
        <w:pStyle w:val="ListParagraph"/>
        <w:numPr>
          <w:ilvl w:val="1"/>
          <w:numId w:val="1"/>
        </w:numPr>
        <w:spacing w:before="240" w:after="240" w:line="276" w:lineRule="auto"/>
        <w:ind w:left="1276" w:hanging="425"/>
        <w:contextualSpacing w:val="0"/>
        <w:rPr>
          <w:rFonts w:ascii="Times New Roman" w:hAnsi="Times New Roman" w:cs="Times New Roman"/>
        </w:rPr>
      </w:pPr>
      <w:r w:rsidRPr="002C0FA7">
        <w:rPr>
          <w:rFonts w:ascii="Times New Roman" w:hAnsi="Times New Roman" w:cs="Times New Roman"/>
        </w:rPr>
        <w:t>have been assessed by a specified assessing authority, th</w:t>
      </w:r>
      <w:r w:rsidR="00EC6946">
        <w:rPr>
          <w:rFonts w:ascii="Times New Roman" w:hAnsi="Times New Roman" w:cs="Times New Roman"/>
        </w:rPr>
        <w:t>at</w:t>
      </w:r>
      <w:r w:rsidRPr="002C0FA7">
        <w:rPr>
          <w:rFonts w:ascii="Times New Roman" w:hAnsi="Times New Roman" w:cs="Times New Roman"/>
        </w:rPr>
        <w:t xml:space="preserve"> assessment must not be for a </w:t>
      </w:r>
      <w:r w:rsidR="00AF4ABE" w:rsidRPr="002C0FA7">
        <w:rPr>
          <w:rFonts w:ascii="Times New Roman" w:hAnsi="Times New Roman" w:cs="Times New Roman"/>
        </w:rPr>
        <w:t xml:space="preserve">Subclass </w:t>
      </w:r>
      <w:r w:rsidRPr="002C0FA7">
        <w:rPr>
          <w:rFonts w:ascii="Times New Roman" w:hAnsi="Times New Roman" w:cs="Times New Roman"/>
        </w:rPr>
        <w:t xml:space="preserve">485 (Temporary Graduate) visa </w:t>
      </w:r>
      <w:r w:rsidR="00EC6946">
        <w:rPr>
          <w:rFonts w:ascii="Times New Roman" w:hAnsi="Times New Roman" w:cs="Times New Roman"/>
        </w:rPr>
        <w:t>and</w:t>
      </w:r>
      <w:r w:rsidRPr="002C0FA7">
        <w:rPr>
          <w:rFonts w:ascii="Times New Roman" w:hAnsi="Times New Roman" w:cs="Times New Roman"/>
        </w:rPr>
        <w:t xml:space="preserve"> must not be more than 3 years old</w:t>
      </w:r>
      <w:r w:rsidR="002C0FA7" w:rsidRPr="002C0FA7">
        <w:rPr>
          <w:rFonts w:ascii="Times New Roman" w:hAnsi="Times New Roman" w:cs="Times New Roman"/>
        </w:rPr>
        <w:t xml:space="preserve"> at the time of application</w:t>
      </w:r>
      <w:r w:rsidR="00EC6946">
        <w:rPr>
          <w:rFonts w:ascii="Times New Roman" w:hAnsi="Times New Roman" w:cs="Times New Roman"/>
        </w:rPr>
        <w:t>,</w:t>
      </w:r>
      <w:r w:rsidR="002C0FA7" w:rsidRPr="002C0FA7">
        <w:rPr>
          <w:rFonts w:ascii="Times New Roman" w:hAnsi="Times New Roman" w:cs="Times New Roman"/>
        </w:rPr>
        <w:t xml:space="preserve"> and </w:t>
      </w:r>
      <w:r w:rsidRPr="002C0FA7">
        <w:rPr>
          <w:rFonts w:ascii="Times New Roman" w:hAnsi="Times New Roman" w:cs="Times New Roman"/>
        </w:rPr>
        <w:t xml:space="preserve">the applicant has been employed in the occupation for at least 3 years (see </w:t>
      </w:r>
      <w:r w:rsidR="00AF4ABE">
        <w:rPr>
          <w:rFonts w:ascii="Times New Roman" w:hAnsi="Times New Roman" w:cs="Times New Roman"/>
        </w:rPr>
        <w:t>subclause </w:t>
      </w:r>
      <w:r w:rsidRPr="002C0FA7">
        <w:rPr>
          <w:rFonts w:ascii="Times New Roman" w:hAnsi="Times New Roman" w:cs="Times New Roman"/>
        </w:rPr>
        <w:t>186.234(2) of Schedule 2 to the Migration Regulations</w:t>
      </w:r>
      <w:r w:rsidR="008B24C8" w:rsidRPr="002C0FA7">
        <w:rPr>
          <w:rFonts w:ascii="Times New Roman" w:hAnsi="Times New Roman" w:cs="Times New Roman"/>
        </w:rPr>
        <w:t xml:space="preserve">), or </w:t>
      </w:r>
    </w:p>
    <w:p w14:paraId="0682B175" w14:textId="65BEE6F7" w:rsidR="00AF4ABE" w:rsidRPr="002C0FA7" w:rsidRDefault="00AF4ABE" w:rsidP="00915032">
      <w:pPr>
        <w:pStyle w:val="ListParagraph"/>
        <w:numPr>
          <w:ilvl w:val="1"/>
          <w:numId w:val="1"/>
        </w:numPr>
        <w:spacing w:before="240" w:after="240" w:line="276" w:lineRule="auto"/>
        <w:ind w:left="1276" w:hanging="425"/>
        <w:contextualSpacing w:val="0"/>
        <w:rPr>
          <w:rFonts w:ascii="Times New Roman" w:hAnsi="Times New Roman" w:cs="Times New Roman"/>
        </w:rPr>
      </w:pPr>
      <w:r>
        <w:rPr>
          <w:rFonts w:ascii="Times New Roman" w:hAnsi="Times New Roman" w:cs="Times New Roman"/>
        </w:rPr>
        <w:t>have been assessed by an assessing authority as having skills suitable for their occupation</w:t>
      </w:r>
      <w:r w:rsidR="008D649D">
        <w:rPr>
          <w:rFonts w:ascii="Times New Roman" w:hAnsi="Times New Roman" w:cs="Times New Roman"/>
        </w:rPr>
        <w:t xml:space="preserve">, with the assessing authority for each occupation specified by legislative instrument </w:t>
      </w:r>
      <w:r>
        <w:rPr>
          <w:rFonts w:ascii="Times New Roman" w:hAnsi="Times New Roman" w:cs="Times New Roman"/>
        </w:rPr>
        <w:t>(</w:t>
      </w:r>
      <w:r w:rsidR="008D649D">
        <w:rPr>
          <w:rFonts w:ascii="Times New Roman" w:hAnsi="Times New Roman" w:cs="Times New Roman"/>
        </w:rPr>
        <w:t>with</w:t>
      </w:r>
      <w:r>
        <w:rPr>
          <w:rFonts w:ascii="Times New Roman" w:hAnsi="Times New Roman" w:cs="Times New Roman"/>
        </w:rPr>
        <w:t xml:space="preserve"> additional </w:t>
      </w:r>
      <w:r w:rsidR="008D649D">
        <w:rPr>
          <w:rFonts w:ascii="Times New Roman" w:hAnsi="Times New Roman" w:cs="Times New Roman"/>
        </w:rPr>
        <w:lastRenderedPageBreak/>
        <w:t>requirements</w:t>
      </w:r>
      <w:r>
        <w:rPr>
          <w:rFonts w:ascii="Times New Roman" w:hAnsi="Times New Roman" w:cs="Times New Roman"/>
        </w:rPr>
        <w:t xml:space="preserve"> </w:t>
      </w:r>
      <w:r w:rsidR="008D649D">
        <w:rPr>
          <w:rFonts w:ascii="Times New Roman" w:hAnsi="Times New Roman" w:cs="Times New Roman"/>
        </w:rPr>
        <w:t xml:space="preserve">also </w:t>
      </w:r>
      <w:r>
        <w:rPr>
          <w:rFonts w:ascii="Times New Roman" w:hAnsi="Times New Roman" w:cs="Times New Roman"/>
        </w:rPr>
        <w:t>listed in subclause 186.234(</w:t>
      </w:r>
      <w:r w:rsidR="008D649D">
        <w:rPr>
          <w:rFonts w:ascii="Times New Roman" w:hAnsi="Times New Roman" w:cs="Times New Roman"/>
        </w:rPr>
        <w:t xml:space="preserve">2) of Schedule 2 to the Migration Regulations), or </w:t>
      </w:r>
    </w:p>
    <w:p w14:paraId="5EDE9963" w14:textId="67AF88DD" w:rsidR="008B24C8" w:rsidRPr="002C0FA7" w:rsidRDefault="00AF4ABE" w:rsidP="00915032">
      <w:pPr>
        <w:pStyle w:val="ListParagraph"/>
        <w:numPr>
          <w:ilvl w:val="1"/>
          <w:numId w:val="1"/>
        </w:numPr>
        <w:spacing w:before="240" w:after="240" w:line="276" w:lineRule="auto"/>
        <w:ind w:left="1276" w:hanging="425"/>
        <w:contextualSpacing w:val="0"/>
        <w:rPr>
          <w:rFonts w:ascii="Times New Roman" w:hAnsi="Times New Roman" w:cs="Times New Roman"/>
        </w:rPr>
      </w:pPr>
      <w:proofErr w:type="gramStart"/>
      <w:r>
        <w:rPr>
          <w:rFonts w:ascii="Times New Roman" w:hAnsi="Times New Roman" w:cs="Times New Roman"/>
        </w:rPr>
        <w:t>be</w:t>
      </w:r>
      <w:proofErr w:type="gramEnd"/>
      <w:r w:rsidR="007109C1" w:rsidRPr="002C0FA7">
        <w:rPr>
          <w:rFonts w:ascii="Times New Roman" w:hAnsi="Times New Roman" w:cs="Times New Roman"/>
        </w:rPr>
        <w:t xml:space="preserve"> in a class of persons</w:t>
      </w:r>
      <w:r w:rsidR="002C0FA7">
        <w:rPr>
          <w:rFonts w:ascii="Times New Roman" w:hAnsi="Times New Roman" w:cs="Times New Roman"/>
        </w:rPr>
        <w:t xml:space="preserve"> specified by the Minister </w:t>
      </w:r>
      <w:r>
        <w:rPr>
          <w:rFonts w:ascii="Times New Roman" w:hAnsi="Times New Roman" w:cs="Times New Roman"/>
        </w:rPr>
        <w:t xml:space="preserve">in a legislative instrument </w:t>
      </w:r>
      <w:r w:rsidR="002C0FA7">
        <w:rPr>
          <w:rFonts w:ascii="Times New Roman" w:hAnsi="Times New Roman" w:cs="Times New Roman"/>
        </w:rPr>
        <w:t>(</w:t>
      </w:r>
      <w:r w:rsidR="007109C1" w:rsidRPr="002C0FA7">
        <w:rPr>
          <w:rFonts w:ascii="Times New Roman" w:hAnsi="Times New Roman" w:cs="Times New Roman"/>
        </w:rPr>
        <w:t xml:space="preserve">see </w:t>
      </w:r>
      <w:r>
        <w:rPr>
          <w:rFonts w:ascii="Times New Roman" w:hAnsi="Times New Roman" w:cs="Times New Roman"/>
        </w:rPr>
        <w:t>subclause </w:t>
      </w:r>
      <w:r w:rsidR="007109C1" w:rsidRPr="002C0FA7">
        <w:rPr>
          <w:rFonts w:ascii="Times New Roman" w:hAnsi="Times New Roman" w:cs="Times New Roman"/>
        </w:rPr>
        <w:t xml:space="preserve">186.234(3)). </w:t>
      </w:r>
    </w:p>
    <w:p w14:paraId="0E30FF02" w14:textId="42BDC074" w:rsidR="008B24C8" w:rsidRPr="00903530" w:rsidRDefault="004F5CE4">
      <w:pPr>
        <w:pStyle w:val="ListParagraph"/>
        <w:numPr>
          <w:ilvl w:val="0"/>
          <w:numId w:val="1"/>
        </w:numPr>
        <w:spacing w:before="240" w:after="240" w:line="276" w:lineRule="auto"/>
        <w:ind w:left="567" w:hanging="567"/>
        <w:contextualSpacing w:val="0"/>
        <w:rPr>
          <w:rFonts w:ascii="Times New Roman" w:hAnsi="Times New Roman" w:cs="Times New Roman"/>
        </w:rPr>
      </w:pPr>
      <w:r w:rsidRPr="00903530">
        <w:rPr>
          <w:rFonts w:ascii="Times New Roman" w:hAnsi="Times New Roman" w:cs="Times New Roman"/>
        </w:rPr>
        <w:t>The purpose of the instrument is to</w:t>
      </w:r>
      <w:r w:rsidR="007109C1" w:rsidRPr="00903530">
        <w:rPr>
          <w:rFonts w:ascii="Times New Roman" w:hAnsi="Times New Roman" w:cs="Times New Roman"/>
        </w:rPr>
        <w:t xml:space="preserve"> update the specified</w:t>
      </w:r>
      <w:r w:rsidR="008B24C8" w:rsidRPr="00903530">
        <w:rPr>
          <w:rFonts w:ascii="Times New Roman" w:hAnsi="Times New Roman" w:cs="Times New Roman"/>
        </w:rPr>
        <w:t xml:space="preserve"> </w:t>
      </w:r>
      <w:r w:rsidR="007109C1" w:rsidRPr="00903530">
        <w:rPr>
          <w:rFonts w:ascii="Times New Roman" w:hAnsi="Times New Roman" w:cs="Times New Roman"/>
        </w:rPr>
        <w:t>assessing authorities for the occupations included in</w:t>
      </w:r>
      <w:r w:rsidR="00ED0A37">
        <w:rPr>
          <w:rFonts w:ascii="Times New Roman" w:hAnsi="Times New Roman" w:cs="Times New Roman"/>
        </w:rPr>
        <w:t xml:space="preserve"> </w:t>
      </w:r>
      <w:r w:rsidR="003306C8">
        <w:rPr>
          <w:rFonts w:ascii="Times New Roman" w:hAnsi="Times New Roman" w:cs="Times New Roman"/>
        </w:rPr>
        <w:t>LIN 19/049</w:t>
      </w:r>
      <w:r w:rsidR="00341142" w:rsidRPr="00903530">
        <w:rPr>
          <w:rFonts w:ascii="Times New Roman" w:hAnsi="Times New Roman" w:cs="Times New Roman"/>
        </w:rPr>
        <w:t>,</w:t>
      </w:r>
      <w:r w:rsidR="007109C1" w:rsidRPr="00903530">
        <w:rPr>
          <w:rFonts w:ascii="Times New Roman" w:hAnsi="Times New Roman" w:cs="Times New Roman"/>
        </w:rPr>
        <w:t xml:space="preserve"> for paragraph</w:t>
      </w:r>
      <w:r w:rsidR="00AF4ABE" w:rsidRPr="00903530">
        <w:rPr>
          <w:rFonts w:ascii="Times New Roman" w:hAnsi="Times New Roman" w:cs="Times New Roman"/>
        </w:rPr>
        <w:t> </w:t>
      </w:r>
      <w:r w:rsidR="007109C1" w:rsidRPr="00903530">
        <w:rPr>
          <w:rFonts w:ascii="Times New Roman" w:hAnsi="Times New Roman" w:cs="Times New Roman"/>
        </w:rPr>
        <w:t>186.234(2</w:t>
      </w:r>
      <w:proofErr w:type="gramStart"/>
      <w:r w:rsidR="007109C1" w:rsidRPr="00903530">
        <w:rPr>
          <w:rFonts w:ascii="Times New Roman" w:hAnsi="Times New Roman" w:cs="Times New Roman"/>
        </w:rPr>
        <w:t>)(</w:t>
      </w:r>
      <w:proofErr w:type="gramEnd"/>
      <w:r w:rsidR="007109C1" w:rsidRPr="00903530">
        <w:rPr>
          <w:rFonts w:ascii="Times New Roman" w:hAnsi="Times New Roman" w:cs="Times New Roman"/>
        </w:rPr>
        <w:t>a) of Schedule 2 to the Migration Regulations.</w:t>
      </w:r>
      <w:r w:rsidR="00903530" w:rsidRPr="00903530">
        <w:rPr>
          <w:rFonts w:ascii="Times New Roman" w:hAnsi="Times New Roman" w:cs="Times New Roman"/>
        </w:rPr>
        <w:t xml:space="preserve"> </w:t>
      </w:r>
      <w:r w:rsidR="00903530">
        <w:rPr>
          <w:rFonts w:ascii="Times New Roman" w:hAnsi="Times New Roman" w:cs="Times New Roman"/>
        </w:rPr>
        <w:t xml:space="preserve"> </w:t>
      </w:r>
      <w:r w:rsidR="008B24C8" w:rsidRPr="00903530">
        <w:rPr>
          <w:rFonts w:ascii="Times New Roman" w:hAnsi="Times New Roman" w:cs="Times New Roman"/>
        </w:rPr>
        <w:t xml:space="preserve">The </w:t>
      </w:r>
      <w:r w:rsidR="00AA4557" w:rsidRPr="00903530">
        <w:rPr>
          <w:rFonts w:ascii="Times New Roman" w:hAnsi="Times New Roman" w:cs="Times New Roman"/>
        </w:rPr>
        <w:t>instrument</w:t>
      </w:r>
      <w:r w:rsidR="008B24C8" w:rsidRPr="00903530">
        <w:rPr>
          <w:rFonts w:ascii="Times New Roman" w:hAnsi="Times New Roman" w:cs="Times New Roman"/>
        </w:rPr>
        <w:t xml:space="preserve"> </w:t>
      </w:r>
      <w:r w:rsidR="002C0FA7" w:rsidRPr="00903530">
        <w:rPr>
          <w:rFonts w:ascii="Times New Roman" w:hAnsi="Times New Roman" w:cs="Times New Roman"/>
        </w:rPr>
        <w:t xml:space="preserve">updates </w:t>
      </w:r>
      <w:r w:rsidR="00903530" w:rsidRPr="00903530">
        <w:rPr>
          <w:rFonts w:ascii="Times New Roman" w:hAnsi="Times New Roman" w:cs="Times New Roman"/>
        </w:rPr>
        <w:t xml:space="preserve">the names of </w:t>
      </w:r>
      <w:r w:rsidR="007109C1" w:rsidRPr="00903530">
        <w:rPr>
          <w:rFonts w:ascii="Times New Roman" w:hAnsi="Times New Roman" w:cs="Times New Roman"/>
        </w:rPr>
        <w:t xml:space="preserve">assessing authorities </w:t>
      </w:r>
      <w:r w:rsidR="00903530" w:rsidRPr="00903530">
        <w:rPr>
          <w:rFonts w:ascii="Times New Roman" w:hAnsi="Times New Roman" w:cs="Times New Roman"/>
        </w:rPr>
        <w:t xml:space="preserve">that have changed, </w:t>
      </w:r>
      <w:r w:rsidR="007109C1" w:rsidRPr="00903530">
        <w:rPr>
          <w:rFonts w:ascii="Times New Roman" w:hAnsi="Times New Roman" w:cs="Times New Roman"/>
        </w:rPr>
        <w:t xml:space="preserve">and </w:t>
      </w:r>
      <w:r w:rsidR="00903530">
        <w:rPr>
          <w:rFonts w:ascii="Times New Roman" w:hAnsi="Times New Roman" w:cs="Times New Roman"/>
        </w:rPr>
        <w:t>implements change</w:t>
      </w:r>
      <w:r w:rsidR="0055094A">
        <w:rPr>
          <w:rFonts w:ascii="Times New Roman" w:hAnsi="Times New Roman" w:cs="Times New Roman"/>
        </w:rPr>
        <w:t xml:space="preserve">s to </w:t>
      </w:r>
      <w:r w:rsidR="00903530">
        <w:rPr>
          <w:rFonts w:ascii="Times New Roman" w:hAnsi="Times New Roman" w:cs="Times New Roman"/>
        </w:rPr>
        <w:t>assessing authorities for particular occupations</w:t>
      </w:r>
      <w:r w:rsidR="007109C1" w:rsidRPr="00903530">
        <w:rPr>
          <w:rFonts w:ascii="Times New Roman" w:hAnsi="Times New Roman" w:cs="Times New Roman"/>
        </w:rPr>
        <w:t xml:space="preserve">. </w:t>
      </w:r>
    </w:p>
    <w:p w14:paraId="08B39CE9" w14:textId="77777777" w:rsidR="008B24C8" w:rsidRDefault="008B24C8" w:rsidP="00915032">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Consultation</w:t>
      </w:r>
    </w:p>
    <w:p w14:paraId="6D975E6C" w14:textId="08038031" w:rsidR="008B24C8" w:rsidRDefault="00903530">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w:t>
      </w:r>
      <w:r w:rsidR="0007517D">
        <w:rPr>
          <w:rFonts w:ascii="Times New Roman" w:hAnsi="Times New Roman" w:cs="Times New Roman"/>
        </w:rPr>
        <w:t xml:space="preserve"> </w:t>
      </w:r>
      <w:r w:rsidR="00ED3B35" w:rsidRPr="00ED3B35">
        <w:rPr>
          <w:rFonts w:ascii="Times New Roman" w:hAnsi="Times New Roman" w:cs="Times New Roman"/>
        </w:rPr>
        <w:t>Department of Edu</w:t>
      </w:r>
      <w:r w:rsidR="00ED3B35">
        <w:rPr>
          <w:rFonts w:ascii="Times New Roman" w:hAnsi="Times New Roman" w:cs="Times New Roman"/>
        </w:rPr>
        <w:t>cation, Skills and Employment</w:t>
      </w:r>
      <w:r>
        <w:rPr>
          <w:rFonts w:ascii="Times New Roman" w:hAnsi="Times New Roman" w:cs="Times New Roman"/>
        </w:rPr>
        <w:t xml:space="preserve"> was consulted on, and agrees to, the amendm</w:t>
      </w:r>
      <w:r w:rsidR="004A47AD">
        <w:rPr>
          <w:rFonts w:ascii="Times New Roman" w:hAnsi="Times New Roman" w:cs="Times New Roman"/>
        </w:rPr>
        <w:t xml:space="preserve">ents being made to </w:t>
      </w:r>
      <w:r w:rsidR="00464CD7">
        <w:rPr>
          <w:rFonts w:ascii="Times New Roman" w:hAnsi="Times New Roman" w:cs="Times New Roman"/>
        </w:rPr>
        <w:t xml:space="preserve">LIN 19/049 </w:t>
      </w:r>
      <w:r>
        <w:rPr>
          <w:rFonts w:ascii="Times New Roman" w:hAnsi="Times New Roman" w:cs="Times New Roman"/>
        </w:rPr>
        <w:t>by the instrument</w:t>
      </w:r>
      <w:r w:rsidR="00ED3B35">
        <w:rPr>
          <w:rFonts w:ascii="Times New Roman" w:hAnsi="Times New Roman" w:cs="Times New Roman"/>
        </w:rPr>
        <w:t xml:space="preserve">. </w:t>
      </w:r>
      <w:r>
        <w:rPr>
          <w:rFonts w:ascii="Times New Roman" w:hAnsi="Times New Roman" w:cs="Times New Roman"/>
        </w:rPr>
        <w:t xml:space="preserve"> No public consultation was undertaken, as the instrument is minor and machinery in nature.  </w:t>
      </w:r>
    </w:p>
    <w:p w14:paraId="630E55E2" w14:textId="77777777" w:rsidR="008B24C8" w:rsidRPr="008B24C8" w:rsidRDefault="008B24C8" w:rsidP="00CC1FD3">
      <w:pPr>
        <w:pStyle w:val="ListParagraph"/>
        <w:numPr>
          <w:ilvl w:val="0"/>
          <w:numId w:val="1"/>
        </w:numPr>
        <w:spacing w:before="240" w:after="240" w:line="276" w:lineRule="auto"/>
        <w:ind w:left="567" w:hanging="567"/>
        <w:contextualSpacing w:val="0"/>
        <w:rPr>
          <w:rFonts w:ascii="Times New Roman" w:hAnsi="Times New Roman" w:cs="Times New Roman"/>
        </w:rPr>
      </w:pPr>
      <w:r w:rsidRPr="008B24C8">
        <w:rPr>
          <w:rFonts w:ascii="Times New Roman" w:hAnsi="Times New Roman" w:cs="Times New Roman"/>
        </w:rPr>
        <w:t>The Office of Best Practice Regulation (OBPR) was also consulted and considered that the instrument dealt with m</w:t>
      </w:r>
      <w:r w:rsidR="006A28DD">
        <w:rPr>
          <w:rFonts w:ascii="Times New Roman" w:hAnsi="Times New Roman" w:cs="Times New Roman"/>
        </w:rPr>
        <w:t>atters of a minor</w:t>
      </w:r>
      <w:r w:rsidRPr="008B24C8">
        <w:rPr>
          <w:rFonts w:ascii="Times New Roman" w:hAnsi="Times New Roman" w:cs="Times New Roman"/>
        </w:rPr>
        <w:t xml:space="preserve"> nature and no regulatory impact statement was required.  </w:t>
      </w:r>
      <w:r w:rsidR="006A28DD">
        <w:rPr>
          <w:rFonts w:ascii="Times New Roman" w:hAnsi="Times New Roman" w:cs="Times New Roman"/>
        </w:rPr>
        <w:t>The OBPR reference number is</w:t>
      </w:r>
      <w:r>
        <w:rPr>
          <w:rFonts w:ascii="Times New Roman" w:hAnsi="Times New Roman" w:cs="Times New Roman"/>
        </w:rPr>
        <w:t xml:space="preserve"> </w:t>
      </w:r>
      <w:r w:rsidR="006A28DD" w:rsidRPr="006A28DD">
        <w:rPr>
          <w:rFonts w:ascii="Times New Roman" w:hAnsi="Times New Roman" w:cs="Times New Roman"/>
        </w:rPr>
        <w:t>43403</w:t>
      </w:r>
      <w:r w:rsidRPr="008B24C8">
        <w:rPr>
          <w:rFonts w:ascii="Times New Roman" w:hAnsi="Times New Roman" w:cs="Times New Roman"/>
        </w:rPr>
        <w:t>.</w:t>
      </w:r>
    </w:p>
    <w:p w14:paraId="3801BAA9" w14:textId="77777777" w:rsidR="00AA4557" w:rsidRDefault="00464080" w:rsidP="00915032">
      <w:pPr>
        <w:pStyle w:val="ListParagraph"/>
        <w:spacing w:before="240" w:after="240" w:line="276" w:lineRule="auto"/>
        <w:ind w:left="0"/>
        <w:contextualSpacing w:val="0"/>
        <w:rPr>
          <w:rFonts w:ascii="Times New Roman" w:hAnsi="Times New Roman" w:cs="Times New Roman"/>
          <w:b/>
          <w:i/>
        </w:rPr>
      </w:pPr>
      <w:r>
        <w:rPr>
          <w:rFonts w:ascii="Times New Roman" w:hAnsi="Times New Roman" w:cs="Times New Roman"/>
          <w:b/>
          <w:i/>
        </w:rPr>
        <w:t>Details</w:t>
      </w:r>
      <w:r w:rsidR="00AA4557">
        <w:rPr>
          <w:rFonts w:ascii="Times New Roman" w:hAnsi="Times New Roman" w:cs="Times New Roman"/>
          <w:b/>
          <w:i/>
        </w:rPr>
        <w:t xml:space="preserve"> of the instrument</w:t>
      </w:r>
    </w:p>
    <w:p w14:paraId="3562AD07" w14:textId="77777777" w:rsidR="00AA4557" w:rsidRDefault="00AA455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Section 1 sets out</w:t>
      </w:r>
      <w:r w:rsidR="00E03DCC">
        <w:rPr>
          <w:rFonts w:ascii="Times New Roman" w:hAnsi="Times New Roman" w:cs="Times New Roman"/>
        </w:rPr>
        <w:t xml:space="preserve"> the name of the instrument. </w:t>
      </w:r>
    </w:p>
    <w:p w14:paraId="2594B1E6" w14:textId="60520651" w:rsidR="00AA4557" w:rsidRDefault="00AA455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Section 2 provides for the commencement of the instrument on </w:t>
      </w:r>
      <w:r w:rsidR="00E92A6B">
        <w:rPr>
          <w:rFonts w:ascii="Times New Roman" w:hAnsi="Times New Roman" w:cs="Times New Roman"/>
        </w:rPr>
        <w:t xml:space="preserve">the day </w:t>
      </w:r>
      <w:r w:rsidR="00E65C19">
        <w:rPr>
          <w:rFonts w:ascii="Times New Roman" w:hAnsi="Times New Roman" w:cs="Times New Roman"/>
        </w:rPr>
        <w:t xml:space="preserve">after </w:t>
      </w:r>
      <w:r w:rsidR="00E92A6B">
        <w:rPr>
          <w:rFonts w:ascii="Times New Roman" w:hAnsi="Times New Roman" w:cs="Times New Roman"/>
        </w:rPr>
        <w:t>it is registered</w:t>
      </w:r>
      <w:r w:rsidR="00C360A6">
        <w:rPr>
          <w:rFonts w:ascii="Times New Roman" w:hAnsi="Times New Roman" w:cs="Times New Roman"/>
        </w:rPr>
        <w:t xml:space="preserve"> on the Federal Register of Legislation</w:t>
      </w:r>
      <w:r w:rsidR="0007517D">
        <w:rPr>
          <w:rFonts w:ascii="Times New Roman" w:hAnsi="Times New Roman" w:cs="Times New Roman"/>
        </w:rPr>
        <w:t>.</w:t>
      </w:r>
      <w:r w:rsidR="0055094A">
        <w:rPr>
          <w:rFonts w:ascii="Times New Roman" w:hAnsi="Times New Roman" w:cs="Times New Roman"/>
        </w:rPr>
        <w:t xml:space="preserve"> </w:t>
      </w:r>
    </w:p>
    <w:p w14:paraId="54797B8D" w14:textId="5E531284" w:rsidR="00E03DCC" w:rsidRDefault="00E03DCC" w:rsidP="0007517D">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Section 3 </w:t>
      </w:r>
      <w:r w:rsidR="0007517D" w:rsidRPr="0007517D">
        <w:rPr>
          <w:rFonts w:ascii="Times New Roman" w:hAnsi="Times New Roman" w:cs="Times New Roman"/>
        </w:rPr>
        <w:t>sets out t</w:t>
      </w:r>
      <w:r w:rsidR="00901152">
        <w:rPr>
          <w:rFonts w:ascii="Times New Roman" w:hAnsi="Times New Roman" w:cs="Times New Roman"/>
        </w:rPr>
        <w:t>hat the instrument is made under</w:t>
      </w:r>
      <w:r w:rsidR="0007517D">
        <w:rPr>
          <w:rFonts w:ascii="Times New Roman" w:hAnsi="Times New Roman" w:cs="Times New Roman"/>
        </w:rPr>
        <w:t xml:space="preserve"> paragraph 186.234(2</w:t>
      </w:r>
      <w:proofErr w:type="gramStart"/>
      <w:r w:rsidR="0007517D">
        <w:rPr>
          <w:rFonts w:ascii="Times New Roman" w:hAnsi="Times New Roman" w:cs="Times New Roman"/>
        </w:rPr>
        <w:t>)(</w:t>
      </w:r>
      <w:proofErr w:type="gramEnd"/>
      <w:r w:rsidR="0007517D">
        <w:rPr>
          <w:rFonts w:ascii="Times New Roman" w:hAnsi="Times New Roman" w:cs="Times New Roman"/>
        </w:rPr>
        <w:t xml:space="preserve">a) of Schedule 2 to the Migration Regulations. </w:t>
      </w:r>
    </w:p>
    <w:p w14:paraId="4BB72404" w14:textId="490AADF1" w:rsidR="00E03DCC" w:rsidRDefault="00901152" w:rsidP="0090115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Section 4 provides that </w:t>
      </w:r>
      <w:r w:rsidR="00464CD7">
        <w:rPr>
          <w:rFonts w:ascii="Times New Roman" w:hAnsi="Times New Roman" w:cs="Times New Roman"/>
        </w:rPr>
        <w:t xml:space="preserve">LIN 19/049 </w:t>
      </w:r>
      <w:r>
        <w:rPr>
          <w:rFonts w:ascii="Times New Roman" w:hAnsi="Times New Roman" w:cs="Times New Roman"/>
        </w:rPr>
        <w:t xml:space="preserve">is amended as set out in Schedule 1 to the instrument.  Details on the amendments in Schedule 1 are </w:t>
      </w:r>
      <w:r w:rsidR="007E4691">
        <w:rPr>
          <w:rFonts w:ascii="Times New Roman" w:hAnsi="Times New Roman" w:cs="Times New Roman"/>
        </w:rPr>
        <w:t xml:space="preserve">set out in </w:t>
      </w:r>
      <w:r w:rsidR="007E4691">
        <w:rPr>
          <w:rFonts w:ascii="Times New Roman" w:hAnsi="Times New Roman" w:cs="Times New Roman"/>
          <w:b/>
          <w:u w:val="single"/>
        </w:rPr>
        <w:t xml:space="preserve">Attachment </w:t>
      </w:r>
      <w:r w:rsidR="0007517D">
        <w:rPr>
          <w:rFonts w:ascii="Times New Roman" w:hAnsi="Times New Roman" w:cs="Times New Roman"/>
          <w:b/>
          <w:u w:val="single"/>
        </w:rPr>
        <w:t>A.</w:t>
      </w:r>
      <w:r w:rsidR="007E4691">
        <w:rPr>
          <w:rFonts w:ascii="Times New Roman" w:hAnsi="Times New Roman" w:cs="Times New Roman"/>
        </w:rPr>
        <w:t xml:space="preserve">  </w:t>
      </w:r>
    </w:p>
    <w:p w14:paraId="4BED8D49" w14:textId="77777777" w:rsidR="00AA4557" w:rsidRPr="00AA4557" w:rsidRDefault="00AA4557" w:rsidP="00915032">
      <w:pPr>
        <w:spacing w:before="240" w:after="240" w:line="276" w:lineRule="auto"/>
        <w:rPr>
          <w:rFonts w:ascii="Times New Roman" w:hAnsi="Times New Roman" w:cs="Times New Roman"/>
          <w:b/>
          <w:i/>
        </w:rPr>
      </w:pPr>
      <w:r>
        <w:rPr>
          <w:rFonts w:ascii="Times New Roman" w:hAnsi="Times New Roman" w:cs="Times New Roman"/>
          <w:b/>
          <w:i/>
        </w:rPr>
        <w:t xml:space="preserve">Parliamentary scrutiny etc.  </w:t>
      </w:r>
    </w:p>
    <w:p w14:paraId="73520F92" w14:textId="225DEE97" w:rsidR="00E03DCC" w:rsidRDefault="00E03DCC"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instrument is exempt from disallowance under section 42 of the Legislation Act.  This is becau</w:t>
      </w:r>
      <w:r w:rsidR="00BC782E">
        <w:rPr>
          <w:rFonts w:ascii="Times New Roman" w:hAnsi="Times New Roman" w:cs="Times New Roman"/>
        </w:rPr>
        <w:t>se instrument</w:t>
      </w:r>
      <w:r w:rsidR="003766C4">
        <w:rPr>
          <w:rFonts w:ascii="Times New Roman" w:hAnsi="Times New Roman" w:cs="Times New Roman"/>
        </w:rPr>
        <w:t>s</w:t>
      </w:r>
      <w:r w:rsidR="00BC782E">
        <w:rPr>
          <w:rFonts w:ascii="Times New Roman" w:hAnsi="Times New Roman" w:cs="Times New Roman"/>
        </w:rPr>
        <w:t xml:space="preserve"> made under Schedule 2 </w:t>
      </w:r>
      <w:r w:rsidR="003B7089">
        <w:rPr>
          <w:rFonts w:ascii="Times New Roman" w:hAnsi="Times New Roman" w:cs="Times New Roman"/>
        </w:rPr>
        <w:t>to</w:t>
      </w:r>
      <w:r w:rsidR="00BC782E">
        <w:rPr>
          <w:rFonts w:ascii="Times New Roman" w:hAnsi="Times New Roman" w:cs="Times New Roman"/>
        </w:rPr>
        <w:t xml:space="preserve"> the Migration Regulations are exempt</w:t>
      </w:r>
      <w:r>
        <w:rPr>
          <w:rFonts w:ascii="Times New Roman" w:hAnsi="Times New Roman" w:cs="Times New Roman"/>
        </w:rPr>
        <w:t xml:space="preserve"> </w:t>
      </w:r>
      <w:r w:rsidR="003766C4">
        <w:rPr>
          <w:rFonts w:ascii="Times New Roman" w:hAnsi="Times New Roman" w:cs="Times New Roman"/>
        </w:rPr>
        <w:t xml:space="preserve">under </w:t>
      </w:r>
      <w:r>
        <w:rPr>
          <w:rFonts w:ascii="Times New Roman" w:hAnsi="Times New Roman" w:cs="Times New Roman"/>
        </w:rPr>
        <w:t xml:space="preserve">section 10 of the </w:t>
      </w:r>
      <w:r>
        <w:rPr>
          <w:rFonts w:ascii="Times New Roman" w:hAnsi="Times New Roman" w:cs="Times New Roman"/>
          <w:i/>
        </w:rPr>
        <w:t>Legislation (Exemptions and Other Matters) Regulation 2015</w:t>
      </w:r>
      <w:r>
        <w:rPr>
          <w:rFonts w:ascii="Times New Roman" w:hAnsi="Times New Roman" w:cs="Times New Roman"/>
        </w:rPr>
        <w:t xml:space="preserve">.  </w:t>
      </w:r>
    </w:p>
    <w:p w14:paraId="2E2C3D04" w14:textId="2AB85009" w:rsidR="00B75478" w:rsidRDefault="00B75478" w:rsidP="00CE2D79">
      <w:pPr>
        <w:pStyle w:val="ListParagraph"/>
        <w:numPr>
          <w:ilvl w:val="0"/>
          <w:numId w:val="1"/>
        </w:numPr>
        <w:spacing w:before="240" w:after="240" w:line="276" w:lineRule="auto"/>
        <w:ind w:left="567" w:hanging="567"/>
        <w:contextualSpacing w:val="0"/>
        <w:rPr>
          <w:rFonts w:ascii="Times New Roman" w:hAnsi="Times New Roman" w:cs="Times New Roman"/>
        </w:rPr>
      </w:pPr>
      <w:r w:rsidRPr="00B75478">
        <w:rPr>
          <w:rFonts w:ascii="Times New Roman" w:hAnsi="Times New Roman" w:cs="Times New Roman"/>
        </w:rPr>
        <w:t xml:space="preserve">The </w:t>
      </w:r>
      <w:r>
        <w:rPr>
          <w:rFonts w:ascii="Times New Roman" w:hAnsi="Times New Roman" w:cs="Times New Roman"/>
        </w:rPr>
        <w:t>instru</w:t>
      </w:r>
      <w:r w:rsidR="00BC782E">
        <w:rPr>
          <w:rFonts w:ascii="Times New Roman" w:hAnsi="Times New Roman" w:cs="Times New Roman"/>
        </w:rPr>
        <w:t xml:space="preserve">ment was made by </w:t>
      </w:r>
      <w:r w:rsidR="00BC782E" w:rsidRPr="00BC782E">
        <w:rPr>
          <w:rFonts w:ascii="Times New Roman" w:hAnsi="Times New Roman" w:cs="Times New Roman"/>
        </w:rPr>
        <w:t>Minister for Immigration, Citizenship, Migrant Services and Multicultural Affairs,</w:t>
      </w:r>
      <w:r>
        <w:rPr>
          <w:rFonts w:ascii="Times New Roman" w:hAnsi="Times New Roman" w:cs="Times New Roman"/>
        </w:rPr>
        <w:t xml:space="preserve"> </w:t>
      </w:r>
      <w:r w:rsidR="003766C4">
        <w:rPr>
          <w:rFonts w:ascii="Times New Roman" w:hAnsi="Times New Roman" w:cs="Times New Roman"/>
        </w:rPr>
        <w:t>under</w:t>
      </w:r>
      <w:r>
        <w:rPr>
          <w:rFonts w:ascii="Times New Roman" w:hAnsi="Times New Roman" w:cs="Times New Roman"/>
        </w:rPr>
        <w:t xml:space="preserve"> </w:t>
      </w:r>
      <w:r w:rsidR="00BC782E">
        <w:rPr>
          <w:rFonts w:ascii="Times New Roman" w:hAnsi="Times New Roman" w:cs="Times New Roman"/>
        </w:rPr>
        <w:t>paragraph 186.234(2</w:t>
      </w:r>
      <w:proofErr w:type="gramStart"/>
      <w:r w:rsidR="00BC782E">
        <w:rPr>
          <w:rFonts w:ascii="Times New Roman" w:hAnsi="Times New Roman" w:cs="Times New Roman"/>
        </w:rPr>
        <w:t>)(</w:t>
      </w:r>
      <w:proofErr w:type="gramEnd"/>
      <w:r w:rsidR="00BC782E">
        <w:rPr>
          <w:rFonts w:ascii="Times New Roman" w:hAnsi="Times New Roman" w:cs="Times New Roman"/>
        </w:rPr>
        <w:t xml:space="preserve">a) of Schedule 2 to the Migration Regulations. </w:t>
      </w:r>
    </w:p>
    <w:p w14:paraId="722D885C" w14:textId="7BE34068" w:rsidR="007E4691" w:rsidRDefault="007E4691" w:rsidP="00915032">
      <w:pPr>
        <w:rPr>
          <w:rFonts w:ascii="Times New Roman" w:hAnsi="Times New Roman" w:cs="Times New Roman"/>
        </w:rPr>
      </w:pPr>
      <w:r>
        <w:rPr>
          <w:rFonts w:ascii="Times New Roman" w:hAnsi="Times New Roman" w:cs="Times New Roman"/>
        </w:rPr>
        <w:br w:type="page"/>
      </w:r>
    </w:p>
    <w:p w14:paraId="57D51D51" w14:textId="77777777" w:rsidR="004F5CE4" w:rsidRDefault="007E4691" w:rsidP="004F5CE4">
      <w:pPr>
        <w:spacing w:before="240" w:after="240" w:line="276" w:lineRule="auto"/>
        <w:jc w:val="right"/>
        <w:rPr>
          <w:rFonts w:ascii="Times New Roman" w:hAnsi="Times New Roman" w:cs="Times New Roman"/>
          <w:b/>
          <w:u w:val="single"/>
        </w:rPr>
      </w:pPr>
      <w:r>
        <w:rPr>
          <w:rFonts w:ascii="Times New Roman" w:hAnsi="Times New Roman" w:cs="Times New Roman"/>
          <w:b/>
          <w:u w:val="single"/>
        </w:rPr>
        <w:lastRenderedPageBreak/>
        <w:t xml:space="preserve">Attachment </w:t>
      </w:r>
      <w:r w:rsidR="00BC782E">
        <w:rPr>
          <w:rFonts w:ascii="Times New Roman" w:hAnsi="Times New Roman" w:cs="Times New Roman"/>
          <w:b/>
          <w:u w:val="single"/>
        </w:rPr>
        <w:t>A</w:t>
      </w:r>
    </w:p>
    <w:p w14:paraId="25D29BD9" w14:textId="2AC313CD" w:rsidR="007E4691" w:rsidRDefault="007E4691" w:rsidP="00915032">
      <w:pPr>
        <w:keepNext/>
        <w:spacing w:before="240" w:after="240" w:line="276" w:lineRule="auto"/>
        <w:rPr>
          <w:rFonts w:ascii="Times New Roman" w:hAnsi="Times New Roman" w:cs="Times New Roman"/>
          <w:b/>
          <w:i/>
        </w:rPr>
      </w:pPr>
      <w:r>
        <w:rPr>
          <w:rFonts w:ascii="Times New Roman" w:hAnsi="Times New Roman" w:cs="Times New Roman"/>
          <w:b/>
        </w:rPr>
        <w:t xml:space="preserve">Details of </w:t>
      </w:r>
      <w:r w:rsidR="00901152">
        <w:rPr>
          <w:rFonts w:ascii="Times New Roman" w:hAnsi="Times New Roman" w:cs="Times New Roman"/>
          <w:b/>
        </w:rPr>
        <w:t xml:space="preserve">Schedule 1 to </w:t>
      </w:r>
      <w:r>
        <w:rPr>
          <w:rFonts w:ascii="Times New Roman" w:hAnsi="Times New Roman" w:cs="Times New Roman"/>
          <w:b/>
        </w:rPr>
        <w:t xml:space="preserve">the </w:t>
      </w:r>
      <w:r w:rsidR="00901152">
        <w:rPr>
          <w:rFonts w:ascii="Times New Roman" w:hAnsi="Times New Roman" w:cs="Times New Roman"/>
          <w:b/>
          <w:i/>
        </w:rPr>
        <w:t>Migration (Specification of Occupations and Ac</w:t>
      </w:r>
      <w:r w:rsidR="00082526">
        <w:rPr>
          <w:rFonts w:ascii="Times New Roman" w:hAnsi="Times New Roman" w:cs="Times New Roman"/>
          <w:b/>
          <w:i/>
        </w:rPr>
        <w:t>cessing Authorities—Subclass 186</w:t>
      </w:r>
      <w:r w:rsidR="00901152">
        <w:rPr>
          <w:rFonts w:ascii="Times New Roman" w:hAnsi="Times New Roman" w:cs="Times New Roman"/>
          <w:b/>
          <w:i/>
        </w:rPr>
        <w:t xml:space="preserve"> Visa) Amendment Instrument (LIN 21/009) 2021</w:t>
      </w:r>
    </w:p>
    <w:p w14:paraId="1BB18B22" w14:textId="508E09E2" w:rsidR="007E4691" w:rsidRDefault="00BB6580" w:rsidP="00915032">
      <w:pPr>
        <w:keepNext/>
        <w:spacing w:before="240" w:after="240" w:line="276" w:lineRule="auto"/>
        <w:rPr>
          <w:rFonts w:ascii="Times New Roman" w:hAnsi="Times New Roman" w:cs="Times New Roman"/>
          <w:b/>
        </w:rPr>
      </w:pPr>
      <w:r>
        <w:rPr>
          <w:rFonts w:ascii="Times New Roman" w:hAnsi="Times New Roman" w:cs="Times New Roman"/>
          <w:b/>
        </w:rPr>
        <w:t>Item</w:t>
      </w:r>
      <w:r w:rsidR="00790A72">
        <w:rPr>
          <w:rFonts w:ascii="Times New Roman" w:hAnsi="Times New Roman" w:cs="Times New Roman"/>
          <w:b/>
        </w:rPr>
        <w:t>s</w:t>
      </w:r>
      <w:r>
        <w:rPr>
          <w:rFonts w:ascii="Times New Roman" w:hAnsi="Times New Roman" w:cs="Times New Roman"/>
          <w:b/>
        </w:rPr>
        <w:t xml:space="preserve"> 1</w:t>
      </w:r>
      <w:r w:rsidR="00FE5D0F">
        <w:rPr>
          <w:rFonts w:ascii="Times New Roman" w:hAnsi="Times New Roman" w:cs="Times New Roman"/>
          <w:b/>
        </w:rPr>
        <w:t>–5</w:t>
      </w:r>
      <w:r w:rsidR="007E4691">
        <w:rPr>
          <w:rFonts w:ascii="Times New Roman" w:hAnsi="Times New Roman" w:cs="Times New Roman"/>
          <w:b/>
        </w:rPr>
        <w:tab/>
      </w:r>
      <w:r w:rsidR="00901152">
        <w:rPr>
          <w:rFonts w:ascii="Times New Roman" w:hAnsi="Times New Roman" w:cs="Times New Roman"/>
          <w:b/>
        </w:rPr>
        <w:t>A</w:t>
      </w:r>
      <w:r w:rsidR="001864F4">
        <w:rPr>
          <w:rFonts w:ascii="Times New Roman" w:hAnsi="Times New Roman" w:cs="Times New Roman"/>
          <w:b/>
        </w:rPr>
        <w:t>mendments to section 7</w:t>
      </w:r>
    </w:p>
    <w:p w14:paraId="05334CC8" w14:textId="421A8D2B" w:rsidR="00903530" w:rsidRDefault="00903530" w:rsidP="00915032">
      <w:pPr>
        <w:spacing w:before="240" w:after="240" w:line="276" w:lineRule="auto"/>
        <w:rPr>
          <w:rFonts w:ascii="Times New Roman" w:hAnsi="Times New Roman" w:cs="Times New Roman"/>
        </w:rPr>
      </w:pPr>
      <w:r>
        <w:rPr>
          <w:rFonts w:ascii="Times New Roman" w:hAnsi="Times New Roman" w:cs="Times New Roman"/>
        </w:rPr>
        <w:t xml:space="preserve">Subsection 6(4) of </w:t>
      </w:r>
      <w:r w:rsidR="00464CD7">
        <w:rPr>
          <w:rFonts w:ascii="Times New Roman" w:hAnsi="Times New Roman" w:cs="Times New Roman"/>
        </w:rPr>
        <w:t xml:space="preserve">LIN 19/049 </w:t>
      </w:r>
      <w:r>
        <w:rPr>
          <w:rFonts w:ascii="Times New Roman" w:hAnsi="Times New Roman" w:cs="Times New Roman"/>
        </w:rPr>
        <w:t>provides that the assessing authority listed in column 3 of the ‘Medium and Long-term Strategic Skills List’ (the ML</w:t>
      </w:r>
      <w:r w:rsidR="001D3AC3">
        <w:rPr>
          <w:rFonts w:ascii="Times New Roman" w:hAnsi="Times New Roman" w:cs="Times New Roman"/>
        </w:rPr>
        <w:t>T</w:t>
      </w:r>
      <w:r>
        <w:rPr>
          <w:rFonts w:ascii="Times New Roman" w:hAnsi="Times New Roman" w:cs="Times New Roman"/>
        </w:rPr>
        <w:t>SS list) is specified for the purpose of the occupation listed in column 1 of the list</w:t>
      </w:r>
      <w:r w:rsidR="00245BB7">
        <w:rPr>
          <w:rFonts w:ascii="Times New Roman" w:hAnsi="Times New Roman" w:cs="Times New Roman"/>
        </w:rPr>
        <w:t xml:space="preserve"> for paragraph 186.234(2</w:t>
      </w:r>
      <w:proofErr w:type="gramStart"/>
      <w:r w:rsidR="00245BB7">
        <w:rPr>
          <w:rFonts w:ascii="Times New Roman" w:hAnsi="Times New Roman" w:cs="Times New Roman"/>
        </w:rPr>
        <w:t>)(</w:t>
      </w:r>
      <w:proofErr w:type="gramEnd"/>
      <w:r w:rsidR="00245BB7">
        <w:rPr>
          <w:rFonts w:ascii="Times New Roman" w:hAnsi="Times New Roman" w:cs="Times New Roman"/>
        </w:rPr>
        <w:t>a) of the Migration Regulations</w:t>
      </w:r>
      <w:r>
        <w:rPr>
          <w:rFonts w:ascii="Times New Roman" w:hAnsi="Times New Roman" w:cs="Times New Roman"/>
        </w:rPr>
        <w:t xml:space="preserve">.  Subsection 7(1) of </w:t>
      </w:r>
      <w:r w:rsidR="00464CD7">
        <w:rPr>
          <w:rFonts w:ascii="Times New Roman" w:hAnsi="Times New Roman" w:cs="Times New Roman"/>
        </w:rPr>
        <w:t xml:space="preserve">LIN 19/049 </w:t>
      </w:r>
      <w:r>
        <w:rPr>
          <w:rFonts w:ascii="Times New Roman" w:hAnsi="Times New Roman" w:cs="Times New Roman"/>
        </w:rPr>
        <w:t>sets out the ML</w:t>
      </w:r>
      <w:r w:rsidR="001D3AC3">
        <w:rPr>
          <w:rFonts w:ascii="Times New Roman" w:hAnsi="Times New Roman" w:cs="Times New Roman"/>
        </w:rPr>
        <w:t>T</w:t>
      </w:r>
      <w:r>
        <w:rPr>
          <w:rFonts w:ascii="Times New Roman" w:hAnsi="Times New Roman" w:cs="Times New Roman"/>
        </w:rPr>
        <w:t xml:space="preserve">SS list.  </w:t>
      </w:r>
    </w:p>
    <w:p w14:paraId="1C153554" w14:textId="6F0B8C62" w:rsidR="00903530" w:rsidRDefault="00903530" w:rsidP="00915032">
      <w:pPr>
        <w:spacing w:before="240" w:after="240" w:line="276" w:lineRule="auto"/>
        <w:rPr>
          <w:rFonts w:ascii="Times New Roman" w:hAnsi="Times New Roman" w:cs="Times New Roman"/>
        </w:rPr>
      </w:pPr>
      <w:r>
        <w:rPr>
          <w:rFonts w:ascii="Times New Roman" w:hAnsi="Times New Roman" w:cs="Times New Roman"/>
        </w:rPr>
        <w:t>Items 1-3 amend the ML</w:t>
      </w:r>
      <w:r w:rsidR="001D3AC3">
        <w:rPr>
          <w:rFonts w:ascii="Times New Roman" w:hAnsi="Times New Roman" w:cs="Times New Roman"/>
        </w:rPr>
        <w:t>T</w:t>
      </w:r>
      <w:r>
        <w:rPr>
          <w:rFonts w:ascii="Times New Roman" w:hAnsi="Times New Roman" w:cs="Times New Roman"/>
        </w:rPr>
        <w:t>SS list</w:t>
      </w:r>
      <w:r w:rsidR="00245BB7">
        <w:rPr>
          <w:rFonts w:ascii="Times New Roman" w:hAnsi="Times New Roman" w:cs="Times New Roman"/>
        </w:rPr>
        <w:t xml:space="preserve"> in subsection 7(1) of </w:t>
      </w:r>
      <w:r w:rsidR="00464CD7">
        <w:rPr>
          <w:rFonts w:ascii="Times New Roman" w:hAnsi="Times New Roman" w:cs="Times New Roman"/>
        </w:rPr>
        <w:t xml:space="preserve">LIN 19/049 </w:t>
      </w:r>
      <w:r>
        <w:rPr>
          <w:rFonts w:ascii="Times New Roman" w:hAnsi="Times New Roman" w:cs="Times New Roman"/>
        </w:rPr>
        <w:t xml:space="preserve">to reflect that the Australian Institute of Management (AIM) has changed its name to be the Institute of Managers and Leaders Limited (IML) (see also item 10), and that IML is the assessing authority for </w:t>
      </w:r>
      <w:r w:rsidR="00082526">
        <w:rPr>
          <w:rFonts w:ascii="Times New Roman" w:hAnsi="Times New Roman" w:cs="Times New Roman"/>
        </w:rPr>
        <w:t xml:space="preserve">the occupations </w:t>
      </w:r>
      <w:r w:rsidR="009B4683">
        <w:rPr>
          <w:rFonts w:ascii="Times New Roman" w:hAnsi="Times New Roman" w:cs="Times New Roman"/>
        </w:rPr>
        <w:t>of chief</w:t>
      </w:r>
      <w:r>
        <w:rPr>
          <w:rFonts w:ascii="Times New Roman" w:hAnsi="Times New Roman" w:cs="Times New Roman"/>
        </w:rPr>
        <w:t xml:space="preserve"> executive </w:t>
      </w:r>
      <w:r w:rsidR="00082526">
        <w:rPr>
          <w:rFonts w:ascii="Times New Roman" w:hAnsi="Times New Roman" w:cs="Times New Roman"/>
        </w:rPr>
        <w:t>or managing director (item 1),</w:t>
      </w:r>
      <w:r>
        <w:rPr>
          <w:rFonts w:ascii="Times New Roman" w:hAnsi="Times New Roman" w:cs="Times New Roman"/>
        </w:rPr>
        <w:t xml:space="preserve"> corporate general manager (item 2) and engineering manager (item 3).  </w:t>
      </w:r>
    </w:p>
    <w:p w14:paraId="74AB927B" w14:textId="32C8311B" w:rsidR="00903530" w:rsidRDefault="00245BB7" w:rsidP="00915032">
      <w:pPr>
        <w:spacing w:before="240" w:after="240" w:line="276" w:lineRule="auto"/>
        <w:rPr>
          <w:rFonts w:ascii="Times New Roman" w:hAnsi="Times New Roman" w:cs="Times New Roman"/>
        </w:rPr>
      </w:pPr>
      <w:r>
        <w:rPr>
          <w:rFonts w:ascii="Times New Roman" w:hAnsi="Times New Roman" w:cs="Times New Roman"/>
        </w:rPr>
        <w:t>Item 4</w:t>
      </w:r>
      <w:r w:rsidR="00903530">
        <w:rPr>
          <w:rFonts w:ascii="Times New Roman" w:hAnsi="Times New Roman" w:cs="Times New Roman"/>
        </w:rPr>
        <w:t xml:space="preserve"> amends th</w:t>
      </w:r>
      <w:r>
        <w:rPr>
          <w:rFonts w:ascii="Times New Roman" w:hAnsi="Times New Roman" w:cs="Times New Roman"/>
        </w:rPr>
        <w:t>e ML</w:t>
      </w:r>
      <w:r w:rsidR="00082526">
        <w:rPr>
          <w:rFonts w:ascii="Times New Roman" w:hAnsi="Times New Roman" w:cs="Times New Roman"/>
        </w:rPr>
        <w:t>T</w:t>
      </w:r>
      <w:r>
        <w:rPr>
          <w:rFonts w:ascii="Times New Roman" w:hAnsi="Times New Roman" w:cs="Times New Roman"/>
        </w:rPr>
        <w:t>SS list to reflect that the Australian Children’s Education and Care Quality Authority (</w:t>
      </w:r>
      <w:r w:rsidR="00A07E92">
        <w:rPr>
          <w:rFonts w:ascii="Times New Roman" w:hAnsi="Times New Roman" w:cs="Times New Roman"/>
        </w:rPr>
        <w:t>ACECQA)</w:t>
      </w:r>
      <w:r>
        <w:rPr>
          <w:rFonts w:ascii="Times New Roman" w:hAnsi="Times New Roman" w:cs="Times New Roman"/>
        </w:rPr>
        <w:t xml:space="preserve">, and not Trades Recognition Australia (TRA), is the assessing authority for the occupation of </w:t>
      </w:r>
      <w:r w:rsidR="0032546F">
        <w:rPr>
          <w:rFonts w:ascii="Times New Roman" w:hAnsi="Times New Roman" w:cs="Times New Roman"/>
        </w:rPr>
        <w:t>childcare</w:t>
      </w:r>
      <w:r>
        <w:rPr>
          <w:rFonts w:ascii="Times New Roman" w:hAnsi="Times New Roman" w:cs="Times New Roman"/>
        </w:rPr>
        <w:t xml:space="preserve"> centre manager.  (Note that </w:t>
      </w:r>
      <w:r w:rsidR="00A07E92">
        <w:rPr>
          <w:rFonts w:ascii="Times New Roman" w:hAnsi="Times New Roman" w:cs="Times New Roman"/>
        </w:rPr>
        <w:t>ACECQA is</w:t>
      </w:r>
      <w:r>
        <w:rPr>
          <w:rFonts w:ascii="Times New Roman" w:hAnsi="Times New Roman" w:cs="Times New Roman"/>
        </w:rPr>
        <w:t xml:space="preserve"> </w:t>
      </w:r>
      <w:r w:rsidRPr="001061C3">
        <w:rPr>
          <w:rFonts w:ascii="Times New Roman" w:hAnsi="Times New Roman" w:cs="Times New Roman"/>
        </w:rPr>
        <w:t>added</w:t>
      </w:r>
      <w:r>
        <w:rPr>
          <w:rFonts w:ascii="Times New Roman" w:hAnsi="Times New Roman" w:cs="Times New Roman"/>
        </w:rPr>
        <w:t xml:space="preserve"> as an additional assessing authority </w:t>
      </w:r>
      <w:r w:rsidR="00200E4F">
        <w:rPr>
          <w:rFonts w:ascii="Times New Roman" w:hAnsi="Times New Roman" w:cs="Times New Roman"/>
        </w:rPr>
        <w:t xml:space="preserve">by </w:t>
      </w:r>
      <w:r>
        <w:rPr>
          <w:rFonts w:ascii="Times New Roman" w:hAnsi="Times New Roman" w:cs="Times New Roman"/>
        </w:rPr>
        <w:t xml:space="preserve">item 6.) </w:t>
      </w:r>
    </w:p>
    <w:p w14:paraId="751F7703" w14:textId="5464582B" w:rsidR="00245BB7" w:rsidRDefault="00245BB7" w:rsidP="00915032">
      <w:pPr>
        <w:spacing w:before="240" w:after="240" w:line="276" w:lineRule="auto"/>
        <w:rPr>
          <w:rFonts w:ascii="Times New Roman" w:hAnsi="Times New Roman" w:cs="Times New Roman"/>
        </w:rPr>
      </w:pPr>
      <w:r>
        <w:rPr>
          <w:rFonts w:ascii="Times New Roman" w:hAnsi="Times New Roman" w:cs="Times New Roman"/>
        </w:rPr>
        <w:t>Item 5 amends the ML</w:t>
      </w:r>
      <w:r w:rsidR="001D3AC3">
        <w:rPr>
          <w:rFonts w:ascii="Times New Roman" w:hAnsi="Times New Roman" w:cs="Times New Roman"/>
        </w:rPr>
        <w:t>T</w:t>
      </w:r>
      <w:r>
        <w:rPr>
          <w:rFonts w:ascii="Times New Roman" w:hAnsi="Times New Roman" w:cs="Times New Roman"/>
        </w:rPr>
        <w:t>SS list to reflect that</w:t>
      </w:r>
      <w:r w:rsidR="00ED0A37">
        <w:rPr>
          <w:rFonts w:ascii="Times New Roman" w:hAnsi="Times New Roman" w:cs="Times New Roman"/>
        </w:rPr>
        <w:t xml:space="preserve"> the Podiatry Board of Australia (</w:t>
      </w:r>
      <w:proofErr w:type="spellStart"/>
      <w:r w:rsidR="00ED0A37">
        <w:rPr>
          <w:rFonts w:ascii="Times New Roman" w:hAnsi="Times New Roman" w:cs="Times New Roman"/>
        </w:rPr>
        <w:t>PodBA</w:t>
      </w:r>
      <w:proofErr w:type="spellEnd"/>
      <w:r w:rsidR="00ED0A37">
        <w:rPr>
          <w:rFonts w:ascii="Times New Roman" w:hAnsi="Times New Roman" w:cs="Times New Roman"/>
        </w:rPr>
        <w:t xml:space="preserve">), and not the Australia and New Zealand Podiatry Accreditation Council Limited (ANZPAC), is the assessing authority for the occupation of podiatrist.  (Note that </w:t>
      </w:r>
      <w:proofErr w:type="spellStart"/>
      <w:r w:rsidR="00ED0A37">
        <w:rPr>
          <w:rFonts w:ascii="Times New Roman" w:hAnsi="Times New Roman" w:cs="Times New Roman"/>
        </w:rPr>
        <w:t>PodBA</w:t>
      </w:r>
      <w:proofErr w:type="spellEnd"/>
      <w:r w:rsidR="00ED0A37">
        <w:rPr>
          <w:rFonts w:ascii="Times New Roman" w:hAnsi="Times New Roman" w:cs="Times New Roman"/>
        </w:rPr>
        <w:t xml:space="preserve"> is </w:t>
      </w:r>
      <w:r w:rsidR="00ED0A37" w:rsidRPr="003562C3">
        <w:rPr>
          <w:rFonts w:ascii="Times New Roman" w:hAnsi="Times New Roman" w:cs="Times New Roman"/>
        </w:rPr>
        <w:t>added</w:t>
      </w:r>
      <w:r w:rsidR="00ED0A37">
        <w:rPr>
          <w:rFonts w:ascii="Times New Roman" w:hAnsi="Times New Roman" w:cs="Times New Roman"/>
        </w:rPr>
        <w:t xml:space="preserve"> as an additional assessing authority </w:t>
      </w:r>
      <w:r w:rsidR="00200E4F">
        <w:rPr>
          <w:rFonts w:ascii="Times New Roman" w:hAnsi="Times New Roman" w:cs="Times New Roman"/>
        </w:rPr>
        <w:t xml:space="preserve">by </w:t>
      </w:r>
      <w:r w:rsidR="00ED0A37">
        <w:rPr>
          <w:rFonts w:ascii="Times New Roman" w:hAnsi="Times New Roman" w:cs="Times New Roman"/>
        </w:rPr>
        <w:t>item 11</w:t>
      </w:r>
      <w:r w:rsidR="00D7076A">
        <w:rPr>
          <w:rFonts w:ascii="Times New Roman" w:hAnsi="Times New Roman" w:cs="Times New Roman"/>
        </w:rPr>
        <w:t>.</w:t>
      </w:r>
      <w:r w:rsidR="00ED0A37">
        <w:rPr>
          <w:rFonts w:ascii="Times New Roman" w:hAnsi="Times New Roman" w:cs="Times New Roman"/>
        </w:rPr>
        <w:t xml:space="preserve">) </w:t>
      </w:r>
    </w:p>
    <w:p w14:paraId="709C63E3" w14:textId="647213C5" w:rsidR="001C565B" w:rsidRDefault="001C565B" w:rsidP="001D3AC3">
      <w:pPr>
        <w:keepNext/>
        <w:spacing w:before="240" w:after="240" w:line="276" w:lineRule="auto"/>
        <w:rPr>
          <w:rFonts w:ascii="Times New Roman" w:hAnsi="Times New Roman" w:cs="Times New Roman"/>
          <w:b/>
        </w:rPr>
      </w:pPr>
      <w:r>
        <w:rPr>
          <w:rFonts w:ascii="Times New Roman" w:hAnsi="Times New Roman" w:cs="Times New Roman"/>
          <w:b/>
        </w:rPr>
        <w:t>Items 6–11</w:t>
      </w:r>
      <w:r w:rsidRPr="001C565B">
        <w:rPr>
          <w:rFonts w:ascii="Times New Roman" w:hAnsi="Times New Roman" w:cs="Times New Roman"/>
          <w:b/>
        </w:rPr>
        <w:tab/>
      </w:r>
      <w:r w:rsidR="00555907">
        <w:rPr>
          <w:rFonts w:ascii="Times New Roman" w:hAnsi="Times New Roman" w:cs="Times New Roman"/>
          <w:b/>
        </w:rPr>
        <w:t>A</w:t>
      </w:r>
      <w:r w:rsidR="001864F4">
        <w:rPr>
          <w:rFonts w:ascii="Times New Roman" w:hAnsi="Times New Roman" w:cs="Times New Roman"/>
          <w:b/>
        </w:rPr>
        <w:t>mendments to section 9</w:t>
      </w:r>
    </w:p>
    <w:p w14:paraId="3AB0FA52" w14:textId="4F514889" w:rsidR="00245BB7" w:rsidRDefault="00245BB7" w:rsidP="00FF1B37">
      <w:pPr>
        <w:spacing w:before="240" w:after="240" w:line="276" w:lineRule="auto"/>
        <w:rPr>
          <w:rFonts w:ascii="Times New Roman" w:hAnsi="Times New Roman" w:cs="Times New Roman"/>
        </w:rPr>
      </w:pPr>
      <w:r>
        <w:rPr>
          <w:rFonts w:ascii="Times New Roman" w:hAnsi="Times New Roman" w:cs="Times New Roman"/>
        </w:rPr>
        <w:t>The assessing authorities in the ML</w:t>
      </w:r>
      <w:r w:rsidR="001D3AC3">
        <w:rPr>
          <w:rFonts w:ascii="Times New Roman" w:hAnsi="Times New Roman" w:cs="Times New Roman"/>
        </w:rPr>
        <w:t>T</w:t>
      </w:r>
      <w:r>
        <w:rPr>
          <w:rFonts w:ascii="Times New Roman" w:hAnsi="Times New Roman" w:cs="Times New Roman"/>
        </w:rPr>
        <w:t xml:space="preserve">SS list in subsection 7(1) of </w:t>
      </w:r>
      <w:r w:rsidR="00464CD7">
        <w:rPr>
          <w:rFonts w:ascii="Times New Roman" w:hAnsi="Times New Roman" w:cs="Times New Roman"/>
        </w:rPr>
        <w:t xml:space="preserve">LIN 19/049 </w:t>
      </w:r>
      <w:r>
        <w:rPr>
          <w:rFonts w:ascii="Times New Roman" w:hAnsi="Times New Roman" w:cs="Times New Roman"/>
        </w:rPr>
        <w:t xml:space="preserve">are referred to </w:t>
      </w:r>
      <w:r w:rsidR="00555907">
        <w:rPr>
          <w:rFonts w:ascii="Times New Roman" w:hAnsi="Times New Roman" w:cs="Times New Roman"/>
        </w:rPr>
        <w:t xml:space="preserve">in abbreviated form.  The table in section 9 of </w:t>
      </w:r>
      <w:r w:rsidR="00464CD7">
        <w:rPr>
          <w:rFonts w:ascii="Times New Roman" w:hAnsi="Times New Roman" w:cs="Times New Roman"/>
        </w:rPr>
        <w:t xml:space="preserve">LIN 19/049 </w:t>
      </w:r>
      <w:r w:rsidR="00555907">
        <w:rPr>
          <w:rFonts w:ascii="Times New Roman" w:hAnsi="Times New Roman" w:cs="Times New Roman"/>
        </w:rPr>
        <w:t>provides the long form of each expression.  Items 6-11 amend this table to accompany the amendments to the ML</w:t>
      </w:r>
      <w:r w:rsidR="001D3AC3">
        <w:rPr>
          <w:rFonts w:ascii="Times New Roman" w:hAnsi="Times New Roman" w:cs="Times New Roman"/>
        </w:rPr>
        <w:t>T</w:t>
      </w:r>
      <w:r w:rsidR="00555907">
        <w:rPr>
          <w:rFonts w:ascii="Times New Roman" w:hAnsi="Times New Roman" w:cs="Times New Roman"/>
        </w:rPr>
        <w:t xml:space="preserve">SS list made by items 1-5.  </w:t>
      </w:r>
    </w:p>
    <w:p w14:paraId="327FE332" w14:textId="7C589DD6" w:rsidR="00555907" w:rsidRDefault="00555907" w:rsidP="00FF1B37">
      <w:pPr>
        <w:spacing w:before="240" w:after="240" w:line="276" w:lineRule="auto"/>
        <w:rPr>
          <w:rFonts w:ascii="Times New Roman" w:hAnsi="Times New Roman" w:cs="Times New Roman"/>
        </w:rPr>
      </w:pPr>
      <w:r>
        <w:rPr>
          <w:rFonts w:ascii="Times New Roman" w:hAnsi="Times New Roman" w:cs="Times New Roman"/>
        </w:rPr>
        <w:t xml:space="preserve">Item 6 inserts reference to </w:t>
      </w:r>
      <w:r w:rsidR="00A07E92">
        <w:rPr>
          <w:rFonts w:ascii="Times New Roman" w:hAnsi="Times New Roman" w:cs="Times New Roman"/>
        </w:rPr>
        <w:t>ACECQA at</w:t>
      </w:r>
      <w:r>
        <w:rPr>
          <w:rFonts w:ascii="Times New Roman" w:hAnsi="Times New Roman" w:cs="Times New Roman"/>
        </w:rPr>
        <w:t xml:space="preserve"> new table item 2A, which is now the assessing authority for </w:t>
      </w:r>
      <w:r w:rsidR="002E6AF4">
        <w:rPr>
          <w:rFonts w:ascii="Times New Roman" w:hAnsi="Times New Roman" w:cs="Times New Roman"/>
        </w:rPr>
        <w:t xml:space="preserve">the occupation of </w:t>
      </w:r>
      <w:r w:rsidR="0032546F">
        <w:rPr>
          <w:rFonts w:ascii="Times New Roman" w:hAnsi="Times New Roman" w:cs="Times New Roman"/>
        </w:rPr>
        <w:t>childcare</w:t>
      </w:r>
      <w:r w:rsidR="002E6AF4">
        <w:rPr>
          <w:rFonts w:ascii="Times New Roman" w:hAnsi="Times New Roman" w:cs="Times New Roman"/>
        </w:rPr>
        <w:t xml:space="preserve"> centre manager</w:t>
      </w:r>
      <w:r>
        <w:rPr>
          <w:rFonts w:ascii="Times New Roman" w:hAnsi="Times New Roman" w:cs="Times New Roman"/>
        </w:rPr>
        <w:t xml:space="preserve"> under item 4.  </w:t>
      </w:r>
      <w:r w:rsidRPr="003562C3">
        <w:rPr>
          <w:rFonts w:ascii="Times New Roman" w:hAnsi="Times New Roman" w:cs="Times New Roman"/>
        </w:rPr>
        <w:t xml:space="preserve">Item 7 repeals table item 7, as </w:t>
      </w:r>
      <w:r w:rsidRPr="0017064A">
        <w:rPr>
          <w:rFonts w:ascii="Times New Roman" w:hAnsi="Times New Roman" w:cs="Times New Roman"/>
        </w:rPr>
        <w:t>AIM</w:t>
      </w:r>
      <w:r w:rsidR="005321AB" w:rsidRPr="0017064A">
        <w:rPr>
          <w:rFonts w:ascii="Times New Roman" w:hAnsi="Times New Roman" w:cs="Times New Roman"/>
        </w:rPr>
        <w:t xml:space="preserve"> (previously</w:t>
      </w:r>
      <w:r w:rsidR="005321AB" w:rsidRPr="003562C3">
        <w:rPr>
          <w:rFonts w:ascii="Times New Roman" w:hAnsi="Times New Roman" w:cs="Times New Roman"/>
        </w:rPr>
        <w:t xml:space="preserve"> mentioned in table item 7)</w:t>
      </w:r>
      <w:r w:rsidRPr="003562C3">
        <w:rPr>
          <w:rFonts w:ascii="Times New Roman" w:hAnsi="Times New Roman" w:cs="Times New Roman"/>
        </w:rPr>
        <w:t xml:space="preserve"> has changed name to be IML</w:t>
      </w:r>
      <w:r>
        <w:rPr>
          <w:rFonts w:ascii="Times New Roman" w:hAnsi="Times New Roman" w:cs="Times New Roman"/>
        </w:rPr>
        <w:t>.  IML is inserted a</w:t>
      </w:r>
      <w:r w:rsidR="00FF1B37">
        <w:rPr>
          <w:rFonts w:ascii="Times New Roman" w:hAnsi="Times New Roman" w:cs="Times New Roman"/>
        </w:rPr>
        <w:t>t</w:t>
      </w:r>
      <w:r>
        <w:rPr>
          <w:rFonts w:ascii="Times New Roman" w:hAnsi="Times New Roman" w:cs="Times New Roman"/>
        </w:rPr>
        <w:t xml:space="preserve"> table item 27A </w:t>
      </w:r>
      <w:r w:rsidR="002E6AF4">
        <w:rPr>
          <w:rFonts w:ascii="Times New Roman" w:hAnsi="Times New Roman" w:cs="Times New Roman"/>
        </w:rPr>
        <w:t>by item 10</w:t>
      </w:r>
      <w:r>
        <w:rPr>
          <w:rFonts w:ascii="Times New Roman" w:hAnsi="Times New Roman" w:cs="Times New Roman"/>
        </w:rPr>
        <w:t xml:space="preserve">.  </w:t>
      </w:r>
    </w:p>
    <w:p w14:paraId="6F3BD2F9" w14:textId="6E8AE50E" w:rsidR="00555907" w:rsidRDefault="00555907" w:rsidP="00FF1B37">
      <w:pPr>
        <w:spacing w:before="240" w:after="240" w:line="276" w:lineRule="auto"/>
        <w:rPr>
          <w:rFonts w:ascii="Times New Roman" w:hAnsi="Times New Roman" w:cs="Times New Roman"/>
        </w:rPr>
      </w:pPr>
      <w:r>
        <w:rPr>
          <w:rFonts w:ascii="Times New Roman" w:hAnsi="Times New Roman" w:cs="Times New Roman"/>
        </w:rPr>
        <w:t>Item 8 omits Australian Institute of Medical Scientists from table item 8, and replaces it with that authority’s new name, the Australian Institute of Medical and Clinical Scientists.  This authority continues to have the abbreviation</w:t>
      </w:r>
      <w:r w:rsidR="00E5702F">
        <w:rPr>
          <w:rFonts w:ascii="Times New Roman" w:hAnsi="Times New Roman" w:cs="Times New Roman"/>
        </w:rPr>
        <w:t>,</w:t>
      </w:r>
      <w:r>
        <w:rPr>
          <w:rFonts w:ascii="Times New Roman" w:hAnsi="Times New Roman" w:cs="Times New Roman"/>
        </w:rPr>
        <w:t xml:space="preserve"> AIMS, and </w:t>
      </w:r>
      <w:r w:rsidR="005321AB">
        <w:rPr>
          <w:rFonts w:ascii="Times New Roman" w:hAnsi="Times New Roman" w:cs="Times New Roman"/>
        </w:rPr>
        <w:t>remains</w:t>
      </w:r>
      <w:r>
        <w:rPr>
          <w:rFonts w:ascii="Times New Roman" w:hAnsi="Times New Roman" w:cs="Times New Roman"/>
        </w:rPr>
        <w:t xml:space="preserve"> the assessing authorit</w:t>
      </w:r>
      <w:r w:rsidR="00BF288E">
        <w:rPr>
          <w:rFonts w:ascii="Times New Roman" w:hAnsi="Times New Roman" w:cs="Times New Roman"/>
        </w:rPr>
        <w:t>y</w:t>
      </w:r>
      <w:r>
        <w:rPr>
          <w:rFonts w:ascii="Times New Roman" w:hAnsi="Times New Roman" w:cs="Times New Roman"/>
        </w:rPr>
        <w:t xml:space="preserve"> for the occupation </w:t>
      </w:r>
      <w:r w:rsidR="00FF1B37">
        <w:rPr>
          <w:rFonts w:ascii="Times New Roman" w:hAnsi="Times New Roman" w:cs="Times New Roman"/>
        </w:rPr>
        <w:t>of medical</w:t>
      </w:r>
      <w:r w:rsidR="00BF288E">
        <w:rPr>
          <w:rFonts w:ascii="Times New Roman" w:hAnsi="Times New Roman" w:cs="Times New Roman"/>
        </w:rPr>
        <w:t xml:space="preserve"> laboratory scientist. </w:t>
      </w:r>
    </w:p>
    <w:p w14:paraId="6519842E" w14:textId="5AD3D3CF" w:rsidR="00555907" w:rsidRDefault="00555907" w:rsidP="00FF1B37">
      <w:pPr>
        <w:spacing w:before="240" w:after="240" w:line="276" w:lineRule="auto"/>
        <w:rPr>
          <w:rFonts w:ascii="Times New Roman" w:hAnsi="Times New Roman" w:cs="Times New Roman"/>
        </w:rPr>
      </w:pPr>
      <w:r w:rsidRPr="003562C3">
        <w:rPr>
          <w:rFonts w:ascii="Times New Roman" w:hAnsi="Times New Roman" w:cs="Times New Roman"/>
        </w:rPr>
        <w:t xml:space="preserve">Item 9 </w:t>
      </w:r>
      <w:r w:rsidR="00BF288E" w:rsidRPr="003562C3">
        <w:rPr>
          <w:rFonts w:ascii="Times New Roman" w:hAnsi="Times New Roman" w:cs="Times New Roman"/>
        </w:rPr>
        <w:t>repeals table item 13, as ANZPAC</w:t>
      </w:r>
      <w:r w:rsidR="005321AB" w:rsidRPr="003562C3">
        <w:rPr>
          <w:rFonts w:ascii="Times New Roman" w:hAnsi="Times New Roman" w:cs="Times New Roman"/>
        </w:rPr>
        <w:t xml:space="preserve"> (previously mentioned in table item 13)</w:t>
      </w:r>
      <w:r w:rsidR="00BF288E" w:rsidRPr="003562C3">
        <w:rPr>
          <w:rFonts w:ascii="Times New Roman" w:hAnsi="Times New Roman" w:cs="Times New Roman"/>
        </w:rPr>
        <w:t xml:space="preserve"> is no longer an assessing authority specified in subsection 7(1) of </w:t>
      </w:r>
      <w:r w:rsidR="00E5702F" w:rsidRPr="003562C3">
        <w:rPr>
          <w:rFonts w:ascii="Times New Roman" w:hAnsi="Times New Roman" w:cs="Times New Roman"/>
        </w:rPr>
        <w:t>LIN 19/049</w:t>
      </w:r>
      <w:r w:rsidR="00BF288E">
        <w:rPr>
          <w:rFonts w:ascii="Times New Roman" w:hAnsi="Times New Roman" w:cs="Times New Roman"/>
        </w:rPr>
        <w:t xml:space="preserve">. </w:t>
      </w:r>
      <w:r w:rsidR="00FF1B37">
        <w:rPr>
          <w:rFonts w:ascii="Times New Roman" w:hAnsi="Times New Roman" w:cs="Times New Roman"/>
        </w:rPr>
        <w:t xml:space="preserve"> </w:t>
      </w:r>
      <w:r w:rsidR="00BF288E">
        <w:rPr>
          <w:rFonts w:ascii="Times New Roman" w:hAnsi="Times New Roman" w:cs="Times New Roman"/>
        </w:rPr>
        <w:t xml:space="preserve">Item 11 inserts </w:t>
      </w:r>
      <w:proofErr w:type="spellStart"/>
      <w:r w:rsidR="00BF288E">
        <w:rPr>
          <w:rFonts w:ascii="Times New Roman" w:hAnsi="Times New Roman" w:cs="Times New Roman"/>
        </w:rPr>
        <w:t>PodBA</w:t>
      </w:r>
      <w:proofErr w:type="spellEnd"/>
      <w:r w:rsidR="00BF288E">
        <w:rPr>
          <w:rFonts w:ascii="Times New Roman" w:hAnsi="Times New Roman" w:cs="Times New Roman"/>
        </w:rPr>
        <w:t xml:space="preserve"> at new table item 31A, which is the assessing authority for</w:t>
      </w:r>
      <w:r w:rsidR="002E6AF4">
        <w:rPr>
          <w:rFonts w:ascii="Times New Roman" w:hAnsi="Times New Roman" w:cs="Times New Roman"/>
        </w:rPr>
        <w:t xml:space="preserve"> the occupation of</w:t>
      </w:r>
      <w:r w:rsidR="00BF288E">
        <w:rPr>
          <w:rFonts w:ascii="Times New Roman" w:hAnsi="Times New Roman" w:cs="Times New Roman"/>
        </w:rPr>
        <w:t xml:space="preserve"> podiatrists under item 5 (and not ANZPAC).</w:t>
      </w:r>
    </w:p>
    <w:p w14:paraId="73CF2C18" w14:textId="639FC2A1" w:rsidR="00915032" w:rsidRDefault="004F58E8" w:rsidP="00915032">
      <w:pPr>
        <w:keepNext/>
        <w:spacing w:before="240" w:after="240" w:line="276" w:lineRule="auto"/>
        <w:rPr>
          <w:rFonts w:ascii="Times New Roman" w:hAnsi="Times New Roman" w:cs="Times New Roman"/>
          <w:b/>
        </w:rPr>
      </w:pPr>
      <w:r w:rsidRPr="004F58E8">
        <w:rPr>
          <w:rFonts w:ascii="Times New Roman" w:hAnsi="Times New Roman" w:cs="Times New Roman"/>
          <w:b/>
        </w:rPr>
        <w:t>Ite</w:t>
      </w:r>
      <w:r>
        <w:rPr>
          <w:rFonts w:ascii="Times New Roman" w:hAnsi="Times New Roman" w:cs="Times New Roman"/>
          <w:b/>
        </w:rPr>
        <w:t>m 12</w:t>
      </w:r>
      <w:r w:rsidR="00555907">
        <w:rPr>
          <w:rFonts w:ascii="Times New Roman" w:hAnsi="Times New Roman" w:cs="Times New Roman"/>
          <w:b/>
        </w:rPr>
        <w:tab/>
      </w:r>
      <w:r w:rsidR="00555907">
        <w:rPr>
          <w:rFonts w:ascii="Times New Roman" w:hAnsi="Times New Roman" w:cs="Times New Roman"/>
          <w:b/>
        </w:rPr>
        <w:tab/>
        <w:t>New section 13</w:t>
      </w:r>
    </w:p>
    <w:p w14:paraId="6DDB8DF3" w14:textId="1EA88E5E" w:rsidR="00555907" w:rsidRDefault="00555907" w:rsidP="00915032">
      <w:pPr>
        <w:spacing w:before="240" w:after="240" w:line="276" w:lineRule="auto"/>
        <w:rPr>
          <w:rFonts w:ascii="Times New Roman" w:hAnsi="Times New Roman" w:cs="Times New Roman"/>
        </w:rPr>
      </w:pPr>
      <w:r>
        <w:rPr>
          <w:rFonts w:ascii="Times New Roman" w:hAnsi="Times New Roman" w:cs="Times New Roman"/>
        </w:rPr>
        <w:t xml:space="preserve">Item 12 inserts new </w:t>
      </w:r>
      <w:r w:rsidR="00A07E92">
        <w:rPr>
          <w:rFonts w:ascii="Times New Roman" w:hAnsi="Times New Roman" w:cs="Times New Roman"/>
        </w:rPr>
        <w:t>section 13 in</w:t>
      </w:r>
      <w:r>
        <w:rPr>
          <w:rFonts w:ascii="Times New Roman" w:hAnsi="Times New Roman" w:cs="Times New Roman"/>
        </w:rPr>
        <w:t xml:space="preserve"> </w:t>
      </w:r>
      <w:r w:rsidR="00E5702F">
        <w:rPr>
          <w:rFonts w:ascii="Times New Roman" w:hAnsi="Times New Roman" w:cs="Times New Roman"/>
        </w:rPr>
        <w:t>LIN 19/049,</w:t>
      </w:r>
      <w:r>
        <w:rPr>
          <w:rFonts w:ascii="Times New Roman" w:hAnsi="Times New Roman" w:cs="Times New Roman"/>
        </w:rPr>
        <w:t xml:space="preserve"> to clarify how the amendments </w:t>
      </w:r>
      <w:r w:rsidRPr="003562C3">
        <w:rPr>
          <w:rFonts w:ascii="Times New Roman" w:hAnsi="Times New Roman" w:cs="Times New Roman"/>
        </w:rPr>
        <w:t xml:space="preserve">made </w:t>
      </w:r>
      <w:r w:rsidR="0005764E">
        <w:rPr>
          <w:rFonts w:ascii="Times New Roman" w:hAnsi="Times New Roman" w:cs="Times New Roman"/>
        </w:rPr>
        <w:t xml:space="preserve">by </w:t>
      </w:r>
      <w:r>
        <w:rPr>
          <w:rFonts w:ascii="Times New Roman" w:hAnsi="Times New Roman" w:cs="Times New Roman"/>
        </w:rPr>
        <w:t>the instrument apply</w:t>
      </w:r>
      <w:r w:rsidR="00C5450B">
        <w:rPr>
          <w:rFonts w:ascii="Times New Roman" w:hAnsi="Times New Roman" w:cs="Times New Roman"/>
        </w:rPr>
        <w:t xml:space="preserve"> to LIN 19/049</w:t>
      </w:r>
      <w:r>
        <w:rPr>
          <w:rFonts w:ascii="Times New Roman" w:hAnsi="Times New Roman" w:cs="Times New Roman"/>
        </w:rPr>
        <w:t xml:space="preserve">.  </w:t>
      </w:r>
    </w:p>
    <w:p w14:paraId="1AE19F96" w14:textId="14E7B272" w:rsidR="004A1A4C" w:rsidRDefault="008D0E45" w:rsidP="00915032">
      <w:pPr>
        <w:spacing w:before="240" w:after="240" w:line="276" w:lineRule="auto"/>
        <w:rPr>
          <w:rFonts w:ascii="Times New Roman" w:hAnsi="Times New Roman" w:cs="Times New Roman"/>
        </w:rPr>
      </w:pPr>
      <w:r>
        <w:rPr>
          <w:rFonts w:ascii="Times New Roman" w:hAnsi="Times New Roman" w:cs="Times New Roman"/>
        </w:rPr>
        <w:t>New s</w:t>
      </w:r>
      <w:r w:rsidR="008D2607">
        <w:rPr>
          <w:rFonts w:ascii="Times New Roman" w:hAnsi="Times New Roman" w:cs="Times New Roman"/>
        </w:rPr>
        <w:t xml:space="preserve">ubsection 13(1) </w:t>
      </w:r>
      <w:r w:rsidR="00555907">
        <w:rPr>
          <w:rFonts w:ascii="Times New Roman" w:hAnsi="Times New Roman" w:cs="Times New Roman"/>
        </w:rPr>
        <w:t xml:space="preserve">of </w:t>
      </w:r>
      <w:r w:rsidR="00464CD7">
        <w:rPr>
          <w:rFonts w:ascii="Times New Roman" w:hAnsi="Times New Roman" w:cs="Times New Roman"/>
        </w:rPr>
        <w:t xml:space="preserve">LIN 19/049 </w:t>
      </w:r>
      <w:r w:rsidR="00FD76F7">
        <w:rPr>
          <w:rFonts w:ascii="Times New Roman" w:hAnsi="Times New Roman" w:cs="Times New Roman"/>
        </w:rPr>
        <w:t>provides that the</w:t>
      </w:r>
      <w:r w:rsidR="00FF1B37">
        <w:rPr>
          <w:rFonts w:ascii="Times New Roman" w:hAnsi="Times New Roman" w:cs="Times New Roman"/>
        </w:rPr>
        <w:t xml:space="preserve"> amendments</w:t>
      </w:r>
      <w:r w:rsidR="00FD76F7">
        <w:rPr>
          <w:rFonts w:ascii="Times New Roman" w:hAnsi="Times New Roman" w:cs="Times New Roman"/>
        </w:rPr>
        <w:t xml:space="preserve"> made by the instrument apply to an application for a </w:t>
      </w:r>
      <w:r w:rsidR="00FF1B37">
        <w:rPr>
          <w:rFonts w:ascii="Times New Roman" w:hAnsi="Times New Roman" w:cs="Times New Roman"/>
        </w:rPr>
        <w:t>S</w:t>
      </w:r>
      <w:r w:rsidR="00FD76F7">
        <w:rPr>
          <w:rFonts w:ascii="Times New Roman" w:hAnsi="Times New Roman" w:cs="Times New Roman"/>
        </w:rPr>
        <w:t xml:space="preserve">ubclass 186 visa if </w:t>
      </w:r>
      <w:r w:rsidR="002E6AF4">
        <w:rPr>
          <w:rFonts w:ascii="Times New Roman" w:hAnsi="Times New Roman" w:cs="Times New Roman"/>
        </w:rPr>
        <w:t xml:space="preserve">the application is made </w:t>
      </w:r>
      <w:r w:rsidR="008E10D8">
        <w:rPr>
          <w:rFonts w:ascii="Times New Roman" w:hAnsi="Times New Roman" w:cs="Times New Roman"/>
        </w:rPr>
        <w:t>on or after</w:t>
      </w:r>
      <w:r w:rsidR="002E6AF4">
        <w:rPr>
          <w:rFonts w:ascii="Times New Roman" w:hAnsi="Times New Roman" w:cs="Times New Roman"/>
        </w:rPr>
        <w:t xml:space="preserve"> </w:t>
      </w:r>
      <w:r w:rsidR="00E65C19">
        <w:rPr>
          <w:rFonts w:ascii="Times New Roman" w:hAnsi="Times New Roman" w:cs="Times New Roman"/>
        </w:rPr>
        <w:t>the day the instrument commences</w:t>
      </w:r>
      <w:r w:rsidR="00FD76F7">
        <w:rPr>
          <w:rFonts w:ascii="Times New Roman" w:hAnsi="Times New Roman" w:cs="Times New Roman"/>
        </w:rPr>
        <w:t xml:space="preserve">, </w:t>
      </w:r>
      <w:r w:rsidR="00FD76F7">
        <w:rPr>
          <w:rFonts w:ascii="Times New Roman" w:hAnsi="Times New Roman" w:cs="Times New Roman"/>
        </w:rPr>
        <w:lastRenderedPageBreak/>
        <w:t>whether the assessment by an assessing authority for paragraph 186.234(2</w:t>
      </w:r>
      <w:proofErr w:type="gramStart"/>
      <w:r w:rsidR="00FD76F7">
        <w:rPr>
          <w:rFonts w:ascii="Times New Roman" w:hAnsi="Times New Roman" w:cs="Times New Roman"/>
        </w:rPr>
        <w:t>)(</w:t>
      </w:r>
      <w:proofErr w:type="gramEnd"/>
      <w:r w:rsidR="00FD76F7">
        <w:rPr>
          <w:rFonts w:ascii="Times New Roman" w:hAnsi="Times New Roman" w:cs="Times New Roman"/>
        </w:rPr>
        <w:t xml:space="preserve">a) of Schedule 2 to the Migration Regulations occurred before, on or after </w:t>
      </w:r>
      <w:r w:rsidR="004A1A4C">
        <w:rPr>
          <w:rFonts w:ascii="Times New Roman" w:hAnsi="Times New Roman" w:cs="Times New Roman"/>
        </w:rPr>
        <w:t>the instrument commences</w:t>
      </w:r>
      <w:r w:rsidR="00FD76F7">
        <w:rPr>
          <w:rFonts w:ascii="Times New Roman" w:hAnsi="Times New Roman" w:cs="Times New Roman"/>
        </w:rPr>
        <w:t xml:space="preserve">. </w:t>
      </w:r>
    </w:p>
    <w:p w14:paraId="750ED62E" w14:textId="6267B45B" w:rsidR="00D3615E" w:rsidRDefault="00D3615E" w:rsidP="00915032">
      <w:pPr>
        <w:spacing w:before="240" w:after="240" w:line="276" w:lineRule="auto"/>
        <w:rPr>
          <w:rFonts w:ascii="Times New Roman" w:hAnsi="Times New Roman" w:cs="Times New Roman"/>
        </w:rPr>
      </w:pPr>
      <w:r>
        <w:rPr>
          <w:rFonts w:ascii="Times New Roman" w:hAnsi="Times New Roman" w:cs="Times New Roman"/>
        </w:rPr>
        <w:t xml:space="preserve">For clarity, an assessment conducted by an assessing authority </w:t>
      </w:r>
      <w:r w:rsidR="00D7076A">
        <w:rPr>
          <w:rFonts w:ascii="Times New Roman" w:hAnsi="Times New Roman" w:cs="Times New Roman"/>
        </w:rPr>
        <w:t xml:space="preserve">that was not specified in LIN 19/049 </w:t>
      </w:r>
      <w:r>
        <w:rPr>
          <w:rFonts w:ascii="Times New Roman" w:hAnsi="Times New Roman" w:cs="Times New Roman"/>
        </w:rPr>
        <w:t xml:space="preserve">before </w:t>
      </w:r>
      <w:r w:rsidR="00E65C19">
        <w:rPr>
          <w:rFonts w:ascii="Times New Roman" w:hAnsi="Times New Roman" w:cs="Times New Roman"/>
        </w:rPr>
        <w:t>the instrument commences</w:t>
      </w:r>
      <w:r>
        <w:rPr>
          <w:rFonts w:ascii="Times New Roman" w:hAnsi="Times New Roman" w:cs="Times New Roman"/>
        </w:rPr>
        <w:t xml:space="preserve">, ACECQA and </w:t>
      </w:r>
      <w:proofErr w:type="spellStart"/>
      <w:r>
        <w:rPr>
          <w:rFonts w:ascii="Times New Roman" w:hAnsi="Times New Roman" w:cs="Times New Roman"/>
        </w:rPr>
        <w:t>PodBA</w:t>
      </w:r>
      <w:proofErr w:type="spellEnd"/>
      <w:r>
        <w:rPr>
          <w:rFonts w:ascii="Times New Roman" w:hAnsi="Times New Roman" w:cs="Times New Roman"/>
        </w:rPr>
        <w:t xml:space="preserve">, </w:t>
      </w:r>
      <w:r w:rsidR="00D7076A">
        <w:rPr>
          <w:rFonts w:ascii="Times New Roman" w:hAnsi="Times New Roman" w:cs="Times New Roman"/>
        </w:rPr>
        <w:t>are not captured by this section</w:t>
      </w:r>
      <w:r>
        <w:rPr>
          <w:rFonts w:ascii="Times New Roman" w:hAnsi="Times New Roman" w:cs="Times New Roman"/>
        </w:rPr>
        <w:t xml:space="preserve">.  This </w:t>
      </w:r>
      <w:r w:rsidR="00D7076A">
        <w:rPr>
          <w:rFonts w:ascii="Times New Roman" w:hAnsi="Times New Roman" w:cs="Times New Roman"/>
        </w:rPr>
        <w:t xml:space="preserve">section </w:t>
      </w:r>
      <w:r>
        <w:rPr>
          <w:rFonts w:ascii="Times New Roman" w:hAnsi="Times New Roman" w:cs="Times New Roman"/>
        </w:rPr>
        <w:t xml:space="preserve">does however, capture assessing authorities whose names have changed, as reflected in the instrument, and assessing authorities that continue to operate with the same name </w:t>
      </w:r>
      <w:r w:rsidR="00644F57">
        <w:rPr>
          <w:rFonts w:ascii="Times New Roman" w:hAnsi="Times New Roman" w:cs="Times New Roman"/>
        </w:rPr>
        <w:t xml:space="preserve">as before the instrument </w:t>
      </w:r>
      <w:r w:rsidR="00644F57" w:rsidRPr="0005764E">
        <w:rPr>
          <w:rFonts w:ascii="Times New Roman" w:hAnsi="Times New Roman" w:cs="Times New Roman"/>
        </w:rPr>
        <w:t>commence</w:t>
      </w:r>
      <w:r w:rsidR="0005764E" w:rsidRPr="0005764E">
        <w:rPr>
          <w:rFonts w:ascii="Times New Roman" w:hAnsi="Times New Roman" w:cs="Times New Roman"/>
        </w:rPr>
        <w:t>d.</w:t>
      </w:r>
      <w:r>
        <w:rPr>
          <w:rFonts w:ascii="Times New Roman" w:hAnsi="Times New Roman" w:cs="Times New Roman"/>
        </w:rPr>
        <w:t xml:space="preserve"> </w:t>
      </w:r>
    </w:p>
    <w:p w14:paraId="5CB3FE27" w14:textId="3F7EF833" w:rsidR="00915032" w:rsidRDefault="008D0E45" w:rsidP="00915032">
      <w:pPr>
        <w:spacing w:before="240" w:after="240" w:line="276" w:lineRule="auto"/>
        <w:rPr>
          <w:rFonts w:ascii="Times New Roman" w:hAnsi="Times New Roman" w:cs="Times New Roman"/>
        </w:rPr>
      </w:pPr>
      <w:r>
        <w:rPr>
          <w:rFonts w:ascii="Times New Roman" w:hAnsi="Times New Roman" w:cs="Times New Roman"/>
        </w:rPr>
        <w:t xml:space="preserve">New subsection 13(2) </w:t>
      </w:r>
      <w:r w:rsidR="009D2230">
        <w:rPr>
          <w:rFonts w:ascii="Times New Roman" w:hAnsi="Times New Roman" w:cs="Times New Roman"/>
        </w:rPr>
        <w:t>provides that asse</w:t>
      </w:r>
      <w:r w:rsidR="004A1A4C">
        <w:rPr>
          <w:rFonts w:ascii="Times New Roman" w:hAnsi="Times New Roman" w:cs="Times New Roman"/>
        </w:rPr>
        <w:t xml:space="preserve">ssments </w:t>
      </w:r>
      <w:r w:rsidR="009D2230">
        <w:rPr>
          <w:rFonts w:ascii="Times New Roman" w:hAnsi="Times New Roman" w:cs="Times New Roman"/>
        </w:rPr>
        <w:t xml:space="preserve">conducted </w:t>
      </w:r>
      <w:r w:rsidR="004A1A4C">
        <w:rPr>
          <w:rFonts w:ascii="Times New Roman" w:hAnsi="Times New Roman" w:cs="Times New Roman"/>
        </w:rPr>
        <w:t xml:space="preserve">before </w:t>
      </w:r>
      <w:r w:rsidR="00E65C19">
        <w:rPr>
          <w:rFonts w:ascii="Times New Roman" w:hAnsi="Times New Roman" w:cs="Times New Roman"/>
        </w:rPr>
        <w:t>the instrument commence</w:t>
      </w:r>
      <w:r w:rsidR="0005764E">
        <w:rPr>
          <w:rFonts w:ascii="Times New Roman" w:hAnsi="Times New Roman" w:cs="Times New Roman"/>
        </w:rPr>
        <w:t>d</w:t>
      </w:r>
      <w:r w:rsidR="00E65C19" w:rsidDel="00E65C19">
        <w:rPr>
          <w:rFonts w:ascii="Times New Roman" w:hAnsi="Times New Roman" w:cs="Times New Roman"/>
        </w:rPr>
        <w:t xml:space="preserve"> </w:t>
      </w:r>
      <w:r w:rsidR="004A1A4C">
        <w:rPr>
          <w:rFonts w:ascii="Times New Roman" w:hAnsi="Times New Roman" w:cs="Times New Roman"/>
        </w:rPr>
        <w:t xml:space="preserve">by a former assessing authority, </w:t>
      </w:r>
      <w:r w:rsidR="009D2230">
        <w:rPr>
          <w:rFonts w:ascii="Times New Roman" w:hAnsi="Times New Roman" w:cs="Times New Roman"/>
        </w:rPr>
        <w:t xml:space="preserve">for paragraph 186.234(2)(a) of Schedule 2 to the Migration </w:t>
      </w:r>
      <w:r w:rsidR="004A1A4C">
        <w:rPr>
          <w:rFonts w:ascii="Times New Roman" w:hAnsi="Times New Roman" w:cs="Times New Roman"/>
        </w:rPr>
        <w:t>Regulations</w:t>
      </w:r>
      <w:r w:rsidR="009D2230">
        <w:rPr>
          <w:rFonts w:ascii="Times New Roman" w:hAnsi="Times New Roman" w:cs="Times New Roman"/>
        </w:rPr>
        <w:t xml:space="preserve">, continue to be specified as an </w:t>
      </w:r>
      <w:r w:rsidR="004A1A4C">
        <w:rPr>
          <w:rFonts w:ascii="Times New Roman" w:hAnsi="Times New Roman" w:cs="Times New Roman"/>
        </w:rPr>
        <w:t xml:space="preserve">assessment by an </w:t>
      </w:r>
      <w:r w:rsidR="009D2230">
        <w:rPr>
          <w:rFonts w:ascii="Times New Roman" w:hAnsi="Times New Roman" w:cs="Times New Roman"/>
        </w:rPr>
        <w:t>assessing autho</w:t>
      </w:r>
      <w:r w:rsidR="009B4683">
        <w:rPr>
          <w:rFonts w:ascii="Times New Roman" w:hAnsi="Times New Roman" w:cs="Times New Roman"/>
        </w:rPr>
        <w:t xml:space="preserve">rity for an application </w:t>
      </w:r>
      <w:r w:rsidR="00B07579">
        <w:rPr>
          <w:rFonts w:ascii="Times New Roman" w:hAnsi="Times New Roman" w:cs="Times New Roman"/>
        </w:rPr>
        <w:t xml:space="preserve">made </w:t>
      </w:r>
      <w:r w:rsidR="008E10D8">
        <w:rPr>
          <w:rFonts w:ascii="Times New Roman" w:hAnsi="Times New Roman" w:cs="Times New Roman"/>
        </w:rPr>
        <w:t xml:space="preserve">on or after </w:t>
      </w:r>
      <w:r w:rsidR="00E65C19">
        <w:rPr>
          <w:rFonts w:ascii="Times New Roman" w:hAnsi="Times New Roman" w:cs="Times New Roman"/>
        </w:rPr>
        <w:t>the instrument commences</w:t>
      </w:r>
      <w:r w:rsidR="009D2230">
        <w:rPr>
          <w:rFonts w:ascii="Times New Roman" w:hAnsi="Times New Roman" w:cs="Times New Roman"/>
        </w:rPr>
        <w:t xml:space="preserve">. </w:t>
      </w:r>
      <w:r w:rsidR="00C5450B">
        <w:rPr>
          <w:rFonts w:ascii="Times New Roman" w:hAnsi="Times New Roman" w:cs="Times New Roman"/>
        </w:rPr>
        <w:t xml:space="preserve"> Assessments conducted by a former assessing authority will only be accepted as an assessment from a specified assessing authority for a period of up to 3 years after it is made, or until the assessment expires, whichever comes first.  </w:t>
      </w:r>
      <w:r w:rsidR="009D2230">
        <w:rPr>
          <w:rFonts w:ascii="Times New Roman" w:hAnsi="Times New Roman" w:cs="Times New Roman"/>
        </w:rPr>
        <w:t xml:space="preserve">An assessment by </w:t>
      </w:r>
      <w:r w:rsidR="00302AAB">
        <w:rPr>
          <w:rFonts w:ascii="Times New Roman" w:hAnsi="Times New Roman" w:cs="Times New Roman"/>
        </w:rPr>
        <w:t xml:space="preserve">an </w:t>
      </w:r>
      <w:r w:rsidR="009D2230">
        <w:rPr>
          <w:rFonts w:ascii="Times New Roman" w:hAnsi="Times New Roman" w:cs="Times New Roman"/>
        </w:rPr>
        <w:t xml:space="preserve">assessing authority mentioned in an item in column 2 of the following table is specified for the occupation mentioned in column 1 for that item if the assessment occurred before </w:t>
      </w:r>
      <w:r w:rsidR="00E65C19">
        <w:rPr>
          <w:rFonts w:ascii="Times New Roman" w:hAnsi="Times New Roman" w:cs="Times New Roman"/>
        </w:rPr>
        <w:t>the instrument commence</w:t>
      </w:r>
      <w:r w:rsidR="00B07579">
        <w:rPr>
          <w:rFonts w:ascii="Times New Roman" w:hAnsi="Times New Roman" w:cs="Times New Roman"/>
        </w:rPr>
        <w:t>d</w:t>
      </w:r>
      <w:r w:rsidR="009D2230">
        <w:rPr>
          <w:rFonts w:ascii="Times New Roman" w:hAnsi="Times New Roman" w:cs="Times New Roman"/>
        </w:rPr>
        <w:t xml:space="preserve">. </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4962"/>
      </w:tblGrid>
      <w:tr w:rsidR="009D2230" w:rsidRPr="007655E0" w14:paraId="6974A459" w14:textId="77777777" w:rsidTr="00105586">
        <w:trPr>
          <w:tblHeader/>
        </w:trPr>
        <w:tc>
          <w:tcPr>
            <w:tcW w:w="8359" w:type="dxa"/>
            <w:gridSpan w:val="3"/>
            <w:tcBorders>
              <w:top w:val="single" w:sz="12" w:space="0" w:color="auto"/>
              <w:bottom w:val="single" w:sz="6" w:space="0" w:color="auto"/>
            </w:tcBorders>
            <w:shd w:val="clear" w:color="auto" w:fill="auto"/>
          </w:tcPr>
          <w:p w14:paraId="002A1502" w14:textId="77777777" w:rsidR="009D2230" w:rsidRPr="007655E0" w:rsidRDefault="009D2230" w:rsidP="00105586">
            <w:pPr>
              <w:pStyle w:val="TableHeading"/>
            </w:pPr>
            <w:r w:rsidRPr="007655E0">
              <w:t>Assessing authorities</w:t>
            </w:r>
          </w:p>
        </w:tc>
      </w:tr>
      <w:tr w:rsidR="009D2230" w:rsidRPr="007655E0" w14:paraId="0984FF7B" w14:textId="77777777" w:rsidTr="00105586">
        <w:trPr>
          <w:tblHeader/>
        </w:trPr>
        <w:tc>
          <w:tcPr>
            <w:tcW w:w="714" w:type="dxa"/>
            <w:tcBorders>
              <w:top w:val="single" w:sz="6" w:space="0" w:color="auto"/>
              <w:bottom w:val="single" w:sz="12" w:space="0" w:color="auto"/>
            </w:tcBorders>
            <w:shd w:val="clear" w:color="auto" w:fill="auto"/>
          </w:tcPr>
          <w:p w14:paraId="3AD1D422" w14:textId="77777777" w:rsidR="009D2230" w:rsidRPr="007655E0" w:rsidRDefault="009D2230" w:rsidP="00105586">
            <w:pPr>
              <w:pStyle w:val="TableHeading"/>
            </w:pPr>
          </w:p>
          <w:p w14:paraId="1EC3F080" w14:textId="77777777" w:rsidR="009D2230" w:rsidRPr="007655E0" w:rsidRDefault="009D2230" w:rsidP="00105586">
            <w:pPr>
              <w:pStyle w:val="TableHeading"/>
            </w:pPr>
            <w:r w:rsidRPr="007655E0">
              <w:t>Item</w:t>
            </w:r>
          </w:p>
        </w:tc>
        <w:tc>
          <w:tcPr>
            <w:tcW w:w="2683" w:type="dxa"/>
            <w:tcBorders>
              <w:top w:val="single" w:sz="6" w:space="0" w:color="auto"/>
              <w:bottom w:val="single" w:sz="12" w:space="0" w:color="auto"/>
            </w:tcBorders>
            <w:shd w:val="clear" w:color="auto" w:fill="auto"/>
          </w:tcPr>
          <w:p w14:paraId="5DEE114D" w14:textId="77777777" w:rsidR="009D2230" w:rsidRPr="007655E0" w:rsidRDefault="009D2230" w:rsidP="00105586">
            <w:pPr>
              <w:pStyle w:val="TableHeading"/>
            </w:pPr>
            <w:r w:rsidRPr="007655E0">
              <w:t>Column 1</w:t>
            </w:r>
          </w:p>
          <w:p w14:paraId="111A96A9" w14:textId="77777777" w:rsidR="009D2230" w:rsidRPr="007655E0" w:rsidRDefault="009D2230" w:rsidP="00105586">
            <w:pPr>
              <w:pStyle w:val="TableHeading"/>
            </w:pPr>
            <w:r w:rsidRPr="007655E0">
              <w:t>Occupation</w:t>
            </w:r>
          </w:p>
        </w:tc>
        <w:tc>
          <w:tcPr>
            <w:tcW w:w="4962" w:type="dxa"/>
            <w:tcBorders>
              <w:top w:val="single" w:sz="6" w:space="0" w:color="auto"/>
              <w:bottom w:val="single" w:sz="12" w:space="0" w:color="auto"/>
            </w:tcBorders>
            <w:shd w:val="clear" w:color="auto" w:fill="auto"/>
          </w:tcPr>
          <w:p w14:paraId="44128326" w14:textId="77777777" w:rsidR="009D2230" w:rsidRPr="007655E0" w:rsidRDefault="009D2230" w:rsidP="00105586">
            <w:pPr>
              <w:pStyle w:val="TableHeading"/>
            </w:pPr>
            <w:r w:rsidRPr="007655E0">
              <w:t>Column 2</w:t>
            </w:r>
          </w:p>
          <w:p w14:paraId="153E13A9" w14:textId="77777777" w:rsidR="009D2230" w:rsidRPr="007655E0" w:rsidRDefault="009D2230" w:rsidP="00105586">
            <w:pPr>
              <w:pStyle w:val="TableHeading"/>
            </w:pPr>
            <w:r w:rsidRPr="007655E0">
              <w:t>Assessing authority</w:t>
            </w:r>
          </w:p>
        </w:tc>
      </w:tr>
      <w:tr w:rsidR="009D2230" w:rsidRPr="007655E0" w14:paraId="0A94EE7A" w14:textId="77777777" w:rsidTr="00105586">
        <w:tc>
          <w:tcPr>
            <w:tcW w:w="714" w:type="dxa"/>
            <w:tcBorders>
              <w:top w:val="single" w:sz="12" w:space="0" w:color="auto"/>
            </w:tcBorders>
            <w:shd w:val="clear" w:color="auto" w:fill="auto"/>
          </w:tcPr>
          <w:p w14:paraId="4E49D74B" w14:textId="77777777" w:rsidR="009D2230" w:rsidRPr="007655E0" w:rsidRDefault="009D2230" w:rsidP="00105586">
            <w:pPr>
              <w:pStyle w:val="Tabletext"/>
            </w:pPr>
            <w:r w:rsidRPr="007655E0">
              <w:t>1</w:t>
            </w:r>
          </w:p>
        </w:tc>
        <w:tc>
          <w:tcPr>
            <w:tcW w:w="2683" w:type="dxa"/>
            <w:tcBorders>
              <w:top w:val="single" w:sz="12" w:space="0" w:color="auto"/>
            </w:tcBorders>
            <w:shd w:val="clear" w:color="auto" w:fill="auto"/>
          </w:tcPr>
          <w:p w14:paraId="01D52846" w14:textId="77777777" w:rsidR="009D2230" w:rsidRPr="007655E0" w:rsidRDefault="009D2230" w:rsidP="00105586">
            <w:pPr>
              <w:pStyle w:val="Tabletext"/>
            </w:pPr>
            <w:r w:rsidRPr="007655E0">
              <w:rPr>
                <w:color w:val="000000"/>
                <w:shd w:val="clear" w:color="auto" w:fill="FFFFFF"/>
              </w:rPr>
              <w:t>chief executive or managing director</w:t>
            </w:r>
          </w:p>
        </w:tc>
        <w:tc>
          <w:tcPr>
            <w:tcW w:w="4962" w:type="dxa"/>
            <w:tcBorders>
              <w:top w:val="single" w:sz="12" w:space="0" w:color="auto"/>
            </w:tcBorders>
            <w:shd w:val="clear" w:color="auto" w:fill="auto"/>
          </w:tcPr>
          <w:p w14:paraId="6976B89A" w14:textId="77777777" w:rsidR="009D2230" w:rsidRPr="007655E0" w:rsidRDefault="009D2230" w:rsidP="00105586">
            <w:pPr>
              <w:pStyle w:val="Tabletext"/>
            </w:pPr>
            <w:r w:rsidRPr="00ED59EF">
              <w:rPr>
                <w:color w:val="000000"/>
              </w:rPr>
              <w:t>Australian Institute of Management</w:t>
            </w:r>
          </w:p>
        </w:tc>
      </w:tr>
      <w:tr w:rsidR="009D2230" w:rsidRPr="007655E0" w14:paraId="18AAA66A" w14:textId="77777777" w:rsidTr="00105586">
        <w:tc>
          <w:tcPr>
            <w:tcW w:w="714" w:type="dxa"/>
            <w:shd w:val="clear" w:color="auto" w:fill="auto"/>
          </w:tcPr>
          <w:p w14:paraId="0E8D7279" w14:textId="77777777" w:rsidR="009D2230" w:rsidRPr="007655E0" w:rsidRDefault="009D2230" w:rsidP="00105586">
            <w:pPr>
              <w:pStyle w:val="Tabletext"/>
            </w:pPr>
            <w:r w:rsidRPr="007655E0">
              <w:t>2</w:t>
            </w:r>
          </w:p>
        </w:tc>
        <w:tc>
          <w:tcPr>
            <w:tcW w:w="2683" w:type="dxa"/>
            <w:shd w:val="clear" w:color="auto" w:fill="auto"/>
          </w:tcPr>
          <w:p w14:paraId="636D4F9E" w14:textId="77777777" w:rsidR="009D2230" w:rsidRPr="007655E0" w:rsidRDefault="009D2230" w:rsidP="00105586">
            <w:pPr>
              <w:pStyle w:val="Tabletext"/>
              <w:rPr>
                <w:color w:val="000000"/>
              </w:rPr>
            </w:pPr>
            <w:r w:rsidRPr="00750922">
              <w:rPr>
                <w:color w:val="000000"/>
              </w:rPr>
              <w:t>corporate general manager</w:t>
            </w:r>
          </w:p>
        </w:tc>
        <w:tc>
          <w:tcPr>
            <w:tcW w:w="4962" w:type="dxa"/>
            <w:shd w:val="clear" w:color="auto" w:fill="auto"/>
          </w:tcPr>
          <w:p w14:paraId="73943B0F" w14:textId="77777777" w:rsidR="009D2230" w:rsidRPr="007655E0" w:rsidRDefault="009D2230" w:rsidP="00105586">
            <w:pPr>
              <w:pStyle w:val="Tabletext"/>
              <w:rPr>
                <w:color w:val="000000"/>
              </w:rPr>
            </w:pPr>
            <w:r w:rsidRPr="00ED59EF">
              <w:rPr>
                <w:color w:val="000000"/>
              </w:rPr>
              <w:t>Australian Institute of Management</w:t>
            </w:r>
          </w:p>
        </w:tc>
      </w:tr>
      <w:tr w:rsidR="009D2230" w:rsidRPr="007655E0" w14:paraId="6A81DBA6" w14:textId="77777777" w:rsidTr="00105586">
        <w:tc>
          <w:tcPr>
            <w:tcW w:w="714" w:type="dxa"/>
            <w:shd w:val="clear" w:color="auto" w:fill="auto"/>
          </w:tcPr>
          <w:p w14:paraId="65BEDCA3" w14:textId="77777777" w:rsidR="009D2230" w:rsidRPr="007655E0" w:rsidRDefault="009D2230" w:rsidP="00105586">
            <w:pPr>
              <w:pStyle w:val="Tabletext"/>
            </w:pPr>
            <w:r w:rsidRPr="007655E0">
              <w:t>3</w:t>
            </w:r>
          </w:p>
        </w:tc>
        <w:tc>
          <w:tcPr>
            <w:tcW w:w="2683" w:type="dxa"/>
            <w:shd w:val="clear" w:color="auto" w:fill="auto"/>
          </w:tcPr>
          <w:p w14:paraId="662358E4" w14:textId="77777777" w:rsidR="009D2230" w:rsidRPr="007655E0" w:rsidRDefault="009D2230" w:rsidP="00105586">
            <w:pPr>
              <w:pStyle w:val="Tabletext"/>
            </w:pPr>
            <w:r w:rsidRPr="007655E0">
              <w:rPr>
                <w:color w:val="000000"/>
              </w:rPr>
              <w:t>engineering manager</w:t>
            </w:r>
          </w:p>
        </w:tc>
        <w:tc>
          <w:tcPr>
            <w:tcW w:w="4962" w:type="dxa"/>
            <w:shd w:val="clear" w:color="auto" w:fill="auto"/>
          </w:tcPr>
          <w:p w14:paraId="75161072" w14:textId="77777777" w:rsidR="009D2230" w:rsidRPr="007655E0" w:rsidRDefault="009D2230" w:rsidP="00105586">
            <w:pPr>
              <w:pStyle w:val="Tabletext"/>
            </w:pPr>
            <w:r w:rsidRPr="00ED59EF">
              <w:rPr>
                <w:color w:val="000000"/>
              </w:rPr>
              <w:t>Australian Institute of Management</w:t>
            </w:r>
          </w:p>
        </w:tc>
      </w:tr>
      <w:tr w:rsidR="009D2230" w:rsidRPr="007655E0" w14:paraId="3F8C1318" w14:textId="77777777" w:rsidTr="00105586">
        <w:tc>
          <w:tcPr>
            <w:tcW w:w="714" w:type="dxa"/>
            <w:shd w:val="clear" w:color="auto" w:fill="auto"/>
          </w:tcPr>
          <w:p w14:paraId="12D4616C" w14:textId="77777777" w:rsidR="009D2230" w:rsidRPr="007655E0" w:rsidRDefault="009D2230" w:rsidP="00105586">
            <w:pPr>
              <w:pStyle w:val="Tabletext"/>
            </w:pPr>
            <w:r w:rsidRPr="007655E0">
              <w:t>4</w:t>
            </w:r>
          </w:p>
        </w:tc>
        <w:tc>
          <w:tcPr>
            <w:tcW w:w="2683" w:type="dxa"/>
            <w:shd w:val="clear" w:color="auto" w:fill="auto"/>
          </w:tcPr>
          <w:p w14:paraId="78AA3835" w14:textId="08145D9D" w:rsidR="009D2230" w:rsidRPr="007655E0" w:rsidRDefault="0032546F" w:rsidP="00105586">
            <w:pPr>
              <w:pStyle w:val="Tabletext"/>
            </w:pPr>
            <w:r>
              <w:rPr>
                <w:color w:val="000000"/>
              </w:rPr>
              <w:t>childcare</w:t>
            </w:r>
            <w:r w:rsidR="009D2230" w:rsidRPr="007655E0">
              <w:rPr>
                <w:color w:val="000000"/>
              </w:rPr>
              <w:t xml:space="preserve"> centre manager</w:t>
            </w:r>
          </w:p>
        </w:tc>
        <w:tc>
          <w:tcPr>
            <w:tcW w:w="4962" w:type="dxa"/>
            <w:shd w:val="clear" w:color="auto" w:fill="auto"/>
          </w:tcPr>
          <w:p w14:paraId="353B5080" w14:textId="77777777" w:rsidR="009D2230" w:rsidRPr="007655E0" w:rsidRDefault="009D2230" w:rsidP="00105586">
            <w:pPr>
              <w:pStyle w:val="Tabletext"/>
            </w:pPr>
            <w:r w:rsidRPr="007655E0">
              <w:t>Trades Recognition Australia</w:t>
            </w:r>
          </w:p>
        </w:tc>
      </w:tr>
      <w:tr w:rsidR="009D2230" w:rsidRPr="007655E0" w14:paraId="6DE72AC3" w14:textId="77777777" w:rsidTr="00105586">
        <w:tc>
          <w:tcPr>
            <w:tcW w:w="714" w:type="dxa"/>
            <w:tcBorders>
              <w:bottom w:val="single" w:sz="2" w:space="0" w:color="auto"/>
            </w:tcBorders>
            <w:shd w:val="clear" w:color="auto" w:fill="auto"/>
          </w:tcPr>
          <w:p w14:paraId="7BC55C54" w14:textId="77777777" w:rsidR="009D2230" w:rsidRPr="007655E0" w:rsidRDefault="009D2230" w:rsidP="00105586">
            <w:pPr>
              <w:pStyle w:val="Tabletext"/>
            </w:pPr>
            <w:r w:rsidRPr="007655E0">
              <w:t>5</w:t>
            </w:r>
          </w:p>
        </w:tc>
        <w:tc>
          <w:tcPr>
            <w:tcW w:w="2683" w:type="dxa"/>
            <w:tcBorders>
              <w:bottom w:val="single" w:sz="2" w:space="0" w:color="auto"/>
            </w:tcBorders>
            <w:shd w:val="clear" w:color="auto" w:fill="auto"/>
          </w:tcPr>
          <w:p w14:paraId="5D73EFD6" w14:textId="77777777" w:rsidR="009D2230" w:rsidRPr="007655E0" w:rsidRDefault="009D2230" w:rsidP="00105586">
            <w:pPr>
              <w:pStyle w:val="Tabletext"/>
            </w:pPr>
            <w:r w:rsidRPr="00ED59EF">
              <w:rPr>
                <w:color w:val="000000"/>
              </w:rPr>
              <w:t>medical laboratory scientist</w:t>
            </w:r>
          </w:p>
        </w:tc>
        <w:tc>
          <w:tcPr>
            <w:tcW w:w="4962" w:type="dxa"/>
            <w:tcBorders>
              <w:bottom w:val="single" w:sz="2" w:space="0" w:color="auto"/>
            </w:tcBorders>
            <w:shd w:val="clear" w:color="auto" w:fill="auto"/>
          </w:tcPr>
          <w:p w14:paraId="43C4BF2E" w14:textId="77777777" w:rsidR="009D2230" w:rsidRPr="007655E0" w:rsidRDefault="009D2230" w:rsidP="00105586">
            <w:pPr>
              <w:pStyle w:val="Tabletext"/>
            </w:pPr>
            <w:r w:rsidRPr="007655E0">
              <w:rPr>
                <w:color w:val="000000"/>
                <w:shd w:val="clear" w:color="auto" w:fill="FFFFFF"/>
              </w:rPr>
              <w:t>Australian Institute of Medical Scientists</w:t>
            </w:r>
          </w:p>
        </w:tc>
      </w:tr>
      <w:tr w:rsidR="009D2230" w:rsidRPr="007655E0" w14:paraId="26345217" w14:textId="77777777" w:rsidTr="00105586">
        <w:tc>
          <w:tcPr>
            <w:tcW w:w="714" w:type="dxa"/>
            <w:tcBorders>
              <w:top w:val="single" w:sz="2" w:space="0" w:color="auto"/>
              <w:bottom w:val="single" w:sz="12" w:space="0" w:color="auto"/>
            </w:tcBorders>
            <w:shd w:val="clear" w:color="auto" w:fill="auto"/>
          </w:tcPr>
          <w:p w14:paraId="58607FFC" w14:textId="77777777" w:rsidR="009D2230" w:rsidRPr="007655E0" w:rsidRDefault="009D2230" w:rsidP="00105586">
            <w:pPr>
              <w:pStyle w:val="Tabletext"/>
            </w:pPr>
            <w:r w:rsidRPr="007655E0">
              <w:t>6</w:t>
            </w:r>
          </w:p>
        </w:tc>
        <w:tc>
          <w:tcPr>
            <w:tcW w:w="2683" w:type="dxa"/>
            <w:tcBorders>
              <w:top w:val="single" w:sz="2" w:space="0" w:color="auto"/>
              <w:bottom w:val="single" w:sz="12" w:space="0" w:color="auto"/>
            </w:tcBorders>
            <w:shd w:val="clear" w:color="auto" w:fill="auto"/>
          </w:tcPr>
          <w:p w14:paraId="091ADE36" w14:textId="77777777" w:rsidR="009D2230" w:rsidRPr="007655E0" w:rsidRDefault="009D2230" w:rsidP="00105586">
            <w:pPr>
              <w:pStyle w:val="Tabletext"/>
            </w:pPr>
            <w:r w:rsidRPr="007655E0">
              <w:t>podiatrist</w:t>
            </w:r>
          </w:p>
        </w:tc>
        <w:tc>
          <w:tcPr>
            <w:tcW w:w="4962" w:type="dxa"/>
            <w:tcBorders>
              <w:top w:val="single" w:sz="2" w:space="0" w:color="auto"/>
              <w:bottom w:val="single" w:sz="12" w:space="0" w:color="auto"/>
            </w:tcBorders>
            <w:shd w:val="clear" w:color="auto" w:fill="auto"/>
          </w:tcPr>
          <w:p w14:paraId="66CB742A" w14:textId="77777777" w:rsidR="009D2230" w:rsidRPr="007655E0" w:rsidRDefault="009D2230" w:rsidP="00105586">
            <w:pPr>
              <w:pStyle w:val="Tabletext"/>
            </w:pPr>
            <w:r w:rsidRPr="007655E0">
              <w:rPr>
                <w:color w:val="000000"/>
                <w:shd w:val="clear" w:color="auto" w:fill="FFFFFF"/>
              </w:rPr>
              <w:t>Australian and New Zealand Podiatry Accreditation Council Limited</w:t>
            </w:r>
          </w:p>
        </w:tc>
      </w:tr>
    </w:tbl>
    <w:p w14:paraId="403E063C" w14:textId="77777777" w:rsidR="00915032" w:rsidRPr="00915032" w:rsidRDefault="00915032" w:rsidP="00915032">
      <w:pPr>
        <w:spacing w:before="240" w:after="240" w:line="276" w:lineRule="auto"/>
        <w:rPr>
          <w:rFonts w:ascii="Times New Roman" w:hAnsi="Times New Roman" w:cs="Times New Roman"/>
          <w:b/>
        </w:rPr>
      </w:pPr>
    </w:p>
    <w:sectPr w:rsidR="00915032" w:rsidRPr="00915032" w:rsidSect="004F5CE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AD73" w14:textId="77777777" w:rsidR="00317A1A" w:rsidRDefault="00317A1A" w:rsidP="00317A1A">
      <w:pPr>
        <w:spacing w:after="0" w:line="240" w:lineRule="auto"/>
      </w:pPr>
      <w:r>
        <w:separator/>
      </w:r>
    </w:p>
  </w:endnote>
  <w:endnote w:type="continuationSeparator" w:id="0">
    <w:p w14:paraId="3F2C566B" w14:textId="77777777" w:rsidR="00317A1A" w:rsidRDefault="00317A1A" w:rsidP="0031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A4F9" w14:textId="77777777" w:rsidR="00317A1A" w:rsidRDefault="00317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6C51D" w14:textId="77777777" w:rsidR="00317A1A" w:rsidRDefault="00317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147A" w14:textId="77777777" w:rsidR="00317A1A" w:rsidRDefault="00317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F2E58" w14:textId="77777777" w:rsidR="00317A1A" w:rsidRDefault="00317A1A" w:rsidP="00317A1A">
      <w:pPr>
        <w:spacing w:after="0" w:line="240" w:lineRule="auto"/>
      </w:pPr>
      <w:r>
        <w:separator/>
      </w:r>
    </w:p>
  </w:footnote>
  <w:footnote w:type="continuationSeparator" w:id="0">
    <w:p w14:paraId="4F7E335C" w14:textId="77777777" w:rsidR="00317A1A" w:rsidRDefault="00317A1A" w:rsidP="0031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8DE2F" w14:textId="77777777" w:rsidR="00317A1A" w:rsidRDefault="00317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174E" w14:textId="09D64A3E" w:rsidR="00317A1A" w:rsidRDefault="00317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83AD" w14:textId="77777777" w:rsidR="00317A1A" w:rsidRDefault="0031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FBDE329C"/>
    <w:lvl w:ilvl="0" w:tplc="1B167EC8">
      <w:start w:val="1"/>
      <w:numFmt w:val="decimal"/>
      <w:lvlText w:val="%1"/>
      <w:lvlJc w:val="left"/>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A35811AA"/>
    <w:lvl w:ilvl="0" w:tplc="C1545C0C">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CD2D0C"/>
    <w:multiLevelType w:val="hybridMultilevel"/>
    <w:tmpl w:val="E252F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comment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B5"/>
    <w:rsid w:val="0000688B"/>
    <w:rsid w:val="0005764E"/>
    <w:rsid w:val="0007517D"/>
    <w:rsid w:val="00082526"/>
    <w:rsid w:val="000B44B9"/>
    <w:rsid w:val="000D014F"/>
    <w:rsid w:val="001061C3"/>
    <w:rsid w:val="0015384E"/>
    <w:rsid w:val="0017064A"/>
    <w:rsid w:val="001712EF"/>
    <w:rsid w:val="001864F4"/>
    <w:rsid w:val="0019164E"/>
    <w:rsid w:val="001C565B"/>
    <w:rsid w:val="001C617D"/>
    <w:rsid w:val="001D3AC3"/>
    <w:rsid w:val="001D6D38"/>
    <w:rsid w:val="001E7F85"/>
    <w:rsid w:val="00200E4F"/>
    <w:rsid w:val="00212BC9"/>
    <w:rsid w:val="00216FAD"/>
    <w:rsid w:val="002402E0"/>
    <w:rsid w:val="00245BB7"/>
    <w:rsid w:val="002C0FA7"/>
    <w:rsid w:val="002E6AF4"/>
    <w:rsid w:val="00302AAB"/>
    <w:rsid w:val="00317A1A"/>
    <w:rsid w:val="0032546F"/>
    <w:rsid w:val="003306C8"/>
    <w:rsid w:val="00341142"/>
    <w:rsid w:val="003562C3"/>
    <w:rsid w:val="003766C4"/>
    <w:rsid w:val="00384131"/>
    <w:rsid w:val="003B7089"/>
    <w:rsid w:val="00457D4A"/>
    <w:rsid w:val="00464080"/>
    <w:rsid w:val="00464CD7"/>
    <w:rsid w:val="00477D27"/>
    <w:rsid w:val="004A1A4C"/>
    <w:rsid w:val="004A21B5"/>
    <w:rsid w:val="004A47AD"/>
    <w:rsid w:val="004F58E8"/>
    <w:rsid w:val="004F5CE4"/>
    <w:rsid w:val="00521912"/>
    <w:rsid w:val="005321AB"/>
    <w:rsid w:val="0055094A"/>
    <w:rsid w:val="00555907"/>
    <w:rsid w:val="00560B24"/>
    <w:rsid w:val="0057002B"/>
    <w:rsid w:val="00584E81"/>
    <w:rsid w:val="005E14B9"/>
    <w:rsid w:val="005F500D"/>
    <w:rsid w:val="00617A03"/>
    <w:rsid w:val="00644F57"/>
    <w:rsid w:val="006822A3"/>
    <w:rsid w:val="006A28DD"/>
    <w:rsid w:val="006E0BC3"/>
    <w:rsid w:val="006E1ED3"/>
    <w:rsid w:val="007109C1"/>
    <w:rsid w:val="00713FB2"/>
    <w:rsid w:val="007358C6"/>
    <w:rsid w:val="00774F5C"/>
    <w:rsid w:val="00790A72"/>
    <w:rsid w:val="007B582B"/>
    <w:rsid w:val="007E4691"/>
    <w:rsid w:val="007E5505"/>
    <w:rsid w:val="00800667"/>
    <w:rsid w:val="0088407D"/>
    <w:rsid w:val="008B24C8"/>
    <w:rsid w:val="008D0E45"/>
    <w:rsid w:val="008D2607"/>
    <w:rsid w:val="008D649D"/>
    <w:rsid w:val="008E10D8"/>
    <w:rsid w:val="008E7082"/>
    <w:rsid w:val="00901152"/>
    <w:rsid w:val="00903530"/>
    <w:rsid w:val="00915032"/>
    <w:rsid w:val="009279C2"/>
    <w:rsid w:val="009472B3"/>
    <w:rsid w:val="009A2E31"/>
    <w:rsid w:val="009B4683"/>
    <w:rsid w:val="009D2230"/>
    <w:rsid w:val="00A07E92"/>
    <w:rsid w:val="00AA4451"/>
    <w:rsid w:val="00AA4557"/>
    <w:rsid w:val="00AF1222"/>
    <w:rsid w:val="00AF4ABE"/>
    <w:rsid w:val="00B04FB1"/>
    <w:rsid w:val="00B07579"/>
    <w:rsid w:val="00B37252"/>
    <w:rsid w:val="00B445D9"/>
    <w:rsid w:val="00B75478"/>
    <w:rsid w:val="00B85113"/>
    <w:rsid w:val="00BB6580"/>
    <w:rsid w:val="00BC782E"/>
    <w:rsid w:val="00BD598E"/>
    <w:rsid w:val="00BF288E"/>
    <w:rsid w:val="00C273B0"/>
    <w:rsid w:val="00C360A6"/>
    <w:rsid w:val="00C5450B"/>
    <w:rsid w:val="00C76AF8"/>
    <w:rsid w:val="00C930F2"/>
    <w:rsid w:val="00CC1FD3"/>
    <w:rsid w:val="00CE2D79"/>
    <w:rsid w:val="00D3615E"/>
    <w:rsid w:val="00D40734"/>
    <w:rsid w:val="00D61E7A"/>
    <w:rsid w:val="00D7076A"/>
    <w:rsid w:val="00DB11B5"/>
    <w:rsid w:val="00E03DCC"/>
    <w:rsid w:val="00E5702F"/>
    <w:rsid w:val="00E65C19"/>
    <w:rsid w:val="00E8584E"/>
    <w:rsid w:val="00E92A6B"/>
    <w:rsid w:val="00EA12C9"/>
    <w:rsid w:val="00EA4B38"/>
    <w:rsid w:val="00EC6946"/>
    <w:rsid w:val="00ED0A37"/>
    <w:rsid w:val="00ED3B35"/>
    <w:rsid w:val="00F1521A"/>
    <w:rsid w:val="00F155F8"/>
    <w:rsid w:val="00F63808"/>
    <w:rsid w:val="00F846B4"/>
    <w:rsid w:val="00FB41EA"/>
    <w:rsid w:val="00FC7336"/>
    <w:rsid w:val="00FD2811"/>
    <w:rsid w:val="00FD76F7"/>
    <w:rsid w:val="00FE0FEE"/>
    <w:rsid w:val="00FE5D0F"/>
    <w:rsid w:val="00FF1B37"/>
    <w:rsid w:val="00FF2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5162A"/>
  <w15:chartTrackingRefBased/>
  <w15:docId w15:val="{5F75DECC-2507-422E-871B-9FF00EE6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2B"/>
    <w:pPr>
      <w:ind w:left="720"/>
      <w:contextualSpacing/>
    </w:pPr>
  </w:style>
  <w:style w:type="character" w:styleId="CommentReference">
    <w:name w:val="annotation reference"/>
    <w:basedOn w:val="DefaultParagraphFont"/>
    <w:uiPriority w:val="99"/>
    <w:semiHidden/>
    <w:unhideWhenUsed/>
    <w:rsid w:val="0007517D"/>
    <w:rPr>
      <w:sz w:val="16"/>
      <w:szCs w:val="16"/>
    </w:rPr>
  </w:style>
  <w:style w:type="paragraph" w:styleId="CommentText">
    <w:name w:val="annotation text"/>
    <w:basedOn w:val="Normal"/>
    <w:link w:val="CommentTextChar"/>
    <w:uiPriority w:val="99"/>
    <w:semiHidden/>
    <w:unhideWhenUsed/>
    <w:rsid w:val="0007517D"/>
    <w:pPr>
      <w:spacing w:line="240" w:lineRule="auto"/>
    </w:pPr>
    <w:rPr>
      <w:sz w:val="20"/>
      <w:szCs w:val="20"/>
    </w:rPr>
  </w:style>
  <w:style w:type="character" w:customStyle="1" w:styleId="CommentTextChar">
    <w:name w:val="Comment Text Char"/>
    <w:basedOn w:val="DefaultParagraphFont"/>
    <w:link w:val="CommentText"/>
    <w:uiPriority w:val="99"/>
    <w:semiHidden/>
    <w:rsid w:val="0007517D"/>
    <w:rPr>
      <w:sz w:val="20"/>
      <w:szCs w:val="20"/>
    </w:rPr>
  </w:style>
  <w:style w:type="paragraph" w:styleId="CommentSubject">
    <w:name w:val="annotation subject"/>
    <w:basedOn w:val="CommentText"/>
    <w:next w:val="CommentText"/>
    <w:link w:val="CommentSubjectChar"/>
    <w:uiPriority w:val="99"/>
    <w:semiHidden/>
    <w:unhideWhenUsed/>
    <w:rsid w:val="0007517D"/>
    <w:rPr>
      <w:b/>
      <w:bCs/>
    </w:rPr>
  </w:style>
  <w:style w:type="character" w:customStyle="1" w:styleId="CommentSubjectChar">
    <w:name w:val="Comment Subject Char"/>
    <w:basedOn w:val="CommentTextChar"/>
    <w:link w:val="CommentSubject"/>
    <w:uiPriority w:val="99"/>
    <w:semiHidden/>
    <w:rsid w:val="0007517D"/>
    <w:rPr>
      <w:b/>
      <w:bCs/>
      <w:sz w:val="20"/>
      <w:szCs w:val="20"/>
    </w:rPr>
  </w:style>
  <w:style w:type="paragraph" w:styleId="BalloonText">
    <w:name w:val="Balloon Text"/>
    <w:basedOn w:val="Normal"/>
    <w:link w:val="BalloonTextChar"/>
    <w:uiPriority w:val="99"/>
    <w:semiHidden/>
    <w:unhideWhenUsed/>
    <w:rsid w:val="0007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17D"/>
    <w:rPr>
      <w:rFonts w:ascii="Segoe UI" w:hAnsi="Segoe UI" w:cs="Segoe UI"/>
      <w:sz w:val="18"/>
      <w:szCs w:val="18"/>
    </w:rPr>
  </w:style>
  <w:style w:type="paragraph" w:customStyle="1" w:styleId="Tabletext">
    <w:name w:val="Tabletext"/>
    <w:aliases w:val="tt"/>
    <w:basedOn w:val="Normal"/>
    <w:rsid w:val="009D2230"/>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9D2230"/>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AA4451"/>
    <w:pPr>
      <w:spacing w:after="0" w:line="240" w:lineRule="auto"/>
    </w:pPr>
  </w:style>
  <w:style w:type="paragraph" w:styleId="Header">
    <w:name w:val="header"/>
    <w:basedOn w:val="Normal"/>
    <w:link w:val="HeaderChar"/>
    <w:uiPriority w:val="99"/>
    <w:unhideWhenUsed/>
    <w:rsid w:val="0031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A1A"/>
  </w:style>
  <w:style w:type="paragraph" w:styleId="Footer">
    <w:name w:val="footer"/>
    <w:basedOn w:val="Normal"/>
    <w:link w:val="FooterChar"/>
    <w:uiPriority w:val="99"/>
    <w:unhideWhenUsed/>
    <w:rsid w:val="0031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Microsoft\Windows\INetCache\Content.Outlook\41HQ3IFL\210205%20-%20Explanatory%20Statement%20Template%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5868-07C7-4FEE-957B-C84DC573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210205 - Explanatory Statement Template DRAFT</Template>
  <TotalTime>0</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Jayde KOMINIARSKI</cp:lastModifiedBy>
  <cp:revision>2</cp:revision>
  <dcterms:created xsi:type="dcterms:W3CDTF">2021-02-24T03:21:00Z</dcterms:created>
  <dcterms:modified xsi:type="dcterms:W3CDTF">2021-02-24T03:21:00Z</dcterms:modified>
</cp:coreProperties>
</file>