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9F75B" w14:textId="77777777" w:rsidR="00715914" w:rsidRPr="008052B8" w:rsidRDefault="00DA186E" w:rsidP="00386A00">
      <w:pPr>
        <w:rPr>
          <w:sz w:val="28"/>
        </w:rPr>
      </w:pPr>
      <w:r w:rsidRPr="008052B8">
        <w:rPr>
          <w:noProof/>
          <w:lang w:eastAsia="en-AU"/>
        </w:rPr>
        <w:drawing>
          <wp:inline distT="0" distB="0" distL="0" distR="0" wp14:anchorId="2CC86B33" wp14:editId="1FC560D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2D33F17" w14:textId="77777777" w:rsidR="00715914" w:rsidRPr="00386A00" w:rsidRDefault="00715914" w:rsidP="00715914">
      <w:pPr>
        <w:rPr>
          <w:sz w:val="19"/>
        </w:rPr>
      </w:pPr>
    </w:p>
    <w:p w14:paraId="2D2837D0" w14:textId="77777777" w:rsidR="00715914" w:rsidRPr="008052B8" w:rsidRDefault="00BF79F5" w:rsidP="00715914">
      <w:pPr>
        <w:pStyle w:val="ShortT"/>
      </w:pPr>
      <w:r w:rsidRPr="008052B8">
        <w:t xml:space="preserve">Australian Postal Corporation </w:t>
      </w:r>
      <w:r w:rsidR="00C10214" w:rsidRPr="008052B8">
        <w:t>Regulations 2</w:t>
      </w:r>
      <w:r w:rsidRPr="008052B8">
        <w:t>0</w:t>
      </w:r>
      <w:r w:rsidR="00F3377D" w:rsidRPr="008052B8">
        <w:t>2</w:t>
      </w:r>
      <w:r w:rsidRPr="008052B8">
        <w:t>1</w:t>
      </w:r>
    </w:p>
    <w:p w14:paraId="7AF1F41C" w14:textId="77777777" w:rsidR="00BF79F5" w:rsidRPr="008052B8" w:rsidRDefault="00BF79F5" w:rsidP="00E747C0">
      <w:pPr>
        <w:pStyle w:val="SignCoverPageStart"/>
        <w:spacing w:before="240"/>
        <w:rPr>
          <w:szCs w:val="22"/>
        </w:rPr>
      </w:pPr>
      <w:r w:rsidRPr="008052B8">
        <w:rPr>
          <w:szCs w:val="22"/>
        </w:rPr>
        <w:t>I, General the Honourable David Hurley AC DSC (Retd), Governor</w:t>
      </w:r>
      <w:r w:rsidR="008052B8">
        <w:rPr>
          <w:szCs w:val="22"/>
        </w:rPr>
        <w:noBreakHyphen/>
      </w:r>
      <w:r w:rsidRPr="008052B8">
        <w:rPr>
          <w:szCs w:val="22"/>
        </w:rPr>
        <w:t>General of the Commonwealth of Australia, acting with the advice of the Federal Executive Council, make the following regulations.</w:t>
      </w:r>
    </w:p>
    <w:p w14:paraId="2F2ED64D" w14:textId="61AD2962" w:rsidR="00BF79F5" w:rsidRPr="008052B8" w:rsidRDefault="00BF79F5" w:rsidP="00E747C0">
      <w:pPr>
        <w:keepNext/>
        <w:spacing w:before="720" w:line="240" w:lineRule="atLeast"/>
        <w:ind w:right="397"/>
        <w:jc w:val="both"/>
        <w:rPr>
          <w:szCs w:val="22"/>
        </w:rPr>
      </w:pPr>
      <w:r w:rsidRPr="008052B8">
        <w:rPr>
          <w:szCs w:val="22"/>
        </w:rPr>
        <w:t xml:space="preserve">Dated </w:t>
      </w:r>
      <w:bookmarkStart w:id="0" w:name="BKCheck15B_1"/>
      <w:bookmarkEnd w:id="0"/>
      <w:r w:rsidRPr="008052B8">
        <w:rPr>
          <w:szCs w:val="22"/>
        </w:rPr>
        <w:fldChar w:fldCharType="begin"/>
      </w:r>
      <w:r w:rsidRPr="008052B8">
        <w:rPr>
          <w:szCs w:val="22"/>
        </w:rPr>
        <w:instrText xml:space="preserve"> DOCPROPERTY  DateMade </w:instrText>
      </w:r>
      <w:r w:rsidRPr="008052B8">
        <w:rPr>
          <w:szCs w:val="22"/>
        </w:rPr>
        <w:fldChar w:fldCharType="separate"/>
      </w:r>
      <w:r w:rsidR="004457E9">
        <w:rPr>
          <w:szCs w:val="22"/>
        </w:rPr>
        <w:t>18 March 2021</w:t>
      </w:r>
      <w:r w:rsidRPr="008052B8">
        <w:rPr>
          <w:szCs w:val="22"/>
        </w:rPr>
        <w:fldChar w:fldCharType="end"/>
      </w:r>
    </w:p>
    <w:p w14:paraId="32E012D4" w14:textId="77777777" w:rsidR="00BF79F5" w:rsidRPr="008052B8" w:rsidRDefault="00BF79F5" w:rsidP="00E747C0">
      <w:pPr>
        <w:keepNext/>
        <w:tabs>
          <w:tab w:val="left" w:pos="3402"/>
        </w:tabs>
        <w:spacing w:before="1080" w:line="300" w:lineRule="atLeast"/>
        <w:ind w:left="397" w:right="397"/>
        <w:jc w:val="right"/>
        <w:rPr>
          <w:szCs w:val="22"/>
        </w:rPr>
      </w:pPr>
      <w:r w:rsidRPr="008052B8">
        <w:rPr>
          <w:szCs w:val="22"/>
        </w:rPr>
        <w:t>David Hurley</w:t>
      </w:r>
    </w:p>
    <w:p w14:paraId="593F1419" w14:textId="77777777" w:rsidR="00BF79F5" w:rsidRPr="008052B8" w:rsidRDefault="00BF79F5" w:rsidP="00E747C0">
      <w:pPr>
        <w:keepNext/>
        <w:tabs>
          <w:tab w:val="left" w:pos="3402"/>
        </w:tabs>
        <w:spacing w:line="300" w:lineRule="atLeast"/>
        <w:ind w:left="397" w:right="397"/>
        <w:jc w:val="right"/>
        <w:rPr>
          <w:szCs w:val="22"/>
        </w:rPr>
      </w:pPr>
      <w:r w:rsidRPr="008052B8">
        <w:rPr>
          <w:szCs w:val="22"/>
        </w:rPr>
        <w:t>Governor</w:t>
      </w:r>
      <w:r w:rsidR="008052B8">
        <w:rPr>
          <w:szCs w:val="22"/>
        </w:rPr>
        <w:noBreakHyphen/>
      </w:r>
      <w:r w:rsidRPr="008052B8">
        <w:rPr>
          <w:szCs w:val="22"/>
        </w:rPr>
        <w:t>General</w:t>
      </w:r>
    </w:p>
    <w:p w14:paraId="63F2EF0D" w14:textId="77777777" w:rsidR="00BF79F5" w:rsidRPr="008052B8" w:rsidRDefault="00BF79F5" w:rsidP="00E747C0">
      <w:pPr>
        <w:keepNext/>
        <w:tabs>
          <w:tab w:val="left" w:pos="3402"/>
        </w:tabs>
        <w:spacing w:before="840" w:after="1080" w:line="300" w:lineRule="atLeast"/>
        <w:ind w:right="397"/>
        <w:rPr>
          <w:szCs w:val="22"/>
        </w:rPr>
      </w:pPr>
      <w:r w:rsidRPr="008052B8">
        <w:rPr>
          <w:szCs w:val="22"/>
        </w:rPr>
        <w:t>By His Excellency</w:t>
      </w:r>
      <w:r w:rsidR="00BC79DF" w:rsidRPr="008052B8">
        <w:rPr>
          <w:szCs w:val="22"/>
        </w:rPr>
        <w:t>’</w:t>
      </w:r>
      <w:r w:rsidRPr="008052B8">
        <w:rPr>
          <w:szCs w:val="22"/>
        </w:rPr>
        <w:t>s Command</w:t>
      </w:r>
    </w:p>
    <w:p w14:paraId="79C9BC1B" w14:textId="77777777" w:rsidR="00BF79F5" w:rsidRPr="008052B8" w:rsidRDefault="00BF79F5" w:rsidP="00E747C0">
      <w:pPr>
        <w:keepNext/>
        <w:tabs>
          <w:tab w:val="left" w:pos="3402"/>
        </w:tabs>
        <w:spacing w:before="480" w:line="300" w:lineRule="atLeast"/>
        <w:ind w:right="397"/>
        <w:rPr>
          <w:szCs w:val="22"/>
        </w:rPr>
      </w:pPr>
      <w:r w:rsidRPr="008052B8">
        <w:rPr>
          <w:szCs w:val="22"/>
        </w:rPr>
        <w:t>Paul Fletcher</w:t>
      </w:r>
    </w:p>
    <w:p w14:paraId="4B4257B6" w14:textId="77777777" w:rsidR="00BF79F5" w:rsidRPr="008052B8" w:rsidRDefault="00BF79F5" w:rsidP="00E747C0">
      <w:pPr>
        <w:pStyle w:val="SignCoverPageEnd"/>
        <w:rPr>
          <w:szCs w:val="22"/>
        </w:rPr>
      </w:pPr>
      <w:r w:rsidRPr="008052B8">
        <w:rPr>
          <w:szCs w:val="22"/>
        </w:rPr>
        <w:t>Minister for Communications, Urban Infrastructure, Cities and the Arts</w:t>
      </w:r>
    </w:p>
    <w:p w14:paraId="4B2BBD5B" w14:textId="77777777" w:rsidR="00BF79F5" w:rsidRPr="008052B8" w:rsidRDefault="00BF79F5" w:rsidP="00E747C0"/>
    <w:p w14:paraId="680C1689" w14:textId="77777777" w:rsidR="00BF79F5" w:rsidRPr="008052B8" w:rsidRDefault="00BF79F5" w:rsidP="00E747C0"/>
    <w:p w14:paraId="32C974BD" w14:textId="77777777" w:rsidR="00BF79F5" w:rsidRPr="008052B8" w:rsidRDefault="00BF79F5" w:rsidP="00E747C0"/>
    <w:p w14:paraId="759050DF" w14:textId="77777777" w:rsidR="00715914" w:rsidRPr="00085A2B" w:rsidRDefault="00715914" w:rsidP="00715914">
      <w:pPr>
        <w:pStyle w:val="Header"/>
        <w:tabs>
          <w:tab w:val="clear" w:pos="4150"/>
          <w:tab w:val="clear" w:pos="8307"/>
        </w:tabs>
      </w:pPr>
      <w:r w:rsidRPr="00085A2B">
        <w:rPr>
          <w:rStyle w:val="CharChapNo"/>
        </w:rPr>
        <w:t xml:space="preserve"> </w:t>
      </w:r>
      <w:r w:rsidRPr="00085A2B">
        <w:rPr>
          <w:rStyle w:val="CharChapText"/>
        </w:rPr>
        <w:t xml:space="preserve"> </w:t>
      </w:r>
    </w:p>
    <w:p w14:paraId="3C7B6F87" w14:textId="77777777" w:rsidR="00715914" w:rsidRPr="00085A2B" w:rsidRDefault="00715914" w:rsidP="00715914">
      <w:pPr>
        <w:pStyle w:val="Header"/>
        <w:tabs>
          <w:tab w:val="clear" w:pos="4150"/>
          <w:tab w:val="clear" w:pos="8307"/>
        </w:tabs>
      </w:pPr>
      <w:r w:rsidRPr="00085A2B">
        <w:rPr>
          <w:rStyle w:val="CharPartNo"/>
        </w:rPr>
        <w:t xml:space="preserve"> </w:t>
      </w:r>
      <w:r w:rsidRPr="00085A2B">
        <w:rPr>
          <w:rStyle w:val="CharPartText"/>
        </w:rPr>
        <w:t xml:space="preserve"> </w:t>
      </w:r>
    </w:p>
    <w:p w14:paraId="667252E6" w14:textId="77777777" w:rsidR="00715914" w:rsidRPr="00085A2B" w:rsidRDefault="00715914" w:rsidP="00715914">
      <w:pPr>
        <w:pStyle w:val="Header"/>
        <w:tabs>
          <w:tab w:val="clear" w:pos="4150"/>
          <w:tab w:val="clear" w:pos="8307"/>
        </w:tabs>
      </w:pPr>
      <w:r w:rsidRPr="00085A2B">
        <w:rPr>
          <w:rStyle w:val="CharDivNo"/>
        </w:rPr>
        <w:t xml:space="preserve"> </w:t>
      </w:r>
      <w:r w:rsidRPr="00085A2B">
        <w:rPr>
          <w:rStyle w:val="CharDivText"/>
        </w:rPr>
        <w:t xml:space="preserve"> </w:t>
      </w:r>
    </w:p>
    <w:p w14:paraId="4AE33EFC" w14:textId="77777777" w:rsidR="00715914" w:rsidRPr="008052B8" w:rsidRDefault="00715914" w:rsidP="00715914">
      <w:pPr>
        <w:sectPr w:rsidR="00715914" w:rsidRPr="008052B8" w:rsidSect="00C006A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AF425F0" w14:textId="77777777" w:rsidR="00F67BCA" w:rsidRPr="008052B8" w:rsidRDefault="00715914" w:rsidP="00715914">
      <w:pPr>
        <w:outlineLvl w:val="0"/>
        <w:rPr>
          <w:sz w:val="36"/>
        </w:rPr>
      </w:pPr>
      <w:r w:rsidRPr="008052B8">
        <w:rPr>
          <w:sz w:val="36"/>
        </w:rPr>
        <w:lastRenderedPageBreak/>
        <w:t>Contents</w:t>
      </w:r>
    </w:p>
    <w:bookmarkStart w:id="1" w:name="BKCheck15B_2"/>
    <w:bookmarkEnd w:id="1"/>
    <w:p w14:paraId="53601A3D" w14:textId="4CE5829B" w:rsidR="000B41E4" w:rsidRPr="008052B8" w:rsidRDefault="000B41E4">
      <w:pPr>
        <w:pStyle w:val="TOC2"/>
        <w:rPr>
          <w:rFonts w:asciiTheme="minorHAnsi" w:eastAsiaTheme="minorEastAsia" w:hAnsiTheme="minorHAnsi" w:cstheme="minorBidi"/>
          <w:b w:val="0"/>
          <w:noProof/>
          <w:kern w:val="0"/>
          <w:sz w:val="22"/>
          <w:szCs w:val="22"/>
        </w:rPr>
      </w:pPr>
      <w:r w:rsidRPr="008052B8">
        <w:fldChar w:fldCharType="begin"/>
      </w:r>
      <w:r w:rsidRPr="008052B8">
        <w:instrText xml:space="preserve"> TOC \o "1-9" </w:instrText>
      </w:r>
      <w:r w:rsidRPr="008052B8">
        <w:fldChar w:fldCharType="separate"/>
      </w:r>
      <w:r w:rsidRPr="008052B8">
        <w:rPr>
          <w:noProof/>
        </w:rPr>
        <w:t>Part 1—Preliminary</w:t>
      </w:r>
      <w:r w:rsidRPr="008052B8">
        <w:rPr>
          <w:b w:val="0"/>
          <w:noProof/>
          <w:sz w:val="18"/>
        </w:rPr>
        <w:tab/>
      </w:r>
      <w:r w:rsidRPr="008052B8">
        <w:rPr>
          <w:b w:val="0"/>
          <w:noProof/>
          <w:sz w:val="18"/>
        </w:rPr>
        <w:fldChar w:fldCharType="begin"/>
      </w:r>
      <w:r w:rsidRPr="008052B8">
        <w:rPr>
          <w:b w:val="0"/>
          <w:noProof/>
          <w:sz w:val="18"/>
        </w:rPr>
        <w:instrText xml:space="preserve"> PAGEREF _Toc65664239 \h </w:instrText>
      </w:r>
      <w:r w:rsidRPr="008052B8">
        <w:rPr>
          <w:b w:val="0"/>
          <w:noProof/>
          <w:sz w:val="18"/>
        </w:rPr>
      </w:r>
      <w:r w:rsidRPr="008052B8">
        <w:rPr>
          <w:b w:val="0"/>
          <w:noProof/>
          <w:sz w:val="18"/>
        </w:rPr>
        <w:fldChar w:fldCharType="separate"/>
      </w:r>
      <w:r w:rsidR="004457E9">
        <w:rPr>
          <w:b w:val="0"/>
          <w:noProof/>
          <w:sz w:val="18"/>
        </w:rPr>
        <w:t>1</w:t>
      </w:r>
      <w:r w:rsidRPr="008052B8">
        <w:rPr>
          <w:b w:val="0"/>
          <w:noProof/>
          <w:sz w:val="18"/>
        </w:rPr>
        <w:fldChar w:fldCharType="end"/>
      </w:r>
    </w:p>
    <w:p w14:paraId="28DB7CE3" w14:textId="23B15E31" w:rsidR="000B41E4" w:rsidRPr="008052B8" w:rsidRDefault="000B41E4">
      <w:pPr>
        <w:pStyle w:val="TOC5"/>
        <w:rPr>
          <w:rFonts w:asciiTheme="minorHAnsi" w:eastAsiaTheme="minorEastAsia" w:hAnsiTheme="minorHAnsi" w:cstheme="minorBidi"/>
          <w:noProof/>
          <w:kern w:val="0"/>
          <w:sz w:val="22"/>
          <w:szCs w:val="22"/>
        </w:rPr>
      </w:pPr>
      <w:r w:rsidRPr="008052B8">
        <w:rPr>
          <w:noProof/>
        </w:rPr>
        <w:t>1</w:t>
      </w:r>
      <w:r w:rsidRPr="008052B8">
        <w:rPr>
          <w:noProof/>
        </w:rPr>
        <w:tab/>
        <w:t>Name</w:t>
      </w:r>
      <w:r w:rsidRPr="008052B8">
        <w:rPr>
          <w:noProof/>
        </w:rPr>
        <w:tab/>
      </w:r>
      <w:r w:rsidRPr="008052B8">
        <w:rPr>
          <w:noProof/>
        </w:rPr>
        <w:fldChar w:fldCharType="begin"/>
      </w:r>
      <w:r w:rsidRPr="008052B8">
        <w:rPr>
          <w:noProof/>
        </w:rPr>
        <w:instrText xml:space="preserve"> PAGEREF _Toc65664240 \h </w:instrText>
      </w:r>
      <w:r w:rsidRPr="008052B8">
        <w:rPr>
          <w:noProof/>
        </w:rPr>
      </w:r>
      <w:r w:rsidRPr="008052B8">
        <w:rPr>
          <w:noProof/>
        </w:rPr>
        <w:fldChar w:fldCharType="separate"/>
      </w:r>
      <w:r w:rsidR="004457E9">
        <w:rPr>
          <w:noProof/>
        </w:rPr>
        <w:t>1</w:t>
      </w:r>
      <w:r w:rsidRPr="008052B8">
        <w:rPr>
          <w:noProof/>
        </w:rPr>
        <w:fldChar w:fldCharType="end"/>
      </w:r>
    </w:p>
    <w:p w14:paraId="0752EB6E" w14:textId="07848D21" w:rsidR="000B41E4" w:rsidRPr="008052B8" w:rsidRDefault="000B41E4">
      <w:pPr>
        <w:pStyle w:val="TOC5"/>
        <w:rPr>
          <w:rFonts w:asciiTheme="minorHAnsi" w:eastAsiaTheme="minorEastAsia" w:hAnsiTheme="minorHAnsi" w:cstheme="minorBidi"/>
          <w:noProof/>
          <w:kern w:val="0"/>
          <w:sz w:val="22"/>
          <w:szCs w:val="22"/>
        </w:rPr>
      </w:pPr>
      <w:r w:rsidRPr="008052B8">
        <w:rPr>
          <w:noProof/>
        </w:rPr>
        <w:t>2</w:t>
      </w:r>
      <w:r w:rsidRPr="008052B8">
        <w:rPr>
          <w:noProof/>
        </w:rPr>
        <w:tab/>
        <w:t>Commencement</w:t>
      </w:r>
      <w:r w:rsidRPr="008052B8">
        <w:rPr>
          <w:noProof/>
        </w:rPr>
        <w:tab/>
      </w:r>
      <w:r w:rsidRPr="008052B8">
        <w:rPr>
          <w:noProof/>
        </w:rPr>
        <w:fldChar w:fldCharType="begin"/>
      </w:r>
      <w:r w:rsidRPr="008052B8">
        <w:rPr>
          <w:noProof/>
        </w:rPr>
        <w:instrText xml:space="preserve"> PAGEREF _Toc65664241 \h </w:instrText>
      </w:r>
      <w:r w:rsidRPr="008052B8">
        <w:rPr>
          <w:noProof/>
        </w:rPr>
      </w:r>
      <w:r w:rsidRPr="008052B8">
        <w:rPr>
          <w:noProof/>
        </w:rPr>
        <w:fldChar w:fldCharType="separate"/>
      </w:r>
      <w:r w:rsidR="004457E9">
        <w:rPr>
          <w:noProof/>
        </w:rPr>
        <w:t>1</w:t>
      </w:r>
      <w:r w:rsidRPr="008052B8">
        <w:rPr>
          <w:noProof/>
        </w:rPr>
        <w:fldChar w:fldCharType="end"/>
      </w:r>
    </w:p>
    <w:p w14:paraId="131EA212" w14:textId="06B55B72" w:rsidR="000B41E4" w:rsidRPr="008052B8" w:rsidRDefault="000B41E4">
      <w:pPr>
        <w:pStyle w:val="TOC5"/>
        <w:rPr>
          <w:rFonts w:asciiTheme="minorHAnsi" w:eastAsiaTheme="minorEastAsia" w:hAnsiTheme="minorHAnsi" w:cstheme="minorBidi"/>
          <w:noProof/>
          <w:kern w:val="0"/>
          <w:sz w:val="22"/>
          <w:szCs w:val="22"/>
        </w:rPr>
      </w:pPr>
      <w:r w:rsidRPr="008052B8">
        <w:rPr>
          <w:noProof/>
        </w:rPr>
        <w:t>3</w:t>
      </w:r>
      <w:r w:rsidRPr="008052B8">
        <w:rPr>
          <w:noProof/>
        </w:rPr>
        <w:tab/>
        <w:t>Authority</w:t>
      </w:r>
      <w:r w:rsidRPr="008052B8">
        <w:rPr>
          <w:noProof/>
        </w:rPr>
        <w:tab/>
      </w:r>
      <w:r w:rsidRPr="008052B8">
        <w:rPr>
          <w:noProof/>
        </w:rPr>
        <w:fldChar w:fldCharType="begin"/>
      </w:r>
      <w:r w:rsidRPr="008052B8">
        <w:rPr>
          <w:noProof/>
        </w:rPr>
        <w:instrText xml:space="preserve"> PAGEREF _Toc65664242 \h </w:instrText>
      </w:r>
      <w:r w:rsidRPr="008052B8">
        <w:rPr>
          <w:noProof/>
        </w:rPr>
      </w:r>
      <w:r w:rsidRPr="008052B8">
        <w:rPr>
          <w:noProof/>
        </w:rPr>
        <w:fldChar w:fldCharType="separate"/>
      </w:r>
      <w:r w:rsidR="004457E9">
        <w:rPr>
          <w:noProof/>
        </w:rPr>
        <w:t>1</w:t>
      </w:r>
      <w:r w:rsidRPr="008052B8">
        <w:rPr>
          <w:noProof/>
        </w:rPr>
        <w:fldChar w:fldCharType="end"/>
      </w:r>
    </w:p>
    <w:p w14:paraId="193C4E7B" w14:textId="710FEE4A" w:rsidR="000B41E4" w:rsidRPr="008052B8" w:rsidRDefault="000B41E4">
      <w:pPr>
        <w:pStyle w:val="TOC5"/>
        <w:rPr>
          <w:rFonts w:asciiTheme="minorHAnsi" w:eastAsiaTheme="minorEastAsia" w:hAnsiTheme="minorHAnsi" w:cstheme="minorBidi"/>
          <w:noProof/>
          <w:kern w:val="0"/>
          <w:sz w:val="22"/>
          <w:szCs w:val="22"/>
        </w:rPr>
      </w:pPr>
      <w:r w:rsidRPr="008052B8">
        <w:rPr>
          <w:noProof/>
        </w:rPr>
        <w:t>4</w:t>
      </w:r>
      <w:r w:rsidRPr="008052B8">
        <w:rPr>
          <w:noProof/>
        </w:rPr>
        <w:tab/>
        <w:t>Schedules</w:t>
      </w:r>
      <w:r w:rsidRPr="008052B8">
        <w:rPr>
          <w:noProof/>
        </w:rPr>
        <w:tab/>
      </w:r>
      <w:r w:rsidRPr="008052B8">
        <w:rPr>
          <w:noProof/>
        </w:rPr>
        <w:fldChar w:fldCharType="begin"/>
      </w:r>
      <w:r w:rsidRPr="008052B8">
        <w:rPr>
          <w:noProof/>
        </w:rPr>
        <w:instrText xml:space="preserve"> PAGEREF _Toc65664243 \h </w:instrText>
      </w:r>
      <w:r w:rsidRPr="008052B8">
        <w:rPr>
          <w:noProof/>
        </w:rPr>
      </w:r>
      <w:r w:rsidRPr="008052B8">
        <w:rPr>
          <w:noProof/>
        </w:rPr>
        <w:fldChar w:fldCharType="separate"/>
      </w:r>
      <w:r w:rsidR="004457E9">
        <w:rPr>
          <w:noProof/>
        </w:rPr>
        <w:t>1</w:t>
      </w:r>
      <w:r w:rsidRPr="008052B8">
        <w:rPr>
          <w:noProof/>
        </w:rPr>
        <w:fldChar w:fldCharType="end"/>
      </w:r>
    </w:p>
    <w:p w14:paraId="399B722A" w14:textId="1E33709B" w:rsidR="000B41E4" w:rsidRPr="008052B8" w:rsidRDefault="000B41E4">
      <w:pPr>
        <w:pStyle w:val="TOC5"/>
        <w:rPr>
          <w:rFonts w:asciiTheme="minorHAnsi" w:eastAsiaTheme="minorEastAsia" w:hAnsiTheme="minorHAnsi" w:cstheme="minorBidi"/>
          <w:noProof/>
          <w:kern w:val="0"/>
          <w:sz w:val="22"/>
          <w:szCs w:val="22"/>
        </w:rPr>
      </w:pPr>
      <w:r w:rsidRPr="008052B8">
        <w:rPr>
          <w:noProof/>
        </w:rPr>
        <w:t>5</w:t>
      </w:r>
      <w:r w:rsidRPr="008052B8">
        <w:rPr>
          <w:noProof/>
        </w:rPr>
        <w:tab/>
        <w:t>Definitions</w:t>
      </w:r>
      <w:r w:rsidRPr="008052B8">
        <w:rPr>
          <w:noProof/>
        </w:rPr>
        <w:tab/>
      </w:r>
      <w:r w:rsidRPr="008052B8">
        <w:rPr>
          <w:noProof/>
        </w:rPr>
        <w:fldChar w:fldCharType="begin"/>
      </w:r>
      <w:r w:rsidRPr="008052B8">
        <w:rPr>
          <w:noProof/>
        </w:rPr>
        <w:instrText xml:space="preserve"> PAGEREF _Toc65664244 \h </w:instrText>
      </w:r>
      <w:r w:rsidRPr="008052B8">
        <w:rPr>
          <w:noProof/>
        </w:rPr>
      </w:r>
      <w:r w:rsidRPr="008052B8">
        <w:rPr>
          <w:noProof/>
        </w:rPr>
        <w:fldChar w:fldCharType="separate"/>
      </w:r>
      <w:r w:rsidR="004457E9">
        <w:rPr>
          <w:noProof/>
        </w:rPr>
        <w:t>1</w:t>
      </w:r>
      <w:r w:rsidRPr="008052B8">
        <w:rPr>
          <w:noProof/>
        </w:rPr>
        <w:fldChar w:fldCharType="end"/>
      </w:r>
    </w:p>
    <w:p w14:paraId="1B7798EA" w14:textId="103BEE5F" w:rsidR="000B41E4" w:rsidRPr="008052B8" w:rsidRDefault="000B41E4">
      <w:pPr>
        <w:pStyle w:val="TOC2"/>
        <w:rPr>
          <w:rFonts w:asciiTheme="minorHAnsi" w:eastAsiaTheme="minorEastAsia" w:hAnsiTheme="minorHAnsi" w:cstheme="minorBidi"/>
          <w:b w:val="0"/>
          <w:noProof/>
          <w:kern w:val="0"/>
          <w:sz w:val="22"/>
          <w:szCs w:val="22"/>
        </w:rPr>
      </w:pPr>
      <w:r w:rsidRPr="008052B8">
        <w:rPr>
          <w:noProof/>
        </w:rPr>
        <w:t>Part 2—Dealing with articles and their contents</w:t>
      </w:r>
      <w:r w:rsidRPr="008052B8">
        <w:rPr>
          <w:b w:val="0"/>
          <w:noProof/>
          <w:sz w:val="18"/>
        </w:rPr>
        <w:tab/>
      </w:r>
      <w:r w:rsidRPr="008052B8">
        <w:rPr>
          <w:b w:val="0"/>
          <w:noProof/>
          <w:sz w:val="18"/>
        </w:rPr>
        <w:fldChar w:fldCharType="begin"/>
      </w:r>
      <w:r w:rsidRPr="008052B8">
        <w:rPr>
          <w:b w:val="0"/>
          <w:noProof/>
          <w:sz w:val="18"/>
        </w:rPr>
        <w:instrText xml:space="preserve"> PAGEREF _Toc65664245 \h </w:instrText>
      </w:r>
      <w:r w:rsidRPr="008052B8">
        <w:rPr>
          <w:b w:val="0"/>
          <w:noProof/>
          <w:sz w:val="18"/>
        </w:rPr>
      </w:r>
      <w:r w:rsidRPr="008052B8">
        <w:rPr>
          <w:b w:val="0"/>
          <w:noProof/>
          <w:sz w:val="18"/>
        </w:rPr>
        <w:fldChar w:fldCharType="separate"/>
      </w:r>
      <w:r w:rsidR="004457E9">
        <w:rPr>
          <w:b w:val="0"/>
          <w:noProof/>
          <w:sz w:val="18"/>
        </w:rPr>
        <w:t>3</w:t>
      </w:r>
      <w:r w:rsidRPr="008052B8">
        <w:rPr>
          <w:b w:val="0"/>
          <w:noProof/>
          <w:sz w:val="18"/>
        </w:rPr>
        <w:fldChar w:fldCharType="end"/>
      </w:r>
    </w:p>
    <w:p w14:paraId="563212D0" w14:textId="033C4C75"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1—Articles that may contain drugs etc.</w:t>
      </w:r>
      <w:r w:rsidRPr="008052B8">
        <w:rPr>
          <w:b w:val="0"/>
          <w:noProof/>
          <w:sz w:val="18"/>
        </w:rPr>
        <w:tab/>
      </w:r>
      <w:r w:rsidRPr="008052B8">
        <w:rPr>
          <w:b w:val="0"/>
          <w:noProof/>
          <w:sz w:val="18"/>
        </w:rPr>
        <w:fldChar w:fldCharType="begin"/>
      </w:r>
      <w:r w:rsidRPr="008052B8">
        <w:rPr>
          <w:b w:val="0"/>
          <w:noProof/>
          <w:sz w:val="18"/>
        </w:rPr>
        <w:instrText xml:space="preserve"> PAGEREF _Toc65664246 \h </w:instrText>
      </w:r>
      <w:r w:rsidRPr="008052B8">
        <w:rPr>
          <w:b w:val="0"/>
          <w:noProof/>
          <w:sz w:val="18"/>
        </w:rPr>
      </w:r>
      <w:r w:rsidRPr="008052B8">
        <w:rPr>
          <w:b w:val="0"/>
          <w:noProof/>
          <w:sz w:val="18"/>
        </w:rPr>
        <w:fldChar w:fldCharType="separate"/>
      </w:r>
      <w:r w:rsidR="004457E9">
        <w:rPr>
          <w:b w:val="0"/>
          <w:noProof/>
          <w:sz w:val="18"/>
        </w:rPr>
        <w:t>3</w:t>
      </w:r>
      <w:r w:rsidRPr="008052B8">
        <w:rPr>
          <w:b w:val="0"/>
          <w:noProof/>
          <w:sz w:val="18"/>
        </w:rPr>
        <w:fldChar w:fldCharType="end"/>
      </w:r>
    </w:p>
    <w:p w14:paraId="5A088C2E" w14:textId="33B431BF" w:rsidR="000B41E4" w:rsidRPr="008052B8" w:rsidRDefault="000B41E4">
      <w:pPr>
        <w:pStyle w:val="TOC5"/>
        <w:rPr>
          <w:rFonts w:asciiTheme="minorHAnsi" w:eastAsiaTheme="minorEastAsia" w:hAnsiTheme="minorHAnsi" w:cstheme="minorBidi"/>
          <w:noProof/>
          <w:kern w:val="0"/>
          <w:sz w:val="22"/>
          <w:szCs w:val="22"/>
        </w:rPr>
      </w:pPr>
      <w:r w:rsidRPr="008052B8">
        <w:rPr>
          <w:noProof/>
        </w:rPr>
        <w:t>6</w:t>
      </w:r>
      <w:r w:rsidRPr="008052B8">
        <w:rPr>
          <w:noProof/>
        </w:rPr>
        <w:tab/>
        <w:t>Purpose of this Division</w:t>
      </w:r>
      <w:r w:rsidRPr="008052B8">
        <w:rPr>
          <w:noProof/>
        </w:rPr>
        <w:tab/>
      </w:r>
      <w:r w:rsidRPr="008052B8">
        <w:rPr>
          <w:noProof/>
        </w:rPr>
        <w:fldChar w:fldCharType="begin"/>
      </w:r>
      <w:r w:rsidRPr="008052B8">
        <w:rPr>
          <w:noProof/>
        </w:rPr>
        <w:instrText xml:space="preserve"> PAGEREF _Toc65664247 \h </w:instrText>
      </w:r>
      <w:r w:rsidRPr="008052B8">
        <w:rPr>
          <w:noProof/>
        </w:rPr>
      </w:r>
      <w:r w:rsidRPr="008052B8">
        <w:rPr>
          <w:noProof/>
        </w:rPr>
        <w:fldChar w:fldCharType="separate"/>
      </w:r>
      <w:r w:rsidR="004457E9">
        <w:rPr>
          <w:noProof/>
        </w:rPr>
        <w:t>3</w:t>
      </w:r>
      <w:r w:rsidRPr="008052B8">
        <w:rPr>
          <w:noProof/>
        </w:rPr>
        <w:fldChar w:fldCharType="end"/>
      </w:r>
    </w:p>
    <w:p w14:paraId="14F699A7" w14:textId="5192E76E" w:rsidR="000B41E4" w:rsidRPr="008052B8" w:rsidRDefault="000B41E4">
      <w:pPr>
        <w:pStyle w:val="TOC5"/>
        <w:rPr>
          <w:rFonts w:asciiTheme="minorHAnsi" w:eastAsiaTheme="minorEastAsia" w:hAnsiTheme="minorHAnsi" w:cstheme="minorBidi"/>
          <w:noProof/>
          <w:kern w:val="0"/>
          <w:sz w:val="22"/>
          <w:szCs w:val="22"/>
        </w:rPr>
      </w:pPr>
      <w:r w:rsidRPr="008052B8">
        <w:rPr>
          <w:noProof/>
        </w:rPr>
        <w:t>7</w:t>
      </w:r>
      <w:r w:rsidRPr="008052B8">
        <w:rPr>
          <w:noProof/>
        </w:rPr>
        <w:tab/>
        <w:t>Record of articles—particulars of articles and their examination</w:t>
      </w:r>
      <w:r w:rsidRPr="008052B8">
        <w:rPr>
          <w:noProof/>
        </w:rPr>
        <w:tab/>
      </w:r>
      <w:r w:rsidRPr="008052B8">
        <w:rPr>
          <w:noProof/>
        </w:rPr>
        <w:fldChar w:fldCharType="begin"/>
      </w:r>
      <w:r w:rsidRPr="008052B8">
        <w:rPr>
          <w:noProof/>
        </w:rPr>
        <w:instrText xml:space="preserve"> PAGEREF _Toc65664248 \h </w:instrText>
      </w:r>
      <w:r w:rsidRPr="008052B8">
        <w:rPr>
          <w:noProof/>
        </w:rPr>
      </w:r>
      <w:r w:rsidRPr="008052B8">
        <w:rPr>
          <w:noProof/>
        </w:rPr>
        <w:fldChar w:fldCharType="separate"/>
      </w:r>
      <w:r w:rsidR="004457E9">
        <w:rPr>
          <w:noProof/>
        </w:rPr>
        <w:t>3</w:t>
      </w:r>
      <w:r w:rsidRPr="008052B8">
        <w:rPr>
          <w:noProof/>
        </w:rPr>
        <w:fldChar w:fldCharType="end"/>
      </w:r>
    </w:p>
    <w:p w14:paraId="53716672" w14:textId="2AC97955" w:rsidR="000B41E4" w:rsidRPr="008052B8" w:rsidRDefault="000B41E4">
      <w:pPr>
        <w:pStyle w:val="TOC5"/>
        <w:rPr>
          <w:rFonts w:asciiTheme="minorHAnsi" w:eastAsiaTheme="minorEastAsia" w:hAnsiTheme="minorHAnsi" w:cstheme="minorBidi"/>
          <w:noProof/>
          <w:kern w:val="0"/>
          <w:sz w:val="22"/>
          <w:szCs w:val="22"/>
        </w:rPr>
      </w:pPr>
      <w:r w:rsidRPr="008052B8">
        <w:rPr>
          <w:noProof/>
        </w:rPr>
        <w:t>8</w:t>
      </w:r>
      <w:r w:rsidRPr="008052B8">
        <w:rPr>
          <w:noProof/>
        </w:rPr>
        <w:tab/>
        <w:t>Record of articles—places where kept</w:t>
      </w:r>
      <w:r w:rsidRPr="008052B8">
        <w:rPr>
          <w:noProof/>
        </w:rPr>
        <w:tab/>
      </w:r>
      <w:r w:rsidRPr="008052B8">
        <w:rPr>
          <w:noProof/>
        </w:rPr>
        <w:fldChar w:fldCharType="begin"/>
      </w:r>
      <w:r w:rsidRPr="008052B8">
        <w:rPr>
          <w:noProof/>
        </w:rPr>
        <w:instrText xml:space="preserve"> PAGEREF _Toc65664249 \h </w:instrText>
      </w:r>
      <w:r w:rsidRPr="008052B8">
        <w:rPr>
          <w:noProof/>
        </w:rPr>
      </w:r>
      <w:r w:rsidRPr="008052B8">
        <w:rPr>
          <w:noProof/>
        </w:rPr>
        <w:fldChar w:fldCharType="separate"/>
      </w:r>
      <w:r w:rsidR="004457E9">
        <w:rPr>
          <w:noProof/>
        </w:rPr>
        <w:t>3</w:t>
      </w:r>
      <w:r w:rsidRPr="008052B8">
        <w:rPr>
          <w:noProof/>
        </w:rPr>
        <w:fldChar w:fldCharType="end"/>
      </w:r>
    </w:p>
    <w:p w14:paraId="407407E5" w14:textId="5D5F61F6" w:rsidR="000B41E4" w:rsidRPr="008052B8" w:rsidRDefault="000B41E4">
      <w:pPr>
        <w:pStyle w:val="TOC5"/>
        <w:rPr>
          <w:rFonts w:asciiTheme="minorHAnsi" w:eastAsiaTheme="minorEastAsia" w:hAnsiTheme="minorHAnsi" w:cstheme="minorBidi"/>
          <w:noProof/>
          <w:kern w:val="0"/>
          <w:sz w:val="22"/>
          <w:szCs w:val="22"/>
        </w:rPr>
      </w:pPr>
      <w:r w:rsidRPr="008052B8">
        <w:rPr>
          <w:noProof/>
        </w:rPr>
        <w:t>9</w:t>
      </w:r>
      <w:r w:rsidRPr="008052B8">
        <w:rPr>
          <w:noProof/>
        </w:rPr>
        <w:tab/>
        <w:t>Record of articles—how kept</w:t>
      </w:r>
      <w:r w:rsidRPr="008052B8">
        <w:rPr>
          <w:noProof/>
        </w:rPr>
        <w:tab/>
      </w:r>
      <w:r w:rsidRPr="008052B8">
        <w:rPr>
          <w:noProof/>
        </w:rPr>
        <w:fldChar w:fldCharType="begin"/>
      </w:r>
      <w:r w:rsidRPr="008052B8">
        <w:rPr>
          <w:noProof/>
        </w:rPr>
        <w:instrText xml:space="preserve"> PAGEREF _Toc65664250 \h </w:instrText>
      </w:r>
      <w:r w:rsidRPr="008052B8">
        <w:rPr>
          <w:noProof/>
        </w:rPr>
      </w:r>
      <w:r w:rsidRPr="008052B8">
        <w:rPr>
          <w:noProof/>
        </w:rPr>
        <w:fldChar w:fldCharType="separate"/>
      </w:r>
      <w:r w:rsidR="004457E9">
        <w:rPr>
          <w:noProof/>
        </w:rPr>
        <w:t>4</w:t>
      </w:r>
      <w:r w:rsidRPr="008052B8">
        <w:rPr>
          <w:noProof/>
        </w:rPr>
        <w:fldChar w:fldCharType="end"/>
      </w:r>
    </w:p>
    <w:p w14:paraId="3E5FA5EC" w14:textId="7AD378A0" w:rsidR="000B41E4" w:rsidRPr="008052B8" w:rsidRDefault="000B41E4">
      <w:pPr>
        <w:pStyle w:val="TOC5"/>
        <w:rPr>
          <w:rFonts w:asciiTheme="minorHAnsi" w:eastAsiaTheme="minorEastAsia" w:hAnsiTheme="minorHAnsi" w:cstheme="minorBidi"/>
          <w:noProof/>
          <w:kern w:val="0"/>
          <w:sz w:val="22"/>
          <w:szCs w:val="22"/>
        </w:rPr>
      </w:pPr>
      <w:r w:rsidRPr="008052B8">
        <w:rPr>
          <w:noProof/>
        </w:rPr>
        <w:t>10</w:t>
      </w:r>
      <w:r w:rsidRPr="008052B8">
        <w:rPr>
          <w:noProof/>
        </w:rPr>
        <w:tab/>
        <w:t>Record of articles—use of information</w:t>
      </w:r>
      <w:r w:rsidRPr="008052B8">
        <w:rPr>
          <w:noProof/>
        </w:rPr>
        <w:tab/>
      </w:r>
      <w:r w:rsidRPr="008052B8">
        <w:rPr>
          <w:noProof/>
        </w:rPr>
        <w:fldChar w:fldCharType="begin"/>
      </w:r>
      <w:r w:rsidRPr="008052B8">
        <w:rPr>
          <w:noProof/>
        </w:rPr>
        <w:instrText xml:space="preserve"> PAGEREF _Toc65664251 \h </w:instrText>
      </w:r>
      <w:r w:rsidRPr="008052B8">
        <w:rPr>
          <w:noProof/>
        </w:rPr>
      </w:r>
      <w:r w:rsidRPr="008052B8">
        <w:rPr>
          <w:noProof/>
        </w:rPr>
        <w:fldChar w:fldCharType="separate"/>
      </w:r>
      <w:r w:rsidR="004457E9">
        <w:rPr>
          <w:noProof/>
        </w:rPr>
        <w:t>4</w:t>
      </w:r>
      <w:r w:rsidRPr="008052B8">
        <w:rPr>
          <w:noProof/>
        </w:rPr>
        <w:fldChar w:fldCharType="end"/>
      </w:r>
    </w:p>
    <w:p w14:paraId="766D1E61" w14:textId="0993914E"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2—Articles that may consist of, or contain, quarantine material</w:t>
      </w:r>
      <w:r w:rsidRPr="008052B8">
        <w:rPr>
          <w:b w:val="0"/>
          <w:noProof/>
          <w:sz w:val="18"/>
        </w:rPr>
        <w:tab/>
      </w:r>
      <w:r w:rsidRPr="008052B8">
        <w:rPr>
          <w:b w:val="0"/>
          <w:noProof/>
          <w:sz w:val="18"/>
        </w:rPr>
        <w:fldChar w:fldCharType="begin"/>
      </w:r>
      <w:r w:rsidRPr="008052B8">
        <w:rPr>
          <w:b w:val="0"/>
          <w:noProof/>
          <w:sz w:val="18"/>
        </w:rPr>
        <w:instrText xml:space="preserve"> PAGEREF _Toc65664252 \h </w:instrText>
      </w:r>
      <w:r w:rsidRPr="008052B8">
        <w:rPr>
          <w:b w:val="0"/>
          <w:noProof/>
          <w:sz w:val="18"/>
        </w:rPr>
      </w:r>
      <w:r w:rsidRPr="008052B8">
        <w:rPr>
          <w:b w:val="0"/>
          <w:noProof/>
          <w:sz w:val="18"/>
        </w:rPr>
        <w:fldChar w:fldCharType="separate"/>
      </w:r>
      <w:r w:rsidR="004457E9">
        <w:rPr>
          <w:b w:val="0"/>
          <w:noProof/>
          <w:sz w:val="18"/>
        </w:rPr>
        <w:t>5</w:t>
      </w:r>
      <w:r w:rsidRPr="008052B8">
        <w:rPr>
          <w:b w:val="0"/>
          <w:noProof/>
          <w:sz w:val="18"/>
        </w:rPr>
        <w:fldChar w:fldCharType="end"/>
      </w:r>
    </w:p>
    <w:p w14:paraId="533372A9" w14:textId="375BF078" w:rsidR="000B41E4" w:rsidRPr="008052B8" w:rsidRDefault="000B41E4">
      <w:pPr>
        <w:pStyle w:val="TOC5"/>
        <w:rPr>
          <w:rFonts w:asciiTheme="minorHAnsi" w:eastAsiaTheme="minorEastAsia" w:hAnsiTheme="minorHAnsi" w:cstheme="minorBidi"/>
          <w:noProof/>
          <w:kern w:val="0"/>
          <w:sz w:val="22"/>
          <w:szCs w:val="22"/>
        </w:rPr>
      </w:pPr>
      <w:r w:rsidRPr="008052B8">
        <w:rPr>
          <w:noProof/>
        </w:rPr>
        <w:t>11</w:t>
      </w:r>
      <w:r w:rsidRPr="008052B8">
        <w:rPr>
          <w:noProof/>
        </w:rPr>
        <w:tab/>
        <w:t>Purpose of this Division</w:t>
      </w:r>
      <w:r w:rsidRPr="008052B8">
        <w:rPr>
          <w:noProof/>
        </w:rPr>
        <w:tab/>
      </w:r>
      <w:r w:rsidRPr="008052B8">
        <w:rPr>
          <w:noProof/>
        </w:rPr>
        <w:fldChar w:fldCharType="begin"/>
      </w:r>
      <w:r w:rsidRPr="008052B8">
        <w:rPr>
          <w:noProof/>
        </w:rPr>
        <w:instrText xml:space="preserve"> PAGEREF _Toc65664253 \h </w:instrText>
      </w:r>
      <w:r w:rsidRPr="008052B8">
        <w:rPr>
          <w:noProof/>
        </w:rPr>
      </w:r>
      <w:r w:rsidRPr="008052B8">
        <w:rPr>
          <w:noProof/>
        </w:rPr>
        <w:fldChar w:fldCharType="separate"/>
      </w:r>
      <w:r w:rsidR="004457E9">
        <w:rPr>
          <w:noProof/>
        </w:rPr>
        <w:t>5</w:t>
      </w:r>
      <w:r w:rsidRPr="008052B8">
        <w:rPr>
          <w:noProof/>
        </w:rPr>
        <w:fldChar w:fldCharType="end"/>
      </w:r>
    </w:p>
    <w:p w14:paraId="77C2AE4F" w14:textId="6E711A76" w:rsidR="000B41E4" w:rsidRPr="008052B8" w:rsidRDefault="000B41E4">
      <w:pPr>
        <w:pStyle w:val="TOC5"/>
        <w:rPr>
          <w:rFonts w:asciiTheme="minorHAnsi" w:eastAsiaTheme="minorEastAsia" w:hAnsiTheme="minorHAnsi" w:cstheme="minorBidi"/>
          <w:noProof/>
          <w:kern w:val="0"/>
          <w:sz w:val="22"/>
          <w:szCs w:val="22"/>
        </w:rPr>
      </w:pPr>
      <w:r w:rsidRPr="008052B8">
        <w:rPr>
          <w:noProof/>
        </w:rPr>
        <w:t>12</w:t>
      </w:r>
      <w:r w:rsidRPr="008052B8">
        <w:rPr>
          <w:noProof/>
        </w:rPr>
        <w:tab/>
        <w:t>Persons who are to establish and maintain record</w:t>
      </w:r>
      <w:r w:rsidRPr="008052B8">
        <w:rPr>
          <w:noProof/>
        </w:rPr>
        <w:tab/>
      </w:r>
      <w:r w:rsidRPr="008052B8">
        <w:rPr>
          <w:noProof/>
        </w:rPr>
        <w:fldChar w:fldCharType="begin"/>
      </w:r>
      <w:r w:rsidRPr="008052B8">
        <w:rPr>
          <w:noProof/>
        </w:rPr>
        <w:instrText xml:space="preserve"> PAGEREF _Toc65664254 \h </w:instrText>
      </w:r>
      <w:r w:rsidRPr="008052B8">
        <w:rPr>
          <w:noProof/>
        </w:rPr>
      </w:r>
      <w:r w:rsidRPr="008052B8">
        <w:rPr>
          <w:noProof/>
        </w:rPr>
        <w:fldChar w:fldCharType="separate"/>
      </w:r>
      <w:r w:rsidR="004457E9">
        <w:rPr>
          <w:noProof/>
        </w:rPr>
        <w:t>5</w:t>
      </w:r>
      <w:r w:rsidRPr="008052B8">
        <w:rPr>
          <w:noProof/>
        </w:rPr>
        <w:fldChar w:fldCharType="end"/>
      </w:r>
    </w:p>
    <w:p w14:paraId="02A602A4" w14:textId="1F260D30" w:rsidR="000B41E4" w:rsidRPr="008052B8" w:rsidRDefault="000B41E4">
      <w:pPr>
        <w:pStyle w:val="TOC5"/>
        <w:rPr>
          <w:rFonts w:asciiTheme="minorHAnsi" w:eastAsiaTheme="minorEastAsia" w:hAnsiTheme="minorHAnsi" w:cstheme="minorBidi"/>
          <w:noProof/>
          <w:kern w:val="0"/>
          <w:sz w:val="22"/>
          <w:szCs w:val="22"/>
        </w:rPr>
      </w:pPr>
      <w:r w:rsidRPr="008052B8">
        <w:rPr>
          <w:noProof/>
        </w:rPr>
        <w:t>13</w:t>
      </w:r>
      <w:r w:rsidRPr="008052B8">
        <w:rPr>
          <w:noProof/>
        </w:rPr>
        <w:tab/>
        <w:t>Record of articles—particulars of articles and their examination</w:t>
      </w:r>
      <w:r w:rsidRPr="008052B8">
        <w:rPr>
          <w:noProof/>
        </w:rPr>
        <w:tab/>
      </w:r>
      <w:r w:rsidRPr="008052B8">
        <w:rPr>
          <w:noProof/>
        </w:rPr>
        <w:fldChar w:fldCharType="begin"/>
      </w:r>
      <w:r w:rsidRPr="008052B8">
        <w:rPr>
          <w:noProof/>
        </w:rPr>
        <w:instrText xml:space="preserve"> PAGEREF _Toc65664255 \h </w:instrText>
      </w:r>
      <w:r w:rsidRPr="008052B8">
        <w:rPr>
          <w:noProof/>
        </w:rPr>
      </w:r>
      <w:r w:rsidRPr="008052B8">
        <w:rPr>
          <w:noProof/>
        </w:rPr>
        <w:fldChar w:fldCharType="separate"/>
      </w:r>
      <w:r w:rsidR="004457E9">
        <w:rPr>
          <w:noProof/>
        </w:rPr>
        <w:t>5</w:t>
      </w:r>
      <w:r w:rsidRPr="008052B8">
        <w:rPr>
          <w:noProof/>
        </w:rPr>
        <w:fldChar w:fldCharType="end"/>
      </w:r>
    </w:p>
    <w:p w14:paraId="35BFFD75" w14:textId="25088831" w:rsidR="000B41E4" w:rsidRPr="008052B8" w:rsidRDefault="000B41E4">
      <w:pPr>
        <w:pStyle w:val="TOC5"/>
        <w:rPr>
          <w:rFonts w:asciiTheme="minorHAnsi" w:eastAsiaTheme="minorEastAsia" w:hAnsiTheme="minorHAnsi" w:cstheme="minorBidi"/>
          <w:noProof/>
          <w:kern w:val="0"/>
          <w:sz w:val="22"/>
          <w:szCs w:val="22"/>
        </w:rPr>
      </w:pPr>
      <w:r w:rsidRPr="008052B8">
        <w:rPr>
          <w:noProof/>
        </w:rPr>
        <w:t>14</w:t>
      </w:r>
      <w:r w:rsidRPr="008052B8">
        <w:rPr>
          <w:noProof/>
        </w:rPr>
        <w:tab/>
        <w:t>Record of articles—places where kept</w:t>
      </w:r>
      <w:r w:rsidRPr="008052B8">
        <w:rPr>
          <w:noProof/>
        </w:rPr>
        <w:tab/>
      </w:r>
      <w:r w:rsidRPr="008052B8">
        <w:rPr>
          <w:noProof/>
        </w:rPr>
        <w:fldChar w:fldCharType="begin"/>
      </w:r>
      <w:r w:rsidRPr="008052B8">
        <w:rPr>
          <w:noProof/>
        </w:rPr>
        <w:instrText xml:space="preserve"> PAGEREF _Toc65664256 \h </w:instrText>
      </w:r>
      <w:r w:rsidRPr="008052B8">
        <w:rPr>
          <w:noProof/>
        </w:rPr>
      </w:r>
      <w:r w:rsidRPr="008052B8">
        <w:rPr>
          <w:noProof/>
        </w:rPr>
        <w:fldChar w:fldCharType="separate"/>
      </w:r>
      <w:r w:rsidR="004457E9">
        <w:rPr>
          <w:noProof/>
        </w:rPr>
        <w:t>6</w:t>
      </w:r>
      <w:r w:rsidRPr="008052B8">
        <w:rPr>
          <w:noProof/>
        </w:rPr>
        <w:fldChar w:fldCharType="end"/>
      </w:r>
    </w:p>
    <w:p w14:paraId="216B4DF8" w14:textId="439D96A5" w:rsidR="000B41E4" w:rsidRPr="008052B8" w:rsidRDefault="000B41E4">
      <w:pPr>
        <w:pStyle w:val="TOC5"/>
        <w:rPr>
          <w:rFonts w:asciiTheme="minorHAnsi" w:eastAsiaTheme="minorEastAsia" w:hAnsiTheme="minorHAnsi" w:cstheme="minorBidi"/>
          <w:noProof/>
          <w:kern w:val="0"/>
          <w:sz w:val="22"/>
          <w:szCs w:val="22"/>
        </w:rPr>
      </w:pPr>
      <w:r w:rsidRPr="008052B8">
        <w:rPr>
          <w:noProof/>
        </w:rPr>
        <w:t>15</w:t>
      </w:r>
      <w:r w:rsidRPr="008052B8">
        <w:rPr>
          <w:noProof/>
        </w:rPr>
        <w:tab/>
        <w:t>Record of articles—how kept</w:t>
      </w:r>
      <w:r w:rsidRPr="008052B8">
        <w:rPr>
          <w:noProof/>
        </w:rPr>
        <w:tab/>
      </w:r>
      <w:r w:rsidRPr="008052B8">
        <w:rPr>
          <w:noProof/>
        </w:rPr>
        <w:fldChar w:fldCharType="begin"/>
      </w:r>
      <w:r w:rsidRPr="008052B8">
        <w:rPr>
          <w:noProof/>
        </w:rPr>
        <w:instrText xml:space="preserve"> PAGEREF _Toc65664257 \h </w:instrText>
      </w:r>
      <w:r w:rsidRPr="008052B8">
        <w:rPr>
          <w:noProof/>
        </w:rPr>
      </w:r>
      <w:r w:rsidRPr="008052B8">
        <w:rPr>
          <w:noProof/>
        </w:rPr>
        <w:fldChar w:fldCharType="separate"/>
      </w:r>
      <w:r w:rsidR="004457E9">
        <w:rPr>
          <w:noProof/>
        </w:rPr>
        <w:t>6</w:t>
      </w:r>
      <w:r w:rsidRPr="008052B8">
        <w:rPr>
          <w:noProof/>
        </w:rPr>
        <w:fldChar w:fldCharType="end"/>
      </w:r>
    </w:p>
    <w:p w14:paraId="2C9AF31E" w14:textId="64FF0D1C" w:rsidR="000B41E4" w:rsidRPr="008052B8" w:rsidRDefault="000B41E4">
      <w:pPr>
        <w:pStyle w:val="TOC5"/>
        <w:rPr>
          <w:rFonts w:asciiTheme="minorHAnsi" w:eastAsiaTheme="minorEastAsia" w:hAnsiTheme="minorHAnsi" w:cstheme="minorBidi"/>
          <w:noProof/>
          <w:kern w:val="0"/>
          <w:sz w:val="22"/>
          <w:szCs w:val="22"/>
        </w:rPr>
      </w:pPr>
      <w:r w:rsidRPr="008052B8">
        <w:rPr>
          <w:noProof/>
        </w:rPr>
        <w:t>16</w:t>
      </w:r>
      <w:r w:rsidRPr="008052B8">
        <w:rPr>
          <w:noProof/>
        </w:rPr>
        <w:tab/>
        <w:t>Record of articles—use of information</w:t>
      </w:r>
      <w:r w:rsidRPr="008052B8">
        <w:rPr>
          <w:noProof/>
        </w:rPr>
        <w:tab/>
      </w:r>
      <w:r w:rsidRPr="008052B8">
        <w:rPr>
          <w:noProof/>
        </w:rPr>
        <w:fldChar w:fldCharType="begin"/>
      </w:r>
      <w:r w:rsidRPr="008052B8">
        <w:rPr>
          <w:noProof/>
        </w:rPr>
        <w:instrText xml:space="preserve"> PAGEREF _Toc65664258 \h </w:instrText>
      </w:r>
      <w:r w:rsidRPr="008052B8">
        <w:rPr>
          <w:noProof/>
        </w:rPr>
      </w:r>
      <w:r w:rsidRPr="008052B8">
        <w:rPr>
          <w:noProof/>
        </w:rPr>
        <w:fldChar w:fldCharType="separate"/>
      </w:r>
      <w:r w:rsidR="004457E9">
        <w:rPr>
          <w:noProof/>
        </w:rPr>
        <w:t>6</w:t>
      </w:r>
      <w:r w:rsidRPr="008052B8">
        <w:rPr>
          <w:noProof/>
        </w:rPr>
        <w:fldChar w:fldCharType="end"/>
      </w:r>
    </w:p>
    <w:p w14:paraId="4F6D9F70" w14:textId="46C39486"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3—Miscellaneous</w:t>
      </w:r>
      <w:r w:rsidRPr="008052B8">
        <w:rPr>
          <w:b w:val="0"/>
          <w:noProof/>
          <w:sz w:val="18"/>
        </w:rPr>
        <w:tab/>
      </w:r>
      <w:r w:rsidRPr="008052B8">
        <w:rPr>
          <w:b w:val="0"/>
          <w:noProof/>
          <w:sz w:val="18"/>
        </w:rPr>
        <w:fldChar w:fldCharType="begin"/>
      </w:r>
      <w:r w:rsidRPr="008052B8">
        <w:rPr>
          <w:b w:val="0"/>
          <w:noProof/>
          <w:sz w:val="18"/>
        </w:rPr>
        <w:instrText xml:space="preserve"> PAGEREF _Toc65664259 \h </w:instrText>
      </w:r>
      <w:r w:rsidRPr="008052B8">
        <w:rPr>
          <w:b w:val="0"/>
          <w:noProof/>
          <w:sz w:val="18"/>
        </w:rPr>
      </w:r>
      <w:r w:rsidRPr="008052B8">
        <w:rPr>
          <w:b w:val="0"/>
          <w:noProof/>
          <w:sz w:val="18"/>
        </w:rPr>
        <w:fldChar w:fldCharType="separate"/>
      </w:r>
      <w:r w:rsidR="004457E9">
        <w:rPr>
          <w:b w:val="0"/>
          <w:noProof/>
          <w:sz w:val="18"/>
        </w:rPr>
        <w:t>7</w:t>
      </w:r>
      <w:r w:rsidRPr="008052B8">
        <w:rPr>
          <w:b w:val="0"/>
          <w:noProof/>
          <w:sz w:val="18"/>
        </w:rPr>
        <w:fldChar w:fldCharType="end"/>
      </w:r>
    </w:p>
    <w:p w14:paraId="3B8A67DA" w14:textId="3B6EF0C5" w:rsidR="000B41E4" w:rsidRPr="008052B8" w:rsidRDefault="000B41E4">
      <w:pPr>
        <w:pStyle w:val="TOC5"/>
        <w:rPr>
          <w:rFonts w:asciiTheme="minorHAnsi" w:eastAsiaTheme="minorEastAsia" w:hAnsiTheme="minorHAnsi" w:cstheme="minorBidi"/>
          <w:noProof/>
          <w:kern w:val="0"/>
          <w:sz w:val="22"/>
          <w:szCs w:val="22"/>
        </w:rPr>
      </w:pPr>
      <w:r w:rsidRPr="008052B8">
        <w:rPr>
          <w:noProof/>
        </w:rPr>
        <w:t>17</w:t>
      </w:r>
      <w:r w:rsidRPr="008052B8">
        <w:rPr>
          <w:noProof/>
        </w:rPr>
        <w:tab/>
        <w:t>Prescribed State/Territory</w:t>
      </w:r>
      <w:r w:rsidRPr="008052B8">
        <w:rPr>
          <w:noProof/>
        </w:rPr>
        <w:tab/>
      </w:r>
      <w:r w:rsidRPr="008052B8">
        <w:rPr>
          <w:noProof/>
        </w:rPr>
        <w:fldChar w:fldCharType="begin"/>
      </w:r>
      <w:r w:rsidRPr="008052B8">
        <w:rPr>
          <w:noProof/>
        </w:rPr>
        <w:instrText xml:space="preserve"> PAGEREF _Toc65664260 \h </w:instrText>
      </w:r>
      <w:r w:rsidRPr="008052B8">
        <w:rPr>
          <w:noProof/>
        </w:rPr>
      </w:r>
      <w:r w:rsidRPr="008052B8">
        <w:rPr>
          <w:noProof/>
        </w:rPr>
        <w:fldChar w:fldCharType="separate"/>
      </w:r>
      <w:r w:rsidR="004457E9">
        <w:rPr>
          <w:noProof/>
        </w:rPr>
        <w:t>7</w:t>
      </w:r>
      <w:r w:rsidRPr="008052B8">
        <w:rPr>
          <w:noProof/>
        </w:rPr>
        <w:fldChar w:fldCharType="end"/>
      </w:r>
    </w:p>
    <w:p w14:paraId="47BED9B5" w14:textId="6521B7BC" w:rsidR="000B41E4" w:rsidRPr="008052B8" w:rsidRDefault="000B41E4">
      <w:pPr>
        <w:pStyle w:val="TOC5"/>
        <w:rPr>
          <w:rFonts w:asciiTheme="minorHAnsi" w:eastAsiaTheme="minorEastAsia" w:hAnsiTheme="minorHAnsi" w:cstheme="minorBidi"/>
          <w:noProof/>
          <w:kern w:val="0"/>
          <w:sz w:val="22"/>
          <w:szCs w:val="22"/>
        </w:rPr>
      </w:pPr>
      <w:r w:rsidRPr="008052B8">
        <w:rPr>
          <w:noProof/>
        </w:rPr>
        <w:t>18</w:t>
      </w:r>
      <w:r w:rsidRPr="008052B8">
        <w:rPr>
          <w:noProof/>
        </w:rPr>
        <w:tab/>
        <w:t>Prohibition on use or disclosure by current and former employees</w:t>
      </w:r>
      <w:r w:rsidRPr="008052B8">
        <w:rPr>
          <w:noProof/>
        </w:rPr>
        <w:tab/>
      </w:r>
      <w:r w:rsidRPr="008052B8">
        <w:rPr>
          <w:noProof/>
        </w:rPr>
        <w:fldChar w:fldCharType="begin"/>
      </w:r>
      <w:r w:rsidRPr="008052B8">
        <w:rPr>
          <w:noProof/>
        </w:rPr>
        <w:instrText xml:space="preserve"> PAGEREF _Toc65664261 \h </w:instrText>
      </w:r>
      <w:r w:rsidRPr="008052B8">
        <w:rPr>
          <w:noProof/>
        </w:rPr>
      </w:r>
      <w:r w:rsidRPr="008052B8">
        <w:rPr>
          <w:noProof/>
        </w:rPr>
        <w:fldChar w:fldCharType="separate"/>
      </w:r>
      <w:r w:rsidR="004457E9">
        <w:rPr>
          <w:noProof/>
        </w:rPr>
        <w:t>7</w:t>
      </w:r>
      <w:r w:rsidRPr="008052B8">
        <w:rPr>
          <w:noProof/>
        </w:rPr>
        <w:fldChar w:fldCharType="end"/>
      </w:r>
    </w:p>
    <w:p w14:paraId="7FB2C17A" w14:textId="68A6DCE3" w:rsidR="000B41E4" w:rsidRPr="008052B8" w:rsidRDefault="000B41E4">
      <w:pPr>
        <w:pStyle w:val="TOC2"/>
        <w:rPr>
          <w:rFonts w:asciiTheme="minorHAnsi" w:eastAsiaTheme="minorEastAsia" w:hAnsiTheme="minorHAnsi" w:cstheme="minorBidi"/>
          <w:b w:val="0"/>
          <w:noProof/>
          <w:kern w:val="0"/>
          <w:sz w:val="22"/>
          <w:szCs w:val="22"/>
        </w:rPr>
      </w:pPr>
      <w:r w:rsidRPr="008052B8">
        <w:rPr>
          <w:noProof/>
        </w:rPr>
        <w:t>Part 3—Inquiries into relevant disputes about bulk interconnection services</w:t>
      </w:r>
      <w:r w:rsidRPr="008052B8">
        <w:rPr>
          <w:b w:val="0"/>
          <w:noProof/>
          <w:sz w:val="18"/>
        </w:rPr>
        <w:tab/>
      </w:r>
      <w:r w:rsidRPr="008052B8">
        <w:rPr>
          <w:b w:val="0"/>
          <w:noProof/>
          <w:sz w:val="18"/>
        </w:rPr>
        <w:fldChar w:fldCharType="begin"/>
      </w:r>
      <w:r w:rsidRPr="008052B8">
        <w:rPr>
          <w:b w:val="0"/>
          <w:noProof/>
          <w:sz w:val="18"/>
        </w:rPr>
        <w:instrText xml:space="preserve"> PAGEREF _Toc65664262 \h </w:instrText>
      </w:r>
      <w:r w:rsidRPr="008052B8">
        <w:rPr>
          <w:b w:val="0"/>
          <w:noProof/>
          <w:sz w:val="18"/>
        </w:rPr>
      </w:r>
      <w:r w:rsidRPr="008052B8">
        <w:rPr>
          <w:b w:val="0"/>
          <w:noProof/>
          <w:sz w:val="18"/>
        </w:rPr>
        <w:fldChar w:fldCharType="separate"/>
      </w:r>
      <w:r w:rsidR="004457E9">
        <w:rPr>
          <w:b w:val="0"/>
          <w:noProof/>
          <w:sz w:val="18"/>
        </w:rPr>
        <w:t>8</w:t>
      </w:r>
      <w:r w:rsidRPr="008052B8">
        <w:rPr>
          <w:b w:val="0"/>
          <w:noProof/>
          <w:sz w:val="18"/>
        </w:rPr>
        <w:fldChar w:fldCharType="end"/>
      </w:r>
    </w:p>
    <w:p w14:paraId="07B56587" w14:textId="738F9551"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1—Preliminary</w:t>
      </w:r>
      <w:r w:rsidRPr="008052B8">
        <w:rPr>
          <w:b w:val="0"/>
          <w:noProof/>
          <w:sz w:val="18"/>
        </w:rPr>
        <w:tab/>
      </w:r>
      <w:r w:rsidRPr="008052B8">
        <w:rPr>
          <w:b w:val="0"/>
          <w:noProof/>
          <w:sz w:val="18"/>
        </w:rPr>
        <w:fldChar w:fldCharType="begin"/>
      </w:r>
      <w:r w:rsidRPr="008052B8">
        <w:rPr>
          <w:b w:val="0"/>
          <w:noProof/>
          <w:sz w:val="18"/>
        </w:rPr>
        <w:instrText xml:space="preserve"> PAGEREF _Toc65664263 \h </w:instrText>
      </w:r>
      <w:r w:rsidRPr="008052B8">
        <w:rPr>
          <w:b w:val="0"/>
          <w:noProof/>
          <w:sz w:val="18"/>
        </w:rPr>
      </w:r>
      <w:r w:rsidRPr="008052B8">
        <w:rPr>
          <w:b w:val="0"/>
          <w:noProof/>
          <w:sz w:val="18"/>
        </w:rPr>
        <w:fldChar w:fldCharType="separate"/>
      </w:r>
      <w:r w:rsidR="004457E9">
        <w:rPr>
          <w:b w:val="0"/>
          <w:noProof/>
          <w:sz w:val="18"/>
        </w:rPr>
        <w:t>8</w:t>
      </w:r>
      <w:r w:rsidRPr="008052B8">
        <w:rPr>
          <w:b w:val="0"/>
          <w:noProof/>
          <w:sz w:val="18"/>
        </w:rPr>
        <w:fldChar w:fldCharType="end"/>
      </w:r>
    </w:p>
    <w:p w14:paraId="5504976D" w14:textId="1769387A" w:rsidR="000B41E4" w:rsidRPr="008052B8" w:rsidRDefault="000B41E4">
      <w:pPr>
        <w:pStyle w:val="TOC5"/>
        <w:rPr>
          <w:rFonts w:asciiTheme="minorHAnsi" w:eastAsiaTheme="minorEastAsia" w:hAnsiTheme="minorHAnsi" w:cstheme="minorBidi"/>
          <w:noProof/>
          <w:kern w:val="0"/>
          <w:sz w:val="22"/>
          <w:szCs w:val="22"/>
        </w:rPr>
      </w:pPr>
      <w:r w:rsidRPr="008052B8">
        <w:rPr>
          <w:noProof/>
        </w:rPr>
        <w:t>19</w:t>
      </w:r>
      <w:r w:rsidRPr="008052B8">
        <w:rPr>
          <w:noProof/>
        </w:rPr>
        <w:tab/>
        <w:t>Simplified outline of this Part</w:t>
      </w:r>
      <w:r w:rsidRPr="008052B8">
        <w:rPr>
          <w:noProof/>
        </w:rPr>
        <w:tab/>
      </w:r>
      <w:r w:rsidRPr="008052B8">
        <w:rPr>
          <w:noProof/>
        </w:rPr>
        <w:fldChar w:fldCharType="begin"/>
      </w:r>
      <w:r w:rsidRPr="008052B8">
        <w:rPr>
          <w:noProof/>
        </w:rPr>
        <w:instrText xml:space="preserve"> PAGEREF _Toc65664264 \h </w:instrText>
      </w:r>
      <w:r w:rsidRPr="008052B8">
        <w:rPr>
          <w:noProof/>
        </w:rPr>
      </w:r>
      <w:r w:rsidRPr="008052B8">
        <w:rPr>
          <w:noProof/>
        </w:rPr>
        <w:fldChar w:fldCharType="separate"/>
      </w:r>
      <w:r w:rsidR="004457E9">
        <w:rPr>
          <w:noProof/>
        </w:rPr>
        <w:t>8</w:t>
      </w:r>
      <w:r w:rsidRPr="008052B8">
        <w:rPr>
          <w:noProof/>
        </w:rPr>
        <w:fldChar w:fldCharType="end"/>
      </w:r>
    </w:p>
    <w:p w14:paraId="2C3210F5" w14:textId="65D1B438" w:rsidR="000B41E4" w:rsidRPr="008052B8" w:rsidRDefault="000B41E4">
      <w:pPr>
        <w:pStyle w:val="TOC5"/>
        <w:rPr>
          <w:rFonts w:asciiTheme="minorHAnsi" w:eastAsiaTheme="minorEastAsia" w:hAnsiTheme="minorHAnsi" w:cstheme="minorBidi"/>
          <w:noProof/>
          <w:kern w:val="0"/>
          <w:sz w:val="22"/>
          <w:szCs w:val="22"/>
        </w:rPr>
      </w:pPr>
      <w:r w:rsidRPr="008052B8">
        <w:rPr>
          <w:noProof/>
        </w:rPr>
        <w:t>20</w:t>
      </w:r>
      <w:r w:rsidRPr="008052B8">
        <w:rPr>
          <w:noProof/>
        </w:rPr>
        <w:tab/>
        <w:t>Purpose of this Part</w:t>
      </w:r>
      <w:r w:rsidRPr="008052B8">
        <w:rPr>
          <w:noProof/>
        </w:rPr>
        <w:tab/>
      </w:r>
      <w:r w:rsidRPr="008052B8">
        <w:rPr>
          <w:noProof/>
        </w:rPr>
        <w:fldChar w:fldCharType="begin"/>
      </w:r>
      <w:r w:rsidRPr="008052B8">
        <w:rPr>
          <w:noProof/>
        </w:rPr>
        <w:instrText xml:space="preserve"> PAGEREF _Toc65664265 \h </w:instrText>
      </w:r>
      <w:r w:rsidRPr="008052B8">
        <w:rPr>
          <w:noProof/>
        </w:rPr>
      </w:r>
      <w:r w:rsidRPr="008052B8">
        <w:rPr>
          <w:noProof/>
        </w:rPr>
        <w:fldChar w:fldCharType="separate"/>
      </w:r>
      <w:r w:rsidR="004457E9">
        <w:rPr>
          <w:noProof/>
        </w:rPr>
        <w:t>8</w:t>
      </w:r>
      <w:r w:rsidRPr="008052B8">
        <w:rPr>
          <w:noProof/>
        </w:rPr>
        <w:fldChar w:fldCharType="end"/>
      </w:r>
    </w:p>
    <w:p w14:paraId="17C1511C" w14:textId="2D4F5FC9" w:rsidR="000B41E4" w:rsidRPr="008052B8" w:rsidRDefault="000B41E4">
      <w:pPr>
        <w:pStyle w:val="TOC5"/>
        <w:rPr>
          <w:rFonts w:asciiTheme="minorHAnsi" w:eastAsiaTheme="minorEastAsia" w:hAnsiTheme="minorHAnsi" w:cstheme="minorBidi"/>
          <w:noProof/>
          <w:kern w:val="0"/>
          <w:sz w:val="22"/>
          <w:szCs w:val="22"/>
        </w:rPr>
      </w:pPr>
      <w:r w:rsidRPr="008052B8">
        <w:rPr>
          <w:noProof/>
        </w:rPr>
        <w:t>21</w:t>
      </w:r>
      <w:r w:rsidRPr="008052B8">
        <w:rPr>
          <w:noProof/>
        </w:rPr>
        <w:tab/>
        <w:t>Parties to inquiry</w:t>
      </w:r>
      <w:r w:rsidRPr="008052B8">
        <w:rPr>
          <w:noProof/>
        </w:rPr>
        <w:tab/>
      </w:r>
      <w:r w:rsidRPr="008052B8">
        <w:rPr>
          <w:noProof/>
        </w:rPr>
        <w:fldChar w:fldCharType="begin"/>
      </w:r>
      <w:r w:rsidRPr="008052B8">
        <w:rPr>
          <w:noProof/>
        </w:rPr>
        <w:instrText xml:space="preserve"> PAGEREF _Toc65664266 \h </w:instrText>
      </w:r>
      <w:r w:rsidRPr="008052B8">
        <w:rPr>
          <w:noProof/>
        </w:rPr>
      </w:r>
      <w:r w:rsidRPr="008052B8">
        <w:rPr>
          <w:noProof/>
        </w:rPr>
        <w:fldChar w:fldCharType="separate"/>
      </w:r>
      <w:r w:rsidR="004457E9">
        <w:rPr>
          <w:noProof/>
        </w:rPr>
        <w:t>8</w:t>
      </w:r>
      <w:r w:rsidRPr="008052B8">
        <w:rPr>
          <w:noProof/>
        </w:rPr>
        <w:fldChar w:fldCharType="end"/>
      </w:r>
    </w:p>
    <w:p w14:paraId="6E516B4C" w14:textId="643A44B1"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2—Initiation of inquiries</w:t>
      </w:r>
      <w:r w:rsidRPr="008052B8">
        <w:rPr>
          <w:b w:val="0"/>
          <w:noProof/>
          <w:sz w:val="18"/>
        </w:rPr>
        <w:tab/>
      </w:r>
      <w:r w:rsidRPr="008052B8">
        <w:rPr>
          <w:b w:val="0"/>
          <w:noProof/>
          <w:sz w:val="18"/>
        </w:rPr>
        <w:fldChar w:fldCharType="begin"/>
      </w:r>
      <w:r w:rsidRPr="008052B8">
        <w:rPr>
          <w:b w:val="0"/>
          <w:noProof/>
          <w:sz w:val="18"/>
        </w:rPr>
        <w:instrText xml:space="preserve"> PAGEREF _Toc65664267 \h </w:instrText>
      </w:r>
      <w:r w:rsidRPr="008052B8">
        <w:rPr>
          <w:b w:val="0"/>
          <w:noProof/>
          <w:sz w:val="18"/>
        </w:rPr>
      </w:r>
      <w:r w:rsidRPr="008052B8">
        <w:rPr>
          <w:b w:val="0"/>
          <w:noProof/>
          <w:sz w:val="18"/>
        </w:rPr>
        <w:fldChar w:fldCharType="separate"/>
      </w:r>
      <w:r w:rsidR="004457E9">
        <w:rPr>
          <w:b w:val="0"/>
          <w:noProof/>
          <w:sz w:val="18"/>
        </w:rPr>
        <w:t>9</w:t>
      </w:r>
      <w:r w:rsidRPr="008052B8">
        <w:rPr>
          <w:b w:val="0"/>
          <w:noProof/>
          <w:sz w:val="18"/>
        </w:rPr>
        <w:fldChar w:fldCharType="end"/>
      </w:r>
    </w:p>
    <w:p w14:paraId="448E316E" w14:textId="4622B1C1" w:rsidR="000B41E4" w:rsidRPr="008052B8" w:rsidRDefault="000B41E4">
      <w:pPr>
        <w:pStyle w:val="TOC5"/>
        <w:rPr>
          <w:rFonts w:asciiTheme="minorHAnsi" w:eastAsiaTheme="minorEastAsia" w:hAnsiTheme="minorHAnsi" w:cstheme="minorBidi"/>
          <w:noProof/>
          <w:kern w:val="0"/>
          <w:sz w:val="22"/>
          <w:szCs w:val="22"/>
        </w:rPr>
      </w:pPr>
      <w:r w:rsidRPr="008052B8">
        <w:rPr>
          <w:noProof/>
        </w:rPr>
        <w:t>22</w:t>
      </w:r>
      <w:r w:rsidRPr="008052B8">
        <w:rPr>
          <w:noProof/>
        </w:rPr>
        <w:tab/>
        <w:t>Notice of dispute</w:t>
      </w:r>
      <w:r w:rsidRPr="008052B8">
        <w:rPr>
          <w:noProof/>
        </w:rPr>
        <w:tab/>
      </w:r>
      <w:r w:rsidRPr="008052B8">
        <w:rPr>
          <w:noProof/>
        </w:rPr>
        <w:fldChar w:fldCharType="begin"/>
      </w:r>
      <w:r w:rsidRPr="008052B8">
        <w:rPr>
          <w:noProof/>
        </w:rPr>
        <w:instrText xml:space="preserve"> PAGEREF _Toc65664268 \h </w:instrText>
      </w:r>
      <w:r w:rsidRPr="008052B8">
        <w:rPr>
          <w:noProof/>
        </w:rPr>
      </w:r>
      <w:r w:rsidRPr="008052B8">
        <w:rPr>
          <w:noProof/>
        </w:rPr>
        <w:fldChar w:fldCharType="separate"/>
      </w:r>
      <w:r w:rsidR="004457E9">
        <w:rPr>
          <w:noProof/>
        </w:rPr>
        <w:t>9</w:t>
      </w:r>
      <w:r w:rsidRPr="008052B8">
        <w:rPr>
          <w:noProof/>
        </w:rPr>
        <w:fldChar w:fldCharType="end"/>
      </w:r>
    </w:p>
    <w:p w14:paraId="1E0B1551" w14:textId="69271094" w:rsidR="000B41E4" w:rsidRPr="008052B8" w:rsidRDefault="000B41E4">
      <w:pPr>
        <w:pStyle w:val="TOC5"/>
        <w:rPr>
          <w:rFonts w:asciiTheme="minorHAnsi" w:eastAsiaTheme="minorEastAsia" w:hAnsiTheme="minorHAnsi" w:cstheme="minorBidi"/>
          <w:noProof/>
          <w:kern w:val="0"/>
          <w:sz w:val="22"/>
          <w:szCs w:val="22"/>
        </w:rPr>
      </w:pPr>
      <w:r w:rsidRPr="008052B8">
        <w:rPr>
          <w:noProof/>
        </w:rPr>
        <w:t>23</w:t>
      </w:r>
      <w:r w:rsidRPr="008052B8">
        <w:rPr>
          <w:noProof/>
        </w:rPr>
        <w:tab/>
        <w:t>ACCC response to notice of dispute</w:t>
      </w:r>
      <w:r w:rsidRPr="008052B8">
        <w:rPr>
          <w:noProof/>
        </w:rPr>
        <w:tab/>
      </w:r>
      <w:r w:rsidRPr="008052B8">
        <w:rPr>
          <w:noProof/>
        </w:rPr>
        <w:fldChar w:fldCharType="begin"/>
      </w:r>
      <w:r w:rsidRPr="008052B8">
        <w:rPr>
          <w:noProof/>
        </w:rPr>
        <w:instrText xml:space="preserve"> PAGEREF _Toc65664269 \h </w:instrText>
      </w:r>
      <w:r w:rsidRPr="008052B8">
        <w:rPr>
          <w:noProof/>
        </w:rPr>
      </w:r>
      <w:r w:rsidRPr="008052B8">
        <w:rPr>
          <w:noProof/>
        </w:rPr>
        <w:fldChar w:fldCharType="separate"/>
      </w:r>
      <w:r w:rsidR="004457E9">
        <w:rPr>
          <w:noProof/>
        </w:rPr>
        <w:t>9</w:t>
      </w:r>
      <w:r w:rsidRPr="008052B8">
        <w:rPr>
          <w:noProof/>
        </w:rPr>
        <w:fldChar w:fldCharType="end"/>
      </w:r>
    </w:p>
    <w:p w14:paraId="2A3D7B6D" w14:textId="0373E3AE" w:rsidR="000B41E4" w:rsidRPr="008052B8" w:rsidRDefault="000B41E4">
      <w:pPr>
        <w:pStyle w:val="TOC5"/>
        <w:rPr>
          <w:rFonts w:asciiTheme="minorHAnsi" w:eastAsiaTheme="minorEastAsia" w:hAnsiTheme="minorHAnsi" w:cstheme="minorBidi"/>
          <w:noProof/>
          <w:kern w:val="0"/>
          <w:sz w:val="22"/>
          <w:szCs w:val="22"/>
        </w:rPr>
      </w:pPr>
      <w:r w:rsidRPr="008052B8">
        <w:rPr>
          <w:noProof/>
        </w:rPr>
        <w:t>24</w:t>
      </w:r>
      <w:r w:rsidRPr="008052B8">
        <w:rPr>
          <w:noProof/>
        </w:rPr>
        <w:tab/>
        <w:t>Response of Australia Post to notice by ACCC</w:t>
      </w:r>
      <w:r w:rsidRPr="008052B8">
        <w:rPr>
          <w:noProof/>
        </w:rPr>
        <w:tab/>
      </w:r>
      <w:r w:rsidRPr="008052B8">
        <w:rPr>
          <w:noProof/>
        </w:rPr>
        <w:fldChar w:fldCharType="begin"/>
      </w:r>
      <w:r w:rsidRPr="008052B8">
        <w:rPr>
          <w:noProof/>
        </w:rPr>
        <w:instrText xml:space="preserve"> PAGEREF _Toc65664270 \h </w:instrText>
      </w:r>
      <w:r w:rsidRPr="008052B8">
        <w:rPr>
          <w:noProof/>
        </w:rPr>
      </w:r>
      <w:r w:rsidRPr="008052B8">
        <w:rPr>
          <w:noProof/>
        </w:rPr>
        <w:fldChar w:fldCharType="separate"/>
      </w:r>
      <w:r w:rsidR="004457E9">
        <w:rPr>
          <w:noProof/>
        </w:rPr>
        <w:t>10</w:t>
      </w:r>
      <w:r w:rsidRPr="008052B8">
        <w:rPr>
          <w:noProof/>
        </w:rPr>
        <w:fldChar w:fldCharType="end"/>
      </w:r>
    </w:p>
    <w:p w14:paraId="13B4C484" w14:textId="594410FB" w:rsidR="000B41E4" w:rsidRPr="008052B8" w:rsidRDefault="000B41E4">
      <w:pPr>
        <w:pStyle w:val="TOC5"/>
        <w:rPr>
          <w:rFonts w:asciiTheme="minorHAnsi" w:eastAsiaTheme="minorEastAsia" w:hAnsiTheme="minorHAnsi" w:cstheme="minorBidi"/>
          <w:noProof/>
          <w:kern w:val="0"/>
          <w:sz w:val="22"/>
          <w:szCs w:val="22"/>
        </w:rPr>
      </w:pPr>
      <w:r w:rsidRPr="008052B8">
        <w:rPr>
          <w:noProof/>
        </w:rPr>
        <w:t>25</w:t>
      </w:r>
      <w:r w:rsidRPr="008052B8">
        <w:rPr>
          <w:noProof/>
        </w:rPr>
        <w:tab/>
        <w:t>Withdrawal of notice of dispute</w:t>
      </w:r>
      <w:r w:rsidRPr="008052B8">
        <w:rPr>
          <w:noProof/>
        </w:rPr>
        <w:tab/>
      </w:r>
      <w:r w:rsidRPr="008052B8">
        <w:rPr>
          <w:noProof/>
        </w:rPr>
        <w:fldChar w:fldCharType="begin"/>
      </w:r>
      <w:r w:rsidRPr="008052B8">
        <w:rPr>
          <w:noProof/>
        </w:rPr>
        <w:instrText xml:space="preserve"> PAGEREF _Toc65664271 \h </w:instrText>
      </w:r>
      <w:r w:rsidRPr="008052B8">
        <w:rPr>
          <w:noProof/>
        </w:rPr>
      </w:r>
      <w:r w:rsidRPr="008052B8">
        <w:rPr>
          <w:noProof/>
        </w:rPr>
        <w:fldChar w:fldCharType="separate"/>
      </w:r>
      <w:r w:rsidR="004457E9">
        <w:rPr>
          <w:noProof/>
        </w:rPr>
        <w:t>10</w:t>
      </w:r>
      <w:r w:rsidRPr="008052B8">
        <w:rPr>
          <w:noProof/>
        </w:rPr>
        <w:fldChar w:fldCharType="end"/>
      </w:r>
    </w:p>
    <w:p w14:paraId="18E3AD1C" w14:textId="4397BCF6" w:rsidR="000B41E4" w:rsidRPr="008052B8" w:rsidRDefault="000B41E4">
      <w:pPr>
        <w:pStyle w:val="TOC5"/>
        <w:rPr>
          <w:rFonts w:asciiTheme="minorHAnsi" w:eastAsiaTheme="minorEastAsia" w:hAnsiTheme="minorHAnsi" w:cstheme="minorBidi"/>
          <w:noProof/>
          <w:kern w:val="0"/>
          <w:sz w:val="22"/>
          <w:szCs w:val="22"/>
        </w:rPr>
      </w:pPr>
      <w:r w:rsidRPr="008052B8">
        <w:rPr>
          <w:noProof/>
        </w:rPr>
        <w:t>26</w:t>
      </w:r>
      <w:r w:rsidRPr="008052B8">
        <w:rPr>
          <w:noProof/>
        </w:rPr>
        <w:tab/>
        <w:t>Circumstances in which inquiry not to be undertaken</w:t>
      </w:r>
      <w:r w:rsidRPr="008052B8">
        <w:rPr>
          <w:noProof/>
        </w:rPr>
        <w:tab/>
      </w:r>
      <w:r w:rsidRPr="008052B8">
        <w:rPr>
          <w:noProof/>
        </w:rPr>
        <w:fldChar w:fldCharType="begin"/>
      </w:r>
      <w:r w:rsidRPr="008052B8">
        <w:rPr>
          <w:noProof/>
        </w:rPr>
        <w:instrText xml:space="preserve"> PAGEREF _Toc65664272 \h </w:instrText>
      </w:r>
      <w:r w:rsidRPr="008052B8">
        <w:rPr>
          <w:noProof/>
        </w:rPr>
      </w:r>
      <w:r w:rsidRPr="008052B8">
        <w:rPr>
          <w:noProof/>
        </w:rPr>
        <w:fldChar w:fldCharType="separate"/>
      </w:r>
      <w:r w:rsidR="004457E9">
        <w:rPr>
          <w:noProof/>
        </w:rPr>
        <w:t>10</w:t>
      </w:r>
      <w:r w:rsidRPr="008052B8">
        <w:rPr>
          <w:noProof/>
        </w:rPr>
        <w:fldChar w:fldCharType="end"/>
      </w:r>
    </w:p>
    <w:p w14:paraId="7174C4A4" w14:textId="36711A21" w:rsidR="000B41E4" w:rsidRPr="008052B8" w:rsidRDefault="000B41E4">
      <w:pPr>
        <w:pStyle w:val="TOC5"/>
        <w:rPr>
          <w:rFonts w:asciiTheme="minorHAnsi" w:eastAsiaTheme="minorEastAsia" w:hAnsiTheme="minorHAnsi" w:cstheme="minorBidi"/>
          <w:noProof/>
          <w:kern w:val="0"/>
          <w:sz w:val="22"/>
          <w:szCs w:val="22"/>
        </w:rPr>
      </w:pPr>
      <w:r w:rsidRPr="008052B8">
        <w:rPr>
          <w:noProof/>
        </w:rPr>
        <w:t>27</w:t>
      </w:r>
      <w:r w:rsidRPr="008052B8">
        <w:rPr>
          <w:noProof/>
        </w:rPr>
        <w:tab/>
        <w:t>Commencement and duration of inquiry</w:t>
      </w:r>
      <w:r w:rsidRPr="008052B8">
        <w:rPr>
          <w:noProof/>
        </w:rPr>
        <w:tab/>
      </w:r>
      <w:r w:rsidRPr="008052B8">
        <w:rPr>
          <w:noProof/>
        </w:rPr>
        <w:fldChar w:fldCharType="begin"/>
      </w:r>
      <w:r w:rsidRPr="008052B8">
        <w:rPr>
          <w:noProof/>
        </w:rPr>
        <w:instrText xml:space="preserve"> PAGEREF _Toc65664273 \h </w:instrText>
      </w:r>
      <w:r w:rsidRPr="008052B8">
        <w:rPr>
          <w:noProof/>
        </w:rPr>
      </w:r>
      <w:r w:rsidRPr="008052B8">
        <w:rPr>
          <w:noProof/>
        </w:rPr>
        <w:fldChar w:fldCharType="separate"/>
      </w:r>
      <w:r w:rsidR="004457E9">
        <w:rPr>
          <w:noProof/>
        </w:rPr>
        <w:t>11</w:t>
      </w:r>
      <w:r w:rsidRPr="008052B8">
        <w:rPr>
          <w:noProof/>
        </w:rPr>
        <w:fldChar w:fldCharType="end"/>
      </w:r>
    </w:p>
    <w:p w14:paraId="27A8ADA2" w14:textId="3840B126"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3—Conduct of inquiries</w:t>
      </w:r>
      <w:r w:rsidRPr="008052B8">
        <w:rPr>
          <w:b w:val="0"/>
          <w:noProof/>
          <w:sz w:val="18"/>
        </w:rPr>
        <w:tab/>
      </w:r>
      <w:r w:rsidRPr="008052B8">
        <w:rPr>
          <w:b w:val="0"/>
          <w:noProof/>
          <w:sz w:val="18"/>
        </w:rPr>
        <w:fldChar w:fldCharType="begin"/>
      </w:r>
      <w:r w:rsidRPr="008052B8">
        <w:rPr>
          <w:b w:val="0"/>
          <w:noProof/>
          <w:sz w:val="18"/>
        </w:rPr>
        <w:instrText xml:space="preserve"> PAGEREF _Toc65664274 \h </w:instrText>
      </w:r>
      <w:r w:rsidRPr="008052B8">
        <w:rPr>
          <w:b w:val="0"/>
          <w:noProof/>
          <w:sz w:val="18"/>
        </w:rPr>
      </w:r>
      <w:r w:rsidRPr="008052B8">
        <w:rPr>
          <w:b w:val="0"/>
          <w:noProof/>
          <w:sz w:val="18"/>
        </w:rPr>
        <w:fldChar w:fldCharType="separate"/>
      </w:r>
      <w:r w:rsidR="004457E9">
        <w:rPr>
          <w:b w:val="0"/>
          <w:noProof/>
          <w:sz w:val="18"/>
        </w:rPr>
        <w:t>13</w:t>
      </w:r>
      <w:r w:rsidRPr="008052B8">
        <w:rPr>
          <w:b w:val="0"/>
          <w:noProof/>
          <w:sz w:val="18"/>
        </w:rPr>
        <w:fldChar w:fldCharType="end"/>
      </w:r>
    </w:p>
    <w:p w14:paraId="0D19E29E" w14:textId="2B0DC55E" w:rsidR="000B41E4" w:rsidRPr="008052B8" w:rsidRDefault="000B41E4">
      <w:pPr>
        <w:pStyle w:val="TOC5"/>
        <w:rPr>
          <w:rFonts w:asciiTheme="minorHAnsi" w:eastAsiaTheme="minorEastAsia" w:hAnsiTheme="minorHAnsi" w:cstheme="minorBidi"/>
          <w:noProof/>
          <w:kern w:val="0"/>
          <w:sz w:val="22"/>
          <w:szCs w:val="22"/>
        </w:rPr>
      </w:pPr>
      <w:r w:rsidRPr="008052B8">
        <w:rPr>
          <w:noProof/>
        </w:rPr>
        <w:t>28</w:t>
      </w:r>
      <w:r w:rsidRPr="008052B8">
        <w:rPr>
          <w:noProof/>
        </w:rPr>
        <w:tab/>
        <w:t>Powers of ACCC</w:t>
      </w:r>
      <w:r w:rsidRPr="008052B8">
        <w:rPr>
          <w:noProof/>
        </w:rPr>
        <w:tab/>
      </w:r>
      <w:r w:rsidRPr="008052B8">
        <w:rPr>
          <w:noProof/>
        </w:rPr>
        <w:fldChar w:fldCharType="begin"/>
      </w:r>
      <w:r w:rsidRPr="008052B8">
        <w:rPr>
          <w:noProof/>
        </w:rPr>
        <w:instrText xml:space="preserve"> PAGEREF _Toc65664275 \h </w:instrText>
      </w:r>
      <w:r w:rsidRPr="008052B8">
        <w:rPr>
          <w:noProof/>
        </w:rPr>
      </w:r>
      <w:r w:rsidRPr="008052B8">
        <w:rPr>
          <w:noProof/>
        </w:rPr>
        <w:fldChar w:fldCharType="separate"/>
      </w:r>
      <w:r w:rsidR="004457E9">
        <w:rPr>
          <w:noProof/>
        </w:rPr>
        <w:t>13</w:t>
      </w:r>
      <w:r w:rsidRPr="008052B8">
        <w:rPr>
          <w:noProof/>
        </w:rPr>
        <w:fldChar w:fldCharType="end"/>
      </w:r>
    </w:p>
    <w:p w14:paraId="351774CE" w14:textId="66DB99E6" w:rsidR="000B41E4" w:rsidRPr="008052B8" w:rsidRDefault="000B41E4">
      <w:pPr>
        <w:pStyle w:val="TOC5"/>
        <w:rPr>
          <w:rFonts w:asciiTheme="minorHAnsi" w:eastAsiaTheme="minorEastAsia" w:hAnsiTheme="minorHAnsi" w:cstheme="minorBidi"/>
          <w:noProof/>
          <w:kern w:val="0"/>
          <w:sz w:val="22"/>
          <w:szCs w:val="22"/>
        </w:rPr>
      </w:pPr>
      <w:r w:rsidRPr="008052B8">
        <w:rPr>
          <w:noProof/>
        </w:rPr>
        <w:t>29</w:t>
      </w:r>
      <w:r w:rsidRPr="008052B8">
        <w:rPr>
          <w:noProof/>
        </w:rPr>
        <w:tab/>
        <w:t>Joint inquiries</w:t>
      </w:r>
      <w:r w:rsidRPr="008052B8">
        <w:rPr>
          <w:noProof/>
        </w:rPr>
        <w:tab/>
      </w:r>
      <w:r w:rsidRPr="008052B8">
        <w:rPr>
          <w:noProof/>
        </w:rPr>
        <w:fldChar w:fldCharType="begin"/>
      </w:r>
      <w:r w:rsidRPr="008052B8">
        <w:rPr>
          <w:noProof/>
        </w:rPr>
        <w:instrText xml:space="preserve"> PAGEREF _Toc65664276 \h </w:instrText>
      </w:r>
      <w:r w:rsidRPr="008052B8">
        <w:rPr>
          <w:noProof/>
        </w:rPr>
      </w:r>
      <w:r w:rsidRPr="008052B8">
        <w:rPr>
          <w:noProof/>
        </w:rPr>
        <w:fldChar w:fldCharType="separate"/>
      </w:r>
      <w:r w:rsidR="004457E9">
        <w:rPr>
          <w:noProof/>
        </w:rPr>
        <w:t>13</w:t>
      </w:r>
      <w:r w:rsidRPr="008052B8">
        <w:rPr>
          <w:noProof/>
        </w:rPr>
        <w:fldChar w:fldCharType="end"/>
      </w:r>
    </w:p>
    <w:p w14:paraId="5FE8DF85" w14:textId="0E197B2E" w:rsidR="000B41E4" w:rsidRPr="008052B8" w:rsidRDefault="000B41E4">
      <w:pPr>
        <w:pStyle w:val="TOC5"/>
        <w:rPr>
          <w:rFonts w:asciiTheme="minorHAnsi" w:eastAsiaTheme="minorEastAsia" w:hAnsiTheme="minorHAnsi" w:cstheme="minorBidi"/>
          <w:noProof/>
          <w:kern w:val="0"/>
          <w:sz w:val="22"/>
          <w:szCs w:val="22"/>
        </w:rPr>
      </w:pPr>
      <w:r w:rsidRPr="008052B8">
        <w:rPr>
          <w:noProof/>
        </w:rPr>
        <w:t>30</w:t>
      </w:r>
      <w:r w:rsidRPr="008052B8">
        <w:rPr>
          <w:noProof/>
        </w:rPr>
        <w:tab/>
        <w:t xml:space="preserve">Use of information obtained under Part VIIA of </w:t>
      </w:r>
      <w:r w:rsidRPr="008052B8">
        <w:rPr>
          <w:i/>
          <w:noProof/>
        </w:rPr>
        <w:t>Competition and Consumer Act 2010</w:t>
      </w:r>
      <w:r w:rsidRPr="008052B8">
        <w:rPr>
          <w:noProof/>
        </w:rPr>
        <w:tab/>
      </w:r>
      <w:r w:rsidRPr="008052B8">
        <w:rPr>
          <w:noProof/>
        </w:rPr>
        <w:fldChar w:fldCharType="begin"/>
      </w:r>
      <w:r w:rsidRPr="008052B8">
        <w:rPr>
          <w:noProof/>
        </w:rPr>
        <w:instrText xml:space="preserve"> PAGEREF _Toc65664277 \h </w:instrText>
      </w:r>
      <w:r w:rsidRPr="008052B8">
        <w:rPr>
          <w:noProof/>
        </w:rPr>
      </w:r>
      <w:r w:rsidRPr="008052B8">
        <w:rPr>
          <w:noProof/>
        </w:rPr>
        <w:fldChar w:fldCharType="separate"/>
      </w:r>
      <w:r w:rsidR="004457E9">
        <w:rPr>
          <w:noProof/>
        </w:rPr>
        <w:t>13</w:t>
      </w:r>
      <w:r w:rsidRPr="008052B8">
        <w:rPr>
          <w:noProof/>
        </w:rPr>
        <w:fldChar w:fldCharType="end"/>
      </w:r>
    </w:p>
    <w:p w14:paraId="03D3E59C" w14:textId="03199104" w:rsidR="000B41E4" w:rsidRPr="008052B8" w:rsidRDefault="000B41E4">
      <w:pPr>
        <w:pStyle w:val="TOC5"/>
        <w:rPr>
          <w:rFonts w:asciiTheme="minorHAnsi" w:eastAsiaTheme="minorEastAsia" w:hAnsiTheme="minorHAnsi" w:cstheme="minorBidi"/>
          <w:noProof/>
          <w:kern w:val="0"/>
          <w:sz w:val="22"/>
          <w:szCs w:val="22"/>
        </w:rPr>
      </w:pPr>
      <w:r w:rsidRPr="008052B8">
        <w:rPr>
          <w:noProof/>
        </w:rPr>
        <w:t>31</w:t>
      </w:r>
      <w:r w:rsidRPr="008052B8">
        <w:rPr>
          <w:noProof/>
        </w:rPr>
        <w:tab/>
        <w:t>Power to obtain information and documents</w:t>
      </w:r>
      <w:r w:rsidRPr="008052B8">
        <w:rPr>
          <w:noProof/>
        </w:rPr>
        <w:tab/>
      </w:r>
      <w:r w:rsidRPr="008052B8">
        <w:rPr>
          <w:noProof/>
        </w:rPr>
        <w:fldChar w:fldCharType="begin"/>
      </w:r>
      <w:r w:rsidRPr="008052B8">
        <w:rPr>
          <w:noProof/>
        </w:rPr>
        <w:instrText xml:space="preserve"> PAGEREF _Toc65664278 \h </w:instrText>
      </w:r>
      <w:r w:rsidRPr="008052B8">
        <w:rPr>
          <w:noProof/>
        </w:rPr>
      </w:r>
      <w:r w:rsidRPr="008052B8">
        <w:rPr>
          <w:noProof/>
        </w:rPr>
        <w:fldChar w:fldCharType="separate"/>
      </w:r>
      <w:r w:rsidR="004457E9">
        <w:rPr>
          <w:noProof/>
        </w:rPr>
        <w:t>14</w:t>
      </w:r>
      <w:r w:rsidRPr="008052B8">
        <w:rPr>
          <w:noProof/>
        </w:rPr>
        <w:fldChar w:fldCharType="end"/>
      </w:r>
    </w:p>
    <w:p w14:paraId="731C418C" w14:textId="6561B428" w:rsidR="000B41E4" w:rsidRPr="008052B8" w:rsidRDefault="000B41E4">
      <w:pPr>
        <w:pStyle w:val="TOC5"/>
        <w:rPr>
          <w:rFonts w:asciiTheme="minorHAnsi" w:eastAsiaTheme="minorEastAsia" w:hAnsiTheme="minorHAnsi" w:cstheme="minorBidi"/>
          <w:noProof/>
          <w:kern w:val="0"/>
          <w:sz w:val="22"/>
          <w:szCs w:val="22"/>
        </w:rPr>
      </w:pPr>
      <w:r w:rsidRPr="008052B8">
        <w:rPr>
          <w:noProof/>
        </w:rPr>
        <w:t>32</w:t>
      </w:r>
      <w:r w:rsidRPr="008052B8">
        <w:rPr>
          <w:noProof/>
        </w:rPr>
        <w:tab/>
        <w:t>Documents produced to ACCC</w:t>
      </w:r>
      <w:r w:rsidRPr="008052B8">
        <w:rPr>
          <w:noProof/>
        </w:rPr>
        <w:tab/>
      </w:r>
      <w:r w:rsidRPr="008052B8">
        <w:rPr>
          <w:noProof/>
        </w:rPr>
        <w:fldChar w:fldCharType="begin"/>
      </w:r>
      <w:r w:rsidRPr="008052B8">
        <w:rPr>
          <w:noProof/>
        </w:rPr>
        <w:instrText xml:space="preserve"> PAGEREF _Toc65664279 \h </w:instrText>
      </w:r>
      <w:r w:rsidRPr="008052B8">
        <w:rPr>
          <w:noProof/>
        </w:rPr>
      </w:r>
      <w:r w:rsidRPr="008052B8">
        <w:rPr>
          <w:noProof/>
        </w:rPr>
        <w:fldChar w:fldCharType="separate"/>
      </w:r>
      <w:r w:rsidR="004457E9">
        <w:rPr>
          <w:noProof/>
        </w:rPr>
        <w:t>15</w:t>
      </w:r>
      <w:r w:rsidRPr="008052B8">
        <w:rPr>
          <w:noProof/>
        </w:rPr>
        <w:fldChar w:fldCharType="end"/>
      </w:r>
    </w:p>
    <w:p w14:paraId="1E0B9AB0" w14:textId="47BDAE2E" w:rsidR="000B41E4" w:rsidRPr="008052B8" w:rsidRDefault="000B41E4">
      <w:pPr>
        <w:pStyle w:val="TOC5"/>
        <w:rPr>
          <w:rFonts w:asciiTheme="minorHAnsi" w:eastAsiaTheme="minorEastAsia" w:hAnsiTheme="minorHAnsi" w:cstheme="minorBidi"/>
          <w:noProof/>
          <w:kern w:val="0"/>
          <w:sz w:val="22"/>
          <w:szCs w:val="22"/>
        </w:rPr>
      </w:pPr>
      <w:r w:rsidRPr="008052B8">
        <w:rPr>
          <w:noProof/>
        </w:rPr>
        <w:t>33</w:t>
      </w:r>
      <w:r w:rsidRPr="008052B8">
        <w:rPr>
          <w:noProof/>
        </w:rPr>
        <w:tab/>
        <w:t>Confidential commercial information</w:t>
      </w:r>
      <w:r w:rsidRPr="008052B8">
        <w:rPr>
          <w:noProof/>
        </w:rPr>
        <w:tab/>
      </w:r>
      <w:r w:rsidRPr="008052B8">
        <w:rPr>
          <w:noProof/>
        </w:rPr>
        <w:fldChar w:fldCharType="begin"/>
      </w:r>
      <w:r w:rsidRPr="008052B8">
        <w:rPr>
          <w:noProof/>
        </w:rPr>
        <w:instrText xml:space="preserve"> PAGEREF _Toc65664280 \h </w:instrText>
      </w:r>
      <w:r w:rsidRPr="008052B8">
        <w:rPr>
          <w:noProof/>
        </w:rPr>
      </w:r>
      <w:r w:rsidRPr="008052B8">
        <w:rPr>
          <w:noProof/>
        </w:rPr>
        <w:fldChar w:fldCharType="separate"/>
      </w:r>
      <w:r w:rsidR="004457E9">
        <w:rPr>
          <w:noProof/>
        </w:rPr>
        <w:t>15</w:t>
      </w:r>
      <w:r w:rsidRPr="008052B8">
        <w:rPr>
          <w:noProof/>
        </w:rPr>
        <w:fldChar w:fldCharType="end"/>
      </w:r>
    </w:p>
    <w:p w14:paraId="3E3A0B1C" w14:textId="0F361347" w:rsidR="000B41E4" w:rsidRPr="008052B8" w:rsidRDefault="000B41E4">
      <w:pPr>
        <w:pStyle w:val="TOC5"/>
        <w:rPr>
          <w:rFonts w:asciiTheme="minorHAnsi" w:eastAsiaTheme="minorEastAsia" w:hAnsiTheme="minorHAnsi" w:cstheme="minorBidi"/>
          <w:noProof/>
          <w:kern w:val="0"/>
          <w:sz w:val="22"/>
          <w:szCs w:val="22"/>
        </w:rPr>
      </w:pPr>
      <w:r w:rsidRPr="008052B8">
        <w:rPr>
          <w:noProof/>
        </w:rPr>
        <w:t>34</w:t>
      </w:r>
      <w:r w:rsidRPr="008052B8">
        <w:rPr>
          <w:noProof/>
        </w:rPr>
        <w:tab/>
        <w:t>Compromise of relevant disputes</w:t>
      </w:r>
      <w:r w:rsidRPr="008052B8">
        <w:rPr>
          <w:noProof/>
        </w:rPr>
        <w:tab/>
      </w:r>
      <w:r w:rsidRPr="008052B8">
        <w:rPr>
          <w:noProof/>
        </w:rPr>
        <w:fldChar w:fldCharType="begin"/>
      </w:r>
      <w:r w:rsidRPr="008052B8">
        <w:rPr>
          <w:noProof/>
        </w:rPr>
        <w:instrText xml:space="preserve"> PAGEREF _Toc65664281 \h </w:instrText>
      </w:r>
      <w:r w:rsidRPr="008052B8">
        <w:rPr>
          <w:noProof/>
        </w:rPr>
      </w:r>
      <w:r w:rsidRPr="008052B8">
        <w:rPr>
          <w:noProof/>
        </w:rPr>
        <w:fldChar w:fldCharType="separate"/>
      </w:r>
      <w:r w:rsidR="004457E9">
        <w:rPr>
          <w:noProof/>
        </w:rPr>
        <w:t>15</w:t>
      </w:r>
      <w:r w:rsidRPr="008052B8">
        <w:rPr>
          <w:noProof/>
        </w:rPr>
        <w:fldChar w:fldCharType="end"/>
      </w:r>
    </w:p>
    <w:p w14:paraId="53C8FB5A" w14:textId="73DAF007" w:rsidR="000B41E4" w:rsidRPr="008052B8" w:rsidRDefault="000B41E4">
      <w:pPr>
        <w:pStyle w:val="TOC5"/>
        <w:rPr>
          <w:rFonts w:asciiTheme="minorHAnsi" w:eastAsiaTheme="minorEastAsia" w:hAnsiTheme="minorHAnsi" w:cstheme="minorBidi"/>
          <w:noProof/>
          <w:kern w:val="0"/>
          <w:sz w:val="22"/>
          <w:szCs w:val="22"/>
        </w:rPr>
      </w:pPr>
      <w:r w:rsidRPr="008052B8">
        <w:rPr>
          <w:noProof/>
        </w:rPr>
        <w:t>35</w:t>
      </w:r>
      <w:r w:rsidRPr="008052B8">
        <w:rPr>
          <w:noProof/>
        </w:rPr>
        <w:tab/>
        <w:t>Discontinuation of inquiry</w:t>
      </w:r>
      <w:r w:rsidRPr="008052B8">
        <w:rPr>
          <w:noProof/>
        </w:rPr>
        <w:tab/>
      </w:r>
      <w:r w:rsidRPr="008052B8">
        <w:rPr>
          <w:noProof/>
        </w:rPr>
        <w:fldChar w:fldCharType="begin"/>
      </w:r>
      <w:r w:rsidRPr="008052B8">
        <w:rPr>
          <w:noProof/>
        </w:rPr>
        <w:instrText xml:space="preserve"> PAGEREF _Toc65664282 \h </w:instrText>
      </w:r>
      <w:r w:rsidRPr="008052B8">
        <w:rPr>
          <w:noProof/>
        </w:rPr>
      </w:r>
      <w:r w:rsidRPr="008052B8">
        <w:rPr>
          <w:noProof/>
        </w:rPr>
        <w:fldChar w:fldCharType="separate"/>
      </w:r>
      <w:r w:rsidR="004457E9">
        <w:rPr>
          <w:noProof/>
        </w:rPr>
        <w:t>16</w:t>
      </w:r>
      <w:r w:rsidRPr="008052B8">
        <w:rPr>
          <w:noProof/>
        </w:rPr>
        <w:fldChar w:fldCharType="end"/>
      </w:r>
    </w:p>
    <w:p w14:paraId="605F7ECA" w14:textId="2F7E38FF" w:rsidR="000B41E4" w:rsidRPr="008052B8" w:rsidRDefault="000B41E4">
      <w:pPr>
        <w:pStyle w:val="TOC3"/>
        <w:rPr>
          <w:rFonts w:asciiTheme="minorHAnsi" w:eastAsiaTheme="minorEastAsia" w:hAnsiTheme="minorHAnsi" w:cstheme="minorBidi"/>
          <w:b w:val="0"/>
          <w:noProof/>
          <w:kern w:val="0"/>
          <w:szCs w:val="22"/>
        </w:rPr>
      </w:pPr>
      <w:r w:rsidRPr="008052B8">
        <w:rPr>
          <w:noProof/>
        </w:rPr>
        <w:lastRenderedPageBreak/>
        <w:t>Division 4—Conferences</w:t>
      </w:r>
      <w:r w:rsidRPr="008052B8">
        <w:rPr>
          <w:b w:val="0"/>
          <w:noProof/>
          <w:sz w:val="18"/>
        </w:rPr>
        <w:tab/>
      </w:r>
      <w:r w:rsidRPr="008052B8">
        <w:rPr>
          <w:b w:val="0"/>
          <w:noProof/>
          <w:sz w:val="18"/>
        </w:rPr>
        <w:fldChar w:fldCharType="begin"/>
      </w:r>
      <w:r w:rsidRPr="008052B8">
        <w:rPr>
          <w:b w:val="0"/>
          <w:noProof/>
          <w:sz w:val="18"/>
        </w:rPr>
        <w:instrText xml:space="preserve"> PAGEREF _Toc65664283 \h </w:instrText>
      </w:r>
      <w:r w:rsidRPr="008052B8">
        <w:rPr>
          <w:b w:val="0"/>
          <w:noProof/>
          <w:sz w:val="18"/>
        </w:rPr>
      </w:r>
      <w:r w:rsidRPr="008052B8">
        <w:rPr>
          <w:b w:val="0"/>
          <w:noProof/>
          <w:sz w:val="18"/>
        </w:rPr>
        <w:fldChar w:fldCharType="separate"/>
      </w:r>
      <w:r w:rsidR="004457E9">
        <w:rPr>
          <w:b w:val="0"/>
          <w:noProof/>
          <w:sz w:val="18"/>
        </w:rPr>
        <w:t>17</w:t>
      </w:r>
      <w:r w:rsidRPr="008052B8">
        <w:rPr>
          <w:b w:val="0"/>
          <w:noProof/>
          <w:sz w:val="18"/>
        </w:rPr>
        <w:fldChar w:fldCharType="end"/>
      </w:r>
    </w:p>
    <w:p w14:paraId="4A8FF615" w14:textId="50F413B6" w:rsidR="000B41E4" w:rsidRPr="008052B8" w:rsidRDefault="000B41E4">
      <w:pPr>
        <w:pStyle w:val="TOC5"/>
        <w:rPr>
          <w:rFonts w:asciiTheme="minorHAnsi" w:eastAsiaTheme="minorEastAsia" w:hAnsiTheme="minorHAnsi" w:cstheme="minorBidi"/>
          <w:noProof/>
          <w:kern w:val="0"/>
          <w:sz w:val="22"/>
          <w:szCs w:val="22"/>
        </w:rPr>
      </w:pPr>
      <w:r w:rsidRPr="008052B8">
        <w:rPr>
          <w:noProof/>
        </w:rPr>
        <w:t>36</w:t>
      </w:r>
      <w:r w:rsidRPr="008052B8">
        <w:rPr>
          <w:noProof/>
        </w:rPr>
        <w:tab/>
        <w:t>Purpose of conferences</w:t>
      </w:r>
      <w:r w:rsidRPr="008052B8">
        <w:rPr>
          <w:noProof/>
        </w:rPr>
        <w:tab/>
      </w:r>
      <w:r w:rsidRPr="008052B8">
        <w:rPr>
          <w:noProof/>
        </w:rPr>
        <w:fldChar w:fldCharType="begin"/>
      </w:r>
      <w:r w:rsidRPr="008052B8">
        <w:rPr>
          <w:noProof/>
        </w:rPr>
        <w:instrText xml:space="preserve"> PAGEREF _Toc65664284 \h </w:instrText>
      </w:r>
      <w:r w:rsidRPr="008052B8">
        <w:rPr>
          <w:noProof/>
        </w:rPr>
      </w:r>
      <w:r w:rsidRPr="008052B8">
        <w:rPr>
          <w:noProof/>
        </w:rPr>
        <w:fldChar w:fldCharType="separate"/>
      </w:r>
      <w:r w:rsidR="004457E9">
        <w:rPr>
          <w:noProof/>
        </w:rPr>
        <w:t>17</w:t>
      </w:r>
      <w:r w:rsidRPr="008052B8">
        <w:rPr>
          <w:noProof/>
        </w:rPr>
        <w:fldChar w:fldCharType="end"/>
      </w:r>
    </w:p>
    <w:p w14:paraId="0FE05049" w14:textId="5A56AA34" w:rsidR="000B41E4" w:rsidRPr="008052B8" w:rsidRDefault="000B41E4">
      <w:pPr>
        <w:pStyle w:val="TOC5"/>
        <w:rPr>
          <w:rFonts w:asciiTheme="minorHAnsi" w:eastAsiaTheme="minorEastAsia" w:hAnsiTheme="minorHAnsi" w:cstheme="minorBidi"/>
          <w:noProof/>
          <w:kern w:val="0"/>
          <w:sz w:val="22"/>
          <w:szCs w:val="22"/>
        </w:rPr>
      </w:pPr>
      <w:r w:rsidRPr="008052B8">
        <w:rPr>
          <w:noProof/>
        </w:rPr>
        <w:t>37</w:t>
      </w:r>
      <w:r w:rsidRPr="008052B8">
        <w:rPr>
          <w:noProof/>
        </w:rPr>
        <w:tab/>
        <w:t>Conduct of conferences</w:t>
      </w:r>
      <w:r w:rsidRPr="008052B8">
        <w:rPr>
          <w:noProof/>
        </w:rPr>
        <w:tab/>
      </w:r>
      <w:r w:rsidRPr="008052B8">
        <w:rPr>
          <w:noProof/>
        </w:rPr>
        <w:fldChar w:fldCharType="begin"/>
      </w:r>
      <w:r w:rsidRPr="008052B8">
        <w:rPr>
          <w:noProof/>
        </w:rPr>
        <w:instrText xml:space="preserve"> PAGEREF _Toc65664285 \h </w:instrText>
      </w:r>
      <w:r w:rsidRPr="008052B8">
        <w:rPr>
          <w:noProof/>
        </w:rPr>
      </w:r>
      <w:r w:rsidRPr="008052B8">
        <w:rPr>
          <w:noProof/>
        </w:rPr>
        <w:fldChar w:fldCharType="separate"/>
      </w:r>
      <w:r w:rsidR="004457E9">
        <w:rPr>
          <w:noProof/>
        </w:rPr>
        <w:t>17</w:t>
      </w:r>
      <w:r w:rsidRPr="008052B8">
        <w:rPr>
          <w:noProof/>
        </w:rPr>
        <w:fldChar w:fldCharType="end"/>
      </w:r>
    </w:p>
    <w:p w14:paraId="2B74AD07" w14:textId="42C177C5" w:rsidR="000B41E4" w:rsidRPr="008052B8" w:rsidRDefault="000B41E4">
      <w:pPr>
        <w:pStyle w:val="TOC5"/>
        <w:rPr>
          <w:rFonts w:asciiTheme="minorHAnsi" w:eastAsiaTheme="minorEastAsia" w:hAnsiTheme="minorHAnsi" w:cstheme="minorBidi"/>
          <w:noProof/>
          <w:kern w:val="0"/>
          <w:sz w:val="22"/>
          <w:szCs w:val="22"/>
        </w:rPr>
      </w:pPr>
      <w:r w:rsidRPr="008052B8">
        <w:rPr>
          <w:noProof/>
        </w:rPr>
        <w:t>38</w:t>
      </w:r>
      <w:r w:rsidRPr="008052B8">
        <w:rPr>
          <w:noProof/>
        </w:rPr>
        <w:tab/>
        <w:t>Conferences to be in private</w:t>
      </w:r>
      <w:r w:rsidRPr="008052B8">
        <w:rPr>
          <w:noProof/>
        </w:rPr>
        <w:tab/>
      </w:r>
      <w:r w:rsidRPr="008052B8">
        <w:rPr>
          <w:noProof/>
        </w:rPr>
        <w:fldChar w:fldCharType="begin"/>
      </w:r>
      <w:r w:rsidRPr="008052B8">
        <w:rPr>
          <w:noProof/>
        </w:rPr>
        <w:instrText xml:space="preserve"> PAGEREF _Toc65664286 \h </w:instrText>
      </w:r>
      <w:r w:rsidRPr="008052B8">
        <w:rPr>
          <w:noProof/>
        </w:rPr>
      </w:r>
      <w:r w:rsidRPr="008052B8">
        <w:rPr>
          <w:noProof/>
        </w:rPr>
        <w:fldChar w:fldCharType="separate"/>
      </w:r>
      <w:r w:rsidR="004457E9">
        <w:rPr>
          <w:noProof/>
        </w:rPr>
        <w:t>17</w:t>
      </w:r>
      <w:r w:rsidRPr="008052B8">
        <w:rPr>
          <w:noProof/>
        </w:rPr>
        <w:fldChar w:fldCharType="end"/>
      </w:r>
    </w:p>
    <w:p w14:paraId="361EBB56" w14:textId="4873DAF3"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5—ACCC reports and recommendations</w:t>
      </w:r>
      <w:r w:rsidRPr="008052B8">
        <w:rPr>
          <w:b w:val="0"/>
          <w:noProof/>
          <w:sz w:val="18"/>
        </w:rPr>
        <w:tab/>
      </w:r>
      <w:r w:rsidRPr="008052B8">
        <w:rPr>
          <w:b w:val="0"/>
          <w:noProof/>
          <w:sz w:val="18"/>
        </w:rPr>
        <w:fldChar w:fldCharType="begin"/>
      </w:r>
      <w:r w:rsidRPr="008052B8">
        <w:rPr>
          <w:b w:val="0"/>
          <w:noProof/>
          <w:sz w:val="18"/>
        </w:rPr>
        <w:instrText xml:space="preserve"> PAGEREF _Toc65664287 \h </w:instrText>
      </w:r>
      <w:r w:rsidRPr="008052B8">
        <w:rPr>
          <w:b w:val="0"/>
          <w:noProof/>
          <w:sz w:val="18"/>
        </w:rPr>
      </w:r>
      <w:r w:rsidRPr="008052B8">
        <w:rPr>
          <w:b w:val="0"/>
          <w:noProof/>
          <w:sz w:val="18"/>
        </w:rPr>
        <w:fldChar w:fldCharType="separate"/>
      </w:r>
      <w:r w:rsidR="004457E9">
        <w:rPr>
          <w:b w:val="0"/>
          <w:noProof/>
          <w:sz w:val="18"/>
        </w:rPr>
        <w:t>18</w:t>
      </w:r>
      <w:r w:rsidRPr="008052B8">
        <w:rPr>
          <w:b w:val="0"/>
          <w:noProof/>
          <w:sz w:val="18"/>
        </w:rPr>
        <w:fldChar w:fldCharType="end"/>
      </w:r>
    </w:p>
    <w:p w14:paraId="5405AB42" w14:textId="5BE05B1D" w:rsidR="000B41E4" w:rsidRPr="008052B8" w:rsidRDefault="000B41E4">
      <w:pPr>
        <w:pStyle w:val="TOC5"/>
        <w:rPr>
          <w:rFonts w:asciiTheme="minorHAnsi" w:eastAsiaTheme="minorEastAsia" w:hAnsiTheme="minorHAnsi" w:cstheme="minorBidi"/>
          <w:noProof/>
          <w:kern w:val="0"/>
          <w:sz w:val="22"/>
          <w:szCs w:val="22"/>
        </w:rPr>
      </w:pPr>
      <w:r w:rsidRPr="008052B8">
        <w:rPr>
          <w:noProof/>
        </w:rPr>
        <w:t>39</w:t>
      </w:r>
      <w:r w:rsidRPr="008052B8">
        <w:rPr>
          <w:noProof/>
        </w:rPr>
        <w:tab/>
        <w:t>Report on inquiry</w:t>
      </w:r>
      <w:r w:rsidRPr="008052B8">
        <w:rPr>
          <w:noProof/>
        </w:rPr>
        <w:tab/>
      </w:r>
      <w:r w:rsidRPr="008052B8">
        <w:rPr>
          <w:noProof/>
        </w:rPr>
        <w:fldChar w:fldCharType="begin"/>
      </w:r>
      <w:r w:rsidRPr="008052B8">
        <w:rPr>
          <w:noProof/>
        </w:rPr>
        <w:instrText xml:space="preserve"> PAGEREF _Toc65664288 \h </w:instrText>
      </w:r>
      <w:r w:rsidRPr="008052B8">
        <w:rPr>
          <w:noProof/>
        </w:rPr>
      </w:r>
      <w:r w:rsidRPr="008052B8">
        <w:rPr>
          <w:noProof/>
        </w:rPr>
        <w:fldChar w:fldCharType="separate"/>
      </w:r>
      <w:r w:rsidR="004457E9">
        <w:rPr>
          <w:noProof/>
        </w:rPr>
        <w:t>18</w:t>
      </w:r>
      <w:r w:rsidRPr="008052B8">
        <w:rPr>
          <w:noProof/>
        </w:rPr>
        <w:fldChar w:fldCharType="end"/>
      </w:r>
    </w:p>
    <w:p w14:paraId="7887D4B8" w14:textId="2B759685"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6—Consideration of reports and recommendations by the Minister</w:t>
      </w:r>
      <w:r w:rsidRPr="008052B8">
        <w:rPr>
          <w:b w:val="0"/>
          <w:noProof/>
          <w:sz w:val="18"/>
        </w:rPr>
        <w:tab/>
      </w:r>
      <w:r w:rsidRPr="008052B8">
        <w:rPr>
          <w:b w:val="0"/>
          <w:noProof/>
          <w:sz w:val="18"/>
        </w:rPr>
        <w:fldChar w:fldCharType="begin"/>
      </w:r>
      <w:r w:rsidRPr="008052B8">
        <w:rPr>
          <w:b w:val="0"/>
          <w:noProof/>
          <w:sz w:val="18"/>
        </w:rPr>
        <w:instrText xml:space="preserve"> PAGEREF _Toc65664289 \h </w:instrText>
      </w:r>
      <w:r w:rsidRPr="008052B8">
        <w:rPr>
          <w:b w:val="0"/>
          <w:noProof/>
          <w:sz w:val="18"/>
        </w:rPr>
      </w:r>
      <w:r w:rsidRPr="008052B8">
        <w:rPr>
          <w:b w:val="0"/>
          <w:noProof/>
          <w:sz w:val="18"/>
        </w:rPr>
        <w:fldChar w:fldCharType="separate"/>
      </w:r>
      <w:r w:rsidR="004457E9">
        <w:rPr>
          <w:b w:val="0"/>
          <w:noProof/>
          <w:sz w:val="18"/>
        </w:rPr>
        <w:t>19</w:t>
      </w:r>
      <w:r w:rsidRPr="008052B8">
        <w:rPr>
          <w:b w:val="0"/>
          <w:noProof/>
          <w:sz w:val="18"/>
        </w:rPr>
        <w:fldChar w:fldCharType="end"/>
      </w:r>
    </w:p>
    <w:p w14:paraId="0DF89D91" w14:textId="2A12FCDB" w:rsidR="000B41E4" w:rsidRPr="008052B8" w:rsidRDefault="000B41E4">
      <w:pPr>
        <w:pStyle w:val="TOC5"/>
        <w:rPr>
          <w:rFonts w:asciiTheme="minorHAnsi" w:eastAsiaTheme="minorEastAsia" w:hAnsiTheme="minorHAnsi" w:cstheme="minorBidi"/>
          <w:noProof/>
          <w:kern w:val="0"/>
          <w:sz w:val="22"/>
          <w:szCs w:val="22"/>
        </w:rPr>
      </w:pPr>
      <w:r w:rsidRPr="008052B8">
        <w:rPr>
          <w:noProof/>
        </w:rPr>
        <w:t>40</w:t>
      </w:r>
      <w:r w:rsidRPr="008052B8">
        <w:rPr>
          <w:noProof/>
        </w:rPr>
        <w:tab/>
        <w:t>Minister may give direction to Australia Post</w:t>
      </w:r>
      <w:r w:rsidRPr="008052B8">
        <w:rPr>
          <w:noProof/>
        </w:rPr>
        <w:tab/>
      </w:r>
      <w:r w:rsidRPr="008052B8">
        <w:rPr>
          <w:noProof/>
        </w:rPr>
        <w:fldChar w:fldCharType="begin"/>
      </w:r>
      <w:r w:rsidRPr="008052B8">
        <w:rPr>
          <w:noProof/>
        </w:rPr>
        <w:instrText xml:space="preserve"> PAGEREF _Toc65664290 \h </w:instrText>
      </w:r>
      <w:r w:rsidRPr="008052B8">
        <w:rPr>
          <w:noProof/>
        </w:rPr>
      </w:r>
      <w:r w:rsidRPr="008052B8">
        <w:rPr>
          <w:noProof/>
        </w:rPr>
        <w:fldChar w:fldCharType="separate"/>
      </w:r>
      <w:r w:rsidR="004457E9">
        <w:rPr>
          <w:noProof/>
        </w:rPr>
        <w:t>19</w:t>
      </w:r>
      <w:r w:rsidRPr="008052B8">
        <w:rPr>
          <w:noProof/>
        </w:rPr>
        <w:fldChar w:fldCharType="end"/>
      </w:r>
    </w:p>
    <w:p w14:paraId="15C18DEF" w14:textId="4FDB9A53" w:rsidR="000B41E4" w:rsidRPr="008052B8" w:rsidRDefault="000B41E4">
      <w:pPr>
        <w:pStyle w:val="TOC5"/>
        <w:rPr>
          <w:rFonts w:asciiTheme="minorHAnsi" w:eastAsiaTheme="minorEastAsia" w:hAnsiTheme="minorHAnsi" w:cstheme="minorBidi"/>
          <w:noProof/>
          <w:kern w:val="0"/>
          <w:sz w:val="22"/>
          <w:szCs w:val="22"/>
        </w:rPr>
      </w:pPr>
      <w:r w:rsidRPr="008052B8">
        <w:rPr>
          <w:noProof/>
        </w:rPr>
        <w:t>41</w:t>
      </w:r>
      <w:r w:rsidRPr="008052B8">
        <w:rPr>
          <w:noProof/>
        </w:rPr>
        <w:tab/>
        <w:t>Factors to be taken into account by Minister</w:t>
      </w:r>
      <w:r w:rsidRPr="008052B8">
        <w:rPr>
          <w:noProof/>
        </w:rPr>
        <w:tab/>
      </w:r>
      <w:r w:rsidRPr="008052B8">
        <w:rPr>
          <w:noProof/>
        </w:rPr>
        <w:fldChar w:fldCharType="begin"/>
      </w:r>
      <w:r w:rsidRPr="008052B8">
        <w:rPr>
          <w:noProof/>
        </w:rPr>
        <w:instrText xml:space="preserve"> PAGEREF _Toc65664291 \h </w:instrText>
      </w:r>
      <w:r w:rsidRPr="008052B8">
        <w:rPr>
          <w:noProof/>
        </w:rPr>
      </w:r>
      <w:r w:rsidRPr="008052B8">
        <w:rPr>
          <w:noProof/>
        </w:rPr>
        <w:fldChar w:fldCharType="separate"/>
      </w:r>
      <w:r w:rsidR="004457E9">
        <w:rPr>
          <w:noProof/>
        </w:rPr>
        <w:t>19</w:t>
      </w:r>
      <w:r w:rsidRPr="008052B8">
        <w:rPr>
          <w:noProof/>
        </w:rPr>
        <w:fldChar w:fldCharType="end"/>
      </w:r>
    </w:p>
    <w:p w14:paraId="3D6EBD86" w14:textId="70925735" w:rsidR="000B41E4" w:rsidRPr="008052B8" w:rsidRDefault="000B41E4">
      <w:pPr>
        <w:pStyle w:val="TOC5"/>
        <w:rPr>
          <w:rFonts w:asciiTheme="minorHAnsi" w:eastAsiaTheme="minorEastAsia" w:hAnsiTheme="minorHAnsi" w:cstheme="minorBidi"/>
          <w:noProof/>
          <w:kern w:val="0"/>
          <w:sz w:val="22"/>
          <w:szCs w:val="22"/>
        </w:rPr>
      </w:pPr>
      <w:r w:rsidRPr="008052B8">
        <w:rPr>
          <w:noProof/>
        </w:rPr>
        <w:t>42</w:t>
      </w:r>
      <w:r w:rsidRPr="008052B8">
        <w:rPr>
          <w:noProof/>
        </w:rPr>
        <w:tab/>
        <w:t>Notice to Australia Post of direction</w:t>
      </w:r>
      <w:r w:rsidRPr="008052B8">
        <w:rPr>
          <w:noProof/>
        </w:rPr>
        <w:tab/>
      </w:r>
      <w:r w:rsidRPr="008052B8">
        <w:rPr>
          <w:noProof/>
        </w:rPr>
        <w:fldChar w:fldCharType="begin"/>
      </w:r>
      <w:r w:rsidRPr="008052B8">
        <w:rPr>
          <w:noProof/>
        </w:rPr>
        <w:instrText xml:space="preserve"> PAGEREF _Toc65664292 \h </w:instrText>
      </w:r>
      <w:r w:rsidRPr="008052B8">
        <w:rPr>
          <w:noProof/>
        </w:rPr>
      </w:r>
      <w:r w:rsidRPr="008052B8">
        <w:rPr>
          <w:noProof/>
        </w:rPr>
        <w:fldChar w:fldCharType="separate"/>
      </w:r>
      <w:r w:rsidR="004457E9">
        <w:rPr>
          <w:noProof/>
        </w:rPr>
        <w:t>19</w:t>
      </w:r>
      <w:r w:rsidRPr="008052B8">
        <w:rPr>
          <w:noProof/>
        </w:rPr>
        <w:fldChar w:fldCharType="end"/>
      </w:r>
    </w:p>
    <w:p w14:paraId="5C69A441" w14:textId="61652FE9" w:rsidR="000B41E4" w:rsidRPr="008052B8" w:rsidRDefault="000B41E4">
      <w:pPr>
        <w:pStyle w:val="TOC5"/>
        <w:rPr>
          <w:rFonts w:asciiTheme="minorHAnsi" w:eastAsiaTheme="minorEastAsia" w:hAnsiTheme="minorHAnsi" w:cstheme="minorBidi"/>
          <w:noProof/>
          <w:kern w:val="0"/>
          <w:sz w:val="22"/>
          <w:szCs w:val="22"/>
        </w:rPr>
      </w:pPr>
      <w:r w:rsidRPr="008052B8">
        <w:rPr>
          <w:noProof/>
        </w:rPr>
        <w:t>43</w:t>
      </w:r>
      <w:r w:rsidRPr="008052B8">
        <w:rPr>
          <w:noProof/>
        </w:rPr>
        <w:tab/>
        <w:t>Notice to parties and ACCC of decision of Minister</w:t>
      </w:r>
      <w:r w:rsidRPr="008052B8">
        <w:rPr>
          <w:noProof/>
        </w:rPr>
        <w:tab/>
      </w:r>
      <w:r w:rsidRPr="008052B8">
        <w:rPr>
          <w:noProof/>
        </w:rPr>
        <w:fldChar w:fldCharType="begin"/>
      </w:r>
      <w:r w:rsidRPr="008052B8">
        <w:rPr>
          <w:noProof/>
        </w:rPr>
        <w:instrText xml:space="preserve"> PAGEREF _Toc65664293 \h </w:instrText>
      </w:r>
      <w:r w:rsidRPr="008052B8">
        <w:rPr>
          <w:noProof/>
        </w:rPr>
      </w:r>
      <w:r w:rsidRPr="008052B8">
        <w:rPr>
          <w:noProof/>
        </w:rPr>
        <w:fldChar w:fldCharType="separate"/>
      </w:r>
      <w:r w:rsidR="004457E9">
        <w:rPr>
          <w:noProof/>
        </w:rPr>
        <w:t>19</w:t>
      </w:r>
      <w:r w:rsidRPr="008052B8">
        <w:rPr>
          <w:noProof/>
        </w:rPr>
        <w:fldChar w:fldCharType="end"/>
      </w:r>
    </w:p>
    <w:p w14:paraId="5BCF4500" w14:textId="51D00989" w:rsidR="000B41E4" w:rsidRPr="008052B8" w:rsidRDefault="000B41E4">
      <w:pPr>
        <w:pStyle w:val="TOC2"/>
        <w:rPr>
          <w:rFonts w:asciiTheme="minorHAnsi" w:eastAsiaTheme="minorEastAsia" w:hAnsiTheme="minorHAnsi" w:cstheme="minorBidi"/>
          <w:b w:val="0"/>
          <w:noProof/>
          <w:kern w:val="0"/>
          <w:sz w:val="22"/>
          <w:szCs w:val="22"/>
        </w:rPr>
      </w:pPr>
      <w:r w:rsidRPr="008052B8">
        <w:rPr>
          <w:noProof/>
        </w:rPr>
        <w:t>Part 4—Application, saving and transitional provisions</w:t>
      </w:r>
      <w:r w:rsidRPr="008052B8">
        <w:rPr>
          <w:b w:val="0"/>
          <w:noProof/>
          <w:sz w:val="18"/>
        </w:rPr>
        <w:tab/>
      </w:r>
      <w:r w:rsidRPr="008052B8">
        <w:rPr>
          <w:b w:val="0"/>
          <w:noProof/>
          <w:sz w:val="18"/>
        </w:rPr>
        <w:fldChar w:fldCharType="begin"/>
      </w:r>
      <w:r w:rsidRPr="008052B8">
        <w:rPr>
          <w:b w:val="0"/>
          <w:noProof/>
          <w:sz w:val="18"/>
        </w:rPr>
        <w:instrText xml:space="preserve"> PAGEREF _Toc65664294 \h </w:instrText>
      </w:r>
      <w:r w:rsidRPr="008052B8">
        <w:rPr>
          <w:b w:val="0"/>
          <w:noProof/>
          <w:sz w:val="18"/>
        </w:rPr>
      </w:r>
      <w:r w:rsidRPr="008052B8">
        <w:rPr>
          <w:b w:val="0"/>
          <w:noProof/>
          <w:sz w:val="18"/>
        </w:rPr>
        <w:fldChar w:fldCharType="separate"/>
      </w:r>
      <w:r w:rsidR="004457E9">
        <w:rPr>
          <w:b w:val="0"/>
          <w:noProof/>
          <w:sz w:val="18"/>
        </w:rPr>
        <w:t>21</w:t>
      </w:r>
      <w:r w:rsidRPr="008052B8">
        <w:rPr>
          <w:b w:val="0"/>
          <w:noProof/>
          <w:sz w:val="18"/>
        </w:rPr>
        <w:fldChar w:fldCharType="end"/>
      </w:r>
    </w:p>
    <w:p w14:paraId="399706B7" w14:textId="7413FDF1" w:rsidR="000B41E4" w:rsidRPr="008052B8" w:rsidRDefault="000B41E4">
      <w:pPr>
        <w:pStyle w:val="TOC3"/>
        <w:rPr>
          <w:rFonts w:asciiTheme="minorHAnsi" w:eastAsiaTheme="minorEastAsia" w:hAnsiTheme="minorHAnsi" w:cstheme="minorBidi"/>
          <w:b w:val="0"/>
          <w:noProof/>
          <w:kern w:val="0"/>
          <w:szCs w:val="22"/>
        </w:rPr>
      </w:pPr>
      <w:r w:rsidRPr="008052B8">
        <w:rPr>
          <w:noProof/>
        </w:rPr>
        <w:t>Division 1—Provisions for this instrument as originally made</w:t>
      </w:r>
      <w:r w:rsidRPr="008052B8">
        <w:rPr>
          <w:b w:val="0"/>
          <w:noProof/>
          <w:sz w:val="18"/>
        </w:rPr>
        <w:tab/>
      </w:r>
      <w:r w:rsidRPr="008052B8">
        <w:rPr>
          <w:b w:val="0"/>
          <w:noProof/>
          <w:sz w:val="18"/>
        </w:rPr>
        <w:fldChar w:fldCharType="begin"/>
      </w:r>
      <w:r w:rsidRPr="008052B8">
        <w:rPr>
          <w:b w:val="0"/>
          <w:noProof/>
          <w:sz w:val="18"/>
        </w:rPr>
        <w:instrText xml:space="preserve"> PAGEREF _Toc65664295 \h </w:instrText>
      </w:r>
      <w:r w:rsidRPr="008052B8">
        <w:rPr>
          <w:b w:val="0"/>
          <w:noProof/>
          <w:sz w:val="18"/>
        </w:rPr>
      </w:r>
      <w:r w:rsidRPr="008052B8">
        <w:rPr>
          <w:b w:val="0"/>
          <w:noProof/>
          <w:sz w:val="18"/>
        </w:rPr>
        <w:fldChar w:fldCharType="separate"/>
      </w:r>
      <w:r w:rsidR="004457E9">
        <w:rPr>
          <w:b w:val="0"/>
          <w:noProof/>
          <w:sz w:val="18"/>
        </w:rPr>
        <w:t>21</w:t>
      </w:r>
      <w:r w:rsidRPr="008052B8">
        <w:rPr>
          <w:b w:val="0"/>
          <w:noProof/>
          <w:sz w:val="18"/>
        </w:rPr>
        <w:fldChar w:fldCharType="end"/>
      </w:r>
    </w:p>
    <w:p w14:paraId="71E95BAA" w14:textId="6A5D5ED0" w:rsidR="000B41E4" w:rsidRPr="008052B8" w:rsidRDefault="000B41E4">
      <w:pPr>
        <w:pStyle w:val="TOC5"/>
        <w:rPr>
          <w:rFonts w:asciiTheme="minorHAnsi" w:eastAsiaTheme="minorEastAsia" w:hAnsiTheme="minorHAnsi" w:cstheme="minorBidi"/>
          <w:noProof/>
          <w:kern w:val="0"/>
          <w:sz w:val="22"/>
          <w:szCs w:val="22"/>
        </w:rPr>
      </w:pPr>
      <w:r w:rsidRPr="008052B8">
        <w:rPr>
          <w:noProof/>
        </w:rPr>
        <w:t>44</w:t>
      </w:r>
      <w:r w:rsidRPr="008052B8">
        <w:rPr>
          <w:noProof/>
        </w:rPr>
        <w:tab/>
        <w:t>Definitions</w:t>
      </w:r>
      <w:r w:rsidRPr="008052B8">
        <w:rPr>
          <w:noProof/>
        </w:rPr>
        <w:tab/>
      </w:r>
      <w:r w:rsidRPr="008052B8">
        <w:rPr>
          <w:noProof/>
        </w:rPr>
        <w:fldChar w:fldCharType="begin"/>
      </w:r>
      <w:r w:rsidRPr="008052B8">
        <w:rPr>
          <w:noProof/>
        </w:rPr>
        <w:instrText xml:space="preserve"> PAGEREF _Toc65664296 \h </w:instrText>
      </w:r>
      <w:r w:rsidRPr="008052B8">
        <w:rPr>
          <w:noProof/>
        </w:rPr>
      </w:r>
      <w:r w:rsidRPr="008052B8">
        <w:rPr>
          <w:noProof/>
        </w:rPr>
        <w:fldChar w:fldCharType="separate"/>
      </w:r>
      <w:r w:rsidR="004457E9">
        <w:rPr>
          <w:noProof/>
        </w:rPr>
        <w:t>21</w:t>
      </w:r>
      <w:r w:rsidRPr="008052B8">
        <w:rPr>
          <w:noProof/>
        </w:rPr>
        <w:fldChar w:fldCharType="end"/>
      </w:r>
    </w:p>
    <w:p w14:paraId="206E8A03" w14:textId="19641F5F" w:rsidR="000B41E4" w:rsidRPr="008052B8" w:rsidRDefault="000B41E4">
      <w:pPr>
        <w:pStyle w:val="TOC5"/>
        <w:rPr>
          <w:rFonts w:asciiTheme="minorHAnsi" w:eastAsiaTheme="minorEastAsia" w:hAnsiTheme="minorHAnsi" w:cstheme="minorBidi"/>
          <w:noProof/>
          <w:kern w:val="0"/>
          <w:sz w:val="22"/>
          <w:szCs w:val="22"/>
        </w:rPr>
      </w:pPr>
      <w:r w:rsidRPr="008052B8">
        <w:rPr>
          <w:noProof/>
        </w:rPr>
        <w:t>45</w:t>
      </w:r>
      <w:r w:rsidRPr="008052B8">
        <w:rPr>
          <w:noProof/>
        </w:rPr>
        <w:tab/>
        <w:t>Things done under the old regulations</w:t>
      </w:r>
      <w:r w:rsidRPr="008052B8">
        <w:rPr>
          <w:noProof/>
        </w:rPr>
        <w:tab/>
      </w:r>
      <w:r w:rsidRPr="008052B8">
        <w:rPr>
          <w:noProof/>
        </w:rPr>
        <w:fldChar w:fldCharType="begin"/>
      </w:r>
      <w:r w:rsidRPr="008052B8">
        <w:rPr>
          <w:noProof/>
        </w:rPr>
        <w:instrText xml:space="preserve"> PAGEREF _Toc65664297 \h </w:instrText>
      </w:r>
      <w:r w:rsidRPr="008052B8">
        <w:rPr>
          <w:noProof/>
        </w:rPr>
      </w:r>
      <w:r w:rsidRPr="008052B8">
        <w:rPr>
          <w:noProof/>
        </w:rPr>
        <w:fldChar w:fldCharType="separate"/>
      </w:r>
      <w:r w:rsidR="004457E9">
        <w:rPr>
          <w:noProof/>
        </w:rPr>
        <w:t>21</w:t>
      </w:r>
      <w:r w:rsidRPr="008052B8">
        <w:rPr>
          <w:noProof/>
        </w:rPr>
        <w:fldChar w:fldCharType="end"/>
      </w:r>
    </w:p>
    <w:p w14:paraId="4BB1554E" w14:textId="739DCFE9" w:rsidR="000B41E4" w:rsidRPr="008052B8" w:rsidRDefault="000B41E4">
      <w:pPr>
        <w:pStyle w:val="TOC5"/>
        <w:rPr>
          <w:rFonts w:asciiTheme="minorHAnsi" w:eastAsiaTheme="minorEastAsia" w:hAnsiTheme="minorHAnsi" w:cstheme="minorBidi"/>
          <w:noProof/>
          <w:kern w:val="0"/>
          <w:sz w:val="22"/>
          <w:szCs w:val="22"/>
        </w:rPr>
      </w:pPr>
      <w:r w:rsidRPr="008052B8">
        <w:rPr>
          <w:noProof/>
        </w:rPr>
        <w:t>46</w:t>
      </w:r>
      <w:r w:rsidRPr="008052B8">
        <w:rPr>
          <w:noProof/>
        </w:rPr>
        <w:tab/>
        <w:t>Conduct, event or circumstance occurring before commencement time</w:t>
      </w:r>
      <w:r w:rsidRPr="008052B8">
        <w:rPr>
          <w:noProof/>
        </w:rPr>
        <w:tab/>
      </w:r>
      <w:r w:rsidRPr="008052B8">
        <w:rPr>
          <w:noProof/>
        </w:rPr>
        <w:fldChar w:fldCharType="begin"/>
      </w:r>
      <w:r w:rsidRPr="008052B8">
        <w:rPr>
          <w:noProof/>
        </w:rPr>
        <w:instrText xml:space="preserve"> PAGEREF _Toc65664298 \h </w:instrText>
      </w:r>
      <w:r w:rsidRPr="008052B8">
        <w:rPr>
          <w:noProof/>
        </w:rPr>
      </w:r>
      <w:r w:rsidRPr="008052B8">
        <w:rPr>
          <w:noProof/>
        </w:rPr>
        <w:fldChar w:fldCharType="separate"/>
      </w:r>
      <w:r w:rsidR="004457E9">
        <w:rPr>
          <w:noProof/>
        </w:rPr>
        <w:t>21</w:t>
      </w:r>
      <w:r w:rsidRPr="008052B8">
        <w:rPr>
          <w:noProof/>
        </w:rPr>
        <w:fldChar w:fldCharType="end"/>
      </w:r>
    </w:p>
    <w:p w14:paraId="6D225E5C" w14:textId="4EA4E6B0" w:rsidR="000B41E4" w:rsidRPr="008052B8" w:rsidRDefault="000B41E4">
      <w:pPr>
        <w:pStyle w:val="TOC5"/>
        <w:rPr>
          <w:rFonts w:asciiTheme="minorHAnsi" w:eastAsiaTheme="minorEastAsia" w:hAnsiTheme="minorHAnsi" w:cstheme="minorBidi"/>
          <w:noProof/>
          <w:kern w:val="0"/>
          <w:sz w:val="22"/>
          <w:szCs w:val="22"/>
        </w:rPr>
      </w:pPr>
      <w:r w:rsidRPr="008052B8">
        <w:rPr>
          <w:noProof/>
        </w:rPr>
        <w:t>47</w:t>
      </w:r>
      <w:r w:rsidRPr="008052B8">
        <w:rPr>
          <w:noProof/>
        </w:rPr>
        <w:tab/>
        <w:t>Records relating to articles that may contain drugs etc.</w:t>
      </w:r>
      <w:r w:rsidRPr="008052B8">
        <w:rPr>
          <w:noProof/>
        </w:rPr>
        <w:tab/>
      </w:r>
      <w:r w:rsidRPr="008052B8">
        <w:rPr>
          <w:noProof/>
        </w:rPr>
        <w:fldChar w:fldCharType="begin"/>
      </w:r>
      <w:r w:rsidRPr="008052B8">
        <w:rPr>
          <w:noProof/>
        </w:rPr>
        <w:instrText xml:space="preserve"> PAGEREF _Toc65664299 \h </w:instrText>
      </w:r>
      <w:r w:rsidRPr="008052B8">
        <w:rPr>
          <w:noProof/>
        </w:rPr>
      </w:r>
      <w:r w:rsidRPr="008052B8">
        <w:rPr>
          <w:noProof/>
        </w:rPr>
        <w:fldChar w:fldCharType="separate"/>
      </w:r>
      <w:r w:rsidR="004457E9">
        <w:rPr>
          <w:noProof/>
        </w:rPr>
        <w:t>21</w:t>
      </w:r>
      <w:r w:rsidRPr="008052B8">
        <w:rPr>
          <w:noProof/>
        </w:rPr>
        <w:fldChar w:fldCharType="end"/>
      </w:r>
    </w:p>
    <w:p w14:paraId="5A8AE522" w14:textId="653D6B66" w:rsidR="000B41E4" w:rsidRPr="008052B8" w:rsidRDefault="000B41E4">
      <w:pPr>
        <w:pStyle w:val="TOC5"/>
        <w:rPr>
          <w:rFonts w:asciiTheme="minorHAnsi" w:eastAsiaTheme="minorEastAsia" w:hAnsiTheme="minorHAnsi" w:cstheme="minorBidi"/>
          <w:noProof/>
          <w:kern w:val="0"/>
          <w:sz w:val="22"/>
          <w:szCs w:val="22"/>
        </w:rPr>
      </w:pPr>
      <w:r w:rsidRPr="008052B8">
        <w:rPr>
          <w:noProof/>
        </w:rPr>
        <w:t>48</w:t>
      </w:r>
      <w:r w:rsidRPr="008052B8">
        <w:rPr>
          <w:noProof/>
        </w:rPr>
        <w:tab/>
        <w:t>Records relating to articles that may contain quarantine material</w:t>
      </w:r>
      <w:r w:rsidRPr="008052B8">
        <w:rPr>
          <w:noProof/>
        </w:rPr>
        <w:tab/>
      </w:r>
      <w:r w:rsidRPr="008052B8">
        <w:rPr>
          <w:noProof/>
        </w:rPr>
        <w:fldChar w:fldCharType="begin"/>
      </w:r>
      <w:r w:rsidRPr="008052B8">
        <w:rPr>
          <w:noProof/>
        </w:rPr>
        <w:instrText xml:space="preserve"> PAGEREF _Toc65664300 \h </w:instrText>
      </w:r>
      <w:r w:rsidRPr="008052B8">
        <w:rPr>
          <w:noProof/>
        </w:rPr>
      </w:r>
      <w:r w:rsidRPr="008052B8">
        <w:rPr>
          <w:noProof/>
        </w:rPr>
        <w:fldChar w:fldCharType="separate"/>
      </w:r>
      <w:r w:rsidR="004457E9">
        <w:rPr>
          <w:noProof/>
        </w:rPr>
        <w:t>22</w:t>
      </w:r>
      <w:r w:rsidRPr="008052B8">
        <w:rPr>
          <w:noProof/>
        </w:rPr>
        <w:fldChar w:fldCharType="end"/>
      </w:r>
    </w:p>
    <w:p w14:paraId="1D8530FB" w14:textId="4E3DC23F" w:rsidR="000B41E4" w:rsidRPr="008052B8" w:rsidRDefault="000B41E4">
      <w:pPr>
        <w:pStyle w:val="TOC5"/>
        <w:rPr>
          <w:rFonts w:asciiTheme="minorHAnsi" w:eastAsiaTheme="minorEastAsia" w:hAnsiTheme="minorHAnsi" w:cstheme="minorBidi"/>
          <w:noProof/>
          <w:kern w:val="0"/>
          <w:sz w:val="22"/>
          <w:szCs w:val="22"/>
        </w:rPr>
      </w:pPr>
      <w:r w:rsidRPr="008052B8">
        <w:rPr>
          <w:noProof/>
        </w:rPr>
        <w:t>49</w:t>
      </w:r>
      <w:r w:rsidRPr="008052B8">
        <w:rPr>
          <w:noProof/>
        </w:rPr>
        <w:tab/>
        <w:t>Forfeiture and disposal of articles</w:t>
      </w:r>
      <w:r w:rsidRPr="008052B8">
        <w:rPr>
          <w:noProof/>
        </w:rPr>
        <w:tab/>
      </w:r>
      <w:r w:rsidRPr="008052B8">
        <w:rPr>
          <w:noProof/>
        </w:rPr>
        <w:fldChar w:fldCharType="begin"/>
      </w:r>
      <w:r w:rsidRPr="008052B8">
        <w:rPr>
          <w:noProof/>
        </w:rPr>
        <w:instrText xml:space="preserve"> PAGEREF _Toc65664301 \h </w:instrText>
      </w:r>
      <w:r w:rsidRPr="008052B8">
        <w:rPr>
          <w:noProof/>
        </w:rPr>
      </w:r>
      <w:r w:rsidRPr="008052B8">
        <w:rPr>
          <w:noProof/>
        </w:rPr>
        <w:fldChar w:fldCharType="separate"/>
      </w:r>
      <w:r w:rsidR="004457E9">
        <w:rPr>
          <w:noProof/>
        </w:rPr>
        <w:t>22</w:t>
      </w:r>
      <w:r w:rsidRPr="008052B8">
        <w:rPr>
          <w:noProof/>
        </w:rPr>
        <w:fldChar w:fldCharType="end"/>
      </w:r>
    </w:p>
    <w:p w14:paraId="19B4C8AE" w14:textId="0830F9E5" w:rsidR="000B41E4" w:rsidRPr="008052B8" w:rsidRDefault="000B41E4">
      <w:pPr>
        <w:pStyle w:val="TOC5"/>
        <w:rPr>
          <w:rFonts w:asciiTheme="minorHAnsi" w:eastAsiaTheme="minorEastAsia" w:hAnsiTheme="minorHAnsi" w:cstheme="minorBidi"/>
          <w:noProof/>
          <w:kern w:val="0"/>
          <w:sz w:val="22"/>
          <w:szCs w:val="22"/>
        </w:rPr>
      </w:pPr>
      <w:r w:rsidRPr="008052B8">
        <w:rPr>
          <w:noProof/>
        </w:rPr>
        <w:t>50</w:t>
      </w:r>
      <w:r w:rsidRPr="008052B8">
        <w:rPr>
          <w:noProof/>
        </w:rPr>
        <w:tab/>
        <w:t>Prohibition on use or disclosure by current and former employees</w:t>
      </w:r>
      <w:r w:rsidRPr="008052B8">
        <w:rPr>
          <w:noProof/>
        </w:rPr>
        <w:tab/>
      </w:r>
      <w:r w:rsidRPr="008052B8">
        <w:rPr>
          <w:noProof/>
        </w:rPr>
        <w:fldChar w:fldCharType="begin"/>
      </w:r>
      <w:r w:rsidRPr="008052B8">
        <w:rPr>
          <w:noProof/>
        </w:rPr>
        <w:instrText xml:space="preserve"> PAGEREF _Toc65664302 \h </w:instrText>
      </w:r>
      <w:r w:rsidRPr="008052B8">
        <w:rPr>
          <w:noProof/>
        </w:rPr>
      </w:r>
      <w:r w:rsidRPr="008052B8">
        <w:rPr>
          <w:noProof/>
        </w:rPr>
        <w:fldChar w:fldCharType="separate"/>
      </w:r>
      <w:r w:rsidR="004457E9">
        <w:rPr>
          <w:noProof/>
        </w:rPr>
        <w:t>22</w:t>
      </w:r>
      <w:r w:rsidRPr="008052B8">
        <w:rPr>
          <w:noProof/>
        </w:rPr>
        <w:fldChar w:fldCharType="end"/>
      </w:r>
    </w:p>
    <w:p w14:paraId="4783773A" w14:textId="55E72697" w:rsidR="000B41E4" w:rsidRPr="008052B8" w:rsidRDefault="000B41E4">
      <w:pPr>
        <w:pStyle w:val="TOC6"/>
        <w:rPr>
          <w:rFonts w:asciiTheme="minorHAnsi" w:eastAsiaTheme="minorEastAsia" w:hAnsiTheme="minorHAnsi" w:cstheme="minorBidi"/>
          <w:b w:val="0"/>
          <w:noProof/>
          <w:kern w:val="0"/>
          <w:sz w:val="22"/>
          <w:szCs w:val="22"/>
        </w:rPr>
      </w:pPr>
      <w:r w:rsidRPr="008052B8">
        <w:rPr>
          <w:noProof/>
        </w:rPr>
        <w:t>Schedule 1—Repeals</w:t>
      </w:r>
      <w:r w:rsidRPr="008052B8">
        <w:rPr>
          <w:b w:val="0"/>
          <w:noProof/>
          <w:sz w:val="18"/>
        </w:rPr>
        <w:tab/>
      </w:r>
      <w:r w:rsidRPr="008052B8">
        <w:rPr>
          <w:b w:val="0"/>
          <w:noProof/>
          <w:sz w:val="18"/>
        </w:rPr>
        <w:fldChar w:fldCharType="begin"/>
      </w:r>
      <w:r w:rsidRPr="008052B8">
        <w:rPr>
          <w:b w:val="0"/>
          <w:noProof/>
          <w:sz w:val="18"/>
        </w:rPr>
        <w:instrText xml:space="preserve"> PAGEREF _Toc65664303 \h </w:instrText>
      </w:r>
      <w:r w:rsidRPr="008052B8">
        <w:rPr>
          <w:b w:val="0"/>
          <w:noProof/>
          <w:sz w:val="18"/>
        </w:rPr>
      </w:r>
      <w:r w:rsidRPr="008052B8">
        <w:rPr>
          <w:b w:val="0"/>
          <w:noProof/>
          <w:sz w:val="18"/>
        </w:rPr>
        <w:fldChar w:fldCharType="separate"/>
      </w:r>
      <w:r w:rsidR="004457E9">
        <w:rPr>
          <w:b w:val="0"/>
          <w:noProof/>
          <w:sz w:val="18"/>
        </w:rPr>
        <w:t>23</w:t>
      </w:r>
      <w:r w:rsidRPr="008052B8">
        <w:rPr>
          <w:b w:val="0"/>
          <w:noProof/>
          <w:sz w:val="18"/>
        </w:rPr>
        <w:fldChar w:fldCharType="end"/>
      </w:r>
    </w:p>
    <w:p w14:paraId="1981D8DE" w14:textId="3013366E" w:rsidR="000B41E4" w:rsidRPr="008052B8" w:rsidRDefault="000B41E4">
      <w:pPr>
        <w:pStyle w:val="TOC9"/>
        <w:rPr>
          <w:rFonts w:asciiTheme="minorHAnsi" w:eastAsiaTheme="minorEastAsia" w:hAnsiTheme="minorHAnsi" w:cstheme="minorBidi"/>
          <w:i w:val="0"/>
          <w:noProof/>
          <w:kern w:val="0"/>
          <w:sz w:val="22"/>
          <w:szCs w:val="22"/>
        </w:rPr>
      </w:pPr>
      <w:r w:rsidRPr="008052B8">
        <w:rPr>
          <w:noProof/>
        </w:rPr>
        <w:t>Australian Postal Corporation Regulations 1996</w:t>
      </w:r>
      <w:r w:rsidRPr="008052B8">
        <w:rPr>
          <w:i w:val="0"/>
          <w:noProof/>
          <w:sz w:val="18"/>
        </w:rPr>
        <w:tab/>
      </w:r>
      <w:r w:rsidRPr="008052B8">
        <w:rPr>
          <w:i w:val="0"/>
          <w:noProof/>
          <w:sz w:val="18"/>
        </w:rPr>
        <w:fldChar w:fldCharType="begin"/>
      </w:r>
      <w:r w:rsidRPr="008052B8">
        <w:rPr>
          <w:i w:val="0"/>
          <w:noProof/>
          <w:sz w:val="18"/>
        </w:rPr>
        <w:instrText xml:space="preserve"> PAGEREF _Toc65664304 \h </w:instrText>
      </w:r>
      <w:r w:rsidRPr="008052B8">
        <w:rPr>
          <w:i w:val="0"/>
          <w:noProof/>
          <w:sz w:val="18"/>
        </w:rPr>
      </w:r>
      <w:r w:rsidRPr="008052B8">
        <w:rPr>
          <w:i w:val="0"/>
          <w:noProof/>
          <w:sz w:val="18"/>
        </w:rPr>
        <w:fldChar w:fldCharType="separate"/>
      </w:r>
      <w:r w:rsidR="004457E9">
        <w:rPr>
          <w:i w:val="0"/>
          <w:noProof/>
          <w:sz w:val="18"/>
        </w:rPr>
        <w:t>23</w:t>
      </w:r>
      <w:r w:rsidRPr="008052B8">
        <w:rPr>
          <w:i w:val="0"/>
          <w:noProof/>
          <w:sz w:val="18"/>
        </w:rPr>
        <w:fldChar w:fldCharType="end"/>
      </w:r>
    </w:p>
    <w:p w14:paraId="25698C99" w14:textId="77777777" w:rsidR="00670EA1" w:rsidRPr="008052B8" w:rsidRDefault="000B41E4" w:rsidP="00715914">
      <w:r w:rsidRPr="008052B8">
        <w:fldChar w:fldCharType="end"/>
      </w:r>
    </w:p>
    <w:p w14:paraId="5D439C27" w14:textId="77777777" w:rsidR="00670EA1" w:rsidRPr="008052B8" w:rsidRDefault="00670EA1" w:rsidP="00715914">
      <w:pPr>
        <w:sectPr w:rsidR="00670EA1" w:rsidRPr="008052B8" w:rsidSect="00C006AB">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5CA6474" w14:textId="77777777" w:rsidR="00715914" w:rsidRPr="008052B8" w:rsidRDefault="00715914" w:rsidP="00715914">
      <w:pPr>
        <w:pStyle w:val="ActHead2"/>
      </w:pPr>
      <w:bookmarkStart w:id="2" w:name="_Toc65664239"/>
      <w:r w:rsidRPr="00085A2B">
        <w:rPr>
          <w:rStyle w:val="CharPartNo"/>
        </w:rPr>
        <w:lastRenderedPageBreak/>
        <w:t>Part 1</w:t>
      </w:r>
      <w:r w:rsidRPr="008052B8">
        <w:t>—</w:t>
      </w:r>
      <w:r w:rsidRPr="00085A2B">
        <w:rPr>
          <w:rStyle w:val="CharPartText"/>
        </w:rPr>
        <w:t>Preliminary</w:t>
      </w:r>
      <w:bookmarkEnd w:id="2"/>
    </w:p>
    <w:p w14:paraId="407C7947" w14:textId="77777777" w:rsidR="00715914" w:rsidRPr="00085A2B" w:rsidRDefault="00715914" w:rsidP="00715914">
      <w:pPr>
        <w:pStyle w:val="Header"/>
      </w:pPr>
      <w:r w:rsidRPr="00085A2B">
        <w:rPr>
          <w:rStyle w:val="CharDivNo"/>
        </w:rPr>
        <w:t xml:space="preserve"> </w:t>
      </w:r>
      <w:r w:rsidRPr="00085A2B">
        <w:rPr>
          <w:rStyle w:val="CharDivText"/>
        </w:rPr>
        <w:t xml:space="preserve"> </w:t>
      </w:r>
    </w:p>
    <w:p w14:paraId="0245690C" w14:textId="77777777" w:rsidR="00715914" w:rsidRPr="008052B8" w:rsidRDefault="003E7245" w:rsidP="00715914">
      <w:pPr>
        <w:pStyle w:val="ActHead5"/>
      </w:pPr>
      <w:bookmarkStart w:id="3" w:name="_Toc65664240"/>
      <w:r w:rsidRPr="00085A2B">
        <w:rPr>
          <w:rStyle w:val="CharSectno"/>
        </w:rPr>
        <w:t>1</w:t>
      </w:r>
      <w:r w:rsidR="00715914" w:rsidRPr="008052B8">
        <w:t xml:space="preserve">  </w:t>
      </w:r>
      <w:r w:rsidR="00CE493D" w:rsidRPr="008052B8">
        <w:t>Name</w:t>
      </w:r>
      <w:bookmarkEnd w:id="3"/>
    </w:p>
    <w:p w14:paraId="3BDB9314" w14:textId="77777777" w:rsidR="00715914" w:rsidRPr="008052B8" w:rsidRDefault="00715914" w:rsidP="00715914">
      <w:pPr>
        <w:pStyle w:val="subsection"/>
      </w:pPr>
      <w:r w:rsidRPr="008052B8">
        <w:tab/>
      </w:r>
      <w:r w:rsidRPr="008052B8">
        <w:tab/>
      </w:r>
      <w:r w:rsidR="00BF79F5" w:rsidRPr="008052B8">
        <w:t>This instrument is</w:t>
      </w:r>
      <w:r w:rsidR="00CE493D" w:rsidRPr="008052B8">
        <w:t xml:space="preserve"> the </w:t>
      </w:r>
      <w:bookmarkStart w:id="4" w:name="BKCheck15B_3"/>
      <w:bookmarkEnd w:id="4"/>
      <w:r w:rsidR="00BC76AC" w:rsidRPr="008052B8">
        <w:rPr>
          <w:i/>
        </w:rPr>
        <w:fldChar w:fldCharType="begin" w:fldLock="1"/>
      </w:r>
      <w:r w:rsidR="00BC76AC" w:rsidRPr="008052B8">
        <w:rPr>
          <w:i/>
        </w:rPr>
        <w:instrText xml:space="preserve"> STYLEREF  ShortT </w:instrText>
      </w:r>
      <w:r w:rsidR="00BC76AC" w:rsidRPr="008052B8">
        <w:rPr>
          <w:i/>
        </w:rPr>
        <w:fldChar w:fldCharType="separate"/>
      </w:r>
      <w:r w:rsidR="005361B0" w:rsidRPr="008052B8">
        <w:rPr>
          <w:i/>
          <w:noProof/>
        </w:rPr>
        <w:t xml:space="preserve">Australian Postal Corporation </w:t>
      </w:r>
      <w:r w:rsidR="00C10214" w:rsidRPr="008052B8">
        <w:rPr>
          <w:i/>
          <w:noProof/>
        </w:rPr>
        <w:t>Regulations 2</w:t>
      </w:r>
      <w:r w:rsidR="005361B0" w:rsidRPr="008052B8">
        <w:rPr>
          <w:i/>
          <w:noProof/>
        </w:rPr>
        <w:t>021</w:t>
      </w:r>
      <w:r w:rsidR="00BC76AC" w:rsidRPr="008052B8">
        <w:rPr>
          <w:i/>
        </w:rPr>
        <w:fldChar w:fldCharType="end"/>
      </w:r>
      <w:r w:rsidRPr="008052B8">
        <w:t>.</w:t>
      </w:r>
    </w:p>
    <w:p w14:paraId="71A63610" w14:textId="77777777" w:rsidR="00715914" w:rsidRPr="008052B8" w:rsidRDefault="003E7245" w:rsidP="00715914">
      <w:pPr>
        <w:pStyle w:val="ActHead5"/>
      </w:pPr>
      <w:bookmarkStart w:id="5" w:name="_Toc65664241"/>
      <w:r w:rsidRPr="00085A2B">
        <w:rPr>
          <w:rStyle w:val="CharSectno"/>
        </w:rPr>
        <w:t>2</w:t>
      </w:r>
      <w:r w:rsidR="00715914" w:rsidRPr="008052B8">
        <w:t xml:space="preserve">  Commencement</w:t>
      </w:r>
      <w:bookmarkEnd w:id="5"/>
    </w:p>
    <w:p w14:paraId="107505D1" w14:textId="77777777" w:rsidR="00AE3652" w:rsidRPr="008052B8" w:rsidRDefault="00807626" w:rsidP="00AE3652">
      <w:pPr>
        <w:pStyle w:val="subsection"/>
      </w:pPr>
      <w:r w:rsidRPr="008052B8">
        <w:tab/>
      </w:r>
      <w:r w:rsidR="00AE3652" w:rsidRPr="008052B8">
        <w:t>(1)</w:t>
      </w:r>
      <w:r w:rsidR="00AE3652" w:rsidRPr="008052B8">
        <w:tab/>
        <w:t xml:space="preserve">Each provision of </w:t>
      </w:r>
      <w:r w:rsidR="00BF79F5" w:rsidRPr="008052B8">
        <w:t>this instrument</w:t>
      </w:r>
      <w:r w:rsidR="00AE3652" w:rsidRPr="008052B8">
        <w:t xml:space="preserve"> specified in column 1 of the table commences, or is taken to have commenced, in accordance with column 2 of the table. Any other statement in column 2 has effect according to its terms.</w:t>
      </w:r>
    </w:p>
    <w:p w14:paraId="746CDC18" w14:textId="77777777" w:rsidR="00AE3652" w:rsidRPr="008052B8"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AE3652" w:rsidRPr="008052B8" w14:paraId="50535E96" w14:textId="77777777" w:rsidTr="000E10F9">
        <w:trPr>
          <w:tblHeader/>
        </w:trPr>
        <w:tc>
          <w:tcPr>
            <w:tcW w:w="5000" w:type="pct"/>
            <w:gridSpan w:val="3"/>
            <w:tcBorders>
              <w:top w:val="single" w:sz="12" w:space="0" w:color="auto"/>
              <w:bottom w:val="single" w:sz="6" w:space="0" w:color="auto"/>
            </w:tcBorders>
            <w:shd w:val="clear" w:color="auto" w:fill="auto"/>
            <w:hideMark/>
          </w:tcPr>
          <w:p w14:paraId="0F447544" w14:textId="77777777" w:rsidR="00AE3652" w:rsidRPr="008052B8" w:rsidRDefault="00AE3652" w:rsidP="00E747C0">
            <w:pPr>
              <w:pStyle w:val="TableHeading"/>
            </w:pPr>
            <w:r w:rsidRPr="008052B8">
              <w:t>Commencement information</w:t>
            </w:r>
          </w:p>
        </w:tc>
      </w:tr>
      <w:tr w:rsidR="00AE3652" w:rsidRPr="008052B8" w14:paraId="079562C9" w14:textId="77777777" w:rsidTr="000E10F9">
        <w:trPr>
          <w:tblHeader/>
        </w:trPr>
        <w:tc>
          <w:tcPr>
            <w:tcW w:w="1272" w:type="pct"/>
            <w:tcBorders>
              <w:top w:val="single" w:sz="6" w:space="0" w:color="auto"/>
              <w:bottom w:val="single" w:sz="6" w:space="0" w:color="auto"/>
            </w:tcBorders>
            <w:shd w:val="clear" w:color="auto" w:fill="auto"/>
            <w:hideMark/>
          </w:tcPr>
          <w:p w14:paraId="296072C4" w14:textId="77777777" w:rsidR="00AE3652" w:rsidRPr="008052B8" w:rsidRDefault="00AE3652" w:rsidP="00E747C0">
            <w:pPr>
              <w:pStyle w:val="TableHeading"/>
            </w:pPr>
            <w:r w:rsidRPr="008052B8">
              <w:t>Column 1</w:t>
            </w:r>
          </w:p>
        </w:tc>
        <w:tc>
          <w:tcPr>
            <w:tcW w:w="2627" w:type="pct"/>
            <w:tcBorders>
              <w:top w:val="single" w:sz="6" w:space="0" w:color="auto"/>
              <w:bottom w:val="single" w:sz="6" w:space="0" w:color="auto"/>
            </w:tcBorders>
            <w:shd w:val="clear" w:color="auto" w:fill="auto"/>
            <w:hideMark/>
          </w:tcPr>
          <w:p w14:paraId="741F8D9C" w14:textId="77777777" w:rsidR="00AE3652" w:rsidRPr="008052B8" w:rsidRDefault="00AE3652" w:rsidP="00E747C0">
            <w:pPr>
              <w:pStyle w:val="TableHeading"/>
            </w:pPr>
            <w:r w:rsidRPr="008052B8">
              <w:t>Column 2</w:t>
            </w:r>
          </w:p>
        </w:tc>
        <w:tc>
          <w:tcPr>
            <w:tcW w:w="1102" w:type="pct"/>
            <w:tcBorders>
              <w:top w:val="single" w:sz="6" w:space="0" w:color="auto"/>
              <w:bottom w:val="single" w:sz="6" w:space="0" w:color="auto"/>
            </w:tcBorders>
            <w:shd w:val="clear" w:color="auto" w:fill="auto"/>
            <w:hideMark/>
          </w:tcPr>
          <w:p w14:paraId="798893A7" w14:textId="77777777" w:rsidR="00AE3652" w:rsidRPr="008052B8" w:rsidRDefault="00AE3652" w:rsidP="00E747C0">
            <w:pPr>
              <w:pStyle w:val="TableHeading"/>
            </w:pPr>
            <w:r w:rsidRPr="008052B8">
              <w:t>Column 3</w:t>
            </w:r>
          </w:p>
        </w:tc>
      </w:tr>
      <w:tr w:rsidR="00AE3652" w:rsidRPr="008052B8" w14:paraId="32378859" w14:textId="77777777" w:rsidTr="000E10F9">
        <w:trPr>
          <w:tblHeader/>
        </w:trPr>
        <w:tc>
          <w:tcPr>
            <w:tcW w:w="1272" w:type="pct"/>
            <w:tcBorders>
              <w:top w:val="single" w:sz="6" w:space="0" w:color="auto"/>
              <w:bottom w:val="single" w:sz="12" w:space="0" w:color="auto"/>
            </w:tcBorders>
            <w:shd w:val="clear" w:color="auto" w:fill="auto"/>
            <w:hideMark/>
          </w:tcPr>
          <w:p w14:paraId="08FB68E7" w14:textId="77777777" w:rsidR="00AE3652" w:rsidRPr="008052B8" w:rsidRDefault="00AE3652" w:rsidP="00E747C0">
            <w:pPr>
              <w:pStyle w:val="TableHeading"/>
            </w:pPr>
            <w:r w:rsidRPr="008052B8">
              <w:t>Provisions</w:t>
            </w:r>
          </w:p>
        </w:tc>
        <w:tc>
          <w:tcPr>
            <w:tcW w:w="2627" w:type="pct"/>
            <w:tcBorders>
              <w:top w:val="single" w:sz="6" w:space="0" w:color="auto"/>
              <w:bottom w:val="single" w:sz="12" w:space="0" w:color="auto"/>
            </w:tcBorders>
            <w:shd w:val="clear" w:color="auto" w:fill="auto"/>
            <w:hideMark/>
          </w:tcPr>
          <w:p w14:paraId="2FF41C04" w14:textId="77777777" w:rsidR="00AE3652" w:rsidRPr="008052B8" w:rsidRDefault="00AE3652" w:rsidP="00E747C0">
            <w:pPr>
              <w:pStyle w:val="TableHeading"/>
            </w:pPr>
            <w:r w:rsidRPr="008052B8">
              <w:t>Commencement</w:t>
            </w:r>
          </w:p>
        </w:tc>
        <w:tc>
          <w:tcPr>
            <w:tcW w:w="1102" w:type="pct"/>
            <w:tcBorders>
              <w:top w:val="single" w:sz="6" w:space="0" w:color="auto"/>
              <w:bottom w:val="single" w:sz="12" w:space="0" w:color="auto"/>
            </w:tcBorders>
            <w:shd w:val="clear" w:color="auto" w:fill="auto"/>
            <w:hideMark/>
          </w:tcPr>
          <w:p w14:paraId="42E3A4D6" w14:textId="77777777" w:rsidR="00AE3652" w:rsidRPr="008052B8" w:rsidRDefault="00AE3652" w:rsidP="00E747C0">
            <w:pPr>
              <w:pStyle w:val="TableHeading"/>
            </w:pPr>
            <w:r w:rsidRPr="008052B8">
              <w:t>Date/Details</w:t>
            </w:r>
          </w:p>
        </w:tc>
      </w:tr>
      <w:tr w:rsidR="00AE3652" w:rsidRPr="008052B8" w14:paraId="309AD884" w14:textId="77777777" w:rsidTr="000E10F9">
        <w:tc>
          <w:tcPr>
            <w:tcW w:w="1272" w:type="pct"/>
            <w:tcBorders>
              <w:top w:val="single" w:sz="12" w:space="0" w:color="auto"/>
              <w:bottom w:val="single" w:sz="12" w:space="0" w:color="auto"/>
            </w:tcBorders>
            <w:shd w:val="clear" w:color="auto" w:fill="auto"/>
            <w:hideMark/>
          </w:tcPr>
          <w:p w14:paraId="177699AC" w14:textId="77777777" w:rsidR="00AE3652" w:rsidRPr="008052B8" w:rsidRDefault="00AE3652" w:rsidP="00E747C0">
            <w:pPr>
              <w:pStyle w:val="Tabletext"/>
            </w:pPr>
            <w:r w:rsidRPr="008052B8">
              <w:t xml:space="preserve">1.  The whole of </w:t>
            </w:r>
            <w:r w:rsidR="00BF79F5" w:rsidRPr="008052B8">
              <w:t>this instrument</w:t>
            </w:r>
          </w:p>
        </w:tc>
        <w:tc>
          <w:tcPr>
            <w:tcW w:w="2627" w:type="pct"/>
            <w:tcBorders>
              <w:top w:val="single" w:sz="12" w:space="0" w:color="auto"/>
              <w:bottom w:val="single" w:sz="12" w:space="0" w:color="auto"/>
            </w:tcBorders>
            <w:shd w:val="clear" w:color="auto" w:fill="auto"/>
            <w:hideMark/>
          </w:tcPr>
          <w:p w14:paraId="3BF21F12" w14:textId="77777777" w:rsidR="00AE3652" w:rsidRPr="008052B8" w:rsidRDefault="00AE3652" w:rsidP="00E747C0">
            <w:pPr>
              <w:pStyle w:val="Tabletext"/>
            </w:pPr>
            <w:r w:rsidRPr="008052B8">
              <w:t xml:space="preserve">The day after </w:t>
            </w:r>
            <w:r w:rsidR="00BF79F5" w:rsidRPr="008052B8">
              <w:t>this instrument is</w:t>
            </w:r>
            <w:r w:rsidRPr="008052B8">
              <w:t xml:space="preserve"> registered.</w:t>
            </w:r>
          </w:p>
        </w:tc>
        <w:tc>
          <w:tcPr>
            <w:tcW w:w="1102" w:type="pct"/>
            <w:tcBorders>
              <w:top w:val="single" w:sz="12" w:space="0" w:color="auto"/>
              <w:bottom w:val="single" w:sz="12" w:space="0" w:color="auto"/>
            </w:tcBorders>
            <w:shd w:val="clear" w:color="auto" w:fill="auto"/>
          </w:tcPr>
          <w:p w14:paraId="529EC93C" w14:textId="2D380A61" w:rsidR="00AE3652" w:rsidRPr="008052B8" w:rsidRDefault="0026324C" w:rsidP="00E747C0">
            <w:pPr>
              <w:pStyle w:val="Tabletext"/>
            </w:pPr>
            <w:r>
              <w:t>23 March 2021</w:t>
            </w:r>
            <w:bookmarkStart w:id="6" w:name="_GoBack"/>
            <w:bookmarkEnd w:id="6"/>
          </w:p>
        </w:tc>
      </w:tr>
    </w:tbl>
    <w:p w14:paraId="3F711200" w14:textId="77777777" w:rsidR="00AE3652" w:rsidRPr="008052B8" w:rsidRDefault="00AE3652" w:rsidP="00AE3652">
      <w:pPr>
        <w:pStyle w:val="notetext"/>
      </w:pPr>
      <w:r w:rsidRPr="008052B8">
        <w:rPr>
          <w:snapToGrid w:val="0"/>
          <w:lang w:eastAsia="en-US"/>
        </w:rPr>
        <w:t>Note:</w:t>
      </w:r>
      <w:r w:rsidRPr="008052B8">
        <w:rPr>
          <w:snapToGrid w:val="0"/>
          <w:lang w:eastAsia="en-US"/>
        </w:rPr>
        <w:tab/>
        <w:t xml:space="preserve">This table relates only to the provisions of </w:t>
      </w:r>
      <w:r w:rsidR="00BF79F5" w:rsidRPr="008052B8">
        <w:rPr>
          <w:snapToGrid w:val="0"/>
          <w:lang w:eastAsia="en-US"/>
        </w:rPr>
        <w:t>this instrument</w:t>
      </w:r>
      <w:r w:rsidRPr="008052B8">
        <w:t xml:space="preserve"> </w:t>
      </w:r>
      <w:r w:rsidRPr="008052B8">
        <w:rPr>
          <w:snapToGrid w:val="0"/>
          <w:lang w:eastAsia="en-US"/>
        </w:rPr>
        <w:t xml:space="preserve">as originally made. It will not be amended to deal with any later amendments of </w:t>
      </w:r>
      <w:r w:rsidR="00BF79F5" w:rsidRPr="008052B8">
        <w:rPr>
          <w:snapToGrid w:val="0"/>
          <w:lang w:eastAsia="en-US"/>
        </w:rPr>
        <w:t>this instrument</w:t>
      </w:r>
      <w:r w:rsidRPr="008052B8">
        <w:rPr>
          <w:snapToGrid w:val="0"/>
          <w:lang w:eastAsia="en-US"/>
        </w:rPr>
        <w:t>.</w:t>
      </w:r>
    </w:p>
    <w:p w14:paraId="6FCC5FDD" w14:textId="77777777" w:rsidR="00807626" w:rsidRPr="008052B8" w:rsidRDefault="00AE3652" w:rsidP="00AE3652">
      <w:pPr>
        <w:pStyle w:val="subsection"/>
      </w:pPr>
      <w:r w:rsidRPr="008052B8">
        <w:tab/>
        <w:t>(2)</w:t>
      </w:r>
      <w:r w:rsidRPr="008052B8">
        <w:tab/>
        <w:t xml:space="preserve">Any information in column 3 of the table is not part of </w:t>
      </w:r>
      <w:r w:rsidR="00BF79F5" w:rsidRPr="008052B8">
        <w:t>this instrument</w:t>
      </w:r>
      <w:r w:rsidRPr="008052B8">
        <w:t xml:space="preserve">. Information may be inserted in this column, or information in it may be edited, in any published version of </w:t>
      </w:r>
      <w:r w:rsidR="00BF79F5" w:rsidRPr="008052B8">
        <w:t>this instrument</w:t>
      </w:r>
      <w:r w:rsidRPr="008052B8">
        <w:t>.</w:t>
      </w:r>
    </w:p>
    <w:p w14:paraId="0E86A7A3" w14:textId="77777777" w:rsidR="007500C8" w:rsidRPr="008052B8" w:rsidRDefault="003E7245" w:rsidP="007500C8">
      <w:pPr>
        <w:pStyle w:val="ActHead5"/>
      </w:pPr>
      <w:bookmarkStart w:id="7" w:name="_Toc65664242"/>
      <w:r w:rsidRPr="00085A2B">
        <w:rPr>
          <w:rStyle w:val="CharSectno"/>
        </w:rPr>
        <w:t>3</w:t>
      </w:r>
      <w:r w:rsidR="007500C8" w:rsidRPr="008052B8">
        <w:t xml:space="preserve">  Authority</w:t>
      </w:r>
      <w:bookmarkEnd w:id="7"/>
    </w:p>
    <w:p w14:paraId="5ED9BF8D" w14:textId="77777777" w:rsidR="00157B8B" w:rsidRPr="008052B8" w:rsidRDefault="007500C8" w:rsidP="007E667A">
      <w:pPr>
        <w:pStyle w:val="subsection"/>
      </w:pPr>
      <w:r w:rsidRPr="008052B8">
        <w:tab/>
      </w:r>
      <w:r w:rsidRPr="008052B8">
        <w:tab/>
      </w:r>
      <w:r w:rsidR="00BF79F5" w:rsidRPr="008052B8">
        <w:t>This instrument is</w:t>
      </w:r>
      <w:r w:rsidRPr="008052B8">
        <w:t xml:space="preserve"> made under the </w:t>
      </w:r>
      <w:r w:rsidR="000E10F9" w:rsidRPr="008052B8">
        <w:rPr>
          <w:i/>
        </w:rPr>
        <w:t xml:space="preserve">Australian Postal Corporation </w:t>
      </w:r>
      <w:r w:rsidR="002C4A40" w:rsidRPr="008052B8">
        <w:rPr>
          <w:i/>
        </w:rPr>
        <w:t>A</w:t>
      </w:r>
      <w:r w:rsidRPr="008052B8">
        <w:rPr>
          <w:i/>
        </w:rPr>
        <w:t>ct</w:t>
      </w:r>
      <w:r w:rsidR="000E10F9" w:rsidRPr="008052B8">
        <w:rPr>
          <w:i/>
        </w:rPr>
        <w:t xml:space="preserve"> 1989</w:t>
      </w:r>
      <w:r w:rsidR="00F4350D" w:rsidRPr="008052B8">
        <w:t>.</w:t>
      </w:r>
    </w:p>
    <w:p w14:paraId="62966BEC" w14:textId="77777777" w:rsidR="000E10F9" w:rsidRPr="008052B8" w:rsidRDefault="003E7245" w:rsidP="000E10F9">
      <w:pPr>
        <w:pStyle w:val="ActHead5"/>
      </w:pPr>
      <w:bookmarkStart w:id="8" w:name="_Toc65664243"/>
      <w:r w:rsidRPr="00085A2B">
        <w:rPr>
          <w:rStyle w:val="CharSectno"/>
        </w:rPr>
        <w:t>4</w:t>
      </w:r>
      <w:r w:rsidR="000E10F9" w:rsidRPr="008052B8">
        <w:t xml:space="preserve">  Schedules</w:t>
      </w:r>
      <w:bookmarkEnd w:id="8"/>
    </w:p>
    <w:p w14:paraId="3FB7258F" w14:textId="77777777" w:rsidR="000E10F9" w:rsidRPr="008052B8" w:rsidRDefault="000E10F9" w:rsidP="000E10F9">
      <w:pPr>
        <w:pStyle w:val="subsection"/>
      </w:pPr>
      <w:r w:rsidRPr="008052B8">
        <w:tab/>
      </w:r>
      <w:r w:rsidRPr="008052B8">
        <w:tab/>
        <w:t>Each instrument that is specified in a Schedule to this instrument is amended or repealed as set out in the applicable items in the Schedule concerned, and any other item in a Schedule to this instrument has effect according to its terms.</w:t>
      </w:r>
    </w:p>
    <w:p w14:paraId="7028BD35" w14:textId="77777777" w:rsidR="000A76A1" w:rsidRPr="008052B8" w:rsidRDefault="003E7245" w:rsidP="000A76A1">
      <w:pPr>
        <w:pStyle w:val="ActHead5"/>
      </w:pPr>
      <w:bookmarkStart w:id="9" w:name="_Toc65664244"/>
      <w:r w:rsidRPr="00085A2B">
        <w:rPr>
          <w:rStyle w:val="CharSectno"/>
        </w:rPr>
        <w:t>5</w:t>
      </w:r>
      <w:r w:rsidR="000E10F9" w:rsidRPr="008052B8">
        <w:t xml:space="preserve">  </w:t>
      </w:r>
      <w:r w:rsidR="000F14B4" w:rsidRPr="008052B8">
        <w:t>Definitions</w:t>
      </w:r>
      <w:bookmarkEnd w:id="9"/>
    </w:p>
    <w:p w14:paraId="65EF876C" w14:textId="77777777" w:rsidR="00D6740B" w:rsidRPr="008052B8" w:rsidRDefault="00D6740B" w:rsidP="00D6740B">
      <w:pPr>
        <w:pStyle w:val="notetext"/>
      </w:pPr>
      <w:r w:rsidRPr="008052B8">
        <w:t>Note:</w:t>
      </w:r>
      <w:r w:rsidRPr="008052B8">
        <w:tab/>
        <w:t xml:space="preserve">A number of expressions used in this </w:t>
      </w:r>
      <w:bookmarkStart w:id="10" w:name="BK_S3P1L27C44"/>
      <w:bookmarkEnd w:id="10"/>
      <w:r w:rsidRPr="008052B8">
        <w:t>instrument are defined in the Act, including the following:</w:t>
      </w:r>
    </w:p>
    <w:p w14:paraId="312B2D1A" w14:textId="77777777" w:rsidR="00D6740B" w:rsidRPr="008052B8" w:rsidRDefault="00D6740B" w:rsidP="00D6740B">
      <w:pPr>
        <w:pStyle w:val="notepara"/>
      </w:pPr>
      <w:r w:rsidRPr="008052B8">
        <w:t>(a)</w:t>
      </w:r>
      <w:r w:rsidRPr="008052B8">
        <w:tab/>
        <w:t>ACCC;</w:t>
      </w:r>
    </w:p>
    <w:p w14:paraId="606E0361" w14:textId="77777777" w:rsidR="00D6740B" w:rsidRPr="008052B8" w:rsidRDefault="00D6740B" w:rsidP="00D6740B">
      <w:pPr>
        <w:pStyle w:val="notepara"/>
      </w:pPr>
      <w:r w:rsidRPr="008052B8">
        <w:t>(b)</w:t>
      </w:r>
      <w:r w:rsidRPr="008052B8">
        <w:tab/>
        <w:t>article;</w:t>
      </w:r>
    </w:p>
    <w:p w14:paraId="77847E45" w14:textId="77777777" w:rsidR="00D6740B" w:rsidRPr="008052B8" w:rsidRDefault="00D6740B" w:rsidP="00D6740B">
      <w:pPr>
        <w:pStyle w:val="notepara"/>
      </w:pPr>
      <w:r w:rsidRPr="008052B8">
        <w:t>(c)</w:t>
      </w:r>
      <w:r w:rsidRPr="008052B8">
        <w:tab/>
        <w:t>Australia Post;</w:t>
      </w:r>
    </w:p>
    <w:p w14:paraId="30ED1BB2" w14:textId="77777777" w:rsidR="00D6740B" w:rsidRPr="008052B8" w:rsidRDefault="00D6740B" w:rsidP="00D6740B">
      <w:pPr>
        <w:pStyle w:val="notepara"/>
      </w:pPr>
      <w:r w:rsidRPr="008052B8">
        <w:t>(d)</w:t>
      </w:r>
      <w:r w:rsidRPr="008052B8">
        <w:tab/>
        <w:t>Board;</w:t>
      </w:r>
    </w:p>
    <w:p w14:paraId="134C549B" w14:textId="77777777" w:rsidR="00D6740B" w:rsidRPr="008052B8" w:rsidRDefault="00D6740B" w:rsidP="00D6740B">
      <w:pPr>
        <w:pStyle w:val="notepara"/>
      </w:pPr>
      <w:r w:rsidRPr="008052B8">
        <w:t>(e)</w:t>
      </w:r>
      <w:r w:rsidRPr="008052B8">
        <w:tab/>
        <w:t>carry;</w:t>
      </w:r>
    </w:p>
    <w:p w14:paraId="72568916" w14:textId="77777777" w:rsidR="00D6740B" w:rsidRPr="008052B8" w:rsidRDefault="00D6740B" w:rsidP="00D6740B">
      <w:pPr>
        <w:pStyle w:val="notepara"/>
      </w:pPr>
      <w:r w:rsidRPr="008052B8">
        <w:t>(f)</w:t>
      </w:r>
      <w:r w:rsidRPr="008052B8">
        <w:tab/>
        <w:t>carry by post;</w:t>
      </w:r>
    </w:p>
    <w:p w14:paraId="7CD5F578" w14:textId="77777777" w:rsidR="00D6740B" w:rsidRPr="008052B8" w:rsidRDefault="00D6740B" w:rsidP="00D6740B">
      <w:pPr>
        <w:pStyle w:val="notepara"/>
      </w:pPr>
      <w:r w:rsidRPr="008052B8">
        <w:t>(g)</w:t>
      </w:r>
      <w:r w:rsidRPr="008052B8">
        <w:tab/>
        <w:t>letter;</w:t>
      </w:r>
    </w:p>
    <w:p w14:paraId="3736ECC3" w14:textId="77777777" w:rsidR="00D6740B" w:rsidRPr="008052B8" w:rsidRDefault="00D6740B" w:rsidP="00D6740B">
      <w:pPr>
        <w:pStyle w:val="notepara"/>
      </w:pPr>
      <w:r w:rsidRPr="008052B8">
        <w:t>(h)</w:t>
      </w:r>
      <w:r w:rsidRPr="008052B8">
        <w:tab/>
        <w:t>thing.</w:t>
      </w:r>
    </w:p>
    <w:p w14:paraId="5125CB88" w14:textId="77777777" w:rsidR="003B27DD" w:rsidRPr="008052B8" w:rsidRDefault="001C6AA6" w:rsidP="001C6AA6">
      <w:pPr>
        <w:pStyle w:val="subsection"/>
      </w:pPr>
      <w:r w:rsidRPr="008052B8">
        <w:tab/>
      </w:r>
      <w:r w:rsidR="00D6740B" w:rsidRPr="008052B8">
        <w:tab/>
      </w:r>
      <w:r w:rsidR="003B27DD" w:rsidRPr="008052B8">
        <w:t>In th</w:t>
      </w:r>
      <w:r w:rsidR="000F14B4" w:rsidRPr="008052B8">
        <w:t>i</w:t>
      </w:r>
      <w:r w:rsidR="003B27DD" w:rsidRPr="008052B8">
        <w:t xml:space="preserve">s </w:t>
      </w:r>
      <w:r w:rsidR="000F14B4" w:rsidRPr="008052B8">
        <w:t>instrument</w:t>
      </w:r>
      <w:r w:rsidR="003B27DD" w:rsidRPr="008052B8">
        <w:t>:</w:t>
      </w:r>
    </w:p>
    <w:p w14:paraId="31FE0051" w14:textId="77777777" w:rsidR="003B27DD" w:rsidRPr="008052B8" w:rsidRDefault="003B27DD" w:rsidP="003B27DD">
      <w:pPr>
        <w:pStyle w:val="Definition"/>
      </w:pPr>
      <w:r w:rsidRPr="008052B8">
        <w:rPr>
          <w:b/>
          <w:i/>
        </w:rPr>
        <w:t xml:space="preserve">Act </w:t>
      </w:r>
      <w:r w:rsidRPr="008052B8">
        <w:t xml:space="preserve">means the </w:t>
      </w:r>
      <w:r w:rsidRPr="008052B8">
        <w:rPr>
          <w:i/>
        </w:rPr>
        <w:t>Australian Postal Corporation Act 1989</w:t>
      </w:r>
      <w:r w:rsidRPr="008052B8">
        <w:t>.</w:t>
      </w:r>
    </w:p>
    <w:p w14:paraId="785EEA14" w14:textId="77777777" w:rsidR="00CB26A1" w:rsidRPr="008052B8" w:rsidRDefault="00CB26A1" w:rsidP="003B27DD">
      <w:pPr>
        <w:pStyle w:val="Definition"/>
      </w:pPr>
      <w:r w:rsidRPr="008052B8">
        <w:rPr>
          <w:b/>
          <w:i/>
        </w:rPr>
        <w:lastRenderedPageBreak/>
        <w:t>authorised examiner</w:t>
      </w:r>
      <w:r w:rsidRPr="008052B8">
        <w:t xml:space="preserve"> has the meaning given by </w:t>
      </w:r>
      <w:r w:rsidR="001F2646" w:rsidRPr="008052B8">
        <w:t>section 9</w:t>
      </w:r>
      <w:r w:rsidRPr="008052B8">
        <w:t>0E of the Act.</w:t>
      </w:r>
    </w:p>
    <w:p w14:paraId="6C470C7B" w14:textId="77777777" w:rsidR="00D71B5E" w:rsidRPr="008052B8" w:rsidRDefault="00D71B5E" w:rsidP="00D71B5E">
      <w:pPr>
        <w:pStyle w:val="Definition"/>
      </w:pPr>
      <w:r w:rsidRPr="008052B8">
        <w:rPr>
          <w:b/>
          <w:i/>
        </w:rPr>
        <w:t xml:space="preserve">bulk interconnection service </w:t>
      </w:r>
      <w:r w:rsidRPr="008052B8">
        <w:t xml:space="preserve">has the meaning given by </w:t>
      </w:r>
      <w:r w:rsidR="00CB63AD" w:rsidRPr="008052B8">
        <w:t>section 3</w:t>
      </w:r>
      <w:r w:rsidRPr="008052B8">
        <w:t>2A of the Act.</w:t>
      </w:r>
    </w:p>
    <w:p w14:paraId="7CB6B767" w14:textId="77777777" w:rsidR="00D71B5E" w:rsidRPr="008052B8" w:rsidRDefault="00D71B5E" w:rsidP="00D71B5E">
      <w:pPr>
        <w:pStyle w:val="Definition"/>
      </w:pPr>
      <w:r w:rsidRPr="008052B8">
        <w:rPr>
          <w:b/>
          <w:i/>
        </w:rPr>
        <w:t xml:space="preserve">complainant </w:t>
      </w:r>
      <w:r w:rsidRPr="008052B8">
        <w:t xml:space="preserve">means a person who notifies the ACCC of a dispute under </w:t>
      </w:r>
      <w:r w:rsidR="00CB63AD" w:rsidRPr="008052B8">
        <w:t>section 2</w:t>
      </w:r>
      <w:r w:rsidR="003E7245" w:rsidRPr="008052B8">
        <w:t>2</w:t>
      </w:r>
      <w:r w:rsidRPr="008052B8">
        <w:t>.</w:t>
      </w:r>
    </w:p>
    <w:p w14:paraId="08A6D9D7" w14:textId="77777777" w:rsidR="00BC79DF" w:rsidRPr="008052B8" w:rsidRDefault="00BC79DF" w:rsidP="00BC79DF">
      <w:pPr>
        <w:pStyle w:val="Definition"/>
      </w:pPr>
      <w:r w:rsidRPr="008052B8">
        <w:rPr>
          <w:b/>
          <w:i/>
        </w:rPr>
        <w:t xml:space="preserve">compliance agency </w:t>
      </w:r>
      <w:r w:rsidRPr="008052B8">
        <w:t xml:space="preserve">has the meaning given by </w:t>
      </w:r>
      <w:r w:rsidR="001F2646" w:rsidRPr="008052B8">
        <w:t>section 9</w:t>
      </w:r>
      <w:r w:rsidRPr="008052B8">
        <w:t>0E of the Act.</w:t>
      </w:r>
    </w:p>
    <w:p w14:paraId="03FFC47B" w14:textId="77777777" w:rsidR="00EB4DD6" w:rsidRPr="008052B8" w:rsidRDefault="00EB4DD6" w:rsidP="00EB4DD6">
      <w:pPr>
        <w:pStyle w:val="Definition"/>
      </w:pPr>
      <w:r w:rsidRPr="008052B8">
        <w:rPr>
          <w:b/>
          <w:i/>
        </w:rPr>
        <w:t>Comptroller</w:t>
      </w:r>
      <w:r w:rsidR="008052B8">
        <w:rPr>
          <w:b/>
          <w:i/>
        </w:rPr>
        <w:noBreakHyphen/>
      </w:r>
      <w:r w:rsidRPr="008052B8">
        <w:rPr>
          <w:b/>
          <w:i/>
        </w:rPr>
        <w:t>General of Customs</w:t>
      </w:r>
      <w:r w:rsidRPr="008052B8">
        <w:t xml:space="preserve"> has the meaning given by </w:t>
      </w:r>
      <w:r w:rsidR="001F2646" w:rsidRPr="008052B8">
        <w:t>section 9</w:t>
      </w:r>
      <w:r w:rsidRPr="008052B8">
        <w:t>0E of the Act.</w:t>
      </w:r>
    </w:p>
    <w:p w14:paraId="06215F14" w14:textId="77777777" w:rsidR="007C587A" w:rsidRPr="008052B8" w:rsidRDefault="007C587A" w:rsidP="007C587A">
      <w:pPr>
        <w:pStyle w:val="Definition"/>
      </w:pPr>
      <w:r w:rsidRPr="008052B8">
        <w:rPr>
          <w:b/>
          <w:i/>
        </w:rPr>
        <w:t xml:space="preserve">conference </w:t>
      </w:r>
      <w:r w:rsidRPr="008052B8">
        <w:t>means a conference held under Division 4 of Part 3.</w:t>
      </w:r>
    </w:p>
    <w:p w14:paraId="4949452D" w14:textId="77777777" w:rsidR="00EB4DD6" w:rsidRPr="008052B8" w:rsidRDefault="00EB4DD6" w:rsidP="00EB4DD6">
      <w:pPr>
        <w:pStyle w:val="Definition"/>
      </w:pPr>
      <w:r w:rsidRPr="008052B8">
        <w:rPr>
          <w:b/>
          <w:i/>
        </w:rPr>
        <w:t>customs officer</w:t>
      </w:r>
      <w:r w:rsidRPr="008052B8">
        <w:t xml:space="preserve"> has the meaning given by </w:t>
      </w:r>
      <w:r w:rsidR="001F2646" w:rsidRPr="008052B8">
        <w:t>section 9</w:t>
      </w:r>
      <w:r w:rsidRPr="008052B8">
        <w:t>0E of the Act.</w:t>
      </w:r>
    </w:p>
    <w:p w14:paraId="1AEFB10F" w14:textId="77777777" w:rsidR="00D71B5E" w:rsidRPr="008052B8" w:rsidRDefault="00D71B5E" w:rsidP="00D71B5E">
      <w:pPr>
        <w:pStyle w:val="Definition"/>
      </w:pPr>
      <w:r w:rsidRPr="008052B8">
        <w:rPr>
          <w:b/>
          <w:i/>
        </w:rPr>
        <w:t xml:space="preserve">inquiry </w:t>
      </w:r>
      <w:r w:rsidRPr="008052B8">
        <w:t>means an inquiry by the ACCC into a relevant dispute.</w:t>
      </w:r>
    </w:p>
    <w:p w14:paraId="78683A87" w14:textId="77777777" w:rsidR="00CB26A1" w:rsidRPr="008052B8" w:rsidRDefault="00CB26A1" w:rsidP="00CB26A1">
      <w:pPr>
        <w:pStyle w:val="Definition"/>
      </w:pPr>
      <w:r w:rsidRPr="008052B8">
        <w:rPr>
          <w:b/>
          <w:i/>
        </w:rPr>
        <w:t>in the course of post</w:t>
      </w:r>
      <w:r w:rsidRPr="008052B8">
        <w:t xml:space="preserve"> has the meaning given by </w:t>
      </w:r>
      <w:r w:rsidR="001F2646" w:rsidRPr="008052B8">
        <w:t>section 9</w:t>
      </w:r>
      <w:r w:rsidRPr="008052B8">
        <w:t>0E of the Act.</w:t>
      </w:r>
    </w:p>
    <w:p w14:paraId="519A4215" w14:textId="77777777" w:rsidR="00714199" w:rsidRPr="008052B8" w:rsidRDefault="00714199" w:rsidP="00714199">
      <w:pPr>
        <w:pStyle w:val="Definition"/>
      </w:pPr>
      <w:r w:rsidRPr="008052B8">
        <w:rPr>
          <w:b/>
          <w:i/>
        </w:rPr>
        <w:t xml:space="preserve">Northern Territory Department </w:t>
      </w:r>
      <w:r w:rsidRPr="008052B8">
        <w:t xml:space="preserve">means the Department administered by the Minister of the Northern Territory who administers the </w:t>
      </w:r>
      <w:r w:rsidR="008E5540" w:rsidRPr="008052B8">
        <w:rPr>
          <w:i/>
        </w:rPr>
        <w:t>Biological Control Act 1986</w:t>
      </w:r>
      <w:bookmarkStart w:id="11" w:name="BK_S3P2L15C9"/>
      <w:bookmarkEnd w:id="11"/>
      <w:r w:rsidR="008E5540" w:rsidRPr="008052B8">
        <w:rPr>
          <w:i/>
        </w:rPr>
        <w:t xml:space="preserve"> </w:t>
      </w:r>
      <w:r w:rsidR="00D0044F" w:rsidRPr="008052B8">
        <w:t>(NT)</w:t>
      </w:r>
      <w:r w:rsidR="00B85A74" w:rsidRPr="008052B8">
        <w:t>,</w:t>
      </w:r>
      <w:r w:rsidR="00EB4DD6" w:rsidRPr="008052B8">
        <w:t xml:space="preserve"> as in force from time to time</w:t>
      </w:r>
      <w:r w:rsidRPr="008052B8">
        <w:t>.</w:t>
      </w:r>
    </w:p>
    <w:p w14:paraId="25E5EEFB" w14:textId="77777777" w:rsidR="00D71B5E" w:rsidRPr="008052B8" w:rsidRDefault="00D71B5E" w:rsidP="00D71B5E">
      <w:pPr>
        <w:pStyle w:val="Definition"/>
      </w:pPr>
      <w:r w:rsidRPr="008052B8">
        <w:rPr>
          <w:b/>
          <w:i/>
        </w:rPr>
        <w:t xml:space="preserve">party </w:t>
      </w:r>
      <w:r w:rsidRPr="008052B8">
        <w:t xml:space="preserve">means a person or body that, under </w:t>
      </w:r>
      <w:r w:rsidR="00CB63AD" w:rsidRPr="008052B8">
        <w:t>section 2</w:t>
      </w:r>
      <w:r w:rsidR="003E7245" w:rsidRPr="008052B8">
        <w:t>1</w:t>
      </w:r>
      <w:r w:rsidRPr="008052B8">
        <w:t>, is a party to an inquiry.</w:t>
      </w:r>
    </w:p>
    <w:p w14:paraId="010DD460" w14:textId="77777777" w:rsidR="00EB4DD6" w:rsidRPr="008052B8" w:rsidRDefault="00EB4DD6" w:rsidP="00EB4DD6">
      <w:pPr>
        <w:pStyle w:val="Definition"/>
      </w:pPr>
      <w:r w:rsidRPr="008052B8">
        <w:rPr>
          <w:b/>
          <w:i/>
        </w:rPr>
        <w:t xml:space="preserve">quarantine inspection officer </w:t>
      </w:r>
      <w:r w:rsidRPr="008052B8">
        <w:t xml:space="preserve">has the meaning given by </w:t>
      </w:r>
      <w:r w:rsidR="001F2646" w:rsidRPr="008052B8">
        <w:t>section 9</w:t>
      </w:r>
      <w:r w:rsidRPr="008052B8">
        <w:t>0E of the Act.</w:t>
      </w:r>
    </w:p>
    <w:p w14:paraId="0A991B67" w14:textId="77777777" w:rsidR="00EB4DD6" w:rsidRPr="008052B8" w:rsidRDefault="00EB4DD6" w:rsidP="00EB4DD6">
      <w:pPr>
        <w:pStyle w:val="Definition"/>
      </w:pPr>
      <w:r w:rsidRPr="008052B8">
        <w:rPr>
          <w:b/>
          <w:i/>
        </w:rPr>
        <w:t xml:space="preserve">quarantine material </w:t>
      </w:r>
      <w:r w:rsidRPr="008052B8">
        <w:t xml:space="preserve">has the meaning given by </w:t>
      </w:r>
      <w:r w:rsidR="001F2646" w:rsidRPr="008052B8">
        <w:t>section 9</w:t>
      </w:r>
      <w:r w:rsidRPr="008052B8">
        <w:t>0E of the Act.</w:t>
      </w:r>
    </w:p>
    <w:p w14:paraId="2EBCFE8F" w14:textId="77777777" w:rsidR="00D71B5E" w:rsidRPr="008052B8" w:rsidRDefault="00D71B5E" w:rsidP="00D71B5E">
      <w:pPr>
        <w:pStyle w:val="Definition"/>
      </w:pPr>
      <w:r w:rsidRPr="008052B8">
        <w:rPr>
          <w:b/>
          <w:i/>
        </w:rPr>
        <w:t xml:space="preserve">recommendation </w:t>
      </w:r>
      <w:r w:rsidRPr="008052B8">
        <w:t>means a recommendation made in a report.</w:t>
      </w:r>
    </w:p>
    <w:p w14:paraId="237E8583" w14:textId="77777777" w:rsidR="00D71B5E" w:rsidRPr="008052B8" w:rsidRDefault="00D71B5E" w:rsidP="00D71B5E">
      <w:pPr>
        <w:pStyle w:val="Definition"/>
      </w:pPr>
      <w:r w:rsidRPr="008052B8">
        <w:rPr>
          <w:b/>
          <w:i/>
        </w:rPr>
        <w:t xml:space="preserve">relevant dispute </w:t>
      </w:r>
      <w:r w:rsidRPr="008052B8">
        <w:t xml:space="preserve">means a dispute notified under </w:t>
      </w:r>
      <w:r w:rsidR="00CB63AD" w:rsidRPr="008052B8">
        <w:t>section 2</w:t>
      </w:r>
      <w:r w:rsidR="003E7245" w:rsidRPr="008052B8">
        <w:t>2</w:t>
      </w:r>
      <w:r w:rsidRPr="008052B8">
        <w:t>.</w:t>
      </w:r>
    </w:p>
    <w:p w14:paraId="47D4AE58" w14:textId="77777777" w:rsidR="00D71B5E" w:rsidRPr="008052B8" w:rsidRDefault="00D71B5E" w:rsidP="00D71B5E">
      <w:pPr>
        <w:pStyle w:val="Definition"/>
      </w:pPr>
      <w:r w:rsidRPr="008052B8">
        <w:rPr>
          <w:b/>
          <w:i/>
        </w:rPr>
        <w:t xml:space="preserve">report </w:t>
      </w:r>
      <w:r w:rsidRPr="008052B8">
        <w:t xml:space="preserve">means a report in relation to an inquiry made under </w:t>
      </w:r>
      <w:r w:rsidR="00CB63AD" w:rsidRPr="008052B8">
        <w:t>section 3</w:t>
      </w:r>
      <w:r w:rsidR="003E7245" w:rsidRPr="008052B8">
        <w:t>9</w:t>
      </w:r>
      <w:r w:rsidRPr="008052B8">
        <w:t>.</w:t>
      </w:r>
    </w:p>
    <w:p w14:paraId="45314D8F" w14:textId="77777777" w:rsidR="00D71B5E" w:rsidRPr="008052B8" w:rsidRDefault="00D71B5E" w:rsidP="00D71B5E">
      <w:pPr>
        <w:pStyle w:val="Definition"/>
      </w:pPr>
      <w:r w:rsidRPr="008052B8">
        <w:rPr>
          <w:b/>
          <w:i/>
        </w:rPr>
        <w:t>standard terms and conditions</w:t>
      </w:r>
      <w:r w:rsidRPr="008052B8">
        <w:t>, of a bulk interconnection service, means the terms and conditions determined by the Board under paragraph 32(1)(b) of the Act that are applicable to supply of the service.</w:t>
      </w:r>
    </w:p>
    <w:p w14:paraId="0F79322E" w14:textId="77777777" w:rsidR="00BE2C9A" w:rsidRPr="008052B8" w:rsidRDefault="00BE2C9A" w:rsidP="00BE2C9A">
      <w:pPr>
        <w:pStyle w:val="Definition"/>
      </w:pPr>
      <w:r w:rsidRPr="008052B8">
        <w:rPr>
          <w:b/>
          <w:i/>
        </w:rPr>
        <w:t xml:space="preserve">Tasmanian Department </w:t>
      </w:r>
      <w:r w:rsidRPr="008052B8">
        <w:t xml:space="preserve">means the Department administered by the Minister of Tasmania who administers the </w:t>
      </w:r>
      <w:r w:rsidR="00D0044F" w:rsidRPr="008052B8">
        <w:rPr>
          <w:i/>
        </w:rPr>
        <w:t xml:space="preserve">Biosecurity </w:t>
      </w:r>
      <w:r w:rsidRPr="008052B8">
        <w:rPr>
          <w:i/>
        </w:rPr>
        <w:t>Act</w:t>
      </w:r>
      <w:r w:rsidR="00D0044F" w:rsidRPr="008052B8">
        <w:rPr>
          <w:i/>
        </w:rPr>
        <w:t xml:space="preserve"> 2019</w:t>
      </w:r>
      <w:bookmarkStart w:id="12" w:name="BK_S3P2L26C62"/>
      <w:bookmarkEnd w:id="12"/>
      <w:r w:rsidR="00D0044F" w:rsidRPr="008052B8">
        <w:rPr>
          <w:i/>
        </w:rPr>
        <w:t xml:space="preserve"> </w:t>
      </w:r>
      <w:r w:rsidR="00D0044F" w:rsidRPr="008052B8">
        <w:t>(Tas.)</w:t>
      </w:r>
      <w:r w:rsidR="00B85A74" w:rsidRPr="008052B8">
        <w:t>,</w:t>
      </w:r>
      <w:r w:rsidR="00EB4DD6" w:rsidRPr="008052B8">
        <w:t xml:space="preserve"> as in force from time to time</w:t>
      </w:r>
      <w:r w:rsidRPr="008052B8">
        <w:t>.</w:t>
      </w:r>
    </w:p>
    <w:p w14:paraId="3786D046" w14:textId="77777777" w:rsidR="00BE2C9A" w:rsidRPr="008052B8" w:rsidRDefault="00BE2C9A" w:rsidP="00BE2C9A">
      <w:pPr>
        <w:pStyle w:val="Definition"/>
      </w:pPr>
      <w:r w:rsidRPr="008052B8">
        <w:rPr>
          <w:b/>
          <w:i/>
        </w:rPr>
        <w:t xml:space="preserve">Western Australian Department </w:t>
      </w:r>
      <w:r w:rsidRPr="008052B8">
        <w:t>means the Department</w:t>
      </w:r>
      <w:r w:rsidR="00F81AF8" w:rsidRPr="008052B8">
        <w:t xml:space="preserve"> </w:t>
      </w:r>
      <w:r w:rsidRPr="008052B8">
        <w:t xml:space="preserve">administered by the Minister of Western Australia who administers the </w:t>
      </w:r>
      <w:r w:rsidR="00BA38B9" w:rsidRPr="008052B8">
        <w:rPr>
          <w:i/>
        </w:rPr>
        <w:t>Biosecurity and Agriculture Management Act 2007</w:t>
      </w:r>
      <w:bookmarkStart w:id="13" w:name="BK_S3P2L30C32"/>
      <w:bookmarkEnd w:id="13"/>
      <w:r w:rsidR="0082737A" w:rsidRPr="008052B8">
        <w:t xml:space="preserve"> (WA)</w:t>
      </w:r>
      <w:r w:rsidR="00B85A74" w:rsidRPr="008052B8">
        <w:t>,</w:t>
      </w:r>
      <w:r w:rsidR="00EB4DD6" w:rsidRPr="008052B8">
        <w:t xml:space="preserve"> </w:t>
      </w:r>
      <w:r w:rsidR="00E570C9" w:rsidRPr="008052B8">
        <w:t>as in force from time to time</w:t>
      </w:r>
      <w:r w:rsidRPr="008052B8">
        <w:t>.</w:t>
      </w:r>
    </w:p>
    <w:p w14:paraId="49F0E4CC" w14:textId="77777777" w:rsidR="003B27DD" w:rsidRPr="008052B8" w:rsidRDefault="00D6740B" w:rsidP="00880135">
      <w:pPr>
        <w:pStyle w:val="ActHead2"/>
        <w:pageBreakBefore/>
      </w:pPr>
      <w:bookmarkStart w:id="14" w:name="_Toc65664245"/>
      <w:r w:rsidRPr="00085A2B">
        <w:rPr>
          <w:rStyle w:val="CharPartNo"/>
        </w:rPr>
        <w:lastRenderedPageBreak/>
        <w:t>P</w:t>
      </w:r>
      <w:r w:rsidR="003D08C8" w:rsidRPr="00085A2B">
        <w:rPr>
          <w:rStyle w:val="CharPartNo"/>
        </w:rPr>
        <w:t>art 2</w:t>
      </w:r>
      <w:r w:rsidR="00CB13DB" w:rsidRPr="008052B8">
        <w:t>—</w:t>
      </w:r>
      <w:r w:rsidR="00CB13DB" w:rsidRPr="00085A2B">
        <w:rPr>
          <w:rStyle w:val="CharPartText"/>
        </w:rPr>
        <w:t>D</w:t>
      </w:r>
      <w:r w:rsidR="003B27DD" w:rsidRPr="00085A2B">
        <w:rPr>
          <w:rStyle w:val="CharPartText"/>
        </w:rPr>
        <w:t>ealing with articles and their contents</w:t>
      </w:r>
      <w:bookmarkEnd w:id="14"/>
    </w:p>
    <w:p w14:paraId="39863802" w14:textId="77777777" w:rsidR="003B27DD" w:rsidRPr="008052B8" w:rsidRDefault="003D08C8" w:rsidP="003B27DD">
      <w:pPr>
        <w:pStyle w:val="ActHead3"/>
      </w:pPr>
      <w:bookmarkStart w:id="15" w:name="_Toc65664246"/>
      <w:r w:rsidRPr="00085A2B">
        <w:rPr>
          <w:rStyle w:val="CharDivNo"/>
        </w:rPr>
        <w:t>Division 1</w:t>
      </w:r>
      <w:r w:rsidR="00673C10" w:rsidRPr="008052B8">
        <w:t>—</w:t>
      </w:r>
      <w:r w:rsidR="00673C10" w:rsidRPr="00085A2B">
        <w:rPr>
          <w:rStyle w:val="CharDivText"/>
        </w:rPr>
        <w:t>A</w:t>
      </w:r>
      <w:r w:rsidR="003B27DD" w:rsidRPr="00085A2B">
        <w:rPr>
          <w:rStyle w:val="CharDivText"/>
        </w:rPr>
        <w:t>rticles that may contain drugs etc</w:t>
      </w:r>
      <w:r w:rsidR="00857481" w:rsidRPr="00085A2B">
        <w:rPr>
          <w:rStyle w:val="CharDivText"/>
        </w:rPr>
        <w:t>.</w:t>
      </w:r>
      <w:bookmarkEnd w:id="15"/>
    </w:p>
    <w:p w14:paraId="6D1F6CA8" w14:textId="77777777" w:rsidR="00902AD6" w:rsidRPr="008052B8" w:rsidRDefault="003E7245" w:rsidP="003B27DD">
      <w:pPr>
        <w:pStyle w:val="ActHead5"/>
      </w:pPr>
      <w:bookmarkStart w:id="16" w:name="_Toc65664247"/>
      <w:r w:rsidRPr="00085A2B">
        <w:rPr>
          <w:rStyle w:val="CharSectno"/>
        </w:rPr>
        <w:t>6</w:t>
      </w:r>
      <w:r w:rsidR="00902AD6" w:rsidRPr="008052B8">
        <w:t xml:space="preserve">  Purpose of </w:t>
      </w:r>
      <w:r w:rsidR="00E67355" w:rsidRPr="008052B8">
        <w:t xml:space="preserve">this </w:t>
      </w:r>
      <w:r w:rsidR="00902AD6" w:rsidRPr="008052B8">
        <w:t>Division</w:t>
      </w:r>
      <w:bookmarkEnd w:id="16"/>
    </w:p>
    <w:p w14:paraId="69985141" w14:textId="77777777" w:rsidR="00902AD6" w:rsidRPr="008052B8" w:rsidRDefault="00902AD6" w:rsidP="00902AD6">
      <w:pPr>
        <w:pStyle w:val="subsection"/>
      </w:pPr>
      <w:r w:rsidRPr="008052B8">
        <w:tab/>
      </w:r>
      <w:r w:rsidRPr="008052B8">
        <w:tab/>
        <w:t xml:space="preserve">This Division is made for the purposes of </w:t>
      </w:r>
      <w:r w:rsidR="003D08C8" w:rsidRPr="008052B8">
        <w:t>sub</w:t>
      </w:r>
      <w:r w:rsidR="001F2646" w:rsidRPr="008052B8">
        <w:t>section 9</w:t>
      </w:r>
      <w:r w:rsidRPr="008052B8">
        <w:t>0T(8) of the Act.</w:t>
      </w:r>
    </w:p>
    <w:p w14:paraId="13721DEE" w14:textId="77777777" w:rsidR="003B27DD" w:rsidRPr="008052B8" w:rsidRDefault="003E7245" w:rsidP="003B27DD">
      <w:pPr>
        <w:pStyle w:val="ActHead5"/>
      </w:pPr>
      <w:bookmarkStart w:id="17" w:name="_Toc65664248"/>
      <w:r w:rsidRPr="00085A2B">
        <w:rPr>
          <w:rStyle w:val="CharSectno"/>
        </w:rPr>
        <w:t>7</w:t>
      </w:r>
      <w:r w:rsidR="003B27DD" w:rsidRPr="008052B8">
        <w:t xml:space="preserve">  Record of articles—particulars of article</w:t>
      </w:r>
      <w:r w:rsidR="00836D04" w:rsidRPr="008052B8">
        <w:t>s</w:t>
      </w:r>
      <w:r w:rsidR="005D6E7E" w:rsidRPr="008052B8">
        <w:t xml:space="preserve"> and </w:t>
      </w:r>
      <w:r w:rsidR="00836D04" w:rsidRPr="008052B8">
        <w:t>their</w:t>
      </w:r>
      <w:r w:rsidR="005D6E7E" w:rsidRPr="008052B8">
        <w:t xml:space="preserve"> examination</w:t>
      </w:r>
      <w:bookmarkEnd w:id="17"/>
    </w:p>
    <w:p w14:paraId="1BF2FBD8" w14:textId="77777777" w:rsidR="003B27DD" w:rsidRPr="008052B8" w:rsidRDefault="003B27DD" w:rsidP="003B27DD">
      <w:pPr>
        <w:pStyle w:val="subsection"/>
      </w:pPr>
      <w:r w:rsidRPr="008052B8">
        <w:tab/>
      </w:r>
      <w:r w:rsidRPr="008052B8">
        <w:tab/>
      </w:r>
      <w:r w:rsidR="00291BFE" w:rsidRPr="008052B8">
        <w:t>The Comptroller</w:t>
      </w:r>
      <w:r w:rsidR="008052B8">
        <w:noBreakHyphen/>
      </w:r>
      <w:r w:rsidR="00291BFE" w:rsidRPr="008052B8">
        <w:t xml:space="preserve">General of Customs, in establishing and maintaining a record in respect of </w:t>
      </w:r>
      <w:r w:rsidR="002D3E62" w:rsidRPr="008052B8">
        <w:t>an article</w:t>
      </w:r>
      <w:r w:rsidR="00E50D50" w:rsidRPr="008052B8">
        <w:t xml:space="preserve"> mentioned in </w:t>
      </w:r>
      <w:r w:rsidR="003D08C8" w:rsidRPr="008052B8">
        <w:t>sub</w:t>
      </w:r>
      <w:r w:rsidR="001F2646" w:rsidRPr="008052B8">
        <w:t>section 9</w:t>
      </w:r>
      <w:r w:rsidR="002D3E62" w:rsidRPr="008052B8">
        <w:t>0T</w:t>
      </w:r>
      <w:r w:rsidR="00E50D50" w:rsidRPr="008052B8">
        <w:t>(8)</w:t>
      </w:r>
      <w:r w:rsidR="002D3E62" w:rsidRPr="008052B8">
        <w:t xml:space="preserve"> of the Act</w:t>
      </w:r>
      <w:r w:rsidR="00291BFE" w:rsidRPr="008052B8">
        <w:t>,</w:t>
      </w:r>
      <w:r w:rsidR="002D3E62" w:rsidRPr="008052B8">
        <w:t xml:space="preserve"> </w:t>
      </w:r>
      <w:r w:rsidR="00291BFE" w:rsidRPr="008052B8">
        <w:t xml:space="preserve">must ensure that the particulars </w:t>
      </w:r>
      <w:r w:rsidR="006B6FF3" w:rsidRPr="008052B8">
        <w:t xml:space="preserve">set out in the record </w:t>
      </w:r>
      <w:r w:rsidRPr="008052B8">
        <w:t>include the following:</w:t>
      </w:r>
    </w:p>
    <w:p w14:paraId="53B452C7" w14:textId="77777777" w:rsidR="003B27DD" w:rsidRPr="008052B8" w:rsidRDefault="003B27DD" w:rsidP="003B27DD">
      <w:pPr>
        <w:pStyle w:val="paragraph"/>
      </w:pPr>
      <w:r w:rsidRPr="008052B8">
        <w:tab/>
        <w:t>(a)</w:t>
      </w:r>
      <w:r w:rsidRPr="008052B8">
        <w:tab/>
        <w:t xml:space="preserve">the name of the </w:t>
      </w:r>
      <w:r w:rsidR="00E01605" w:rsidRPr="008052B8">
        <w:t>addressee</w:t>
      </w:r>
      <w:r w:rsidR="005D6E7E" w:rsidRPr="008052B8">
        <w:t xml:space="preserve"> </w:t>
      </w:r>
      <w:r w:rsidRPr="008052B8">
        <w:t>on the article;</w:t>
      </w:r>
    </w:p>
    <w:p w14:paraId="47D876CE" w14:textId="77777777" w:rsidR="003B27DD" w:rsidRPr="008052B8" w:rsidRDefault="003B27DD" w:rsidP="003B27DD">
      <w:pPr>
        <w:pStyle w:val="paragraph"/>
      </w:pPr>
      <w:r w:rsidRPr="008052B8">
        <w:tab/>
        <w:t>(b)</w:t>
      </w:r>
      <w:r w:rsidRPr="008052B8">
        <w:tab/>
        <w:t>if the name of the sender appears on the article—the name of the sender;</w:t>
      </w:r>
    </w:p>
    <w:p w14:paraId="5652A6DC" w14:textId="77777777" w:rsidR="003B27DD" w:rsidRPr="008052B8" w:rsidRDefault="003B27DD" w:rsidP="003B27DD">
      <w:pPr>
        <w:pStyle w:val="paragraph"/>
      </w:pPr>
      <w:r w:rsidRPr="008052B8">
        <w:tab/>
        <w:t>(c)</w:t>
      </w:r>
      <w:r w:rsidRPr="008052B8">
        <w:tab/>
        <w:t>the class of the article;</w:t>
      </w:r>
    </w:p>
    <w:p w14:paraId="3BD82096" w14:textId="77777777" w:rsidR="003B27DD" w:rsidRPr="008052B8" w:rsidRDefault="003B27DD" w:rsidP="003B27DD">
      <w:pPr>
        <w:pStyle w:val="paragraph"/>
      </w:pPr>
      <w:r w:rsidRPr="008052B8">
        <w:tab/>
        <w:t>(d)</w:t>
      </w:r>
      <w:r w:rsidRPr="008052B8">
        <w:tab/>
      </w:r>
      <w:r w:rsidR="006B6FF3" w:rsidRPr="008052B8">
        <w:t xml:space="preserve">the country </w:t>
      </w:r>
      <w:r w:rsidR="00E01605" w:rsidRPr="008052B8">
        <w:t xml:space="preserve">of origin of </w:t>
      </w:r>
      <w:r w:rsidR="006B6FF3" w:rsidRPr="008052B8">
        <w:t>the article</w:t>
      </w:r>
      <w:r w:rsidR="005D6E7E" w:rsidRPr="008052B8">
        <w:t>;</w:t>
      </w:r>
    </w:p>
    <w:p w14:paraId="6D66EC16" w14:textId="77777777" w:rsidR="003B27DD" w:rsidRPr="008052B8" w:rsidRDefault="003B27DD" w:rsidP="003B27DD">
      <w:pPr>
        <w:pStyle w:val="paragraph"/>
      </w:pPr>
      <w:r w:rsidRPr="008052B8">
        <w:tab/>
        <w:t>(</w:t>
      </w:r>
      <w:r w:rsidR="00B10027" w:rsidRPr="008052B8">
        <w:t>e</w:t>
      </w:r>
      <w:r w:rsidRPr="008052B8">
        <w:t>)</w:t>
      </w:r>
      <w:r w:rsidRPr="008052B8">
        <w:tab/>
        <w:t xml:space="preserve">the name and classification of the customs officer who removes the article from the normal course of carriage under </w:t>
      </w:r>
      <w:r w:rsidR="003D08C8" w:rsidRPr="008052B8">
        <w:t>sub</w:t>
      </w:r>
      <w:r w:rsidR="001F2646" w:rsidRPr="008052B8">
        <w:t>section 9</w:t>
      </w:r>
      <w:r w:rsidRPr="008052B8">
        <w:t xml:space="preserve">0T(2) of the Act (the </w:t>
      </w:r>
      <w:r w:rsidRPr="008052B8">
        <w:rPr>
          <w:b/>
          <w:i/>
        </w:rPr>
        <w:t>first customs officer</w:t>
      </w:r>
      <w:r w:rsidRPr="008052B8">
        <w:t>);</w:t>
      </w:r>
    </w:p>
    <w:p w14:paraId="207C00C7" w14:textId="77777777" w:rsidR="003B27DD" w:rsidRPr="008052B8" w:rsidRDefault="003B27DD" w:rsidP="003B27DD">
      <w:pPr>
        <w:pStyle w:val="paragraph"/>
      </w:pPr>
      <w:r w:rsidRPr="008052B8">
        <w:tab/>
        <w:t>(</w:t>
      </w:r>
      <w:r w:rsidR="00B10027" w:rsidRPr="008052B8">
        <w:t>f</w:t>
      </w:r>
      <w:r w:rsidRPr="008052B8">
        <w:t>)</w:t>
      </w:r>
      <w:r w:rsidRPr="008052B8">
        <w:tab/>
        <w:t xml:space="preserve">the name and classification of the customs officer to whom the first customs officer gives the article under </w:t>
      </w:r>
      <w:r w:rsidR="003D08C8" w:rsidRPr="008052B8">
        <w:t>sub</w:t>
      </w:r>
      <w:r w:rsidR="001F2646" w:rsidRPr="008052B8">
        <w:t>section 9</w:t>
      </w:r>
      <w:r w:rsidRPr="008052B8">
        <w:t xml:space="preserve">0T(2) of the Act (the </w:t>
      </w:r>
      <w:r w:rsidRPr="008052B8">
        <w:rPr>
          <w:b/>
          <w:i/>
        </w:rPr>
        <w:t>second customs officer</w:t>
      </w:r>
      <w:r w:rsidRPr="008052B8">
        <w:t>);</w:t>
      </w:r>
    </w:p>
    <w:p w14:paraId="5036A4A3" w14:textId="77777777" w:rsidR="003B27DD" w:rsidRPr="008052B8" w:rsidRDefault="003B27DD" w:rsidP="003B27DD">
      <w:pPr>
        <w:pStyle w:val="paragraph"/>
      </w:pPr>
      <w:r w:rsidRPr="008052B8">
        <w:tab/>
        <w:t>(</w:t>
      </w:r>
      <w:r w:rsidR="00B10027" w:rsidRPr="008052B8">
        <w:t>g</w:t>
      </w:r>
      <w:r w:rsidRPr="008052B8">
        <w:t>)</w:t>
      </w:r>
      <w:r w:rsidRPr="008052B8">
        <w:tab/>
        <w:t xml:space="preserve">if the second customs officer opens the article in the presence of a third customs officer under </w:t>
      </w:r>
      <w:r w:rsidR="003D08C8" w:rsidRPr="008052B8">
        <w:t>paragraph 9</w:t>
      </w:r>
      <w:r w:rsidRPr="008052B8">
        <w:t>0T(3)(c) of the Act—the name and classification of the third customs officer;</w:t>
      </w:r>
    </w:p>
    <w:p w14:paraId="5B56F2F4" w14:textId="77777777" w:rsidR="003B27DD" w:rsidRPr="008052B8" w:rsidRDefault="003B27DD" w:rsidP="003B27DD">
      <w:pPr>
        <w:pStyle w:val="paragraph"/>
      </w:pPr>
      <w:r w:rsidRPr="008052B8">
        <w:tab/>
        <w:t>(</w:t>
      </w:r>
      <w:r w:rsidR="00B10027" w:rsidRPr="008052B8">
        <w:t>h</w:t>
      </w:r>
      <w:r w:rsidRPr="008052B8">
        <w:t>)</w:t>
      </w:r>
      <w:r w:rsidRPr="008052B8">
        <w:tab/>
        <w:t xml:space="preserve">if any technology </w:t>
      </w:r>
      <w:r w:rsidR="006B2220" w:rsidRPr="008052B8">
        <w:t xml:space="preserve">is, </w:t>
      </w:r>
      <w:r w:rsidRPr="008052B8">
        <w:t xml:space="preserve">or </w:t>
      </w:r>
      <w:r w:rsidR="003579D0" w:rsidRPr="008052B8">
        <w:t xml:space="preserve">any </w:t>
      </w:r>
      <w:r w:rsidRPr="008052B8">
        <w:t xml:space="preserve">tools </w:t>
      </w:r>
      <w:r w:rsidR="006B2220" w:rsidRPr="008052B8">
        <w:t xml:space="preserve">are, </w:t>
      </w:r>
      <w:r w:rsidRPr="008052B8">
        <w:t xml:space="preserve">used to examine the article </w:t>
      </w:r>
      <w:r w:rsidR="006B2220" w:rsidRPr="008052B8">
        <w:t xml:space="preserve">or </w:t>
      </w:r>
      <w:r w:rsidRPr="008052B8">
        <w:t>its contents—details of the technology or tools used;</w:t>
      </w:r>
    </w:p>
    <w:p w14:paraId="31B37081" w14:textId="77777777" w:rsidR="003B27DD" w:rsidRPr="008052B8" w:rsidRDefault="003B27DD" w:rsidP="003B27DD">
      <w:pPr>
        <w:pStyle w:val="paragraph"/>
      </w:pPr>
      <w:r w:rsidRPr="008052B8">
        <w:tab/>
        <w:t>(</w:t>
      </w:r>
      <w:r w:rsidR="00B10027" w:rsidRPr="008052B8">
        <w:t>i</w:t>
      </w:r>
      <w:r w:rsidRPr="008052B8">
        <w:t>)</w:t>
      </w:r>
      <w:r w:rsidRPr="008052B8">
        <w:tab/>
        <w:t>if</w:t>
      </w:r>
      <w:r w:rsidR="009D7610" w:rsidRPr="008052B8">
        <w:t xml:space="preserve"> </w:t>
      </w:r>
      <w:r w:rsidRPr="008052B8">
        <w:t xml:space="preserve">the article </w:t>
      </w:r>
      <w:r w:rsidR="009D7610" w:rsidRPr="008052B8">
        <w:t xml:space="preserve">is, </w:t>
      </w:r>
      <w:r w:rsidRPr="008052B8">
        <w:t xml:space="preserve">or </w:t>
      </w:r>
      <w:r w:rsidR="007F2ADB" w:rsidRPr="008052B8">
        <w:t xml:space="preserve">its </w:t>
      </w:r>
      <w:r w:rsidRPr="008052B8">
        <w:t>contents are</w:t>
      </w:r>
      <w:r w:rsidR="009D7610" w:rsidRPr="008052B8">
        <w:t>,</w:t>
      </w:r>
      <w:r w:rsidRPr="008052B8">
        <w:t xml:space="preserve"> referred to an agency</w:t>
      </w:r>
      <w:r w:rsidRPr="008052B8">
        <w:rPr>
          <w:i/>
        </w:rPr>
        <w:t>—</w:t>
      </w:r>
      <w:r w:rsidRPr="008052B8">
        <w:t>details of the referral, including:</w:t>
      </w:r>
    </w:p>
    <w:p w14:paraId="4BEFD3FD" w14:textId="77777777" w:rsidR="003B27DD" w:rsidRPr="008052B8" w:rsidRDefault="003B27DD" w:rsidP="003B27DD">
      <w:pPr>
        <w:pStyle w:val="paragraphsub"/>
      </w:pPr>
      <w:r w:rsidRPr="008052B8">
        <w:tab/>
        <w:t>(i)</w:t>
      </w:r>
      <w:r w:rsidRPr="008052B8">
        <w:tab/>
        <w:t>the name and classification of the customs officer who refers the article; and</w:t>
      </w:r>
    </w:p>
    <w:p w14:paraId="4AA4638E" w14:textId="77777777" w:rsidR="003B27DD" w:rsidRPr="008052B8" w:rsidRDefault="003B27DD" w:rsidP="003B27DD">
      <w:pPr>
        <w:pStyle w:val="paragraphsub"/>
      </w:pPr>
      <w:r w:rsidRPr="008052B8">
        <w:tab/>
        <w:t>(ii)</w:t>
      </w:r>
      <w:r w:rsidRPr="008052B8">
        <w:tab/>
        <w:t>the name of the agency to which the article is referred; and</w:t>
      </w:r>
    </w:p>
    <w:p w14:paraId="1F8C25D7" w14:textId="77777777" w:rsidR="003B27DD" w:rsidRPr="008052B8" w:rsidRDefault="003B27DD" w:rsidP="003B27DD">
      <w:pPr>
        <w:pStyle w:val="paragraphsub"/>
      </w:pPr>
      <w:r w:rsidRPr="008052B8">
        <w:tab/>
        <w:t>(iii)</w:t>
      </w:r>
      <w:r w:rsidRPr="008052B8">
        <w:tab/>
        <w:t>the name and classification of the officer in that agency to whom the article is referred;</w:t>
      </w:r>
    </w:p>
    <w:p w14:paraId="5E94681E" w14:textId="77777777" w:rsidR="003B27DD" w:rsidRPr="008052B8" w:rsidRDefault="003B27DD" w:rsidP="003B27DD">
      <w:pPr>
        <w:pStyle w:val="paragraph"/>
      </w:pPr>
      <w:r w:rsidRPr="008052B8">
        <w:tab/>
        <w:t>(</w:t>
      </w:r>
      <w:r w:rsidR="00B10027" w:rsidRPr="008052B8">
        <w:t>j</w:t>
      </w:r>
      <w:r w:rsidRPr="008052B8">
        <w:t>)</w:t>
      </w:r>
      <w:r w:rsidRPr="008052B8">
        <w:tab/>
        <w:t>if pilferage of, or damage to, the article or its contents is discovered on examination—details of the pilferage or damage.</w:t>
      </w:r>
    </w:p>
    <w:p w14:paraId="7E6B3DE2" w14:textId="77777777" w:rsidR="00E62C9F" w:rsidRPr="008052B8" w:rsidRDefault="00E62C9F" w:rsidP="00E62C9F">
      <w:pPr>
        <w:pStyle w:val="notetext"/>
      </w:pPr>
      <w:r w:rsidRPr="008052B8">
        <w:t>Note:</w:t>
      </w:r>
      <w:r w:rsidRPr="008052B8">
        <w:tab/>
      </w:r>
      <w:r w:rsidR="00975B7F" w:rsidRPr="008052B8">
        <w:t xml:space="preserve">The record must also set out whether the article and its contents were, following the examination, dealt with according to law or returned to the normal course of carriage: </w:t>
      </w:r>
      <w:r w:rsidRPr="008052B8">
        <w:t xml:space="preserve">see </w:t>
      </w:r>
      <w:r w:rsidR="003D08C8" w:rsidRPr="008052B8">
        <w:t>paragraph 9</w:t>
      </w:r>
      <w:r w:rsidRPr="008052B8">
        <w:t>0T(8)(c) of the Act.</w:t>
      </w:r>
    </w:p>
    <w:p w14:paraId="7331F205" w14:textId="77777777" w:rsidR="003B27DD" w:rsidRPr="008052B8" w:rsidRDefault="003E7245" w:rsidP="003B27DD">
      <w:pPr>
        <w:pStyle w:val="ActHead5"/>
      </w:pPr>
      <w:bookmarkStart w:id="18" w:name="_Toc65664249"/>
      <w:r w:rsidRPr="00085A2B">
        <w:rPr>
          <w:rStyle w:val="CharSectno"/>
        </w:rPr>
        <w:t>8</w:t>
      </w:r>
      <w:r w:rsidR="003B27DD" w:rsidRPr="008052B8">
        <w:t xml:space="preserve">  Record of articles—places where kept</w:t>
      </w:r>
      <w:bookmarkEnd w:id="18"/>
    </w:p>
    <w:p w14:paraId="5E1EB1CF" w14:textId="77777777" w:rsidR="003B27DD" w:rsidRPr="008052B8" w:rsidRDefault="003B27DD" w:rsidP="003B27DD">
      <w:pPr>
        <w:pStyle w:val="subsection"/>
      </w:pPr>
      <w:r w:rsidRPr="008052B8">
        <w:tab/>
      </w:r>
      <w:r w:rsidRPr="008052B8">
        <w:tab/>
      </w:r>
      <w:r w:rsidR="00902AD6" w:rsidRPr="008052B8">
        <w:t>T</w:t>
      </w:r>
      <w:r w:rsidRPr="008052B8">
        <w:t xml:space="preserve">he places at which the record </w:t>
      </w:r>
      <w:r w:rsidR="00877441" w:rsidRPr="008052B8">
        <w:t xml:space="preserve">is </w:t>
      </w:r>
      <w:r w:rsidR="00BC6D56" w:rsidRPr="008052B8">
        <w:t xml:space="preserve">required </w:t>
      </w:r>
      <w:r w:rsidRPr="008052B8">
        <w:t xml:space="preserve">to be established and maintained are </w:t>
      </w:r>
      <w:r w:rsidR="00877441" w:rsidRPr="008052B8">
        <w:t xml:space="preserve">the places approved as places for the examination of international mail for the purposes of </w:t>
      </w:r>
      <w:r w:rsidR="007C587A" w:rsidRPr="008052B8">
        <w:t>paragraph (</w:t>
      </w:r>
      <w:r w:rsidR="00877441" w:rsidRPr="008052B8">
        <w:t xml:space="preserve">f) of the definition of </w:t>
      </w:r>
      <w:r w:rsidR="00877441" w:rsidRPr="008052B8">
        <w:rPr>
          <w:b/>
          <w:i/>
        </w:rPr>
        <w:t>Customs place</w:t>
      </w:r>
      <w:r w:rsidR="00877441" w:rsidRPr="008052B8">
        <w:t xml:space="preserve"> in </w:t>
      </w:r>
      <w:r w:rsidR="003D08C8" w:rsidRPr="008052B8">
        <w:t>sub</w:t>
      </w:r>
      <w:r w:rsidR="00CB63AD" w:rsidRPr="008052B8">
        <w:t>section 1</w:t>
      </w:r>
      <w:r w:rsidR="00877441" w:rsidRPr="008052B8">
        <w:t>83UA</w:t>
      </w:r>
      <w:r w:rsidR="00685D01" w:rsidRPr="008052B8">
        <w:t>(1)</w:t>
      </w:r>
      <w:r w:rsidR="00877441" w:rsidRPr="008052B8">
        <w:t xml:space="preserve"> of the </w:t>
      </w:r>
      <w:r w:rsidRPr="008052B8">
        <w:rPr>
          <w:i/>
        </w:rPr>
        <w:t>Customs Act 1901</w:t>
      </w:r>
      <w:r w:rsidRPr="008052B8">
        <w:t>.</w:t>
      </w:r>
    </w:p>
    <w:p w14:paraId="5A98461D" w14:textId="77777777" w:rsidR="003B27DD" w:rsidRPr="008052B8" w:rsidRDefault="003E7245" w:rsidP="003B27DD">
      <w:pPr>
        <w:pStyle w:val="ActHead5"/>
      </w:pPr>
      <w:bookmarkStart w:id="19" w:name="_Toc65664250"/>
      <w:r w:rsidRPr="00085A2B">
        <w:rPr>
          <w:rStyle w:val="CharSectno"/>
        </w:rPr>
        <w:lastRenderedPageBreak/>
        <w:t>9</w:t>
      </w:r>
      <w:r w:rsidR="003B27DD" w:rsidRPr="008052B8">
        <w:t xml:space="preserve">  Record of articles—how kept</w:t>
      </w:r>
      <w:bookmarkEnd w:id="19"/>
    </w:p>
    <w:p w14:paraId="1EC6A04D" w14:textId="77777777" w:rsidR="007866B3" w:rsidRPr="008052B8" w:rsidRDefault="003B27DD" w:rsidP="007866B3">
      <w:pPr>
        <w:pStyle w:val="subsection"/>
      </w:pPr>
      <w:r w:rsidRPr="008052B8">
        <w:tab/>
      </w:r>
      <w:r w:rsidRPr="008052B8">
        <w:tab/>
      </w:r>
      <w:r w:rsidR="00902AD6" w:rsidRPr="008052B8">
        <w:t>T</w:t>
      </w:r>
      <w:r w:rsidRPr="008052B8">
        <w:t xml:space="preserve">he record is to </w:t>
      </w:r>
      <w:r w:rsidR="00902AD6" w:rsidRPr="008052B8">
        <w:t>b</w:t>
      </w:r>
      <w:r w:rsidRPr="008052B8">
        <w:t>e kept</w:t>
      </w:r>
      <w:r w:rsidR="007866B3" w:rsidRPr="008052B8">
        <w:t>:</w:t>
      </w:r>
    </w:p>
    <w:p w14:paraId="450074AD" w14:textId="77777777" w:rsidR="007866B3" w:rsidRPr="008052B8" w:rsidRDefault="007866B3" w:rsidP="007866B3">
      <w:pPr>
        <w:pStyle w:val="paragraph"/>
      </w:pPr>
      <w:r w:rsidRPr="008052B8">
        <w:tab/>
        <w:t>(a)</w:t>
      </w:r>
      <w:r w:rsidRPr="008052B8">
        <w:tab/>
        <w:t>electronically; or</w:t>
      </w:r>
    </w:p>
    <w:p w14:paraId="3D88EE5C" w14:textId="77777777" w:rsidR="007866B3" w:rsidRPr="008052B8" w:rsidRDefault="007866B3" w:rsidP="007866B3">
      <w:pPr>
        <w:pStyle w:val="paragraph"/>
      </w:pPr>
      <w:r w:rsidRPr="008052B8">
        <w:tab/>
        <w:t>(b)</w:t>
      </w:r>
      <w:r w:rsidRPr="008052B8">
        <w:tab/>
        <w:t>manually.</w:t>
      </w:r>
    </w:p>
    <w:p w14:paraId="492D0D46" w14:textId="77777777" w:rsidR="003B27DD" w:rsidRPr="008052B8" w:rsidRDefault="003E7245" w:rsidP="007866B3">
      <w:pPr>
        <w:pStyle w:val="ActHead5"/>
      </w:pPr>
      <w:bookmarkStart w:id="20" w:name="_Toc65664251"/>
      <w:r w:rsidRPr="00085A2B">
        <w:rPr>
          <w:rStyle w:val="CharSectno"/>
        </w:rPr>
        <w:t>10</w:t>
      </w:r>
      <w:r w:rsidR="003B27DD" w:rsidRPr="008052B8">
        <w:t xml:space="preserve">  Record of articles—use of information</w:t>
      </w:r>
      <w:bookmarkEnd w:id="20"/>
    </w:p>
    <w:p w14:paraId="606305B4" w14:textId="77777777" w:rsidR="003B27DD" w:rsidRPr="008052B8" w:rsidRDefault="003B27DD" w:rsidP="003B27DD">
      <w:pPr>
        <w:pStyle w:val="subsection"/>
      </w:pPr>
      <w:r w:rsidRPr="008052B8">
        <w:tab/>
      </w:r>
      <w:r w:rsidRPr="008052B8">
        <w:tab/>
      </w:r>
      <w:r w:rsidR="00902AD6" w:rsidRPr="008052B8">
        <w:t>I</w:t>
      </w:r>
      <w:r w:rsidRPr="008052B8">
        <w:t>nformation contained in the record can be used for:</w:t>
      </w:r>
    </w:p>
    <w:p w14:paraId="51DEAAF9" w14:textId="77777777" w:rsidR="003B27DD" w:rsidRPr="008052B8" w:rsidRDefault="003B27DD" w:rsidP="003B27DD">
      <w:pPr>
        <w:pStyle w:val="paragraph"/>
      </w:pPr>
      <w:r w:rsidRPr="008052B8">
        <w:tab/>
        <w:t>(a)</w:t>
      </w:r>
      <w:r w:rsidRPr="008052B8">
        <w:tab/>
        <w:t>the administration or enforcement of:</w:t>
      </w:r>
    </w:p>
    <w:p w14:paraId="6651F177" w14:textId="77777777" w:rsidR="003B27DD" w:rsidRPr="008052B8" w:rsidRDefault="003B27DD" w:rsidP="003B27DD">
      <w:pPr>
        <w:pStyle w:val="paragraphsub"/>
      </w:pPr>
      <w:r w:rsidRPr="008052B8">
        <w:tab/>
        <w:t>(i)</w:t>
      </w:r>
      <w:r w:rsidRPr="008052B8">
        <w:tab/>
        <w:t>a law relating to customs; or</w:t>
      </w:r>
    </w:p>
    <w:p w14:paraId="70A9485B" w14:textId="77777777" w:rsidR="003B27DD" w:rsidRPr="008052B8" w:rsidRDefault="003B27DD" w:rsidP="003B27DD">
      <w:pPr>
        <w:pStyle w:val="paragraphsub"/>
      </w:pPr>
      <w:r w:rsidRPr="008052B8">
        <w:tab/>
        <w:t>(ii)</w:t>
      </w:r>
      <w:r w:rsidRPr="008052B8">
        <w:tab/>
        <w:t>a law of the Commonwealth relating to the import</w:t>
      </w:r>
      <w:r w:rsidR="00295394" w:rsidRPr="008052B8">
        <w:t>ation</w:t>
      </w:r>
      <w:r w:rsidRPr="008052B8">
        <w:t xml:space="preserve"> </w:t>
      </w:r>
      <w:r w:rsidR="00295394" w:rsidRPr="008052B8">
        <w:t xml:space="preserve">into, </w:t>
      </w:r>
      <w:r w:rsidRPr="008052B8">
        <w:t>or export</w:t>
      </w:r>
      <w:r w:rsidR="00295394" w:rsidRPr="008052B8">
        <w:t xml:space="preserve">ation from, Australia of </w:t>
      </w:r>
      <w:r w:rsidRPr="008052B8">
        <w:t>goods or anything else; or</w:t>
      </w:r>
    </w:p>
    <w:p w14:paraId="2949BB01" w14:textId="77777777" w:rsidR="003B27DD" w:rsidRPr="008052B8" w:rsidRDefault="003B27DD" w:rsidP="003B27DD">
      <w:pPr>
        <w:pStyle w:val="paragraph"/>
      </w:pPr>
      <w:r w:rsidRPr="008052B8">
        <w:tab/>
        <w:t>(b)</w:t>
      </w:r>
      <w:r w:rsidRPr="008052B8">
        <w:tab/>
        <w:t xml:space="preserve">providing information to Australia Post under </w:t>
      </w:r>
      <w:r w:rsidR="001F2646" w:rsidRPr="008052B8">
        <w:t>section 9</w:t>
      </w:r>
      <w:r w:rsidRPr="008052B8">
        <w:t>1 of the Act; or</w:t>
      </w:r>
    </w:p>
    <w:p w14:paraId="0C97D73B" w14:textId="77777777" w:rsidR="003B27DD" w:rsidRPr="008052B8" w:rsidRDefault="003B27DD" w:rsidP="003B27DD">
      <w:pPr>
        <w:pStyle w:val="paragraph"/>
      </w:pPr>
      <w:r w:rsidRPr="008052B8">
        <w:tab/>
        <w:t>(c)</w:t>
      </w:r>
      <w:r w:rsidRPr="008052B8">
        <w:tab/>
        <w:t>the collection of statistical data.</w:t>
      </w:r>
    </w:p>
    <w:p w14:paraId="382898F3" w14:textId="77777777" w:rsidR="003B27DD" w:rsidRPr="008052B8" w:rsidRDefault="003B27DD" w:rsidP="00A1481D">
      <w:pPr>
        <w:pStyle w:val="ActHead3"/>
        <w:pageBreakBefore/>
      </w:pPr>
      <w:bookmarkStart w:id="21" w:name="_Toc65664252"/>
      <w:r w:rsidRPr="00085A2B">
        <w:rPr>
          <w:rStyle w:val="CharDivNo"/>
        </w:rPr>
        <w:lastRenderedPageBreak/>
        <w:t>Division </w:t>
      </w:r>
      <w:r w:rsidR="00080D50" w:rsidRPr="00085A2B">
        <w:rPr>
          <w:rStyle w:val="CharDivNo"/>
        </w:rPr>
        <w:t>2</w:t>
      </w:r>
      <w:r w:rsidRPr="008052B8">
        <w:t>—</w:t>
      </w:r>
      <w:r w:rsidRPr="00085A2B">
        <w:rPr>
          <w:rStyle w:val="CharDivText"/>
        </w:rPr>
        <w:t>Articles that may consist of</w:t>
      </w:r>
      <w:r w:rsidR="005B05CC" w:rsidRPr="00085A2B">
        <w:rPr>
          <w:rStyle w:val="CharDivText"/>
        </w:rPr>
        <w:t>,</w:t>
      </w:r>
      <w:r w:rsidRPr="00085A2B">
        <w:rPr>
          <w:rStyle w:val="CharDivText"/>
        </w:rPr>
        <w:t xml:space="preserve"> or contain</w:t>
      </w:r>
      <w:r w:rsidR="005B05CC" w:rsidRPr="00085A2B">
        <w:rPr>
          <w:rStyle w:val="CharDivText"/>
        </w:rPr>
        <w:t>,</w:t>
      </w:r>
      <w:r w:rsidRPr="00085A2B">
        <w:rPr>
          <w:rStyle w:val="CharDivText"/>
        </w:rPr>
        <w:t xml:space="preserve"> quarantine material</w:t>
      </w:r>
      <w:bookmarkEnd w:id="21"/>
    </w:p>
    <w:p w14:paraId="088063B2" w14:textId="77777777" w:rsidR="00836D04" w:rsidRPr="008052B8" w:rsidRDefault="003E7245" w:rsidP="00836D04">
      <w:pPr>
        <w:pStyle w:val="ActHead5"/>
      </w:pPr>
      <w:bookmarkStart w:id="22" w:name="_Toc65664253"/>
      <w:r w:rsidRPr="00085A2B">
        <w:rPr>
          <w:rStyle w:val="CharSectno"/>
        </w:rPr>
        <w:t>11</w:t>
      </w:r>
      <w:r w:rsidR="00836D04" w:rsidRPr="008052B8">
        <w:t xml:space="preserve">  Purpose of </w:t>
      </w:r>
      <w:r w:rsidR="00E67355" w:rsidRPr="008052B8">
        <w:t xml:space="preserve">this </w:t>
      </w:r>
      <w:r w:rsidR="00836D04" w:rsidRPr="008052B8">
        <w:t>Division</w:t>
      </w:r>
      <w:bookmarkEnd w:id="22"/>
    </w:p>
    <w:p w14:paraId="407D46BB" w14:textId="77777777" w:rsidR="00836D04" w:rsidRPr="008052B8" w:rsidRDefault="00836D04" w:rsidP="00836D04">
      <w:pPr>
        <w:pStyle w:val="subsection"/>
      </w:pPr>
      <w:r w:rsidRPr="008052B8">
        <w:tab/>
      </w:r>
      <w:r w:rsidRPr="008052B8">
        <w:tab/>
        <w:t xml:space="preserve">This Division is made for the purposes of </w:t>
      </w:r>
      <w:r w:rsidR="003D08C8" w:rsidRPr="008052B8">
        <w:t>sub</w:t>
      </w:r>
      <w:r w:rsidR="001F2646" w:rsidRPr="008052B8">
        <w:t>section 9</w:t>
      </w:r>
      <w:r w:rsidRPr="008052B8">
        <w:t>0U(9) of the Act.</w:t>
      </w:r>
    </w:p>
    <w:p w14:paraId="210F4E13" w14:textId="77777777" w:rsidR="00836D04" w:rsidRPr="008052B8" w:rsidRDefault="003E7245" w:rsidP="00836D04">
      <w:pPr>
        <w:pStyle w:val="ActHead5"/>
      </w:pPr>
      <w:bookmarkStart w:id="23" w:name="_Toc65664254"/>
      <w:r w:rsidRPr="00085A2B">
        <w:rPr>
          <w:rStyle w:val="CharSectno"/>
        </w:rPr>
        <w:t>12</w:t>
      </w:r>
      <w:r w:rsidR="00836D04" w:rsidRPr="008052B8">
        <w:t xml:space="preserve">  Persons who are to establish and maintain record</w:t>
      </w:r>
      <w:bookmarkEnd w:id="23"/>
    </w:p>
    <w:p w14:paraId="6332F615" w14:textId="77777777" w:rsidR="00836D04" w:rsidRPr="008052B8" w:rsidRDefault="00836D04" w:rsidP="00836D04">
      <w:pPr>
        <w:pStyle w:val="subsection"/>
      </w:pPr>
      <w:r w:rsidRPr="008052B8">
        <w:tab/>
      </w:r>
      <w:r w:rsidR="008D7682" w:rsidRPr="008052B8">
        <w:tab/>
      </w:r>
      <w:r w:rsidR="00361735" w:rsidRPr="008052B8">
        <w:t>T</w:t>
      </w:r>
      <w:r w:rsidRPr="008052B8">
        <w:t xml:space="preserve">he following </w:t>
      </w:r>
      <w:r w:rsidR="00361735" w:rsidRPr="008052B8">
        <w:t xml:space="preserve">persons must establish and maintain a record in respect of an article </w:t>
      </w:r>
      <w:r w:rsidR="008D7682" w:rsidRPr="008052B8">
        <w:t xml:space="preserve">mentioned in </w:t>
      </w:r>
      <w:r w:rsidR="003D08C8" w:rsidRPr="008052B8">
        <w:t>sub</w:t>
      </w:r>
      <w:r w:rsidR="001F2646" w:rsidRPr="008052B8">
        <w:t>section 9</w:t>
      </w:r>
      <w:r w:rsidR="00361735" w:rsidRPr="008052B8">
        <w:t>0U</w:t>
      </w:r>
      <w:r w:rsidR="008D7682" w:rsidRPr="008052B8">
        <w:t>(9)</w:t>
      </w:r>
      <w:r w:rsidR="00361735" w:rsidRPr="008052B8">
        <w:t xml:space="preserve"> of the Act</w:t>
      </w:r>
      <w:r w:rsidRPr="008052B8">
        <w:t>:</w:t>
      </w:r>
    </w:p>
    <w:p w14:paraId="351772E6" w14:textId="77777777" w:rsidR="00836D04" w:rsidRPr="008052B8" w:rsidRDefault="00836D04" w:rsidP="00836D04">
      <w:pPr>
        <w:pStyle w:val="paragraph"/>
      </w:pPr>
      <w:r w:rsidRPr="008052B8">
        <w:tab/>
        <w:t>(a)</w:t>
      </w:r>
      <w:r w:rsidRPr="008052B8">
        <w:tab/>
      </w:r>
      <w:r w:rsidR="00F56371" w:rsidRPr="008052B8">
        <w:t>if the article is in the course of post to Western Australia—</w:t>
      </w:r>
      <w:r w:rsidRPr="008052B8">
        <w:t>the head (however described) of the Western Australian Department;</w:t>
      </w:r>
    </w:p>
    <w:p w14:paraId="5F9FB147" w14:textId="77777777" w:rsidR="00836D04" w:rsidRPr="008052B8" w:rsidRDefault="00836D04" w:rsidP="00836D04">
      <w:pPr>
        <w:pStyle w:val="paragraph"/>
      </w:pPr>
      <w:r w:rsidRPr="008052B8">
        <w:tab/>
        <w:t>(b)</w:t>
      </w:r>
      <w:r w:rsidRPr="008052B8">
        <w:tab/>
      </w:r>
      <w:r w:rsidR="00F56371" w:rsidRPr="008052B8">
        <w:t>if the article is in the course of post to Tasmania—</w:t>
      </w:r>
      <w:r w:rsidRPr="008052B8">
        <w:t>the head (however described) of the Tasmanian Department;</w:t>
      </w:r>
    </w:p>
    <w:p w14:paraId="0C60D4D3" w14:textId="77777777" w:rsidR="00836D04" w:rsidRPr="008052B8" w:rsidRDefault="00836D04" w:rsidP="00836D04">
      <w:pPr>
        <w:pStyle w:val="paragraph"/>
      </w:pPr>
      <w:r w:rsidRPr="008052B8">
        <w:tab/>
        <w:t>(c)</w:t>
      </w:r>
      <w:r w:rsidRPr="008052B8">
        <w:tab/>
      </w:r>
      <w:r w:rsidR="00F56371" w:rsidRPr="008052B8">
        <w:t>if the article is in the course of post to the Northern Territory—</w:t>
      </w:r>
      <w:r w:rsidRPr="008052B8">
        <w:t>the head (however described) of the Northern Territory Department.</w:t>
      </w:r>
    </w:p>
    <w:p w14:paraId="79D168EF" w14:textId="77777777" w:rsidR="003B27DD" w:rsidRPr="008052B8" w:rsidRDefault="003E7245" w:rsidP="003B27DD">
      <w:pPr>
        <w:pStyle w:val="ActHead5"/>
      </w:pPr>
      <w:bookmarkStart w:id="24" w:name="_Toc65664255"/>
      <w:r w:rsidRPr="00085A2B">
        <w:rPr>
          <w:rStyle w:val="CharSectno"/>
        </w:rPr>
        <w:t>13</w:t>
      </w:r>
      <w:r w:rsidR="003B27DD" w:rsidRPr="008052B8">
        <w:t xml:space="preserve">  Record of articles—particulars of articles</w:t>
      </w:r>
      <w:r w:rsidR="00836D04" w:rsidRPr="008052B8">
        <w:t xml:space="preserve"> and their examination</w:t>
      </w:r>
      <w:bookmarkEnd w:id="24"/>
    </w:p>
    <w:p w14:paraId="71B38132" w14:textId="77777777" w:rsidR="00836D04" w:rsidRPr="008052B8" w:rsidRDefault="003B27DD" w:rsidP="00836D04">
      <w:pPr>
        <w:pStyle w:val="subsection"/>
      </w:pPr>
      <w:r w:rsidRPr="008052B8">
        <w:tab/>
      </w:r>
      <w:r w:rsidRPr="008052B8">
        <w:tab/>
      </w:r>
      <w:r w:rsidR="00575694" w:rsidRPr="008052B8">
        <w:t xml:space="preserve">A person mentioned in </w:t>
      </w:r>
      <w:r w:rsidR="00CB63AD" w:rsidRPr="008052B8">
        <w:t>section 1</w:t>
      </w:r>
      <w:r w:rsidR="003E7245" w:rsidRPr="008052B8">
        <w:t>2</w:t>
      </w:r>
      <w:r w:rsidR="00B0719A" w:rsidRPr="008052B8">
        <w:t xml:space="preserve"> of this instrument</w:t>
      </w:r>
      <w:r w:rsidR="00575694" w:rsidRPr="008052B8">
        <w:t xml:space="preserve">, in establishing and maintaining a record in respect of an article mentioned in </w:t>
      </w:r>
      <w:r w:rsidR="003D08C8" w:rsidRPr="008052B8">
        <w:t>sub</w:t>
      </w:r>
      <w:r w:rsidR="001F2646" w:rsidRPr="008052B8">
        <w:t>section 9</w:t>
      </w:r>
      <w:r w:rsidR="00575694" w:rsidRPr="008052B8">
        <w:t>0U(9) of the Act</w:t>
      </w:r>
      <w:r w:rsidR="00D85CDD" w:rsidRPr="008052B8">
        <w:t xml:space="preserve">, </w:t>
      </w:r>
      <w:r w:rsidR="00836D04" w:rsidRPr="008052B8">
        <w:t>must ensure that the particulars set out in the record include the following:</w:t>
      </w:r>
    </w:p>
    <w:p w14:paraId="0E705C6B" w14:textId="77777777" w:rsidR="003B27DD" w:rsidRPr="008052B8" w:rsidRDefault="003B27DD" w:rsidP="00836D04">
      <w:pPr>
        <w:pStyle w:val="paragraph"/>
      </w:pPr>
      <w:r w:rsidRPr="008052B8">
        <w:tab/>
        <w:t>(a)</w:t>
      </w:r>
      <w:r w:rsidRPr="008052B8">
        <w:tab/>
        <w:t>the name and address of the addressee</w:t>
      </w:r>
      <w:r w:rsidR="00836D04" w:rsidRPr="008052B8">
        <w:t xml:space="preserve"> </w:t>
      </w:r>
      <w:r w:rsidRPr="008052B8">
        <w:t>on the article;</w:t>
      </w:r>
    </w:p>
    <w:p w14:paraId="07963517" w14:textId="77777777" w:rsidR="003B27DD" w:rsidRPr="008052B8" w:rsidRDefault="003B27DD" w:rsidP="003B27DD">
      <w:pPr>
        <w:pStyle w:val="paragraph"/>
      </w:pPr>
      <w:r w:rsidRPr="008052B8">
        <w:tab/>
        <w:t>(b)</w:t>
      </w:r>
      <w:r w:rsidRPr="008052B8">
        <w:tab/>
        <w:t>if the name and address of the sender appear on the article—the name and address of the sender;</w:t>
      </w:r>
    </w:p>
    <w:p w14:paraId="287F5A05" w14:textId="77777777" w:rsidR="003B27DD" w:rsidRPr="008052B8" w:rsidRDefault="003B27DD" w:rsidP="003B27DD">
      <w:pPr>
        <w:pStyle w:val="paragraph"/>
      </w:pPr>
      <w:r w:rsidRPr="008052B8">
        <w:tab/>
        <w:t>(c)</w:t>
      </w:r>
      <w:r w:rsidRPr="008052B8">
        <w:tab/>
        <w:t>the product type (for example, Ordinary, Express, eParcel, Registered, Insured);</w:t>
      </w:r>
    </w:p>
    <w:p w14:paraId="38AD412B" w14:textId="77777777" w:rsidR="003B27DD" w:rsidRPr="008052B8" w:rsidRDefault="003B27DD" w:rsidP="003B27DD">
      <w:pPr>
        <w:pStyle w:val="paragraph"/>
      </w:pPr>
      <w:r w:rsidRPr="008052B8">
        <w:tab/>
        <w:t>(d)</w:t>
      </w:r>
      <w:r w:rsidRPr="008052B8">
        <w:tab/>
        <w:t>any unique identification number on the article;</w:t>
      </w:r>
    </w:p>
    <w:p w14:paraId="69A9CFCE" w14:textId="77777777" w:rsidR="003B27DD" w:rsidRPr="008052B8" w:rsidRDefault="003B27DD" w:rsidP="003B27DD">
      <w:pPr>
        <w:pStyle w:val="paragraph"/>
      </w:pPr>
      <w:r w:rsidRPr="008052B8">
        <w:tab/>
        <w:t>(e)</w:t>
      </w:r>
      <w:r w:rsidRPr="008052B8">
        <w:tab/>
      </w:r>
      <w:r w:rsidR="00575694" w:rsidRPr="008052B8">
        <w:t>a</w:t>
      </w:r>
      <w:r w:rsidRPr="008052B8">
        <w:t xml:space="preserve"> description of the quarantine material</w:t>
      </w:r>
      <w:r w:rsidR="00575694" w:rsidRPr="008052B8">
        <w:t xml:space="preserve"> that the article consists of or contains</w:t>
      </w:r>
      <w:r w:rsidR="006B2220" w:rsidRPr="008052B8">
        <w:t>;</w:t>
      </w:r>
    </w:p>
    <w:p w14:paraId="32961317" w14:textId="77777777" w:rsidR="003B27DD" w:rsidRPr="008052B8" w:rsidRDefault="003B27DD" w:rsidP="003B27DD">
      <w:pPr>
        <w:pStyle w:val="paragraph"/>
      </w:pPr>
      <w:r w:rsidRPr="008052B8">
        <w:tab/>
        <w:t>(</w:t>
      </w:r>
      <w:r w:rsidR="006B2220" w:rsidRPr="008052B8">
        <w:t>f</w:t>
      </w:r>
      <w:r w:rsidRPr="008052B8">
        <w:t>)</w:t>
      </w:r>
      <w:r w:rsidRPr="008052B8">
        <w:tab/>
        <w:t xml:space="preserve">the name and classification of the authorised examiner who removes the article from the normal course of carriage and opens the article in the presence of a quarantine inspection officer under </w:t>
      </w:r>
      <w:r w:rsidR="003D08C8" w:rsidRPr="008052B8">
        <w:t>sub</w:t>
      </w:r>
      <w:r w:rsidR="001F2646" w:rsidRPr="008052B8">
        <w:t>section 9</w:t>
      </w:r>
      <w:r w:rsidR="006C348F" w:rsidRPr="008052B8">
        <w:t>0U</w:t>
      </w:r>
      <w:r w:rsidRPr="008052B8">
        <w:t>(4) of the Act;</w:t>
      </w:r>
    </w:p>
    <w:p w14:paraId="4267197F" w14:textId="77777777" w:rsidR="003B27DD" w:rsidRPr="008052B8" w:rsidRDefault="003B27DD" w:rsidP="003B27DD">
      <w:pPr>
        <w:pStyle w:val="paragraph"/>
      </w:pPr>
      <w:r w:rsidRPr="008052B8">
        <w:tab/>
        <w:t>(</w:t>
      </w:r>
      <w:r w:rsidR="006B2220" w:rsidRPr="008052B8">
        <w:t>g</w:t>
      </w:r>
      <w:r w:rsidRPr="008052B8">
        <w:t>)</w:t>
      </w:r>
      <w:r w:rsidRPr="008052B8">
        <w:tab/>
        <w:t xml:space="preserve">the name and classification of the quarantine inspection officer in whose presence the authorised examiner opens the article under </w:t>
      </w:r>
      <w:r w:rsidR="003D08C8" w:rsidRPr="008052B8">
        <w:t>sub</w:t>
      </w:r>
      <w:r w:rsidR="001F2646" w:rsidRPr="008052B8">
        <w:t>section 9</w:t>
      </w:r>
      <w:r w:rsidRPr="008052B8">
        <w:t xml:space="preserve">0U(4) of the Act and who examines the article under </w:t>
      </w:r>
      <w:r w:rsidR="003D08C8" w:rsidRPr="008052B8">
        <w:t>sub</w:t>
      </w:r>
      <w:r w:rsidR="001F2646" w:rsidRPr="008052B8">
        <w:t>section 9</w:t>
      </w:r>
      <w:r w:rsidRPr="008052B8">
        <w:t>0U(5) of the Act;</w:t>
      </w:r>
    </w:p>
    <w:p w14:paraId="0849E333" w14:textId="77777777" w:rsidR="003B27DD" w:rsidRPr="008052B8" w:rsidRDefault="003B27DD" w:rsidP="003B27DD">
      <w:pPr>
        <w:pStyle w:val="paragraph"/>
      </w:pPr>
      <w:r w:rsidRPr="008052B8">
        <w:tab/>
        <w:t>(</w:t>
      </w:r>
      <w:r w:rsidR="00C73F19" w:rsidRPr="008052B8">
        <w:t>h</w:t>
      </w:r>
      <w:r w:rsidRPr="008052B8">
        <w:t>)</w:t>
      </w:r>
      <w:r w:rsidRPr="008052B8">
        <w:tab/>
        <w:t xml:space="preserve">if any technology </w:t>
      </w:r>
      <w:r w:rsidR="006B2220" w:rsidRPr="008052B8">
        <w:t xml:space="preserve">is, </w:t>
      </w:r>
      <w:r w:rsidRPr="008052B8">
        <w:t xml:space="preserve">or </w:t>
      </w:r>
      <w:r w:rsidR="003579D0" w:rsidRPr="008052B8">
        <w:t xml:space="preserve">any </w:t>
      </w:r>
      <w:r w:rsidRPr="008052B8">
        <w:t xml:space="preserve">tools </w:t>
      </w:r>
      <w:r w:rsidR="006B2220" w:rsidRPr="008052B8">
        <w:t xml:space="preserve">are, </w:t>
      </w:r>
      <w:r w:rsidRPr="008052B8">
        <w:t xml:space="preserve">used to examine the article </w:t>
      </w:r>
      <w:r w:rsidR="006B2220" w:rsidRPr="008052B8">
        <w:t>or</w:t>
      </w:r>
      <w:r w:rsidRPr="008052B8">
        <w:t xml:space="preserve"> its contents—details of the technology or tools used;</w:t>
      </w:r>
    </w:p>
    <w:p w14:paraId="159DC8A3" w14:textId="77777777" w:rsidR="003B27DD" w:rsidRPr="008052B8" w:rsidRDefault="003B27DD" w:rsidP="003B27DD">
      <w:pPr>
        <w:pStyle w:val="paragraph"/>
      </w:pPr>
      <w:r w:rsidRPr="008052B8">
        <w:tab/>
        <w:t>(</w:t>
      </w:r>
      <w:r w:rsidR="00C73F19" w:rsidRPr="008052B8">
        <w:t>i</w:t>
      </w:r>
      <w:r w:rsidRPr="008052B8">
        <w:t>)</w:t>
      </w:r>
      <w:r w:rsidRPr="008052B8">
        <w:tab/>
        <w:t>if</w:t>
      </w:r>
      <w:r w:rsidR="00CB26A1" w:rsidRPr="008052B8">
        <w:t xml:space="preserve"> </w:t>
      </w:r>
      <w:r w:rsidRPr="008052B8">
        <w:t xml:space="preserve">the article </w:t>
      </w:r>
      <w:r w:rsidR="00C93DD7" w:rsidRPr="008052B8">
        <w:t xml:space="preserve">is, </w:t>
      </w:r>
      <w:r w:rsidRPr="008052B8">
        <w:t xml:space="preserve">or </w:t>
      </w:r>
      <w:r w:rsidR="00C93DD7" w:rsidRPr="008052B8">
        <w:t xml:space="preserve">its </w:t>
      </w:r>
      <w:r w:rsidRPr="008052B8">
        <w:t>contents are</w:t>
      </w:r>
      <w:r w:rsidR="00C93DD7" w:rsidRPr="008052B8">
        <w:t>,</w:t>
      </w:r>
      <w:r w:rsidRPr="008052B8">
        <w:t xml:space="preserve"> referred to an agency other than an entity for which the quarantine inspection officer exercises quarantine powers or performs quarantine functions—details of the referral, including:</w:t>
      </w:r>
    </w:p>
    <w:p w14:paraId="6126D607" w14:textId="77777777" w:rsidR="003B27DD" w:rsidRPr="008052B8" w:rsidRDefault="003B27DD" w:rsidP="003B27DD">
      <w:pPr>
        <w:pStyle w:val="paragraphsub"/>
      </w:pPr>
      <w:r w:rsidRPr="008052B8">
        <w:tab/>
        <w:t>(i)</w:t>
      </w:r>
      <w:r w:rsidRPr="008052B8">
        <w:tab/>
        <w:t>the name and classification of the quarantine inspection officer who refers the article; and</w:t>
      </w:r>
    </w:p>
    <w:p w14:paraId="29EDA8F4" w14:textId="77777777" w:rsidR="003B27DD" w:rsidRPr="008052B8" w:rsidRDefault="003B27DD" w:rsidP="003B27DD">
      <w:pPr>
        <w:pStyle w:val="paragraphsub"/>
      </w:pPr>
      <w:r w:rsidRPr="008052B8">
        <w:tab/>
        <w:t>(ii)</w:t>
      </w:r>
      <w:r w:rsidRPr="008052B8">
        <w:tab/>
        <w:t>the name of the agency to which the article is referred; and</w:t>
      </w:r>
    </w:p>
    <w:p w14:paraId="1D776D63" w14:textId="77777777" w:rsidR="003B27DD" w:rsidRPr="008052B8" w:rsidRDefault="003B27DD" w:rsidP="003B27DD">
      <w:pPr>
        <w:pStyle w:val="paragraphsub"/>
      </w:pPr>
      <w:r w:rsidRPr="008052B8">
        <w:lastRenderedPageBreak/>
        <w:tab/>
        <w:t>(iii)</w:t>
      </w:r>
      <w:r w:rsidRPr="008052B8">
        <w:tab/>
        <w:t>the name and classification of the officer in that agency to whom the article is referred;</w:t>
      </w:r>
    </w:p>
    <w:p w14:paraId="09AC3327" w14:textId="77777777" w:rsidR="003B27DD" w:rsidRPr="008052B8" w:rsidRDefault="003B27DD" w:rsidP="003B27DD">
      <w:pPr>
        <w:pStyle w:val="paragraph"/>
      </w:pPr>
      <w:r w:rsidRPr="008052B8">
        <w:tab/>
        <w:t>(</w:t>
      </w:r>
      <w:r w:rsidR="00C73F19" w:rsidRPr="008052B8">
        <w:t>j</w:t>
      </w:r>
      <w:r w:rsidRPr="008052B8">
        <w:t>)</w:t>
      </w:r>
      <w:r w:rsidRPr="008052B8">
        <w:tab/>
        <w:t>if pilferage of, or damage to, the article or its contents is discovered on examination—details of the pilferage or damage.</w:t>
      </w:r>
    </w:p>
    <w:p w14:paraId="2E331DE2" w14:textId="77777777" w:rsidR="000A5F07" w:rsidRPr="008052B8" w:rsidRDefault="00975B7F" w:rsidP="000A5F07">
      <w:pPr>
        <w:pStyle w:val="notetext"/>
      </w:pPr>
      <w:r w:rsidRPr="008052B8">
        <w:t>Note:</w:t>
      </w:r>
      <w:r w:rsidRPr="008052B8">
        <w:tab/>
        <w:t xml:space="preserve">The record must also set out whether the article and its contents were, following the examination, dealt with according to law or returned to the normal course of carriage: see </w:t>
      </w:r>
      <w:r w:rsidR="003D08C8" w:rsidRPr="008052B8">
        <w:t>paragraph 9</w:t>
      </w:r>
      <w:r w:rsidR="000A5F07" w:rsidRPr="008052B8">
        <w:t>0U(9)(c) of the Act.</w:t>
      </w:r>
    </w:p>
    <w:p w14:paraId="7A0E4236" w14:textId="77777777" w:rsidR="003B27DD" w:rsidRPr="008052B8" w:rsidRDefault="003E7245" w:rsidP="003B27DD">
      <w:pPr>
        <w:pStyle w:val="ActHead5"/>
      </w:pPr>
      <w:bookmarkStart w:id="25" w:name="_Toc65664256"/>
      <w:r w:rsidRPr="00085A2B">
        <w:rPr>
          <w:rStyle w:val="CharSectno"/>
        </w:rPr>
        <w:t>14</w:t>
      </w:r>
      <w:r w:rsidR="003B27DD" w:rsidRPr="008052B8">
        <w:t xml:space="preserve">  Record of articles—places where kept</w:t>
      </w:r>
      <w:bookmarkEnd w:id="25"/>
    </w:p>
    <w:p w14:paraId="100F0D07" w14:textId="77777777" w:rsidR="003B27DD" w:rsidRPr="008052B8" w:rsidRDefault="003B27DD" w:rsidP="003B27DD">
      <w:pPr>
        <w:pStyle w:val="subsection"/>
      </w:pPr>
      <w:r w:rsidRPr="008052B8">
        <w:tab/>
      </w:r>
      <w:r w:rsidRPr="008052B8">
        <w:tab/>
      </w:r>
      <w:r w:rsidR="000E043C" w:rsidRPr="008052B8">
        <w:t>The place or places at which the record is required to be established and maintained</w:t>
      </w:r>
      <w:r w:rsidR="00DB3378" w:rsidRPr="008052B8">
        <w:t xml:space="preserve"> by </w:t>
      </w:r>
      <w:r w:rsidR="000E043C" w:rsidRPr="008052B8">
        <w:t xml:space="preserve">a person mentioned in an item of the following table </w:t>
      </w:r>
      <w:r w:rsidRPr="008052B8">
        <w:t xml:space="preserve">are the </w:t>
      </w:r>
      <w:r w:rsidR="000E043C" w:rsidRPr="008052B8">
        <w:t xml:space="preserve">place or </w:t>
      </w:r>
      <w:r w:rsidRPr="008052B8">
        <w:t>places mentioned in the item.</w:t>
      </w:r>
    </w:p>
    <w:p w14:paraId="2C737F50" w14:textId="77777777" w:rsidR="003B27DD" w:rsidRPr="008052B8" w:rsidRDefault="003B27DD" w:rsidP="003B27DD">
      <w:pPr>
        <w:pStyle w:val="Tabletext"/>
      </w:pPr>
    </w:p>
    <w:tbl>
      <w:tblPr>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708"/>
        <w:gridCol w:w="2635"/>
        <w:gridCol w:w="4970"/>
      </w:tblGrid>
      <w:tr w:rsidR="00585207" w:rsidRPr="008052B8" w14:paraId="0FAD019E" w14:textId="77777777" w:rsidTr="0074044E">
        <w:trPr>
          <w:tblHeader/>
        </w:trPr>
        <w:tc>
          <w:tcPr>
            <w:tcW w:w="8330" w:type="dxa"/>
            <w:gridSpan w:val="3"/>
            <w:tcBorders>
              <w:top w:val="single" w:sz="12" w:space="0" w:color="auto"/>
              <w:bottom w:val="single" w:sz="12" w:space="0" w:color="auto"/>
            </w:tcBorders>
            <w:shd w:val="clear" w:color="auto" w:fill="auto"/>
          </w:tcPr>
          <w:p w14:paraId="65E7FB9F" w14:textId="77777777" w:rsidR="00585207" w:rsidRPr="008052B8" w:rsidRDefault="00585207" w:rsidP="005361B0">
            <w:pPr>
              <w:pStyle w:val="TableHeading"/>
            </w:pPr>
            <w:r w:rsidRPr="008052B8">
              <w:t>Place or places where a record is to be established and maintained</w:t>
            </w:r>
          </w:p>
        </w:tc>
      </w:tr>
      <w:tr w:rsidR="003B27DD" w:rsidRPr="008052B8" w14:paraId="13D8D695" w14:textId="77777777" w:rsidTr="0074044E">
        <w:trPr>
          <w:tblHeader/>
        </w:trPr>
        <w:tc>
          <w:tcPr>
            <w:tcW w:w="708" w:type="dxa"/>
            <w:tcBorders>
              <w:top w:val="single" w:sz="12" w:space="0" w:color="auto"/>
              <w:bottom w:val="single" w:sz="12" w:space="0" w:color="auto"/>
            </w:tcBorders>
            <w:shd w:val="clear" w:color="auto" w:fill="auto"/>
          </w:tcPr>
          <w:p w14:paraId="7B23D1BA" w14:textId="77777777" w:rsidR="003B27DD" w:rsidRPr="008052B8" w:rsidRDefault="003B27DD" w:rsidP="005361B0">
            <w:pPr>
              <w:pStyle w:val="TableHeading"/>
            </w:pPr>
            <w:r w:rsidRPr="008052B8">
              <w:t>Item</w:t>
            </w:r>
          </w:p>
        </w:tc>
        <w:tc>
          <w:tcPr>
            <w:tcW w:w="2640" w:type="dxa"/>
            <w:tcBorders>
              <w:top w:val="single" w:sz="12" w:space="0" w:color="auto"/>
              <w:bottom w:val="single" w:sz="12" w:space="0" w:color="auto"/>
            </w:tcBorders>
            <w:shd w:val="clear" w:color="auto" w:fill="auto"/>
          </w:tcPr>
          <w:p w14:paraId="2831C9C7" w14:textId="77777777" w:rsidR="003B27DD" w:rsidRPr="008052B8" w:rsidRDefault="00055AC5" w:rsidP="006D4B6A">
            <w:pPr>
              <w:pStyle w:val="TableHeading"/>
            </w:pPr>
            <w:r w:rsidRPr="008052B8">
              <w:t>Prescribed person</w:t>
            </w:r>
          </w:p>
        </w:tc>
        <w:tc>
          <w:tcPr>
            <w:tcW w:w="4982" w:type="dxa"/>
            <w:tcBorders>
              <w:top w:val="single" w:sz="12" w:space="0" w:color="auto"/>
              <w:bottom w:val="single" w:sz="12" w:space="0" w:color="auto"/>
            </w:tcBorders>
            <w:shd w:val="clear" w:color="auto" w:fill="auto"/>
          </w:tcPr>
          <w:p w14:paraId="19169EDA" w14:textId="77777777" w:rsidR="003B27DD" w:rsidRPr="008052B8" w:rsidRDefault="003B27DD" w:rsidP="00585207">
            <w:pPr>
              <w:pStyle w:val="TableHeading"/>
            </w:pPr>
            <w:r w:rsidRPr="008052B8">
              <w:t>Place or places</w:t>
            </w:r>
          </w:p>
        </w:tc>
      </w:tr>
      <w:tr w:rsidR="003B27DD" w:rsidRPr="008052B8" w14:paraId="47172FCF" w14:textId="77777777" w:rsidTr="0074044E">
        <w:tc>
          <w:tcPr>
            <w:tcW w:w="708" w:type="dxa"/>
            <w:tcBorders>
              <w:top w:val="single" w:sz="12" w:space="0" w:color="auto"/>
            </w:tcBorders>
            <w:shd w:val="clear" w:color="auto" w:fill="auto"/>
          </w:tcPr>
          <w:p w14:paraId="00ACCD40" w14:textId="77777777" w:rsidR="003B27DD" w:rsidRPr="008052B8" w:rsidRDefault="003B27DD" w:rsidP="005361B0">
            <w:pPr>
              <w:pStyle w:val="Tabletext"/>
            </w:pPr>
            <w:r w:rsidRPr="008052B8">
              <w:t>1</w:t>
            </w:r>
          </w:p>
        </w:tc>
        <w:tc>
          <w:tcPr>
            <w:tcW w:w="2640" w:type="dxa"/>
            <w:tcBorders>
              <w:top w:val="single" w:sz="12" w:space="0" w:color="auto"/>
            </w:tcBorders>
            <w:shd w:val="clear" w:color="auto" w:fill="auto"/>
          </w:tcPr>
          <w:p w14:paraId="004ACFCB" w14:textId="77777777" w:rsidR="003B27DD" w:rsidRPr="008052B8" w:rsidRDefault="000E043C" w:rsidP="00A1333A">
            <w:pPr>
              <w:pStyle w:val="Tabletext"/>
            </w:pPr>
            <w:r w:rsidRPr="008052B8">
              <w:t>Head (however described) of the Western Australian Department</w:t>
            </w:r>
          </w:p>
        </w:tc>
        <w:tc>
          <w:tcPr>
            <w:tcW w:w="4982" w:type="dxa"/>
            <w:tcBorders>
              <w:top w:val="single" w:sz="12" w:space="0" w:color="auto"/>
            </w:tcBorders>
            <w:shd w:val="clear" w:color="auto" w:fill="auto"/>
          </w:tcPr>
          <w:p w14:paraId="5112536C" w14:textId="77777777" w:rsidR="003B27DD" w:rsidRPr="008052B8" w:rsidRDefault="003B27DD" w:rsidP="00D34340">
            <w:pPr>
              <w:pStyle w:val="Tablea"/>
            </w:pPr>
            <w:r w:rsidRPr="008052B8">
              <w:t>3 Baron</w:t>
            </w:r>
            <w:r w:rsidR="008052B8">
              <w:noBreakHyphen/>
            </w:r>
            <w:r w:rsidRPr="008052B8">
              <w:t xml:space="preserve">Hay Court, </w:t>
            </w:r>
            <w:r w:rsidR="00D34340" w:rsidRPr="008052B8">
              <w:t>South Perth</w:t>
            </w:r>
          </w:p>
        </w:tc>
      </w:tr>
      <w:tr w:rsidR="003B27DD" w:rsidRPr="008052B8" w14:paraId="43F95D97" w14:textId="77777777" w:rsidTr="0074044E">
        <w:tc>
          <w:tcPr>
            <w:tcW w:w="708" w:type="dxa"/>
            <w:tcBorders>
              <w:bottom w:val="single" w:sz="4" w:space="0" w:color="auto"/>
            </w:tcBorders>
            <w:shd w:val="clear" w:color="auto" w:fill="auto"/>
          </w:tcPr>
          <w:p w14:paraId="5F91F6E8" w14:textId="77777777" w:rsidR="003B27DD" w:rsidRPr="008052B8" w:rsidRDefault="003B27DD" w:rsidP="005361B0">
            <w:pPr>
              <w:pStyle w:val="Tabletext"/>
            </w:pPr>
            <w:r w:rsidRPr="008052B8">
              <w:t>2</w:t>
            </w:r>
          </w:p>
        </w:tc>
        <w:tc>
          <w:tcPr>
            <w:tcW w:w="2640" w:type="dxa"/>
            <w:tcBorders>
              <w:bottom w:val="single" w:sz="4" w:space="0" w:color="auto"/>
            </w:tcBorders>
            <w:shd w:val="clear" w:color="auto" w:fill="auto"/>
          </w:tcPr>
          <w:p w14:paraId="7DBA12E5" w14:textId="77777777" w:rsidR="003B27DD" w:rsidRPr="008052B8" w:rsidRDefault="000E043C" w:rsidP="00A1333A">
            <w:pPr>
              <w:pStyle w:val="Tabletext"/>
            </w:pPr>
            <w:r w:rsidRPr="008052B8">
              <w:t>Head (however described) of the Tasmanian Department</w:t>
            </w:r>
          </w:p>
        </w:tc>
        <w:tc>
          <w:tcPr>
            <w:tcW w:w="4982" w:type="dxa"/>
            <w:tcBorders>
              <w:bottom w:val="single" w:sz="4" w:space="0" w:color="auto"/>
            </w:tcBorders>
            <w:shd w:val="clear" w:color="auto" w:fill="auto"/>
          </w:tcPr>
          <w:p w14:paraId="6673DB9E" w14:textId="77777777" w:rsidR="003B27DD" w:rsidRPr="008052B8" w:rsidRDefault="003B27DD" w:rsidP="005361B0">
            <w:pPr>
              <w:pStyle w:val="Tablea"/>
            </w:pPr>
            <w:r w:rsidRPr="008052B8">
              <w:t xml:space="preserve">(a) </w:t>
            </w:r>
            <w:r w:rsidR="00D34340" w:rsidRPr="008052B8">
              <w:t>Biosecurity Operations</w:t>
            </w:r>
            <w:r w:rsidRPr="008052B8">
              <w:t>,</w:t>
            </w:r>
            <w:r w:rsidR="00D34340" w:rsidRPr="008052B8">
              <w:t xml:space="preserve"> Biosecurity Tasmania, 13 St Johns Avenue, New Town</w:t>
            </w:r>
            <w:r w:rsidRPr="008052B8">
              <w:t xml:space="preserve">; </w:t>
            </w:r>
            <w:r w:rsidR="003577FB" w:rsidRPr="008052B8">
              <w:t>and</w:t>
            </w:r>
          </w:p>
          <w:p w14:paraId="05BD2321" w14:textId="77777777" w:rsidR="003B27DD" w:rsidRPr="008052B8" w:rsidRDefault="003B27DD" w:rsidP="00D34340">
            <w:pPr>
              <w:pStyle w:val="Tablea"/>
            </w:pPr>
            <w:r w:rsidRPr="008052B8">
              <w:t xml:space="preserve">(b) </w:t>
            </w:r>
            <w:r w:rsidR="00D34340" w:rsidRPr="008052B8">
              <w:t>Biosecurity Operations, Biosecurity Tasmania, 165 Westbury Road, Prospect</w:t>
            </w:r>
          </w:p>
        </w:tc>
      </w:tr>
      <w:tr w:rsidR="003B27DD" w:rsidRPr="008052B8" w14:paraId="48E94B63" w14:textId="77777777" w:rsidTr="0074044E">
        <w:tc>
          <w:tcPr>
            <w:tcW w:w="708" w:type="dxa"/>
            <w:tcBorders>
              <w:bottom w:val="single" w:sz="12" w:space="0" w:color="auto"/>
            </w:tcBorders>
            <w:shd w:val="clear" w:color="auto" w:fill="auto"/>
          </w:tcPr>
          <w:p w14:paraId="508830F6" w14:textId="77777777" w:rsidR="003B27DD" w:rsidRPr="008052B8" w:rsidRDefault="003B27DD" w:rsidP="005361B0">
            <w:pPr>
              <w:pStyle w:val="Tabletext"/>
            </w:pPr>
            <w:r w:rsidRPr="008052B8">
              <w:t>3</w:t>
            </w:r>
          </w:p>
        </w:tc>
        <w:tc>
          <w:tcPr>
            <w:tcW w:w="2640" w:type="dxa"/>
            <w:tcBorders>
              <w:bottom w:val="single" w:sz="12" w:space="0" w:color="auto"/>
            </w:tcBorders>
            <w:shd w:val="clear" w:color="auto" w:fill="auto"/>
          </w:tcPr>
          <w:p w14:paraId="13CB35AC" w14:textId="77777777" w:rsidR="003B27DD" w:rsidRPr="008052B8" w:rsidRDefault="000E043C" w:rsidP="00A1333A">
            <w:pPr>
              <w:pStyle w:val="Tabletext"/>
            </w:pPr>
            <w:r w:rsidRPr="008052B8">
              <w:t>Head (however described) of the</w:t>
            </w:r>
            <w:r w:rsidR="00A1333A" w:rsidRPr="008052B8">
              <w:t xml:space="preserve"> </w:t>
            </w:r>
            <w:r w:rsidRPr="008052B8">
              <w:t>Northern Territory Department</w:t>
            </w:r>
          </w:p>
        </w:tc>
        <w:tc>
          <w:tcPr>
            <w:tcW w:w="4982" w:type="dxa"/>
            <w:tcBorders>
              <w:bottom w:val="single" w:sz="12" w:space="0" w:color="auto"/>
            </w:tcBorders>
            <w:shd w:val="clear" w:color="auto" w:fill="auto"/>
          </w:tcPr>
          <w:p w14:paraId="75D6B4F7" w14:textId="77777777" w:rsidR="003B27DD" w:rsidRPr="008052B8" w:rsidRDefault="003E59FC" w:rsidP="00D34340">
            <w:pPr>
              <w:pStyle w:val="Tabletext"/>
              <w:rPr>
                <w:i/>
              </w:rPr>
            </w:pPr>
            <w:r w:rsidRPr="008052B8">
              <w:t xml:space="preserve">Level 8, Charles Darwin Centre, 19 The Mall, </w:t>
            </w:r>
            <w:r w:rsidR="003B27DD" w:rsidRPr="008052B8">
              <w:t>D</w:t>
            </w:r>
            <w:r w:rsidR="00D34340" w:rsidRPr="008052B8">
              <w:t>arwin</w:t>
            </w:r>
          </w:p>
        </w:tc>
      </w:tr>
    </w:tbl>
    <w:p w14:paraId="38FDDEEB" w14:textId="77777777" w:rsidR="003B27DD" w:rsidRPr="008052B8" w:rsidRDefault="003E7245" w:rsidP="003B27DD">
      <w:pPr>
        <w:pStyle w:val="ActHead5"/>
      </w:pPr>
      <w:bookmarkStart w:id="26" w:name="_Toc65664257"/>
      <w:r w:rsidRPr="00085A2B">
        <w:rPr>
          <w:rStyle w:val="CharSectno"/>
        </w:rPr>
        <w:t>15</w:t>
      </w:r>
      <w:r w:rsidR="003B27DD" w:rsidRPr="008052B8">
        <w:t xml:space="preserve">  Record of articles—how kept</w:t>
      </w:r>
      <w:bookmarkEnd w:id="26"/>
    </w:p>
    <w:p w14:paraId="7E5DC1EC" w14:textId="77777777" w:rsidR="003B27DD" w:rsidRPr="008052B8" w:rsidRDefault="003B27DD" w:rsidP="003B27DD">
      <w:pPr>
        <w:pStyle w:val="subsection"/>
      </w:pPr>
      <w:r w:rsidRPr="008052B8">
        <w:tab/>
      </w:r>
      <w:r w:rsidRPr="008052B8">
        <w:tab/>
      </w:r>
      <w:r w:rsidR="008673CD" w:rsidRPr="008052B8">
        <w:t>T</w:t>
      </w:r>
      <w:r w:rsidRPr="008052B8">
        <w:t>he record is to be kept:</w:t>
      </w:r>
    </w:p>
    <w:p w14:paraId="6DE571CB" w14:textId="77777777" w:rsidR="003B27DD" w:rsidRPr="008052B8" w:rsidRDefault="003B27DD" w:rsidP="003B27DD">
      <w:pPr>
        <w:pStyle w:val="paragraph"/>
      </w:pPr>
      <w:r w:rsidRPr="008052B8">
        <w:tab/>
        <w:t>(a)</w:t>
      </w:r>
      <w:r w:rsidRPr="008052B8">
        <w:tab/>
        <w:t>electronically; or</w:t>
      </w:r>
    </w:p>
    <w:p w14:paraId="164B6AB7" w14:textId="77777777" w:rsidR="003B27DD" w:rsidRPr="008052B8" w:rsidRDefault="003B27DD" w:rsidP="003B27DD">
      <w:pPr>
        <w:pStyle w:val="paragraph"/>
      </w:pPr>
      <w:r w:rsidRPr="008052B8">
        <w:tab/>
        <w:t>(b)</w:t>
      </w:r>
      <w:r w:rsidRPr="008052B8">
        <w:tab/>
        <w:t>manually.</w:t>
      </w:r>
    </w:p>
    <w:p w14:paraId="6649AC98" w14:textId="77777777" w:rsidR="003B27DD" w:rsidRPr="008052B8" w:rsidRDefault="003E7245" w:rsidP="003B27DD">
      <w:pPr>
        <w:pStyle w:val="ActHead5"/>
      </w:pPr>
      <w:bookmarkStart w:id="27" w:name="_Toc65664258"/>
      <w:r w:rsidRPr="00085A2B">
        <w:rPr>
          <w:rStyle w:val="CharSectno"/>
        </w:rPr>
        <w:t>16</w:t>
      </w:r>
      <w:r w:rsidR="003B27DD" w:rsidRPr="008052B8">
        <w:t xml:space="preserve">  Record of articles—use of information</w:t>
      </w:r>
      <w:bookmarkEnd w:id="27"/>
    </w:p>
    <w:p w14:paraId="336F3350" w14:textId="77777777" w:rsidR="003B27DD" w:rsidRPr="008052B8" w:rsidRDefault="003B27DD" w:rsidP="003B27DD">
      <w:pPr>
        <w:pStyle w:val="subsection"/>
      </w:pPr>
      <w:r w:rsidRPr="008052B8">
        <w:tab/>
        <w:t>(1)</w:t>
      </w:r>
      <w:r w:rsidRPr="008052B8">
        <w:tab/>
      </w:r>
      <w:r w:rsidR="00546C14" w:rsidRPr="008052B8">
        <w:t>I</w:t>
      </w:r>
      <w:r w:rsidRPr="008052B8">
        <w:t>nformation contained in the record can be used for:</w:t>
      </w:r>
    </w:p>
    <w:p w14:paraId="4C1053B6" w14:textId="77777777" w:rsidR="003B27DD" w:rsidRPr="008052B8" w:rsidRDefault="003B27DD" w:rsidP="003B27DD">
      <w:pPr>
        <w:pStyle w:val="paragraph"/>
      </w:pPr>
      <w:r w:rsidRPr="008052B8">
        <w:tab/>
        <w:t>(a)</w:t>
      </w:r>
      <w:r w:rsidRPr="008052B8">
        <w:tab/>
        <w:t>the administration or enforcement of a Commonwealth, State or Territory law relating to quarantine (however described); or</w:t>
      </w:r>
    </w:p>
    <w:p w14:paraId="29684A2E" w14:textId="77777777" w:rsidR="003B27DD" w:rsidRPr="008052B8" w:rsidRDefault="003B27DD" w:rsidP="003B27DD">
      <w:pPr>
        <w:pStyle w:val="paragraph"/>
      </w:pPr>
      <w:r w:rsidRPr="008052B8">
        <w:tab/>
        <w:t>(b)</w:t>
      </w:r>
      <w:r w:rsidRPr="008052B8">
        <w:tab/>
        <w:t xml:space="preserve">providing information to Australia Post under </w:t>
      </w:r>
      <w:r w:rsidR="001F2646" w:rsidRPr="008052B8">
        <w:t>section 9</w:t>
      </w:r>
      <w:r w:rsidRPr="008052B8">
        <w:t>1 of the Act; or</w:t>
      </w:r>
    </w:p>
    <w:p w14:paraId="20F2911E" w14:textId="77777777" w:rsidR="003B27DD" w:rsidRPr="008052B8" w:rsidRDefault="003B27DD" w:rsidP="003B27DD">
      <w:pPr>
        <w:pStyle w:val="paragraph"/>
      </w:pPr>
      <w:r w:rsidRPr="008052B8">
        <w:tab/>
        <w:t>(c)</w:t>
      </w:r>
      <w:r w:rsidRPr="008052B8">
        <w:tab/>
        <w:t>the collection of statistical data.</w:t>
      </w:r>
    </w:p>
    <w:p w14:paraId="14B5ED8A" w14:textId="77777777" w:rsidR="003B27DD" w:rsidRPr="008052B8" w:rsidRDefault="003B27DD" w:rsidP="003B27DD">
      <w:pPr>
        <w:pStyle w:val="subsection"/>
      </w:pPr>
      <w:r w:rsidRPr="008052B8">
        <w:tab/>
        <w:t>(2)</w:t>
      </w:r>
      <w:r w:rsidRPr="008052B8">
        <w:tab/>
      </w:r>
      <w:r w:rsidR="00546C14" w:rsidRPr="008052B8">
        <w:t>I</w:t>
      </w:r>
      <w:r w:rsidRPr="008052B8">
        <w:t>f:</w:t>
      </w:r>
    </w:p>
    <w:p w14:paraId="22667F1B" w14:textId="77777777" w:rsidR="003B27DD" w:rsidRPr="008052B8" w:rsidRDefault="003B27DD" w:rsidP="003B27DD">
      <w:pPr>
        <w:pStyle w:val="paragraph"/>
      </w:pPr>
      <w:r w:rsidRPr="008052B8">
        <w:tab/>
        <w:t>(a)</w:t>
      </w:r>
      <w:r w:rsidRPr="008052B8">
        <w:tab/>
        <w:t>Australia Post asks for the information to be provided to allow Australia Post to track the location of articles removed from, or in, the normal course of carriage; and</w:t>
      </w:r>
    </w:p>
    <w:p w14:paraId="5126FC95" w14:textId="77777777" w:rsidR="003B27DD" w:rsidRPr="008052B8" w:rsidRDefault="003B27DD" w:rsidP="003B27DD">
      <w:pPr>
        <w:pStyle w:val="paragraph"/>
      </w:pPr>
      <w:r w:rsidRPr="008052B8">
        <w:tab/>
        <w:t>(b)</w:t>
      </w:r>
      <w:r w:rsidRPr="008052B8">
        <w:tab/>
        <w:t xml:space="preserve">the </w:t>
      </w:r>
      <w:r w:rsidR="006001BC" w:rsidRPr="008052B8">
        <w:t xml:space="preserve">quarantine inspection </w:t>
      </w:r>
      <w:r w:rsidRPr="008052B8">
        <w:t>agency agrees to the request;</w:t>
      </w:r>
    </w:p>
    <w:p w14:paraId="5FB4CECC" w14:textId="77777777" w:rsidR="003B27DD" w:rsidRPr="008052B8" w:rsidRDefault="003B27DD" w:rsidP="003B27DD">
      <w:pPr>
        <w:pStyle w:val="subsection2"/>
      </w:pPr>
      <w:r w:rsidRPr="008052B8">
        <w:t>information contained in the record can be made available to Australia Post for that purpose.</w:t>
      </w:r>
    </w:p>
    <w:p w14:paraId="366E4CD0" w14:textId="77777777" w:rsidR="003B27DD" w:rsidRPr="008052B8" w:rsidRDefault="003B27DD" w:rsidP="00A1481D">
      <w:pPr>
        <w:pStyle w:val="ActHead3"/>
        <w:pageBreakBefore/>
      </w:pPr>
      <w:bookmarkStart w:id="28" w:name="_Toc65664259"/>
      <w:r w:rsidRPr="00085A2B">
        <w:rPr>
          <w:rStyle w:val="CharDivNo"/>
        </w:rPr>
        <w:lastRenderedPageBreak/>
        <w:t>Division </w:t>
      </w:r>
      <w:r w:rsidR="00080D50" w:rsidRPr="00085A2B">
        <w:rPr>
          <w:rStyle w:val="CharDivNo"/>
        </w:rPr>
        <w:t>3</w:t>
      </w:r>
      <w:r w:rsidRPr="008052B8">
        <w:t>—</w:t>
      </w:r>
      <w:r w:rsidR="001A348D" w:rsidRPr="00085A2B">
        <w:rPr>
          <w:rStyle w:val="CharDivText"/>
        </w:rPr>
        <w:t>Miscellaneous</w:t>
      </w:r>
      <w:bookmarkEnd w:id="28"/>
    </w:p>
    <w:p w14:paraId="4085A632" w14:textId="77777777" w:rsidR="001A348D" w:rsidRPr="008052B8" w:rsidRDefault="003E7245" w:rsidP="001A348D">
      <w:pPr>
        <w:pStyle w:val="ActHead5"/>
      </w:pPr>
      <w:bookmarkStart w:id="29" w:name="_Toc65664260"/>
      <w:r w:rsidRPr="00085A2B">
        <w:rPr>
          <w:rStyle w:val="CharSectno"/>
        </w:rPr>
        <w:t>17</w:t>
      </w:r>
      <w:r w:rsidR="001A348D" w:rsidRPr="008052B8">
        <w:t xml:space="preserve">  Prescribed State/Territory</w:t>
      </w:r>
      <w:bookmarkEnd w:id="29"/>
    </w:p>
    <w:p w14:paraId="6245B5D0" w14:textId="77777777" w:rsidR="001A348D" w:rsidRPr="008052B8" w:rsidRDefault="001A348D" w:rsidP="001A348D">
      <w:pPr>
        <w:pStyle w:val="subsection"/>
      </w:pPr>
      <w:r w:rsidRPr="008052B8">
        <w:tab/>
      </w:r>
      <w:r w:rsidRPr="008052B8">
        <w:tab/>
        <w:t xml:space="preserve">For the purposes of the definition of </w:t>
      </w:r>
      <w:r w:rsidRPr="008052B8">
        <w:rPr>
          <w:b/>
          <w:i/>
        </w:rPr>
        <w:t>prescribed State/Territory</w:t>
      </w:r>
      <w:r w:rsidRPr="008052B8">
        <w:t xml:space="preserve"> in </w:t>
      </w:r>
      <w:r w:rsidR="001F2646" w:rsidRPr="008052B8">
        <w:t>section 9</w:t>
      </w:r>
      <w:r w:rsidRPr="008052B8">
        <w:t>0E of the Act, the following are prescribed:</w:t>
      </w:r>
    </w:p>
    <w:p w14:paraId="275CCAC0" w14:textId="77777777" w:rsidR="001A348D" w:rsidRPr="008052B8" w:rsidRDefault="001A348D" w:rsidP="001A348D">
      <w:pPr>
        <w:pStyle w:val="paragraph"/>
      </w:pPr>
      <w:r w:rsidRPr="008052B8">
        <w:tab/>
        <w:t>(a)</w:t>
      </w:r>
      <w:r w:rsidRPr="008052B8">
        <w:tab/>
      </w:r>
      <w:smartTag w:uri="urn:schemas-microsoft-com:office:smarttags" w:element="State">
        <w:smartTag w:uri="urn:schemas-microsoft-com:office:smarttags" w:element="place">
          <w:r w:rsidRPr="008052B8">
            <w:t>Western Australia</w:t>
          </w:r>
        </w:smartTag>
      </w:smartTag>
      <w:r w:rsidRPr="008052B8">
        <w:t>;</w:t>
      </w:r>
    </w:p>
    <w:p w14:paraId="2DDAE797" w14:textId="77777777" w:rsidR="001A348D" w:rsidRPr="008052B8" w:rsidRDefault="001A348D" w:rsidP="001A348D">
      <w:pPr>
        <w:pStyle w:val="paragraph"/>
      </w:pPr>
      <w:r w:rsidRPr="008052B8">
        <w:tab/>
        <w:t>(b)</w:t>
      </w:r>
      <w:r w:rsidRPr="008052B8">
        <w:tab/>
      </w:r>
      <w:smartTag w:uri="urn:schemas-microsoft-com:office:smarttags" w:element="State">
        <w:smartTag w:uri="urn:schemas-microsoft-com:office:smarttags" w:element="place">
          <w:r w:rsidRPr="008052B8">
            <w:t>Tasmania</w:t>
          </w:r>
        </w:smartTag>
      </w:smartTag>
      <w:r w:rsidRPr="008052B8">
        <w:t>;</w:t>
      </w:r>
    </w:p>
    <w:p w14:paraId="41F35C67" w14:textId="77777777" w:rsidR="001A348D" w:rsidRPr="008052B8" w:rsidRDefault="001A348D" w:rsidP="001A348D">
      <w:pPr>
        <w:pStyle w:val="paragraph"/>
      </w:pPr>
      <w:r w:rsidRPr="008052B8">
        <w:tab/>
        <w:t>(c)</w:t>
      </w:r>
      <w:r w:rsidRPr="008052B8">
        <w:tab/>
      </w:r>
      <w:smartTag w:uri="urn:schemas-microsoft-com:office:smarttags" w:element="State">
        <w:smartTag w:uri="urn:schemas-microsoft-com:office:smarttags" w:element="place">
          <w:r w:rsidRPr="008052B8">
            <w:t>Northern Territory</w:t>
          </w:r>
        </w:smartTag>
      </w:smartTag>
      <w:r w:rsidRPr="008052B8">
        <w:t>.</w:t>
      </w:r>
    </w:p>
    <w:p w14:paraId="302CBF60" w14:textId="77777777" w:rsidR="003B27DD" w:rsidRPr="008052B8" w:rsidRDefault="003E7245" w:rsidP="003B27DD">
      <w:pPr>
        <w:pStyle w:val="ActHead5"/>
      </w:pPr>
      <w:bookmarkStart w:id="30" w:name="_Toc65664261"/>
      <w:r w:rsidRPr="00085A2B">
        <w:rPr>
          <w:rStyle w:val="CharSectno"/>
        </w:rPr>
        <w:t>18</w:t>
      </w:r>
      <w:r w:rsidR="003B27DD" w:rsidRPr="008052B8">
        <w:t xml:space="preserve">  Prohibition on use or disclosure by current and former employees</w:t>
      </w:r>
      <w:bookmarkEnd w:id="30"/>
    </w:p>
    <w:p w14:paraId="3FB68531" w14:textId="77777777" w:rsidR="00340981" w:rsidRPr="008052B8" w:rsidRDefault="003B27DD" w:rsidP="00D4245B">
      <w:pPr>
        <w:pStyle w:val="subsection"/>
      </w:pPr>
      <w:r w:rsidRPr="008052B8">
        <w:tab/>
      </w:r>
      <w:r w:rsidR="002F7DD2" w:rsidRPr="008052B8">
        <w:tab/>
      </w:r>
      <w:r w:rsidR="004A76A9" w:rsidRPr="008052B8">
        <w:t>For the purposes of</w:t>
      </w:r>
      <w:r w:rsidRPr="008052B8">
        <w:t xml:space="preserve"> paragraph</w:t>
      </w:r>
      <w:r w:rsidR="002F7DD2" w:rsidRPr="008052B8">
        <w:t>s</w:t>
      </w:r>
      <w:r w:rsidRPr="008052B8">
        <w:t xml:space="preserve"> 90J(6)(d) </w:t>
      </w:r>
      <w:r w:rsidR="002F7DD2" w:rsidRPr="008052B8">
        <w:t xml:space="preserve">and 90LC(5)(d) </w:t>
      </w:r>
      <w:r w:rsidRPr="008052B8">
        <w:t xml:space="preserve">of the Act, the </w:t>
      </w:r>
      <w:r w:rsidRPr="008052B8">
        <w:rPr>
          <w:i/>
        </w:rPr>
        <w:t>Corruption</w:t>
      </w:r>
      <w:r w:rsidR="007D12F1" w:rsidRPr="008052B8">
        <w:rPr>
          <w:i/>
        </w:rPr>
        <w:t>,</w:t>
      </w:r>
      <w:r w:rsidRPr="008052B8">
        <w:rPr>
          <w:i/>
        </w:rPr>
        <w:t xml:space="preserve"> Crime </w:t>
      </w:r>
      <w:r w:rsidR="007D12F1" w:rsidRPr="008052B8">
        <w:rPr>
          <w:i/>
        </w:rPr>
        <w:t xml:space="preserve">and Misconduct </w:t>
      </w:r>
      <w:r w:rsidRPr="008052B8">
        <w:rPr>
          <w:i/>
        </w:rPr>
        <w:t>Act 2003</w:t>
      </w:r>
      <w:bookmarkStart w:id="31" w:name="BK_S3P8L10C42"/>
      <w:bookmarkEnd w:id="31"/>
      <w:r w:rsidRPr="008052B8">
        <w:t xml:space="preserve"> </w:t>
      </w:r>
      <w:r w:rsidR="0076072B" w:rsidRPr="008052B8">
        <w:t>(WA)</w:t>
      </w:r>
      <w:r w:rsidR="003D2148" w:rsidRPr="008052B8">
        <w:t xml:space="preserve">, as in force </w:t>
      </w:r>
      <w:r w:rsidR="00D4245B" w:rsidRPr="008052B8">
        <w:t>at the commencement of this section</w:t>
      </w:r>
      <w:r w:rsidR="003D2148" w:rsidRPr="008052B8">
        <w:t>,</w:t>
      </w:r>
      <w:r w:rsidRPr="008052B8">
        <w:t xml:space="preserve"> is prescribed.</w:t>
      </w:r>
      <w:bookmarkStart w:id="32" w:name="BK_S3P8L11C46"/>
      <w:bookmarkEnd w:id="32"/>
    </w:p>
    <w:p w14:paraId="58206EEF" w14:textId="77777777" w:rsidR="007926A6" w:rsidRPr="008052B8" w:rsidRDefault="007926A6" w:rsidP="007926A6">
      <w:pPr>
        <w:pStyle w:val="ActHead2"/>
        <w:pageBreakBefore/>
      </w:pPr>
      <w:bookmarkStart w:id="33" w:name="_Toc65664262"/>
      <w:r w:rsidRPr="00085A2B">
        <w:rPr>
          <w:rStyle w:val="CharPartNo"/>
        </w:rPr>
        <w:lastRenderedPageBreak/>
        <w:t>Part 3</w:t>
      </w:r>
      <w:r w:rsidRPr="008052B8">
        <w:t>—</w:t>
      </w:r>
      <w:r w:rsidRPr="00085A2B">
        <w:rPr>
          <w:rStyle w:val="CharPartText"/>
        </w:rPr>
        <w:t>Inquiries into relevant disputes about bulk interconnection services</w:t>
      </w:r>
      <w:bookmarkEnd w:id="33"/>
    </w:p>
    <w:p w14:paraId="6F4CA143" w14:textId="77777777" w:rsidR="007926A6" w:rsidRPr="008052B8" w:rsidRDefault="007926A6" w:rsidP="007926A6">
      <w:pPr>
        <w:pStyle w:val="ActHead3"/>
      </w:pPr>
      <w:bookmarkStart w:id="34" w:name="_Toc65664263"/>
      <w:r w:rsidRPr="00085A2B">
        <w:rPr>
          <w:rStyle w:val="CharDivNo"/>
        </w:rPr>
        <w:t>Division 1</w:t>
      </w:r>
      <w:r w:rsidRPr="008052B8">
        <w:t>—</w:t>
      </w:r>
      <w:r w:rsidRPr="00085A2B">
        <w:rPr>
          <w:rStyle w:val="CharDivText"/>
        </w:rPr>
        <w:t>Preliminary</w:t>
      </w:r>
      <w:bookmarkEnd w:id="34"/>
    </w:p>
    <w:p w14:paraId="69D36A65" w14:textId="77777777" w:rsidR="007926A6" w:rsidRPr="008052B8" w:rsidRDefault="003E7245" w:rsidP="007926A6">
      <w:pPr>
        <w:pStyle w:val="ActHead5"/>
      </w:pPr>
      <w:bookmarkStart w:id="35" w:name="_Toc65664264"/>
      <w:r w:rsidRPr="00085A2B">
        <w:rPr>
          <w:rStyle w:val="CharSectno"/>
        </w:rPr>
        <w:t>19</w:t>
      </w:r>
      <w:r w:rsidR="007926A6" w:rsidRPr="008052B8">
        <w:t xml:space="preserve">  Simplified outline of this Part</w:t>
      </w:r>
      <w:bookmarkEnd w:id="35"/>
    </w:p>
    <w:p w14:paraId="6EA5839F" w14:textId="77777777" w:rsidR="007926A6" w:rsidRPr="008052B8" w:rsidRDefault="007926A6" w:rsidP="007926A6">
      <w:pPr>
        <w:pStyle w:val="SOText"/>
      </w:pPr>
      <w:r w:rsidRPr="008052B8">
        <w:t>The ACCC may inquire into a dispute between Australia Post and a person who is obtaining or who wishes to obtain a rate reduction in respect of the supply of a bulk interconnection service about the terms and conditions on which the rate reduction is or would be provided to the person.</w:t>
      </w:r>
    </w:p>
    <w:p w14:paraId="5EB77048" w14:textId="77777777" w:rsidR="007926A6" w:rsidRPr="008052B8" w:rsidRDefault="007926A6" w:rsidP="007926A6">
      <w:pPr>
        <w:pStyle w:val="SOText"/>
      </w:pPr>
      <w:r w:rsidRPr="008052B8">
        <w:t>Certain other interested persons may become parties to an inquiry.</w:t>
      </w:r>
    </w:p>
    <w:p w14:paraId="3E5B6E5F" w14:textId="77777777" w:rsidR="007926A6" w:rsidRPr="008052B8" w:rsidRDefault="007926A6" w:rsidP="007926A6">
      <w:pPr>
        <w:pStyle w:val="SOText"/>
      </w:pPr>
      <w:r w:rsidRPr="008052B8">
        <w:t>The ACCC must conduct inquiries within set timeframes and in a fair and efficient manner.</w:t>
      </w:r>
    </w:p>
    <w:p w14:paraId="54A601C9" w14:textId="77777777" w:rsidR="007926A6" w:rsidRPr="008052B8" w:rsidRDefault="007926A6" w:rsidP="007926A6">
      <w:pPr>
        <w:pStyle w:val="SOText"/>
      </w:pPr>
      <w:r w:rsidRPr="008052B8">
        <w:t>The ACCC must report to the Minister in relation to an inquiry. The report must include recommendations on the terms and conditions that are in dispute.</w:t>
      </w:r>
    </w:p>
    <w:p w14:paraId="7F9F5C99" w14:textId="77777777" w:rsidR="007926A6" w:rsidRPr="008052B8" w:rsidRDefault="007926A6" w:rsidP="007926A6">
      <w:pPr>
        <w:pStyle w:val="SOText"/>
      </w:pPr>
      <w:r w:rsidRPr="008052B8">
        <w:t>The Minister may, after consultation with the Board, direct Australia Post to act in accordance with the ACCC’s recommendations.</w:t>
      </w:r>
    </w:p>
    <w:p w14:paraId="1FB05EF5" w14:textId="77777777" w:rsidR="007926A6" w:rsidRPr="008052B8" w:rsidRDefault="003E7245" w:rsidP="007926A6">
      <w:pPr>
        <w:pStyle w:val="ActHead5"/>
      </w:pPr>
      <w:bookmarkStart w:id="36" w:name="_Toc65664265"/>
      <w:r w:rsidRPr="00085A2B">
        <w:rPr>
          <w:rStyle w:val="CharSectno"/>
        </w:rPr>
        <w:t>20</w:t>
      </w:r>
      <w:r w:rsidR="007926A6" w:rsidRPr="008052B8">
        <w:t xml:space="preserve">  Purpose of this Part</w:t>
      </w:r>
      <w:bookmarkEnd w:id="36"/>
    </w:p>
    <w:p w14:paraId="4C379CC4" w14:textId="77777777" w:rsidR="007926A6" w:rsidRPr="008052B8" w:rsidRDefault="007926A6" w:rsidP="007926A6">
      <w:pPr>
        <w:pStyle w:val="subsection"/>
      </w:pPr>
      <w:r w:rsidRPr="008052B8">
        <w:tab/>
      </w:r>
      <w:r w:rsidRPr="008052B8">
        <w:tab/>
        <w:t xml:space="preserve">This Part is made for the purposes of </w:t>
      </w:r>
      <w:r w:rsidR="00CB63AD" w:rsidRPr="008052B8">
        <w:t>section 3</w:t>
      </w:r>
      <w:r w:rsidRPr="008052B8">
        <w:t>2B of the Act.</w:t>
      </w:r>
    </w:p>
    <w:p w14:paraId="0C85FB26" w14:textId="77777777" w:rsidR="007926A6" w:rsidRPr="008052B8" w:rsidRDefault="003E7245" w:rsidP="007926A6">
      <w:pPr>
        <w:pStyle w:val="ActHead5"/>
      </w:pPr>
      <w:bookmarkStart w:id="37" w:name="_Toc65664266"/>
      <w:r w:rsidRPr="00085A2B">
        <w:rPr>
          <w:rStyle w:val="CharSectno"/>
        </w:rPr>
        <w:t>21</w:t>
      </w:r>
      <w:r w:rsidR="007926A6" w:rsidRPr="008052B8">
        <w:t xml:space="preserve">  Parties to inquiry</w:t>
      </w:r>
      <w:bookmarkEnd w:id="37"/>
    </w:p>
    <w:p w14:paraId="0B00A285" w14:textId="77777777" w:rsidR="007926A6" w:rsidRPr="008052B8" w:rsidRDefault="007926A6" w:rsidP="007926A6">
      <w:pPr>
        <w:pStyle w:val="subsection"/>
      </w:pPr>
      <w:r w:rsidRPr="008052B8">
        <w:tab/>
      </w:r>
      <w:r w:rsidRPr="008052B8">
        <w:tab/>
        <w:t>The parties to an inquiry into a relevant dispute are:</w:t>
      </w:r>
    </w:p>
    <w:p w14:paraId="32678742" w14:textId="77777777" w:rsidR="007926A6" w:rsidRPr="008052B8" w:rsidRDefault="007926A6" w:rsidP="007926A6">
      <w:pPr>
        <w:pStyle w:val="paragraph"/>
      </w:pPr>
      <w:r w:rsidRPr="008052B8">
        <w:tab/>
        <w:t>(a)</w:t>
      </w:r>
      <w:r w:rsidRPr="008052B8">
        <w:tab/>
      </w:r>
      <w:smartTag w:uri="urn:schemas-microsoft-com:office:smarttags" w:element="country-region">
        <w:smartTag w:uri="urn:schemas-microsoft-com:office:smarttags" w:element="place">
          <w:r w:rsidRPr="008052B8">
            <w:t>Australia</w:t>
          </w:r>
        </w:smartTag>
      </w:smartTag>
      <w:r w:rsidRPr="008052B8">
        <w:t xml:space="preserve"> Post; and</w:t>
      </w:r>
    </w:p>
    <w:p w14:paraId="48BCB8A2" w14:textId="77777777" w:rsidR="007926A6" w:rsidRPr="008052B8" w:rsidRDefault="007926A6" w:rsidP="007926A6">
      <w:pPr>
        <w:pStyle w:val="paragraph"/>
      </w:pPr>
      <w:r w:rsidRPr="008052B8">
        <w:tab/>
        <w:t>(b)</w:t>
      </w:r>
      <w:r w:rsidRPr="008052B8">
        <w:tab/>
        <w:t>the complainant who notifies the dispute to the ACCC; and</w:t>
      </w:r>
    </w:p>
    <w:p w14:paraId="0B03E789" w14:textId="77777777" w:rsidR="007926A6" w:rsidRPr="008052B8" w:rsidRDefault="007926A6" w:rsidP="007926A6">
      <w:pPr>
        <w:pStyle w:val="paragraph"/>
      </w:pPr>
      <w:r w:rsidRPr="008052B8">
        <w:tab/>
        <w:t>(c)</w:t>
      </w:r>
      <w:r w:rsidRPr="008052B8">
        <w:tab/>
        <w:t>another person who:</w:t>
      </w:r>
    </w:p>
    <w:p w14:paraId="2FD62D97" w14:textId="77777777" w:rsidR="007926A6" w:rsidRPr="008052B8" w:rsidRDefault="007926A6" w:rsidP="007926A6">
      <w:pPr>
        <w:pStyle w:val="paragraphsub"/>
      </w:pPr>
      <w:r w:rsidRPr="008052B8">
        <w:tab/>
        <w:t>(i)</w:t>
      </w:r>
      <w:r w:rsidRPr="008052B8">
        <w:tab/>
        <w:t>is obtaining or wishes to obtain a rate reduction in respect of the supply of a bulk interconnection service; and</w:t>
      </w:r>
    </w:p>
    <w:p w14:paraId="469FC3E2" w14:textId="77777777" w:rsidR="007926A6" w:rsidRPr="008052B8" w:rsidRDefault="007926A6" w:rsidP="007926A6">
      <w:pPr>
        <w:pStyle w:val="paragraphsub"/>
      </w:pPr>
      <w:r w:rsidRPr="008052B8">
        <w:tab/>
        <w:t>(ii)</w:t>
      </w:r>
      <w:r w:rsidRPr="008052B8">
        <w:tab/>
        <w:t>applies in writing to the ACCC to be made a party to the inquiry; and</w:t>
      </w:r>
    </w:p>
    <w:p w14:paraId="7A2AA09F" w14:textId="77777777" w:rsidR="007926A6" w:rsidRPr="008052B8" w:rsidRDefault="007926A6" w:rsidP="007926A6">
      <w:pPr>
        <w:pStyle w:val="paragraphsub"/>
      </w:pPr>
      <w:r w:rsidRPr="008052B8">
        <w:tab/>
        <w:t>(iii)</w:t>
      </w:r>
      <w:r w:rsidRPr="008052B8">
        <w:tab/>
        <w:t>is accepted by the ACCC as having a sufficient interest in the inquiry.</w:t>
      </w:r>
    </w:p>
    <w:p w14:paraId="5060E6B3" w14:textId="77777777" w:rsidR="007926A6" w:rsidRPr="008052B8" w:rsidRDefault="007926A6" w:rsidP="00A1481D">
      <w:pPr>
        <w:pStyle w:val="ActHead3"/>
        <w:pageBreakBefore/>
      </w:pPr>
      <w:bookmarkStart w:id="38" w:name="_Toc65664267"/>
      <w:r w:rsidRPr="00085A2B">
        <w:rPr>
          <w:rStyle w:val="CharDivNo"/>
        </w:rPr>
        <w:lastRenderedPageBreak/>
        <w:t>Division 2</w:t>
      </w:r>
      <w:r w:rsidRPr="008052B8">
        <w:t>—</w:t>
      </w:r>
      <w:r w:rsidRPr="00085A2B">
        <w:rPr>
          <w:rStyle w:val="CharDivText"/>
        </w:rPr>
        <w:t>Initiation of inquiries</w:t>
      </w:r>
      <w:bookmarkEnd w:id="38"/>
    </w:p>
    <w:p w14:paraId="307F5372" w14:textId="77777777" w:rsidR="007926A6" w:rsidRPr="008052B8" w:rsidRDefault="003E7245" w:rsidP="007926A6">
      <w:pPr>
        <w:pStyle w:val="ActHead5"/>
      </w:pPr>
      <w:bookmarkStart w:id="39" w:name="_Toc65664268"/>
      <w:r w:rsidRPr="00085A2B">
        <w:rPr>
          <w:rStyle w:val="CharSectno"/>
        </w:rPr>
        <w:t>22</w:t>
      </w:r>
      <w:r w:rsidR="007926A6" w:rsidRPr="008052B8">
        <w:t xml:space="preserve">  Notice of dispute</w:t>
      </w:r>
      <w:bookmarkEnd w:id="39"/>
    </w:p>
    <w:p w14:paraId="1FB0FDE7" w14:textId="77777777" w:rsidR="007926A6" w:rsidRPr="008052B8" w:rsidRDefault="007926A6" w:rsidP="007926A6">
      <w:pPr>
        <w:pStyle w:val="subsection"/>
      </w:pPr>
      <w:r w:rsidRPr="008052B8">
        <w:tab/>
        <w:t>(1)</w:t>
      </w:r>
      <w:r w:rsidRPr="008052B8">
        <w:tab/>
        <w:t>A person who is obtaining or who wishes to obtain a rate reduction in respect of the supply of a bulk interconnection service may give the ACCC written notice of a dispute with Australia Post about the terms and conditions on which the rate reduction is or would be provided to the person (including the amount of the rate reduction and the period for which the rate reduction applies or would apply).</w:t>
      </w:r>
    </w:p>
    <w:p w14:paraId="64095750" w14:textId="77777777" w:rsidR="007926A6" w:rsidRPr="008052B8" w:rsidRDefault="007926A6" w:rsidP="007926A6">
      <w:pPr>
        <w:pStyle w:val="subsection"/>
      </w:pPr>
      <w:r w:rsidRPr="008052B8">
        <w:tab/>
        <w:t>(2)</w:t>
      </w:r>
      <w:r w:rsidRPr="008052B8">
        <w:tab/>
        <w:t>The notice must:</w:t>
      </w:r>
    </w:p>
    <w:p w14:paraId="55679471" w14:textId="77777777" w:rsidR="007926A6" w:rsidRPr="008052B8" w:rsidRDefault="007926A6" w:rsidP="007926A6">
      <w:pPr>
        <w:pStyle w:val="paragraph"/>
      </w:pPr>
      <w:r w:rsidRPr="008052B8">
        <w:tab/>
        <w:t>(a)</w:t>
      </w:r>
      <w:r w:rsidRPr="008052B8">
        <w:tab/>
        <w:t>state:</w:t>
      </w:r>
    </w:p>
    <w:p w14:paraId="01B6A0FA" w14:textId="77777777" w:rsidR="007926A6" w:rsidRPr="008052B8" w:rsidRDefault="007926A6" w:rsidP="007926A6">
      <w:pPr>
        <w:pStyle w:val="paragraphsub"/>
      </w:pPr>
      <w:r w:rsidRPr="008052B8">
        <w:tab/>
        <w:t>(i)</w:t>
      </w:r>
      <w:r w:rsidRPr="008052B8">
        <w:tab/>
        <w:t>the amount of any rate reduction in respect of the supply of the service that Australia Post is providing or has offered to the person; and</w:t>
      </w:r>
    </w:p>
    <w:p w14:paraId="564A35D7" w14:textId="77777777" w:rsidR="007926A6" w:rsidRPr="008052B8" w:rsidRDefault="007926A6" w:rsidP="007926A6">
      <w:pPr>
        <w:pStyle w:val="paragraphsub"/>
      </w:pPr>
      <w:r w:rsidRPr="008052B8">
        <w:tab/>
        <w:t>(ii)</w:t>
      </w:r>
      <w:r w:rsidRPr="008052B8">
        <w:tab/>
        <w:t>if the amount of the rate reduction is in dispute—the amount that the person proposes should apply; and</w:t>
      </w:r>
    </w:p>
    <w:p w14:paraId="78005A96" w14:textId="77777777" w:rsidR="007926A6" w:rsidRPr="008052B8" w:rsidRDefault="007926A6" w:rsidP="007926A6">
      <w:pPr>
        <w:pStyle w:val="paragraphsub"/>
      </w:pPr>
      <w:r w:rsidRPr="008052B8">
        <w:tab/>
        <w:t>(iii)</w:t>
      </w:r>
      <w:r w:rsidRPr="008052B8">
        <w:tab/>
        <w:t>the period of any rate reduction in respect of the supply of the service that Australia Post is providing or has offered to the person; and</w:t>
      </w:r>
    </w:p>
    <w:p w14:paraId="40A02966" w14:textId="77777777" w:rsidR="007926A6" w:rsidRPr="008052B8" w:rsidRDefault="007926A6" w:rsidP="007926A6">
      <w:pPr>
        <w:pStyle w:val="paragraphsub"/>
      </w:pPr>
      <w:r w:rsidRPr="008052B8">
        <w:tab/>
        <w:t>(iv)</w:t>
      </w:r>
      <w:r w:rsidRPr="008052B8">
        <w:tab/>
        <w:t>if the period is in dispute—the period for which the person proposes that the rate reduction should apply; and</w:t>
      </w:r>
    </w:p>
    <w:p w14:paraId="5B61001A" w14:textId="77777777" w:rsidR="007926A6" w:rsidRPr="008052B8" w:rsidRDefault="007926A6" w:rsidP="007926A6">
      <w:pPr>
        <w:pStyle w:val="paragraphsub"/>
      </w:pPr>
      <w:r w:rsidRPr="008052B8">
        <w:tab/>
        <w:t>(v)</w:t>
      </w:r>
      <w:r w:rsidRPr="008052B8">
        <w:tab/>
        <w:t>any other terms and conditions on which Australia Post is providing or has offered a rate reduction in respect of the supply of the service to the person; and</w:t>
      </w:r>
    </w:p>
    <w:p w14:paraId="334DBB50" w14:textId="77777777" w:rsidR="007926A6" w:rsidRPr="008052B8" w:rsidRDefault="007926A6" w:rsidP="007926A6">
      <w:pPr>
        <w:pStyle w:val="paragraphsub"/>
      </w:pPr>
      <w:r w:rsidRPr="008052B8">
        <w:tab/>
        <w:t>(vi)</w:t>
      </w:r>
      <w:r w:rsidRPr="008052B8">
        <w:tab/>
        <w:t>if any of the other terms and conditions are in dispute—the terms and conditions that the person proposes should apply; and</w:t>
      </w:r>
    </w:p>
    <w:p w14:paraId="4817CC0C" w14:textId="77777777" w:rsidR="007926A6" w:rsidRPr="008052B8" w:rsidRDefault="007926A6" w:rsidP="007926A6">
      <w:pPr>
        <w:pStyle w:val="paragraph"/>
      </w:pPr>
      <w:r w:rsidRPr="008052B8">
        <w:tab/>
        <w:t>(b)</w:t>
      </w:r>
      <w:r w:rsidRPr="008052B8">
        <w:tab/>
        <w:t>state the name and address of the person; and</w:t>
      </w:r>
    </w:p>
    <w:p w14:paraId="53FBB5FC" w14:textId="77777777" w:rsidR="007926A6" w:rsidRPr="008052B8" w:rsidRDefault="007926A6" w:rsidP="007926A6">
      <w:pPr>
        <w:pStyle w:val="paragraph"/>
      </w:pPr>
      <w:r w:rsidRPr="008052B8">
        <w:tab/>
        <w:t>(c)</w:t>
      </w:r>
      <w:r w:rsidRPr="008052B8">
        <w:tab/>
        <w:t>be signed and dated by or for the person; and</w:t>
      </w:r>
    </w:p>
    <w:p w14:paraId="7A816547" w14:textId="77777777" w:rsidR="007926A6" w:rsidRPr="008052B8" w:rsidRDefault="007926A6" w:rsidP="007926A6">
      <w:pPr>
        <w:pStyle w:val="paragraph"/>
      </w:pPr>
      <w:r w:rsidRPr="008052B8">
        <w:tab/>
        <w:t>(d)</w:t>
      </w:r>
      <w:r w:rsidRPr="008052B8">
        <w:tab/>
        <w:t>if the signatory is not the person—state:</w:t>
      </w:r>
    </w:p>
    <w:p w14:paraId="511741BD" w14:textId="77777777" w:rsidR="007926A6" w:rsidRPr="008052B8" w:rsidRDefault="007926A6" w:rsidP="007926A6">
      <w:pPr>
        <w:pStyle w:val="paragraphsub"/>
      </w:pPr>
      <w:r w:rsidRPr="008052B8">
        <w:tab/>
        <w:t>(i)</w:t>
      </w:r>
      <w:r w:rsidRPr="008052B8">
        <w:tab/>
        <w:t>the name and address of the signatory; and</w:t>
      </w:r>
    </w:p>
    <w:p w14:paraId="0441CDB3" w14:textId="77777777" w:rsidR="007926A6" w:rsidRPr="008052B8" w:rsidRDefault="007926A6" w:rsidP="007926A6">
      <w:pPr>
        <w:pStyle w:val="paragraphsub"/>
      </w:pPr>
      <w:r w:rsidRPr="008052B8">
        <w:tab/>
        <w:t>(ii)</w:t>
      </w:r>
      <w:r w:rsidRPr="008052B8">
        <w:tab/>
        <w:t>the capacity in which the signatory signs the notice.</w:t>
      </w:r>
    </w:p>
    <w:p w14:paraId="6B7CFDED" w14:textId="77777777" w:rsidR="007926A6" w:rsidRPr="008052B8" w:rsidRDefault="007926A6" w:rsidP="007926A6">
      <w:pPr>
        <w:pStyle w:val="subsection"/>
      </w:pPr>
      <w:r w:rsidRPr="008052B8">
        <w:tab/>
        <w:t>(3)</w:t>
      </w:r>
      <w:r w:rsidRPr="008052B8">
        <w:tab/>
        <w:t>The notice:</w:t>
      </w:r>
    </w:p>
    <w:p w14:paraId="35266C41" w14:textId="77777777" w:rsidR="007926A6" w:rsidRPr="008052B8" w:rsidRDefault="007926A6" w:rsidP="007926A6">
      <w:pPr>
        <w:pStyle w:val="paragraph"/>
      </w:pPr>
      <w:r w:rsidRPr="008052B8">
        <w:tab/>
        <w:t>(a)</w:t>
      </w:r>
      <w:r w:rsidRPr="008052B8">
        <w:tab/>
        <w:t>may be accompanied by a copy of any document that the person believes may be relevant to the dispute; and</w:t>
      </w:r>
    </w:p>
    <w:p w14:paraId="1E13B688" w14:textId="77777777" w:rsidR="007926A6" w:rsidRPr="008052B8" w:rsidRDefault="007926A6" w:rsidP="007926A6">
      <w:pPr>
        <w:pStyle w:val="paragraph"/>
      </w:pPr>
      <w:r w:rsidRPr="008052B8">
        <w:tab/>
        <w:t>(b)</w:t>
      </w:r>
      <w:r w:rsidRPr="008052B8">
        <w:tab/>
        <w:t xml:space="preserve">if </w:t>
      </w:r>
      <w:r w:rsidR="007C587A" w:rsidRPr="008052B8">
        <w:t>paragraph (</w:t>
      </w:r>
      <w:r w:rsidRPr="008052B8">
        <w:t xml:space="preserve">a) applies—may include a request made in accordance with </w:t>
      </w:r>
      <w:r w:rsidR="00CB63AD" w:rsidRPr="008052B8">
        <w:t>section 3</w:t>
      </w:r>
      <w:r w:rsidR="003E7245" w:rsidRPr="008052B8">
        <w:t>3</w:t>
      </w:r>
      <w:r w:rsidRPr="008052B8">
        <w:t xml:space="preserve"> in relation to information contained in a document mentioned in that paragraph.</w:t>
      </w:r>
    </w:p>
    <w:p w14:paraId="754E4CBB" w14:textId="77777777" w:rsidR="007926A6" w:rsidRPr="008052B8" w:rsidRDefault="007926A6" w:rsidP="007926A6">
      <w:pPr>
        <w:pStyle w:val="subsection"/>
      </w:pPr>
      <w:r w:rsidRPr="008052B8">
        <w:tab/>
        <w:t>(4)</w:t>
      </w:r>
      <w:r w:rsidRPr="008052B8">
        <w:tab/>
        <w:t>A notice under this section may relate to more than one dispute between the person and Australia Post.</w:t>
      </w:r>
    </w:p>
    <w:p w14:paraId="57E28D28" w14:textId="77777777" w:rsidR="007926A6" w:rsidRPr="008052B8" w:rsidRDefault="003E7245" w:rsidP="007926A6">
      <w:pPr>
        <w:pStyle w:val="ActHead5"/>
      </w:pPr>
      <w:bookmarkStart w:id="40" w:name="_Toc65664269"/>
      <w:r w:rsidRPr="00085A2B">
        <w:rPr>
          <w:rStyle w:val="CharSectno"/>
        </w:rPr>
        <w:t>23</w:t>
      </w:r>
      <w:r w:rsidR="007926A6" w:rsidRPr="008052B8">
        <w:t xml:space="preserve">  ACCC response to notice of dispute</w:t>
      </w:r>
      <w:bookmarkEnd w:id="40"/>
    </w:p>
    <w:p w14:paraId="294E0EAD" w14:textId="77777777" w:rsidR="007926A6" w:rsidRPr="008052B8" w:rsidRDefault="007926A6" w:rsidP="007926A6">
      <w:pPr>
        <w:pStyle w:val="subsection"/>
      </w:pPr>
      <w:r w:rsidRPr="008052B8">
        <w:tab/>
      </w:r>
      <w:r w:rsidRPr="008052B8">
        <w:rPr>
          <w:b/>
        </w:rPr>
        <w:tab/>
      </w:r>
      <w:r w:rsidRPr="008052B8">
        <w:t xml:space="preserve">As soon as practicable after receiving notice of a dispute under </w:t>
      </w:r>
      <w:r w:rsidR="00CB63AD" w:rsidRPr="008052B8">
        <w:t>subsection 2</w:t>
      </w:r>
      <w:r w:rsidR="003E7245" w:rsidRPr="008052B8">
        <w:t>2</w:t>
      </w:r>
      <w:r w:rsidRPr="008052B8">
        <w:t>(1), the ACCC must:</w:t>
      </w:r>
    </w:p>
    <w:p w14:paraId="3295BFD7" w14:textId="77777777" w:rsidR="007926A6" w:rsidRPr="008052B8" w:rsidRDefault="007926A6" w:rsidP="007926A6">
      <w:pPr>
        <w:pStyle w:val="paragraph"/>
      </w:pPr>
      <w:r w:rsidRPr="008052B8">
        <w:tab/>
        <w:t>(a)</w:t>
      </w:r>
      <w:r w:rsidRPr="008052B8">
        <w:tab/>
        <w:t>give written notice to the complainant and Australia Post of:</w:t>
      </w:r>
    </w:p>
    <w:p w14:paraId="35ED6F67" w14:textId="77777777" w:rsidR="007926A6" w:rsidRPr="008052B8" w:rsidRDefault="007926A6" w:rsidP="007926A6">
      <w:pPr>
        <w:pStyle w:val="paragraphsub"/>
      </w:pPr>
      <w:r w:rsidRPr="008052B8">
        <w:tab/>
        <w:t>(i)</w:t>
      </w:r>
      <w:r w:rsidRPr="008052B8">
        <w:tab/>
        <w:t>the date on which the notice was received; and</w:t>
      </w:r>
    </w:p>
    <w:p w14:paraId="70D78327" w14:textId="77777777" w:rsidR="007926A6" w:rsidRPr="008052B8" w:rsidRDefault="007926A6" w:rsidP="007926A6">
      <w:pPr>
        <w:pStyle w:val="paragraphsub"/>
      </w:pPr>
      <w:r w:rsidRPr="008052B8">
        <w:tab/>
        <w:t>(ii)</w:t>
      </w:r>
      <w:r w:rsidRPr="008052B8">
        <w:tab/>
        <w:t xml:space="preserve">the date on which the ACCC must, in accordance with </w:t>
      </w:r>
      <w:r w:rsidR="00CB63AD" w:rsidRPr="008052B8">
        <w:t>subsection 2</w:t>
      </w:r>
      <w:r w:rsidR="003E7245" w:rsidRPr="008052B8">
        <w:t>7</w:t>
      </w:r>
      <w:r w:rsidRPr="008052B8">
        <w:t>(1), commence an inquiry into the dispute; and</w:t>
      </w:r>
    </w:p>
    <w:p w14:paraId="16CF6CFA" w14:textId="77777777" w:rsidR="007926A6" w:rsidRPr="008052B8" w:rsidRDefault="007926A6" w:rsidP="007926A6">
      <w:pPr>
        <w:pStyle w:val="paragraphsub"/>
      </w:pPr>
      <w:r w:rsidRPr="008052B8">
        <w:lastRenderedPageBreak/>
        <w:tab/>
        <w:t>(iii)</w:t>
      </w:r>
      <w:r w:rsidRPr="008052B8">
        <w:tab/>
        <w:t xml:space="preserve">the date by which the ACCC must, in accordance with </w:t>
      </w:r>
      <w:r w:rsidR="00CB63AD" w:rsidRPr="008052B8">
        <w:t>subsection 2</w:t>
      </w:r>
      <w:r w:rsidR="003E7245" w:rsidRPr="008052B8">
        <w:t>7</w:t>
      </w:r>
      <w:r w:rsidRPr="008052B8">
        <w:t>(2), complete the inquiry; and</w:t>
      </w:r>
    </w:p>
    <w:p w14:paraId="2E946566" w14:textId="77777777" w:rsidR="007926A6" w:rsidRPr="008052B8" w:rsidRDefault="007926A6" w:rsidP="007926A6">
      <w:pPr>
        <w:pStyle w:val="paragraphsub"/>
      </w:pPr>
      <w:r w:rsidRPr="008052B8">
        <w:tab/>
        <w:t>(iv)</w:t>
      </w:r>
      <w:r w:rsidRPr="008052B8">
        <w:tab/>
        <w:t xml:space="preserve">the substance of </w:t>
      </w:r>
      <w:r w:rsidR="00CB63AD" w:rsidRPr="008052B8">
        <w:t>subsections 2</w:t>
      </w:r>
      <w:r w:rsidR="003E7245" w:rsidRPr="008052B8">
        <w:t>6</w:t>
      </w:r>
      <w:r w:rsidRPr="008052B8">
        <w:t xml:space="preserve">(1) (circumstances in which an inquiry is not to be undertaken) and </w:t>
      </w:r>
      <w:r w:rsidR="003E7245" w:rsidRPr="008052B8">
        <w:t>35</w:t>
      </w:r>
      <w:r w:rsidRPr="008052B8">
        <w:t>(1) (circumstances in which an inquiry is to be discontinued); and</w:t>
      </w:r>
    </w:p>
    <w:p w14:paraId="0E02C4D6" w14:textId="77777777" w:rsidR="007926A6" w:rsidRPr="008052B8" w:rsidRDefault="007926A6" w:rsidP="007926A6">
      <w:pPr>
        <w:pStyle w:val="paragraph"/>
      </w:pPr>
      <w:r w:rsidRPr="008052B8">
        <w:tab/>
        <w:t>(b)</w:t>
      </w:r>
      <w:r w:rsidRPr="008052B8">
        <w:tab/>
        <w:t>give to Australia Post a copy of:</w:t>
      </w:r>
    </w:p>
    <w:p w14:paraId="1B4603DC" w14:textId="77777777" w:rsidR="007926A6" w:rsidRPr="008052B8" w:rsidRDefault="007926A6" w:rsidP="007926A6">
      <w:pPr>
        <w:pStyle w:val="paragraphsub"/>
      </w:pPr>
      <w:r w:rsidRPr="008052B8">
        <w:tab/>
        <w:t>(i)</w:t>
      </w:r>
      <w:r w:rsidRPr="008052B8">
        <w:tab/>
        <w:t xml:space="preserve">the notice under </w:t>
      </w:r>
      <w:r w:rsidR="00CB63AD" w:rsidRPr="008052B8">
        <w:t>subsection 2</w:t>
      </w:r>
      <w:r w:rsidR="003E7245" w:rsidRPr="008052B8">
        <w:t>2</w:t>
      </w:r>
      <w:r w:rsidRPr="008052B8">
        <w:t>(1) of the dispute; and</w:t>
      </w:r>
    </w:p>
    <w:p w14:paraId="680ED8A6" w14:textId="77777777" w:rsidR="007926A6" w:rsidRPr="008052B8" w:rsidRDefault="007926A6" w:rsidP="007926A6">
      <w:pPr>
        <w:pStyle w:val="paragraphsub"/>
      </w:pPr>
      <w:r w:rsidRPr="008052B8">
        <w:tab/>
        <w:t>(ii)</w:t>
      </w:r>
      <w:r w:rsidRPr="008052B8">
        <w:tab/>
        <w:t xml:space="preserve">subject to </w:t>
      </w:r>
      <w:r w:rsidR="00CB63AD" w:rsidRPr="008052B8">
        <w:t>section 3</w:t>
      </w:r>
      <w:r w:rsidR="003E7245" w:rsidRPr="008052B8">
        <w:t>3</w:t>
      </w:r>
      <w:r w:rsidRPr="008052B8">
        <w:t xml:space="preserve">, any document referred to in </w:t>
      </w:r>
      <w:r w:rsidR="00CB63AD" w:rsidRPr="008052B8">
        <w:t>subsection 2</w:t>
      </w:r>
      <w:r w:rsidR="003E7245" w:rsidRPr="008052B8">
        <w:t>2</w:t>
      </w:r>
      <w:r w:rsidRPr="008052B8">
        <w:t>(3) that accompanies the notice; and</w:t>
      </w:r>
    </w:p>
    <w:p w14:paraId="1C9A4E52" w14:textId="77777777" w:rsidR="007926A6" w:rsidRPr="008052B8" w:rsidRDefault="007926A6" w:rsidP="007926A6">
      <w:pPr>
        <w:pStyle w:val="paragraph"/>
      </w:pPr>
      <w:r w:rsidRPr="008052B8">
        <w:tab/>
        <w:t>(c)</w:t>
      </w:r>
      <w:r w:rsidRPr="008052B8">
        <w:tab/>
        <w:t>give written notice of the dispute to any other person who, in the opinion of the ACCC, may wish to become a party to the inquiry.</w:t>
      </w:r>
    </w:p>
    <w:p w14:paraId="66BB567C" w14:textId="77777777" w:rsidR="007926A6" w:rsidRPr="008052B8" w:rsidRDefault="003E7245" w:rsidP="007926A6">
      <w:pPr>
        <w:pStyle w:val="ActHead5"/>
      </w:pPr>
      <w:bookmarkStart w:id="41" w:name="_Toc65664270"/>
      <w:r w:rsidRPr="00085A2B">
        <w:rPr>
          <w:rStyle w:val="CharSectno"/>
        </w:rPr>
        <w:t>24</w:t>
      </w:r>
      <w:r w:rsidR="007926A6" w:rsidRPr="008052B8">
        <w:t xml:space="preserve">  Response of Australia Post to notice by ACCC</w:t>
      </w:r>
      <w:bookmarkEnd w:id="41"/>
    </w:p>
    <w:p w14:paraId="3BF1C3D1" w14:textId="77777777" w:rsidR="007926A6" w:rsidRPr="008052B8" w:rsidRDefault="007926A6" w:rsidP="007926A6">
      <w:pPr>
        <w:pStyle w:val="subsection"/>
      </w:pPr>
      <w:r w:rsidRPr="008052B8">
        <w:tab/>
        <w:t>(1)</w:t>
      </w:r>
      <w:r w:rsidRPr="008052B8">
        <w:tab/>
        <w:t xml:space="preserve">Within 7 days of receiving a notice under </w:t>
      </w:r>
      <w:r w:rsidR="00CB63AD" w:rsidRPr="008052B8">
        <w:t>section 2</w:t>
      </w:r>
      <w:r w:rsidR="003E7245" w:rsidRPr="008052B8">
        <w:t>3</w:t>
      </w:r>
      <w:r w:rsidRPr="008052B8">
        <w:t>, Australia Post must give written notice to the ACCC stating:</w:t>
      </w:r>
    </w:p>
    <w:p w14:paraId="44F1EA90" w14:textId="77777777" w:rsidR="007926A6" w:rsidRPr="008052B8" w:rsidRDefault="007926A6" w:rsidP="007926A6">
      <w:pPr>
        <w:pStyle w:val="paragraph"/>
      </w:pPr>
      <w:r w:rsidRPr="008052B8">
        <w:tab/>
        <w:t>(a)</w:t>
      </w:r>
      <w:r w:rsidRPr="008052B8">
        <w:tab/>
        <w:t>whether Australia Post is supplying or has made an offer to supply a bulk interconnection service to the complainant on terms and conditions that are more advantageous to the complainant than the standard terms and conditions of the service; and</w:t>
      </w:r>
    </w:p>
    <w:p w14:paraId="0FC074A7" w14:textId="77777777" w:rsidR="007926A6" w:rsidRPr="008052B8" w:rsidRDefault="007926A6" w:rsidP="007926A6">
      <w:pPr>
        <w:pStyle w:val="paragraph"/>
      </w:pPr>
      <w:r w:rsidRPr="008052B8">
        <w:tab/>
        <w:t>(b)</w:t>
      </w:r>
      <w:r w:rsidRPr="008052B8">
        <w:tab/>
        <w:t>if such a supply is being provided or such an offer has been made—details of the supply or the offer, as the case requires, including:</w:t>
      </w:r>
    </w:p>
    <w:p w14:paraId="6547D214" w14:textId="77777777" w:rsidR="007926A6" w:rsidRPr="008052B8" w:rsidRDefault="007926A6" w:rsidP="007926A6">
      <w:pPr>
        <w:pStyle w:val="paragraphsub"/>
      </w:pPr>
      <w:r w:rsidRPr="008052B8">
        <w:tab/>
        <w:t>(i)</w:t>
      </w:r>
      <w:r w:rsidRPr="008052B8">
        <w:tab/>
        <w:t>the method by which any rate reduction in respect of the supply of the service is calculated; and</w:t>
      </w:r>
    </w:p>
    <w:p w14:paraId="0F5337F0" w14:textId="77777777" w:rsidR="007926A6" w:rsidRPr="008052B8" w:rsidRDefault="007926A6" w:rsidP="007926A6">
      <w:pPr>
        <w:pStyle w:val="paragraphsub"/>
      </w:pPr>
      <w:r w:rsidRPr="008052B8">
        <w:tab/>
        <w:t>(ii)</w:t>
      </w:r>
      <w:r w:rsidRPr="008052B8">
        <w:tab/>
        <w:t>the method by which any period for which the rate reduction applies is calculated; and</w:t>
      </w:r>
    </w:p>
    <w:p w14:paraId="0695B088" w14:textId="77777777" w:rsidR="007926A6" w:rsidRPr="008052B8" w:rsidRDefault="007926A6" w:rsidP="007926A6">
      <w:pPr>
        <w:pStyle w:val="paragraph"/>
      </w:pPr>
      <w:r w:rsidRPr="008052B8">
        <w:tab/>
        <w:t>(c)</w:t>
      </w:r>
      <w:r w:rsidRPr="008052B8">
        <w:tab/>
        <w:t>if no such supply is being provided and no such offer has been made—the reasons why the standard terms and conditions of the bulk interconnection service are appropriate.</w:t>
      </w:r>
    </w:p>
    <w:p w14:paraId="37A209AE" w14:textId="77777777" w:rsidR="007926A6" w:rsidRPr="008052B8" w:rsidRDefault="007926A6" w:rsidP="007926A6">
      <w:pPr>
        <w:pStyle w:val="subsection"/>
      </w:pPr>
      <w:r w:rsidRPr="008052B8">
        <w:tab/>
        <w:t>(2)</w:t>
      </w:r>
      <w:r w:rsidRPr="008052B8">
        <w:tab/>
        <w:t>For the purposes of sub</w:t>
      </w:r>
      <w:r w:rsidR="007C587A" w:rsidRPr="008052B8">
        <w:t>paragraph (</w:t>
      </w:r>
      <w:r w:rsidRPr="008052B8">
        <w:t>1)(b)(i), the method must show the component that is Australia Post’s estimate of the average transport costs per letter avoided in relation to letters lodged with Australia Post for delivery in accordance with the terms and conditions of the bulk interconnection service which is or would be supplied to the complainant.</w:t>
      </w:r>
    </w:p>
    <w:p w14:paraId="5E5A1B7F" w14:textId="77777777" w:rsidR="007926A6" w:rsidRPr="008052B8" w:rsidRDefault="007926A6" w:rsidP="007926A6">
      <w:pPr>
        <w:pStyle w:val="notetext"/>
      </w:pPr>
      <w:r w:rsidRPr="008052B8">
        <w:t>Note:</w:t>
      </w:r>
      <w:r w:rsidRPr="008052B8">
        <w:tab/>
        <w:t xml:space="preserve">Australia Post may make a request under </w:t>
      </w:r>
      <w:r w:rsidR="00CB63AD" w:rsidRPr="008052B8">
        <w:t>section 3</w:t>
      </w:r>
      <w:r w:rsidR="003E7245" w:rsidRPr="008052B8">
        <w:t>3</w:t>
      </w:r>
      <w:r w:rsidRPr="008052B8">
        <w:t xml:space="preserve"> (which relates to confidential commercial information) in respect of information supplied under this section.</w:t>
      </w:r>
    </w:p>
    <w:p w14:paraId="41DDB552" w14:textId="77777777" w:rsidR="007926A6" w:rsidRPr="008052B8" w:rsidRDefault="003E7245" w:rsidP="007926A6">
      <w:pPr>
        <w:pStyle w:val="ActHead5"/>
      </w:pPr>
      <w:bookmarkStart w:id="42" w:name="_Toc65664271"/>
      <w:r w:rsidRPr="00085A2B">
        <w:rPr>
          <w:rStyle w:val="CharSectno"/>
        </w:rPr>
        <w:t>25</w:t>
      </w:r>
      <w:r w:rsidR="007926A6" w:rsidRPr="008052B8">
        <w:t xml:space="preserve">  Withdrawal of notice of dispute</w:t>
      </w:r>
      <w:bookmarkEnd w:id="42"/>
    </w:p>
    <w:p w14:paraId="7181F0FD" w14:textId="77777777" w:rsidR="007926A6" w:rsidRPr="008052B8" w:rsidRDefault="007926A6" w:rsidP="007926A6">
      <w:pPr>
        <w:pStyle w:val="subsection"/>
      </w:pPr>
      <w:r w:rsidRPr="008052B8">
        <w:tab/>
      </w:r>
      <w:r w:rsidRPr="008052B8">
        <w:rPr>
          <w:b/>
        </w:rPr>
        <w:tab/>
      </w:r>
      <w:r w:rsidRPr="008052B8">
        <w:t xml:space="preserve">A complainant may withdraw notice of a dispute given under </w:t>
      </w:r>
      <w:r w:rsidR="00CB63AD" w:rsidRPr="008052B8">
        <w:t>subsection 2</w:t>
      </w:r>
      <w:r w:rsidR="003E7245" w:rsidRPr="008052B8">
        <w:t>2</w:t>
      </w:r>
      <w:r w:rsidRPr="008052B8">
        <w:t>(1) by giving notice of the withdrawal in writing to the ACCC and giving a copy of the withdrawal notice to Australia Post.</w:t>
      </w:r>
    </w:p>
    <w:p w14:paraId="210710D3" w14:textId="77777777" w:rsidR="007926A6" w:rsidRPr="008052B8" w:rsidRDefault="003E7245" w:rsidP="007926A6">
      <w:pPr>
        <w:pStyle w:val="ActHead5"/>
      </w:pPr>
      <w:bookmarkStart w:id="43" w:name="_Toc65664272"/>
      <w:r w:rsidRPr="00085A2B">
        <w:rPr>
          <w:rStyle w:val="CharSectno"/>
        </w:rPr>
        <w:t>26</w:t>
      </w:r>
      <w:r w:rsidR="007926A6" w:rsidRPr="008052B8">
        <w:t xml:space="preserve">  Circumstances in which inquiry not to be undertaken</w:t>
      </w:r>
      <w:bookmarkEnd w:id="43"/>
    </w:p>
    <w:p w14:paraId="271D2C52" w14:textId="77777777" w:rsidR="007926A6" w:rsidRPr="008052B8" w:rsidRDefault="007926A6" w:rsidP="007926A6">
      <w:pPr>
        <w:pStyle w:val="subsection"/>
      </w:pPr>
      <w:r w:rsidRPr="008052B8">
        <w:tab/>
        <w:t>(1)</w:t>
      </w:r>
      <w:r w:rsidRPr="008052B8">
        <w:tab/>
        <w:t>The ACCC must not undertake an inquiry into a relevant dispute if:</w:t>
      </w:r>
    </w:p>
    <w:p w14:paraId="253A0C13" w14:textId="77777777" w:rsidR="007926A6" w:rsidRPr="008052B8" w:rsidRDefault="007926A6" w:rsidP="007926A6">
      <w:pPr>
        <w:pStyle w:val="paragraph"/>
      </w:pPr>
      <w:r w:rsidRPr="008052B8">
        <w:tab/>
        <w:t>(a)</w:t>
      </w:r>
      <w:r w:rsidRPr="008052B8">
        <w:tab/>
        <w:t>the complainant has withdrawn notice of the dispute; or</w:t>
      </w:r>
    </w:p>
    <w:p w14:paraId="3EEDF6EA" w14:textId="77777777" w:rsidR="007926A6" w:rsidRPr="008052B8" w:rsidRDefault="007926A6" w:rsidP="007926A6">
      <w:pPr>
        <w:pStyle w:val="paragraph"/>
      </w:pPr>
      <w:r w:rsidRPr="008052B8">
        <w:tab/>
        <w:t>(b)</w:t>
      </w:r>
      <w:r w:rsidRPr="008052B8">
        <w:tab/>
        <w:t>the ACCC reasonably believes that:</w:t>
      </w:r>
    </w:p>
    <w:p w14:paraId="4A2649D2" w14:textId="77777777" w:rsidR="007926A6" w:rsidRPr="008052B8" w:rsidRDefault="007926A6" w:rsidP="007926A6">
      <w:pPr>
        <w:pStyle w:val="paragraphsub"/>
      </w:pPr>
      <w:r w:rsidRPr="008052B8">
        <w:tab/>
        <w:t>(i)</w:t>
      </w:r>
      <w:r w:rsidRPr="008052B8">
        <w:tab/>
        <w:t>the dispute is trivial, misconceived or lacking in substance; or</w:t>
      </w:r>
    </w:p>
    <w:p w14:paraId="39EADCD3" w14:textId="77777777" w:rsidR="007926A6" w:rsidRPr="008052B8" w:rsidRDefault="007926A6" w:rsidP="007926A6">
      <w:pPr>
        <w:pStyle w:val="paragraphsub"/>
      </w:pPr>
      <w:r w:rsidRPr="008052B8">
        <w:lastRenderedPageBreak/>
        <w:tab/>
        <w:t>(ii)</w:t>
      </w:r>
      <w:r w:rsidRPr="008052B8">
        <w:tab/>
        <w:t>the dispute arises from negotiations between the complainant and Australia Post that were not conducted by the complainant in good faith; or</w:t>
      </w:r>
    </w:p>
    <w:p w14:paraId="022654D6" w14:textId="77777777" w:rsidR="007926A6" w:rsidRPr="008052B8" w:rsidRDefault="007926A6" w:rsidP="007926A6">
      <w:pPr>
        <w:pStyle w:val="paragraph"/>
      </w:pPr>
      <w:r w:rsidRPr="008052B8">
        <w:tab/>
        <w:t>(c)</w:t>
      </w:r>
      <w:r w:rsidRPr="008052B8">
        <w:tab/>
        <w:t xml:space="preserve">the complainant does not, within 7 days of being requested by the ACCC to do so, give the ACCC sufficient information (whether contained in documents or otherwise) to enable the ACCC to satisfy itself that </w:t>
      </w:r>
      <w:r w:rsidR="007C587A" w:rsidRPr="008052B8">
        <w:t>paragraph (</w:t>
      </w:r>
      <w:r w:rsidRPr="008052B8">
        <w:t>b) does not apply.</w:t>
      </w:r>
    </w:p>
    <w:p w14:paraId="1391427A" w14:textId="77777777" w:rsidR="007926A6" w:rsidRPr="008052B8" w:rsidRDefault="007926A6" w:rsidP="007926A6">
      <w:pPr>
        <w:pStyle w:val="subsection"/>
      </w:pPr>
      <w:r w:rsidRPr="008052B8">
        <w:tab/>
        <w:t>(2)</w:t>
      </w:r>
      <w:r w:rsidRPr="008052B8">
        <w:tab/>
        <w:t xml:space="preserve">If, because of </w:t>
      </w:r>
      <w:r w:rsidR="007C587A" w:rsidRPr="008052B8">
        <w:t>paragraph (</w:t>
      </w:r>
      <w:r w:rsidRPr="008052B8">
        <w:t>1)(b) or (c), the ACCC decides not to undertake an inquiry, the ACCC must give written notice of the reasons for the decision to the following:</w:t>
      </w:r>
    </w:p>
    <w:p w14:paraId="46B006A8" w14:textId="77777777" w:rsidR="007926A6" w:rsidRPr="008052B8" w:rsidRDefault="007926A6" w:rsidP="007926A6">
      <w:pPr>
        <w:pStyle w:val="paragraph"/>
      </w:pPr>
      <w:r w:rsidRPr="008052B8">
        <w:tab/>
        <w:t>(a)</w:t>
      </w:r>
      <w:r w:rsidRPr="008052B8">
        <w:tab/>
        <w:t>the Minister;</w:t>
      </w:r>
    </w:p>
    <w:p w14:paraId="69FC3EAF" w14:textId="77777777" w:rsidR="007926A6" w:rsidRPr="008052B8" w:rsidRDefault="007926A6" w:rsidP="007926A6">
      <w:pPr>
        <w:pStyle w:val="paragraph"/>
      </w:pPr>
      <w:r w:rsidRPr="008052B8">
        <w:tab/>
        <w:t>(b)</w:t>
      </w:r>
      <w:r w:rsidRPr="008052B8">
        <w:tab/>
        <w:t>Australia Post;</w:t>
      </w:r>
    </w:p>
    <w:p w14:paraId="0CFDAFBF" w14:textId="77777777" w:rsidR="007926A6" w:rsidRPr="008052B8" w:rsidRDefault="007926A6" w:rsidP="007926A6">
      <w:pPr>
        <w:pStyle w:val="paragraph"/>
      </w:pPr>
      <w:r w:rsidRPr="008052B8">
        <w:tab/>
        <w:t>(c)</w:t>
      </w:r>
      <w:r w:rsidRPr="008052B8">
        <w:tab/>
        <w:t>the complainant;</w:t>
      </w:r>
    </w:p>
    <w:p w14:paraId="7B4BE2A3" w14:textId="77777777" w:rsidR="007926A6" w:rsidRPr="008052B8" w:rsidRDefault="007926A6" w:rsidP="007926A6">
      <w:pPr>
        <w:pStyle w:val="paragraph"/>
      </w:pPr>
      <w:r w:rsidRPr="008052B8">
        <w:tab/>
        <w:t>(d)</w:t>
      </w:r>
      <w:r w:rsidRPr="008052B8">
        <w:tab/>
        <w:t>a person who:</w:t>
      </w:r>
    </w:p>
    <w:p w14:paraId="29428685" w14:textId="77777777" w:rsidR="007926A6" w:rsidRPr="008052B8" w:rsidRDefault="007926A6" w:rsidP="007926A6">
      <w:pPr>
        <w:pStyle w:val="paragraphsub"/>
      </w:pPr>
      <w:r w:rsidRPr="008052B8">
        <w:tab/>
        <w:t>(i)</w:t>
      </w:r>
      <w:r w:rsidRPr="008052B8">
        <w:tab/>
        <w:t xml:space="preserve">has applied under </w:t>
      </w:r>
      <w:r w:rsidR="00CB63AD" w:rsidRPr="008052B8">
        <w:t>subparagraph 2</w:t>
      </w:r>
      <w:r w:rsidR="003E7245" w:rsidRPr="008052B8">
        <w:t>1</w:t>
      </w:r>
      <w:r w:rsidRPr="008052B8">
        <w:t>(c)(ii) to be made a party to the inquiry; or</w:t>
      </w:r>
      <w:bookmarkStart w:id="44" w:name="BK_S3P12L19C13"/>
      <w:bookmarkEnd w:id="44"/>
    </w:p>
    <w:p w14:paraId="782F672B" w14:textId="77777777" w:rsidR="007926A6" w:rsidRPr="008052B8" w:rsidRDefault="007926A6" w:rsidP="007926A6">
      <w:pPr>
        <w:pStyle w:val="paragraphsub"/>
      </w:pPr>
      <w:r w:rsidRPr="008052B8">
        <w:tab/>
        <w:t>(ii)</w:t>
      </w:r>
      <w:r w:rsidRPr="008052B8">
        <w:tab/>
        <w:t xml:space="preserve">has been notified by the ACCC under </w:t>
      </w:r>
      <w:r w:rsidR="00CB63AD" w:rsidRPr="008052B8">
        <w:t>paragraph 2</w:t>
      </w:r>
      <w:r w:rsidR="003E7245" w:rsidRPr="008052B8">
        <w:t>3</w:t>
      </w:r>
      <w:r w:rsidRPr="008052B8">
        <w:t>(c).</w:t>
      </w:r>
    </w:p>
    <w:p w14:paraId="4D95C811" w14:textId="77777777" w:rsidR="007926A6" w:rsidRPr="008052B8" w:rsidRDefault="003E7245" w:rsidP="007926A6">
      <w:pPr>
        <w:pStyle w:val="ActHead5"/>
      </w:pPr>
      <w:bookmarkStart w:id="45" w:name="_Toc65664273"/>
      <w:r w:rsidRPr="00085A2B">
        <w:rPr>
          <w:rStyle w:val="CharSectno"/>
        </w:rPr>
        <w:t>27</w:t>
      </w:r>
      <w:r w:rsidR="007926A6" w:rsidRPr="008052B8">
        <w:t xml:space="preserve">  Commencement and duration of inquiry</w:t>
      </w:r>
      <w:bookmarkEnd w:id="45"/>
    </w:p>
    <w:p w14:paraId="0629204D" w14:textId="77777777" w:rsidR="007926A6" w:rsidRPr="008052B8" w:rsidRDefault="007926A6" w:rsidP="007926A6">
      <w:pPr>
        <w:pStyle w:val="subsection"/>
      </w:pPr>
      <w:r w:rsidRPr="008052B8">
        <w:tab/>
        <w:t>(1)</w:t>
      </w:r>
      <w:r w:rsidRPr="008052B8">
        <w:tab/>
        <w:t xml:space="preserve">Subject to </w:t>
      </w:r>
      <w:r w:rsidR="00CB63AD" w:rsidRPr="008052B8">
        <w:t>section 2</w:t>
      </w:r>
      <w:r w:rsidR="003E7245" w:rsidRPr="008052B8">
        <w:t>6</w:t>
      </w:r>
      <w:r w:rsidRPr="008052B8">
        <w:t xml:space="preserve">, before the end of the period of 21 days after the ACCC receives notice of a dispute under </w:t>
      </w:r>
      <w:r w:rsidR="00CB63AD" w:rsidRPr="008052B8">
        <w:t>subsection 2</w:t>
      </w:r>
      <w:r w:rsidR="003E7245" w:rsidRPr="008052B8">
        <w:t>2</w:t>
      </w:r>
      <w:r w:rsidRPr="008052B8">
        <w:t>(1), the ACCC must:</w:t>
      </w:r>
    </w:p>
    <w:p w14:paraId="72C8E191" w14:textId="77777777" w:rsidR="007926A6" w:rsidRPr="008052B8" w:rsidRDefault="007926A6" w:rsidP="007926A6">
      <w:pPr>
        <w:pStyle w:val="paragraph"/>
      </w:pPr>
      <w:r w:rsidRPr="008052B8">
        <w:tab/>
        <w:t>(a)</w:t>
      </w:r>
      <w:r w:rsidRPr="008052B8">
        <w:tab/>
        <w:t>commence an inquiry into the dispute; and</w:t>
      </w:r>
    </w:p>
    <w:p w14:paraId="1F826F57" w14:textId="77777777" w:rsidR="007926A6" w:rsidRPr="008052B8" w:rsidRDefault="007926A6" w:rsidP="007926A6">
      <w:pPr>
        <w:pStyle w:val="paragraph"/>
      </w:pPr>
      <w:r w:rsidRPr="008052B8">
        <w:tab/>
        <w:t>(b)</w:t>
      </w:r>
      <w:r w:rsidRPr="008052B8">
        <w:tab/>
        <w:t>give written notice to the Minister of the commencement of the inquiry.</w:t>
      </w:r>
    </w:p>
    <w:p w14:paraId="69F6133A" w14:textId="77777777" w:rsidR="007926A6" w:rsidRPr="008052B8" w:rsidRDefault="007926A6" w:rsidP="007926A6">
      <w:pPr>
        <w:pStyle w:val="subsection"/>
      </w:pPr>
      <w:r w:rsidRPr="008052B8">
        <w:tab/>
        <w:t>(2)</w:t>
      </w:r>
      <w:r w:rsidRPr="008052B8">
        <w:tab/>
        <w:t xml:space="preserve">Subject to subsections (3) and (5) and </w:t>
      </w:r>
      <w:r w:rsidR="00CB63AD" w:rsidRPr="008052B8">
        <w:t>section 3</w:t>
      </w:r>
      <w:r w:rsidR="003E7245" w:rsidRPr="008052B8">
        <w:t>5</w:t>
      </w:r>
      <w:r w:rsidRPr="008052B8">
        <w:t>, an inquiry must be completed not more than 60 days after the inquiry begins.</w:t>
      </w:r>
    </w:p>
    <w:p w14:paraId="204C81DF" w14:textId="77777777" w:rsidR="007926A6" w:rsidRPr="008052B8" w:rsidRDefault="007926A6" w:rsidP="007926A6">
      <w:pPr>
        <w:pStyle w:val="subsection"/>
      </w:pPr>
      <w:r w:rsidRPr="008052B8">
        <w:tab/>
        <w:t>(3)</w:t>
      </w:r>
      <w:r w:rsidRPr="008052B8">
        <w:tab/>
        <w:t>The ACCC may extend the period within which the inquiry is to be completed by a further period of not more than 30 days.</w:t>
      </w:r>
    </w:p>
    <w:p w14:paraId="321F0DC5" w14:textId="77777777" w:rsidR="007926A6" w:rsidRPr="008052B8" w:rsidRDefault="007926A6" w:rsidP="007926A6">
      <w:pPr>
        <w:pStyle w:val="subsection"/>
      </w:pPr>
      <w:r w:rsidRPr="008052B8">
        <w:tab/>
        <w:t>(4)</w:t>
      </w:r>
      <w:r w:rsidRPr="008052B8">
        <w:tab/>
        <w:t>The ACCC must give written notice of the extension, and the reasons for the extension, to:</w:t>
      </w:r>
    </w:p>
    <w:p w14:paraId="6C601C86" w14:textId="77777777" w:rsidR="007926A6" w:rsidRPr="008052B8" w:rsidRDefault="007926A6" w:rsidP="007926A6">
      <w:pPr>
        <w:pStyle w:val="paragraph"/>
      </w:pPr>
      <w:r w:rsidRPr="008052B8">
        <w:tab/>
        <w:t>(a)</w:t>
      </w:r>
      <w:r w:rsidRPr="008052B8">
        <w:tab/>
        <w:t>the Minister; and</w:t>
      </w:r>
    </w:p>
    <w:p w14:paraId="3E333857" w14:textId="77777777" w:rsidR="007926A6" w:rsidRPr="008052B8" w:rsidRDefault="007926A6" w:rsidP="007926A6">
      <w:pPr>
        <w:pStyle w:val="paragraph"/>
      </w:pPr>
      <w:r w:rsidRPr="008052B8">
        <w:tab/>
        <w:t>(b)</w:t>
      </w:r>
      <w:r w:rsidRPr="008052B8">
        <w:tab/>
        <w:t>the parties.</w:t>
      </w:r>
    </w:p>
    <w:p w14:paraId="4E053E97" w14:textId="77777777" w:rsidR="007926A6" w:rsidRPr="008052B8" w:rsidRDefault="007926A6" w:rsidP="007926A6">
      <w:pPr>
        <w:pStyle w:val="subsection"/>
      </w:pPr>
      <w:r w:rsidRPr="008052B8">
        <w:tab/>
        <w:t>(5)</w:t>
      </w:r>
      <w:r w:rsidRPr="008052B8">
        <w:tab/>
        <w:t>If a party is required or requested to provide information or produce a document (including further and better information or a further document) to the ACCC for the purposes of an inquiry:</w:t>
      </w:r>
    </w:p>
    <w:p w14:paraId="3A3F10A8" w14:textId="77777777" w:rsidR="007926A6" w:rsidRPr="008052B8" w:rsidRDefault="007926A6" w:rsidP="007926A6">
      <w:pPr>
        <w:pStyle w:val="paragraph"/>
      </w:pPr>
      <w:r w:rsidRPr="008052B8">
        <w:tab/>
        <w:t>(a)</w:t>
      </w:r>
      <w:r w:rsidRPr="008052B8">
        <w:tab/>
        <w:t xml:space="preserve">the period within which the inquiry is to be completed in accordance with </w:t>
      </w:r>
      <w:r w:rsidR="007C587A" w:rsidRPr="008052B8">
        <w:t>subsection (</w:t>
      </w:r>
      <w:r w:rsidRPr="008052B8">
        <w:t>2); or</w:t>
      </w:r>
    </w:p>
    <w:p w14:paraId="206EC2CB" w14:textId="77777777" w:rsidR="007926A6" w:rsidRPr="008052B8" w:rsidRDefault="007926A6" w:rsidP="007926A6">
      <w:pPr>
        <w:pStyle w:val="paragraph"/>
      </w:pPr>
      <w:r w:rsidRPr="008052B8">
        <w:tab/>
        <w:t>(b)</w:t>
      </w:r>
      <w:r w:rsidRPr="008052B8">
        <w:tab/>
        <w:t xml:space="preserve">that period as extended in accordance with </w:t>
      </w:r>
      <w:r w:rsidR="007C587A" w:rsidRPr="008052B8">
        <w:t>subsection (</w:t>
      </w:r>
      <w:r w:rsidRPr="008052B8">
        <w:t>3);</w:t>
      </w:r>
    </w:p>
    <w:p w14:paraId="54339D58" w14:textId="77777777" w:rsidR="007926A6" w:rsidRPr="008052B8" w:rsidRDefault="007926A6" w:rsidP="007926A6">
      <w:pPr>
        <w:pStyle w:val="subsection2"/>
      </w:pPr>
      <w:r w:rsidRPr="008052B8">
        <w:t>is increased by the number of days in the period that commences on the day on which the ACCC gives notice to the party of the requirement or the request and ends on:</w:t>
      </w:r>
    </w:p>
    <w:p w14:paraId="5B280A44" w14:textId="77777777" w:rsidR="007926A6" w:rsidRPr="008052B8" w:rsidRDefault="007926A6" w:rsidP="007926A6">
      <w:pPr>
        <w:pStyle w:val="paragraph"/>
      </w:pPr>
      <w:r w:rsidRPr="008052B8">
        <w:tab/>
        <w:t>(c)</w:t>
      </w:r>
      <w:r w:rsidRPr="008052B8">
        <w:tab/>
        <w:t>in the case of a requirement—the day on which the party provides the information or produces the document to the ACCC; or</w:t>
      </w:r>
    </w:p>
    <w:p w14:paraId="2A1EAF9E" w14:textId="77777777" w:rsidR="007926A6" w:rsidRPr="008052B8" w:rsidRDefault="007926A6" w:rsidP="007926A6">
      <w:pPr>
        <w:pStyle w:val="paragraph"/>
      </w:pPr>
      <w:r w:rsidRPr="008052B8">
        <w:tab/>
        <w:t>(d)</w:t>
      </w:r>
      <w:r w:rsidRPr="008052B8">
        <w:tab/>
        <w:t>in the case of a request—the earlier of:</w:t>
      </w:r>
    </w:p>
    <w:p w14:paraId="7643FCDD" w14:textId="77777777" w:rsidR="007926A6" w:rsidRPr="008052B8" w:rsidRDefault="007926A6" w:rsidP="007926A6">
      <w:pPr>
        <w:pStyle w:val="paragraphsub"/>
      </w:pPr>
      <w:r w:rsidRPr="008052B8">
        <w:lastRenderedPageBreak/>
        <w:tab/>
        <w:t>(i)</w:t>
      </w:r>
      <w:r w:rsidRPr="008052B8">
        <w:tab/>
        <w:t>the day on which the party provides the information or produces the document to the ACCC; and</w:t>
      </w:r>
    </w:p>
    <w:p w14:paraId="29489A88" w14:textId="77777777" w:rsidR="007926A6" w:rsidRPr="008052B8" w:rsidRDefault="007926A6" w:rsidP="007926A6">
      <w:pPr>
        <w:pStyle w:val="paragraphsub"/>
      </w:pPr>
      <w:r w:rsidRPr="008052B8">
        <w:tab/>
        <w:t>(ii)</w:t>
      </w:r>
      <w:r w:rsidRPr="008052B8">
        <w:tab/>
        <w:t>the day specified in the request as the day by which the party may provide the information or produce the document.</w:t>
      </w:r>
    </w:p>
    <w:p w14:paraId="615D0AC7" w14:textId="77777777" w:rsidR="007926A6" w:rsidRPr="008052B8" w:rsidRDefault="007926A6" w:rsidP="00A1481D">
      <w:pPr>
        <w:pStyle w:val="ActHead3"/>
        <w:pageBreakBefore/>
      </w:pPr>
      <w:bookmarkStart w:id="46" w:name="_Toc65664274"/>
      <w:r w:rsidRPr="00085A2B">
        <w:rPr>
          <w:rStyle w:val="CharDivNo"/>
        </w:rPr>
        <w:lastRenderedPageBreak/>
        <w:t>Division 3</w:t>
      </w:r>
      <w:r w:rsidRPr="008052B8">
        <w:t>—</w:t>
      </w:r>
      <w:r w:rsidRPr="00085A2B">
        <w:rPr>
          <w:rStyle w:val="CharDivText"/>
        </w:rPr>
        <w:t>Conduct of inquiries</w:t>
      </w:r>
      <w:bookmarkEnd w:id="46"/>
    </w:p>
    <w:p w14:paraId="4973570C" w14:textId="77777777" w:rsidR="007926A6" w:rsidRPr="008052B8" w:rsidRDefault="003E7245" w:rsidP="007926A6">
      <w:pPr>
        <w:pStyle w:val="ActHead5"/>
      </w:pPr>
      <w:bookmarkStart w:id="47" w:name="_Toc65664275"/>
      <w:r w:rsidRPr="00085A2B">
        <w:rPr>
          <w:rStyle w:val="CharSectno"/>
        </w:rPr>
        <w:t>28</w:t>
      </w:r>
      <w:r w:rsidR="007926A6" w:rsidRPr="008052B8">
        <w:t xml:space="preserve">  Powers of ACCC</w:t>
      </w:r>
      <w:bookmarkEnd w:id="47"/>
    </w:p>
    <w:p w14:paraId="68DF50A2" w14:textId="77777777" w:rsidR="007926A6" w:rsidRPr="008052B8" w:rsidRDefault="007926A6" w:rsidP="007926A6">
      <w:pPr>
        <w:pStyle w:val="subsection"/>
      </w:pPr>
      <w:r w:rsidRPr="008052B8">
        <w:tab/>
        <w:t>(1)</w:t>
      </w:r>
      <w:r w:rsidRPr="008052B8">
        <w:rPr>
          <w:b/>
        </w:rPr>
        <w:tab/>
      </w:r>
      <w:r w:rsidRPr="008052B8">
        <w:t>The ACCC may:</w:t>
      </w:r>
    </w:p>
    <w:p w14:paraId="5A25388F" w14:textId="77777777" w:rsidR="007926A6" w:rsidRPr="008052B8" w:rsidRDefault="007926A6" w:rsidP="007926A6">
      <w:pPr>
        <w:pStyle w:val="paragraph"/>
      </w:pPr>
      <w:r w:rsidRPr="008052B8">
        <w:tab/>
        <w:t>(a)</w:t>
      </w:r>
      <w:r w:rsidRPr="008052B8">
        <w:tab/>
        <w:t>extend the time at or before which information may or must be given, or a document may or must be produced, to the ACCC under this Part; and</w:t>
      </w:r>
    </w:p>
    <w:p w14:paraId="60F79A64" w14:textId="77777777" w:rsidR="007926A6" w:rsidRPr="008052B8" w:rsidRDefault="007926A6" w:rsidP="007926A6">
      <w:pPr>
        <w:pStyle w:val="paragraph"/>
      </w:pPr>
      <w:r w:rsidRPr="008052B8">
        <w:tab/>
        <w:t>(b)</w:t>
      </w:r>
      <w:r w:rsidRPr="008052B8">
        <w:tab/>
        <w:t>permit a person to amend or withdraw information or evidence given to, or a document produced to, the ACCC for the purposes of an inquiry; and</w:t>
      </w:r>
    </w:p>
    <w:p w14:paraId="15EAE35E" w14:textId="77777777" w:rsidR="007926A6" w:rsidRPr="008052B8" w:rsidRDefault="007926A6" w:rsidP="007926A6">
      <w:pPr>
        <w:pStyle w:val="paragraph"/>
      </w:pPr>
      <w:r w:rsidRPr="008052B8">
        <w:tab/>
        <w:t>(c)</w:t>
      </w:r>
      <w:r w:rsidRPr="008052B8">
        <w:tab/>
        <w:t>adjourn an inquiry to any time or place; and</w:t>
      </w:r>
    </w:p>
    <w:p w14:paraId="6F215C58" w14:textId="77777777" w:rsidR="007926A6" w:rsidRPr="008052B8" w:rsidRDefault="007926A6" w:rsidP="007926A6">
      <w:pPr>
        <w:pStyle w:val="paragraph"/>
      </w:pPr>
      <w:r w:rsidRPr="008052B8">
        <w:tab/>
        <w:t>(d)</w:t>
      </w:r>
      <w:r w:rsidRPr="008052B8">
        <w:tab/>
        <w:t>decide:</w:t>
      </w:r>
    </w:p>
    <w:p w14:paraId="6DE09BF2" w14:textId="77777777" w:rsidR="007926A6" w:rsidRPr="008052B8" w:rsidRDefault="007926A6" w:rsidP="007926A6">
      <w:pPr>
        <w:pStyle w:val="paragraphsub"/>
      </w:pPr>
      <w:r w:rsidRPr="008052B8">
        <w:tab/>
        <w:t>(i)</w:t>
      </w:r>
      <w:r w:rsidRPr="008052B8">
        <w:tab/>
        <w:t>to limit the duration of the time in which a person may give evidence or make a submission at a conference; and</w:t>
      </w:r>
    </w:p>
    <w:p w14:paraId="5CCB760B" w14:textId="77777777" w:rsidR="007926A6" w:rsidRPr="008052B8" w:rsidRDefault="007926A6" w:rsidP="007926A6">
      <w:pPr>
        <w:pStyle w:val="paragraphsub"/>
      </w:pPr>
      <w:r w:rsidRPr="008052B8">
        <w:tab/>
        <w:t>(ii)</w:t>
      </w:r>
      <w:r w:rsidRPr="008052B8">
        <w:tab/>
        <w:t>who may be present at a conference; and</w:t>
      </w:r>
    </w:p>
    <w:p w14:paraId="047C69D4" w14:textId="77777777" w:rsidR="007926A6" w:rsidRPr="008052B8" w:rsidRDefault="007926A6" w:rsidP="007926A6">
      <w:pPr>
        <w:pStyle w:val="paragraphsub"/>
      </w:pPr>
      <w:r w:rsidRPr="008052B8">
        <w:tab/>
        <w:t>(iii)</w:t>
      </w:r>
      <w:r w:rsidRPr="008052B8">
        <w:tab/>
        <w:t>whether a conference may be conducted wholly or partly in person or by telephone, closed circuit television or another means of communication.</w:t>
      </w:r>
    </w:p>
    <w:p w14:paraId="33F497B9" w14:textId="77777777" w:rsidR="007926A6" w:rsidRPr="008052B8" w:rsidRDefault="007926A6" w:rsidP="007926A6">
      <w:pPr>
        <w:pStyle w:val="subsection"/>
      </w:pPr>
      <w:r w:rsidRPr="008052B8">
        <w:tab/>
        <w:t>(2)</w:t>
      </w:r>
      <w:r w:rsidRPr="008052B8">
        <w:tab/>
        <w:t>The ACCC must exercise its powers in a manner:</w:t>
      </w:r>
    </w:p>
    <w:p w14:paraId="496D6667" w14:textId="77777777" w:rsidR="007926A6" w:rsidRPr="008052B8" w:rsidRDefault="007926A6" w:rsidP="007926A6">
      <w:pPr>
        <w:pStyle w:val="paragraph"/>
      </w:pPr>
      <w:r w:rsidRPr="008052B8">
        <w:tab/>
        <w:t>(a)</w:t>
      </w:r>
      <w:r w:rsidRPr="008052B8">
        <w:tab/>
        <w:t xml:space="preserve">that enables the ACCC to complete an inquiry within the time prescribed by </w:t>
      </w:r>
      <w:r w:rsidR="00CB63AD" w:rsidRPr="008052B8">
        <w:t>section 2</w:t>
      </w:r>
      <w:r w:rsidR="003E7245" w:rsidRPr="008052B8">
        <w:t>7</w:t>
      </w:r>
      <w:r w:rsidRPr="008052B8">
        <w:t>; and</w:t>
      </w:r>
    </w:p>
    <w:p w14:paraId="04FE613A" w14:textId="77777777" w:rsidR="007926A6" w:rsidRPr="008052B8" w:rsidRDefault="007926A6" w:rsidP="007926A6">
      <w:pPr>
        <w:pStyle w:val="paragraph"/>
      </w:pPr>
      <w:r w:rsidRPr="008052B8">
        <w:tab/>
        <w:t>(b)</w:t>
      </w:r>
      <w:r w:rsidRPr="008052B8">
        <w:tab/>
        <w:t>that is fair and efficient.</w:t>
      </w:r>
    </w:p>
    <w:p w14:paraId="2DE49F73" w14:textId="77777777" w:rsidR="007926A6" w:rsidRPr="008052B8" w:rsidRDefault="007926A6" w:rsidP="007926A6">
      <w:pPr>
        <w:pStyle w:val="subsection"/>
      </w:pPr>
      <w:r w:rsidRPr="008052B8">
        <w:tab/>
        <w:t>(3)</w:t>
      </w:r>
      <w:r w:rsidRPr="008052B8">
        <w:tab/>
        <w:t>In conducting an inquiry, the ACCC is not bound by legal forms or technicalities or the rules of evidence.</w:t>
      </w:r>
    </w:p>
    <w:p w14:paraId="36C5CD27" w14:textId="77777777" w:rsidR="007926A6" w:rsidRPr="008052B8" w:rsidRDefault="003E7245" w:rsidP="007926A6">
      <w:pPr>
        <w:pStyle w:val="ActHead5"/>
      </w:pPr>
      <w:bookmarkStart w:id="48" w:name="_Toc65664276"/>
      <w:r w:rsidRPr="00085A2B">
        <w:rPr>
          <w:rStyle w:val="CharSectno"/>
        </w:rPr>
        <w:t>29</w:t>
      </w:r>
      <w:r w:rsidR="007926A6" w:rsidRPr="008052B8">
        <w:t xml:space="preserve">  Joint inquiries</w:t>
      </w:r>
      <w:bookmarkEnd w:id="48"/>
    </w:p>
    <w:p w14:paraId="5D5C2ADB" w14:textId="77777777" w:rsidR="007926A6" w:rsidRPr="008052B8" w:rsidRDefault="007926A6" w:rsidP="007926A6">
      <w:pPr>
        <w:pStyle w:val="subsection"/>
      </w:pPr>
      <w:r w:rsidRPr="008052B8">
        <w:tab/>
        <w:t>(1)</w:t>
      </w:r>
      <w:r w:rsidRPr="008052B8">
        <w:tab/>
        <w:t>The ACCC may, with the consent of the parties, conduct a joint inquiry into 2 or more relevant disputes if it considers that it is appropriate to do so because:</w:t>
      </w:r>
    </w:p>
    <w:p w14:paraId="33E4FDA8" w14:textId="77777777" w:rsidR="007926A6" w:rsidRPr="008052B8" w:rsidRDefault="007926A6" w:rsidP="007926A6">
      <w:pPr>
        <w:pStyle w:val="paragraph"/>
      </w:pPr>
      <w:r w:rsidRPr="008052B8">
        <w:tab/>
        <w:t>(a)</w:t>
      </w:r>
      <w:r w:rsidRPr="008052B8">
        <w:tab/>
        <w:t>the relevant disputes involve sufficiently similar issues; or</w:t>
      </w:r>
    </w:p>
    <w:p w14:paraId="72E3F7A9" w14:textId="77777777" w:rsidR="007926A6" w:rsidRPr="008052B8" w:rsidRDefault="007926A6" w:rsidP="007926A6">
      <w:pPr>
        <w:pStyle w:val="paragraph"/>
      </w:pPr>
      <w:r w:rsidRPr="008052B8">
        <w:tab/>
        <w:t>(b)</w:t>
      </w:r>
      <w:r w:rsidRPr="008052B8">
        <w:tab/>
        <w:t>the complainant in each relevant dispute is the same person.</w:t>
      </w:r>
    </w:p>
    <w:p w14:paraId="2EA1023C" w14:textId="77777777" w:rsidR="007926A6" w:rsidRPr="008052B8" w:rsidRDefault="007926A6" w:rsidP="007926A6">
      <w:pPr>
        <w:pStyle w:val="subsection"/>
      </w:pPr>
      <w:r w:rsidRPr="008052B8">
        <w:tab/>
        <w:t>(2)</w:t>
      </w:r>
      <w:r w:rsidRPr="008052B8">
        <w:tab/>
        <w:t xml:space="preserve">For the purposes of </w:t>
      </w:r>
      <w:r w:rsidR="007C587A" w:rsidRPr="008052B8">
        <w:t>paragraph (</w:t>
      </w:r>
      <w:r w:rsidRPr="008052B8">
        <w:t xml:space="preserve">1)(b), complainants that are bodies corporate that, under section 50 of the </w:t>
      </w:r>
      <w:r w:rsidRPr="008052B8">
        <w:rPr>
          <w:i/>
        </w:rPr>
        <w:t>Corporations Act 2001</w:t>
      </w:r>
      <w:r w:rsidRPr="008052B8">
        <w:t>, are related to each other are taken to be the same person.</w:t>
      </w:r>
    </w:p>
    <w:p w14:paraId="71DF8ABD" w14:textId="77777777" w:rsidR="007926A6" w:rsidRPr="008052B8" w:rsidRDefault="007926A6" w:rsidP="007926A6">
      <w:pPr>
        <w:pStyle w:val="subsection"/>
      </w:pPr>
      <w:r w:rsidRPr="008052B8">
        <w:tab/>
        <w:t>(3)</w:t>
      </w:r>
      <w:r w:rsidRPr="008052B8">
        <w:tab/>
        <w:t>If the ACCC conducts a joint inquiry, the ACCC must make separate recommendations in relation to each relevant dispute dealt with at the inquiry.</w:t>
      </w:r>
    </w:p>
    <w:p w14:paraId="27DA77C9" w14:textId="77777777" w:rsidR="007926A6" w:rsidRPr="008052B8" w:rsidRDefault="003E7245" w:rsidP="007926A6">
      <w:pPr>
        <w:pStyle w:val="ActHead5"/>
      </w:pPr>
      <w:bookmarkStart w:id="49" w:name="_Toc65664277"/>
      <w:r w:rsidRPr="00085A2B">
        <w:rPr>
          <w:rStyle w:val="CharSectno"/>
        </w:rPr>
        <w:t>30</w:t>
      </w:r>
      <w:r w:rsidR="007926A6" w:rsidRPr="008052B8">
        <w:t xml:space="preserve">  Use of information obtained under Part VIIA of </w:t>
      </w:r>
      <w:r w:rsidR="007926A6" w:rsidRPr="008052B8">
        <w:rPr>
          <w:i/>
        </w:rPr>
        <w:t>Competition and Consumer Act 2010</w:t>
      </w:r>
      <w:bookmarkStart w:id="50" w:name="BK_S3P14L33C9"/>
      <w:bookmarkEnd w:id="49"/>
      <w:bookmarkEnd w:id="50"/>
    </w:p>
    <w:p w14:paraId="03322F11" w14:textId="77777777" w:rsidR="007926A6" w:rsidRPr="008052B8" w:rsidRDefault="007926A6" w:rsidP="007926A6">
      <w:pPr>
        <w:pStyle w:val="subsection"/>
      </w:pPr>
      <w:r w:rsidRPr="008052B8">
        <w:tab/>
      </w:r>
      <w:r w:rsidRPr="008052B8">
        <w:tab/>
        <w:t xml:space="preserve">If the ACCC thinks that any information that was obtained by it under Part VIIA of the </w:t>
      </w:r>
      <w:r w:rsidRPr="008052B8">
        <w:rPr>
          <w:i/>
        </w:rPr>
        <w:t>Competition and Consumer Act 2010</w:t>
      </w:r>
      <w:r w:rsidRPr="008052B8">
        <w:t xml:space="preserve"> may be relevant to an inquiry, the ACCC may use the information in the inquiry.</w:t>
      </w:r>
    </w:p>
    <w:p w14:paraId="374458DF" w14:textId="77777777" w:rsidR="007926A6" w:rsidRPr="008052B8" w:rsidRDefault="007926A6" w:rsidP="007926A6">
      <w:pPr>
        <w:pStyle w:val="notetext"/>
      </w:pPr>
      <w:r w:rsidRPr="008052B8">
        <w:t>Note:</w:t>
      </w:r>
      <w:r w:rsidRPr="008052B8">
        <w:tab/>
        <w:t xml:space="preserve">For limitations on disclosure of the information, see section 95ZN of the </w:t>
      </w:r>
      <w:r w:rsidRPr="008052B8">
        <w:rPr>
          <w:i/>
        </w:rPr>
        <w:t>Competition and Consumer Act 2010</w:t>
      </w:r>
      <w:r w:rsidRPr="008052B8">
        <w:t>.</w:t>
      </w:r>
    </w:p>
    <w:p w14:paraId="5412379B" w14:textId="77777777" w:rsidR="007926A6" w:rsidRPr="008052B8" w:rsidRDefault="003E7245" w:rsidP="007926A6">
      <w:pPr>
        <w:pStyle w:val="ActHead5"/>
      </w:pPr>
      <w:bookmarkStart w:id="51" w:name="_Toc65664278"/>
      <w:r w:rsidRPr="00085A2B">
        <w:rPr>
          <w:rStyle w:val="CharSectno"/>
        </w:rPr>
        <w:lastRenderedPageBreak/>
        <w:t>31</w:t>
      </w:r>
      <w:r w:rsidR="007926A6" w:rsidRPr="008052B8">
        <w:t xml:space="preserve">  Power to obtain information and documents</w:t>
      </w:r>
      <w:bookmarkEnd w:id="51"/>
    </w:p>
    <w:p w14:paraId="59EC28EC" w14:textId="77777777" w:rsidR="007926A6" w:rsidRPr="008052B8" w:rsidRDefault="007926A6" w:rsidP="007926A6">
      <w:pPr>
        <w:pStyle w:val="SubsectionHead"/>
      </w:pPr>
      <w:r w:rsidRPr="008052B8">
        <w:t>Information and documents—Australia Post</w:t>
      </w:r>
    </w:p>
    <w:p w14:paraId="53EAC9FD" w14:textId="77777777" w:rsidR="007926A6" w:rsidRPr="008052B8" w:rsidRDefault="007926A6" w:rsidP="007926A6">
      <w:pPr>
        <w:pStyle w:val="subsection"/>
      </w:pPr>
      <w:r w:rsidRPr="008052B8">
        <w:tab/>
        <w:t>(1)</w:t>
      </w:r>
      <w:r w:rsidRPr="008052B8">
        <w:tab/>
        <w:t>If the ACCC reasonably believes that:</w:t>
      </w:r>
    </w:p>
    <w:p w14:paraId="7153CA18" w14:textId="77777777" w:rsidR="007926A6" w:rsidRPr="008052B8" w:rsidRDefault="007926A6" w:rsidP="007926A6">
      <w:pPr>
        <w:pStyle w:val="paragraph"/>
      </w:pPr>
      <w:r w:rsidRPr="008052B8">
        <w:tab/>
        <w:t>(a)</w:t>
      </w:r>
      <w:r w:rsidRPr="008052B8">
        <w:tab/>
        <w:t>information or a document is relevant to a relevant dispute or an inquiry into a relevant dispute; and</w:t>
      </w:r>
    </w:p>
    <w:p w14:paraId="367CFD18" w14:textId="77777777" w:rsidR="007926A6" w:rsidRPr="008052B8" w:rsidRDefault="007926A6" w:rsidP="007926A6">
      <w:pPr>
        <w:pStyle w:val="paragraph"/>
      </w:pPr>
      <w:r w:rsidRPr="008052B8">
        <w:tab/>
        <w:t>(b)</w:t>
      </w:r>
      <w:r w:rsidRPr="008052B8">
        <w:tab/>
        <w:t>Australia Post is capable of providing the information or producing the document;</w:t>
      </w:r>
    </w:p>
    <w:p w14:paraId="74065DA7" w14:textId="77777777" w:rsidR="007926A6" w:rsidRPr="008052B8" w:rsidRDefault="007926A6" w:rsidP="007926A6">
      <w:pPr>
        <w:pStyle w:val="subsection2"/>
      </w:pPr>
      <w:r w:rsidRPr="008052B8">
        <w:t>the ACCC may give written notice to Australia Post to provide the information or produce the document at a place and within a period, or on a date and at a time, specified in the notice.</w:t>
      </w:r>
    </w:p>
    <w:p w14:paraId="3343CB00" w14:textId="77777777" w:rsidR="007926A6" w:rsidRPr="008052B8" w:rsidRDefault="007926A6" w:rsidP="007926A6">
      <w:pPr>
        <w:pStyle w:val="subsection"/>
      </w:pPr>
      <w:r w:rsidRPr="008052B8">
        <w:tab/>
        <w:t>(2)</w:t>
      </w:r>
      <w:r w:rsidRPr="008052B8">
        <w:tab/>
        <w:t>If Australia Post is given a notice, Australia Post must:</w:t>
      </w:r>
    </w:p>
    <w:p w14:paraId="4ACF983D" w14:textId="77777777" w:rsidR="007926A6" w:rsidRPr="008052B8" w:rsidRDefault="007926A6" w:rsidP="007926A6">
      <w:pPr>
        <w:pStyle w:val="paragraph"/>
      </w:pPr>
      <w:r w:rsidRPr="008052B8">
        <w:tab/>
        <w:t>(a)</w:t>
      </w:r>
      <w:r w:rsidRPr="008052B8">
        <w:tab/>
        <w:t>provide to the ACCC information that is specified in the notice; and</w:t>
      </w:r>
    </w:p>
    <w:p w14:paraId="191042D1" w14:textId="77777777" w:rsidR="007926A6" w:rsidRPr="008052B8" w:rsidRDefault="007926A6" w:rsidP="007926A6">
      <w:pPr>
        <w:pStyle w:val="paragraph"/>
      </w:pPr>
      <w:r w:rsidRPr="008052B8">
        <w:tab/>
        <w:t>(b)</w:t>
      </w:r>
      <w:r w:rsidRPr="008052B8">
        <w:tab/>
        <w:t>produce to the ACCC a document, or a copy of a document, that is specified in the notice;</w:t>
      </w:r>
    </w:p>
    <w:p w14:paraId="1FDFF98F" w14:textId="77777777" w:rsidR="007926A6" w:rsidRPr="008052B8" w:rsidRDefault="007926A6" w:rsidP="007926A6">
      <w:pPr>
        <w:pStyle w:val="subsection2"/>
      </w:pPr>
      <w:r w:rsidRPr="008052B8">
        <w:t>at the place and within the period, or on the date and at the time, specified in the notice.</w:t>
      </w:r>
    </w:p>
    <w:p w14:paraId="6E75AE2D" w14:textId="77777777" w:rsidR="007926A6" w:rsidRPr="008052B8" w:rsidRDefault="007926A6" w:rsidP="007926A6">
      <w:pPr>
        <w:pStyle w:val="subsection"/>
      </w:pPr>
      <w:r w:rsidRPr="008052B8">
        <w:tab/>
        <w:t>(3)</w:t>
      </w:r>
      <w:r w:rsidRPr="008052B8">
        <w:tab/>
        <w:t>If Australia Post fails to comply with the notice, the ACCC may draw an inference from the failure that is adverse to Australia Post.</w:t>
      </w:r>
    </w:p>
    <w:p w14:paraId="33A7DC46" w14:textId="77777777" w:rsidR="007926A6" w:rsidRPr="008052B8" w:rsidRDefault="007926A6" w:rsidP="007926A6">
      <w:pPr>
        <w:pStyle w:val="subsection"/>
      </w:pPr>
      <w:r w:rsidRPr="008052B8">
        <w:tab/>
        <w:t>(4)</w:t>
      </w:r>
      <w:r w:rsidRPr="008052B8">
        <w:tab/>
        <w:t>Australia Post commits an offence if:</w:t>
      </w:r>
    </w:p>
    <w:p w14:paraId="49BA40DF" w14:textId="77777777" w:rsidR="007926A6" w:rsidRPr="008052B8" w:rsidRDefault="007926A6" w:rsidP="007926A6">
      <w:pPr>
        <w:pStyle w:val="paragraph"/>
      </w:pPr>
      <w:r w:rsidRPr="008052B8">
        <w:tab/>
        <w:t>(a)</w:t>
      </w:r>
      <w:r w:rsidRPr="008052B8">
        <w:tab/>
        <w:t xml:space="preserve">Australia Post is given a notice under </w:t>
      </w:r>
      <w:r w:rsidR="007C587A" w:rsidRPr="008052B8">
        <w:t>subsection (</w:t>
      </w:r>
      <w:r w:rsidRPr="008052B8">
        <w:t>1); and</w:t>
      </w:r>
    </w:p>
    <w:p w14:paraId="095783E1" w14:textId="77777777" w:rsidR="007926A6" w:rsidRPr="008052B8" w:rsidRDefault="007926A6" w:rsidP="007926A6">
      <w:pPr>
        <w:pStyle w:val="paragraph"/>
      </w:pPr>
      <w:r w:rsidRPr="008052B8">
        <w:tab/>
        <w:t>(b)</w:t>
      </w:r>
      <w:r w:rsidRPr="008052B8">
        <w:tab/>
        <w:t>Australia Post is capable of providing the information or producing the document specified in the notice at the place and within the period, or on the date and at the time, specified in the notice; and</w:t>
      </w:r>
    </w:p>
    <w:p w14:paraId="7D6B128C" w14:textId="77777777" w:rsidR="007926A6" w:rsidRPr="008052B8" w:rsidRDefault="007926A6" w:rsidP="007926A6">
      <w:pPr>
        <w:pStyle w:val="paragraph"/>
      </w:pPr>
      <w:r w:rsidRPr="008052B8">
        <w:tab/>
        <w:t>(c)</w:t>
      </w:r>
      <w:r w:rsidRPr="008052B8">
        <w:tab/>
        <w:t>Australia Post fails to comply with the notice.</w:t>
      </w:r>
    </w:p>
    <w:p w14:paraId="0FB36D76" w14:textId="77777777" w:rsidR="007926A6" w:rsidRPr="008052B8" w:rsidRDefault="007926A6" w:rsidP="007926A6">
      <w:pPr>
        <w:pStyle w:val="notetext"/>
      </w:pPr>
      <w:r w:rsidRPr="008052B8">
        <w:t>Note 1:</w:t>
      </w:r>
      <w:r w:rsidRPr="008052B8">
        <w:tab/>
        <w:t>For corporate criminal responsibility, see Part 2.5 of the</w:t>
      </w:r>
      <w:r w:rsidRPr="008052B8">
        <w:rPr>
          <w:i/>
        </w:rPr>
        <w:t xml:space="preserve"> Criminal Code</w:t>
      </w:r>
      <w:r w:rsidRPr="008052B8">
        <w:t>.</w:t>
      </w:r>
    </w:p>
    <w:p w14:paraId="717B1138" w14:textId="77777777" w:rsidR="007926A6" w:rsidRPr="008052B8" w:rsidRDefault="007926A6" w:rsidP="007926A6">
      <w:pPr>
        <w:pStyle w:val="notetext"/>
      </w:pPr>
      <w:r w:rsidRPr="008052B8">
        <w:t>Note 2:</w:t>
      </w:r>
      <w:r w:rsidRPr="008052B8">
        <w:tab/>
        <w:t>For penalties, see section 4D of the</w:t>
      </w:r>
      <w:r w:rsidRPr="008052B8">
        <w:rPr>
          <w:i/>
        </w:rPr>
        <w:t xml:space="preserve"> Crimes Act 1914</w:t>
      </w:r>
      <w:r w:rsidRPr="008052B8">
        <w:t>.</w:t>
      </w:r>
    </w:p>
    <w:p w14:paraId="19508AE1" w14:textId="77777777" w:rsidR="007926A6" w:rsidRPr="008052B8" w:rsidRDefault="007926A6" w:rsidP="007926A6">
      <w:pPr>
        <w:pStyle w:val="notetext"/>
      </w:pPr>
      <w:r w:rsidRPr="008052B8">
        <w:t>Note 3:</w:t>
      </w:r>
      <w:r w:rsidRPr="008052B8">
        <w:tab/>
        <w:t>For penalty units, see section 4AA of the</w:t>
      </w:r>
      <w:r w:rsidRPr="008052B8">
        <w:rPr>
          <w:i/>
        </w:rPr>
        <w:t xml:space="preserve"> Crimes Act 1914</w:t>
      </w:r>
      <w:r w:rsidRPr="008052B8">
        <w:t>.</w:t>
      </w:r>
    </w:p>
    <w:p w14:paraId="41ECA531" w14:textId="77777777" w:rsidR="007926A6" w:rsidRPr="008052B8" w:rsidRDefault="007926A6" w:rsidP="007926A6">
      <w:pPr>
        <w:pStyle w:val="Penalty"/>
      </w:pPr>
      <w:r w:rsidRPr="008052B8">
        <w:t>Penalty:</w:t>
      </w:r>
      <w:r w:rsidRPr="008052B8">
        <w:tab/>
        <w:t>10 penalty units.</w:t>
      </w:r>
    </w:p>
    <w:p w14:paraId="2E8A1F45" w14:textId="77777777" w:rsidR="007926A6" w:rsidRPr="008052B8" w:rsidRDefault="007926A6" w:rsidP="007926A6">
      <w:pPr>
        <w:pStyle w:val="SubsectionHead"/>
      </w:pPr>
      <w:r w:rsidRPr="008052B8">
        <w:t>Information and documents—other party</w:t>
      </w:r>
    </w:p>
    <w:p w14:paraId="03DE6513" w14:textId="77777777" w:rsidR="007926A6" w:rsidRPr="008052B8" w:rsidRDefault="007926A6" w:rsidP="007926A6">
      <w:pPr>
        <w:pStyle w:val="subsection"/>
      </w:pPr>
      <w:r w:rsidRPr="008052B8">
        <w:tab/>
        <w:t>(5)</w:t>
      </w:r>
      <w:r w:rsidRPr="008052B8">
        <w:tab/>
        <w:t>If the ACCC reasonably believes that:</w:t>
      </w:r>
    </w:p>
    <w:p w14:paraId="05D83690" w14:textId="77777777" w:rsidR="007926A6" w:rsidRPr="008052B8" w:rsidRDefault="007926A6" w:rsidP="007926A6">
      <w:pPr>
        <w:pStyle w:val="paragraph"/>
      </w:pPr>
      <w:r w:rsidRPr="008052B8">
        <w:tab/>
        <w:t>(a)</w:t>
      </w:r>
      <w:r w:rsidRPr="008052B8">
        <w:tab/>
        <w:t>information or a document is relevant to a relevant dispute or an inquiry into a relevant dispute; and</w:t>
      </w:r>
    </w:p>
    <w:p w14:paraId="52B1EFAE" w14:textId="77777777" w:rsidR="007926A6" w:rsidRPr="008052B8" w:rsidRDefault="007926A6" w:rsidP="007926A6">
      <w:pPr>
        <w:pStyle w:val="paragraph"/>
      </w:pPr>
      <w:r w:rsidRPr="008052B8">
        <w:tab/>
        <w:t>(b)</w:t>
      </w:r>
      <w:r w:rsidRPr="008052B8">
        <w:tab/>
        <w:t>a party to the inquiry other than Australia Post is capable of providing the information or producing the document;</w:t>
      </w:r>
    </w:p>
    <w:p w14:paraId="0F44B6FD" w14:textId="77777777" w:rsidR="007926A6" w:rsidRPr="008052B8" w:rsidRDefault="007926A6" w:rsidP="007926A6">
      <w:pPr>
        <w:pStyle w:val="subsection2"/>
      </w:pPr>
      <w:r w:rsidRPr="008052B8">
        <w:t>the ACCC may give the other party a written notice requesting the other party to provide the information or produce the document at a place and within a period, or on a date and at a time, specified in the notice.</w:t>
      </w:r>
    </w:p>
    <w:p w14:paraId="5A2CB40B" w14:textId="77777777" w:rsidR="007926A6" w:rsidRPr="008052B8" w:rsidRDefault="007926A6" w:rsidP="007926A6">
      <w:pPr>
        <w:pStyle w:val="notetext"/>
      </w:pPr>
      <w:r w:rsidRPr="008052B8">
        <w:t>Note 1:</w:t>
      </w:r>
      <w:r w:rsidRPr="008052B8">
        <w:tab/>
        <w:t xml:space="preserve">A person supplying confidential commercial information under this section may make a request under </w:t>
      </w:r>
      <w:r w:rsidR="00CB63AD" w:rsidRPr="008052B8">
        <w:t>section 3</w:t>
      </w:r>
      <w:r w:rsidR="003E7245" w:rsidRPr="008052B8">
        <w:t>3</w:t>
      </w:r>
      <w:r w:rsidRPr="008052B8">
        <w:t>.</w:t>
      </w:r>
    </w:p>
    <w:p w14:paraId="0003E351" w14:textId="77777777" w:rsidR="007926A6" w:rsidRPr="008052B8" w:rsidRDefault="007926A6" w:rsidP="007926A6">
      <w:pPr>
        <w:pStyle w:val="notetext"/>
      </w:pPr>
      <w:r w:rsidRPr="008052B8">
        <w:t>Note 2:</w:t>
      </w:r>
      <w:r w:rsidRPr="008052B8">
        <w:tab/>
        <w:t xml:space="preserve">This section is in addition to more specific provisions in this Part under which a person may be requested or required to provide particular information or produce particular documents (for example, </w:t>
      </w:r>
      <w:r w:rsidR="00CB63AD" w:rsidRPr="008052B8">
        <w:t>subsection 2</w:t>
      </w:r>
      <w:r w:rsidR="003E7245" w:rsidRPr="008052B8">
        <w:t>2</w:t>
      </w:r>
      <w:r w:rsidRPr="008052B8">
        <w:t xml:space="preserve">(3) and </w:t>
      </w:r>
      <w:r w:rsidR="00CB63AD" w:rsidRPr="008052B8">
        <w:t>section 2</w:t>
      </w:r>
      <w:r w:rsidR="003E7245" w:rsidRPr="008052B8">
        <w:t>4</w:t>
      </w:r>
      <w:r w:rsidRPr="008052B8">
        <w:t>).</w:t>
      </w:r>
    </w:p>
    <w:p w14:paraId="30343B52" w14:textId="77777777" w:rsidR="007926A6" w:rsidRPr="008052B8" w:rsidRDefault="007926A6" w:rsidP="007926A6">
      <w:pPr>
        <w:pStyle w:val="notetext"/>
      </w:pPr>
      <w:r w:rsidRPr="008052B8">
        <w:lastRenderedPageBreak/>
        <w:t>Note 3:</w:t>
      </w:r>
      <w:r w:rsidRPr="008052B8">
        <w:tab/>
        <w:t xml:space="preserve">See </w:t>
      </w:r>
      <w:r w:rsidR="00CB63AD" w:rsidRPr="008052B8">
        <w:t>subsection 2</w:t>
      </w:r>
      <w:r w:rsidR="003E7245" w:rsidRPr="008052B8">
        <w:t>7</w:t>
      </w:r>
      <w:r w:rsidRPr="008052B8">
        <w:t>(5) for the effect of delay in supplying information or a document on the time limit for an inquiry.</w:t>
      </w:r>
    </w:p>
    <w:p w14:paraId="5ED488AA" w14:textId="77777777" w:rsidR="007926A6" w:rsidRPr="008052B8" w:rsidRDefault="007926A6" w:rsidP="007926A6">
      <w:pPr>
        <w:pStyle w:val="notetext"/>
      </w:pPr>
      <w:r w:rsidRPr="008052B8">
        <w:t>Note 4:</w:t>
      </w:r>
      <w:r w:rsidRPr="008052B8">
        <w:tab/>
        <w:t xml:space="preserve">Giving false or misleading information, or producing a document that is false or misleading, in response to a notice under </w:t>
      </w:r>
      <w:r w:rsidR="007C587A" w:rsidRPr="008052B8">
        <w:t>subsection (</w:t>
      </w:r>
      <w:r w:rsidRPr="008052B8">
        <w:t xml:space="preserve">1) or (5) may be an offence under </w:t>
      </w:r>
      <w:r w:rsidR="00CB63AD" w:rsidRPr="008052B8">
        <w:t>section 1</w:t>
      </w:r>
      <w:r w:rsidRPr="008052B8">
        <w:t xml:space="preserve">37.1 or 137.2 of the </w:t>
      </w:r>
      <w:r w:rsidRPr="008052B8">
        <w:rPr>
          <w:i/>
        </w:rPr>
        <w:t>Criminal Code</w:t>
      </w:r>
      <w:r w:rsidRPr="008052B8">
        <w:t>.</w:t>
      </w:r>
    </w:p>
    <w:p w14:paraId="1A8BBB30" w14:textId="77777777" w:rsidR="007926A6" w:rsidRPr="008052B8" w:rsidRDefault="003E7245" w:rsidP="007926A6">
      <w:pPr>
        <w:pStyle w:val="ActHead5"/>
      </w:pPr>
      <w:bookmarkStart w:id="52" w:name="_Toc65664279"/>
      <w:r w:rsidRPr="00085A2B">
        <w:rPr>
          <w:rStyle w:val="CharSectno"/>
        </w:rPr>
        <w:t>32</w:t>
      </w:r>
      <w:r w:rsidR="007926A6" w:rsidRPr="008052B8">
        <w:t xml:space="preserve">  Documents produced to ACCC</w:t>
      </w:r>
      <w:bookmarkEnd w:id="52"/>
    </w:p>
    <w:p w14:paraId="7D98DEED" w14:textId="77777777" w:rsidR="007926A6" w:rsidRPr="008052B8" w:rsidRDefault="007926A6" w:rsidP="007926A6">
      <w:pPr>
        <w:pStyle w:val="subsection"/>
      </w:pPr>
      <w:r w:rsidRPr="008052B8">
        <w:tab/>
      </w:r>
      <w:r w:rsidRPr="008052B8">
        <w:tab/>
        <w:t>If a document is produced to the ACCC under this Part for the purposes of an inquiry, the ACCC may:</w:t>
      </w:r>
    </w:p>
    <w:p w14:paraId="6CAD16AB" w14:textId="77777777" w:rsidR="007926A6" w:rsidRPr="008052B8" w:rsidRDefault="007926A6" w:rsidP="007926A6">
      <w:pPr>
        <w:pStyle w:val="paragraph"/>
      </w:pPr>
      <w:r w:rsidRPr="008052B8">
        <w:tab/>
        <w:t>(a)</w:t>
      </w:r>
      <w:r w:rsidRPr="008052B8">
        <w:tab/>
        <w:t>make a copy of, and take an extract from, the document; and</w:t>
      </w:r>
    </w:p>
    <w:p w14:paraId="474B7F9A" w14:textId="77777777" w:rsidR="007926A6" w:rsidRPr="008052B8" w:rsidRDefault="007926A6" w:rsidP="007926A6">
      <w:pPr>
        <w:pStyle w:val="paragraph"/>
      </w:pPr>
      <w:r w:rsidRPr="008052B8">
        <w:tab/>
        <w:t>(b)</w:t>
      </w:r>
      <w:r w:rsidRPr="008052B8">
        <w:tab/>
        <w:t>keep the document for as long as is necessary for the purposes of the inquiry.</w:t>
      </w:r>
    </w:p>
    <w:p w14:paraId="366B1CEC" w14:textId="77777777" w:rsidR="007926A6" w:rsidRPr="008052B8" w:rsidRDefault="003E7245" w:rsidP="007926A6">
      <w:pPr>
        <w:pStyle w:val="ActHead5"/>
      </w:pPr>
      <w:bookmarkStart w:id="53" w:name="_Toc65664280"/>
      <w:r w:rsidRPr="00085A2B">
        <w:rPr>
          <w:rStyle w:val="CharSectno"/>
        </w:rPr>
        <w:t>33</w:t>
      </w:r>
      <w:r w:rsidR="007926A6" w:rsidRPr="008052B8">
        <w:t xml:space="preserve">  Confidential commercial information</w:t>
      </w:r>
      <w:bookmarkEnd w:id="53"/>
    </w:p>
    <w:p w14:paraId="46416BBE" w14:textId="77777777" w:rsidR="007926A6" w:rsidRPr="008052B8" w:rsidRDefault="007926A6" w:rsidP="007926A6">
      <w:pPr>
        <w:pStyle w:val="subsection"/>
      </w:pPr>
      <w:r w:rsidRPr="008052B8">
        <w:tab/>
        <w:t>(1)</w:t>
      </w:r>
      <w:r w:rsidRPr="008052B8">
        <w:tab/>
        <w:t>A party to an inquiry may:</w:t>
      </w:r>
    </w:p>
    <w:p w14:paraId="56CF21FA" w14:textId="77777777" w:rsidR="007926A6" w:rsidRPr="008052B8" w:rsidRDefault="007926A6" w:rsidP="007926A6">
      <w:pPr>
        <w:pStyle w:val="paragraph"/>
      </w:pPr>
      <w:r w:rsidRPr="008052B8">
        <w:tab/>
        <w:t>(a)</w:t>
      </w:r>
      <w:r w:rsidRPr="008052B8">
        <w:tab/>
        <w:t>inform the ACCC that, in the opinion of the party, a specified part of a document given to the ACCC contains confidential commercial information; and</w:t>
      </w:r>
    </w:p>
    <w:p w14:paraId="6357585F" w14:textId="77777777" w:rsidR="007926A6" w:rsidRPr="008052B8" w:rsidRDefault="007926A6" w:rsidP="007926A6">
      <w:pPr>
        <w:pStyle w:val="paragraph"/>
      </w:pPr>
      <w:r w:rsidRPr="008052B8">
        <w:tab/>
        <w:t>(b)</w:t>
      </w:r>
      <w:r w:rsidRPr="008052B8">
        <w:tab/>
        <w:t>request the ACCC not to give a copy of that part of the document to another party to the inquiry.</w:t>
      </w:r>
    </w:p>
    <w:p w14:paraId="28E62B93" w14:textId="77777777" w:rsidR="007926A6" w:rsidRPr="008052B8" w:rsidRDefault="007926A6" w:rsidP="007926A6">
      <w:pPr>
        <w:pStyle w:val="subsection"/>
      </w:pPr>
      <w:r w:rsidRPr="008052B8">
        <w:tab/>
        <w:t>(2)</w:t>
      </w:r>
      <w:r w:rsidRPr="008052B8">
        <w:tab/>
        <w:t>On receiving a request, the ACCC must:</w:t>
      </w:r>
    </w:p>
    <w:p w14:paraId="212271EF" w14:textId="77777777" w:rsidR="007926A6" w:rsidRPr="008052B8" w:rsidRDefault="007926A6" w:rsidP="007926A6">
      <w:pPr>
        <w:pStyle w:val="paragraph"/>
      </w:pPr>
      <w:r w:rsidRPr="008052B8">
        <w:tab/>
        <w:t>(a)</w:t>
      </w:r>
      <w:r w:rsidRPr="008052B8">
        <w:tab/>
        <w:t>inform the other party that the request has been made and of the general nature of the matters to which the relevant part of the document relates; and</w:t>
      </w:r>
    </w:p>
    <w:p w14:paraId="417994E6" w14:textId="77777777" w:rsidR="007926A6" w:rsidRPr="008052B8" w:rsidRDefault="007926A6" w:rsidP="007926A6">
      <w:pPr>
        <w:pStyle w:val="paragraph"/>
      </w:pPr>
      <w:r w:rsidRPr="008052B8">
        <w:tab/>
        <w:t>(b)</w:t>
      </w:r>
      <w:r w:rsidRPr="008052B8">
        <w:tab/>
        <w:t>ask the other party whether it objects to the ACCC complying with the request.</w:t>
      </w:r>
    </w:p>
    <w:p w14:paraId="7052026F" w14:textId="77777777" w:rsidR="007926A6" w:rsidRPr="008052B8" w:rsidRDefault="007926A6" w:rsidP="007926A6">
      <w:pPr>
        <w:pStyle w:val="subsection"/>
      </w:pPr>
      <w:r w:rsidRPr="008052B8">
        <w:tab/>
        <w:t>(3)</w:t>
      </w:r>
      <w:r w:rsidRPr="008052B8">
        <w:tab/>
        <w:t>If the other party objects to the ACCC complying with the request, that party may inform the ACCC of the objection and of the reasons for the objection.</w:t>
      </w:r>
    </w:p>
    <w:p w14:paraId="15345616" w14:textId="77777777" w:rsidR="007926A6" w:rsidRPr="008052B8" w:rsidRDefault="007926A6" w:rsidP="007926A6">
      <w:pPr>
        <w:pStyle w:val="subsection"/>
      </w:pPr>
      <w:r w:rsidRPr="008052B8">
        <w:tab/>
        <w:t>(4)</w:t>
      </w:r>
      <w:r w:rsidRPr="008052B8">
        <w:tab/>
        <w:t>After considering:</w:t>
      </w:r>
    </w:p>
    <w:p w14:paraId="13D743EA" w14:textId="77777777" w:rsidR="007926A6" w:rsidRPr="008052B8" w:rsidRDefault="007926A6" w:rsidP="007926A6">
      <w:pPr>
        <w:pStyle w:val="paragraph"/>
      </w:pPr>
      <w:r w:rsidRPr="008052B8">
        <w:tab/>
        <w:t>(a)</w:t>
      </w:r>
      <w:r w:rsidRPr="008052B8">
        <w:tab/>
        <w:t>a request; and</w:t>
      </w:r>
    </w:p>
    <w:p w14:paraId="44552B25" w14:textId="77777777" w:rsidR="007926A6" w:rsidRPr="008052B8" w:rsidRDefault="007926A6" w:rsidP="007926A6">
      <w:pPr>
        <w:pStyle w:val="paragraph"/>
      </w:pPr>
      <w:r w:rsidRPr="008052B8">
        <w:tab/>
        <w:t>(b)</w:t>
      </w:r>
      <w:r w:rsidRPr="008052B8">
        <w:tab/>
        <w:t>any objection; and</w:t>
      </w:r>
    </w:p>
    <w:p w14:paraId="1264FAB1" w14:textId="77777777" w:rsidR="007926A6" w:rsidRPr="008052B8" w:rsidRDefault="007926A6" w:rsidP="007926A6">
      <w:pPr>
        <w:pStyle w:val="paragraph"/>
      </w:pPr>
      <w:r w:rsidRPr="008052B8">
        <w:tab/>
        <w:t>(c)</w:t>
      </w:r>
      <w:r w:rsidRPr="008052B8">
        <w:tab/>
        <w:t>any further submissions that any party has made in relation to the request;</w:t>
      </w:r>
    </w:p>
    <w:p w14:paraId="46F22062" w14:textId="77777777" w:rsidR="007926A6" w:rsidRPr="008052B8" w:rsidRDefault="007926A6" w:rsidP="007926A6">
      <w:pPr>
        <w:pStyle w:val="subsection2"/>
      </w:pPr>
      <w:r w:rsidRPr="008052B8">
        <w:t>the ACCC may decide not to give the other party a copy of so much of the document as contains confidential commercial information that the ACCC reasonably believes should not be given to the other party.</w:t>
      </w:r>
    </w:p>
    <w:p w14:paraId="51D11F66" w14:textId="77777777" w:rsidR="007926A6" w:rsidRPr="008052B8" w:rsidRDefault="007926A6" w:rsidP="007926A6">
      <w:pPr>
        <w:pStyle w:val="notetext"/>
      </w:pPr>
      <w:r w:rsidRPr="008052B8">
        <w:t>Note:</w:t>
      </w:r>
      <w:r w:rsidRPr="008052B8">
        <w:tab/>
        <w:t xml:space="preserve">A decision by the ACCC may be a document discoverable under the </w:t>
      </w:r>
      <w:r w:rsidRPr="008052B8">
        <w:rPr>
          <w:i/>
        </w:rPr>
        <w:t>Freedom of Information Act 1982</w:t>
      </w:r>
      <w:r w:rsidRPr="008052B8">
        <w:t>. Under that Act, a person has a right to obtain access to a document of an agency, other than an exempt document. Decisions refusing to grant access to a document are reviewable under that Act.</w:t>
      </w:r>
    </w:p>
    <w:p w14:paraId="5EAE770D" w14:textId="77777777" w:rsidR="007926A6" w:rsidRPr="008052B8" w:rsidRDefault="003E7245" w:rsidP="007926A6">
      <w:pPr>
        <w:pStyle w:val="ActHead5"/>
      </w:pPr>
      <w:bookmarkStart w:id="54" w:name="_Toc65664281"/>
      <w:r w:rsidRPr="00085A2B">
        <w:rPr>
          <w:rStyle w:val="CharSectno"/>
        </w:rPr>
        <w:t>34</w:t>
      </w:r>
      <w:r w:rsidR="007926A6" w:rsidRPr="008052B8">
        <w:t xml:space="preserve">  Compromise of relevant disputes</w:t>
      </w:r>
      <w:bookmarkEnd w:id="54"/>
    </w:p>
    <w:p w14:paraId="661A163F" w14:textId="77777777" w:rsidR="007926A6" w:rsidRPr="008052B8" w:rsidRDefault="007926A6" w:rsidP="007926A6">
      <w:pPr>
        <w:pStyle w:val="subsection"/>
      </w:pPr>
      <w:r w:rsidRPr="008052B8">
        <w:tab/>
        <w:t>(1)</w:t>
      </w:r>
      <w:r w:rsidRPr="008052B8">
        <w:tab/>
        <w:t>If, after an inquiry into a relevant dispute commences:</w:t>
      </w:r>
    </w:p>
    <w:p w14:paraId="11D457A4" w14:textId="77777777" w:rsidR="007926A6" w:rsidRPr="008052B8" w:rsidRDefault="007926A6" w:rsidP="007926A6">
      <w:pPr>
        <w:pStyle w:val="paragraph"/>
      </w:pPr>
      <w:r w:rsidRPr="008052B8">
        <w:tab/>
        <w:t>(a)</w:t>
      </w:r>
      <w:r w:rsidRPr="008052B8">
        <w:tab/>
        <w:t>Australia Post offers the complainant:</w:t>
      </w:r>
    </w:p>
    <w:p w14:paraId="1A32DF82" w14:textId="77777777" w:rsidR="007926A6" w:rsidRPr="008052B8" w:rsidRDefault="007926A6" w:rsidP="007926A6">
      <w:pPr>
        <w:pStyle w:val="paragraphsub"/>
      </w:pPr>
      <w:r w:rsidRPr="008052B8">
        <w:tab/>
        <w:t>(i)</w:t>
      </w:r>
      <w:r w:rsidRPr="008052B8">
        <w:tab/>
        <w:t>a rate reduction in respect of the supply of a bulk interconnection service that is the subject of the relevant dispute; or</w:t>
      </w:r>
    </w:p>
    <w:p w14:paraId="2CB54928" w14:textId="77777777" w:rsidR="007926A6" w:rsidRPr="008052B8" w:rsidRDefault="007926A6" w:rsidP="007926A6">
      <w:pPr>
        <w:pStyle w:val="paragraphsub"/>
      </w:pPr>
      <w:r w:rsidRPr="008052B8">
        <w:lastRenderedPageBreak/>
        <w:tab/>
        <w:t>(ii)</w:t>
      </w:r>
      <w:r w:rsidRPr="008052B8">
        <w:tab/>
        <w:t>a variation of the period for which a rate reduction in respect of the supply of the service applies or would apply; or</w:t>
      </w:r>
    </w:p>
    <w:p w14:paraId="41C44F95" w14:textId="77777777" w:rsidR="007926A6" w:rsidRPr="008052B8" w:rsidRDefault="007926A6" w:rsidP="007926A6">
      <w:pPr>
        <w:pStyle w:val="paragraphsub"/>
      </w:pPr>
      <w:r w:rsidRPr="008052B8">
        <w:tab/>
        <w:t>(iii)</w:t>
      </w:r>
      <w:r w:rsidRPr="008052B8">
        <w:tab/>
        <w:t>any other variation in the terms and conditions on which a rate reduction in respect of the supply of the service is or would be provided; and</w:t>
      </w:r>
    </w:p>
    <w:p w14:paraId="232DEEFB" w14:textId="77777777" w:rsidR="007926A6" w:rsidRPr="008052B8" w:rsidRDefault="007926A6" w:rsidP="007926A6">
      <w:pPr>
        <w:pStyle w:val="paragraph"/>
      </w:pPr>
      <w:r w:rsidRPr="008052B8">
        <w:tab/>
        <w:t>(b)</w:t>
      </w:r>
      <w:r w:rsidRPr="008052B8">
        <w:tab/>
        <w:t>the complainant accepts the offer;</w:t>
      </w:r>
    </w:p>
    <w:p w14:paraId="3435E395" w14:textId="77777777" w:rsidR="007926A6" w:rsidRPr="008052B8" w:rsidRDefault="007926A6" w:rsidP="007926A6">
      <w:pPr>
        <w:pStyle w:val="subsection2"/>
      </w:pPr>
      <w:r w:rsidRPr="008052B8">
        <w:t>the complainant must give written notice of acceptance of the offer to the ACCC.</w:t>
      </w:r>
    </w:p>
    <w:p w14:paraId="1268A126" w14:textId="77777777" w:rsidR="007926A6" w:rsidRPr="008052B8" w:rsidRDefault="007926A6" w:rsidP="007926A6">
      <w:pPr>
        <w:pStyle w:val="subsection"/>
      </w:pPr>
      <w:r w:rsidRPr="008052B8">
        <w:tab/>
        <w:t>(2)</w:t>
      </w:r>
      <w:r w:rsidRPr="008052B8">
        <w:tab/>
        <w:t xml:space="preserve">A reference in </w:t>
      </w:r>
      <w:r w:rsidR="007C587A" w:rsidRPr="008052B8">
        <w:t>subsection (</w:t>
      </w:r>
      <w:r w:rsidRPr="008052B8">
        <w:t>1) to an offer by Australia Post is taken to include a reference to a determination of standard terms and conditions of a bulk interconnection service.</w:t>
      </w:r>
    </w:p>
    <w:p w14:paraId="52FAF65C" w14:textId="77777777" w:rsidR="007926A6" w:rsidRPr="008052B8" w:rsidRDefault="003E7245" w:rsidP="007926A6">
      <w:pPr>
        <w:pStyle w:val="ActHead5"/>
      </w:pPr>
      <w:bookmarkStart w:id="55" w:name="_Toc65664282"/>
      <w:r w:rsidRPr="00085A2B">
        <w:rPr>
          <w:rStyle w:val="CharSectno"/>
        </w:rPr>
        <w:t>35</w:t>
      </w:r>
      <w:r w:rsidR="007926A6" w:rsidRPr="008052B8">
        <w:t xml:space="preserve">  Discontinuation of inquiry</w:t>
      </w:r>
      <w:bookmarkEnd w:id="55"/>
    </w:p>
    <w:p w14:paraId="00CA132C" w14:textId="77777777" w:rsidR="007926A6" w:rsidRPr="008052B8" w:rsidRDefault="007926A6" w:rsidP="007926A6">
      <w:pPr>
        <w:pStyle w:val="subsection"/>
      </w:pPr>
      <w:r w:rsidRPr="008052B8">
        <w:tab/>
        <w:t>(1)</w:t>
      </w:r>
      <w:r w:rsidRPr="008052B8">
        <w:rPr>
          <w:b/>
        </w:rPr>
        <w:tab/>
      </w:r>
      <w:r w:rsidRPr="008052B8">
        <w:t>The ACCC must discontinue an inquiry into a relevant dispute before making a recommendation to the Minister in accordance with Division 5 of this Part, if:</w:t>
      </w:r>
    </w:p>
    <w:p w14:paraId="634E3A1A" w14:textId="77777777" w:rsidR="007926A6" w:rsidRPr="008052B8" w:rsidRDefault="007926A6" w:rsidP="007926A6">
      <w:pPr>
        <w:pStyle w:val="paragraph"/>
      </w:pPr>
      <w:r w:rsidRPr="008052B8">
        <w:tab/>
        <w:t>(a)</w:t>
      </w:r>
      <w:r w:rsidRPr="008052B8">
        <w:tab/>
        <w:t xml:space="preserve">the ACCC receives a notice from the complainant under </w:t>
      </w:r>
      <w:r w:rsidR="00CB63AD" w:rsidRPr="008052B8">
        <w:t>section 2</w:t>
      </w:r>
      <w:r w:rsidR="003E7245" w:rsidRPr="008052B8">
        <w:t>5</w:t>
      </w:r>
      <w:r w:rsidRPr="008052B8">
        <w:t>; or</w:t>
      </w:r>
    </w:p>
    <w:p w14:paraId="4B17DD59" w14:textId="77777777" w:rsidR="007926A6" w:rsidRPr="008052B8" w:rsidRDefault="007926A6" w:rsidP="007926A6">
      <w:pPr>
        <w:pStyle w:val="paragraph"/>
      </w:pPr>
      <w:r w:rsidRPr="008052B8">
        <w:tab/>
        <w:t>(b)</w:t>
      </w:r>
      <w:r w:rsidRPr="008052B8">
        <w:tab/>
        <w:t>the ACCC:</w:t>
      </w:r>
    </w:p>
    <w:p w14:paraId="6D9385D5" w14:textId="77777777" w:rsidR="007926A6" w:rsidRPr="008052B8" w:rsidRDefault="007926A6" w:rsidP="007926A6">
      <w:pPr>
        <w:pStyle w:val="paragraphsub"/>
      </w:pPr>
      <w:r w:rsidRPr="008052B8">
        <w:tab/>
        <w:t>(i)</w:t>
      </w:r>
      <w:r w:rsidRPr="008052B8">
        <w:tab/>
        <w:t>receives a notice from the complainant under sub</w:t>
      </w:r>
      <w:r w:rsidR="00CB63AD" w:rsidRPr="008052B8">
        <w:t>section 3</w:t>
      </w:r>
      <w:r w:rsidR="003E7245" w:rsidRPr="008052B8">
        <w:t>4</w:t>
      </w:r>
      <w:r w:rsidRPr="008052B8">
        <w:t>(1); and</w:t>
      </w:r>
    </w:p>
    <w:p w14:paraId="4F8228CD" w14:textId="77777777" w:rsidR="007926A6" w:rsidRPr="008052B8" w:rsidRDefault="007926A6" w:rsidP="007926A6">
      <w:pPr>
        <w:pStyle w:val="paragraphsub"/>
      </w:pPr>
      <w:r w:rsidRPr="008052B8">
        <w:tab/>
        <w:t>(ii)</w:t>
      </w:r>
      <w:r w:rsidRPr="008052B8">
        <w:tab/>
        <w:t>is satisfied that the offer mentioned in that subsection is fair and reasonable; or</w:t>
      </w:r>
    </w:p>
    <w:p w14:paraId="4F641404" w14:textId="77777777" w:rsidR="007926A6" w:rsidRPr="008052B8" w:rsidRDefault="007926A6" w:rsidP="007926A6">
      <w:pPr>
        <w:pStyle w:val="paragraph"/>
      </w:pPr>
      <w:r w:rsidRPr="008052B8">
        <w:tab/>
        <w:t>(c)</w:t>
      </w:r>
      <w:r w:rsidRPr="008052B8">
        <w:tab/>
        <w:t>the ACCC, after commencing the inquiry, comes to reasonably believe that:</w:t>
      </w:r>
    </w:p>
    <w:p w14:paraId="4D60CB99" w14:textId="77777777" w:rsidR="007926A6" w:rsidRPr="008052B8" w:rsidRDefault="007926A6" w:rsidP="007926A6">
      <w:pPr>
        <w:pStyle w:val="paragraphsub"/>
      </w:pPr>
      <w:r w:rsidRPr="008052B8">
        <w:tab/>
        <w:t>(i)</w:t>
      </w:r>
      <w:r w:rsidRPr="008052B8">
        <w:tab/>
        <w:t>the dispute is trivial, misconceived or lacking in substance; or</w:t>
      </w:r>
    </w:p>
    <w:p w14:paraId="156F86E0" w14:textId="77777777" w:rsidR="007926A6" w:rsidRPr="008052B8" w:rsidRDefault="007926A6" w:rsidP="007926A6">
      <w:pPr>
        <w:pStyle w:val="paragraphsub"/>
      </w:pPr>
      <w:r w:rsidRPr="008052B8">
        <w:tab/>
        <w:t>(ii)</w:t>
      </w:r>
      <w:r w:rsidRPr="008052B8">
        <w:tab/>
        <w:t>the dispute arises from negotiations between the complainant and Australia Post that were not conducted by the complainant in good faith; or</w:t>
      </w:r>
    </w:p>
    <w:p w14:paraId="7295EE21" w14:textId="77777777" w:rsidR="007926A6" w:rsidRPr="008052B8" w:rsidRDefault="007926A6" w:rsidP="007926A6">
      <w:pPr>
        <w:pStyle w:val="paragraph"/>
      </w:pPr>
      <w:r w:rsidRPr="008052B8">
        <w:tab/>
        <w:t>(d)</w:t>
      </w:r>
      <w:r w:rsidRPr="008052B8">
        <w:tab/>
        <w:t xml:space="preserve">the complainant does not, within 7 days of being requested by the ACCC to do so, give the ACCC sufficient information (whether contained in documents or otherwise) to enable the ACCC to satisfy itself that </w:t>
      </w:r>
      <w:r w:rsidR="007C587A" w:rsidRPr="008052B8">
        <w:t>paragraph (</w:t>
      </w:r>
      <w:r w:rsidRPr="008052B8">
        <w:t>c) does not apply.</w:t>
      </w:r>
    </w:p>
    <w:p w14:paraId="7CDD4F03" w14:textId="77777777" w:rsidR="007926A6" w:rsidRPr="008052B8" w:rsidRDefault="007926A6" w:rsidP="007926A6">
      <w:pPr>
        <w:pStyle w:val="subsection"/>
      </w:pPr>
      <w:r w:rsidRPr="008052B8">
        <w:tab/>
        <w:t>(2)</w:t>
      </w:r>
      <w:r w:rsidRPr="008052B8">
        <w:tab/>
        <w:t>If the ACCC discontinues an inquiry, it must inform the Minister and the parties in writing of the reasons for the discontinuance.</w:t>
      </w:r>
    </w:p>
    <w:p w14:paraId="512D1D00" w14:textId="77777777" w:rsidR="007926A6" w:rsidRPr="008052B8" w:rsidRDefault="007926A6" w:rsidP="00A1481D">
      <w:pPr>
        <w:pStyle w:val="ActHead3"/>
        <w:pageBreakBefore/>
      </w:pPr>
      <w:bookmarkStart w:id="56" w:name="_Toc65664283"/>
      <w:r w:rsidRPr="00085A2B">
        <w:rPr>
          <w:rStyle w:val="CharDivNo"/>
        </w:rPr>
        <w:lastRenderedPageBreak/>
        <w:t>Division 4</w:t>
      </w:r>
      <w:r w:rsidRPr="008052B8">
        <w:t>—</w:t>
      </w:r>
      <w:r w:rsidRPr="00085A2B">
        <w:rPr>
          <w:rStyle w:val="CharDivText"/>
        </w:rPr>
        <w:t>Conferences</w:t>
      </w:r>
      <w:bookmarkEnd w:id="56"/>
    </w:p>
    <w:p w14:paraId="4ABE6D07" w14:textId="77777777" w:rsidR="007926A6" w:rsidRPr="008052B8" w:rsidRDefault="003E7245" w:rsidP="007926A6">
      <w:pPr>
        <w:pStyle w:val="ActHead5"/>
      </w:pPr>
      <w:bookmarkStart w:id="57" w:name="_Toc65664284"/>
      <w:r w:rsidRPr="00085A2B">
        <w:rPr>
          <w:rStyle w:val="CharSectno"/>
        </w:rPr>
        <w:t>36</w:t>
      </w:r>
      <w:r w:rsidR="007926A6" w:rsidRPr="008052B8">
        <w:t xml:space="preserve">  Purpose of conferences</w:t>
      </w:r>
      <w:bookmarkEnd w:id="57"/>
    </w:p>
    <w:p w14:paraId="06699231" w14:textId="77777777" w:rsidR="007926A6" w:rsidRPr="008052B8" w:rsidRDefault="007926A6" w:rsidP="007926A6">
      <w:pPr>
        <w:pStyle w:val="subsection"/>
      </w:pPr>
      <w:r w:rsidRPr="008052B8">
        <w:tab/>
        <w:t>(1)</w:t>
      </w:r>
      <w:r w:rsidRPr="008052B8">
        <w:rPr>
          <w:b/>
        </w:rPr>
        <w:tab/>
      </w:r>
      <w:r w:rsidRPr="008052B8">
        <w:t>For the purposes of an inquiry, the ACCC may hold a conference:</w:t>
      </w:r>
    </w:p>
    <w:p w14:paraId="1B1A23D1" w14:textId="77777777" w:rsidR="007926A6" w:rsidRPr="008052B8" w:rsidRDefault="007926A6" w:rsidP="007926A6">
      <w:pPr>
        <w:pStyle w:val="paragraph"/>
      </w:pPr>
      <w:r w:rsidRPr="008052B8">
        <w:tab/>
        <w:t>(a)</w:t>
      </w:r>
      <w:r w:rsidRPr="008052B8">
        <w:tab/>
        <w:t>to expedite the progress of the inquiry; or</w:t>
      </w:r>
    </w:p>
    <w:p w14:paraId="54DCBD60" w14:textId="77777777" w:rsidR="007926A6" w:rsidRPr="008052B8" w:rsidRDefault="007926A6" w:rsidP="007926A6">
      <w:pPr>
        <w:pStyle w:val="paragraph"/>
      </w:pPr>
      <w:r w:rsidRPr="008052B8">
        <w:tab/>
        <w:t>(b)</w:t>
      </w:r>
      <w:r w:rsidRPr="008052B8">
        <w:tab/>
        <w:t>to clarify a matter arising from:</w:t>
      </w:r>
    </w:p>
    <w:p w14:paraId="3359EB69" w14:textId="77777777" w:rsidR="007926A6" w:rsidRPr="008052B8" w:rsidRDefault="007926A6" w:rsidP="007926A6">
      <w:pPr>
        <w:pStyle w:val="paragraphsub"/>
      </w:pPr>
      <w:r w:rsidRPr="008052B8">
        <w:tab/>
        <w:t>(i)</w:t>
      </w:r>
      <w:r w:rsidRPr="008052B8">
        <w:tab/>
        <w:t>a document relating to the inquiry that is in the possession of the ACCC; or</w:t>
      </w:r>
    </w:p>
    <w:p w14:paraId="1BA8E553" w14:textId="77777777" w:rsidR="007926A6" w:rsidRPr="008052B8" w:rsidRDefault="007926A6" w:rsidP="007926A6">
      <w:pPr>
        <w:pStyle w:val="paragraphsub"/>
      </w:pPr>
      <w:r w:rsidRPr="008052B8">
        <w:tab/>
        <w:t>(ii)</w:t>
      </w:r>
      <w:r w:rsidRPr="008052B8">
        <w:tab/>
        <w:t>information provided to the ACCC for the purposes of the inquiry; or</w:t>
      </w:r>
    </w:p>
    <w:p w14:paraId="39727440" w14:textId="77777777" w:rsidR="007926A6" w:rsidRPr="008052B8" w:rsidRDefault="007926A6" w:rsidP="007926A6">
      <w:pPr>
        <w:pStyle w:val="paragraph"/>
      </w:pPr>
      <w:r w:rsidRPr="008052B8">
        <w:tab/>
        <w:t>(c)</w:t>
      </w:r>
      <w:r w:rsidRPr="008052B8">
        <w:tab/>
        <w:t>to otherwise inform itself on matters that are relevant to the inquiry.</w:t>
      </w:r>
    </w:p>
    <w:p w14:paraId="76E27F95" w14:textId="77777777" w:rsidR="007926A6" w:rsidRPr="008052B8" w:rsidRDefault="007926A6" w:rsidP="007926A6">
      <w:pPr>
        <w:pStyle w:val="subsection"/>
      </w:pPr>
      <w:r w:rsidRPr="008052B8">
        <w:tab/>
        <w:t>(2)</w:t>
      </w:r>
      <w:r w:rsidRPr="008052B8">
        <w:tab/>
        <w:t xml:space="preserve">A conference in relation to an inquiry must not be held after the ACCC reports to the Minister under </w:t>
      </w:r>
      <w:r w:rsidR="00CB63AD" w:rsidRPr="008052B8">
        <w:t>section 3</w:t>
      </w:r>
      <w:r w:rsidR="003E7245" w:rsidRPr="008052B8">
        <w:t>9</w:t>
      </w:r>
      <w:r w:rsidRPr="008052B8">
        <w:t xml:space="preserve"> in relation to the inquiry.</w:t>
      </w:r>
    </w:p>
    <w:p w14:paraId="6A456A24" w14:textId="77777777" w:rsidR="007926A6" w:rsidRPr="008052B8" w:rsidRDefault="003E7245" w:rsidP="007926A6">
      <w:pPr>
        <w:pStyle w:val="ActHead5"/>
      </w:pPr>
      <w:bookmarkStart w:id="58" w:name="_Toc65664285"/>
      <w:r w:rsidRPr="00085A2B">
        <w:rPr>
          <w:rStyle w:val="CharSectno"/>
        </w:rPr>
        <w:t>37</w:t>
      </w:r>
      <w:r w:rsidR="007926A6" w:rsidRPr="008052B8">
        <w:t xml:space="preserve">  Conduct of conferences</w:t>
      </w:r>
      <w:bookmarkEnd w:id="58"/>
    </w:p>
    <w:p w14:paraId="0405E064" w14:textId="77777777" w:rsidR="007926A6" w:rsidRPr="008052B8" w:rsidRDefault="007926A6" w:rsidP="007926A6">
      <w:pPr>
        <w:pStyle w:val="subsection"/>
      </w:pPr>
      <w:r w:rsidRPr="008052B8">
        <w:tab/>
        <w:t>(1)</w:t>
      </w:r>
      <w:r w:rsidRPr="008052B8">
        <w:tab/>
        <w:t>If the ACCC decides to hold a conference, the ACCC:</w:t>
      </w:r>
    </w:p>
    <w:p w14:paraId="707E12B9" w14:textId="77777777" w:rsidR="007926A6" w:rsidRPr="008052B8" w:rsidRDefault="007926A6" w:rsidP="007926A6">
      <w:pPr>
        <w:pStyle w:val="paragraph"/>
      </w:pPr>
      <w:r w:rsidRPr="008052B8">
        <w:tab/>
        <w:t>(a)</w:t>
      </w:r>
      <w:r w:rsidRPr="008052B8">
        <w:tab/>
        <w:t>must determine the date, time and place for holding the conference; and</w:t>
      </w:r>
    </w:p>
    <w:p w14:paraId="2FA13E77" w14:textId="77777777" w:rsidR="007926A6" w:rsidRPr="008052B8" w:rsidRDefault="007926A6" w:rsidP="007926A6">
      <w:pPr>
        <w:pStyle w:val="paragraph"/>
      </w:pPr>
      <w:r w:rsidRPr="008052B8">
        <w:tab/>
        <w:t>(b)</w:t>
      </w:r>
      <w:r w:rsidRPr="008052B8">
        <w:tab/>
        <w:t>may give written notice to a party, a member of the staff of the ACCC or another person of the conference; and</w:t>
      </w:r>
    </w:p>
    <w:p w14:paraId="57E62D6D" w14:textId="77777777" w:rsidR="007926A6" w:rsidRPr="008052B8" w:rsidRDefault="007926A6" w:rsidP="007926A6">
      <w:pPr>
        <w:pStyle w:val="paragraph"/>
      </w:pPr>
      <w:r w:rsidRPr="008052B8">
        <w:tab/>
        <w:t>(c)</w:t>
      </w:r>
      <w:r w:rsidRPr="008052B8">
        <w:tab/>
        <w:t>must state the date, time and place in the notice.</w:t>
      </w:r>
    </w:p>
    <w:p w14:paraId="34699267" w14:textId="77777777" w:rsidR="007926A6" w:rsidRPr="008052B8" w:rsidRDefault="007926A6" w:rsidP="007926A6">
      <w:pPr>
        <w:pStyle w:val="subsection"/>
      </w:pPr>
      <w:r w:rsidRPr="008052B8">
        <w:tab/>
        <w:t>(2)</w:t>
      </w:r>
      <w:r w:rsidRPr="008052B8">
        <w:tab/>
        <w:t>A corporation must be represented at a conference by a director, officer or employee of the corporation.</w:t>
      </w:r>
    </w:p>
    <w:p w14:paraId="51225129" w14:textId="77777777" w:rsidR="007926A6" w:rsidRPr="008052B8" w:rsidRDefault="007926A6" w:rsidP="007926A6">
      <w:pPr>
        <w:pStyle w:val="subsection"/>
      </w:pPr>
      <w:r w:rsidRPr="008052B8">
        <w:tab/>
        <w:t>(3)</w:t>
      </w:r>
      <w:r w:rsidRPr="008052B8">
        <w:tab/>
        <w:t>If a person who is given notice of a conference does not attend, the ACCC may hold the conference in the absence of that person.</w:t>
      </w:r>
    </w:p>
    <w:p w14:paraId="2C906045" w14:textId="77777777" w:rsidR="007926A6" w:rsidRPr="008052B8" w:rsidRDefault="003E7245" w:rsidP="007926A6">
      <w:pPr>
        <w:pStyle w:val="ActHead5"/>
      </w:pPr>
      <w:bookmarkStart w:id="59" w:name="_Toc65664286"/>
      <w:r w:rsidRPr="00085A2B">
        <w:rPr>
          <w:rStyle w:val="CharSectno"/>
        </w:rPr>
        <w:t>38</w:t>
      </w:r>
      <w:r w:rsidR="007926A6" w:rsidRPr="008052B8">
        <w:t xml:space="preserve">  Conferences to be in private</w:t>
      </w:r>
      <w:bookmarkEnd w:id="59"/>
    </w:p>
    <w:p w14:paraId="39CA10C2" w14:textId="77777777" w:rsidR="007926A6" w:rsidRPr="008052B8" w:rsidRDefault="007926A6" w:rsidP="007926A6">
      <w:pPr>
        <w:pStyle w:val="subsection"/>
      </w:pPr>
      <w:r w:rsidRPr="008052B8">
        <w:tab/>
        <w:t>(1)</w:t>
      </w:r>
      <w:r w:rsidRPr="008052B8">
        <w:tab/>
        <w:t xml:space="preserve">Subject to </w:t>
      </w:r>
      <w:r w:rsidR="007C587A" w:rsidRPr="008052B8">
        <w:t>subsection (</w:t>
      </w:r>
      <w:r w:rsidRPr="008052B8">
        <w:t>2), a conference must be held in private.</w:t>
      </w:r>
    </w:p>
    <w:p w14:paraId="17F1A637" w14:textId="77777777" w:rsidR="007926A6" w:rsidRPr="008052B8" w:rsidRDefault="007926A6" w:rsidP="007926A6">
      <w:pPr>
        <w:pStyle w:val="subsection"/>
      </w:pPr>
      <w:r w:rsidRPr="008052B8">
        <w:tab/>
        <w:t>(2)</w:t>
      </w:r>
      <w:r w:rsidRPr="008052B8">
        <w:tab/>
        <w:t>If the parties agree, a conference or part of a conference may be held in public.</w:t>
      </w:r>
    </w:p>
    <w:p w14:paraId="2C824740" w14:textId="77777777" w:rsidR="007926A6" w:rsidRPr="008052B8" w:rsidRDefault="007926A6" w:rsidP="00A1481D">
      <w:pPr>
        <w:pStyle w:val="ActHead3"/>
        <w:pageBreakBefore/>
      </w:pPr>
      <w:bookmarkStart w:id="60" w:name="_Toc65664287"/>
      <w:r w:rsidRPr="00085A2B">
        <w:rPr>
          <w:rStyle w:val="CharDivNo"/>
        </w:rPr>
        <w:lastRenderedPageBreak/>
        <w:t>Division 5</w:t>
      </w:r>
      <w:r w:rsidRPr="008052B8">
        <w:t>—</w:t>
      </w:r>
      <w:r w:rsidRPr="00085A2B">
        <w:rPr>
          <w:rStyle w:val="CharDivText"/>
        </w:rPr>
        <w:t>ACCC reports and recommendations</w:t>
      </w:r>
      <w:bookmarkEnd w:id="60"/>
    </w:p>
    <w:p w14:paraId="1CF42FBA" w14:textId="77777777" w:rsidR="007926A6" w:rsidRPr="008052B8" w:rsidRDefault="003E7245" w:rsidP="007926A6">
      <w:pPr>
        <w:pStyle w:val="ActHead5"/>
      </w:pPr>
      <w:bookmarkStart w:id="61" w:name="_Toc65664288"/>
      <w:r w:rsidRPr="00085A2B">
        <w:rPr>
          <w:rStyle w:val="CharSectno"/>
        </w:rPr>
        <w:t>39</w:t>
      </w:r>
      <w:r w:rsidR="007926A6" w:rsidRPr="008052B8">
        <w:t xml:space="preserve">  Report on inquiry</w:t>
      </w:r>
      <w:bookmarkEnd w:id="61"/>
    </w:p>
    <w:p w14:paraId="5ED7C55D" w14:textId="77777777" w:rsidR="007926A6" w:rsidRPr="008052B8" w:rsidRDefault="007926A6" w:rsidP="007926A6">
      <w:pPr>
        <w:pStyle w:val="subsection"/>
      </w:pPr>
      <w:r w:rsidRPr="008052B8">
        <w:tab/>
        <w:t>(1)</w:t>
      </w:r>
      <w:r w:rsidRPr="008052B8">
        <w:tab/>
        <w:t xml:space="preserve">Unless the ACCC has sooner discontinued an inquiry, it must report to the Minister in relation to the inquiry within the time prescribed for completing the inquiry in accordance with </w:t>
      </w:r>
      <w:r w:rsidR="00CB63AD" w:rsidRPr="008052B8">
        <w:t>section 2</w:t>
      </w:r>
      <w:r w:rsidR="003E7245" w:rsidRPr="008052B8">
        <w:t>7</w:t>
      </w:r>
      <w:r w:rsidRPr="008052B8">
        <w:t>.</w:t>
      </w:r>
    </w:p>
    <w:p w14:paraId="16BB75FA" w14:textId="77777777" w:rsidR="007926A6" w:rsidRPr="008052B8" w:rsidRDefault="007926A6" w:rsidP="007926A6">
      <w:pPr>
        <w:pStyle w:val="subsection"/>
      </w:pPr>
      <w:r w:rsidRPr="008052B8">
        <w:tab/>
        <w:t>(2)</w:t>
      </w:r>
      <w:r w:rsidRPr="008052B8">
        <w:tab/>
        <w:t>A report in relation to an inquiry into a relevant dispute must:</w:t>
      </w:r>
    </w:p>
    <w:p w14:paraId="30A9AE98" w14:textId="77777777" w:rsidR="007926A6" w:rsidRPr="008052B8" w:rsidRDefault="007926A6" w:rsidP="007926A6">
      <w:pPr>
        <w:pStyle w:val="paragraph"/>
      </w:pPr>
      <w:r w:rsidRPr="008052B8">
        <w:tab/>
        <w:t>(a)</w:t>
      </w:r>
      <w:r w:rsidRPr="008052B8">
        <w:tab/>
        <w:t>recommend:</w:t>
      </w:r>
    </w:p>
    <w:p w14:paraId="789BCE96" w14:textId="77777777" w:rsidR="007926A6" w:rsidRPr="008052B8" w:rsidRDefault="007926A6" w:rsidP="007926A6">
      <w:pPr>
        <w:pStyle w:val="paragraphsub"/>
      </w:pPr>
      <w:r w:rsidRPr="008052B8">
        <w:tab/>
        <w:t>(i)</w:t>
      </w:r>
      <w:r w:rsidRPr="008052B8">
        <w:tab/>
        <w:t xml:space="preserve">if </w:t>
      </w:r>
      <w:r w:rsidR="00CB63AD" w:rsidRPr="008052B8">
        <w:t>subparagraph 2</w:t>
      </w:r>
      <w:r w:rsidR="003E7245" w:rsidRPr="008052B8">
        <w:t>2</w:t>
      </w:r>
      <w:r w:rsidRPr="008052B8">
        <w:t>(2)(a)(ii) applies in relation to the dispute—the amount of the rate reduction that should be provided in respect of the supply of the bulk interconnection service that is the subject of the dispute; and</w:t>
      </w:r>
    </w:p>
    <w:p w14:paraId="0C515ABD" w14:textId="77777777" w:rsidR="007926A6" w:rsidRPr="008052B8" w:rsidRDefault="007926A6" w:rsidP="007926A6">
      <w:pPr>
        <w:pStyle w:val="paragraphsub"/>
      </w:pPr>
      <w:r w:rsidRPr="008052B8">
        <w:tab/>
        <w:t>(ii)</w:t>
      </w:r>
      <w:r w:rsidRPr="008052B8">
        <w:tab/>
        <w:t xml:space="preserve">if </w:t>
      </w:r>
      <w:r w:rsidR="00CB63AD" w:rsidRPr="008052B8">
        <w:t>subparagraph 2</w:t>
      </w:r>
      <w:r w:rsidR="003E7245" w:rsidRPr="008052B8">
        <w:t>2</w:t>
      </w:r>
      <w:r w:rsidRPr="008052B8">
        <w:t>(2)(a)(iv) applies in relation to the dispute—the period for which the rate reduction in respect of the supply of the service should apply; and</w:t>
      </w:r>
    </w:p>
    <w:p w14:paraId="2812BD15" w14:textId="77777777" w:rsidR="007926A6" w:rsidRPr="008052B8" w:rsidRDefault="007926A6" w:rsidP="007926A6">
      <w:pPr>
        <w:pStyle w:val="paragraphsub"/>
      </w:pPr>
      <w:r w:rsidRPr="008052B8">
        <w:tab/>
        <w:t>(iii)</w:t>
      </w:r>
      <w:r w:rsidRPr="008052B8">
        <w:tab/>
        <w:t xml:space="preserve">if </w:t>
      </w:r>
      <w:r w:rsidR="00CB63AD" w:rsidRPr="008052B8">
        <w:t>subparagraph 2</w:t>
      </w:r>
      <w:r w:rsidR="003E7245" w:rsidRPr="008052B8">
        <w:t>2</w:t>
      </w:r>
      <w:r w:rsidRPr="008052B8">
        <w:t>(2)(a)(vi) applies in relation to the relevant dispute—the other terms and conditions on which the rate reduction in respect of the supply of the service should apply; and</w:t>
      </w:r>
    </w:p>
    <w:p w14:paraId="71EC9FD9" w14:textId="77777777" w:rsidR="007926A6" w:rsidRPr="008052B8" w:rsidRDefault="007926A6" w:rsidP="007926A6">
      <w:pPr>
        <w:pStyle w:val="paragraph"/>
      </w:pPr>
      <w:r w:rsidRPr="008052B8">
        <w:tab/>
        <w:t>(b)</w:t>
      </w:r>
      <w:r w:rsidRPr="008052B8">
        <w:tab/>
        <w:t>give the reasons for the recommendation.</w:t>
      </w:r>
    </w:p>
    <w:p w14:paraId="1DBD4424" w14:textId="77777777" w:rsidR="007926A6" w:rsidRPr="008052B8" w:rsidRDefault="007926A6" w:rsidP="007926A6">
      <w:pPr>
        <w:pStyle w:val="subsection"/>
      </w:pPr>
      <w:r w:rsidRPr="008052B8">
        <w:tab/>
        <w:t>(3)</w:t>
      </w:r>
      <w:r w:rsidRPr="008052B8">
        <w:tab/>
        <w:t>In making a recommendation, the ACCC must have regard to:</w:t>
      </w:r>
    </w:p>
    <w:p w14:paraId="00EBD9BF" w14:textId="77777777" w:rsidR="007926A6" w:rsidRPr="008052B8" w:rsidRDefault="007926A6" w:rsidP="007926A6">
      <w:pPr>
        <w:pStyle w:val="paragraph"/>
      </w:pPr>
      <w:r w:rsidRPr="008052B8">
        <w:tab/>
        <w:t>(a)</w:t>
      </w:r>
      <w:r w:rsidRPr="008052B8">
        <w:tab/>
        <w:t>all the circumstances from which the relevant dispute arose that are known to the ACCC; and</w:t>
      </w:r>
    </w:p>
    <w:p w14:paraId="730D1E7E" w14:textId="77777777" w:rsidR="007926A6" w:rsidRPr="008052B8" w:rsidRDefault="007926A6" w:rsidP="007926A6">
      <w:pPr>
        <w:pStyle w:val="paragraph"/>
      </w:pPr>
      <w:r w:rsidRPr="008052B8">
        <w:tab/>
        <w:t>(b)</w:t>
      </w:r>
      <w:r w:rsidRPr="008052B8">
        <w:tab/>
        <w:t>information provided to the ACCC in the inquiry; and</w:t>
      </w:r>
    </w:p>
    <w:p w14:paraId="5957CB1F" w14:textId="77777777" w:rsidR="007926A6" w:rsidRPr="008052B8" w:rsidRDefault="007926A6" w:rsidP="007926A6">
      <w:pPr>
        <w:pStyle w:val="paragraph"/>
      </w:pPr>
      <w:r w:rsidRPr="008052B8">
        <w:tab/>
        <w:t>(c)</w:t>
      </w:r>
      <w:r w:rsidRPr="008052B8">
        <w:tab/>
        <w:t>the obligations of Australia Post under sections 26, 27 and 28 of the Act; and</w:t>
      </w:r>
    </w:p>
    <w:p w14:paraId="181859AD" w14:textId="77777777" w:rsidR="007926A6" w:rsidRPr="008052B8" w:rsidRDefault="007926A6" w:rsidP="007926A6">
      <w:pPr>
        <w:pStyle w:val="paragraph"/>
      </w:pPr>
      <w:r w:rsidRPr="008052B8">
        <w:tab/>
        <w:t>(d)</w:t>
      </w:r>
      <w:r w:rsidRPr="008052B8">
        <w:tab/>
        <w:t>Australia Post’s estimate of the average transport costs avoided by Australia Post in respect of letters lodged for delivery under the service; and</w:t>
      </w:r>
    </w:p>
    <w:p w14:paraId="79350D86" w14:textId="77777777" w:rsidR="007926A6" w:rsidRPr="008052B8" w:rsidRDefault="007926A6" w:rsidP="007926A6">
      <w:pPr>
        <w:pStyle w:val="paragraph"/>
      </w:pPr>
      <w:r w:rsidRPr="008052B8">
        <w:tab/>
        <w:t>(e)</w:t>
      </w:r>
      <w:r w:rsidRPr="008052B8">
        <w:tab/>
        <w:t>any other relevant matter.</w:t>
      </w:r>
    </w:p>
    <w:p w14:paraId="0354B90E" w14:textId="77777777" w:rsidR="007926A6" w:rsidRPr="008052B8" w:rsidRDefault="007926A6" w:rsidP="007926A6">
      <w:pPr>
        <w:pStyle w:val="subsection"/>
      </w:pPr>
      <w:r w:rsidRPr="008052B8">
        <w:tab/>
        <w:t>(4)</w:t>
      </w:r>
      <w:r w:rsidRPr="008052B8">
        <w:tab/>
        <w:t>If a member of the ACCC does not agree to a recommendation made in a report, the report must set out the recommendation the member would have made instead.</w:t>
      </w:r>
    </w:p>
    <w:p w14:paraId="644C0CCD" w14:textId="77777777" w:rsidR="007926A6" w:rsidRPr="008052B8" w:rsidRDefault="007926A6" w:rsidP="00A1481D">
      <w:pPr>
        <w:pStyle w:val="ActHead3"/>
        <w:pageBreakBefore/>
      </w:pPr>
      <w:bookmarkStart w:id="62" w:name="_Toc65664289"/>
      <w:r w:rsidRPr="00085A2B">
        <w:rPr>
          <w:rStyle w:val="CharDivNo"/>
        </w:rPr>
        <w:lastRenderedPageBreak/>
        <w:t>Division 6</w:t>
      </w:r>
      <w:r w:rsidRPr="008052B8">
        <w:t>—</w:t>
      </w:r>
      <w:r w:rsidRPr="00085A2B">
        <w:rPr>
          <w:rStyle w:val="CharDivText"/>
        </w:rPr>
        <w:t>Consideration of reports and recommendations by the Minister</w:t>
      </w:r>
      <w:bookmarkEnd w:id="62"/>
    </w:p>
    <w:p w14:paraId="5493EF96" w14:textId="77777777" w:rsidR="007926A6" w:rsidRPr="008052B8" w:rsidRDefault="003E7245" w:rsidP="007926A6">
      <w:pPr>
        <w:pStyle w:val="ActHead5"/>
      </w:pPr>
      <w:bookmarkStart w:id="63" w:name="_Toc65664290"/>
      <w:r w:rsidRPr="00085A2B">
        <w:rPr>
          <w:rStyle w:val="CharSectno"/>
        </w:rPr>
        <w:t>40</w:t>
      </w:r>
      <w:r w:rsidR="007926A6" w:rsidRPr="008052B8">
        <w:t xml:space="preserve">  Minister may give direction to </w:t>
      </w:r>
      <w:smartTag w:uri="urn:schemas-microsoft-com:office:smarttags" w:element="country-region">
        <w:smartTag w:uri="urn:schemas-microsoft-com:office:smarttags" w:element="place">
          <w:r w:rsidR="007926A6" w:rsidRPr="008052B8">
            <w:t>Australia</w:t>
          </w:r>
        </w:smartTag>
      </w:smartTag>
      <w:r w:rsidR="007926A6" w:rsidRPr="008052B8">
        <w:t xml:space="preserve"> Post</w:t>
      </w:r>
      <w:bookmarkEnd w:id="63"/>
    </w:p>
    <w:p w14:paraId="4A5B398A" w14:textId="77777777" w:rsidR="007926A6" w:rsidRPr="008052B8" w:rsidRDefault="007926A6" w:rsidP="007926A6">
      <w:pPr>
        <w:pStyle w:val="subsection"/>
      </w:pPr>
      <w:r w:rsidRPr="008052B8">
        <w:tab/>
        <w:t>(1)</w:t>
      </w:r>
      <w:r w:rsidRPr="008052B8">
        <w:tab/>
        <w:t>Despite section 49 of the Act, the Minister may, if the Minister thinks fit, direct Australia Post, by notice in writing, to act in accordance with a recommendation made in a report.</w:t>
      </w:r>
    </w:p>
    <w:p w14:paraId="28BB3A20" w14:textId="77777777" w:rsidR="007926A6" w:rsidRPr="008052B8" w:rsidRDefault="007926A6" w:rsidP="007926A6">
      <w:pPr>
        <w:pStyle w:val="subsection"/>
      </w:pPr>
      <w:r w:rsidRPr="008052B8">
        <w:tab/>
        <w:t>(2)</w:t>
      </w:r>
      <w:r w:rsidRPr="008052B8">
        <w:tab/>
        <w:t>The Minister must consult with the Board before giving a direction.</w:t>
      </w:r>
    </w:p>
    <w:p w14:paraId="31B1B30B" w14:textId="77777777" w:rsidR="007926A6" w:rsidRPr="008052B8" w:rsidRDefault="007926A6" w:rsidP="007926A6">
      <w:pPr>
        <w:pStyle w:val="subsection"/>
      </w:pPr>
      <w:r w:rsidRPr="008052B8">
        <w:tab/>
        <w:t>(3)</w:t>
      </w:r>
      <w:r w:rsidRPr="008052B8">
        <w:tab/>
        <w:t>A direction must not be inconsistent with sub</w:t>
      </w:r>
      <w:r w:rsidR="00CB63AD" w:rsidRPr="008052B8">
        <w:t>section 3</w:t>
      </w:r>
      <w:r w:rsidRPr="008052B8">
        <w:t>2A(2) of the Act.</w:t>
      </w:r>
    </w:p>
    <w:p w14:paraId="092E8989" w14:textId="77777777" w:rsidR="007926A6" w:rsidRPr="008052B8" w:rsidRDefault="003E7245" w:rsidP="007926A6">
      <w:pPr>
        <w:pStyle w:val="ActHead5"/>
      </w:pPr>
      <w:bookmarkStart w:id="64" w:name="_Toc65664291"/>
      <w:r w:rsidRPr="00085A2B">
        <w:rPr>
          <w:rStyle w:val="CharSectno"/>
        </w:rPr>
        <w:t>41</w:t>
      </w:r>
      <w:r w:rsidR="007926A6" w:rsidRPr="008052B8">
        <w:t xml:space="preserve">  Factors to be taken into account by Minister</w:t>
      </w:r>
      <w:bookmarkEnd w:id="64"/>
    </w:p>
    <w:p w14:paraId="595F0CC2" w14:textId="77777777" w:rsidR="007926A6" w:rsidRPr="008052B8" w:rsidRDefault="007926A6" w:rsidP="007926A6">
      <w:pPr>
        <w:pStyle w:val="subsection"/>
      </w:pPr>
      <w:r w:rsidRPr="008052B8">
        <w:tab/>
      </w:r>
      <w:r w:rsidRPr="008052B8">
        <w:tab/>
        <w:t>In deciding whether to give a direction under section </w:t>
      </w:r>
      <w:r w:rsidR="003E7245" w:rsidRPr="008052B8">
        <w:t>40</w:t>
      </w:r>
      <w:r w:rsidRPr="008052B8">
        <w:t>, the Minister must take into account:</w:t>
      </w:r>
    </w:p>
    <w:p w14:paraId="2E794CF6" w14:textId="77777777" w:rsidR="007926A6" w:rsidRPr="008052B8" w:rsidRDefault="007926A6" w:rsidP="007926A6">
      <w:pPr>
        <w:pStyle w:val="paragraph"/>
      </w:pPr>
      <w:r w:rsidRPr="008052B8">
        <w:tab/>
        <w:t>(a)</w:t>
      </w:r>
      <w:r w:rsidRPr="008052B8">
        <w:tab/>
        <w:t>the reasons given by the ACCC for making the recommendation to which the direction relates; and</w:t>
      </w:r>
    </w:p>
    <w:p w14:paraId="7E8A5513" w14:textId="77777777" w:rsidR="007926A6" w:rsidRPr="008052B8" w:rsidRDefault="007926A6" w:rsidP="007926A6">
      <w:pPr>
        <w:pStyle w:val="paragraph"/>
      </w:pPr>
      <w:r w:rsidRPr="008052B8">
        <w:tab/>
        <w:t>(b)</w:t>
      </w:r>
      <w:r w:rsidRPr="008052B8">
        <w:tab/>
        <w:t>the obligations of Australia Post under the Act; and</w:t>
      </w:r>
    </w:p>
    <w:p w14:paraId="1BEEC6B2" w14:textId="77777777" w:rsidR="007926A6" w:rsidRPr="008052B8" w:rsidRDefault="007926A6" w:rsidP="007926A6">
      <w:pPr>
        <w:pStyle w:val="paragraph"/>
      </w:pPr>
      <w:r w:rsidRPr="008052B8">
        <w:tab/>
        <w:t>(c)</w:t>
      </w:r>
      <w:r w:rsidRPr="008052B8">
        <w:tab/>
        <w:t>the response (if any) of the Board to the consultation mentioned in subsection </w:t>
      </w:r>
      <w:r w:rsidR="003E7245" w:rsidRPr="008052B8">
        <w:t>40</w:t>
      </w:r>
      <w:r w:rsidRPr="008052B8">
        <w:t>(2); and</w:t>
      </w:r>
    </w:p>
    <w:p w14:paraId="324959D4" w14:textId="77777777" w:rsidR="007926A6" w:rsidRPr="008052B8" w:rsidRDefault="007926A6" w:rsidP="007926A6">
      <w:pPr>
        <w:pStyle w:val="paragraph"/>
      </w:pPr>
      <w:r w:rsidRPr="008052B8">
        <w:tab/>
        <w:t>(d)</w:t>
      </w:r>
      <w:r w:rsidRPr="008052B8">
        <w:tab/>
        <w:t>any other relevant matter.</w:t>
      </w:r>
    </w:p>
    <w:p w14:paraId="4307F893" w14:textId="77777777" w:rsidR="007926A6" w:rsidRPr="008052B8" w:rsidRDefault="003E7245" w:rsidP="007926A6">
      <w:pPr>
        <w:pStyle w:val="ActHead5"/>
      </w:pPr>
      <w:bookmarkStart w:id="65" w:name="_Toc65664292"/>
      <w:r w:rsidRPr="00085A2B">
        <w:rPr>
          <w:rStyle w:val="CharSectno"/>
        </w:rPr>
        <w:t>42</w:t>
      </w:r>
      <w:r w:rsidR="007926A6" w:rsidRPr="008052B8">
        <w:t xml:space="preserve">  Notice to </w:t>
      </w:r>
      <w:smartTag w:uri="urn:schemas-microsoft-com:office:smarttags" w:element="country-region">
        <w:smartTag w:uri="urn:schemas-microsoft-com:office:smarttags" w:element="place">
          <w:r w:rsidR="007926A6" w:rsidRPr="008052B8">
            <w:t>Australia</w:t>
          </w:r>
        </w:smartTag>
      </w:smartTag>
      <w:r w:rsidR="007926A6" w:rsidRPr="008052B8">
        <w:t xml:space="preserve"> Post of direction</w:t>
      </w:r>
      <w:bookmarkEnd w:id="65"/>
    </w:p>
    <w:p w14:paraId="23D80216" w14:textId="77777777" w:rsidR="007926A6" w:rsidRPr="008052B8" w:rsidRDefault="007926A6" w:rsidP="007926A6">
      <w:pPr>
        <w:pStyle w:val="subsection"/>
      </w:pPr>
      <w:r w:rsidRPr="008052B8">
        <w:tab/>
        <w:t>(1)</w:t>
      </w:r>
      <w:r w:rsidRPr="008052B8">
        <w:tab/>
        <w:t>Notice of a direction must be given to Australia Post within 28 days of receipt by the Minister of the report in which the recommendation to which the direction relates is made.</w:t>
      </w:r>
    </w:p>
    <w:p w14:paraId="30D4C1F0" w14:textId="77777777" w:rsidR="007926A6" w:rsidRPr="008052B8" w:rsidRDefault="007926A6" w:rsidP="007926A6">
      <w:pPr>
        <w:pStyle w:val="subsection"/>
      </w:pPr>
      <w:r w:rsidRPr="008052B8">
        <w:tab/>
        <w:t>(2)</w:t>
      </w:r>
      <w:r w:rsidRPr="008052B8">
        <w:tab/>
        <w:t>Australia Post must act in accordance with a direction.</w:t>
      </w:r>
    </w:p>
    <w:p w14:paraId="6D20D3A6" w14:textId="77777777" w:rsidR="007926A6" w:rsidRPr="008052B8" w:rsidRDefault="003E7245" w:rsidP="007926A6">
      <w:pPr>
        <w:pStyle w:val="ActHead5"/>
      </w:pPr>
      <w:bookmarkStart w:id="66" w:name="_Toc65664293"/>
      <w:r w:rsidRPr="00085A2B">
        <w:rPr>
          <w:rStyle w:val="CharSectno"/>
        </w:rPr>
        <w:t>43</w:t>
      </w:r>
      <w:r w:rsidR="007926A6" w:rsidRPr="008052B8">
        <w:t xml:space="preserve">  Notice to parties and ACCC of decision of Minister</w:t>
      </w:r>
      <w:bookmarkEnd w:id="66"/>
    </w:p>
    <w:p w14:paraId="1F6481BD" w14:textId="77777777" w:rsidR="007926A6" w:rsidRPr="008052B8" w:rsidRDefault="007926A6" w:rsidP="007926A6">
      <w:pPr>
        <w:pStyle w:val="subsection"/>
      </w:pPr>
      <w:r w:rsidRPr="008052B8">
        <w:tab/>
        <w:t>(1)</w:t>
      </w:r>
      <w:r w:rsidRPr="008052B8">
        <w:rPr>
          <w:b/>
        </w:rPr>
        <w:tab/>
      </w:r>
      <w:r w:rsidRPr="008052B8">
        <w:t>The Minister must give written notice to the parties to an inquiry and to the ACCC stating the Minister’s decision whether to give a direction under section </w:t>
      </w:r>
      <w:r w:rsidR="003E7245" w:rsidRPr="008052B8">
        <w:t>40</w:t>
      </w:r>
      <w:r w:rsidRPr="008052B8">
        <w:t xml:space="preserve"> in relation to each recommendation made in a report in relation to an inquiry.</w:t>
      </w:r>
    </w:p>
    <w:p w14:paraId="6DD20201" w14:textId="77777777" w:rsidR="007926A6" w:rsidRPr="008052B8" w:rsidRDefault="007926A6" w:rsidP="007926A6">
      <w:pPr>
        <w:pStyle w:val="subsection"/>
      </w:pPr>
      <w:r w:rsidRPr="008052B8">
        <w:tab/>
        <w:t>(2)</w:t>
      </w:r>
      <w:r w:rsidRPr="008052B8">
        <w:tab/>
        <w:t xml:space="preserve">The Minister must give notice under </w:t>
      </w:r>
      <w:r w:rsidR="007C587A" w:rsidRPr="008052B8">
        <w:t>subsection (</w:t>
      </w:r>
      <w:r w:rsidRPr="008052B8">
        <w:t>1):</w:t>
      </w:r>
    </w:p>
    <w:p w14:paraId="2CA3D21B" w14:textId="77777777" w:rsidR="007926A6" w:rsidRPr="008052B8" w:rsidRDefault="007926A6" w:rsidP="007926A6">
      <w:pPr>
        <w:pStyle w:val="paragraph"/>
      </w:pPr>
      <w:r w:rsidRPr="008052B8">
        <w:tab/>
        <w:t>(a)</w:t>
      </w:r>
      <w:r w:rsidRPr="008052B8">
        <w:tab/>
        <w:t>if the Minister gives a direction to Australia Post to act in accordance with a recommendation made in the report—when the Minister gives the direction; or</w:t>
      </w:r>
    </w:p>
    <w:p w14:paraId="23C02576" w14:textId="77777777" w:rsidR="007926A6" w:rsidRPr="008052B8" w:rsidRDefault="007926A6" w:rsidP="007926A6">
      <w:pPr>
        <w:pStyle w:val="paragraph"/>
      </w:pPr>
      <w:r w:rsidRPr="008052B8">
        <w:tab/>
        <w:t>(b)</w:t>
      </w:r>
      <w:r w:rsidRPr="008052B8">
        <w:tab/>
        <w:t xml:space="preserve">if the Minister does not give a direction referred to in </w:t>
      </w:r>
      <w:r w:rsidR="007C587A" w:rsidRPr="008052B8">
        <w:t>paragraph (</w:t>
      </w:r>
      <w:r w:rsidRPr="008052B8">
        <w:t>a)—as soon as practicable after the Minister receives the report.</w:t>
      </w:r>
    </w:p>
    <w:p w14:paraId="1D69D691" w14:textId="77777777" w:rsidR="007926A6" w:rsidRPr="008052B8" w:rsidRDefault="007926A6" w:rsidP="007926A6">
      <w:pPr>
        <w:pStyle w:val="subsection"/>
      </w:pPr>
      <w:r w:rsidRPr="008052B8">
        <w:tab/>
        <w:t>(3)</w:t>
      </w:r>
      <w:r w:rsidRPr="008052B8">
        <w:tab/>
        <w:t>A notice must:</w:t>
      </w:r>
    </w:p>
    <w:p w14:paraId="00594315" w14:textId="77777777" w:rsidR="007926A6" w:rsidRPr="008052B8" w:rsidRDefault="007926A6" w:rsidP="007926A6">
      <w:pPr>
        <w:pStyle w:val="paragraph"/>
      </w:pPr>
      <w:r w:rsidRPr="008052B8">
        <w:tab/>
        <w:t>(a)</w:t>
      </w:r>
      <w:r w:rsidRPr="008052B8">
        <w:tab/>
        <w:t>if the Minister gives a direction to Australia Post to act in accordance with a recommendation—be accompanied by a copy of the direction and a statement of the reasons for the Minister’s decision to accept the recommendation; and</w:t>
      </w:r>
    </w:p>
    <w:p w14:paraId="7B6F3E43" w14:textId="77777777" w:rsidR="007926A6" w:rsidRPr="008052B8" w:rsidRDefault="007926A6" w:rsidP="007926A6">
      <w:pPr>
        <w:pStyle w:val="paragraph"/>
      </w:pPr>
      <w:r w:rsidRPr="008052B8">
        <w:lastRenderedPageBreak/>
        <w:tab/>
        <w:t>(b)</w:t>
      </w:r>
      <w:r w:rsidRPr="008052B8">
        <w:tab/>
        <w:t xml:space="preserve">if the Minister does not give a direction referred to in </w:t>
      </w:r>
      <w:r w:rsidR="007C587A" w:rsidRPr="008052B8">
        <w:t>paragraph (</w:t>
      </w:r>
      <w:r w:rsidRPr="008052B8">
        <w:t>a)—set out the reasons for the Minister’s decision not to accept the recommendation.</w:t>
      </w:r>
    </w:p>
    <w:p w14:paraId="75B49509" w14:textId="77777777" w:rsidR="007926A6" w:rsidRPr="008052B8" w:rsidRDefault="007926A6" w:rsidP="007926A6">
      <w:pPr>
        <w:pStyle w:val="ActHead2"/>
        <w:pageBreakBefore/>
      </w:pPr>
      <w:bookmarkStart w:id="67" w:name="_Toc65664294"/>
      <w:r w:rsidRPr="00085A2B">
        <w:rPr>
          <w:rStyle w:val="CharPartNo"/>
        </w:rPr>
        <w:lastRenderedPageBreak/>
        <w:t>Part 4</w:t>
      </w:r>
      <w:r w:rsidRPr="008052B8">
        <w:t>—</w:t>
      </w:r>
      <w:r w:rsidRPr="00085A2B">
        <w:rPr>
          <w:rStyle w:val="CharPartText"/>
        </w:rPr>
        <w:t>Application, saving and transitional provisions</w:t>
      </w:r>
      <w:bookmarkEnd w:id="67"/>
    </w:p>
    <w:p w14:paraId="2BC67CDF" w14:textId="77777777" w:rsidR="007926A6" w:rsidRPr="008052B8" w:rsidRDefault="007926A6" w:rsidP="007926A6">
      <w:pPr>
        <w:pStyle w:val="ActHead3"/>
      </w:pPr>
      <w:bookmarkStart w:id="68" w:name="_Toc65664295"/>
      <w:r w:rsidRPr="00085A2B">
        <w:rPr>
          <w:rStyle w:val="CharDivNo"/>
        </w:rPr>
        <w:t>Division 1</w:t>
      </w:r>
      <w:r w:rsidRPr="008052B8">
        <w:t>—</w:t>
      </w:r>
      <w:r w:rsidRPr="00085A2B">
        <w:rPr>
          <w:rStyle w:val="CharDivText"/>
        </w:rPr>
        <w:t>Provisions for this instrument as originally made</w:t>
      </w:r>
      <w:bookmarkEnd w:id="68"/>
    </w:p>
    <w:p w14:paraId="78B14190" w14:textId="77777777" w:rsidR="007926A6" w:rsidRPr="008052B8" w:rsidRDefault="003E7245" w:rsidP="007926A6">
      <w:pPr>
        <w:pStyle w:val="ActHead5"/>
      </w:pPr>
      <w:bookmarkStart w:id="69" w:name="_Toc65664296"/>
      <w:r w:rsidRPr="00085A2B">
        <w:rPr>
          <w:rStyle w:val="CharSectno"/>
        </w:rPr>
        <w:t>44</w:t>
      </w:r>
      <w:r w:rsidR="007926A6" w:rsidRPr="008052B8">
        <w:t xml:space="preserve">  Definitions</w:t>
      </w:r>
      <w:bookmarkEnd w:id="69"/>
    </w:p>
    <w:p w14:paraId="432D2740" w14:textId="77777777" w:rsidR="007926A6" w:rsidRPr="008052B8" w:rsidRDefault="007926A6" w:rsidP="007926A6">
      <w:pPr>
        <w:pStyle w:val="subsection"/>
      </w:pPr>
      <w:r w:rsidRPr="008052B8">
        <w:tab/>
      </w:r>
      <w:r w:rsidRPr="008052B8">
        <w:tab/>
        <w:t>In this Division:</w:t>
      </w:r>
    </w:p>
    <w:p w14:paraId="3647987E" w14:textId="77777777" w:rsidR="007926A6" w:rsidRPr="008052B8" w:rsidRDefault="007926A6" w:rsidP="007926A6">
      <w:pPr>
        <w:pStyle w:val="Definition"/>
      </w:pPr>
      <w:r w:rsidRPr="008052B8">
        <w:rPr>
          <w:b/>
          <w:i/>
        </w:rPr>
        <w:t>commencement time</w:t>
      </w:r>
      <w:r w:rsidRPr="008052B8">
        <w:t xml:space="preserve"> means the time this section commences.</w:t>
      </w:r>
    </w:p>
    <w:p w14:paraId="73B1F63B" w14:textId="77777777" w:rsidR="007926A6" w:rsidRPr="008052B8" w:rsidRDefault="007926A6" w:rsidP="007926A6">
      <w:pPr>
        <w:pStyle w:val="Definition"/>
      </w:pPr>
      <w:r w:rsidRPr="008052B8">
        <w:rPr>
          <w:b/>
          <w:i/>
        </w:rPr>
        <w:t>old regulations</w:t>
      </w:r>
      <w:r w:rsidRPr="008052B8">
        <w:t xml:space="preserve"> means the </w:t>
      </w:r>
      <w:r w:rsidRPr="008052B8">
        <w:rPr>
          <w:i/>
        </w:rPr>
        <w:t>Australian Postal Corporation Regulations 1996</w:t>
      </w:r>
      <w:r w:rsidRPr="008052B8">
        <w:t>.</w:t>
      </w:r>
    </w:p>
    <w:p w14:paraId="0D403B2F" w14:textId="77777777" w:rsidR="007926A6" w:rsidRPr="008052B8" w:rsidRDefault="003E7245" w:rsidP="007926A6">
      <w:pPr>
        <w:pStyle w:val="ActHead5"/>
      </w:pPr>
      <w:bookmarkStart w:id="70" w:name="_Toc65664297"/>
      <w:r w:rsidRPr="00085A2B">
        <w:rPr>
          <w:rStyle w:val="CharSectno"/>
        </w:rPr>
        <w:t>45</w:t>
      </w:r>
      <w:r w:rsidR="007926A6" w:rsidRPr="008052B8">
        <w:t xml:space="preserve">  Things done under the old regulations</w:t>
      </w:r>
      <w:bookmarkEnd w:id="70"/>
    </w:p>
    <w:p w14:paraId="742B3663" w14:textId="77777777" w:rsidR="007926A6" w:rsidRPr="008052B8" w:rsidRDefault="007926A6" w:rsidP="007926A6">
      <w:pPr>
        <w:pStyle w:val="subsection"/>
      </w:pPr>
      <w:r w:rsidRPr="008052B8">
        <w:tab/>
        <w:t>(1)</w:t>
      </w:r>
      <w:r w:rsidRPr="008052B8">
        <w:tab/>
        <w:t>If:</w:t>
      </w:r>
    </w:p>
    <w:p w14:paraId="38D27CA3" w14:textId="77777777" w:rsidR="007926A6" w:rsidRPr="008052B8" w:rsidRDefault="007926A6" w:rsidP="007926A6">
      <w:pPr>
        <w:pStyle w:val="paragraph"/>
      </w:pPr>
      <w:r w:rsidRPr="008052B8">
        <w:tab/>
        <w:t>(a)</w:t>
      </w:r>
      <w:r w:rsidRPr="008052B8">
        <w:tab/>
        <w:t>a thing was done for a particular purpose under the old regulations before the commencement time; and</w:t>
      </w:r>
    </w:p>
    <w:p w14:paraId="7E0438AD" w14:textId="77777777" w:rsidR="007926A6" w:rsidRPr="008052B8" w:rsidRDefault="007926A6" w:rsidP="007926A6">
      <w:pPr>
        <w:pStyle w:val="paragraph"/>
      </w:pPr>
      <w:r w:rsidRPr="008052B8">
        <w:tab/>
        <w:t>(b)</w:t>
      </w:r>
      <w:r w:rsidRPr="008052B8">
        <w:tab/>
        <w:t>the thing could be done for that purpose under this instrument;</w:t>
      </w:r>
    </w:p>
    <w:p w14:paraId="02FF3F49" w14:textId="77777777" w:rsidR="007926A6" w:rsidRPr="008052B8" w:rsidRDefault="007926A6" w:rsidP="007926A6">
      <w:pPr>
        <w:pStyle w:val="subsection2"/>
      </w:pPr>
      <w:r w:rsidRPr="008052B8">
        <w:t>the thing has effect for the purposes of this instrument as if it had been done for that purpose under this instrument.</w:t>
      </w:r>
    </w:p>
    <w:p w14:paraId="152B7F81" w14:textId="77777777" w:rsidR="007926A6" w:rsidRPr="008052B8" w:rsidRDefault="007926A6" w:rsidP="007926A6">
      <w:pPr>
        <w:pStyle w:val="subsection"/>
      </w:pPr>
      <w:r w:rsidRPr="008052B8">
        <w:tab/>
        <w:t>(2)</w:t>
      </w:r>
      <w:r w:rsidRPr="008052B8">
        <w:tab/>
        <w:t xml:space="preserve">Without limiting </w:t>
      </w:r>
      <w:r w:rsidR="007C587A" w:rsidRPr="008052B8">
        <w:t>subsection (</w:t>
      </w:r>
      <w:r w:rsidRPr="008052B8">
        <w:t>1), a reference in that subsection to a thing being done includes a reference to a notice, application or other instrument being given or made.</w:t>
      </w:r>
    </w:p>
    <w:p w14:paraId="40C7433E" w14:textId="77777777" w:rsidR="007926A6" w:rsidRPr="008052B8" w:rsidRDefault="003E7245" w:rsidP="007926A6">
      <w:pPr>
        <w:pStyle w:val="ActHead5"/>
      </w:pPr>
      <w:bookmarkStart w:id="71" w:name="_Toc65664298"/>
      <w:r w:rsidRPr="00085A2B">
        <w:rPr>
          <w:rStyle w:val="CharSectno"/>
        </w:rPr>
        <w:t>46</w:t>
      </w:r>
      <w:r w:rsidR="007926A6" w:rsidRPr="008052B8">
        <w:t xml:space="preserve">  Conduct, event or circumstance occurring before commencement time</w:t>
      </w:r>
      <w:bookmarkEnd w:id="71"/>
    </w:p>
    <w:p w14:paraId="376B8807" w14:textId="77777777" w:rsidR="007926A6" w:rsidRPr="008052B8" w:rsidRDefault="007926A6" w:rsidP="007926A6">
      <w:pPr>
        <w:pStyle w:val="subsection"/>
      </w:pPr>
      <w:r w:rsidRPr="008052B8">
        <w:tab/>
        <w:t>(1)</w:t>
      </w:r>
      <w:r w:rsidRPr="008052B8">
        <w:tab/>
        <w:t>To avoid doubt, a function or duty may be performed, or a power exercised, under this instrument in relation to conduct engaged in, an event that occurred, or a circumstance that arose, before the commencement time.</w:t>
      </w:r>
    </w:p>
    <w:p w14:paraId="334E3A9A" w14:textId="77777777" w:rsidR="007926A6" w:rsidRPr="008052B8" w:rsidRDefault="007926A6" w:rsidP="007926A6">
      <w:pPr>
        <w:pStyle w:val="subsection"/>
      </w:pPr>
      <w:r w:rsidRPr="008052B8">
        <w:tab/>
        <w:t>(2)</w:t>
      </w:r>
      <w:r w:rsidRPr="008052B8">
        <w:tab/>
        <w:t xml:space="preserve">This section does not limit this Division or section 7 of the </w:t>
      </w:r>
      <w:r w:rsidRPr="008052B8">
        <w:rPr>
          <w:i/>
        </w:rPr>
        <w:t>Acts Interpretation Act 1901</w:t>
      </w:r>
      <w:r w:rsidRPr="008052B8">
        <w:t xml:space="preserve"> (as that Act applies in relation to this instrument because of paragraph 13(1)(a) of the </w:t>
      </w:r>
      <w:r w:rsidRPr="008052B8">
        <w:rPr>
          <w:i/>
        </w:rPr>
        <w:t>Legislation Act 2003</w:t>
      </w:r>
      <w:r w:rsidRPr="008052B8">
        <w:t>).</w:t>
      </w:r>
    </w:p>
    <w:p w14:paraId="5B2AF96A" w14:textId="77777777" w:rsidR="007926A6" w:rsidRPr="008052B8" w:rsidRDefault="003E7245" w:rsidP="007926A6">
      <w:pPr>
        <w:pStyle w:val="ActHead5"/>
      </w:pPr>
      <w:bookmarkStart w:id="72" w:name="_Toc65664299"/>
      <w:r w:rsidRPr="00085A2B">
        <w:rPr>
          <w:rStyle w:val="CharSectno"/>
        </w:rPr>
        <w:t>47</w:t>
      </w:r>
      <w:r w:rsidR="007926A6" w:rsidRPr="008052B8">
        <w:t xml:space="preserve">  Records relating to articles that may contain drugs etc.</w:t>
      </w:r>
      <w:bookmarkEnd w:id="72"/>
    </w:p>
    <w:p w14:paraId="1AAF3EB0" w14:textId="77777777" w:rsidR="007926A6" w:rsidRPr="008052B8" w:rsidRDefault="007926A6" w:rsidP="007926A6">
      <w:pPr>
        <w:pStyle w:val="SubsectionHead"/>
      </w:pPr>
      <w:r w:rsidRPr="008052B8">
        <w:t>Particulars to be included in records</w:t>
      </w:r>
    </w:p>
    <w:p w14:paraId="50049DFC" w14:textId="77777777" w:rsidR="007926A6" w:rsidRPr="008052B8" w:rsidRDefault="007926A6" w:rsidP="007926A6">
      <w:pPr>
        <w:pStyle w:val="subsection"/>
      </w:pPr>
      <w:r w:rsidRPr="008052B8">
        <w:tab/>
        <w:t>(1)</w:t>
      </w:r>
      <w:r w:rsidRPr="008052B8">
        <w:tab/>
      </w:r>
      <w:r w:rsidR="00CB63AD" w:rsidRPr="008052B8">
        <w:t>Section 7</w:t>
      </w:r>
      <w:r w:rsidRPr="008052B8">
        <w:t xml:space="preserve"> applies in relation to any article that is opened under section 90T of the Act after the commencement time.</w:t>
      </w:r>
    </w:p>
    <w:p w14:paraId="5C2DA14A" w14:textId="77777777" w:rsidR="007926A6" w:rsidRPr="008052B8" w:rsidRDefault="007926A6" w:rsidP="007926A6">
      <w:pPr>
        <w:pStyle w:val="subsection"/>
      </w:pPr>
      <w:r w:rsidRPr="008052B8">
        <w:tab/>
        <w:t>(2)</w:t>
      </w:r>
      <w:r w:rsidRPr="008052B8">
        <w:tab/>
        <w:t>Despite the repeal of the old regulations by this instrument, regulations 3A, 3B and 3C of the old regulations continue to apply in relation to any article that is opened under section 90T of the Act before the commencement time, as if the repeal had not happened.</w:t>
      </w:r>
    </w:p>
    <w:p w14:paraId="5D917E6E" w14:textId="77777777" w:rsidR="007926A6" w:rsidRPr="008052B8" w:rsidRDefault="007926A6" w:rsidP="007926A6">
      <w:pPr>
        <w:pStyle w:val="SubsectionHead"/>
      </w:pPr>
      <w:r w:rsidRPr="008052B8">
        <w:t>Place, manner and use of records</w:t>
      </w:r>
    </w:p>
    <w:p w14:paraId="31AC270A" w14:textId="77777777" w:rsidR="007926A6" w:rsidRPr="008052B8" w:rsidRDefault="007926A6" w:rsidP="007926A6">
      <w:pPr>
        <w:pStyle w:val="subsection"/>
      </w:pPr>
      <w:r w:rsidRPr="008052B8">
        <w:tab/>
        <w:t>(3)</w:t>
      </w:r>
      <w:r w:rsidRPr="008052B8">
        <w:tab/>
      </w:r>
      <w:r w:rsidR="00CB63AD" w:rsidRPr="008052B8">
        <w:t>Sections 8</w:t>
      </w:r>
      <w:r w:rsidRPr="008052B8">
        <w:t xml:space="preserve">, </w:t>
      </w:r>
      <w:r w:rsidR="003E7245" w:rsidRPr="008052B8">
        <w:t>9</w:t>
      </w:r>
      <w:r w:rsidRPr="008052B8">
        <w:t xml:space="preserve"> and </w:t>
      </w:r>
      <w:r w:rsidR="003E7245" w:rsidRPr="008052B8">
        <w:t>10</w:t>
      </w:r>
      <w:r w:rsidRPr="008052B8">
        <w:t xml:space="preserve"> apply after the commencement time in relation to any record established for the purposes of subsection 90T(8) of the Act, whether the record is established before or after the commencement time.</w:t>
      </w:r>
    </w:p>
    <w:p w14:paraId="346285BF" w14:textId="77777777" w:rsidR="007926A6" w:rsidRPr="008052B8" w:rsidRDefault="003E7245" w:rsidP="007926A6">
      <w:pPr>
        <w:pStyle w:val="ActHead5"/>
      </w:pPr>
      <w:bookmarkStart w:id="73" w:name="_Toc65664300"/>
      <w:r w:rsidRPr="00085A2B">
        <w:rPr>
          <w:rStyle w:val="CharSectno"/>
        </w:rPr>
        <w:lastRenderedPageBreak/>
        <w:t>48</w:t>
      </w:r>
      <w:r w:rsidR="007926A6" w:rsidRPr="008052B8">
        <w:t xml:space="preserve">  Records relating to articles that may contain quarantine material</w:t>
      </w:r>
      <w:bookmarkEnd w:id="73"/>
    </w:p>
    <w:p w14:paraId="42B1C56E" w14:textId="77777777" w:rsidR="007926A6" w:rsidRPr="008052B8" w:rsidRDefault="007926A6" w:rsidP="007926A6">
      <w:pPr>
        <w:pStyle w:val="SubsectionHead"/>
      </w:pPr>
      <w:r w:rsidRPr="008052B8">
        <w:t>Responsible person or body</w:t>
      </w:r>
    </w:p>
    <w:p w14:paraId="38EFED05" w14:textId="77777777" w:rsidR="007926A6" w:rsidRPr="008052B8" w:rsidRDefault="007926A6" w:rsidP="007926A6">
      <w:pPr>
        <w:pStyle w:val="subsection"/>
      </w:pPr>
      <w:r w:rsidRPr="008052B8">
        <w:tab/>
        <w:t>(1)</w:t>
      </w:r>
      <w:r w:rsidRPr="008052B8">
        <w:tab/>
      </w:r>
      <w:r w:rsidR="00CB63AD" w:rsidRPr="008052B8">
        <w:t>Section 1</w:t>
      </w:r>
      <w:r w:rsidR="003E7245" w:rsidRPr="008052B8">
        <w:t>2</w:t>
      </w:r>
      <w:r w:rsidRPr="008052B8">
        <w:t xml:space="preserve"> applies after the commencement time in relation to any article mentioned in subsection 90U(9) of the Act, whether opened under section 90U of the Act before or after the commencement time.</w:t>
      </w:r>
    </w:p>
    <w:p w14:paraId="6764AD69" w14:textId="77777777" w:rsidR="007926A6" w:rsidRPr="008052B8" w:rsidRDefault="007926A6" w:rsidP="007926A6">
      <w:pPr>
        <w:pStyle w:val="SubsectionHead"/>
      </w:pPr>
      <w:r w:rsidRPr="008052B8">
        <w:t>Particulars to be included in records</w:t>
      </w:r>
    </w:p>
    <w:p w14:paraId="1C5D71C2" w14:textId="77777777" w:rsidR="007926A6" w:rsidRPr="008052B8" w:rsidRDefault="007926A6" w:rsidP="007926A6">
      <w:pPr>
        <w:pStyle w:val="subsection"/>
      </w:pPr>
      <w:r w:rsidRPr="008052B8">
        <w:tab/>
        <w:t>(2)</w:t>
      </w:r>
      <w:r w:rsidRPr="008052B8">
        <w:tab/>
      </w:r>
      <w:r w:rsidR="00CB63AD" w:rsidRPr="008052B8">
        <w:t>Section 1</w:t>
      </w:r>
      <w:r w:rsidR="003E7245" w:rsidRPr="008052B8">
        <w:t>3</w:t>
      </w:r>
      <w:r w:rsidRPr="008052B8">
        <w:t xml:space="preserve"> applies in relation to any article mentioned in subsection 90U(9) of the Act that is opened under section 90U of the Act after the commencement time.</w:t>
      </w:r>
    </w:p>
    <w:p w14:paraId="47E1E66F" w14:textId="77777777" w:rsidR="007926A6" w:rsidRPr="008052B8" w:rsidRDefault="007926A6" w:rsidP="007926A6">
      <w:pPr>
        <w:pStyle w:val="subsection"/>
      </w:pPr>
      <w:r w:rsidRPr="008052B8">
        <w:tab/>
        <w:t>(3)</w:t>
      </w:r>
      <w:r w:rsidRPr="008052B8">
        <w:tab/>
        <w:t>Despite the repeal of the old regulations by this instrument, regulations 3G, 3H and 3I</w:t>
      </w:r>
      <w:bookmarkStart w:id="74" w:name="BK_S3P23L15C10"/>
      <w:bookmarkEnd w:id="74"/>
      <w:r w:rsidRPr="008052B8">
        <w:t xml:space="preserve"> of the old regulations continue to apply in relation to any article mentioned in subsection 90U(9) of the Act that is opened under section 90U of the Act before the commencement time, as if the repeal had not happened.</w:t>
      </w:r>
    </w:p>
    <w:p w14:paraId="40520AB0" w14:textId="77777777" w:rsidR="007926A6" w:rsidRPr="008052B8" w:rsidRDefault="007926A6" w:rsidP="007926A6">
      <w:pPr>
        <w:pStyle w:val="SubsectionHead"/>
      </w:pPr>
      <w:r w:rsidRPr="008052B8">
        <w:t>Place, manner and use of records</w:t>
      </w:r>
    </w:p>
    <w:p w14:paraId="2670DE07" w14:textId="77777777" w:rsidR="007926A6" w:rsidRPr="008052B8" w:rsidRDefault="007926A6" w:rsidP="007926A6">
      <w:pPr>
        <w:pStyle w:val="subsection"/>
      </w:pPr>
      <w:r w:rsidRPr="008052B8">
        <w:tab/>
        <w:t>(4)</w:t>
      </w:r>
      <w:r w:rsidRPr="008052B8">
        <w:tab/>
      </w:r>
      <w:r w:rsidR="00CB63AD" w:rsidRPr="008052B8">
        <w:t>Sections 1</w:t>
      </w:r>
      <w:r w:rsidR="003E7245" w:rsidRPr="008052B8">
        <w:t>4</w:t>
      </w:r>
      <w:r w:rsidRPr="008052B8">
        <w:t xml:space="preserve">, </w:t>
      </w:r>
      <w:r w:rsidR="003E7245" w:rsidRPr="008052B8">
        <w:t>15</w:t>
      </w:r>
      <w:r w:rsidRPr="008052B8">
        <w:t xml:space="preserve"> and </w:t>
      </w:r>
      <w:r w:rsidR="003E7245" w:rsidRPr="008052B8">
        <w:t>16</w:t>
      </w:r>
      <w:r w:rsidRPr="008052B8">
        <w:t xml:space="preserve"> apply after the commencement time in relation to any record established for the purposes of subsection 90U(9) of the Act, whether the record is established before or after the commencement time.</w:t>
      </w:r>
    </w:p>
    <w:p w14:paraId="53026F16" w14:textId="77777777" w:rsidR="007926A6" w:rsidRPr="008052B8" w:rsidRDefault="003E7245" w:rsidP="007926A6">
      <w:pPr>
        <w:pStyle w:val="ActHead5"/>
      </w:pPr>
      <w:bookmarkStart w:id="75" w:name="_Toc65664301"/>
      <w:r w:rsidRPr="00085A2B">
        <w:rPr>
          <w:rStyle w:val="CharSectno"/>
        </w:rPr>
        <w:t>49</w:t>
      </w:r>
      <w:r w:rsidR="007926A6" w:rsidRPr="008052B8">
        <w:t xml:space="preserve">  Forfeiture and disposal of articles</w:t>
      </w:r>
      <w:bookmarkEnd w:id="75"/>
    </w:p>
    <w:p w14:paraId="1F6C6FD8" w14:textId="77777777" w:rsidR="007926A6" w:rsidRPr="008052B8" w:rsidRDefault="007926A6" w:rsidP="007926A6">
      <w:pPr>
        <w:pStyle w:val="subsection"/>
      </w:pPr>
      <w:r w:rsidRPr="008052B8">
        <w:tab/>
      </w:r>
      <w:r w:rsidRPr="008052B8">
        <w:tab/>
        <w:t>Despite the repeal of the old regulations by this instrument, regulation 5 of the old regulations continues to apply, as if the repeal had not happened, in relation to:</w:t>
      </w:r>
    </w:p>
    <w:p w14:paraId="1E0B6492" w14:textId="77777777" w:rsidR="007926A6" w:rsidRPr="008052B8" w:rsidRDefault="007926A6" w:rsidP="007926A6">
      <w:pPr>
        <w:pStyle w:val="paragraph"/>
      </w:pPr>
      <w:r w:rsidRPr="008052B8">
        <w:tab/>
        <w:t>(a)</w:t>
      </w:r>
      <w:r w:rsidRPr="008052B8">
        <w:tab/>
        <w:t>any article carried by post that is opened under Division 3 of Part 7B of the Act before the commencement time; and</w:t>
      </w:r>
    </w:p>
    <w:p w14:paraId="361E0A3C" w14:textId="77777777" w:rsidR="007926A6" w:rsidRPr="008052B8" w:rsidRDefault="007926A6" w:rsidP="007926A6">
      <w:pPr>
        <w:pStyle w:val="paragraph"/>
      </w:pPr>
      <w:r w:rsidRPr="008052B8">
        <w:tab/>
        <w:t>(b)</w:t>
      </w:r>
      <w:r w:rsidRPr="008052B8">
        <w:tab/>
        <w:t>a thing contained in an article of that kind.</w:t>
      </w:r>
    </w:p>
    <w:p w14:paraId="397B676E" w14:textId="77777777" w:rsidR="007926A6" w:rsidRPr="008052B8" w:rsidRDefault="003E7245" w:rsidP="007926A6">
      <w:pPr>
        <w:pStyle w:val="ActHead5"/>
      </w:pPr>
      <w:bookmarkStart w:id="76" w:name="_Toc65664302"/>
      <w:r w:rsidRPr="00085A2B">
        <w:rPr>
          <w:rStyle w:val="CharSectno"/>
        </w:rPr>
        <w:t>50</w:t>
      </w:r>
      <w:r w:rsidR="007926A6" w:rsidRPr="008052B8">
        <w:t xml:space="preserve">  Prohibition on use or disclosure by current and former employees</w:t>
      </w:r>
      <w:bookmarkEnd w:id="76"/>
    </w:p>
    <w:p w14:paraId="4E3BB350" w14:textId="77777777" w:rsidR="007926A6" w:rsidRPr="008052B8" w:rsidRDefault="007926A6" w:rsidP="007926A6">
      <w:pPr>
        <w:pStyle w:val="subsection"/>
      </w:pPr>
      <w:r w:rsidRPr="008052B8">
        <w:tab/>
      </w:r>
      <w:r w:rsidRPr="008052B8">
        <w:tab/>
      </w:r>
      <w:r w:rsidR="00CB63AD" w:rsidRPr="008052B8">
        <w:t>Section 1</w:t>
      </w:r>
      <w:r w:rsidR="003E7245" w:rsidRPr="008052B8">
        <w:t>8</w:t>
      </w:r>
      <w:r w:rsidRPr="008052B8">
        <w:t xml:space="preserve"> applies in relation to any disclosure of information or a document by a person after the commencement time, whether the person acquired or received the information or document before or after the commencement time.</w:t>
      </w:r>
    </w:p>
    <w:p w14:paraId="635AE16C" w14:textId="77777777" w:rsidR="007926A6" w:rsidRPr="008052B8" w:rsidRDefault="007926A6" w:rsidP="00D4245B">
      <w:pPr>
        <w:pStyle w:val="subsection"/>
        <w:sectPr w:rsidR="007926A6" w:rsidRPr="008052B8" w:rsidSect="00C006AB">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3086D283" w14:textId="77777777" w:rsidR="000E10F9" w:rsidRPr="008052B8" w:rsidRDefault="00E747C0" w:rsidP="000E10F9">
      <w:pPr>
        <w:pStyle w:val="ActHead6"/>
      </w:pPr>
      <w:bookmarkStart w:id="77" w:name="_Toc65664303"/>
      <w:bookmarkStart w:id="78" w:name="opcAmSched"/>
      <w:bookmarkStart w:id="79" w:name="opcCurrentFind"/>
      <w:r w:rsidRPr="00085A2B">
        <w:rPr>
          <w:rStyle w:val="CharAmSchNo"/>
        </w:rPr>
        <w:lastRenderedPageBreak/>
        <w:t>Schedule 1</w:t>
      </w:r>
      <w:r w:rsidR="000E10F9" w:rsidRPr="008052B8">
        <w:t>—</w:t>
      </w:r>
      <w:r w:rsidR="000E10F9" w:rsidRPr="00085A2B">
        <w:rPr>
          <w:rStyle w:val="CharAmSchText"/>
        </w:rPr>
        <w:t>Repeals</w:t>
      </w:r>
      <w:bookmarkEnd w:id="77"/>
    </w:p>
    <w:bookmarkEnd w:id="78"/>
    <w:bookmarkEnd w:id="79"/>
    <w:p w14:paraId="3F46C31B" w14:textId="77777777" w:rsidR="000E10F9" w:rsidRPr="00085A2B" w:rsidRDefault="000E10F9">
      <w:pPr>
        <w:pStyle w:val="Header"/>
      </w:pPr>
      <w:r w:rsidRPr="00085A2B">
        <w:rPr>
          <w:rStyle w:val="CharAmPartNo"/>
        </w:rPr>
        <w:t xml:space="preserve"> </w:t>
      </w:r>
      <w:r w:rsidRPr="00085A2B">
        <w:rPr>
          <w:rStyle w:val="CharAmPartText"/>
        </w:rPr>
        <w:t xml:space="preserve"> </w:t>
      </w:r>
    </w:p>
    <w:p w14:paraId="18B7C2A5" w14:textId="77777777" w:rsidR="000E10F9" w:rsidRPr="008052B8" w:rsidRDefault="000E10F9" w:rsidP="000E10F9">
      <w:pPr>
        <w:pStyle w:val="ActHead9"/>
      </w:pPr>
      <w:bookmarkStart w:id="80" w:name="_Toc65664304"/>
      <w:r w:rsidRPr="008052B8">
        <w:t xml:space="preserve">Australian Postal Corporation </w:t>
      </w:r>
      <w:r w:rsidR="00E747C0" w:rsidRPr="008052B8">
        <w:t>Regulations 1</w:t>
      </w:r>
      <w:r w:rsidRPr="008052B8">
        <w:t>996</w:t>
      </w:r>
      <w:bookmarkEnd w:id="80"/>
    </w:p>
    <w:p w14:paraId="5CB2F3A1" w14:textId="77777777" w:rsidR="000E10F9" w:rsidRPr="008052B8" w:rsidRDefault="000E10F9" w:rsidP="00E747C0">
      <w:pPr>
        <w:pStyle w:val="ItemHead"/>
      </w:pPr>
      <w:r w:rsidRPr="008052B8">
        <w:t>1  The whole of the instrument</w:t>
      </w:r>
    </w:p>
    <w:p w14:paraId="58395076" w14:textId="77777777" w:rsidR="000E10F9" w:rsidRPr="008052B8" w:rsidRDefault="000E10F9" w:rsidP="000E10F9">
      <w:pPr>
        <w:pStyle w:val="Item"/>
      </w:pPr>
      <w:r w:rsidRPr="008052B8">
        <w:t>Repeal the instrument.</w:t>
      </w:r>
    </w:p>
    <w:p w14:paraId="29D0AB11" w14:textId="77777777" w:rsidR="000E10F9" w:rsidRPr="008052B8" w:rsidRDefault="000E10F9">
      <w:pPr>
        <w:sectPr w:rsidR="000E10F9" w:rsidRPr="008052B8" w:rsidSect="00C006AB">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453F69BE" w14:textId="77777777" w:rsidR="000E10F9" w:rsidRPr="008052B8" w:rsidRDefault="000E10F9"/>
    <w:sectPr w:rsidR="000E10F9" w:rsidRPr="008052B8" w:rsidSect="00C006AB">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355E" w14:textId="77777777" w:rsidR="00AC04C7" w:rsidRDefault="00AC04C7" w:rsidP="00715914">
      <w:pPr>
        <w:spacing w:line="240" w:lineRule="auto"/>
      </w:pPr>
      <w:r>
        <w:separator/>
      </w:r>
    </w:p>
  </w:endnote>
  <w:endnote w:type="continuationSeparator" w:id="0">
    <w:p w14:paraId="5618423B" w14:textId="77777777" w:rsidR="00AC04C7" w:rsidRDefault="00AC04C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5315" w14:textId="77777777" w:rsidR="00085A2B" w:rsidRPr="00C006AB" w:rsidRDefault="00C006AB" w:rsidP="00C006AB">
    <w:pPr>
      <w:pStyle w:val="Footer"/>
      <w:rPr>
        <w:i/>
        <w:sz w:val="18"/>
      </w:rPr>
    </w:pPr>
    <w:r w:rsidRPr="00C006AB">
      <w:rPr>
        <w:i/>
        <w:sz w:val="18"/>
      </w:rPr>
      <w:t>OPC64037 - D</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FDD4" w14:textId="77777777" w:rsidR="00AC04C7" w:rsidRPr="00D90ABA" w:rsidRDefault="00AC04C7" w:rsidP="000E10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AC04C7" w14:paraId="7DD0E9E6" w14:textId="77777777" w:rsidTr="000E10F9">
      <w:tc>
        <w:tcPr>
          <w:tcW w:w="942" w:type="pct"/>
        </w:tcPr>
        <w:p w14:paraId="2CAD9352" w14:textId="77777777" w:rsidR="00AC04C7" w:rsidRDefault="00AC04C7" w:rsidP="00E747C0">
          <w:pPr>
            <w:spacing w:line="0" w:lineRule="atLeast"/>
            <w:rPr>
              <w:sz w:val="18"/>
            </w:rPr>
          </w:pPr>
        </w:p>
      </w:tc>
      <w:tc>
        <w:tcPr>
          <w:tcW w:w="3671" w:type="pct"/>
        </w:tcPr>
        <w:p w14:paraId="19F97A72" w14:textId="3324F378" w:rsidR="00AC04C7" w:rsidRDefault="00AC04C7" w:rsidP="00E747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387" w:type="pct"/>
        </w:tcPr>
        <w:p w14:paraId="12DB3019" w14:textId="77777777" w:rsidR="00AC04C7" w:rsidRDefault="00AC04C7" w:rsidP="00E747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52AA0CF2" w14:textId="77777777" w:rsidR="00AC04C7" w:rsidRPr="00C006AB" w:rsidRDefault="00C006AB" w:rsidP="00C006AB">
    <w:pPr>
      <w:rPr>
        <w:rFonts w:cs="Times New Roman"/>
        <w:i/>
        <w:sz w:val="18"/>
      </w:rPr>
    </w:pPr>
    <w:r w:rsidRPr="00C006AB">
      <w:rPr>
        <w:rFonts w:cs="Times New Roman"/>
        <w:i/>
        <w:sz w:val="18"/>
      </w:rPr>
      <w:t>OPC64037 - D</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5439" w14:textId="77777777" w:rsidR="00AC04C7" w:rsidRDefault="00AC04C7">
    <w:pPr>
      <w:pBdr>
        <w:top w:val="single" w:sz="6" w:space="1" w:color="auto"/>
      </w:pBdr>
      <w:rPr>
        <w:sz w:val="18"/>
      </w:rPr>
    </w:pPr>
  </w:p>
  <w:p w14:paraId="7389E758" w14:textId="430E328E" w:rsidR="00AC04C7" w:rsidRDefault="00AC04C7">
    <w:pPr>
      <w:jc w:val="right"/>
      <w:rPr>
        <w:i/>
        <w:sz w:val="18"/>
      </w:rPr>
    </w:pPr>
    <w:r>
      <w:rPr>
        <w:i/>
        <w:sz w:val="18"/>
      </w:rPr>
      <w:fldChar w:fldCharType="begin"/>
    </w:r>
    <w:r>
      <w:rPr>
        <w:i/>
        <w:sz w:val="18"/>
      </w:rPr>
      <w:instrText xml:space="preserve"> STYLEREF ShortT </w:instrText>
    </w:r>
    <w:r>
      <w:rPr>
        <w:i/>
        <w:sz w:val="18"/>
      </w:rPr>
      <w:fldChar w:fldCharType="separate"/>
    </w:r>
    <w:r w:rsidR="004457E9">
      <w:rPr>
        <w:i/>
        <w:noProof/>
        <w:sz w:val="18"/>
      </w:rPr>
      <w:t>Australian Postal Corporation Regulations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457E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9</w:t>
    </w:r>
    <w:r>
      <w:rPr>
        <w:i/>
        <w:sz w:val="18"/>
      </w:rPr>
      <w:fldChar w:fldCharType="end"/>
    </w:r>
  </w:p>
  <w:p w14:paraId="0C7D169B" w14:textId="77777777" w:rsidR="00AC04C7" w:rsidRPr="00C006AB" w:rsidRDefault="00C006AB" w:rsidP="00C006AB">
    <w:pPr>
      <w:rPr>
        <w:rFonts w:cs="Times New Roman"/>
        <w:i/>
        <w:sz w:val="18"/>
      </w:rPr>
    </w:pPr>
    <w:r w:rsidRPr="00C006AB">
      <w:rPr>
        <w:rFonts w:cs="Times New Roman"/>
        <w:i/>
        <w:sz w:val="18"/>
      </w:rPr>
      <w:t>OPC64037 - 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9232" w14:textId="77777777" w:rsidR="00AC04C7" w:rsidRPr="00E33C1C" w:rsidRDefault="00AC04C7" w:rsidP="000E10F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AC04C7" w14:paraId="1BBE069A" w14:textId="77777777" w:rsidTr="000E10F9">
      <w:tc>
        <w:tcPr>
          <w:tcW w:w="418" w:type="pct"/>
          <w:tcBorders>
            <w:top w:val="nil"/>
            <w:left w:val="nil"/>
            <w:bottom w:val="nil"/>
            <w:right w:val="nil"/>
          </w:tcBorders>
        </w:tcPr>
        <w:p w14:paraId="6C7175B5" w14:textId="77777777" w:rsidR="00AC04C7" w:rsidRDefault="00AC04C7" w:rsidP="00E747C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c>
        <w:tcPr>
          <w:tcW w:w="3765" w:type="pct"/>
          <w:tcBorders>
            <w:top w:val="nil"/>
            <w:left w:val="nil"/>
            <w:bottom w:val="nil"/>
            <w:right w:val="nil"/>
          </w:tcBorders>
        </w:tcPr>
        <w:p w14:paraId="57BD902C" w14:textId="5015351B" w:rsidR="00AC04C7" w:rsidRDefault="00AC04C7" w:rsidP="00E747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817" w:type="pct"/>
          <w:tcBorders>
            <w:top w:val="nil"/>
            <w:left w:val="nil"/>
            <w:bottom w:val="nil"/>
            <w:right w:val="nil"/>
          </w:tcBorders>
        </w:tcPr>
        <w:p w14:paraId="1E50C5B9" w14:textId="77777777" w:rsidR="00AC04C7" w:rsidRDefault="00AC04C7" w:rsidP="00E747C0">
          <w:pPr>
            <w:spacing w:line="0" w:lineRule="atLeast"/>
            <w:jc w:val="right"/>
            <w:rPr>
              <w:sz w:val="18"/>
            </w:rPr>
          </w:pPr>
        </w:p>
      </w:tc>
    </w:tr>
  </w:tbl>
  <w:p w14:paraId="641004DB" w14:textId="77777777" w:rsidR="00AC04C7" w:rsidRPr="00C006AB" w:rsidRDefault="00C006AB" w:rsidP="00C006AB">
    <w:pPr>
      <w:rPr>
        <w:rFonts w:cs="Times New Roman"/>
        <w:i/>
        <w:sz w:val="18"/>
      </w:rPr>
    </w:pPr>
    <w:r w:rsidRPr="00C006AB">
      <w:rPr>
        <w:rFonts w:cs="Times New Roman"/>
        <w:i/>
        <w:sz w:val="18"/>
      </w:rPr>
      <w:t>OPC64037 - D</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3026" w14:textId="77777777" w:rsidR="00AC04C7" w:rsidRPr="00E33C1C" w:rsidRDefault="00AC04C7" w:rsidP="000E10F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C04C7" w14:paraId="04985F9D" w14:textId="77777777" w:rsidTr="000E10F9">
      <w:tc>
        <w:tcPr>
          <w:tcW w:w="817" w:type="pct"/>
          <w:tcBorders>
            <w:top w:val="nil"/>
            <w:left w:val="nil"/>
            <w:bottom w:val="nil"/>
            <w:right w:val="nil"/>
          </w:tcBorders>
        </w:tcPr>
        <w:p w14:paraId="41A5F07B" w14:textId="77777777" w:rsidR="00AC04C7" w:rsidRDefault="00AC04C7" w:rsidP="00E747C0">
          <w:pPr>
            <w:spacing w:line="0" w:lineRule="atLeast"/>
            <w:rPr>
              <w:sz w:val="18"/>
            </w:rPr>
          </w:pPr>
        </w:p>
      </w:tc>
      <w:tc>
        <w:tcPr>
          <w:tcW w:w="3765" w:type="pct"/>
          <w:tcBorders>
            <w:top w:val="nil"/>
            <w:left w:val="nil"/>
            <w:bottom w:val="nil"/>
            <w:right w:val="nil"/>
          </w:tcBorders>
        </w:tcPr>
        <w:p w14:paraId="16076DE3" w14:textId="2FF5977C" w:rsidR="00AC04C7" w:rsidRDefault="00AC04C7" w:rsidP="00E747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418" w:type="pct"/>
          <w:tcBorders>
            <w:top w:val="nil"/>
            <w:left w:val="nil"/>
            <w:bottom w:val="nil"/>
            <w:right w:val="nil"/>
          </w:tcBorders>
        </w:tcPr>
        <w:p w14:paraId="360F50B7" w14:textId="77777777" w:rsidR="00AC04C7" w:rsidRDefault="00AC04C7" w:rsidP="00E747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6498C96C" w14:textId="77777777" w:rsidR="00AC04C7" w:rsidRPr="00C006AB" w:rsidRDefault="00C006AB" w:rsidP="00C006AB">
    <w:pPr>
      <w:rPr>
        <w:rFonts w:cs="Times New Roman"/>
        <w:i/>
        <w:sz w:val="18"/>
      </w:rPr>
    </w:pPr>
    <w:r w:rsidRPr="00C006AB">
      <w:rPr>
        <w:rFonts w:cs="Times New Roman"/>
        <w:i/>
        <w:sz w:val="18"/>
      </w:rPr>
      <w:t>OPC64037 - D</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7F52" w14:textId="77777777" w:rsidR="00AC04C7" w:rsidRPr="00E33C1C" w:rsidRDefault="00AC04C7"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C04C7" w14:paraId="733E35AA" w14:textId="77777777" w:rsidTr="000E10F9">
      <w:tc>
        <w:tcPr>
          <w:tcW w:w="817" w:type="pct"/>
          <w:tcBorders>
            <w:top w:val="nil"/>
            <w:left w:val="nil"/>
            <w:bottom w:val="nil"/>
            <w:right w:val="nil"/>
          </w:tcBorders>
        </w:tcPr>
        <w:p w14:paraId="337D2968" w14:textId="77777777" w:rsidR="00AC04C7" w:rsidRDefault="00AC04C7" w:rsidP="00E747C0">
          <w:pPr>
            <w:spacing w:line="0" w:lineRule="atLeast"/>
            <w:rPr>
              <w:sz w:val="18"/>
            </w:rPr>
          </w:pPr>
        </w:p>
      </w:tc>
      <w:tc>
        <w:tcPr>
          <w:tcW w:w="3765" w:type="pct"/>
          <w:tcBorders>
            <w:top w:val="nil"/>
            <w:left w:val="nil"/>
            <w:bottom w:val="nil"/>
            <w:right w:val="nil"/>
          </w:tcBorders>
        </w:tcPr>
        <w:p w14:paraId="63AA5298" w14:textId="413F3B02" w:rsidR="00AC04C7" w:rsidRDefault="00AC04C7" w:rsidP="00E747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418" w:type="pct"/>
          <w:tcBorders>
            <w:top w:val="nil"/>
            <w:left w:val="nil"/>
            <w:bottom w:val="nil"/>
            <w:right w:val="nil"/>
          </w:tcBorders>
        </w:tcPr>
        <w:p w14:paraId="182F8CEE" w14:textId="77777777" w:rsidR="00AC04C7" w:rsidRDefault="00AC04C7" w:rsidP="00E747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349DA53B" w14:textId="77777777" w:rsidR="00AC04C7" w:rsidRPr="00C006AB" w:rsidRDefault="00C006AB" w:rsidP="00C006AB">
    <w:pPr>
      <w:rPr>
        <w:rFonts w:cs="Times New Roman"/>
        <w:i/>
        <w:sz w:val="18"/>
      </w:rPr>
    </w:pPr>
    <w:r w:rsidRPr="00C006AB">
      <w:rPr>
        <w:rFonts w:cs="Times New Roman"/>
        <w:i/>
        <w:sz w:val="18"/>
      </w:rPr>
      <w:t>OPC64037 -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D77F" w14:textId="77777777" w:rsidR="00D15533" w:rsidRDefault="00D15533" w:rsidP="00D15533">
    <w:pPr>
      <w:pStyle w:val="Footer"/>
    </w:pPr>
  </w:p>
  <w:p w14:paraId="358817CD" w14:textId="77777777" w:rsidR="00D15533" w:rsidRPr="00C006AB" w:rsidRDefault="00C006AB" w:rsidP="00C006AB">
    <w:pPr>
      <w:pStyle w:val="Footer"/>
      <w:rPr>
        <w:i/>
        <w:sz w:val="18"/>
      </w:rPr>
    </w:pPr>
    <w:r w:rsidRPr="00C006AB">
      <w:rPr>
        <w:i/>
        <w:sz w:val="18"/>
      </w:rPr>
      <w:t>OPC64037 -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9AE6" w14:textId="77777777" w:rsidR="00AC04C7" w:rsidRPr="00C006AB" w:rsidRDefault="00C006AB" w:rsidP="00C006AB">
    <w:pPr>
      <w:pStyle w:val="Footer"/>
      <w:tabs>
        <w:tab w:val="clear" w:pos="4153"/>
        <w:tab w:val="clear" w:pos="8306"/>
        <w:tab w:val="center" w:pos="4150"/>
        <w:tab w:val="right" w:pos="8307"/>
      </w:tabs>
      <w:spacing w:before="120"/>
      <w:rPr>
        <w:i/>
        <w:sz w:val="18"/>
      </w:rPr>
    </w:pPr>
    <w:r w:rsidRPr="00C006AB">
      <w:rPr>
        <w:i/>
        <w:sz w:val="18"/>
      </w:rPr>
      <w:t>OPC64037 - 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167A" w14:textId="77777777" w:rsidR="00D15533" w:rsidRPr="00E33C1C" w:rsidRDefault="00D15533" w:rsidP="00D1553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D15533" w14:paraId="5D01FD68" w14:textId="77777777" w:rsidTr="006B682E">
      <w:tc>
        <w:tcPr>
          <w:tcW w:w="418" w:type="pct"/>
          <w:tcBorders>
            <w:top w:val="nil"/>
            <w:left w:val="nil"/>
            <w:bottom w:val="nil"/>
            <w:right w:val="nil"/>
          </w:tcBorders>
        </w:tcPr>
        <w:p w14:paraId="2EDB4939" w14:textId="77777777" w:rsidR="00D15533" w:rsidRDefault="00D15533" w:rsidP="00D1553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ii</w:t>
          </w:r>
          <w:r w:rsidRPr="00ED79B6">
            <w:rPr>
              <w:i/>
              <w:sz w:val="18"/>
            </w:rPr>
            <w:fldChar w:fldCharType="end"/>
          </w:r>
        </w:p>
      </w:tc>
      <w:tc>
        <w:tcPr>
          <w:tcW w:w="3765" w:type="pct"/>
          <w:tcBorders>
            <w:top w:val="nil"/>
            <w:left w:val="nil"/>
            <w:bottom w:val="nil"/>
            <w:right w:val="nil"/>
          </w:tcBorders>
        </w:tcPr>
        <w:p w14:paraId="2D94CFC6" w14:textId="245304F9" w:rsidR="00D15533" w:rsidRDefault="00D15533" w:rsidP="00D155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817" w:type="pct"/>
          <w:tcBorders>
            <w:top w:val="nil"/>
            <w:left w:val="nil"/>
            <w:bottom w:val="nil"/>
            <w:right w:val="nil"/>
          </w:tcBorders>
        </w:tcPr>
        <w:p w14:paraId="40F39E05" w14:textId="77777777" w:rsidR="00D15533" w:rsidRDefault="00D15533" w:rsidP="00D15533">
          <w:pPr>
            <w:spacing w:line="0" w:lineRule="atLeast"/>
            <w:jc w:val="right"/>
            <w:rPr>
              <w:sz w:val="18"/>
            </w:rPr>
          </w:pPr>
        </w:p>
      </w:tc>
    </w:tr>
  </w:tbl>
  <w:p w14:paraId="30636596" w14:textId="77777777" w:rsidR="00D15533" w:rsidRPr="00C006AB" w:rsidRDefault="00C006AB" w:rsidP="00C006AB">
    <w:pPr>
      <w:rPr>
        <w:rFonts w:cs="Times New Roman"/>
        <w:i/>
        <w:sz w:val="18"/>
      </w:rPr>
    </w:pPr>
    <w:r w:rsidRPr="00C006AB">
      <w:rPr>
        <w:rFonts w:cs="Times New Roman"/>
        <w:i/>
        <w:sz w:val="18"/>
      </w:rPr>
      <w:t>OPC64037 -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13CC" w14:textId="77777777" w:rsidR="00D15533" w:rsidRPr="00E33C1C" w:rsidRDefault="00D15533" w:rsidP="00D1553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D15533" w14:paraId="7E07C4C9" w14:textId="77777777" w:rsidTr="00AE18C5">
      <w:tc>
        <w:tcPr>
          <w:tcW w:w="816" w:type="pct"/>
          <w:tcBorders>
            <w:top w:val="nil"/>
            <w:left w:val="nil"/>
            <w:bottom w:val="nil"/>
            <w:right w:val="nil"/>
          </w:tcBorders>
        </w:tcPr>
        <w:p w14:paraId="1EF961F0" w14:textId="77777777" w:rsidR="00D15533" w:rsidRDefault="00D15533" w:rsidP="00D15533">
          <w:pPr>
            <w:spacing w:line="0" w:lineRule="atLeast"/>
            <w:rPr>
              <w:sz w:val="18"/>
            </w:rPr>
          </w:pPr>
        </w:p>
      </w:tc>
      <w:tc>
        <w:tcPr>
          <w:tcW w:w="3765" w:type="pct"/>
          <w:tcBorders>
            <w:top w:val="nil"/>
            <w:left w:val="nil"/>
            <w:bottom w:val="nil"/>
            <w:right w:val="nil"/>
          </w:tcBorders>
        </w:tcPr>
        <w:p w14:paraId="602EEC28" w14:textId="5BE2FF28" w:rsidR="00D15533" w:rsidRDefault="00D15533" w:rsidP="00D155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419" w:type="pct"/>
          <w:tcBorders>
            <w:top w:val="nil"/>
            <w:left w:val="nil"/>
            <w:bottom w:val="nil"/>
            <w:right w:val="nil"/>
          </w:tcBorders>
        </w:tcPr>
        <w:p w14:paraId="0326AEAD" w14:textId="77777777" w:rsidR="00D15533" w:rsidRDefault="00D15533" w:rsidP="00D1553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r>
  </w:tbl>
  <w:p w14:paraId="0B155E18" w14:textId="77777777" w:rsidR="00D15533" w:rsidRPr="00C006AB" w:rsidRDefault="00C006AB" w:rsidP="00C006AB">
    <w:pPr>
      <w:rPr>
        <w:rFonts w:cs="Times New Roman"/>
        <w:i/>
        <w:sz w:val="18"/>
      </w:rPr>
    </w:pPr>
    <w:r w:rsidRPr="00C006AB">
      <w:rPr>
        <w:rFonts w:cs="Times New Roman"/>
        <w:i/>
        <w:sz w:val="18"/>
      </w:rPr>
      <w:t>OPC64037 -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BB38" w14:textId="77777777" w:rsidR="00D15533" w:rsidRPr="00D90ABA" w:rsidRDefault="00D15533" w:rsidP="00D155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D15533" w14:paraId="4FEAC3A3" w14:textId="77777777" w:rsidTr="006B682E">
      <w:tc>
        <w:tcPr>
          <w:tcW w:w="365" w:type="pct"/>
        </w:tcPr>
        <w:p w14:paraId="76681ABF" w14:textId="77777777" w:rsidR="00D15533" w:rsidRDefault="00D15533" w:rsidP="00D1553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2</w:t>
          </w:r>
          <w:r w:rsidRPr="00ED79B6">
            <w:rPr>
              <w:i/>
              <w:sz w:val="18"/>
            </w:rPr>
            <w:fldChar w:fldCharType="end"/>
          </w:r>
        </w:p>
      </w:tc>
      <w:tc>
        <w:tcPr>
          <w:tcW w:w="3688" w:type="pct"/>
        </w:tcPr>
        <w:p w14:paraId="12D71590" w14:textId="03A5E3D7" w:rsidR="00D15533" w:rsidRDefault="00D15533" w:rsidP="00D155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947" w:type="pct"/>
        </w:tcPr>
        <w:p w14:paraId="6062F8AC" w14:textId="77777777" w:rsidR="00D15533" w:rsidRDefault="00D15533" w:rsidP="00D15533">
          <w:pPr>
            <w:spacing w:line="0" w:lineRule="atLeast"/>
            <w:jc w:val="right"/>
            <w:rPr>
              <w:sz w:val="18"/>
            </w:rPr>
          </w:pPr>
        </w:p>
      </w:tc>
    </w:tr>
  </w:tbl>
  <w:p w14:paraId="7C60264B" w14:textId="77777777" w:rsidR="00D15533" w:rsidRPr="00C006AB" w:rsidRDefault="00C006AB" w:rsidP="00C006AB">
    <w:pPr>
      <w:rPr>
        <w:rFonts w:cs="Times New Roman"/>
        <w:i/>
        <w:sz w:val="18"/>
      </w:rPr>
    </w:pPr>
    <w:r w:rsidRPr="00C006AB">
      <w:rPr>
        <w:rFonts w:cs="Times New Roman"/>
        <w:i/>
        <w:sz w:val="18"/>
      </w:rPr>
      <w:t>OPC64037 - 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FBD8" w14:textId="77777777" w:rsidR="00D15533" w:rsidRPr="00D90ABA" w:rsidRDefault="00D15533" w:rsidP="00D155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15533" w14:paraId="11D1E89B" w14:textId="77777777" w:rsidTr="006B682E">
      <w:tc>
        <w:tcPr>
          <w:tcW w:w="947" w:type="pct"/>
        </w:tcPr>
        <w:p w14:paraId="33DD382E" w14:textId="77777777" w:rsidR="00D15533" w:rsidRDefault="00D15533" w:rsidP="00D15533">
          <w:pPr>
            <w:spacing w:line="0" w:lineRule="atLeast"/>
            <w:rPr>
              <w:sz w:val="18"/>
            </w:rPr>
          </w:pPr>
        </w:p>
      </w:tc>
      <w:tc>
        <w:tcPr>
          <w:tcW w:w="3688" w:type="pct"/>
        </w:tcPr>
        <w:p w14:paraId="48C104B8" w14:textId="42AF8924" w:rsidR="00D15533" w:rsidRDefault="00D15533" w:rsidP="00D155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365" w:type="pct"/>
        </w:tcPr>
        <w:p w14:paraId="2FDECFAD" w14:textId="77777777" w:rsidR="00D15533" w:rsidRDefault="00D15533" w:rsidP="00D1553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CD54419" w14:textId="77777777" w:rsidR="00D15533" w:rsidRPr="00C006AB" w:rsidRDefault="00C006AB" w:rsidP="00C006AB">
    <w:pPr>
      <w:rPr>
        <w:rFonts w:cs="Times New Roman"/>
        <w:i/>
        <w:sz w:val="18"/>
      </w:rPr>
    </w:pPr>
    <w:r w:rsidRPr="00C006AB">
      <w:rPr>
        <w:rFonts w:cs="Times New Roman"/>
        <w:i/>
        <w:sz w:val="18"/>
      </w:rPr>
      <w:t>OPC64037 - 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2DCE" w14:textId="77777777" w:rsidR="00AC04C7" w:rsidRPr="00E33C1C" w:rsidRDefault="00AC04C7" w:rsidP="000E10F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C04C7" w14:paraId="4A40F673" w14:textId="77777777" w:rsidTr="000E10F9">
      <w:tc>
        <w:tcPr>
          <w:tcW w:w="817" w:type="pct"/>
          <w:tcBorders>
            <w:top w:val="nil"/>
            <w:left w:val="nil"/>
            <w:bottom w:val="nil"/>
            <w:right w:val="nil"/>
          </w:tcBorders>
        </w:tcPr>
        <w:p w14:paraId="4EF72741" w14:textId="77777777" w:rsidR="00AC04C7" w:rsidRDefault="00AC04C7" w:rsidP="00E747C0">
          <w:pPr>
            <w:spacing w:line="0" w:lineRule="atLeast"/>
            <w:rPr>
              <w:sz w:val="18"/>
            </w:rPr>
          </w:pPr>
        </w:p>
      </w:tc>
      <w:tc>
        <w:tcPr>
          <w:tcW w:w="3765" w:type="pct"/>
          <w:tcBorders>
            <w:top w:val="nil"/>
            <w:left w:val="nil"/>
            <w:bottom w:val="nil"/>
            <w:right w:val="nil"/>
          </w:tcBorders>
        </w:tcPr>
        <w:p w14:paraId="7AA9C645" w14:textId="54EC4785" w:rsidR="00AC04C7" w:rsidRDefault="00AC04C7" w:rsidP="00E747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418" w:type="pct"/>
          <w:tcBorders>
            <w:top w:val="nil"/>
            <w:left w:val="nil"/>
            <w:bottom w:val="nil"/>
            <w:right w:val="nil"/>
          </w:tcBorders>
        </w:tcPr>
        <w:p w14:paraId="5E284737" w14:textId="77777777" w:rsidR="00AC04C7" w:rsidRDefault="00AC04C7" w:rsidP="00E747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393B8214" w14:textId="77777777" w:rsidR="00AC04C7" w:rsidRPr="00ED79B6" w:rsidRDefault="00AC04C7" w:rsidP="000E10F9">
    <w:pPr>
      <w:rPr>
        <w:i/>
        <w:sz w:val="18"/>
      </w:rPr>
    </w:pPr>
  </w:p>
  <w:p w14:paraId="3AFA0D1C" w14:textId="77777777" w:rsidR="00AC04C7" w:rsidRPr="00C006AB" w:rsidRDefault="00C006AB" w:rsidP="00C006AB">
    <w:pPr>
      <w:pStyle w:val="Footer"/>
      <w:rPr>
        <w:i/>
        <w:sz w:val="18"/>
      </w:rPr>
    </w:pPr>
    <w:r w:rsidRPr="00C006AB">
      <w:rPr>
        <w:i/>
        <w:sz w:val="18"/>
      </w:rPr>
      <w:t>OPC64037 - 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F16B" w14:textId="77777777" w:rsidR="00D15533" w:rsidRPr="00D90ABA" w:rsidRDefault="00D15533" w:rsidP="00D155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15533" w14:paraId="5EB6B059" w14:textId="77777777" w:rsidTr="006B682E">
      <w:tc>
        <w:tcPr>
          <w:tcW w:w="365" w:type="pct"/>
        </w:tcPr>
        <w:p w14:paraId="79617DDE" w14:textId="77777777" w:rsidR="00D15533" w:rsidRDefault="00D15533" w:rsidP="00D1553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24</w:t>
          </w:r>
          <w:r w:rsidRPr="00ED79B6">
            <w:rPr>
              <w:i/>
              <w:sz w:val="18"/>
            </w:rPr>
            <w:fldChar w:fldCharType="end"/>
          </w:r>
        </w:p>
      </w:tc>
      <w:tc>
        <w:tcPr>
          <w:tcW w:w="3688" w:type="pct"/>
        </w:tcPr>
        <w:p w14:paraId="2C26B259" w14:textId="768105E1" w:rsidR="00D15533" w:rsidRDefault="00D15533" w:rsidP="00D155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57E9">
            <w:rPr>
              <w:i/>
              <w:sz w:val="18"/>
            </w:rPr>
            <w:t>Australian Postal Corporation Regulations 2021</w:t>
          </w:r>
          <w:r w:rsidRPr="007A1328">
            <w:rPr>
              <w:i/>
              <w:sz w:val="18"/>
            </w:rPr>
            <w:fldChar w:fldCharType="end"/>
          </w:r>
        </w:p>
      </w:tc>
      <w:tc>
        <w:tcPr>
          <w:tcW w:w="947" w:type="pct"/>
        </w:tcPr>
        <w:p w14:paraId="6394CE2E" w14:textId="77777777" w:rsidR="00D15533" w:rsidRDefault="00D15533" w:rsidP="00D15533">
          <w:pPr>
            <w:spacing w:line="0" w:lineRule="atLeast"/>
            <w:jc w:val="right"/>
            <w:rPr>
              <w:sz w:val="18"/>
            </w:rPr>
          </w:pPr>
        </w:p>
      </w:tc>
    </w:tr>
    <w:tr w:rsidR="00D15533" w14:paraId="6519BE04" w14:textId="77777777" w:rsidTr="006B682E">
      <w:tc>
        <w:tcPr>
          <w:tcW w:w="5000" w:type="pct"/>
          <w:gridSpan w:val="3"/>
        </w:tcPr>
        <w:p w14:paraId="219826EB" w14:textId="77777777" w:rsidR="00D15533" w:rsidRDefault="00D15533" w:rsidP="00D15533">
          <w:pPr>
            <w:jc w:val="right"/>
            <w:rPr>
              <w:sz w:val="18"/>
            </w:rPr>
          </w:pPr>
          <w:r>
            <w:rPr>
              <w:i/>
              <w:noProof/>
              <w:sz w:val="18"/>
            </w:rPr>
            <w:t>I21UT132.v31.docx</w:t>
          </w:r>
          <w:r w:rsidRPr="00ED79B6">
            <w:rPr>
              <w:i/>
              <w:sz w:val="18"/>
            </w:rPr>
            <w:t xml:space="preserve"> </w:t>
          </w:r>
          <w:r>
            <w:rPr>
              <w:i/>
              <w:noProof/>
              <w:sz w:val="18"/>
            </w:rPr>
            <w:t>3/3/2021 11:26 AM</w:t>
          </w:r>
        </w:p>
      </w:tc>
    </w:tr>
  </w:tbl>
  <w:p w14:paraId="279B8595" w14:textId="77777777" w:rsidR="00D15533" w:rsidRPr="00C006AB" w:rsidRDefault="00C006AB" w:rsidP="00C006AB">
    <w:pPr>
      <w:rPr>
        <w:rFonts w:cs="Times New Roman"/>
        <w:i/>
        <w:sz w:val="18"/>
      </w:rPr>
    </w:pPr>
    <w:r w:rsidRPr="00C006AB">
      <w:rPr>
        <w:rFonts w:cs="Times New Roman"/>
        <w:i/>
        <w:sz w:val="18"/>
      </w:rPr>
      <w:t>OPC64037 -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58266" w14:textId="77777777" w:rsidR="00AC04C7" w:rsidRDefault="00AC04C7" w:rsidP="00715914">
      <w:pPr>
        <w:spacing w:line="240" w:lineRule="auto"/>
      </w:pPr>
      <w:r>
        <w:separator/>
      </w:r>
    </w:p>
  </w:footnote>
  <w:footnote w:type="continuationSeparator" w:id="0">
    <w:p w14:paraId="1BFB36B3" w14:textId="77777777" w:rsidR="00AC04C7" w:rsidRDefault="00AC04C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F0B0" w14:textId="77777777" w:rsidR="00AC04C7" w:rsidRPr="005F1388" w:rsidRDefault="00AC04C7"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C987" w14:textId="0870E3C7" w:rsidR="00AC04C7" w:rsidRDefault="00AC04C7">
    <w:pPr>
      <w:jc w:val="right"/>
      <w:rPr>
        <w:sz w:val="20"/>
      </w:rPr>
    </w:pPr>
    <w:r>
      <w:rPr>
        <w:sz w:val="20"/>
      </w:rPr>
      <w:fldChar w:fldCharType="begin"/>
    </w:r>
    <w:r>
      <w:rPr>
        <w:sz w:val="20"/>
      </w:rPr>
      <w:instrText xml:space="preserve"> STYLEREF CharAmSchText </w:instrText>
    </w:r>
    <w:r>
      <w:rPr>
        <w:sz w:val="20"/>
      </w:rPr>
      <w:fldChar w:fldCharType="separate"/>
    </w:r>
    <w:r w:rsidR="0026324C">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6324C">
      <w:rPr>
        <w:b/>
        <w:noProof/>
        <w:sz w:val="20"/>
      </w:rPr>
      <w:t>Schedule 1</w:t>
    </w:r>
    <w:r>
      <w:rPr>
        <w:b/>
        <w:sz w:val="20"/>
      </w:rPr>
      <w:fldChar w:fldCharType="end"/>
    </w:r>
  </w:p>
  <w:p w14:paraId="47F309C6" w14:textId="00CD775C" w:rsidR="00AC04C7" w:rsidRDefault="00AC04C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51CAC094" w14:textId="77777777" w:rsidR="00AC04C7" w:rsidRDefault="00AC04C7" w:rsidP="000E10F9">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1444" w14:textId="77777777" w:rsidR="00AC04C7" w:rsidRDefault="00AC04C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0E2D5" w14:textId="58C72EC9" w:rsidR="00AC04C7" w:rsidRDefault="00AC04C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A7ADADF" w14:textId="4140764E" w:rsidR="00AC04C7" w:rsidRDefault="00AC04C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457E9">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457E9">
      <w:rPr>
        <w:noProof/>
        <w:sz w:val="20"/>
      </w:rPr>
      <w:t>Application, saving and transitional provisions</w:t>
    </w:r>
    <w:r>
      <w:rPr>
        <w:sz w:val="20"/>
      </w:rPr>
      <w:fldChar w:fldCharType="end"/>
    </w:r>
  </w:p>
  <w:p w14:paraId="362B8084" w14:textId="321C707B" w:rsidR="00AC04C7" w:rsidRPr="007A1328" w:rsidRDefault="00AC04C7" w:rsidP="00715914">
    <w:pPr>
      <w:rPr>
        <w:sz w:val="20"/>
      </w:rPr>
    </w:pPr>
    <w:r>
      <w:rPr>
        <w:b/>
        <w:sz w:val="20"/>
      </w:rPr>
      <w:fldChar w:fldCharType="begin"/>
    </w:r>
    <w:r>
      <w:rPr>
        <w:b/>
        <w:sz w:val="20"/>
      </w:rPr>
      <w:instrText xml:space="preserve"> STYLEREF CharDivNo </w:instrText>
    </w:r>
    <w:r>
      <w:rPr>
        <w:b/>
        <w:sz w:val="20"/>
      </w:rPr>
      <w:fldChar w:fldCharType="separate"/>
    </w:r>
    <w:r w:rsidR="004457E9">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4457E9">
      <w:rPr>
        <w:noProof/>
        <w:sz w:val="20"/>
      </w:rPr>
      <w:t>Provisions for this instrument as originally made</w:t>
    </w:r>
    <w:r>
      <w:rPr>
        <w:sz w:val="20"/>
      </w:rPr>
      <w:fldChar w:fldCharType="end"/>
    </w:r>
  </w:p>
  <w:p w14:paraId="3DEE2A2F" w14:textId="77777777" w:rsidR="00AC04C7" w:rsidRPr="007A1328" w:rsidRDefault="00AC04C7" w:rsidP="00715914">
    <w:pPr>
      <w:rPr>
        <w:b/>
        <w:sz w:val="24"/>
      </w:rPr>
    </w:pPr>
  </w:p>
  <w:p w14:paraId="74D52BEE" w14:textId="43E807C9" w:rsidR="00AC04C7" w:rsidRPr="007A1328" w:rsidRDefault="00AC04C7" w:rsidP="000E10F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457E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57E9">
      <w:rPr>
        <w:noProof/>
        <w:sz w:val="24"/>
      </w:rPr>
      <w:t>50</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9359" w14:textId="59CC9DC8" w:rsidR="00AC04C7" w:rsidRPr="007A1328" w:rsidRDefault="00AC04C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C97ABA1" w14:textId="1B2DF511" w:rsidR="00AC04C7" w:rsidRPr="007A1328" w:rsidRDefault="00AC04C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457E9">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457E9">
      <w:rPr>
        <w:b/>
        <w:noProof/>
        <w:sz w:val="20"/>
      </w:rPr>
      <w:t>Part 4</w:t>
    </w:r>
    <w:r>
      <w:rPr>
        <w:b/>
        <w:sz w:val="20"/>
      </w:rPr>
      <w:fldChar w:fldCharType="end"/>
    </w:r>
  </w:p>
  <w:p w14:paraId="31A0015A" w14:textId="2BCC2B87" w:rsidR="00AC04C7" w:rsidRPr="007A1328" w:rsidRDefault="00AC04C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4457E9">
      <w:rPr>
        <w:noProof/>
        <w:sz w:val="20"/>
      </w:rPr>
      <w:t>Provisions for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4457E9">
      <w:rPr>
        <w:b/>
        <w:noProof/>
        <w:sz w:val="20"/>
      </w:rPr>
      <w:t>Division 1</w:t>
    </w:r>
    <w:r>
      <w:rPr>
        <w:b/>
        <w:sz w:val="20"/>
      </w:rPr>
      <w:fldChar w:fldCharType="end"/>
    </w:r>
  </w:p>
  <w:p w14:paraId="6260A692" w14:textId="77777777" w:rsidR="00AC04C7" w:rsidRPr="007A1328" w:rsidRDefault="00AC04C7" w:rsidP="00715914">
    <w:pPr>
      <w:jc w:val="right"/>
      <w:rPr>
        <w:b/>
        <w:sz w:val="24"/>
      </w:rPr>
    </w:pPr>
  </w:p>
  <w:p w14:paraId="30E316D1" w14:textId="235C8D57" w:rsidR="00AC04C7" w:rsidRPr="007A1328" w:rsidRDefault="00AC04C7" w:rsidP="000E10F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457E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57E9">
      <w:rPr>
        <w:noProof/>
        <w:sz w:val="24"/>
      </w:rPr>
      <w:t>50</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D459" w14:textId="77777777" w:rsidR="00AC04C7" w:rsidRPr="007A1328" w:rsidRDefault="00AC04C7"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BFA7" w14:textId="77777777" w:rsidR="00D15533" w:rsidRPr="005F1388" w:rsidRDefault="00D15533" w:rsidP="00D15533">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D406" w14:textId="77777777" w:rsidR="00AC04C7" w:rsidRPr="005F1388" w:rsidRDefault="00AC04C7"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73D4" w14:textId="77777777" w:rsidR="00AC04C7" w:rsidRPr="00ED79B6" w:rsidRDefault="00AC04C7"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797A" w14:textId="77777777" w:rsidR="00AC04C7" w:rsidRPr="00ED79B6" w:rsidRDefault="00AC04C7"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4BF0" w14:textId="77777777" w:rsidR="00AC04C7" w:rsidRPr="00ED79B6" w:rsidRDefault="00AC04C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AA43" w14:textId="7B75ADFB" w:rsidR="00AC04C7" w:rsidRDefault="00AC04C7">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4E67BFBB" w14:textId="51871357" w:rsidR="00AC04C7" w:rsidRDefault="00AC04C7">
    <w:pPr>
      <w:rPr>
        <w:b/>
        <w:sz w:val="20"/>
      </w:rPr>
    </w:pPr>
    <w:r>
      <w:rPr>
        <w:b/>
        <w:sz w:val="20"/>
      </w:rPr>
      <w:fldChar w:fldCharType="begin"/>
    </w:r>
    <w:r>
      <w:rPr>
        <w:b/>
        <w:sz w:val="20"/>
      </w:rPr>
      <w:instrText xml:space="preserve"> STYLEREF CharPartNo </w:instrText>
    </w:r>
    <w:r>
      <w:rPr>
        <w:b/>
        <w:sz w:val="20"/>
      </w:rPr>
      <w:fldChar w:fldCharType="separate"/>
    </w:r>
    <w:r w:rsidR="0026324C">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6324C">
      <w:rPr>
        <w:noProof/>
        <w:sz w:val="20"/>
      </w:rPr>
      <w:t>Preliminary</w:t>
    </w:r>
    <w:r>
      <w:rPr>
        <w:sz w:val="20"/>
      </w:rPr>
      <w:fldChar w:fldCharType="end"/>
    </w:r>
  </w:p>
  <w:p w14:paraId="7D333847" w14:textId="35EFF635" w:rsidR="00AC04C7" w:rsidRDefault="00AC04C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310309B5" w14:textId="77777777" w:rsidR="00AC04C7" w:rsidRDefault="00AC04C7">
    <w:pPr>
      <w:rPr>
        <w:b/>
        <w:sz w:val="24"/>
      </w:rPr>
    </w:pPr>
  </w:p>
  <w:p w14:paraId="5C983FCA" w14:textId="0FC6FD6F" w:rsidR="00AC04C7" w:rsidRDefault="00AC04C7" w:rsidP="000E10F9">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6324C">
      <w:rPr>
        <w:noProof/>
        <w:sz w:val="24"/>
      </w:rPr>
      <w:t>5</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8877" w14:textId="332B9588" w:rsidR="00AC04C7" w:rsidRDefault="00AC04C7">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021A37D1" w14:textId="42C1EC8E" w:rsidR="00AC04C7" w:rsidRDefault="00AC04C7">
    <w:pPr>
      <w:jc w:val="right"/>
      <w:rPr>
        <w:b/>
        <w:sz w:val="20"/>
      </w:rPr>
    </w:pPr>
    <w:r>
      <w:rPr>
        <w:sz w:val="20"/>
      </w:rPr>
      <w:fldChar w:fldCharType="begin"/>
    </w:r>
    <w:r>
      <w:rPr>
        <w:sz w:val="20"/>
      </w:rPr>
      <w:instrText xml:space="preserve"> STYLEREF CharPartText </w:instrText>
    </w:r>
    <w:r>
      <w:rPr>
        <w:sz w:val="20"/>
      </w:rPr>
      <w:fldChar w:fldCharType="separate"/>
    </w:r>
    <w:r w:rsidR="0026324C">
      <w:rPr>
        <w:noProof/>
        <w:sz w:val="20"/>
      </w:rPr>
      <w:t>Dealing with articles and their contents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26324C">
      <w:rPr>
        <w:b/>
        <w:noProof/>
        <w:sz w:val="20"/>
      </w:rPr>
      <w:t>Part 2</w:t>
    </w:r>
    <w:r>
      <w:rPr>
        <w:b/>
        <w:sz w:val="20"/>
      </w:rPr>
      <w:fldChar w:fldCharType="end"/>
    </w:r>
  </w:p>
  <w:p w14:paraId="42DC06B2" w14:textId="7A73A343" w:rsidR="00AC04C7" w:rsidRDefault="00AC04C7">
    <w:pPr>
      <w:jc w:val="right"/>
      <w:rPr>
        <w:sz w:val="20"/>
      </w:rPr>
    </w:pPr>
    <w:r>
      <w:rPr>
        <w:sz w:val="20"/>
      </w:rPr>
      <w:fldChar w:fldCharType="begin"/>
    </w:r>
    <w:r>
      <w:rPr>
        <w:sz w:val="20"/>
      </w:rPr>
      <w:instrText xml:space="preserve"> STYLEREF CharDivText </w:instrText>
    </w:r>
    <w:r w:rsidR="0026324C">
      <w:rPr>
        <w:sz w:val="20"/>
      </w:rPr>
      <w:fldChar w:fldCharType="separate"/>
    </w:r>
    <w:r w:rsidR="0026324C">
      <w:rPr>
        <w:noProof/>
        <w:sz w:val="20"/>
      </w:rPr>
      <w:t>Articles that may contain drugs etc.</w:t>
    </w:r>
    <w:r>
      <w:rPr>
        <w:sz w:val="20"/>
      </w:rPr>
      <w:fldChar w:fldCharType="end"/>
    </w:r>
    <w:r>
      <w:rPr>
        <w:sz w:val="20"/>
      </w:rPr>
      <w:t xml:space="preserve">  </w:t>
    </w:r>
    <w:r>
      <w:rPr>
        <w:b/>
        <w:sz w:val="20"/>
      </w:rPr>
      <w:fldChar w:fldCharType="begin"/>
    </w:r>
    <w:r>
      <w:rPr>
        <w:b/>
        <w:sz w:val="20"/>
      </w:rPr>
      <w:instrText xml:space="preserve"> STYLEREF CharDivNo </w:instrText>
    </w:r>
    <w:r w:rsidR="0026324C">
      <w:rPr>
        <w:b/>
        <w:sz w:val="20"/>
      </w:rPr>
      <w:fldChar w:fldCharType="separate"/>
    </w:r>
    <w:r w:rsidR="0026324C">
      <w:rPr>
        <w:b/>
        <w:noProof/>
        <w:sz w:val="20"/>
      </w:rPr>
      <w:t>Division 1</w:t>
    </w:r>
    <w:r>
      <w:rPr>
        <w:b/>
        <w:sz w:val="20"/>
      </w:rPr>
      <w:fldChar w:fldCharType="end"/>
    </w:r>
  </w:p>
  <w:p w14:paraId="0DF9B63B" w14:textId="77777777" w:rsidR="00AC04C7" w:rsidRDefault="00AC04C7">
    <w:pPr>
      <w:jc w:val="right"/>
      <w:rPr>
        <w:b/>
        <w:sz w:val="24"/>
      </w:rPr>
    </w:pPr>
  </w:p>
  <w:p w14:paraId="3FD0BE90" w14:textId="7BEDE7F8" w:rsidR="00AC04C7" w:rsidRDefault="00AC04C7" w:rsidP="000E10F9">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6324C">
      <w:rPr>
        <w:noProof/>
        <w:sz w:val="24"/>
      </w:rPr>
      <w:t>6</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64D3" w14:textId="10B2ED9D" w:rsidR="00AC04C7" w:rsidRDefault="00AC04C7">
    <w:pPr>
      <w:rPr>
        <w:sz w:val="20"/>
      </w:rPr>
    </w:pPr>
    <w:r>
      <w:rPr>
        <w:b/>
        <w:sz w:val="20"/>
      </w:rPr>
      <w:fldChar w:fldCharType="begin"/>
    </w:r>
    <w:r>
      <w:rPr>
        <w:b/>
        <w:sz w:val="20"/>
      </w:rPr>
      <w:instrText xml:space="preserve"> STYLEREF CharAmSchNo </w:instrText>
    </w:r>
    <w:r>
      <w:rPr>
        <w:b/>
        <w:sz w:val="20"/>
      </w:rPr>
      <w:fldChar w:fldCharType="separate"/>
    </w:r>
    <w:r w:rsidR="004457E9">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457E9">
      <w:rPr>
        <w:noProof/>
        <w:sz w:val="20"/>
      </w:rPr>
      <w:t>Repeals</w:t>
    </w:r>
    <w:r>
      <w:rPr>
        <w:sz w:val="20"/>
      </w:rPr>
      <w:fldChar w:fldCharType="end"/>
    </w:r>
  </w:p>
  <w:p w14:paraId="5764A2E8" w14:textId="426794C1" w:rsidR="00AC04C7" w:rsidRDefault="00AC04C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4ACA7739" w14:textId="77777777" w:rsidR="00AC04C7" w:rsidRDefault="00AC04C7" w:rsidP="000E10F9">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1D18"/>
    <w:multiLevelType w:val="hybridMultilevel"/>
    <w:tmpl w:val="BC384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B87B33"/>
    <w:multiLevelType w:val="hybridMultilevel"/>
    <w:tmpl w:val="3E42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69583343"/>
    <w:multiLevelType w:val="hybridMultilevel"/>
    <w:tmpl w:val="A9EA1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FB01B8"/>
    <w:multiLevelType w:val="hybridMultilevel"/>
    <w:tmpl w:val="41360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3"/>
  </w:num>
  <w:num w:numId="14">
    <w:abstractNumId w:val="16"/>
  </w:num>
  <w:num w:numId="15">
    <w:abstractNumId w:val="14"/>
  </w:num>
  <w:num w:numId="16">
    <w:abstractNumId w:val="11"/>
  </w:num>
  <w:num w:numId="17">
    <w:abstractNumId w:val="19"/>
  </w:num>
  <w:num w:numId="18">
    <w:abstractNumId w:val="18"/>
  </w:num>
  <w:num w:numId="19">
    <w:abstractNumId w:val="17"/>
  </w:num>
  <w:num w:numId="20">
    <w:abstractNumId w:val="10"/>
  </w:num>
  <w:num w:numId="21">
    <w:abstractNumId w:val="15"/>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57F8E5-D5EC-48DD-8DA0-26D52B8FAA9C}"/>
    <w:docVar w:name="dgnword-eventsink" w:val="889589488"/>
  </w:docVars>
  <w:rsids>
    <w:rsidRoot w:val="00BF79F5"/>
    <w:rsid w:val="00001159"/>
    <w:rsid w:val="00003AD0"/>
    <w:rsid w:val="00004470"/>
    <w:rsid w:val="000136AF"/>
    <w:rsid w:val="00016B5D"/>
    <w:rsid w:val="000175F5"/>
    <w:rsid w:val="0003241A"/>
    <w:rsid w:val="00034990"/>
    <w:rsid w:val="00042F14"/>
    <w:rsid w:val="000437C1"/>
    <w:rsid w:val="00046191"/>
    <w:rsid w:val="0005365D"/>
    <w:rsid w:val="00055AC5"/>
    <w:rsid w:val="000614BF"/>
    <w:rsid w:val="00080D50"/>
    <w:rsid w:val="000814E7"/>
    <w:rsid w:val="00085A2B"/>
    <w:rsid w:val="000901D7"/>
    <w:rsid w:val="00090416"/>
    <w:rsid w:val="00096189"/>
    <w:rsid w:val="000A5F07"/>
    <w:rsid w:val="000A76A1"/>
    <w:rsid w:val="000B41E4"/>
    <w:rsid w:val="000B4362"/>
    <w:rsid w:val="000B58FA"/>
    <w:rsid w:val="000B7E30"/>
    <w:rsid w:val="000D05EF"/>
    <w:rsid w:val="000D1FCF"/>
    <w:rsid w:val="000D2EF1"/>
    <w:rsid w:val="000E043C"/>
    <w:rsid w:val="000E10F9"/>
    <w:rsid w:val="000E2261"/>
    <w:rsid w:val="000E32BF"/>
    <w:rsid w:val="000F14B4"/>
    <w:rsid w:val="000F21C1"/>
    <w:rsid w:val="00100732"/>
    <w:rsid w:val="0010745C"/>
    <w:rsid w:val="0011351F"/>
    <w:rsid w:val="00132CEB"/>
    <w:rsid w:val="00140D50"/>
    <w:rsid w:val="00142B62"/>
    <w:rsid w:val="00142FC6"/>
    <w:rsid w:val="0014539C"/>
    <w:rsid w:val="00152138"/>
    <w:rsid w:val="00153893"/>
    <w:rsid w:val="00157B8B"/>
    <w:rsid w:val="00166C2F"/>
    <w:rsid w:val="001721AC"/>
    <w:rsid w:val="001723D9"/>
    <w:rsid w:val="0017481E"/>
    <w:rsid w:val="0017551B"/>
    <w:rsid w:val="001809D7"/>
    <w:rsid w:val="00190F67"/>
    <w:rsid w:val="001939E1"/>
    <w:rsid w:val="00194C3E"/>
    <w:rsid w:val="00195382"/>
    <w:rsid w:val="001A348D"/>
    <w:rsid w:val="001A485D"/>
    <w:rsid w:val="001C613F"/>
    <w:rsid w:val="001C61C5"/>
    <w:rsid w:val="001C69C4"/>
    <w:rsid w:val="001C6AA6"/>
    <w:rsid w:val="001D37EF"/>
    <w:rsid w:val="001E3590"/>
    <w:rsid w:val="001E7407"/>
    <w:rsid w:val="001F2646"/>
    <w:rsid w:val="001F4DE9"/>
    <w:rsid w:val="001F5D5E"/>
    <w:rsid w:val="001F6219"/>
    <w:rsid w:val="001F6CD4"/>
    <w:rsid w:val="002023E8"/>
    <w:rsid w:val="00206C4D"/>
    <w:rsid w:val="0021053C"/>
    <w:rsid w:val="00213801"/>
    <w:rsid w:val="002149ED"/>
    <w:rsid w:val="002150FD"/>
    <w:rsid w:val="00215AF1"/>
    <w:rsid w:val="00222FED"/>
    <w:rsid w:val="00226562"/>
    <w:rsid w:val="002321E8"/>
    <w:rsid w:val="0023421B"/>
    <w:rsid w:val="00236EEC"/>
    <w:rsid w:val="0024010F"/>
    <w:rsid w:val="00240749"/>
    <w:rsid w:val="00243018"/>
    <w:rsid w:val="002447A9"/>
    <w:rsid w:val="00251B71"/>
    <w:rsid w:val="002564A4"/>
    <w:rsid w:val="002627A1"/>
    <w:rsid w:val="0026324C"/>
    <w:rsid w:val="0026736C"/>
    <w:rsid w:val="00281308"/>
    <w:rsid w:val="00284719"/>
    <w:rsid w:val="00291BFE"/>
    <w:rsid w:val="00295394"/>
    <w:rsid w:val="00296BCE"/>
    <w:rsid w:val="00297ECB"/>
    <w:rsid w:val="002A3C27"/>
    <w:rsid w:val="002A7BCF"/>
    <w:rsid w:val="002B0AF2"/>
    <w:rsid w:val="002B4EC9"/>
    <w:rsid w:val="002C35A0"/>
    <w:rsid w:val="002C4A40"/>
    <w:rsid w:val="002C7C31"/>
    <w:rsid w:val="002D043A"/>
    <w:rsid w:val="002D3E62"/>
    <w:rsid w:val="002D6224"/>
    <w:rsid w:val="002E3F4B"/>
    <w:rsid w:val="002E49EC"/>
    <w:rsid w:val="002E503D"/>
    <w:rsid w:val="002E6450"/>
    <w:rsid w:val="002F0D40"/>
    <w:rsid w:val="002F7DD2"/>
    <w:rsid w:val="00301EF4"/>
    <w:rsid w:val="00304F8B"/>
    <w:rsid w:val="00310A50"/>
    <w:rsid w:val="003142F7"/>
    <w:rsid w:val="0031485D"/>
    <w:rsid w:val="00317883"/>
    <w:rsid w:val="00322A49"/>
    <w:rsid w:val="003354D2"/>
    <w:rsid w:val="00335BC6"/>
    <w:rsid w:val="00340784"/>
    <w:rsid w:val="00340981"/>
    <w:rsid w:val="003415D3"/>
    <w:rsid w:val="00344701"/>
    <w:rsid w:val="00352B0F"/>
    <w:rsid w:val="00356690"/>
    <w:rsid w:val="003577FB"/>
    <w:rsid w:val="003579D0"/>
    <w:rsid w:val="00360459"/>
    <w:rsid w:val="00361735"/>
    <w:rsid w:val="00366724"/>
    <w:rsid w:val="00371F37"/>
    <w:rsid w:val="003731A2"/>
    <w:rsid w:val="00377D8B"/>
    <w:rsid w:val="00386A00"/>
    <w:rsid w:val="003A054B"/>
    <w:rsid w:val="003B009C"/>
    <w:rsid w:val="003B27DD"/>
    <w:rsid w:val="003B656F"/>
    <w:rsid w:val="003B77A7"/>
    <w:rsid w:val="003C6231"/>
    <w:rsid w:val="003D08C8"/>
    <w:rsid w:val="003D0BFE"/>
    <w:rsid w:val="003D2148"/>
    <w:rsid w:val="003D2510"/>
    <w:rsid w:val="003D5700"/>
    <w:rsid w:val="003D6259"/>
    <w:rsid w:val="003E0088"/>
    <w:rsid w:val="003E1772"/>
    <w:rsid w:val="003E341B"/>
    <w:rsid w:val="003E59FC"/>
    <w:rsid w:val="003E7245"/>
    <w:rsid w:val="003F56A7"/>
    <w:rsid w:val="0041155E"/>
    <w:rsid w:val="004116CD"/>
    <w:rsid w:val="004144EC"/>
    <w:rsid w:val="00417EB9"/>
    <w:rsid w:val="00424CA9"/>
    <w:rsid w:val="00431E9B"/>
    <w:rsid w:val="00436D38"/>
    <w:rsid w:val="004379E3"/>
    <w:rsid w:val="00437E5C"/>
    <w:rsid w:val="0044015E"/>
    <w:rsid w:val="0044291A"/>
    <w:rsid w:val="00444ABD"/>
    <w:rsid w:val="004457E9"/>
    <w:rsid w:val="00461C81"/>
    <w:rsid w:val="00467661"/>
    <w:rsid w:val="004705B7"/>
    <w:rsid w:val="00471932"/>
    <w:rsid w:val="00472DBE"/>
    <w:rsid w:val="00474A19"/>
    <w:rsid w:val="0048391D"/>
    <w:rsid w:val="00490A74"/>
    <w:rsid w:val="00496F97"/>
    <w:rsid w:val="004A76A9"/>
    <w:rsid w:val="004B23AE"/>
    <w:rsid w:val="004B42D7"/>
    <w:rsid w:val="004B4C17"/>
    <w:rsid w:val="004B4E98"/>
    <w:rsid w:val="004C6AE8"/>
    <w:rsid w:val="004D3198"/>
    <w:rsid w:val="004D3593"/>
    <w:rsid w:val="004D520E"/>
    <w:rsid w:val="004D7CD4"/>
    <w:rsid w:val="004E063A"/>
    <w:rsid w:val="004E4788"/>
    <w:rsid w:val="004E7BEC"/>
    <w:rsid w:val="004F1CF6"/>
    <w:rsid w:val="004F3E9E"/>
    <w:rsid w:val="004F53FA"/>
    <w:rsid w:val="00505D3D"/>
    <w:rsid w:val="00506AF6"/>
    <w:rsid w:val="00516B8D"/>
    <w:rsid w:val="005222F6"/>
    <w:rsid w:val="005361B0"/>
    <w:rsid w:val="00537FBC"/>
    <w:rsid w:val="00546C14"/>
    <w:rsid w:val="00554954"/>
    <w:rsid w:val="005571C8"/>
    <w:rsid w:val="005574D1"/>
    <w:rsid w:val="00562724"/>
    <w:rsid w:val="00575694"/>
    <w:rsid w:val="00575A63"/>
    <w:rsid w:val="00584811"/>
    <w:rsid w:val="00585207"/>
    <w:rsid w:val="00585784"/>
    <w:rsid w:val="005932F0"/>
    <w:rsid w:val="00593AA6"/>
    <w:rsid w:val="00594161"/>
    <w:rsid w:val="00594749"/>
    <w:rsid w:val="005A339F"/>
    <w:rsid w:val="005A48C1"/>
    <w:rsid w:val="005B05CC"/>
    <w:rsid w:val="005B1E20"/>
    <w:rsid w:val="005B4067"/>
    <w:rsid w:val="005C0910"/>
    <w:rsid w:val="005C14B0"/>
    <w:rsid w:val="005C3F41"/>
    <w:rsid w:val="005D2D09"/>
    <w:rsid w:val="005D6E7E"/>
    <w:rsid w:val="005E13B9"/>
    <w:rsid w:val="005F6CB3"/>
    <w:rsid w:val="006001BC"/>
    <w:rsid w:val="00600219"/>
    <w:rsid w:val="0060205D"/>
    <w:rsid w:val="00603DC4"/>
    <w:rsid w:val="00603E79"/>
    <w:rsid w:val="00604088"/>
    <w:rsid w:val="00610E45"/>
    <w:rsid w:val="00611164"/>
    <w:rsid w:val="00611BEB"/>
    <w:rsid w:val="00616E7D"/>
    <w:rsid w:val="0061787D"/>
    <w:rsid w:val="00620076"/>
    <w:rsid w:val="00621C17"/>
    <w:rsid w:val="0062227A"/>
    <w:rsid w:val="006377F0"/>
    <w:rsid w:val="006446E7"/>
    <w:rsid w:val="00670EA1"/>
    <w:rsid w:val="00673C10"/>
    <w:rsid w:val="00675291"/>
    <w:rsid w:val="00676BEC"/>
    <w:rsid w:val="00677CC2"/>
    <w:rsid w:val="0068549C"/>
    <w:rsid w:val="00685D01"/>
    <w:rsid w:val="006905DE"/>
    <w:rsid w:val="0069207B"/>
    <w:rsid w:val="006944A8"/>
    <w:rsid w:val="006A592D"/>
    <w:rsid w:val="006A7A32"/>
    <w:rsid w:val="006B2220"/>
    <w:rsid w:val="006B5789"/>
    <w:rsid w:val="006B6FF3"/>
    <w:rsid w:val="006B7D59"/>
    <w:rsid w:val="006C30C5"/>
    <w:rsid w:val="006C31DB"/>
    <w:rsid w:val="006C348F"/>
    <w:rsid w:val="006C7F8C"/>
    <w:rsid w:val="006D43F4"/>
    <w:rsid w:val="006D4B6A"/>
    <w:rsid w:val="006E4390"/>
    <w:rsid w:val="006E6246"/>
    <w:rsid w:val="006F318F"/>
    <w:rsid w:val="006F3B0A"/>
    <w:rsid w:val="006F4226"/>
    <w:rsid w:val="0070017E"/>
    <w:rsid w:val="007006F4"/>
    <w:rsid w:val="00700B2C"/>
    <w:rsid w:val="007050A2"/>
    <w:rsid w:val="00713084"/>
    <w:rsid w:val="00714199"/>
    <w:rsid w:val="00714F20"/>
    <w:rsid w:val="0071590F"/>
    <w:rsid w:val="00715914"/>
    <w:rsid w:val="007227F9"/>
    <w:rsid w:val="0072308E"/>
    <w:rsid w:val="00731E00"/>
    <w:rsid w:val="0074044E"/>
    <w:rsid w:val="00742A1F"/>
    <w:rsid w:val="00743457"/>
    <w:rsid w:val="007440B7"/>
    <w:rsid w:val="007500C8"/>
    <w:rsid w:val="00756272"/>
    <w:rsid w:val="0076072B"/>
    <w:rsid w:val="007662A9"/>
    <w:rsid w:val="0076681A"/>
    <w:rsid w:val="007715C9"/>
    <w:rsid w:val="00771613"/>
    <w:rsid w:val="00774EDD"/>
    <w:rsid w:val="007757EC"/>
    <w:rsid w:val="00783E89"/>
    <w:rsid w:val="007863C6"/>
    <w:rsid w:val="007866B3"/>
    <w:rsid w:val="007875ED"/>
    <w:rsid w:val="007926A6"/>
    <w:rsid w:val="00792D1B"/>
    <w:rsid w:val="00793915"/>
    <w:rsid w:val="00796424"/>
    <w:rsid w:val="00796D32"/>
    <w:rsid w:val="007B1D1F"/>
    <w:rsid w:val="007B2337"/>
    <w:rsid w:val="007C2253"/>
    <w:rsid w:val="007C559B"/>
    <w:rsid w:val="007C587A"/>
    <w:rsid w:val="007C763C"/>
    <w:rsid w:val="007D12F1"/>
    <w:rsid w:val="007D1A4B"/>
    <w:rsid w:val="007D597E"/>
    <w:rsid w:val="007D5A63"/>
    <w:rsid w:val="007D6BB4"/>
    <w:rsid w:val="007D7B81"/>
    <w:rsid w:val="007E163D"/>
    <w:rsid w:val="007E667A"/>
    <w:rsid w:val="007F28C9"/>
    <w:rsid w:val="007F2ADB"/>
    <w:rsid w:val="007F372F"/>
    <w:rsid w:val="007F4E74"/>
    <w:rsid w:val="00803587"/>
    <w:rsid w:val="008037E6"/>
    <w:rsid w:val="00804920"/>
    <w:rsid w:val="008052B8"/>
    <w:rsid w:val="00807626"/>
    <w:rsid w:val="008117E9"/>
    <w:rsid w:val="00811C7B"/>
    <w:rsid w:val="0081369F"/>
    <w:rsid w:val="00820D82"/>
    <w:rsid w:val="00824498"/>
    <w:rsid w:val="008256F5"/>
    <w:rsid w:val="0082737A"/>
    <w:rsid w:val="00827CFB"/>
    <w:rsid w:val="00836D04"/>
    <w:rsid w:val="0084142C"/>
    <w:rsid w:val="00845C74"/>
    <w:rsid w:val="00856A31"/>
    <w:rsid w:val="00857481"/>
    <w:rsid w:val="00862C30"/>
    <w:rsid w:val="00864B24"/>
    <w:rsid w:val="00866DFC"/>
    <w:rsid w:val="008673CD"/>
    <w:rsid w:val="00867B37"/>
    <w:rsid w:val="00870443"/>
    <w:rsid w:val="008754D0"/>
    <w:rsid w:val="00877441"/>
    <w:rsid w:val="00880135"/>
    <w:rsid w:val="008855C9"/>
    <w:rsid w:val="00886456"/>
    <w:rsid w:val="008A46E1"/>
    <w:rsid w:val="008A4F43"/>
    <w:rsid w:val="008A7DE8"/>
    <w:rsid w:val="008B2706"/>
    <w:rsid w:val="008B572B"/>
    <w:rsid w:val="008D0EE0"/>
    <w:rsid w:val="008D2767"/>
    <w:rsid w:val="008D7682"/>
    <w:rsid w:val="008E5540"/>
    <w:rsid w:val="008E6067"/>
    <w:rsid w:val="008F0FFD"/>
    <w:rsid w:val="008F319D"/>
    <w:rsid w:val="008F54E7"/>
    <w:rsid w:val="00902AD6"/>
    <w:rsid w:val="00903422"/>
    <w:rsid w:val="009151EF"/>
    <w:rsid w:val="00915DF9"/>
    <w:rsid w:val="009254C3"/>
    <w:rsid w:val="00932377"/>
    <w:rsid w:val="00932868"/>
    <w:rsid w:val="00935850"/>
    <w:rsid w:val="00947D5A"/>
    <w:rsid w:val="009532A5"/>
    <w:rsid w:val="00975B7F"/>
    <w:rsid w:val="00982242"/>
    <w:rsid w:val="009868E9"/>
    <w:rsid w:val="00986F2F"/>
    <w:rsid w:val="009968D9"/>
    <w:rsid w:val="009B5AB3"/>
    <w:rsid w:val="009C00E9"/>
    <w:rsid w:val="009C2CC8"/>
    <w:rsid w:val="009D7460"/>
    <w:rsid w:val="009D7610"/>
    <w:rsid w:val="009E5CFC"/>
    <w:rsid w:val="00A0014F"/>
    <w:rsid w:val="00A079CB"/>
    <w:rsid w:val="00A12128"/>
    <w:rsid w:val="00A1333A"/>
    <w:rsid w:val="00A1481D"/>
    <w:rsid w:val="00A156AA"/>
    <w:rsid w:val="00A172A5"/>
    <w:rsid w:val="00A22C98"/>
    <w:rsid w:val="00A231E2"/>
    <w:rsid w:val="00A31507"/>
    <w:rsid w:val="00A3611D"/>
    <w:rsid w:val="00A36D58"/>
    <w:rsid w:val="00A4060C"/>
    <w:rsid w:val="00A64912"/>
    <w:rsid w:val="00A7017D"/>
    <w:rsid w:val="00A70A74"/>
    <w:rsid w:val="00A74BF2"/>
    <w:rsid w:val="00A77650"/>
    <w:rsid w:val="00A94C7A"/>
    <w:rsid w:val="00AA04C0"/>
    <w:rsid w:val="00AA6BA4"/>
    <w:rsid w:val="00AB0706"/>
    <w:rsid w:val="00AB1A0C"/>
    <w:rsid w:val="00AC04C7"/>
    <w:rsid w:val="00AC1098"/>
    <w:rsid w:val="00AD5641"/>
    <w:rsid w:val="00AD742E"/>
    <w:rsid w:val="00AD749B"/>
    <w:rsid w:val="00AD7889"/>
    <w:rsid w:val="00AE18C5"/>
    <w:rsid w:val="00AE3652"/>
    <w:rsid w:val="00AE4D24"/>
    <w:rsid w:val="00AF021B"/>
    <w:rsid w:val="00AF0368"/>
    <w:rsid w:val="00AF06CF"/>
    <w:rsid w:val="00AF2F71"/>
    <w:rsid w:val="00B05CF4"/>
    <w:rsid w:val="00B0719A"/>
    <w:rsid w:val="00B07CDB"/>
    <w:rsid w:val="00B10027"/>
    <w:rsid w:val="00B156B4"/>
    <w:rsid w:val="00B16A31"/>
    <w:rsid w:val="00B17DFD"/>
    <w:rsid w:val="00B247D8"/>
    <w:rsid w:val="00B274F1"/>
    <w:rsid w:val="00B30124"/>
    <w:rsid w:val="00B308FE"/>
    <w:rsid w:val="00B33709"/>
    <w:rsid w:val="00B33B3C"/>
    <w:rsid w:val="00B34D90"/>
    <w:rsid w:val="00B4170C"/>
    <w:rsid w:val="00B4175D"/>
    <w:rsid w:val="00B50ADC"/>
    <w:rsid w:val="00B52FA8"/>
    <w:rsid w:val="00B566B1"/>
    <w:rsid w:val="00B62B79"/>
    <w:rsid w:val="00B63834"/>
    <w:rsid w:val="00B64C84"/>
    <w:rsid w:val="00B65F8A"/>
    <w:rsid w:val="00B713AC"/>
    <w:rsid w:val="00B72734"/>
    <w:rsid w:val="00B7534A"/>
    <w:rsid w:val="00B80199"/>
    <w:rsid w:val="00B83204"/>
    <w:rsid w:val="00B85A74"/>
    <w:rsid w:val="00B87E3D"/>
    <w:rsid w:val="00BA0C87"/>
    <w:rsid w:val="00BA220B"/>
    <w:rsid w:val="00BA38B9"/>
    <w:rsid w:val="00BA3A57"/>
    <w:rsid w:val="00BA691F"/>
    <w:rsid w:val="00BB4E1A"/>
    <w:rsid w:val="00BC015E"/>
    <w:rsid w:val="00BC6D56"/>
    <w:rsid w:val="00BC76AC"/>
    <w:rsid w:val="00BC79DF"/>
    <w:rsid w:val="00BD0ECB"/>
    <w:rsid w:val="00BD24E8"/>
    <w:rsid w:val="00BD254C"/>
    <w:rsid w:val="00BD2F75"/>
    <w:rsid w:val="00BD3097"/>
    <w:rsid w:val="00BD3427"/>
    <w:rsid w:val="00BE11A2"/>
    <w:rsid w:val="00BE1C7A"/>
    <w:rsid w:val="00BE2155"/>
    <w:rsid w:val="00BE2213"/>
    <w:rsid w:val="00BE2C9A"/>
    <w:rsid w:val="00BE6877"/>
    <w:rsid w:val="00BE719A"/>
    <w:rsid w:val="00BE720A"/>
    <w:rsid w:val="00BF0D73"/>
    <w:rsid w:val="00BF2465"/>
    <w:rsid w:val="00BF5389"/>
    <w:rsid w:val="00BF5FF7"/>
    <w:rsid w:val="00BF79F5"/>
    <w:rsid w:val="00C006AB"/>
    <w:rsid w:val="00C10214"/>
    <w:rsid w:val="00C25E7F"/>
    <w:rsid w:val="00C2721A"/>
    <w:rsid w:val="00C2746F"/>
    <w:rsid w:val="00C307AB"/>
    <w:rsid w:val="00C324A0"/>
    <w:rsid w:val="00C3300F"/>
    <w:rsid w:val="00C42BF8"/>
    <w:rsid w:val="00C47BD8"/>
    <w:rsid w:val="00C50043"/>
    <w:rsid w:val="00C513CC"/>
    <w:rsid w:val="00C518DF"/>
    <w:rsid w:val="00C57038"/>
    <w:rsid w:val="00C63AC6"/>
    <w:rsid w:val="00C700C4"/>
    <w:rsid w:val="00C73F19"/>
    <w:rsid w:val="00C7573B"/>
    <w:rsid w:val="00C803AA"/>
    <w:rsid w:val="00C867BF"/>
    <w:rsid w:val="00C93C03"/>
    <w:rsid w:val="00C93DD7"/>
    <w:rsid w:val="00CA2CB8"/>
    <w:rsid w:val="00CB13DB"/>
    <w:rsid w:val="00CB14E1"/>
    <w:rsid w:val="00CB24A7"/>
    <w:rsid w:val="00CB26A1"/>
    <w:rsid w:val="00CB2C8E"/>
    <w:rsid w:val="00CB351D"/>
    <w:rsid w:val="00CB5903"/>
    <w:rsid w:val="00CB602E"/>
    <w:rsid w:val="00CB63AD"/>
    <w:rsid w:val="00CB6D05"/>
    <w:rsid w:val="00CD3066"/>
    <w:rsid w:val="00CE051D"/>
    <w:rsid w:val="00CE1335"/>
    <w:rsid w:val="00CE493D"/>
    <w:rsid w:val="00CE5A71"/>
    <w:rsid w:val="00CF07FA"/>
    <w:rsid w:val="00CF0BB2"/>
    <w:rsid w:val="00CF22EE"/>
    <w:rsid w:val="00CF3EE8"/>
    <w:rsid w:val="00CF7398"/>
    <w:rsid w:val="00D0044F"/>
    <w:rsid w:val="00D050E6"/>
    <w:rsid w:val="00D12838"/>
    <w:rsid w:val="00D13441"/>
    <w:rsid w:val="00D14DD6"/>
    <w:rsid w:val="00D150E7"/>
    <w:rsid w:val="00D15533"/>
    <w:rsid w:val="00D205FA"/>
    <w:rsid w:val="00D208C3"/>
    <w:rsid w:val="00D32F65"/>
    <w:rsid w:val="00D330A3"/>
    <w:rsid w:val="00D33990"/>
    <w:rsid w:val="00D34340"/>
    <w:rsid w:val="00D36069"/>
    <w:rsid w:val="00D4245B"/>
    <w:rsid w:val="00D46529"/>
    <w:rsid w:val="00D46D01"/>
    <w:rsid w:val="00D513C8"/>
    <w:rsid w:val="00D52DC2"/>
    <w:rsid w:val="00D53BCC"/>
    <w:rsid w:val="00D65DA8"/>
    <w:rsid w:val="00D6740B"/>
    <w:rsid w:val="00D67E8A"/>
    <w:rsid w:val="00D67F89"/>
    <w:rsid w:val="00D70DFB"/>
    <w:rsid w:val="00D71B5E"/>
    <w:rsid w:val="00D766DF"/>
    <w:rsid w:val="00D85CDD"/>
    <w:rsid w:val="00DA186E"/>
    <w:rsid w:val="00DA4116"/>
    <w:rsid w:val="00DA7F11"/>
    <w:rsid w:val="00DB251C"/>
    <w:rsid w:val="00DB3378"/>
    <w:rsid w:val="00DB4630"/>
    <w:rsid w:val="00DB6279"/>
    <w:rsid w:val="00DC4F88"/>
    <w:rsid w:val="00DD4D97"/>
    <w:rsid w:val="00DE0DC9"/>
    <w:rsid w:val="00DE4E2D"/>
    <w:rsid w:val="00DF1F54"/>
    <w:rsid w:val="00E01605"/>
    <w:rsid w:val="00E05704"/>
    <w:rsid w:val="00E11E44"/>
    <w:rsid w:val="00E22598"/>
    <w:rsid w:val="00E24210"/>
    <w:rsid w:val="00E3270E"/>
    <w:rsid w:val="00E338EF"/>
    <w:rsid w:val="00E50D50"/>
    <w:rsid w:val="00E544BB"/>
    <w:rsid w:val="00E56723"/>
    <w:rsid w:val="00E570C9"/>
    <w:rsid w:val="00E62C9F"/>
    <w:rsid w:val="00E662CB"/>
    <w:rsid w:val="00E67355"/>
    <w:rsid w:val="00E747C0"/>
    <w:rsid w:val="00E74DC7"/>
    <w:rsid w:val="00E76806"/>
    <w:rsid w:val="00E8075A"/>
    <w:rsid w:val="00E9352D"/>
    <w:rsid w:val="00E94D5E"/>
    <w:rsid w:val="00EA7100"/>
    <w:rsid w:val="00EA7F9F"/>
    <w:rsid w:val="00EB1274"/>
    <w:rsid w:val="00EB47FC"/>
    <w:rsid w:val="00EB4DD6"/>
    <w:rsid w:val="00EB6AD0"/>
    <w:rsid w:val="00ED2BB6"/>
    <w:rsid w:val="00ED34E1"/>
    <w:rsid w:val="00ED3B8D"/>
    <w:rsid w:val="00ED659C"/>
    <w:rsid w:val="00EE4F20"/>
    <w:rsid w:val="00EE5595"/>
    <w:rsid w:val="00EF0196"/>
    <w:rsid w:val="00EF0AC7"/>
    <w:rsid w:val="00EF2E3A"/>
    <w:rsid w:val="00EF301B"/>
    <w:rsid w:val="00F04D95"/>
    <w:rsid w:val="00F072A7"/>
    <w:rsid w:val="00F078DC"/>
    <w:rsid w:val="00F07C50"/>
    <w:rsid w:val="00F13470"/>
    <w:rsid w:val="00F22FD8"/>
    <w:rsid w:val="00F32AC3"/>
    <w:rsid w:val="00F32BA8"/>
    <w:rsid w:val="00F3377D"/>
    <w:rsid w:val="00F349F1"/>
    <w:rsid w:val="00F40F50"/>
    <w:rsid w:val="00F4350D"/>
    <w:rsid w:val="00F450E7"/>
    <w:rsid w:val="00F56371"/>
    <w:rsid w:val="00F567F7"/>
    <w:rsid w:val="00F62036"/>
    <w:rsid w:val="00F620CC"/>
    <w:rsid w:val="00F62486"/>
    <w:rsid w:val="00F65B52"/>
    <w:rsid w:val="00F67BCA"/>
    <w:rsid w:val="00F73BD6"/>
    <w:rsid w:val="00F81AF8"/>
    <w:rsid w:val="00F83989"/>
    <w:rsid w:val="00F85099"/>
    <w:rsid w:val="00F8517F"/>
    <w:rsid w:val="00F85B6E"/>
    <w:rsid w:val="00F92395"/>
    <w:rsid w:val="00F9379C"/>
    <w:rsid w:val="00F9632C"/>
    <w:rsid w:val="00F9692A"/>
    <w:rsid w:val="00FA1E52"/>
    <w:rsid w:val="00FA2BEE"/>
    <w:rsid w:val="00FA326A"/>
    <w:rsid w:val="00FB1409"/>
    <w:rsid w:val="00FB7B59"/>
    <w:rsid w:val="00FD35B8"/>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30049"/>
    <o:shapelayout v:ext="edit">
      <o:idmap v:ext="edit" data="1"/>
    </o:shapelayout>
  </w:shapeDefaults>
  <w:decimalSymbol w:val="."/>
  <w:listSeparator w:val=","/>
  <w14:docId w14:val="7C88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B63AD"/>
    <w:pPr>
      <w:spacing w:line="260" w:lineRule="atLeast"/>
    </w:pPr>
    <w:rPr>
      <w:sz w:val="22"/>
    </w:rPr>
  </w:style>
  <w:style w:type="paragraph" w:styleId="Heading1">
    <w:name w:val="heading 1"/>
    <w:basedOn w:val="Normal"/>
    <w:next w:val="Normal"/>
    <w:link w:val="Heading1Char"/>
    <w:uiPriority w:val="9"/>
    <w:qFormat/>
    <w:rsid w:val="00CB63A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63A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63A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63A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63A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63A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63A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63A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63A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63AD"/>
  </w:style>
  <w:style w:type="paragraph" w:customStyle="1" w:styleId="OPCParaBase">
    <w:name w:val="OPCParaBase"/>
    <w:qFormat/>
    <w:rsid w:val="00CB63AD"/>
    <w:pPr>
      <w:spacing w:line="260" w:lineRule="atLeast"/>
    </w:pPr>
    <w:rPr>
      <w:rFonts w:eastAsia="Times New Roman" w:cs="Times New Roman"/>
      <w:sz w:val="22"/>
      <w:lang w:eastAsia="en-AU"/>
    </w:rPr>
  </w:style>
  <w:style w:type="paragraph" w:customStyle="1" w:styleId="ShortT">
    <w:name w:val="ShortT"/>
    <w:basedOn w:val="OPCParaBase"/>
    <w:next w:val="Normal"/>
    <w:qFormat/>
    <w:rsid w:val="00CB63AD"/>
    <w:pPr>
      <w:spacing w:line="240" w:lineRule="auto"/>
    </w:pPr>
    <w:rPr>
      <w:b/>
      <w:sz w:val="40"/>
    </w:rPr>
  </w:style>
  <w:style w:type="paragraph" w:customStyle="1" w:styleId="ActHead1">
    <w:name w:val="ActHead 1"/>
    <w:aliases w:val="c"/>
    <w:basedOn w:val="OPCParaBase"/>
    <w:next w:val="Normal"/>
    <w:qFormat/>
    <w:rsid w:val="00CB63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63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63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63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63A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63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63A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63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63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63AD"/>
  </w:style>
  <w:style w:type="paragraph" w:customStyle="1" w:styleId="Blocks">
    <w:name w:val="Blocks"/>
    <w:aliases w:val="bb"/>
    <w:basedOn w:val="OPCParaBase"/>
    <w:qFormat/>
    <w:rsid w:val="00CB63AD"/>
    <w:pPr>
      <w:spacing w:line="240" w:lineRule="auto"/>
    </w:pPr>
    <w:rPr>
      <w:sz w:val="24"/>
    </w:rPr>
  </w:style>
  <w:style w:type="paragraph" w:customStyle="1" w:styleId="BoxText">
    <w:name w:val="BoxText"/>
    <w:aliases w:val="bt"/>
    <w:basedOn w:val="OPCParaBase"/>
    <w:qFormat/>
    <w:rsid w:val="00CB63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63AD"/>
    <w:rPr>
      <w:b/>
    </w:rPr>
  </w:style>
  <w:style w:type="paragraph" w:customStyle="1" w:styleId="BoxHeadItalic">
    <w:name w:val="BoxHeadItalic"/>
    <w:aliases w:val="bhi"/>
    <w:basedOn w:val="BoxText"/>
    <w:next w:val="BoxStep"/>
    <w:qFormat/>
    <w:rsid w:val="00CB63AD"/>
    <w:rPr>
      <w:i/>
    </w:rPr>
  </w:style>
  <w:style w:type="paragraph" w:customStyle="1" w:styleId="BoxList">
    <w:name w:val="BoxList"/>
    <w:aliases w:val="bl"/>
    <w:basedOn w:val="BoxText"/>
    <w:qFormat/>
    <w:rsid w:val="00CB63AD"/>
    <w:pPr>
      <w:ind w:left="1559" w:hanging="425"/>
    </w:pPr>
  </w:style>
  <w:style w:type="paragraph" w:customStyle="1" w:styleId="BoxNote">
    <w:name w:val="BoxNote"/>
    <w:aliases w:val="bn"/>
    <w:basedOn w:val="BoxText"/>
    <w:qFormat/>
    <w:rsid w:val="00CB63AD"/>
    <w:pPr>
      <w:tabs>
        <w:tab w:val="left" w:pos="1985"/>
      </w:tabs>
      <w:spacing w:before="122" w:line="198" w:lineRule="exact"/>
      <w:ind w:left="2948" w:hanging="1814"/>
    </w:pPr>
    <w:rPr>
      <w:sz w:val="18"/>
    </w:rPr>
  </w:style>
  <w:style w:type="paragraph" w:customStyle="1" w:styleId="BoxPara">
    <w:name w:val="BoxPara"/>
    <w:aliases w:val="bp"/>
    <w:basedOn w:val="BoxText"/>
    <w:qFormat/>
    <w:rsid w:val="00CB63AD"/>
    <w:pPr>
      <w:tabs>
        <w:tab w:val="right" w:pos="2268"/>
      </w:tabs>
      <w:ind w:left="2552" w:hanging="1418"/>
    </w:pPr>
  </w:style>
  <w:style w:type="paragraph" w:customStyle="1" w:styleId="BoxStep">
    <w:name w:val="BoxStep"/>
    <w:aliases w:val="bs"/>
    <w:basedOn w:val="BoxText"/>
    <w:qFormat/>
    <w:rsid w:val="00CB63AD"/>
    <w:pPr>
      <w:ind w:left="1985" w:hanging="851"/>
    </w:pPr>
  </w:style>
  <w:style w:type="character" w:customStyle="1" w:styleId="CharAmPartNo">
    <w:name w:val="CharAmPartNo"/>
    <w:basedOn w:val="OPCCharBase"/>
    <w:qFormat/>
    <w:rsid w:val="00CB63AD"/>
  </w:style>
  <w:style w:type="character" w:customStyle="1" w:styleId="CharAmPartText">
    <w:name w:val="CharAmPartText"/>
    <w:basedOn w:val="OPCCharBase"/>
    <w:qFormat/>
    <w:rsid w:val="00CB63AD"/>
  </w:style>
  <w:style w:type="character" w:customStyle="1" w:styleId="CharAmSchNo">
    <w:name w:val="CharAmSchNo"/>
    <w:basedOn w:val="OPCCharBase"/>
    <w:qFormat/>
    <w:rsid w:val="00CB63AD"/>
  </w:style>
  <w:style w:type="character" w:customStyle="1" w:styleId="CharAmSchText">
    <w:name w:val="CharAmSchText"/>
    <w:basedOn w:val="OPCCharBase"/>
    <w:qFormat/>
    <w:rsid w:val="00CB63AD"/>
  </w:style>
  <w:style w:type="character" w:customStyle="1" w:styleId="CharBoldItalic">
    <w:name w:val="CharBoldItalic"/>
    <w:basedOn w:val="OPCCharBase"/>
    <w:uiPriority w:val="1"/>
    <w:qFormat/>
    <w:rsid w:val="00CB63AD"/>
    <w:rPr>
      <w:b/>
      <w:i/>
    </w:rPr>
  </w:style>
  <w:style w:type="character" w:customStyle="1" w:styleId="CharChapNo">
    <w:name w:val="CharChapNo"/>
    <w:basedOn w:val="OPCCharBase"/>
    <w:uiPriority w:val="1"/>
    <w:qFormat/>
    <w:rsid w:val="00CB63AD"/>
  </w:style>
  <w:style w:type="character" w:customStyle="1" w:styleId="CharChapText">
    <w:name w:val="CharChapText"/>
    <w:basedOn w:val="OPCCharBase"/>
    <w:uiPriority w:val="1"/>
    <w:qFormat/>
    <w:rsid w:val="00CB63AD"/>
  </w:style>
  <w:style w:type="character" w:customStyle="1" w:styleId="CharDivNo">
    <w:name w:val="CharDivNo"/>
    <w:basedOn w:val="OPCCharBase"/>
    <w:uiPriority w:val="1"/>
    <w:qFormat/>
    <w:rsid w:val="00CB63AD"/>
  </w:style>
  <w:style w:type="character" w:customStyle="1" w:styleId="CharDivText">
    <w:name w:val="CharDivText"/>
    <w:basedOn w:val="OPCCharBase"/>
    <w:uiPriority w:val="1"/>
    <w:qFormat/>
    <w:rsid w:val="00CB63AD"/>
  </w:style>
  <w:style w:type="character" w:customStyle="1" w:styleId="CharItalic">
    <w:name w:val="CharItalic"/>
    <w:basedOn w:val="OPCCharBase"/>
    <w:uiPriority w:val="1"/>
    <w:qFormat/>
    <w:rsid w:val="00CB63AD"/>
    <w:rPr>
      <w:i/>
    </w:rPr>
  </w:style>
  <w:style w:type="character" w:customStyle="1" w:styleId="CharPartNo">
    <w:name w:val="CharPartNo"/>
    <w:basedOn w:val="OPCCharBase"/>
    <w:uiPriority w:val="1"/>
    <w:qFormat/>
    <w:rsid w:val="00CB63AD"/>
  </w:style>
  <w:style w:type="character" w:customStyle="1" w:styleId="CharPartText">
    <w:name w:val="CharPartText"/>
    <w:basedOn w:val="OPCCharBase"/>
    <w:uiPriority w:val="1"/>
    <w:qFormat/>
    <w:rsid w:val="00CB63AD"/>
  </w:style>
  <w:style w:type="character" w:customStyle="1" w:styleId="CharSectno">
    <w:name w:val="CharSectno"/>
    <w:basedOn w:val="OPCCharBase"/>
    <w:qFormat/>
    <w:rsid w:val="00CB63AD"/>
  </w:style>
  <w:style w:type="character" w:customStyle="1" w:styleId="CharSubdNo">
    <w:name w:val="CharSubdNo"/>
    <w:basedOn w:val="OPCCharBase"/>
    <w:uiPriority w:val="1"/>
    <w:qFormat/>
    <w:rsid w:val="00CB63AD"/>
  </w:style>
  <w:style w:type="character" w:customStyle="1" w:styleId="CharSubdText">
    <w:name w:val="CharSubdText"/>
    <w:basedOn w:val="OPCCharBase"/>
    <w:uiPriority w:val="1"/>
    <w:qFormat/>
    <w:rsid w:val="00CB63AD"/>
  </w:style>
  <w:style w:type="paragraph" w:customStyle="1" w:styleId="CTA--">
    <w:name w:val="CTA --"/>
    <w:basedOn w:val="OPCParaBase"/>
    <w:next w:val="Normal"/>
    <w:rsid w:val="00CB63AD"/>
    <w:pPr>
      <w:spacing w:before="60" w:line="240" w:lineRule="atLeast"/>
      <w:ind w:left="142" w:hanging="142"/>
    </w:pPr>
    <w:rPr>
      <w:sz w:val="20"/>
    </w:rPr>
  </w:style>
  <w:style w:type="paragraph" w:customStyle="1" w:styleId="CTA-">
    <w:name w:val="CTA -"/>
    <w:basedOn w:val="OPCParaBase"/>
    <w:rsid w:val="00CB63AD"/>
    <w:pPr>
      <w:spacing w:before="60" w:line="240" w:lineRule="atLeast"/>
      <w:ind w:left="85" w:hanging="85"/>
    </w:pPr>
    <w:rPr>
      <w:sz w:val="20"/>
    </w:rPr>
  </w:style>
  <w:style w:type="paragraph" w:customStyle="1" w:styleId="CTA---">
    <w:name w:val="CTA ---"/>
    <w:basedOn w:val="OPCParaBase"/>
    <w:next w:val="Normal"/>
    <w:rsid w:val="00CB63AD"/>
    <w:pPr>
      <w:spacing w:before="60" w:line="240" w:lineRule="atLeast"/>
      <w:ind w:left="198" w:hanging="198"/>
    </w:pPr>
    <w:rPr>
      <w:sz w:val="20"/>
    </w:rPr>
  </w:style>
  <w:style w:type="paragraph" w:customStyle="1" w:styleId="CTA----">
    <w:name w:val="CTA ----"/>
    <w:basedOn w:val="OPCParaBase"/>
    <w:next w:val="Normal"/>
    <w:rsid w:val="00CB63AD"/>
    <w:pPr>
      <w:spacing w:before="60" w:line="240" w:lineRule="atLeast"/>
      <w:ind w:left="255" w:hanging="255"/>
    </w:pPr>
    <w:rPr>
      <w:sz w:val="20"/>
    </w:rPr>
  </w:style>
  <w:style w:type="paragraph" w:customStyle="1" w:styleId="CTA1a">
    <w:name w:val="CTA 1(a)"/>
    <w:basedOn w:val="OPCParaBase"/>
    <w:rsid w:val="00CB63AD"/>
    <w:pPr>
      <w:tabs>
        <w:tab w:val="right" w:pos="414"/>
      </w:tabs>
      <w:spacing w:before="40" w:line="240" w:lineRule="atLeast"/>
      <w:ind w:left="675" w:hanging="675"/>
    </w:pPr>
    <w:rPr>
      <w:sz w:val="20"/>
    </w:rPr>
  </w:style>
  <w:style w:type="paragraph" w:customStyle="1" w:styleId="CTA1ai">
    <w:name w:val="CTA 1(a)(i)"/>
    <w:basedOn w:val="OPCParaBase"/>
    <w:rsid w:val="00CB63AD"/>
    <w:pPr>
      <w:tabs>
        <w:tab w:val="right" w:pos="1004"/>
      </w:tabs>
      <w:spacing w:before="40" w:line="240" w:lineRule="atLeast"/>
      <w:ind w:left="1253" w:hanging="1253"/>
    </w:pPr>
    <w:rPr>
      <w:sz w:val="20"/>
    </w:rPr>
  </w:style>
  <w:style w:type="paragraph" w:customStyle="1" w:styleId="CTA2a">
    <w:name w:val="CTA 2(a)"/>
    <w:basedOn w:val="OPCParaBase"/>
    <w:rsid w:val="00CB63AD"/>
    <w:pPr>
      <w:tabs>
        <w:tab w:val="right" w:pos="482"/>
      </w:tabs>
      <w:spacing w:before="40" w:line="240" w:lineRule="atLeast"/>
      <w:ind w:left="748" w:hanging="748"/>
    </w:pPr>
    <w:rPr>
      <w:sz w:val="20"/>
    </w:rPr>
  </w:style>
  <w:style w:type="paragraph" w:customStyle="1" w:styleId="CTA2ai">
    <w:name w:val="CTA 2(a)(i)"/>
    <w:basedOn w:val="OPCParaBase"/>
    <w:rsid w:val="00CB63AD"/>
    <w:pPr>
      <w:tabs>
        <w:tab w:val="right" w:pos="1089"/>
      </w:tabs>
      <w:spacing w:before="40" w:line="240" w:lineRule="atLeast"/>
      <w:ind w:left="1327" w:hanging="1327"/>
    </w:pPr>
    <w:rPr>
      <w:sz w:val="20"/>
    </w:rPr>
  </w:style>
  <w:style w:type="paragraph" w:customStyle="1" w:styleId="CTA3a">
    <w:name w:val="CTA 3(a)"/>
    <w:basedOn w:val="OPCParaBase"/>
    <w:rsid w:val="00CB63AD"/>
    <w:pPr>
      <w:tabs>
        <w:tab w:val="right" w:pos="556"/>
      </w:tabs>
      <w:spacing w:before="40" w:line="240" w:lineRule="atLeast"/>
      <w:ind w:left="805" w:hanging="805"/>
    </w:pPr>
    <w:rPr>
      <w:sz w:val="20"/>
    </w:rPr>
  </w:style>
  <w:style w:type="paragraph" w:customStyle="1" w:styleId="CTA3ai">
    <w:name w:val="CTA 3(a)(i)"/>
    <w:basedOn w:val="OPCParaBase"/>
    <w:rsid w:val="00CB63AD"/>
    <w:pPr>
      <w:tabs>
        <w:tab w:val="right" w:pos="1140"/>
      </w:tabs>
      <w:spacing w:before="40" w:line="240" w:lineRule="atLeast"/>
      <w:ind w:left="1361" w:hanging="1361"/>
    </w:pPr>
    <w:rPr>
      <w:sz w:val="20"/>
    </w:rPr>
  </w:style>
  <w:style w:type="paragraph" w:customStyle="1" w:styleId="CTA4a">
    <w:name w:val="CTA 4(a)"/>
    <w:basedOn w:val="OPCParaBase"/>
    <w:rsid w:val="00CB63AD"/>
    <w:pPr>
      <w:tabs>
        <w:tab w:val="right" w:pos="624"/>
      </w:tabs>
      <w:spacing w:before="40" w:line="240" w:lineRule="atLeast"/>
      <w:ind w:left="873" w:hanging="873"/>
    </w:pPr>
    <w:rPr>
      <w:sz w:val="20"/>
    </w:rPr>
  </w:style>
  <w:style w:type="paragraph" w:customStyle="1" w:styleId="CTA4ai">
    <w:name w:val="CTA 4(a)(i)"/>
    <w:basedOn w:val="OPCParaBase"/>
    <w:rsid w:val="00CB63AD"/>
    <w:pPr>
      <w:tabs>
        <w:tab w:val="right" w:pos="1213"/>
      </w:tabs>
      <w:spacing w:before="40" w:line="240" w:lineRule="atLeast"/>
      <w:ind w:left="1452" w:hanging="1452"/>
    </w:pPr>
    <w:rPr>
      <w:sz w:val="20"/>
    </w:rPr>
  </w:style>
  <w:style w:type="paragraph" w:customStyle="1" w:styleId="CTACAPS">
    <w:name w:val="CTA CAPS"/>
    <w:basedOn w:val="OPCParaBase"/>
    <w:rsid w:val="00CB63AD"/>
    <w:pPr>
      <w:spacing w:before="60" w:line="240" w:lineRule="atLeast"/>
    </w:pPr>
    <w:rPr>
      <w:sz w:val="20"/>
    </w:rPr>
  </w:style>
  <w:style w:type="paragraph" w:customStyle="1" w:styleId="CTAright">
    <w:name w:val="CTA right"/>
    <w:basedOn w:val="OPCParaBase"/>
    <w:rsid w:val="00CB63AD"/>
    <w:pPr>
      <w:spacing w:before="60" w:line="240" w:lineRule="auto"/>
      <w:jc w:val="right"/>
    </w:pPr>
    <w:rPr>
      <w:sz w:val="20"/>
    </w:rPr>
  </w:style>
  <w:style w:type="paragraph" w:customStyle="1" w:styleId="subsection">
    <w:name w:val="subsection"/>
    <w:aliases w:val="ss"/>
    <w:basedOn w:val="OPCParaBase"/>
    <w:link w:val="subsectionChar"/>
    <w:rsid w:val="00CB63AD"/>
    <w:pPr>
      <w:tabs>
        <w:tab w:val="right" w:pos="1021"/>
      </w:tabs>
      <w:spacing w:before="180" w:line="240" w:lineRule="auto"/>
      <w:ind w:left="1134" w:hanging="1134"/>
    </w:pPr>
  </w:style>
  <w:style w:type="paragraph" w:customStyle="1" w:styleId="Definition">
    <w:name w:val="Definition"/>
    <w:aliases w:val="dd"/>
    <w:basedOn w:val="OPCParaBase"/>
    <w:rsid w:val="00CB63AD"/>
    <w:pPr>
      <w:spacing w:before="180" w:line="240" w:lineRule="auto"/>
      <w:ind w:left="1134"/>
    </w:pPr>
  </w:style>
  <w:style w:type="paragraph" w:customStyle="1" w:styleId="EndNotespara">
    <w:name w:val="EndNotes(para)"/>
    <w:aliases w:val="eta"/>
    <w:basedOn w:val="OPCParaBase"/>
    <w:next w:val="EndNotessubpara"/>
    <w:rsid w:val="00CB63A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63A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63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63AD"/>
    <w:pPr>
      <w:tabs>
        <w:tab w:val="right" w:pos="1412"/>
      </w:tabs>
      <w:spacing w:before="60" w:line="240" w:lineRule="auto"/>
      <w:ind w:left="1525" w:hanging="1525"/>
    </w:pPr>
    <w:rPr>
      <w:sz w:val="20"/>
    </w:rPr>
  </w:style>
  <w:style w:type="paragraph" w:customStyle="1" w:styleId="Formula">
    <w:name w:val="Formula"/>
    <w:basedOn w:val="OPCParaBase"/>
    <w:rsid w:val="00CB63AD"/>
    <w:pPr>
      <w:spacing w:line="240" w:lineRule="auto"/>
      <w:ind w:left="1134"/>
    </w:pPr>
    <w:rPr>
      <w:sz w:val="20"/>
    </w:rPr>
  </w:style>
  <w:style w:type="paragraph" w:styleId="Header">
    <w:name w:val="header"/>
    <w:basedOn w:val="OPCParaBase"/>
    <w:link w:val="HeaderChar"/>
    <w:unhideWhenUsed/>
    <w:rsid w:val="00CB63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63AD"/>
    <w:rPr>
      <w:rFonts w:eastAsia="Times New Roman" w:cs="Times New Roman"/>
      <w:sz w:val="16"/>
      <w:lang w:eastAsia="en-AU"/>
    </w:rPr>
  </w:style>
  <w:style w:type="paragraph" w:customStyle="1" w:styleId="House">
    <w:name w:val="House"/>
    <w:basedOn w:val="OPCParaBase"/>
    <w:rsid w:val="00CB63AD"/>
    <w:pPr>
      <w:spacing w:line="240" w:lineRule="auto"/>
    </w:pPr>
    <w:rPr>
      <w:sz w:val="28"/>
    </w:rPr>
  </w:style>
  <w:style w:type="paragraph" w:customStyle="1" w:styleId="Item">
    <w:name w:val="Item"/>
    <w:aliases w:val="i"/>
    <w:basedOn w:val="OPCParaBase"/>
    <w:next w:val="ItemHead"/>
    <w:rsid w:val="00CB63AD"/>
    <w:pPr>
      <w:keepLines/>
      <w:spacing w:before="80" w:line="240" w:lineRule="auto"/>
      <w:ind w:left="709"/>
    </w:pPr>
  </w:style>
  <w:style w:type="paragraph" w:customStyle="1" w:styleId="ItemHead">
    <w:name w:val="ItemHead"/>
    <w:aliases w:val="ih"/>
    <w:basedOn w:val="OPCParaBase"/>
    <w:next w:val="Item"/>
    <w:rsid w:val="00CB63A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63AD"/>
    <w:pPr>
      <w:spacing w:line="240" w:lineRule="auto"/>
    </w:pPr>
    <w:rPr>
      <w:b/>
      <w:sz w:val="32"/>
    </w:rPr>
  </w:style>
  <w:style w:type="paragraph" w:customStyle="1" w:styleId="notedraft">
    <w:name w:val="note(draft)"/>
    <w:aliases w:val="nd"/>
    <w:basedOn w:val="OPCParaBase"/>
    <w:rsid w:val="00CB63AD"/>
    <w:pPr>
      <w:spacing w:before="240" w:line="240" w:lineRule="auto"/>
      <w:ind w:left="284" w:hanging="284"/>
    </w:pPr>
    <w:rPr>
      <w:i/>
      <w:sz w:val="24"/>
    </w:rPr>
  </w:style>
  <w:style w:type="paragraph" w:customStyle="1" w:styleId="notemargin">
    <w:name w:val="note(margin)"/>
    <w:aliases w:val="nm"/>
    <w:basedOn w:val="OPCParaBase"/>
    <w:rsid w:val="00CB63AD"/>
    <w:pPr>
      <w:tabs>
        <w:tab w:val="left" w:pos="709"/>
      </w:tabs>
      <w:spacing w:before="122" w:line="198" w:lineRule="exact"/>
      <w:ind w:left="709" w:hanging="709"/>
    </w:pPr>
    <w:rPr>
      <w:sz w:val="18"/>
    </w:rPr>
  </w:style>
  <w:style w:type="paragraph" w:customStyle="1" w:styleId="noteToPara">
    <w:name w:val="noteToPara"/>
    <w:aliases w:val="ntp"/>
    <w:basedOn w:val="OPCParaBase"/>
    <w:rsid w:val="00CB63AD"/>
    <w:pPr>
      <w:spacing w:before="122" w:line="198" w:lineRule="exact"/>
      <w:ind w:left="2353" w:hanging="709"/>
    </w:pPr>
    <w:rPr>
      <w:sz w:val="18"/>
    </w:rPr>
  </w:style>
  <w:style w:type="paragraph" w:customStyle="1" w:styleId="noteParlAmend">
    <w:name w:val="note(ParlAmend)"/>
    <w:aliases w:val="npp"/>
    <w:basedOn w:val="OPCParaBase"/>
    <w:next w:val="ParlAmend"/>
    <w:rsid w:val="00CB63AD"/>
    <w:pPr>
      <w:spacing w:line="240" w:lineRule="auto"/>
      <w:jc w:val="right"/>
    </w:pPr>
    <w:rPr>
      <w:rFonts w:ascii="Arial" w:hAnsi="Arial"/>
      <w:b/>
      <w:i/>
    </w:rPr>
  </w:style>
  <w:style w:type="paragraph" w:customStyle="1" w:styleId="Page1">
    <w:name w:val="Page1"/>
    <w:basedOn w:val="OPCParaBase"/>
    <w:rsid w:val="00CB63AD"/>
    <w:pPr>
      <w:spacing w:before="5600" w:line="240" w:lineRule="auto"/>
    </w:pPr>
    <w:rPr>
      <w:b/>
      <w:sz w:val="32"/>
    </w:rPr>
  </w:style>
  <w:style w:type="paragraph" w:customStyle="1" w:styleId="PageBreak">
    <w:name w:val="PageBreak"/>
    <w:aliases w:val="pb"/>
    <w:basedOn w:val="OPCParaBase"/>
    <w:rsid w:val="00CB63AD"/>
    <w:pPr>
      <w:spacing w:line="240" w:lineRule="auto"/>
    </w:pPr>
    <w:rPr>
      <w:sz w:val="20"/>
    </w:rPr>
  </w:style>
  <w:style w:type="paragraph" w:customStyle="1" w:styleId="paragraphsub">
    <w:name w:val="paragraph(sub)"/>
    <w:aliases w:val="aa"/>
    <w:basedOn w:val="OPCParaBase"/>
    <w:rsid w:val="00CB63AD"/>
    <w:pPr>
      <w:tabs>
        <w:tab w:val="right" w:pos="1985"/>
      </w:tabs>
      <w:spacing w:before="40" w:line="240" w:lineRule="auto"/>
      <w:ind w:left="2098" w:hanging="2098"/>
    </w:pPr>
  </w:style>
  <w:style w:type="paragraph" w:customStyle="1" w:styleId="paragraphsub-sub">
    <w:name w:val="paragraph(sub-sub)"/>
    <w:aliases w:val="aaa"/>
    <w:basedOn w:val="OPCParaBase"/>
    <w:rsid w:val="00CB63AD"/>
    <w:pPr>
      <w:tabs>
        <w:tab w:val="right" w:pos="2722"/>
      </w:tabs>
      <w:spacing w:before="40" w:line="240" w:lineRule="auto"/>
      <w:ind w:left="2835" w:hanging="2835"/>
    </w:pPr>
  </w:style>
  <w:style w:type="paragraph" w:customStyle="1" w:styleId="paragraph">
    <w:name w:val="paragraph"/>
    <w:aliases w:val="a"/>
    <w:basedOn w:val="OPCParaBase"/>
    <w:rsid w:val="00CB63AD"/>
    <w:pPr>
      <w:tabs>
        <w:tab w:val="right" w:pos="1531"/>
      </w:tabs>
      <w:spacing w:before="40" w:line="240" w:lineRule="auto"/>
      <w:ind w:left="1644" w:hanging="1644"/>
    </w:pPr>
  </w:style>
  <w:style w:type="paragraph" w:customStyle="1" w:styleId="ParlAmend">
    <w:name w:val="ParlAmend"/>
    <w:aliases w:val="pp"/>
    <w:basedOn w:val="OPCParaBase"/>
    <w:rsid w:val="00CB63AD"/>
    <w:pPr>
      <w:spacing w:before="240" w:line="240" w:lineRule="atLeast"/>
      <w:ind w:hanging="567"/>
    </w:pPr>
    <w:rPr>
      <w:sz w:val="24"/>
    </w:rPr>
  </w:style>
  <w:style w:type="paragraph" w:customStyle="1" w:styleId="Penalty">
    <w:name w:val="Penalty"/>
    <w:basedOn w:val="OPCParaBase"/>
    <w:rsid w:val="00CB63AD"/>
    <w:pPr>
      <w:tabs>
        <w:tab w:val="left" w:pos="2977"/>
      </w:tabs>
      <w:spacing w:before="180" w:line="240" w:lineRule="auto"/>
      <w:ind w:left="1985" w:hanging="851"/>
    </w:pPr>
  </w:style>
  <w:style w:type="paragraph" w:customStyle="1" w:styleId="Portfolio">
    <w:name w:val="Portfolio"/>
    <w:basedOn w:val="OPCParaBase"/>
    <w:rsid w:val="00CB63AD"/>
    <w:pPr>
      <w:spacing w:line="240" w:lineRule="auto"/>
    </w:pPr>
    <w:rPr>
      <w:i/>
      <w:sz w:val="20"/>
    </w:rPr>
  </w:style>
  <w:style w:type="paragraph" w:customStyle="1" w:styleId="Preamble">
    <w:name w:val="Preamble"/>
    <w:basedOn w:val="OPCParaBase"/>
    <w:next w:val="Normal"/>
    <w:rsid w:val="00CB63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63AD"/>
    <w:pPr>
      <w:spacing w:line="240" w:lineRule="auto"/>
    </w:pPr>
    <w:rPr>
      <w:i/>
      <w:sz w:val="20"/>
    </w:rPr>
  </w:style>
  <w:style w:type="paragraph" w:customStyle="1" w:styleId="Session">
    <w:name w:val="Session"/>
    <w:basedOn w:val="OPCParaBase"/>
    <w:rsid w:val="00CB63AD"/>
    <w:pPr>
      <w:spacing w:line="240" w:lineRule="auto"/>
    </w:pPr>
    <w:rPr>
      <w:sz w:val="28"/>
    </w:rPr>
  </w:style>
  <w:style w:type="paragraph" w:customStyle="1" w:styleId="Sponsor">
    <w:name w:val="Sponsor"/>
    <w:basedOn w:val="OPCParaBase"/>
    <w:rsid w:val="00CB63AD"/>
    <w:pPr>
      <w:spacing w:line="240" w:lineRule="auto"/>
    </w:pPr>
    <w:rPr>
      <w:i/>
    </w:rPr>
  </w:style>
  <w:style w:type="paragraph" w:customStyle="1" w:styleId="Subitem">
    <w:name w:val="Subitem"/>
    <w:aliases w:val="iss"/>
    <w:basedOn w:val="OPCParaBase"/>
    <w:rsid w:val="00CB63AD"/>
    <w:pPr>
      <w:spacing w:before="180" w:line="240" w:lineRule="auto"/>
      <w:ind w:left="709" w:hanging="709"/>
    </w:pPr>
  </w:style>
  <w:style w:type="paragraph" w:customStyle="1" w:styleId="SubitemHead">
    <w:name w:val="SubitemHead"/>
    <w:aliases w:val="issh"/>
    <w:basedOn w:val="OPCParaBase"/>
    <w:rsid w:val="00CB63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63AD"/>
    <w:pPr>
      <w:spacing w:before="40" w:line="240" w:lineRule="auto"/>
      <w:ind w:left="1134"/>
    </w:pPr>
  </w:style>
  <w:style w:type="paragraph" w:customStyle="1" w:styleId="SubsectionHead">
    <w:name w:val="SubsectionHead"/>
    <w:aliases w:val="ssh"/>
    <w:basedOn w:val="OPCParaBase"/>
    <w:next w:val="subsection"/>
    <w:rsid w:val="00CB63AD"/>
    <w:pPr>
      <w:keepNext/>
      <w:keepLines/>
      <w:spacing w:before="240" w:line="240" w:lineRule="auto"/>
      <w:ind w:left="1134"/>
    </w:pPr>
    <w:rPr>
      <w:i/>
    </w:rPr>
  </w:style>
  <w:style w:type="paragraph" w:customStyle="1" w:styleId="Tablea">
    <w:name w:val="Table(a)"/>
    <w:aliases w:val="ta"/>
    <w:basedOn w:val="OPCParaBase"/>
    <w:rsid w:val="00CB63AD"/>
    <w:pPr>
      <w:spacing w:before="60" w:line="240" w:lineRule="auto"/>
      <w:ind w:left="284" w:hanging="284"/>
    </w:pPr>
    <w:rPr>
      <w:sz w:val="20"/>
    </w:rPr>
  </w:style>
  <w:style w:type="paragraph" w:customStyle="1" w:styleId="TableAA">
    <w:name w:val="Table(AA)"/>
    <w:aliases w:val="taaa"/>
    <w:basedOn w:val="OPCParaBase"/>
    <w:rsid w:val="00CB63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63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63AD"/>
    <w:pPr>
      <w:spacing w:before="60" w:line="240" w:lineRule="atLeast"/>
    </w:pPr>
    <w:rPr>
      <w:sz w:val="20"/>
    </w:rPr>
  </w:style>
  <w:style w:type="paragraph" w:customStyle="1" w:styleId="TLPBoxTextnote">
    <w:name w:val="TLPBoxText(note"/>
    <w:aliases w:val="right)"/>
    <w:basedOn w:val="OPCParaBase"/>
    <w:rsid w:val="00CB63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63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63AD"/>
    <w:pPr>
      <w:spacing w:before="122" w:line="198" w:lineRule="exact"/>
      <w:ind w:left="1985" w:hanging="851"/>
      <w:jc w:val="right"/>
    </w:pPr>
    <w:rPr>
      <w:sz w:val="18"/>
    </w:rPr>
  </w:style>
  <w:style w:type="paragraph" w:customStyle="1" w:styleId="TLPTableBullet">
    <w:name w:val="TLPTableBullet"/>
    <w:aliases w:val="ttb"/>
    <w:basedOn w:val="OPCParaBase"/>
    <w:rsid w:val="00CB63AD"/>
    <w:pPr>
      <w:spacing w:line="240" w:lineRule="exact"/>
      <w:ind w:left="284" w:hanging="284"/>
    </w:pPr>
    <w:rPr>
      <w:sz w:val="20"/>
    </w:rPr>
  </w:style>
  <w:style w:type="paragraph" w:styleId="TOC1">
    <w:name w:val="toc 1"/>
    <w:basedOn w:val="Normal"/>
    <w:next w:val="Normal"/>
    <w:uiPriority w:val="39"/>
    <w:unhideWhenUsed/>
    <w:rsid w:val="00CB63A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63A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63A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63A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B63A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B63A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63A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63A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63A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63AD"/>
    <w:pPr>
      <w:keepLines/>
      <w:spacing w:before="240" w:after="120" w:line="240" w:lineRule="auto"/>
      <w:ind w:left="794"/>
    </w:pPr>
    <w:rPr>
      <w:b/>
      <w:kern w:val="28"/>
      <w:sz w:val="20"/>
    </w:rPr>
  </w:style>
  <w:style w:type="paragraph" w:customStyle="1" w:styleId="TofSectsHeading">
    <w:name w:val="TofSects(Heading)"/>
    <w:basedOn w:val="OPCParaBase"/>
    <w:rsid w:val="00CB63AD"/>
    <w:pPr>
      <w:spacing w:before="240" w:after="120" w:line="240" w:lineRule="auto"/>
    </w:pPr>
    <w:rPr>
      <w:b/>
      <w:sz w:val="24"/>
    </w:rPr>
  </w:style>
  <w:style w:type="paragraph" w:customStyle="1" w:styleId="TofSectsSection">
    <w:name w:val="TofSects(Section)"/>
    <w:basedOn w:val="OPCParaBase"/>
    <w:rsid w:val="00CB63AD"/>
    <w:pPr>
      <w:keepLines/>
      <w:spacing w:before="40" w:line="240" w:lineRule="auto"/>
      <w:ind w:left="1588" w:hanging="794"/>
    </w:pPr>
    <w:rPr>
      <w:kern w:val="28"/>
      <w:sz w:val="18"/>
    </w:rPr>
  </w:style>
  <w:style w:type="paragraph" w:customStyle="1" w:styleId="TofSectsSubdiv">
    <w:name w:val="TofSects(Subdiv)"/>
    <w:basedOn w:val="OPCParaBase"/>
    <w:rsid w:val="00CB63AD"/>
    <w:pPr>
      <w:keepLines/>
      <w:spacing w:before="80" w:line="240" w:lineRule="auto"/>
      <w:ind w:left="1588" w:hanging="794"/>
    </w:pPr>
    <w:rPr>
      <w:kern w:val="28"/>
    </w:rPr>
  </w:style>
  <w:style w:type="paragraph" w:customStyle="1" w:styleId="WRStyle">
    <w:name w:val="WR Style"/>
    <w:aliases w:val="WR"/>
    <w:basedOn w:val="OPCParaBase"/>
    <w:rsid w:val="00CB63AD"/>
    <w:pPr>
      <w:spacing w:before="240" w:line="240" w:lineRule="auto"/>
      <w:ind w:left="284" w:hanging="284"/>
    </w:pPr>
    <w:rPr>
      <w:b/>
      <w:i/>
      <w:kern w:val="28"/>
      <w:sz w:val="24"/>
    </w:rPr>
  </w:style>
  <w:style w:type="paragraph" w:customStyle="1" w:styleId="notepara">
    <w:name w:val="note(para)"/>
    <w:aliases w:val="na"/>
    <w:basedOn w:val="OPCParaBase"/>
    <w:rsid w:val="00CB63AD"/>
    <w:pPr>
      <w:spacing w:before="40" w:line="198" w:lineRule="exact"/>
      <w:ind w:left="2354" w:hanging="369"/>
    </w:pPr>
    <w:rPr>
      <w:sz w:val="18"/>
    </w:rPr>
  </w:style>
  <w:style w:type="paragraph" w:styleId="Footer">
    <w:name w:val="footer"/>
    <w:link w:val="FooterChar"/>
    <w:rsid w:val="00CB63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63AD"/>
    <w:rPr>
      <w:rFonts w:eastAsia="Times New Roman" w:cs="Times New Roman"/>
      <w:sz w:val="22"/>
      <w:szCs w:val="24"/>
      <w:lang w:eastAsia="en-AU"/>
    </w:rPr>
  </w:style>
  <w:style w:type="character" w:styleId="LineNumber">
    <w:name w:val="line number"/>
    <w:basedOn w:val="OPCCharBase"/>
    <w:uiPriority w:val="99"/>
    <w:unhideWhenUsed/>
    <w:rsid w:val="00CB63AD"/>
    <w:rPr>
      <w:sz w:val="16"/>
    </w:rPr>
  </w:style>
  <w:style w:type="table" w:customStyle="1" w:styleId="CFlag">
    <w:name w:val="CFlag"/>
    <w:basedOn w:val="TableNormal"/>
    <w:uiPriority w:val="99"/>
    <w:rsid w:val="00CB63AD"/>
    <w:rPr>
      <w:rFonts w:eastAsia="Times New Roman" w:cs="Times New Roman"/>
      <w:lang w:eastAsia="en-AU"/>
    </w:rPr>
    <w:tblPr/>
  </w:style>
  <w:style w:type="paragraph" w:styleId="BalloonText">
    <w:name w:val="Balloon Text"/>
    <w:basedOn w:val="Normal"/>
    <w:link w:val="BalloonTextChar"/>
    <w:uiPriority w:val="99"/>
    <w:unhideWhenUsed/>
    <w:rsid w:val="00CB63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63AD"/>
    <w:rPr>
      <w:rFonts w:ascii="Tahoma" w:hAnsi="Tahoma" w:cs="Tahoma"/>
      <w:sz w:val="16"/>
      <w:szCs w:val="16"/>
    </w:rPr>
  </w:style>
  <w:style w:type="table" w:styleId="TableGrid">
    <w:name w:val="Table Grid"/>
    <w:basedOn w:val="TableNormal"/>
    <w:uiPriority w:val="59"/>
    <w:rsid w:val="00CB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63AD"/>
    <w:rPr>
      <w:b/>
      <w:sz w:val="28"/>
      <w:szCs w:val="32"/>
    </w:rPr>
  </w:style>
  <w:style w:type="paragraph" w:customStyle="1" w:styleId="LegislationMadeUnder">
    <w:name w:val="LegislationMadeUnder"/>
    <w:basedOn w:val="OPCParaBase"/>
    <w:next w:val="Normal"/>
    <w:rsid w:val="00CB63AD"/>
    <w:rPr>
      <w:i/>
      <w:sz w:val="32"/>
      <w:szCs w:val="32"/>
    </w:rPr>
  </w:style>
  <w:style w:type="paragraph" w:customStyle="1" w:styleId="SignCoverPageEnd">
    <w:name w:val="SignCoverPageEnd"/>
    <w:basedOn w:val="OPCParaBase"/>
    <w:next w:val="Normal"/>
    <w:rsid w:val="00CB63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63AD"/>
    <w:pPr>
      <w:pBdr>
        <w:top w:val="single" w:sz="4" w:space="1" w:color="auto"/>
      </w:pBdr>
      <w:spacing w:before="360"/>
      <w:ind w:right="397"/>
      <w:jc w:val="both"/>
    </w:pPr>
  </w:style>
  <w:style w:type="paragraph" w:customStyle="1" w:styleId="NotesHeading1">
    <w:name w:val="NotesHeading 1"/>
    <w:basedOn w:val="OPCParaBase"/>
    <w:next w:val="Normal"/>
    <w:rsid w:val="00CB63AD"/>
    <w:rPr>
      <w:b/>
      <w:sz w:val="28"/>
      <w:szCs w:val="28"/>
    </w:rPr>
  </w:style>
  <w:style w:type="paragraph" w:customStyle="1" w:styleId="NotesHeading2">
    <w:name w:val="NotesHeading 2"/>
    <w:basedOn w:val="OPCParaBase"/>
    <w:next w:val="Normal"/>
    <w:rsid w:val="00CB63AD"/>
    <w:rPr>
      <w:b/>
      <w:sz w:val="28"/>
      <w:szCs w:val="28"/>
    </w:rPr>
  </w:style>
  <w:style w:type="paragraph" w:customStyle="1" w:styleId="CompiledActNo">
    <w:name w:val="CompiledActNo"/>
    <w:basedOn w:val="OPCParaBase"/>
    <w:next w:val="Normal"/>
    <w:rsid w:val="00CB63AD"/>
    <w:rPr>
      <w:b/>
      <w:sz w:val="24"/>
      <w:szCs w:val="24"/>
    </w:rPr>
  </w:style>
  <w:style w:type="paragraph" w:customStyle="1" w:styleId="ENotesText">
    <w:name w:val="ENotesText"/>
    <w:aliases w:val="Ent"/>
    <w:basedOn w:val="OPCParaBase"/>
    <w:next w:val="Normal"/>
    <w:rsid w:val="00CB63AD"/>
    <w:pPr>
      <w:spacing w:before="120"/>
    </w:pPr>
  </w:style>
  <w:style w:type="paragraph" w:customStyle="1" w:styleId="CompiledMadeUnder">
    <w:name w:val="CompiledMadeUnder"/>
    <w:basedOn w:val="OPCParaBase"/>
    <w:next w:val="Normal"/>
    <w:rsid w:val="00CB63AD"/>
    <w:rPr>
      <w:i/>
      <w:sz w:val="24"/>
      <w:szCs w:val="24"/>
    </w:rPr>
  </w:style>
  <w:style w:type="paragraph" w:customStyle="1" w:styleId="Paragraphsub-sub-sub">
    <w:name w:val="Paragraph(sub-sub-sub)"/>
    <w:aliases w:val="aaaa"/>
    <w:basedOn w:val="OPCParaBase"/>
    <w:rsid w:val="00CB63AD"/>
    <w:pPr>
      <w:tabs>
        <w:tab w:val="right" w:pos="3402"/>
      </w:tabs>
      <w:spacing w:before="40" w:line="240" w:lineRule="auto"/>
      <w:ind w:left="3402" w:hanging="3402"/>
    </w:pPr>
  </w:style>
  <w:style w:type="paragraph" w:customStyle="1" w:styleId="TableTextEndNotes">
    <w:name w:val="TableTextEndNotes"/>
    <w:aliases w:val="Tten"/>
    <w:basedOn w:val="Normal"/>
    <w:rsid w:val="00CB63AD"/>
    <w:pPr>
      <w:spacing w:before="60" w:line="240" w:lineRule="auto"/>
    </w:pPr>
    <w:rPr>
      <w:rFonts w:cs="Arial"/>
      <w:sz w:val="20"/>
      <w:szCs w:val="22"/>
    </w:rPr>
  </w:style>
  <w:style w:type="paragraph" w:customStyle="1" w:styleId="NoteToSubpara">
    <w:name w:val="NoteToSubpara"/>
    <w:aliases w:val="nts"/>
    <w:basedOn w:val="OPCParaBase"/>
    <w:rsid w:val="00CB63AD"/>
    <w:pPr>
      <w:spacing w:before="40" w:line="198" w:lineRule="exact"/>
      <w:ind w:left="2835" w:hanging="709"/>
    </w:pPr>
    <w:rPr>
      <w:sz w:val="18"/>
    </w:rPr>
  </w:style>
  <w:style w:type="paragraph" w:customStyle="1" w:styleId="ENoteTableHeading">
    <w:name w:val="ENoteTableHeading"/>
    <w:aliases w:val="enth"/>
    <w:basedOn w:val="OPCParaBase"/>
    <w:rsid w:val="00CB63AD"/>
    <w:pPr>
      <w:keepNext/>
      <w:spacing w:before="60" w:line="240" w:lineRule="atLeast"/>
    </w:pPr>
    <w:rPr>
      <w:rFonts w:ascii="Arial" w:hAnsi="Arial"/>
      <w:b/>
      <w:sz w:val="16"/>
    </w:rPr>
  </w:style>
  <w:style w:type="paragraph" w:customStyle="1" w:styleId="ENoteTTi">
    <w:name w:val="ENoteTTi"/>
    <w:aliases w:val="entti"/>
    <w:basedOn w:val="OPCParaBase"/>
    <w:rsid w:val="00CB63AD"/>
    <w:pPr>
      <w:keepNext/>
      <w:spacing w:before="60" w:line="240" w:lineRule="atLeast"/>
      <w:ind w:left="170"/>
    </w:pPr>
    <w:rPr>
      <w:sz w:val="16"/>
    </w:rPr>
  </w:style>
  <w:style w:type="paragraph" w:customStyle="1" w:styleId="ENotesHeading1">
    <w:name w:val="ENotesHeading 1"/>
    <w:aliases w:val="Enh1"/>
    <w:basedOn w:val="OPCParaBase"/>
    <w:next w:val="Normal"/>
    <w:rsid w:val="00CB63AD"/>
    <w:pPr>
      <w:spacing w:before="120"/>
      <w:outlineLvl w:val="1"/>
    </w:pPr>
    <w:rPr>
      <w:b/>
      <w:sz w:val="28"/>
      <w:szCs w:val="28"/>
    </w:rPr>
  </w:style>
  <w:style w:type="paragraph" w:customStyle="1" w:styleId="ENotesHeading2">
    <w:name w:val="ENotesHeading 2"/>
    <w:aliases w:val="Enh2"/>
    <w:basedOn w:val="OPCParaBase"/>
    <w:next w:val="Normal"/>
    <w:rsid w:val="00CB63AD"/>
    <w:pPr>
      <w:spacing w:before="120" w:after="120"/>
      <w:outlineLvl w:val="2"/>
    </w:pPr>
    <w:rPr>
      <w:b/>
      <w:sz w:val="24"/>
      <w:szCs w:val="28"/>
    </w:rPr>
  </w:style>
  <w:style w:type="paragraph" w:customStyle="1" w:styleId="ENoteTTIndentHeading">
    <w:name w:val="ENoteTTIndentHeading"/>
    <w:aliases w:val="enTTHi"/>
    <w:basedOn w:val="OPCParaBase"/>
    <w:rsid w:val="00CB63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63AD"/>
    <w:pPr>
      <w:spacing w:before="60" w:line="240" w:lineRule="atLeast"/>
    </w:pPr>
    <w:rPr>
      <w:sz w:val="16"/>
    </w:rPr>
  </w:style>
  <w:style w:type="paragraph" w:customStyle="1" w:styleId="MadeunderText">
    <w:name w:val="MadeunderText"/>
    <w:basedOn w:val="OPCParaBase"/>
    <w:next w:val="Normal"/>
    <w:rsid w:val="00CB63AD"/>
    <w:pPr>
      <w:spacing w:before="240"/>
    </w:pPr>
    <w:rPr>
      <w:sz w:val="24"/>
      <w:szCs w:val="24"/>
    </w:rPr>
  </w:style>
  <w:style w:type="paragraph" w:customStyle="1" w:styleId="ENotesHeading3">
    <w:name w:val="ENotesHeading 3"/>
    <w:aliases w:val="Enh3"/>
    <w:basedOn w:val="OPCParaBase"/>
    <w:next w:val="Normal"/>
    <w:rsid w:val="00CB63AD"/>
    <w:pPr>
      <w:keepNext/>
      <w:spacing w:before="120" w:line="240" w:lineRule="auto"/>
      <w:outlineLvl w:val="4"/>
    </w:pPr>
    <w:rPr>
      <w:b/>
      <w:szCs w:val="24"/>
    </w:rPr>
  </w:style>
  <w:style w:type="character" w:customStyle="1" w:styleId="CharSubPartTextCASA">
    <w:name w:val="CharSubPartText(CASA)"/>
    <w:basedOn w:val="OPCCharBase"/>
    <w:uiPriority w:val="1"/>
    <w:rsid w:val="00CB63AD"/>
  </w:style>
  <w:style w:type="character" w:customStyle="1" w:styleId="CharSubPartNoCASA">
    <w:name w:val="CharSubPartNo(CASA)"/>
    <w:basedOn w:val="OPCCharBase"/>
    <w:uiPriority w:val="1"/>
    <w:rsid w:val="00CB63AD"/>
  </w:style>
  <w:style w:type="paragraph" w:customStyle="1" w:styleId="ENoteTTIndentHeadingSub">
    <w:name w:val="ENoteTTIndentHeadingSub"/>
    <w:aliases w:val="enTTHis"/>
    <w:basedOn w:val="OPCParaBase"/>
    <w:rsid w:val="00CB63AD"/>
    <w:pPr>
      <w:keepNext/>
      <w:spacing w:before="60" w:line="240" w:lineRule="atLeast"/>
      <w:ind w:left="340"/>
    </w:pPr>
    <w:rPr>
      <w:b/>
      <w:sz w:val="16"/>
    </w:rPr>
  </w:style>
  <w:style w:type="paragraph" w:customStyle="1" w:styleId="ENoteTTiSub">
    <w:name w:val="ENoteTTiSub"/>
    <w:aliases w:val="enttis"/>
    <w:basedOn w:val="OPCParaBase"/>
    <w:rsid w:val="00CB63AD"/>
    <w:pPr>
      <w:keepNext/>
      <w:spacing w:before="60" w:line="240" w:lineRule="atLeast"/>
      <w:ind w:left="340"/>
    </w:pPr>
    <w:rPr>
      <w:sz w:val="16"/>
    </w:rPr>
  </w:style>
  <w:style w:type="paragraph" w:customStyle="1" w:styleId="SubDivisionMigration">
    <w:name w:val="SubDivisionMigration"/>
    <w:aliases w:val="sdm"/>
    <w:basedOn w:val="OPCParaBase"/>
    <w:rsid w:val="00CB63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63A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63AD"/>
    <w:pPr>
      <w:spacing w:before="122" w:line="240" w:lineRule="auto"/>
      <w:ind w:left="1985" w:hanging="851"/>
    </w:pPr>
    <w:rPr>
      <w:sz w:val="18"/>
    </w:rPr>
  </w:style>
  <w:style w:type="paragraph" w:customStyle="1" w:styleId="FreeForm">
    <w:name w:val="FreeForm"/>
    <w:rsid w:val="00CB63AD"/>
    <w:rPr>
      <w:rFonts w:ascii="Arial" w:hAnsi="Arial"/>
      <w:sz w:val="22"/>
    </w:rPr>
  </w:style>
  <w:style w:type="paragraph" w:customStyle="1" w:styleId="SOText">
    <w:name w:val="SO Text"/>
    <w:aliases w:val="sot"/>
    <w:link w:val="SOTextChar"/>
    <w:rsid w:val="00CB63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63AD"/>
    <w:rPr>
      <w:sz w:val="22"/>
    </w:rPr>
  </w:style>
  <w:style w:type="paragraph" w:customStyle="1" w:styleId="SOTextNote">
    <w:name w:val="SO TextNote"/>
    <w:aliases w:val="sont"/>
    <w:basedOn w:val="SOText"/>
    <w:qFormat/>
    <w:rsid w:val="00CB63AD"/>
    <w:pPr>
      <w:spacing w:before="122" w:line="198" w:lineRule="exact"/>
      <w:ind w:left="1843" w:hanging="709"/>
    </w:pPr>
    <w:rPr>
      <w:sz w:val="18"/>
    </w:rPr>
  </w:style>
  <w:style w:type="paragraph" w:customStyle="1" w:styleId="SOPara">
    <w:name w:val="SO Para"/>
    <w:aliases w:val="soa"/>
    <w:basedOn w:val="SOText"/>
    <w:link w:val="SOParaChar"/>
    <w:qFormat/>
    <w:rsid w:val="00CB63AD"/>
    <w:pPr>
      <w:tabs>
        <w:tab w:val="right" w:pos="1786"/>
      </w:tabs>
      <w:spacing w:before="40"/>
      <w:ind w:left="2070" w:hanging="936"/>
    </w:pPr>
  </w:style>
  <w:style w:type="character" w:customStyle="1" w:styleId="SOParaChar">
    <w:name w:val="SO Para Char"/>
    <w:aliases w:val="soa Char"/>
    <w:basedOn w:val="DefaultParagraphFont"/>
    <w:link w:val="SOPara"/>
    <w:rsid w:val="00CB63AD"/>
    <w:rPr>
      <w:sz w:val="22"/>
    </w:rPr>
  </w:style>
  <w:style w:type="paragraph" w:customStyle="1" w:styleId="FileName">
    <w:name w:val="FileName"/>
    <w:basedOn w:val="Normal"/>
    <w:rsid w:val="00CB63AD"/>
  </w:style>
  <w:style w:type="paragraph" w:customStyle="1" w:styleId="TableHeading">
    <w:name w:val="TableHeading"/>
    <w:aliases w:val="th"/>
    <w:basedOn w:val="OPCParaBase"/>
    <w:next w:val="Tabletext"/>
    <w:rsid w:val="00CB63AD"/>
    <w:pPr>
      <w:keepNext/>
      <w:spacing w:before="60" w:line="240" w:lineRule="atLeast"/>
    </w:pPr>
    <w:rPr>
      <w:b/>
      <w:sz w:val="20"/>
    </w:rPr>
  </w:style>
  <w:style w:type="paragraph" w:customStyle="1" w:styleId="SOHeadBold">
    <w:name w:val="SO HeadBold"/>
    <w:aliases w:val="sohb"/>
    <w:basedOn w:val="SOText"/>
    <w:next w:val="SOText"/>
    <w:link w:val="SOHeadBoldChar"/>
    <w:qFormat/>
    <w:rsid w:val="00CB63AD"/>
    <w:rPr>
      <w:b/>
    </w:rPr>
  </w:style>
  <w:style w:type="character" w:customStyle="1" w:styleId="SOHeadBoldChar">
    <w:name w:val="SO HeadBold Char"/>
    <w:aliases w:val="sohb Char"/>
    <w:basedOn w:val="DefaultParagraphFont"/>
    <w:link w:val="SOHeadBold"/>
    <w:rsid w:val="00CB63AD"/>
    <w:rPr>
      <w:b/>
      <w:sz w:val="22"/>
    </w:rPr>
  </w:style>
  <w:style w:type="paragraph" w:customStyle="1" w:styleId="SOHeadItalic">
    <w:name w:val="SO HeadItalic"/>
    <w:aliases w:val="sohi"/>
    <w:basedOn w:val="SOText"/>
    <w:next w:val="SOText"/>
    <w:link w:val="SOHeadItalicChar"/>
    <w:qFormat/>
    <w:rsid w:val="00CB63AD"/>
    <w:rPr>
      <w:i/>
    </w:rPr>
  </w:style>
  <w:style w:type="character" w:customStyle="1" w:styleId="SOHeadItalicChar">
    <w:name w:val="SO HeadItalic Char"/>
    <w:aliases w:val="sohi Char"/>
    <w:basedOn w:val="DefaultParagraphFont"/>
    <w:link w:val="SOHeadItalic"/>
    <w:rsid w:val="00CB63AD"/>
    <w:rPr>
      <w:i/>
      <w:sz w:val="22"/>
    </w:rPr>
  </w:style>
  <w:style w:type="paragraph" w:customStyle="1" w:styleId="SOBullet">
    <w:name w:val="SO Bullet"/>
    <w:aliases w:val="sotb"/>
    <w:basedOn w:val="SOText"/>
    <w:link w:val="SOBulletChar"/>
    <w:qFormat/>
    <w:rsid w:val="00CB63AD"/>
    <w:pPr>
      <w:ind w:left="1559" w:hanging="425"/>
    </w:pPr>
  </w:style>
  <w:style w:type="character" w:customStyle="1" w:styleId="SOBulletChar">
    <w:name w:val="SO Bullet Char"/>
    <w:aliases w:val="sotb Char"/>
    <w:basedOn w:val="DefaultParagraphFont"/>
    <w:link w:val="SOBullet"/>
    <w:rsid w:val="00CB63AD"/>
    <w:rPr>
      <w:sz w:val="22"/>
    </w:rPr>
  </w:style>
  <w:style w:type="paragraph" w:customStyle="1" w:styleId="SOBulletNote">
    <w:name w:val="SO BulletNote"/>
    <w:aliases w:val="sonb"/>
    <w:basedOn w:val="SOTextNote"/>
    <w:link w:val="SOBulletNoteChar"/>
    <w:qFormat/>
    <w:rsid w:val="00CB63AD"/>
    <w:pPr>
      <w:tabs>
        <w:tab w:val="left" w:pos="1560"/>
      </w:tabs>
      <w:ind w:left="2268" w:hanging="1134"/>
    </w:pPr>
  </w:style>
  <w:style w:type="character" w:customStyle="1" w:styleId="SOBulletNoteChar">
    <w:name w:val="SO BulletNote Char"/>
    <w:aliases w:val="sonb Char"/>
    <w:basedOn w:val="DefaultParagraphFont"/>
    <w:link w:val="SOBulletNote"/>
    <w:rsid w:val="00CB63AD"/>
    <w:rPr>
      <w:sz w:val="18"/>
    </w:rPr>
  </w:style>
  <w:style w:type="paragraph" w:customStyle="1" w:styleId="SOText2">
    <w:name w:val="SO Text2"/>
    <w:aliases w:val="sot2"/>
    <w:basedOn w:val="Normal"/>
    <w:next w:val="SOText"/>
    <w:link w:val="SOText2Char"/>
    <w:rsid w:val="00CB63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63AD"/>
    <w:rPr>
      <w:sz w:val="22"/>
    </w:rPr>
  </w:style>
  <w:style w:type="paragraph" w:customStyle="1" w:styleId="SubPartCASA">
    <w:name w:val="SubPart(CASA)"/>
    <w:aliases w:val="csp"/>
    <w:basedOn w:val="OPCParaBase"/>
    <w:next w:val="ActHead3"/>
    <w:rsid w:val="00CB63A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63AD"/>
    <w:rPr>
      <w:rFonts w:eastAsia="Times New Roman" w:cs="Times New Roman"/>
      <w:sz w:val="22"/>
      <w:lang w:eastAsia="en-AU"/>
    </w:rPr>
  </w:style>
  <w:style w:type="character" w:customStyle="1" w:styleId="notetextChar">
    <w:name w:val="note(text) Char"/>
    <w:aliases w:val="n Char"/>
    <w:basedOn w:val="DefaultParagraphFont"/>
    <w:link w:val="notetext"/>
    <w:rsid w:val="00CB63AD"/>
    <w:rPr>
      <w:rFonts w:eastAsia="Times New Roman" w:cs="Times New Roman"/>
      <w:sz w:val="18"/>
      <w:lang w:eastAsia="en-AU"/>
    </w:rPr>
  </w:style>
  <w:style w:type="character" w:customStyle="1" w:styleId="Heading1Char">
    <w:name w:val="Heading 1 Char"/>
    <w:basedOn w:val="DefaultParagraphFont"/>
    <w:link w:val="Heading1"/>
    <w:uiPriority w:val="9"/>
    <w:rsid w:val="00CB6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6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3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63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63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63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63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63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63A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B63AD"/>
    <w:rPr>
      <w:rFonts w:ascii="Arial" w:hAnsi="Arial" w:cs="Arial" w:hint="default"/>
      <w:b/>
      <w:bCs/>
      <w:sz w:val="28"/>
      <w:szCs w:val="28"/>
    </w:rPr>
  </w:style>
  <w:style w:type="paragraph" w:styleId="Index1">
    <w:name w:val="index 1"/>
    <w:basedOn w:val="Normal"/>
    <w:next w:val="Normal"/>
    <w:autoRedefine/>
    <w:rsid w:val="00CB63AD"/>
    <w:pPr>
      <w:ind w:left="240" w:hanging="240"/>
    </w:pPr>
  </w:style>
  <w:style w:type="paragraph" w:styleId="Index2">
    <w:name w:val="index 2"/>
    <w:basedOn w:val="Normal"/>
    <w:next w:val="Normal"/>
    <w:autoRedefine/>
    <w:rsid w:val="00CB63AD"/>
    <w:pPr>
      <w:ind w:left="480" w:hanging="240"/>
    </w:pPr>
  </w:style>
  <w:style w:type="paragraph" w:styleId="Index3">
    <w:name w:val="index 3"/>
    <w:basedOn w:val="Normal"/>
    <w:next w:val="Normal"/>
    <w:autoRedefine/>
    <w:rsid w:val="00CB63AD"/>
    <w:pPr>
      <w:ind w:left="720" w:hanging="240"/>
    </w:pPr>
  </w:style>
  <w:style w:type="paragraph" w:styleId="Index4">
    <w:name w:val="index 4"/>
    <w:basedOn w:val="Normal"/>
    <w:next w:val="Normal"/>
    <w:autoRedefine/>
    <w:rsid w:val="00CB63AD"/>
    <w:pPr>
      <w:ind w:left="960" w:hanging="240"/>
    </w:pPr>
  </w:style>
  <w:style w:type="paragraph" w:styleId="Index5">
    <w:name w:val="index 5"/>
    <w:basedOn w:val="Normal"/>
    <w:next w:val="Normal"/>
    <w:autoRedefine/>
    <w:rsid w:val="00CB63AD"/>
    <w:pPr>
      <w:ind w:left="1200" w:hanging="240"/>
    </w:pPr>
  </w:style>
  <w:style w:type="paragraph" w:styleId="Index6">
    <w:name w:val="index 6"/>
    <w:basedOn w:val="Normal"/>
    <w:next w:val="Normal"/>
    <w:autoRedefine/>
    <w:rsid w:val="00CB63AD"/>
    <w:pPr>
      <w:ind w:left="1440" w:hanging="240"/>
    </w:pPr>
  </w:style>
  <w:style w:type="paragraph" w:styleId="Index7">
    <w:name w:val="index 7"/>
    <w:basedOn w:val="Normal"/>
    <w:next w:val="Normal"/>
    <w:autoRedefine/>
    <w:rsid w:val="00CB63AD"/>
    <w:pPr>
      <w:ind w:left="1680" w:hanging="240"/>
    </w:pPr>
  </w:style>
  <w:style w:type="paragraph" w:styleId="Index8">
    <w:name w:val="index 8"/>
    <w:basedOn w:val="Normal"/>
    <w:next w:val="Normal"/>
    <w:autoRedefine/>
    <w:rsid w:val="00CB63AD"/>
    <w:pPr>
      <w:ind w:left="1920" w:hanging="240"/>
    </w:pPr>
  </w:style>
  <w:style w:type="paragraph" w:styleId="Index9">
    <w:name w:val="index 9"/>
    <w:basedOn w:val="Normal"/>
    <w:next w:val="Normal"/>
    <w:autoRedefine/>
    <w:rsid w:val="00CB63AD"/>
    <w:pPr>
      <w:ind w:left="2160" w:hanging="240"/>
    </w:pPr>
  </w:style>
  <w:style w:type="paragraph" w:styleId="NormalIndent">
    <w:name w:val="Normal Indent"/>
    <w:basedOn w:val="Normal"/>
    <w:rsid w:val="00CB63AD"/>
    <w:pPr>
      <w:ind w:left="720"/>
    </w:pPr>
  </w:style>
  <w:style w:type="paragraph" w:styleId="FootnoteText">
    <w:name w:val="footnote text"/>
    <w:basedOn w:val="Normal"/>
    <w:link w:val="FootnoteTextChar"/>
    <w:rsid w:val="00CB63AD"/>
    <w:rPr>
      <w:sz w:val="20"/>
    </w:rPr>
  </w:style>
  <w:style w:type="character" w:customStyle="1" w:styleId="FootnoteTextChar">
    <w:name w:val="Footnote Text Char"/>
    <w:basedOn w:val="DefaultParagraphFont"/>
    <w:link w:val="FootnoteText"/>
    <w:rsid w:val="00CB63AD"/>
  </w:style>
  <w:style w:type="paragraph" w:styleId="CommentText">
    <w:name w:val="annotation text"/>
    <w:basedOn w:val="Normal"/>
    <w:link w:val="CommentTextChar"/>
    <w:rsid w:val="00CB63AD"/>
    <w:rPr>
      <w:sz w:val="20"/>
    </w:rPr>
  </w:style>
  <w:style w:type="character" w:customStyle="1" w:styleId="CommentTextChar">
    <w:name w:val="Comment Text Char"/>
    <w:basedOn w:val="DefaultParagraphFont"/>
    <w:link w:val="CommentText"/>
    <w:rsid w:val="00CB63AD"/>
  </w:style>
  <w:style w:type="paragraph" w:styleId="IndexHeading">
    <w:name w:val="index heading"/>
    <w:basedOn w:val="Normal"/>
    <w:next w:val="Index1"/>
    <w:rsid w:val="00CB63AD"/>
    <w:rPr>
      <w:rFonts w:ascii="Arial" w:hAnsi="Arial" w:cs="Arial"/>
      <w:b/>
      <w:bCs/>
    </w:rPr>
  </w:style>
  <w:style w:type="paragraph" w:styleId="Caption">
    <w:name w:val="caption"/>
    <w:basedOn w:val="Normal"/>
    <w:next w:val="Normal"/>
    <w:qFormat/>
    <w:rsid w:val="00CB63AD"/>
    <w:pPr>
      <w:spacing w:before="120" w:after="120"/>
    </w:pPr>
    <w:rPr>
      <w:b/>
      <w:bCs/>
      <w:sz w:val="20"/>
    </w:rPr>
  </w:style>
  <w:style w:type="paragraph" w:styleId="TableofFigures">
    <w:name w:val="table of figures"/>
    <w:basedOn w:val="Normal"/>
    <w:next w:val="Normal"/>
    <w:rsid w:val="00CB63AD"/>
    <w:pPr>
      <w:ind w:left="480" w:hanging="480"/>
    </w:pPr>
  </w:style>
  <w:style w:type="paragraph" w:styleId="EnvelopeAddress">
    <w:name w:val="envelope address"/>
    <w:basedOn w:val="Normal"/>
    <w:rsid w:val="00CB63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63AD"/>
    <w:rPr>
      <w:rFonts w:ascii="Arial" w:hAnsi="Arial" w:cs="Arial"/>
      <w:sz w:val="20"/>
    </w:rPr>
  </w:style>
  <w:style w:type="character" w:styleId="FootnoteReference">
    <w:name w:val="footnote reference"/>
    <w:basedOn w:val="DefaultParagraphFont"/>
    <w:rsid w:val="00CB63AD"/>
    <w:rPr>
      <w:rFonts w:ascii="Times New Roman" w:hAnsi="Times New Roman"/>
      <w:sz w:val="20"/>
      <w:vertAlign w:val="superscript"/>
    </w:rPr>
  </w:style>
  <w:style w:type="character" w:styleId="CommentReference">
    <w:name w:val="annotation reference"/>
    <w:basedOn w:val="DefaultParagraphFont"/>
    <w:rsid w:val="00CB63AD"/>
    <w:rPr>
      <w:sz w:val="16"/>
      <w:szCs w:val="16"/>
    </w:rPr>
  </w:style>
  <w:style w:type="character" w:styleId="PageNumber">
    <w:name w:val="page number"/>
    <w:basedOn w:val="DefaultParagraphFont"/>
    <w:rsid w:val="00CB63AD"/>
  </w:style>
  <w:style w:type="character" w:styleId="EndnoteReference">
    <w:name w:val="endnote reference"/>
    <w:basedOn w:val="DefaultParagraphFont"/>
    <w:rsid w:val="00CB63AD"/>
    <w:rPr>
      <w:vertAlign w:val="superscript"/>
    </w:rPr>
  </w:style>
  <w:style w:type="paragraph" w:styleId="EndnoteText">
    <w:name w:val="endnote text"/>
    <w:basedOn w:val="Normal"/>
    <w:link w:val="EndnoteTextChar"/>
    <w:rsid w:val="00CB63AD"/>
    <w:rPr>
      <w:sz w:val="20"/>
    </w:rPr>
  </w:style>
  <w:style w:type="character" w:customStyle="1" w:styleId="EndnoteTextChar">
    <w:name w:val="Endnote Text Char"/>
    <w:basedOn w:val="DefaultParagraphFont"/>
    <w:link w:val="EndnoteText"/>
    <w:rsid w:val="00CB63AD"/>
  </w:style>
  <w:style w:type="paragraph" w:styleId="TableofAuthorities">
    <w:name w:val="table of authorities"/>
    <w:basedOn w:val="Normal"/>
    <w:next w:val="Normal"/>
    <w:rsid w:val="00CB63AD"/>
    <w:pPr>
      <w:ind w:left="240" w:hanging="240"/>
    </w:pPr>
  </w:style>
  <w:style w:type="paragraph" w:styleId="MacroText">
    <w:name w:val="macro"/>
    <w:link w:val="MacroTextChar"/>
    <w:rsid w:val="00CB63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63AD"/>
    <w:rPr>
      <w:rFonts w:ascii="Courier New" w:eastAsia="Times New Roman" w:hAnsi="Courier New" w:cs="Courier New"/>
      <w:lang w:eastAsia="en-AU"/>
    </w:rPr>
  </w:style>
  <w:style w:type="paragraph" w:styleId="TOAHeading">
    <w:name w:val="toa heading"/>
    <w:basedOn w:val="Normal"/>
    <w:next w:val="Normal"/>
    <w:rsid w:val="00CB63AD"/>
    <w:pPr>
      <w:spacing w:before="120"/>
    </w:pPr>
    <w:rPr>
      <w:rFonts w:ascii="Arial" w:hAnsi="Arial" w:cs="Arial"/>
      <w:b/>
      <w:bCs/>
    </w:rPr>
  </w:style>
  <w:style w:type="paragraph" w:styleId="List">
    <w:name w:val="List"/>
    <w:basedOn w:val="Normal"/>
    <w:rsid w:val="00CB63AD"/>
    <w:pPr>
      <w:ind w:left="283" w:hanging="283"/>
    </w:pPr>
  </w:style>
  <w:style w:type="paragraph" w:styleId="ListBullet">
    <w:name w:val="List Bullet"/>
    <w:basedOn w:val="Normal"/>
    <w:autoRedefine/>
    <w:rsid w:val="00CB63AD"/>
    <w:pPr>
      <w:tabs>
        <w:tab w:val="num" w:pos="360"/>
      </w:tabs>
      <w:ind w:left="360" w:hanging="360"/>
    </w:pPr>
  </w:style>
  <w:style w:type="paragraph" w:styleId="ListNumber">
    <w:name w:val="List Number"/>
    <w:basedOn w:val="Normal"/>
    <w:rsid w:val="00CB63AD"/>
    <w:pPr>
      <w:tabs>
        <w:tab w:val="num" w:pos="360"/>
      </w:tabs>
      <w:ind w:left="360" w:hanging="360"/>
    </w:pPr>
  </w:style>
  <w:style w:type="paragraph" w:styleId="List2">
    <w:name w:val="List 2"/>
    <w:basedOn w:val="Normal"/>
    <w:rsid w:val="00CB63AD"/>
    <w:pPr>
      <w:ind w:left="566" w:hanging="283"/>
    </w:pPr>
  </w:style>
  <w:style w:type="paragraph" w:styleId="List3">
    <w:name w:val="List 3"/>
    <w:basedOn w:val="Normal"/>
    <w:rsid w:val="00CB63AD"/>
    <w:pPr>
      <w:ind w:left="849" w:hanging="283"/>
    </w:pPr>
  </w:style>
  <w:style w:type="paragraph" w:styleId="List4">
    <w:name w:val="List 4"/>
    <w:basedOn w:val="Normal"/>
    <w:rsid w:val="00CB63AD"/>
    <w:pPr>
      <w:ind w:left="1132" w:hanging="283"/>
    </w:pPr>
  </w:style>
  <w:style w:type="paragraph" w:styleId="List5">
    <w:name w:val="List 5"/>
    <w:basedOn w:val="Normal"/>
    <w:rsid w:val="00CB63AD"/>
    <w:pPr>
      <w:ind w:left="1415" w:hanging="283"/>
    </w:pPr>
  </w:style>
  <w:style w:type="paragraph" w:styleId="ListBullet2">
    <w:name w:val="List Bullet 2"/>
    <w:basedOn w:val="Normal"/>
    <w:autoRedefine/>
    <w:rsid w:val="00CB63AD"/>
    <w:pPr>
      <w:tabs>
        <w:tab w:val="num" w:pos="360"/>
      </w:tabs>
    </w:pPr>
  </w:style>
  <w:style w:type="paragraph" w:styleId="ListBullet3">
    <w:name w:val="List Bullet 3"/>
    <w:basedOn w:val="Normal"/>
    <w:autoRedefine/>
    <w:rsid w:val="00CB63AD"/>
    <w:pPr>
      <w:tabs>
        <w:tab w:val="num" w:pos="926"/>
      </w:tabs>
      <w:ind w:left="926" w:hanging="360"/>
    </w:pPr>
  </w:style>
  <w:style w:type="paragraph" w:styleId="ListBullet4">
    <w:name w:val="List Bullet 4"/>
    <w:basedOn w:val="Normal"/>
    <w:autoRedefine/>
    <w:rsid w:val="00CB63AD"/>
    <w:pPr>
      <w:tabs>
        <w:tab w:val="num" w:pos="1209"/>
      </w:tabs>
      <w:ind w:left="1209" w:hanging="360"/>
    </w:pPr>
  </w:style>
  <w:style w:type="paragraph" w:styleId="ListBullet5">
    <w:name w:val="List Bullet 5"/>
    <w:basedOn w:val="Normal"/>
    <w:autoRedefine/>
    <w:rsid w:val="00CB63AD"/>
    <w:pPr>
      <w:tabs>
        <w:tab w:val="num" w:pos="1492"/>
      </w:tabs>
      <w:ind w:left="1492" w:hanging="360"/>
    </w:pPr>
  </w:style>
  <w:style w:type="paragraph" w:styleId="ListNumber2">
    <w:name w:val="List Number 2"/>
    <w:basedOn w:val="Normal"/>
    <w:rsid w:val="00CB63AD"/>
    <w:pPr>
      <w:tabs>
        <w:tab w:val="num" w:pos="643"/>
      </w:tabs>
      <w:ind w:left="643" w:hanging="360"/>
    </w:pPr>
  </w:style>
  <w:style w:type="paragraph" w:styleId="ListNumber3">
    <w:name w:val="List Number 3"/>
    <w:basedOn w:val="Normal"/>
    <w:rsid w:val="00CB63AD"/>
    <w:pPr>
      <w:tabs>
        <w:tab w:val="num" w:pos="926"/>
      </w:tabs>
      <w:ind w:left="926" w:hanging="360"/>
    </w:pPr>
  </w:style>
  <w:style w:type="paragraph" w:styleId="ListNumber4">
    <w:name w:val="List Number 4"/>
    <w:basedOn w:val="Normal"/>
    <w:rsid w:val="00CB63AD"/>
    <w:pPr>
      <w:tabs>
        <w:tab w:val="num" w:pos="1209"/>
      </w:tabs>
      <w:ind w:left="1209" w:hanging="360"/>
    </w:pPr>
  </w:style>
  <w:style w:type="paragraph" w:styleId="ListNumber5">
    <w:name w:val="List Number 5"/>
    <w:basedOn w:val="Normal"/>
    <w:rsid w:val="00CB63AD"/>
    <w:pPr>
      <w:tabs>
        <w:tab w:val="num" w:pos="1492"/>
      </w:tabs>
      <w:ind w:left="1492" w:hanging="360"/>
    </w:pPr>
  </w:style>
  <w:style w:type="paragraph" w:styleId="Title">
    <w:name w:val="Title"/>
    <w:basedOn w:val="Normal"/>
    <w:link w:val="TitleChar"/>
    <w:qFormat/>
    <w:rsid w:val="00CB63AD"/>
    <w:pPr>
      <w:spacing w:before="240" w:after="60"/>
    </w:pPr>
    <w:rPr>
      <w:rFonts w:ascii="Arial" w:hAnsi="Arial" w:cs="Arial"/>
      <w:b/>
      <w:bCs/>
      <w:sz w:val="40"/>
      <w:szCs w:val="40"/>
    </w:rPr>
  </w:style>
  <w:style w:type="character" w:customStyle="1" w:styleId="TitleChar">
    <w:name w:val="Title Char"/>
    <w:basedOn w:val="DefaultParagraphFont"/>
    <w:link w:val="Title"/>
    <w:rsid w:val="00CB63AD"/>
    <w:rPr>
      <w:rFonts w:ascii="Arial" w:hAnsi="Arial" w:cs="Arial"/>
      <w:b/>
      <w:bCs/>
      <w:sz w:val="40"/>
      <w:szCs w:val="40"/>
    </w:rPr>
  </w:style>
  <w:style w:type="paragraph" w:styleId="Closing">
    <w:name w:val="Closing"/>
    <w:basedOn w:val="Normal"/>
    <w:link w:val="ClosingChar"/>
    <w:rsid w:val="00CB63AD"/>
    <w:pPr>
      <w:ind w:left="4252"/>
    </w:pPr>
  </w:style>
  <w:style w:type="character" w:customStyle="1" w:styleId="ClosingChar">
    <w:name w:val="Closing Char"/>
    <w:basedOn w:val="DefaultParagraphFont"/>
    <w:link w:val="Closing"/>
    <w:rsid w:val="00CB63AD"/>
    <w:rPr>
      <w:sz w:val="22"/>
    </w:rPr>
  </w:style>
  <w:style w:type="paragraph" w:styleId="Signature">
    <w:name w:val="Signature"/>
    <w:basedOn w:val="Normal"/>
    <w:link w:val="SignatureChar"/>
    <w:rsid w:val="00CB63AD"/>
    <w:pPr>
      <w:ind w:left="4252"/>
    </w:pPr>
  </w:style>
  <w:style w:type="character" w:customStyle="1" w:styleId="SignatureChar">
    <w:name w:val="Signature Char"/>
    <w:basedOn w:val="DefaultParagraphFont"/>
    <w:link w:val="Signature"/>
    <w:rsid w:val="00CB63AD"/>
    <w:rPr>
      <w:sz w:val="22"/>
    </w:rPr>
  </w:style>
  <w:style w:type="paragraph" w:styleId="BodyText">
    <w:name w:val="Body Text"/>
    <w:basedOn w:val="Normal"/>
    <w:link w:val="BodyTextChar"/>
    <w:rsid w:val="00CB63AD"/>
    <w:pPr>
      <w:spacing w:after="120"/>
    </w:pPr>
  </w:style>
  <w:style w:type="character" w:customStyle="1" w:styleId="BodyTextChar">
    <w:name w:val="Body Text Char"/>
    <w:basedOn w:val="DefaultParagraphFont"/>
    <w:link w:val="BodyText"/>
    <w:rsid w:val="00CB63AD"/>
    <w:rPr>
      <w:sz w:val="22"/>
    </w:rPr>
  </w:style>
  <w:style w:type="paragraph" w:styleId="BodyTextIndent">
    <w:name w:val="Body Text Indent"/>
    <w:basedOn w:val="Normal"/>
    <w:link w:val="BodyTextIndentChar"/>
    <w:rsid w:val="00CB63AD"/>
    <w:pPr>
      <w:spacing w:after="120"/>
      <w:ind w:left="283"/>
    </w:pPr>
  </w:style>
  <w:style w:type="character" w:customStyle="1" w:styleId="BodyTextIndentChar">
    <w:name w:val="Body Text Indent Char"/>
    <w:basedOn w:val="DefaultParagraphFont"/>
    <w:link w:val="BodyTextIndent"/>
    <w:rsid w:val="00CB63AD"/>
    <w:rPr>
      <w:sz w:val="22"/>
    </w:rPr>
  </w:style>
  <w:style w:type="paragraph" w:styleId="ListContinue">
    <w:name w:val="List Continue"/>
    <w:basedOn w:val="Normal"/>
    <w:rsid w:val="00CB63AD"/>
    <w:pPr>
      <w:spacing w:after="120"/>
      <w:ind w:left="283"/>
    </w:pPr>
  </w:style>
  <w:style w:type="paragraph" w:styleId="ListContinue2">
    <w:name w:val="List Continue 2"/>
    <w:basedOn w:val="Normal"/>
    <w:rsid w:val="00CB63AD"/>
    <w:pPr>
      <w:spacing w:after="120"/>
      <w:ind w:left="566"/>
    </w:pPr>
  </w:style>
  <w:style w:type="paragraph" w:styleId="ListContinue3">
    <w:name w:val="List Continue 3"/>
    <w:basedOn w:val="Normal"/>
    <w:rsid w:val="00CB63AD"/>
    <w:pPr>
      <w:spacing w:after="120"/>
      <w:ind w:left="849"/>
    </w:pPr>
  </w:style>
  <w:style w:type="paragraph" w:styleId="ListContinue4">
    <w:name w:val="List Continue 4"/>
    <w:basedOn w:val="Normal"/>
    <w:rsid w:val="00CB63AD"/>
    <w:pPr>
      <w:spacing w:after="120"/>
      <w:ind w:left="1132"/>
    </w:pPr>
  </w:style>
  <w:style w:type="paragraph" w:styleId="ListContinue5">
    <w:name w:val="List Continue 5"/>
    <w:basedOn w:val="Normal"/>
    <w:rsid w:val="00CB63AD"/>
    <w:pPr>
      <w:spacing w:after="120"/>
      <w:ind w:left="1415"/>
    </w:pPr>
  </w:style>
  <w:style w:type="paragraph" w:styleId="MessageHeader">
    <w:name w:val="Message Header"/>
    <w:basedOn w:val="Normal"/>
    <w:link w:val="MessageHeaderChar"/>
    <w:rsid w:val="00CB63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63AD"/>
    <w:rPr>
      <w:rFonts w:ascii="Arial" w:hAnsi="Arial" w:cs="Arial"/>
      <w:sz w:val="22"/>
      <w:shd w:val="pct20" w:color="auto" w:fill="auto"/>
    </w:rPr>
  </w:style>
  <w:style w:type="paragraph" w:styleId="Subtitle">
    <w:name w:val="Subtitle"/>
    <w:basedOn w:val="Normal"/>
    <w:link w:val="SubtitleChar"/>
    <w:qFormat/>
    <w:rsid w:val="00CB63AD"/>
    <w:pPr>
      <w:spacing w:after="60"/>
      <w:jc w:val="center"/>
      <w:outlineLvl w:val="1"/>
    </w:pPr>
    <w:rPr>
      <w:rFonts w:ascii="Arial" w:hAnsi="Arial" w:cs="Arial"/>
    </w:rPr>
  </w:style>
  <w:style w:type="character" w:customStyle="1" w:styleId="SubtitleChar">
    <w:name w:val="Subtitle Char"/>
    <w:basedOn w:val="DefaultParagraphFont"/>
    <w:link w:val="Subtitle"/>
    <w:rsid w:val="00CB63AD"/>
    <w:rPr>
      <w:rFonts w:ascii="Arial" w:hAnsi="Arial" w:cs="Arial"/>
      <w:sz w:val="22"/>
    </w:rPr>
  </w:style>
  <w:style w:type="paragraph" w:styleId="Salutation">
    <w:name w:val="Salutation"/>
    <w:basedOn w:val="Normal"/>
    <w:next w:val="Normal"/>
    <w:link w:val="SalutationChar"/>
    <w:rsid w:val="00CB63AD"/>
  </w:style>
  <w:style w:type="character" w:customStyle="1" w:styleId="SalutationChar">
    <w:name w:val="Salutation Char"/>
    <w:basedOn w:val="DefaultParagraphFont"/>
    <w:link w:val="Salutation"/>
    <w:rsid w:val="00CB63AD"/>
    <w:rPr>
      <w:sz w:val="22"/>
    </w:rPr>
  </w:style>
  <w:style w:type="paragraph" w:styleId="Date">
    <w:name w:val="Date"/>
    <w:basedOn w:val="Normal"/>
    <w:next w:val="Normal"/>
    <w:link w:val="DateChar"/>
    <w:rsid w:val="00CB63AD"/>
  </w:style>
  <w:style w:type="character" w:customStyle="1" w:styleId="DateChar">
    <w:name w:val="Date Char"/>
    <w:basedOn w:val="DefaultParagraphFont"/>
    <w:link w:val="Date"/>
    <w:rsid w:val="00CB63AD"/>
    <w:rPr>
      <w:sz w:val="22"/>
    </w:rPr>
  </w:style>
  <w:style w:type="paragraph" w:styleId="BodyTextFirstIndent">
    <w:name w:val="Body Text First Indent"/>
    <w:basedOn w:val="BodyText"/>
    <w:link w:val="BodyTextFirstIndentChar"/>
    <w:rsid w:val="00CB63AD"/>
    <w:pPr>
      <w:ind w:firstLine="210"/>
    </w:pPr>
  </w:style>
  <w:style w:type="character" w:customStyle="1" w:styleId="BodyTextFirstIndentChar">
    <w:name w:val="Body Text First Indent Char"/>
    <w:basedOn w:val="BodyTextChar"/>
    <w:link w:val="BodyTextFirstIndent"/>
    <w:rsid w:val="00CB63AD"/>
    <w:rPr>
      <w:sz w:val="22"/>
    </w:rPr>
  </w:style>
  <w:style w:type="paragraph" w:styleId="BodyTextFirstIndent2">
    <w:name w:val="Body Text First Indent 2"/>
    <w:basedOn w:val="BodyTextIndent"/>
    <w:link w:val="BodyTextFirstIndent2Char"/>
    <w:rsid w:val="00CB63AD"/>
    <w:pPr>
      <w:ind w:firstLine="210"/>
    </w:pPr>
  </w:style>
  <w:style w:type="character" w:customStyle="1" w:styleId="BodyTextFirstIndent2Char">
    <w:name w:val="Body Text First Indent 2 Char"/>
    <w:basedOn w:val="BodyTextIndentChar"/>
    <w:link w:val="BodyTextFirstIndent2"/>
    <w:rsid w:val="00CB63AD"/>
    <w:rPr>
      <w:sz w:val="22"/>
    </w:rPr>
  </w:style>
  <w:style w:type="paragraph" w:styleId="BodyText2">
    <w:name w:val="Body Text 2"/>
    <w:basedOn w:val="Normal"/>
    <w:link w:val="BodyText2Char"/>
    <w:rsid w:val="00CB63AD"/>
    <w:pPr>
      <w:spacing w:after="120" w:line="480" w:lineRule="auto"/>
    </w:pPr>
  </w:style>
  <w:style w:type="character" w:customStyle="1" w:styleId="BodyText2Char">
    <w:name w:val="Body Text 2 Char"/>
    <w:basedOn w:val="DefaultParagraphFont"/>
    <w:link w:val="BodyText2"/>
    <w:rsid w:val="00CB63AD"/>
    <w:rPr>
      <w:sz w:val="22"/>
    </w:rPr>
  </w:style>
  <w:style w:type="paragraph" w:styleId="BodyText3">
    <w:name w:val="Body Text 3"/>
    <w:basedOn w:val="Normal"/>
    <w:link w:val="BodyText3Char"/>
    <w:rsid w:val="00CB63AD"/>
    <w:pPr>
      <w:spacing w:after="120"/>
    </w:pPr>
    <w:rPr>
      <w:sz w:val="16"/>
      <w:szCs w:val="16"/>
    </w:rPr>
  </w:style>
  <w:style w:type="character" w:customStyle="1" w:styleId="BodyText3Char">
    <w:name w:val="Body Text 3 Char"/>
    <w:basedOn w:val="DefaultParagraphFont"/>
    <w:link w:val="BodyText3"/>
    <w:rsid w:val="00CB63AD"/>
    <w:rPr>
      <w:sz w:val="16"/>
      <w:szCs w:val="16"/>
    </w:rPr>
  </w:style>
  <w:style w:type="paragraph" w:styleId="BodyTextIndent2">
    <w:name w:val="Body Text Indent 2"/>
    <w:basedOn w:val="Normal"/>
    <w:link w:val="BodyTextIndent2Char"/>
    <w:rsid w:val="00CB63AD"/>
    <w:pPr>
      <w:spacing w:after="120" w:line="480" w:lineRule="auto"/>
      <w:ind w:left="283"/>
    </w:pPr>
  </w:style>
  <w:style w:type="character" w:customStyle="1" w:styleId="BodyTextIndent2Char">
    <w:name w:val="Body Text Indent 2 Char"/>
    <w:basedOn w:val="DefaultParagraphFont"/>
    <w:link w:val="BodyTextIndent2"/>
    <w:rsid w:val="00CB63AD"/>
    <w:rPr>
      <w:sz w:val="22"/>
    </w:rPr>
  </w:style>
  <w:style w:type="paragraph" w:styleId="BodyTextIndent3">
    <w:name w:val="Body Text Indent 3"/>
    <w:basedOn w:val="Normal"/>
    <w:link w:val="BodyTextIndent3Char"/>
    <w:rsid w:val="00CB63AD"/>
    <w:pPr>
      <w:spacing w:after="120"/>
      <w:ind w:left="283"/>
    </w:pPr>
    <w:rPr>
      <w:sz w:val="16"/>
      <w:szCs w:val="16"/>
    </w:rPr>
  </w:style>
  <w:style w:type="character" w:customStyle="1" w:styleId="BodyTextIndent3Char">
    <w:name w:val="Body Text Indent 3 Char"/>
    <w:basedOn w:val="DefaultParagraphFont"/>
    <w:link w:val="BodyTextIndent3"/>
    <w:rsid w:val="00CB63AD"/>
    <w:rPr>
      <w:sz w:val="16"/>
      <w:szCs w:val="16"/>
    </w:rPr>
  </w:style>
  <w:style w:type="paragraph" w:styleId="BlockText">
    <w:name w:val="Block Text"/>
    <w:basedOn w:val="Normal"/>
    <w:rsid w:val="00CB63AD"/>
    <w:pPr>
      <w:spacing w:after="120"/>
      <w:ind w:left="1440" w:right="1440"/>
    </w:pPr>
  </w:style>
  <w:style w:type="character" w:styleId="Hyperlink">
    <w:name w:val="Hyperlink"/>
    <w:basedOn w:val="DefaultParagraphFont"/>
    <w:rsid w:val="00CB63AD"/>
    <w:rPr>
      <w:color w:val="0000FF"/>
      <w:u w:val="single"/>
    </w:rPr>
  </w:style>
  <w:style w:type="character" w:styleId="FollowedHyperlink">
    <w:name w:val="FollowedHyperlink"/>
    <w:basedOn w:val="DefaultParagraphFont"/>
    <w:rsid w:val="00CB63AD"/>
    <w:rPr>
      <w:color w:val="800080"/>
      <w:u w:val="single"/>
    </w:rPr>
  </w:style>
  <w:style w:type="character" w:styleId="Strong">
    <w:name w:val="Strong"/>
    <w:basedOn w:val="DefaultParagraphFont"/>
    <w:qFormat/>
    <w:rsid w:val="00CB63AD"/>
    <w:rPr>
      <w:b/>
      <w:bCs/>
    </w:rPr>
  </w:style>
  <w:style w:type="character" w:styleId="Emphasis">
    <w:name w:val="Emphasis"/>
    <w:basedOn w:val="DefaultParagraphFont"/>
    <w:qFormat/>
    <w:rsid w:val="00CB63AD"/>
    <w:rPr>
      <w:i/>
      <w:iCs/>
    </w:rPr>
  </w:style>
  <w:style w:type="paragraph" w:styleId="DocumentMap">
    <w:name w:val="Document Map"/>
    <w:basedOn w:val="Normal"/>
    <w:link w:val="DocumentMapChar"/>
    <w:rsid w:val="00CB63AD"/>
    <w:pPr>
      <w:shd w:val="clear" w:color="auto" w:fill="000080"/>
    </w:pPr>
    <w:rPr>
      <w:rFonts w:ascii="Tahoma" w:hAnsi="Tahoma" w:cs="Tahoma"/>
    </w:rPr>
  </w:style>
  <w:style w:type="character" w:customStyle="1" w:styleId="DocumentMapChar">
    <w:name w:val="Document Map Char"/>
    <w:basedOn w:val="DefaultParagraphFont"/>
    <w:link w:val="DocumentMap"/>
    <w:rsid w:val="00CB63AD"/>
    <w:rPr>
      <w:rFonts w:ascii="Tahoma" w:hAnsi="Tahoma" w:cs="Tahoma"/>
      <w:sz w:val="22"/>
      <w:shd w:val="clear" w:color="auto" w:fill="000080"/>
    </w:rPr>
  </w:style>
  <w:style w:type="paragraph" w:styleId="PlainText">
    <w:name w:val="Plain Text"/>
    <w:basedOn w:val="Normal"/>
    <w:link w:val="PlainTextChar"/>
    <w:rsid w:val="00CB63AD"/>
    <w:rPr>
      <w:rFonts w:ascii="Courier New" w:hAnsi="Courier New" w:cs="Courier New"/>
      <w:sz w:val="20"/>
    </w:rPr>
  </w:style>
  <w:style w:type="character" w:customStyle="1" w:styleId="PlainTextChar">
    <w:name w:val="Plain Text Char"/>
    <w:basedOn w:val="DefaultParagraphFont"/>
    <w:link w:val="PlainText"/>
    <w:rsid w:val="00CB63AD"/>
    <w:rPr>
      <w:rFonts w:ascii="Courier New" w:hAnsi="Courier New" w:cs="Courier New"/>
    </w:rPr>
  </w:style>
  <w:style w:type="paragraph" w:styleId="E-mailSignature">
    <w:name w:val="E-mail Signature"/>
    <w:basedOn w:val="Normal"/>
    <w:link w:val="E-mailSignatureChar"/>
    <w:rsid w:val="00CB63AD"/>
  </w:style>
  <w:style w:type="character" w:customStyle="1" w:styleId="E-mailSignatureChar">
    <w:name w:val="E-mail Signature Char"/>
    <w:basedOn w:val="DefaultParagraphFont"/>
    <w:link w:val="E-mailSignature"/>
    <w:rsid w:val="00CB63AD"/>
    <w:rPr>
      <w:sz w:val="22"/>
    </w:rPr>
  </w:style>
  <w:style w:type="paragraph" w:styleId="NormalWeb">
    <w:name w:val="Normal (Web)"/>
    <w:basedOn w:val="Normal"/>
    <w:rsid w:val="00CB63AD"/>
  </w:style>
  <w:style w:type="character" w:styleId="HTMLAcronym">
    <w:name w:val="HTML Acronym"/>
    <w:basedOn w:val="DefaultParagraphFont"/>
    <w:rsid w:val="00CB63AD"/>
  </w:style>
  <w:style w:type="paragraph" w:styleId="HTMLAddress">
    <w:name w:val="HTML Address"/>
    <w:basedOn w:val="Normal"/>
    <w:link w:val="HTMLAddressChar"/>
    <w:rsid w:val="00CB63AD"/>
    <w:rPr>
      <w:i/>
      <w:iCs/>
    </w:rPr>
  </w:style>
  <w:style w:type="character" w:customStyle="1" w:styleId="HTMLAddressChar">
    <w:name w:val="HTML Address Char"/>
    <w:basedOn w:val="DefaultParagraphFont"/>
    <w:link w:val="HTMLAddress"/>
    <w:rsid w:val="00CB63AD"/>
    <w:rPr>
      <w:i/>
      <w:iCs/>
      <w:sz w:val="22"/>
    </w:rPr>
  </w:style>
  <w:style w:type="character" w:styleId="HTMLCite">
    <w:name w:val="HTML Cite"/>
    <w:basedOn w:val="DefaultParagraphFont"/>
    <w:rsid w:val="00CB63AD"/>
    <w:rPr>
      <w:i/>
      <w:iCs/>
    </w:rPr>
  </w:style>
  <w:style w:type="character" w:styleId="HTMLCode">
    <w:name w:val="HTML Code"/>
    <w:basedOn w:val="DefaultParagraphFont"/>
    <w:rsid w:val="00CB63AD"/>
    <w:rPr>
      <w:rFonts w:ascii="Courier New" w:hAnsi="Courier New" w:cs="Courier New"/>
      <w:sz w:val="20"/>
      <w:szCs w:val="20"/>
    </w:rPr>
  </w:style>
  <w:style w:type="character" w:styleId="HTMLDefinition">
    <w:name w:val="HTML Definition"/>
    <w:basedOn w:val="DefaultParagraphFont"/>
    <w:rsid w:val="00CB63AD"/>
    <w:rPr>
      <w:i/>
      <w:iCs/>
    </w:rPr>
  </w:style>
  <w:style w:type="character" w:styleId="HTMLKeyboard">
    <w:name w:val="HTML Keyboard"/>
    <w:basedOn w:val="DefaultParagraphFont"/>
    <w:rsid w:val="00CB63AD"/>
    <w:rPr>
      <w:rFonts w:ascii="Courier New" w:hAnsi="Courier New" w:cs="Courier New"/>
      <w:sz w:val="20"/>
      <w:szCs w:val="20"/>
    </w:rPr>
  </w:style>
  <w:style w:type="paragraph" w:styleId="HTMLPreformatted">
    <w:name w:val="HTML Preformatted"/>
    <w:basedOn w:val="Normal"/>
    <w:link w:val="HTMLPreformattedChar"/>
    <w:rsid w:val="00CB63AD"/>
    <w:rPr>
      <w:rFonts w:ascii="Courier New" w:hAnsi="Courier New" w:cs="Courier New"/>
      <w:sz w:val="20"/>
    </w:rPr>
  </w:style>
  <w:style w:type="character" w:customStyle="1" w:styleId="HTMLPreformattedChar">
    <w:name w:val="HTML Preformatted Char"/>
    <w:basedOn w:val="DefaultParagraphFont"/>
    <w:link w:val="HTMLPreformatted"/>
    <w:rsid w:val="00CB63AD"/>
    <w:rPr>
      <w:rFonts w:ascii="Courier New" w:hAnsi="Courier New" w:cs="Courier New"/>
    </w:rPr>
  </w:style>
  <w:style w:type="character" w:styleId="HTMLSample">
    <w:name w:val="HTML Sample"/>
    <w:basedOn w:val="DefaultParagraphFont"/>
    <w:rsid w:val="00CB63AD"/>
    <w:rPr>
      <w:rFonts w:ascii="Courier New" w:hAnsi="Courier New" w:cs="Courier New"/>
    </w:rPr>
  </w:style>
  <w:style w:type="character" w:styleId="HTMLTypewriter">
    <w:name w:val="HTML Typewriter"/>
    <w:basedOn w:val="DefaultParagraphFont"/>
    <w:rsid w:val="00CB63AD"/>
    <w:rPr>
      <w:rFonts w:ascii="Courier New" w:hAnsi="Courier New" w:cs="Courier New"/>
      <w:sz w:val="20"/>
      <w:szCs w:val="20"/>
    </w:rPr>
  </w:style>
  <w:style w:type="character" w:styleId="HTMLVariable">
    <w:name w:val="HTML Variable"/>
    <w:basedOn w:val="DefaultParagraphFont"/>
    <w:rsid w:val="00CB63AD"/>
    <w:rPr>
      <w:i/>
      <w:iCs/>
    </w:rPr>
  </w:style>
  <w:style w:type="paragraph" w:styleId="CommentSubject">
    <w:name w:val="annotation subject"/>
    <w:basedOn w:val="CommentText"/>
    <w:next w:val="CommentText"/>
    <w:link w:val="CommentSubjectChar"/>
    <w:rsid w:val="00CB63AD"/>
    <w:rPr>
      <w:b/>
      <w:bCs/>
    </w:rPr>
  </w:style>
  <w:style w:type="character" w:customStyle="1" w:styleId="CommentSubjectChar">
    <w:name w:val="Comment Subject Char"/>
    <w:basedOn w:val="CommentTextChar"/>
    <w:link w:val="CommentSubject"/>
    <w:rsid w:val="00CB63AD"/>
    <w:rPr>
      <w:b/>
      <w:bCs/>
    </w:rPr>
  </w:style>
  <w:style w:type="numbering" w:styleId="1ai">
    <w:name w:val="Outline List 1"/>
    <w:basedOn w:val="NoList"/>
    <w:rsid w:val="00CB63AD"/>
    <w:pPr>
      <w:numPr>
        <w:numId w:val="14"/>
      </w:numPr>
    </w:pPr>
  </w:style>
  <w:style w:type="numbering" w:styleId="111111">
    <w:name w:val="Outline List 2"/>
    <w:basedOn w:val="NoList"/>
    <w:rsid w:val="00CB63AD"/>
    <w:pPr>
      <w:numPr>
        <w:numId w:val="15"/>
      </w:numPr>
    </w:pPr>
  </w:style>
  <w:style w:type="numbering" w:styleId="ArticleSection">
    <w:name w:val="Outline List 3"/>
    <w:basedOn w:val="NoList"/>
    <w:rsid w:val="00CB63AD"/>
    <w:pPr>
      <w:numPr>
        <w:numId w:val="17"/>
      </w:numPr>
    </w:pPr>
  </w:style>
  <w:style w:type="table" w:styleId="TableSimple1">
    <w:name w:val="Table Simple 1"/>
    <w:basedOn w:val="TableNormal"/>
    <w:rsid w:val="00CB63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63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63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63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63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63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63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63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63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63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63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63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63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63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63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63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63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63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63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63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63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63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63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63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63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63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63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63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63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63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63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63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63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63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63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63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63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63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63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63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63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63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63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63AD"/>
    <w:rPr>
      <w:rFonts w:eastAsia="Times New Roman" w:cs="Times New Roman"/>
      <w:b/>
      <w:kern w:val="28"/>
      <w:sz w:val="24"/>
      <w:lang w:eastAsia="en-AU"/>
    </w:rPr>
  </w:style>
  <w:style w:type="paragraph" w:customStyle="1" w:styleId="ETAsubitem">
    <w:name w:val="ETA(subitem)"/>
    <w:basedOn w:val="OPCParaBase"/>
    <w:rsid w:val="00CB63AD"/>
    <w:pPr>
      <w:tabs>
        <w:tab w:val="right" w:pos="340"/>
      </w:tabs>
      <w:spacing w:before="60" w:line="240" w:lineRule="auto"/>
      <w:ind w:left="454" w:hanging="454"/>
    </w:pPr>
    <w:rPr>
      <w:sz w:val="20"/>
    </w:rPr>
  </w:style>
  <w:style w:type="paragraph" w:customStyle="1" w:styleId="ETApara">
    <w:name w:val="ETA(para)"/>
    <w:basedOn w:val="OPCParaBase"/>
    <w:rsid w:val="00CB63AD"/>
    <w:pPr>
      <w:tabs>
        <w:tab w:val="right" w:pos="754"/>
      </w:tabs>
      <w:spacing w:before="60" w:line="240" w:lineRule="auto"/>
      <w:ind w:left="828" w:hanging="828"/>
    </w:pPr>
    <w:rPr>
      <w:sz w:val="20"/>
    </w:rPr>
  </w:style>
  <w:style w:type="paragraph" w:customStyle="1" w:styleId="ETAsubpara">
    <w:name w:val="ETA(subpara)"/>
    <w:basedOn w:val="OPCParaBase"/>
    <w:rsid w:val="00CB63AD"/>
    <w:pPr>
      <w:tabs>
        <w:tab w:val="right" w:pos="1083"/>
      </w:tabs>
      <w:spacing w:before="60" w:line="240" w:lineRule="auto"/>
      <w:ind w:left="1191" w:hanging="1191"/>
    </w:pPr>
    <w:rPr>
      <w:sz w:val="20"/>
    </w:rPr>
  </w:style>
  <w:style w:type="paragraph" w:customStyle="1" w:styleId="ETAsub-subpara">
    <w:name w:val="ETA(sub-subpara)"/>
    <w:basedOn w:val="OPCParaBase"/>
    <w:rsid w:val="00CB63A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B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83D8-B8AA-47A5-A7AF-00069CAB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27</Pages>
  <Words>6400</Words>
  <Characters>36480</Characters>
  <Application>Microsoft Office Word</Application>
  <DocSecurity>0</DocSecurity>
  <PresentationFormat/>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2021-03-02T03:28:00Z</cp:lastPrinted>
  <dcterms:created xsi:type="dcterms:W3CDTF">2021-03-22T02:56:00Z</dcterms:created>
  <dcterms:modified xsi:type="dcterms:W3CDTF">2021-03-22T02:57:00Z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Australian Postal Corporation Regulations 2021</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18 March 2021</vt:lpwstr>
  </property>
  <property fmtid="{D5CDD505-2E9C-101B-9397-08002B2CF9AE}" pid="10" name="Authority">
    <vt:lpwstr>Unk</vt:lpwstr>
  </property>
  <property fmtid="{D5CDD505-2E9C-101B-9397-08002B2CF9AE}" pid="11" name="ID">
    <vt:lpwstr>OPC64037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D</vt:lpwstr>
  </property>
  <property fmtid="{D5CDD505-2E9C-101B-9397-08002B2CF9AE}" pid="17" name="CounterSign">
    <vt:lpwstr/>
  </property>
  <property fmtid="{D5CDD505-2E9C-101B-9397-08002B2CF9AE}" pid="18" name="ExcoDate">
    <vt:lpwstr>18 March 2021</vt:lpwstr>
  </property>
</Properties>
</file>