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BC1F8" w14:textId="77777777" w:rsidR="00D824C1" w:rsidRPr="00357363" w:rsidRDefault="00390137" w:rsidP="00A0382B">
      <w:pPr>
        <w:pStyle w:val="Title"/>
        <w:spacing w:before="100" w:beforeAutospacing="1" w:after="100" w:afterAutospacing="1"/>
        <w:rPr>
          <w:b/>
          <w:sz w:val="22"/>
          <w:szCs w:val="22"/>
        </w:rPr>
      </w:pPr>
      <w:r w:rsidRPr="00357363">
        <w:rPr>
          <w:b/>
          <w:sz w:val="22"/>
          <w:szCs w:val="22"/>
        </w:rPr>
        <w:t>EXPLANATORY STATEMENT</w:t>
      </w:r>
    </w:p>
    <w:p w14:paraId="5BBD1E62" w14:textId="77777777" w:rsidR="00390137" w:rsidRPr="00357363" w:rsidRDefault="00D824C1" w:rsidP="00A0382B">
      <w:pPr>
        <w:pStyle w:val="Title"/>
        <w:spacing w:before="100" w:beforeAutospacing="1" w:after="100" w:afterAutospacing="1"/>
        <w:rPr>
          <w:sz w:val="22"/>
          <w:szCs w:val="22"/>
        </w:rPr>
      </w:pPr>
      <w:r w:rsidRPr="00357363">
        <w:rPr>
          <w:b/>
          <w:sz w:val="22"/>
          <w:szCs w:val="22"/>
        </w:rPr>
        <w:t>LEGISLATIVE INSTRUMENT</w:t>
      </w:r>
    </w:p>
    <w:p w14:paraId="014386E6" w14:textId="77777777" w:rsidR="00390137" w:rsidRPr="00357363" w:rsidRDefault="00390137" w:rsidP="00A0382B">
      <w:pPr>
        <w:spacing w:before="100" w:beforeAutospacing="1" w:after="100" w:afterAutospacing="1"/>
        <w:ind w:right="-1"/>
        <w:jc w:val="center"/>
        <w:rPr>
          <w:b/>
          <w:sz w:val="22"/>
          <w:szCs w:val="22"/>
        </w:rPr>
      </w:pPr>
      <w:r w:rsidRPr="00357363">
        <w:rPr>
          <w:b/>
          <w:sz w:val="22"/>
          <w:szCs w:val="22"/>
        </w:rPr>
        <w:t xml:space="preserve">Issued by the Authority </w:t>
      </w:r>
    </w:p>
    <w:p w14:paraId="169ACB3F" w14:textId="24CBFF2A" w:rsidR="00390137" w:rsidRPr="00357363" w:rsidRDefault="00E32A6C">
      <w:pPr>
        <w:ind w:right="-1"/>
        <w:jc w:val="center"/>
        <w:rPr>
          <w:b/>
          <w:sz w:val="22"/>
          <w:szCs w:val="22"/>
        </w:rPr>
      </w:pPr>
      <w:r w:rsidRPr="00357363">
        <w:rPr>
          <w:b/>
          <w:sz w:val="22"/>
          <w:szCs w:val="22"/>
        </w:rPr>
        <w:t>o</w:t>
      </w:r>
      <w:r w:rsidR="00182FFD" w:rsidRPr="00357363">
        <w:rPr>
          <w:b/>
          <w:sz w:val="22"/>
          <w:szCs w:val="22"/>
        </w:rPr>
        <w:t>f</w:t>
      </w:r>
      <w:r w:rsidR="00390137" w:rsidRPr="00357363">
        <w:rPr>
          <w:b/>
          <w:sz w:val="22"/>
          <w:szCs w:val="22"/>
        </w:rPr>
        <w:t xml:space="preserve"> the Australian Fisheries Management Authority</w:t>
      </w:r>
    </w:p>
    <w:p w14:paraId="4B73F160" w14:textId="77777777" w:rsidR="00D824C1" w:rsidRPr="00357363" w:rsidRDefault="00390137" w:rsidP="00A0382B">
      <w:pPr>
        <w:spacing w:before="100" w:beforeAutospacing="1" w:after="100" w:afterAutospacing="1"/>
        <w:ind w:right="-1"/>
        <w:jc w:val="center"/>
        <w:rPr>
          <w:i/>
          <w:sz w:val="22"/>
          <w:szCs w:val="22"/>
        </w:rPr>
      </w:pPr>
      <w:r w:rsidRPr="00357363">
        <w:rPr>
          <w:i/>
          <w:sz w:val="22"/>
          <w:szCs w:val="22"/>
        </w:rPr>
        <w:t>Fisheries Management Act 1991</w:t>
      </w:r>
    </w:p>
    <w:p w14:paraId="39FFCBC6" w14:textId="2E1F7F95" w:rsidR="00182FFD" w:rsidRPr="00357363" w:rsidRDefault="008654E0" w:rsidP="00A0382B">
      <w:pPr>
        <w:spacing w:before="100" w:beforeAutospacing="1" w:after="100" w:afterAutospacing="1"/>
        <w:ind w:right="-1"/>
        <w:jc w:val="center"/>
        <w:rPr>
          <w:b/>
          <w:i/>
          <w:sz w:val="22"/>
          <w:szCs w:val="22"/>
        </w:rPr>
      </w:pPr>
      <w:r w:rsidRPr="00357363">
        <w:rPr>
          <w:b/>
          <w:i/>
          <w:sz w:val="22"/>
          <w:szCs w:val="22"/>
        </w:rPr>
        <w:t>Fisheries Management (</w:t>
      </w:r>
      <w:r w:rsidR="00F46DDC" w:rsidRPr="00357363">
        <w:rPr>
          <w:b/>
          <w:i/>
          <w:sz w:val="22"/>
          <w:szCs w:val="22"/>
        </w:rPr>
        <w:t xml:space="preserve">Northern Prawn Fishery </w:t>
      </w:r>
      <w:r w:rsidR="00FE5923" w:rsidRPr="00357363">
        <w:rPr>
          <w:b/>
          <w:i/>
          <w:sz w:val="22"/>
          <w:szCs w:val="22"/>
        </w:rPr>
        <w:t>Permanent Closures</w:t>
      </w:r>
      <w:r w:rsidR="00DF7E64" w:rsidRPr="00357363">
        <w:rPr>
          <w:b/>
          <w:i/>
          <w:sz w:val="22"/>
          <w:szCs w:val="22"/>
        </w:rPr>
        <w:t xml:space="preserve">) </w:t>
      </w:r>
      <w:r w:rsidR="00390137" w:rsidRPr="00357363">
        <w:rPr>
          <w:b/>
          <w:i/>
          <w:sz w:val="22"/>
          <w:szCs w:val="22"/>
        </w:rPr>
        <w:t>D</w:t>
      </w:r>
      <w:r w:rsidR="00D11800" w:rsidRPr="00357363">
        <w:rPr>
          <w:b/>
          <w:i/>
          <w:sz w:val="22"/>
          <w:szCs w:val="22"/>
        </w:rPr>
        <w:t xml:space="preserve">irection </w:t>
      </w:r>
      <w:r w:rsidRPr="00357363">
        <w:rPr>
          <w:b/>
          <w:i/>
          <w:sz w:val="22"/>
          <w:szCs w:val="22"/>
        </w:rPr>
        <w:t>202</w:t>
      </w:r>
      <w:r w:rsidR="002C2CF3" w:rsidRPr="00357363">
        <w:rPr>
          <w:b/>
          <w:i/>
          <w:sz w:val="22"/>
          <w:szCs w:val="22"/>
        </w:rPr>
        <w:t>1</w:t>
      </w:r>
    </w:p>
    <w:p w14:paraId="25394FA3" w14:textId="77777777" w:rsidR="00851482" w:rsidRPr="00357363" w:rsidRDefault="008654E0" w:rsidP="005E3D88">
      <w:pPr>
        <w:spacing w:before="100" w:beforeAutospacing="1" w:after="100" w:afterAutospacing="1"/>
        <w:ind w:right="-1"/>
        <w:rPr>
          <w:rFonts w:eastAsia="MS Mincho"/>
          <w:b/>
          <w:color w:val="000000"/>
          <w:sz w:val="22"/>
          <w:szCs w:val="22"/>
          <w:shd w:val="clear" w:color="auto" w:fill="FFFFFF"/>
        </w:rPr>
      </w:pPr>
      <w:r w:rsidRPr="00357363">
        <w:rPr>
          <w:rFonts w:eastAsia="MS Mincho"/>
          <w:b/>
          <w:color w:val="000000"/>
          <w:sz w:val="22"/>
          <w:szCs w:val="22"/>
          <w:shd w:val="clear" w:color="auto" w:fill="FFFFFF"/>
        </w:rPr>
        <w:t>Legislative authority</w:t>
      </w:r>
    </w:p>
    <w:p w14:paraId="22B0D87D" w14:textId="0F2EE8EF" w:rsidR="00851482" w:rsidRPr="00357363" w:rsidRDefault="00851482" w:rsidP="00851482">
      <w:pPr>
        <w:spacing w:before="120"/>
        <w:ind w:right="-1"/>
        <w:jc w:val="both"/>
        <w:rPr>
          <w:rFonts w:eastAsia="MS Mincho"/>
          <w:color w:val="000000"/>
          <w:sz w:val="22"/>
          <w:szCs w:val="22"/>
          <w:shd w:val="clear" w:color="auto" w:fill="FFFFFF"/>
        </w:rPr>
      </w:pPr>
      <w:r w:rsidRPr="00357363">
        <w:rPr>
          <w:rFonts w:eastAsia="MS Mincho"/>
          <w:color w:val="000000"/>
          <w:sz w:val="22"/>
          <w:szCs w:val="22"/>
          <w:shd w:val="clear" w:color="auto" w:fill="FFFFFF"/>
        </w:rPr>
        <w:t>Subsection 41A(2) of the </w:t>
      </w:r>
      <w:r w:rsidRPr="00357363">
        <w:rPr>
          <w:rFonts w:eastAsia="MS Mincho"/>
          <w:i/>
          <w:iCs/>
          <w:color w:val="000000"/>
          <w:sz w:val="22"/>
          <w:szCs w:val="22"/>
          <w:shd w:val="clear" w:color="auto" w:fill="FFFFFF"/>
        </w:rPr>
        <w:t>Fisheries Management Act 1991</w:t>
      </w:r>
      <w:r w:rsidRPr="00357363">
        <w:rPr>
          <w:rFonts w:eastAsia="MS Mincho"/>
          <w:color w:val="000000"/>
          <w:sz w:val="22"/>
          <w:szCs w:val="22"/>
          <w:shd w:val="clear" w:color="auto" w:fill="FFFFFF"/>
        </w:rPr>
        <w:t> </w:t>
      </w:r>
      <w:r w:rsidR="0054718A" w:rsidRPr="00357363">
        <w:rPr>
          <w:rFonts w:eastAsia="MS Mincho"/>
          <w:color w:val="000000"/>
          <w:sz w:val="22"/>
          <w:szCs w:val="22"/>
          <w:shd w:val="clear" w:color="auto" w:fill="FFFFFF"/>
        </w:rPr>
        <w:t xml:space="preserve">(the </w:t>
      </w:r>
      <w:r w:rsidRPr="00357363">
        <w:rPr>
          <w:rFonts w:eastAsia="MS Mincho"/>
          <w:color w:val="000000"/>
          <w:sz w:val="22"/>
          <w:szCs w:val="22"/>
          <w:shd w:val="clear" w:color="auto" w:fill="FFFFFF"/>
        </w:rPr>
        <w:t>Act) provides that the Australian Fisheries Management Authority (AFMA) may, after meeting consultation requirements as set out in subsection 41A(2), direct that fishing is not to be engaged in in the fishery, or a particular part of the fishery, during a particular period or periods. A copy of a direction made by AFMA under subsection 41A(2) must be sent to each holder of a fishing concession, scientific permit or foreign master fishing licence to which the direction relates (see subsection 41A(2A) of the Act).</w:t>
      </w:r>
    </w:p>
    <w:p w14:paraId="42FAB31C" w14:textId="2B553544" w:rsidR="00F46DDC" w:rsidRPr="00357363" w:rsidRDefault="00F46DDC" w:rsidP="00873613">
      <w:pPr>
        <w:spacing w:before="120" w:after="120"/>
        <w:ind w:right="-1"/>
        <w:jc w:val="both"/>
        <w:rPr>
          <w:sz w:val="22"/>
          <w:szCs w:val="22"/>
        </w:rPr>
      </w:pPr>
      <w:r w:rsidRPr="00357363">
        <w:rPr>
          <w:sz w:val="22"/>
          <w:szCs w:val="22"/>
        </w:rPr>
        <w:t xml:space="preserve">Subsection </w:t>
      </w:r>
      <w:r w:rsidR="00961691" w:rsidRPr="00357363">
        <w:rPr>
          <w:sz w:val="22"/>
          <w:szCs w:val="22"/>
        </w:rPr>
        <w:t>41A(2AA)</w:t>
      </w:r>
      <w:r w:rsidRPr="00357363">
        <w:rPr>
          <w:sz w:val="22"/>
          <w:szCs w:val="22"/>
        </w:rPr>
        <w:t xml:space="preserve"> of the Act provides that a direction under </w:t>
      </w:r>
      <w:r w:rsidR="00961691" w:rsidRPr="00357363">
        <w:rPr>
          <w:sz w:val="22"/>
          <w:szCs w:val="22"/>
        </w:rPr>
        <w:t>s</w:t>
      </w:r>
      <w:r w:rsidRPr="00357363">
        <w:rPr>
          <w:sz w:val="22"/>
          <w:szCs w:val="22"/>
        </w:rPr>
        <w:t xml:space="preserve">ubsection </w:t>
      </w:r>
      <w:r w:rsidR="00961691" w:rsidRPr="00357363">
        <w:rPr>
          <w:sz w:val="22"/>
          <w:szCs w:val="22"/>
        </w:rPr>
        <w:t>41A(2)</w:t>
      </w:r>
      <w:r w:rsidRPr="00357363">
        <w:rPr>
          <w:sz w:val="22"/>
          <w:szCs w:val="22"/>
        </w:rPr>
        <w:t xml:space="preserve"> in relation to a particular part of the fishery may identify the part concerned in any way or ways</w:t>
      </w:r>
      <w:r w:rsidR="00961691" w:rsidRPr="00357363">
        <w:rPr>
          <w:sz w:val="22"/>
          <w:szCs w:val="22"/>
        </w:rPr>
        <w:t>.</w:t>
      </w:r>
    </w:p>
    <w:p w14:paraId="26B610B1" w14:textId="0FD8E9E5" w:rsidR="00E73C35" w:rsidRPr="00357363" w:rsidRDefault="002211B9" w:rsidP="00873613">
      <w:pPr>
        <w:spacing w:before="120" w:after="120"/>
        <w:ind w:right="-1"/>
        <w:jc w:val="both"/>
        <w:rPr>
          <w:sz w:val="22"/>
          <w:szCs w:val="22"/>
        </w:rPr>
      </w:pPr>
      <w:r w:rsidRPr="00357363">
        <w:rPr>
          <w:sz w:val="22"/>
          <w:szCs w:val="22"/>
        </w:rPr>
        <w:t xml:space="preserve">Subsection 41A(5) provides the </w:t>
      </w:r>
      <w:r w:rsidR="00E73C35" w:rsidRPr="00357363">
        <w:rPr>
          <w:sz w:val="22"/>
          <w:szCs w:val="22"/>
        </w:rPr>
        <w:t xml:space="preserve">Direction is a legislative instrument for the purposes of the </w:t>
      </w:r>
      <w:r w:rsidR="0030529B" w:rsidRPr="00357363">
        <w:rPr>
          <w:i/>
          <w:sz w:val="22"/>
          <w:szCs w:val="22"/>
        </w:rPr>
        <w:t>Legislation Act 2003</w:t>
      </w:r>
      <w:r w:rsidR="00E73C35" w:rsidRPr="00357363">
        <w:rPr>
          <w:sz w:val="22"/>
          <w:szCs w:val="22"/>
        </w:rPr>
        <w:t>.</w:t>
      </w:r>
    </w:p>
    <w:p w14:paraId="31AB0FC6" w14:textId="77777777" w:rsidR="00CD4B7C" w:rsidRPr="00357363" w:rsidRDefault="00CD4B7C" w:rsidP="00873613">
      <w:pPr>
        <w:spacing w:before="120" w:after="120"/>
        <w:jc w:val="both"/>
        <w:rPr>
          <w:b/>
          <w:sz w:val="22"/>
          <w:szCs w:val="22"/>
        </w:rPr>
      </w:pPr>
      <w:r w:rsidRPr="00357363">
        <w:rPr>
          <w:b/>
          <w:sz w:val="22"/>
          <w:szCs w:val="22"/>
        </w:rPr>
        <w:t>The Fishery</w:t>
      </w:r>
    </w:p>
    <w:p w14:paraId="0A88DE9F" w14:textId="77777777" w:rsidR="00CD4B7C" w:rsidRPr="00357363" w:rsidRDefault="001F65B8" w:rsidP="00873613">
      <w:pPr>
        <w:spacing w:before="120" w:after="120"/>
        <w:jc w:val="both"/>
        <w:rPr>
          <w:color w:val="000000"/>
          <w:sz w:val="22"/>
          <w:szCs w:val="22"/>
        </w:rPr>
      </w:pPr>
      <w:r w:rsidRPr="00357363">
        <w:rPr>
          <w:sz w:val="22"/>
          <w:szCs w:val="22"/>
        </w:rPr>
        <w:t xml:space="preserve">The Northern Prawn Fishery is an area of waters that extends from the coastline to the edge of the Australian Fishing Zone (200 nm offshore) north of Western Australia, the Northern Territory and Queensland in the Gulf of Carpentaria. Fishing in the Fishery is for prawns and four major ecologically related species </w:t>
      </w:r>
      <w:r w:rsidRPr="00357363">
        <w:rPr>
          <w:color w:val="000000"/>
          <w:sz w:val="22"/>
          <w:szCs w:val="22"/>
        </w:rPr>
        <w:t>(namely squid, scampi, bugs and scallops). There are two fishing seasons in the Fishery. The area of the Fishery overlaps the areas of a number of fisheries for other species that are managed by Queensland, Western Australia and the Northern Territory.</w:t>
      </w:r>
    </w:p>
    <w:p w14:paraId="3FD13C60" w14:textId="77777777" w:rsidR="00CD4B7C" w:rsidRPr="00357363" w:rsidRDefault="001F65B8" w:rsidP="00873613">
      <w:pPr>
        <w:spacing w:before="120" w:after="120"/>
        <w:jc w:val="both"/>
        <w:rPr>
          <w:color w:val="000000"/>
          <w:sz w:val="22"/>
          <w:szCs w:val="22"/>
        </w:rPr>
      </w:pPr>
      <w:r w:rsidRPr="00357363">
        <w:rPr>
          <w:color w:val="000000"/>
          <w:sz w:val="22"/>
          <w:szCs w:val="22"/>
        </w:rPr>
        <w:t xml:space="preserve">The Fishery is managed by limiting the amount of fishing effort under the </w:t>
      </w:r>
      <w:r w:rsidRPr="00357363">
        <w:rPr>
          <w:i/>
          <w:color w:val="000000"/>
          <w:sz w:val="22"/>
          <w:szCs w:val="22"/>
        </w:rPr>
        <w:t>Northern Prawn Fishery Management Plan 1995</w:t>
      </w:r>
      <w:r w:rsidRPr="00357363">
        <w:rPr>
          <w:color w:val="000000"/>
          <w:sz w:val="22"/>
          <w:szCs w:val="22"/>
        </w:rPr>
        <w:t xml:space="preserve"> (the Plan). These limitations are known commonly as input controls and are used in the Fishery to address both the biological and economic objectives of the Fishery. The specific types of inputs that are controlled in the Fishery are the amount of fishing time (limited by within the fishing seasons), the amounts and types of fishing equipment and the number of boats in the Fishery.</w:t>
      </w:r>
    </w:p>
    <w:p w14:paraId="5905F4B5" w14:textId="77777777" w:rsidR="00CD4B7C" w:rsidRPr="00357363" w:rsidRDefault="00CD4B7C" w:rsidP="00873613">
      <w:pPr>
        <w:spacing w:before="120" w:after="120"/>
        <w:jc w:val="both"/>
        <w:rPr>
          <w:b/>
          <w:color w:val="000000"/>
          <w:sz w:val="22"/>
          <w:szCs w:val="22"/>
        </w:rPr>
      </w:pPr>
      <w:r w:rsidRPr="00357363">
        <w:rPr>
          <w:b/>
          <w:color w:val="000000"/>
          <w:sz w:val="22"/>
          <w:szCs w:val="22"/>
        </w:rPr>
        <w:t>The Direction</w:t>
      </w:r>
    </w:p>
    <w:p w14:paraId="3F416C1D" w14:textId="58C3024F" w:rsidR="00064368" w:rsidRPr="00357363" w:rsidRDefault="00064368" w:rsidP="00064368">
      <w:pPr>
        <w:shd w:val="clear" w:color="auto" w:fill="FFFFFF"/>
        <w:spacing w:before="120"/>
        <w:jc w:val="both"/>
        <w:rPr>
          <w:color w:val="000000"/>
          <w:lang w:eastAsia="en-AU"/>
        </w:rPr>
      </w:pPr>
      <w:r w:rsidRPr="00357363">
        <w:rPr>
          <w:color w:val="000000"/>
          <w:sz w:val="22"/>
          <w:szCs w:val="22"/>
          <w:lang w:eastAsia="en-AU"/>
        </w:rPr>
        <w:t>The Direction closes specified areas of the Fishery to fishing. The Direction prohibits fishing in eleven specific areas within the Fishery that provide essential habitats for the juvenile growth phase of penaeid prawns, a major species in the Fishery. Fishing in these areas would not only cause destruction to vital seagrass habitat but would also result in the capture of underdeveloped and undersize prawns. </w:t>
      </w:r>
    </w:p>
    <w:p w14:paraId="1C57B90A" w14:textId="4CE71B1C" w:rsidR="00F46DDC" w:rsidRPr="00357363" w:rsidRDefault="00064368" w:rsidP="00064368">
      <w:pPr>
        <w:shd w:val="clear" w:color="auto" w:fill="FFFFFF"/>
        <w:spacing w:before="120"/>
        <w:jc w:val="both"/>
        <w:rPr>
          <w:sz w:val="22"/>
          <w:szCs w:val="22"/>
        </w:rPr>
      </w:pPr>
      <w:r w:rsidRPr="00357363">
        <w:rPr>
          <w:color w:val="000000"/>
          <w:sz w:val="22"/>
          <w:szCs w:val="22"/>
          <w:lang w:eastAsia="en-AU"/>
        </w:rPr>
        <w:t>The Direction also closes two areas to fishing, as they are the sites of research surveys investigating the impact of trawling on the benthos. To avoid confounding the results of this research it is important that these areas remain closed to commercial fishing for the duration of this project</w:t>
      </w:r>
      <w:r w:rsidR="001F65B8" w:rsidRPr="00357363">
        <w:rPr>
          <w:sz w:val="22"/>
          <w:szCs w:val="22"/>
        </w:rPr>
        <w:t>.</w:t>
      </w:r>
    </w:p>
    <w:p w14:paraId="6C626D93" w14:textId="77777777" w:rsidR="00725838" w:rsidRPr="00357363" w:rsidRDefault="00725838" w:rsidP="00873613">
      <w:pPr>
        <w:spacing w:before="120" w:after="120"/>
        <w:jc w:val="both"/>
        <w:rPr>
          <w:b/>
          <w:sz w:val="22"/>
          <w:szCs w:val="22"/>
        </w:rPr>
      </w:pPr>
      <w:r w:rsidRPr="00357363">
        <w:rPr>
          <w:b/>
          <w:sz w:val="22"/>
          <w:szCs w:val="22"/>
        </w:rPr>
        <w:t>Consultation</w:t>
      </w:r>
    </w:p>
    <w:p w14:paraId="1712A268" w14:textId="5982573D" w:rsidR="00725838" w:rsidRPr="00357363" w:rsidRDefault="00725838" w:rsidP="00873613">
      <w:pPr>
        <w:pStyle w:val="AFMANormal"/>
        <w:spacing w:before="120" w:after="120"/>
        <w:rPr>
          <w:sz w:val="22"/>
          <w:szCs w:val="22"/>
        </w:rPr>
      </w:pPr>
      <w:r w:rsidRPr="00357363">
        <w:rPr>
          <w:sz w:val="22"/>
          <w:szCs w:val="22"/>
        </w:rPr>
        <w:t xml:space="preserve">Consistent with subsection 41A(2) and section 17 of the </w:t>
      </w:r>
      <w:r w:rsidRPr="00357363">
        <w:rPr>
          <w:i/>
          <w:sz w:val="22"/>
          <w:szCs w:val="22"/>
        </w:rPr>
        <w:t>Legislation Act 2003,</w:t>
      </w:r>
      <w:r w:rsidRPr="00357363">
        <w:rPr>
          <w:sz w:val="22"/>
          <w:szCs w:val="22"/>
        </w:rPr>
        <w:t xml:space="preserve"> AFMA consulted with both Northern Prawn Fishery Management Advisory Committee (NORMAC) and </w:t>
      </w:r>
      <w:r w:rsidR="00C903E3" w:rsidRPr="00357363">
        <w:rPr>
          <w:sz w:val="22"/>
          <w:szCs w:val="22"/>
        </w:rPr>
        <w:t>NPF</w:t>
      </w:r>
      <w:r w:rsidRPr="00357363">
        <w:rPr>
          <w:sz w:val="22"/>
          <w:szCs w:val="22"/>
        </w:rPr>
        <w:t xml:space="preserve"> Industry </w:t>
      </w:r>
      <w:r w:rsidR="00C903E3" w:rsidRPr="00357363">
        <w:rPr>
          <w:sz w:val="22"/>
          <w:szCs w:val="22"/>
        </w:rPr>
        <w:t xml:space="preserve">Pty Ltd </w:t>
      </w:r>
      <w:r w:rsidRPr="00357363">
        <w:rPr>
          <w:sz w:val="22"/>
          <w:szCs w:val="22"/>
        </w:rPr>
        <w:t xml:space="preserve">(NPFI) </w:t>
      </w:r>
      <w:r w:rsidR="001202F8" w:rsidRPr="00357363">
        <w:rPr>
          <w:sz w:val="22"/>
          <w:szCs w:val="22"/>
        </w:rPr>
        <w:t xml:space="preserve">regarding the proposed </w:t>
      </w:r>
      <w:r w:rsidR="00021037" w:rsidRPr="00357363">
        <w:rPr>
          <w:sz w:val="22"/>
          <w:szCs w:val="22"/>
        </w:rPr>
        <w:t>permanent area closures</w:t>
      </w:r>
      <w:r w:rsidR="00ED73A4" w:rsidRPr="00357363">
        <w:rPr>
          <w:sz w:val="22"/>
          <w:szCs w:val="22"/>
        </w:rPr>
        <w:t xml:space="preserve"> </w:t>
      </w:r>
      <w:r w:rsidRPr="00357363">
        <w:rPr>
          <w:sz w:val="22"/>
          <w:szCs w:val="22"/>
        </w:rPr>
        <w:t xml:space="preserve">prior to </w:t>
      </w:r>
      <w:r w:rsidR="00ED73A4" w:rsidRPr="00357363">
        <w:rPr>
          <w:sz w:val="22"/>
          <w:szCs w:val="22"/>
        </w:rPr>
        <w:t>re</w:t>
      </w:r>
      <w:r w:rsidRPr="00357363">
        <w:rPr>
          <w:sz w:val="22"/>
          <w:szCs w:val="22"/>
        </w:rPr>
        <w:t>making the Direction.</w:t>
      </w:r>
      <w:r w:rsidR="00C903E3" w:rsidRPr="00357363">
        <w:rPr>
          <w:sz w:val="22"/>
          <w:szCs w:val="22"/>
        </w:rPr>
        <w:t xml:space="preserve"> NPFI informed AFMA that it supports the </w:t>
      </w:r>
      <w:r w:rsidR="00021037" w:rsidRPr="00357363">
        <w:rPr>
          <w:sz w:val="22"/>
          <w:szCs w:val="22"/>
        </w:rPr>
        <w:t>permanent area closures</w:t>
      </w:r>
      <w:r w:rsidR="00C903E3" w:rsidRPr="00357363">
        <w:rPr>
          <w:sz w:val="22"/>
          <w:szCs w:val="22"/>
        </w:rPr>
        <w:t xml:space="preserve">. </w:t>
      </w:r>
      <w:r w:rsidR="00822A02" w:rsidRPr="00357363">
        <w:rPr>
          <w:sz w:val="22"/>
          <w:szCs w:val="22"/>
        </w:rPr>
        <w:t xml:space="preserve">In </w:t>
      </w:r>
      <w:r w:rsidR="001D57E6" w:rsidRPr="00357363">
        <w:rPr>
          <w:sz w:val="22"/>
          <w:szCs w:val="22"/>
        </w:rPr>
        <w:t>February 2021</w:t>
      </w:r>
      <w:r w:rsidR="00822A02" w:rsidRPr="00357363">
        <w:rPr>
          <w:sz w:val="22"/>
          <w:szCs w:val="22"/>
        </w:rPr>
        <w:t xml:space="preserve">, </w:t>
      </w:r>
      <w:r w:rsidR="00C903E3" w:rsidRPr="00357363">
        <w:rPr>
          <w:sz w:val="22"/>
          <w:szCs w:val="22"/>
        </w:rPr>
        <w:t xml:space="preserve">NORMAC was informed of the proposed changes. </w:t>
      </w:r>
      <w:r w:rsidR="00335F90" w:rsidRPr="00357363">
        <w:rPr>
          <w:sz w:val="22"/>
          <w:szCs w:val="22"/>
        </w:rPr>
        <w:t>Seven</w:t>
      </w:r>
      <w:r w:rsidR="00C903E3" w:rsidRPr="00357363">
        <w:rPr>
          <w:sz w:val="22"/>
          <w:szCs w:val="22"/>
        </w:rPr>
        <w:t xml:space="preserve"> out of nine NORMAC members provided comments, all in support of </w:t>
      </w:r>
      <w:r w:rsidR="00822A02" w:rsidRPr="00357363">
        <w:rPr>
          <w:sz w:val="22"/>
          <w:szCs w:val="22"/>
        </w:rPr>
        <w:t>the proposed changes.</w:t>
      </w:r>
      <w:r w:rsidR="00C903E3" w:rsidRPr="00357363">
        <w:rPr>
          <w:sz w:val="22"/>
          <w:szCs w:val="22"/>
        </w:rPr>
        <w:t xml:space="preserve"> </w:t>
      </w:r>
      <w:r w:rsidR="00822A02" w:rsidRPr="00357363">
        <w:rPr>
          <w:sz w:val="22"/>
          <w:szCs w:val="22"/>
        </w:rPr>
        <w:t xml:space="preserve">In </w:t>
      </w:r>
      <w:r w:rsidR="00685306" w:rsidRPr="00357363">
        <w:rPr>
          <w:sz w:val="22"/>
          <w:szCs w:val="22"/>
        </w:rPr>
        <w:t>February 2021</w:t>
      </w:r>
      <w:r w:rsidR="00822A02" w:rsidRPr="00357363">
        <w:rPr>
          <w:sz w:val="22"/>
          <w:szCs w:val="22"/>
        </w:rPr>
        <w:t xml:space="preserve">, </w:t>
      </w:r>
      <w:r w:rsidRPr="00357363">
        <w:rPr>
          <w:sz w:val="22"/>
          <w:szCs w:val="22"/>
        </w:rPr>
        <w:t xml:space="preserve">NORMAC and NPFI </w:t>
      </w:r>
      <w:r w:rsidR="00822A02" w:rsidRPr="00357363">
        <w:rPr>
          <w:sz w:val="22"/>
          <w:szCs w:val="22"/>
        </w:rPr>
        <w:t>were sent a draft copy of the Direction</w:t>
      </w:r>
      <w:r w:rsidRPr="00357363">
        <w:rPr>
          <w:sz w:val="22"/>
          <w:szCs w:val="22"/>
        </w:rPr>
        <w:t xml:space="preserve">. </w:t>
      </w:r>
    </w:p>
    <w:p w14:paraId="40ED28F4" w14:textId="393379D4" w:rsidR="00725838" w:rsidRPr="00357363" w:rsidRDefault="00725838" w:rsidP="00873613">
      <w:pPr>
        <w:pStyle w:val="AFMANormal"/>
        <w:spacing w:before="120" w:after="120"/>
        <w:rPr>
          <w:sz w:val="22"/>
          <w:szCs w:val="22"/>
        </w:rPr>
      </w:pPr>
      <w:r w:rsidRPr="00357363">
        <w:rPr>
          <w:sz w:val="22"/>
          <w:szCs w:val="22"/>
        </w:rPr>
        <w:lastRenderedPageBreak/>
        <w:t>NPFI is the peak industry body and represents approximately 95% of the concession holders in the Fishery. NPFI keep all concession holders in the Fishery informed on matters relating to the management of the Fishery. NPFI and NORMAC support the</w:t>
      </w:r>
      <w:r w:rsidR="00021037" w:rsidRPr="00357363">
        <w:rPr>
          <w:sz w:val="22"/>
          <w:szCs w:val="22"/>
        </w:rPr>
        <w:t xml:space="preserve"> permanent</w:t>
      </w:r>
      <w:r w:rsidRPr="00357363">
        <w:rPr>
          <w:sz w:val="22"/>
          <w:szCs w:val="22"/>
        </w:rPr>
        <w:t xml:space="preserve"> </w:t>
      </w:r>
      <w:r w:rsidR="00021037" w:rsidRPr="00357363">
        <w:rPr>
          <w:sz w:val="22"/>
          <w:szCs w:val="22"/>
        </w:rPr>
        <w:t>areas closures</w:t>
      </w:r>
      <w:r w:rsidRPr="00357363">
        <w:rPr>
          <w:sz w:val="22"/>
          <w:szCs w:val="22"/>
        </w:rPr>
        <w:t xml:space="preserve"> and support the making of the Direction.</w:t>
      </w:r>
    </w:p>
    <w:p w14:paraId="38326563" w14:textId="77777777" w:rsidR="00CD4B7C" w:rsidRPr="00357363" w:rsidRDefault="00CD4B7C" w:rsidP="00873613">
      <w:pPr>
        <w:spacing w:before="120" w:after="120"/>
        <w:jc w:val="both"/>
        <w:rPr>
          <w:b/>
          <w:sz w:val="22"/>
          <w:szCs w:val="22"/>
        </w:rPr>
      </w:pPr>
      <w:r w:rsidRPr="00357363">
        <w:rPr>
          <w:b/>
          <w:sz w:val="22"/>
          <w:szCs w:val="22"/>
        </w:rPr>
        <w:t>Regulation Impact Statement</w:t>
      </w:r>
    </w:p>
    <w:p w14:paraId="00684B4E" w14:textId="77777777" w:rsidR="00CD4B7C" w:rsidRPr="00357363" w:rsidRDefault="00ED0745" w:rsidP="00873613">
      <w:pPr>
        <w:spacing w:before="120" w:after="120"/>
        <w:jc w:val="both"/>
        <w:rPr>
          <w:snapToGrid w:val="0"/>
          <w:kern w:val="20"/>
          <w:sz w:val="22"/>
          <w:szCs w:val="22"/>
        </w:rPr>
      </w:pPr>
      <w:r w:rsidRPr="00357363">
        <w:rPr>
          <w:snapToGrid w:val="0"/>
          <w:kern w:val="20"/>
          <w:sz w:val="22"/>
          <w:szCs w:val="22"/>
        </w:rPr>
        <w:t>The Office of Best Practice Regulation has advised that a Regulation Impact Statement is not required for this instrument consistent with the carve-out agreement with AFMA (OBPR reference 14421) for instruments of a minor or machinery nature.</w:t>
      </w:r>
    </w:p>
    <w:p w14:paraId="3C1D95A0" w14:textId="77777777" w:rsidR="00CD4B7C" w:rsidRPr="00357363" w:rsidRDefault="00CD4B7C" w:rsidP="00873613">
      <w:pPr>
        <w:spacing w:before="120" w:after="120"/>
        <w:rPr>
          <w:b/>
          <w:sz w:val="22"/>
          <w:szCs w:val="22"/>
          <w:lang w:val="en-US"/>
        </w:rPr>
      </w:pPr>
      <w:r w:rsidRPr="00357363">
        <w:rPr>
          <w:b/>
          <w:sz w:val="22"/>
          <w:szCs w:val="22"/>
          <w:lang w:val="en-US"/>
        </w:rPr>
        <w:t xml:space="preserve">Statement of compatibility prepared in accordance with Part 3 of the </w:t>
      </w:r>
      <w:r w:rsidRPr="00357363">
        <w:rPr>
          <w:b/>
          <w:i/>
          <w:sz w:val="22"/>
          <w:szCs w:val="22"/>
          <w:lang w:val="en-US"/>
        </w:rPr>
        <w:t xml:space="preserve">Human Rights (Parliamentary Scrutiny) Act 2011 </w:t>
      </w:r>
    </w:p>
    <w:p w14:paraId="38C485BC" w14:textId="5A783FF9" w:rsidR="00E32A6C" w:rsidRPr="00357363" w:rsidRDefault="00E32A6C" w:rsidP="00873613">
      <w:pPr>
        <w:spacing w:before="120" w:after="120"/>
        <w:jc w:val="both"/>
        <w:rPr>
          <w:b/>
          <w:sz w:val="22"/>
          <w:szCs w:val="22"/>
          <w:lang w:eastAsia="en-AU"/>
        </w:rPr>
      </w:pPr>
      <w:r w:rsidRPr="00357363">
        <w:rPr>
          <w:sz w:val="22"/>
          <w:szCs w:val="22"/>
          <w:lang w:eastAsia="en-AU"/>
        </w:rPr>
        <w:t xml:space="preserve">This legislative instrument is </w:t>
      </w:r>
      <w:r w:rsidRPr="00357363">
        <w:rPr>
          <w:iCs/>
          <w:sz w:val="22"/>
          <w:szCs w:val="22"/>
          <w:lang w:eastAsia="en-AU"/>
        </w:rPr>
        <w:t xml:space="preserve">compatible with the human rights and freedoms </w:t>
      </w:r>
      <w:r w:rsidRPr="00357363">
        <w:rPr>
          <w:sz w:val="22"/>
          <w:szCs w:val="22"/>
          <w:lang w:eastAsia="en-AU"/>
        </w:rPr>
        <w:t xml:space="preserve">under section 3 of the </w:t>
      </w:r>
      <w:r w:rsidRPr="00357363">
        <w:rPr>
          <w:i/>
          <w:iCs/>
          <w:sz w:val="22"/>
          <w:szCs w:val="22"/>
          <w:lang w:eastAsia="en-AU"/>
        </w:rPr>
        <w:t>Human Rights (Parliamentary Scrutiny) Act 2011</w:t>
      </w:r>
      <w:r w:rsidRPr="00357363">
        <w:rPr>
          <w:sz w:val="22"/>
          <w:szCs w:val="22"/>
          <w:lang w:eastAsia="en-AU"/>
        </w:rPr>
        <w:t xml:space="preserve">. A full statement of compatibility is set out in </w:t>
      </w:r>
      <w:r w:rsidRPr="00357363">
        <w:rPr>
          <w:b/>
          <w:sz w:val="22"/>
          <w:szCs w:val="22"/>
          <w:u w:val="single"/>
          <w:lang w:eastAsia="en-AU"/>
        </w:rPr>
        <w:t>Attachment A</w:t>
      </w:r>
      <w:r w:rsidRPr="00357363">
        <w:rPr>
          <w:sz w:val="22"/>
          <w:szCs w:val="22"/>
          <w:lang w:eastAsia="en-AU"/>
        </w:rPr>
        <w:t>.</w:t>
      </w:r>
    </w:p>
    <w:p w14:paraId="5914AD25" w14:textId="241070C7" w:rsidR="00725838" w:rsidRPr="00357363" w:rsidRDefault="00FE5923" w:rsidP="00E32A6C">
      <w:pPr>
        <w:spacing w:before="120" w:after="120"/>
        <w:jc w:val="both"/>
        <w:rPr>
          <w:b/>
          <w:sz w:val="22"/>
          <w:szCs w:val="22"/>
        </w:rPr>
      </w:pPr>
      <w:r w:rsidRPr="00357363">
        <w:rPr>
          <w:b/>
          <w:sz w:val="22"/>
          <w:szCs w:val="22"/>
          <w:lang w:eastAsia="en-AU"/>
        </w:rPr>
        <w:t xml:space="preserve">Details of the Direction are set out </w:t>
      </w:r>
      <w:r w:rsidR="00E32A6C" w:rsidRPr="00357363">
        <w:rPr>
          <w:b/>
          <w:sz w:val="22"/>
          <w:szCs w:val="22"/>
          <w:lang w:eastAsia="en-AU"/>
        </w:rPr>
        <w:t>below:</w:t>
      </w:r>
    </w:p>
    <w:p w14:paraId="4F6E5A38" w14:textId="6A74CF86" w:rsidR="00CD4B7C" w:rsidRPr="00357363" w:rsidRDefault="0030695C" w:rsidP="00873613">
      <w:pPr>
        <w:spacing w:before="120" w:after="120"/>
        <w:ind w:left="1985" w:hanging="1985"/>
        <w:jc w:val="both"/>
        <w:rPr>
          <w:sz w:val="22"/>
          <w:szCs w:val="22"/>
        </w:rPr>
      </w:pPr>
      <w:r w:rsidRPr="00357363">
        <w:rPr>
          <w:b/>
          <w:i/>
          <w:sz w:val="22"/>
          <w:szCs w:val="22"/>
        </w:rPr>
        <w:t>Section</w:t>
      </w:r>
      <w:r w:rsidR="00CD4B7C" w:rsidRPr="00357363">
        <w:rPr>
          <w:b/>
          <w:i/>
          <w:sz w:val="22"/>
          <w:szCs w:val="22"/>
        </w:rPr>
        <w:t xml:space="preserve"> 1</w:t>
      </w:r>
      <w:r w:rsidR="00CD4B7C" w:rsidRPr="00357363">
        <w:rPr>
          <w:sz w:val="22"/>
          <w:szCs w:val="22"/>
        </w:rPr>
        <w:tab/>
        <w:t xml:space="preserve">Provides for the Direction to be cited as the </w:t>
      </w:r>
      <w:r w:rsidRPr="00357363">
        <w:rPr>
          <w:i/>
          <w:sz w:val="22"/>
          <w:szCs w:val="22"/>
        </w:rPr>
        <w:t>Fisheries Management</w:t>
      </w:r>
      <w:r w:rsidRPr="00357363">
        <w:rPr>
          <w:sz w:val="22"/>
          <w:szCs w:val="22"/>
        </w:rPr>
        <w:t xml:space="preserve"> (</w:t>
      </w:r>
      <w:r w:rsidR="00091295" w:rsidRPr="00357363">
        <w:rPr>
          <w:i/>
          <w:sz w:val="22"/>
          <w:szCs w:val="22"/>
          <w:lang w:eastAsia="en-AU"/>
        </w:rPr>
        <w:t xml:space="preserve">Northern Prawn Fishery </w:t>
      </w:r>
      <w:r w:rsidR="00FE5923" w:rsidRPr="00357363">
        <w:rPr>
          <w:i/>
          <w:sz w:val="22"/>
          <w:szCs w:val="22"/>
          <w:lang w:eastAsia="en-AU"/>
        </w:rPr>
        <w:t>Permanent Closures</w:t>
      </w:r>
      <w:r w:rsidR="00CD4B7C" w:rsidRPr="00357363">
        <w:rPr>
          <w:i/>
          <w:sz w:val="22"/>
          <w:szCs w:val="22"/>
          <w:lang w:eastAsia="en-AU"/>
        </w:rPr>
        <w:t xml:space="preserve">) </w:t>
      </w:r>
      <w:r w:rsidR="00CD4B7C" w:rsidRPr="00357363">
        <w:rPr>
          <w:i/>
          <w:sz w:val="22"/>
          <w:szCs w:val="22"/>
        </w:rPr>
        <w:t xml:space="preserve">Direction </w:t>
      </w:r>
      <w:r w:rsidRPr="00357363">
        <w:rPr>
          <w:i/>
          <w:sz w:val="22"/>
          <w:szCs w:val="22"/>
        </w:rPr>
        <w:t>202</w:t>
      </w:r>
      <w:r w:rsidR="002C2CF3" w:rsidRPr="00357363">
        <w:rPr>
          <w:i/>
          <w:sz w:val="22"/>
          <w:szCs w:val="22"/>
        </w:rPr>
        <w:t>1</w:t>
      </w:r>
      <w:r w:rsidR="00CD4B7C" w:rsidRPr="00357363">
        <w:rPr>
          <w:sz w:val="22"/>
          <w:szCs w:val="22"/>
        </w:rPr>
        <w:t>.</w:t>
      </w:r>
    </w:p>
    <w:p w14:paraId="5788041D" w14:textId="65422169" w:rsidR="00CD4B7C" w:rsidRPr="00357363" w:rsidRDefault="0030695C" w:rsidP="00873613">
      <w:pPr>
        <w:spacing w:before="120" w:after="120"/>
        <w:ind w:left="1985" w:hanging="1985"/>
        <w:jc w:val="both"/>
        <w:rPr>
          <w:sz w:val="22"/>
          <w:szCs w:val="22"/>
        </w:rPr>
      </w:pPr>
      <w:r w:rsidRPr="00357363">
        <w:rPr>
          <w:b/>
          <w:i/>
          <w:sz w:val="22"/>
          <w:szCs w:val="22"/>
        </w:rPr>
        <w:t>Section</w:t>
      </w:r>
      <w:r w:rsidR="00CD4B7C" w:rsidRPr="00357363">
        <w:rPr>
          <w:b/>
          <w:i/>
          <w:sz w:val="22"/>
          <w:szCs w:val="22"/>
        </w:rPr>
        <w:t xml:space="preserve"> 2</w:t>
      </w:r>
      <w:r w:rsidR="00CD4B7C" w:rsidRPr="00357363">
        <w:rPr>
          <w:b/>
          <w:sz w:val="22"/>
          <w:szCs w:val="22"/>
        </w:rPr>
        <w:tab/>
      </w:r>
      <w:r w:rsidR="00CD4B7C" w:rsidRPr="00357363">
        <w:rPr>
          <w:sz w:val="22"/>
          <w:szCs w:val="22"/>
        </w:rPr>
        <w:t>Provides that the Direction commences on</w:t>
      </w:r>
      <w:r w:rsidR="00FE5923" w:rsidRPr="00357363">
        <w:rPr>
          <w:sz w:val="22"/>
          <w:szCs w:val="22"/>
        </w:rPr>
        <w:t xml:space="preserve"> the 14th day after it is registered</w:t>
      </w:r>
      <w:r w:rsidR="00CD4B7C" w:rsidRPr="00357363">
        <w:rPr>
          <w:sz w:val="22"/>
          <w:szCs w:val="22"/>
        </w:rPr>
        <w:t>.</w:t>
      </w:r>
    </w:p>
    <w:p w14:paraId="1812AA59" w14:textId="77777777" w:rsidR="00DF6A7B" w:rsidRPr="00357363" w:rsidRDefault="0030695C" w:rsidP="00873613">
      <w:pPr>
        <w:spacing w:before="120" w:after="120"/>
        <w:ind w:left="1985" w:hanging="1985"/>
        <w:jc w:val="both"/>
        <w:rPr>
          <w:sz w:val="22"/>
          <w:szCs w:val="22"/>
        </w:rPr>
      </w:pPr>
      <w:r w:rsidRPr="00357363">
        <w:rPr>
          <w:b/>
          <w:i/>
          <w:sz w:val="22"/>
          <w:szCs w:val="22"/>
        </w:rPr>
        <w:t>Section 3</w:t>
      </w:r>
      <w:r w:rsidR="00DF6A7B" w:rsidRPr="00357363">
        <w:rPr>
          <w:b/>
          <w:i/>
          <w:sz w:val="22"/>
          <w:szCs w:val="22"/>
        </w:rPr>
        <w:tab/>
      </w:r>
      <w:r w:rsidR="00DF6A7B" w:rsidRPr="00357363">
        <w:rPr>
          <w:sz w:val="22"/>
          <w:szCs w:val="22"/>
        </w:rPr>
        <w:t>Provides that th</w:t>
      </w:r>
      <w:r w:rsidR="000E1073" w:rsidRPr="00357363">
        <w:rPr>
          <w:sz w:val="22"/>
          <w:szCs w:val="22"/>
        </w:rPr>
        <w:t>e</w:t>
      </w:r>
      <w:r w:rsidR="00DF6A7B" w:rsidRPr="00357363">
        <w:rPr>
          <w:sz w:val="22"/>
          <w:szCs w:val="22"/>
        </w:rPr>
        <w:t xml:space="preserve"> Direction is made under subsection 41A of the </w:t>
      </w:r>
      <w:r w:rsidR="00DF6A7B" w:rsidRPr="00357363">
        <w:rPr>
          <w:i/>
          <w:sz w:val="22"/>
          <w:szCs w:val="22"/>
        </w:rPr>
        <w:t>Fisheries Management Act 1991</w:t>
      </w:r>
      <w:r w:rsidR="00DF6A7B" w:rsidRPr="00357363">
        <w:rPr>
          <w:sz w:val="22"/>
          <w:szCs w:val="22"/>
        </w:rPr>
        <w:t>.</w:t>
      </w:r>
    </w:p>
    <w:p w14:paraId="1F1DDBB2" w14:textId="06D4E757" w:rsidR="00CD4B7C" w:rsidRPr="00357363" w:rsidRDefault="0030695C" w:rsidP="00873613">
      <w:pPr>
        <w:spacing w:before="120" w:after="120"/>
        <w:ind w:left="1985" w:hanging="1985"/>
        <w:jc w:val="both"/>
        <w:rPr>
          <w:i/>
          <w:sz w:val="22"/>
          <w:szCs w:val="22"/>
        </w:rPr>
      </w:pPr>
      <w:r w:rsidRPr="00357363">
        <w:rPr>
          <w:b/>
          <w:i/>
          <w:sz w:val="22"/>
          <w:szCs w:val="22"/>
        </w:rPr>
        <w:t>Section 4</w:t>
      </w:r>
      <w:r w:rsidR="00CD4B7C" w:rsidRPr="00357363">
        <w:rPr>
          <w:b/>
          <w:i/>
          <w:sz w:val="22"/>
          <w:szCs w:val="22"/>
        </w:rPr>
        <w:tab/>
      </w:r>
      <w:r w:rsidR="00A10984" w:rsidRPr="00357363">
        <w:rPr>
          <w:sz w:val="22"/>
          <w:szCs w:val="22"/>
        </w:rPr>
        <w:t>Defines certain terms for the purpose of the Direction and p</w:t>
      </w:r>
      <w:r w:rsidR="00CD4B7C" w:rsidRPr="00357363">
        <w:rPr>
          <w:sz w:val="22"/>
          <w:szCs w:val="22"/>
        </w:rPr>
        <w:t>rovides that</w:t>
      </w:r>
      <w:r w:rsidR="00000964" w:rsidRPr="00357363">
        <w:rPr>
          <w:sz w:val="22"/>
          <w:szCs w:val="22"/>
        </w:rPr>
        <w:t xml:space="preserve"> a term used in the Direction and in the Act has the meaning given in the Act, and</w:t>
      </w:r>
      <w:r w:rsidR="00CD4B7C" w:rsidRPr="00357363">
        <w:rPr>
          <w:sz w:val="22"/>
          <w:szCs w:val="22"/>
        </w:rPr>
        <w:t xml:space="preserve"> a term used in the Direction and in the Plan has the meaning </w:t>
      </w:r>
      <w:r w:rsidR="00A10984" w:rsidRPr="00357363">
        <w:rPr>
          <w:sz w:val="22"/>
          <w:szCs w:val="22"/>
        </w:rPr>
        <w:t>given</w:t>
      </w:r>
      <w:r w:rsidR="00CD4B7C" w:rsidRPr="00357363">
        <w:rPr>
          <w:sz w:val="22"/>
          <w:szCs w:val="22"/>
        </w:rPr>
        <w:t xml:space="preserve"> in the Plan</w:t>
      </w:r>
      <w:r w:rsidR="00CD4B7C" w:rsidRPr="00357363">
        <w:rPr>
          <w:i/>
          <w:sz w:val="22"/>
          <w:szCs w:val="22"/>
        </w:rPr>
        <w:t>.</w:t>
      </w:r>
    </w:p>
    <w:p w14:paraId="5781FA74" w14:textId="08F89E4F" w:rsidR="000E1073" w:rsidRPr="00357363" w:rsidRDefault="0030695C" w:rsidP="00873613">
      <w:pPr>
        <w:spacing w:before="120" w:after="120"/>
        <w:ind w:left="1985" w:hanging="1985"/>
        <w:jc w:val="both"/>
        <w:rPr>
          <w:sz w:val="22"/>
          <w:szCs w:val="22"/>
        </w:rPr>
      </w:pPr>
      <w:r w:rsidRPr="00357363">
        <w:rPr>
          <w:b/>
          <w:i/>
          <w:sz w:val="22"/>
          <w:szCs w:val="22"/>
        </w:rPr>
        <w:t xml:space="preserve">Section 5 </w:t>
      </w:r>
      <w:r w:rsidRPr="00357363">
        <w:rPr>
          <w:b/>
          <w:i/>
          <w:sz w:val="22"/>
          <w:szCs w:val="22"/>
        </w:rPr>
        <w:tab/>
      </w:r>
      <w:r w:rsidR="000E1073" w:rsidRPr="00357363">
        <w:rPr>
          <w:sz w:val="22"/>
          <w:szCs w:val="22"/>
        </w:rPr>
        <w:t>Provides</w:t>
      </w:r>
      <w:r w:rsidR="000E1073" w:rsidRPr="00357363">
        <w:rPr>
          <w:b/>
          <w:i/>
          <w:sz w:val="22"/>
          <w:szCs w:val="22"/>
        </w:rPr>
        <w:t xml:space="preserve"> </w:t>
      </w:r>
      <w:r w:rsidR="000E1073" w:rsidRPr="00357363">
        <w:rPr>
          <w:sz w:val="22"/>
          <w:szCs w:val="22"/>
        </w:rPr>
        <w:t>t</w:t>
      </w:r>
      <w:r w:rsidRPr="00357363">
        <w:rPr>
          <w:sz w:val="22"/>
          <w:szCs w:val="22"/>
        </w:rPr>
        <w:t>he instrument th</w:t>
      </w:r>
      <w:r w:rsidR="007B11BA" w:rsidRPr="00357363">
        <w:rPr>
          <w:sz w:val="22"/>
          <w:szCs w:val="22"/>
        </w:rPr>
        <w:t>at is specified in Schedule 2</w:t>
      </w:r>
      <w:r w:rsidRPr="00357363">
        <w:rPr>
          <w:sz w:val="22"/>
          <w:szCs w:val="22"/>
        </w:rPr>
        <w:t xml:space="preserve"> to the Direction is repealed as set out in the applicable items in that Schedule. </w:t>
      </w:r>
    </w:p>
    <w:p w14:paraId="30721639" w14:textId="680F6728" w:rsidR="0030695C" w:rsidRPr="00357363" w:rsidRDefault="000E1073" w:rsidP="009313EE">
      <w:pPr>
        <w:spacing w:before="120" w:after="120"/>
        <w:ind w:left="1985"/>
        <w:jc w:val="both"/>
        <w:rPr>
          <w:i/>
          <w:sz w:val="22"/>
          <w:szCs w:val="22"/>
        </w:rPr>
      </w:pPr>
      <w:r w:rsidRPr="00357363">
        <w:rPr>
          <w:sz w:val="22"/>
          <w:szCs w:val="22"/>
        </w:rPr>
        <w:t>Provides</w:t>
      </w:r>
      <w:r w:rsidRPr="00357363">
        <w:rPr>
          <w:b/>
          <w:i/>
          <w:sz w:val="22"/>
          <w:szCs w:val="22"/>
        </w:rPr>
        <w:t xml:space="preserve"> </w:t>
      </w:r>
      <w:r w:rsidR="00021037" w:rsidRPr="00357363">
        <w:rPr>
          <w:sz w:val="22"/>
          <w:szCs w:val="22"/>
        </w:rPr>
        <w:t>Schedule</w:t>
      </w:r>
      <w:r w:rsidR="0030695C" w:rsidRPr="00357363">
        <w:rPr>
          <w:sz w:val="22"/>
          <w:szCs w:val="22"/>
        </w:rPr>
        <w:t xml:space="preserve"> 1 </w:t>
      </w:r>
      <w:r w:rsidR="00021037" w:rsidRPr="00357363">
        <w:rPr>
          <w:sz w:val="22"/>
          <w:szCs w:val="22"/>
        </w:rPr>
        <w:t>to the Direction has effect according to its</w:t>
      </w:r>
      <w:r w:rsidR="0030695C" w:rsidRPr="00357363">
        <w:rPr>
          <w:sz w:val="22"/>
          <w:szCs w:val="22"/>
        </w:rPr>
        <w:t xml:space="preserve"> terms</w:t>
      </w:r>
      <w:r w:rsidR="00EA5452" w:rsidRPr="00357363">
        <w:rPr>
          <w:sz w:val="22"/>
          <w:szCs w:val="22"/>
        </w:rPr>
        <w:t>.</w:t>
      </w:r>
    </w:p>
    <w:p w14:paraId="23CB59A2" w14:textId="77777777" w:rsidR="00643FC4" w:rsidRPr="00357363" w:rsidRDefault="0030695C" w:rsidP="009313EE">
      <w:pPr>
        <w:spacing w:before="120" w:after="100" w:afterAutospacing="1"/>
        <w:ind w:left="1985" w:right="-1" w:hanging="1985"/>
        <w:rPr>
          <w:sz w:val="22"/>
          <w:szCs w:val="22"/>
        </w:rPr>
      </w:pPr>
      <w:r w:rsidRPr="00357363">
        <w:rPr>
          <w:b/>
          <w:i/>
          <w:sz w:val="22"/>
          <w:szCs w:val="22"/>
        </w:rPr>
        <w:t>Section</w:t>
      </w:r>
      <w:r w:rsidR="00643FC4" w:rsidRPr="00357363">
        <w:rPr>
          <w:b/>
          <w:i/>
          <w:sz w:val="22"/>
          <w:szCs w:val="22"/>
        </w:rPr>
        <w:t xml:space="preserve"> </w:t>
      </w:r>
      <w:r w:rsidR="00DF6A7B" w:rsidRPr="00357363">
        <w:rPr>
          <w:b/>
          <w:i/>
          <w:sz w:val="22"/>
          <w:szCs w:val="22"/>
        </w:rPr>
        <w:t>6</w:t>
      </w:r>
      <w:r w:rsidR="00643FC4" w:rsidRPr="00357363">
        <w:rPr>
          <w:sz w:val="22"/>
          <w:szCs w:val="22"/>
        </w:rPr>
        <w:tab/>
        <w:t>States that the Direction applies to a holder of a fishing concession in the Northern Prawn Fishery and to a person acting on behalf of the holder.</w:t>
      </w:r>
    </w:p>
    <w:p w14:paraId="70760164" w14:textId="77777777" w:rsidR="00021037" w:rsidRPr="00357363" w:rsidRDefault="0030695C" w:rsidP="009313EE">
      <w:pPr>
        <w:spacing w:before="120" w:after="120"/>
        <w:ind w:left="1985" w:right="-1" w:hanging="1985"/>
        <w:rPr>
          <w:sz w:val="22"/>
          <w:szCs w:val="22"/>
        </w:rPr>
      </w:pPr>
      <w:r w:rsidRPr="00357363">
        <w:rPr>
          <w:b/>
          <w:i/>
          <w:sz w:val="22"/>
          <w:szCs w:val="22"/>
        </w:rPr>
        <w:t>Section</w:t>
      </w:r>
      <w:r w:rsidR="000E1073" w:rsidRPr="00357363">
        <w:rPr>
          <w:b/>
          <w:i/>
          <w:sz w:val="22"/>
          <w:szCs w:val="22"/>
        </w:rPr>
        <w:t xml:space="preserve"> </w:t>
      </w:r>
      <w:r w:rsidR="00DF6A7B" w:rsidRPr="00357363">
        <w:rPr>
          <w:b/>
          <w:i/>
          <w:sz w:val="22"/>
          <w:szCs w:val="22"/>
        </w:rPr>
        <w:t>7</w:t>
      </w:r>
      <w:r w:rsidR="00091295" w:rsidRPr="00357363">
        <w:rPr>
          <w:sz w:val="22"/>
          <w:szCs w:val="22"/>
        </w:rPr>
        <w:tab/>
      </w:r>
      <w:r w:rsidR="00DF6A7B" w:rsidRPr="00357363">
        <w:rPr>
          <w:sz w:val="22"/>
          <w:szCs w:val="22"/>
        </w:rPr>
        <w:t>S</w:t>
      </w:r>
      <w:r w:rsidR="00B4323F" w:rsidRPr="00357363">
        <w:rPr>
          <w:sz w:val="22"/>
          <w:szCs w:val="22"/>
        </w:rPr>
        <w:t>tates that fishing must not be engaged in</w:t>
      </w:r>
      <w:r w:rsidR="009D463A" w:rsidRPr="00357363">
        <w:rPr>
          <w:sz w:val="22"/>
          <w:szCs w:val="22"/>
        </w:rPr>
        <w:t xml:space="preserve"> in the Fishery</w:t>
      </w:r>
      <w:r w:rsidR="00021037" w:rsidRPr="00357363">
        <w:rPr>
          <w:sz w:val="22"/>
          <w:szCs w:val="22"/>
        </w:rPr>
        <w:t xml:space="preserve"> in the areas specified in Schedule 1 of the Direction</w:t>
      </w:r>
      <w:r w:rsidR="00B4323F" w:rsidRPr="00357363">
        <w:rPr>
          <w:sz w:val="22"/>
          <w:szCs w:val="22"/>
        </w:rPr>
        <w:t>.</w:t>
      </w:r>
    </w:p>
    <w:p w14:paraId="4B3A55EC" w14:textId="5FED34FD" w:rsidR="00091295" w:rsidRPr="00357363" w:rsidRDefault="00021037" w:rsidP="009313EE">
      <w:pPr>
        <w:spacing w:before="120" w:after="120"/>
        <w:ind w:left="1985" w:right="-1" w:hanging="1985"/>
        <w:rPr>
          <w:sz w:val="22"/>
          <w:szCs w:val="22"/>
        </w:rPr>
      </w:pPr>
      <w:r w:rsidRPr="00357363">
        <w:rPr>
          <w:b/>
          <w:i/>
          <w:sz w:val="22"/>
          <w:szCs w:val="22"/>
        </w:rPr>
        <w:t>Section 8</w:t>
      </w:r>
      <w:r w:rsidRPr="00357363">
        <w:rPr>
          <w:b/>
          <w:i/>
          <w:sz w:val="22"/>
          <w:szCs w:val="22"/>
        </w:rPr>
        <w:tab/>
      </w:r>
      <w:r w:rsidR="007B11BA" w:rsidRPr="00357363">
        <w:rPr>
          <w:sz w:val="22"/>
          <w:szCs w:val="22"/>
        </w:rPr>
        <w:t xml:space="preserve">Provides </w:t>
      </w:r>
      <w:r w:rsidR="00AA5657" w:rsidRPr="00357363">
        <w:rPr>
          <w:sz w:val="22"/>
          <w:szCs w:val="22"/>
        </w:rPr>
        <w:t>for an exemption to Section 7</w:t>
      </w:r>
      <w:r w:rsidR="007B11BA" w:rsidRPr="00357363">
        <w:rPr>
          <w:sz w:val="22"/>
          <w:szCs w:val="22"/>
        </w:rPr>
        <w:t>.</w:t>
      </w:r>
      <w:r w:rsidR="00B4323F" w:rsidRPr="00357363">
        <w:rPr>
          <w:sz w:val="22"/>
          <w:szCs w:val="22"/>
        </w:rPr>
        <w:t xml:space="preserve"> </w:t>
      </w:r>
      <w:r w:rsidR="008A723D" w:rsidRPr="00357363">
        <w:rPr>
          <w:sz w:val="22"/>
          <w:szCs w:val="22"/>
        </w:rPr>
        <w:tab/>
      </w:r>
      <w:r w:rsidR="00B4323F" w:rsidRPr="00357363">
        <w:rPr>
          <w:sz w:val="22"/>
          <w:szCs w:val="22"/>
        </w:rPr>
        <w:t xml:space="preserve"> </w:t>
      </w:r>
    </w:p>
    <w:p w14:paraId="17FF0FCF" w14:textId="39FF4732" w:rsidR="00091295" w:rsidRPr="00357363" w:rsidRDefault="00091295" w:rsidP="000E1073">
      <w:pPr>
        <w:spacing w:before="120"/>
        <w:ind w:left="1985" w:right="-1" w:hanging="1985"/>
        <w:jc w:val="both"/>
        <w:rPr>
          <w:sz w:val="22"/>
          <w:szCs w:val="22"/>
        </w:rPr>
      </w:pPr>
      <w:r w:rsidRPr="00357363">
        <w:rPr>
          <w:b/>
          <w:i/>
          <w:sz w:val="22"/>
          <w:szCs w:val="22"/>
        </w:rPr>
        <w:t>Schedule 1</w:t>
      </w:r>
      <w:r w:rsidR="000E1073" w:rsidRPr="00357363">
        <w:rPr>
          <w:sz w:val="22"/>
          <w:szCs w:val="22"/>
        </w:rPr>
        <w:tab/>
      </w:r>
      <w:r w:rsidRPr="00357363">
        <w:rPr>
          <w:sz w:val="22"/>
          <w:szCs w:val="22"/>
        </w:rPr>
        <w:t xml:space="preserve">Schedule 1 describes the </w:t>
      </w:r>
      <w:r w:rsidR="007B11BA" w:rsidRPr="00357363">
        <w:rPr>
          <w:sz w:val="22"/>
          <w:szCs w:val="22"/>
        </w:rPr>
        <w:t xml:space="preserve">areas where fishing </w:t>
      </w:r>
      <w:r w:rsidR="00AA5657" w:rsidRPr="00357363">
        <w:rPr>
          <w:sz w:val="22"/>
          <w:szCs w:val="22"/>
        </w:rPr>
        <w:t>is prohibited under Section 7</w:t>
      </w:r>
      <w:r w:rsidRPr="00357363">
        <w:rPr>
          <w:sz w:val="22"/>
          <w:szCs w:val="22"/>
        </w:rPr>
        <w:t>.</w:t>
      </w:r>
    </w:p>
    <w:p w14:paraId="49111559" w14:textId="29CDEEC4" w:rsidR="0044503F" w:rsidRPr="00357363" w:rsidRDefault="00091295" w:rsidP="007B11BA">
      <w:pPr>
        <w:tabs>
          <w:tab w:val="left" w:pos="1985"/>
        </w:tabs>
        <w:spacing w:before="120" w:after="120"/>
        <w:ind w:left="1985" w:right="-1" w:hanging="1985"/>
        <w:jc w:val="both"/>
        <w:rPr>
          <w:sz w:val="22"/>
          <w:szCs w:val="22"/>
        </w:rPr>
      </w:pPr>
      <w:r w:rsidRPr="00357363">
        <w:rPr>
          <w:b/>
          <w:i/>
          <w:sz w:val="22"/>
          <w:szCs w:val="22"/>
        </w:rPr>
        <w:t>Schedule 2</w:t>
      </w:r>
      <w:r w:rsidR="000E1073" w:rsidRPr="00357363">
        <w:rPr>
          <w:b/>
          <w:i/>
          <w:sz w:val="22"/>
          <w:szCs w:val="22"/>
        </w:rPr>
        <w:tab/>
      </w:r>
      <w:r w:rsidR="0044503F" w:rsidRPr="00357363">
        <w:rPr>
          <w:sz w:val="22"/>
          <w:szCs w:val="22"/>
        </w:rPr>
        <w:t xml:space="preserve">Schedule </w:t>
      </w:r>
      <w:r w:rsidR="007B11BA" w:rsidRPr="00357363">
        <w:rPr>
          <w:sz w:val="22"/>
          <w:szCs w:val="22"/>
        </w:rPr>
        <w:t>2</w:t>
      </w:r>
      <w:r w:rsidR="0044503F" w:rsidRPr="00357363">
        <w:rPr>
          <w:sz w:val="22"/>
          <w:szCs w:val="22"/>
        </w:rPr>
        <w:t xml:space="preserve"> repeals the </w:t>
      </w:r>
      <w:r w:rsidR="0044503F" w:rsidRPr="00357363">
        <w:rPr>
          <w:i/>
          <w:sz w:val="22"/>
          <w:szCs w:val="22"/>
        </w:rPr>
        <w:t>Northern Prawn Fishery (</w:t>
      </w:r>
      <w:r w:rsidR="007B11BA" w:rsidRPr="00357363">
        <w:rPr>
          <w:i/>
          <w:sz w:val="22"/>
          <w:szCs w:val="22"/>
        </w:rPr>
        <w:t>Closures) Direction No. 169</w:t>
      </w:r>
      <w:r w:rsidR="0044503F" w:rsidRPr="00357363">
        <w:rPr>
          <w:sz w:val="22"/>
          <w:szCs w:val="22"/>
        </w:rPr>
        <w:t>.</w:t>
      </w:r>
    </w:p>
    <w:p w14:paraId="76D81589" w14:textId="27169197" w:rsidR="0083290C" w:rsidRPr="00357363" w:rsidRDefault="0083290C" w:rsidP="001202F8">
      <w:pPr>
        <w:spacing w:before="120"/>
        <w:ind w:left="2160" w:right="-1" w:hanging="2160"/>
        <w:jc w:val="right"/>
        <w:rPr>
          <w:b/>
          <w:sz w:val="22"/>
          <w:szCs w:val="22"/>
        </w:rPr>
      </w:pPr>
      <w:r w:rsidRPr="00357363">
        <w:rPr>
          <w:sz w:val="22"/>
          <w:szCs w:val="22"/>
        </w:rPr>
        <w:br w:type="page"/>
      </w:r>
      <w:r w:rsidR="00E32A6C" w:rsidRPr="00357363">
        <w:rPr>
          <w:b/>
          <w:sz w:val="22"/>
          <w:szCs w:val="22"/>
        </w:rPr>
        <w:t>ATTACHMENT A</w:t>
      </w:r>
    </w:p>
    <w:p w14:paraId="5ABF150A" w14:textId="5E93E050" w:rsidR="0083290C" w:rsidRPr="009313EE" w:rsidRDefault="009313EE" w:rsidP="00091295">
      <w:pPr>
        <w:spacing w:before="120"/>
        <w:ind w:left="2160" w:right="-1" w:hanging="2160"/>
        <w:jc w:val="both"/>
        <w:rPr>
          <w:sz w:val="22"/>
          <w:szCs w:val="22"/>
        </w:rPr>
      </w:pPr>
      <w:r w:rsidRPr="00357363">
        <w:rPr>
          <w:noProof/>
          <w:sz w:val="22"/>
          <w:szCs w:val="22"/>
          <w:lang w:eastAsia="en-AU"/>
        </w:rPr>
        <mc:AlternateContent>
          <mc:Choice Requires="wps">
            <w:drawing>
              <wp:anchor distT="0" distB="0" distL="114300" distR="114300" simplePos="0" relativeHeight="251657728" behindDoc="0" locked="0" layoutInCell="1" allowOverlap="1" wp14:anchorId="6F970C9A" wp14:editId="6362C106">
                <wp:simplePos x="0" y="0"/>
                <wp:positionH relativeFrom="column">
                  <wp:posOffset>-25400</wp:posOffset>
                </wp:positionH>
                <wp:positionV relativeFrom="paragraph">
                  <wp:posOffset>394335</wp:posOffset>
                </wp:positionV>
                <wp:extent cx="6118860" cy="81248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8124825"/>
                        </a:xfrm>
                        <a:prstGeom prst="rect">
                          <a:avLst/>
                        </a:prstGeom>
                        <a:solidFill>
                          <a:srgbClr val="FFFFFF"/>
                        </a:solidFill>
                        <a:ln w="76200" cmpd="tri">
                          <a:solidFill>
                            <a:srgbClr val="000000"/>
                          </a:solidFill>
                          <a:miter lim="800000"/>
                          <a:headEnd/>
                          <a:tailEnd/>
                        </a:ln>
                      </wps:spPr>
                      <wps:txbx>
                        <w:txbxContent>
                          <w:p w14:paraId="07AC1785" w14:textId="77777777" w:rsidR="0083290C" w:rsidRPr="00E4135E" w:rsidRDefault="0083290C" w:rsidP="0083290C">
                            <w:pPr>
                              <w:spacing w:before="360" w:after="120"/>
                              <w:jc w:val="center"/>
                              <w:rPr>
                                <w:b/>
                                <w:sz w:val="28"/>
                                <w:szCs w:val="28"/>
                              </w:rPr>
                            </w:pPr>
                            <w:r w:rsidRPr="00E4135E">
                              <w:rPr>
                                <w:b/>
                                <w:sz w:val="28"/>
                                <w:szCs w:val="28"/>
                              </w:rPr>
                              <w:t>Statement of Compatibility with Human Rights</w:t>
                            </w:r>
                          </w:p>
                          <w:p w14:paraId="700F0A5A" w14:textId="77777777" w:rsidR="0083290C" w:rsidRPr="00E4135E" w:rsidRDefault="0083290C" w:rsidP="0083290C">
                            <w:pPr>
                              <w:spacing w:before="120" w:after="120"/>
                              <w:jc w:val="center"/>
                              <w:rPr>
                                <w:sz w:val="24"/>
                                <w:szCs w:val="24"/>
                              </w:rPr>
                            </w:pPr>
                            <w:r w:rsidRPr="00E4135E">
                              <w:rPr>
                                <w:i/>
                                <w:sz w:val="24"/>
                                <w:szCs w:val="24"/>
                              </w:rPr>
                              <w:t>Prepared in accordance with Part 3 of the Human Rights (Parliamentary Scrutiny) Act 2011</w:t>
                            </w:r>
                          </w:p>
                          <w:p w14:paraId="0C0D1203" w14:textId="77777777" w:rsidR="0083290C" w:rsidRPr="00E4135E" w:rsidRDefault="0083290C" w:rsidP="0083290C">
                            <w:pPr>
                              <w:spacing w:before="120" w:after="120"/>
                              <w:jc w:val="center"/>
                              <w:rPr>
                                <w:sz w:val="24"/>
                                <w:szCs w:val="24"/>
                              </w:rPr>
                            </w:pPr>
                          </w:p>
                          <w:p w14:paraId="6C78C58B" w14:textId="2BA91C19" w:rsidR="0083290C" w:rsidRPr="00D72C22" w:rsidRDefault="00EA5452" w:rsidP="0083290C">
                            <w:pPr>
                              <w:spacing w:before="120" w:after="120"/>
                              <w:jc w:val="center"/>
                              <w:rPr>
                                <w:sz w:val="24"/>
                                <w:szCs w:val="24"/>
                              </w:rPr>
                            </w:pPr>
                            <w:r w:rsidRPr="00FE5923">
                              <w:rPr>
                                <w:b/>
                                <w:sz w:val="24"/>
                                <w:szCs w:val="24"/>
                              </w:rPr>
                              <w:t>Fisheries Management (</w:t>
                            </w:r>
                            <w:r w:rsidR="0083290C" w:rsidRPr="00FE5923">
                              <w:rPr>
                                <w:b/>
                                <w:sz w:val="24"/>
                                <w:szCs w:val="24"/>
                              </w:rPr>
                              <w:t xml:space="preserve">Northern Prawn Fishery </w:t>
                            </w:r>
                            <w:r w:rsidR="006D7BF1">
                              <w:rPr>
                                <w:b/>
                                <w:sz w:val="24"/>
                                <w:szCs w:val="24"/>
                              </w:rPr>
                              <w:t>Permanent Closures</w:t>
                            </w:r>
                            <w:r w:rsidR="0083290C" w:rsidRPr="00FE5923">
                              <w:rPr>
                                <w:b/>
                                <w:sz w:val="24"/>
                                <w:szCs w:val="24"/>
                              </w:rPr>
                              <w:t xml:space="preserve">) Direction </w:t>
                            </w:r>
                            <w:r w:rsidRPr="00FE5923">
                              <w:rPr>
                                <w:b/>
                                <w:sz w:val="24"/>
                                <w:szCs w:val="24"/>
                              </w:rPr>
                              <w:t>202</w:t>
                            </w:r>
                            <w:r w:rsidR="002C2CF3">
                              <w:rPr>
                                <w:b/>
                                <w:sz w:val="24"/>
                                <w:szCs w:val="24"/>
                              </w:rPr>
                              <w:t>1</w:t>
                            </w:r>
                          </w:p>
                          <w:p w14:paraId="703F5822" w14:textId="77777777" w:rsidR="0083290C" w:rsidRPr="00E4135E" w:rsidRDefault="0083290C" w:rsidP="0083290C">
                            <w:pPr>
                              <w:spacing w:before="120" w:after="120"/>
                              <w:jc w:val="center"/>
                              <w:rPr>
                                <w:sz w:val="24"/>
                                <w:szCs w:val="24"/>
                              </w:rPr>
                            </w:pPr>
                            <w:r>
                              <w:rPr>
                                <w:sz w:val="24"/>
                                <w:szCs w:val="24"/>
                              </w:rPr>
                              <w:t xml:space="preserve">This </w:t>
                            </w:r>
                            <w:r w:rsidRPr="00E4135E">
                              <w:rPr>
                                <w:sz w:val="24"/>
                                <w:szCs w:val="24"/>
                              </w:rPr>
                              <w:t xml:space="preserve">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14:paraId="49250D42" w14:textId="77777777" w:rsidR="0083290C" w:rsidRPr="00E4135E" w:rsidRDefault="0083290C" w:rsidP="0083290C">
                            <w:pPr>
                              <w:spacing w:before="120" w:after="120"/>
                              <w:jc w:val="center"/>
                              <w:rPr>
                                <w:sz w:val="24"/>
                                <w:szCs w:val="24"/>
                              </w:rPr>
                            </w:pPr>
                          </w:p>
                          <w:p w14:paraId="2D7A6F06" w14:textId="77777777" w:rsidR="0083290C" w:rsidRPr="00E4135E" w:rsidRDefault="0083290C" w:rsidP="0083290C">
                            <w:pPr>
                              <w:spacing w:before="120" w:after="120"/>
                              <w:jc w:val="center"/>
                              <w:rPr>
                                <w:sz w:val="24"/>
                                <w:szCs w:val="24"/>
                              </w:rPr>
                            </w:pPr>
                          </w:p>
                          <w:p w14:paraId="4D020F0C" w14:textId="77777777" w:rsidR="0083290C" w:rsidRPr="00E4135E" w:rsidRDefault="0083290C" w:rsidP="0083290C">
                            <w:pPr>
                              <w:spacing w:before="120" w:after="120"/>
                              <w:jc w:val="both"/>
                              <w:rPr>
                                <w:b/>
                                <w:sz w:val="24"/>
                                <w:szCs w:val="24"/>
                              </w:rPr>
                            </w:pPr>
                            <w:r>
                              <w:rPr>
                                <w:b/>
                                <w:sz w:val="24"/>
                                <w:szCs w:val="24"/>
                              </w:rPr>
                              <w:t xml:space="preserve">Overview of the </w:t>
                            </w:r>
                            <w:r w:rsidRPr="00E4135E">
                              <w:rPr>
                                <w:b/>
                                <w:sz w:val="24"/>
                                <w:szCs w:val="24"/>
                              </w:rPr>
                              <w:t>Legislative Instrument</w:t>
                            </w:r>
                          </w:p>
                          <w:p w14:paraId="4CAC008E" w14:textId="5618A0CE" w:rsidR="007B11BA" w:rsidRPr="00064368" w:rsidRDefault="00181E11" w:rsidP="007B11BA">
                            <w:pPr>
                              <w:pStyle w:val="BodyText3"/>
                              <w:spacing w:after="120"/>
                              <w:rPr>
                                <w:szCs w:val="24"/>
                                <w:lang w:eastAsia="en-AU"/>
                              </w:rPr>
                            </w:pPr>
                            <w:r>
                              <w:rPr>
                                <w:szCs w:val="24"/>
                                <w:lang w:eastAsia="en-AU"/>
                              </w:rPr>
                              <w:t>Th</w:t>
                            </w:r>
                            <w:r w:rsidRPr="00FE5923">
                              <w:rPr>
                                <w:szCs w:val="24"/>
                                <w:lang w:eastAsia="en-AU"/>
                              </w:rPr>
                              <w:t xml:space="preserve">e </w:t>
                            </w:r>
                            <w:r w:rsidR="00EA5452" w:rsidRPr="00FE5923">
                              <w:rPr>
                                <w:i/>
                                <w:szCs w:val="24"/>
                                <w:lang w:eastAsia="en-AU"/>
                              </w:rPr>
                              <w:t>Fisheries Management</w:t>
                            </w:r>
                            <w:r w:rsidR="00EA5452" w:rsidRPr="00FE5923">
                              <w:rPr>
                                <w:szCs w:val="24"/>
                                <w:lang w:eastAsia="en-AU"/>
                              </w:rPr>
                              <w:t xml:space="preserve"> (</w:t>
                            </w:r>
                            <w:r w:rsidRPr="00FE5923">
                              <w:rPr>
                                <w:i/>
                                <w:szCs w:val="24"/>
                                <w:lang w:eastAsia="en-AU"/>
                              </w:rPr>
                              <w:t xml:space="preserve">Northern Prawn Fishery </w:t>
                            </w:r>
                            <w:r w:rsidR="00FE5923" w:rsidRPr="00FE5923">
                              <w:rPr>
                                <w:i/>
                                <w:szCs w:val="24"/>
                                <w:lang w:eastAsia="en-AU"/>
                              </w:rPr>
                              <w:t>Permanent Closures</w:t>
                            </w:r>
                            <w:r w:rsidRPr="00FE5923">
                              <w:rPr>
                                <w:i/>
                                <w:szCs w:val="24"/>
                                <w:lang w:eastAsia="en-AU"/>
                              </w:rPr>
                              <w:t xml:space="preserve">) Direction </w:t>
                            </w:r>
                            <w:r w:rsidR="00EA5452" w:rsidRPr="00FE5923">
                              <w:rPr>
                                <w:i/>
                                <w:szCs w:val="24"/>
                                <w:lang w:eastAsia="en-AU"/>
                              </w:rPr>
                              <w:t>202</w:t>
                            </w:r>
                            <w:r w:rsidR="002C2CF3">
                              <w:rPr>
                                <w:i/>
                                <w:szCs w:val="24"/>
                                <w:lang w:eastAsia="en-AU"/>
                              </w:rPr>
                              <w:t>1</w:t>
                            </w:r>
                            <w:r w:rsidR="007B11BA" w:rsidRPr="00FE5923">
                              <w:rPr>
                                <w:szCs w:val="24"/>
                                <w:lang w:eastAsia="en-AU"/>
                              </w:rPr>
                              <w:t xml:space="preserve"> clo</w:t>
                            </w:r>
                            <w:r w:rsidR="007B11BA">
                              <w:rPr>
                                <w:szCs w:val="24"/>
                                <w:lang w:eastAsia="en-AU"/>
                              </w:rPr>
                              <w:t>ses specified areas of the Northern Prawn Fishery (the Fishery) to fishing</w:t>
                            </w:r>
                            <w:r>
                              <w:rPr>
                                <w:szCs w:val="24"/>
                                <w:lang w:eastAsia="en-AU"/>
                              </w:rPr>
                              <w:t>.</w:t>
                            </w:r>
                            <w:r w:rsidR="007B11BA">
                              <w:rPr>
                                <w:szCs w:val="24"/>
                                <w:lang w:eastAsia="en-AU"/>
                              </w:rPr>
                              <w:t xml:space="preserve"> </w:t>
                            </w:r>
                            <w:r w:rsidRPr="00D71145">
                              <w:rPr>
                                <w:szCs w:val="24"/>
                                <w:lang w:eastAsia="en-AU"/>
                              </w:rPr>
                              <w:t>The Direction</w:t>
                            </w:r>
                            <w:r w:rsidR="007B11BA">
                              <w:rPr>
                                <w:szCs w:val="24"/>
                                <w:lang w:eastAsia="en-AU"/>
                              </w:rPr>
                              <w:t xml:space="preserve"> </w:t>
                            </w:r>
                            <w:r w:rsidR="007B11BA" w:rsidRPr="00064368">
                              <w:rPr>
                                <w:szCs w:val="24"/>
                                <w:lang w:eastAsia="en-AU"/>
                              </w:rPr>
                              <w:t>prohibits fishing in eleven specific areas within the Fishery that provide essential habitats for the juvenile growth phase of penaeid prawns, a major species in the Fishery. Fishing in these areas would not only cause destruction to vital seagrass habitat but would also result in the capture of underdeveloped and undersize prawns. </w:t>
                            </w:r>
                          </w:p>
                          <w:p w14:paraId="3065E7F4" w14:textId="6C129B2E" w:rsidR="00181E11" w:rsidRPr="007B11BA" w:rsidRDefault="007B11BA" w:rsidP="007B11BA">
                            <w:pPr>
                              <w:pStyle w:val="BodyText3"/>
                              <w:spacing w:after="120"/>
                              <w:rPr>
                                <w:szCs w:val="24"/>
                                <w:lang w:eastAsia="en-AU"/>
                              </w:rPr>
                            </w:pPr>
                            <w:r w:rsidRPr="00064368">
                              <w:rPr>
                                <w:szCs w:val="24"/>
                                <w:lang w:eastAsia="en-AU"/>
                              </w:rPr>
                              <w:t>The Direction also closes two areas to fishing, as they are the sites of research surveys investigating the impact of trawling on the benthos. To avoid confounding the results of this research it is important that these areas remain closed to commercial fishing for the duration of this project</w:t>
                            </w:r>
                            <w:r w:rsidRPr="007B11BA">
                              <w:rPr>
                                <w:szCs w:val="24"/>
                                <w:lang w:eastAsia="en-AU"/>
                              </w:rPr>
                              <w:t>.</w:t>
                            </w:r>
                          </w:p>
                          <w:p w14:paraId="50804239" w14:textId="77777777" w:rsidR="00181E11" w:rsidRDefault="00181E11" w:rsidP="00181E11">
                            <w:pPr>
                              <w:pStyle w:val="BodyText3"/>
                              <w:tabs>
                                <w:tab w:val="center" w:pos="4819"/>
                              </w:tabs>
                              <w:spacing w:after="120"/>
                              <w:jc w:val="left"/>
                              <w:rPr>
                                <w:szCs w:val="24"/>
                              </w:rPr>
                            </w:pPr>
                          </w:p>
                          <w:p w14:paraId="63796297" w14:textId="77777777" w:rsidR="0083290C" w:rsidRPr="00E4135E" w:rsidRDefault="0083290C" w:rsidP="0083290C">
                            <w:pPr>
                              <w:spacing w:before="120" w:after="120"/>
                              <w:rPr>
                                <w:b/>
                                <w:sz w:val="24"/>
                                <w:szCs w:val="24"/>
                              </w:rPr>
                            </w:pPr>
                            <w:r w:rsidRPr="00E4135E">
                              <w:rPr>
                                <w:b/>
                                <w:sz w:val="24"/>
                                <w:szCs w:val="24"/>
                              </w:rPr>
                              <w:t>Human rights implications</w:t>
                            </w:r>
                          </w:p>
                          <w:p w14:paraId="42C82B8C" w14:textId="77777777" w:rsidR="0083290C" w:rsidRDefault="00181E11" w:rsidP="0083290C">
                            <w:pPr>
                              <w:spacing w:before="120" w:after="120"/>
                              <w:rPr>
                                <w:sz w:val="24"/>
                                <w:szCs w:val="24"/>
                              </w:rPr>
                            </w:pPr>
                            <w:r>
                              <w:rPr>
                                <w:sz w:val="24"/>
                                <w:szCs w:val="24"/>
                              </w:rPr>
                              <w:t>This Legislative Instrument does not engage any of the applicable rights or freedoms</w:t>
                            </w:r>
                            <w:r w:rsidRPr="00E4135E">
                              <w:rPr>
                                <w:sz w:val="24"/>
                                <w:szCs w:val="24"/>
                              </w:rPr>
                              <w:t>.</w:t>
                            </w:r>
                            <w:r w:rsidR="0083290C">
                              <w:rPr>
                                <w:sz w:val="24"/>
                                <w:szCs w:val="24"/>
                              </w:rPr>
                              <w:t xml:space="preserve"> </w:t>
                            </w:r>
                          </w:p>
                          <w:p w14:paraId="143B7AE5" w14:textId="77777777" w:rsidR="0083290C" w:rsidRPr="00E4135E" w:rsidRDefault="0083290C" w:rsidP="0083290C">
                            <w:pPr>
                              <w:pStyle w:val="BodyText3"/>
                              <w:tabs>
                                <w:tab w:val="center" w:pos="4819"/>
                              </w:tabs>
                              <w:spacing w:before="0" w:after="120"/>
                              <w:ind w:right="0"/>
                              <w:rPr>
                                <w:szCs w:val="24"/>
                              </w:rPr>
                            </w:pPr>
                          </w:p>
                          <w:p w14:paraId="48E65F49" w14:textId="77777777" w:rsidR="0083290C" w:rsidRPr="00E4135E" w:rsidRDefault="0083290C" w:rsidP="0083290C">
                            <w:pPr>
                              <w:spacing w:before="120" w:after="120"/>
                              <w:rPr>
                                <w:b/>
                                <w:sz w:val="24"/>
                                <w:szCs w:val="24"/>
                              </w:rPr>
                            </w:pPr>
                            <w:r w:rsidRPr="00E4135E">
                              <w:rPr>
                                <w:b/>
                                <w:sz w:val="24"/>
                                <w:szCs w:val="24"/>
                              </w:rPr>
                              <w:t>Conclusion</w:t>
                            </w:r>
                          </w:p>
                          <w:p w14:paraId="48E240EC" w14:textId="77777777" w:rsidR="0083290C" w:rsidRPr="00E4135E" w:rsidRDefault="0083290C" w:rsidP="0083290C">
                            <w:pPr>
                              <w:spacing w:before="120" w:after="120"/>
                              <w:rPr>
                                <w:sz w:val="24"/>
                                <w:szCs w:val="24"/>
                              </w:rPr>
                            </w:pPr>
                            <w:r>
                              <w:rPr>
                                <w:sz w:val="24"/>
                                <w:szCs w:val="24"/>
                              </w:rPr>
                              <w:t xml:space="preserve">This </w:t>
                            </w:r>
                            <w:r w:rsidRPr="00E4135E">
                              <w:rPr>
                                <w:sz w:val="24"/>
                                <w:szCs w:val="24"/>
                              </w:rPr>
                              <w:t>Legislative Instrument is compatible with human rights as it does not raise any human rights issues.</w:t>
                            </w:r>
                          </w:p>
                          <w:p w14:paraId="2AE16990" w14:textId="77777777" w:rsidR="0083290C" w:rsidRPr="00E4135E" w:rsidRDefault="0083290C" w:rsidP="0083290C">
                            <w:pPr>
                              <w:spacing w:before="120" w:after="120"/>
                              <w:rPr>
                                <w:sz w:val="24"/>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70C9A" id="Rectangle 2" o:spid="_x0000_s1026" style="position:absolute;left:0;text-align:left;margin-left:-2pt;margin-top:31.05pt;width:481.8pt;height:6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jXKwIAAFYEAAAOAAAAZHJzL2Uyb0RvYy54bWysVNuO0zAQfUfiHyy/0zTRbreKmq5WXYqQ&#10;Flix8AGO4yQWvjF2myxfz9jJlhZ4QuTB8mV8fOacmWxuR63IUYCX1lQ0XywpEYbbRpquol+/7N+s&#10;KfGBmYYpa0RFn4Wnt9vXrzaDK0Vhe6saAQRBjC8HV9E+BFdmmee90MwvrBMGD1sLmgVcQpc1wAZE&#10;1yorlstVNlhoHFguvMfd++mQbhN+2woePrWtF4GoiiK3kEZIYx3HbLthZQfM9ZLPNNg/sNBMGnz0&#10;BHXPAiMHkH9AacnBetuGBbc6s20ruUg5YDb58rdsnnrmRMoFxfHuJJP/f7D84/ERiGzQO0oM02jR&#10;ZxSNmU4JUkR5BudLjHpyjxAT9O7B8m+eGLvrMUrcAdihF6xBUnmMzy4uxIXHq6QePtgG0dkh2KTU&#10;2IKOgKgBGZMhzydDxBgIx81Vnq/XK/SN49k6L67WxXV6g5Uv1x348E5YTeKkooDkEzw7PvgQ6bDy&#10;JSTRt0o2e6lUWkBX7xSQI8Pq2KdvRvfnYcqQoaI3K6w3ZKIdihVAplcu4vw53DJ9f4PTMmDJK6kx&#10;pVMQK6OGb02TCjIwqaY50ldmFjXqOPkRxnqcralt84zygp1KG1sRJ72FH5QMWNYV9d8PDAQl6r2J&#10;FqUnsRHS6ur6psCc4OKoPj9ihiMYJkzJNN2FqXsODmTX41t5EsLYOzS2lUnyaPrEa2aOxZucmBst&#10;dsf5OkX9+h1sfwIAAP//AwBQSwMEFAAGAAgAAAAhAKice73hAAAACgEAAA8AAABkcnMvZG93bnJl&#10;di54bWxMj0FLw0AUhO+C/2F5grd2kyZdbcymSFEKhR6sgtdN9pkEs2/D7rZJ/73rSY/DDDPflNvZ&#10;DOyCzveWJKTLBBhSY3VPrYSP99fFIzAfFGk1WEIJV/SwrW5vSlVoO9EbXk6hZbGEfKEkdCGMBee+&#10;6dAov7QjUvS+rDMqROlarp2aYrkZ+CpJBDeqp7jQqRF3HTbfp7ORMB2y3fUzO+5fHtZ5PQq+P8wu&#10;k/L+bn5+AhZwDn9h+MWP6FBFptqeSXs2SFjk8UqQIFYpsOhv1hsBrI7BLE8F8Krk/y9UPwAAAP//&#10;AwBQSwECLQAUAAYACAAAACEAtoM4kv4AAADhAQAAEwAAAAAAAAAAAAAAAAAAAAAAW0NvbnRlbnRf&#10;VHlwZXNdLnhtbFBLAQItABQABgAIAAAAIQA4/SH/1gAAAJQBAAALAAAAAAAAAAAAAAAAAC8BAABf&#10;cmVscy8ucmVsc1BLAQItABQABgAIAAAAIQBIufjXKwIAAFYEAAAOAAAAAAAAAAAAAAAAAC4CAABk&#10;cnMvZTJvRG9jLnhtbFBLAQItABQABgAIAAAAIQConHu94QAAAAoBAAAPAAAAAAAAAAAAAAAAAIUE&#10;AABkcnMvZG93bnJldi54bWxQSwUGAAAAAAQABADzAAAAkwUAAAAA&#10;" strokeweight="6pt">
                <v:stroke linestyle="thickBetweenThin"/>
                <v:textbox inset="5mm,,5mm">
                  <w:txbxContent>
                    <w:p w14:paraId="07AC1785" w14:textId="77777777" w:rsidR="0083290C" w:rsidRPr="00E4135E" w:rsidRDefault="0083290C" w:rsidP="0083290C">
                      <w:pPr>
                        <w:spacing w:before="360" w:after="120"/>
                        <w:jc w:val="center"/>
                        <w:rPr>
                          <w:b/>
                          <w:sz w:val="28"/>
                          <w:szCs w:val="28"/>
                        </w:rPr>
                      </w:pPr>
                      <w:r w:rsidRPr="00E4135E">
                        <w:rPr>
                          <w:b/>
                          <w:sz w:val="28"/>
                          <w:szCs w:val="28"/>
                        </w:rPr>
                        <w:t>Statement of Compatibility with Human Rights</w:t>
                      </w:r>
                    </w:p>
                    <w:p w14:paraId="700F0A5A" w14:textId="77777777" w:rsidR="0083290C" w:rsidRPr="00E4135E" w:rsidRDefault="0083290C" w:rsidP="0083290C">
                      <w:pPr>
                        <w:spacing w:before="120" w:after="120"/>
                        <w:jc w:val="center"/>
                        <w:rPr>
                          <w:sz w:val="24"/>
                          <w:szCs w:val="24"/>
                        </w:rPr>
                      </w:pPr>
                      <w:r w:rsidRPr="00E4135E">
                        <w:rPr>
                          <w:i/>
                          <w:sz w:val="24"/>
                          <w:szCs w:val="24"/>
                        </w:rPr>
                        <w:t>Prepared in accordance with Part 3 of the Human Rights (Parliamentary Scrutiny) Act 2011</w:t>
                      </w:r>
                    </w:p>
                    <w:p w14:paraId="0C0D1203" w14:textId="77777777" w:rsidR="0083290C" w:rsidRPr="00E4135E" w:rsidRDefault="0083290C" w:rsidP="0083290C">
                      <w:pPr>
                        <w:spacing w:before="120" w:after="120"/>
                        <w:jc w:val="center"/>
                        <w:rPr>
                          <w:sz w:val="24"/>
                          <w:szCs w:val="24"/>
                        </w:rPr>
                      </w:pPr>
                    </w:p>
                    <w:p w14:paraId="6C78C58B" w14:textId="2BA91C19" w:rsidR="0083290C" w:rsidRPr="00D72C22" w:rsidRDefault="00EA5452" w:rsidP="0083290C">
                      <w:pPr>
                        <w:spacing w:before="120" w:after="120"/>
                        <w:jc w:val="center"/>
                        <w:rPr>
                          <w:sz w:val="24"/>
                          <w:szCs w:val="24"/>
                        </w:rPr>
                      </w:pPr>
                      <w:r w:rsidRPr="00FE5923">
                        <w:rPr>
                          <w:b/>
                          <w:sz w:val="24"/>
                          <w:szCs w:val="24"/>
                        </w:rPr>
                        <w:t>Fisheries Management (</w:t>
                      </w:r>
                      <w:r w:rsidR="0083290C" w:rsidRPr="00FE5923">
                        <w:rPr>
                          <w:b/>
                          <w:sz w:val="24"/>
                          <w:szCs w:val="24"/>
                        </w:rPr>
                        <w:t xml:space="preserve">Northern Prawn Fishery </w:t>
                      </w:r>
                      <w:r w:rsidR="006D7BF1">
                        <w:rPr>
                          <w:b/>
                          <w:sz w:val="24"/>
                          <w:szCs w:val="24"/>
                        </w:rPr>
                        <w:t>Permanent Closures</w:t>
                      </w:r>
                      <w:r w:rsidR="0083290C" w:rsidRPr="00FE5923">
                        <w:rPr>
                          <w:b/>
                          <w:sz w:val="24"/>
                          <w:szCs w:val="24"/>
                        </w:rPr>
                        <w:t xml:space="preserve">) Direction </w:t>
                      </w:r>
                      <w:r w:rsidRPr="00FE5923">
                        <w:rPr>
                          <w:b/>
                          <w:sz w:val="24"/>
                          <w:szCs w:val="24"/>
                        </w:rPr>
                        <w:t>202</w:t>
                      </w:r>
                      <w:r w:rsidR="002C2CF3">
                        <w:rPr>
                          <w:b/>
                          <w:sz w:val="24"/>
                          <w:szCs w:val="24"/>
                        </w:rPr>
                        <w:t>1</w:t>
                      </w:r>
                    </w:p>
                    <w:p w14:paraId="703F5822" w14:textId="77777777" w:rsidR="0083290C" w:rsidRPr="00E4135E" w:rsidRDefault="0083290C" w:rsidP="0083290C">
                      <w:pPr>
                        <w:spacing w:before="120" w:after="120"/>
                        <w:jc w:val="center"/>
                        <w:rPr>
                          <w:sz w:val="24"/>
                          <w:szCs w:val="24"/>
                        </w:rPr>
                      </w:pPr>
                      <w:r>
                        <w:rPr>
                          <w:sz w:val="24"/>
                          <w:szCs w:val="24"/>
                        </w:rPr>
                        <w:t xml:space="preserve">This </w:t>
                      </w:r>
                      <w:r w:rsidRPr="00E4135E">
                        <w:rPr>
                          <w:sz w:val="24"/>
                          <w:szCs w:val="24"/>
                        </w:rPr>
                        <w:t>Legislative Instrument is compatible with the human rights and freedo</w:t>
                      </w:r>
                      <w:bookmarkStart w:id="1" w:name="_GoBack"/>
                      <w:bookmarkEnd w:id="1"/>
                      <w:r w:rsidRPr="00E4135E">
                        <w:rPr>
                          <w:sz w:val="24"/>
                          <w:szCs w:val="24"/>
                        </w:rPr>
                        <w:t xml:space="preserve">ms recognised or declared in the international instruments listed in section 3 of the </w:t>
                      </w:r>
                      <w:r w:rsidRPr="00E4135E">
                        <w:rPr>
                          <w:i/>
                          <w:sz w:val="24"/>
                          <w:szCs w:val="24"/>
                        </w:rPr>
                        <w:t>Human Rights (Parliamentary Scrutiny) Act 2011</w:t>
                      </w:r>
                      <w:r w:rsidRPr="00E4135E">
                        <w:rPr>
                          <w:sz w:val="24"/>
                          <w:szCs w:val="24"/>
                        </w:rPr>
                        <w:t>.</w:t>
                      </w:r>
                    </w:p>
                    <w:p w14:paraId="49250D42" w14:textId="77777777" w:rsidR="0083290C" w:rsidRPr="00E4135E" w:rsidRDefault="0083290C" w:rsidP="0083290C">
                      <w:pPr>
                        <w:spacing w:before="120" w:after="120"/>
                        <w:jc w:val="center"/>
                        <w:rPr>
                          <w:sz w:val="24"/>
                          <w:szCs w:val="24"/>
                        </w:rPr>
                      </w:pPr>
                    </w:p>
                    <w:p w14:paraId="2D7A6F06" w14:textId="77777777" w:rsidR="0083290C" w:rsidRPr="00E4135E" w:rsidRDefault="0083290C" w:rsidP="0083290C">
                      <w:pPr>
                        <w:spacing w:before="120" w:after="120"/>
                        <w:jc w:val="center"/>
                        <w:rPr>
                          <w:sz w:val="24"/>
                          <w:szCs w:val="24"/>
                        </w:rPr>
                      </w:pPr>
                    </w:p>
                    <w:p w14:paraId="4D020F0C" w14:textId="77777777" w:rsidR="0083290C" w:rsidRPr="00E4135E" w:rsidRDefault="0083290C" w:rsidP="0083290C">
                      <w:pPr>
                        <w:spacing w:before="120" w:after="120"/>
                        <w:jc w:val="both"/>
                        <w:rPr>
                          <w:b/>
                          <w:sz w:val="24"/>
                          <w:szCs w:val="24"/>
                        </w:rPr>
                      </w:pPr>
                      <w:r>
                        <w:rPr>
                          <w:b/>
                          <w:sz w:val="24"/>
                          <w:szCs w:val="24"/>
                        </w:rPr>
                        <w:t xml:space="preserve">Overview of the </w:t>
                      </w:r>
                      <w:r w:rsidRPr="00E4135E">
                        <w:rPr>
                          <w:b/>
                          <w:sz w:val="24"/>
                          <w:szCs w:val="24"/>
                        </w:rPr>
                        <w:t>Legislative Instrument</w:t>
                      </w:r>
                    </w:p>
                    <w:p w14:paraId="4CAC008E" w14:textId="5618A0CE" w:rsidR="007B11BA" w:rsidRPr="00064368" w:rsidRDefault="00181E11" w:rsidP="007B11BA">
                      <w:pPr>
                        <w:pStyle w:val="BodyText3"/>
                        <w:spacing w:after="120"/>
                        <w:rPr>
                          <w:szCs w:val="24"/>
                          <w:lang w:eastAsia="en-AU"/>
                        </w:rPr>
                      </w:pPr>
                      <w:r>
                        <w:rPr>
                          <w:szCs w:val="24"/>
                          <w:lang w:eastAsia="en-AU"/>
                        </w:rPr>
                        <w:t>Th</w:t>
                      </w:r>
                      <w:r w:rsidRPr="00FE5923">
                        <w:rPr>
                          <w:szCs w:val="24"/>
                          <w:lang w:eastAsia="en-AU"/>
                        </w:rPr>
                        <w:t xml:space="preserve">e </w:t>
                      </w:r>
                      <w:r w:rsidR="00EA5452" w:rsidRPr="00FE5923">
                        <w:rPr>
                          <w:i/>
                          <w:szCs w:val="24"/>
                          <w:lang w:eastAsia="en-AU"/>
                        </w:rPr>
                        <w:t>Fisheries Management</w:t>
                      </w:r>
                      <w:r w:rsidR="00EA5452" w:rsidRPr="00FE5923">
                        <w:rPr>
                          <w:szCs w:val="24"/>
                          <w:lang w:eastAsia="en-AU"/>
                        </w:rPr>
                        <w:t xml:space="preserve"> (</w:t>
                      </w:r>
                      <w:r w:rsidRPr="00FE5923">
                        <w:rPr>
                          <w:i/>
                          <w:szCs w:val="24"/>
                          <w:lang w:eastAsia="en-AU"/>
                        </w:rPr>
                        <w:t xml:space="preserve">Northern Prawn Fishery </w:t>
                      </w:r>
                      <w:r w:rsidR="00FE5923" w:rsidRPr="00FE5923">
                        <w:rPr>
                          <w:i/>
                          <w:szCs w:val="24"/>
                          <w:lang w:eastAsia="en-AU"/>
                        </w:rPr>
                        <w:t>Permanent Closures</w:t>
                      </w:r>
                      <w:r w:rsidRPr="00FE5923">
                        <w:rPr>
                          <w:i/>
                          <w:szCs w:val="24"/>
                          <w:lang w:eastAsia="en-AU"/>
                        </w:rPr>
                        <w:t xml:space="preserve">) Direction </w:t>
                      </w:r>
                      <w:r w:rsidR="00EA5452" w:rsidRPr="00FE5923">
                        <w:rPr>
                          <w:i/>
                          <w:szCs w:val="24"/>
                          <w:lang w:eastAsia="en-AU"/>
                        </w:rPr>
                        <w:t>202</w:t>
                      </w:r>
                      <w:r w:rsidR="002C2CF3">
                        <w:rPr>
                          <w:i/>
                          <w:szCs w:val="24"/>
                          <w:lang w:eastAsia="en-AU"/>
                        </w:rPr>
                        <w:t>1</w:t>
                      </w:r>
                      <w:r w:rsidR="007B11BA" w:rsidRPr="00FE5923">
                        <w:rPr>
                          <w:szCs w:val="24"/>
                          <w:lang w:eastAsia="en-AU"/>
                        </w:rPr>
                        <w:t xml:space="preserve"> clo</w:t>
                      </w:r>
                      <w:r w:rsidR="007B11BA">
                        <w:rPr>
                          <w:szCs w:val="24"/>
                          <w:lang w:eastAsia="en-AU"/>
                        </w:rPr>
                        <w:t>ses specified areas of the Northern Prawn Fishery (the Fishery) to fishing</w:t>
                      </w:r>
                      <w:r>
                        <w:rPr>
                          <w:szCs w:val="24"/>
                          <w:lang w:eastAsia="en-AU"/>
                        </w:rPr>
                        <w:t>.</w:t>
                      </w:r>
                      <w:r w:rsidR="007B11BA">
                        <w:rPr>
                          <w:szCs w:val="24"/>
                          <w:lang w:eastAsia="en-AU"/>
                        </w:rPr>
                        <w:t xml:space="preserve"> </w:t>
                      </w:r>
                      <w:r w:rsidRPr="00D71145">
                        <w:rPr>
                          <w:szCs w:val="24"/>
                          <w:lang w:eastAsia="en-AU"/>
                        </w:rPr>
                        <w:t>The Direction</w:t>
                      </w:r>
                      <w:r w:rsidR="007B11BA">
                        <w:rPr>
                          <w:szCs w:val="24"/>
                          <w:lang w:eastAsia="en-AU"/>
                        </w:rPr>
                        <w:t xml:space="preserve"> </w:t>
                      </w:r>
                      <w:r w:rsidR="007B11BA" w:rsidRPr="00064368">
                        <w:rPr>
                          <w:szCs w:val="24"/>
                          <w:lang w:eastAsia="en-AU"/>
                        </w:rPr>
                        <w:t>prohibits fishing in eleven specific areas within the Fishery that provide essential habitats for the juvenile growth phase of penaeid prawns, a major species in the Fishery. Fishing in these areas would not only cause destruction to vital seagrass habitat but would also result in the capture of underdeveloped and undersize prawns. </w:t>
                      </w:r>
                    </w:p>
                    <w:p w14:paraId="3065E7F4" w14:textId="6C129B2E" w:rsidR="00181E11" w:rsidRPr="007B11BA" w:rsidRDefault="007B11BA" w:rsidP="007B11BA">
                      <w:pPr>
                        <w:pStyle w:val="BodyText3"/>
                        <w:spacing w:after="120"/>
                        <w:rPr>
                          <w:szCs w:val="24"/>
                          <w:lang w:eastAsia="en-AU"/>
                        </w:rPr>
                      </w:pPr>
                      <w:r w:rsidRPr="00064368">
                        <w:rPr>
                          <w:szCs w:val="24"/>
                          <w:lang w:eastAsia="en-AU"/>
                        </w:rPr>
                        <w:t>The Direction also closes two areas to fishing, as they are the sites of research surveys investigating the impact of trawling on the benthos. To avoid confounding the results of this research it is important that these areas remain closed to commercial fishing for the duration of this project</w:t>
                      </w:r>
                      <w:r w:rsidRPr="007B11BA">
                        <w:rPr>
                          <w:szCs w:val="24"/>
                          <w:lang w:eastAsia="en-AU"/>
                        </w:rPr>
                        <w:t>.</w:t>
                      </w:r>
                    </w:p>
                    <w:p w14:paraId="50804239" w14:textId="77777777" w:rsidR="00181E11" w:rsidRDefault="00181E11" w:rsidP="00181E11">
                      <w:pPr>
                        <w:pStyle w:val="BodyText3"/>
                        <w:tabs>
                          <w:tab w:val="center" w:pos="4819"/>
                        </w:tabs>
                        <w:spacing w:after="120"/>
                        <w:jc w:val="left"/>
                        <w:rPr>
                          <w:szCs w:val="24"/>
                        </w:rPr>
                      </w:pPr>
                    </w:p>
                    <w:p w14:paraId="63796297" w14:textId="77777777" w:rsidR="0083290C" w:rsidRPr="00E4135E" w:rsidRDefault="0083290C" w:rsidP="0083290C">
                      <w:pPr>
                        <w:spacing w:before="120" w:after="120"/>
                        <w:rPr>
                          <w:b/>
                          <w:sz w:val="24"/>
                          <w:szCs w:val="24"/>
                        </w:rPr>
                      </w:pPr>
                      <w:r w:rsidRPr="00E4135E">
                        <w:rPr>
                          <w:b/>
                          <w:sz w:val="24"/>
                          <w:szCs w:val="24"/>
                        </w:rPr>
                        <w:t>Human rights implications</w:t>
                      </w:r>
                    </w:p>
                    <w:p w14:paraId="42C82B8C" w14:textId="77777777" w:rsidR="0083290C" w:rsidRDefault="00181E11" w:rsidP="0083290C">
                      <w:pPr>
                        <w:spacing w:before="120" w:after="120"/>
                        <w:rPr>
                          <w:sz w:val="24"/>
                          <w:szCs w:val="24"/>
                        </w:rPr>
                      </w:pPr>
                      <w:r>
                        <w:rPr>
                          <w:sz w:val="24"/>
                          <w:szCs w:val="24"/>
                        </w:rPr>
                        <w:t>This Legislative Instrument does not engage any of the applicable rights or freedoms</w:t>
                      </w:r>
                      <w:r w:rsidRPr="00E4135E">
                        <w:rPr>
                          <w:sz w:val="24"/>
                          <w:szCs w:val="24"/>
                        </w:rPr>
                        <w:t>.</w:t>
                      </w:r>
                      <w:r w:rsidR="0083290C">
                        <w:rPr>
                          <w:sz w:val="24"/>
                          <w:szCs w:val="24"/>
                        </w:rPr>
                        <w:t xml:space="preserve"> </w:t>
                      </w:r>
                    </w:p>
                    <w:p w14:paraId="143B7AE5" w14:textId="77777777" w:rsidR="0083290C" w:rsidRPr="00E4135E" w:rsidRDefault="0083290C" w:rsidP="0083290C">
                      <w:pPr>
                        <w:pStyle w:val="BodyText3"/>
                        <w:tabs>
                          <w:tab w:val="center" w:pos="4819"/>
                        </w:tabs>
                        <w:spacing w:before="0" w:after="120"/>
                        <w:ind w:right="0"/>
                        <w:rPr>
                          <w:szCs w:val="24"/>
                        </w:rPr>
                      </w:pPr>
                    </w:p>
                    <w:p w14:paraId="48E65F49" w14:textId="77777777" w:rsidR="0083290C" w:rsidRPr="00E4135E" w:rsidRDefault="0083290C" w:rsidP="0083290C">
                      <w:pPr>
                        <w:spacing w:before="120" w:after="120"/>
                        <w:rPr>
                          <w:b/>
                          <w:sz w:val="24"/>
                          <w:szCs w:val="24"/>
                        </w:rPr>
                      </w:pPr>
                      <w:r w:rsidRPr="00E4135E">
                        <w:rPr>
                          <w:b/>
                          <w:sz w:val="24"/>
                          <w:szCs w:val="24"/>
                        </w:rPr>
                        <w:t>Conclusion</w:t>
                      </w:r>
                    </w:p>
                    <w:p w14:paraId="48E240EC" w14:textId="77777777" w:rsidR="0083290C" w:rsidRPr="00E4135E" w:rsidRDefault="0083290C" w:rsidP="0083290C">
                      <w:pPr>
                        <w:spacing w:before="120" w:after="120"/>
                        <w:rPr>
                          <w:sz w:val="24"/>
                          <w:szCs w:val="24"/>
                        </w:rPr>
                      </w:pPr>
                      <w:r>
                        <w:rPr>
                          <w:sz w:val="24"/>
                          <w:szCs w:val="24"/>
                        </w:rPr>
                        <w:t xml:space="preserve">This </w:t>
                      </w:r>
                      <w:r w:rsidRPr="00E4135E">
                        <w:rPr>
                          <w:sz w:val="24"/>
                          <w:szCs w:val="24"/>
                        </w:rPr>
                        <w:t>Legislative Instrument is compatible with human rights as it does not raise any human rights issues.</w:t>
                      </w:r>
                    </w:p>
                    <w:p w14:paraId="2AE16990" w14:textId="77777777" w:rsidR="0083290C" w:rsidRPr="00E4135E" w:rsidRDefault="0083290C" w:rsidP="0083290C">
                      <w:pPr>
                        <w:spacing w:before="120" w:after="120"/>
                        <w:rPr>
                          <w:sz w:val="24"/>
                          <w:szCs w:val="24"/>
                        </w:rPr>
                      </w:pPr>
                    </w:p>
                  </w:txbxContent>
                </v:textbox>
              </v:rect>
            </w:pict>
          </mc:Fallback>
        </mc:AlternateContent>
      </w:r>
      <w:bookmarkStart w:id="0" w:name="_GoBack"/>
      <w:bookmarkEnd w:id="0"/>
    </w:p>
    <w:sectPr w:rsidR="0083290C" w:rsidRPr="009313EE" w:rsidSect="0083290C">
      <w:footerReference w:type="default" r:id="rId12"/>
      <w:pgSz w:w="11906" w:h="16838"/>
      <w:pgMar w:top="851" w:right="1134" w:bottom="709"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04F1D" w14:textId="77777777" w:rsidR="00E918E6" w:rsidRDefault="00E918E6">
      <w:r>
        <w:separator/>
      </w:r>
    </w:p>
  </w:endnote>
  <w:endnote w:type="continuationSeparator" w:id="0">
    <w:p w14:paraId="2404AB09" w14:textId="77777777" w:rsidR="00E918E6" w:rsidRDefault="00E9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F00B" w14:textId="735E9F58" w:rsidR="0083290C" w:rsidRDefault="0083290C">
    <w:pPr>
      <w:pStyle w:val="Footer"/>
      <w:jc w:val="right"/>
    </w:pPr>
    <w:r>
      <w:fldChar w:fldCharType="begin"/>
    </w:r>
    <w:r>
      <w:instrText xml:space="preserve"> PAGE   \* MERGEFORMAT </w:instrText>
    </w:r>
    <w:r>
      <w:fldChar w:fldCharType="separate"/>
    </w:r>
    <w:r w:rsidR="00357363">
      <w:rPr>
        <w:noProof/>
      </w:rPr>
      <w:t>1</w:t>
    </w:r>
    <w:r>
      <w:rPr>
        <w:noProof/>
      </w:rPr>
      <w:fldChar w:fldCharType="end"/>
    </w:r>
  </w:p>
  <w:p w14:paraId="359CA8B8" w14:textId="77777777" w:rsidR="0083290C" w:rsidRDefault="0083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0440" w14:textId="77777777" w:rsidR="00E918E6" w:rsidRDefault="00E918E6">
      <w:r>
        <w:separator/>
      </w:r>
    </w:p>
  </w:footnote>
  <w:footnote w:type="continuationSeparator" w:id="0">
    <w:p w14:paraId="7E26082A" w14:textId="77777777" w:rsidR="00E918E6" w:rsidRDefault="00E9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56"/>
    <w:rsid w:val="00000964"/>
    <w:rsid w:val="00001B03"/>
    <w:rsid w:val="000145C8"/>
    <w:rsid w:val="00021037"/>
    <w:rsid w:val="00023D5B"/>
    <w:rsid w:val="00034098"/>
    <w:rsid w:val="00035CEE"/>
    <w:rsid w:val="0004396B"/>
    <w:rsid w:val="000468E6"/>
    <w:rsid w:val="00051A1C"/>
    <w:rsid w:val="0006260E"/>
    <w:rsid w:val="00064368"/>
    <w:rsid w:val="00075BA3"/>
    <w:rsid w:val="00091295"/>
    <w:rsid w:val="000B75E3"/>
    <w:rsid w:val="000D0675"/>
    <w:rsid w:val="000E0DDB"/>
    <w:rsid w:val="000E1073"/>
    <w:rsid w:val="000E306C"/>
    <w:rsid w:val="000F3577"/>
    <w:rsid w:val="001125F0"/>
    <w:rsid w:val="001202F8"/>
    <w:rsid w:val="0012561C"/>
    <w:rsid w:val="00150434"/>
    <w:rsid w:val="00181E11"/>
    <w:rsid w:val="00182FFD"/>
    <w:rsid w:val="0019694A"/>
    <w:rsid w:val="00196970"/>
    <w:rsid w:val="001A7E09"/>
    <w:rsid w:val="001D57E6"/>
    <w:rsid w:val="001D75A6"/>
    <w:rsid w:val="001F65B8"/>
    <w:rsid w:val="00200436"/>
    <w:rsid w:val="002211B9"/>
    <w:rsid w:val="00247687"/>
    <w:rsid w:val="002640C6"/>
    <w:rsid w:val="00275A4A"/>
    <w:rsid w:val="002C2CF3"/>
    <w:rsid w:val="002C3B3C"/>
    <w:rsid w:val="002D0E8E"/>
    <w:rsid w:val="002D3393"/>
    <w:rsid w:val="002D4B05"/>
    <w:rsid w:val="002E2441"/>
    <w:rsid w:val="002E2630"/>
    <w:rsid w:val="002E47F5"/>
    <w:rsid w:val="002F3B2A"/>
    <w:rsid w:val="0030529B"/>
    <w:rsid w:val="0030695C"/>
    <w:rsid w:val="00307212"/>
    <w:rsid w:val="00311D45"/>
    <w:rsid w:val="00322C02"/>
    <w:rsid w:val="0032383B"/>
    <w:rsid w:val="00335F90"/>
    <w:rsid w:val="003429E7"/>
    <w:rsid w:val="003523EA"/>
    <w:rsid w:val="00357363"/>
    <w:rsid w:val="003675B2"/>
    <w:rsid w:val="00375DAE"/>
    <w:rsid w:val="00390137"/>
    <w:rsid w:val="003C4D51"/>
    <w:rsid w:val="003D0D13"/>
    <w:rsid w:val="003F135A"/>
    <w:rsid w:val="00403B13"/>
    <w:rsid w:val="00416CFD"/>
    <w:rsid w:val="00422C31"/>
    <w:rsid w:val="00425BB3"/>
    <w:rsid w:val="00426B70"/>
    <w:rsid w:val="00427351"/>
    <w:rsid w:val="004408E0"/>
    <w:rsid w:val="0044503F"/>
    <w:rsid w:val="00445E3F"/>
    <w:rsid w:val="00446168"/>
    <w:rsid w:val="00460459"/>
    <w:rsid w:val="00480A62"/>
    <w:rsid w:val="004A0304"/>
    <w:rsid w:val="004F43B8"/>
    <w:rsid w:val="005065FF"/>
    <w:rsid w:val="00531332"/>
    <w:rsid w:val="00536A84"/>
    <w:rsid w:val="00540FA5"/>
    <w:rsid w:val="00544B48"/>
    <w:rsid w:val="0054718A"/>
    <w:rsid w:val="00547E74"/>
    <w:rsid w:val="00547FBE"/>
    <w:rsid w:val="005511DF"/>
    <w:rsid w:val="005718A6"/>
    <w:rsid w:val="00594D26"/>
    <w:rsid w:val="00595AA0"/>
    <w:rsid w:val="00596C8C"/>
    <w:rsid w:val="005A07C1"/>
    <w:rsid w:val="005A2772"/>
    <w:rsid w:val="005C02AC"/>
    <w:rsid w:val="005D5253"/>
    <w:rsid w:val="005E3D88"/>
    <w:rsid w:val="005E43B7"/>
    <w:rsid w:val="00606F0A"/>
    <w:rsid w:val="00643FC4"/>
    <w:rsid w:val="00651CA7"/>
    <w:rsid w:val="006813FF"/>
    <w:rsid w:val="00685306"/>
    <w:rsid w:val="006A162D"/>
    <w:rsid w:val="006C3338"/>
    <w:rsid w:val="006C4715"/>
    <w:rsid w:val="006D37CD"/>
    <w:rsid w:val="006D4255"/>
    <w:rsid w:val="006D7BF1"/>
    <w:rsid w:val="00707A17"/>
    <w:rsid w:val="00725838"/>
    <w:rsid w:val="00731F13"/>
    <w:rsid w:val="00744F1A"/>
    <w:rsid w:val="007469C7"/>
    <w:rsid w:val="00760BBB"/>
    <w:rsid w:val="00760D86"/>
    <w:rsid w:val="0079698B"/>
    <w:rsid w:val="007A2778"/>
    <w:rsid w:val="007A3FF9"/>
    <w:rsid w:val="007B11BA"/>
    <w:rsid w:val="007C2DEC"/>
    <w:rsid w:val="007C41E6"/>
    <w:rsid w:val="007C4297"/>
    <w:rsid w:val="007C7D4D"/>
    <w:rsid w:val="007F15C7"/>
    <w:rsid w:val="00803A71"/>
    <w:rsid w:val="00814AF2"/>
    <w:rsid w:val="00822A02"/>
    <w:rsid w:val="00823E19"/>
    <w:rsid w:val="0083290C"/>
    <w:rsid w:val="00832F97"/>
    <w:rsid w:val="00833B6F"/>
    <w:rsid w:val="00851482"/>
    <w:rsid w:val="008654E0"/>
    <w:rsid w:val="0087067A"/>
    <w:rsid w:val="00871F85"/>
    <w:rsid w:val="00873613"/>
    <w:rsid w:val="008A0032"/>
    <w:rsid w:val="008A723D"/>
    <w:rsid w:val="008B2EBD"/>
    <w:rsid w:val="008C126B"/>
    <w:rsid w:val="008C6189"/>
    <w:rsid w:val="008E4343"/>
    <w:rsid w:val="008F259C"/>
    <w:rsid w:val="009046AE"/>
    <w:rsid w:val="00915D97"/>
    <w:rsid w:val="00922E31"/>
    <w:rsid w:val="0092412A"/>
    <w:rsid w:val="00926D16"/>
    <w:rsid w:val="00927150"/>
    <w:rsid w:val="00930B4A"/>
    <w:rsid w:val="009313EE"/>
    <w:rsid w:val="00945A91"/>
    <w:rsid w:val="00961691"/>
    <w:rsid w:val="00971AB2"/>
    <w:rsid w:val="00976FBF"/>
    <w:rsid w:val="009B7D65"/>
    <w:rsid w:val="009D463A"/>
    <w:rsid w:val="009E7326"/>
    <w:rsid w:val="00A0382B"/>
    <w:rsid w:val="00A07B5C"/>
    <w:rsid w:val="00A10984"/>
    <w:rsid w:val="00A343DA"/>
    <w:rsid w:val="00A426F5"/>
    <w:rsid w:val="00A52375"/>
    <w:rsid w:val="00A64DC3"/>
    <w:rsid w:val="00A73EAC"/>
    <w:rsid w:val="00A85AE9"/>
    <w:rsid w:val="00AA2DE1"/>
    <w:rsid w:val="00AA496C"/>
    <w:rsid w:val="00AA5657"/>
    <w:rsid w:val="00AB69C9"/>
    <w:rsid w:val="00AB7451"/>
    <w:rsid w:val="00AC53D7"/>
    <w:rsid w:val="00AD5709"/>
    <w:rsid w:val="00AD7CF4"/>
    <w:rsid w:val="00AF21E6"/>
    <w:rsid w:val="00B07B95"/>
    <w:rsid w:val="00B1032A"/>
    <w:rsid w:val="00B26234"/>
    <w:rsid w:val="00B32993"/>
    <w:rsid w:val="00B4323F"/>
    <w:rsid w:val="00B5556E"/>
    <w:rsid w:val="00B70697"/>
    <w:rsid w:val="00B72BAB"/>
    <w:rsid w:val="00B734B5"/>
    <w:rsid w:val="00BD75E4"/>
    <w:rsid w:val="00BE0EB0"/>
    <w:rsid w:val="00BE3350"/>
    <w:rsid w:val="00C14EA6"/>
    <w:rsid w:val="00C21957"/>
    <w:rsid w:val="00C23A41"/>
    <w:rsid w:val="00C517AC"/>
    <w:rsid w:val="00C65E08"/>
    <w:rsid w:val="00C70531"/>
    <w:rsid w:val="00C762C2"/>
    <w:rsid w:val="00C76533"/>
    <w:rsid w:val="00C81C77"/>
    <w:rsid w:val="00C903E3"/>
    <w:rsid w:val="00C919E5"/>
    <w:rsid w:val="00CA4420"/>
    <w:rsid w:val="00CD384D"/>
    <w:rsid w:val="00CD4B7C"/>
    <w:rsid w:val="00CD5BBA"/>
    <w:rsid w:val="00CF5E33"/>
    <w:rsid w:val="00CF685D"/>
    <w:rsid w:val="00D018F9"/>
    <w:rsid w:val="00D04F11"/>
    <w:rsid w:val="00D11800"/>
    <w:rsid w:val="00D221FA"/>
    <w:rsid w:val="00D25133"/>
    <w:rsid w:val="00D46106"/>
    <w:rsid w:val="00D51E7D"/>
    <w:rsid w:val="00D57199"/>
    <w:rsid w:val="00D81EE0"/>
    <w:rsid w:val="00D824C1"/>
    <w:rsid w:val="00D96C80"/>
    <w:rsid w:val="00D96FB4"/>
    <w:rsid w:val="00DE0DE3"/>
    <w:rsid w:val="00DE430D"/>
    <w:rsid w:val="00DF2723"/>
    <w:rsid w:val="00DF6A7B"/>
    <w:rsid w:val="00DF7E64"/>
    <w:rsid w:val="00E10F80"/>
    <w:rsid w:val="00E13DE0"/>
    <w:rsid w:val="00E16BD7"/>
    <w:rsid w:val="00E32A6C"/>
    <w:rsid w:val="00E373EC"/>
    <w:rsid w:val="00E449AE"/>
    <w:rsid w:val="00E47DCE"/>
    <w:rsid w:val="00E55356"/>
    <w:rsid w:val="00E61E60"/>
    <w:rsid w:val="00E63E9D"/>
    <w:rsid w:val="00E73C35"/>
    <w:rsid w:val="00E918E6"/>
    <w:rsid w:val="00EA5452"/>
    <w:rsid w:val="00EB01F9"/>
    <w:rsid w:val="00EB1C77"/>
    <w:rsid w:val="00EB4DD9"/>
    <w:rsid w:val="00EC77F7"/>
    <w:rsid w:val="00ED0745"/>
    <w:rsid w:val="00ED73A4"/>
    <w:rsid w:val="00F00F36"/>
    <w:rsid w:val="00F06C59"/>
    <w:rsid w:val="00F10757"/>
    <w:rsid w:val="00F173A7"/>
    <w:rsid w:val="00F406D6"/>
    <w:rsid w:val="00F44ADE"/>
    <w:rsid w:val="00F46DDC"/>
    <w:rsid w:val="00F56CF6"/>
    <w:rsid w:val="00F915B0"/>
    <w:rsid w:val="00FA4807"/>
    <w:rsid w:val="00FA6F9C"/>
    <w:rsid w:val="00FA7D8F"/>
    <w:rsid w:val="00FB1447"/>
    <w:rsid w:val="00FB1F67"/>
    <w:rsid w:val="00FD1BB6"/>
    <w:rsid w:val="00FE5923"/>
    <w:rsid w:val="00FF5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0DD20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567" w:right="-643"/>
      <w:jc w:val="center"/>
    </w:pPr>
    <w:rPr>
      <w:sz w:val="24"/>
      <w:u w:val="single"/>
    </w:rPr>
  </w:style>
  <w:style w:type="paragraph" w:styleId="BodyText">
    <w:name w:val="Body Text"/>
    <w:basedOn w:val="Normal"/>
    <w:pPr>
      <w:spacing w:before="240"/>
      <w:jc w:val="both"/>
    </w:pPr>
    <w:rPr>
      <w:color w:val="000000"/>
      <w:sz w:val="24"/>
    </w:rPr>
  </w:style>
  <w:style w:type="paragraph" w:styleId="BodyText2">
    <w:name w:val="Body Text 2"/>
    <w:basedOn w:val="Normal"/>
    <w:pPr>
      <w:spacing w:before="240"/>
      <w:jc w:val="both"/>
    </w:pPr>
    <w:rPr>
      <w:sz w:val="24"/>
    </w:rPr>
  </w:style>
  <w:style w:type="paragraph" w:styleId="BodyText3">
    <w:name w:val="Body Text 3"/>
    <w:basedOn w:val="Normal"/>
    <w:link w:val="BodyText3Char"/>
    <w:pPr>
      <w:spacing w:before="120"/>
      <w:ind w:right="-1"/>
      <w:jc w:val="both"/>
    </w:pPr>
    <w:rPr>
      <w:sz w:val="24"/>
    </w:rPr>
  </w:style>
  <w:style w:type="paragraph" w:styleId="BalloonText">
    <w:name w:val="Balloon Text"/>
    <w:basedOn w:val="Normal"/>
    <w:semiHidden/>
    <w:rsid w:val="00D57199"/>
    <w:rPr>
      <w:rFonts w:ascii="Tahoma" w:hAnsi="Tahoma" w:cs="Tahoma"/>
      <w:sz w:val="16"/>
      <w:szCs w:val="16"/>
    </w:rPr>
  </w:style>
  <w:style w:type="character" w:styleId="CommentReference">
    <w:name w:val="annotation reference"/>
    <w:semiHidden/>
    <w:rsid w:val="00F56CF6"/>
    <w:rPr>
      <w:sz w:val="16"/>
      <w:szCs w:val="16"/>
    </w:rPr>
  </w:style>
  <w:style w:type="paragraph" w:styleId="CommentText">
    <w:name w:val="annotation text"/>
    <w:basedOn w:val="Normal"/>
    <w:semiHidden/>
    <w:rsid w:val="00F56CF6"/>
  </w:style>
  <w:style w:type="paragraph" w:styleId="CommentSubject">
    <w:name w:val="annotation subject"/>
    <w:basedOn w:val="CommentText"/>
    <w:next w:val="CommentText"/>
    <w:semiHidden/>
    <w:rsid w:val="00F56CF6"/>
    <w:rPr>
      <w:b/>
      <w:bCs/>
    </w:rPr>
  </w:style>
  <w:style w:type="paragraph" w:customStyle="1" w:styleId="Char">
    <w:name w:val="Char"/>
    <w:basedOn w:val="Normal"/>
    <w:rsid w:val="005A2772"/>
    <w:rPr>
      <w:rFonts w:ascii="Arial" w:hAnsi="Arial" w:cs="Arial"/>
      <w:sz w:val="22"/>
      <w:szCs w:val="22"/>
    </w:rPr>
  </w:style>
  <w:style w:type="paragraph" w:customStyle="1" w:styleId="AFMANormal">
    <w:name w:val="AFMA Normal"/>
    <w:rsid w:val="005A2772"/>
    <w:pPr>
      <w:spacing w:before="240"/>
      <w:jc w:val="both"/>
    </w:pPr>
    <w:rPr>
      <w:snapToGrid w:val="0"/>
      <w:kern w:val="20"/>
      <w:sz w:val="24"/>
      <w:lang w:eastAsia="en-US"/>
    </w:rPr>
  </w:style>
  <w:style w:type="paragraph" w:styleId="Header">
    <w:name w:val="header"/>
    <w:basedOn w:val="Normal"/>
    <w:rsid w:val="00A07B5C"/>
    <w:pPr>
      <w:tabs>
        <w:tab w:val="center" w:pos="4153"/>
        <w:tab w:val="right" w:pos="8306"/>
      </w:tabs>
    </w:pPr>
  </w:style>
  <w:style w:type="paragraph" w:styleId="Footer">
    <w:name w:val="footer"/>
    <w:basedOn w:val="Normal"/>
    <w:link w:val="FooterChar"/>
    <w:uiPriority w:val="99"/>
    <w:rsid w:val="00A07B5C"/>
    <w:pPr>
      <w:tabs>
        <w:tab w:val="center" w:pos="4153"/>
        <w:tab w:val="right" w:pos="8306"/>
      </w:tabs>
    </w:pPr>
  </w:style>
  <w:style w:type="character" w:customStyle="1" w:styleId="FooterChar">
    <w:name w:val="Footer Char"/>
    <w:link w:val="Footer"/>
    <w:uiPriority w:val="99"/>
    <w:rsid w:val="00CD4B7C"/>
    <w:rPr>
      <w:lang w:eastAsia="en-US"/>
    </w:rPr>
  </w:style>
  <w:style w:type="character" w:customStyle="1" w:styleId="BodyText3Char">
    <w:name w:val="Body Text 3 Char"/>
    <w:link w:val="BodyText3"/>
    <w:rsid w:val="0083290C"/>
    <w:rPr>
      <w:sz w:val="24"/>
      <w:lang w:eastAsia="en-US"/>
    </w:rPr>
  </w:style>
  <w:style w:type="paragraph" w:styleId="Revision">
    <w:name w:val="Revision"/>
    <w:hidden/>
    <w:uiPriority w:val="99"/>
    <w:semiHidden/>
    <w:rsid w:val="00182FF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428494">
      <w:bodyDiv w:val="1"/>
      <w:marLeft w:val="0"/>
      <w:marRight w:val="0"/>
      <w:marTop w:val="0"/>
      <w:marBottom w:val="0"/>
      <w:divBdr>
        <w:top w:val="none" w:sz="0" w:space="0" w:color="auto"/>
        <w:left w:val="none" w:sz="0" w:space="0" w:color="auto"/>
        <w:bottom w:val="none" w:sz="0" w:space="0" w:color="auto"/>
        <w:right w:val="none" w:sz="0" w:space="0" w:color="auto"/>
      </w:divBdr>
    </w:div>
    <w:div w:id="14340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LirDetails"><![CDATA[;#<?xml version="1.0" encoding="utf-16"?>
<DataStoreItem xmlns:xsi="http://www.w3.org/2001/XMLSchema-instance" xmlns:xsd="http://www.w3.org/2001/XMLSchema">
  <Exposing>false</Exposing>
  <CheckingConsistancy>false</CheckingConsistancy>
  <Unexposing>false</Unexposing>
  <AssociatedItem>
    <FarmId>4d4b7293-2a18-443f-bd7c-a5c5d1186e59</FarmId>
    <SiteCollectionId>3dade443-6781-4901-a16f-674b7af2f57b</SiteCollectionId>
    <SiteId>69c34ddc-7c26-4b08-ae8b-2c5a00562c5c</SiteId>
    <ListId>d173a7b7-4ad3-4d9e-baee-1ffdf303a329</ListId>
    <ListItemId>2</ListItemId>
    <ListItemUrl />
    <MliManagementState>None</MliManagementState>
  </AssociatedItem>
  <DuplicateName />
  <OriginalName />
  <ListItemRecord>
    <Id>166439565</Id>
    <Name>NPF Direction No 171 ExpState</Name>
    <Description>D15/211</Description>
    <VersionId>635579463700000000</VersionId>
  </ListItemRecord>
  <SiteRecord>
    <Id>166435962</Id>
    <Name>Legislation Site Record</Name>
    <Description>SS/6</Description>
    <VersionId />
  </SiteRecord>
  <ListRecord>
    <Id>166439533</Id>
    <Name>Legislation - Directions List Record</Name>
    <Description>SL/165</Description>
    <VersionId />
  </ListRecord>
  <ContentContainer>
    <Id>166439534</Id>
    <Name>Legislation - Directions</Name>
    <Description>DL15/14</Description>
    <VersionId>635612534290000000</VersionId>
  </ContentContainer>
  <Status>NotSet</Status>
  <Originator>ThisList</Originator>
  <Version />
  <OtherInformation />
  <PreventUpdating>false</PreventUpdating>
  <PreventUpdated>false</PreventUpdated>
  <PreventDataStoreProcessing>false</PreventDataStoreProcessing>
  <SaveDocument>false</SaveDocument>
  <PreventCheckingOut>false</PreventCheckingOut>
  <ItemDeleting>false</ItemDeleting>
  <ItemCheckingIn>false</ItemCheckingIn>
  <PreventLirCheckIn>false</PreventLirCheckIn>
  <Finalized>false</Finalized>
  <PreventDeleting>false</PreventDeleting>
  <DocumentMapping>
    <DocumentMap>
      <DateLastModified>2015-01-19T00:31:41Z</DateLastModified>
      <IsCurrentVersion>false</IsCurrentVersion>
      <SharePointID>0.1</SharePointID>
      <DataStoreID>1</DataStoreID>
      <Version>1</Version>
    </DocumentMap>
    <DocumentMap>
      <DateLastModified>2015-01-19T00:34:42Z</DateLastModified>
      <IsCurrentVersion>false</IsCurrentVersion>
      <SharePointID>0.2</SharePointID>
      <DataStoreID>2</DataStoreID>
      <Version>2</Version>
    </DocumentMap>
    <DocumentMap>
      <DateLastModified>2015-01-19T02:43:40Z</DateLastModified>
      <IsCurrentVersion>false</IsCurrentVersion>
      <SharePointID>0.3</SharePointID>
      <DataStoreID>3</DataStoreID>
      <Version>3</Version>
    </DocumentMap>
    <DocumentMap>
      <DateLastModified>2015-01-19T04:11:10Z</DateLastModified>
      <IsCurrentVersion>false</IsCurrentVersion>
      <SharePointID>0.4</SharePointID>
      <DataStoreID>4</DataStoreID>
      <Version>4</Version>
    </DocumentMap>
    <DocumentMap>
      <DateLastModified>2015-01-19T04:13:21Z</DateLastModified>
      <IsCurrentVersion>false</IsCurrentVersion>
      <SharePointID>0.5</SharePointID>
      <DataStoreID>5</DataStoreID>
      <Version>5</Version>
    </DocumentMap>
    <DocumentMap>
      <DateLastModified>2015-01-20T22:46:04Z</DateLastModified>
      <IsCurrentVersion>false</IsCurrentVersion>
      <SharePointID>0.6</SharePointID>
      <DataStoreID>6</DataStoreID>
      <Version>6</Version>
    </DocumentMap>
    <DocumentMap>
      <DateLastModified>2015-01-22T00:56:12Z</DateLastModified>
      <IsCurrentVersion>false</IsCurrentVersion>
      <SharePointID>0.7</SharePointID>
      <DataStoreID>7</DataStoreID>
      <Version>7</Version>
    </DocumentMap>
    <DocumentMap>
      <DateLastModified>2015-01-22T22:59:56Z</DateLastModified>
      <IsCurrentVersion>false</IsCurrentVersion>
      <SharePointID>0.8</SharePointID>
      <DataStoreID>8</DataStoreID>
      <Version>8</Version>
    </DocumentMap>
    <DocumentMap>
      <DateLastModified>2015-01-26T22:06:09Z</DateLastModified>
      <IsCurrentVersion>true</IsCurrentVersion>
      <SharePointID>0.9</SharePointID>
      <DataStoreID>9</DataStoreID>
      <Version>9</Version>
    </DocumentMap>
  </DocumentMapping>
  <Extension>DOC</Extension>
</DataStoreItem>;#]]></LongProp>
  <LongProp xmlns="" name="ManagementStatus"><![CDATA[;#<?xml version="1.0" encoding="utf-16"?>
<DataStoreItem xmlns:xsi="http://www.w3.org/2001/XMLSchema-instance" xmlns:xsd="http://www.w3.org/2001/XMLSchema">
  <Exposing>false</Exposing>
  <CheckingConsistancy>false</CheckingConsistancy>
  <Unexposing>false</Unexposing>
  <AssociatedItem>
    <FarmId>4d4b7293-2a18-443f-bd7c-a5c5d1186e59</FarmId>
    <SiteCollectionId>3dade443-6781-4901-a16f-674b7af2f57b</SiteCollectionId>
    <SiteId>69c34ddc-7c26-4b08-ae8b-2c5a00562c5c</SiteId>
    <ListId>d173a7b7-4ad3-4d9e-baee-1ffdf303a329</ListId>
    <ListItemId>2</ListItemId>
    <ListItemUrl />
    <MliManagementState>None</MliManagementState>
  </AssociatedItem>
  <DuplicateName />
  <OriginalName />
  <ListItemRecord>
    <Id>166439565</Id>
    <Name>NPF Direction No 171 ExpState</Name>
    <Description>D15/211</Description>
    <VersionId>635579463700000000</VersionId>
  </ListItemRecord>
  <SiteRecord>
    <Id>166435962</Id>
    <Name>Legislation Site Record</Name>
    <Description>SS/6</Description>
    <VersionId />
  </SiteRecord>
  <ListRecord>
    <Id>166439533</Id>
    <Name>Legislation - Directions List Record</Name>
    <Description>SL/165</Description>
    <VersionId />
  </ListRecord>
  <ContentContainer>
    <Id>166439534</Id>
    <Name>Legislation - Directions</Name>
    <Description>DL15/14</Description>
    <VersionId>635612534290000000</VersionId>
  </ContentContainer>
  <Status>NotSet</Status>
  <Originator>ThisList</Originator>
  <Version />
  <OtherInformation />
  <PreventUpdating>false</PreventUpdating>
  <PreventUpdated>false</PreventUpdated>
  <PreventDataStoreProcessing>false</PreventDataStoreProcessing>
  <SaveDocument>false</SaveDocument>
  <PreventCheckingOut>false</PreventCheckingOut>
  <ItemDeleting>false</ItemDeleting>
  <ItemCheckingIn>false</ItemCheckingIn>
  <PreventLirCheckIn>false</PreventLirCheckIn>
  <Finalized>false</Finalized>
  <PreventDeleting>false</PreventDeleting>
  <DocumentMapping>
    <DocumentMap>
      <DateLastModified>2015-01-19T00:31:41Z</DateLastModified>
      <IsCurrentVersion>false</IsCurrentVersion>
      <SharePointID>0.1</SharePointID>
      <DataStoreID>1</DataStoreID>
      <Version>1</Version>
    </DocumentMap>
    <DocumentMap>
      <DateLastModified>2015-01-19T00:34:42Z</DateLastModified>
      <IsCurrentVersion>false</IsCurrentVersion>
      <SharePointID>0.2</SharePointID>
      <DataStoreID>2</DataStoreID>
      <Version>2</Version>
    </DocumentMap>
    <DocumentMap>
      <DateLastModified>2015-01-19T02:43:40Z</DateLastModified>
      <IsCurrentVersion>false</IsCurrentVersion>
      <SharePointID>0.3</SharePointID>
      <DataStoreID>3</DataStoreID>
      <Version>3</Version>
    </DocumentMap>
    <DocumentMap>
      <DateLastModified>2015-01-19T04:11:10Z</DateLastModified>
      <IsCurrentVersion>false</IsCurrentVersion>
      <SharePointID>0.4</SharePointID>
      <DataStoreID>4</DataStoreID>
      <Version>4</Version>
    </DocumentMap>
    <DocumentMap>
      <DateLastModified>2015-01-19T04:13:21Z</DateLastModified>
      <IsCurrentVersion>false</IsCurrentVersion>
      <SharePointID>0.5</SharePointID>
      <DataStoreID>5</DataStoreID>
      <Version>5</Version>
    </DocumentMap>
    <DocumentMap>
      <DateLastModified>2015-01-20T22:46:04Z</DateLastModified>
      <IsCurrentVersion>false</IsCurrentVersion>
      <SharePointID>0.6</SharePointID>
      <DataStoreID>6</DataStoreID>
      <Version>6</Version>
    </DocumentMap>
    <DocumentMap>
      <DateLastModified>2015-01-22T00:56:12Z</DateLastModified>
      <IsCurrentVersion>false</IsCurrentVersion>
      <SharePointID>0.7</SharePointID>
      <DataStoreID>7</DataStoreID>
      <Version>7</Version>
    </DocumentMap>
    <DocumentMap>
      <DateLastModified>2015-01-22T22:59:56Z</DateLastModified>
      <IsCurrentVersion>false</IsCurrentVersion>
      <SharePointID>0.8</SharePointID>
      <DataStoreID>8</DataStoreID>
      <Version>8</Version>
    </DocumentMap>
    <DocumentMap>
      <DateLastModified>2015-01-26T22:06:09Z</DateLastModified>
      <IsCurrentVersion>true</IsCurrentVersion>
      <SharePointID>0.10</SharePointID>
      <DataStoreID>9</DataStoreID>
      <Version>10</Version>
    </DocumentMap>
  </DocumentMapping>
  <Extension>DOC</Extension>
</DataStoreItem>;#]]></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28" ma:contentTypeDescription="Create a new document." ma:contentTypeScope="" ma:versionID="5ed760a72e7e70242a5c427d57b308f6">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d4e0e8415f0f2a5272d8e2d732fa57e7" ns2:_="" ns3:_="">
    <xsd:import namespace="a862938e-ae39-425b-9d70-cda3eaaca30c"/>
    <xsd:import namespace="ad89e3a7-bc44-4ae9-b26a-b14eb6ab234a"/>
    <xsd:element name="properties">
      <xsd:complexType>
        <xsd:sequence>
          <xsd:element name="documentManagement">
            <xsd:complexType>
              <xsd:all>
                <xsd:element ref="ns2:_dlc_DocIdUrl" minOccurs="0"/>
                <xsd:element ref="ns2:ConcessionType" minOccurs="0"/>
                <xsd:element ref="ns2:FMBDataSource" minOccurs="0"/>
                <xsd:element ref="ns2:DocumentType" minOccurs="0"/>
                <xsd:element ref="ns2:Entity" minOccurs="0"/>
                <xsd:element ref="ns2:FinancialYear" minOccurs="0"/>
                <xsd:element ref="ns2:MACRAG" minOccurs="0"/>
                <xsd:element ref="ns2:MeetingNo" minOccurs="0"/>
                <xsd:element ref="ns2:Month" minOccurs="0"/>
                <xsd:element ref="ns2:Quarter" minOccurs="0"/>
                <xsd:element ref="ns2:Year" minOccurs="0"/>
                <xsd:element ref="ns2:DocumentStatus" minOccurs="0"/>
                <xsd:element ref="ns2:GearType" minOccurs="0"/>
                <xsd:element ref="ns2:_dlc_DocId" minOccurs="0"/>
                <xsd:element ref="ns2:_dlc_DocIdPersistId" minOccurs="0"/>
                <xsd:element ref="ns2:Sector" minOccurs="0"/>
                <xsd:element ref="ns2:SpeciesGroup" minOccurs="0"/>
                <xsd:element ref="ns2:St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cessionType" ma:index="3" nillable="true" ma:displayName="Concession Type" ma:format="Dropdown"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FMBDataSource" ma:index="4" nillable="true" ma:displayName="Data Source" ma:format="Dropdown" ma:internalName="FMBDataSource" ma:readOnly="fals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Type" ma:index="5" nillable="true" ma:displayName="Document Type" ma:format="Dropdown" ma:internalName="DocumentType" ma:readOnly="fals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Entity" ma:index="6" nillable="true" ma:displayName="Entity" ma:format="Dropdown" ma:internalName="Entity" ma:readOnly="false">
      <xsd:simpleType>
        <xsd:restriction base="dms:Choice">
          <xsd:enumeration value="AFMA"/>
          <xsd:enumeration value="CSIRO"/>
          <xsd:enumeration value="ABARES"/>
          <xsd:enumeration value="AAD"/>
          <xsd:enumeration value="DAWR"/>
          <xsd:enumeration value="AAP"/>
          <xsd:enumeration value="DoEE"/>
        </xsd:restriction>
      </xsd:simpleType>
    </xsd:element>
    <xsd:element name="FinancialYear" ma:index="7" nillable="true" ma:displayName="Financial Year" ma:format="Dropdown" ma:internalName="FinancialYear" ma:readOnly="false">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5"/>
              <xsd:enumeration value="2025-2027"/>
            </xsd:restriction>
          </xsd:simpleType>
        </xsd:union>
      </xsd:simpleType>
    </xsd:element>
    <xsd:element name="MACRAG" ma:index="8" nillable="true" ma:displayName="MAC RAG" ma:format="Dropdown"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9" nillable="true" ma:displayName="Meeting No" ma:internalName="MeetingNo" ma:readOnly="false">
      <xsd:simpleType>
        <xsd:restriction base="dms:Text">
          <xsd:maxLength value="255"/>
        </xsd:restriction>
      </xsd:simpleType>
    </xsd:element>
    <xsd:element name="Month" ma:index="10" nillable="true" ma:displayName="Month" ma:format="Dropdown" ma:internalName="Month" ma:readOnly="false">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Quarter" ma:index="11" nillable="true" ma:displayName="Quarter" ma:format="Dropdown" ma:internalName="Quarter" ma:readOnly="false">
      <xsd:simpleType>
        <xsd:restriction base="dms:Choice">
          <xsd:enumeration value="1.March"/>
          <xsd:enumeration value="2.June"/>
          <xsd:enumeration value="3.September"/>
          <xsd:enumeration value="4.December"/>
        </xsd:restriction>
      </xsd:simpleType>
    </xsd:element>
    <xsd:element name="Year" ma:index="12" nillable="true" ma:displayName="Year" ma:format="Dropdown" ma:internalName="Year" ma:readOnly="false">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Status" ma:index="13" nillable="true" ma:displayName="Document Status" ma:format="Dropdown"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GearType" ma:index="16" nillable="true" ma:displayName="Gear Type"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ector" ma:index="21" nillable="true" ma:displayName="Sector" ma:format="Dropdown" ma:hidden="true" ma:internalName="Sector" ma:readOnly="false">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22" nillable="true" ma:displayName="Species Group" ma:format="Dropdown" ma:hidden="true" ma:internalName="SpeciesGroup" ma:readOnly="false">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State" ma:index="23" nillable="true" ma:displayName="State" ma:format="Dropdown" ma:hidden="true" ma:internalName="State" ma:readOnly="false">
      <xsd:simpleType>
        <xsd:restriction base="dms:Choice">
          <xsd:enumeration value="ACT"/>
          <xsd:enumeration value="NSW"/>
          <xsd:enumeration value="VIC"/>
          <xsd:enumeration value="QLD"/>
          <xsd:enumeration value="NT"/>
          <xsd:enumeration value="SA"/>
          <xsd:enumeration value="WA"/>
          <xsd:enumeration value="TAS"/>
        </xsd:restrictio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MBDataSource xmlns="a862938e-ae39-425b-9d70-cda3eaaca30c" xsi:nil="true"/>
    <FinancialYear xmlns="a862938e-ae39-425b-9d70-cda3eaaca30c" xsi:nil="true"/>
    <Year xmlns="a862938e-ae39-425b-9d70-cda3eaaca30c">2021</Year>
    <_dlc_DocIdUrl xmlns="a862938e-ae39-425b-9d70-cda3eaaca30c">
      <Url>https://afmagovau.sharepoint.com/sites/NOR-PROD/_layouts/15/DocIdRedir.aspx?ID=AFMANOR-928984018-213</Url>
      <Description>AFMANOR-928984018-213</Description>
    </_dlc_DocIdUrl>
    <State xmlns="a862938e-ae39-425b-9d70-cda3eaaca30c" xsi:nil="true"/>
    <Month xmlns="a862938e-ae39-425b-9d70-cda3eaaca30c" xsi:nil="true"/>
    <Sector xmlns="a862938e-ae39-425b-9d70-cda3eaaca30c" xsi:nil="true"/>
    <_dlc_DocIdPersistId xmlns="a862938e-ae39-425b-9d70-cda3eaaca30c" xsi:nil="true"/>
    <Entity xmlns="a862938e-ae39-425b-9d70-cda3eaaca30c" xsi:nil="true"/>
    <ConcessionType xmlns="a862938e-ae39-425b-9d70-cda3eaaca30c" xsi:nil="true"/>
    <SpeciesGroup xmlns="a862938e-ae39-425b-9d70-cda3eaaca30c" xsi:nil="true"/>
    <MeetingNo xmlns="a862938e-ae39-425b-9d70-cda3eaaca30c" xsi:nil="true"/>
    <DocumentType xmlns="a862938e-ae39-425b-9d70-cda3eaaca30c" xsi:nil="true"/>
    <MACRAG xmlns="a862938e-ae39-425b-9d70-cda3eaaca30c" xsi:nil="true"/>
    <DocumentStatus xmlns="a862938e-ae39-425b-9d70-cda3eaaca30c" xsi:nil="true"/>
    <Quarter xmlns="a862938e-ae39-425b-9d70-cda3eaaca30c" xsi:nil="true"/>
    <GearType xmlns="a862938e-ae39-425b-9d70-cda3eaaca30c" xsi:nil="true"/>
    <_dlc_DocId xmlns="a862938e-ae39-425b-9d70-cda3eaaca30c">AFMANOR-928984018-213</_dlc_Doc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3D22A-23B3-455E-A07D-0EE36B4B451C}">
  <ds:schemaRefs>
    <ds:schemaRef ds:uri="http://schemas.microsoft.com/sharepoint/v3/contenttype/forms"/>
  </ds:schemaRefs>
</ds:datastoreItem>
</file>

<file path=customXml/itemProps2.xml><?xml version="1.0" encoding="utf-8"?>
<ds:datastoreItem xmlns:ds="http://schemas.openxmlformats.org/officeDocument/2006/customXml" ds:itemID="{2CB27613-246B-4119-9CD3-B89A79C1D11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DDC5CDE-D740-46D9-BB76-8767040A0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5B7B0-A18C-432C-BD9D-01B9E28552DE}">
  <ds:schemaRefs>
    <ds:schemaRef ds:uri="http://schemas.microsoft.com/sharepoint/events"/>
  </ds:schemaRefs>
</ds:datastoreItem>
</file>

<file path=customXml/itemProps5.xml><?xml version="1.0" encoding="utf-8"?>
<ds:datastoreItem xmlns:ds="http://schemas.openxmlformats.org/officeDocument/2006/customXml" ds:itemID="{4250B31F-EA8A-42C7-9B96-CDFB62D95F21}">
  <ds:schemaRefs>
    <ds:schemaRef ds:uri="http://purl.org/dc/terms/"/>
    <ds:schemaRef ds:uri="http://schemas.openxmlformats.org/package/2006/metadata/core-properties"/>
    <ds:schemaRef ds:uri="http://purl.org/dc/dcmitype/"/>
    <ds:schemaRef ds:uri="a862938e-ae39-425b-9d70-cda3eaaca30c"/>
    <ds:schemaRef ds:uri="http://purl.org/dc/elements/1.1/"/>
    <ds:schemaRef ds:uri="ad89e3a7-bc44-4ae9-b26a-b14eb6ab234a"/>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05E1F35F-B704-48C7-9A85-096D5EDA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x</dc:subject>
  <dc:creator/>
  <cp:keywords/>
  <cp:lastModifiedBy/>
  <cp:revision>1</cp:revision>
  <cp:lastPrinted>2011-07-20T00:41:00Z</cp:lastPrinted>
  <dcterms:created xsi:type="dcterms:W3CDTF">2021-03-03T02:30:00Z</dcterms:created>
  <dcterms:modified xsi:type="dcterms:W3CDTF">2021-03-16T03:14:00Z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ustry">
    <vt:lpwstr>x</vt:lpwstr>
  </property>
  <property fmtid="{D5CDD505-2E9C-101B-9397-08002B2CF9AE}" pid="3" name="Description">
    <vt:lpwstr>x</vt:lpwstr>
  </property>
  <property fmtid="{D5CDD505-2E9C-101B-9397-08002B2CF9AE}" pid="4" name="Function">
    <vt:lpwstr>x</vt:lpwstr>
  </property>
  <property fmtid="{D5CDD505-2E9C-101B-9397-08002B2CF9AE}" pid="5" name="Identifier">
    <vt:lpwstr/>
  </property>
  <property fmtid="{D5CDD505-2E9C-101B-9397-08002B2CF9AE}" pid="6" name="Fishery1">
    <vt:lpwstr>14;#NPF|83625c79-992c-42ad-8c6e-1993dabb8bd6</vt:lpwstr>
  </property>
  <property fmtid="{D5CDD505-2E9C-101B-9397-08002B2CF9AE}" pid="7" name="SecurityDLM">
    <vt:lpwstr/>
  </property>
  <property fmtid="{D5CDD505-2E9C-101B-9397-08002B2CF9AE}" pid="8" name="SecurityClassification">
    <vt:lpwstr>4;#UNCLASSIFIED|b7790340-fd09-4f97-8556-c2565985ce7e</vt:lpwstr>
  </property>
  <property fmtid="{D5CDD505-2E9C-101B-9397-08002B2CF9AE}" pid="9" name="LirDetails">
    <vt:lpwstr>;#&lt;?xml version="1.0" encoding="utf-16"?&gt;_x000d_
&lt;DataStoreItem xmlns:xsi="http://www.w3.org/2001/XMLSchema-instance" xmlns:xsd="http://www.w3.org/2001/XMLSchema"&gt;_x000d_
  &lt;Exposing&gt;false&lt;/Exposing&gt;_x000d_
  &lt;CheckingConsistancy&gt;false&lt;/CheckingConsistancy&gt;_x000d_
  &lt;Unexposing&gt;</vt:lpwstr>
  </property>
  <property fmtid="{D5CDD505-2E9C-101B-9397-08002B2CF9AE}" pid="10" name="PreventUpdated">
    <vt:lpwstr>False</vt:lpwstr>
  </property>
  <property fmtid="{D5CDD505-2E9C-101B-9397-08002B2CF9AE}" pid="11" name="FileLeafRef">
    <vt:lpwstr>NPF Direction No 171 ExpState</vt:lpwstr>
  </property>
  <property fmtid="{D5CDD505-2E9C-101B-9397-08002B2CF9AE}" pid="12" name="Calendar_x0020_Year">
    <vt:lpwstr>2015</vt:lpwstr>
  </property>
  <property fmtid="{D5CDD505-2E9C-101B-9397-08002B2CF9AE}" pid="13" name="Document Type">
    <vt:lpwstr>7;#Explanatory Statement|07afeef6-76d2-4d03-a5a2-8e743d07278a</vt:lpwstr>
  </property>
  <property fmtid="{D5CDD505-2E9C-101B-9397-08002B2CF9AE}" pid="14" name="Record_x0020_Number">
    <vt:lpwstr>D15/211</vt:lpwstr>
  </property>
  <property fmtid="{D5CDD505-2E9C-101B-9397-08002B2CF9AE}" pid="15" name="TitusGUID">
    <vt:lpwstr>e7a7df4f-0228-4e6f-aea7-be49c886528b</vt:lpwstr>
  </property>
  <property fmtid="{D5CDD505-2E9C-101B-9397-08002B2CF9AE}" pid="16" name="ContentTypeId">
    <vt:lpwstr>0x010100C66811EC2930E84588E5FE36575C6CED</vt:lpwstr>
  </property>
  <property fmtid="{D5CDD505-2E9C-101B-9397-08002B2CF9AE}" pid="17" name="Record Number">
    <vt:lpwstr>D15/211</vt:lpwstr>
  </property>
  <property fmtid="{D5CDD505-2E9C-101B-9397-08002B2CF9AE}" pid="18" name="_dlc_DocIdItemGuid">
    <vt:lpwstr>75664fa7-7713-40dc-b11a-c24c026d7a51</vt:lpwstr>
  </property>
  <property fmtid="{D5CDD505-2E9C-101B-9397-08002B2CF9AE}" pid="19" name="Calendar Year">
    <vt:lpwstr>2015</vt:lpwstr>
  </property>
  <property fmtid="{D5CDD505-2E9C-101B-9397-08002B2CF9AE}" pid="20" name="SEC">
    <vt:lpwstr>OFFICIAL</vt:lpwstr>
  </property>
  <property fmtid="{D5CDD505-2E9C-101B-9397-08002B2CF9AE}" pid="21" name="ApplyMark">
    <vt:lpwstr>false</vt:lpwstr>
  </property>
</Properties>
</file>