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097CA" w14:textId="72B04229" w:rsidR="00F15472" w:rsidRPr="00214C18" w:rsidRDefault="00F15472" w:rsidP="00F15472">
      <w:pPr>
        <w:pStyle w:val="LDClauseHeading"/>
        <w:spacing w:before="0"/>
        <w:rPr>
          <w:rFonts w:cs="Arial"/>
        </w:rPr>
      </w:pPr>
      <w:r w:rsidRPr="00214C18">
        <w:rPr>
          <w:rFonts w:cs="Arial"/>
        </w:rPr>
        <w:t>Explanatory Statement</w:t>
      </w:r>
    </w:p>
    <w:p w14:paraId="1F6BD549" w14:textId="77777777" w:rsidR="00F15472" w:rsidRPr="00214C18" w:rsidRDefault="00F15472" w:rsidP="00F15472">
      <w:pPr>
        <w:pStyle w:val="LDClauseHeading"/>
        <w:rPr>
          <w:rFonts w:cs="Arial"/>
        </w:rPr>
      </w:pPr>
      <w:r w:rsidRPr="00214C18">
        <w:rPr>
          <w:rFonts w:cs="Arial"/>
        </w:rPr>
        <w:t>Civil Aviation Safety Regulations 1998</w:t>
      </w:r>
    </w:p>
    <w:p w14:paraId="29452C88" w14:textId="0990B27F" w:rsidR="00872E2D" w:rsidRPr="00B23F2F" w:rsidRDefault="00FE09F8" w:rsidP="007014CA">
      <w:pPr>
        <w:pStyle w:val="LDClauseHeading"/>
        <w:spacing w:after="0"/>
        <w:ind w:left="0" w:firstLine="0"/>
        <w:rPr>
          <w:iCs/>
        </w:rPr>
      </w:pPr>
      <w:r w:rsidRPr="00B23F2F">
        <w:rPr>
          <w:iCs/>
        </w:rPr>
        <w:t xml:space="preserve">CASA EX19/21 — Examiner Proficiency Checks (Extensions of Time </w:t>
      </w:r>
      <w:r w:rsidR="002D53F2" w:rsidRPr="00B23F2F">
        <w:rPr>
          <w:iCs/>
        </w:rPr>
        <w:t xml:space="preserve">and </w:t>
      </w:r>
      <w:r w:rsidRPr="00B23F2F">
        <w:rPr>
          <w:iCs/>
        </w:rPr>
        <w:t>Substitute Proficiency Checks) Exemption Instrument 2021 (No. 1)</w:t>
      </w:r>
    </w:p>
    <w:p w14:paraId="6F1001CE" w14:textId="77777777" w:rsidR="000F3710" w:rsidRPr="00214C18" w:rsidRDefault="00F15472" w:rsidP="00C919A5">
      <w:pPr>
        <w:pStyle w:val="LDBodytext"/>
        <w:spacing w:before="360"/>
        <w:rPr>
          <w:b/>
        </w:rPr>
      </w:pPr>
      <w:r w:rsidRPr="00214C18">
        <w:rPr>
          <w:b/>
        </w:rPr>
        <w:t>Purpose</w:t>
      </w:r>
      <w:bookmarkStart w:id="0" w:name="_Hlk50984467"/>
    </w:p>
    <w:bookmarkEnd w:id="0"/>
    <w:p w14:paraId="18A8FB80" w14:textId="19B5588E" w:rsidR="00D01DB7" w:rsidRDefault="006A2973" w:rsidP="00237723">
      <w:pPr>
        <w:rPr>
          <w:rFonts w:ascii="Times New Roman" w:hAnsi="Times New Roman"/>
        </w:rPr>
      </w:pPr>
      <w:r w:rsidRPr="00237723">
        <w:rPr>
          <w:rFonts w:ascii="Times New Roman" w:hAnsi="Times New Roman"/>
        </w:rPr>
        <w:t xml:space="preserve">The purpose of </w:t>
      </w:r>
      <w:r w:rsidRPr="00237723">
        <w:rPr>
          <w:rFonts w:ascii="Times New Roman" w:hAnsi="Times New Roman"/>
          <w:i/>
          <w:iCs/>
        </w:rPr>
        <w:t xml:space="preserve">CASA EX19/21 — Examiner Proficiency Checks (Extensions of Time </w:t>
      </w:r>
      <w:r w:rsidR="002D53F2">
        <w:rPr>
          <w:rFonts w:ascii="Times New Roman" w:hAnsi="Times New Roman"/>
          <w:i/>
          <w:iCs/>
        </w:rPr>
        <w:t>and</w:t>
      </w:r>
      <w:r w:rsidRPr="00237723">
        <w:rPr>
          <w:rFonts w:ascii="Times New Roman" w:hAnsi="Times New Roman"/>
          <w:i/>
          <w:iCs/>
        </w:rPr>
        <w:t xml:space="preserve"> Substitute Proficiency Checks) Exemption Instrument 2021 (No</w:t>
      </w:r>
      <w:r w:rsidRPr="00E323D2">
        <w:rPr>
          <w:rFonts w:ascii="Times New Roman" w:hAnsi="Times New Roman"/>
          <w:i/>
          <w:iCs/>
        </w:rPr>
        <w:t>. 1</w:t>
      </w:r>
      <w:r w:rsidR="00E323D2" w:rsidRPr="00E323D2">
        <w:rPr>
          <w:rFonts w:ascii="Times New Roman" w:hAnsi="Times New Roman"/>
          <w:i/>
          <w:iCs/>
        </w:rPr>
        <w:t>)</w:t>
      </w:r>
      <w:r w:rsidR="00564F63" w:rsidRPr="00564F63">
        <w:rPr>
          <w:rFonts w:ascii="Times New Roman" w:hAnsi="Times New Roman"/>
        </w:rPr>
        <w:t xml:space="preserve"> (the </w:t>
      </w:r>
      <w:r w:rsidR="00564F63" w:rsidRPr="00C52E49">
        <w:rPr>
          <w:rFonts w:ascii="Times New Roman" w:hAnsi="Times New Roman"/>
          <w:b/>
          <w:bCs/>
          <w:i/>
          <w:iCs/>
        </w:rPr>
        <w:t>new EPC exemption</w:t>
      </w:r>
      <w:r w:rsidRPr="00564F63">
        <w:rPr>
          <w:rFonts w:ascii="Times New Roman" w:hAnsi="Times New Roman"/>
        </w:rPr>
        <w:t>)</w:t>
      </w:r>
      <w:r w:rsidRPr="00237723">
        <w:rPr>
          <w:rFonts w:ascii="Times New Roman" w:hAnsi="Times New Roman"/>
        </w:rPr>
        <w:t xml:space="preserve"> is</w:t>
      </w:r>
      <w:r w:rsidR="00D01DB7">
        <w:rPr>
          <w:rFonts w:ascii="Times New Roman" w:hAnsi="Times New Roman"/>
        </w:rPr>
        <w:t xml:space="preserve"> twofold:</w:t>
      </w:r>
    </w:p>
    <w:p w14:paraId="5ED551C3" w14:textId="0C05BBD1" w:rsidR="00D01DB7" w:rsidRPr="00C919A5" w:rsidRDefault="006A2973" w:rsidP="00C919A5">
      <w:pPr>
        <w:pStyle w:val="ListParagraph"/>
        <w:numPr>
          <w:ilvl w:val="0"/>
          <w:numId w:val="15"/>
        </w:numPr>
        <w:rPr>
          <w:rFonts w:ascii="Times New Roman" w:hAnsi="Times New Roman"/>
        </w:rPr>
      </w:pPr>
      <w:r w:rsidRPr="00C919A5">
        <w:rPr>
          <w:rFonts w:ascii="Times New Roman" w:hAnsi="Times New Roman"/>
        </w:rPr>
        <w:t>to exempt</w:t>
      </w:r>
      <w:r w:rsidR="00D01DB7" w:rsidRPr="00C919A5">
        <w:rPr>
          <w:rFonts w:ascii="Times New Roman" w:hAnsi="Times New Roman"/>
        </w:rPr>
        <w:t>, for various periods of time (not later than 31 December 2021)</w:t>
      </w:r>
      <w:r w:rsidRPr="00C919A5">
        <w:rPr>
          <w:rFonts w:ascii="Times New Roman" w:hAnsi="Times New Roman"/>
        </w:rPr>
        <w:t xml:space="preserve"> certain flight examiner rating holders (</w:t>
      </w:r>
      <w:r w:rsidRPr="00C919A5">
        <w:rPr>
          <w:rFonts w:ascii="Times New Roman" w:hAnsi="Times New Roman"/>
          <w:b/>
          <w:bCs/>
          <w:i/>
          <w:iCs/>
        </w:rPr>
        <w:t>FER holders</w:t>
      </w:r>
      <w:r w:rsidRPr="00C919A5">
        <w:rPr>
          <w:rFonts w:ascii="Times New Roman" w:hAnsi="Times New Roman"/>
        </w:rPr>
        <w:t>)</w:t>
      </w:r>
      <w:r w:rsidR="002D53F2" w:rsidRPr="00C919A5">
        <w:rPr>
          <w:rFonts w:ascii="Times New Roman" w:hAnsi="Times New Roman"/>
        </w:rPr>
        <w:t xml:space="preserve"> and certain CASA approval holders </w:t>
      </w:r>
      <w:r w:rsidRPr="00C919A5">
        <w:rPr>
          <w:rFonts w:ascii="Times New Roman" w:hAnsi="Times New Roman"/>
        </w:rPr>
        <w:t xml:space="preserve">from the requirement under regulation 61.1285 of the </w:t>
      </w:r>
      <w:r w:rsidRPr="00C919A5">
        <w:rPr>
          <w:rFonts w:ascii="Times New Roman" w:hAnsi="Times New Roman"/>
          <w:i/>
          <w:iCs/>
        </w:rPr>
        <w:t>Civil Aviation Safety Regulations 1998</w:t>
      </w:r>
      <w:r w:rsidRPr="00C919A5">
        <w:rPr>
          <w:rFonts w:ascii="Times New Roman" w:hAnsi="Times New Roman"/>
        </w:rPr>
        <w:t xml:space="preserve"> (</w:t>
      </w:r>
      <w:r w:rsidRPr="00C919A5">
        <w:rPr>
          <w:rFonts w:ascii="Times New Roman" w:hAnsi="Times New Roman"/>
          <w:b/>
          <w:bCs/>
          <w:i/>
          <w:iCs/>
        </w:rPr>
        <w:t>CASR</w:t>
      </w:r>
      <w:r w:rsidRPr="00C919A5">
        <w:rPr>
          <w:rFonts w:ascii="Times New Roman" w:hAnsi="Times New Roman"/>
        </w:rPr>
        <w:t>) to have a valid examiner proficiency check (</w:t>
      </w:r>
      <w:r w:rsidRPr="00C919A5">
        <w:rPr>
          <w:rFonts w:ascii="Times New Roman" w:hAnsi="Times New Roman"/>
          <w:b/>
          <w:bCs/>
          <w:i/>
          <w:iCs/>
        </w:rPr>
        <w:t>EPC</w:t>
      </w:r>
      <w:r w:rsidRPr="00C919A5">
        <w:rPr>
          <w:rFonts w:ascii="Times New Roman" w:hAnsi="Times New Roman"/>
        </w:rPr>
        <w:t>) that would</w:t>
      </w:r>
      <w:r w:rsidR="00237723" w:rsidRPr="00C919A5">
        <w:rPr>
          <w:rFonts w:ascii="Times New Roman" w:hAnsi="Times New Roman"/>
        </w:rPr>
        <w:t xml:space="preserve"> otherwise</w:t>
      </w:r>
      <w:r w:rsidRPr="00C919A5">
        <w:rPr>
          <w:rFonts w:ascii="Times New Roman" w:hAnsi="Times New Roman"/>
        </w:rPr>
        <w:t xml:space="preserve"> be due on 1 April 2021</w:t>
      </w:r>
    </w:p>
    <w:p w14:paraId="44381AA3" w14:textId="5D422F7E" w:rsidR="0025496D" w:rsidRPr="00C919A5" w:rsidRDefault="00D01DB7" w:rsidP="00C919A5">
      <w:pPr>
        <w:pStyle w:val="ListParagraph"/>
        <w:numPr>
          <w:ilvl w:val="0"/>
          <w:numId w:val="15"/>
        </w:numPr>
        <w:rPr>
          <w:rFonts w:ascii="Times New Roman" w:hAnsi="Times New Roman"/>
        </w:rPr>
      </w:pPr>
      <w:r w:rsidRPr="00C919A5">
        <w:rPr>
          <w:rFonts w:ascii="Times New Roman" w:hAnsi="Times New Roman"/>
        </w:rPr>
        <w:t>to exempt FER holders from the same requirement</w:t>
      </w:r>
      <w:r w:rsidR="006A2973" w:rsidRPr="00C919A5">
        <w:rPr>
          <w:rFonts w:ascii="Times New Roman" w:hAnsi="Times New Roman"/>
        </w:rPr>
        <w:t xml:space="preserve"> provided that</w:t>
      </w:r>
      <w:r w:rsidRPr="00C919A5">
        <w:rPr>
          <w:rFonts w:ascii="Times New Roman" w:hAnsi="Times New Roman"/>
        </w:rPr>
        <w:t>, within certain time limits,</w:t>
      </w:r>
      <w:r w:rsidR="006A2973" w:rsidRPr="00C919A5">
        <w:rPr>
          <w:rFonts w:ascii="Times New Roman" w:hAnsi="Times New Roman"/>
        </w:rPr>
        <w:t xml:space="preserve"> the holder successfully completes a prescribed substitute proficiency check</w:t>
      </w:r>
      <w:r w:rsidRPr="00C919A5">
        <w:rPr>
          <w:rFonts w:ascii="Times New Roman" w:hAnsi="Times New Roman"/>
        </w:rPr>
        <w:t xml:space="preserve"> to be applicable for a defined period of time in place of an EPC otherwise due.</w:t>
      </w:r>
    </w:p>
    <w:p w14:paraId="269D157F" w14:textId="77777777" w:rsidR="0025496D" w:rsidRDefault="0025496D" w:rsidP="00237723">
      <w:pPr>
        <w:rPr>
          <w:rFonts w:ascii="Times New Roman" w:hAnsi="Times New Roman"/>
        </w:rPr>
      </w:pPr>
    </w:p>
    <w:p w14:paraId="19CA9C5F" w14:textId="77777777" w:rsidR="00DF527C" w:rsidRDefault="00E026FF" w:rsidP="00237723">
      <w:pPr>
        <w:rPr>
          <w:rFonts w:ascii="Times New Roman" w:hAnsi="Times New Roman"/>
        </w:rPr>
      </w:pPr>
      <w:r>
        <w:rPr>
          <w:rFonts w:ascii="Times New Roman" w:hAnsi="Times New Roman"/>
        </w:rPr>
        <w:t xml:space="preserve">The substitute proficiency check is, in essence, the ground component of an actual EPC which would </w:t>
      </w:r>
      <w:r w:rsidR="002D53F2">
        <w:rPr>
          <w:rFonts w:ascii="Times New Roman" w:hAnsi="Times New Roman"/>
        </w:rPr>
        <w:t xml:space="preserve">otherwise </w:t>
      </w:r>
      <w:r>
        <w:rPr>
          <w:rFonts w:ascii="Times New Roman" w:hAnsi="Times New Roman"/>
        </w:rPr>
        <w:t>normally involve a flying or simulated flying component</w:t>
      </w:r>
      <w:r w:rsidR="00DF527C">
        <w:rPr>
          <w:rFonts w:ascii="Times New Roman" w:hAnsi="Times New Roman"/>
        </w:rPr>
        <w:t>.</w:t>
      </w:r>
    </w:p>
    <w:p w14:paraId="465A2550" w14:textId="55F10145" w:rsidR="0025496D" w:rsidRDefault="0025496D" w:rsidP="00237723">
      <w:pPr>
        <w:rPr>
          <w:rFonts w:ascii="Times New Roman" w:hAnsi="Times New Roman"/>
        </w:rPr>
      </w:pPr>
    </w:p>
    <w:p w14:paraId="5E2DD7ED" w14:textId="2EA335F8" w:rsidR="006A2973" w:rsidRPr="00237723" w:rsidRDefault="002D53F2" w:rsidP="00237723">
      <w:pPr>
        <w:rPr>
          <w:rFonts w:ascii="Times New Roman" w:hAnsi="Times New Roman"/>
        </w:rPr>
      </w:pPr>
      <w:r>
        <w:rPr>
          <w:rFonts w:ascii="Times New Roman" w:hAnsi="Times New Roman"/>
        </w:rPr>
        <w:t>For simplicity, in this Explanatory Statement, references to an FER holder are taken to include relevant CASA approval holders under regulation 61.040 of CASR who, under the terms of their approval, are also required to have an EPC.</w:t>
      </w:r>
    </w:p>
    <w:p w14:paraId="2B99690E" w14:textId="77777777" w:rsidR="00237723" w:rsidRPr="00237723" w:rsidRDefault="00237723" w:rsidP="00237723">
      <w:pPr>
        <w:rPr>
          <w:rFonts w:ascii="Times New Roman" w:hAnsi="Times New Roman"/>
        </w:rPr>
      </w:pPr>
    </w:p>
    <w:p w14:paraId="116C5EEF" w14:textId="77777777" w:rsidR="00137848" w:rsidRPr="00237723" w:rsidRDefault="00137848" w:rsidP="00237723">
      <w:pPr>
        <w:rPr>
          <w:rFonts w:ascii="Times New Roman" w:hAnsi="Times New Roman"/>
          <w:b/>
          <w:bCs/>
        </w:rPr>
      </w:pPr>
      <w:r w:rsidRPr="00237723">
        <w:rPr>
          <w:rFonts w:ascii="Times New Roman" w:hAnsi="Times New Roman"/>
          <w:b/>
          <w:bCs/>
        </w:rPr>
        <w:t>Legislation — exemptions</w:t>
      </w:r>
    </w:p>
    <w:p w14:paraId="0582A2F6" w14:textId="77777777" w:rsidR="00137848" w:rsidRPr="00214C18" w:rsidRDefault="00137848" w:rsidP="00137848">
      <w:pPr>
        <w:rPr>
          <w:rFonts w:ascii="Times New Roman" w:hAnsi="Times New Roman"/>
        </w:rPr>
      </w:pPr>
      <w:r w:rsidRPr="00214C18">
        <w:rPr>
          <w:rFonts w:ascii="Times New Roman" w:hAnsi="Times New Roman"/>
        </w:rPr>
        <w:t xml:space="preserve">Subpart 11.F of CASR deals with exemptions. Under subregulation 11.160 (1), and for subsection 98 (5A) of the </w:t>
      </w:r>
      <w:r w:rsidR="00AC458E" w:rsidRPr="00214C18">
        <w:rPr>
          <w:rFonts w:ascii="Times New Roman" w:hAnsi="Times New Roman"/>
          <w:i/>
        </w:rPr>
        <w:t>Civil Aviation Act 1988</w:t>
      </w:r>
      <w:r w:rsidR="00AC458E" w:rsidRPr="00214C18">
        <w:rPr>
          <w:rFonts w:ascii="Times New Roman" w:hAnsi="Times New Roman"/>
        </w:rPr>
        <w:t xml:space="preserve"> (the </w:t>
      </w:r>
      <w:r w:rsidRPr="00214C18">
        <w:rPr>
          <w:rFonts w:ascii="Times New Roman" w:hAnsi="Times New Roman"/>
          <w:b/>
          <w:i/>
        </w:rPr>
        <w:t>Act</w:t>
      </w:r>
      <w:r w:rsidR="00AC458E" w:rsidRPr="00214C18">
        <w:rPr>
          <w:rFonts w:ascii="Times New Roman" w:hAnsi="Times New Roman"/>
        </w:rPr>
        <w:t>)</w:t>
      </w:r>
      <w:r w:rsidRPr="00214C18">
        <w:rPr>
          <w:rFonts w:ascii="Times New Roman" w:hAnsi="Times New Roman"/>
        </w:rPr>
        <w:t>, CASA may, by instrument, grant an exemption from a provision of CASR in relation to a matter mentioned in subsection 98 (5A). Subsection 98 (5A) matters are, in effect, those affecting the safety, airworthiness or design of aircraft.</w:t>
      </w:r>
    </w:p>
    <w:p w14:paraId="7FB26A51" w14:textId="77777777" w:rsidR="00137848" w:rsidRPr="00214C18" w:rsidRDefault="00137848" w:rsidP="00B020DA">
      <w:pPr>
        <w:pStyle w:val="LDClauseHeading"/>
        <w:keepNext w:val="0"/>
        <w:spacing w:before="0" w:after="0"/>
        <w:ind w:left="0" w:firstLine="0"/>
        <w:rPr>
          <w:rFonts w:ascii="Times New Roman" w:hAnsi="Times New Roman"/>
          <w:b w:val="0"/>
          <w:bCs/>
          <w:iCs/>
          <w:sz w:val="22"/>
          <w:szCs w:val="22"/>
        </w:rPr>
      </w:pPr>
    </w:p>
    <w:p w14:paraId="5116C058" w14:textId="7D16A4C5" w:rsidR="00137848" w:rsidRPr="00214C18" w:rsidRDefault="00137848" w:rsidP="00137848">
      <w:pPr>
        <w:pStyle w:val="LDBodytext"/>
      </w:pPr>
      <w:r w:rsidRPr="00214C18">
        <w:t xml:space="preserve">Under subregulation 11.160 (2), an exemption may be granted to a person or a class of persons. Under subregulation 11.160 (3), CASA may grant an exemption on application, or on its own initiative. </w:t>
      </w:r>
      <w:r w:rsidR="006D7AB0" w:rsidRPr="00214C18">
        <w:t xml:space="preserve">Under subregulation 11.170 (3), for </w:t>
      </w:r>
      <w:r w:rsidRPr="00214C18">
        <w:t>an application for an exemption, CASA must regard as paramount the preservation of an acceptable level of safety.</w:t>
      </w:r>
      <w:r w:rsidR="008E3A0F" w:rsidRPr="00214C18">
        <w:t xml:space="preserve"> </w:t>
      </w:r>
      <w:r w:rsidRPr="00214C18">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214C18" w:rsidRDefault="00137848" w:rsidP="00B020DA">
      <w:pPr>
        <w:pStyle w:val="LDClauseHeading"/>
        <w:keepNext w:val="0"/>
        <w:spacing w:before="0" w:after="0"/>
        <w:ind w:left="0" w:firstLine="0"/>
        <w:rPr>
          <w:rFonts w:ascii="Times New Roman" w:hAnsi="Times New Roman"/>
          <w:b w:val="0"/>
          <w:bCs/>
          <w:iCs/>
          <w:sz w:val="22"/>
          <w:szCs w:val="22"/>
        </w:rPr>
      </w:pPr>
    </w:p>
    <w:p w14:paraId="099664BA" w14:textId="2F6DA423" w:rsidR="00137848" w:rsidRPr="00214C18" w:rsidRDefault="00137848" w:rsidP="00137848">
      <w:pPr>
        <w:rPr>
          <w:rFonts w:ascii="Times New Roman" w:hAnsi="Times New Roman"/>
        </w:rPr>
      </w:pPr>
      <w:r w:rsidRPr="00214C18">
        <w:rPr>
          <w:rFonts w:ascii="Times New Roman" w:hAnsi="Times New Roman"/>
        </w:rPr>
        <w:t xml:space="preserve">Under regulation 11.205, CASA may impose conditions on an exemption if </w:t>
      </w:r>
      <w:r w:rsidR="004A05BD" w:rsidRPr="00214C18">
        <w:rPr>
          <w:rFonts w:ascii="Times New Roman" w:hAnsi="Times New Roman"/>
        </w:rPr>
        <w:t xml:space="preserve">this is </w:t>
      </w:r>
      <w:r w:rsidRPr="00214C18">
        <w:rPr>
          <w:rFonts w:ascii="Times New Roman" w:hAnsi="Times New Roman"/>
        </w:rPr>
        <w:t>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w:t>
      </w:r>
    </w:p>
    <w:p w14:paraId="69A2DDE7" w14:textId="77777777" w:rsidR="00137848" w:rsidRPr="00214C18" w:rsidRDefault="00137848" w:rsidP="00137848">
      <w:pPr>
        <w:rPr>
          <w:rFonts w:ascii="Times New Roman" w:hAnsi="Times New Roman"/>
          <w:sz w:val="20"/>
          <w:szCs w:val="20"/>
        </w:rPr>
      </w:pPr>
    </w:p>
    <w:p w14:paraId="2827D8D0" w14:textId="2A966B43" w:rsidR="00137848" w:rsidRPr="00214C18" w:rsidRDefault="00137848" w:rsidP="00137848">
      <w:pPr>
        <w:rPr>
          <w:rFonts w:ascii="Times New Roman" w:hAnsi="Times New Roman"/>
        </w:rPr>
      </w:pPr>
      <w:r w:rsidRPr="00214C18">
        <w:rPr>
          <w:rFonts w:ascii="Times New Roman" w:hAnsi="Times New Roman"/>
        </w:rPr>
        <w:t>Under subregulation 11.230 (1), an exemption may remain in force for 3 years or for a shorter period specified in the instrument.</w:t>
      </w:r>
    </w:p>
    <w:p w14:paraId="3CA5E4B0" w14:textId="77777777" w:rsidR="0088713F" w:rsidRPr="00214C18" w:rsidRDefault="0088713F" w:rsidP="00DB5F6E">
      <w:pPr>
        <w:pStyle w:val="LDBodytext"/>
      </w:pPr>
    </w:p>
    <w:p w14:paraId="1762E61A" w14:textId="392D42D5" w:rsidR="00137848" w:rsidRPr="00214C18" w:rsidRDefault="00137848" w:rsidP="0088304D">
      <w:pPr>
        <w:rPr>
          <w:rFonts w:ascii="Times New Roman" w:hAnsi="Times New Roman"/>
        </w:rPr>
      </w:pPr>
      <w:r w:rsidRPr="00214C18">
        <w:rPr>
          <w:rFonts w:ascii="Times New Roman" w:hAnsi="Times New Roman"/>
        </w:rPr>
        <w:lastRenderedPageBreak/>
        <w:t>Under subregulation 11.230 (3), an exemption, in force in relation to a particular aircraft owned by a particular person, ceases to be in force when the aircraft ceases to be owned by that person. Under regulation 11.235, an exemption is not transferable (as between operators, aircraft etc.).</w:t>
      </w:r>
    </w:p>
    <w:p w14:paraId="1869B8C7" w14:textId="2AE26424" w:rsidR="00646118" w:rsidRPr="00214C18" w:rsidRDefault="00646118" w:rsidP="0088304D">
      <w:pPr>
        <w:pStyle w:val="BodyText"/>
        <w:rPr>
          <w:iCs/>
          <w:sz w:val="20"/>
          <w:szCs w:val="20"/>
        </w:rPr>
      </w:pPr>
    </w:p>
    <w:p w14:paraId="6044C887" w14:textId="6020D5C3" w:rsidR="00F15472" w:rsidRPr="00214C18" w:rsidRDefault="00F15472" w:rsidP="00D51583">
      <w:pPr>
        <w:pStyle w:val="LDBodytext"/>
        <w:rPr>
          <w:b/>
        </w:rPr>
      </w:pPr>
      <w:r w:rsidRPr="00214C18">
        <w:rPr>
          <w:b/>
        </w:rPr>
        <w:t>Legislation</w:t>
      </w:r>
      <w:r w:rsidR="00041C40" w:rsidRPr="00214C18">
        <w:rPr>
          <w:b/>
        </w:rPr>
        <w:t> — CASR</w:t>
      </w:r>
      <w:r w:rsidR="002D53F2">
        <w:rPr>
          <w:b/>
        </w:rPr>
        <w:t xml:space="preserve"> Part 61</w:t>
      </w:r>
    </w:p>
    <w:p w14:paraId="3647209F" w14:textId="35D1B7B8" w:rsidR="003000EF" w:rsidRDefault="00F15472" w:rsidP="00845B45">
      <w:pPr>
        <w:pStyle w:val="BodyText"/>
        <w:rPr>
          <w:rFonts w:ascii="Times New Roman" w:hAnsi="Times New Roman"/>
        </w:rPr>
      </w:pPr>
      <w:r w:rsidRPr="00214C18">
        <w:rPr>
          <w:rFonts w:ascii="Times New Roman" w:hAnsi="Times New Roman"/>
        </w:rPr>
        <w:t>Section 98 of the Act empowers the Governor-General to make regulations for the Act and the safety of air navigation.</w:t>
      </w:r>
      <w:r w:rsidR="000B649F" w:rsidRPr="00214C18">
        <w:rPr>
          <w:rFonts w:ascii="Times New Roman" w:hAnsi="Times New Roman"/>
        </w:rPr>
        <w:t xml:space="preserve"> Part 61 of </w:t>
      </w:r>
      <w:r w:rsidR="00696E4C" w:rsidRPr="00214C18">
        <w:rPr>
          <w:rFonts w:ascii="Times New Roman" w:hAnsi="Times New Roman"/>
        </w:rPr>
        <w:t>CASR</w:t>
      </w:r>
      <w:r w:rsidR="000B649F" w:rsidRPr="00214C18">
        <w:rPr>
          <w:rFonts w:ascii="Times New Roman" w:hAnsi="Times New Roman"/>
        </w:rPr>
        <w:t xml:space="preserve"> set</w:t>
      </w:r>
      <w:r w:rsidR="00696E4C" w:rsidRPr="00214C18">
        <w:rPr>
          <w:rFonts w:ascii="Times New Roman" w:hAnsi="Times New Roman"/>
        </w:rPr>
        <w:t>s</w:t>
      </w:r>
      <w:r w:rsidR="000B649F" w:rsidRPr="00214C18">
        <w:rPr>
          <w:rFonts w:ascii="Times New Roman" w:hAnsi="Times New Roman"/>
        </w:rPr>
        <w:t xml:space="preserve"> out flight crew licensing requirements.</w:t>
      </w:r>
      <w:r w:rsidR="00237723">
        <w:rPr>
          <w:rFonts w:ascii="Times New Roman" w:hAnsi="Times New Roman"/>
        </w:rPr>
        <w:t xml:space="preserve"> Under regulation 61.1285, an FER holder </w:t>
      </w:r>
      <w:r w:rsidR="000C1E23">
        <w:rPr>
          <w:rFonts w:ascii="Times New Roman" w:hAnsi="Times New Roman"/>
        </w:rPr>
        <w:t>is authorised to exercise the privileges of the rating (essentially conducting flight tests and checks)</w:t>
      </w:r>
      <w:r w:rsidR="00237723">
        <w:rPr>
          <w:rFonts w:ascii="Times New Roman" w:hAnsi="Times New Roman"/>
        </w:rPr>
        <w:t xml:space="preserve"> </w:t>
      </w:r>
      <w:r w:rsidR="000C1E23">
        <w:rPr>
          <w:rFonts w:ascii="Times New Roman" w:hAnsi="Times New Roman"/>
        </w:rPr>
        <w:t xml:space="preserve">only if the holder has a valid EPC. </w:t>
      </w:r>
      <w:r w:rsidR="003000EF">
        <w:rPr>
          <w:rFonts w:ascii="Times New Roman" w:hAnsi="Times New Roman"/>
        </w:rPr>
        <w:t>Relevantly, a</w:t>
      </w:r>
      <w:r w:rsidR="000C1E23">
        <w:rPr>
          <w:rFonts w:ascii="Times New Roman" w:hAnsi="Times New Roman"/>
        </w:rPr>
        <w:t xml:space="preserve"> holder </w:t>
      </w:r>
      <w:r w:rsidR="003000EF">
        <w:rPr>
          <w:rFonts w:ascii="Times New Roman" w:hAnsi="Times New Roman"/>
        </w:rPr>
        <w:t>who has already completed an EPC is taken to have a valid EPC for the period from when the EPC was completed to the end of the 24</w:t>
      </w:r>
      <w:r w:rsidR="003000EF" w:rsidRPr="003000EF">
        <w:rPr>
          <w:rFonts w:ascii="Times New Roman" w:hAnsi="Times New Roman"/>
          <w:vertAlign w:val="superscript"/>
        </w:rPr>
        <w:t>th</w:t>
      </w:r>
      <w:r w:rsidR="003000EF">
        <w:rPr>
          <w:rFonts w:ascii="Times New Roman" w:hAnsi="Times New Roman"/>
        </w:rPr>
        <w:t xml:space="preserve"> month after the month in which the holder</w:t>
      </w:r>
      <w:r w:rsidR="00C114A2">
        <w:rPr>
          <w:rFonts w:ascii="Times New Roman" w:hAnsi="Times New Roman"/>
        </w:rPr>
        <w:t>’s prior relevant EPC expired</w:t>
      </w:r>
      <w:r w:rsidR="003000EF">
        <w:rPr>
          <w:rFonts w:ascii="Times New Roman" w:hAnsi="Times New Roman"/>
        </w:rPr>
        <w:t>.</w:t>
      </w:r>
    </w:p>
    <w:p w14:paraId="60F7B56C" w14:textId="77777777" w:rsidR="00BA0A44" w:rsidRPr="00214C18" w:rsidRDefault="00BA0A44" w:rsidP="00845B45">
      <w:pPr>
        <w:pStyle w:val="BodyText"/>
        <w:rPr>
          <w:rFonts w:ascii="Times New Roman" w:hAnsi="Times New Roman"/>
        </w:rPr>
      </w:pPr>
    </w:p>
    <w:p w14:paraId="2960D948" w14:textId="29BC00BB" w:rsidR="000B649F" w:rsidRPr="00214C18" w:rsidRDefault="003000EF" w:rsidP="00A208DD">
      <w:pPr>
        <w:pStyle w:val="BodyText"/>
        <w:rPr>
          <w:rFonts w:ascii="Times New Roman" w:hAnsi="Times New Roman"/>
          <w:b/>
          <w:bCs/>
        </w:rPr>
      </w:pPr>
      <w:r>
        <w:rPr>
          <w:rFonts w:ascii="Times New Roman" w:hAnsi="Times New Roman"/>
          <w:b/>
          <w:bCs/>
        </w:rPr>
        <w:t>Background</w:t>
      </w:r>
    </w:p>
    <w:p w14:paraId="2BD014EE" w14:textId="2A052144" w:rsidR="00DF527C" w:rsidRDefault="003000EF" w:rsidP="003000EF">
      <w:pPr>
        <w:pStyle w:val="LDClauseHeading"/>
        <w:keepNext w:val="0"/>
        <w:spacing w:before="0" w:after="0"/>
        <w:ind w:left="0" w:firstLine="0"/>
        <w:rPr>
          <w:rFonts w:ascii="Times New Roman" w:hAnsi="Times New Roman"/>
          <w:b w:val="0"/>
          <w:bCs/>
          <w:iCs/>
        </w:rPr>
      </w:pPr>
      <w:r w:rsidRPr="00214C18">
        <w:rPr>
          <w:rFonts w:ascii="Times New Roman" w:hAnsi="Times New Roman"/>
          <w:b w:val="0"/>
          <w:bCs/>
          <w:i/>
        </w:rPr>
        <w:t>CASA EX57/20 — Licensing, and Operator Training and Checking (Extensions of Time Due to COVID-19) Exemptions Instrument 2020</w:t>
      </w:r>
      <w:r w:rsidRPr="00310EBD">
        <w:rPr>
          <w:rFonts w:ascii="Times New Roman" w:hAnsi="Times New Roman"/>
          <w:b w:val="0"/>
          <w:bCs/>
          <w:iCs/>
        </w:rPr>
        <w:t>,</w:t>
      </w:r>
      <w:r w:rsidRPr="00214C18">
        <w:rPr>
          <w:rFonts w:ascii="Times New Roman" w:hAnsi="Times New Roman"/>
          <w:b w:val="0"/>
          <w:bCs/>
          <w:i/>
        </w:rPr>
        <w:t xml:space="preserve"> </w:t>
      </w:r>
      <w:r w:rsidRPr="00214C18">
        <w:rPr>
          <w:rFonts w:ascii="Times New Roman" w:hAnsi="Times New Roman"/>
          <w:b w:val="0"/>
          <w:bCs/>
          <w:iCs/>
        </w:rPr>
        <w:t>as amended (</w:t>
      </w:r>
      <w:r w:rsidRPr="00214C18">
        <w:rPr>
          <w:rFonts w:ascii="Times New Roman" w:hAnsi="Times New Roman"/>
          <w:i/>
        </w:rPr>
        <w:t>CASA</w:t>
      </w:r>
      <w:r w:rsidR="00DF527C">
        <w:rPr>
          <w:rFonts w:ascii="Times New Roman" w:hAnsi="Times New Roman"/>
          <w:i/>
        </w:rPr>
        <w:t xml:space="preserve"> </w:t>
      </w:r>
      <w:r w:rsidRPr="00214C18">
        <w:rPr>
          <w:rFonts w:ascii="Times New Roman" w:hAnsi="Times New Roman"/>
          <w:i/>
        </w:rPr>
        <w:t>EX57/20</w:t>
      </w:r>
      <w:r w:rsidRPr="00214C18">
        <w:rPr>
          <w:b w:val="0"/>
          <w:bCs/>
          <w:iCs/>
        </w:rPr>
        <w:t>)</w:t>
      </w:r>
      <w:r w:rsidRPr="00214C18">
        <w:rPr>
          <w:rFonts w:ascii="Times New Roman" w:hAnsi="Times New Roman"/>
          <w:b w:val="0"/>
          <w:bCs/>
          <w:iCs/>
        </w:rPr>
        <w:t xml:space="preserve"> </w:t>
      </w:r>
      <w:r w:rsidRPr="00214C18">
        <w:rPr>
          <w:rFonts w:ascii="Times New Roman" w:hAnsi="Times New Roman"/>
          <w:b w:val="0"/>
          <w:bCs/>
        </w:rPr>
        <w:t xml:space="preserve">contained a series of exemptions from certain provisions of the </w:t>
      </w:r>
      <w:r w:rsidRPr="00214C18">
        <w:rPr>
          <w:rFonts w:ascii="Times New Roman" w:hAnsi="Times New Roman"/>
          <w:b w:val="0"/>
          <w:bCs/>
          <w:i/>
        </w:rPr>
        <w:t>Civil Aviation Regulations 1988</w:t>
      </w:r>
      <w:r w:rsidRPr="00214C18">
        <w:rPr>
          <w:rFonts w:ascii="Times New Roman" w:hAnsi="Times New Roman"/>
          <w:b w:val="0"/>
          <w:bCs/>
        </w:rPr>
        <w:t xml:space="preserve">, </w:t>
      </w:r>
      <w:r w:rsidR="006063D5">
        <w:rPr>
          <w:rFonts w:ascii="Times New Roman" w:hAnsi="Times New Roman"/>
          <w:b w:val="0"/>
          <w:bCs/>
        </w:rPr>
        <w:t>CASR</w:t>
      </w:r>
      <w:r w:rsidRPr="00214C18">
        <w:rPr>
          <w:rFonts w:ascii="Times New Roman" w:hAnsi="Times New Roman"/>
          <w:b w:val="0"/>
          <w:bCs/>
        </w:rPr>
        <w:t xml:space="preserve"> and Civil Aviation Order 20.11</w:t>
      </w:r>
      <w:r w:rsidR="006063D5">
        <w:rPr>
          <w:rFonts w:ascii="Times New Roman" w:hAnsi="Times New Roman"/>
          <w:b w:val="0"/>
          <w:bCs/>
        </w:rPr>
        <w:t>. The instrument was designed to</w:t>
      </w:r>
      <w:r w:rsidRPr="00214C18">
        <w:rPr>
          <w:rFonts w:ascii="Times New Roman" w:hAnsi="Times New Roman"/>
          <w:b w:val="0"/>
          <w:bCs/>
        </w:rPr>
        <w:t xml:space="preserve"> extend a range of licence-related and </w:t>
      </w:r>
      <w:r w:rsidRPr="00214C18">
        <w:rPr>
          <w:rFonts w:ascii="Times New Roman" w:hAnsi="Times New Roman"/>
          <w:b w:val="0"/>
          <w:bCs/>
          <w:iCs/>
        </w:rPr>
        <w:t>other time limits in response to the</w:t>
      </w:r>
      <w:r w:rsidR="006063D5">
        <w:rPr>
          <w:rFonts w:ascii="Times New Roman" w:hAnsi="Times New Roman"/>
          <w:b w:val="0"/>
          <w:bCs/>
          <w:iCs/>
        </w:rPr>
        <w:t xml:space="preserve"> consequences of the</w:t>
      </w:r>
      <w:r w:rsidRPr="00214C18">
        <w:rPr>
          <w:rFonts w:ascii="Times New Roman" w:hAnsi="Times New Roman"/>
          <w:b w:val="0"/>
          <w:bCs/>
          <w:iCs/>
        </w:rPr>
        <w:t xml:space="preserve"> COVID-19 pandemic</w:t>
      </w:r>
      <w:r w:rsidR="006063D5">
        <w:rPr>
          <w:rFonts w:ascii="Times New Roman" w:hAnsi="Times New Roman"/>
          <w:b w:val="0"/>
          <w:bCs/>
          <w:iCs/>
        </w:rPr>
        <w:t xml:space="preserve">. </w:t>
      </w:r>
      <w:r w:rsidR="002D53F2">
        <w:rPr>
          <w:rFonts w:ascii="Times New Roman" w:hAnsi="Times New Roman"/>
          <w:b w:val="0"/>
          <w:bCs/>
          <w:iCs/>
        </w:rPr>
        <w:t xml:space="preserve">Official </w:t>
      </w:r>
      <w:r w:rsidR="006063D5">
        <w:rPr>
          <w:rFonts w:ascii="Times New Roman" w:hAnsi="Times New Roman"/>
          <w:b w:val="0"/>
          <w:bCs/>
          <w:iCs/>
        </w:rPr>
        <w:t>efforts to control the pandemic had resulted in restrictions on movement</w:t>
      </w:r>
      <w:r w:rsidR="002D53F2">
        <w:rPr>
          <w:rFonts w:ascii="Times New Roman" w:hAnsi="Times New Roman"/>
          <w:b w:val="0"/>
          <w:bCs/>
          <w:iCs/>
        </w:rPr>
        <w:t>,</w:t>
      </w:r>
      <w:r w:rsidR="006063D5">
        <w:rPr>
          <w:rFonts w:ascii="Times New Roman" w:hAnsi="Times New Roman"/>
          <w:b w:val="0"/>
          <w:bCs/>
          <w:iCs/>
        </w:rPr>
        <w:t xml:space="preserve"> gatherings</w:t>
      </w:r>
      <w:r w:rsidR="002D53F2">
        <w:rPr>
          <w:rFonts w:ascii="Times New Roman" w:hAnsi="Times New Roman"/>
          <w:b w:val="0"/>
          <w:bCs/>
          <w:iCs/>
        </w:rPr>
        <w:t xml:space="preserve"> and </w:t>
      </w:r>
      <w:r w:rsidR="008534DA">
        <w:rPr>
          <w:rFonts w:ascii="Times New Roman" w:hAnsi="Times New Roman"/>
          <w:b w:val="0"/>
          <w:bCs/>
          <w:iCs/>
        </w:rPr>
        <w:t>physical distancing</w:t>
      </w:r>
      <w:r w:rsidR="006063D5">
        <w:rPr>
          <w:rFonts w:ascii="Times New Roman" w:hAnsi="Times New Roman"/>
          <w:b w:val="0"/>
          <w:bCs/>
          <w:iCs/>
        </w:rPr>
        <w:t xml:space="preserve"> in a way that made it extremely difficult or all but impossible for licence and rating holders to meet currency requirements by the timely completion of required checks</w:t>
      </w:r>
      <w:r w:rsidR="00DF527C">
        <w:rPr>
          <w:rFonts w:ascii="Times New Roman" w:hAnsi="Times New Roman"/>
          <w:b w:val="0"/>
          <w:bCs/>
          <w:iCs/>
        </w:rPr>
        <w:t>.</w:t>
      </w:r>
    </w:p>
    <w:p w14:paraId="13A6727C" w14:textId="0CDD95FF" w:rsidR="006063D5" w:rsidRDefault="006063D5" w:rsidP="003000EF">
      <w:pPr>
        <w:pStyle w:val="LDClauseHeading"/>
        <w:keepNext w:val="0"/>
        <w:spacing w:before="0" w:after="0"/>
        <w:ind w:left="0" w:firstLine="0"/>
        <w:rPr>
          <w:rFonts w:ascii="Times New Roman" w:hAnsi="Times New Roman"/>
          <w:b w:val="0"/>
          <w:bCs/>
          <w:iCs/>
        </w:rPr>
      </w:pPr>
    </w:p>
    <w:p w14:paraId="1E0CDF53" w14:textId="77777777" w:rsidR="00DF527C" w:rsidRDefault="006063D5" w:rsidP="006063D5">
      <w:pPr>
        <w:pStyle w:val="LDClauseHeading"/>
        <w:keepNext w:val="0"/>
        <w:spacing w:before="0" w:after="0"/>
        <w:ind w:left="0" w:firstLine="0"/>
        <w:rPr>
          <w:rFonts w:ascii="Times New Roman" w:hAnsi="Times New Roman"/>
          <w:b w:val="0"/>
          <w:bCs/>
        </w:rPr>
      </w:pPr>
      <w:r>
        <w:rPr>
          <w:rFonts w:ascii="Times New Roman" w:hAnsi="Times New Roman"/>
          <w:b w:val="0"/>
          <w:bCs/>
          <w:iCs/>
        </w:rPr>
        <w:t xml:space="preserve">This was the case for certain FER holders in relation to their EPCs. </w:t>
      </w:r>
      <w:r w:rsidR="00EA3213">
        <w:rPr>
          <w:rFonts w:ascii="Times New Roman" w:hAnsi="Times New Roman"/>
          <w:b w:val="0"/>
          <w:bCs/>
          <w:iCs/>
        </w:rPr>
        <w:t>Specifically</w:t>
      </w:r>
      <w:r>
        <w:rPr>
          <w:rFonts w:ascii="Times New Roman" w:hAnsi="Times New Roman"/>
          <w:b w:val="0"/>
          <w:bCs/>
          <w:iCs/>
        </w:rPr>
        <w:t xml:space="preserve"> to address this, section 6C </w:t>
      </w:r>
      <w:r w:rsidR="00EA3213">
        <w:rPr>
          <w:rFonts w:ascii="Times New Roman" w:hAnsi="Times New Roman"/>
          <w:b w:val="0"/>
          <w:bCs/>
          <w:iCs/>
        </w:rPr>
        <w:t xml:space="preserve">of </w:t>
      </w:r>
      <w:r>
        <w:rPr>
          <w:rFonts w:ascii="Times New Roman" w:hAnsi="Times New Roman"/>
          <w:b w:val="0"/>
          <w:bCs/>
          <w:iCs/>
        </w:rPr>
        <w:t>CASA EX57/20</w:t>
      </w:r>
      <w:r w:rsidR="00EA3213">
        <w:rPr>
          <w:rFonts w:ascii="Times New Roman" w:hAnsi="Times New Roman"/>
          <w:b w:val="0"/>
          <w:bCs/>
          <w:iCs/>
        </w:rPr>
        <w:t xml:space="preserve"> was made (contained in amendment instrument </w:t>
      </w:r>
      <w:r w:rsidR="00EA3213" w:rsidRPr="00EA3213">
        <w:rPr>
          <w:rFonts w:ascii="Times New Roman" w:hAnsi="Times New Roman"/>
          <w:b w:val="0"/>
          <w:bCs/>
          <w:i/>
          <w:iCs/>
        </w:rPr>
        <w:t>CASA EX</w:t>
      </w:r>
      <w:r w:rsidR="00EA3213">
        <w:rPr>
          <w:rFonts w:ascii="Times New Roman" w:hAnsi="Times New Roman"/>
          <w:b w:val="0"/>
          <w:bCs/>
          <w:i/>
          <w:iCs/>
        </w:rPr>
        <w:t>132/20</w:t>
      </w:r>
      <w:r w:rsidR="00EA3213" w:rsidRPr="00EA3213">
        <w:rPr>
          <w:rFonts w:ascii="Times New Roman" w:hAnsi="Times New Roman"/>
          <w:b w:val="0"/>
          <w:bCs/>
          <w:i/>
          <w:iCs/>
        </w:rPr>
        <w:t xml:space="preserve"> — </w:t>
      </w:r>
      <w:r w:rsidR="00EA3213">
        <w:rPr>
          <w:rFonts w:ascii="Times New Roman" w:hAnsi="Times New Roman"/>
          <w:b w:val="0"/>
          <w:bCs/>
          <w:i/>
          <w:iCs/>
        </w:rPr>
        <w:t>Licensing and Operator Training and Checking (Extensions of Time Due to COVID-19)</w:t>
      </w:r>
      <w:r w:rsidR="00EA3213" w:rsidRPr="00EA3213">
        <w:rPr>
          <w:rFonts w:ascii="Times New Roman" w:hAnsi="Times New Roman"/>
          <w:b w:val="0"/>
          <w:bCs/>
          <w:i/>
          <w:iCs/>
        </w:rPr>
        <w:t xml:space="preserve"> Exemption</w:t>
      </w:r>
      <w:r w:rsidR="00EA3213">
        <w:rPr>
          <w:rFonts w:ascii="Times New Roman" w:hAnsi="Times New Roman"/>
          <w:b w:val="0"/>
          <w:bCs/>
          <w:i/>
          <w:iCs/>
        </w:rPr>
        <w:t>s</w:t>
      </w:r>
      <w:r w:rsidR="00EA3213" w:rsidRPr="00EA3213">
        <w:rPr>
          <w:rFonts w:ascii="Times New Roman" w:hAnsi="Times New Roman"/>
          <w:b w:val="0"/>
          <w:bCs/>
          <w:i/>
          <w:iCs/>
        </w:rPr>
        <w:t xml:space="preserve"> Instrument 2021 (No. </w:t>
      </w:r>
      <w:r w:rsidR="00EA3213">
        <w:rPr>
          <w:rFonts w:ascii="Times New Roman" w:hAnsi="Times New Roman"/>
          <w:b w:val="0"/>
          <w:bCs/>
          <w:i/>
          <w:iCs/>
        </w:rPr>
        <w:t>3</w:t>
      </w:r>
      <w:r w:rsidR="00EA3213" w:rsidRPr="00EA3213">
        <w:rPr>
          <w:rFonts w:ascii="Times New Roman" w:hAnsi="Times New Roman"/>
          <w:b w:val="0"/>
          <w:bCs/>
          <w:i/>
          <w:iCs/>
        </w:rPr>
        <w:t>)</w:t>
      </w:r>
      <w:r w:rsidR="004056B8" w:rsidRPr="004056B8">
        <w:rPr>
          <w:rFonts w:ascii="Times New Roman" w:hAnsi="Times New Roman"/>
          <w:b w:val="0"/>
          <w:bCs/>
        </w:rPr>
        <w:t>,</w:t>
      </w:r>
      <w:r w:rsidR="004056B8">
        <w:rPr>
          <w:rFonts w:ascii="Times New Roman" w:hAnsi="Times New Roman"/>
          <w:b w:val="0"/>
          <w:bCs/>
          <w:i/>
          <w:iCs/>
        </w:rPr>
        <w:t xml:space="preserve"> </w:t>
      </w:r>
      <w:r w:rsidR="004056B8" w:rsidRPr="004056B8">
        <w:rPr>
          <w:rFonts w:ascii="Times New Roman" w:hAnsi="Times New Roman"/>
          <w:b w:val="0"/>
          <w:bCs/>
        </w:rPr>
        <w:t>in effect on 23 September 2020</w:t>
      </w:r>
      <w:r w:rsidR="00DF527C">
        <w:rPr>
          <w:rFonts w:ascii="Times New Roman" w:hAnsi="Times New Roman"/>
          <w:b w:val="0"/>
          <w:bCs/>
        </w:rPr>
        <w:t>.</w:t>
      </w:r>
    </w:p>
    <w:p w14:paraId="770C35A1" w14:textId="68BFB843" w:rsidR="00564F63" w:rsidRDefault="00564F63" w:rsidP="006063D5">
      <w:pPr>
        <w:pStyle w:val="LDClauseHeading"/>
        <w:keepNext w:val="0"/>
        <w:spacing w:before="0" w:after="0"/>
        <w:ind w:left="0" w:firstLine="0"/>
        <w:rPr>
          <w:rFonts w:ascii="Times New Roman" w:hAnsi="Times New Roman"/>
          <w:b w:val="0"/>
          <w:bCs/>
          <w:i/>
          <w:iCs/>
        </w:rPr>
      </w:pPr>
    </w:p>
    <w:p w14:paraId="6D81A17D" w14:textId="77777777" w:rsidR="004268F6" w:rsidRDefault="00564F63" w:rsidP="004268F6">
      <w:pPr>
        <w:pStyle w:val="LDClauseHeading"/>
        <w:keepNext w:val="0"/>
        <w:spacing w:before="0" w:after="0"/>
        <w:ind w:left="0" w:firstLine="0"/>
        <w:rPr>
          <w:rFonts w:ascii="Times New Roman" w:hAnsi="Times New Roman"/>
          <w:b w:val="0"/>
          <w:bCs/>
        </w:rPr>
      </w:pPr>
      <w:r w:rsidRPr="00564F63">
        <w:rPr>
          <w:rFonts w:ascii="Times New Roman" w:hAnsi="Times New Roman"/>
          <w:b w:val="0"/>
          <w:bCs/>
        </w:rPr>
        <w:t xml:space="preserve">It provided that </w:t>
      </w:r>
      <w:r>
        <w:rPr>
          <w:rFonts w:ascii="Times New Roman" w:hAnsi="Times New Roman"/>
          <w:b w:val="0"/>
          <w:bCs/>
        </w:rPr>
        <w:t>an FER holder would be exempt from the regulation 61.1285 EPC requirement:</w:t>
      </w:r>
    </w:p>
    <w:p w14:paraId="743DAA1B" w14:textId="47D866D2" w:rsidR="004268F6" w:rsidRPr="00E323D2" w:rsidRDefault="00EA3213" w:rsidP="00E323D2">
      <w:pPr>
        <w:pStyle w:val="P1"/>
      </w:pPr>
      <w:r w:rsidRPr="00E323D2">
        <w:t>(a)</w:t>
      </w:r>
      <w:r w:rsidR="00E323D2">
        <w:tab/>
      </w:r>
      <w:r w:rsidRPr="00E323D2">
        <w:t>only if, on or after 23 September 2020</w:t>
      </w:r>
      <w:r w:rsidR="004056B8" w:rsidRPr="00E323D2">
        <w:t xml:space="preserve"> </w:t>
      </w:r>
      <w:r w:rsidRPr="00E323D2">
        <w:t>and before 31 March 2021, the holder undertakes and successfully completes a substitute proficiency check in accordance with subsection (4); and</w:t>
      </w:r>
    </w:p>
    <w:p w14:paraId="510CF91D" w14:textId="56C10A50" w:rsidR="004268F6" w:rsidRPr="00E323D2" w:rsidRDefault="00EA3213" w:rsidP="00E323D2">
      <w:pPr>
        <w:pStyle w:val="P1"/>
      </w:pPr>
      <w:r w:rsidRPr="00E323D2">
        <w:t>(b)</w:t>
      </w:r>
      <w:r w:rsidR="00E323D2">
        <w:tab/>
      </w:r>
      <w:r w:rsidRPr="00E323D2">
        <w:t>only for the period:</w:t>
      </w:r>
    </w:p>
    <w:p w14:paraId="62D3C945" w14:textId="76E8C592" w:rsidR="004268F6" w:rsidRPr="00310EBD" w:rsidRDefault="004268F6" w:rsidP="00E323D2">
      <w:pPr>
        <w:pStyle w:val="i"/>
      </w:pPr>
      <w:r>
        <w:rPr>
          <w:bCs/>
        </w:rPr>
        <w:tab/>
      </w:r>
      <w:r w:rsidR="00E323D2" w:rsidRPr="004268F6">
        <w:rPr>
          <w:bCs/>
        </w:rPr>
        <w:t>(</w:t>
      </w:r>
      <w:proofErr w:type="spellStart"/>
      <w:r w:rsidR="00E323D2" w:rsidRPr="004268F6">
        <w:rPr>
          <w:bCs/>
        </w:rPr>
        <w:t>i</w:t>
      </w:r>
      <w:proofErr w:type="spellEnd"/>
      <w:r w:rsidR="00E323D2" w:rsidRPr="004268F6">
        <w:rPr>
          <w:bCs/>
        </w:rPr>
        <w:t>)</w:t>
      </w:r>
      <w:r w:rsidR="00E323D2">
        <w:rPr>
          <w:bCs/>
        </w:rPr>
        <w:tab/>
      </w:r>
      <w:r w:rsidR="00EA3213" w:rsidRPr="004268F6">
        <w:rPr>
          <w:bCs/>
        </w:rPr>
        <w:t>starting on the day after the holder successfully completes the substitute proficiency check; and</w:t>
      </w:r>
    </w:p>
    <w:p w14:paraId="68090B2B" w14:textId="15D20E20" w:rsidR="00EA3213" w:rsidRDefault="004268F6" w:rsidP="00310EBD">
      <w:pPr>
        <w:pStyle w:val="i"/>
        <w:spacing w:after="0"/>
        <w:rPr>
          <w:bCs/>
        </w:rPr>
      </w:pPr>
      <w:r>
        <w:rPr>
          <w:bCs/>
        </w:rPr>
        <w:tab/>
      </w:r>
      <w:r w:rsidR="00E323D2" w:rsidRPr="004268F6">
        <w:rPr>
          <w:bCs/>
        </w:rPr>
        <w:t>(ii)</w:t>
      </w:r>
      <w:r w:rsidR="00E323D2">
        <w:rPr>
          <w:bCs/>
        </w:rPr>
        <w:tab/>
      </w:r>
      <w:r w:rsidR="00EA3213" w:rsidRPr="004268F6">
        <w:rPr>
          <w:bCs/>
        </w:rPr>
        <w:t>ending at the end of 31 March 2021.</w:t>
      </w:r>
    </w:p>
    <w:p w14:paraId="3674ADAE" w14:textId="77777777" w:rsidR="00310EBD" w:rsidRPr="00310EBD" w:rsidRDefault="00310EBD" w:rsidP="00310EBD">
      <w:pPr>
        <w:pStyle w:val="LDClauseHeading"/>
        <w:keepNext w:val="0"/>
        <w:spacing w:before="0" w:after="0"/>
        <w:ind w:left="0" w:firstLine="0"/>
        <w:rPr>
          <w:rFonts w:ascii="Times New Roman" w:hAnsi="Times New Roman"/>
          <w:b w:val="0"/>
          <w:bCs/>
          <w:i/>
          <w:iCs/>
        </w:rPr>
      </w:pPr>
    </w:p>
    <w:p w14:paraId="3DFE5F11" w14:textId="094DFFC7" w:rsidR="00EA3213" w:rsidRPr="009302C3" w:rsidRDefault="00564F63" w:rsidP="00564F63">
      <w:pPr>
        <w:pStyle w:val="i"/>
        <w:ind w:left="0" w:firstLine="0"/>
      </w:pPr>
      <w:r>
        <w:t xml:space="preserve">Subsection (4) provided for the content of the substitute proficiency check. Essentially, such a check must </w:t>
      </w:r>
      <w:r w:rsidR="00EA3213" w:rsidRPr="009302C3">
        <w:t xml:space="preserve">comply with the requirements for an </w:t>
      </w:r>
      <w:r>
        <w:t xml:space="preserve">EPC under </w:t>
      </w:r>
      <w:r w:rsidR="00EA3213" w:rsidRPr="009302C3">
        <w:t>section 13, and Appendix</w:t>
      </w:r>
      <w:r w:rsidR="00B23F2F">
        <w:t xml:space="preserve"> </w:t>
      </w:r>
      <w:r w:rsidR="00EA3213" w:rsidRPr="009302C3">
        <w:t xml:space="preserve">6 in Schedule 6, of the Part 61 Manual of Standards (the </w:t>
      </w:r>
      <w:r w:rsidR="00EA3213" w:rsidRPr="009302C3">
        <w:rPr>
          <w:b/>
          <w:bCs/>
          <w:i/>
          <w:iCs/>
        </w:rPr>
        <w:t>MOS</w:t>
      </w:r>
      <w:r w:rsidR="00EA3213" w:rsidRPr="009302C3">
        <w:t xml:space="preserve">) </w:t>
      </w:r>
      <w:r w:rsidR="00EA3213" w:rsidRPr="00564F63">
        <w:rPr>
          <w:b/>
          <w:bCs/>
          <w:i/>
          <w:iCs/>
        </w:rPr>
        <w:t>as if</w:t>
      </w:r>
      <w:r w:rsidR="00EA3213" w:rsidRPr="009302C3">
        <w:t xml:space="preserve"> the substitute proficiency check were an </w:t>
      </w:r>
      <w:r>
        <w:t xml:space="preserve">EPC </w:t>
      </w:r>
      <w:r w:rsidR="00EA3213" w:rsidRPr="009302C3">
        <w:t>except that</w:t>
      </w:r>
      <w:r>
        <w:t xml:space="preserve">, in effect, the flying components of the EPC were not required. Thus, </w:t>
      </w:r>
      <w:r w:rsidR="00EA3213" w:rsidRPr="009302C3">
        <w:t>the substitute proficiency check:</w:t>
      </w:r>
    </w:p>
    <w:p w14:paraId="6291DEF9" w14:textId="77777777" w:rsidR="00EA3213" w:rsidRPr="009302C3" w:rsidRDefault="00EA3213" w:rsidP="00EA3213">
      <w:pPr>
        <w:pStyle w:val="P1"/>
      </w:pPr>
      <w:r w:rsidRPr="009302C3">
        <w:t>(a)</w:t>
      </w:r>
      <w:r w:rsidRPr="009302C3">
        <w:tab/>
        <w:t>need not be conducted in an aircraft or an approved flight simulation training device; and</w:t>
      </w:r>
    </w:p>
    <w:p w14:paraId="1123E175" w14:textId="3E074EFA" w:rsidR="00EA3213" w:rsidRPr="009302C3" w:rsidRDefault="00EA3213" w:rsidP="00EA3213">
      <w:pPr>
        <w:pStyle w:val="P1"/>
      </w:pPr>
      <w:r w:rsidRPr="009302C3">
        <w:t>(b)</w:t>
      </w:r>
      <w:r w:rsidRPr="009302C3">
        <w:tab/>
        <w:t>must be conducted as a knowledge</w:t>
      </w:r>
      <w:r w:rsidRPr="009302C3">
        <w:noBreakHyphen/>
        <w:t xml:space="preserve">based assessment in accordance with clause 2 in Appendix 6 but also including, as part of the knowledge </w:t>
      </w:r>
      <w:r w:rsidRPr="009302C3">
        <w:lastRenderedPageBreak/>
        <w:t>assessment, knowledge in relation to paragraph 4.1 (c) and paragraph</w:t>
      </w:r>
      <w:r w:rsidR="00A26C48">
        <w:t> </w:t>
      </w:r>
      <w:r w:rsidRPr="009302C3">
        <w:t>4.1 (d) mentioned in Appendix 6; and</w:t>
      </w:r>
    </w:p>
    <w:p w14:paraId="288D07AB" w14:textId="77777777" w:rsidR="00EA3213" w:rsidRPr="009302C3" w:rsidRDefault="00EA3213" w:rsidP="00EA3213">
      <w:pPr>
        <w:pStyle w:val="P1"/>
      </w:pPr>
      <w:r w:rsidRPr="009302C3">
        <w:t>(c)</w:t>
      </w:r>
      <w:r w:rsidRPr="009302C3">
        <w:tab/>
        <w:t>need not be assessed in accordance with the applicable standards set out in section 13 of the MOS insofar as those standards require adherence to the provisions mentioned in paragraph (d); and</w:t>
      </w:r>
    </w:p>
    <w:p w14:paraId="456BED82" w14:textId="2779ACA2" w:rsidR="00EA3213" w:rsidRPr="009302C3" w:rsidRDefault="00EA3213" w:rsidP="00EA3213">
      <w:pPr>
        <w:pStyle w:val="P1"/>
      </w:pPr>
      <w:r w:rsidRPr="009302C3">
        <w:t>(d)</w:t>
      </w:r>
      <w:r w:rsidRPr="009302C3">
        <w:tab/>
        <w:t xml:space="preserve">need not be assessed in accordance with the standards set out in the following provisions of </w:t>
      </w:r>
      <w:r w:rsidR="00564F63" w:rsidRPr="009302C3">
        <w:t>Appendix 6 in Schedule 6</w:t>
      </w:r>
      <w:r w:rsidR="00564F63">
        <w:t xml:space="preserve"> of </w:t>
      </w:r>
      <w:r w:rsidRPr="009302C3">
        <w:t>the MOS:</w:t>
      </w:r>
    </w:p>
    <w:p w14:paraId="58836B84" w14:textId="46B5765B" w:rsidR="00EA3213" w:rsidRPr="009302C3" w:rsidRDefault="00EA3213" w:rsidP="00EA3213">
      <w:pPr>
        <w:pStyle w:val="i"/>
        <w:ind w:left="1559" w:hanging="1105"/>
      </w:pPr>
      <w:r w:rsidRPr="009302C3">
        <w:tab/>
        <w:t>(</w:t>
      </w:r>
      <w:proofErr w:type="spellStart"/>
      <w:r w:rsidRPr="009302C3">
        <w:t>i</w:t>
      </w:r>
      <w:proofErr w:type="spellEnd"/>
      <w:r w:rsidRPr="009302C3">
        <w:t>)</w:t>
      </w:r>
      <w:r w:rsidRPr="009302C3">
        <w:tab/>
        <w:t>paragraph 1 (c) (</w:t>
      </w:r>
      <w:r w:rsidRPr="009302C3">
        <w:rPr>
          <w:i/>
          <w:iCs/>
        </w:rPr>
        <w:t>demonstration of ability to conduct relevant flight test activities and manoeuvres</w:t>
      </w:r>
      <w:r w:rsidRPr="009302C3">
        <w:t>);</w:t>
      </w:r>
    </w:p>
    <w:p w14:paraId="44C0983F" w14:textId="77777777" w:rsidR="00EA3213" w:rsidRPr="009302C3" w:rsidRDefault="00EA3213" w:rsidP="00EA3213">
      <w:pPr>
        <w:pStyle w:val="i"/>
      </w:pPr>
      <w:r w:rsidRPr="009302C3">
        <w:tab/>
        <w:t>(ii)</w:t>
      </w:r>
      <w:r w:rsidRPr="009302C3">
        <w:tab/>
        <w:t>clause 3 (</w:t>
      </w:r>
      <w:r w:rsidRPr="009302C3">
        <w:rPr>
          <w:i/>
          <w:iCs/>
        </w:rPr>
        <w:t>the</w:t>
      </w:r>
      <w:r w:rsidRPr="009302C3">
        <w:t xml:space="preserve"> </w:t>
      </w:r>
      <w:r w:rsidRPr="009302C3">
        <w:rPr>
          <w:i/>
          <w:iCs/>
        </w:rPr>
        <w:t>activities and manoeuvres</w:t>
      </w:r>
      <w:r w:rsidRPr="009302C3">
        <w:t>);</w:t>
      </w:r>
    </w:p>
    <w:p w14:paraId="2B9D74F1" w14:textId="56ECA17B" w:rsidR="00EA3213" w:rsidRDefault="00EA3213" w:rsidP="00EA3213">
      <w:pPr>
        <w:pStyle w:val="i"/>
        <w:ind w:left="1559" w:hanging="1105"/>
      </w:pPr>
      <w:r w:rsidRPr="009302C3">
        <w:tab/>
        <w:t>(iii)</w:t>
      </w:r>
      <w:r w:rsidRPr="009302C3">
        <w:tab/>
        <w:t>clause 4 (</w:t>
      </w:r>
      <w:r w:rsidRPr="009302C3">
        <w:rPr>
          <w:i/>
          <w:iCs/>
        </w:rPr>
        <w:t>the</w:t>
      </w:r>
      <w:r w:rsidRPr="009302C3">
        <w:t xml:space="preserve"> </w:t>
      </w:r>
      <w:r w:rsidRPr="009302C3">
        <w:rPr>
          <w:i/>
          <w:iCs/>
        </w:rPr>
        <w:t>operational scope of the activities and manoeuvres</w:t>
      </w:r>
      <w:r w:rsidRPr="009302C3">
        <w:t>) other than paragraph 4.1 (c) (pre-flight briefing) and paragraph 4.1 (d) (post</w:t>
      </w:r>
      <w:r w:rsidRPr="009302C3">
        <w:noBreakHyphen/>
        <w:t>flight briefing).</w:t>
      </w:r>
    </w:p>
    <w:p w14:paraId="4721CD81" w14:textId="77777777" w:rsidR="00E026FF" w:rsidRDefault="00E026FF" w:rsidP="00476B90">
      <w:pPr>
        <w:pStyle w:val="LDClauseHeading"/>
        <w:keepNext w:val="0"/>
        <w:spacing w:before="0" w:after="0"/>
        <w:ind w:left="0" w:firstLine="0"/>
        <w:rPr>
          <w:rFonts w:ascii="Times New Roman" w:hAnsi="Times New Roman"/>
          <w:b w:val="0"/>
          <w:bCs/>
        </w:rPr>
      </w:pPr>
    </w:p>
    <w:p w14:paraId="117188EF" w14:textId="5948AC2B" w:rsidR="00476B90" w:rsidRDefault="00C52E49" w:rsidP="00476B90">
      <w:pPr>
        <w:pStyle w:val="LDClauseHeading"/>
        <w:keepNext w:val="0"/>
        <w:spacing w:before="0" w:after="0"/>
        <w:ind w:left="0" w:firstLine="0"/>
        <w:rPr>
          <w:rFonts w:ascii="Times New Roman" w:hAnsi="Times New Roman"/>
          <w:b w:val="0"/>
          <w:bCs/>
        </w:rPr>
      </w:pPr>
      <w:r>
        <w:rPr>
          <w:rFonts w:ascii="Times New Roman" w:hAnsi="Times New Roman"/>
          <w:b w:val="0"/>
          <w:bCs/>
        </w:rPr>
        <w:t xml:space="preserve">One consequence of these emergency COVID-19 arrangements, which was appreciated at the time, was that when the exemption instrument expired at the end of 31 March 2021, the relevant FER holders would be grounded unless they completed an actual EPC </w:t>
      </w:r>
      <w:r w:rsidR="008534DA">
        <w:rPr>
          <w:rFonts w:ascii="Times New Roman" w:hAnsi="Times New Roman"/>
          <w:b w:val="0"/>
          <w:bCs/>
        </w:rPr>
        <w:t>not later than 31 March 2021</w:t>
      </w:r>
      <w:r>
        <w:rPr>
          <w:rFonts w:ascii="Times New Roman" w:hAnsi="Times New Roman"/>
          <w:b w:val="0"/>
          <w:bCs/>
        </w:rPr>
        <w:t xml:space="preserve"> and, in addition, the recurring biennial requirement to renew the EPC would</w:t>
      </w:r>
      <w:r w:rsidR="008534DA">
        <w:rPr>
          <w:rFonts w:ascii="Times New Roman" w:hAnsi="Times New Roman"/>
          <w:b w:val="0"/>
          <w:bCs/>
        </w:rPr>
        <w:t>, by default,</w:t>
      </w:r>
      <w:r>
        <w:rPr>
          <w:rFonts w:ascii="Times New Roman" w:hAnsi="Times New Roman"/>
          <w:b w:val="0"/>
          <w:bCs/>
        </w:rPr>
        <w:t xml:space="preserve"> continue to fall on </w:t>
      </w:r>
      <w:r w:rsidR="008534DA">
        <w:rPr>
          <w:rFonts w:ascii="Times New Roman" w:hAnsi="Times New Roman"/>
          <w:b w:val="0"/>
          <w:bCs/>
        </w:rPr>
        <w:t>1 April 2021</w:t>
      </w:r>
      <w:r>
        <w:rPr>
          <w:rFonts w:ascii="Times New Roman" w:hAnsi="Times New Roman"/>
          <w:b w:val="0"/>
          <w:bCs/>
        </w:rPr>
        <w:t xml:space="preserve"> for all of the relevant FER holders.</w:t>
      </w:r>
    </w:p>
    <w:p w14:paraId="2C4C0718" w14:textId="77777777" w:rsidR="00476B90" w:rsidRDefault="00476B90" w:rsidP="00476B90">
      <w:pPr>
        <w:pStyle w:val="LDClauseHeading"/>
        <w:keepNext w:val="0"/>
        <w:spacing w:before="0" w:after="0"/>
        <w:ind w:left="0" w:firstLine="0"/>
        <w:rPr>
          <w:rFonts w:ascii="Times New Roman" w:hAnsi="Times New Roman"/>
          <w:b w:val="0"/>
          <w:bCs/>
        </w:rPr>
      </w:pPr>
    </w:p>
    <w:p w14:paraId="78ED1091" w14:textId="3F8F08A6" w:rsidR="00476B90" w:rsidRDefault="008534DA" w:rsidP="00C52E49">
      <w:pPr>
        <w:pStyle w:val="BodyText"/>
        <w:rPr>
          <w:rFonts w:ascii="Times New Roman" w:hAnsi="Times New Roman"/>
        </w:rPr>
      </w:pPr>
      <w:r>
        <w:rPr>
          <w:rFonts w:ascii="Times New Roman" w:hAnsi="Times New Roman"/>
        </w:rPr>
        <w:t>It would</w:t>
      </w:r>
      <w:r w:rsidR="00C52E49" w:rsidRPr="00C52E49">
        <w:rPr>
          <w:rFonts w:ascii="Times New Roman" w:hAnsi="Times New Roman"/>
        </w:rPr>
        <w:t xml:space="preserve"> not </w:t>
      </w:r>
      <w:r w:rsidR="00E026FF">
        <w:rPr>
          <w:rFonts w:ascii="Times New Roman" w:hAnsi="Times New Roman"/>
        </w:rPr>
        <w:t xml:space="preserve">be </w:t>
      </w:r>
      <w:r w:rsidR="00C52E49" w:rsidRPr="00C52E49">
        <w:rPr>
          <w:rFonts w:ascii="Times New Roman" w:hAnsi="Times New Roman"/>
        </w:rPr>
        <w:t>logistically possible</w:t>
      </w:r>
      <w:r w:rsidR="00476B90">
        <w:rPr>
          <w:rFonts w:ascii="Times New Roman" w:hAnsi="Times New Roman"/>
        </w:rPr>
        <w:t xml:space="preserve"> for CASA to manage</w:t>
      </w:r>
      <w:r>
        <w:rPr>
          <w:rFonts w:ascii="Times New Roman" w:hAnsi="Times New Roman"/>
        </w:rPr>
        <w:t xml:space="preserve"> such a concentration of required EPCs on a particular day</w:t>
      </w:r>
      <w:r w:rsidR="00E026FF">
        <w:rPr>
          <w:rFonts w:ascii="Times New Roman" w:hAnsi="Times New Roman"/>
        </w:rPr>
        <w:t xml:space="preserve"> </w:t>
      </w:r>
      <w:r w:rsidR="00C52E49" w:rsidRPr="00C52E49">
        <w:rPr>
          <w:rFonts w:ascii="Times New Roman" w:hAnsi="Times New Roman"/>
        </w:rPr>
        <w:t xml:space="preserve">and consequently a </w:t>
      </w:r>
      <w:r w:rsidR="00564F63" w:rsidRPr="00C52E49">
        <w:rPr>
          <w:rFonts w:ascii="Times New Roman" w:hAnsi="Times New Roman"/>
        </w:rPr>
        <w:t xml:space="preserve">Note explained that </w:t>
      </w:r>
      <w:r w:rsidR="00EA3213" w:rsidRPr="00C52E49">
        <w:rPr>
          <w:rFonts w:ascii="Times New Roman" w:hAnsi="Times New Roman"/>
        </w:rPr>
        <w:t>CASA intend</w:t>
      </w:r>
      <w:r w:rsidR="00564F63" w:rsidRPr="00C52E49">
        <w:rPr>
          <w:rFonts w:ascii="Times New Roman" w:hAnsi="Times New Roman"/>
        </w:rPr>
        <w:t>ed</w:t>
      </w:r>
      <w:r w:rsidR="00EA3213" w:rsidRPr="00C52E49">
        <w:rPr>
          <w:rFonts w:ascii="Times New Roman" w:hAnsi="Times New Roman"/>
        </w:rPr>
        <w:t xml:space="preserve"> to make future arrangements for the appropriate recognition of substitute proficiency checks in relation to compliance with </w:t>
      </w:r>
      <w:r w:rsidR="00564F63" w:rsidRPr="00C52E49">
        <w:rPr>
          <w:rFonts w:ascii="Times New Roman" w:hAnsi="Times New Roman"/>
        </w:rPr>
        <w:t>EPC</w:t>
      </w:r>
      <w:r w:rsidR="00EA3213" w:rsidRPr="00C52E49">
        <w:rPr>
          <w:rFonts w:ascii="Times New Roman" w:hAnsi="Times New Roman"/>
        </w:rPr>
        <w:t xml:space="preserve"> obligations arising after 31</w:t>
      </w:r>
      <w:r w:rsidR="005C52A4">
        <w:rPr>
          <w:rFonts w:ascii="Times New Roman" w:hAnsi="Times New Roman"/>
        </w:rPr>
        <w:t> </w:t>
      </w:r>
      <w:r w:rsidR="00EA3213" w:rsidRPr="00C52E49">
        <w:rPr>
          <w:rFonts w:ascii="Times New Roman" w:hAnsi="Times New Roman"/>
        </w:rPr>
        <w:t>March 2021</w:t>
      </w:r>
      <w:r w:rsidR="00564F63" w:rsidRPr="00C52E49">
        <w:rPr>
          <w:rFonts w:ascii="Times New Roman" w:hAnsi="Times New Roman"/>
        </w:rPr>
        <w:t xml:space="preserve"> when the exemption had expired</w:t>
      </w:r>
      <w:r w:rsidR="00EA3213" w:rsidRPr="00C52E49">
        <w:rPr>
          <w:rFonts w:ascii="Times New Roman" w:hAnsi="Times New Roman"/>
        </w:rPr>
        <w:t>.</w:t>
      </w:r>
    </w:p>
    <w:p w14:paraId="01D5F40B" w14:textId="77777777" w:rsidR="00476B90" w:rsidRDefault="00476B90" w:rsidP="00C52E49">
      <w:pPr>
        <w:pStyle w:val="BodyText"/>
        <w:rPr>
          <w:rFonts w:ascii="Times New Roman" w:hAnsi="Times New Roman"/>
        </w:rPr>
      </w:pPr>
    </w:p>
    <w:p w14:paraId="52D3A53B" w14:textId="2989730D" w:rsidR="006063D5" w:rsidRDefault="00C52E49" w:rsidP="00C52E49">
      <w:pPr>
        <w:pStyle w:val="BodyText"/>
        <w:rPr>
          <w:rFonts w:ascii="Times New Roman" w:hAnsi="Times New Roman"/>
        </w:rPr>
      </w:pPr>
      <w:r w:rsidRPr="00C52E49">
        <w:rPr>
          <w:rFonts w:ascii="Times New Roman" w:hAnsi="Times New Roman"/>
        </w:rPr>
        <w:t>The purpose of the new EPC exemption is to do that for the post-31 March 2021 period</w:t>
      </w:r>
      <w:r w:rsidR="00476B90">
        <w:rPr>
          <w:rFonts w:ascii="Times New Roman" w:hAnsi="Times New Roman"/>
        </w:rPr>
        <w:t xml:space="preserve">. In doing so, it is CASA’s intention to endeavour to restore the FER holders to their usual </w:t>
      </w:r>
      <w:r w:rsidR="008534DA">
        <w:rPr>
          <w:rFonts w:ascii="Times New Roman" w:hAnsi="Times New Roman"/>
        </w:rPr>
        <w:t xml:space="preserve">spread of </w:t>
      </w:r>
      <w:r w:rsidR="00476B90">
        <w:rPr>
          <w:rFonts w:ascii="Times New Roman" w:hAnsi="Times New Roman"/>
        </w:rPr>
        <w:t>EPC biennial cycle</w:t>
      </w:r>
      <w:r w:rsidR="008534DA">
        <w:rPr>
          <w:rFonts w:ascii="Times New Roman" w:hAnsi="Times New Roman"/>
        </w:rPr>
        <w:t xml:space="preserve"> dates</w:t>
      </w:r>
      <w:r w:rsidR="00476B90">
        <w:rPr>
          <w:rFonts w:ascii="Times New Roman" w:hAnsi="Times New Roman"/>
        </w:rPr>
        <w:t xml:space="preserve"> as they existed before 31 March 2020, that is before the serious impact of the pandemic on preservation of those cycles gave rise to CASA EX57/20</w:t>
      </w:r>
      <w:r w:rsidRPr="00C52E49">
        <w:rPr>
          <w:rFonts w:ascii="Times New Roman" w:hAnsi="Times New Roman"/>
        </w:rPr>
        <w:t>.</w:t>
      </w:r>
    </w:p>
    <w:p w14:paraId="7B307E2F" w14:textId="0E65B8A1" w:rsidR="00C52E49" w:rsidRDefault="00C52E49" w:rsidP="00C52E49">
      <w:pPr>
        <w:pStyle w:val="BodyText"/>
        <w:rPr>
          <w:rFonts w:ascii="Times New Roman" w:hAnsi="Times New Roman"/>
        </w:rPr>
      </w:pPr>
    </w:p>
    <w:p w14:paraId="68104122" w14:textId="190F8E05" w:rsidR="007F10F5" w:rsidRDefault="00C52E49" w:rsidP="00C52E49">
      <w:pPr>
        <w:pStyle w:val="BodyText"/>
        <w:rPr>
          <w:rFonts w:ascii="Times New Roman" w:hAnsi="Times New Roman"/>
          <w:b/>
          <w:bCs/>
        </w:rPr>
      </w:pPr>
      <w:r w:rsidRPr="00C52E49">
        <w:rPr>
          <w:rFonts w:ascii="Times New Roman" w:hAnsi="Times New Roman"/>
          <w:b/>
          <w:bCs/>
        </w:rPr>
        <w:t>The new EPC exemption</w:t>
      </w:r>
      <w:r w:rsidR="00852312">
        <w:rPr>
          <w:rFonts w:ascii="Times New Roman" w:hAnsi="Times New Roman"/>
          <w:b/>
          <w:bCs/>
        </w:rPr>
        <w:t>s</w:t>
      </w:r>
    </w:p>
    <w:p w14:paraId="460E52FF" w14:textId="61F81926" w:rsidR="00A05C00" w:rsidRDefault="00852312" w:rsidP="00F4640D">
      <w:pPr>
        <w:pStyle w:val="BodyText"/>
        <w:rPr>
          <w:color w:val="000000"/>
        </w:rPr>
      </w:pPr>
      <w:r>
        <w:rPr>
          <w:rFonts w:ascii="Times New Roman" w:hAnsi="Times New Roman"/>
        </w:rPr>
        <w:t>T</w:t>
      </w:r>
      <w:r w:rsidR="007F10F5" w:rsidRPr="007F10F5">
        <w:rPr>
          <w:rFonts w:ascii="Times New Roman" w:hAnsi="Times New Roman"/>
        </w:rPr>
        <w:t xml:space="preserve">he new exemptions </w:t>
      </w:r>
      <w:r w:rsidR="007F10F5">
        <w:rPr>
          <w:rFonts w:ascii="Times New Roman" w:hAnsi="Times New Roman"/>
        </w:rPr>
        <w:t xml:space="preserve">do not apply to </w:t>
      </w:r>
      <w:r w:rsidR="007F10F5">
        <w:t xml:space="preserve">a relevant </w:t>
      </w:r>
      <w:r w:rsidR="007F10F5" w:rsidRPr="002D187F">
        <w:t>FER holder</w:t>
      </w:r>
      <w:r w:rsidR="007F10F5">
        <w:t xml:space="preserve"> who</w:t>
      </w:r>
      <w:r w:rsidR="00F4640D">
        <w:t>, on commencement,</w:t>
      </w:r>
      <w:r w:rsidR="007F10F5">
        <w:t xml:space="preserve"> is the subject of a </w:t>
      </w:r>
      <w:r w:rsidR="007F10F5" w:rsidRPr="009302C3">
        <w:t>show cause notice</w:t>
      </w:r>
      <w:r w:rsidR="007F10F5">
        <w:t xml:space="preserve"> for potential infringements of aviation </w:t>
      </w:r>
      <w:r w:rsidR="00F4640D">
        <w:t xml:space="preserve">safety rules, or to </w:t>
      </w:r>
      <w:r w:rsidR="007F10F5">
        <w:t xml:space="preserve">a relevant </w:t>
      </w:r>
      <w:r w:rsidR="007F10F5" w:rsidRPr="002D187F">
        <w:t>FER holder</w:t>
      </w:r>
      <w:r w:rsidR="007F10F5">
        <w:t xml:space="preserve"> </w:t>
      </w:r>
      <w:r w:rsidR="007F10F5" w:rsidRPr="009302C3">
        <w:t>who</w:t>
      </w:r>
      <w:bookmarkStart w:id="1" w:name="_Hlk65654034"/>
      <w:r w:rsidR="00A05C00">
        <w:t>,</w:t>
      </w:r>
      <w:r w:rsidR="00A05C00" w:rsidRPr="009302C3">
        <w:t xml:space="preserve"> </w:t>
      </w:r>
      <w:r w:rsidR="00A26C48">
        <w:t xml:space="preserve">under </w:t>
      </w:r>
      <w:r w:rsidR="00A05C00">
        <w:t>this instrument or instrument CASA EX57/20, undertook or</w:t>
      </w:r>
      <w:r w:rsidR="00A05C00" w:rsidRPr="009302C3">
        <w:t xml:space="preserve"> </w:t>
      </w:r>
      <w:r w:rsidR="00A05C00">
        <w:t>undertakes</w:t>
      </w:r>
      <w:r w:rsidR="00A05C00" w:rsidRPr="009302C3">
        <w:t xml:space="preserve">, but without </w:t>
      </w:r>
      <w:r w:rsidR="00A05C00">
        <w:t xml:space="preserve">successful </w:t>
      </w:r>
      <w:r w:rsidR="00A05C00" w:rsidRPr="009302C3">
        <w:t>completion, an</w:t>
      </w:r>
      <w:r w:rsidR="00A05C00">
        <w:t xml:space="preserve"> </w:t>
      </w:r>
      <w:r w:rsidR="00A05C00" w:rsidRPr="00174816">
        <w:t>EPC</w:t>
      </w:r>
      <w:r w:rsidR="00A05C00">
        <w:t xml:space="preserve"> or a substitute proficiency check</w:t>
      </w:r>
      <w:r w:rsidR="00A05C00" w:rsidRPr="009302C3">
        <w:t>.</w:t>
      </w:r>
      <w:bookmarkEnd w:id="1"/>
    </w:p>
    <w:p w14:paraId="0D70DF44" w14:textId="77777777" w:rsidR="00F4640D" w:rsidRDefault="00F4640D" w:rsidP="00F4640D">
      <w:pPr>
        <w:pStyle w:val="BodyText"/>
        <w:rPr>
          <w:color w:val="000000"/>
        </w:rPr>
      </w:pPr>
    </w:p>
    <w:p w14:paraId="0896D2CF" w14:textId="7801426C" w:rsidR="00CB494E" w:rsidRDefault="00CB494E" w:rsidP="00CB494E">
      <w:pPr>
        <w:pStyle w:val="BodyText"/>
        <w:rPr>
          <w:color w:val="000000"/>
        </w:rPr>
      </w:pPr>
      <w:r>
        <w:rPr>
          <w:rFonts w:ascii="Times New Roman" w:hAnsi="Times New Roman"/>
        </w:rPr>
        <w:t>For the first exemption, a</w:t>
      </w:r>
      <w:r>
        <w:t xml:space="preserve"> </w:t>
      </w:r>
      <w:r w:rsidRPr="0094439B">
        <w:rPr>
          <w:b/>
          <w:bCs/>
          <w:i/>
          <w:iCs/>
        </w:rPr>
        <w:t>relevant FER holder</w:t>
      </w:r>
      <w:r w:rsidRPr="0094439B">
        <w:t xml:space="preserve"> means an FER holder</w:t>
      </w:r>
      <w:r>
        <w:t xml:space="preserve"> for whom, on commencement, an </w:t>
      </w:r>
      <w:r w:rsidRPr="0094439B">
        <w:t xml:space="preserve">EPC </w:t>
      </w:r>
      <w:r>
        <w:t xml:space="preserve">was </w:t>
      </w:r>
      <w:r w:rsidRPr="00464A53">
        <w:rPr>
          <w:color w:val="000000"/>
        </w:rPr>
        <w:t xml:space="preserve">in effect </w:t>
      </w:r>
      <w:r>
        <w:rPr>
          <w:color w:val="000000"/>
        </w:rPr>
        <w:t>on 1 March</w:t>
      </w:r>
      <w:r w:rsidRPr="00464A53">
        <w:rPr>
          <w:color w:val="000000"/>
        </w:rPr>
        <w:t xml:space="preserve"> 2020 but</w:t>
      </w:r>
      <w:r>
        <w:rPr>
          <w:color w:val="000000"/>
        </w:rPr>
        <w:t xml:space="preserve"> </w:t>
      </w:r>
      <w:r w:rsidRPr="00464A53">
        <w:rPr>
          <w:color w:val="000000"/>
        </w:rPr>
        <w:t xml:space="preserve">not in effect </w:t>
      </w:r>
      <w:r>
        <w:rPr>
          <w:color w:val="000000"/>
        </w:rPr>
        <w:t>on 1 December 2021</w:t>
      </w:r>
      <w:r w:rsidRPr="00464A53">
        <w:rPr>
          <w:color w:val="000000"/>
        </w:rPr>
        <w:t>.</w:t>
      </w:r>
    </w:p>
    <w:p w14:paraId="46735886" w14:textId="77777777" w:rsidR="00CB494E" w:rsidRDefault="00CB494E" w:rsidP="00CB494E">
      <w:pPr>
        <w:pStyle w:val="BodyText"/>
        <w:rPr>
          <w:color w:val="000000"/>
        </w:rPr>
      </w:pPr>
    </w:p>
    <w:p w14:paraId="6D11BD56" w14:textId="7BF61C72" w:rsidR="00852312" w:rsidRDefault="00852312" w:rsidP="005C52A4">
      <w:pPr>
        <w:pStyle w:val="BodyText"/>
        <w:keepNext/>
      </w:pPr>
      <w:r>
        <w:rPr>
          <w:rFonts w:ascii="Times New Roman" w:hAnsi="Times New Roman"/>
        </w:rPr>
        <w:t>Under the first exemption (section 6 of the instrument)</w:t>
      </w:r>
      <w:r w:rsidR="005C52A4">
        <w:rPr>
          <w:rFonts w:ascii="Times New Roman" w:hAnsi="Times New Roman"/>
        </w:rPr>
        <w:t>,</w:t>
      </w:r>
      <w:r>
        <w:rPr>
          <w:rFonts w:ascii="Times New Roman" w:hAnsi="Times New Roman"/>
        </w:rPr>
        <w:t xml:space="preserve"> t</w:t>
      </w:r>
      <w:r w:rsidR="00F4640D">
        <w:rPr>
          <w:color w:val="000000"/>
        </w:rPr>
        <w:t xml:space="preserve">he </w:t>
      </w:r>
      <w:r w:rsidR="007F10F5">
        <w:t>relevant FER holder</w:t>
      </w:r>
      <w:r w:rsidR="00F4640D">
        <w:t>s</w:t>
      </w:r>
      <w:r w:rsidR="007F10F5">
        <w:t xml:space="preserve"> are</w:t>
      </w:r>
      <w:r w:rsidR="007F10F5" w:rsidRPr="007954E1">
        <w:t xml:space="preserve"> exempted </w:t>
      </w:r>
      <w:r w:rsidR="007F10F5" w:rsidRPr="009C42DF">
        <w:t>from</w:t>
      </w:r>
      <w:r w:rsidR="007F10F5">
        <w:t xml:space="preserve"> compliance with</w:t>
      </w:r>
      <w:r w:rsidR="007F10F5" w:rsidRPr="009C42DF">
        <w:t xml:space="preserve"> </w:t>
      </w:r>
      <w:r w:rsidR="007F10F5">
        <w:t>regulation</w:t>
      </w:r>
      <w:r w:rsidR="007F10F5" w:rsidRPr="009C42DF">
        <w:t xml:space="preserve"> 61.1285 of</w:t>
      </w:r>
      <w:r w:rsidR="007F10F5">
        <w:t xml:space="preserve"> CASR </w:t>
      </w:r>
      <w:r w:rsidR="007F10F5" w:rsidRPr="009302C3">
        <w:t xml:space="preserve">but only to </w:t>
      </w:r>
      <w:r w:rsidR="00F4640D">
        <w:t>a time-limited</w:t>
      </w:r>
      <w:r w:rsidR="007F10F5" w:rsidRPr="009302C3">
        <w:t xml:space="preserve"> extent provided for </w:t>
      </w:r>
      <w:r w:rsidR="00F4640D">
        <w:t xml:space="preserve">in a Table. The Table cross-tabulates the dates on which an FER holder’s EPC expired, or would have expired, had there been no exemptions at all, with </w:t>
      </w:r>
      <w:r w:rsidR="00F4640D">
        <w:lastRenderedPageBreak/>
        <w:t xml:space="preserve">the corresponding prescribed date on which the current exemption instrument expires </w:t>
      </w:r>
      <w:r>
        <w:t>with respect to</w:t>
      </w:r>
      <w:r w:rsidR="00F4640D">
        <w:t xml:space="preserve"> that </w:t>
      </w:r>
      <w:r>
        <w:t>particular EPC expiry date, as follows:</w:t>
      </w:r>
    </w:p>
    <w:p w14:paraId="06F062B8" w14:textId="77777777" w:rsidR="00852312" w:rsidRDefault="00852312" w:rsidP="005C52A4">
      <w:pPr>
        <w:pStyle w:val="BodyText"/>
        <w:keepNext/>
      </w:pPr>
    </w:p>
    <w:p w14:paraId="489B9370" w14:textId="77777777" w:rsidR="007F10F5" w:rsidRPr="009758BA" w:rsidRDefault="007F10F5" w:rsidP="007F36EB">
      <w:pPr>
        <w:pStyle w:val="LDTableheading"/>
        <w:keepNext w:val="0"/>
        <w:spacing w:before="0" w:after="120"/>
      </w:pPr>
      <w:r w:rsidRPr="009758BA">
        <w:t>Table 6 (2) — Extension of exemption from EPC due date</w:t>
      </w:r>
    </w:p>
    <w:tbl>
      <w:tblPr>
        <w:tblStyle w:val="PlainTable1"/>
        <w:tblW w:w="5000" w:type="pct"/>
        <w:tblLook w:val="04A0" w:firstRow="1" w:lastRow="0" w:firstColumn="1" w:lastColumn="0" w:noHBand="0" w:noVBand="1"/>
      </w:tblPr>
      <w:tblGrid>
        <w:gridCol w:w="1725"/>
        <w:gridCol w:w="3297"/>
        <w:gridCol w:w="3473"/>
      </w:tblGrid>
      <w:tr w:rsidR="007F10F5" w:rsidRPr="00C30F9D" w14:paraId="78671406" w14:textId="77777777" w:rsidTr="00E323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 w:type="dxa"/>
            <w:tcBorders>
              <w:bottom w:val="single" w:sz="4" w:space="0" w:color="BFBFBF" w:themeColor="background1" w:themeShade="BF"/>
            </w:tcBorders>
          </w:tcPr>
          <w:p w14:paraId="137400B0" w14:textId="77777777" w:rsidR="007F10F5" w:rsidRPr="00C30F9D" w:rsidRDefault="007F10F5" w:rsidP="00C63BDA">
            <w:pPr>
              <w:spacing w:before="60" w:after="60"/>
              <w:rPr>
                <w:rFonts w:ascii="Times New Roman" w:hAnsi="Times New Roman"/>
              </w:rPr>
            </w:pPr>
            <w:r w:rsidRPr="00C30F9D">
              <w:rPr>
                <w:rFonts w:ascii="Times New Roman" w:hAnsi="Times New Roman"/>
              </w:rPr>
              <w:t>Item</w:t>
            </w:r>
          </w:p>
        </w:tc>
        <w:tc>
          <w:tcPr>
            <w:tcW w:w="1838" w:type="dxa"/>
            <w:tcBorders>
              <w:bottom w:val="single" w:sz="4" w:space="0" w:color="BFBFBF" w:themeColor="background1" w:themeShade="BF"/>
            </w:tcBorders>
          </w:tcPr>
          <w:p w14:paraId="644B20F9" w14:textId="77777777" w:rsidR="007F10F5" w:rsidRPr="00385C01" w:rsidRDefault="007F10F5" w:rsidP="00C63BDA">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85C01">
              <w:rPr>
                <w:rFonts w:ascii="Times New Roman" w:hAnsi="Times New Roman"/>
              </w:rPr>
              <w:t>Column 1</w:t>
            </w:r>
          </w:p>
          <w:p w14:paraId="313CE3C6" w14:textId="77777777" w:rsidR="007F10F5" w:rsidRPr="00C30F9D" w:rsidRDefault="007F10F5" w:rsidP="00C63BDA">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83681">
              <w:rPr>
                <w:rFonts w:ascii="Times New Roman" w:hAnsi="Times New Roman"/>
              </w:rPr>
              <w:t>A relevant FER holder and a relevant approval holder, for whom a valid EPC is due on</w:t>
            </w:r>
            <w:r w:rsidRPr="00C30F9D">
              <w:rPr>
                <w:rFonts w:ascii="Times New Roman" w:hAnsi="Times New Roman"/>
              </w:rPr>
              <w:t>:</w:t>
            </w:r>
          </w:p>
        </w:tc>
        <w:tc>
          <w:tcPr>
            <w:tcW w:w="1936" w:type="dxa"/>
            <w:tcBorders>
              <w:bottom w:val="single" w:sz="4" w:space="0" w:color="BFBFBF" w:themeColor="background1" w:themeShade="BF"/>
            </w:tcBorders>
          </w:tcPr>
          <w:p w14:paraId="07FAEB50" w14:textId="77777777" w:rsidR="007F10F5" w:rsidRPr="00385C01" w:rsidRDefault="007F10F5" w:rsidP="00C63BDA">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85C01">
              <w:rPr>
                <w:rFonts w:ascii="Times New Roman" w:hAnsi="Times New Roman"/>
              </w:rPr>
              <w:t>Column 2</w:t>
            </w:r>
          </w:p>
          <w:p w14:paraId="4022215F" w14:textId="77777777" w:rsidR="007F10F5" w:rsidRPr="00C30F9D" w:rsidRDefault="007F10F5" w:rsidP="00C63BDA">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is exempted from compliance with regulation 61.1285 of CASR until:</w:t>
            </w:r>
          </w:p>
        </w:tc>
      </w:tr>
      <w:tr w:rsidR="007F10F5" w:rsidRPr="00C30F9D" w14:paraId="17724D64" w14:textId="77777777" w:rsidTr="00E32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 w:type="dxa"/>
            <w:shd w:val="clear" w:color="auto" w:fill="auto"/>
          </w:tcPr>
          <w:p w14:paraId="25781435" w14:textId="77777777" w:rsidR="007F10F5" w:rsidRPr="00C30F9D" w:rsidRDefault="007F10F5" w:rsidP="00C63BDA">
            <w:pPr>
              <w:spacing w:before="60" w:after="60"/>
              <w:rPr>
                <w:rFonts w:ascii="Times New Roman" w:hAnsi="Times New Roman"/>
              </w:rPr>
            </w:pPr>
            <w:r w:rsidRPr="00C30F9D">
              <w:rPr>
                <w:rFonts w:ascii="Times New Roman" w:hAnsi="Times New Roman"/>
              </w:rPr>
              <w:t>1</w:t>
            </w:r>
          </w:p>
        </w:tc>
        <w:tc>
          <w:tcPr>
            <w:tcW w:w="1838" w:type="dxa"/>
            <w:shd w:val="clear" w:color="auto" w:fill="auto"/>
          </w:tcPr>
          <w:p w14:paraId="0AABE9A2" w14:textId="77777777" w:rsidR="007F10F5" w:rsidRPr="00C30F9D" w:rsidRDefault="007F10F5" w:rsidP="00C63BD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30F9D">
              <w:rPr>
                <w:rFonts w:ascii="Times New Roman" w:hAnsi="Times New Roman"/>
              </w:rPr>
              <w:t>30 April 2020</w:t>
            </w:r>
          </w:p>
        </w:tc>
        <w:tc>
          <w:tcPr>
            <w:tcW w:w="1936" w:type="dxa"/>
            <w:shd w:val="clear" w:color="auto" w:fill="auto"/>
          </w:tcPr>
          <w:p w14:paraId="002E9E0F" w14:textId="77777777" w:rsidR="007F10F5" w:rsidRPr="00C30F9D" w:rsidRDefault="007F10F5" w:rsidP="00C63BD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30F9D">
              <w:rPr>
                <w:rFonts w:ascii="Times New Roman" w:hAnsi="Times New Roman"/>
              </w:rPr>
              <w:t>30 April 2021</w:t>
            </w:r>
          </w:p>
        </w:tc>
      </w:tr>
      <w:tr w:rsidR="007F10F5" w:rsidRPr="00C30F9D" w14:paraId="2F1284EA" w14:textId="77777777" w:rsidTr="00E323D2">
        <w:tc>
          <w:tcPr>
            <w:cnfStyle w:val="001000000000" w:firstRow="0" w:lastRow="0" w:firstColumn="1" w:lastColumn="0" w:oddVBand="0" w:evenVBand="0" w:oddHBand="0" w:evenHBand="0" w:firstRowFirstColumn="0" w:firstRowLastColumn="0" w:lastRowFirstColumn="0" w:lastRowLastColumn="0"/>
            <w:tcW w:w="962" w:type="dxa"/>
            <w:shd w:val="clear" w:color="auto" w:fill="auto"/>
          </w:tcPr>
          <w:p w14:paraId="170FA1B1" w14:textId="77777777" w:rsidR="007F10F5" w:rsidRPr="00C30F9D" w:rsidRDefault="007F10F5" w:rsidP="00C63BDA">
            <w:pPr>
              <w:spacing w:before="60" w:after="60"/>
              <w:rPr>
                <w:rFonts w:ascii="Times New Roman" w:hAnsi="Times New Roman"/>
              </w:rPr>
            </w:pPr>
            <w:r w:rsidRPr="00C30F9D">
              <w:rPr>
                <w:rFonts w:ascii="Times New Roman" w:hAnsi="Times New Roman"/>
              </w:rPr>
              <w:t>2</w:t>
            </w:r>
          </w:p>
        </w:tc>
        <w:tc>
          <w:tcPr>
            <w:tcW w:w="1838" w:type="dxa"/>
            <w:shd w:val="clear" w:color="auto" w:fill="auto"/>
          </w:tcPr>
          <w:p w14:paraId="4DBAB329" w14:textId="77777777" w:rsidR="007F10F5" w:rsidRPr="00C30F9D" w:rsidRDefault="007F10F5" w:rsidP="00C63BDA">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30F9D">
              <w:rPr>
                <w:rFonts w:ascii="Times New Roman" w:hAnsi="Times New Roman"/>
              </w:rPr>
              <w:t>31 May 2020</w:t>
            </w:r>
          </w:p>
        </w:tc>
        <w:tc>
          <w:tcPr>
            <w:tcW w:w="1936" w:type="dxa"/>
            <w:shd w:val="clear" w:color="auto" w:fill="auto"/>
          </w:tcPr>
          <w:p w14:paraId="0E781035" w14:textId="77777777" w:rsidR="007F10F5" w:rsidRPr="00C30F9D" w:rsidRDefault="007F10F5" w:rsidP="00C63BDA">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30F9D">
              <w:rPr>
                <w:rFonts w:ascii="Times New Roman" w:hAnsi="Times New Roman"/>
              </w:rPr>
              <w:t>31 May 2021</w:t>
            </w:r>
          </w:p>
        </w:tc>
      </w:tr>
      <w:tr w:rsidR="007F10F5" w:rsidRPr="00C30F9D" w14:paraId="0FF56FF1" w14:textId="77777777" w:rsidTr="00E32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 w:type="dxa"/>
            <w:shd w:val="clear" w:color="auto" w:fill="auto"/>
          </w:tcPr>
          <w:p w14:paraId="7481DFAB" w14:textId="77777777" w:rsidR="007F10F5" w:rsidRPr="00C30F9D" w:rsidRDefault="007F10F5" w:rsidP="00C63BDA">
            <w:pPr>
              <w:tabs>
                <w:tab w:val="center" w:pos="1142"/>
              </w:tabs>
              <w:spacing w:before="60" w:after="60"/>
              <w:rPr>
                <w:rFonts w:ascii="Times New Roman" w:hAnsi="Times New Roman"/>
              </w:rPr>
            </w:pPr>
            <w:r w:rsidRPr="00C30F9D">
              <w:rPr>
                <w:rFonts w:ascii="Times New Roman" w:hAnsi="Times New Roman"/>
              </w:rPr>
              <w:t>3</w:t>
            </w:r>
          </w:p>
        </w:tc>
        <w:tc>
          <w:tcPr>
            <w:tcW w:w="1838" w:type="dxa"/>
            <w:shd w:val="clear" w:color="auto" w:fill="auto"/>
          </w:tcPr>
          <w:p w14:paraId="356E9B15" w14:textId="77777777" w:rsidR="007F10F5" w:rsidRPr="00C30F9D" w:rsidRDefault="007F10F5" w:rsidP="00C63BD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30F9D">
              <w:rPr>
                <w:rFonts w:ascii="Times New Roman" w:hAnsi="Times New Roman"/>
              </w:rPr>
              <w:t>30 June 2020</w:t>
            </w:r>
          </w:p>
        </w:tc>
        <w:tc>
          <w:tcPr>
            <w:tcW w:w="1936" w:type="dxa"/>
            <w:shd w:val="clear" w:color="auto" w:fill="auto"/>
          </w:tcPr>
          <w:p w14:paraId="6F40471F" w14:textId="77777777" w:rsidR="007F10F5" w:rsidRPr="00C30F9D" w:rsidRDefault="007F10F5" w:rsidP="00C63BD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30F9D">
              <w:rPr>
                <w:rFonts w:ascii="Times New Roman" w:hAnsi="Times New Roman"/>
              </w:rPr>
              <w:t>30 June 2021</w:t>
            </w:r>
          </w:p>
        </w:tc>
      </w:tr>
      <w:tr w:rsidR="007F10F5" w:rsidRPr="00C30F9D" w14:paraId="2BEF1D45" w14:textId="77777777" w:rsidTr="00E323D2">
        <w:tc>
          <w:tcPr>
            <w:cnfStyle w:val="001000000000" w:firstRow="0" w:lastRow="0" w:firstColumn="1" w:lastColumn="0" w:oddVBand="0" w:evenVBand="0" w:oddHBand="0" w:evenHBand="0" w:firstRowFirstColumn="0" w:firstRowLastColumn="0" w:lastRowFirstColumn="0" w:lastRowLastColumn="0"/>
            <w:tcW w:w="962" w:type="dxa"/>
            <w:shd w:val="clear" w:color="auto" w:fill="auto"/>
          </w:tcPr>
          <w:p w14:paraId="55D437CE" w14:textId="77777777" w:rsidR="007F10F5" w:rsidRPr="00C30F9D" w:rsidRDefault="007F10F5" w:rsidP="00C63BDA">
            <w:pPr>
              <w:tabs>
                <w:tab w:val="left" w:pos="1477"/>
              </w:tabs>
              <w:spacing w:before="60" w:after="60"/>
              <w:rPr>
                <w:rFonts w:ascii="Times New Roman" w:hAnsi="Times New Roman"/>
              </w:rPr>
            </w:pPr>
            <w:r w:rsidRPr="00C30F9D">
              <w:rPr>
                <w:rFonts w:ascii="Times New Roman" w:hAnsi="Times New Roman"/>
              </w:rPr>
              <w:t>4</w:t>
            </w:r>
          </w:p>
        </w:tc>
        <w:tc>
          <w:tcPr>
            <w:tcW w:w="1838" w:type="dxa"/>
            <w:shd w:val="clear" w:color="auto" w:fill="auto"/>
          </w:tcPr>
          <w:p w14:paraId="496DD013" w14:textId="77777777" w:rsidR="007F10F5" w:rsidRPr="00C30F9D" w:rsidRDefault="007F10F5" w:rsidP="00C63BDA">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30F9D">
              <w:rPr>
                <w:rFonts w:ascii="Times New Roman" w:hAnsi="Times New Roman"/>
              </w:rPr>
              <w:t>31 July 2020</w:t>
            </w:r>
          </w:p>
        </w:tc>
        <w:tc>
          <w:tcPr>
            <w:tcW w:w="1936" w:type="dxa"/>
            <w:shd w:val="clear" w:color="auto" w:fill="auto"/>
          </w:tcPr>
          <w:p w14:paraId="14D43482" w14:textId="77777777" w:rsidR="007F10F5" w:rsidRPr="00C30F9D" w:rsidRDefault="007F10F5" w:rsidP="00C63BDA">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30F9D">
              <w:rPr>
                <w:rFonts w:ascii="Times New Roman" w:hAnsi="Times New Roman"/>
              </w:rPr>
              <w:t>31 July 2021</w:t>
            </w:r>
          </w:p>
        </w:tc>
      </w:tr>
      <w:tr w:rsidR="007F10F5" w:rsidRPr="00C30F9D" w14:paraId="661F9EAD" w14:textId="77777777" w:rsidTr="00E32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 w:type="dxa"/>
            <w:shd w:val="clear" w:color="auto" w:fill="auto"/>
          </w:tcPr>
          <w:p w14:paraId="0F42A2D5" w14:textId="77777777" w:rsidR="007F10F5" w:rsidRPr="00C30F9D" w:rsidRDefault="007F10F5" w:rsidP="00C63BDA">
            <w:pPr>
              <w:spacing w:before="60" w:after="60"/>
              <w:rPr>
                <w:rFonts w:ascii="Times New Roman" w:hAnsi="Times New Roman"/>
              </w:rPr>
            </w:pPr>
            <w:r w:rsidRPr="00C30F9D">
              <w:rPr>
                <w:rFonts w:ascii="Times New Roman" w:hAnsi="Times New Roman"/>
              </w:rPr>
              <w:t>5</w:t>
            </w:r>
          </w:p>
        </w:tc>
        <w:tc>
          <w:tcPr>
            <w:tcW w:w="1838" w:type="dxa"/>
            <w:shd w:val="clear" w:color="auto" w:fill="auto"/>
          </w:tcPr>
          <w:p w14:paraId="0A6D72CA" w14:textId="77777777" w:rsidR="007F10F5" w:rsidRPr="00C30F9D" w:rsidRDefault="007F10F5" w:rsidP="00C63BD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30F9D">
              <w:rPr>
                <w:rFonts w:ascii="Times New Roman" w:hAnsi="Times New Roman"/>
              </w:rPr>
              <w:t>31 August 2020</w:t>
            </w:r>
          </w:p>
        </w:tc>
        <w:tc>
          <w:tcPr>
            <w:tcW w:w="1936" w:type="dxa"/>
            <w:shd w:val="clear" w:color="auto" w:fill="auto"/>
          </w:tcPr>
          <w:p w14:paraId="23D965B5" w14:textId="77777777" w:rsidR="007F10F5" w:rsidRPr="00C30F9D" w:rsidRDefault="007F10F5" w:rsidP="00C63BD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30F9D">
              <w:rPr>
                <w:rFonts w:ascii="Times New Roman" w:hAnsi="Times New Roman"/>
              </w:rPr>
              <w:t>31 July 2021</w:t>
            </w:r>
          </w:p>
        </w:tc>
      </w:tr>
      <w:tr w:rsidR="007F10F5" w:rsidRPr="00C30F9D" w14:paraId="7EEBF91E" w14:textId="77777777" w:rsidTr="00E323D2">
        <w:tc>
          <w:tcPr>
            <w:cnfStyle w:val="001000000000" w:firstRow="0" w:lastRow="0" w:firstColumn="1" w:lastColumn="0" w:oddVBand="0" w:evenVBand="0" w:oddHBand="0" w:evenHBand="0" w:firstRowFirstColumn="0" w:firstRowLastColumn="0" w:lastRowFirstColumn="0" w:lastRowLastColumn="0"/>
            <w:tcW w:w="962" w:type="dxa"/>
            <w:shd w:val="clear" w:color="auto" w:fill="auto"/>
          </w:tcPr>
          <w:p w14:paraId="66174F74" w14:textId="77777777" w:rsidR="007F10F5" w:rsidRPr="00C30F9D" w:rsidRDefault="007F10F5" w:rsidP="00C63BDA">
            <w:pPr>
              <w:spacing w:before="60" w:after="60"/>
              <w:rPr>
                <w:rFonts w:ascii="Times New Roman" w:hAnsi="Times New Roman"/>
              </w:rPr>
            </w:pPr>
            <w:r w:rsidRPr="00C30F9D">
              <w:rPr>
                <w:rFonts w:ascii="Times New Roman" w:hAnsi="Times New Roman"/>
              </w:rPr>
              <w:t>6</w:t>
            </w:r>
          </w:p>
        </w:tc>
        <w:tc>
          <w:tcPr>
            <w:tcW w:w="1838" w:type="dxa"/>
            <w:shd w:val="clear" w:color="auto" w:fill="auto"/>
          </w:tcPr>
          <w:p w14:paraId="274FF19B" w14:textId="77777777" w:rsidR="007F10F5" w:rsidRPr="00C30F9D" w:rsidRDefault="007F10F5" w:rsidP="00C63BDA">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30F9D">
              <w:rPr>
                <w:rFonts w:ascii="Times New Roman" w:hAnsi="Times New Roman"/>
              </w:rPr>
              <w:t>30 September 2020</w:t>
            </w:r>
          </w:p>
        </w:tc>
        <w:tc>
          <w:tcPr>
            <w:tcW w:w="1936" w:type="dxa"/>
            <w:shd w:val="clear" w:color="auto" w:fill="auto"/>
          </w:tcPr>
          <w:p w14:paraId="40F48054" w14:textId="77777777" w:rsidR="007F10F5" w:rsidRPr="00C30F9D" w:rsidRDefault="007F10F5" w:rsidP="00C63BDA">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30F9D">
              <w:rPr>
                <w:rFonts w:ascii="Times New Roman" w:hAnsi="Times New Roman"/>
              </w:rPr>
              <w:t xml:space="preserve">31 </w:t>
            </w:r>
            <w:r>
              <w:rPr>
                <w:rFonts w:ascii="Times New Roman" w:hAnsi="Times New Roman"/>
              </w:rPr>
              <w:t>July</w:t>
            </w:r>
            <w:r w:rsidRPr="00C30F9D">
              <w:rPr>
                <w:rFonts w:ascii="Times New Roman" w:hAnsi="Times New Roman"/>
              </w:rPr>
              <w:t xml:space="preserve"> 2021</w:t>
            </w:r>
          </w:p>
        </w:tc>
      </w:tr>
      <w:tr w:rsidR="007F10F5" w:rsidRPr="00C30F9D" w14:paraId="6350FE0D" w14:textId="77777777" w:rsidTr="00E32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 w:type="dxa"/>
            <w:shd w:val="clear" w:color="auto" w:fill="auto"/>
          </w:tcPr>
          <w:p w14:paraId="3DC0F59A" w14:textId="77777777" w:rsidR="007F10F5" w:rsidRPr="00C30F9D" w:rsidRDefault="007F10F5" w:rsidP="00C63BDA">
            <w:pPr>
              <w:spacing w:before="60" w:after="60"/>
              <w:rPr>
                <w:rFonts w:ascii="Times New Roman" w:hAnsi="Times New Roman"/>
              </w:rPr>
            </w:pPr>
            <w:r w:rsidRPr="00C30F9D">
              <w:rPr>
                <w:rFonts w:ascii="Times New Roman" w:hAnsi="Times New Roman"/>
              </w:rPr>
              <w:t>7</w:t>
            </w:r>
          </w:p>
        </w:tc>
        <w:tc>
          <w:tcPr>
            <w:tcW w:w="1838" w:type="dxa"/>
            <w:shd w:val="clear" w:color="auto" w:fill="auto"/>
          </w:tcPr>
          <w:p w14:paraId="2E9AD89B" w14:textId="77777777" w:rsidR="007F10F5" w:rsidRPr="00C30F9D" w:rsidRDefault="007F10F5" w:rsidP="00C63BD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30F9D">
              <w:rPr>
                <w:rFonts w:ascii="Times New Roman" w:hAnsi="Times New Roman"/>
              </w:rPr>
              <w:t>31 October 2020</w:t>
            </w:r>
          </w:p>
        </w:tc>
        <w:tc>
          <w:tcPr>
            <w:tcW w:w="1936" w:type="dxa"/>
            <w:shd w:val="clear" w:color="auto" w:fill="auto"/>
          </w:tcPr>
          <w:p w14:paraId="05748CFA" w14:textId="77777777" w:rsidR="007F10F5" w:rsidRPr="00C30F9D" w:rsidRDefault="007F10F5" w:rsidP="00C63BD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30F9D">
              <w:rPr>
                <w:rFonts w:ascii="Times New Roman" w:hAnsi="Times New Roman"/>
              </w:rPr>
              <w:t>31 August 2021</w:t>
            </w:r>
          </w:p>
        </w:tc>
      </w:tr>
      <w:tr w:rsidR="007F10F5" w:rsidRPr="00C30F9D" w14:paraId="05667C4F" w14:textId="77777777" w:rsidTr="00E323D2">
        <w:tc>
          <w:tcPr>
            <w:cnfStyle w:val="001000000000" w:firstRow="0" w:lastRow="0" w:firstColumn="1" w:lastColumn="0" w:oddVBand="0" w:evenVBand="0" w:oddHBand="0" w:evenHBand="0" w:firstRowFirstColumn="0" w:firstRowLastColumn="0" w:lastRowFirstColumn="0" w:lastRowLastColumn="0"/>
            <w:tcW w:w="962" w:type="dxa"/>
            <w:shd w:val="clear" w:color="auto" w:fill="auto"/>
          </w:tcPr>
          <w:p w14:paraId="352F3182" w14:textId="77777777" w:rsidR="007F10F5" w:rsidRPr="00C30F9D" w:rsidRDefault="007F10F5" w:rsidP="00C63BDA">
            <w:pPr>
              <w:spacing w:before="60" w:after="60"/>
              <w:rPr>
                <w:rFonts w:ascii="Times New Roman" w:hAnsi="Times New Roman"/>
              </w:rPr>
            </w:pPr>
            <w:r w:rsidRPr="00C30F9D">
              <w:rPr>
                <w:rFonts w:ascii="Times New Roman" w:hAnsi="Times New Roman"/>
              </w:rPr>
              <w:t>8</w:t>
            </w:r>
          </w:p>
        </w:tc>
        <w:tc>
          <w:tcPr>
            <w:tcW w:w="1838" w:type="dxa"/>
            <w:shd w:val="clear" w:color="auto" w:fill="auto"/>
          </w:tcPr>
          <w:p w14:paraId="6E8B1A92" w14:textId="77777777" w:rsidR="007F10F5" w:rsidRPr="00C30F9D" w:rsidRDefault="007F10F5" w:rsidP="00C63BDA">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30F9D">
              <w:rPr>
                <w:rFonts w:ascii="Times New Roman" w:hAnsi="Times New Roman"/>
              </w:rPr>
              <w:t>30 November 2020</w:t>
            </w:r>
          </w:p>
        </w:tc>
        <w:tc>
          <w:tcPr>
            <w:tcW w:w="1936" w:type="dxa"/>
            <w:shd w:val="clear" w:color="auto" w:fill="auto"/>
          </w:tcPr>
          <w:p w14:paraId="698744C7" w14:textId="77777777" w:rsidR="007F10F5" w:rsidRPr="00C30F9D" w:rsidRDefault="007F10F5" w:rsidP="00C63BDA">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30F9D">
              <w:rPr>
                <w:rFonts w:ascii="Times New Roman" w:hAnsi="Times New Roman"/>
              </w:rPr>
              <w:t>3</w:t>
            </w:r>
            <w:r>
              <w:rPr>
                <w:rFonts w:ascii="Times New Roman" w:hAnsi="Times New Roman"/>
              </w:rPr>
              <w:t>1</w:t>
            </w:r>
            <w:r w:rsidRPr="00C30F9D">
              <w:rPr>
                <w:rFonts w:ascii="Times New Roman" w:hAnsi="Times New Roman"/>
              </w:rPr>
              <w:t xml:space="preserve"> </w:t>
            </w:r>
            <w:r>
              <w:rPr>
                <w:rFonts w:ascii="Times New Roman" w:hAnsi="Times New Roman"/>
              </w:rPr>
              <w:t>August</w:t>
            </w:r>
            <w:r w:rsidRPr="00C30F9D">
              <w:rPr>
                <w:rFonts w:ascii="Times New Roman" w:hAnsi="Times New Roman"/>
              </w:rPr>
              <w:t xml:space="preserve"> 2021</w:t>
            </w:r>
          </w:p>
        </w:tc>
      </w:tr>
      <w:tr w:rsidR="007F10F5" w:rsidRPr="00C30F9D" w14:paraId="3B12CB33" w14:textId="77777777" w:rsidTr="00E32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 w:type="dxa"/>
            <w:shd w:val="clear" w:color="auto" w:fill="auto"/>
          </w:tcPr>
          <w:p w14:paraId="47BB9966" w14:textId="77777777" w:rsidR="007F10F5" w:rsidRPr="00C30F9D" w:rsidRDefault="007F10F5" w:rsidP="00C63BDA">
            <w:pPr>
              <w:spacing w:before="60" w:after="60"/>
              <w:rPr>
                <w:rFonts w:ascii="Times New Roman" w:hAnsi="Times New Roman"/>
              </w:rPr>
            </w:pPr>
            <w:r w:rsidRPr="00C30F9D">
              <w:rPr>
                <w:rFonts w:ascii="Times New Roman" w:hAnsi="Times New Roman"/>
              </w:rPr>
              <w:t>9</w:t>
            </w:r>
          </w:p>
        </w:tc>
        <w:tc>
          <w:tcPr>
            <w:tcW w:w="1838" w:type="dxa"/>
            <w:shd w:val="clear" w:color="auto" w:fill="auto"/>
          </w:tcPr>
          <w:p w14:paraId="02F8A876" w14:textId="77777777" w:rsidR="007F10F5" w:rsidRPr="00C30F9D" w:rsidRDefault="007F10F5" w:rsidP="00C63BD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30F9D">
              <w:rPr>
                <w:rFonts w:ascii="Times New Roman" w:hAnsi="Times New Roman"/>
              </w:rPr>
              <w:t>31 December 2020</w:t>
            </w:r>
          </w:p>
        </w:tc>
        <w:tc>
          <w:tcPr>
            <w:tcW w:w="1936" w:type="dxa"/>
            <w:shd w:val="clear" w:color="auto" w:fill="auto"/>
          </w:tcPr>
          <w:p w14:paraId="18637882" w14:textId="77777777" w:rsidR="007F10F5" w:rsidRPr="001E6F92" w:rsidRDefault="007F10F5" w:rsidP="00C63BD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E6F92">
              <w:rPr>
                <w:rFonts w:ascii="Times New Roman" w:hAnsi="Times New Roman"/>
              </w:rPr>
              <w:t>31 August 2021</w:t>
            </w:r>
          </w:p>
        </w:tc>
      </w:tr>
      <w:tr w:rsidR="007F10F5" w:rsidRPr="00C30F9D" w14:paraId="7B519C09" w14:textId="77777777" w:rsidTr="00E323D2">
        <w:tc>
          <w:tcPr>
            <w:cnfStyle w:val="001000000000" w:firstRow="0" w:lastRow="0" w:firstColumn="1" w:lastColumn="0" w:oddVBand="0" w:evenVBand="0" w:oddHBand="0" w:evenHBand="0" w:firstRowFirstColumn="0" w:firstRowLastColumn="0" w:lastRowFirstColumn="0" w:lastRowLastColumn="0"/>
            <w:tcW w:w="962" w:type="dxa"/>
            <w:shd w:val="clear" w:color="auto" w:fill="auto"/>
          </w:tcPr>
          <w:p w14:paraId="5B0A484E" w14:textId="77777777" w:rsidR="007F10F5" w:rsidRPr="00C30F9D" w:rsidRDefault="007F10F5" w:rsidP="00C63BDA">
            <w:pPr>
              <w:spacing w:before="60" w:after="60"/>
              <w:rPr>
                <w:rFonts w:ascii="Times New Roman" w:hAnsi="Times New Roman"/>
              </w:rPr>
            </w:pPr>
            <w:r w:rsidRPr="00C30F9D">
              <w:rPr>
                <w:rFonts w:ascii="Times New Roman" w:hAnsi="Times New Roman"/>
              </w:rPr>
              <w:t>10</w:t>
            </w:r>
          </w:p>
        </w:tc>
        <w:tc>
          <w:tcPr>
            <w:tcW w:w="1838" w:type="dxa"/>
            <w:shd w:val="clear" w:color="auto" w:fill="auto"/>
          </w:tcPr>
          <w:p w14:paraId="3484BDF1" w14:textId="77777777" w:rsidR="007F10F5" w:rsidRPr="00C30F9D" w:rsidRDefault="007F10F5" w:rsidP="00C63BDA">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30F9D">
              <w:rPr>
                <w:rFonts w:ascii="Times New Roman" w:hAnsi="Times New Roman"/>
              </w:rPr>
              <w:t>31 January 2021</w:t>
            </w:r>
          </w:p>
        </w:tc>
        <w:tc>
          <w:tcPr>
            <w:tcW w:w="1936" w:type="dxa"/>
            <w:shd w:val="clear" w:color="auto" w:fill="auto"/>
          </w:tcPr>
          <w:p w14:paraId="637785B7" w14:textId="77777777" w:rsidR="007F10F5" w:rsidRPr="00C30F9D" w:rsidRDefault="007F10F5" w:rsidP="00C63BDA">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30F9D">
              <w:rPr>
                <w:rFonts w:ascii="Times New Roman" w:hAnsi="Times New Roman"/>
              </w:rPr>
              <w:t>30 September 2021</w:t>
            </w:r>
          </w:p>
        </w:tc>
      </w:tr>
      <w:tr w:rsidR="007F10F5" w:rsidRPr="00C30F9D" w14:paraId="74EE40C7" w14:textId="77777777" w:rsidTr="00E32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 w:type="dxa"/>
            <w:shd w:val="clear" w:color="auto" w:fill="auto"/>
          </w:tcPr>
          <w:p w14:paraId="04DC0E51" w14:textId="77777777" w:rsidR="007F10F5" w:rsidRPr="00C30F9D" w:rsidRDefault="007F10F5" w:rsidP="00C63BDA">
            <w:pPr>
              <w:spacing w:before="60" w:after="60"/>
              <w:rPr>
                <w:rFonts w:ascii="Times New Roman" w:hAnsi="Times New Roman"/>
              </w:rPr>
            </w:pPr>
            <w:r w:rsidRPr="00C30F9D">
              <w:rPr>
                <w:rFonts w:ascii="Times New Roman" w:hAnsi="Times New Roman"/>
              </w:rPr>
              <w:t>11</w:t>
            </w:r>
          </w:p>
        </w:tc>
        <w:tc>
          <w:tcPr>
            <w:tcW w:w="1838" w:type="dxa"/>
            <w:shd w:val="clear" w:color="auto" w:fill="auto"/>
          </w:tcPr>
          <w:p w14:paraId="091DF572" w14:textId="77777777" w:rsidR="007F10F5" w:rsidRPr="00C30F9D" w:rsidRDefault="007F10F5" w:rsidP="00C63BD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30F9D">
              <w:rPr>
                <w:rFonts w:ascii="Times New Roman" w:hAnsi="Times New Roman"/>
              </w:rPr>
              <w:t>28 February 2021</w:t>
            </w:r>
          </w:p>
        </w:tc>
        <w:tc>
          <w:tcPr>
            <w:tcW w:w="1936" w:type="dxa"/>
            <w:shd w:val="clear" w:color="auto" w:fill="auto"/>
          </w:tcPr>
          <w:p w14:paraId="5D5DDCD8" w14:textId="77777777" w:rsidR="007F10F5" w:rsidRPr="00C30F9D" w:rsidRDefault="007F10F5" w:rsidP="00C63BD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30F9D">
              <w:rPr>
                <w:rFonts w:ascii="Times New Roman" w:hAnsi="Times New Roman"/>
              </w:rPr>
              <w:t>30 September 2021</w:t>
            </w:r>
          </w:p>
        </w:tc>
      </w:tr>
      <w:tr w:rsidR="007F10F5" w:rsidRPr="00C30F9D" w14:paraId="340B2011" w14:textId="77777777" w:rsidTr="00E323D2">
        <w:tc>
          <w:tcPr>
            <w:cnfStyle w:val="001000000000" w:firstRow="0" w:lastRow="0" w:firstColumn="1" w:lastColumn="0" w:oddVBand="0" w:evenVBand="0" w:oddHBand="0" w:evenHBand="0" w:firstRowFirstColumn="0" w:firstRowLastColumn="0" w:lastRowFirstColumn="0" w:lastRowLastColumn="0"/>
            <w:tcW w:w="962" w:type="dxa"/>
            <w:shd w:val="clear" w:color="auto" w:fill="auto"/>
          </w:tcPr>
          <w:p w14:paraId="73380B39" w14:textId="77777777" w:rsidR="007F10F5" w:rsidRPr="00C30F9D" w:rsidRDefault="007F10F5" w:rsidP="00C63BDA">
            <w:pPr>
              <w:spacing w:before="60" w:after="60"/>
              <w:rPr>
                <w:rFonts w:ascii="Times New Roman" w:hAnsi="Times New Roman"/>
              </w:rPr>
            </w:pPr>
            <w:r w:rsidRPr="00C30F9D">
              <w:rPr>
                <w:rFonts w:ascii="Times New Roman" w:hAnsi="Times New Roman"/>
              </w:rPr>
              <w:t>12</w:t>
            </w:r>
          </w:p>
        </w:tc>
        <w:tc>
          <w:tcPr>
            <w:tcW w:w="1838" w:type="dxa"/>
            <w:shd w:val="clear" w:color="auto" w:fill="auto"/>
          </w:tcPr>
          <w:p w14:paraId="48139081" w14:textId="77777777" w:rsidR="007F10F5" w:rsidRPr="00C30F9D" w:rsidRDefault="007F10F5" w:rsidP="00C63BDA">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30F9D">
              <w:rPr>
                <w:rFonts w:ascii="Times New Roman" w:hAnsi="Times New Roman"/>
              </w:rPr>
              <w:t>31 March 2021</w:t>
            </w:r>
          </w:p>
        </w:tc>
        <w:tc>
          <w:tcPr>
            <w:tcW w:w="1936" w:type="dxa"/>
            <w:shd w:val="clear" w:color="auto" w:fill="auto"/>
          </w:tcPr>
          <w:p w14:paraId="319B7603" w14:textId="77777777" w:rsidR="007F10F5" w:rsidRPr="00C30F9D" w:rsidRDefault="007F10F5" w:rsidP="00C63BDA">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30F9D">
              <w:rPr>
                <w:rFonts w:ascii="Times New Roman" w:hAnsi="Times New Roman"/>
              </w:rPr>
              <w:t>30 September 2021</w:t>
            </w:r>
          </w:p>
        </w:tc>
      </w:tr>
      <w:tr w:rsidR="007F10F5" w:rsidRPr="00C30F9D" w14:paraId="7F5E207F" w14:textId="77777777" w:rsidTr="00E32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 w:type="dxa"/>
            <w:shd w:val="clear" w:color="auto" w:fill="auto"/>
          </w:tcPr>
          <w:p w14:paraId="29D9F0E3" w14:textId="77777777" w:rsidR="007F10F5" w:rsidRPr="00C30F9D" w:rsidRDefault="007F10F5" w:rsidP="00C63BDA">
            <w:pPr>
              <w:spacing w:before="60" w:after="60"/>
              <w:rPr>
                <w:rFonts w:ascii="Times New Roman" w:hAnsi="Times New Roman"/>
              </w:rPr>
            </w:pPr>
            <w:r>
              <w:rPr>
                <w:rFonts w:ascii="Times New Roman" w:hAnsi="Times New Roman"/>
              </w:rPr>
              <w:t>13</w:t>
            </w:r>
          </w:p>
        </w:tc>
        <w:tc>
          <w:tcPr>
            <w:tcW w:w="1838" w:type="dxa"/>
            <w:shd w:val="clear" w:color="auto" w:fill="auto"/>
          </w:tcPr>
          <w:p w14:paraId="28FAFD99" w14:textId="77777777" w:rsidR="007F10F5" w:rsidRPr="00577486" w:rsidRDefault="007F10F5" w:rsidP="00C63BD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77486">
              <w:rPr>
                <w:rFonts w:ascii="Times New Roman" w:hAnsi="Times New Roman"/>
              </w:rPr>
              <w:t>30 April 2021</w:t>
            </w:r>
          </w:p>
        </w:tc>
        <w:tc>
          <w:tcPr>
            <w:tcW w:w="1936" w:type="dxa"/>
            <w:shd w:val="clear" w:color="auto" w:fill="auto"/>
          </w:tcPr>
          <w:p w14:paraId="3FDF94D9" w14:textId="77777777" w:rsidR="007F10F5" w:rsidRPr="00577486" w:rsidRDefault="007F10F5" w:rsidP="00C63BD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77486">
              <w:rPr>
                <w:rFonts w:ascii="Times New Roman" w:hAnsi="Times New Roman"/>
              </w:rPr>
              <w:t>31 October 2021</w:t>
            </w:r>
          </w:p>
        </w:tc>
      </w:tr>
      <w:tr w:rsidR="007F10F5" w:rsidRPr="00C30F9D" w14:paraId="75AFD54E" w14:textId="77777777" w:rsidTr="00E323D2">
        <w:tc>
          <w:tcPr>
            <w:cnfStyle w:val="001000000000" w:firstRow="0" w:lastRow="0" w:firstColumn="1" w:lastColumn="0" w:oddVBand="0" w:evenVBand="0" w:oddHBand="0" w:evenHBand="0" w:firstRowFirstColumn="0" w:firstRowLastColumn="0" w:lastRowFirstColumn="0" w:lastRowLastColumn="0"/>
            <w:tcW w:w="962" w:type="dxa"/>
            <w:shd w:val="clear" w:color="auto" w:fill="auto"/>
          </w:tcPr>
          <w:p w14:paraId="591195E8" w14:textId="77777777" w:rsidR="007F10F5" w:rsidRPr="00C30F9D" w:rsidRDefault="007F10F5" w:rsidP="00C63BDA">
            <w:pPr>
              <w:spacing w:before="60" w:after="60"/>
              <w:rPr>
                <w:rFonts w:ascii="Times New Roman" w:hAnsi="Times New Roman"/>
              </w:rPr>
            </w:pPr>
            <w:r>
              <w:rPr>
                <w:rFonts w:ascii="Times New Roman" w:hAnsi="Times New Roman"/>
              </w:rPr>
              <w:t>14</w:t>
            </w:r>
          </w:p>
        </w:tc>
        <w:tc>
          <w:tcPr>
            <w:tcW w:w="1838" w:type="dxa"/>
            <w:shd w:val="clear" w:color="auto" w:fill="auto"/>
          </w:tcPr>
          <w:p w14:paraId="12B0C32B" w14:textId="77777777" w:rsidR="007F10F5" w:rsidRPr="00577486" w:rsidRDefault="007F10F5" w:rsidP="00C63BDA">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77486">
              <w:rPr>
                <w:rFonts w:ascii="Times New Roman" w:hAnsi="Times New Roman"/>
              </w:rPr>
              <w:t>31 May 2021</w:t>
            </w:r>
          </w:p>
        </w:tc>
        <w:tc>
          <w:tcPr>
            <w:tcW w:w="1936" w:type="dxa"/>
            <w:shd w:val="clear" w:color="auto" w:fill="auto"/>
          </w:tcPr>
          <w:p w14:paraId="223C12F4" w14:textId="77777777" w:rsidR="007F10F5" w:rsidRPr="00577486" w:rsidRDefault="007F10F5" w:rsidP="00C63BDA">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77486">
              <w:rPr>
                <w:rFonts w:ascii="Times New Roman" w:hAnsi="Times New Roman"/>
              </w:rPr>
              <w:t>31 October 2021</w:t>
            </w:r>
          </w:p>
        </w:tc>
      </w:tr>
      <w:tr w:rsidR="007F10F5" w:rsidRPr="00C30F9D" w14:paraId="6C6A1E43" w14:textId="77777777" w:rsidTr="00E32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 w:type="dxa"/>
            <w:shd w:val="clear" w:color="auto" w:fill="auto"/>
          </w:tcPr>
          <w:p w14:paraId="75971A27" w14:textId="77777777" w:rsidR="007F10F5" w:rsidRPr="00C30F9D" w:rsidRDefault="007F10F5" w:rsidP="00C63BDA">
            <w:pPr>
              <w:spacing w:before="60" w:after="60"/>
              <w:rPr>
                <w:rFonts w:ascii="Times New Roman" w:hAnsi="Times New Roman"/>
              </w:rPr>
            </w:pPr>
            <w:r>
              <w:rPr>
                <w:rFonts w:ascii="Times New Roman" w:hAnsi="Times New Roman"/>
              </w:rPr>
              <w:t>15</w:t>
            </w:r>
          </w:p>
        </w:tc>
        <w:tc>
          <w:tcPr>
            <w:tcW w:w="1838" w:type="dxa"/>
            <w:shd w:val="clear" w:color="auto" w:fill="auto"/>
          </w:tcPr>
          <w:p w14:paraId="40D33E15" w14:textId="77777777" w:rsidR="007F10F5" w:rsidRPr="00577486" w:rsidRDefault="007F10F5" w:rsidP="00C63BD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77486">
              <w:rPr>
                <w:rFonts w:ascii="Times New Roman" w:hAnsi="Times New Roman"/>
              </w:rPr>
              <w:t>30 June 2021</w:t>
            </w:r>
          </w:p>
        </w:tc>
        <w:tc>
          <w:tcPr>
            <w:tcW w:w="1936" w:type="dxa"/>
            <w:shd w:val="clear" w:color="auto" w:fill="auto"/>
          </w:tcPr>
          <w:p w14:paraId="03018579" w14:textId="77777777" w:rsidR="007F10F5" w:rsidRPr="00577486" w:rsidRDefault="007F10F5" w:rsidP="00C63BD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77486">
              <w:rPr>
                <w:rFonts w:ascii="Times New Roman" w:hAnsi="Times New Roman"/>
              </w:rPr>
              <w:t>31 October 2021</w:t>
            </w:r>
          </w:p>
        </w:tc>
      </w:tr>
      <w:tr w:rsidR="007F10F5" w:rsidRPr="00C30F9D" w14:paraId="31C9A188" w14:textId="77777777" w:rsidTr="00E323D2">
        <w:tc>
          <w:tcPr>
            <w:cnfStyle w:val="001000000000" w:firstRow="0" w:lastRow="0" w:firstColumn="1" w:lastColumn="0" w:oddVBand="0" w:evenVBand="0" w:oddHBand="0" w:evenHBand="0" w:firstRowFirstColumn="0" w:firstRowLastColumn="0" w:lastRowFirstColumn="0" w:lastRowLastColumn="0"/>
            <w:tcW w:w="962" w:type="dxa"/>
            <w:shd w:val="clear" w:color="auto" w:fill="auto"/>
          </w:tcPr>
          <w:p w14:paraId="3E17F018" w14:textId="77777777" w:rsidR="007F10F5" w:rsidRPr="00C30F9D" w:rsidRDefault="007F10F5" w:rsidP="00C63BDA">
            <w:pPr>
              <w:spacing w:before="60" w:after="60"/>
              <w:rPr>
                <w:rFonts w:ascii="Times New Roman" w:hAnsi="Times New Roman"/>
              </w:rPr>
            </w:pPr>
            <w:r>
              <w:rPr>
                <w:rFonts w:ascii="Times New Roman" w:hAnsi="Times New Roman"/>
              </w:rPr>
              <w:t>16</w:t>
            </w:r>
          </w:p>
        </w:tc>
        <w:tc>
          <w:tcPr>
            <w:tcW w:w="1838" w:type="dxa"/>
            <w:shd w:val="clear" w:color="auto" w:fill="auto"/>
          </w:tcPr>
          <w:p w14:paraId="3762ADF3" w14:textId="77777777" w:rsidR="007F10F5" w:rsidRPr="00577486" w:rsidRDefault="007F10F5" w:rsidP="00C63BDA">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77486">
              <w:rPr>
                <w:rFonts w:ascii="Times New Roman" w:hAnsi="Times New Roman"/>
              </w:rPr>
              <w:t>31 July 2021</w:t>
            </w:r>
          </w:p>
        </w:tc>
        <w:tc>
          <w:tcPr>
            <w:tcW w:w="1936" w:type="dxa"/>
            <w:shd w:val="clear" w:color="auto" w:fill="auto"/>
          </w:tcPr>
          <w:p w14:paraId="5FB805F6" w14:textId="77777777" w:rsidR="007F10F5" w:rsidRPr="00577486" w:rsidRDefault="007F10F5" w:rsidP="00C63BDA">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77486">
              <w:rPr>
                <w:rFonts w:ascii="Times New Roman" w:hAnsi="Times New Roman"/>
              </w:rPr>
              <w:t>30 November 2021</w:t>
            </w:r>
          </w:p>
        </w:tc>
      </w:tr>
      <w:tr w:rsidR="007F10F5" w:rsidRPr="00C30F9D" w14:paraId="35262FD7" w14:textId="77777777" w:rsidTr="00E32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 w:type="dxa"/>
            <w:shd w:val="clear" w:color="auto" w:fill="auto"/>
          </w:tcPr>
          <w:p w14:paraId="1F46BF37" w14:textId="77777777" w:rsidR="007F10F5" w:rsidRPr="00C30F9D" w:rsidRDefault="007F10F5" w:rsidP="00C63BDA">
            <w:pPr>
              <w:spacing w:before="60" w:after="60"/>
              <w:rPr>
                <w:rFonts w:ascii="Times New Roman" w:hAnsi="Times New Roman"/>
              </w:rPr>
            </w:pPr>
            <w:r>
              <w:rPr>
                <w:rFonts w:ascii="Times New Roman" w:hAnsi="Times New Roman"/>
              </w:rPr>
              <w:t>17</w:t>
            </w:r>
          </w:p>
        </w:tc>
        <w:tc>
          <w:tcPr>
            <w:tcW w:w="1838" w:type="dxa"/>
            <w:shd w:val="clear" w:color="auto" w:fill="auto"/>
          </w:tcPr>
          <w:p w14:paraId="78226E87" w14:textId="77777777" w:rsidR="007F10F5" w:rsidRPr="00577486" w:rsidRDefault="007F10F5" w:rsidP="00C63BD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77486">
              <w:rPr>
                <w:rFonts w:ascii="Times New Roman" w:hAnsi="Times New Roman"/>
              </w:rPr>
              <w:t>31 August 2021</w:t>
            </w:r>
          </w:p>
        </w:tc>
        <w:tc>
          <w:tcPr>
            <w:tcW w:w="1936" w:type="dxa"/>
            <w:shd w:val="clear" w:color="auto" w:fill="auto"/>
          </w:tcPr>
          <w:p w14:paraId="5BF7312B" w14:textId="77777777" w:rsidR="007F10F5" w:rsidRPr="00577486" w:rsidRDefault="007F10F5" w:rsidP="00C63BD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77486">
              <w:rPr>
                <w:rFonts w:ascii="Times New Roman" w:hAnsi="Times New Roman"/>
              </w:rPr>
              <w:t>30 November 2021</w:t>
            </w:r>
          </w:p>
        </w:tc>
      </w:tr>
      <w:tr w:rsidR="007F10F5" w:rsidRPr="00C30F9D" w14:paraId="460C3C29" w14:textId="77777777" w:rsidTr="00E323D2">
        <w:tc>
          <w:tcPr>
            <w:cnfStyle w:val="001000000000" w:firstRow="0" w:lastRow="0" w:firstColumn="1" w:lastColumn="0" w:oddVBand="0" w:evenVBand="0" w:oddHBand="0" w:evenHBand="0" w:firstRowFirstColumn="0" w:firstRowLastColumn="0" w:lastRowFirstColumn="0" w:lastRowLastColumn="0"/>
            <w:tcW w:w="962" w:type="dxa"/>
            <w:shd w:val="clear" w:color="auto" w:fill="auto"/>
          </w:tcPr>
          <w:p w14:paraId="15061031" w14:textId="77777777" w:rsidR="007F10F5" w:rsidRPr="00C30F9D" w:rsidRDefault="007F10F5" w:rsidP="00C63BDA">
            <w:pPr>
              <w:spacing w:before="60" w:after="60"/>
              <w:rPr>
                <w:rFonts w:ascii="Times New Roman" w:hAnsi="Times New Roman"/>
              </w:rPr>
            </w:pPr>
            <w:r>
              <w:rPr>
                <w:rFonts w:ascii="Times New Roman" w:hAnsi="Times New Roman"/>
              </w:rPr>
              <w:t>18</w:t>
            </w:r>
          </w:p>
        </w:tc>
        <w:tc>
          <w:tcPr>
            <w:tcW w:w="1838" w:type="dxa"/>
            <w:shd w:val="clear" w:color="auto" w:fill="auto"/>
          </w:tcPr>
          <w:p w14:paraId="24A7ED69" w14:textId="77777777" w:rsidR="007F10F5" w:rsidRPr="00577486" w:rsidRDefault="007F10F5" w:rsidP="00C63BDA">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77486">
              <w:rPr>
                <w:rFonts w:ascii="Times New Roman" w:hAnsi="Times New Roman"/>
              </w:rPr>
              <w:t>30 September 2021</w:t>
            </w:r>
          </w:p>
        </w:tc>
        <w:tc>
          <w:tcPr>
            <w:tcW w:w="1936" w:type="dxa"/>
            <w:shd w:val="clear" w:color="auto" w:fill="auto"/>
          </w:tcPr>
          <w:p w14:paraId="594BA52B" w14:textId="77777777" w:rsidR="007F10F5" w:rsidRPr="00577486" w:rsidRDefault="007F10F5" w:rsidP="00C63BDA">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77486">
              <w:rPr>
                <w:rFonts w:ascii="Times New Roman" w:hAnsi="Times New Roman"/>
              </w:rPr>
              <w:t>30 November 2021</w:t>
            </w:r>
          </w:p>
        </w:tc>
      </w:tr>
      <w:tr w:rsidR="007F10F5" w:rsidRPr="00C30F9D" w14:paraId="7BE1C78E" w14:textId="77777777" w:rsidTr="00E32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 w:type="dxa"/>
            <w:shd w:val="clear" w:color="auto" w:fill="auto"/>
          </w:tcPr>
          <w:p w14:paraId="5E6CCD0E" w14:textId="77777777" w:rsidR="007F10F5" w:rsidRPr="00C30F9D" w:rsidRDefault="007F10F5" w:rsidP="00C63BDA">
            <w:pPr>
              <w:spacing w:before="60" w:after="60"/>
              <w:rPr>
                <w:rFonts w:ascii="Times New Roman" w:hAnsi="Times New Roman"/>
              </w:rPr>
            </w:pPr>
            <w:r>
              <w:rPr>
                <w:rFonts w:ascii="Times New Roman" w:hAnsi="Times New Roman"/>
              </w:rPr>
              <w:t>19</w:t>
            </w:r>
          </w:p>
        </w:tc>
        <w:tc>
          <w:tcPr>
            <w:tcW w:w="1838" w:type="dxa"/>
            <w:shd w:val="clear" w:color="auto" w:fill="auto"/>
          </w:tcPr>
          <w:p w14:paraId="0F037BF7" w14:textId="77777777" w:rsidR="007F10F5" w:rsidRPr="00577486" w:rsidRDefault="007F10F5" w:rsidP="00C63BD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77486">
              <w:rPr>
                <w:rFonts w:ascii="Times New Roman" w:hAnsi="Times New Roman"/>
              </w:rPr>
              <w:t>31 October 2021</w:t>
            </w:r>
          </w:p>
        </w:tc>
        <w:tc>
          <w:tcPr>
            <w:tcW w:w="1936" w:type="dxa"/>
            <w:shd w:val="clear" w:color="auto" w:fill="auto"/>
          </w:tcPr>
          <w:p w14:paraId="13B75919" w14:textId="77777777" w:rsidR="007F10F5" w:rsidRPr="00577486" w:rsidRDefault="007F10F5" w:rsidP="00C63BD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77486">
              <w:rPr>
                <w:rFonts w:ascii="Times New Roman" w:hAnsi="Times New Roman"/>
              </w:rPr>
              <w:t>31 December 2021</w:t>
            </w:r>
          </w:p>
        </w:tc>
      </w:tr>
      <w:tr w:rsidR="007F10F5" w:rsidRPr="00C30F9D" w14:paraId="18DF9761" w14:textId="77777777" w:rsidTr="00E323D2">
        <w:tc>
          <w:tcPr>
            <w:cnfStyle w:val="001000000000" w:firstRow="0" w:lastRow="0" w:firstColumn="1" w:lastColumn="0" w:oddVBand="0" w:evenVBand="0" w:oddHBand="0" w:evenHBand="0" w:firstRowFirstColumn="0" w:firstRowLastColumn="0" w:lastRowFirstColumn="0" w:lastRowLastColumn="0"/>
            <w:tcW w:w="962" w:type="dxa"/>
            <w:shd w:val="clear" w:color="auto" w:fill="auto"/>
          </w:tcPr>
          <w:p w14:paraId="1FB18AA0" w14:textId="77777777" w:rsidR="007F10F5" w:rsidRPr="00C30F9D" w:rsidRDefault="007F10F5" w:rsidP="00C63BDA">
            <w:pPr>
              <w:spacing w:before="60" w:after="60"/>
              <w:rPr>
                <w:rFonts w:ascii="Times New Roman" w:hAnsi="Times New Roman"/>
              </w:rPr>
            </w:pPr>
            <w:r>
              <w:rPr>
                <w:rFonts w:ascii="Times New Roman" w:hAnsi="Times New Roman"/>
              </w:rPr>
              <w:t>20</w:t>
            </w:r>
          </w:p>
        </w:tc>
        <w:tc>
          <w:tcPr>
            <w:tcW w:w="1838" w:type="dxa"/>
            <w:shd w:val="clear" w:color="auto" w:fill="auto"/>
          </w:tcPr>
          <w:p w14:paraId="791FCF4C" w14:textId="77777777" w:rsidR="007F10F5" w:rsidRPr="00577486" w:rsidRDefault="007F10F5" w:rsidP="00C63BDA">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77486">
              <w:rPr>
                <w:rFonts w:ascii="Times New Roman" w:hAnsi="Times New Roman"/>
              </w:rPr>
              <w:t>30 November 2021</w:t>
            </w:r>
          </w:p>
        </w:tc>
        <w:tc>
          <w:tcPr>
            <w:tcW w:w="1936" w:type="dxa"/>
            <w:shd w:val="clear" w:color="auto" w:fill="auto"/>
          </w:tcPr>
          <w:p w14:paraId="54609922" w14:textId="77777777" w:rsidR="007F10F5" w:rsidRPr="00577486" w:rsidRDefault="007F10F5" w:rsidP="00C63BDA">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77486">
              <w:rPr>
                <w:rFonts w:ascii="Times New Roman" w:hAnsi="Times New Roman"/>
              </w:rPr>
              <w:t>31 December 2021</w:t>
            </w:r>
          </w:p>
        </w:tc>
      </w:tr>
    </w:tbl>
    <w:p w14:paraId="3AD47878" w14:textId="77777777" w:rsidR="00852312" w:rsidRPr="00A26C48" w:rsidRDefault="00852312" w:rsidP="00A26C48">
      <w:pPr>
        <w:pStyle w:val="BodyText"/>
      </w:pPr>
    </w:p>
    <w:p w14:paraId="153822B5" w14:textId="37AB60FB" w:rsidR="00CB494E" w:rsidRDefault="00852312" w:rsidP="00852312">
      <w:pPr>
        <w:pStyle w:val="BodyText"/>
      </w:pPr>
      <w:r>
        <w:t>A Note explains that e</w:t>
      </w:r>
      <w:r w:rsidR="007F10F5">
        <w:t xml:space="preserve">ach extension provided for under column 2, is an extension of the descending periods of extension previously provided for under CASA EX57/20 to address the effects of the COVID-19 pandemic. </w:t>
      </w:r>
      <w:r>
        <w:t xml:space="preserve">Since </w:t>
      </w:r>
      <w:r w:rsidR="007F10F5">
        <w:t>CASA EX57/20 expired at the end of 31 March 2021</w:t>
      </w:r>
      <w:r>
        <w:t>, the new</w:t>
      </w:r>
      <w:r w:rsidR="007F10F5">
        <w:t xml:space="preserve"> exemption is, in effect, a limited extension of the previous extensions under CASA EX57/20. These additional extensions enable CASA and the FER holders to better stagger the time to meet the requirements under regulation</w:t>
      </w:r>
      <w:r w:rsidR="00A26C48">
        <w:t> </w:t>
      </w:r>
      <w:r w:rsidR="007F10F5">
        <w:t>61.1285, either by way of an EPC or a substitute proficiency check.</w:t>
      </w:r>
    </w:p>
    <w:p w14:paraId="59C9E514" w14:textId="77777777" w:rsidR="00CB494E" w:rsidRDefault="00CB494E" w:rsidP="00852312">
      <w:pPr>
        <w:pStyle w:val="BodyText"/>
      </w:pPr>
    </w:p>
    <w:p w14:paraId="40FCC941" w14:textId="1E88AA23" w:rsidR="00CB494E" w:rsidRDefault="00852312" w:rsidP="00CB494E">
      <w:pPr>
        <w:pStyle w:val="BodyText"/>
      </w:pPr>
      <w:r>
        <w:t>The second exemption (in section 7 of the instrument) complements the first by providing the process for obtaining a substitute proficiency check.</w:t>
      </w:r>
      <w:r w:rsidR="00CB494E">
        <w:t xml:space="preserve"> Obtaining a substitute proficiency check enables FER holders to exercise their privileges until the date that an actual EPC will next fall due which, in each case, will be, in effect, on the </w:t>
      </w:r>
      <w:r w:rsidR="00477E82">
        <w:t xml:space="preserve">second </w:t>
      </w:r>
      <w:r w:rsidR="00CB494E">
        <w:t xml:space="preserve">anniversary of </w:t>
      </w:r>
      <w:r w:rsidR="00B547F2">
        <w:t xml:space="preserve">the </w:t>
      </w:r>
      <w:r w:rsidR="00B547F2" w:rsidRPr="00C114A2">
        <w:rPr>
          <w:i/>
          <w:iCs/>
        </w:rPr>
        <w:t>expiry</w:t>
      </w:r>
      <w:r w:rsidR="00CB494E">
        <w:t xml:space="preserve"> of their last actual EPC. This process will then have </w:t>
      </w:r>
      <w:r w:rsidR="00CB494E">
        <w:lastRenderedPageBreak/>
        <w:t>returned FER holders and approval holders to their original</w:t>
      </w:r>
      <w:r w:rsidR="00B547F2">
        <w:t>,</w:t>
      </w:r>
      <w:r w:rsidR="00CB494E">
        <w:t xml:space="preserve"> normal 24-month cycle for EPCs.</w:t>
      </w:r>
    </w:p>
    <w:p w14:paraId="3FE4A0E2" w14:textId="77777777" w:rsidR="00CB494E" w:rsidRDefault="00CB494E" w:rsidP="00852312">
      <w:pPr>
        <w:pStyle w:val="BodyText"/>
      </w:pPr>
    </w:p>
    <w:p w14:paraId="64487650" w14:textId="12D186C5" w:rsidR="00CB494E" w:rsidRDefault="00CB494E" w:rsidP="00CB494E">
      <w:pPr>
        <w:pStyle w:val="BodyText"/>
        <w:rPr>
          <w:color w:val="000000"/>
        </w:rPr>
      </w:pPr>
      <w:r>
        <w:rPr>
          <w:rFonts w:ascii="Times New Roman" w:hAnsi="Times New Roman"/>
        </w:rPr>
        <w:t>For the second exemption, a</w:t>
      </w:r>
      <w:r>
        <w:t xml:space="preserve"> </w:t>
      </w:r>
      <w:r w:rsidRPr="0094439B">
        <w:rPr>
          <w:b/>
          <w:bCs/>
          <w:i/>
          <w:iCs/>
        </w:rPr>
        <w:t>relevant FER holder</w:t>
      </w:r>
      <w:r w:rsidRPr="0094439B">
        <w:t xml:space="preserve"> means an FER holder</w:t>
      </w:r>
      <w:r>
        <w:t xml:space="preserve"> for whom, on commencement, an </w:t>
      </w:r>
      <w:r w:rsidRPr="0094439B">
        <w:t xml:space="preserve">EPC </w:t>
      </w:r>
      <w:r>
        <w:t xml:space="preserve">was </w:t>
      </w:r>
      <w:r w:rsidRPr="00464A53">
        <w:rPr>
          <w:color w:val="000000"/>
        </w:rPr>
        <w:t xml:space="preserve">in effect </w:t>
      </w:r>
      <w:r>
        <w:rPr>
          <w:color w:val="000000"/>
        </w:rPr>
        <w:t>on 1 March</w:t>
      </w:r>
      <w:r w:rsidRPr="00464A53">
        <w:rPr>
          <w:color w:val="000000"/>
        </w:rPr>
        <w:t xml:space="preserve"> 2020 but</w:t>
      </w:r>
      <w:r>
        <w:rPr>
          <w:color w:val="000000"/>
        </w:rPr>
        <w:t xml:space="preserve"> </w:t>
      </w:r>
      <w:r w:rsidRPr="00464A53">
        <w:rPr>
          <w:color w:val="000000"/>
        </w:rPr>
        <w:t xml:space="preserve">not in effect </w:t>
      </w:r>
      <w:r>
        <w:rPr>
          <w:color w:val="000000"/>
        </w:rPr>
        <w:t>on 1 March 2022</w:t>
      </w:r>
      <w:r w:rsidRPr="00464A53">
        <w:rPr>
          <w:color w:val="000000"/>
        </w:rPr>
        <w:t>.</w:t>
      </w:r>
    </w:p>
    <w:p w14:paraId="0B2BF73B" w14:textId="77777777" w:rsidR="00CB494E" w:rsidRDefault="00CB494E" w:rsidP="00CB494E">
      <w:pPr>
        <w:pStyle w:val="BodyText"/>
        <w:rPr>
          <w:color w:val="000000"/>
        </w:rPr>
      </w:pPr>
    </w:p>
    <w:p w14:paraId="22C066AC" w14:textId="2E0AE17E" w:rsidR="007F10F5" w:rsidRDefault="00CB494E" w:rsidP="00CB494E">
      <w:pPr>
        <w:pStyle w:val="BodyText"/>
      </w:pPr>
      <w:r>
        <w:rPr>
          <w:rFonts w:ascii="Times New Roman" w:hAnsi="Times New Roman"/>
        </w:rPr>
        <w:t>Under the second exemption</w:t>
      </w:r>
      <w:r w:rsidR="007C4672">
        <w:rPr>
          <w:rFonts w:ascii="Times New Roman" w:hAnsi="Times New Roman"/>
        </w:rPr>
        <w:t>,</w:t>
      </w:r>
      <w:r>
        <w:rPr>
          <w:rFonts w:ascii="Times New Roman" w:hAnsi="Times New Roman"/>
        </w:rPr>
        <w:t xml:space="preserve"> t</w:t>
      </w:r>
      <w:r>
        <w:rPr>
          <w:color w:val="000000"/>
        </w:rPr>
        <w:t xml:space="preserve">he </w:t>
      </w:r>
      <w:r>
        <w:t>relevant FER holders are</w:t>
      </w:r>
      <w:r w:rsidRPr="007954E1">
        <w:t xml:space="preserve"> exempted </w:t>
      </w:r>
      <w:r w:rsidRPr="009C42DF">
        <w:t>from</w:t>
      </w:r>
      <w:r>
        <w:t xml:space="preserve"> compliance with</w:t>
      </w:r>
      <w:r w:rsidRPr="009C42DF">
        <w:t xml:space="preserve"> </w:t>
      </w:r>
      <w:r>
        <w:t>regulation</w:t>
      </w:r>
      <w:r w:rsidRPr="009C42DF">
        <w:t xml:space="preserve"> 61.1285 of</w:t>
      </w:r>
      <w:r>
        <w:t xml:space="preserve"> CASR </w:t>
      </w:r>
      <w:r w:rsidRPr="009302C3">
        <w:t xml:space="preserve">but only </w:t>
      </w:r>
      <w:r w:rsidR="007F10F5" w:rsidRPr="00464A53">
        <w:rPr>
          <w:color w:val="000000"/>
        </w:rPr>
        <w:t xml:space="preserve">if, on or after 23 September 2020 but before </w:t>
      </w:r>
      <w:r w:rsidR="007F10F5">
        <w:rPr>
          <w:color w:val="000000"/>
        </w:rPr>
        <w:t>1 March 2022</w:t>
      </w:r>
      <w:r w:rsidR="007F10F5" w:rsidRPr="00464A53">
        <w:rPr>
          <w:color w:val="000000"/>
        </w:rPr>
        <w:t>, the holder undertakes and successfully completes a substitute proficiency check</w:t>
      </w:r>
      <w:r>
        <w:rPr>
          <w:color w:val="000000"/>
        </w:rPr>
        <w:t xml:space="preserve">. However, the exemption is only for the period </w:t>
      </w:r>
      <w:r w:rsidR="007F10F5" w:rsidRPr="009302C3">
        <w:t>starting on the day after the holder successfully completes the substitute proficiency check</w:t>
      </w:r>
      <w:r>
        <w:t>,</w:t>
      </w:r>
      <w:r w:rsidR="007F10F5" w:rsidRPr="009302C3">
        <w:t xml:space="preserve"> and</w:t>
      </w:r>
      <w:r>
        <w:t xml:space="preserve"> </w:t>
      </w:r>
      <w:r w:rsidR="007F10F5" w:rsidRPr="009302C3">
        <w:t>ending at the end of</w:t>
      </w:r>
      <w:r w:rsidR="007F10F5">
        <w:t xml:space="preserve"> the 24</w:t>
      </w:r>
      <w:r w:rsidR="007F10F5" w:rsidRPr="00E94097">
        <w:rPr>
          <w:vertAlign w:val="superscript"/>
        </w:rPr>
        <w:t>th</w:t>
      </w:r>
      <w:r w:rsidR="007F10F5">
        <w:t xml:space="preserve"> month after the month in which the holder’s last EPC </w:t>
      </w:r>
      <w:r w:rsidR="007F10F5" w:rsidRPr="00D01DB7">
        <w:rPr>
          <w:i/>
          <w:iCs/>
        </w:rPr>
        <w:t>expired</w:t>
      </w:r>
      <w:r w:rsidR="007F10F5">
        <w:t>.</w:t>
      </w:r>
    </w:p>
    <w:p w14:paraId="4C631046" w14:textId="0F743296" w:rsidR="00286D84" w:rsidRDefault="00286D84" w:rsidP="00CB494E">
      <w:pPr>
        <w:pStyle w:val="BodyText"/>
      </w:pPr>
    </w:p>
    <w:p w14:paraId="211E7A69" w14:textId="48918354" w:rsidR="00002F5D" w:rsidRDefault="00002F5D" w:rsidP="00CB494E">
      <w:pPr>
        <w:pStyle w:val="BodyText"/>
      </w:pPr>
      <w:r>
        <w:t>Thus, successful completion of a substitute proficiency check will bridge the period from when the FER holder completes the</w:t>
      </w:r>
      <w:r w:rsidR="00993FDA">
        <w:t xml:space="preserve"> substitute proficiency check</w:t>
      </w:r>
      <w:r>
        <w:t xml:space="preserve"> and 24 months after their previous EPC expired.</w:t>
      </w:r>
    </w:p>
    <w:p w14:paraId="32E332A5" w14:textId="511AC0B4" w:rsidR="00286D84" w:rsidRDefault="00286D84" w:rsidP="00CB494E">
      <w:pPr>
        <w:pStyle w:val="BodyText"/>
      </w:pPr>
    </w:p>
    <w:p w14:paraId="0A5F8E4A" w14:textId="15A2E115" w:rsidR="00286D84" w:rsidRDefault="00286D84" w:rsidP="00CB494E">
      <w:pPr>
        <w:pStyle w:val="BodyText"/>
      </w:pPr>
      <w:r>
        <w:t>The requirements of the substitute proficiency check are identical to those under CASA</w:t>
      </w:r>
      <w:r w:rsidR="00310EBD">
        <w:t> </w:t>
      </w:r>
      <w:r>
        <w:t>EX57/20, as set out above.</w:t>
      </w:r>
    </w:p>
    <w:p w14:paraId="0A0C0533" w14:textId="0A3022DD" w:rsidR="00C63BDA" w:rsidRDefault="00C63BDA" w:rsidP="00CB494E">
      <w:pPr>
        <w:pStyle w:val="BodyText"/>
      </w:pPr>
    </w:p>
    <w:p w14:paraId="7A95844E" w14:textId="501FF3BB" w:rsidR="001B494E" w:rsidRDefault="00C63BDA" w:rsidP="001B494E">
      <w:pPr>
        <w:pStyle w:val="BodyText"/>
        <w:rPr>
          <w:color w:val="000000"/>
        </w:rPr>
      </w:pPr>
      <w:r>
        <w:t>The difference</w:t>
      </w:r>
      <w:r w:rsidR="001B494E">
        <w:t>s</w:t>
      </w:r>
      <w:r>
        <w:t xml:space="preserve"> in the </w:t>
      </w:r>
      <w:r w:rsidR="001B494E">
        <w:t xml:space="preserve">definitions of a </w:t>
      </w:r>
      <w:r w:rsidR="001B494E" w:rsidRPr="007C4672">
        <w:rPr>
          <w:b/>
          <w:bCs/>
          <w:i/>
          <w:iCs/>
        </w:rPr>
        <w:t>relevant FER holder</w:t>
      </w:r>
      <w:r w:rsidR="001B494E">
        <w:t xml:space="preserve"> as between section 6: holder of an </w:t>
      </w:r>
      <w:r w:rsidR="001B494E" w:rsidRPr="0094439B">
        <w:t xml:space="preserve">EPC </w:t>
      </w:r>
      <w:r w:rsidR="001B494E">
        <w:t xml:space="preserve">that was </w:t>
      </w:r>
      <w:r w:rsidR="001B494E" w:rsidRPr="00464A53">
        <w:rPr>
          <w:color w:val="000000"/>
        </w:rPr>
        <w:t xml:space="preserve">in effect </w:t>
      </w:r>
      <w:r w:rsidR="001B494E">
        <w:rPr>
          <w:color w:val="000000"/>
        </w:rPr>
        <w:t>on 1 March</w:t>
      </w:r>
      <w:r w:rsidR="001B494E" w:rsidRPr="00464A53">
        <w:rPr>
          <w:color w:val="000000"/>
        </w:rPr>
        <w:t xml:space="preserve"> 2020 but</w:t>
      </w:r>
      <w:r w:rsidR="001B494E">
        <w:rPr>
          <w:color w:val="000000"/>
        </w:rPr>
        <w:t xml:space="preserve"> </w:t>
      </w:r>
      <w:r w:rsidR="001B494E" w:rsidRPr="00464A53">
        <w:rPr>
          <w:color w:val="000000"/>
        </w:rPr>
        <w:t xml:space="preserve">not in effect </w:t>
      </w:r>
      <w:r w:rsidR="001B494E">
        <w:rPr>
          <w:color w:val="000000"/>
        </w:rPr>
        <w:t xml:space="preserve">on 1 December 2021, and section 7: holder of </w:t>
      </w:r>
      <w:r w:rsidR="001B494E">
        <w:t xml:space="preserve">an </w:t>
      </w:r>
      <w:r w:rsidR="001B494E" w:rsidRPr="0094439B">
        <w:t xml:space="preserve">EPC </w:t>
      </w:r>
      <w:r w:rsidR="001B494E">
        <w:t xml:space="preserve">that was </w:t>
      </w:r>
      <w:r w:rsidR="001B494E" w:rsidRPr="00464A53">
        <w:rPr>
          <w:color w:val="000000"/>
        </w:rPr>
        <w:t xml:space="preserve">in effect </w:t>
      </w:r>
      <w:r w:rsidR="001B494E">
        <w:rPr>
          <w:color w:val="000000"/>
        </w:rPr>
        <w:t>on 1 March</w:t>
      </w:r>
      <w:r w:rsidR="001B494E" w:rsidRPr="00464A53">
        <w:rPr>
          <w:color w:val="000000"/>
        </w:rPr>
        <w:t xml:space="preserve"> 2020 but</w:t>
      </w:r>
      <w:r w:rsidR="001B494E">
        <w:rPr>
          <w:color w:val="000000"/>
        </w:rPr>
        <w:t xml:space="preserve"> </w:t>
      </w:r>
      <w:r w:rsidR="001B494E" w:rsidRPr="00464A53">
        <w:rPr>
          <w:color w:val="000000"/>
        </w:rPr>
        <w:t xml:space="preserve">not in effect </w:t>
      </w:r>
      <w:r w:rsidR="001B494E">
        <w:rPr>
          <w:color w:val="000000"/>
        </w:rPr>
        <w:t>on 1 March 2022, arise from the different purposes of the respective sections.</w:t>
      </w:r>
    </w:p>
    <w:p w14:paraId="3CCF9FE9" w14:textId="77777777" w:rsidR="001B494E" w:rsidRDefault="001B494E" w:rsidP="001B494E">
      <w:pPr>
        <w:pStyle w:val="BodyText"/>
        <w:rPr>
          <w:color w:val="000000"/>
        </w:rPr>
      </w:pPr>
    </w:p>
    <w:p w14:paraId="24958893" w14:textId="54BE42C4" w:rsidR="00AC07F9" w:rsidRDefault="001B494E" w:rsidP="00CB494E">
      <w:pPr>
        <w:pStyle w:val="BodyText"/>
      </w:pPr>
      <w:r>
        <w:rPr>
          <w:color w:val="000000"/>
        </w:rPr>
        <w:t>Section 6 is, in effect a continuation of the</w:t>
      </w:r>
      <w:r w:rsidR="00196815">
        <w:rPr>
          <w:color w:val="000000"/>
        </w:rPr>
        <w:t xml:space="preserve"> </w:t>
      </w:r>
      <w:r>
        <w:t xml:space="preserve">CASA EX57/20 </w:t>
      </w:r>
      <w:r w:rsidR="00AC07F9">
        <w:t xml:space="preserve">instrument </w:t>
      </w:r>
      <w:r w:rsidR="00196815">
        <w:t xml:space="preserve">EPC </w:t>
      </w:r>
      <w:r>
        <w:t>extensions</w:t>
      </w:r>
      <w:r w:rsidR="00AC07F9">
        <w:t>, but as if the instrument had expired on 1 December 2021, rather than 31 March 2021.</w:t>
      </w:r>
      <w:r w:rsidR="00196815">
        <w:t xml:space="preserve"> This extension is not COVID-19 related but designed to facilitate the </w:t>
      </w:r>
      <w:r w:rsidR="00231924">
        <w:t xml:space="preserve">administrative and </w:t>
      </w:r>
      <w:r w:rsidR="0055311E">
        <w:t xml:space="preserve">checking </w:t>
      </w:r>
      <w:r w:rsidR="00196815">
        <w:t xml:space="preserve">processes that will allow FER holders to return to their pre-existing </w:t>
      </w:r>
      <w:r w:rsidR="00B62E73">
        <w:t xml:space="preserve">biennial </w:t>
      </w:r>
      <w:r w:rsidR="00196815">
        <w:t>EPC cycle dates.</w:t>
      </w:r>
    </w:p>
    <w:p w14:paraId="37402C01" w14:textId="77777777" w:rsidR="00AC07F9" w:rsidRDefault="00AC07F9" w:rsidP="00CB494E">
      <w:pPr>
        <w:pStyle w:val="BodyText"/>
      </w:pPr>
    </w:p>
    <w:p w14:paraId="281441B7" w14:textId="23D97C0E" w:rsidR="00DF527C" w:rsidRDefault="00E21239" w:rsidP="00310EBD">
      <w:pPr>
        <w:pStyle w:val="BodyText"/>
        <w:ind w:right="-142"/>
      </w:pPr>
      <w:r>
        <w:t>On its own, this would have the effect of spreading EPC due dates to on or before the exemption expiry dates in the Table</w:t>
      </w:r>
      <w:r w:rsidR="00781A51">
        <w:t xml:space="preserve"> above</w:t>
      </w:r>
      <w:r>
        <w:t xml:space="preserve">. </w:t>
      </w:r>
      <w:r w:rsidR="00231924">
        <w:t>However, those</w:t>
      </w:r>
      <w:r>
        <w:t xml:space="preserve"> dates are not the pre-existing </w:t>
      </w:r>
      <w:r w:rsidR="00B62E73">
        <w:t>biennial</w:t>
      </w:r>
      <w:r>
        <w:t xml:space="preserve"> EPC cycle dates for the FER holders. Hence, provision is made for the bridging substitute proficiency check provided it is completed</w:t>
      </w:r>
      <w:r w:rsidR="00231924">
        <w:t xml:space="preserve"> between 23 September 2020 and 1</w:t>
      </w:r>
      <w:r w:rsidR="00310EBD">
        <w:t> </w:t>
      </w:r>
      <w:r w:rsidR="00231924">
        <w:t>March 2022 (an extended window from the 31 March 2021 in CASA EX57/20</w:t>
      </w:r>
      <w:r w:rsidR="00781A51">
        <w:t xml:space="preserve"> to facilitate those who had not completed the substitute proficiency check by 31 March 2021</w:t>
      </w:r>
      <w:r w:rsidR="00231924">
        <w:t>)</w:t>
      </w:r>
      <w:r w:rsidR="00DF527C">
        <w:t>.</w:t>
      </w:r>
    </w:p>
    <w:p w14:paraId="14443FAF" w14:textId="6EE025BA" w:rsidR="00781A51" w:rsidRDefault="00781A51" w:rsidP="00231924">
      <w:pPr>
        <w:pStyle w:val="BodyText"/>
      </w:pPr>
    </w:p>
    <w:p w14:paraId="59E0C20D" w14:textId="00FF4FCF" w:rsidR="00DF527C" w:rsidRDefault="00231924" w:rsidP="00D01DB7">
      <w:pPr>
        <w:pStyle w:val="BodyText"/>
      </w:pPr>
      <w:r>
        <w:t>Completion of the substitute proficiency check will be treated as if it were a</w:t>
      </w:r>
      <w:r w:rsidR="00781A51">
        <w:t xml:space="preserve"> (near)</w:t>
      </w:r>
      <w:r>
        <w:t xml:space="preserve"> EPC equivalent expiring 24 months f</w:t>
      </w:r>
      <w:r w:rsidR="00781A51">
        <w:t>rom</w:t>
      </w:r>
      <w:r>
        <w:t xml:space="preserve"> </w:t>
      </w:r>
      <w:r w:rsidR="00781A51">
        <w:t xml:space="preserve">when </w:t>
      </w:r>
      <w:r>
        <w:t xml:space="preserve">the last actual EPC </w:t>
      </w:r>
      <w:r w:rsidR="00F76383">
        <w:t>expired</w:t>
      </w:r>
      <w:r w:rsidR="00E323D2">
        <w:t> —</w:t>
      </w:r>
      <w:r>
        <w:t xml:space="preserve"> thereby restoring the FER holders to their original pre-existing EPC cycle dates</w:t>
      </w:r>
      <w:r w:rsidR="00DF527C">
        <w:t>.</w:t>
      </w:r>
    </w:p>
    <w:p w14:paraId="19633908" w14:textId="2C29C7BF" w:rsidR="00534CB6" w:rsidRDefault="00534CB6" w:rsidP="00C52E49">
      <w:pPr>
        <w:pStyle w:val="BodyText"/>
        <w:rPr>
          <w:rFonts w:ascii="Times New Roman" w:hAnsi="Times New Roman"/>
        </w:rPr>
      </w:pPr>
    </w:p>
    <w:p w14:paraId="35EFB449" w14:textId="6EE6110C" w:rsidR="00534CB6" w:rsidRPr="00534CB6" w:rsidRDefault="00534CB6" w:rsidP="00C52E49">
      <w:pPr>
        <w:pStyle w:val="BodyText"/>
        <w:rPr>
          <w:rFonts w:ascii="Times New Roman" w:hAnsi="Times New Roman"/>
          <w:b/>
          <w:bCs/>
        </w:rPr>
      </w:pPr>
      <w:r w:rsidRPr="00534CB6">
        <w:rPr>
          <w:rFonts w:ascii="Times New Roman" w:hAnsi="Times New Roman"/>
          <w:b/>
          <w:bCs/>
        </w:rPr>
        <w:t>Safety considerations</w:t>
      </w:r>
    </w:p>
    <w:p w14:paraId="0B28E14A" w14:textId="0A102334" w:rsidR="00534CB6" w:rsidRDefault="00534CB6" w:rsidP="00C52E49">
      <w:pPr>
        <w:pStyle w:val="BodyText"/>
        <w:rPr>
          <w:rFonts w:ascii="Times New Roman" w:hAnsi="Times New Roman"/>
        </w:rPr>
      </w:pPr>
      <w:r>
        <w:rPr>
          <w:rFonts w:ascii="Times New Roman" w:hAnsi="Times New Roman"/>
        </w:rPr>
        <w:t xml:space="preserve">One effect of the exemption will be that a period of up to 4 years may elapse between an FER holder’s </w:t>
      </w:r>
      <w:r w:rsidRPr="00D01DB7">
        <w:rPr>
          <w:rFonts w:ascii="Times New Roman" w:hAnsi="Times New Roman"/>
          <w:i/>
          <w:iCs/>
        </w:rPr>
        <w:t>completion</w:t>
      </w:r>
      <w:r>
        <w:rPr>
          <w:rFonts w:ascii="Times New Roman" w:hAnsi="Times New Roman"/>
        </w:rPr>
        <w:t xml:space="preserve"> of an </w:t>
      </w:r>
      <w:r w:rsidRPr="00D01DB7">
        <w:rPr>
          <w:rFonts w:ascii="Times New Roman" w:hAnsi="Times New Roman"/>
          <w:i/>
          <w:iCs/>
        </w:rPr>
        <w:t>actual</w:t>
      </w:r>
      <w:r>
        <w:rPr>
          <w:rFonts w:ascii="Times New Roman" w:hAnsi="Times New Roman"/>
        </w:rPr>
        <w:t xml:space="preserve"> EPC which involves </w:t>
      </w:r>
      <w:r w:rsidRPr="00D01DB7">
        <w:rPr>
          <w:rFonts w:ascii="Times New Roman" w:hAnsi="Times New Roman"/>
          <w:i/>
          <w:iCs/>
        </w:rPr>
        <w:t>flight or simulated flight</w:t>
      </w:r>
      <w:r>
        <w:rPr>
          <w:rFonts w:ascii="Times New Roman" w:hAnsi="Times New Roman"/>
        </w:rPr>
        <w:t xml:space="preserve"> and the holder’s next completion of such an EPC. However, this period will be </w:t>
      </w:r>
      <w:r w:rsidR="00781A51">
        <w:rPr>
          <w:rFonts w:ascii="Times New Roman" w:hAnsi="Times New Roman"/>
        </w:rPr>
        <w:t xml:space="preserve">bridged </w:t>
      </w:r>
      <w:r>
        <w:rPr>
          <w:rFonts w:ascii="Times New Roman" w:hAnsi="Times New Roman"/>
        </w:rPr>
        <w:t xml:space="preserve">by the requirement on the FER holder to complete (before </w:t>
      </w:r>
      <w:r w:rsidR="00955240">
        <w:t>1 March 2022</w:t>
      </w:r>
      <w:r>
        <w:rPr>
          <w:rFonts w:ascii="Times New Roman" w:hAnsi="Times New Roman"/>
        </w:rPr>
        <w:t>) or to already have completed</w:t>
      </w:r>
      <w:r w:rsidR="00955240">
        <w:rPr>
          <w:rFonts w:ascii="Times New Roman" w:hAnsi="Times New Roman"/>
        </w:rPr>
        <w:t xml:space="preserve"> (since 23 September 2020)</w:t>
      </w:r>
      <w:r>
        <w:rPr>
          <w:rFonts w:ascii="Times New Roman" w:hAnsi="Times New Roman"/>
        </w:rPr>
        <w:t>, a substitute proficiency check that is in all other respects identical to an actual EPC.</w:t>
      </w:r>
    </w:p>
    <w:p w14:paraId="4ED4322B" w14:textId="3D95760F" w:rsidR="004268F6" w:rsidRDefault="004268F6" w:rsidP="00C52E49">
      <w:pPr>
        <w:pStyle w:val="BodyText"/>
        <w:rPr>
          <w:rFonts w:ascii="Times New Roman" w:hAnsi="Times New Roman"/>
        </w:rPr>
      </w:pPr>
    </w:p>
    <w:p w14:paraId="63797195" w14:textId="77777777" w:rsidR="00DF527C" w:rsidRDefault="004268F6" w:rsidP="007D3BAE">
      <w:pPr>
        <w:pStyle w:val="BodyText"/>
        <w:rPr>
          <w:rFonts w:ascii="Times New Roman" w:hAnsi="Times New Roman"/>
        </w:rPr>
      </w:pPr>
      <w:r>
        <w:rPr>
          <w:rFonts w:ascii="Times New Roman" w:hAnsi="Times New Roman"/>
        </w:rPr>
        <w:lastRenderedPageBreak/>
        <w:t>CASA considers that an acceptable level of aviation safety is preserved by the elements of the exemption instrument</w:t>
      </w:r>
      <w:r w:rsidR="007D3BAE">
        <w:rPr>
          <w:rFonts w:ascii="Times New Roman" w:hAnsi="Times New Roman"/>
        </w:rPr>
        <w:t xml:space="preserve"> for the following reasons</w:t>
      </w:r>
      <w:r w:rsidR="00DF527C">
        <w:rPr>
          <w:rFonts w:ascii="Times New Roman" w:hAnsi="Times New Roman"/>
        </w:rPr>
        <w:t>.</w:t>
      </w:r>
    </w:p>
    <w:p w14:paraId="022A7047" w14:textId="1E815A7F" w:rsidR="00955240" w:rsidRDefault="00955240" w:rsidP="007D3BAE">
      <w:pPr>
        <w:pStyle w:val="BodyText"/>
        <w:rPr>
          <w:rFonts w:ascii="Times New Roman" w:hAnsi="Times New Roman"/>
        </w:rPr>
      </w:pPr>
    </w:p>
    <w:p w14:paraId="43CF7259" w14:textId="4A2C91BA" w:rsidR="00DF527C" w:rsidRDefault="007D3BAE" w:rsidP="007D3BAE">
      <w:pPr>
        <w:pStyle w:val="BodyText"/>
        <w:rPr>
          <w:rFonts w:ascii="Times New Roman" w:hAnsi="Times New Roman"/>
        </w:rPr>
      </w:pPr>
      <w:r>
        <w:rPr>
          <w:rFonts w:ascii="Times New Roman" w:hAnsi="Times New Roman"/>
        </w:rPr>
        <w:t>First, t</w:t>
      </w:r>
      <w:r w:rsidR="004268F6">
        <w:rPr>
          <w:rFonts w:ascii="Times New Roman" w:hAnsi="Times New Roman"/>
        </w:rPr>
        <w:t>he cohort of people involved </w:t>
      </w:r>
      <w:r w:rsidR="00B23F2F">
        <w:rPr>
          <w:rFonts w:ascii="Times New Roman" w:hAnsi="Times New Roman"/>
        </w:rPr>
        <w:t xml:space="preserve">– </w:t>
      </w:r>
      <w:r w:rsidR="00F76383">
        <w:rPr>
          <w:rFonts w:ascii="Times New Roman" w:hAnsi="Times New Roman"/>
        </w:rPr>
        <w:t>F</w:t>
      </w:r>
      <w:r w:rsidR="00DF527C">
        <w:rPr>
          <w:rFonts w:ascii="Times New Roman" w:hAnsi="Times New Roman"/>
        </w:rPr>
        <w:t xml:space="preserve">ER </w:t>
      </w:r>
      <w:r w:rsidR="004268F6">
        <w:rPr>
          <w:rFonts w:ascii="Times New Roman" w:hAnsi="Times New Roman"/>
        </w:rPr>
        <w:t>holders </w:t>
      </w:r>
      <w:r w:rsidR="00B23F2F">
        <w:rPr>
          <w:rFonts w:ascii="Times New Roman" w:hAnsi="Times New Roman"/>
        </w:rPr>
        <w:t>– a</w:t>
      </w:r>
      <w:r w:rsidR="004268F6">
        <w:rPr>
          <w:rFonts w:ascii="Times New Roman" w:hAnsi="Times New Roman"/>
        </w:rPr>
        <w:t>re</w:t>
      </w:r>
      <w:r>
        <w:rPr>
          <w:rFonts w:ascii="Times New Roman" w:hAnsi="Times New Roman"/>
        </w:rPr>
        <w:t>,</w:t>
      </w:r>
      <w:r w:rsidR="004268F6">
        <w:rPr>
          <w:rFonts w:ascii="Times New Roman" w:hAnsi="Times New Roman"/>
        </w:rPr>
        <w:t xml:space="preserve"> by definition</w:t>
      </w:r>
      <w:r>
        <w:rPr>
          <w:rFonts w:ascii="Times New Roman" w:hAnsi="Times New Roman"/>
        </w:rPr>
        <w:t>,</w:t>
      </w:r>
      <w:r w:rsidR="004268F6">
        <w:rPr>
          <w:rFonts w:ascii="Times New Roman" w:hAnsi="Times New Roman"/>
        </w:rPr>
        <w:t xml:space="preserve"> among the </w:t>
      </w:r>
      <w:r>
        <w:rPr>
          <w:rFonts w:ascii="Times New Roman" w:hAnsi="Times New Roman"/>
        </w:rPr>
        <w:t xml:space="preserve">most senior and </w:t>
      </w:r>
      <w:r w:rsidR="004268F6">
        <w:rPr>
          <w:rFonts w:ascii="Times New Roman" w:hAnsi="Times New Roman"/>
        </w:rPr>
        <w:t xml:space="preserve">skilled </w:t>
      </w:r>
      <w:r>
        <w:rPr>
          <w:rFonts w:ascii="Times New Roman" w:hAnsi="Times New Roman"/>
        </w:rPr>
        <w:t xml:space="preserve">of </w:t>
      </w:r>
      <w:r w:rsidR="004268F6">
        <w:rPr>
          <w:rFonts w:ascii="Times New Roman" w:hAnsi="Times New Roman"/>
        </w:rPr>
        <w:t>aviators</w:t>
      </w:r>
      <w:r w:rsidR="00DF527C">
        <w:rPr>
          <w:rFonts w:ascii="Times New Roman" w:hAnsi="Times New Roman"/>
        </w:rPr>
        <w:t>.</w:t>
      </w:r>
    </w:p>
    <w:p w14:paraId="7B5ABEBB" w14:textId="45074ADA" w:rsidR="00955240" w:rsidRDefault="00955240" w:rsidP="007D3BAE">
      <w:pPr>
        <w:pStyle w:val="BodyText"/>
        <w:rPr>
          <w:rFonts w:ascii="Times New Roman" w:hAnsi="Times New Roman"/>
        </w:rPr>
      </w:pPr>
    </w:p>
    <w:p w14:paraId="2BDAFB99" w14:textId="7BF3C3C6" w:rsidR="00955240" w:rsidRDefault="007D3BAE" w:rsidP="007D3BAE">
      <w:pPr>
        <w:pStyle w:val="BodyText"/>
        <w:rPr>
          <w:rFonts w:ascii="Times New Roman" w:hAnsi="Times New Roman"/>
        </w:rPr>
      </w:pPr>
      <w:r>
        <w:rPr>
          <w:rFonts w:ascii="Times New Roman" w:hAnsi="Times New Roman"/>
        </w:rPr>
        <w:t>Secondly, t</w:t>
      </w:r>
      <w:r w:rsidR="004268F6">
        <w:rPr>
          <w:rFonts w:ascii="Times New Roman" w:hAnsi="Times New Roman"/>
        </w:rPr>
        <w:t>he numbers of flight tests required have been significantly reduced as a result of the COVID-19 measures, and while the distribution of anti-COVID vaccines is likely to improve matter</w:t>
      </w:r>
      <w:r>
        <w:rPr>
          <w:rFonts w:ascii="Times New Roman" w:hAnsi="Times New Roman"/>
        </w:rPr>
        <w:t>s</w:t>
      </w:r>
      <w:r w:rsidR="004268F6">
        <w:rPr>
          <w:rFonts w:ascii="Times New Roman" w:hAnsi="Times New Roman"/>
        </w:rPr>
        <w:t>, numbers</w:t>
      </w:r>
      <w:r>
        <w:rPr>
          <w:rFonts w:ascii="Times New Roman" w:hAnsi="Times New Roman"/>
        </w:rPr>
        <w:t xml:space="preserve"> of required flight tests</w:t>
      </w:r>
      <w:r w:rsidR="004268F6">
        <w:rPr>
          <w:rFonts w:ascii="Times New Roman" w:hAnsi="Times New Roman"/>
        </w:rPr>
        <w:t xml:space="preserve"> are likely to increase only slowly in line with the emergence of the Australian economy from the worst of the pandemic’s effects.</w:t>
      </w:r>
    </w:p>
    <w:p w14:paraId="4ED1343C" w14:textId="77777777" w:rsidR="00B547F2" w:rsidRDefault="00B547F2" w:rsidP="007D3BAE">
      <w:pPr>
        <w:pStyle w:val="BodyText"/>
        <w:rPr>
          <w:rFonts w:ascii="Times New Roman" w:hAnsi="Times New Roman"/>
        </w:rPr>
      </w:pPr>
    </w:p>
    <w:p w14:paraId="4AFD8D6E" w14:textId="77777777" w:rsidR="00DF527C" w:rsidRDefault="007D3BAE" w:rsidP="007D3BAE">
      <w:pPr>
        <w:pStyle w:val="BodyText"/>
        <w:rPr>
          <w:rFonts w:ascii="Times New Roman" w:hAnsi="Times New Roman"/>
        </w:rPr>
      </w:pPr>
      <w:r>
        <w:rPr>
          <w:rFonts w:ascii="Times New Roman" w:hAnsi="Times New Roman"/>
        </w:rPr>
        <w:t xml:space="preserve">Thirdly, while ideally an </w:t>
      </w:r>
      <w:r w:rsidR="00DF527C">
        <w:rPr>
          <w:rFonts w:ascii="Times New Roman" w:hAnsi="Times New Roman"/>
        </w:rPr>
        <w:t>EPC</w:t>
      </w:r>
      <w:r>
        <w:rPr>
          <w:rFonts w:ascii="Times New Roman" w:hAnsi="Times New Roman"/>
        </w:rPr>
        <w:t xml:space="preserve"> should contain a flying component to check and assess the examiner’s examining skills </w:t>
      </w:r>
      <w:r w:rsidRPr="00D01DB7">
        <w:rPr>
          <w:rFonts w:ascii="Times New Roman" w:hAnsi="Times New Roman"/>
          <w:i/>
          <w:iCs/>
        </w:rPr>
        <w:t>in flight testing conditions</w:t>
      </w:r>
      <w:r>
        <w:rPr>
          <w:rFonts w:ascii="Times New Roman" w:hAnsi="Times New Roman"/>
        </w:rPr>
        <w:t xml:space="preserve">, the flying component of the EPC is not intended to be a test of the examiner’s </w:t>
      </w:r>
      <w:r w:rsidR="00B547F2">
        <w:rPr>
          <w:rFonts w:ascii="Times New Roman" w:hAnsi="Times New Roman"/>
        </w:rPr>
        <w:t xml:space="preserve">actual </w:t>
      </w:r>
      <w:r>
        <w:rPr>
          <w:rFonts w:ascii="Times New Roman" w:hAnsi="Times New Roman"/>
        </w:rPr>
        <w:t>flying skills and competence</w:t>
      </w:r>
      <w:r w:rsidR="00955240">
        <w:rPr>
          <w:rFonts w:ascii="Times New Roman" w:hAnsi="Times New Roman"/>
        </w:rPr>
        <w:t>,</w:t>
      </w:r>
      <w:r>
        <w:rPr>
          <w:rFonts w:ascii="Times New Roman" w:hAnsi="Times New Roman"/>
        </w:rPr>
        <w:t xml:space="preserve"> </w:t>
      </w:r>
      <w:r w:rsidR="00B547F2">
        <w:rPr>
          <w:rFonts w:ascii="Times New Roman" w:hAnsi="Times New Roman"/>
        </w:rPr>
        <w:t>and the temporary absence of a flying component does not directly impact on safety</w:t>
      </w:r>
      <w:r w:rsidR="00DF527C">
        <w:rPr>
          <w:rFonts w:ascii="Times New Roman" w:hAnsi="Times New Roman"/>
        </w:rPr>
        <w:t>.</w:t>
      </w:r>
    </w:p>
    <w:p w14:paraId="7267A2F2" w14:textId="0862A26B" w:rsidR="00955240" w:rsidRDefault="00955240" w:rsidP="007D3BAE">
      <w:pPr>
        <w:pStyle w:val="BodyText"/>
        <w:rPr>
          <w:rFonts w:ascii="Times New Roman" w:hAnsi="Times New Roman"/>
        </w:rPr>
      </w:pPr>
    </w:p>
    <w:p w14:paraId="29DF0082" w14:textId="139A04AD" w:rsidR="004268F6" w:rsidRDefault="00B547F2" w:rsidP="007D3BAE">
      <w:pPr>
        <w:pStyle w:val="BodyText"/>
        <w:rPr>
          <w:rFonts w:ascii="Times New Roman" w:hAnsi="Times New Roman"/>
        </w:rPr>
      </w:pPr>
      <w:r>
        <w:rPr>
          <w:rFonts w:ascii="Times New Roman" w:hAnsi="Times New Roman"/>
        </w:rPr>
        <w:t>Fourthly</w:t>
      </w:r>
      <w:r w:rsidR="006467CB">
        <w:rPr>
          <w:rFonts w:ascii="Times New Roman" w:hAnsi="Times New Roman"/>
        </w:rPr>
        <w:t>, FER holders</w:t>
      </w:r>
      <w:r w:rsidR="00002F5D">
        <w:rPr>
          <w:rFonts w:ascii="Times New Roman" w:hAnsi="Times New Roman"/>
        </w:rPr>
        <w:t xml:space="preserve"> are subject to proficiency checks and flight reviews to ensure that their flying skill and competence is maintained</w:t>
      </w:r>
      <w:r w:rsidR="00A13D09">
        <w:rPr>
          <w:rFonts w:ascii="Times New Roman" w:hAnsi="Times New Roman"/>
        </w:rPr>
        <w:t>, and this</w:t>
      </w:r>
      <w:r w:rsidR="006467CB">
        <w:rPr>
          <w:rFonts w:ascii="Times New Roman" w:hAnsi="Times New Roman"/>
        </w:rPr>
        <w:t xml:space="preserve"> continues to provide an important practical safety mitigator in the absence of a</w:t>
      </w:r>
      <w:r w:rsidR="00955240">
        <w:rPr>
          <w:rFonts w:ascii="Times New Roman" w:hAnsi="Times New Roman"/>
        </w:rPr>
        <w:t xml:space="preserve"> formal</w:t>
      </w:r>
      <w:r w:rsidR="006467CB">
        <w:rPr>
          <w:rFonts w:ascii="Times New Roman" w:hAnsi="Times New Roman"/>
        </w:rPr>
        <w:t xml:space="preserve"> flying component in the substitute proficiency check.</w:t>
      </w:r>
    </w:p>
    <w:p w14:paraId="19600D54" w14:textId="77777777" w:rsidR="00C52E49" w:rsidRPr="00C52E49" w:rsidRDefault="00C52E49" w:rsidP="00C52E49">
      <w:pPr>
        <w:pStyle w:val="BodyText"/>
        <w:rPr>
          <w:rFonts w:ascii="Times New Roman" w:hAnsi="Times New Roman"/>
        </w:rPr>
      </w:pPr>
    </w:p>
    <w:p w14:paraId="5736C871" w14:textId="446D44C4" w:rsidR="00D61249" w:rsidRPr="00C52E49" w:rsidRDefault="00F445DE" w:rsidP="00C52E49">
      <w:pPr>
        <w:pStyle w:val="BodyText"/>
        <w:rPr>
          <w:rFonts w:ascii="Times New Roman" w:hAnsi="Times New Roman"/>
          <w:b/>
          <w:bCs/>
        </w:rPr>
      </w:pPr>
      <w:r w:rsidRPr="00C52E49">
        <w:rPr>
          <w:rFonts w:ascii="Times New Roman" w:hAnsi="Times New Roman"/>
          <w:b/>
          <w:bCs/>
        </w:rPr>
        <w:t>Legislation Act 2003</w:t>
      </w:r>
      <w:r w:rsidR="00F03ED0" w:rsidRPr="00C52E49">
        <w:rPr>
          <w:rFonts w:ascii="Times New Roman" w:hAnsi="Times New Roman"/>
          <w:b/>
          <w:bCs/>
        </w:rPr>
        <w:t xml:space="preserve"> (the </w:t>
      </w:r>
      <w:r w:rsidR="00F03ED0" w:rsidRPr="00E323D2">
        <w:rPr>
          <w:rFonts w:ascii="Times New Roman" w:hAnsi="Times New Roman"/>
          <w:b/>
          <w:bCs/>
          <w:i/>
          <w:iCs/>
        </w:rPr>
        <w:t>LA</w:t>
      </w:r>
      <w:r w:rsidR="00F03ED0" w:rsidRPr="00C52E49">
        <w:rPr>
          <w:rFonts w:ascii="Times New Roman" w:hAnsi="Times New Roman"/>
          <w:b/>
          <w:bCs/>
        </w:rPr>
        <w:t>)</w:t>
      </w:r>
    </w:p>
    <w:p w14:paraId="6BB4809F" w14:textId="40834EE5" w:rsidR="00F15472" w:rsidRPr="00214C18" w:rsidRDefault="00F15472" w:rsidP="00BC139D">
      <w:pPr>
        <w:pStyle w:val="BodyText"/>
        <w:rPr>
          <w:rFonts w:ascii="Times New Roman" w:hAnsi="Times New Roman"/>
        </w:rPr>
      </w:pPr>
      <w:r w:rsidRPr="00214C18">
        <w:rPr>
          <w:rFonts w:ascii="Times New Roman" w:hAnsi="Times New Roman"/>
        </w:rPr>
        <w:t>As noted above, exemptions under Subpart 11.F of CASR are “for subsection</w:t>
      </w:r>
      <w:r w:rsidR="00D7325D" w:rsidRPr="00214C18">
        <w:rPr>
          <w:rFonts w:ascii="Times New Roman" w:hAnsi="Times New Roman"/>
        </w:rPr>
        <w:t xml:space="preserve"> </w:t>
      </w:r>
      <w:r w:rsidRPr="00214C18">
        <w:rPr>
          <w:rFonts w:ascii="Times New Roman" w:hAnsi="Times New Roman"/>
        </w:rPr>
        <w:t>98</w:t>
      </w:r>
      <w:r w:rsidR="0087565B" w:rsidRPr="00214C18">
        <w:rPr>
          <w:rFonts w:ascii="Times New Roman" w:hAnsi="Times New Roman"/>
        </w:rPr>
        <w:t> </w:t>
      </w:r>
      <w:r w:rsidRPr="00214C18">
        <w:rPr>
          <w:rFonts w:ascii="Times New Roman" w:hAnsi="Times New Roman"/>
        </w:rPr>
        <w:t>(5A)”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06B75158" w14:textId="77777777" w:rsidR="00F15472" w:rsidRPr="00214C18" w:rsidRDefault="00F15472" w:rsidP="001B1541">
      <w:pPr>
        <w:pStyle w:val="LDBodytext"/>
      </w:pPr>
    </w:p>
    <w:p w14:paraId="41B860EE" w14:textId="77777777" w:rsidR="00F15472" w:rsidRPr="00214C18" w:rsidRDefault="00F15472" w:rsidP="00BC139D">
      <w:pPr>
        <w:pStyle w:val="BodyText"/>
        <w:rPr>
          <w:rFonts w:ascii="Times New Roman" w:hAnsi="Times New Roman"/>
        </w:rPr>
      </w:pPr>
      <w:r w:rsidRPr="00214C18">
        <w:rPr>
          <w:rFonts w:ascii="Times New Roman" w:hAnsi="Times New Roman"/>
        </w:rPr>
        <w:t>The exemption is clearly one in relation to matters affecting the safe navigation and operation of aircraft. Under subsection 98</w:t>
      </w:r>
      <w:r w:rsidR="003F6830" w:rsidRPr="00214C18">
        <w:rPr>
          <w:rFonts w:ascii="Times New Roman" w:hAnsi="Times New Roman"/>
        </w:rPr>
        <w:t> </w:t>
      </w:r>
      <w:r w:rsidRPr="00214C18">
        <w:rPr>
          <w:rFonts w:ascii="Times New Roman" w:hAnsi="Times New Roman"/>
        </w:rPr>
        <w:t>(5AA) of the Act, an exemption issued under paragraph 98</w:t>
      </w:r>
      <w:r w:rsidR="003F6830" w:rsidRPr="00214C18">
        <w:rPr>
          <w:rFonts w:ascii="Times New Roman" w:hAnsi="Times New Roman"/>
        </w:rPr>
        <w:t> </w:t>
      </w:r>
      <w:r w:rsidRPr="00214C18">
        <w:rPr>
          <w:rFonts w:ascii="Times New Roman" w:hAnsi="Times New Roman"/>
        </w:rPr>
        <w:t>(5A)</w:t>
      </w:r>
      <w:r w:rsidR="003F6830" w:rsidRPr="00214C18">
        <w:rPr>
          <w:rFonts w:ascii="Times New Roman" w:hAnsi="Times New Roman"/>
        </w:rPr>
        <w:t> </w:t>
      </w:r>
      <w:r w:rsidRPr="00214C18">
        <w:rPr>
          <w:rFonts w:ascii="Times New Roman" w:hAnsi="Times New Roman"/>
        </w:rPr>
        <w:t>(a), for such matters, is a legislative instrument if expressed to apply in relation to a class of persons, a class of aircraft or a class of aeronautical products (as distinct f</w:t>
      </w:r>
      <w:r w:rsidR="0016073F" w:rsidRPr="00214C18">
        <w:rPr>
          <w:rFonts w:ascii="Times New Roman" w:hAnsi="Times New Roman"/>
        </w:rPr>
        <w:t>r</w:t>
      </w:r>
      <w:r w:rsidRPr="00214C18">
        <w:rPr>
          <w:rFonts w:ascii="Times New Roman" w:hAnsi="Times New Roman"/>
        </w:rPr>
        <w:t>om a particula</w:t>
      </w:r>
      <w:r w:rsidR="00F5444A" w:rsidRPr="00214C18">
        <w:rPr>
          <w:rFonts w:ascii="Times New Roman" w:hAnsi="Times New Roman"/>
        </w:rPr>
        <w:t>r person, aircraft or product).</w:t>
      </w:r>
    </w:p>
    <w:p w14:paraId="596B5AA2" w14:textId="77777777" w:rsidR="00F15472" w:rsidRPr="00214C18" w:rsidRDefault="00F15472" w:rsidP="001B1541">
      <w:pPr>
        <w:pStyle w:val="LDBodytext"/>
      </w:pPr>
    </w:p>
    <w:p w14:paraId="37352773" w14:textId="4A09118E" w:rsidR="001B1541" w:rsidRPr="00214C18" w:rsidRDefault="001B1541" w:rsidP="001B1541">
      <w:pPr>
        <w:pStyle w:val="BodyText"/>
        <w:rPr>
          <w:rFonts w:ascii="Times New Roman" w:hAnsi="Times New Roman"/>
        </w:rPr>
      </w:pPr>
      <w:r w:rsidRPr="00214C18">
        <w:rPr>
          <w:rFonts w:ascii="Times New Roman" w:hAnsi="Times New Roman"/>
        </w:rPr>
        <w:t xml:space="preserve">The exemption applies to </w:t>
      </w:r>
      <w:r w:rsidR="00A94B2C">
        <w:rPr>
          <w:rFonts w:ascii="Times New Roman" w:hAnsi="Times New Roman"/>
        </w:rPr>
        <w:t xml:space="preserve">a </w:t>
      </w:r>
      <w:r w:rsidRPr="00214C18">
        <w:rPr>
          <w:rFonts w:ascii="Times New Roman" w:hAnsi="Times New Roman"/>
        </w:rPr>
        <w:t xml:space="preserve">class of persons, namely the relevant </w:t>
      </w:r>
      <w:r w:rsidR="00A94B2C">
        <w:rPr>
          <w:rFonts w:ascii="Times New Roman" w:hAnsi="Times New Roman"/>
        </w:rPr>
        <w:t>FER holders</w:t>
      </w:r>
      <w:r w:rsidRPr="00214C18">
        <w:rPr>
          <w:rFonts w:ascii="Times New Roman" w:hAnsi="Times New Roman"/>
        </w:rPr>
        <w:t xml:space="preserve">, and is, therefore, a legislative instrument </w:t>
      </w:r>
      <w:r w:rsidRPr="00214C18">
        <w:rPr>
          <w:rFonts w:ascii="Times New Roman" w:hAnsi="Times New Roman"/>
          <w:iCs/>
        </w:rPr>
        <w:t>subject to registration, and tabling and disallowance in the Parliament, under sections 15G, and 38 and 42, of the LA</w:t>
      </w:r>
      <w:r w:rsidRPr="00214C18">
        <w:rPr>
          <w:rFonts w:ascii="Times New Roman" w:hAnsi="Times New Roman"/>
        </w:rPr>
        <w:t>.</w:t>
      </w:r>
    </w:p>
    <w:p w14:paraId="192ACA70" w14:textId="77777777" w:rsidR="0095042D" w:rsidRPr="00214C18" w:rsidRDefault="0095042D" w:rsidP="001B1541">
      <w:pPr>
        <w:pStyle w:val="LDBodytext"/>
      </w:pPr>
    </w:p>
    <w:p w14:paraId="2C16B9F2" w14:textId="77777777" w:rsidR="00845B45" w:rsidRPr="00214C18" w:rsidRDefault="00487302" w:rsidP="00B020DA">
      <w:pPr>
        <w:pStyle w:val="LDBodytext"/>
        <w:rPr>
          <w:b/>
        </w:rPr>
      </w:pPr>
      <w:r w:rsidRPr="00214C18">
        <w:rPr>
          <w:b/>
        </w:rPr>
        <w:t>Consultation</w:t>
      </w:r>
    </w:p>
    <w:p w14:paraId="0FC7E379" w14:textId="58F36281" w:rsidR="00845B45" w:rsidRPr="00214C18" w:rsidRDefault="00845B45" w:rsidP="00B020DA">
      <w:pPr>
        <w:pStyle w:val="LDBodytext"/>
        <w:rPr>
          <w:bCs/>
          <w:iCs/>
        </w:rPr>
      </w:pPr>
      <w:r w:rsidRPr="00214C18">
        <w:rPr>
          <w:bCs/>
          <w:iCs/>
        </w:rPr>
        <w:t>Under section 16 of the Act, in performing its functions and exercising its powers</w:t>
      </w:r>
      <w:r w:rsidR="00F65F4D">
        <w:rPr>
          <w:bCs/>
          <w:iCs/>
        </w:rPr>
        <w:t>,</w:t>
      </w:r>
      <w:r w:rsidRPr="00214C18">
        <w:rPr>
          <w:bCs/>
          <w:iCs/>
        </w:rPr>
        <w:t xml:space="preserve"> CASA must consult government, industrial, commercial consumer and other relevant bodies and organisations insofar as CASA considers such consultation to be appropriate.</w:t>
      </w:r>
    </w:p>
    <w:p w14:paraId="5B4EFD51" w14:textId="77777777" w:rsidR="00845B45" w:rsidRPr="00214C18" w:rsidRDefault="00845B45" w:rsidP="00B020DA">
      <w:pPr>
        <w:pStyle w:val="LDBodytext"/>
        <w:rPr>
          <w:bCs/>
          <w:iCs/>
        </w:rPr>
      </w:pPr>
    </w:p>
    <w:p w14:paraId="2D2D8C1D" w14:textId="15B3A851" w:rsidR="00845B45" w:rsidRPr="00214C18" w:rsidRDefault="00845B45" w:rsidP="00B020DA">
      <w:pPr>
        <w:pStyle w:val="LDBodytext"/>
      </w:pPr>
      <w:r w:rsidRPr="00214C18">
        <w:rPr>
          <w:bCs/>
          <w:iCs/>
        </w:rPr>
        <w:t>Under section 17 of the LA, b</w:t>
      </w:r>
      <w:r w:rsidRPr="00214C18">
        <w:t>efore a legislative instrument is made, CASA must be satisfied that it has undertaken any consultation it considers appropriate and practicable, in order to draw on relevant expertise and involve persons likely to be affected by the proposals.</w:t>
      </w:r>
    </w:p>
    <w:p w14:paraId="0D33D7A4" w14:textId="77777777" w:rsidR="00845B45" w:rsidRPr="00214C18" w:rsidRDefault="00845B45" w:rsidP="00B020DA">
      <w:pPr>
        <w:pStyle w:val="LDBodytext"/>
        <w:rPr>
          <w:bCs/>
        </w:rPr>
      </w:pPr>
    </w:p>
    <w:p w14:paraId="404D7B3F" w14:textId="6E2519D7" w:rsidR="003646F4" w:rsidRPr="00214C18" w:rsidRDefault="00487302" w:rsidP="00BC139D">
      <w:pPr>
        <w:pStyle w:val="BodyText"/>
        <w:rPr>
          <w:rFonts w:ascii="Times New Roman" w:hAnsi="Times New Roman"/>
        </w:rPr>
      </w:pPr>
      <w:r w:rsidRPr="00214C18">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00014B80" w:rsidRPr="00214C18">
        <w:rPr>
          <w:rFonts w:ascii="Times New Roman" w:hAnsi="Times New Roman"/>
        </w:rPr>
        <w:t xml:space="preserve">, where </w:t>
      </w:r>
      <w:r w:rsidR="00014B80" w:rsidRPr="00214C18">
        <w:rPr>
          <w:rFonts w:ascii="Times New Roman" w:hAnsi="Times New Roman"/>
        </w:rPr>
        <w:lastRenderedPageBreak/>
        <w:t>possible,</w:t>
      </w:r>
      <w:r w:rsidRPr="00214C18">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33FC879C" w14:textId="77777777" w:rsidR="003646F4" w:rsidRPr="00214C18" w:rsidRDefault="003646F4" w:rsidP="001B1541">
      <w:pPr>
        <w:pStyle w:val="LDBodytext"/>
      </w:pPr>
    </w:p>
    <w:p w14:paraId="676FA5F5" w14:textId="7458A81A" w:rsidR="00487302" w:rsidRPr="00214C18" w:rsidRDefault="003646F4" w:rsidP="00BC139D">
      <w:pPr>
        <w:pStyle w:val="BodyText"/>
        <w:rPr>
          <w:rFonts w:ascii="Times New Roman" w:hAnsi="Times New Roman"/>
        </w:rPr>
      </w:pPr>
      <w:r w:rsidRPr="00214C18">
        <w:rPr>
          <w:rFonts w:ascii="Times New Roman" w:hAnsi="Times New Roman"/>
        </w:rPr>
        <w:t>The exceptions to this are when matters are urgent, and when CASA considers that the relevant state of affairs as well as informal feedback suggests that consultation would add little if anything to the proposed solution but would delay its promulgation to those who need to plan to take advantage of it.</w:t>
      </w:r>
    </w:p>
    <w:p w14:paraId="4617509C" w14:textId="077C4FE9" w:rsidR="003646F4" w:rsidRPr="00214C18" w:rsidRDefault="003646F4" w:rsidP="001B1541">
      <w:pPr>
        <w:pStyle w:val="LDBodytext"/>
      </w:pPr>
    </w:p>
    <w:p w14:paraId="0BB35F86" w14:textId="4320FE4F" w:rsidR="004B4097" w:rsidRDefault="003646F4" w:rsidP="001B1541">
      <w:pPr>
        <w:pStyle w:val="BodyText"/>
        <w:rPr>
          <w:rFonts w:ascii="Times New Roman" w:hAnsi="Times New Roman"/>
        </w:rPr>
      </w:pPr>
      <w:r w:rsidRPr="00214C18">
        <w:rPr>
          <w:rFonts w:ascii="Times New Roman" w:hAnsi="Times New Roman"/>
        </w:rPr>
        <w:t xml:space="preserve">In this case, CASA considers that no consultation is </w:t>
      </w:r>
      <w:r w:rsidR="00845B45" w:rsidRPr="00214C18">
        <w:rPr>
          <w:rFonts w:ascii="Times New Roman" w:hAnsi="Times New Roman"/>
        </w:rPr>
        <w:t>appropriate</w:t>
      </w:r>
      <w:r w:rsidR="00A94B2C">
        <w:rPr>
          <w:rFonts w:ascii="Times New Roman" w:hAnsi="Times New Roman"/>
        </w:rPr>
        <w:t xml:space="preserve"> for a number of reasons.</w:t>
      </w:r>
    </w:p>
    <w:p w14:paraId="51FD2B31" w14:textId="77777777" w:rsidR="004B4097" w:rsidRDefault="004B4097" w:rsidP="001B1541">
      <w:pPr>
        <w:pStyle w:val="BodyText"/>
        <w:rPr>
          <w:rFonts w:ascii="Times New Roman" w:hAnsi="Times New Roman"/>
        </w:rPr>
      </w:pPr>
    </w:p>
    <w:p w14:paraId="2C96211D" w14:textId="77777777" w:rsidR="00DF527C" w:rsidRDefault="00A94B2C" w:rsidP="001B1541">
      <w:pPr>
        <w:pStyle w:val="BodyText"/>
        <w:rPr>
          <w:rFonts w:ascii="Times New Roman" w:hAnsi="Times New Roman"/>
        </w:rPr>
      </w:pPr>
      <w:r>
        <w:rPr>
          <w:rFonts w:ascii="Times New Roman" w:hAnsi="Times New Roman"/>
        </w:rPr>
        <w:t xml:space="preserve">First, there is an urgency behind alerting the cohort of relevant </w:t>
      </w:r>
      <w:r w:rsidR="00DF527C">
        <w:rPr>
          <w:rFonts w:ascii="Times New Roman" w:hAnsi="Times New Roman"/>
        </w:rPr>
        <w:t>FER</w:t>
      </w:r>
      <w:r>
        <w:rPr>
          <w:rFonts w:ascii="Times New Roman" w:hAnsi="Times New Roman"/>
        </w:rPr>
        <w:t xml:space="preserve"> holders to what their position will be post 31 March 2021</w:t>
      </w:r>
      <w:r w:rsidR="00DF527C">
        <w:rPr>
          <w:rFonts w:ascii="Times New Roman" w:hAnsi="Times New Roman"/>
        </w:rPr>
        <w:t>.</w:t>
      </w:r>
    </w:p>
    <w:p w14:paraId="45455357" w14:textId="63C8E215" w:rsidR="004B4097" w:rsidRDefault="004B4097" w:rsidP="001B1541">
      <w:pPr>
        <w:pStyle w:val="BodyText"/>
        <w:rPr>
          <w:rFonts w:ascii="Times New Roman" w:hAnsi="Times New Roman"/>
        </w:rPr>
      </w:pPr>
    </w:p>
    <w:p w14:paraId="711254F0" w14:textId="77777777" w:rsidR="00DF527C" w:rsidRDefault="00A94B2C" w:rsidP="001B1541">
      <w:pPr>
        <w:pStyle w:val="BodyText"/>
        <w:rPr>
          <w:rFonts w:ascii="Times New Roman" w:hAnsi="Times New Roman"/>
        </w:rPr>
      </w:pPr>
      <w:r>
        <w:rPr>
          <w:rFonts w:ascii="Times New Roman" w:hAnsi="Times New Roman"/>
        </w:rPr>
        <w:t>Secondly, by acknowledging the importance of the substitute proficiency check, CASA wishes to encourage relevant FER holders to complete that check</w:t>
      </w:r>
      <w:r w:rsidR="004B4097">
        <w:rPr>
          <w:rFonts w:ascii="Times New Roman" w:hAnsi="Times New Roman"/>
        </w:rPr>
        <w:t xml:space="preserve"> as soon as practicable</w:t>
      </w:r>
      <w:r>
        <w:rPr>
          <w:rFonts w:ascii="Times New Roman" w:hAnsi="Times New Roman"/>
        </w:rPr>
        <w:t xml:space="preserve"> and not </w:t>
      </w:r>
      <w:r w:rsidR="00A628EA">
        <w:rPr>
          <w:rFonts w:ascii="Times New Roman" w:hAnsi="Times New Roman"/>
        </w:rPr>
        <w:t xml:space="preserve">unnecessarily </w:t>
      </w:r>
      <w:r>
        <w:rPr>
          <w:rFonts w:ascii="Times New Roman" w:hAnsi="Times New Roman"/>
        </w:rPr>
        <w:t>defer it</w:t>
      </w:r>
      <w:r w:rsidR="00DF527C">
        <w:rPr>
          <w:rFonts w:ascii="Times New Roman" w:hAnsi="Times New Roman"/>
        </w:rPr>
        <w:t>.</w:t>
      </w:r>
    </w:p>
    <w:p w14:paraId="13FB6856" w14:textId="16811514" w:rsidR="004B4097" w:rsidRDefault="004B4097" w:rsidP="001B1541">
      <w:pPr>
        <w:pStyle w:val="BodyText"/>
        <w:rPr>
          <w:rFonts w:ascii="Times New Roman" w:hAnsi="Times New Roman"/>
        </w:rPr>
      </w:pPr>
    </w:p>
    <w:p w14:paraId="4B90BF95" w14:textId="6C5F02CD" w:rsidR="001B1541" w:rsidRPr="00214C18" w:rsidRDefault="00A628EA" w:rsidP="001B1541">
      <w:pPr>
        <w:pStyle w:val="BodyText"/>
        <w:rPr>
          <w:rFonts w:ascii="Times New Roman" w:hAnsi="Times New Roman"/>
        </w:rPr>
      </w:pPr>
      <w:r>
        <w:rPr>
          <w:rFonts w:ascii="Times New Roman" w:hAnsi="Times New Roman"/>
        </w:rPr>
        <w:t>Thirdly, CASA has been in informal consultation with small numbers of the relevant FER holder cohort explaining</w:t>
      </w:r>
      <w:r w:rsidR="0015612A">
        <w:rPr>
          <w:rFonts w:ascii="Times New Roman" w:hAnsi="Times New Roman"/>
        </w:rPr>
        <w:t>, and seeking feedback on,</w:t>
      </w:r>
      <w:r>
        <w:rPr>
          <w:rFonts w:ascii="Times New Roman" w:hAnsi="Times New Roman"/>
        </w:rPr>
        <w:t xml:space="preserve"> the proposal which has been welcomed as providing business certainty and predictability, and a</w:t>
      </w:r>
      <w:r w:rsidR="0015612A">
        <w:rPr>
          <w:rFonts w:ascii="Times New Roman" w:hAnsi="Times New Roman"/>
        </w:rPr>
        <w:t>s a</w:t>
      </w:r>
      <w:r>
        <w:rPr>
          <w:rFonts w:ascii="Times New Roman" w:hAnsi="Times New Roman"/>
        </w:rPr>
        <w:t xml:space="preserve"> pathway towards normalisation of the EPC renewal cycles.</w:t>
      </w:r>
    </w:p>
    <w:p w14:paraId="413EA55C" w14:textId="77777777" w:rsidR="00487302" w:rsidRPr="00214C18" w:rsidRDefault="00487302" w:rsidP="001B1541">
      <w:pPr>
        <w:pStyle w:val="LDBodytext"/>
      </w:pPr>
    </w:p>
    <w:p w14:paraId="322B04EE" w14:textId="77777777" w:rsidR="00196951" w:rsidRPr="00214C18" w:rsidRDefault="00196951" w:rsidP="00F5042E">
      <w:pPr>
        <w:pStyle w:val="LDBodytext"/>
        <w:keepNext/>
        <w:rPr>
          <w:b/>
        </w:rPr>
      </w:pPr>
      <w:r w:rsidRPr="00214C18">
        <w:rPr>
          <w:b/>
        </w:rPr>
        <w:t>Office of Best Practice Regulation (</w:t>
      </w:r>
      <w:r w:rsidRPr="00214C18">
        <w:rPr>
          <w:b/>
          <w:i/>
        </w:rPr>
        <w:t>OBPR</w:t>
      </w:r>
      <w:r w:rsidRPr="00214C18">
        <w:rPr>
          <w:b/>
        </w:rPr>
        <w:t>)</w:t>
      </w:r>
    </w:p>
    <w:p w14:paraId="3768FD19" w14:textId="77777777" w:rsidR="00196951" w:rsidRPr="00214C18" w:rsidRDefault="00196951" w:rsidP="00196951">
      <w:pPr>
        <w:pStyle w:val="LDBodytext"/>
      </w:pPr>
      <w:r w:rsidRPr="00214C18">
        <w:t>A Regulation Impact Statement (</w:t>
      </w:r>
      <w:r w:rsidRPr="00214C18">
        <w:rPr>
          <w:b/>
          <w:i/>
        </w:rPr>
        <w:t>RIS</w:t>
      </w:r>
      <w:r w:rsidRPr="00214C18">
        <w:t>) is not required because the exemption instrument is covered by a standing agreement between CASA and OBPR under which a RIS is not required for an exemption (OBPR id: 14507).</w:t>
      </w:r>
    </w:p>
    <w:p w14:paraId="51C26B5E" w14:textId="77777777" w:rsidR="00196951" w:rsidRPr="00214C18" w:rsidRDefault="00196951" w:rsidP="001B1541">
      <w:pPr>
        <w:pStyle w:val="LDBodytext"/>
      </w:pPr>
    </w:p>
    <w:p w14:paraId="2179841A" w14:textId="5937C565" w:rsidR="00672B98" w:rsidRPr="00214C18" w:rsidRDefault="00672B98" w:rsidP="00672B98">
      <w:pPr>
        <w:pStyle w:val="LDBodytext"/>
        <w:keepNext/>
        <w:rPr>
          <w:b/>
        </w:rPr>
      </w:pPr>
      <w:r w:rsidRPr="00214C18">
        <w:rPr>
          <w:b/>
        </w:rPr>
        <w:t>Statement of Compatibility with Human Rights</w:t>
      </w:r>
    </w:p>
    <w:p w14:paraId="2943D82E" w14:textId="3813FFB0" w:rsidR="00F15472" w:rsidRDefault="00672B98" w:rsidP="00E601AC">
      <w:pPr>
        <w:pStyle w:val="Default"/>
        <w:rPr>
          <w:rFonts w:eastAsia="Calibri"/>
        </w:rPr>
      </w:pPr>
      <w:r w:rsidRPr="00214C18">
        <w:rPr>
          <w:iCs/>
          <w:color w:val="auto"/>
        </w:rPr>
        <w:t xml:space="preserve">The Statement in Appendix 1 is prepared in accordance with Part 3 of the </w:t>
      </w:r>
      <w:r w:rsidRPr="00214C18">
        <w:rPr>
          <w:i/>
          <w:iCs/>
          <w:color w:val="auto"/>
        </w:rPr>
        <w:t>Human Rights (Parliamentary Scrutiny) Act 2011</w:t>
      </w:r>
      <w:r w:rsidRPr="00214C18">
        <w:rPr>
          <w:iCs/>
          <w:color w:val="auto"/>
        </w:rPr>
        <w:t xml:space="preserve">. </w:t>
      </w:r>
      <w:r w:rsidRPr="00214C18">
        <w:rPr>
          <w:color w:val="auto"/>
        </w:rPr>
        <w:t>The exemption instrument is compatible with human rights and, to the extent that it engages certain rights, it does so in a way that</w:t>
      </w:r>
      <w:r w:rsidR="00E601AC">
        <w:rPr>
          <w:color w:val="auto"/>
        </w:rPr>
        <w:t xml:space="preserve"> is</w:t>
      </w:r>
      <w:r w:rsidR="00E601AC" w:rsidRPr="00E601AC">
        <w:rPr>
          <w:rFonts w:eastAsia="Calibri"/>
        </w:rPr>
        <w:t xml:space="preserve"> </w:t>
      </w:r>
      <w:r w:rsidR="00E601AC" w:rsidRPr="00214C18">
        <w:rPr>
          <w:rFonts w:eastAsia="Calibri"/>
        </w:rPr>
        <w:t>reasonable, necessary and proportionate</w:t>
      </w:r>
      <w:r w:rsidR="00E601AC">
        <w:rPr>
          <w:rFonts w:eastAsia="Calibri"/>
        </w:rPr>
        <w:t>.</w:t>
      </w:r>
    </w:p>
    <w:p w14:paraId="7244E371" w14:textId="77777777" w:rsidR="00E601AC" w:rsidRPr="00214C18" w:rsidRDefault="00E601AC" w:rsidP="00E601AC">
      <w:pPr>
        <w:pStyle w:val="Default"/>
      </w:pPr>
    </w:p>
    <w:p w14:paraId="2AC91A4E" w14:textId="77777777" w:rsidR="00F15472" w:rsidRPr="00214C18" w:rsidRDefault="00F15472" w:rsidP="00D51583">
      <w:pPr>
        <w:pStyle w:val="LDBodytext"/>
        <w:rPr>
          <w:b/>
        </w:rPr>
      </w:pPr>
      <w:r w:rsidRPr="00214C18">
        <w:rPr>
          <w:b/>
        </w:rPr>
        <w:t>Commencement and making</w:t>
      </w:r>
    </w:p>
    <w:p w14:paraId="62919E37" w14:textId="5BFBF7A9" w:rsidR="007727D1" w:rsidRPr="00214C18" w:rsidRDefault="00F15472" w:rsidP="001C6A4E">
      <w:pPr>
        <w:pStyle w:val="LDMinuteParagraph"/>
        <w:spacing w:after="0"/>
        <w:ind w:right="-142"/>
        <w:rPr>
          <w:rFonts w:ascii="Times New Roman" w:hAnsi="Times New Roman"/>
          <w:szCs w:val="24"/>
        </w:rPr>
      </w:pPr>
      <w:r w:rsidRPr="00214C18">
        <w:rPr>
          <w:rFonts w:ascii="Times New Roman" w:hAnsi="Times New Roman"/>
          <w:szCs w:val="24"/>
        </w:rPr>
        <w:t>The exemption commences on</w:t>
      </w:r>
      <w:r w:rsidR="000E5E74" w:rsidRPr="00214C18">
        <w:rPr>
          <w:rFonts w:ascii="Times New Roman" w:hAnsi="Times New Roman"/>
          <w:szCs w:val="24"/>
        </w:rPr>
        <w:t xml:space="preserve"> </w:t>
      </w:r>
      <w:r w:rsidR="00FE09F8">
        <w:rPr>
          <w:rFonts w:ascii="Times New Roman" w:hAnsi="Times New Roman"/>
          <w:szCs w:val="24"/>
        </w:rPr>
        <w:t>1 April 2021.</w:t>
      </w:r>
      <w:r w:rsidR="007727D1">
        <w:rPr>
          <w:rFonts w:ascii="Times New Roman" w:hAnsi="Times New Roman"/>
          <w:szCs w:val="24"/>
        </w:rPr>
        <w:t xml:space="preserve"> </w:t>
      </w:r>
      <w:r w:rsidR="007727D1">
        <w:t xml:space="preserve">It will not be repealed until 29 February 2024, by which date </w:t>
      </w:r>
      <w:r w:rsidR="007E2D6C">
        <w:t>CASA</w:t>
      </w:r>
      <w:r w:rsidR="007727D1">
        <w:t xml:space="preserve"> expect</w:t>
      </w:r>
      <w:r w:rsidR="007E2D6C">
        <w:t>s</w:t>
      </w:r>
      <w:r w:rsidR="007727D1">
        <w:t xml:space="preserve"> that all possible permutations of EPC expiry dates and substitute proficiency </w:t>
      </w:r>
      <w:r w:rsidR="007E2D6C">
        <w:t>check expiry dates</w:t>
      </w:r>
      <w:r w:rsidR="007727D1">
        <w:t xml:space="preserve"> will have been exhausted</w:t>
      </w:r>
      <w:r w:rsidR="007E2D6C">
        <w:t>, and all relevant FER holders will have been returned to their previous EPC cycle dates</w:t>
      </w:r>
      <w:r w:rsidR="007727D1">
        <w:t>.</w:t>
      </w:r>
    </w:p>
    <w:p w14:paraId="19C449A1" w14:textId="77777777" w:rsidR="0098521D" w:rsidRPr="00214C18" w:rsidRDefault="0098521D" w:rsidP="001B1541">
      <w:pPr>
        <w:pStyle w:val="LDBodytext"/>
      </w:pPr>
    </w:p>
    <w:p w14:paraId="158E57EA" w14:textId="35281A61" w:rsidR="00F15472" w:rsidRPr="00214C18" w:rsidRDefault="00F15472" w:rsidP="0016073F">
      <w:pPr>
        <w:ind w:right="-1"/>
        <w:rPr>
          <w:rFonts w:ascii="Times New Roman" w:hAnsi="Times New Roman"/>
        </w:rPr>
      </w:pPr>
      <w:r w:rsidRPr="00214C18">
        <w:rPr>
          <w:rFonts w:ascii="Times New Roman" w:hAnsi="Times New Roman"/>
        </w:rPr>
        <w:t xml:space="preserve">The exemption has been made by the </w:t>
      </w:r>
      <w:r w:rsidR="00DF527C">
        <w:rPr>
          <w:rFonts w:ascii="Times New Roman" w:hAnsi="Times New Roman"/>
        </w:rPr>
        <w:t xml:space="preserve">Acting </w:t>
      </w:r>
      <w:r w:rsidRPr="00214C18">
        <w:rPr>
          <w:rFonts w:ascii="Times New Roman" w:hAnsi="Times New Roman"/>
        </w:rPr>
        <w:t>Director of Aviation Safety, on behalf of CASA, in accordance with subsection 73 (2) of the Act.</w:t>
      </w:r>
    </w:p>
    <w:p w14:paraId="6078C3C0" w14:textId="3F8A8A77" w:rsidR="00A4211C" w:rsidRPr="00214C18" w:rsidRDefault="00A4211C" w:rsidP="00A4211C">
      <w:pPr>
        <w:pStyle w:val="LDClauseHeading"/>
        <w:pageBreakBefore/>
        <w:tabs>
          <w:tab w:val="clear" w:pos="737"/>
        </w:tabs>
        <w:spacing w:before="0"/>
        <w:ind w:left="0" w:firstLine="0"/>
        <w:jc w:val="right"/>
        <w:rPr>
          <w:rFonts w:cs="Arial"/>
        </w:rPr>
      </w:pPr>
      <w:r w:rsidRPr="00214C18">
        <w:rPr>
          <w:rFonts w:cs="Arial"/>
        </w:rPr>
        <w:lastRenderedPageBreak/>
        <w:t xml:space="preserve">Appendix </w:t>
      </w:r>
      <w:r w:rsidR="00B77F18" w:rsidRPr="00214C18">
        <w:rPr>
          <w:rFonts w:cs="Arial"/>
        </w:rPr>
        <w:t>1</w:t>
      </w:r>
    </w:p>
    <w:p w14:paraId="301E589C" w14:textId="77777777" w:rsidR="002D53F2" w:rsidRPr="007954E1" w:rsidRDefault="002D53F2" w:rsidP="002D53F2">
      <w:pPr>
        <w:pStyle w:val="LDDescription"/>
      </w:pPr>
      <w:bookmarkStart w:id="2" w:name="_Hlk38268511"/>
      <w:r w:rsidRPr="007954E1">
        <w:t>CASA EX</w:t>
      </w:r>
      <w:r>
        <w:t>19</w:t>
      </w:r>
      <w:r w:rsidRPr="007954E1">
        <w:t>/2</w:t>
      </w:r>
      <w:r>
        <w:t>1</w:t>
      </w:r>
      <w:r w:rsidRPr="007954E1">
        <w:t xml:space="preserve"> — </w:t>
      </w:r>
      <w:r>
        <w:t>Examiner Proficiency Checks</w:t>
      </w:r>
      <w:r w:rsidRPr="007954E1">
        <w:t xml:space="preserve"> (Extensions of Time</w:t>
      </w:r>
      <w:r>
        <w:t xml:space="preserve"> and Substitute Proficiency Checks</w:t>
      </w:r>
      <w:r w:rsidRPr="007954E1">
        <w:t>) Exemption Instrument 202</w:t>
      </w:r>
      <w:r>
        <w:t>1</w:t>
      </w:r>
      <w:r w:rsidRPr="007954E1">
        <w:t xml:space="preserve"> (No. </w:t>
      </w:r>
      <w:r>
        <w:t>1</w:t>
      </w:r>
      <w:r w:rsidRPr="007954E1">
        <w:t>)</w:t>
      </w:r>
    </w:p>
    <w:bookmarkEnd w:id="2"/>
    <w:p w14:paraId="173A21CE" w14:textId="77777777" w:rsidR="002D53F2" w:rsidRPr="007954E1" w:rsidRDefault="002D53F2" w:rsidP="002D53F2">
      <w:pPr>
        <w:pStyle w:val="LDClauseHeading"/>
        <w:tabs>
          <w:tab w:val="center" w:pos="4252"/>
        </w:tabs>
        <w:outlineLvl w:val="0"/>
      </w:pPr>
      <w:r w:rsidRPr="007954E1">
        <w:t>1</w:t>
      </w:r>
      <w:r w:rsidRPr="007954E1">
        <w:tab/>
        <w:t>Name</w:t>
      </w:r>
    </w:p>
    <w:p w14:paraId="2C2F9A1A" w14:textId="741DB4D2" w:rsidR="002D53F2" w:rsidRPr="007954E1" w:rsidRDefault="002D53F2" w:rsidP="002D53F2">
      <w:pPr>
        <w:pStyle w:val="LDClause"/>
        <w:ind w:right="-143"/>
      </w:pPr>
      <w:r w:rsidRPr="007954E1">
        <w:tab/>
      </w:r>
      <w:r w:rsidRPr="007954E1">
        <w:tab/>
      </w:r>
      <w:r w:rsidR="004B4097">
        <w:t>This section names the instrument.</w:t>
      </w:r>
    </w:p>
    <w:p w14:paraId="3937AF1D" w14:textId="77777777" w:rsidR="002D53F2" w:rsidRPr="007954E1" w:rsidRDefault="002D53F2" w:rsidP="002D53F2">
      <w:pPr>
        <w:pStyle w:val="LDClauseHeading"/>
        <w:tabs>
          <w:tab w:val="center" w:pos="4252"/>
        </w:tabs>
        <w:outlineLvl w:val="0"/>
      </w:pPr>
      <w:r w:rsidRPr="007954E1">
        <w:t>2</w:t>
      </w:r>
      <w:r w:rsidRPr="007954E1">
        <w:tab/>
      </w:r>
      <w:r>
        <w:t>Duration</w:t>
      </w:r>
    </w:p>
    <w:p w14:paraId="224AA426" w14:textId="2FD5D143" w:rsidR="002D53F2" w:rsidRPr="00464A53" w:rsidRDefault="002D53F2" w:rsidP="00D01DB7">
      <w:pPr>
        <w:pStyle w:val="LDClause"/>
        <w:rPr>
          <w:color w:val="000000"/>
        </w:rPr>
      </w:pPr>
      <w:r w:rsidRPr="007954E1">
        <w:tab/>
      </w:r>
      <w:r w:rsidRPr="007954E1">
        <w:tab/>
        <w:t xml:space="preserve">This </w:t>
      </w:r>
      <w:r w:rsidR="004B4097">
        <w:t>section sets</w:t>
      </w:r>
      <w:r w:rsidR="007727D1">
        <w:t xml:space="preserve"> out</w:t>
      </w:r>
      <w:r w:rsidR="004B4097">
        <w:t xml:space="preserve"> the commencement and duration of the instrument.</w:t>
      </w:r>
    </w:p>
    <w:p w14:paraId="24880499" w14:textId="77777777" w:rsidR="002D53F2" w:rsidRPr="007954E1" w:rsidRDefault="002D53F2" w:rsidP="002D53F2">
      <w:pPr>
        <w:pStyle w:val="LDClauseHeading"/>
        <w:tabs>
          <w:tab w:val="center" w:pos="4252"/>
        </w:tabs>
        <w:outlineLvl w:val="0"/>
      </w:pPr>
      <w:r>
        <w:t>3</w:t>
      </w:r>
      <w:r w:rsidRPr="007954E1">
        <w:tab/>
      </w:r>
      <w:r>
        <w:t>Definitions</w:t>
      </w:r>
    </w:p>
    <w:p w14:paraId="6B1E8F11" w14:textId="77777777" w:rsidR="00A77442" w:rsidRDefault="002D53F2" w:rsidP="002D53F2">
      <w:pPr>
        <w:pStyle w:val="LDClause"/>
      </w:pPr>
      <w:r w:rsidRPr="007954E1">
        <w:tab/>
      </w:r>
      <w:r w:rsidRPr="007954E1">
        <w:tab/>
      </w:r>
      <w:r w:rsidR="00A77442">
        <w:t>The section contains key definitions.</w:t>
      </w:r>
    </w:p>
    <w:p w14:paraId="6EB87C6A" w14:textId="77777777" w:rsidR="002D53F2" w:rsidRPr="009758BA" w:rsidRDefault="002D53F2" w:rsidP="002D53F2">
      <w:pPr>
        <w:pStyle w:val="LDClauseHeading"/>
        <w:rPr>
          <w:color w:val="000000"/>
        </w:rPr>
      </w:pPr>
      <w:r w:rsidRPr="009758BA">
        <w:rPr>
          <w:color w:val="000000"/>
        </w:rPr>
        <w:t>4</w:t>
      </w:r>
      <w:r w:rsidRPr="009758BA">
        <w:rPr>
          <w:color w:val="000000"/>
        </w:rPr>
        <w:tab/>
        <w:t>Application</w:t>
      </w:r>
    </w:p>
    <w:p w14:paraId="61372CD2" w14:textId="6C58E336" w:rsidR="00F57754" w:rsidRDefault="002D53F2" w:rsidP="002D53F2">
      <w:pPr>
        <w:pStyle w:val="LDClause"/>
      </w:pPr>
      <w:r w:rsidRPr="007954E1">
        <w:tab/>
      </w:r>
      <w:r w:rsidRPr="007954E1">
        <w:tab/>
        <w:t xml:space="preserve">This </w:t>
      </w:r>
      <w:r w:rsidR="00A77442">
        <w:t>section limits the application of the instrument by excluding</w:t>
      </w:r>
      <w:r w:rsidR="00A05C00">
        <w:t xml:space="preserve"> from it</w:t>
      </w:r>
      <w:r w:rsidR="00A77442">
        <w:t xml:space="preserve"> those subject to a</w:t>
      </w:r>
      <w:r w:rsidR="00F57754">
        <w:t>n unresolved</w:t>
      </w:r>
      <w:r w:rsidR="00A77442">
        <w:t xml:space="preserve"> show cause notice</w:t>
      </w:r>
      <w:r w:rsidR="00F57754">
        <w:t>,</w:t>
      </w:r>
      <w:r w:rsidR="00A77442">
        <w:t xml:space="preserve"> and those who have failed an EPC</w:t>
      </w:r>
      <w:r w:rsidR="00F57754">
        <w:t xml:space="preserve"> or a substitute proficiency check. For these persons, the exemption</w:t>
      </w:r>
      <w:r w:rsidR="00A05C00">
        <w:t>s</w:t>
      </w:r>
      <w:r w:rsidR="00F57754">
        <w:t xml:space="preserve"> do not apply.</w:t>
      </w:r>
    </w:p>
    <w:p w14:paraId="3565A452" w14:textId="77777777" w:rsidR="002D53F2" w:rsidRDefault="002D53F2" w:rsidP="002D53F2">
      <w:pPr>
        <w:pStyle w:val="LDClauseHeading"/>
        <w:tabs>
          <w:tab w:val="center" w:pos="4252"/>
        </w:tabs>
        <w:outlineLvl w:val="0"/>
      </w:pPr>
      <w:r>
        <w:t>5</w:t>
      </w:r>
      <w:r w:rsidRPr="007954E1">
        <w:tab/>
      </w:r>
      <w:r>
        <w:t>Dual e</w:t>
      </w:r>
      <w:r w:rsidRPr="007954E1">
        <w:t>xemption</w:t>
      </w:r>
      <w:r>
        <w:t>s as applicable</w:t>
      </w:r>
    </w:p>
    <w:p w14:paraId="42379E0E" w14:textId="0FFE09C8" w:rsidR="00A77442" w:rsidRDefault="002D53F2" w:rsidP="002D53F2">
      <w:pPr>
        <w:pStyle w:val="LDClause"/>
      </w:pPr>
      <w:r>
        <w:tab/>
      </w:r>
      <w:r>
        <w:tab/>
      </w:r>
      <w:r w:rsidR="00A77442">
        <w:t>Under this section, e</w:t>
      </w:r>
      <w:r>
        <w:t xml:space="preserve">ach </w:t>
      </w:r>
      <w:r w:rsidR="00A77442">
        <w:t xml:space="preserve">of the 2 </w:t>
      </w:r>
      <w:r>
        <w:t>exemption</w:t>
      </w:r>
      <w:r w:rsidR="00A77442">
        <w:t>s in the instrument</w:t>
      </w:r>
      <w:r>
        <w:t xml:space="preserve"> applies according to its terms</w:t>
      </w:r>
      <w:r w:rsidR="00A77442">
        <w:t>.</w:t>
      </w:r>
    </w:p>
    <w:p w14:paraId="664EFEF0" w14:textId="09CE7077" w:rsidR="002D53F2" w:rsidRDefault="002D53F2" w:rsidP="002D53F2">
      <w:pPr>
        <w:pStyle w:val="LDClauseHeading"/>
        <w:tabs>
          <w:tab w:val="center" w:pos="4252"/>
        </w:tabs>
        <w:outlineLvl w:val="0"/>
      </w:pPr>
      <w:r>
        <w:t>6</w:t>
      </w:r>
      <w:r w:rsidRPr="007954E1">
        <w:tab/>
        <w:t>Exemption </w:t>
      </w:r>
      <w:r w:rsidR="00B23F2F">
        <w:t>–</w:t>
      </w:r>
      <w:r w:rsidRPr="007954E1">
        <w:t xml:space="preserve"> </w:t>
      </w:r>
      <w:r>
        <w:t xml:space="preserve">examiner </w:t>
      </w:r>
      <w:r w:rsidRPr="007954E1">
        <w:t>proficiency checks</w:t>
      </w:r>
      <w:r>
        <w:t> </w:t>
      </w:r>
      <w:r w:rsidR="00B23F2F">
        <w:t>–</w:t>
      </w:r>
      <w:r>
        <w:t xml:space="preserve"> extension of time</w:t>
      </w:r>
    </w:p>
    <w:p w14:paraId="71EF193E" w14:textId="27BE7822" w:rsidR="002D53F2" w:rsidRDefault="002D53F2" w:rsidP="00D01DB7">
      <w:pPr>
        <w:pStyle w:val="LDClause"/>
      </w:pPr>
      <w:r>
        <w:tab/>
      </w:r>
      <w:r>
        <w:tab/>
      </w:r>
      <w:r w:rsidR="00A77442">
        <w:t xml:space="preserve">Under this section, </w:t>
      </w:r>
      <w:r w:rsidR="007727D1">
        <w:t xml:space="preserve">for the duration of the period expressed in the Table, </w:t>
      </w:r>
      <w:r w:rsidR="00A77442">
        <w:t>a</w:t>
      </w:r>
      <w:r w:rsidR="007727D1">
        <w:t xml:space="preserve"> relevant FER holder is exempted from the requirement in regulation 61.1285 of CASR to have an EPC.</w:t>
      </w:r>
      <w:bookmarkStart w:id="3" w:name="_Hlk51247615"/>
      <w:bookmarkStart w:id="4" w:name="_Hlk50986491"/>
    </w:p>
    <w:p w14:paraId="7CA8577B" w14:textId="77777777" w:rsidR="002D53F2" w:rsidRDefault="002D53F2" w:rsidP="002D53F2">
      <w:pPr>
        <w:pStyle w:val="LDClauseHeading"/>
        <w:tabs>
          <w:tab w:val="center" w:pos="4252"/>
        </w:tabs>
        <w:outlineLvl w:val="0"/>
      </w:pPr>
      <w:r>
        <w:t>7</w:t>
      </w:r>
      <w:r>
        <w:tab/>
      </w:r>
      <w:r w:rsidRPr="007954E1">
        <w:t>Exemption </w:t>
      </w:r>
      <w:r>
        <w:t>—</w:t>
      </w:r>
      <w:r w:rsidRPr="007954E1">
        <w:t xml:space="preserve"> </w:t>
      </w:r>
      <w:r>
        <w:t xml:space="preserve">substitute </w:t>
      </w:r>
      <w:r w:rsidRPr="007954E1">
        <w:t>proficiency checks</w:t>
      </w:r>
      <w:r>
        <w:t xml:space="preserve"> for examiners</w:t>
      </w:r>
    </w:p>
    <w:p w14:paraId="02695B26" w14:textId="594B1216" w:rsidR="007727D1" w:rsidRDefault="002D53F2" w:rsidP="002D53F2">
      <w:pPr>
        <w:pStyle w:val="LDClause"/>
      </w:pPr>
      <w:r>
        <w:tab/>
      </w:r>
      <w:r>
        <w:tab/>
      </w:r>
      <w:r w:rsidR="007727D1">
        <w:t>Under this section</w:t>
      </w:r>
      <w:r w:rsidR="007E42C6">
        <w:t>,</w:t>
      </w:r>
      <w:r w:rsidR="007727D1">
        <w:t xml:space="preserve"> provision is made for FER holders to complete a substitute proficiency check which will enable their return to their original cycle of biennial EP</w:t>
      </w:r>
      <w:r w:rsidR="00761101">
        <w:t>C</w:t>
      </w:r>
      <w:r w:rsidR="007727D1">
        <w:t>.</w:t>
      </w:r>
    </w:p>
    <w:bookmarkEnd w:id="3"/>
    <w:bookmarkEnd w:id="4"/>
    <w:p w14:paraId="02032DEE" w14:textId="62717FDF" w:rsidR="00F15472" w:rsidRPr="00214C18" w:rsidRDefault="00F15472" w:rsidP="00D46070">
      <w:pPr>
        <w:pStyle w:val="LDClauseHeading"/>
        <w:pageBreakBefore/>
        <w:tabs>
          <w:tab w:val="clear" w:pos="737"/>
        </w:tabs>
        <w:spacing w:before="0"/>
        <w:ind w:left="0" w:firstLine="0"/>
        <w:jc w:val="right"/>
        <w:rPr>
          <w:rFonts w:cs="Arial"/>
        </w:rPr>
      </w:pPr>
      <w:r w:rsidRPr="00214C18">
        <w:rPr>
          <w:rFonts w:cs="Arial"/>
        </w:rPr>
        <w:lastRenderedPageBreak/>
        <w:t xml:space="preserve">Appendix </w:t>
      </w:r>
      <w:r w:rsidR="00A4211C" w:rsidRPr="00214C18">
        <w:rPr>
          <w:rFonts w:cs="Arial"/>
        </w:rPr>
        <w:t>2</w:t>
      </w:r>
    </w:p>
    <w:p w14:paraId="4F05B3DD" w14:textId="77777777" w:rsidR="00F15472" w:rsidRPr="00214C18" w:rsidRDefault="00F15472" w:rsidP="00F15472">
      <w:pPr>
        <w:spacing w:before="360" w:after="120"/>
        <w:jc w:val="center"/>
        <w:rPr>
          <w:rFonts w:ascii="Arial" w:hAnsi="Arial" w:cs="Arial"/>
          <w:b/>
        </w:rPr>
      </w:pPr>
      <w:r w:rsidRPr="00214C18">
        <w:rPr>
          <w:rFonts w:ascii="Arial" w:hAnsi="Arial" w:cs="Arial"/>
          <w:b/>
        </w:rPr>
        <w:t>Statement of Compatibility with Human Rights</w:t>
      </w:r>
    </w:p>
    <w:p w14:paraId="28D20C2A" w14:textId="3127D1EB" w:rsidR="00F15472" w:rsidRPr="00214C18" w:rsidRDefault="00F15472" w:rsidP="00B23F2F">
      <w:pPr>
        <w:spacing w:before="120" w:after="120"/>
        <w:jc w:val="center"/>
        <w:rPr>
          <w:rFonts w:ascii="Times New Roman" w:hAnsi="Times New Roman"/>
          <w:i/>
        </w:rPr>
      </w:pPr>
      <w:r w:rsidRPr="00214C18">
        <w:rPr>
          <w:rFonts w:ascii="Times New Roman" w:hAnsi="Times New Roman"/>
          <w:i/>
        </w:rPr>
        <w:t>Prepared in accordance with Part 3 of the</w:t>
      </w:r>
      <w:r w:rsidRPr="00214C18">
        <w:rPr>
          <w:rFonts w:ascii="Times New Roman" w:hAnsi="Times New Roman"/>
          <w:i/>
        </w:rPr>
        <w:br/>
        <w:t>Human Rights (Parliamentary Scrutiny) Act 2011</w:t>
      </w:r>
    </w:p>
    <w:p w14:paraId="5FACF524" w14:textId="77777777" w:rsidR="00034F94" w:rsidRPr="00214C18" w:rsidRDefault="00034F94" w:rsidP="00A4211C">
      <w:pPr>
        <w:pStyle w:val="LDBodytext"/>
      </w:pPr>
    </w:p>
    <w:p w14:paraId="25BB8D69" w14:textId="150B1EFB" w:rsidR="007014CA" w:rsidRPr="00B23F2F" w:rsidRDefault="007014CA" w:rsidP="005C52A4">
      <w:pPr>
        <w:pStyle w:val="LDClauseHeading"/>
        <w:spacing w:after="0"/>
        <w:ind w:left="0" w:firstLine="0"/>
        <w:jc w:val="center"/>
        <w:rPr>
          <w:rFonts w:ascii="Times New Roman" w:hAnsi="Times New Roman"/>
          <w:iCs/>
        </w:rPr>
      </w:pPr>
      <w:r w:rsidRPr="00B23F2F">
        <w:rPr>
          <w:rFonts w:ascii="Times New Roman" w:hAnsi="Times New Roman"/>
          <w:iCs/>
        </w:rPr>
        <w:t>CASA EX19/21 — Examiner Proficiency Checks (Extensions of Time</w:t>
      </w:r>
      <w:r w:rsidR="002D53F2" w:rsidRPr="00B23F2F">
        <w:rPr>
          <w:rFonts w:ascii="Times New Roman" w:hAnsi="Times New Roman"/>
          <w:iCs/>
        </w:rPr>
        <w:t xml:space="preserve"> and</w:t>
      </w:r>
      <w:r w:rsidRPr="00B23F2F">
        <w:rPr>
          <w:rFonts w:ascii="Times New Roman" w:hAnsi="Times New Roman"/>
          <w:iCs/>
        </w:rPr>
        <w:t xml:space="preserve"> Substitute Proficiency Checks) Exemption Instrument 2021 (No. 1)</w:t>
      </w:r>
    </w:p>
    <w:p w14:paraId="7547B6F0" w14:textId="77777777" w:rsidR="00F15472" w:rsidRPr="00214C18" w:rsidRDefault="00F15472" w:rsidP="00B23F2F">
      <w:pPr>
        <w:spacing w:before="260" w:after="540"/>
        <w:jc w:val="center"/>
        <w:rPr>
          <w:rFonts w:ascii="Times New Roman" w:hAnsi="Times New Roman"/>
        </w:rPr>
      </w:pPr>
      <w:r w:rsidRPr="00214C18">
        <w:rPr>
          <w:rFonts w:ascii="Times New Roman" w:hAnsi="Times New Roman"/>
        </w:rPr>
        <w:t xml:space="preserve">This legislative instrument is compatible with the human rights and freedoms recognised or declared in the international instruments listed in section 3 of the </w:t>
      </w:r>
      <w:r w:rsidRPr="00214C18">
        <w:rPr>
          <w:rFonts w:ascii="Times New Roman" w:hAnsi="Times New Roman"/>
          <w:i/>
        </w:rPr>
        <w:t>Human Rights (Parliamentary Scrutiny) Act 2011</w:t>
      </w:r>
      <w:r w:rsidRPr="00214C18">
        <w:rPr>
          <w:rFonts w:ascii="Times New Roman" w:hAnsi="Times New Roman"/>
        </w:rPr>
        <w:t>.</w:t>
      </w:r>
    </w:p>
    <w:p w14:paraId="5B420847" w14:textId="3B05DF53" w:rsidR="00F15472" w:rsidRDefault="00F15472" w:rsidP="00F15472">
      <w:pPr>
        <w:jc w:val="both"/>
        <w:rPr>
          <w:rFonts w:ascii="Times New Roman" w:hAnsi="Times New Roman"/>
          <w:b/>
        </w:rPr>
      </w:pPr>
      <w:r w:rsidRPr="00214C18">
        <w:rPr>
          <w:rFonts w:ascii="Times New Roman" w:hAnsi="Times New Roman"/>
          <w:b/>
        </w:rPr>
        <w:t>Overview of the legislative instrument</w:t>
      </w:r>
    </w:p>
    <w:p w14:paraId="6B554AF7" w14:textId="77777777" w:rsidR="007E42C6" w:rsidRPr="007E42C6" w:rsidRDefault="007E42C6" w:rsidP="007E42C6">
      <w:pPr>
        <w:pStyle w:val="LDBodytext"/>
      </w:pPr>
    </w:p>
    <w:p w14:paraId="743353FB" w14:textId="77777777" w:rsidR="00610FB8" w:rsidRPr="00214C18" w:rsidRDefault="00610FB8" w:rsidP="007E42C6">
      <w:pPr>
        <w:pStyle w:val="LDBodytext"/>
        <w:rPr>
          <w:b/>
        </w:rPr>
      </w:pPr>
      <w:r w:rsidRPr="00214C18">
        <w:rPr>
          <w:b/>
        </w:rPr>
        <w:t>Purpose</w:t>
      </w:r>
    </w:p>
    <w:p w14:paraId="580A1578" w14:textId="5D12FD2D" w:rsidR="00D01DB7" w:rsidRDefault="00D01DB7" w:rsidP="00D01DB7">
      <w:pPr>
        <w:rPr>
          <w:rFonts w:ascii="Times New Roman" w:hAnsi="Times New Roman"/>
        </w:rPr>
      </w:pPr>
      <w:r w:rsidRPr="00237723">
        <w:rPr>
          <w:rFonts w:ascii="Times New Roman" w:hAnsi="Times New Roman"/>
        </w:rPr>
        <w:t xml:space="preserve">The purpose of </w:t>
      </w:r>
      <w:r w:rsidRPr="00237723">
        <w:rPr>
          <w:rFonts w:ascii="Times New Roman" w:hAnsi="Times New Roman"/>
          <w:i/>
          <w:iCs/>
        </w:rPr>
        <w:t xml:space="preserve">CASA EX19/21 — Examiner Proficiency Checks (Extensions of Time </w:t>
      </w:r>
      <w:r>
        <w:rPr>
          <w:rFonts w:ascii="Times New Roman" w:hAnsi="Times New Roman"/>
          <w:i/>
          <w:iCs/>
        </w:rPr>
        <w:t>and</w:t>
      </w:r>
      <w:r w:rsidRPr="00237723">
        <w:rPr>
          <w:rFonts w:ascii="Times New Roman" w:hAnsi="Times New Roman"/>
          <w:i/>
          <w:iCs/>
        </w:rPr>
        <w:t xml:space="preserve"> Substitute Proficiency Checks) Exemption Instrument 2021 (No</w:t>
      </w:r>
      <w:r w:rsidRPr="00B23F2F">
        <w:rPr>
          <w:rFonts w:ascii="Times New Roman" w:hAnsi="Times New Roman"/>
          <w:i/>
          <w:iCs/>
        </w:rPr>
        <w:t>. 1</w:t>
      </w:r>
      <w:r w:rsidR="00B23F2F" w:rsidRPr="00B23F2F">
        <w:rPr>
          <w:rFonts w:ascii="Times New Roman" w:hAnsi="Times New Roman"/>
          <w:i/>
          <w:iCs/>
        </w:rPr>
        <w:t>)</w:t>
      </w:r>
      <w:r w:rsidRPr="00564F63">
        <w:rPr>
          <w:rFonts w:ascii="Times New Roman" w:hAnsi="Times New Roman"/>
        </w:rPr>
        <w:t xml:space="preserve"> (the </w:t>
      </w:r>
      <w:r w:rsidRPr="00C52E49">
        <w:rPr>
          <w:rFonts w:ascii="Times New Roman" w:hAnsi="Times New Roman"/>
          <w:b/>
          <w:bCs/>
          <w:i/>
          <w:iCs/>
        </w:rPr>
        <w:t>new EPC exemption</w:t>
      </w:r>
      <w:r w:rsidRPr="00564F63">
        <w:rPr>
          <w:rFonts w:ascii="Times New Roman" w:hAnsi="Times New Roman"/>
        </w:rPr>
        <w:t>)</w:t>
      </w:r>
      <w:r w:rsidRPr="00237723">
        <w:rPr>
          <w:rFonts w:ascii="Times New Roman" w:hAnsi="Times New Roman"/>
        </w:rPr>
        <w:t xml:space="preserve"> is</w:t>
      </w:r>
      <w:r>
        <w:rPr>
          <w:rFonts w:ascii="Times New Roman" w:hAnsi="Times New Roman"/>
        </w:rPr>
        <w:t xml:space="preserve"> twofold:</w:t>
      </w:r>
    </w:p>
    <w:p w14:paraId="44D05834" w14:textId="55EF6D18" w:rsidR="00D01DB7" w:rsidRPr="00A26C48" w:rsidRDefault="00D01DB7" w:rsidP="00A26C48">
      <w:pPr>
        <w:pStyle w:val="ListParagraph"/>
        <w:numPr>
          <w:ilvl w:val="0"/>
          <w:numId w:val="16"/>
        </w:numPr>
        <w:rPr>
          <w:rFonts w:ascii="Times New Roman" w:hAnsi="Times New Roman"/>
        </w:rPr>
      </w:pPr>
      <w:r w:rsidRPr="00A26C48">
        <w:rPr>
          <w:rFonts w:ascii="Times New Roman" w:hAnsi="Times New Roman"/>
        </w:rPr>
        <w:t>to exempt, for various periods of time (not later than 31 December 2021) certain flight examiner rating holders (</w:t>
      </w:r>
      <w:r w:rsidRPr="00A26C48">
        <w:rPr>
          <w:rFonts w:ascii="Times New Roman" w:hAnsi="Times New Roman"/>
          <w:b/>
          <w:bCs/>
          <w:i/>
          <w:iCs/>
        </w:rPr>
        <w:t>FER holders</w:t>
      </w:r>
      <w:r w:rsidRPr="00A26C48">
        <w:rPr>
          <w:rFonts w:ascii="Times New Roman" w:hAnsi="Times New Roman"/>
        </w:rPr>
        <w:t xml:space="preserve">) and certain CASA approval holders from the requirement under regulation 61.1285 of the </w:t>
      </w:r>
      <w:r w:rsidRPr="00A26C48">
        <w:rPr>
          <w:rFonts w:ascii="Times New Roman" w:hAnsi="Times New Roman"/>
          <w:i/>
          <w:iCs/>
        </w:rPr>
        <w:t>Civil Aviation Safety Regulations 1998</w:t>
      </w:r>
      <w:r w:rsidRPr="00A26C48">
        <w:rPr>
          <w:rFonts w:ascii="Times New Roman" w:hAnsi="Times New Roman"/>
        </w:rPr>
        <w:t xml:space="preserve"> (</w:t>
      </w:r>
      <w:r w:rsidRPr="00A26C48">
        <w:rPr>
          <w:rFonts w:ascii="Times New Roman" w:hAnsi="Times New Roman"/>
          <w:b/>
          <w:bCs/>
          <w:i/>
          <w:iCs/>
        </w:rPr>
        <w:t>CASR</w:t>
      </w:r>
      <w:r w:rsidRPr="00A26C48">
        <w:rPr>
          <w:rFonts w:ascii="Times New Roman" w:hAnsi="Times New Roman"/>
        </w:rPr>
        <w:t>) to have a valid examiner proficiency check (</w:t>
      </w:r>
      <w:r w:rsidRPr="00A26C48">
        <w:rPr>
          <w:rFonts w:ascii="Times New Roman" w:hAnsi="Times New Roman"/>
          <w:b/>
          <w:bCs/>
          <w:i/>
          <w:iCs/>
        </w:rPr>
        <w:t>EPC</w:t>
      </w:r>
      <w:r w:rsidRPr="00A26C48">
        <w:rPr>
          <w:rFonts w:ascii="Times New Roman" w:hAnsi="Times New Roman"/>
        </w:rPr>
        <w:t>) that would otherwise be due on 1 April 2021</w:t>
      </w:r>
    </w:p>
    <w:p w14:paraId="07D4A247" w14:textId="77777777" w:rsidR="00D01DB7" w:rsidRPr="00A26C48" w:rsidRDefault="00D01DB7" w:rsidP="00A26C48">
      <w:pPr>
        <w:pStyle w:val="ListParagraph"/>
        <w:numPr>
          <w:ilvl w:val="0"/>
          <w:numId w:val="16"/>
        </w:numPr>
        <w:rPr>
          <w:rFonts w:ascii="Times New Roman" w:hAnsi="Times New Roman"/>
        </w:rPr>
      </w:pPr>
      <w:r w:rsidRPr="00A26C48">
        <w:rPr>
          <w:rFonts w:ascii="Times New Roman" w:hAnsi="Times New Roman"/>
        </w:rPr>
        <w:t>to exempt FER holders from the same requirement provided that, within certain time limits, the holder successfully completes a prescribed substitute proficiency check to be applicable for a defined period of time in place of an EPC otherwise due.</w:t>
      </w:r>
    </w:p>
    <w:p w14:paraId="0956D00E" w14:textId="77777777" w:rsidR="0025496D" w:rsidRDefault="0025496D" w:rsidP="00610FB8">
      <w:pPr>
        <w:rPr>
          <w:rFonts w:ascii="Times New Roman" w:hAnsi="Times New Roman"/>
        </w:rPr>
      </w:pPr>
    </w:p>
    <w:p w14:paraId="3A343174" w14:textId="77777777" w:rsidR="00DF527C" w:rsidRDefault="00610FB8" w:rsidP="00610FB8">
      <w:pPr>
        <w:rPr>
          <w:rFonts w:ascii="Times New Roman" w:hAnsi="Times New Roman"/>
        </w:rPr>
      </w:pPr>
      <w:r>
        <w:rPr>
          <w:rFonts w:ascii="Times New Roman" w:hAnsi="Times New Roman"/>
        </w:rPr>
        <w:t>The substitute proficiency check is, in essence, the ground component of an actual EPC which would otherwise normally involve a flying or simulated flying component</w:t>
      </w:r>
      <w:r w:rsidR="00DF527C">
        <w:rPr>
          <w:rFonts w:ascii="Times New Roman" w:hAnsi="Times New Roman"/>
        </w:rPr>
        <w:t>.</w:t>
      </w:r>
    </w:p>
    <w:p w14:paraId="752708DC" w14:textId="67516FA0" w:rsidR="0025496D" w:rsidRDefault="0025496D" w:rsidP="00610FB8">
      <w:pPr>
        <w:rPr>
          <w:rFonts w:ascii="Times New Roman" w:hAnsi="Times New Roman"/>
        </w:rPr>
      </w:pPr>
    </w:p>
    <w:p w14:paraId="7029B745" w14:textId="436E2FA8" w:rsidR="00610FB8" w:rsidRPr="00237723" w:rsidRDefault="00610FB8" w:rsidP="00610FB8">
      <w:pPr>
        <w:rPr>
          <w:rFonts w:ascii="Times New Roman" w:hAnsi="Times New Roman"/>
        </w:rPr>
      </w:pPr>
      <w:r>
        <w:rPr>
          <w:rFonts w:ascii="Times New Roman" w:hAnsi="Times New Roman"/>
        </w:rPr>
        <w:t>For simplicity, references to an FER holder are taken to include relevant CASA approval holders under regulation 61.040 of CASR who, under the terms of their approval, are also required to have an EPC.</w:t>
      </w:r>
    </w:p>
    <w:p w14:paraId="33BAA303" w14:textId="77777777" w:rsidR="00A4211C" w:rsidRPr="00214C18" w:rsidRDefault="00A4211C" w:rsidP="000E2632">
      <w:pPr>
        <w:pStyle w:val="BodyText"/>
        <w:rPr>
          <w:rFonts w:ascii="Times New Roman" w:hAnsi="Times New Roman"/>
        </w:rPr>
      </w:pPr>
    </w:p>
    <w:p w14:paraId="51C37138" w14:textId="77777777" w:rsidR="00672B98" w:rsidRPr="00214C18" w:rsidRDefault="00672B98" w:rsidP="00A26C48">
      <w:pPr>
        <w:shd w:val="clear" w:color="auto" w:fill="FFFFFF"/>
        <w:rPr>
          <w:rFonts w:ascii="Times New Roman" w:hAnsi="Times New Roman"/>
          <w:b/>
          <w:bCs/>
          <w:lang w:eastAsia="en-AU"/>
        </w:rPr>
      </w:pPr>
      <w:bookmarkStart w:id="5" w:name="_Hlk39478321"/>
      <w:r w:rsidRPr="00214C18">
        <w:rPr>
          <w:rFonts w:ascii="Times New Roman" w:hAnsi="Times New Roman"/>
          <w:b/>
          <w:bCs/>
          <w:lang w:eastAsia="en-AU"/>
        </w:rPr>
        <w:t>Human rights implications</w:t>
      </w:r>
    </w:p>
    <w:p w14:paraId="51DB409E" w14:textId="77777777" w:rsidR="00672B98" w:rsidRPr="00214C18" w:rsidRDefault="00672B98" w:rsidP="00A26C48">
      <w:pPr>
        <w:shd w:val="clear" w:color="auto" w:fill="FFFFFF"/>
        <w:rPr>
          <w:rFonts w:ascii="Times New Roman" w:hAnsi="Times New Roman"/>
          <w:lang w:eastAsia="en-AU"/>
        </w:rPr>
      </w:pPr>
      <w:r w:rsidRPr="00214C18">
        <w:rPr>
          <w:rFonts w:ascii="Times New Roman" w:hAnsi="Times New Roman"/>
          <w:lang w:eastAsia="en-AU"/>
        </w:rPr>
        <w:t>The exemption instrument may engage the following human rights:</w:t>
      </w:r>
    </w:p>
    <w:p w14:paraId="43550295" w14:textId="4BD79E2C" w:rsidR="00573314" w:rsidRPr="00214C18" w:rsidRDefault="00672B98" w:rsidP="00A26C48">
      <w:pPr>
        <w:pStyle w:val="ListParagraph"/>
        <w:numPr>
          <w:ilvl w:val="0"/>
          <w:numId w:val="16"/>
        </w:numPr>
        <w:rPr>
          <w:rFonts w:ascii="Times New Roman" w:hAnsi="Times New Roman"/>
        </w:rPr>
      </w:pPr>
      <w:r w:rsidRPr="00214C18">
        <w:rPr>
          <w:rFonts w:ascii="Times New Roman" w:hAnsi="Times New Roman"/>
          <w:lang w:eastAsia="en-AU"/>
        </w:rPr>
        <w:t>the right to work under Article 6</w:t>
      </w:r>
      <w:r w:rsidR="00353F15" w:rsidRPr="00214C18">
        <w:rPr>
          <w:rFonts w:ascii="Times New Roman" w:hAnsi="Times New Roman"/>
          <w:lang w:eastAsia="en-AU"/>
        </w:rPr>
        <w:t> </w:t>
      </w:r>
      <w:r w:rsidRPr="00214C18">
        <w:rPr>
          <w:rFonts w:ascii="Times New Roman" w:hAnsi="Times New Roman"/>
          <w:lang w:eastAsia="en-AU"/>
        </w:rPr>
        <w:t xml:space="preserve">(1) of the </w:t>
      </w:r>
      <w:r w:rsidR="00573314" w:rsidRPr="00214C18">
        <w:rPr>
          <w:rFonts w:ascii="Times New Roman" w:hAnsi="Times New Roman"/>
          <w:lang w:eastAsia="en-AU"/>
        </w:rPr>
        <w:t xml:space="preserve">International Covenant on Economic, Social and Cultural Rights (the </w:t>
      </w:r>
      <w:r w:rsidR="00573314" w:rsidRPr="00214C18">
        <w:rPr>
          <w:rFonts w:ascii="Times New Roman" w:hAnsi="Times New Roman"/>
          <w:b/>
          <w:bCs/>
          <w:i/>
          <w:iCs/>
          <w:lang w:eastAsia="en-AU"/>
        </w:rPr>
        <w:t>ICESCR</w:t>
      </w:r>
      <w:r w:rsidR="00573314" w:rsidRPr="00214C18">
        <w:rPr>
          <w:rFonts w:ascii="Times New Roman" w:hAnsi="Times New Roman"/>
          <w:lang w:eastAsia="en-AU"/>
        </w:rPr>
        <w:t>)</w:t>
      </w:r>
      <w:r w:rsidR="00573314">
        <w:rPr>
          <w:rFonts w:ascii="Times New Roman" w:hAnsi="Times New Roman"/>
          <w:lang w:eastAsia="en-AU"/>
        </w:rPr>
        <w:t>.</w:t>
      </w:r>
    </w:p>
    <w:p w14:paraId="6E65FA0A" w14:textId="77777777" w:rsidR="00672B98" w:rsidRPr="00214C18" w:rsidRDefault="00672B98" w:rsidP="00A26C48">
      <w:pPr>
        <w:jc w:val="both"/>
        <w:rPr>
          <w:rFonts w:ascii="Times New Roman" w:hAnsi="Times New Roman"/>
          <w:bCs/>
        </w:rPr>
      </w:pPr>
    </w:p>
    <w:p w14:paraId="04017AFA" w14:textId="1284BDA5" w:rsidR="00672B98" w:rsidRPr="00214C18" w:rsidRDefault="00672B98" w:rsidP="00A26C48">
      <w:pPr>
        <w:pStyle w:val="LDBodytext"/>
        <w:rPr>
          <w:b/>
          <w:bCs/>
          <w:i/>
          <w:iCs/>
        </w:rPr>
      </w:pPr>
      <w:r w:rsidRPr="00214C18">
        <w:rPr>
          <w:b/>
          <w:bCs/>
          <w:i/>
          <w:iCs/>
        </w:rPr>
        <w:t xml:space="preserve">Right to work under the </w:t>
      </w:r>
      <w:r w:rsidRPr="00214C18">
        <w:rPr>
          <w:b/>
          <w:bCs/>
          <w:i/>
          <w:iCs/>
          <w:lang w:eastAsia="en-AU"/>
        </w:rPr>
        <w:t>ICESCR</w:t>
      </w:r>
    </w:p>
    <w:p w14:paraId="3D566880" w14:textId="2C0F4A06" w:rsidR="00DF527C" w:rsidRDefault="00573314" w:rsidP="00A26C48">
      <w:pPr>
        <w:pStyle w:val="LDBodytext"/>
        <w:rPr>
          <w:lang w:eastAsia="en-AU"/>
        </w:rPr>
      </w:pPr>
      <w:r>
        <w:t xml:space="preserve">Without the exemption instrument, EPCs for all relevant FER </w:t>
      </w:r>
      <w:r w:rsidRPr="00573314">
        <w:t xml:space="preserve">holders </w:t>
      </w:r>
      <w:r w:rsidRPr="00573314">
        <w:rPr>
          <w:lang w:eastAsia="en-AU"/>
        </w:rPr>
        <w:t xml:space="preserve">would </w:t>
      </w:r>
      <w:r w:rsidR="00761101">
        <w:rPr>
          <w:lang w:eastAsia="en-AU"/>
        </w:rPr>
        <w:t xml:space="preserve">be due for completion not later than </w:t>
      </w:r>
      <w:r w:rsidR="00A27C44">
        <w:rPr>
          <w:lang w:eastAsia="en-AU"/>
        </w:rPr>
        <w:t>3</w:t>
      </w:r>
      <w:r>
        <w:rPr>
          <w:lang w:eastAsia="en-AU"/>
        </w:rPr>
        <w:t xml:space="preserve">1 </w:t>
      </w:r>
      <w:r w:rsidR="00A27C44">
        <w:rPr>
          <w:lang w:eastAsia="en-AU"/>
        </w:rPr>
        <w:t xml:space="preserve">March </w:t>
      </w:r>
      <w:r>
        <w:rPr>
          <w:lang w:eastAsia="en-AU"/>
        </w:rPr>
        <w:t>2021</w:t>
      </w:r>
      <w:r w:rsidR="00DF527C">
        <w:rPr>
          <w:lang w:eastAsia="en-AU"/>
        </w:rPr>
        <w:t>.</w:t>
      </w:r>
    </w:p>
    <w:p w14:paraId="00141667" w14:textId="7F5A114B" w:rsidR="00E601AC" w:rsidRDefault="00E601AC" w:rsidP="00A26C48">
      <w:pPr>
        <w:pStyle w:val="LDBodytext"/>
        <w:rPr>
          <w:lang w:eastAsia="en-AU"/>
        </w:rPr>
      </w:pPr>
    </w:p>
    <w:p w14:paraId="709ED58B" w14:textId="2BB4155B" w:rsidR="00E601AC" w:rsidRDefault="00573314" w:rsidP="00A26C48">
      <w:pPr>
        <w:pStyle w:val="LDBodytext"/>
        <w:rPr>
          <w:lang w:eastAsia="en-AU"/>
        </w:rPr>
      </w:pPr>
      <w:r>
        <w:rPr>
          <w:lang w:eastAsia="en-AU"/>
        </w:rPr>
        <w:t xml:space="preserve">It would be logistically </w:t>
      </w:r>
      <w:r w:rsidR="00E4411C">
        <w:rPr>
          <w:lang w:eastAsia="en-AU"/>
        </w:rPr>
        <w:t>impossible</w:t>
      </w:r>
      <w:r>
        <w:rPr>
          <w:lang w:eastAsia="en-AU"/>
        </w:rPr>
        <w:t xml:space="preserve"> for CASA and the FER holders to complete EPC</w:t>
      </w:r>
      <w:r w:rsidR="00E4411C">
        <w:rPr>
          <w:lang w:eastAsia="en-AU"/>
        </w:rPr>
        <w:t>s</w:t>
      </w:r>
      <w:r>
        <w:rPr>
          <w:lang w:eastAsia="en-AU"/>
        </w:rPr>
        <w:t xml:space="preserve"> in that way, resulting </w:t>
      </w:r>
      <w:r w:rsidR="00E4411C">
        <w:rPr>
          <w:lang w:eastAsia="en-AU"/>
        </w:rPr>
        <w:t>i</w:t>
      </w:r>
      <w:r>
        <w:rPr>
          <w:lang w:eastAsia="en-AU"/>
        </w:rPr>
        <w:t xml:space="preserve">n many of the relevant </w:t>
      </w:r>
      <w:r w:rsidR="00E4411C">
        <w:rPr>
          <w:lang w:eastAsia="en-AU"/>
        </w:rPr>
        <w:t>FER holders being grounded from conducting flight tests, checks, and flight reviews.</w:t>
      </w:r>
    </w:p>
    <w:p w14:paraId="12BB3593" w14:textId="77777777" w:rsidR="00E601AC" w:rsidRDefault="00E601AC" w:rsidP="00A26C48">
      <w:pPr>
        <w:pStyle w:val="LDBodytext"/>
        <w:rPr>
          <w:lang w:eastAsia="en-AU"/>
        </w:rPr>
      </w:pPr>
    </w:p>
    <w:p w14:paraId="42EE26E1" w14:textId="3C672A33" w:rsidR="00DF527C" w:rsidRDefault="00E4411C" w:rsidP="00A26C48">
      <w:pPr>
        <w:pStyle w:val="LDBodytext"/>
        <w:rPr>
          <w:lang w:eastAsia="en-AU"/>
        </w:rPr>
      </w:pPr>
      <w:r>
        <w:rPr>
          <w:lang w:eastAsia="en-AU"/>
        </w:rPr>
        <w:lastRenderedPageBreak/>
        <w:t>Such activities constitute the bulk of the work of the holders and their major source of remuneration. They would be deprived o</w:t>
      </w:r>
      <w:r w:rsidR="00E601AC">
        <w:rPr>
          <w:lang w:eastAsia="en-AU"/>
        </w:rPr>
        <w:t>f</w:t>
      </w:r>
      <w:r>
        <w:rPr>
          <w:lang w:eastAsia="en-AU"/>
        </w:rPr>
        <w:t xml:space="preserve"> this remuneration in the absence of the exemption and, effectively, no longer be employed or employable until they had completed an EPC in a competitive bottleneck with all the other FER holders. CASA has only a very limited number of officers who are themselves qualified to administer an EPC</w:t>
      </w:r>
      <w:r w:rsidR="00E601AC">
        <w:rPr>
          <w:lang w:eastAsia="en-AU"/>
        </w:rPr>
        <w:t xml:space="preserve"> that involves a flying component</w:t>
      </w:r>
      <w:r w:rsidR="00DF527C">
        <w:rPr>
          <w:lang w:eastAsia="en-AU"/>
        </w:rPr>
        <w:t>.</w:t>
      </w:r>
    </w:p>
    <w:p w14:paraId="446F3C0A" w14:textId="36F3D2E3" w:rsidR="00E601AC" w:rsidRDefault="00E601AC" w:rsidP="00A26C48">
      <w:pPr>
        <w:pStyle w:val="LDBodytext"/>
        <w:rPr>
          <w:lang w:eastAsia="en-AU"/>
        </w:rPr>
      </w:pPr>
    </w:p>
    <w:p w14:paraId="3137731D" w14:textId="2049F781" w:rsidR="006E1492" w:rsidRPr="00214C18" w:rsidRDefault="00E4411C" w:rsidP="00A26C48">
      <w:pPr>
        <w:pStyle w:val="LDBodytext"/>
      </w:pPr>
      <w:r>
        <w:rPr>
          <w:lang w:eastAsia="en-AU"/>
        </w:rPr>
        <w:t>Thus, although the instrument imposes an obligation on each of the relevant FER holders to complete a substitute proficiency check, the alternative is the normal operation of the standard aviation safety requirement under regulation 61.1285 to hold a valid EPC. As of 1 April 2021</w:t>
      </w:r>
      <w:r w:rsidR="007315E4">
        <w:rPr>
          <w:lang w:eastAsia="en-AU"/>
        </w:rPr>
        <w:t xml:space="preserve">, because of limited CASA resources, this </w:t>
      </w:r>
      <w:r>
        <w:rPr>
          <w:lang w:eastAsia="en-AU"/>
        </w:rPr>
        <w:t>would be logistically impossible without a delay which would ca</w:t>
      </w:r>
      <w:r w:rsidR="007315E4">
        <w:rPr>
          <w:lang w:eastAsia="en-AU"/>
        </w:rPr>
        <w:t>u</w:t>
      </w:r>
      <w:r>
        <w:rPr>
          <w:lang w:eastAsia="en-AU"/>
        </w:rPr>
        <w:t>se the FER holder to be grounded</w:t>
      </w:r>
      <w:r w:rsidR="007315E4">
        <w:rPr>
          <w:lang w:eastAsia="en-AU"/>
        </w:rPr>
        <w:t xml:space="preserve"> and deprived o</w:t>
      </w:r>
      <w:r w:rsidR="00E601AC">
        <w:rPr>
          <w:lang w:eastAsia="en-AU"/>
        </w:rPr>
        <w:t>f</w:t>
      </w:r>
      <w:r w:rsidR="007315E4">
        <w:rPr>
          <w:lang w:eastAsia="en-AU"/>
        </w:rPr>
        <w:t xml:space="preserve"> income</w:t>
      </w:r>
      <w:r>
        <w:rPr>
          <w:lang w:eastAsia="en-AU"/>
        </w:rPr>
        <w:t>.</w:t>
      </w:r>
    </w:p>
    <w:p w14:paraId="5CAD06C6" w14:textId="77777777" w:rsidR="006E1492" w:rsidRPr="00214C18" w:rsidRDefault="006E1492" w:rsidP="006E1492">
      <w:pPr>
        <w:pStyle w:val="LDBodytext"/>
      </w:pPr>
    </w:p>
    <w:p w14:paraId="69EED61B" w14:textId="3747E871" w:rsidR="00672B98" w:rsidRPr="006233BA" w:rsidRDefault="00672B98" w:rsidP="006E1492">
      <w:pPr>
        <w:pStyle w:val="LDBodytext"/>
        <w:rPr>
          <w:b/>
          <w:i/>
          <w:iCs/>
        </w:rPr>
      </w:pPr>
      <w:r w:rsidRPr="006233BA">
        <w:rPr>
          <w:b/>
          <w:i/>
          <w:iCs/>
        </w:rPr>
        <w:t>Human rights implications</w:t>
      </w:r>
    </w:p>
    <w:p w14:paraId="1F8BEC32" w14:textId="77777777" w:rsidR="00DF527C" w:rsidRDefault="00672B98" w:rsidP="00672B98">
      <w:pPr>
        <w:pStyle w:val="BodyText"/>
        <w:rPr>
          <w:rFonts w:ascii="Times New Roman" w:hAnsi="Times New Roman"/>
        </w:rPr>
      </w:pPr>
      <w:r w:rsidRPr="00214C18">
        <w:rPr>
          <w:rFonts w:ascii="Times New Roman" w:hAnsi="Times New Roman"/>
        </w:rPr>
        <w:t xml:space="preserve">The exemption in the legislative instrument </w:t>
      </w:r>
      <w:r w:rsidR="00E4411C">
        <w:rPr>
          <w:rFonts w:ascii="Times New Roman" w:hAnsi="Times New Roman"/>
        </w:rPr>
        <w:t>is</w:t>
      </w:r>
      <w:r w:rsidRPr="00214C18">
        <w:rPr>
          <w:rFonts w:ascii="Times New Roman" w:hAnsi="Times New Roman"/>
        </w:rPr>
        <w:t xml:space="preserve"> compatible with the human rights and freedoms recognised or declared in the international instruments listed in section 3 of the </w:t>
      </w:r>
      <w:r w:rsidRPr="00214C18">
        <w:rPr>
          <w:rFonts w:ascii="Times New Roman" w:hAnsi="Times New Roman"/>
          <w:i/>
          <w:iCs/>
        </w:rPr>
        <w:t>Human Rights (Parliamentary Scrutiny) Act 2011</w:t>
      </w:r>
      <w:r w:rsidR="00DF527C">
        <w:rPr>
          <w:rFonts w:ascii="Times New Roman" w:hAnsi="Times New Roman"/>
        </w:rPr>
        <w:t>.</w:t>
      </w:r>
    </w:p>
    <w:p w14:paraId="117594D9" w14:textId="45566C77" w:rsidR="00E601AC" w:rsidRDefault="00E601AC" w:rsidP="00672B98">
      <w:pPr>
        <w:pStyle w:val="BodyText"/>
        <w:rPr>
          <w:rFonts w:ascii="Times New Roman" w:hAnsi="Times New Roman"/>
        </w:rPr>
      </w:pPr>
    </w:p>
    <w:p w14:paraId="0F9B0729" w14:textId="7E494514" w:rsidR="00E601AC" w:rsidRDefault="00672B98" w:rsidP="00672B98">
      <w:pPr>
        <w:pStyle w:val="BodyText"/>
        <w:rPr>
          <w:rFonts w:ascii="Times New Roman" w:hAnsi="Times New Roman"/>
        </w:rPr>
      </w:pPr>
      <w:r w:rsidRPr="00214C18">
        <w:rPr>
          <w:rFonts w:ascii="Times New Roman" w:hAnsi="Times New Roman"/>
        </w:rPr>
        <w:t>To the extent that the instrument engages certain of these rights</w:t>
      </w:r>
      <w:r w:rsidR="007315E4">
        <w:rPr>
          <w:rFonts w:ascii="Times New Roman" w:hAnsi="Times New Roman"/>
        </w:rPr>
        <w:t>, by imposing</w:t>
      </w:r>
      <w:r w:rsidR="00610FB8">
        <w:rPr>
          <w:rFonts w:ascii="Times New Roman" w:hAnsi="Times New Roman"/>
        </w:rPr>
        <w:t xml:space="preserve"> substitute</w:t>
      </w:r>
      <w:r w:rsidR="007315E4">
        <w:rPr>
          <w:rFonts w:ascii="Times New Roman" w:hAnsi="Times New Roman"/>
        </w:rPr>
        <w:t xml:space="preserve"> proficiency checking obligations o</w:t>
      </w:r>
      <w:r w:rsidR="00E601AC">
        <w:rPr>
          <w:rFonts w:ascii="Times New Roman" w:hAnsi="Times New Roman"/>
        </w:rPr>
        <w:t>n</w:t>
      </w:r>
      <w:r w:rsidR="007315E4">
        <w:rPr>
          <w:rFonts w:ascii="Times New Roman" w:hAnsi="Times New Roman"/>
        </w:rPr>
        <w:t xml:space="preserve"> FER holders before they may conduct flight test</w:t>
      </w:r>
      <w:r w:rsidR="00E601AC">
        <w:rPr>
          <w:rFonts w:ascii="Times New Roman" w:hAnsi="Times New Roman"/>
        </w:rPr>
        <w:t>s</w:t>
      </w:r>
      <w:r w:rsidR="007315E4">
        <w:rPr>
          <w:rFonts w:ascii="Times New Roman" w:hAnsi="Times New Roman"/>
        </w:rPr>
        <w:t>, check</w:t>
      </w:r>
      <w:r w:rsidR="00E601AC">
        <w:rPr>
          <w:rFonts w:ascii="Times New Roman" w:hAnsi="Times New Roman"/>
        </w:rPr>
        <w:t>s</w:t>
      </w:r>
      <w:r w:rsidR="007315E4">
        <w:rPr>
          <w:rFonts w:ascii="Times New Roman" w:hAnsi="Times New Roman"/>
        </w:rPr>
        <w:t xml:space="preserve"> </w:t>
      </w:r>
      <w:r w:rsidR="00E601AC">
        <w:rPr>
          <w:rFonts w:ascii="Times New Roman" w:hAnsi="Times New Roman"/>
        </w:rPr>
        <w:t>and</w:t>
      </w:r>
      <w:r w:rsidR="007315E4">
        <w:rPr>
          <w:rFonts w:ascii="Times New Roman" w:hAnsi="Times New Roman"/>
        </w:rPr>
        <w:t xml:space="preserve"> f</w:t>
      </w:r>
      <w:r w:rsidR="00E601AC">
        <w:rPr>
          <w:rFonts w:ascii="Times New Roman" w:hAnsi="Times New Roman"/>
        </w:rPr>
        <w:t>l</w:t>
      </w:r>
      <w:r w:rsidR="007315E4">
        <w:rPr>
          <w:rFonts w:ascii="Times New Roman" w:hAnsi="Times New Roman"/>
        </w:rPr>
        <w:t>ight reviews,</w:t>
      </w:r>
      <w:r w:rsidRPr="00214C18">
        <w:rPr>
          <w:rFonts w:ascii="Times New Roman" w:hAnsi="Times New Roman"/>
        </w:rPr>
        <w:t xml:space="preserve"> it does so in a way that is </w:t>
      </w:r>
      <w:r w:rsidRPr="00214C18">
        <w:rPr>
          <w:rFonts w:eastAsia="Calibri"/>
        </w:rPr>
        <w:t>reasonable, necessary and proportionate to ensure the</w:t>
      </w:r>
      <w:r w:rsidR="00E601AC">
        <w:rPr>
          <w:rFonts w:eastAsia="Calibri"/>
        </w:rPr>
        <w:t xml:space="preserve"> continued capacity of the FER holders to conduct flight tests while preserving an acceptable level of aviation safety</w:t>
      </w:r>
      <w:r w:rsidR="00B63343">
        <w:rPr>
          <w:rFonts w:eastAsia="Calibri"/>
        </w:rPr>
        <w:t>.</w:t>
      </w:r>
    </w:p>
    <w:p w14:paraId="2BC17B5B" w14:textId="77777777" w:rsidR="00E601AC" w:rsidRDefault="00E601AC" w:rsidP="00672B98">
      <w:pPr>
        <w:pStyle w:val="BodyText"/>
        <w:rPr>
          <w:rFonts w:ascii="Times New Roman" w:hAnsi="Times New Roman"/>
        </w:rPr>
      </w:pPr>
    </w:p>
    <w:p w14:paraId="69DCAF68" w14:textId="77777777" w:rsidR="00672B98" w:rsidRPr="00214C18" w:rsidRDefault="00672B98" w:rsidP="00672B98">
      <w:pPr>
        <w:jc w:val="both"/>
        <w:rPr>
          <w:rFonts w:ascii="Times New Roman" w:hAnsi="Times New Roman"/>
          <w:b/>
        </w:rPr>
      </w:pPr>
      <w:r w:rsidRPr="00214C18">
        <w:rPr>
          <w:rFonts w:ascii="Times New Roman" w:hAnsi="Times New Roman"/>
          <w:b/>
        </w:rPr>
        <w:t>Conclusion</w:t>
      </w:r>
    </w:p>
    <w:p w14:paraId="40A28339" w14:textId="1C8FB9EF" w:rsidR="00E601AC" w:rsidRDefault="00672B98" w:rsidP="00672B98">
      <w:pPr>
        <w:pStyle w:val="BodyText"/>
        <w:rPr>
          <w:rFonts w:ascii="Times New Roman" w:hAnsi="Times New Roman"/>
        </w:rPr>
      </w:pPr>
      <w:r w:rsidRPr="00214C18">
        <w:rPr>
          <w:rFonts w:ascii="Times New Roman" w:hAnsi="Times New Roman"/>
        </w:rPr>
        <w:t xml:space="preserve">This legislative instrument is compatible with human rights, and to the extent that it </w:t>
      </w:r>
      <w:r w:rsidR="00E601AC">
        <w:rPr>
          <w:rFonts w:ascii="Times New Roman" w:hAnsi="Times New Roman"/>
        </w:rPr>
        <w:t xml:space="preserve">may </w:t>
      </w:r>
      <w:r w:rsidRPr="00214C18">
        <w:rPr>
          <w:rFonts w:ascii="Times New Roman" w:hAnsi="Times New Roman"/>
        </w:rPr>
        <w:t>engage certain rights it does so in a way tha</w:t>
      </w:r>
      <w:r w:rsidR="00E601AC">
        <w:rPr>
          <w:rFonts w:ascii="Times New Roman" w:hAnsi="Times New Roman"/>
        </w:rPr>
        <w:t xml:space="preserve">t is </w:t>
      </w:r>
      <w:r w:rsidR="00E601AC" w:rsidRPr="00214C18">
        <w:rPr>
          <w:rFonts w:eastAsia="Calibri"/>
        </w:rPr>
        <w:t>reasonable, necessary and proportionate</w:t>
      </w:r>
      <w:r w:rsidR="00E601AC">
        <w:rPr>
          <w:rFonts w:eastAsia="Calibri"/>
        </w:rPr>
        <w:t xml:space="preserve"> in the interests of aviation safety</w:t>
      </w:r>
      <w:r w:rsidR="00E601AC">
        <w:rPr>
          <w:rFonts w:ascii="Times New Roman" w:hAnsi="Times New Roman"/>
        </w:rPr>
        <w:t>.</w:t>
      </w:r>
    </w:p>
    <w:bookmarkEnd w:id="5"/>
    <w:p w14:paraId="661C79BA" w14:textId="77777777" w:rsidR="00F15472" w:rsidRPr="00214C18" w:rsidRDefault="00F15472" w:rsidP="00B23F2F">
      <w:pPr>
        <w:spacing w:before="480" w:after="120"/>
        <w:jc w:val="center"/>
        <w:rPr>
          <w:rFonts w:ascii="Times New Roman" w:hAnsi="Times New Roman"/>
          <w:b/>
          <w:bCs/>
        </w:rPr>
      </w:pPr>
      <w:r w:rsidRPr="00214C18">
        <w:rPr>
          <w:rFonts w:ascii="Times New Roman" w:hAnsi="Times New Roman"/>
          <w:b/>
          <w:bCs/>
        </w:rPr>
        <w:t>Civil Aviation Safety Authority</w:t>
      </w:r>
    </w:p>
    <w:sectPr w:rsidR="00F15472" w:rsidRPr="00214C18" w:rsidSect="0087565B">
      <w:headerReference w:type="even" r:id="rId8"/>
      <w:headerReference w:type="default" r:id="rId9"/>
      <w:footerReference w:type="even" r:id="rId10"/>
      <w:footerReference w:type="default" r:id="rId11"/>
      <w:headerReference w:type="first" r:id="rId12"/>
      <w:footerReference w:type="first" r:id="rId13"/>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70988" w14:textId="77777777" w:rsidR="00053086" w:rsidRDefault="00053086">
      <w:r>
        <w:separator/>
      </w:r>
    </w:p>
  </w:endnote>
  <w:endnote w:type="continuationSeparator" w:id="0">
    <w:p w14:paraId="59EF8049" w14:textId="77777777" w:rsidR="00053086" w:rsidRDefault="0005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3EAAD" w14:textId="77777777" w:rsidR="00C63BDA" w:rsidRDefault="00C63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8D02F" w14:textId="77777777" w:rsidR="00C63BDA" w:rsidRDefault="00C63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11F50" w14:textId="77777777" w:rsidR="00C63BDA" w:rsidRDefault="00C63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61221" w14:textId="77777777" w:rsidR="00053086" w:rsidRDefault="00053086">
      <w:r>
        <w:separator/>
      </w:r>
    </w:p>
  </w:footnote>
  <w:footnote w:type="continuationSeparator" w:id="0">
    <w:p w14:paraId="5F0BE163" w14:textId="77777777" w:rsidR="00053086" w:rsidRDefault="00053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AFD88" w14:textId="77777777" w:rsidR="00C63BDA" w:rsidRDefault="00C63BDA"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C63BDA" w:rsidRDefault="00C63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DAF45" w14:textId="3BBD5CA6" w:rsidR="00C63BDA" w:rsidRPr="00DE500D" w:rsidRDefault="004E718D">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C63BDA" w:rsidRPr="00DE500D">
          <w:rPr>
            <w:rFonts w:ascii="Times New Roman" w:hAnsi="Times New Roman"/>
          </w:rPr>
          <w:fldChar w:fldCharType="begin"/>
        </w:r>
        <w:r w:rsidR="00C63BDA" w:rsidRPr="00DE500D">
          <w:rPr>
            <w:rFonts w:ascii="Times New Roman" w:hAnsi="Times New Roman"/>
          </w:rPr>
          <w:instrText xml:space="preserve"> PAGE   \* MERGEFORMAT </w:instrText>
        </w:r>
        <w:r w:rsidR="00C63BDA" w:rsidRPr="00DE500D">
          <w:rPr>
            <w:rFonts w:ascii="Times New Roman" w:hAnsi="Times New Roman"/>
          </w:rPr>
          <w:fldChar w:fldCharType="separate"/>
        </w:r>
        <w:r w:rsidR="00C63BDA">
          <w:rPr>
            <w:rFonts w:ascii="Times New Roman" w:hAnsi="Times New Roman"/>
            <w:noProof/>
          </w:rPr>
          <w:t>7</w:t>
        </w:r>
        <w:r w:rsidR="00C63BDA" w:rsidRPr="00DE500D">
          <w:rPr>
            <w:rFonts w:ascii="Times New Roman" w:hAnsi="Times New Roman"/>
            <w:noProof/>
          </w:rPr>
          <w:fldChar w:fldCharType="end"/>
        </w:r>
      </w:sdtContent>
    </w:sdt>
  </w:p>
  <w:p w14:paraId="3C79C794" w14:textId="77777777" w:rsidR="00C63BDA" w:rsidRPr="00DE500D" w:rsidRDefault="00C63BDA">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718C" w14:textId="77777777" w:rsidR="00C63BDA" w:rsidRDefault="00C63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3D1165E"/>
    <w:multiLevelType w:val="hybridMultilevel"/>
    <w:tmpl w:val="AFEA26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9"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E1F4AA7"/>
    <w:multiLevelType w:val="hybridMultilevel"/>
    <w:tmpl w:val="5A5CC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6BC70C41"/>
    <w:multiLevelType w:val="hybridMultilevel"/>
    <w:tmpl w:val="781C28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9"/>
  </w:num>
  <w:num w:numId="5">
    <w:abstractNumId w:val="2"/>
  </w:num>
  <w:num w:numId="6">
    <w:abstractNumId w:val="6"/>
  </w:num>
  <w:num w:numId="7">
    <w:abstractNumId w:val="7"/>
  </w:num>
  <w:num w:numId="8">
    <w:abstractNumId w:val="15"/>
  </w:num>
  <w:num w:numId="9">
    <w:abstractNumId w:val="14"/>
  </w:num>
  <w:num w:numId="10">
    <w:abstractNumId w:val="12"/>
  </w:num>
  <w:num w:numId="11">
    <w:abstractNumId w:val="8"/>
  </w:num>
  <w:num w:numId="12">
    <w:abstractNumId w:val="1"/>
  </w:num>
  <w:num w:numId="13">
    <w:abstractNumId w:val="4"/>
  </w:num>
  <w:num w:numId="14">
    <w:abstractNumId w:val="1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2F5D"/>
    <w:rsid w:val="00003205"/>
    <w:rsid w:val="00004406"/>
    <w:rsid w:val="00010B13"/>
    <w:rsid w:val="00011C42"/>
    <w:rsid w:val="000138B2"/>
    <w:rsid w:val="00014B80"/>
    <w:rsid w:val="00015467"/>
    <w:rsid w:val="00016A72"/>
    <w:rsid w:val="0001723C"/>
    <w:rsid w:val="00022831"/>
    <w:rsid w:val="000267B6"/>
    <w:rsid w:val="00026D3D"/>
    <w:rsid w:val="00034F94"/>
    <w:rsid w:val="00036A46"/>
    <w:rsid w:val="00036CB4"/>
    <w:rsid w:val="00040E9D"/>
    <w:rsid w:val="00041A34"/>
    <w:rsid w:val="00041C40"/>
    <w:rsid w:val="00053086"/>
    <w:rsid w:val="00053356"/>
    <w:rsid w:val="000533BB"/>
    <w:rsid w:val="00055749"/>
    <w:rsid w:val="00060741"/>
    <w:rsid w:val="00060822"/>
    <w:rsid w:val="00061641"/>
    <w:rsid w:val="000621C3"/>
    <w:rsid w:val="000649EA"/>
    <w:rsid w:val="00064A49"/>
    <w:rsid w:val="00065309"/>
    <w:rsid w:val="00070628"/>
    <w:rsid w:val="0007169F"/>
    <w:rsid w:val="00074414"/>
    <w:rsid w:val="000753DC"/>
    <w:rsid w:val="000755D1"/>
    <w:rsid w:val="00075A43"/>
    <w:rsid w:val="000800F9"/>
    <w:rsid w:val="00087E12"/>
    <w:rsid w:val="000960ED"/>
    <w:rsid w:val="000A6E0F"/>
    <w:rsid w:val="000B3546"/>
    <w:rsid w:val="000B649F"/>
    <w:rsid w:val="000B6DA1"/>
    <w:rsid w:val="000B7CE3"/>
    <w:rsid w:val="000C0FB8"/>
    <w:rsid w:val="000C1E23"/>
    <w:rsid w:val="000C2832"/>
    <w:rsid w:val="000C398B"/>
    <w:rsid w:val="000C49EA"/>
    <w:rsid w:val="000D2BCF"/>
    <w:rsid w:val="000E130B"/>
    <w:rsid w:val="000E2632"/>
    <w:rsid w:val="000E2EDF"/>
    <w:rsid w:val="000E5E74"/>
    <w:rsid w:val="000E7541"/>
    <w:rsid w:val="000F1625"/>
    <w:rsid w:val="000F3710"/>
    <w:rsid w:val="000F49D4"/>
    <w:rsid w:val="000F69D6"/>
    <w:rsid w:val="000F7AC6"/>
    <w:rsid w:val="00102102"/>
    <w:rsid w:val="001027B6"/>
    <w:rsid w:val="0010297C"/>
    <w:rsid w:val="001040D9"/>
    <w:rsid w:val="00107E10"/>
    <w:rsid w:val="001117BC"/>
    <w:rsid w:val="00111F03"/>
    <w:rsid w:val="00112B87"/>
    <w:rsid w:val="0012048F"/>
    <w:rsid w:val="00122A90"/>
    <w:rsid w:val="00123610"/>
    <w:rsid w:val="00123FD4"/>
    <w:rsid w:val="00126497"/>
    <w:rsid w:val="0013404B"/>
    <w:rsid w:val="00137848"/>
    <w:rsid w:val="001416F8"/>
    <w:rsid w:val="00147014"/>
    <w:rsid w:val="00147111"/>
    <w:rsid w:val="00147A8F"/>
    <w:rsid w:val="001519BF"/>
    <w:rsid w:val="00152AF9"/>
    <w:rsid w:val="0015612A"/>
    <w:rsid w:val="0016073F"/>
    <w:rsid w:val="0016598B"/>
    <w:rsid w:val="00165C94"/>
    <w:rsid w:val="00167A8B"/>
    <w:rsid w:val="00167F3C"/>
    <w:rsid w:val="0017091E"/>
    <w:rsid w:val="001710EA"/>
    <w:rsid w:val="00171CBE"/>
    <w:rsid w:val="001739E5"/>
    <w:rsid w:val="00175C40"/>
    <w:rsid w:val="00175FFD"/>
    <w:rsid w:val="00182CB3"/>
    <w:rsid w:val="00185F18"/>
    <w:rsid w:val="001915ED"/>
    <w:rsid w:val="00192345"/>
    <w:rsid w:val="00194C1C"/>
    <w:rsid w:val="00196815"/>
    <w:rsid w:val="00196951"/>
    <w:rsid w:val="0019733E"/>
    <w:rsid w:val="001A04AD"/>
    <w:rsid w:val="001A058E"/>
    <w:rsid w:val="001A3C7F"/>
    <w:rsid w:val="001A4BF8"/>
    <w:rsid w:val="001A565C"/>
    <w:rsid w:val="001B0B74"/>
    <w:rsid w:val="001B1541"/>
    <w:rsid w:val="001B2932"/>
    <w:rsid w:val="001B494E"/>
    <w:rsid w:val="001B6ADD"/>
    <w:rsid w:val="001C0A45"/>
    <w:rsid w:val="001C4F02"/>
    <w:rsid w:val="001C6A4E"/>
    <w:rsid w:val="001C737A"/>
    <w:rsid w:val="001C7889"/>
    <w:rsid w:val="001D185E"/>
    <w:rsid w:val="001E2227"/>
    <w:rsid w:val="001E6EB3"/>
    <w:rsid w:val="001F19FC"/>
    <w:rsid w:val="001F1F38"/>
    <w:rsid w:val="001F6E08"/>
    <w:rsid w:val="002003CA"/>
    <w:rsid w:val="00205BE7"/>
    <w:rsid w:val="0020678C"/>
    <w:rsid w:val="002110B1"/>
    <w:rsid w:val="002113D6"/>
    <w:rsid w:val="00212DC3"/>
    <w:rsid w:val="00214226"/>
    <w:rsid w:val="00214C18"/>
    <w:rsid w:val="002150FC"/>
    <w:rsid w:val="0022022E"/>
    <w:rsid w:val="0022668C"/>
    <w:rsid w:val="00231924"/>
    <w:rsid w:val="00233306"/>
    <w:rsid w:val="00236271"/>
    <w:rsid w:val="00237723"/>
    <w:rsid w:val="00240BAB"/>
    <w:rsid w:val="002419B6"/>
    <w:rsid w:val="00242604"/>
    <w:rsid w:val="002426E8"/>
    <w:rsid w:val="00243DED"/>
    <w:rsid w:val="002472BB"/>
    <w:rsid w:val="00247B1B"/>
    <w:rsid w:val="0025496D"/>
    <w:rsid w:val="002632D8"/>
    <w:rsid w:val="00264287"/>
    <w:rsid w:val="0026718E"/>
    <w:rsid w:val="00274D07"/>
    <w:rsid w:val="002835F9"/>
    <w:rsid w:val="0028527D"/>
    <w:rsid w:val="002860B9"/>
    <w:rsid w:val="00286D84"/>
    <w:rsid w:val="002877C6"/>
    <w:rsid w:val="00293BB6"/>
    <w:rsid w:val="0029424C"/>
    <w:rsid w:val="00295588"/>
    <w:rsid w:val="0029689B"/>
    <w:rsid w:val="00297E57"/>
    <w:rsid w:val="002A06D3"/>
    <w:rsid w:val="002A1419"/>
    <w:rsid w:val="002A1E89"/>
    <w:rsid w:val="002A3C18"/>
    <w:rsid w:val="002A5299"/>
    <w:rsid w:val="002A64BF"/>
    <w:rsid w:val="002B3410"/>
    <w:rsid w:val="002B417A"/>
    <w:rsid w:val="002B5F8D"/>
    <w:rsid w:val="002B6535"/>
    <w:rsid w:val="002B6899"/>
    <w:rsid w:val="002B69CA"/>
    <w:rsid w:val="002C0F30"/>
    <w:rsid w:val="002C7C89"/>
    <w:rsid w:val="002C7E6E"/>
    <w:rsid w:val="002D0790"/>
    <w:rsid w:val="002D3638"/>
    <w:rsid w:val="002D53F2"/>
    <w:rsid w:val="002D5C0E"/>
    <w:rsid w:val="002D71D4"/>
    <w:rsid w:val="002E023A"/>
    <w:rsid w:val="002E292F"/>
    <w:rsid w:val="002E41D4"/>
    <w:rsid w:val="002E61C2"/>
    <w:rsid w:val="002F6BA2"/>
    <w:rsid w:val="002F70BA"/>
    <w:rsid w:val="003000EF"/>
    <w:rsid w:val="003068D0"/>
    <w:rsid w:val="003109E4"/>
    <w:rsid w:val="00310EBD"/>
    <w:rsid w:val="003118B6"/>
    <w:rsid w:val="00312F15"/>
    <w:rsid w:val="003224BD"/>
    <w:rsid w:val="003231EC"/>
    <w:rsid w:val="003246CB"/>
    <w:rsid w:val="00324A5B"/>
    <w:rsid w:val="00325792"/>
    <w:rsid w:val="00332A6C"/>
    <w:rsid w:val="00333DF9"/>
    <w:rsid w:val="00336E3A"/>
    <w:rsid w:val="003372FB"/>
    <w:rsid w:val="00340712"/>
    <w:rsid w:val="0034240C"/>
    <w:rsid w:val="00342B33"/>
    <w:rsid w:val="00343AFC"/>
    <w:rsid w:val="00344148"/>
    <w:rsid w:val="003472DA"/>
    <w:rsid w:val="00347736"/>
    <w:rsid w:val="00353F15"/>
    <w:rsid w:val="00355A26"/>
    <w:rsid w:val="003614EC"/>
    <w:rsid w:val="003625B5"/>
    <w:rsid w:val="00363D44"/>
    <w:rsid w:val="003646F4"/>
    <w:rsid w:val="00366577"/>
    <w:rsid w:val="0037070B"/>
    <w:rsid w:val="00370B9C"/>
    <w:rsid w:val="00371B1D"/>
    <w:rsid w:val="00371C2C"/>
    <w:rsid w:val="00372AD9"/>
    <w:rsid w:val="00372CA1"/>
    <w:rsid w:val="0037388B"/>
    <w:rsid w:val="00375DDB"/>
    <w:rsid w:val="0037617F"/>
    <w:rsid w:val="00381352"/>
    <w:rsid w:val="00381968"/>
    <w:rsid w:val="003823A1"/>
    <w:rsid w:val="00385426"/>
    <w:rsid w:val="00387E75"/>
    <w:rsid w:val="00395991"/>
    <w:rsid w:val="003A52DD"/>
    <w:rsid w:val="003A5769"/>
    <w:rsid w:val="003A681B"/>
    <w:rsid w:val="003A7E5C"/>
    <w:rsid w:val="003B113F"/>
    <w:rsid w:val="003B259D"/>
    <w:rsid w:val="003B5D0D"/>
    <w:rsid w:val="003C5318"/>
    <w:rsid w:val="003D37BE"/>
    <w:rsid w:val="003D4005"/>
    <w:rsid w:val="003D5B11"/>
    <w:rsid w:val="003D6D7B"/>
    <w:rsid w:val="003E0426"/>
    <w:rsid w:val="003E1083"/>
    <w:rsid w:val="003E685B"/>
    <w:rsid w:val="003F1CE7"/>
    <w:rsid w:val="003F39B1"/>
    <w:rsid w:val="003F4408"/>
    <w:rsid w:val="003F6830"/>
    <w:rsid w:val="003F6A81"/>
    <w:rsid w:val="003F723A"/>
    <w:rsid w:val="00402119"/>
    <w:rsid w:val="004056B8"/>
    <w:rsid w:val="00405C77"/>
    <w:rsid w:val="0040637E"/>
    <w:rsid w:val="00406E53"/>
    <w:rsid w:val="004144E5"/>
    <w:rsid w:val="00416CA5"/>
    <w:rsid w:val="004173E9"/>
    <w:rsid w:val="004174CA"/>
    <w:rsid w:val="00426700"/>
    <w:rsid w:val="004268F6"/>
    <w:rsid w:val="004303FA"/>
    <w:rsid w:val="0043264F"/>
    <w:rsid w:val="00432E63"/>
    <w:rsid w:val="00435589"/>
    <w:rsid w:val="00435656"/>
    <w:rsid w:val="004369E9"/>
    <w:rsid w:val="00437324"/>
    <w:rsid w:val="004375A7"/>
    <w:rsid w:val="0044009D"/>
    <w:rsid w:val="00444508"/>
    <w:rsid w:val="00456059"/>
    <w:rsid w:val="00456890"/>
    <w:rsid w:val="004607B5"/>
    <w:rsid w:val="00463CE7"/>
    <w:rsid w:val="004642DB"/>
    <w:rsid w:val="00470FCF"/>
    <w:rsid w:val="00471EF8"/>
    <w:rsid w:val="00475DF8"/>
    <w:rsid w:val="00475EC3"/>
    <w:rsid w:val="00476B90"/>
    <w:rsid w:val="00477E82"/>
    <w:rsid w:val="00480771"/>
    <w:rsid w:val="00481388"/>
    <w:rsid w:val="0048144D"/>
    <w:rsid w:val="00483C14"/>
    <w:rsid w:val="0048576F"/>
    <w:rsid w:val="00485920"/>
    <w:rsid w:val="00486443"/>
    <w:rsid w:val="00486E67"/>
    <w:rsid w:val="00487302"/>
    <w:rsid w:val="00491AE3"/>
    <w:rsid w:val="00492881"/>
    <w:rsid w:val="004A05BD"/>
    <w:rsid w:val="004A2242"/>
    <w:rsid w:val="004A2525"/>
    <w:rsid w:val="004A3B69"/>
    <w:rsid w:val="004A502E"/>
    <w:rsid w:val="004A5BF6"/>
    <w:rsid w:val="004A601F"/>
    <w:rsid w:val="004A651B"/>
    <w:rsid w:val="004B029C"/>
    <w:rsid w:val="004B4097"/>
    <w:rsid w:val="004C146B"/>
    <w:rsid w:val="004C227D"/>
    <w:rsid w:val="004C2576"/>
    <w:rsid w:val="004C2E34"/>
    <w:rsid w:val="004C3D19"/>
    <w:rsid w:val="004D2ED2"/>
    <w:rsid w:val="004D58BE"/>
    <w:rsid w:val="004D73F7"/>
    <w:rsid w:val="004E1383"/>
    <w:rsid w:val="004E2A4D"/>
    <w:rsid w:val="004E718D"/>
    <w:rsid w:val="004F007E"/>
    <w:rsid w:val="004F09BF"/>
    <w:rsid w:val="004F1205"/>
    <w:rsid w:val="004F24BE"/>
    <w:rsid w:val="004F32BA"/>
    <w:rsid w:val="004F4928"/>
    <w:rsid w:val="004F7996"/>
    <w:rsid w:val="00500BB9"/>
    <w:rsid w:val="00503B3B"/>
    <w:rsid w:val="00504AD0"/>
    <w:rsid w:val="00516E03"/>
    <w:rsid w:val="00517C49"/>
    <w:rsid w:val="00525061"/>
    <w:rsid w:val="00530009"/>
    <w:rsid w:val="0053048A"/>
    <w:rsid w:val="00533193"/>
    <w:rsid w:val="00533D49"/>
    <w:rsid w:val="005349BA"/>
    <w:rsid w:val="00534CB6"/>
    <w:rsid w:val="00534FE2"/>
    <w:rsid w:val="00540BF4"/>
    <w:rsid w:val="00544525"/>
    <w:rsid w:val="0054577B"/>
    <w:rsid w:val="005527A2"/>
    <w:rsid w:val="00552BE3"/>
    <w:rsid w:val="0055311E"/>
    <w:rsid w:val="0055487B"/>
    <w:rsid w:val="00554FED"/>
    <w:rsid w:val="00556645"/>
    <w:rsid w:val="00556D70"/>
    <w:rsid w:val="00556D7B"/>
    <w:rsid w:val="00557748"/>
    <w:rsid w:val="00561037"/>
    <w:rsid w:val="005622ED"/>
    <w:rsid w:val="00562C0B"/>
    <w:rsid w:val="0056477D"/>
    <w:rsid w:val="00564F63"/>
    <w:rsid w:val="005679FD"/>
    <w:rsid w:val="00567E05"/>
    <w:rsid w:val="005721FE"/>
    <w:rsid w:val="00573314"/>
    <w:rsid w:val="00577D54"/>
    <w:rsid w:val="00582FEC"/>
    <w:rsid w:val="00585EAA"/>
    <w:rsid w:val="00586DE4"/>
    <w:rsid w:val="00591F19"/>
    <w:rsid w:val="00593649"/>
    <w:rsid w:val="00597C08"/>
    <w:rsid w:val="005A028B"/>
    <w:rsid w:val="005A2AE9"/>
    <w:rsid w:val="005B0126"/>
    <w:rsid w:val="005B1756"/>
    <w:rsid w:val="005B3751"/>
    <w:rsid w:val="005B3B9B"/>
    <w:rsid w:val="005C1BEF"/>
    <w:rsid w:val="005C2285"/>
    <w:rsid w:val="005C43E0"/>
    <w:rsid w:val="005C52A4"/>
    <w:rsid w:val="005C7863"/>
    <w:rsid w:val="005D0C6B"/>
    <w:rsid w:val="005D196C"/>
    <w:rsid w:val="005D766B"/>
    <w:rsid w:val="005E4D0D"/>
    <w:rsid w:val="005E70E1"/>
    <w:rsid w:val="005F24D7"/>
    <w:rsid w:val="005F27BE"/>
    <w:rsid w:val="005F4059"/>
    <w:rsid w:val="005F623B"/>
    <w:rsid w:val="005F63CD"/>
    <w:rsid w:val="005F6CD9"/>
    <w:rsid w:val="006063D5"/>
    <w:rsid w:val="006109DD"/>
    <w:rsid w:val="00610E66"/>
    <w:rsid w:val="00610FB8"/>
    <w:rsid w:val="00612DDB"/>
    <w:rsid w:val="00615A68"/>
    <w:rsid w:val="00621729"/>
    <w:rsid w:val="00621B3D"/>
    <w:rsid w:val="006233BA"/>
    <w:rsid w:val="0062346F"/>
    <w:rsid w:val="00624E45"/>
    <w:rsid w:val="00624ECD"/>
    <w:rsid w:val="00631BBA"/>
    <w:rsid w:val="00633B9C"/>
    <w:rsid w:val="006340A0"/>
    <w:rsid w:val="006361BF"/>
    <w:rsid w:val="006367F8"/>
    <w:rsid w:val="00637861"/>
    <w:rsid w:val="00640430"/>
    <w:rsid w:val="00642009"/>
    <w:rsid w:val="00643EE2"/>
    <w:rsid w:val="00646118"/>
    <w:rsid w:val="006467CB"/>
    <w:rsid w:val="0064751B"/>
    <w:rsid w:val="00657652"/>
    <w:rsid w:val="0065771E"/>
    <w:rsid w:val="006615A1"/>
    <w:rsid w:val="00664B8C"/>
    <w:rsid w:val="00665F76"/>
    <w:rsid w:val="00667E90"/>
    <w:rsid w:val="00672B98"/>
    <w:rsid w:val="00676727"/>
    <w:rsid w:val="00677897"/>
    <w:rsid w:val="00677FE6"/>
    <w:rsid w:val="00681E76"/>
    <w:rsid w:val="006827C8"/>
    <w:rsid w:val="00695F02"/>
    <w:rsid w:val="00696E4C"/>
    <w:rsid w:val="00696F72"/>
    <w:rsid w:val="006979A5"/>
    <w:rsid w:val="006A1D98"/>
    <w:rsid w:val="006A2973"/>
    <w:rsid w:val="006A619C"/>
    <w:rsid w:val="006B0A50"/>
    <w:rsid w:val="006B27EF"/>
    <w:rsid w:val="006C1EDB"/>
    <w:rsid w:val="006C28A3"/>
    <w:rsid w:val="006C293D"/>
    <w:rsid w:val="006C4A2A"/>
    <w:rsid w:val="006D01BB"/>
    <w:rsid w:val="006D605B"/>
    <w:rsid w:val="006D7AB0"/>
    <w:rsid w:val="006D7D0C"/>
    <w:rsid w:val="006E1492"/>
    <w:rsid w:val="006E2F37"/>
    <w:rsid w:val="006E7488"/>
    <w:rsid w:val="006F06DF"/>
    <w:rsid w:val="006F3119"/>
    <w:rsid w:val="006F49AD"/>
    <w:rsid w:val="007004BB"/>
    <w:rsid w:val="007014CA"/>
    <w:rsid w:val="00702806"/>
    <w:rsid w:val="00706280"/>
    <w:rsid w:val="0070654E"/>
    <w:rsid w:val="0071098E"/>
    <w:rsid w:val="0071261B"/>
    <w:rsid w:val="007148C0"/>
    <w:rsid w:val="00715473"/>
    <w:rsid w:val="00717B27"/>
    <w:rsid w:val="00721F14"/>
    <w:rsid w:val="00723850"/>
    <w:rsid w:val="007315E4"/>
    <w:rsid w:val="007320F0"/>
    <w:rsid w:val="00736558"/>
    <w:rsid w:val="00736945"/>
    <w:rsid w:val="007372D7"/>
    <w:rsid w:val="00737753"/>
    <w:rsid w:val="00742BE9"/>
    <w:rsid w:val="007465DA"/>
    <w:rsid w:val="007472C1"/>
    <w:rsid w:val="00747B16"/>
    <w:rsid w:val="00754F6A"/>
    <w:rsid w:val="00756CCE"/>
    <w:rsid w:val="007570F5"/>
    <w:rsid w:val="00761101"/>
    <w:rsid w:val="00761F11"/>
    <w:rsid w:val="007635D5"/>
    <w:rsid w:val="0076546F"/>
    <w:rsid w:val="00766056"/>
    <w:rsid w:val="00767F43"/>
    <w:rsid w:val="007727D1"/>
    <w:rsid w:val="00774113"/>
    <w:rsid w:val="007770A5"/>
    <w:rsid w:val="00777A32"/>
    <w:rsid w:val="00777BFF"/>
    <w:rsid w:val="00781A51"/>
    <w:rsid w:val="007845BA"/>
    <w:rsid w:val="007863CA"/>
    <w:rsid w:val="007871C5"/>
    <w:rsid w:val="007952BC"/>
    <w:rsid w:val="0079536A"/>
    <w:rsid w:val="00795A57"/>
    <w:rsid w:val="00796BF0"/>
    <w:rsid w:val="007A1161"/>
    <w:rsid w:val="007A30E3"/>
    <w:rsid w:val="007A3FDE"/>
    <w:rsid w:val="007A4B1F"/>
    <w:rsid w:val="007A52AD"/>
    <w:rsid w:val="007A671B"/>
    <w:rsid w:val="007B23C1"/>
    <w:rsid w:val="007B30C7"/>
    <w:rsid w:val="007B5027"/>
    <w:rsid w:val="007B6DA4"/>
    <w:rsid w:val="007C233D"/>
    <w:rsid w:val="007C3996"/>
    <w:rsid w:val="007C3E8A"/>
    <w:rsid w:val="007C41CC"/>
    <w:rsid w:val="007C437E"/>
    <w:rsid w:val="007C4672"/>
    <w:rsid w:val="007C58FF"/>
    <w:rsid w:val="007D13DC"/>
    <w:rsid w:val="007D3BAE"/>
    <w:rsid w:val="007D6FFC"/>
    <w:rsid w:val="007E258F"/>
    <w:rsid w:val="007E2D6C"/>
    <w:rsid w:val="007E42C6"/>
    <w:rsid w:val="007E6E5D"/>
    <w:rsid w:val="007E7BC0"/>
    <w:rsid w:val="007F10F5"/>
    <w:rsid w:val="007F1B16"/>
    <w:rsid w:val="007F1BC6"/>
    <w:rsid w:val="007F1DB6"/>
    <w:rsid w:val="007F241D"/>
    <w:rsid w:val="007F36EB"/>
    <w:rsid w:val="007F7908"/>
    <w:rsid w:val="007F7FCE"/>
    <w:rsid w:val="00800AF8"/>
    <w:rsid w:val="00800D7E"/>
    <w:rsid w:val="008051C0"/>
    <w:rsid w:val="0080539E"/>
    <w:rsid w:val="008064CD"/>
    <w:rsid w:val="00810C28"/>
    <w:rsid w:val="00812257"/>
    <w:rsid w:val="008141E8"/>
    <w:rsid w:val="00814429"/>
    <w:rsid w:val="0081523E"/>
    <w:rsid w:val="00815452"/>
    <w:rsid w:val="00815785"/>
    <w:rsid w:val="0081600E"/>
    <w:rsid w:val="008216A3"/>
    <w:rsid w:val="008344FB"/>
    <w:rsid w:val="0084550E"/>
    <w:rsid w:val="00845B45"/>
    <w:rsid w:val="00847E5C"/>
    <w:rsid w:val="008516B4"/>
    <w:rsid w:val="00851F50"/>
    <w:rsid w:val="008521DC"/>
    <w:rsid w:val="00852312"/>
    <w:rsid w:val="00853110"/>
    <w:rsid w:val="008534DA"/>
    <w:rsid w:val="008557F6"/>
    <w:rsid w:val="00857CBD"/>
    <w:rsid w:val="008641A5"/>
    <w:rsid w:val="00864336"/>
    <w:rsid w:val="0086476E"/>
    <w:rsid w:val="00864CC1"/>
    <w:rsid w:val="008704AA"/>
    <w:rsid w:val="00870EE6"/>
    <w:rsid w:val="00871ECF"/>
    <w:rsid w:val="00872E2D"/>
    <w:rsid w:val="0087481C"/>
    <w:rsid w:val="0087565B"/>
    <w:rsid w:val="0088304D"/>
    <w:rsid w:val="0088713F"/>
    <w:rsid w:val="0088748B"/>
    <w:rsid w:val="0089111F"/>
    <w:rsid w:val="00892889"/>
    <w:rsid w:val="00893143"/>
    <w:rsid w:val="00893D88"/>
    <w:rsid w:val="00896B72"/>
    <w:rsid w:val="008A18FE"/>
    <w:rsid w:val="008A28F1"/>
    <w:rsid w:val="008A567A"/>
    <w:rsid w:val="008A6853"/>
    <w:rsid w:val="008B5640"/>
    <w:rsid w:val="008C1F35"/>
    <w:rsid w:val="008C47AF"/>
    <w:rsid w:val="008C7876"/>
    <w:rsid w:val="008C7BC7"/>
    <w:rsid w:val="008D51D3"/>
    <w:rsid w:val="008E33DC"/>
    <w:rsid w:val="008E3A0F"/>
    <w:rsid w:val="008E6A91"/>
    <w:rsid w:val="008E708F"/>
    <w:rsid w:val="008F18FB"/>
    <w:rsid w:val="008F31D4"/>
    <w:rsid w:val="008F4717"/>
    <w:rsid w:val="00902D53"/>
    <w:rsid w:val="00904AE6"/>
    <w:rsid w:val="0090623A"/>
    <w:rsid w:val="00906644"/>
    <w:rsid w:val="0091681D"/>
    <w:rsid w:val="00917169"/>
    <w:rsid w:val="009222A7"/>
    <w:rsid w:val="0092322C"/>
    <w:rsid w:val="00924257"/>
    <w:rsid w:val="00924E49"/>
    <w:rsid w:val="00925D96"/>
    <w:rsid w:val="0093200C"/>
    <w:rsid w:val="00932AE2"/>
    <w:rsid w:val="00935C5F"/>
    <w:rsid w:val="009436FD"/>
    <w:rsid w:val="00944EB6"/>
    <w:rsid w:val="0095042D"/>
    <w:rsid w:val="00951D77"/>
    <w:rsid w:val="00952DF5"/>
    <w:rsid w:val="00955240"/>
    <w:rsid w:val="00961FD3"/>
    <w:rsid w:val="00962CEC"/>
    <w:rsid w:val="0096537F"/>
    <w:rsid w:val="0096714A"/>
    <w:rsid w:val="009713EE"/>
    <w:rsid w:val="00974AD1"/>
    <w:rsid w:val="0098521D"/>
    <w:rsid w:val="00993FDA"/>
    <w:rsid w:val="009947E5"/>
    <w:rsid w:val="009950C9"/>
    <w:rsid w:val="009A20E4"/>
    <w:rsid w:val="009A3001"/>
    <w:rsid w:val="009A58C5"/>
    <w:rsid w:val="009A649F"/>
    <w:rsid w:val="009B0A29"/>
    <w:rsid w:val="009B2DAA"/>
    <w:rsid w:val="009B3BD1"/>
    <w:rsid w:val="009B5189"/>
    <w:rsid w:val="009C0971"/>
    <w:rsid w:val="009C1C50"/>
    <w:rsid w:val="009C4CB3"/>
    <w:rsid w:val="009D1228"/>
    <w:rsid w:val="009D50CE"/>
    <w:rsid w:val="009D549B"/>
    <w:rsid w:val="009D5C44"/>
    <w:rsid w:val="009E1744"/>
    <w:rsid w:val="009E3D72"/>
    <w:rsid w:val="009E4DCF"/>
    <w:rsid w:val="009E614C"/>
    <w:rsid w:val="009E6431"/>
    <w:rsid w:val="009E6A96"/>
    <w:rsid w:val="009F3823"/>
    <w:rsid w:val="009F7042"/>
    <w:rsid w:val="00A01724"/>
    <w:rsid w:val="00A02592"/>
    <w:rsid w:val="00A02957"/>
    <w:rsid w:val="00A05C00"/>
    <w:rsid w:val="00A10801"/>
    <w:rsid w:val="00A12704"/>
    <w:rsid w:val="00A13048"/>
    <w:rsid w:val="00A13D09"/>
    <w:rsid w:val="00A15CF4"/>
    <w:rsid w:val="00A16F24"/>
    <w:rsid w:val="00A17EFC"/>
    <w:rsid w:val="00A208DD"/>
    <w:rsid w:val="00A21B0B"/>
    <w:rsid w:val="00A226D3"/>
    <w:rsid w:val="00A22F52"/>
    <w:rsid w:val="00A24AC3"/>
    <w:rsid w:val="00A257D6"/>
    <w:rsid w:val="00A26AB4"/>
    <w:rsid w:val="00A26C48"/>
    <w:rsid w:val="00A26DBA"/>
    <w:rsid w:val="00A27C44"/>
    <w:rsid w:val="00A30989"/>
    <w:rsid w:val="00A344D3"/>
    <w:rsid w:val="00A35842"/>
    <w:rsid w:val="00A40C5E"/>
    <w:rsid w:val="00A4211C"/>
    <w:rsid w:val="00A44D37"/>
    <w:rsid w:val="00A45165"/>
    <w:rsid w:val="00A46A24"/>
    <w:rsid w:val="00A4729A"/>
    <w:rsid w:val="00A47524"/>
    <w:rsid w:val="00A5335F"/>
    <w:rsid w:val="00A53FE8"/>
    <w:rsid w:val="00A575EB"/>
    <w:rsid w:val="00A57DAF"/>
    <w:rsid w:val="00A623C3"/>
    <w:rsid w:val="00A628EA"/>
    <w:rsid w:val="00A6467E"/>
    <w:rsid w:val="00A66375"/>
    <w:rsid w:val="00A70C87"/>
    <w:rsid w:val="00A71CFA"/>
    <w:rsid w:val="00A72877"/>
    <w:rsid w:val="00A77442"/>
    <w:rsid w:val="00A81DA4"/>
    <w:rsid w:val="00A847DF"/>
    <w:rsid w:val="00A87417"/>
    <w:rsid w:val="00A879D7"/>
    <w:rsid w:val="00A9048C"/>
    <w:rsid w:val="00A92A5C"/>
    <w:rsid w:val="00A94B2C"/>
    <w:rsid w:val="00AA0A0C"/>
    <w:rsid w:val="00AA13CC"/>
    <w:rsid w:val="00AA60F9"/>
    <w:rsid w:val="00AA76A4"/>
    <w:rsid w:val="00AB0410"/>
    <w:rsid w:val="00AB2306"/>
    <w:rsid w:val="00AB4998"/>
    <w:rsid w:val="00AC07F9"/>
    <w:rsid w:val="00AC0919"/>
    <w:rsid w:val="00AC2ACD"/>
    <w:rsid w:val="00AC458E"/>
    <w:rsid w:val="00AD03D2"/>
    <w:rsid w:val="00AD2C23"/>
    <w:rsid w:val="00AD3C07"/>
    <w:rsid w:val="00AE00B6"/>
    <w:rsid w:val="00AE0F92"/>
    <w:rsid w:val="00AE253A"/>
    <w:rsid w:val="00AE33EA"/>
    <w:rsid w:val="00AE5BB7"/>
    <w:rsid w:val="00AE7405"/>
    <w:rsid w:val="00AE7507"/>
    <w:rsid w:val="00AF5674"/>
    <w:rsid w:val="00AF663E"/>
    <w:rsid w:val="00B020DA"/>
    <w:rsid w:val="00B0312D"/>
    <w:rsid w:val="00B03D22"/>
    <w:rsid w:val="00B0578D"/>
    <w:rsid w:val="00B06ECA"/>
    <w:rsid w:val="00B10EF9"/>
    <w:rsid w:val="00B11BC6"/>
    <w:rsid w:val="00B11D80"/>
    <w:rsid w:val="00B11DBD"/>
    <w:rsid w:val="00B14ED4"/>
    <w:rsid w:val="00B165D4"/>
    <w:rsid w:val="00B21B83"/>
    <w:rsid w:val="00B22DF0"/>
    <w:rsid w:val="00B23F2F"/>
    <w:rsid w:val="00B255CD"/>
    <w:rsid w:val="00B2789E"/>
    <w:rsid w:val="00B30311"/>
    <w:rsid w:val="00B34262"/>
    <w:rsid w:val="00B36CC3"/>
    <w:rsid w:val="00B37E23"/>
    <w:rsid w:val="00B40843"/>
    <w:rsid w:val="00B44B9B"/>
    <w:rsid w:val="00B44C86"/>
    <w:rsid w:val="00B459A6"/>
    <w:rsid w:val="00B4605E"/>
    <w:rsid w:val="00B470A0"/>
    <w:rsid w:val="00B547F2"/>
    <w:rsid w:val="00B54D78"/>
    <w:rsid w:val="00B550F9"/>
    <w:rsid w:val="00B56336"/>
    <w:rsid w:val="00B564A2"/>
    <w:rsid w:val="00B62E73"/>
    <w:rsid w:val="00B63343"/>
    <w:rsid w:val="00B65966"/>
    <w:rsid w:val="00B66A5E"/>
    <w:rsid w:val="00B66C5E"/>
    <w:rsid w:val="00B700EE"/>
    <w:rsid w:val="00B7029C"/>
    <w:rsid w:val="00B70A8F"/>
    <w:rsid w:val="00B72151"/>
    <w:rsid w:val="00B73130"/>
    <w:rsid w:val="00B76185"/>
    <w:rsid w:val="00B77F18"/>
    <w:rsid w:val="00B82A07"/>
    <w:rsid w:val="00B84780"/>
    <w:rsid w:val="00B85232"/>
    <w:rsid w:val="00B8767F"/>
    <w:rsid w:val="00B90FCD"/>
    <w:rsid w:val="00B93A57"/>
    <w:rsid w:val="00B93DF9"/>
    <w:rsid w:val="00BA0A44"/>
    <w:rsid w:val="00BA1892"/>
    <w:rsid w:val="00BA2455"/>
    <w:rsid w:val="00BA2A63"/>
    <w:rsid w:val="00BA3090"/>
    <w:rsid w:val="00BA332B"/>
    <w:rsid w:val="00BA57F6"/>
    <w:rsid w:val="00BA65BD"/>
    <w:rsid w:val="00BA79D6"/>
    <w:rsid w:val="00BB1B7C"/>
    <w:rsid w:val="00BB7552"/>
    <w:rsid w:val="00BC139D"/>
    <w:rsid w:val="00BC2975"/>
    <w:rsid w:val="00BC6767"/>
    <w:rsid w:val="00BC68DC"/>
    <w:rsid w:val="00BC7C38"/>
    <w:rsid w:val="00BD0031"/>
    <w:rsid w:val="00BD50C3"/>
    <w:rsid w:val="00BD60B7"/>
    <w:rsid w:val="00BD6197"/>
    <w:rsid w:val="00BD68DA"/>
    <w:rsid w:val="00BE06EB"/>
    <w:rsid w:val="00BE18F4"/>
    <w:rsid w:val="00BF1698"/>
    <w:rsid w:val="00BF6839"/>
    <w:rsid w:val="00C10F70"/>
    <w:rsid w:val="00C114A2"/>
    <w:rsid w:val="00C13E2C"/>
    <w:rsid w:val="00C14058"/>
    <w:rsid w:val="00C140FA"/>
    <w:rsid w:val="00C15C8D"/>
    <w:rsid w:val="00C16780"/>
    <w:rsid w:val="00C22E2B"/>
    <w:rsid w:val="00C318C1"/>
    <w:rsid w:val="00C32BFF"/>
    <w:rsid w:val="00C43A67"/>
    <w:rsid w:val="00C4578B"/>
    <w:rsid w:val="00C45AF7"/>
    <w:rsid w:val="00C46DDC"/>
    <w:rsid w:val="00C52B73"/>
    <w:rsid w:val="00C52E49"/>
    <w:rsid w:val="00C56EED"/>
    <w:rsid w:val="00C608AA"/>
    <w:rsid w:val="00C62571"/>
    <w:rsid w:val="00C63BDA"/>
    <w:rsid w:val="00C646FB"/>
    <w:rsid w:val="00C64EFB"/>
    <w:rsid w:val="00C7498B"/>
    <w:rsid w:val="00C812B2"/>
    <w:rsid w:val="00C853F3"/>
    <w:rsid w:val="00C911C2"/>
    <w:rsid w:val="00C919A5"/>
    <w:rsid w:val="00C93FE8"/>
    <w:rsid w:val="00CA0ECE"/>
    <w:rsid w:val="00CA19D9"/>
    <w:rsid w:val="00CA409A"/>
    <w:rsid w:val="00CB1A3F"/>
    <w:rsid w:val="00CB44F5"/>
    <w:rsid w:val="00CB494E"/>
    <w:rsid w:val="00CB6B2B"/>
    <w:rsid w:val="00CD19E2"/>
    <w:rsid w:val="00CE2087"/>
    <w:rsid w:val="00CE3F5E"/>
    <w:rsid w:val="00CE4CF1"/>
    <w:rsid w:val="00CE7578"/>
    <w:rsid w:val="00CF337F"/>
    <w:rsid w:val="00CF5D5E"/>
    <w:rsid w:val="00D01DB7"/>
    <w:rsid w:val="00D0736B"/>
    <w:rsid w:val="00D13BA6"/>
    <w:rsid w:val="00D23480"/>
    <w:rsid w:val="00D274B2"/>
    <w:rsid w:val="00D30A6B"/>
    <w:rsid w:val="00D312CD"/>
    <w:rsid w:val="00D324C7"/>
    <w:rsid w:val="00D341A6"/>
    <w:rsid w:val="00D3494A"/>
    <w:rsid w:val="00D3628D"/>
    <w:rsid w:val="00D40616"/>
    <w:rsid w:val="00D43FD9"/>
    <w:rsid w:val="00D46070"/>
    <w:rsid w:val="00D46DC1"/>
    <w:rsid w:val="00D479FB"/>
    <w:rsid w:val="00D51583"/>
    <w:rsid w:val="00D52167"/>
    <w:rsid w:val="00D5263A"/>
    <w:rsid w:val="00D5321F"/>
    <w:rsid w:val="00D5369E"/>
    <w:rsid w:val="00D54FC1"/>
    <w:rsid w:val="00D61249"/>
    <w:rsid w:val="00D61ED8"/>
    <w:rsid w:val="00D62405"/>
    <w:rsid w:val="00D65676"/>
    <w:rsid w:val="00D70F88"/>
    <w:rsid w:val="00D7325D"/>
    <w:rsid w:val="00D741A0"/>
    <w:rsid w:val="00D802E3"/>
    <w:rsid w:val="00D81199"/>
    <w:rsid w:val="00D82DCF"/>
    <w:rsid w:val="00D82FB8"/>
    <w:rsid w:val="00D84210"/>
    <w:rsid w:val="00D84B83"/>
    <w:rsid w:val="00D90867"/>
    <w:rsid w:val="00D90A82"/>
    <w:rsid w:val="00D90C5B"/>
    <w:rsid w:val="00D91A18"/>
    <w:rsid w:val="00D91B40"/>
    <w:rsid w:val="00D940D6"/>
    <w:rsid w:val="00D95397"/>
    <w:rsid w:val="00D955DE"/>
    <w:rsid w:val="00D97E58"/>
    <w:rsid w:val="00DA131F"/>
    <w:rsid w:val="00DA27E3"/>
    <w:rsid w:val="00DA587F"/>
    <w:rsid w:val="00DA616F"/>
    <w:rsid w:val="00DB5F6E"/>
    <w:rsid w:val="00DC00EE"/>
    <w:rsid w:val="00DC0ADF"/>
    <w:rsid w:val="00DC0B05"/>
    <w:rsid w:val="00DC0FD8"/>
    <w:rsid w:val="00DD5813"/>
    <w:rsid w:val="00DD5E59"/>
    <w:rsid w:val="00DD7872"/>
    <w:rsid w:val="00DE2AFA"/>
    <w:rsid w:val="00DE3740"/>
    <w:rsid w:val="00DE500D"/>
    <w:rsid w:val="00DF0906"/>
    <w:rsid w:val="00DF0A85"/>
    <w:rsid w:val="00DF4EB9"/>
    <w:rsid w:val="00DF527C"/>
    <w:rsid w:val="00E026FF"/>
    <w:rsid w:val="00E02C05"/>
    <w:rsid w:val="00E06862"/>
    <w:rsid w:val="00E10030"/>
    <w:rsid w:val="00E12F38"/>
    <w:rsid w:val="00E1567D"/>
    <w:rsid w:val="00E16CFE"/>
    <w:rsid w:val="00E20EA4"/>
    <w:rsid w:val="00E21239"/>
    <w:rsid w:val="00E323D2"/>
    <w:rsid w:val="00E364D8"/>
    <w:rsid w:val="00E36A50"/>
    <w:rsid w:val="00E41D2E"/>
    <w:rsid w:val="00E42306"/>
    <w:rsid w:val="00E4411C"/>
    <w:rsid w:val="00E52727"/>
    <w:rsid w:val="00E528D7"/>
    <w:rsid w:val="00E601AC"/>
    <w:rsid w:val="00E6565D"/>
    <w:rsid w:val="00E6687D"/>
    <w:rsid w:val="00E67D1C"/>
    <w:rsid w:val="00E7164C"/>
    <w:rsid w:val="00E739D7"/>
    <w:rsid w:val="00E74C1F"/>
    <w:rsid w:val="00E81F57"/>
    <w:rsid w:val="00E83263"/>
    <w:rsid w:val="00E83E2A"/>
    <w:rsid w:val="00E91B5F"/>
    <w:rsid w:val="00E9282E"/>
    <w:rsid w:val="00E92877"/>
    <w:rsid w:val="00E95855"/>
    <w:rsid w:val="00EA3213"/>
    <w:rsid w:val="00EA3245"/>
    <w:rsid w:val="00EA4F6B"/>
    <w:rsid w:val="00EA7576"/>
    <w:rsid w:val="00EB2033"/>
    <w:rsid w:val="00EB7F22"/>
    <w:rsid w:val="00EC05A4"/>
    <w:rsid w:val="00EC3360"/>
    <w:rsid w:val="00EC5D18"/>
    <w:rsid w:val="00EC6CF1"/>
    <w:rsid w:val="00ED38A8"/>
    <w:rsid w:val="00EE67A7"/>
    <w:rsid w:val="00EF0204"/>
    <w:rsid w:val="00EF08D3"/>
    <w:rsid w:val="00EF269A"/>
    <w:rsid w:val="00EF38F1"/>
    <w:rsid w:val="00EF7666"/>
    <w:rsid w:val="00EF7DF2"/>
    <w:rsid w:val="00F00E34"/>
    <w:rsid w:val="00F01A12"/>
    <w:rsid w:val="00F03ED0"/>
    <w:rsid w:val="00F0469F"/>
    <w:rsid w:val="00F072B4"/>
    <w:rsid w:val="00F10FF6"/>
    <w:rsid w:val="00F125C3"/>
    <w:rsid w:val="00F1265B"/>
    <w:rsid w:val="00F12A0B"/>
    <w:rsid w:val="00F13B45"/>
    <w:rsid w:val="00F15472"/>
    <w:rsid w:val="00F154A2"/>
    <w:rsid w:val="00F23009"/>
    <w:rsid w:val="00F3061F"/>
    <w:rsid w:val="00F31D77"/>
    <w:rsid w:val="00F31DB5"/>
    <w:rsid w:val="00F3359D"/>
    <w:rsid w:val="00F348BB"/>
    <w:rsid w:val="00F34C92"/>
    <w:rsid w:val="00F367A8"/>
    <w:rsid w:val="00F42CDE"/>
    <w:rsid w:val="00F430DD"/>
    <w:rsid w:val="00F436DF"/>
    <w:rsid w:val="00F445DE"/>
    <w:rsid w:val="00F44DF1"/>
    <w:rsid w:val="00F4640D"/>
    <w:rsid w:val="00F466C2"/>
    <w:rsid w:val="00F470A7"/>
    <w:rsid w:val="00F47F2C"/>
    <w:rsid w:val="00F500B0"/>
    <w:rsid w:val="00F5042E"/>
    <w:rsid w:val="00F50D31"/>
    <w:rsid w:val="00F52DEF"/>
    <w:rsid w:val="00F53B6C"/>
    <w:rsid w:val="00F5444A"/>
    <w:rsid w:val="00F57754"/>
    <w:rsid w:val="00F6019F"/>
    <w:rsid w:val="00F60260"/>
    <w:rsid w:val="00F6058C"/>
    <w:rsid w:val="00F60C0F"/>
    <w:rsid w:val="00F65ED0"/>
    <w:rsid w:val="00F65F4D"/>
    <w:rsid w:val="00F66C27"/>
    <w:rsid w:val="00F73FCD"/>
    <w:rsid w:val="00F74035"/>
    <w:rsid w:val="00F7433F"/>
    <w:rsid w:val="00F76383"/>
    <w:rsid w:val="00F808A5"/>
    <w:rsid w:val="00F816A3"/>
    <w:rsid w:val="00F84C57"/>
    <w:rsid w:val="00F85539"/>
    <w:rsid w:val="00F860BA"/>
    <w:rsid w:val="00F86A58"/>
    <w:rsid w:val="00F86D88"/>
    <w:rsid w:val="00F875D2"/>
    <w:rsid w:val="00F900AE"/>
    <w:rsid w:val="00F9162D"/>
    <w:rsid w:val="00F9217B"/>
    <w:rsid w:val="00F92C44"/>
    <w:rsid w:val="00F9316F"/>
    <w:rsid w:val="00FA1AB5"/>
    <w:rsid w:val="00FA2F2F"/>
    <w:rsid w:val="00FA4ED5"/>
    <w:rsid w:val="00FA705F"/>
    <w:rsid w:val="00FA7465"/>
    <w:rsid w:val="00FB26C0"/>
    <w:rsid w:val="00FB290E"/>
    <w:rsid w:val="00FB2AD9"/>
    <w:rsid w:val="00FB677D"/>
    <w:rsid w:val="00FC37C7"/>
    <w:rsid w:val="00FC741C"/>
    <w:rsid w:val="00FD0BFD"/>
    <w:rsid w:val="00FD69F6"/>
    <w:rsid w:val="00FD6D55"/>
    <w:rsid w:val="00FD6FCD"/>
    <w:rsid w:val="00FD76A8"/>
    <w:rsid w:val="00FE09F8"/>
    <w:rsid w:val="00FE100D"/>
    <w:rsid w:val="00FE57B6"/>
    <w:rsid w:val="00FE584A"/>
    <w:rsid w:val="00FE5966"/>
    <w:rsid w:val="00FE6D4B"/>
    <w:rsid w:val="00FF2277"/>
    <w:rsid w:val="00FF38AF"/>
    <w:rsid w:val="00FF4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B0824C"/>
  <w15:docId w15:val="{FDDC3194-0C5B-4E2C-9269-21DB1976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Tableheading">
    <w:name w:val="LDTableheading"/>
    <w:basedOn w:val="LDBodytext"/>
    <w:link w:val="LDTableheadingChar"/>
    <w:rsid w:val="002D53F2"/>
    <w:pPr>
      <w:keepNext/>
      <w:tabs>
        <w:tab w:val="right" w:pos="1134"/>
        <w:tab w:val="left" w:pos="1276"/>
        <w:tab w:val="right" w:pos="1843"/>
        <w:tab w:val="left" w:pos="1985"/>
        <w:tab w:val="right" w:pos="2552"/>
        <w:tab w:val="left" w:pos="2693"/>
      </w:tabs>
      <w:spacing w:before="120" w:after="60"/>
    </w:pPr>
    <w:rPr>
      <w:b/>
    </w:rPr>
  </w:style>
  <w:style w:type="table" w:styleId="PlainTable1">
    <w:name w:val="Plain Table 1"/>
    <w:basedOn w:val="TableNormal"/>
    <w:uiPriority w:val="41"/>
    <w:rsid w:val="002D53F2"/>
    <w:pPr>
      <w:spacing w:before="100" w:after="0" w:line="240" w:lineRule="auto"/>
    </w:pPr>
    <w:rPr>
      <w:rFonts w:eastAsiaTheme="minorEastAsia"/>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DTableheadingChar">
    <w:name w:val="LDTableheading Char"/>
    <w:link w:val="LDTableheading"/>
    <w:rsid w:val="002D53F2"/>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F0A4B-AC98-4D7B-986E-EE93CAF9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10</Pages>
  <Words>3689</Words>
  <Characters>21029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CASA EX19/21 —  Explanatory Statement</vt:lpstr>
    </vt:vector>
  </TitlesOfParts>
  <Company>Civil Aviation Safety Authority</Company>
  <LinksUpToDate>false</LinksUpToDate>
  <CharactersWithSpaces>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EX19/21 —  Explanatory Statement</dc:title>
  <dc:subject> Examiner Proficiency Checks (Extensions of Time and Substitute Proficiency Checks) Exemption Instrument 2021 (No. 1)</dc:subject>
  <dc:creator>Civil Aviation Safety Authority</dc:creator>
  <cp:lastModifiedBy>Spesyvy, Nadia</cp:lastModifiedBy>
  <cp:revision>20</cp:revision>
  <cp:lastPrinted>2021-03-05T00:34:00Z</cp:lastPrinted>
  <dcterms:created xsi:type="dcterms:W3CDTF">2021-03-03T03:48:00Z</dcterms:created>
  <dcterms:modified xsi:type="dcterms:W3CDTF">2021-03-10T23:12:00Z</dcterms:modified>
  <cp:category>Exemptions</cp:category>
</cp:coreProperties>
</file>