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CC21B" w14:textId="073CB9B8" w:rsidR="00446CB7" w:rsidRPr="00142BB1" w:rsidRDefault="00446CB7" w:rsidP="00446CB7">
      <w:pPr>
        <w:jc w:val="center"/>
        <w:rPr>
          <w:rFonts w:ascii="Times New Roman" w:hAnsi="Times New Roman" w:cs="Times New Roman"/>
          <w:b/>
          <w:sz w:val="28"/>
          <w:szCs w:val="28"/>
        </w:rPr>
      </w:pPr>
      <w:r w:rsidRPr="00142BB1">
        <w:rPr>
          <w:rFonts w:ascii="Times New Roman" w:hAnsi="Times New Roman" w:cs="Times New Roman"/>
          <w:b/>
          <w:sz w:val="28"/>
          <w:szCs w:val="28"/>
        </w:rPr>
        <w:t>EXPLANATORY STATEMENT</w:t>
      </w:r>
    </w:p>
    <w:p w14:paraId="3C7F536F" w14:textId="77777777" w:rsidR="00446CB7" w:rsidRPr="00142BB1" w:rsidRDefault="00446CB7" w:rsidP="00446CB7">
      <w:pPr>
        <w:jc w:val="center"/>
        <w:rPr>
          <w:rFonts w:ascii="Times New Roman" w:hAnsi="Times New Roman" w:cs="Times New Roman"/>
        </w:rPr>
      </w:pPr>
      <w:r w:rsidRPr="00142BB1">
        <w:rPr>
          <w:rFonts w:ascii="Times New Roman" w:hAnsi="Times New Roman" w:cs="Times New Roman"/>
        </w:rPr>
        <w:t>Approved by the Australian Communications and Media Authority</w:t>
      </w:r>
    </w:p>
    <w:p w14:paraId="7BB0AA0E" w14:textId="5A1D14D1" w:rsidR="00446CB7" w:rsidRPr="00142BB1" w:rsidRDefault="00B20156" w:rsidP="00446CB7">
      <w:pPr>
        <w:jc w:val="center"/>
        <w:rPr>
          <w:rFonts w:ascii="Times New Roman" w:hAnsi="Times New Roman" w:cs="Times New Roman"/>
          <w:i/>
        </w:rPr>
      </w:pPr>
      <w:r w:rsidRPr="00142BB1">
        <w:rPr>
          <w:rFonts w:ascii="Times New Roman" w:hAnsi="Times New Roman" w:cs="Times New Roman"/>
          <w:i/>
        </w:rPr>
        <w:t>Radiocommunications</w:t>
      </w:r>
      <w:r w:rsidR="00446CB7" w:rsidRPr="00142BB1">
        <w:rPr>
          <w:rFonts w:ascii="Times New Roman" w:hAnsi="Times New Roman" w:cs="Times New Roman"/>
          <w:i/>
        </w:rPr>
        <w:t xml:space="preserve"> Act</w:t>
      </w:r>
      <w:r w:rsidRPr="00142BB1">
        <w:rPr>
          <w:rFonts w:ascii="Times New Roman" w:hAnsi="Times New Roman" w:cs="Times New Roman"/>
          <w:i/>
        </w:rPr>
        <w:t xml:space="preserve"> 1992</w:t>
      </w:r>
    </w:p>
    <w:p w14:paraId="27E231BB" w14:textId="5F7A3671" w:rsidR="00A42C3D" w:rsidRPr="00142BB1" w:rsidRDefault="00A42C3D" w:rsidP="00446CB7">
      <w:pPr>
        <w:jc w:val="center"/>
        <w:rPr>
          <w:rFonts w:ascii="Times New Roman" w:hAnsi="Times New Roman" w:cs="Times New Roman"/>
          <w:b/>
          <w:i/>
        </w:rPr>
      </w:pPr>
      <w:r w:rsidRPr="00142BB1">
        <w:rPr>
          <w:rFonts w:ascii="Times New Roman" w:hAnsi="Times New Roman" w:cs="Times New Roman"/>
          <w:b/>
          <w:i/>
        </w:rPr>
        <w:t>Radiocommunications (Spectrum Access Charges – 20 GHz and 30 GHz Bands) Determination 2021</w:t>
      </w:r>
    </w:p>
    <w:p w14:paraId="0B9EB8F2" w14:textId="77777777" w:rsidR="00446CB7" w:rsidRPr="00142BB1" w:rsidRDefault="00446CB7" w:rsidP="00446CB7">
      <w:pPr>
        <w:spacing w:before="280"/>
        <w:rPr>
          <w:rFonts w:ascii="Times New Roman" w:hAnsi="Times New Roman" w:cs="Times New Roman"/>
          <w:b/>
        </w:rPr>
      </w:pPr>
      <w:r w:rsidRPr="00142BB1">
        <w:rPr>
          <w:rFonts w:ascii="Times New Roman" w:hAnsi="Times New Roman" w:cs="Times New Roman"/>
          <w:b/>
        </w:rPr>
        <w:t>Authority</w:t>
      </w:r>
    </w:p>
    <w:p w14:paraId="6329CDD1" w14:textId="7C084401" w:rsidR="00446CB7" w:rsidRPr="00142BB1" w:rsidRDefault="00446CB7" w:rsidP="00B10C6D">
      <w:pPr>
        <w:spacing w:line="257" w:lineRule="auto"/>
        <w:rPr>
          <w:rFonts w:ascii="Times New Roman" w:hAnsi="Times New Roman" w:cs="Times New Roman"/>
        </w:rPr>
      </w:pPr>
      <w:r w:rsidRPr="00142BB1">
        <w:rPr>
          <w:rFonts w:ascii="Times New Roman" w:hAnsi="Times New Roman" w:cs="Times New Roman"/>
        </w:rPr>
        <w:t>The Australian Communications and Media Authority (the ACMA) has made the</w:t>
      </w:r>
      <w:r w:rsidR="00AC12AE" w:rsidRPr="00142BB1">
        <w:rPr>
          <w:rFonts w:ascii="Times New Roman" w:hAnsi="Times New Roman" w:cs="Times New Roman"/>
        </w:rPr>
        <w:t xml:space="preserve"> </w:t>
      </w:r>
      <w:r w:rsidR="00A42C3D" w:rsidRPr="00142BB1">
        <w:rPr>
          <w:rFonts w:ascii="Times New Roman" w:hAnsi="Times New Roman" w:cs="Times New Roman"/>
          <w:i/>
          <w:iCs/>
        </w:rPr>
        <w:t>Radiocommunications (Spectrum Access Charges – 20 GHz and 30 GHz Bands) Determination 2021</w:t>
      </w:r>
      <w:r w:rsidR="00A42C3D" w:rsidRPr="00142BB1">
        <w:rPr>
          <w:rFonts w:ascii="Times New Roman" w:hAnsi="Times New Roman" w:cs="Times New Roman"/>
        </w:rPr>
        <w:t xml:space="preserve"> </w:t>
      </w:r>
      <w:r w:rsidRPr="00142BB1">
        <w:rPr>
          <w:rFonts w:ascii="Times New Roman" w:hAnsi="Times New Roman" w:cs="Times New Roman"/>
        </w:rPr>
        <w:t xml:space="preserve">(the </w:t>
      </w:r>
      <w:r w:rsidR="003D0FD8" w:rsidRPr="00142BB1">
        <w:rPr>
          <w:rFonts w:ascii="Times New Roman" w:hAnsi="Times New Roman" w:cs="Times New Roman"/>
        </w:rPr>
        <w:t>Determination</w:t>
      </w:r>
      <w:r w:rsidRPr="00142BB1">
        <w:rPr>
          <w:rFonts w:ascii="Times New Roman" w:hAnsi="Times New Roman" w:cs="Times New Roman"/>
        </w:rPr>
        <w:t>) under</w:t>
      </w:r>
      <w:r w:rsidR="00E4285E" w:rsidRPr="00142BB1">
        <w:rPr>
          <w:rFonts w:ascii="Times New Roman" w:hAnsi="Times New Roman" w:cs="Times New Roman"/>
        </w:rPr>
        <w:t xml:space="preserve"> </w:t>
      </w:r>
      <w:r w:rsidR="00382B38" w:rsidRPr="00142BB1">
        <w:rPr>
          <w:rFonts w:ascii="Times New Roman" w:hAnsi="Times New Roman" w:cs="Times New Roman"/>
        </w:rPr>
        <w:t>s</w:t>
      </w:r>
      <w:r w:rsidR="00E4285E" w:rsidRPr="00142BB1">
        <w:rPr>
          <w:rFonts w:ascii="Times New Roman" w:hAnsi="Times New Roman" w:cs="Times New Roman"/>
        </w:rPr>
        <w:t>ubsection 294</w:t>
      </w:r>
      <w:r w:rsidR="00410599" w:rsidRPr="00142BB1">
        <w:rPr>
          <w:rFonts w:ascii="Times New Roman" w:hAnsi="Times New Roman" w:cs="Times New Roman"/>
        </w:rPr>
        <w:t> </w:t>
      </w:r>
      <w:r w:rsidR="00E4285E" w:rsidRPr="00142BB1">
        <w:rPr>
          <w:rFonts w:ascii="Times New Roman" w:hAnsi="Times New Roman" w:cs="Times New Roman"/>
        </w:rPr>
        <w:t xml:space="preserve">(1) </w:t>
      </w:r>
      <w:r w:rsidRPr="00142BB1">
        <w:rPr>
          <w:rFonts w:ascii="Times New Roman" w:hAnsi="Times New Roman" w:cs="Times New Roman"/>
        </w:rPr>
        <w:t xml:space="preserve">of the </w:t>
      </w:r>
      <w:r w:rsidR="00742768" w:rsidRPr="00142BB1">
        <w:rPr>
          <w:rFonts w:ascii="Times New Roman" w:hAnsi="Times New Roman" w:cs="Times New Roman"/>
          <w:i/>
          <w:iCs/>
        </w:rPr>
        <w:t>Radiocommunications A</w:t>
      </w:r>
      <w:r w:rsidR="00E65B00" w:rsidRPr="00142BB1">
        <w:rPr>
          <w:rFonts w:ascii="Times New Roman" w:hAnsi="Times New Roman" w:cs="Times New Roman"/>
          <w:i/>
          <w:iCs/>
        </w:rPr>
        <w:t>ct</w:t>
      </w:r>
      <w:r w:rsidR="00742768" w:rsidRPr="00142BB1">
        <w:rPr>
          <w:rFonts w:ascii="Times New Roman" w:hAnsi="Times New Roman" w:cs="Times New Roman"/>
          <w:i/>
          <w:iCs/>
        </w:rPr>
        <w:t xml:space="preserve"> 1992</w:t>
      </w:r>
      <w:r w:rsidRPr="00142BB1">
        <w:rPr>
          <w:rFonts w:ascii="Times New Roman" w:hAnsi="Times New Roman" w:cs="Times New Roman"/>
        </w:rPr>
        <w:t xml:space="preserve"> (the Act)</w:t>
      </w:r>
      <w:r w:rsidR="00B55BF9" w:rsidRPr="00142BB1">
        <w:rPr>
          <w:rFonts w:ascii="Times New Roman" w:hAnsi="Times New Roman" w:cs="Times New Roman"/>
        </w:rPr>
        <w:t>.</w:t>
      </w:r>
    </w:p>
    <w:p w14:paraId="5F370B38" w14:textId="6425CFC6" w:rsidR="004E37E7" w:rsidRPr="00142BB1" w:rsidRDefault="004E37E7" w:rsidP="00B10C6D">
      <w:pPr>
        <w:shd w:val="clear" w:color="auto" w:fill="FFFFFF"/>
        <w:spacing w:line="253" w:lineRule="atLeast"/>
        <w:jc w:val="both"/>
        <w:rPr>
          <w:rFonts w:ascii="Times New Roman" w:hAnsi="Times New Roman" w:cs="Times New Roman"/>
        </w:rPr>
      </w:pPr>
      <w:r w:rsidRPr="00142BB1">
        <w:rPr>
          <w:rFonts w:ascii="Times New Roman" w:hAnsi="Times New Roman" w:cs="Times New Roman"/>
        </w:rPr>
        <w:t>Subsection 294</w:t>
      </w:r>
      <w:r w:rsidR="00410599" w:rsidRPr="00142BB1">
        <w:rPr>
          <w:rFonts w:ascii="Times New Roman" w:hAnsi="Times New Roman" w:cs="Times New Roman"/>
        </w:rPr>
        <w:t> </w:t>
      </w:r>
      <w:r w:rsidRPr="00142BB1">
        <w:rPr>
          <w:rFonts w:ascii="Times New Roman" w:hAnsi="Times New Roman" w:cs="Times New Roman"/>
        </w:rPr>
        <w:t>(1) of the Act empowers the ACMA to make determinations to fix spectrum access charges payable by licensees for issuing spectrum licences and</w:t>
      </w:r>
      <w:r w:rsidR="00004D71" w:rsidRPr="00142BB1">
        <w:rPr>
          <w:rFonts w:ascii="Times New Roman" w:hAnsi="Times New Roman" w:cs="Times New Roman"/>
        </w:rPr>
        <w:t xml:space="preserve"> to</w:t>
      </w:r>
      <w:r w:rsidRPr="00142BB1">
        <w:rPr>
          <w:rFonts w:ascii="Times New Roman" w:hAnsi="Times New Roman" w:cs="Times New Roman"/>
        </w:rPr>
        <w:t xml:space="preserve"> specify the times when spectrum access charges are payable.</w:t>
      </w:r>
    </w:p>
    <w:p w14:paraId="339A86B0" w14:textId="27C19A25" w:rsidR="00446CB7" w:rsidRPr="00142BB1" w:rsidRDefault="00446CB7" w:rsidP="00446CB7">
      <w:pPr>
        <w:rPr>
          <w:rFonts w:ascii="Times New Roman" w:hAnsi="Times New Roman" w:cs="Times New Roman"/>
          <w:b/>
        </w:rPr>
      </w:pPr>
      <w:r w:rsidRPr="00142BB1">
        <w:rPr>
          <w:rFonts w:ascii="Times New Roman" w:hAnsi="Times New Roman" w:cs="Times New Roman"/>
          <w:b/>
        </w:rPr>
        <w:t>Purpose and operation of the instrument</w:t>
      </w:r>
    </w:p>
    <w:p w14:paraId="407A0F74" w14:textId="002D06A8" w:rsidR="00EF293B" w:rsidRPr="00142BB1" w:rsidRDefault="00EF293B" w:rsidP="00EF293B">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 xml:space="preserve">The Determination fixes spectrum access charges payable for </w:t>
      </w:r>
      <w:r w:rsidR="00410599" w:rsidRPr="00142BB1">
        <w:rPr>
          <w:rFonts w:eastAsiaTheme="minorHAnsi"/>
          <w:sz w:val="22"/>
          <w:szCs w:val="22"/>
        </w:rPr>
        <w:t xml:space="preserve">the </w:t>
      </w:r>
      <w:r w:rsidR="00126314" w:rsidRPr="00142BB1">
        <w:rPr>
          <w:rFonts w:eastAsiaTheme="minorHAnsi"/>
          <w:sz w:val="22"/>
          <w:szCs w:val="22"/>
        </w:rPr>
        <w:t>re-</w:t>
      </w:r>
      <w:r w:rsidRPr="00142BB1">
        <w:rPr>
          <w:rFonts w:eastAsiaTheme="minorHAnsi"/>
          <w:sz w:val="22"/>
          <w:szCs w:val="22"/>
        </w:rPr>
        <w:t>issu</w:t>
      </w:r>
      <w:r w:rsidR="00410599" w:rsidRPr="00142BB1">
        <w:rPr>
          <w:rFonts w:eastAsiaTheme="minorHAnsi"/>
          <w:sz w:val="22"/>
          <w:szCs w:val="22"/>
        </w:rPr>
        <w:t xml:space="preserve">e of </w:t>
      </w:r>
      <w:r w:rsidRPr="00142BB1">
        <w:rPr>
          <w:rFonts w:eastAsiaTheme="minorHAnsi"/>
          <w:sz w:val="22"/>
          <w:szCs w:val="22"/>
        </w:rPr>
        <w:t xml:space="preserve">spectrum licences </w:t>
      </w:r>
      <w:r w:rsidR="00A75C22" w:rsidRPr="00142BB1">
        <w:rPr>
          <w:rFonts w:eastAsiaTheme="minorHAnsi"/>
          <w:sz w:val="22"/>
          <w:szCs w:val="22"/>
        </w:rPr>
        <w:t xml:space="preserve">in the </w:t>
      </w:r>
      <w:r w:rsidR="003641DD" w:rsidRPr="00142BB1">
        <w:rPr>
          <w:rFonts w:eastAsiaTheme="minorHAnsi"/>
          <w:sz w:val="22"/>
          <w:szCs w:val="22"/>
        </w:rPr>
        <w:t xml:space="preserve">20 GHz band and the </w:t>
      </w:r>
      <w:r w:rsidR="00584A41" w:rsidRPr="00142BB1">
        <w:rPr>
          <w:rFonts w:eastAsiaTheme="minorHAnsi"/>
          <w:sz w:val="22"/>
          <w:szCs w:val="22"/>
        </w:rPr>
        <w:t>3</w:t>
      </w:r>
      <w:r w:rsidR="003641DD" w:rsidRPr="00142BB1">
        <w:rPr>
          <w:rFonts w:eastAsiaTheme="minorHAnsi"/>
          <w:sz w:val="22"/>
          <w:szCs w:val="22"/>
        </w:rPr>
        <w:t>0 GHz band</w:t>
      </w:r>
      <w:r w:rsidR="001C1F3F" w:rsidRPr="00142BB1">
        <w:rPr>
          <w:rFonts w:eastAsiaTheme="minorHAnsi"/>
          <w:sz w:val="22"/>
          <w:szCs w:val="22"/>
        </w:rPr>
        <w:t xml:space="preserve"> (referred to as the 20 GHz Defence band and 30 GHz Defence band in the Determination</w:t>
      </w:r>
      <w:proofErr w:type="gramStart"/>
      <w:r w:rsidR="001C1F3F" w:rsidRPr="00142BB1">
        <w:rPr>
          <w:rFonts w:eastAsiaTheme="minorHAnsi"/>
          <w:sz w:val="22"/>
          <w:szCs w:val="22"/>
        </w:rPr>
        <w:t>),</w:t>
      </w:r>
      <w:r w:rsidR="00D600BA" w:rsidRPr="00142BB1">
        <w:rPr>
          <w:rFonts w:eastAsiaTheme="minorHAnsi"/>
          <w:sz w:val="22"/>
          <w:szCs w:val="22"/>
        </w:rPr>
        <w:t xml:space="preserve"> </w:t>
      </w:r>
      <w:r w:rsidRPr="00142BB1">
        <w:rPr>
          <w:rFonts w:eastAsiaTheme="minorHAnsi"/>
          <w:sz w:val="22"/>
          <w:szCs w:val="22"/>
        </w:rPr>
        <w:t>and</w:t>
      </w:r>
      <w:proofErr w:type="gramEnd"/>
      <w:r w:rsidRPr="00142BB1">
        <w:rPr>
          <w:rFonts w:eastAsiaTheme="minorHAnsi"/>
          <w:sz w:val="22"/>
          <w:szCs w:val="22"/>
        </w:rPr>
        <w:t xml:space="preserve"> specifying the times when spectrum access charges are payable. </w:t>
      </w:r>
    </w:p>
    <w:p w14:paraId="2397C0B8" w14:textId="77777777" w:rsidR="00F90EE3" w:rsidRPr="00142BB1" w:rsidRDefault="00F90EE3" w:rsidP="00F90EE3">
      <w:pPr>
        <w:keepNext/>
        <w:spacing w:line="257" w:lineRule="auto"/>
        <w:rPr>
          <w:rFonts w:ascii="Times New Roman" w:hAnsi="Times New Roman" w:cs="Times New Roman"/>
          <w:bCs/>
          <w:i/>
          <w:iCs/>
        </w:rPr>
      </w:pPr>
      <w:r w:rsidRPr="00142BB1">
        <w:rPr>
          <w:rFonts w:ascii="Times New Roman" w:hAnsi="Times New Roman" w:cs="Times New Roman"/>
          <w:bCs/>
          <w:i/>
          <w:iCs/>
        </w:rPr>
        <w:t>Background</w:t>
      </w:r>
    </w:p>
    <w:p w14:paraId="3AA9A971" w14:textId="54344D71" w:rsidR="00635690" w:rsidRPr="00142BB1" w:rsidRDefault="00635690" w:rsidP="00FC4872">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 xml:space="preserve">The Department of Defence </w:t>
      </w:r>
      <w:r w:rsidR="00833159" w:rsidRPr="00142BB1">
        <w:rPr>
          <w:rFonts w:eastAsiaTheme="minorHAnsi"/>
          <w:sz w:val="22"/>
          <w:szCs w:val="22"/>
        </w:rPr>
        <w:t xml:space="preserve">(Defence) </w:t>
      </w:r>
      <w:r w:rsidRPr="00142BB1">
        <w:rPr>
          <w:rFonts w:eastAsiaTheme="minorHAnsi"/>
          <w:sz w:val="22"/>
          <w:szCs w:val="22"/>
        </w:rPr>
        <w:t>holds two spectrum licences covering the frequency ranges 20.2–</w:t>
      </w:r>
      <w:r w:rsidR="00833159" w:rsidRPr="00142BB1">
        <w:rPr>
          <w:rFonts w:eastAsiaTheme="minorHAnsi"/>
          <w:sz w:val="22"/>
          <w:szCs w:val="22"/>
        </w:rPr>
        <w:t> </w:t>
      </w:r>
      <w:r w:rsidRPr="00142BB1">
        <w:rPr>
          <w:rFonts w:eastAsiaTheme="minorHAnsi"/>
          <w:sz w:val="22"/>
          <w:szCs w:val="22"/>
        </w:rPr>
        <w:t>1.2 GHz</w:t>
      </w:r>
      <w:r w:rsidR="00410599" w:rsidRPr="00142BB1">
        <w:rPr>
          <w:rFonts w:eastAsiaTheme="minorHAnsi"/>
          <w:sz w:val="22"/>
          <w:szCs w:val="22"/>
        </w:rPr>
        <w:t xml:space="preserve"> (the 20 GHz band)</w:t>
      </w:r>
      <w:r w:rsidRPr="00142BB1">
        <w:rPr>
          <w:rFonts w:eastAsiaTheme="minorHAnsi"/>
          <w:sz w:val="22"/>
          <w:szCs w:val="22"/>
        </w:rPr>
        <w:t xml:space="preserve"> and 30–31 GHz </w:t>
      </w:r>
      <w:r w:rsidR="00410599" w:rsidRPr="00142BB1">
        <w:rPr>
          <w:rFonts w:eastAsiaTheme="minorHAnsi"/>
          <w:sz w:val="22"/>
          <w:szCs w:val="22"/>
        </w:rPr>
        <w:t xml:space="preserve">(the 30 GHz band) </w:t>
      </w:r>
      <w:r w:rsidRPr="00142BB1">
        <w:rPr>
          <w:rFonts w:eastAsiaTheme="minorHAnsi"/>
          <w:sz w:val="22"/>
          <w:szCs w:val="22"/>
        </w:rPr>
        <w:t>Australia</w:t>
      </w:r>
      <w:r w:rsidRPr="00142BB1">
        <w:rPr>
          <w:rFonts w:eastAsiaTheme="minorHAnsi"/>
          <w:sz w:val="22"/>
          <w:szCs w:val="22"/>
        </w:rPr>
        <w:noBreakHyphen/>
        <w:t>wide. They were issued on 27 April 2006 and are due to expire on 26 April 2021.</w:t>
      </w:r>
    </w:p>
    <w:p w14:paraId="19D62F17" w14:textId="35041FA5" w:rsidR="00635690" w:rsidRPr="00142BB1" w:rsidRDefault="00635690" w:rsidP="00FC4872">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On 1 May 2020, the ACMA issued a notice under section 78 of the Act (section 78 notice), publicly advising</w:t>
      </w:r>
      <w:r w:rsidR="00702588" w:rsidRPr="00142BB1">
        <w:rPr>
          <w:rFonts w:eastAsiaTheme="minorHAnsi"/>
          <w:sz w:val="22"/>
          <w:szCs w:val="22"/>
        </w:rPr>
        <w:t xml:space="preserve"> about</w:t>
      </w:r>
      <w:r w:rsidRPr="00142BB1">
        <w:rPr>
          <w:rFonts w:eastAsiaTheme="minorHAnsi"/>
          <w:sz w:val="22"/>
          <w:szCs w:val="22"/>
        </w:rPr>
        <w:t xml:space="preserve"> the upcoming expiry of these licences</w:t>
      </w:r>
      <w:r w:rsidR="00410599" w:rsidRPr="00142BB1">
        <w:rPr>
          <w:rFonts w:eastAsiaTheme="minorHAnsi"/>
          <w:sz w:val="22"/>
          <w:szCs w:val="22"/>
        </w:rPr>
        <w:t>,</w:t>
      </w:r>
      <w:r w:rsidR="00702588" w:rsidRPr="00142BB1">
        <w:rPr>
          <w:rFonts w:eastAsiaTheme="minorHAnsi"/>
          <w:sz w:val="22"/>
          <w:szCs w:val="22"/>
        </w:rPr>
        <w:t xml:space="preserve"> and the parts of the spectrum to which they relate.</w:t>
      </w:r>
      <w:r w:rsidRPr="00142BB1">
        <w:rPr>
          <w:rFonts w:eastAsiaTheme="minorHAnsi"/>
          <w:sz w:val="22"/>
          <w:szCs w:val="22"/>
        </w:rPr>
        <w:t xml:space="preserve"> Defence indicated a preference to retain </w:t>
      </w:r>
      <w:r w:rsidR="00702588" w:rsidRPr="00142BB1">
        <w:rPr>
          <w:rFonts w:eastAsiaTheme="minorHAnsi"/>
          <w:sz w:val="22"/>
          <w:szCs w:val="22"/>
        </w:rPr>
        <w:t xml:space="preserve">these </w:t>
      </w:r>
      <w:r w:rsidRPr="00142BB1">
        <w:rPr>
          <w:rFonts w:eastAsiaTheme="minorHAnsi"/>
          <w:sz w:val="22"/>
          <w:szCs w:val="22"/>
        </w:rPr>
        <w:t>spectrum licences to</w:t>
      </w:r>
      <w:r w:rsidR="00702588" w:rsidRPr="00142BB1">
        <w:rPr>
          <w:rFonts w:eastAsiaTheme="minorHAnsi"/>
          <w:sz w:val="22"/>
          <w:szCs w:val="22"/>
        </w:rPr>
        <w:t xml:space="preserve"> continue the</w:t>
      </w:r>
      <w:r w:rsidRPr="00142BB1">
        <w:rPr>
          <w:rFonts w:eastAsiaTheme="minorHAnsi"/>
          <w:sz w:val="22"/>
          <w:szCs w:val="22"/>
        </w:rPr>
        <w:t xml:space="preserve"> use of various satellite communications systems they utilise in those bands. Other responses to the section</w:t>
      </w:r>
      <w:r w:rsidR="00702588" w:rsidRPr="00142BB1">
        <w:rPr>
          <w:rFonts w:eastAsiaTheme="minorHAnsi"/>
          <w:sz w:val="22"/>
          <w:szCs w:val="22"/>
        </w:rPr>
        <w:t> </w:t>
      </w:r>
      <w:r w:rsidRPr="00142BB1">
        <w:rPr>
          <w:rFonts w:eastAsiaTheme="minorHAnsi"/>
          <w:sz w:val="22"/>
          <w:szCs w:val="22"/>
        </w:rPr>
        <w:t xml:space="preserve">78 notice raised no objections to Defence continuing to hold </w:t>
      </w:r>
      <w:r w:rsidR="00702588" w:rsidRPr="00142BB1">
        <w:rPr>
          <w:rFonts w:eastAsiaTheme="minorHAnsi"/>
          <w:sz w:val="22"/>
          <w:szCs w:val="22"/>
        </w:rPr>
        <w:t xml:space="preserve">these </w:t>
      </w:r>
      <w:r w:rsidRPr="00142BB1">
        <w:rPr>
          <w:rFonts w:eastAsiaTheme="minorHAnsi"/>
          <w:sz w:val="22"/>
          <w:szCs w:val="22"/>
        </w:rPr>
        <w:t xml:space="preserve">spectrum </w:t>
      </w:r>
      <w:r w:rsidR="00A40623" w:rsidRPr="00142BB1">
        <w:rPr>
          <w:rFonts w:eastAsiaTheme="minorHAnsi"/>
          <w:sz w:val="22"/>
          <w:szCs w:val="22"/>
        </w:rPr>
        <w:t>licences and</w:t>
      </w:r>
      <w:r w:rsidRPr="00142BB1">
        <w:rPr>
          <w:rFonts w:eastAsiaTheme="minorHAnsi"/>
          <w:sz w:val="22"/>
          <w:szCs w:val="22"/>
        </w:rPr>
        <w:t xml:space="preserve"> indicated little interest </w:t>
      </w:r>
      <w:r w:rsidR="00702588" w:rsidRPr="00142BB1">
        <w:rPr>
          <w:rFonts w:eastAsiaTheme="minorHAnsi"/>
          <w:sz w:val="22"/>
          <w:szCs w:val="22"/>
        </w:rPr>
        <w:t>from</w:t>
      </w:r>
      <w:r w:rsidRPr="00142BB1">
        <w:rPr>
          <w:rFonts w:eastAsiaTheme="minorHAnsi"/>
          <w:sz w:val="22"/>
          <w:szCs w:val="22"/>
        </w:rPr>
        <w:t xml:space="preserve"> other spectrum users gaining access to the</w:t>
      </w:r>
      <w:r w:rsidR="00702588" w:rsidRPr="00142BB1">
        <w:rPr>
          <w:rFonts w:eastAsiaTheme="minorHAnsi"/>
          <w:sz w:val="22"/>
          <w:szCs w:val="22"/>
        </w:rPr>
        <w:t xml:space="preserve"> 20 GHz and 30</w:t>
      </w:r>
      <w:r w:rsidR="00967ACF" w:rsidRPr="00142BB1">
        <w:rPr>
          <w:rFonts w:eastAsiaTheme="minorHAnsi"/>
          <w:sz w:val="22"/>
          <w:szCs w:val="22"/>
        </w:rPr>
        <w:t> </w:t>
      </w:r>
      <w:r w:rsidR="00702588" w:rsidRPr="00142BB1">
        <w:rPr>
          <w:rFonts w:eastAsiaTheme="minorHAnsi"/>
          <w:sz w:val="22"/>
          <w:szCs w:val="22"/>
        </w:rPr>
        <w:t>GHz</w:t>
      </w:r>
      <w:r w:rsidRPr="00142BB1">
        <w:rPr>
          <w:rFonts w:eastAsiaTheme="minorHAnsi"/>
          <w:sz w:val="22"/>
          <w:szCs w:val="22"/>
        </w:rPr>
        <w:t xml:space="preserve"> bands alongside Defence.</w:t>
      </w:r>
    </w:p>
    <w:p w14:paraId="27AB96F9" w14:textId="1A644DAA" w:rsidR="001F4564" w:rsidRPr="00142BB1" w:rsidRDefault="00635690" w:rsidP="0005154A">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 xml:space="preserve">The ACMA is therefore preparing to re-issue </w:t>
      </w:r>
      <w:r w:rsidR="00702588" w:rsidRPr="00142BB1">
        <w:rPr>
          <w:rFonts w:eastAsiaTheme="minorHAnsi"/>
          <w:sz w:val="22"/>
          <w:szCs w:val="22"/>
        </w:rPr>
        <w:t xml:space="preserve">the two </w:t>
      </w:r>
      <w:r w:rsidRPr="00142BB1">
        <w:rPr>
          <w:rFonts w:eastAsiaTheme="minorHAnsi"/>
          <w:sz w:val="22"/>
          <w:szCs w:val="22"/>
        </w:rPr>
        <w:t>spectrum licences to Defence. The intent is to re-issue these licences under paragraph 82</w:t>
      </w:r>
      <w:r w:rsidR="00702588" w:rsidRPr="00142BB1">
        <w:rPr>
          <w:rFonts w:eastAsiaTheme="minorHAnsi"/>
          <w:sz w:val="22"/>
          <w:szCs w:val="22"/>
        </w:rPr>
        <w:t> </w:t>
      </w:r>
      <w:r w:rsidRPr="00142BB1">
        <w:rPr>
          <w:rFonts w:eastAsiaTheme="minorHAnsi"/>
          <w:sz w:val="22"/>
          <w:szCs w:val="22"/>
        </w:rPr>
        <w:t>(1)(b) of the</w:t>
      </w:r>
      <w:r w:rsidR="00FA7ADA" w:rsidRPr="00142BB1">
        <w:rPr>
          <w:rFonts w:eastAsiaTheme="minorHAnsi"/>
          <w:sz w:val="22"/>
          <w:szCs w:val="22"/>
        </w:rPr>
        <w:t xml:space="preserve"> </w:t>
      </w:r>
      <w:r w:rsidR="00702588" w:rsidRPr="00142BB1">
        <w:rPr>
          <w:rFonts w:eastAsiaTheme="minorHAnsi"/>
          <w:sz w:val="22"/>
          <w:szCs w:val="22"/>
        </w:rPr>
        <w:t>Act</w:t>
      </w:r>
      <w:r w:rsidRPr="00142BB1">
        <w:rPr>
          <w:rFonts w:eastAsiaTheme="minorHAnsi"/>
          <w:sz w:val="22"/>
          <w:szCs w:val="22"/>
        </w:rPr>
        <w:t xml:space="preserve">, which allows </w:t>
      </w:r>
      <w:r w:rsidR="00702588" w:rsidRPr="00142BB1">
        <w:rPr>
          <w:rFonts w:eastAsiaTheme="minorHAnsi"/>
          <w:sz w:val="22"/>
          <w:szCs w:val="22"/>
        </w:rPr>
        <w:t xml:space="preserve">the </w:t>
      </w:r>
      <w:r w:rsidRPr="00142BB1">
        <w:rPr>
          <w:rFonts w:eastAsiaTheme="minorHAnsi"/>
          <w:sz w:val="22"/>
          <w:szCs w:val="22"/>
        </w:rPr>
        <w:t xml:space="preserve">re-issue of spectrum licences to the same licensee if the ACMA is satisfied that special circumstances exist </w:t>
      </w:r>
      <w:proofErr w:type="gramStart"/>
      <w:r w:rsidRPr="00142BB1">
        <w:rPr>
          <w:rFonts w:eastAsiaTheme="minorHAnsi"/>
          <w:sz w:val="22"/>
          <w:szCs w:val="22"/>
        </w:rPr>
        <w:t>as a result of</w:t>
      </w:r>
      <w:proofErr w:type="gramEnd"/>
      <w:r w:rsidRPr="00142BB1">
        <w:rPr>
          <w:rFonts w:eastAsiaTheme="minorHAnsi"/>
          <w:sz w:val="22"/>
          <w:szCs w:val="22"/>
        </w:rPr>
        <w:t xml:space="preserve"> which the re-issue </w:t>
      </w:r>
      <w:r w:rsidR="00833159" w:rsidRPr="00142BB1">
        <w:rPr>
          <w:rFonts w:eastAsiaTheme="minorHAnsi"/>
          <w:sz w:val="22"/>
          <w:szCs w:val="22"/>
        </w:rPr>
        <w:t xml:space="preserve">of the spectrum licence to the same person </w:t>
      </w:r>
      <w:r w:rsidRPr="00142BB1">
        <w:rPr>
          <w:rFonts w:eastAsiaTheme="minorHAnsi"/>
          <w:sz w:val="22"/>
          <w:szCs w:val="22"/>
        </w:rPr>
        <w:t xml:space="preserve">is in the public interest. </w:t>
      </w:r>
      <w:r w:rsidR="00505346" w:rsidRPr="00142BB1">
        <w:rPr>
          <w:rFonts w:eastAsiaTheme="minorHAnsi"/>
          <w:sz w:val="22"/>
          <w:szCs w:val="22"/>
        </w:rPr>
        <w:t>The ACMA considers that</w:t>
      </w:r>
      <w:r w:rsidRPr="00142BB1">
        <w:rPr>
          <w:rFonts w:eastAsiaTheme="minorHAnsi"/>
          <w:sz w:val="22"/>
          <w:szCs w:val="22"/>
        </w:rPr>
        <w:t xml:space="preserve"> special circumstances relating to these </w:t>
      </w:r>
      <w:r w:rsidR="00833159" w:rsidRPr="00142BB1">
        <w:rPr>
          <w:rFonts w:eastAsiaTheme="minorHAnsi"/>
          <w:sz w:val="22"/>
          <w:szCs w:val="22"/>
        </w:rPr>
        <w:t xml:space="preserve">spectrum </w:t>
      </w:r>
      <w:r w:rsidRPr="00142BB1">
        <w:rPr>
          <w:rFonts w:eastAsiaTheme="minorHAnsi"/>
          <w:sz w:val="22"/>
          <w:szCs w:val="22"/>
        </w:rPr>
        <w:t xml:space="preserve">licences </w:t>
      </w:r>
      <w:r w:rsidR="00833159" w:rsidRPr="00142BB1">
        <w:rPr>
          <w:rFonts w:eastAsiaTheme="minorHAnsi"/>
          <w:sz w:val="22"/>
          <w:szCs w:val="22"/>
        </w:rPr>
        <w:t>exist and include:</w:t>
      </w:r>
      <w:r w:rsidRPr="00142BB1">
        <w:rPr>
          <w:rFonts w:eastAsiaTheme="minorHAnsi"/>
          <w:sz w:val="22"/>
          <w:szCs w:val="22"/>
        </w:rPr>
        <w:t xml:space="preserve"> the non-commercial nature</w:t>
      </w:r>
      <w:r w:rsidR="00833159" w:rsidRPr="00142BB1">
        <w:rPr>
          <w:rFonts w:eastAsiaTheme="minorHAnsi"/>
          <w:sz w:val="22"/>
          <w:szCs w:val="22"/>
        </w:rPr>
        <w:t xml:space="preserve"> of the use of these bands by Defence</w:t>
      </w:r>
      <w:r w:rsidRPr="00142BB1">
        <w:rPr>
          <w:rFonts w:eastAsiaTheme="minorHAnsi"/>
          <w:sz w:val="22"/>
          <w:szCs w:val="22"/>
        </w:rPr>
        <w:t xml:space="preserve">, </w:t>
      </w:r>
      <w:r w:rsidR="00833159" w:rsidRPr="00142BB1">
        <w:rPr>
          <w:rFonts w:eastAsiaTheme="minorHAnsi"/>
          <w:sz w:val="22"/>
          <w:szCs w:val="22"/>
        </w:rPr>
        <w:t xml:space="preserve">the </w:t>
      </w:r>
      <w:r w:rsidRPr="00142BB1">
        <w:rPr>
          <w:rFonts w:eastAsiaTheme="minorHAnsi"/>
          <w:sz w:val="22"/>
          <w:szCs w:val="22"/>
        </w:rPr>
        <w:t>significant investment made by Defence in these bands</w:t>
      </w:r>
      <w:r w:rsidR="00833159" w:rsidRPr="00142BB1">
        <w:rPr>
          <w:rFonts w:eastAsiaTheme="minorHAnsi"/>
          <w:sz w:val="22"/>
          <w:szCs w:val="22"/>
        </w:rPr>
        <w:t>,</w:t>
      </w:r>
      <w:r w:rsidRPr="00142BB1">
        <w:rPr>
          <w:rFonts w:eastAsiaTheme="minorHAnsi"/>
          <w:sz w:val="22"/>
          <w:szCs w:val="22"/>
        </w:rPr>
        <w:t xml:space="preserve"> and </w:t>
      </w:r>
      <w:r w:rsidR="00833159" w:rsidRPr="00142BB1">
        <w:rPr>
          <w:rFonts w:eastAsiaTheme="minorHAnsi"/>
          <w:sz w:val="22"/>
          <w:szCs w:val="22"/>
        </w:rPr>
        <w:t xml:space="preserve">the </w:t>
      </w:r>
      <w:r w:rsidRPr="00142BB1">
        <w:rPr>
          <w:rFonts w:eastAsiaTheme="minorHAnsi"/>
          <w:sz w:val="22"/>
          <w:szCs w:val="22"/>
        </w:rPr>
        <w:t xml:space="preserve">coordination </w:t>
      </w:r>
      <w:r w:rsidR="00833159" w:rsidRPr="00142BB1">
        <w:rPr>
          <w:rFonts w:eastAsiaTheme="minorHAnsi"/>
          <w:sz w:val="22"/>
          <w:szCs w:val="22"/>
        </w:rPr>
        <w:t xml:space="preserve">of the use of the 20 GHz and 30 GHz bands </w:t>
      </w:r>
      <w:r w:rsidRPr="00142BB1">
        <w:rPr>
          <w:rFonts w:eastAsiaTheme="minorHAnsi"/>
          <w:sz w:val="22"/>
          <w:szCs w:val="22"/>
        </w:rPr>
        <w:t xml:space="preserve">between </w:t>
      </w:r>
      <w:r w:rsidR="00833159" w:rsidRPr="00142BB1">
        <w:rPr>
          <w:rFonts w:eastAsiaTheme="minorHAnsi"/>
          <w:sz w:val="22"/>
          <w:szCs w:val="22"/>
        </w:rPr>
        <w:t xml:space="preserve">Defence and other </w:t>
      </w:r>
      <w:r w:rsidRPr="00142BB1">
        <w:rPr>
          <w:rFonts w:eastAsiaTheme="minorHAnsi"/>
          <w:sz w:val="22"/>
          <w:szCs w:val="22"/>
        </w:rPr>
        <w:t>international Defence organisations.</w:t>
      </w:r>
    </w:p>
    <w:p w14:paraId="0E1C5B94" w14:textId="6791E533" w:rsidR="00AC3A17" w:rsidRPr="00142BB1" w:rsidRDefault="00264F83" w:rsidP="0005154A">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S</w:t>
      </w:r>
      <w:r w:rsidR="00AC3A17" w:rsidRPr="00142BB1">
        <w:rPr>
          <w:rFonts w:eastAsiaTheme="minorHAnsi"/>
          <w:sz w:val="22"/>
          <w:szCs w:val="22"/>
        </w:rPr>
        <w:t xml:space="preserve">ubsection 294(1) of the Act </w:t>
      </w:r>
      <w:r w:rsidR="00096DE2" w:rsidRPr="00142BB1">
        <w:rPr>
          <w:rFonts w:eastAsiaTheme="minorHAnsi"/>
          <w:sz w:val="22"/>
          <w:szCs w:val="22"/>
        </w:rPr>
        <w:t>provides that the ACMA may</w:t>
      </w:r>
      <w:r w:rsidR="004741AB" w:rsidRPr="00142BB1">
        <w:rPr>
          <w:rFonts w:eastAsiaTheme="minorHAnsi"/>
          <w:sz w:val="22"/>
          <w:szCs w:val="22"/>
        </w:rPr>
        <w:t xml:space="preserve"> </w:t>
      </w:r>
      <w:r w:rsidR="00025D14" w:rsidRPr="00142BB1">
        <w:rPr>
          <w:rFonts w:eastAsiaTheme="minorHAnsi"/>
          <w:sz w:val="22"/>
          <w:szCs w:val="22"/>
        </w:rPr>
        <w:t xml:space="preserve">fix spectrum access charges payable </w:t>
      </w:r>
      <w:r w:rsidR="00542C3D" w:rsidRPr="00142BB1">
        <w:rPr>
          <w:rFonts w:eastAsiaTheme="minorHAnsi"/>
          <w:sz w:val="22"/>
          <w:szCs w:val="22"/>
        </w:rPr>
        <w:t>by licensees</w:t>
      </w:r>
      <w:r w:rsidR="006C4DBB" w:rsidRPr="00142BB1">
        <w:rPr>
          <w:rFonts w:eastAsiaTheme="minorHAnsi"/>
          <w:sz w:val="22"/>
          <w:szCs w:val="22"/>
        </w:rPr>
        <w:t xml:space="preserve">, </w:t>
      </w:r>
      <w:r w:rsidR="00542C3D" w:rsidRPr="00142BB1">
        <w:rPr>
          <w:rFonts w:eastAsiaTheme="minorHAnsi"/>
          <w:sz w:val="22"/>
          <w:szCs w:val="22"/>
        </w:rPr>
        <w:t xml:space="preserve">for </w:t>
      </w:r>
      <w:r w:rsidR="00F60267" w:rsidRPr="00142BB1">
        <w:rPr>
          <w:rFonts w:eastAsiaTheme="minorHAnsi"/>
          <w:sz w:val="22"/>
          <w:szCs w:val="22"/>
        </w:rPr>
        <w:t>spectrum licences</w:t>
      </w:r>
      <w:r w:rsidR="00092443" w:rsidRPr="00142BB1">
        <w:rPr>
          <w:rFonts w:eastAsiaTheme="minorHAnsi"/>
          <w:sz w:val="22"/>
          <w:szCs w:val="22"/>
        </w:rPr>
        <w:t xml:space="preserve"> issued to the licensee</w:t>
      </w:r>
      <w:r w:rsidR="003A7540" w:rsidRPr="00142BB1">
        <w:rPr>
          <w:rFonts w:eastAsiaTheme="minorHAnsi"/>
          <w:sz w:val="22"/>
          <w:szCs w:val="22"/>
        </w:rPr>
        <w:t xml:space="preserve">. </w:t>
      </w:r>
      <w:r w:rsidR="00BE0DFF" w:rsidRPr="00142BB1">
        <w:rPr>
          <w:rFonts w:eastAsiaTheme="minorHAnsi"/>
          <w:sz w:val="22"/>
          <w:szCs w:val="22"/>
        </w:rPr>
        <w:t xml:space="preserve">In </w:t>
      </w:r>
      <w:r w:rsidR="009B358C" w:rsidRPr="00142BB1">
        <w:rPr>
          <w:rFonts w:eastAsiaTheme="minorHAnsi"/>
          <w:sz w:val="22"/>
          <w:szCs w:val="22"/>
        </w:rPr>
        <w:t>determin</w:t>
      </w:r>
      <w:r w:rsidR="00BE0DFF" w:rsidRPr="00142BB1">
        <w:rPr>
          <w:rFonts w:eastAsiaTheme="minorHAnsi"/>
          <w:sz w:val="22"/>
          <w:szCs w:val="22"/>
        </w:rPr>
        <w:t>ing</w:t>
      </w:r>
      <w:r w:rsidR="009B358C" w:rsidRPr="00142BB1">
        <w:rPr>
          <w:rFonts w:eastAsiaTheme="minorHAnsi"/>
          <w:sz w:val="22"/>
          <w:szCs w:val="22"/>
        </w:rPr>
        <w:t xml:space="preserve"> the spectrum access charge</w:t>
      </w:r>
      <w:r w:rsidR="00B20E8D" w:rsidRPr="00142BB1">
        <w:rPr>
          <w:rFonts w:eastAsiaTheme="minorHAnsi"/>
          <w:sz w:val="22"/>
          <w:szCs w:val="22"/>
        </w:rPr>
        <w:t>s</w:t>
      </w:r>
      <w:r w:rsidR="009B358C" w:rsidRPr="00142BB1">
        <w:rPr>
          <w:rFonts w:eastAsiaTheme="minorHAnsi"/>
          <w:sz w:val="22"/>
          <w:szCs w:val="22"/>
        </w:rPr>
        <w:t xml:space="preserve"> payable by the licensee</w:t>
      </w:r>
      <w:r w:rsidR="00635151" w:rsidRPr="00142BB1">
        <w:rPr>
          <w:rFonts w:eastAsiaTheme="minorHAnsi"/>
          <w:sz w:val="22"/>
          <w:szCs w:val="22"/>
        </w:rPr>
        <w:t>, the</w:t>
      </w:r>
      <w:r w:rsidR="00FE252E" w:rsidRPr="00142BB1">
        <w:rPr>
          <w:rFonts w:eastAsiaTheme="minorHAnsi"/>
          <w:sz w:val="22"/>
          <w:szCs w:val="22"/>
        </w:rPr>
        <w:t xml:space="preserve"> amount</w:t>
      </w:r>
      <w:r w:rsidR="00D74E85" w:rsidRPr="00142BB1">
        <w:rPr>
          <w:rFonts w:eastAsiaTheme="minorHAnsi"/>
          <w:sz w:val="22"/>
          <w:szCs w:val="22"/>
        </w:rPr>
        <w:t xml:space="preserve"> </w:t>
      </w:r>
      <w:r w:rsidR="00595A6A" w:rsidRPr="00142BB1">
        <w:rPr>
          <w:rFonts w:eastAsiaTheme="minorHAnsi"/>
          <w:sz w:val="22"/>
          <w:szCs w:val="22"/>
        </w:rPr>
        <w:t>must not be such as to</w:t>
      </w:r>
      <w:r w:rsidR="0076378D" w:rsidRPr="00142BB1">
        <w:rPr>
          <w:rFonts w:eastAsiaTheme="minorHAnsi"/>
          <w:sz w:val="22"/>
          <w:szCs w:val="22"/>
        </w:rPr>
        <w:t xml:space="preserve"> amount to </w:t>
      </w:r>
      <w:r w:rsidR="00D924E6" w:rsidRPr="00142BB1">
        <w:rPr>
          <w:rFonts w:eastAsiaTheme="minorHAnsi"/>
          <w:sz w:val="22"/>
          <w:szCs w:val="22"/>
        </w:rPr>
        <w:t>taxation</w:t>
      </w:r>
      <w:r w:rsidR="0075346F" w:rsidRPr="00142BB1">
        <w:rPr>
          <w:rFonts w:eastAsiaTheme="minorHAnsi"/>
          <w:sz w:val="22"/>
          <w:szCs w:val="22"/>
        </w:rPr>
        <w:t xml:space="preserve"> (</w:t>
      </w:r>
      <w:r w:rsidR="00635151" w:rsidRPr="00142BB1">
        <w:rPr>
          <w:rFonts w:eastAsiaTheme="minorHAnsi"/>
          <w:sz w:val="22"/>
          <w:szCs w:val="22"/>
        </w:rPr>
        <w:t xml:space="preserve">as provided </w:t>
      </w:r>
      <w:r w:rsidR="006C4A7F" w:rsidRPr="00142BB1">
        <w:rPr>
          <w:rFonts w:eastAsiaTheme="minorHAnsi"/>
          <w:sz w:val="22"/>
          <w:szCs w:val="22"/>
        </w:rPr>
        <w:t>for in</w:t>
      </w:r>
      <w:r w:rsidR="008A3062" w:rsidRPr="00142BB1">
        <w:rPr>
          <w:rFonts w:eastAsiaTheme="minorHAnsi"/>
          <w:sz w:val="22"/>
          <w:szCs w:val="22"/>
        </w:rPr>
        <w:t xml:space="preserve"> section 297 of the Act</w:t>
      </w:r>
      <w:r w:rsidR="0075346F" w:rsidRPr="00142BB1">
        <w:rPr>
          <w:rFonts w:eastAsiaTheme="minorHAnsi"/>
          <w:sz w:val="22"/>
          <w:szCs w:val="22"/>
        </w:rPr>
        <w:t>)</w:t>
      </w:r>
      <w:r w:rsidR="00D92AEC" w:rsidRPr="00142BB1">
        <w:rPr>
          <w:rFonts w:eastAsiaTheme="minorHAnsi"/>
          <w:sz w:val="22"/>
          <w:szCs w:val="22"/>
        </w:rPr>
        <w:t>.</w:t>
      </w:r>
    </w:p>
    <w:p w14:paraId="6E6A3416" w14:textId="726C6428" w:rsidR="008B6E0D" w:rsidRPr="00142BB1" w:rsidRDefault="00631608" w:rsidP="0005154A">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To</w:t>
      </w:r>
      <w:r w:rsidR="00F540B2" w:rsidRPr="00142BB1">
        <w:rPr>
          <w:rFonts w:eastAsiaTheme="minorHAnsi"/>
          <w:sz w:val="22"/>
          <w:szCs w:val="22"/>
        </w:rPr>
        <w:t xml:space="preserve"> determin</w:t>
      </w:r>
      <w:r w:rsidR="002720E8" w:rsidRPr="00142BB1">
        <w:rPr>
          <w:rFonts w:eastAsiaTheme="minorHAnsi"/>
          <w:sz w:val="22"/>
          <w:szCs w:val="22"/>
        </w:rPr>
        <w:t>e</w:t>
      </w:r>
      <w:r w:rsidR="00F540B2" w:rsidRPr="00142BB1">
        <w:rPr>
          <w:rFonts w:eastAsiaTheme="minorHAnsi"/>
          <w:sz w:val="22"/>
          <w:szCs w:val="22"/>
        </w:rPr>
        <w:t xml:space="preserve"> the</w:t>
      </w:r>
      <w:r w:rsidR="00AE11CC" w:rsidRPr="00142BB1">
        <w:rPr>
          <w:rFonts w:eastAsiaTheme="minorHAnsi"/>
          <w:sz w:val="22"/>
          <w:szCs w:val="22"/>
        </w:rPr>
        <w:t xml:space="preserve"> </w:t>
      </w:r>
      <w:r w:rsidR="00981EC1" w:rsidRPr="00142BB1">
        <w:rPr>
          <w:rFonts w:eastAsiaTheme="minorHAnsi"/>
          <w:sz w:val="22"/>
          <w:szCs w:val="22"/>
        </w:rPr>
        <w:t>amount</w:t>
      </w:r>
      <w:r w:rsidR="00354967" w:rsidRPr="00142BB1">
        <w:rPr>
          <w:rFonts w:eastAsiaTheme="minorHAnsi"/>
          <w:sz w:val="22"/>
          <w:szCs w:val="22"/>
        </w:rPr>
        <w:t xml:space="preserve"> of the</w:t>
      </w:r>
      <w:r w:rsidR="00F540B2" w:rsidRPr="00142BB1">
        <w:rPr>
          <w:rFonts w:eastAsiaTheme="minorHAnsi"/>
          <w:sz w:val="22"/>
          <w:szCs w:val="22"/>
        </w:rPr>
        <w:t xml:space="preserve"> spectrum access charges</w:t>
      </w:r>
      <w:r w:rsidR="002720E8" w:rsidRPr="00142BB1">
        <w:rPr>
          <w:rFonts w:eastAsiaTheme="minorHAnsi"/>
          <w:sz w:val="22"/>
          <w:szCs w:val="22"/>
        </w:rPr>
        <w:t xml:space="preserve"> for the re-issue of the two spectrum licences</w:t>
      </w:r>
      <w:r w:rsidR="00833159" w:rsidRPr="00142BB1">
        <w:rPr>
          <w:rFonts w:eastAsiaTheme="minorHAnsi"/>
          <w:sz w:val="22"/>
          <w:szCs w:val="22"/>
        </w:rPr>
        <w:t>,</w:t>
      </w:r>
      <w:r w:rsidR="00967C21" w:rsidRPr="00142BB1">
        <w:rPr>
          <w:rFonts w:eastAsiaTheme="minorHAnsi"/>
          <w:sz w:val="22"/>
          <w:szCs w:val="22"/>
        </w:rPr>
        <w:t xml:space="preserve"> the ACMA</w:t>
      </w:r>
      <w:r w:rsidR="009A75EA" w:rsidRPr="00142BB1">
        <w:rPr>
          <w:rFonts w:eastAsiaTheme="minorHAnsi"/>
          <w:sz w:val="22"/>
          <w:szCs w:val="22"/>
        </w:rPr>
        <w:t xml:space="preserve"> </w:t>
      </w:r>
      <w:proofErr w:type="gramStart"/>
      <w:r w:rsidR="009A75EA" w:rsidRPr="00142BB1">
        <w:rPr>
          <w:rFonts w:eastAsiaTheme="minorHAnsi"/>
          <w:sz w:val="22"/>
          <w:szCs w:val="22"/>
        </w:rPr>
        <w:t>took into account</w:t>
      </w:r>
      <w:proofErr w:type="gramEnd"/>
      <w:r w:rsidR="00833159" w:rsidRPr="00142BB1">
        <w:rPr>
          <w:rFonts w:eastAsiaTheme="minorHAnsi"/>
          <w:sz w:val="22"/>
          <w:szCs w:val="22"/>
        </w:rPr>
        <w:t>:</w:t>
      </w:r>
      <w:r w:rsidR="009A75EA" w:rsidRPr="00142BB1">
        <w:rPr>
          <w:rFonts w:eastAsiaTheme="minorHAnsi"/>
          <w:sz w:val="22"/>
          <w:szCs w:val="22"/>
        </w:rPr>
        <w:t xml:space="preserve"> </w:t>
      </w:r>
    </w:p>
    <w:p w14:paraId="6E8A5F2C" w14:textId="6E554F28" w:rsidR="00455768" w:rsidRPr="00142BB1" w:rsidRDefault="009A75EA" w:rsidP="008B6E0D">
      <w:pPr>
        <w:pStyle w:val="ACMANumberedList"/>
        <w:numPr>
          <w:ilvl w:val="0"/>
          <w:numId w:val="30"/>
        </w:numPr>
        <w:tabs>
          <w:tab w:val="left" w:pos="720"/>
        </w:tabs>
        <w:spacing w:before="0" w:after="160"/>
        <w:rPr>
          <w:rFonts w:eastAsiaTheme="minorHAnsi"/>
          <w:sz w:val="22"/>
          <w:szCs w:val="22"/>
        </w:rPr>
      </w:pPr>
      <w:r w:rsidRPr="00142BB1">
        <w:rPr>
          <w:rFonts w:eastAsiaTheme="minorHAnsi"/>
          <w:sz w:val="22"/>
          <w:szCs w:val="22"/>
        </w:rPr>
        <w:t xml:space="preserve">the </w:t>
      </w:r>
      <w:r w:rsidR="0010254A" w:rsidRPr="00142BB1">
        <w:rPr>
          <w:rFonts w:eastAsiaTheme="minorHAnsi"/>
          <w:sz w:val="22"/>
          <w:szCs w:val="22"/>
        </w:rPr>
        <w:t>long-standing</w:t>
      </w:r>
      <w:r w:rsidRPr="00142BB1">
        <w:rPr>
          <w:rFonts w:eastAsiaTheme="minorHAnsi"/>
          <w:sz w:val="22"/>
          <w:szCs w:val="22"/>
        </w:rPr>
        <w:t xml:space="preserve"> use of the </w:t>
      </w:r>
      <w:r w:rsidR="00FF77DF" w:rsidRPr="00142BB1">
        <w:rPr>
          <w:rFonts w:eastAsiaTheme="minorHAnsi"/>
          <w:sz w:val="22"/>
          <w:szCs w:val="22"/>
        </w:rPr>
        <w:t xml:space="preserve">20 GHz and 30 GHz </w:t>
      </w:r>
      <w:r w:rsidRPr="00142BB1">
        <w:rPr>
          <w:rFonts w:eastAsiaTheme="minorHAnsi"/>
          <w:sz w:val="22"/>
          <w:szCs w:val="22"/>
        </w:rPr>
        <w:t>spectrum by Defence</w:t>
      </w:r>
      <w:r w:rsidR="00E84E57" w:rsidRPr="00142BB1">
        <w:rPr>
          <w:rFonts w:eastAsiaTheme="minorHAnsi"/>
          <w:sz w:val="22"/>
          <w:szCs w:val="22"/>
        </w:rPr>
        <w:t xml:space="preserve"> </w:t>
      </w:r>
      <w:r w:rsidR="00955E47" w:rsidRPr="00142BB1">
        <w:rPr>
          <w:rFonts w:eastAsiaTheme="minorHAnsi"/>
          <w:sz w:val="22"/>
          <w:szCs w:val="22"/>
        </w:rPr>
        <w:t xml:space="preserve">for </w:t>
      </w:r>
      <w:r w:rsidR="00E83FB4" w:rsidRPr="00142BB1">
        <w:rPr>
          <w:rFonts w:eastAsiaTheme="minorHAnsi"/>
          <w:sz w:val="22"/>
          <w:szCs w:val="22"/>
        </w:rPr>
        <w:t>defence activities</w:t>
      </w:r>
      <w:r w:rsidR="00833159" w:rsidRPr="00142BB1">
        <w:rPr>
          <w:rFonts w:eastAsiaTheme="minorHAnsi"/>
          <w:sz w:val="22"/>
          <w:szCs w:val="22"/>
        </w:rPr>
        <w:t>;</w:t>
      </w:r>
      <w:r w:rsidR="00304D64" w:rsidRPr="00142BB1">
        <w:rPr>
          <w:rFonts w:eastAsiaTheme="minorHAnsi"/>
          <w:sz w:val="22"/>
          <w:szCs w:val="22"/>
        </w:rPr>
        <w:t> </w:t>
      </w:r>
      <w:r w:rsidR="00B53F35" w:rsidRPr="00142BB1">
        <w:rPr>
          <w:rFonts w:eastAsiaTheme="minorHAnsi"/>
          <w:sz w:val="22"/>
          <w:szCs w:val="22"/>
        </w:rPr>
        <w:t>a</w:t>
      </w:r>
      <w:r w:rsidR="00833159" w:rsidRPr="00142BB1">
        <w:rPr>
          <w:rFonts w:eastAsiaTheme="minorHAnsi"/>
          <w:sz w:val="22"/>
          <w:szCs w:val="22"/>
        </w:rPr>
        <w:t>nd</w:t>
      </w:r>
    </w:p>
    <w:p w14:paraId="6407382F" w14:textId="4B86820F" w:rsidR="006E24E8" w:rsidRPr="00142BB1" w:rsidRDefault="00833159" w:rsidP="008B6E0D">
      <w:pPr>
        <w:pStyle w:val="ACMANumberedList"/>
        <w:numPr>
          <w:ilvl w:val="0"/>
          <w:numId w:val="30"/>
        </w:numPr>
        <w:tabs>
          <w:tab w:val="left" w:pos="720"/>
        </w:tabs>
        <w:spacing w:before="0" w:after="160"/>
        <w:rPr>
          <w:rFonts w:eastAsiaTheme="minorHAnsi"/>
          <w:sz w:val="22"/>
          <w:szCs w:val="22"/>
        </w:rPr>
      </w:pPr>
      <w:r w:rsidRPr="00142BB1">
        <w:rPr>
          <w:rFonts w:eastAsiaTheme="minorHAnsi"/>
          <w:sz w:val="22"/>
          <w:szCs w:val="22"/>
        </w:rPr>
        <w:lastRenderedPageBreak/>
        <w:t>that t</w:t>
      </w:r>
      <w:r w:rsidR="00116819" w:rsidRPr="00142BB1">
        <w:rPr>
          <w:rFonts w:eastAsiaTheme="minorHAnsi"/>
          <w:sz w:val="22"/>
          <w:szCs w:val="22"/>
        </w:rPr>
        <w:t xml:space="preserve">he </w:t>
      </w:r>
      <w:r w:rsidR="008D34FA" w:rsidRPr="00142BB1">
        <w:rPr>
          <w:rFonts w:eastAsiaTheme="minorHAnsi"/>
          <w:sz w:val="22"/>
          <w:szCs w:val="22"/>
        </w:rPr>
        <w:t xml:space="preserve">previous </w:t>
      </w:r>
      <w:r w:rsidR="00116819" w:rsidRPr="00142BB1">
        <w:rPr>
          <w:rFonts w:eastAsiaTheme="minorHAnsi"/>
          <w:sz w:val="22"/>
          <w:szCs w:val="22"/>
        </w:rPr>
        <w:t xml:space="preserve">spectrum access charges </w:t>
      </w:r>
      <w:r w:rsidR="00D3126A" w:rsidRPr="00142BB1">
        <w:rPr>
          <w:rFonts w:eastAsiaTheme="minorHAnsi"/>
          <w:sz w:val="22"/>
          <w:szCs w:val="22"/>
        </w:rPr>
        <w:t xml:space="preserve">determined </w:t>
      </w:r>
      <w:r w:rsidR="00116819" w:rsidRPr="00142BB1">
        <w:rPr>
          <w:rFonts w:eastAsiaTheme="minorHAnsi"/>
          <w:sz w:val="22"/>
          <w:szCs w:val="22"/>
        </w:rPr>
        <w:t xml:space="preserve">for </w:t>
      </w:r>
      <w:r w:rsidR="00F50956" w:rsidRPr="00142BB1">
        <w:rPr>
          <w:rFonts w:eastAsiaTheme="minorHAnsi"/>
          <w:sz w:val="22"/>
          <w:szCs w:val="22"/>
        </w:rPr>
        <w:t>the two spectrum licences</w:t>
      </w:r>
      <w:r w:rsidR="00BA021D" w:rsidRPr="00142BB1">
        <w:rPr>
          <w:rFonts w:eastAsiaTheme="minorHAnsi"/>
          <w:sz w:val="22"/>
          <w:szCs w:val="22"/>
        </w:rPr>
        <w:t xml:space="preserve"> issued to Defence in 2006</w:t>
      </w:r>
      <w:r w:rsidR="007C388C" w:rsidRPr="00142BB1">
        <w:rPr>
          <w:rFonts w:eastAsiaTheme="minorHAnsi"/>
          <w:sz w:val="22"/>
          <w:szCs w:val="22"/>
        </w:rPr>
        <w:t>,</w:t>
      </w:r>
      <w:r w:rsidR="00F50956" w:rsidRPr="00142BB1">
        <w:rPr>
          <w:rFonts w:eastAsiaTheme="minorHAnsi"/>
          <w:sz w:val="22"/>
          <w:szCs w:val="22"/>
        </w:rPr>
        <w:t xml:space="preserve"> </w:t>
      </w:r>
      <w:r w:rsidR="001A562C" w:rsidRPr="00142BB1">
        <w:rPr>
          <w:rFonts w:eastAsiaTheme="minorHAnsi"/>
          <w:sz w:val="22"/>
          <w:szCs w:val="22"/>
        </w:rPr>
        <w:t>had been based on</w:t>
      </w:r>
      <w:r w:rsidR="00455768" w:rsidRPr="00142BB1">
        <w:rPr>
          <w:rFonts w:eastAsiaTheme="minorHAnsi"/>
          <w:sz w:val="22"/>
          <w:szCs w:val="22"/>
        </w:rPr>
        <w:t xml:space="preserve"> a </w:t>
      </w:r>
      <w:r w:rsidR="001E3ADE" w:rsidRPr="00142BB1">
        <w:rPr>
          <w:rFonts w:eastAsiaTheme="minorHAnsi"/>
          <w:sz w:val="22"/>
          <w:szCs w:val="22"/>
        </w:rPr>
        <w:t>consider</w:t>
      </w:r>
      <w:r w:rsidR="008D34FA" w:rsidRPr="00142BB1">
        <w:rPr>
          <w:rFonts w:eastAsiaTheme="minorHAnsi"/>
          <w:sz w:val="22"/>
          <w:szCs w:val="22"/>
        </w:rPr>
        <w:t>ation of</w:t>
      </w:r>
      <w:r w:rsidR="001E3ADE" w:rsidRPr="00142BB1">
        <w:rPr>
          <w:rFonts w:eastAsiaTheme="minorHAnsi"/>
          <w:sz w:val="22"/>
          <w:szCs w:val="22"/>
        </w:rPr>
        <w:t xml:space="preserve"> the value of</w:t>
      </w:r>
      <w:r w:rsidR="001A562C" w:rsidRPr="00142BB1">
        <w:rPr>
          <w:rFonts w:eastAsiaTheme="minorHAnsi"/>
          <w:sz w:val="22"/>
          <w:szCs w:val="22"/>
        </w:rPr>
        <w:t xml:space="preserve"> </w:t>
      </w:r>
      <w:r w:rsidR="00F50956" w:rsidRPr="00142BB1">
        <w:rPr>
          <w:rFonts w:eastAsiaTheme="minorHAnsi"/>
          <w:sz w:val="22"/>
          <w:szCs w:val="22"/>
        </w:rPr>
        <w:t>apparatus licences taxes</w:t>
      </w:r>
      <w:r w:rsidR="00BA11A8" w:rsidRPr="00142BB1">
        <w:rPr>
          <w:rFonts w:eastAsiaTheme="minorHAnsi"/>
          <w:sz w:val="22"/>
          <w:szCs w:val="22"/>
        </w:rPr>
        <w:t>, application of an inflation rate</w:t>
      </w:r>
      <w:r w:rsidR="00D3126A" w:rsidRPr="00142BB1">
        <w:rPr>
          <w:rFonts w:eastAsiaTheme="minorHAnsi"/>
          <w:sz w:val="22"/>
          <w:szCs w:val="22"/>
        </w:rPr>
        <w:t>,</w:t>
      </w:r>
      <w:r w:rsidR="00EE7AB0" w:rsidRPr="00142BB1">
        <w:rPr>
          <w:rFonts w:eastAsiaTheme="minorHAnsi"/>
          <w:sz w:val="22"/>
          <w:szCs w:val="22"/>
        </w:rPr>
        <w:t xml:space="preserve"> and </w:t>
      </w:r>
      <w:r w:rsidR="00153F85" w:rsidRPr="00142BB1">
        <w:rPr>
          <w:rFonts w:eastAsiaTheme="minorHAnsi"/>
          <w:sz w:val="22"/>
          <w:szCs w:val="22"/>
        </w:rPr>
        <w:t>applying a discount factor</w:t>
      </w:r>
      <w:r w:rsidR="00B02138" w:rsidRPr="00142BB1">
        <w:rPr>
          <w:rFonts w:eastAsiaTheme="minorHAnsi"/>
          <w:sz w:val="22"/>
          <w:szCs w:val="22"/>
        </w:rPr>
        <w:t xml:space="preserve"> that was based on </w:t>
      </w:r>
      <w:r w:rsidR="005315B7" w:rsidRPr="00142BB1">
        <w:rPr>
          <w:rFonts w:eastAsiaTheme="minorHAnsi"/>
          <w:sz w:val="22"/>
          <w:szCs w:val="22"/>
        </w:rPr>
        <w:t xml:space="preserve">the 10-year Commonwealth bond </w:t>
      </w:r>
      <w:proofErr w:type="gramStart"/>
      <w:r w:rsidR="005315B7" w:rsidRPr="00142BB1">
        <w:rPr>
          <w:rFonts w:eastAsiaTheme="minorHAnsi"/>
          <w:sz w:val="22"/>
          <w:szCs w:val="22"/>
        </w:rPr>
        <w:t>rate</w:t>
      </w:r>
      <w:r w:rsidR="006E24E8" w:rsidRPr="00142BB1">
        <w:rPr>
          <w:rFonts w:eastAsiaTheme="minorHAnsi"/>
          <w:sz w:val="22"/>
          <w:szCs w:val="22"/>
        </w:rPr>
        <w:t>;</w:t>
      </w:r>
      <w:proofErr w:type="gramEnd"/>
      <w:r w:rsidR="006E24E8" w:rsidRPr="00142BB1">
        <w:rPr>
          <w:rFonts w:eastAsiaTheme="minorHAnsi"/>
          <w:sz w:val="22"/>
          <w:szCs w:val="22"/>
        </w:rPr>
        <w:t xml:space="preserve"> and</w:t>
      </w:r>
    </w:p>
    <w:p w14:paraId="2B6A5A14" w14:textId="5D02F754" w:rsidR="009A75EA" w:rsidRPr="00142BB1" w:rsidRDefault="00494EBE" w:rsidP="00B72522">
      <w:pPr>
        <w:pStyle w:val="ACMANumberedList"/>
        <w:numPr>
          <w:ilvl w:val="0"/>
          <w:numId w:val="30"/>
        </w:numPr>
        <w:tabs>
          <w:tab w:val="left" w:pos="720"/>
        </w:tabs>
        <w:spacing w:before="0" w:after="160"/>
        <w:rPr>
          <w:rFonts w:eastAsiaTheme="minorHAnsi"/>
          <w:sz w:val="22"/>
          <w:szCs w:val="22"/>
        </w:rPr>
      </w:pPr>
      <w:r w:rsidRPr="00142BB1">
        <w:rPr>
          <w:rFonts w:eastAsiaTheme="minorHAnsi"/>
          <w:sz w:val="22"/>
          <w:szCs w:val="22"/>
        </w:rPr>
        <w:t xml:space="preserve">that </w:t>
      </w:r>
      <w:r w:rsidR="008F6BF8" w:rsidRPr="00142BB1">
        <w:rPr>
          <w:rFonts w:eastAsiaTheme="minorHAnsi"/>
          <w:sz w:val="22"/>
          <w:szCs w:val="22"/>
        </w:rPr>
        <w:t>t</w:t>
      </w:r>
      <w:r w:rsidR="00D10356" w:rsidRPr="00142BB1">
        <w:rPr>
          <w:rFonts w:eastAsiaTheme="minorHAnsi"/>
          <w:sz w:val="22"/>
          <w:szCs w:val="22"/>
        </w:rPr>
        <w:t>here are few relevant price points either domestically or internationally</w:t>
      </w:r>
      <w:r w:rsidR="00642DE1" w:rsidRPr="00142BB1">
        <w:rPr>
          <w:rFonts w:eastAsiaTheme="minorHAnsi"/>
          <w:sz w:val="22"/>
          <w:szCs w:val="22"/>
        </w:rPr>
        <w:t xml:space="preserve"> </w:t>
      </w:r>
      <w:r w:rsidR="008036D0" w:rsidRPr="00142BB1">
        <w:rPr>
          <w:rFonts w:eastAsiaTheme="minorHAnsi"/>
          <w:sz w:val="22"/>
          <w:szCs w:val="22"/>
        </w:rPr>
        <w:t xml:space="preserve">in the 20 GHz and 30 GHz bands that would </w:t>
      </w:r>
      <w:r w:rsidR="0035354B" w:rsidRPr="00142BB1">
        <w:rPr>
          <w:rFonts w:eastAsiaTheme="minorHAnsi"/>
          <w:sz w:val="22"/>
          <w:szCs w:val="22"/>
        </w:rPr>
        <w:t xml:space="preserve">assist </w:t>
      </w:r>
      <w:r w:rsidR="00C1272F" w:rsidRPr="00142BB1">
        <w:rPr>
          <w:rFonts w:eastAsiaTheme="minorHAnsi"/>
          <w:sz w:val="22"/>
          <w:szCs w:val="22"/>
        </w:rPr>
        <w:t xml:space="preserve">to </w:t>
      </w:r>
      <w:r w:rsidR="0035354B" w:rsidRPr="00142BB1">
        <w:rPr>
          <w:rFonts w:eastAsiaTheme="minorHAnsi"/>
          <w:sz w:val="22"/>
          <w:szCs w:val="22"/>
        </w:rPr>
        <w:t>determin</w:t>
      </w:r>
      <w:r w:rsidR="00C1272F" w:rsidRPr="00142BB1">
        <w:rPr>
          <w:rFonts w:eastAsiaTheme="minorHAnsi"/>
          <w:sz w:val="22"/>
          <w:szCs w:val="22"/>
        </w:rPr>
        <w:t xml:space="preserve">e </w:t>
      </w:r>
      <w:r w:rsidR="0035354B" w:rsidRPr="00142BB1">
        <w:rPr>
          <w:rFonts w:eastAsiaTheme="minorHAnsi"/>
          <w:sz w:val="22"/>
          <w:szCs w:val="22"/>
        </w:rPr>
        <w:t>the value of the spectrum access charge</w:t>
      </w:r>
      <w:r w:rsidR="00C1272F" w:rsidRPr="00142BB1">
        <w:rPr>
          <w:rFonts w:eastAsiaTheme="minorHAnsi"/>
          <w:sz w:val="22"/>
          <w:szCs w:val="22"/>
        </w:rPr>
        <w:t xml:space="preserve">s for the re-issued </w:t>
      </w:r>
      <w:r w:rsidR="00AA4847" w:rsidRPr="00142BB1">
        <w:rPr>
          <w:rFonts w:eastAsiaTheme="minorHAnsi"/>
          <w:sz w:val="22"/>
          <w:szCs w:val="22"/>
        </w:rPr>
        <w:t>spectrum licences</w:t>
      </w:r>
      <w:r w:rsidR="005315B7" w:rsidRPr="00142BB1">
        <w:rPr>
          <w:rFonts w:eastAsiaTheme="minorHAnsi"/>
          <w:sz w:val="22"/>
          <w:szCs w:val="22"/>
        </w:rPr>
        <w:t>.</w:t>
      </w:r>
    </w:p>
    <w:p w14:paraId="5A589C30" w14:textId="4736E1C1" w:rsidR="00FF25D9" w:rsidRPr="00142BB1" w:rsidRDefault="00FF25D9" w:rsidP="0005154A">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 xml:space="preserve">The ACMA considers the </w:t>
      </w:r>
      <w:r w:rsidR="00D9323A" w:rsidRPr="00142BB1">
        <w:rPr>
          <w:rFonts w:eastAsiaTheme="minorHAnsi"/>
          <w:sz w:val="22"/>
          <w:szCs w:val="22"/>
        </w:rPr>
        <w:t>considerati</w:t>
      </w:r>
      <w:r w:rsidR="00AC6E51" w:rsidRPr="00142BB1">
        <w:rPr>
          <w:rFonts w:eastAsiaTheme="minorHAnsi"/>
          <w:sz w:val="22"/>
          <w:szCs w:val="22"/>
        </w:rPr>
        <w:t xml:space="preserve">on </w:t>
      </w:r>
      <w:r w:rsidR="00562B9B" w:rsidRPr="00142BB1">
        <w:rPr>
          <w:rFonts w:eastAsiaTheme="minorHAnsi"/>
          <w:sz w:val="22"/>
          <w:szCs w:val="22"/>
        </w:rPr>
        <w:t xml:space="preserve">of </w:t>
      </w:r>
      <w:r w:rsidRPr="00142BB1">
        <w:rPr>
          <w:rFonts w:eastAsiaTheme="minorHAnsi"/>
          <w:sz w:val="22"/>
          <w:szCs w:val="22"/>
        </w:rPr>
        <w:t>previous spectrum access charges and apparatus licence taxes</w:t>
      </w:r>
      <w:r w:rsidR="005E2992" w:rsidRPr="00142BB1">
        <w:rPr>
          <w:rFonts w:eastAsiaTheme="minorHAnsi"/>
          <w:sz w:val="22"/>
          <w:szCs w:val="22"/>
        </w:rPr>
        <w:t>,</w:t>
      </w:r>
      <w:r w:rsidR="00A94B0F" w:rsidRPr="00142BB1">
        <w:rPr>
          <w:rFonts w:eastAsiaTheme="minorHAnsi"/>
          <w:sz w:val="22"/>
          <w:szCs w:val="22"/>
        </w:rPr>
        <w:t xml:space="preserve"> </w:t>
      </w:r>
      <w:r w:rsidR="004B7437" w:rsidRPr="00142BB1">
        <w:rPr>
          <w:rFonts w:eastAsiaTheme="minorHAnsi"/>
          <w:sz w:val="22"/>
          <w:szCs w:val="22"/>
        </w:rPr>
        <w:t xml:space="preserve">inflation rates and </w:t>
      </w:r>
      <w:r w:rsidR="00A94B0F" w:rsidRPr="00142BB1">
        <w:rPr>
          <w:rFonts w:eastAsiaTheme="minorHAnsi"/>
          <w:sz w:val="22"/>
          <w:szCs w:val="22"/>
        </w:rPr>
        <w:t xml:space="preserve">Commonwealth bond rates to determine </w:t>
      </w:r>
      <w:r w:rsidR="004C0727" w:rsidRPr="00142BB1">
        <w:rPr>
          <w:rFonts w:eastAsiaTheme="minorHAnsi"/>
          <w:sz w:val="22"/>
          <w:szCs w:val="22"/>
        </w:rPr>
        <w:t>a discount factor</w:t>
      </w:r>
      <w:r w:rsidR="004B7437" w:rsidRPr="00142BB1">
        <w:rPr>
          <w:rFonts w:eastAsiaTheme="minorHAnsi"/>
          <w:sz w:val="22"/>
          <w:szCs w:val="22"/>
        </w:rPr>
        <w:t xml:space="preserve"> </w:t>
      </w:r>
      <w:r w:rsidRPr="00142BB1">
        <w:rPr>
          <w:rFonts w:eastAsiaTheme="minorHAnsi"/>
          <w:sz w:val="22"/>
          <w:szCs w:val="22"/>
        </w:rPr>
        <w:t xml:space="preserve">provide suitable </w:t>
      </w:r>
      <w:r w:rsidR="00231735" w:rsidRPr="00142BB1">
        <w:rPr>
          <w:rFonts w:eastAsiaTheme="minorHAnsi"/>
          <w:sz w:val="22"/>
          <w:szCs w:val="22"/>
        </w:rPr>
        <w:t>benchmarks</w:t>
      </w:r>
      <w:r w:rsidRPr="00142BB1">
        <w:rPr>
          <w:rFonts w:eastAsiaTheme="minorHAnsi"/>
          <w:sz w:val="22"/>
          <w:szCs w:val="22"/>
        </w:rPr>
        <w:t xml:space="preserve"> </w:t>
      </w:r>
      <w:r w:rsidR="00FC3FD9" w:rsidRPr="00142BB1">
        <w:rPr>
          <w:rFonts w:eastAsiaTheme="minorHAnsi"/>
          <w:sz w:val="22"/>
          <w:szCs w:val="22"/>
        </w:rPr>
        <w:t xml:space="preserve">to determine the </w:t>
      </w:r>
      <w:r w:rsidRPr="00142BB1">
        <w:rPr>
          <w:rFonts w:eastAsiaTheme="minorHAnsi"/>
          <w:sz w:val="22"/>
          <w:szCs w:val="22"/>
        </w:rPr>
        <w:t>spectrum access charges for the re</w:t>
      </w:r>
      <w:r w:rsidR="00671AA6" w:rsidRPr="00142BB1">
        <w:rPr>
          <w:rFonts w:eastAsiaTheme="minorHAnsi"/>
          <w:sz w:val="22"/>
          <w:szCs w:val="22"/>
        </w:rPr>
        <w:t>-</w:t>
      </w:r>
      <w:r w:rsidRPr="00142BB1">
        <w:rPr>
          <w:rFonts w:eastAsiaTheme="minorHAnsi"/>
          <w:sz w:val="22"/>
          <w:szCs w:val="22"/>
        </w:rPr>
        <w:t xml:space="preserve">issue of </w:t>
      </w:r>
      <w:r w:rsidR="00671AA6" w:rsidRPr="00142BB1">
        <w:rPr>
          <w:rFonts w:eastAsiaTheme="minorHAnsi"/>
          <w:sz w:val="22"/>
          <w:szCs w:val="22"/>
        </w:rPr>
        <w:t xml:space="preserve">each of </w:t>
      </w:r>
      <w:r w:rsidRPr="00142BB1">
        <w:rPr>
          <w:rFonts w:eastAsiaTheme="minorHAnsi"/>
          <w:sz w:val="22"/>
          <w:szCs w:val="22"/>
        </w:rPr>
        <w:t>the 20</w:t>
      </w:r>
      <w:r w:rsidR="00671AA6" w:rsidRPr="00142BB1">
        <w:rPr>
          <w:rFonts w:eastAsiaTheme="minorHAnsi"/>
          <w:sz w:val="22"/>
          <w:szCs w:val="22"/>
        </w:rPr>
        <w:t xml:space="preserve"> GHz and </w:t>
      </w:r>
      <w:r w:rsidRPr="00142BB1">
        <w:rPr>
          <w:rFonts w:eastAsiaTheme="minorHAnsi"/>
          <w:sz w:val="22"/>
          <w:szCs w:val="22"/>
        </w:rPr>
        <w:t>30 GHz Defence spectrum licences. The history of</w:t>
      </w:r>
      <w:r w:rsidR="00D20241" w:rsidRPr="00142BB1">
        <w:rPr>
          <w:rFonts w:eastAsiaTheme="minorHAnsi"/>
          <w:sz w:val="22"/>
          <w:szCs w:val="22"/>
        </w:rPr>
        <w:t xml:space="preserve"> </w:t>
      </w:r>
      <w:r w:rsidR="000F7B4A" w:rsidRPr="00142BB1">
        <w:rPr>
          <w:rFonts w:eastAsiaTheme="minorHAnsi"/>
          <w:sz w:val="22"/>
          <w:szCs w:val="22"/>
        </w:rPr>
        <w:t>prior</w:t>
      </w:r>
      <w:r w:rsidRPr="00142BB1">
        <w:rPr>
          <w:rFonts w:eastAsiaTheme="minorHAnsi"/>
          <w:sz w:val="22"/>
          <w:szCs w:val="22"/>
        </w:rPr>
        <w:t xml:space="preserve"> licensing and pricing arrangements suggest</w:t>
      </w:r>
      <w:r w:rsidR="00CA053E" w:rsidRPr="00142BB1">
        <w:rPr>
          <w:rFonts w:eastAsiaTheme="minorHAnsi"/>
          <w:sz w:val="22"/>
          <w:szCs w:val="22"/>
        </w:rPr>
        <w:t>s</w:t>
      </w:r>
      <w:r w:rsidRPr="00142BB1">
        <w:rPr>
          <w:rFonts w:eastAsiaTheme="minorHAnsi"/>
          <w:sz w:val="22"/>
          <w:szCs w:val="22"/>
        </w:rPr>
        <w:t xml:space="preserve"> that spectrum access charges based on these benchmarks would reflect the value of the spectrum to Defence and, therefore, would not amount to taxation.</w:t>
      </w:r>
    </w:p>
    <w:p w14:paraId="19B0AA94" w14:textId="6A27ABF8" w:rsidR="003300D1" w:rsidRPr="00142BB1" w:rsidRDefault="00C978DB" w:rsidP="0005154A">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The current annual transmitter licence tax for Defence apparatus licences on an Australia-wide basis in the 20</w:t>
      </w:r>
      <w:r w:rsidR="00F23743" w:rsidRPr="00142BB1">
        <w:rPr>
          <w:rFonts w:eastAsiaTheme="minorHAnsi"/>
          <w:sz w:val="22"/>
          <w:szCs w:val="22"/>
        </w:rPr>
        <w:t> </w:t>
      </w:r>
      <w:r w:rsidR="00671AA6" w:rsidRPr="00142BB1">
        <w:rPr>
          <w:rFonts w:eastAsiaTheme="minorHAnsi"/>
          <w:sz w:val="22"/>
          <w:szCs w:val="22"/>
        </w:rPr>
        <w:t xml:space="preserve">GHz </w:t>
      </w:r>
      <w:r w:rsidRPr="00142BB1">
        <w:rPr>
          <w:rFonts w:eastAsiaTheme="minorHAnsi"/>
          <w:sz w:val="22"/>
          <w:szCs w:val="22"/>
        </w:rPr>
        <w:t>and 30</w:t>
      </w:r>
      <w:r w:rsidR="00F23743" w:rsidRPr="00142BB1">
        <w:rPr>
          <w:rFonts w:eastAsiaTheme="minorHAnsi"/>
          <w:sz w:val="22"/>
          <w:szCs w:val="22"/>
        </w:rPr>
        <w:t> </w:t>
      </w:r>
      <w:r w:rsidRPr="00142BB1">
        <w:rPr>
          <w:rFonts w:eastAsiaTheme="minorHAnsi"/>
          <w:sz w:val="22"/>
          <w:szCs w:val="22"/>
        </w:rPr>
        <w:t>GHz bands is $1.0469 per kHz</w:t>
      </w:r>
      <w:r w:rsidR="006E3F1C" w:rsidRPr="00142BB1">
        <w:rPr>
          <w:rFonts w:eastAsiaTheme="minorHAnsi"/>
          <w:sz w:val="22"/>
          <w:szCs w:val="22"/>
        </w:rPr>
        <w:t>,</w:t>
      </w:r>
      <w:r w:rsidR="0080621A" w:rsidRPr="00142BB1">
        <w:rPr>
          <w:rStyle w:val="FootnoteReference"/>
          <w:rFonts w:eastAsiaTheme="minorHAnsi"/>
          <w:sz w:val="22"/>
          <w:szCs w:val="22"/>
        </w:rPr>
        <w:footnoteReference w:id="2"/>
      </w:r>
      <w:r w:rsidR="00203671" w:rsidRPr="00142BB1">
        <w:rPr>
          <w:rFonts w:eastAsiaTheme="minorHAnsi"/>
          <w:sz w:val="22"/>
          <w:szCs w:val="22"/>
        </w:rPr>
        <w:t xml:space="preserve"> with t</w:t>
      </w:r>
      <w:r w:rsidRPr="00142BB1">
        <w:rPr>
          <w:rFonts w:eastAsiaTheme="minorHAnsi"/>
          <w:sz w:val="22"/>
          <w:szCs w:val="22"/>
        </w:rPr>
        <w:t xml:space="preserve">he annual transmitter licence tax for a licence with 1 GHz of spectrum </w:t>
      </w:r>
      <w:r w:rsidR="00203671" w:rsidRPr="00142BB1">
        <w:rPr>
          <w:rFonts w:eastAsiaTheme="minorHAnsi"/>
          <w:sz w:val="22"/>
          <w:szCs w:val="22"/>
        </w:rPr>
        <w:t>being</w:t>
      </w:r>
      <w:r w:rsidRPr="00142BB1">
        <w:rPr>
          <w:rFonts w:eastAsiaTheme="minorHAnsi"/>
          <w:sz w:val="22"/>
          <w:szCs w:val="22"/>
        </w:rPr>
        <w:t xml:space="preserve"> $1,046,900. The average rate for a Commonwealth 10-year bond for January is 1.06 per cent.</w:t>
      </w:r>
      <w:r w:rsidR="007D7F7B" w:rsidRPr="00142BB1">
        <w:rPr>
          <w:rStyle w:val="FootnoteReference"/>
          <w:rFonts w:eastAsiaTheme="minorHAnsi"/>
          <w:sz w:val="22"/>
          <w:szCs w:val="22"/>
        </w:rPr>
        <w:footnoteReference w:id="3"/>
      </w:r>
    </w:p>
    <w:p w14:paraId="53930177" w14:textId="60DBD8EA" w:rsidR="00C978DB" w:rsidRPr="00142BB1" w:rsidRDefault="00E57EE4" w:rsidP="005938F4">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Accordingly</w:t>
      </w:r>
      <w:r w:rsidR="00CA31FD" w:rsidRPr="00142BB1">
        <w:rPr>
          <w:rFonts w:eastAsiaTheme="minorHAnsi"/>
          <w:sz w:val="22"/>
          <w:szCs w:val="22"/>
        </w:rPr>
        <w:t xml:space="preserve">, </w:t>
      </w:r>
      <w:r w:rsidR="00B05E71" w:rsidRPr="00142BB1">
        <w:rPr>
          <w:rFonts w:eastAsiaTheme="minorHAnsi"/>
          <w:sz w:val="22"/>
          <w:szCs w:val="22"/>
        </w:rPr>
        <w:t xml:space="preserve">the ACMA determined </w:t>
      </w:r>
      <w:r w:rsidR="00E85599" w:rsidRPr="00142BB1">
        <w:rPr>
          <w:rFonts w:eastAsiaTheme="minorHAnsi"/>
          <w:sz w:val="22"/>
          <w:szCs w:val="22"/>
        </w:rPr>
        <w:t xml:space="preserve">the spectrum access charges </w:t>
      </w:r>
      <w:r w:rsidR="00AD06F9" w:rsidRPr="00142BB1">
        <w:rPr>
          <w:rFonts w:eastAsiaTheme="minorHAnsi"/>
          <w:sz w:val="22"/>
          <w:szCs w:val="22"/>
        </w:rPr>
        <w:t xml:space="preserve">for the re-issue of </w:t>
      </w:r>
      <w:r w:rsidR="001B3FF7" w:rsidRPr="00142BB1">
        <w:rPr>
          <w:rFonts w:eastAsiaTheme="minorHAnsi"/>
          <w:sz w:val="22"/>
          <w:szCs w:val="22"/>
        </w:rPr>
        <w:t>each</w:t>
      </w:r>
      <w:r w:rsidR="008D13F3" w:rsidRPr="00142BB1">
        <w:rPr>
          <w:rFonts w:eastAsiaTheme="minorHAnsi"/>
          <w:sz w:val="22"/>
          <w:szCs w:val="22"/>
        </w:rPr>
        <w:t xml:space="preserve"> spectrum license</w:t>
      </w:r>
      <w:r w:rsidR="008A5E3C" w:rsidRPr="00142BB1">
        <w:rPr>
          <w:rFonts w:eastAsiaTheme="minorHAnsi"/>
          <w:sz w:val="22"/>
          <w:szCs w:val="22"/>
        </w:rPr>
        <w:t xml:space="preserve"> as follows</w:t>
      </w:r>
      <w:r w:rsidR="00872F4D" w:rsidRPr="00142BB1">
        <w:rPr>
          <w:rFonts w:eastAsiaTheme="minorHAnsi"/>
          <w:sz w:val="22"/>
          <w:szCs w:val="22"/>
        </w:rPr>
        <w:t>:</w:t>
      </w:r>
      <w:r w:rsidR="0007083B" w:rsidRPr="00142BB1">
        <w:rPr>
          <w:rFonts w:eastAsiaTheme="minorHAnsi"/>
          <w:sz w:val="22"/>
          <w:szCs w:val="22"/>
        </w:rPr>
        <w:t xml:space="preserve"> t</w:t>
      </w:r>
      <w:r w:rsidR="001B3AE1" w:rsidRPr="00142BB1">
        <w:rPr>
          <w:rFonts w:eastAsiaTheme="minorHAnsi"/>
          <w:sz w:val="22"/>
          <w:szCs w:val="22"/>
        </w:rPr>
        <w:t xml:space="preserve">he net present value of the </w:t>
      </w:r>
      <w:r w:rsidR="00671AA6" w:rsidRPr="00142BB1">
        <w:rPr>
          <w:rFonts w:eastAsiaTheme="minorHAnsi"/>
          <w:sz w:val="22"/>
          <w:szCs w:val="22"/>
        </w:rPr>
        <w:t>15-year</w:t>
      </w:r>
      <w:r w:rsidR="001B3AE1" w:rsidRPr="00142BB1">
        <w:rPr>
          <w:rFonts w:eastAsiaTheme="minorHAnsi"/>
          <w:sz w:val="22"/>
          <w:szCs w:val="22"/>
        </w:rPr>
        <w:t xml:space="preserve"> spectrum licence based on</w:t>
      </w:r>
      <w:r w:rsidR="003300D1" w:rsidRPr="00142BB1">
        <w:rPr>
          <w:rFonts w:eastAsiaTheme="minorHAnsi"/>
          <w:sz w:val="22"/>
          <w:szCs w:val="22"/>
        </w:rPr>
        <w:t xml:space="preserve"> </w:t>
      </w:r>
      <w:r w:rsidR="00156444" w:rsidRPr="00142BB1">
        <w:rPr>
          <w:rFonts w:eastAsiaTheme="minorHAnsi"/>
          <w:sz w:val="22"/>
          <w:szCs w:val="22"/>
        </w:rPr>
        <w:t xml:space="preserve">an </w:t>
      </w:r>
      <w:r w:rsidR="003300D1" w:rsidRPr="00142BB1">
        <w:rPr>
          <w:rFonts w:eastAsiaTheme="minorHAnsi"/>
          <w:sz w:val="22"/>
          <w:szCs w:val="22"/>
        </w:rPr>
        <w:t>annual amount of $1,046,900</w:t>
      </w:r>
      <w:r w:rsidR="001B7235" w:rsidRPr="00142BB1">
        <w:rPr>
          <w:rFonts w:eastAsiaTheme="minorHAnsi"/>
          <w:sz w:val="22"/>
          <w:szCs w:val="22"/>
        </w:rPr>
        <w:t>,</w:t>
      </w:r>
      <w:r w:rsidR="00646C84" w:rsidRPr="00142BB1">
        <w:rPr>
          <w:rFonts w:eastAsiaTheme="minorHAnsi"/>
          <w:sz w:val="22"/>
          <w:szCs w:val="22"/>
        </w:rPr>
        <w:t xml:space="preserve"> increas</w:t>
      </w:r>
      <w:r w:rsidR="003B05B2" w:rsidRPr="00142BB1">
        <w:rPr>
          <w:rFonts w:eastAsiaTheme="minorHAnsi"/>
          <w:sz w:val="22"/>
          <w:szCs w:val="22"/>
        </w:rPr>
        <w:t>ed</w:t>
      </w:r>
      <w:r w:rsidR="00646C84" w:rsidRPr="00142BB1">
        <w:rPr>
          <w:rFonts w:eastAsiaTheme="minorHAnsi"/>
          <w:sz w:val="22"/>
          <w:szCs w:val="22"/>
        </w:rPr>
        <w:t xml:space="preserve"> by </w:t>
      </w:r>
      <w:r w:rsidR="00DA537B" w:rsidRPr="00142BB1">
        <w:rPr>
          <w:rFonts w:eastAsiaTheme="minorHAnsi"/>
          <w:sz w:val="22"/>
          <w:szCs w:val="22"/>
        </w:rPr>
        <w:t xml:space="preserve">an inflation rate of </w:t>
      </w:r>
      <w:r w:rsidR="00646C84" w:rsidRPr="00142BB1">
        <w:rPr>
          <w:rFonts w:eastAsiaTheme="minorHAnsi"/>
          <w:sz w:val="22"/>
          <w:szCs w:val="22"/>
        </w:rPr>
        <w:t xml:space="preserve">1.5 per cent per </w:t>
      </w:r>
      <w:r w:rsidR="008D231C" w:rsidRPr="00142BB1">
        <w:rPr>
          <w:rFonts w:eastAsiaTheme="minorHAnsi"/>
          <w:sz w:val="22"/>
          <w:szCs w:val="22"/>
        </w:rPr>
        <w:t>annum</w:t>
      </w:r>
      <w:r w:rsidR="00AF03CD" w:rsidRPr="00142BB1">
        <w:rPr>
          <w:rStyle w:val="FootnoteReference"/>
          <w:rFonts w:eastAsiaTheme="minorHAnsi"/>
          <w:sz w:val="22"/>
          <w:szCs w:val="22"/>
        </w:rPr>
        <w:footnoteReference w:id="4"/>
      </w:r>
      <w:r w:rsidR="008D231C" w:rsidRPr="00142BB1">
        <w:rPr>
          <w:rFonts w:eastAsiaTheme="minorHAnsi"/>
          <w:sz w:val="22"/>
          <w:szCs w:val="22"/>
        </w:rPr>
        <w:t xml:space="preserve"> and</w:t>
      </w:r>
      <w:r w:rsidR="00646C84" w:rsidRPr="00142BB1">
        <w:rPr>
          <w:rFonts w:eastAsiaTheme="minorHAnsi"/>
          <w:sz w:val="22"/>
          <w:szCs w:val="22"/>
        </w:rPr>
        <w:t xml:space="preserve"> discounted over time by 1.06 per cent</w:t>
      </w:r>
      <w:r w:rsidR="00002E55" w:rsidRPr="00142BB1">
        <w:rPr>
          <w:rFonts w:eastAsiaTheme="minorHAnsi"/>
          <w:sz w:val="22"/>
          <w:szCs w:val="22"/>
        </w:rPr>
        <w:t xml:space="preserve"> per annum</w:t>
      </w:r>
      <w:r w:rsidR="00646C84" w:rsidRPr="00142BB1">
        <w:rPr>
          <w:rFonts w:eastAsiaTheme="minorHAnsi"/>
          <w:sz w:val="22"/>
          <w:szCs w:val="22"/>
        </w:rPr>
        <w:t xml:space="preserve"> is </w:t>
      </w:r>
      <w:r w:rsidR="00B23D8F" w:rsidRPr="00142BB1">
        <w:rPr>
          <w:rFonts w:eastAsiaTheme="minorHAnsi"/>
          <w:sz w:val="22"/>
          <w:szCs w:val="22"/>
        </w:rPr>
        <w:t>$16,191,243.</w:t>
      </w:r>
      <w:r w:rsidR="00071564" w:rsidRPr="00142BB1">
        <w:rPr>
          <w:rFonts w:eastAsiaTheme="minorHAnsi"/>
          <w:sz w:val="22"/>
          <w:szCs w:val="22"/>
        </w:rPr>
        <w:t xml:space="preserve"> This represents the spectrum access charge </w:t>
      </w:r>
      <w:r w:rsidR="00671AA6" w:rsidRPr="00142BB1">
        <w:rPr>
          <w:rFonts w:eastAsiaTheme="minorHAnsi"/>
          <w:sz w:val="22"/>
          <w:szCs w:val="22"/>
        </w:rPr>
        <w:t xml:space="preserve">that </w:t>
      </w:r>
      <w:r w:rsidR="00071564" w:rsidRPr="00142BB1">
        <w:rPr>
          <w:rFonts w:eastAsiaTheme="minorHAnsi"/>
          <w:sz w:val="22"/>
          <w:szCs w:val="22"/>
        </w:rPr>
        <w:t xml:space="preserve">Defence </w:t>
      </w:r>
      <w:r w:rsidR="00671AA6" w:rsidRPr="00142BB1">
        <w:rPr>
          <w:rFonts w:eastAsiaTheme="minorHAnsi"/>
          <w:sz w:val="22"/>
          <w:szCs w:val="22"/>
        </w:rPr>
        <w:t xml:space="preserve">should be charged if Defence </w:t>
      </w:r>
      <w:r w:rsidR="001B6498" w:rsidRPr="00142BB1">
        <w:rPr>
          <w:rFonts w:eastAsiaTheme="minorHAnsi"/>
          <w:sz w:val="22"/>
          <w:szCs w:val="22"/>
        </w:rPr>
        <w:t>elect</w:t>
      </w:r>
      <w:r w:rsidR="0099240C" w:rsidRPr="00142BB1">
        <w:rPr>
          <w:rFonts w:eastAsiaTheme="minorHAnsi"/>
          <w:sz w:val="22"/>
          <w:szCs w:val="22"/>
        </w:rPr>
        <w:t>s to</w:t>
      </w:r>
      <w:r w:rsidR="001B6498" w:rsidRPr="00142BB1">
        <w:rPr>
          <w:rFonts w:eastAsiaTheme="minorHAnsi"/>
          <w:sz w:val="22"/>
          <w:szCs w:val="22"/>
        </w:rPr>
        <w:t xml:space="preserve"> pay </w:t>
      </w:r>
      <w:r w:rsidR="00671AA6" w:rsidRPr="00142BB1">
        <w:rPr>
          <w:rFonts w:eastAsiaTheme="minorHAnsi"/>
          <w:sz w:val="22"/>
          <w:szCs w:val="22"/>
        </w:rPr>
        <w:t xml:space="preserve">the spectrum access charges </w:t>
      </w:r>
      <w:r w:rsidR="001B6498" w:rsidRPr="00142BB1">
        <w:rPr>
          <w:rFonts w:eastAsiaTheme="minorHAnsi"/>
          <w:sz w:val="22"/>
          <w:szCs w:val="22"/>
        </w:rPr>
        <w:t>upfront</w:t>
      </w:r>
      <w:r w:rsidR="00671AA6" w:rsidRPr="00142BB1">
        <w:rPr>
          <w:rFonts w:eastAsiaTheme="minorHAnsi"/>
          <w:sz w:val="22"/>
          <w:szCs w:val="22"/>
        </w:rPr>
        <w:t xml:space="preserve"> as a lump sum payment</w:t>
      </w:r>
      <w:r w:rsidR="001B6498" w:rsidRPr="00142BB1">
        <w:rPr>
          <w:rFonts w:eastAsiaTheme="minorHAnsi"/>
          <w:sz w:val="22"/>
          <w:szCs w:val="22"/>
        </w:rPr>
        <w:t>.</w:t>
      </w:r>
    </w:p>
    <w:p w14:paraId="14A231A4" w14:textId="38402B55" w:rsidR="00542763" w:rsidRPr="00142BB1" w:rsidRDefault="00542763" w:rsidP="0005154A">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T</w:t>
      </w:r>
      <w:r w:rsidR="007628E8" w:rsidRPr="00142BB1">
        <w:rPr>
          <w:rFonts w:eastAsiaTheme="minorHAnsi"/>
          <w:sz w:val="22"/>
          <w:szCs w:val="22"/>
        </w:rPr>
        <w:t>he determination also</w:t>
      </w:r>
      <w:r w:rsidR="00671AA6" w:rsidRPr="00142BB1">
        <w:rPr>
          <w:rFonts w:eastAsiaTheme="minorHAnsi"/>
          <w:sz w:val="22"/>
          <w:szCs w:val="22"/>
        </w:rPr>
        <w:t xml:space="preserve"> provides </w:t>
      </w:r>
      <w:r w:rsidR="007628E8" w:rsidRPr="00142BB1">
        <w:rPr>
          <w:rFonts w:eastAsiaTheme="minorHAnsi"/>
          <w:sz w:val="22"/>
          <w:szCs w:val="22"/>
        </w:rPr>
        <w:t xml:space="preserve">Defence </w:t>
      </w:r>
      <w:r w:rsidR="00BA310C" w:rsidRPr="00142BB1">
        <w:rPr>
          <w:rFonts w:eastAsiaTheme="minorHAnsi"/>
          <w:sz w:val="22"/>
          <w:szCs w:val="22"/>
        </w:rPr>
        <w:t xml:space="preserve">with the option </w:t>
      </w:r>
      <w:r w:rsidR="007628E8" w:rsidRPr="00142BB1">
        <w:rPr>
          <w:rFonts w:eastAsiaTheme="minorHAnsi"/>
          <w:sz w:val="22"/>
          <w:szCs w:val="22"/>
        </w:rPr>
        <w:t xml:space="preserve">to </w:t>
      </w:r>
      <w:r w:rsidR="00671AA6" w:rsidRPr="00142BB1">
        <w:rPr>
          <w:rFonts w:eastAsiaTheme="minorHAnsi"/>
          <w:sz w:val="22"/>
          <w:szCs w:val="22"/>
        </w:rPr>
        <w:t xml:space="preserve">elect to </w:t>
      </w:r>
      <w:r w:rsidR="007628E8" w:rsidRPr="00142BB1">
        <w:rPr>
          <w:rFonts w:eastAsiaTheme="minorHAnsi"/>
          <w:sz w:val="22"/>
          <w:szCs w:val="22"/>
        </w:rPr>
        <w:t xml:space="preserve">pay </w:t>
      </w:r>
      <w:r w:rsidR="00671AA6" w:rsidRPr="00142BB1">
        <w:rPr>
          <w:rFonts w:eastAsiaTheme="minorHAnsi"/>
          <w:sz w:val="22"/>
          <w:szCs w:val="22"/>
        </w:rPr>
        <w:t xml:space="preserve">the spectrum access charges </w:t>
      </w:r>
      <w:r w:rsidR="007628E8" w:rsidRPr="00142BB1">
        <w:rPr>
          <w:rFonts w:eastAsiaTheme="minorHAnsi"/>
          <w:sz w:val="22"/>
          <w:szCs w:val="22"/>
        </w:rPr>
        <w:t xml:space="preserve">by </w:t>
      </w:r>
      <w:r w:rsidR="00BA310C" w:rsidRPr="00142BB1">
        <w:rPr>
          <w:rFonts w:eastAsiaTheme="minorHAnsi"/>
          <w:sz w:val="22"/>
          <w:szCs w:val="22"/>
        </w:rPr>
        <w:t xml:space="preserve">5 </w:t>
      </w:r>
      <w:r w:rsidR="007628E8" w:rsidRPr="00142BB1">
        <w:rPr>
          <w:rFonts w:eastAsiaTheme="minorHAnsi"/>
          <w:sz w:val="22"/>
          <w:szCs w:val="22"/>
        </w:rPr>
        <w:t>instalments</w:t>
      </w:r>
      <w:r w:rsidR="00922C4E" w:rsidRPr="00142BB1">
        <w:rPr>
          <w:rFonts w:eastAsiaTheme="minorHAnsi"/>
          <w:sz w:val="22"/>
          <w:szCs w:val="22"/>
        </w:rPr>
        <w:t xml:space="preserve">.  The amount of each of the </w:t>
      </w:r>
      <w:r w:rsidR="00207FD3" w:rsidRPr="00142BB1">
        <w:rPr>
          <w:rFonts w:eastAsiaTheme="minorHAnsi"/>
          <w:sz w:val="22"/>
          <w:szCs w:val="22"/>
        </w:rPr>
        <w:t>5</w:t>
      </w:r>
      <w:r w:rsidR="00922C4E" w:rsidRPr="00142BB1">
        <w:rPr>
          <w:rFonts w:eastAsiaTheme="minorHAnsi"/>
          <w:sz w:val="22"/>
          <w:szCs w:val="22"/>
        </w:rPr>
        <w:t xml:space="preserve"> instalments is </w:t>
      </w:r>
      <w:r w:rsidR="009308CD" w:rsidRPr="00142BB1">
        <w:rPr>
          <w:rFonts w:eastAsiaTheme="minorHAnsi"/>
          <w:sz w:val="22"/>
          <w:szCs w:val="22"/>
        </w:rPr>
        <w:t>$3,306,896</w:t>
      </w:r>
      <w:r w:rsidR="00BA310C" w:rsidRPr="00142BB1">
        <w:rPr>
          <w:rFonts w:eastAsiaTheme="minorHAnsi"/>
          <w:sz w:val="22"/>
          <w:szCs w:val="22"/>
        </w:rPr>
        <w:t>,</w:t>
      </w:r>
      <w:r w:rsidR="009308CD" w:rsidRPr="00142BB1">
        <w:rPr>
          <w:rFonts w:eastAsiaTheme="minorHAnsi"/>
          <w:sz w:val="22"/>
          <w:szCs w:val="22"/>
        </w:rPr>
        <w:t xml:space="preserve"> until the </w:t>
      </w:r>
      <w:r w:rsidR="00BA310C" w:rsidRPr="00142BB1">
        <w:rPr>
          <w:rFonts w:eastAsiaTheme="minorHAnsi"/>
          <w:sz w:val="22"/>
          <w:szCs w:val="22"/>
        </w:rPr>
        <w:t xml:space="preserve">total </w:t>
      </w:r>
      <w:r w:rsidR="009308CD" w:rsidRPr="00142BB1">
        <w:rPr>
          <w:rFonts w:eastAsiaTheme="minorHAnsi"/>
          <w:sz w:val="22"/>
          <w:szCs w:val="22"/>
        </w:rPr>
        <w:t xml:space="preserve">amount of </w:t>
      </w:r>
      <w:r w:rsidR="007D6664" w:rsidRPr="00142BB1">
        <w:rPr>
          <w:rFonts w:eastAsiaTheme="minorHAnsi"/>
          <w:sz w:val="22"/>
          <w:szCs w:val="22"/>
        </w:rPr>
        <w:t>$16,534,480 has been paid</w:t>
      </w:r>
      <w:r w:rsidR="00B97709" w:rsidRPr="00142BB1">
        <w:rPr>
          <w:rFonts w:eastAsiaTheme="minorHAnsi"/>
          <w:sz w:val="22"/>
          <w:szCs w:val="22"/>
        </w:rPr>
        <w:t>.  Th</w:t>
      </w:r>
      <w:r w:rsidR="00BA310C" w:rsidRPr="00142BB1">
        <w:rPr>
          <w:rFonts w:eastAsiaTheme="minorHAnsi"/>
          <w:sz w:val="22"/>
          <w:szCs w:val="22"/>
        </w:rPr>
        <w:t>e</w:t>
      </w:r>
      <w:r w:rsidR="00B97709" w:rsidRPr="00142BB1">
        <w:rPr>
          <w:rFonts w:eastAsiaTheme="minorHAnsi"/>
          <w:sz w:val="22"/>
          <w:szCs w:val="22"/>
        </w:rPr>
        <w:t xml:space="preserve"> higher </w:t>
      </w:r>
      <w:r w:rsidR="00BA310C" w:rsidRPr="00142BB1">
        <w:rPr>
          <w:rFonts w:eastAsiaTheme="minorHAnsi"/>
          <w:sz w:val="22"/>
          <w:szCs w:val="22"/>
        </w:rPr>
        <w:t xml:space="preserve">total spectrum access charge, where Defence has elected to pay by instalments, </w:t>
      </w:r>
      <w:r w:rsidR="00B97709" w:rsidRPr="00142BB1">
        <w:rPr>
          <w:rFonts w:eastAsiaTheme="minorHAnsi"/>
          <w:sz w:val="22"/>
          <w:szCs w:val="22"/>
        </w:rPr>
        <w:t>reflects a premium</w:t>
      </w:r>
      <w:r w:rsidR="004F5752" w:rsidRPr="00142BB1">
        <w:rPr>
          <w:rFonts w:eastAsiaTheme="minorHAnsi"/>
          <w:sz w:val="22"/>
          <w:szCs w:val="22"/>
        </w:rPr>
        <w:t xml:space="preserve"> of 1.06 per</w:t>
      </w:r>
      <w:r w:rsidR="00EA3644" w:rsidRPr="00142BB1">
        <w:rPr>
          <w:rFonts w:eastAsiaTheme="minorHAnsi"/>
          <w:sz w:val="22"/>
          <w:szCs w:val="22"/>
        </w:rPr>
        <w:t xml:space="preserve"> cent per</w:t>
      </w:r>
      <w:r w:rsidR="004F5752" w:rsidRPr="00142BB1">
        <w:rPr>
          <w:rFonts w:eastAsiaTheme="minorHAnsi"/>
          <w:sz w:val="22"/>
          <w:szCs w:val="22"/>
        </w:rPr>
        <w:t xml:space="preserve"> annum</w:t>
      </w:r>
      <w:r w:rsidR="00C41F02" w:rsidRPr="00142BB1">
        <w:rPr>
          <w:rFonts w:eastAsiaTheme="minorHAnsi"/>
          <w:sz w:val="22"/>
          <w:szCs w:val="22"/>
        </w:rPr>
        <w:t>.</w:t>
      </w:r>
      <w:r w:rsidR="00BA310C" w:rsidRPr="00142BB1">
        <w:rPr>
          <w:rFonts w:eastAsiaTheme="minorHAnsi"/>
          <w:sz w:val="22"/>
          <w:szCs w:val="22"/>
        </w:rPr>
        <w:t xml:space="preserve"> </w:t>
      </w:r>
      <w:r w:rsidR="00C41F02" w:rsidRPr="00142BB1">
        <w:rPr>
          <w:rFonts w:eastAsiaTheme="minorHAnsi"/>
          <w:sz w:val="22"/>
          <w:szCs w:val="22"/>
        </w:rPr>
        <w:t>T</w:t>
      </w:r>
      <w:r w:rsidR="00BA310C" w:rsidRPr="00142BB1">
        <w:rPr>
          <w:rFonts w:eastAsiaTheme="minorHAnsi"/>
          <w:sz w:val="22"/>
          <w:szCs w:val="22"/>
        </w:rPr>
        <w:t xml:space="preserve">he </w:t>
      </w:r>
      <w:r w:rsidR="00ED1EFA" w:rsidRPr="00142BB1">
        <w:rPr>
          <w:rFonts w:eastAsiaTheme="minorHAnsi"/>
          <w:sz w:val="22"/>
          <w:szCs w:val="22"/>
        </w:rPr>
        <w:t>higher total spectrum access charge</w:t>
      </w:r>
      <w:r w:rsidR="00BE504A" w:rsidRPr="00142BB1">
        <w:rPr>
          <w:rFonts w:eastAsiaTheme="minorHAnsi"/>
          <w:sz w:val="22"/>
          <w:szCs w:val="22"/>
        </w:rPr>
        <w:t xml:space="preserve"> </w:t>
      </w:r>
      <w:r w:rsidR="00BA310C" w:rsidRPr="00142BB1">
        <w:rPr>
          <w:rFonts w:eastAsiaTheme="minorHAnsi"/>
          <w:sz w:val="22"/>
          <w:szCs w:val="22"/>
        </w:rPr>
        <w:t>reflects the benefit provided to Defence to pay the spectrum access charges over a five</w:t>
      </w:r>
      <w:r w:rsidR="002F072E" w:rsidRPr="00142BB1">
        <w:rPr>
          <w:rFonts w:eastAsiaTheme="minorHAnsi"/>
          <w:sz w:val="22"/>
          <w:szCs w:val="22"/>
        </w:rPr>
        <w:t>-</w:t>
      </w:r>
      <w:r w:rsidR="00BA310C" w:rsidRPr="00142BB1">
        <w:rPr>
          <w:rFonts w:eastAsiaTheme="minorHAnsi"/>
          <w:sz w:val="22"/>
          <w:szCs w:val="22"/>
        </w:rPr>
        <w:t>year period</w:t>
      </w:r>
      <w:r w:rsidR="00D51087" w:rsidRPr="00142BB1">
        <w:rPr>
          <w:rFonts w:eastAsiaTheme="minorHAnsi"/>
          <w:sz w:val="22"/>
          <w:szCs w:val="22"/>
        </w:rPr>
        <w:t>, while</w:t>
      </w:r>
      <w:r w:rsidR="00BA310C" w:rsidRPr="00142BB1">
        <w:rPr>
          <w:rFonts w:eastAsiaTheme="minorHAnsi"/>
          <w:sz w:val="22"/>
          <w:szCs w:val="22"/>
        </w:rPr>
        <w:t xml:space="preserve"> having access to the 20 GHz and 30 GHz Defence bands</w:t>
      </w:r>
      <w:r w:rsidR="00FD5B65" w:rsidRPr="00142BB1">
        <w:rPr>
          <w:rFonts w:eastAsiaTheme="minorHAnsi"/>
          <w:sz w:val="22"/>
          <w:szCs w:val="22"/>
        </w:rPr>
        <w:t xml:space="preserve"> over that period</w:t>
      </w:r>
      <w:r w:rsidR="00AA100F" w:rsidRPr="00142BB1">
        <w:rPr>
          <w:rFonts w:eastAsiaTheme="minorHAnsi"/>
          <w:sz w:val="22"/>
          <w:szCs w:val="22"/>
        </w:rPr>
        <w:t>.</w:t>
      </w:r>
    </w:p>
    <w:p w14:paraId="7114DD39" w14:textId="6BE781C5" w:rsidR="00446CB7" w:rsidRPr="00142BB1" w:rsidRDefault="00446CB7" w:rsidP="00446CB7">
      <w:pPr>
        <w:rPr>
          <w:rFonts w:ascii="Times New Roman" w:hAnsi="Times New Roman" w:cs="Times New Roman"/>
        </w:rPr>
      </w:pPr>
      <w:r w:rsidRPr="00142BB1">
        <w:rPr>
          <w:rFonts w:ascii="Times New Roman" w:hAnsi="Times New Roman" w:cs="Times New Roman"/>
        </w:rPr>
        <w:t xml:space="preserve">A provision-by-provision description of the </w:t>
      </w:r>
      <w:r w:rsidR="002B1819" w:rsidRPr="00142BB1">
        <w:rPr>
          <w:rFonts w:ascii="Times New Roman" w:hAnsi="Times New Roman" w:cs="Times New Roman"/>
        </w:rPr>
        <w:t xml:space="preserve">Determination </w:t>
      </w:r>
      <w:r w:rsidRPr="00142BB1">
        <w:rPr>
          <w:rFonts w:ascii="Times New Roman" w:hAnsi="Times New Roman" w:cs="Times New Roman"/>
        </w:rPr>
        <w:t xml:space="preserve">is set out in the notes at </w:t>
      </w:r>
      <w:r w:rsidRPr="00142BB1">
        <w:rPr>
          <w:rFonts w:ascii="Times New Roman" w:hAnsi="Times New Roman" w:cs="Times New Roman"/>
          <w:b/>
        </w:rPr>
        <w:t>Attachment A</w:t>
      </w:r>
      <w:r w:rsidRPr="00142BB1">
        <w:rPr>
          <w:rFonts w:ascii="Times New Roman" w:hAnsi="Times New Roman" w:cs="Times New Roman"/>
        </w:rPr>
        <w:t>.</w:t>
      </w:r>
    </w:p>
    <w:p w14:paraId="4877B88F" w14:textId="0C3390B2" w:rsidR="00446CB7" w:rsidRPr="00142BB1" w:rsidRDefault="00446CB7" w:rsidP="00446CB7">
      <w:pPr>
        <w:rPr>
          <w:rFonts w:ascii="Times New Roman" w:hAnsi="Times New Roman" w:cs="Times New Roman"/>
        </w:rPr>
      </w:pPr>
      <w:r w:rsidRPr="00142BB1">
        <w:rPr>
          <w:rFonts w:ascii="Times New Roman" w:hAnsi="Times New Roman" w:cs="Times New Roman"/>
        </w:rPr>
        <w:t xml:space="preserve">The </w:t>
      </w:r>
      <w:r w:rsidR="002B1819" w:rsidRPr="00142BB1">
        <w:rPr>
          <w:rFonts w:ascii="Times New Roman" w:hAnsi="Times New Roman" w:cs="Times New Roman"/>
        </w:rPr>
        <w:t xml:space="preserve">Determination </w:t>
      </w:r>
      <w:r w:rsidRPr="00142BB1">
        <w:rPr>
          <w:rFonts w:ascii="Times New Roman" w:hAnsi="Times New Roman" w:cs="Times New Roman"/>
        </w:rPr>
        <w:t>is a</w:t>
      </w:r>
      <w:r w:rsidR="000A7671" w:rsidRPr="00142BB1">
        <w:rPr>
          <w:rFonts w:ascii="Times New Roman" w:hAnsi="Times New Roman" w:cs="Times New Roman"/>
        </w:rPr>
        <w:t xml:space="preserve"> disallowable</w:t>
      </w:r>
      <w:r w:rsidRPr="00142BB1">
        <w:rPr>
          <w:rFonts w:ascii="Times New Roman" w:hAnsi="Times New Roman" w:cs="Times New Roman"/>
        </w:rPr>
        <w:t xml:space="preserve"> legislative instrument for the purposes of the </w:t>
      </w:r>
      <w:r w:rsidRPr="00142BB1">
        <w:rPr>
          <w:rFonts w:ascii="Times New Roman" w:hAnsi="Times New Roman" w:cs="Times New Roman"/>
          <w:i/>
        </w:rPr>
        <w:t>Legislation Act</w:t>
      </w:r>
      <w:r w:rsidR="000A7671" w:rsidRPr="00142BB1">
        <w:rPr>
          <w:rFonts w:ascii="Times New Roman" w:hAnsi="Times New Roman" w:cs="Times New Roman"/>
          <w:i/>
        </w:rPr>
        <w:t> </w:t>
      </w:r>
      <w:r w:rsidRPr="00142BB1">
        <w:rPr>
          <w:rFonts w:ascii="Times New Roman" w:hAnsi="Times New Roman" w:cs="Times New Roman"/>
          <w:i/>
        </w:rPr>
        <w:t xml:space="preserve">2003 </w:t>
      </w:r>
      <w:r w:rsidRPr="00142BB1">
        <w:rPr>
          <w:rFonts w:ascii="Times New Roman" w:hAnsi="Times New Roman" w:cs="Times New Roman"/>
        </w:rPr>
        <w:t>(</w:t>
      </w:r>
      <w:r w:rsidRPr="00142BB1">
        <w:rPr>
          <w:rFonts w:ascii="Times New Roman" w:hAnsi="Times New Roman" w:cs="Times New Roman"/>
          <w:bCs/>
        </w:rPr>
        <w:t>the LA</w:t>
      </w:r>
      <w:r w:rsidRPr="00142BB1">
        <w:rPr>
          <w:rFonts w:ascii="Times New Roman" w:hAnsi="Times New Roman" w:cs="Times New Roman"/>
        </w:rPr>
        <w:t>).</w:t>
      </w:r>
    </w:p>
    <w:p w14:paraId="58E6176A" w14:textId="475F27D0" w:rsidR="00446CB7" w:rsidRPr="00142BB1" w:rsidRDefault="00446CB7" w:rsidP="00E614E2">
      <w:pPr>
        <w:keepNext/>
        <w:spacing w:line="257" w:lineRule="auto"/>
        <w:rPr>
          <w:rFonts w:ascii="Times New Roman" w:hAnsi="Times New Roman" w:cs="Times New Roman"/>
          <w:b/>
        </w:rPr>
      </w:pPr>
      <w:r w:rsidRPr="00142BB1">
        <w:rPr>
          <w:rFonts w:ascii="Times New Roman" w:hAnsi="Times New Roman" w:cs="Times New Roman"/>
          <w:b/>
        </w:rPr>
        <w:t>Consultation</w:t>
      </w:r>
    </w:p>
    <w:p w14:paraId="3E9B4FEB" w14:textId="70FAF904" w:rsidR="008D7D33" w:rsidRPr="00142BB1" w:rsidRDefault="008D7D33" w:rsidP="005907D8">
      <w:pPr>
        <w:rPr>
          <w:rFonts w:ascii="Times New Roman" w:hAnsi="Times New Roman" w:cs="Times New Roman"/>
        </w:rPr>
      </w:pPr>
      <w:r w:rsidRPr="00142BB1">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66D904C0" w14:textId="0C5D3403" w:rsidR="00E23FED" w:rsidRPr="00142BB1" w:rsidRDefault="00B86C46" w:rsidP="00E23FED">
      <w:pPr>
        <w:pStyle w:val="ACMANumberedList"/>
        <w:numPr>
          <w:ilvl w:val="0"/>
          <w:numId w:val="0"/>
        </w:numPr>
        <w:tabs>
          <w:tab w:val="left" w:pos="720"/>
        </w:tabs>
        <w:spacing w:before="0" w:after="160"/>
        <w:rPr>
          <w:rFonts w:eastAsiaTheme="minorHAnsi"/>
          <w:sz w:val="22"/>
          <w:szCs w:val="22"/>
        </w:rPr>
      </w:pPr>
      <w:r w:rsidRPr="00142BB1">
        <w:rPr>
          <w:rFonts w:eastAsiaTheme="minorHAnsi"/>
          <w:sz w:val="22"/>
          <w:szCs w:val="22"/>
        </w:rPr>
        <w:t xml:space="preserve">In addition to </w:t>
      </w:r>
      <w:r w:rsidR="004844D1" w:rsidRPr="00142BB1">
        <w:rPr>
          <w:rFonts w:eastAsiaTheme="minorHAnsi"/>
          <w:sz w:val="22"/>
          <w:szCs w:val="22"/>
        </w:rPr>
        <w:t xml:space="preserve">issuing the notice under section 78 of the Act, the ACMA consulted directly with </w:t>
      </w:r>
      <w:r w:rsidR="00DF6FA4" w:rsidRPr="00142BB1">
        <w:rPr>
          <w:rFonts w:eastAsiaTheme="minorHAnsi"/>
          <w:sz w:val="22"/>
          <w:szCs w:val="22"/>
        </w:rPr>
        <w:t>Defence, providing d</w:t>
      </w:r>
      <w:r w:rsidR="00E23FED" w:rsidRPr="00142BB1">
        <w:rPr>
          <w:rFonts w:eastAsiaTheme="minorHAnsi"/>
          <w:sz w:val="22"/>
          <w:szCs w:val="22"/>
        </w:rPr>
        <w:t xml:space="preserve">rafts of the proposed licences to be re-issued, and information about the estimated </w:t>
      </w:r>
      <w:r w:rsidR="00DF6FA4" w:rsidRPr="00142BB1">
        <w:rPr>
          <w:rFonts w:eastAsiaTheme="minorHAnsi"/>
          <w:sz w:val="22"/>
          <w:szCs w:val="22"/>
        </w:rPr>
        <w:t>spectrum access charges</w:t>
      </w:r>
      <w:r w:rsidR="00E23FED" w:rsidRPr="00142BB1">
        <w:rPr>
          <w:rFonts w:eastAsiaTheme="minorHAnsi"/>
          <w:sz w:val="22"/>
          <w:szCs w:val="22"/>
        </w:rPr>
        <w:t xml:space="preserve"> </w:t>
      </w:r>
      <w:r w:rsidR="00FD5B65" w:rsidRPr="00142BB1">
        <w:rPr>
          <w:rFonts w:eastAsiaTheme="minorHAnsi"/>
          <w:sz w:val="22"/>
          <w:szCs w:val="22"/>
        </w:rPr>
        <w:t>for</w:t>
      </w:r>
      <w:r w:rsidR="00E23FED" w:rsidRPr="00142BB1">
        <w:rPr>
          <w:rFonts w:eastAsiaTheme="minorHAnsi"/>
          <w:sz w:val="22"/>
          <w:szCs w:val="22"/>
        </w:rPr>
        <w:t xml:space="preserve"> the</w:t>
      </w:r>
      <w:r w:rsidR="00FD5B65" w:rsidRPr="00142BB1">
        <w:rPr>
          <w:rFonts w:eastAsiaTheme="minorHAnsi"/>
          <w:sz w:val="22"/>
          <w:szCs w:val="22"/>
        </w:rPr>
        <w:t xml:space="preserve"> two spectrum</w:t>
      </w:r>
      <w:r w:rsidR="00E23FED" w:rsidRPr="00142BB1">
        <w:rPr>
          <w:rFonts w:eastAsiaTheme="minorHAnsi"/>
          <w:sz w:val="22"/>
          <w:szCs w:val="22"/>
        </w:rPr>
        <w:t xml:space="preserve"> licences</w:t>
      </w:r>
      <w:r w:rsidR="00DF6FA4" w:rsidRPr="00142BB1">
        <w:rPr>
          <w:rFonts w:eastAsiaTheme="minorHAnsi"/>
          <w:sz w:val="22"/>
          <w:szCs w:val="22"/>
        </w:rPr>
        <w:t>.  De</w:t>
      </w:r>
      <w:r w:rsidR="00534E41" w:rsidRPr="00142BB1">
        <w:rPr>
          <w:rFonts w:eastAsiaTheme="minorHAnsi"/>
          <w:sz w:val="22"/>
          <w:szCs w:val="22"/>
        </w:rPr>
        <w:t>fence</w:t>
      </w:r>
      <w:r w:rsidR="00BA54ED" w:rsidRPr="00142BB1">
        <w:rPr>
          <w:rFonts w:eastAsiaTheme="minorHAnsi"/>
          <w:sz w:val="22"/>
          <w:szCs w:val="22"/>
        </w:rPr>
        <w:t xml:space="preserve"> </w:t>
      </w:r>
      <w:r w:rsidR="00433C6E" w:rsidRPr="00142BB1">
        <w:rPr>
          <w:rFonts w:eastAsiaTheme="minorHAnsi"/>
          <w:sz w:val="22"/>
          <w:szCs w:val="22"/>
        </w:rPr>
        <w:t xml:space="preserve">confirmed that it </w:t>
      </w:r>
      <w:r w:rsidR="00360920" w:rsidRPr="00142BB1">
        <w:rPr>
          <w:rFonts w:eastAsiaTheme="minorHAnsi"/>
          <w:sz w:val="22"/>
          <w:szCs w:val="22"/>
        </w:rPr>
        <w:t xml:space="preserve">wanted </w:t>
      </w:r>
      <w:r w:rsidR="00360920" w:rsidRPr="00142BB1">
        <w:rPr>
          <w:rFonts w:eastAsiaTheme="minorHAnsi"/>
          <w:sz w:val="22"/>
          <w:szCs w:val="22"/>
        </w:rPr>
        <w:lastRenderedPageBreak/>
        <w:t xml:space="preserve">the licences re-issued and </w:t>
      </w:r>
      <w:r w:rsidR="00BA54ED" w:rsidRPr="00142BB1">
        <w:rPr>
          <w:rFonts w:eastAsiaTheme="minorHAnsi"/>
          <w:sz w:val="22"/>
          <w:szCs w:val="22"/>
        </w:rPr>
        <w:t xml:space="preserve">raised no concerns </w:t>
      </w:r>
      <w:r w:rsidR="00FD5B65" w:rsidRPr="00142BB1">
        <w:rPr>
          <w:rFonts w:eastAsiaTheme="minorHAnsi"/>
          <w:sz w:val="22"/>
          <w:szCs w:val="22"/>
        </w:rPr>
        <w:t xml:space="preserve">about </w:t>
      </w:r>
      <w:r w:rsidR="00BA54ED" w:rsidRPr="00142BB1">
        <w:rPr>
          <w:rFonts w:eastAsiaTheme="minorHAnsi"/>
          <w:sz w:val="22"/>
          <w:szCs w:val="22"/>
        </w:rPr>
        <w:t>the</w:t>
      </w:r>
      <w:r w:rsidR="005C591E" w:rsidRPr="00142BB1">
        <w:rPr>
          <w:rFonts w:eastAsiaTheme="minorHAnsi"/>
          <w:sz w:val="22"/>
          <w:szCs w:val="22"/>
        </w:rPr>
        <w:t xml:space="preserve"> proposed spectrum access charges</w:t>
      </w:r>
      <w:r w:rsidR="00FD5B65" w:rsidRPr="00142BB1">
        <w:rPr>
          <w:rFonts w:eastAsiaTheme="minorHAnsi"/>
          <w:sz w:val="22"/>
          <w:szCs w:val="22"/>
        </w:rPr>
        <w:t>,</w:t>
      </w:r>
      <w:r w:rsidR="005C591E" w:rsidRPr="00142BB1">
        <w:rPr>
          <w:rFonts w:eastAsiaTheme="minorHAnsi"/>
          <w:sz w:val="22"/>
          <w:szCs w:val="22"/>
        </w:rPr>
        <w:t xml:space="preserve"> </w:t>
      </w:r>
      <w:r w:rsidR="00FD5B65" w:rsidRPr="00142BB1">
        <w:rPr>
          <w:rFonts w:eastAsiaTheme="minorHAnsi"/>
          <w:sz w:val="22"/>
          <w:szCs w:val="22"/>
        </w:rPr>
        <w:t>nor</w:t>
      </w:r>
      <w:r w:rsidR="005C591E" w:rsidRPr="00142BB1">
        <w:rPr>
          <w:rFonts w:eastAsiaTheme="minorHAnsi"/>
          <w:sz w:val="22"/>
          <w:szCs w:val="22"/>
        </w:rPr>
        <w:t xml:space="preserve"> the proposed payment</w:t>
      </w:r>
      <w:r w:rsidR="00FD5B65" w:rsidRPr="00142BB1">
        <w:rPr>
          <w:rFonts w:eastAsiaTheme="minorHAnsi"/>
          <w:sz w:val="22"/>
          <w:szCs w:val="22"/>
        </w:rPr>
        <w:t xml:space="preserve"> time for either the lump sum payment option or payment by instalments option</w:t>
      </w:r>
      <w:r w:rsidR="00E23FED" w:rsidRPr="00142BB1">
        <w:rPr>
          <w:rFonts w:eastAsiaTheme="minorHAnsi"/>
          <w:sz w:val="22"/>
          <w:szCs w:val="22"/>
        </w:rPr>
        <w:t>.</w:t>
      </w:r>
    </w:p>
    <w:p w14:paraId="22C4EC8C" w14:textId="3142B2B0" w:rsidR="00446CB7" w:rsidRPr="00142BB1" w:rsidRDefault="00446CB7" w:rsidP="00576D7D">
      <w:pPr>
        <w:spacing w:line="257" w:lineRule="auto"/>
        <w:rPr>
          <w:rFonts w:ascii="Times New Roman" w:hAnsi="Times New Roman" w:cs="Times New Roman"/>
          <w:b/>
        </w:rPr>
      </w:pPr>
      <w:r w:rsidRPr="00142BB1">
        <w:rPr>
          <w:rFonts w:ascii="Times New Roman" w:hAnsi="Times New Roman" w:cs="Times New Roman"/>
          <w:b/>
        </w:rPr>
        <w:t>Regulatory impact assessment</w:t>
      </w:r>
    </w:p>
    <w:p w14:paraId="77B3859B" w14:textId="0591126D" w:rsidR="00446CB7" w:rsidRPr="00142BB1" w:rsidRDefault="001A5E46" w:rsidP="00446CB7">
      <w:pPr>
        <w:rPr>
          <w:rFonts w:ascii="Times New Roman" w:hAnsi="Times New Roman" w:cs="Times New Roman"/>
        </w:rPr>
      </w:pPr>
      <w:r w:rsidRPr="00142BB1">
        <w:rPr>
          <w:rFonts w:ascii="Times New Roman" w:hAnsi="Times New Roman" w:cs="Times New Roman"/>
        </w:rPr>
        <w:t>T</w:t>
      </w:r>
      <w:r w:rsidR="00A21F39" w:rsidRPr="00142BB1">
        <w:rPr>
          <w:rFonts w:ascii="Times New Roman" w:hAnsi="Times New Roman" w:cs="Times New Roman"/>
        </w:rPr>
        <w:t>he Office of Best Practice Regulation (OBPR) has determined that the proposed regulatory change in this submission is minor or machinery in nature and has therefore verified that no further regulatory impact analysis is required</w:t>
      </w:r>
      <w:r w:rsidR="00A92E07" w:rsidRPr="00142BB1">
        <w:rPr>
          <w:rFonts w:ascii="Times New Roman" w:hAnsi="Times New Roman" w:cs="Times New Roman"/>
        </w:rPr>
        <w:t xml:space="preserve">. </w:t>
      </w:r>
      <w:r w:rsidR="008F6A1D" w:rsidRPr="00142BB1">
        <w:rPr>
          <w:rFonts w:ascii="Times New Roman" w:hAnsi="Times New Roman" w:cs="Times New Roman"/>
        </w:rPr>
        <w:t xml:space="preserve"> </w:t>
      </w:r>
      <w:r w:rsidR="00A92E07" w:rsidRPr="00142BB1">
        <w:rPr>
          <w:rFonts w:ascii="Times New Roman" w:hAnsi="Times New Roman" w:cs="Times New Roman"/>
        </w:rPr>
        <w:t xml:space="preserve">The OBPR reference number is </w:t>
      </w:r>
      <w:r w:rsidR="00061D6A" w:rsidRPr="00142BB1">
        <w:rPr>
          <w:rFonts w:ascii="Times New Roman" w:hAnsi="Times New Roman" w:cs="Times New Roman"/>
        </w:rPr>
        <w:t>43286</w:t>
      </w:r>
      <w:r w:rsidR="004D77D4" w:rsidRPr="00142BB1">
        <w:rPr>
          <w:rFonts w:ascii="Times New Roman" w:hAnsi="Times New Roman" w:cs="Times New Roman"/>
        </w:rPr>
        <w:t>.</w:t>
      </w:r>
    </w:p>
    <w:p w14:paraId="3D1987D7" w14:textId="27EDAC40" w:rsidR="00446CB7" w:rsidRPr="00142BB1" w:rsidRDefault="00446CB7" w:rsidP="002A592B">
      <w:pPr>
        <w:keepNext/>
        <w:spacing w:line="257" w:lineRule="auto"/>
        <w:rPr>
          <w:rFonts w:ascii="Times New Roman" w:hAnsi="Times New Roman" w:cs="Times New Roman"/>
          <w:b/>
        </w:rPr>
      </w:pPr>
      <w:r w:rsidRPr="00142BB1">
        <w:rPr>
          <w:rFonts w:ascii="Times New Roman" w:hAnsi="Times New Roman" w:cs="Times New Roman"/>
          <w:b/>
        </w:rPr>
        <w:t>Statement of compatibility with human rights</w:t>
      </w:r>
    </w:p>
    <w:p w14:paraId="177D18C0" w14:textId="0766B89B" w:rsidR="00446CB7" w:rsidRPr="00142BB1" w:rsidRDefault="00446CB7" w:rsidP="00446CB7">
      <w:pPr>
        <w:rPr>
          <w:rFonts w:ascii="Times New Roman" w:hAnsi="Times New Roman" w:cs="Times New Roman"/>
        </w:rPr>
      </w:pPr>
      <w:r w:rsidRPr="00142BB1">
        <w:rPr>
          <w:rFonts w:ascii="Times New Roman" w:hAnsi="Times New Roman" w:cs="Times New Roman"/>
        </w:rPr>
        <w:t xml:space="preserve">Subsection 9(1) of the </w:t>
      </w:r>
      <w:r w:rsidRPr="00142BB1">
        <w:rPr>
          <w:rFonts w:ascii="Times New Roman" w:hAnsi="Times New Roman" w:cs="Times New Roman"/>
          <w:i/>
        </w:rPr>
        <w:t>Human Rights (Parliamentary Scrutiny) Act 2011</w:t>
      </w:r>
      <w:r w:rsidRPr="00142BB1">
        <w:rPr>
          <w:rFonts w:ascii="Times New Roman" w:hAnsi="Times New Roman" w:cs="Times New Roman"/>
        </w:rPr>
        <w:t xml:space="preserve"> requires the rule-maker in relation to a legislative instrument to which section 42 (disallowance) of the LA applies to cause a statement of compatibility</w:t>
      </w:r>
      <w:r w:rsidR="00553727" w:rsidRPr="00142BB1">
        <w:rPr>
          <w:rFonts w:ascii="Times New Roman" w:hAnsi="Times New Roman" w:cs="Times New Roman"/>
        </w:rPr>
        <w:t xml:space="preserve"> with human rights</w:t>
      </w:r>
      <w:r w:rsidRPr="00142BB1">
        <w:rPr>
          <w:rFonts w:ascii="Times New Roman" w:hAnsi="Times New Roman" w:cs="Times New Roman"/>
        </w:rPr>
        <w:t xml:space="preserve"> to be prepared in respect of that legislative instrument.  </w:t>
      </w:r>
    </w:p>
    <w:p w14:paraId="352B48D4" w14:textId="56FE5C15" w:rsidR="00446CB7" w:rsidRPr="00142BB1" w:rsidRDefault="00446CB7" w:rsidP="00446CB7">
      <w:pPr>
        <w:rPr>
          <w:rFonts w:ascii="Times New Roman" w:hAnsi="Times New Roman" w:cs="Times New Roman"/>
        </w:rPr>
      </w:pPr>
      <w:r w:rsidRPr="00142BB1">
        <w:rPr>
          <w:rFonts w:ascii="Times New Roman" w:hAnsi="Times New Roman" w:cs="Times New Roman"/>
        </w:rPr>
        <w:t>The statement of compatibility set out below has been prepared to meet that requirement.</w:t>
      </w:r>
    </w:p>
    <w:p w14:paraId="5895C701" w14:textId="77777777" w:rsidR="00446CB7" w:rsidRPr="00142BB1" w:rsidRDefault="00446CB7" w:rsidP="00446CB7">
      <w:pPr>
        <w:rPr>
          <w:rFonts w:ascii="Times New Roman" w:hAnsi="Times New Roman" w:cs="Times New Roman"/>
          <w:b/>
          <w:i/>
        </w:rPr>
      </w:pPr>
      <w:r w:rsidRPr="00142BB1">
        <w:rPr>
          <w:rFonts w:ascii="Times New Roman" w:hAnsi="Times New Roman" w:cs="Times New Roman"/>
          <w:b/>
          <w:i/>
        </w:rPr>
        <w:t>Overview of the instrument</w:t>
      </w:r>
    </w:p>
    <w:p w14:paraId="6FF21879" w14:textId="163BECAE" w:rsidR="00EA490F" w:rsidRPr="00142BB1" w:rsidRDefault="00EA490F" w:rsidP="00AA3432">
      <w:pPr>
        <w:pStyle w:val="Default"/>
        <w:spacing w:after="160"/>
        <w:rPr>
          <w:color w:val="auto"/>
          <w:sz w:val="22"/>
          <w:szCs w:val="22"/>
        </w:rPr>
      </w:pPr>
      <w:r w:rsidRPr="00142BB1">
        <w:rPr>
          <w:color w:val="auto"/>
          <w:sz w:val="22"/>
          <w:szCs w:val="22"/>
        </w:rPr>
        <w:t xml:space="preserve">The Determination sets the amount </w:t>
      </w:r>
      <w:r w:rsidR="00EF7FE5" w:rsidRPr="00142BB1">
        <w:rPr>
          <w:color w:val="auto"/>
          <w:sz w:val="22"/>
          <w:szCs w:val="22"/>
        </w:rPr>
        <w:t xml:space="preserve">of spectrum access charges payable </w:t>
      </w:r>
      <w:r w:rsidR="00F87576" w:rsidRPr="00142BB1">
        <w:rPr>
          <w:color w:val="auto"/>
          <w:sz w:val="22"/>
          <w:szCs w:val="22"/>
        </w:rPr>
        <w:t xml:space="preserve">for </w:t>
      </w:r>
      <w:r w:rsidR="00FD5B65" w:rsidRPr="00142BB1">
        <w:rPr>
          <w:color w:val="auto"/>
          <w:sz w:val="22"/>
          <w:szCs w:val="22"/>
        </w:rPr>
        <w:t xml:space="preserve">the </w:t>
      </w:r>
      <w:r w:rsidR="00F87576" w:rsidRPr="00142BB1">
        <w:rPr>
          <w:color w:val="auto"/>
          <w:sz w:val="22"/>
          <w:szCs w:val="22"/>
        </w:rPr>
        <w:t>re-issu</w:t>
      </w:r>
      <w:r w:rsidR="00FD5B65" w:rsidRPr="00142BB1">
        <w:rPr>
          <w:color w:val="auto"/>
          <w:sz w:val="22"/>
          <w:szCs w:val="22"/>
        </w:rPr>
        <w:t>er</w:t>
      </w:r>
      <w:r w:rsidR="00F87576" w:rsidRPr="00142BB1">
        <w:rPr>
          <w:color w:val="auto"/>
          <w:sz w:val="22"/>
          <w:szCs w:val="22"/>
        </w:rPr>
        <w:t xml:space="preserve"> </w:t>
      </w:r>
      <w:r w:rsidR="00FD5B65" w:rsidRPr="00142BB1">
        <w:rPr>
          <w:color w:val="auto"/>
          <w:sz w:val="22"/>
          <w:szCs w:val="22"/>
        </w:rPr>
        <w:t xml:space="preserve">of </w:t>
      </w:r>
      <w:r w:rsidR="00F87576" w:rsidRPr="00142BB1">
        <w:rPr>
          <w:color w:val="auto"/>
          <w:sz w:val="22"/>
          <w:szCs w:val="22"/>
        </w:rPr>
        <w:t xml:space="preserve">the </w:t>
      </w:r>
      <w:r w:rsidR="00D018E3" w:rsidRPr="00142BB1">
        <w:rPr>
          <w:color w:val="auto"/>
          <w:sz w:val="22"/>
          <w:szCs w:val="22"/>
        </w:rPr>
        <w:t xml:space="preserve">20 GHz Defence band and 30 GHz Defence band </w:t>
      </w:r>
      <w:r w:rsidR="00F87576" w:rsidRPr="00142BB1">
        <w:rPr>
          <w:color w:val="auto"/>
          <w:sz w:val="22"/>
          <w:szCs w:val="22"/>
        </w:rPr>
        <w:t>spectru</w:t>
      </w:r>
      <w:r w:rsidR="00D018E3" w:rsidRPr="00142BB1">
        <w:rPr>
          <w:color w:val="auto"/>
          <w:sz w:val="22"/>
          <w:szCs w:val="22"/>
        </w:rPr>
        <w:t xml:space="preserve">m </w:t>
      </w:r>
      <w:proofErr w:type="gramStart"/>
      <w:r w:rsidR="00410599" w:rsidRPr="00142BB1">
        <w:rPr>
          <w:color w:val="auto"/>
          <w:sz w:val="22"/>
          <w:szCs w:val="22"/>
        </w:rPr>
        <w:t>licences</w:t>
      </w:r>
      <w:r w:rsidR="00FD5B65" w:rsidRPr="00142BB1">
        <w:rPr>
          <w:color w:val="auto"/>
          <w:sz w:val="22"/>
          <w:szCs w:val="22"/>
        </w:rPr>
        <w:t>,</w:t>
      </w:r>
      <w:r w:rsidR="00410599" w:rsidRPr="00142BB1">
        <w:rPr>
          <w:color w:val="auto"/>
          <w:sz w:val="22"/>
          <w:szCs w:val="22"/>
        </w:rPr>
        <w:t xml:space="preserve"> and</w:t>
      </w:r>
      <w:proofErr w:type="gramEnd"/>
      <w:r w:rsidR="00CD0082" w:rsidRPr="00142BB1">
        <w:rPr>
          <w:color w:val="auto"/>
          <w:sz w:val="22"/>
          <w:szCs w:val="22"/>
        </w:rPr>
        <w:t xml:space="preserve"> specifies the times whe</w:t>
      </w:r>
      <w:r w:rsidR="00243D64" w:rsidRPr="00142BB1">
        <w:rPr>
          <w:color w:val="auto"/>
          <w:sz w:val="22"/>
          <w:szCs w:val="22"/>
        </w:rPr>
        <w:t>n</w:t>
      </w:r>
      <w:r w:rsidR="00CD0082" w:rsidRPr="00142BB1">
        <w:rPr>
          <w:color w:val="auto"/>
          <w:sz w:val="22"/>
          <w:szCs w:val="22"/>
        </w:rPr>
        <w:t xml:space="preserve"> the spectrum access charges are payable.</w:t>
      </w:r>
    </w:p>
    <w:p w14:paraId="32BA274E" w14:textId="071771F3" w:rsidR="00446CB7" w:rsidRPr="00142BB1" w:rsidRDefault="00446CB7" w:rsidP="007F6C79">
      <w:pPr>
        <w:keepNext/>
        <w:spacing w:line="257" w:lineRule="auto"/>
        <w:rPr>
          <w:rFonts w:ascii="Times New Roman" w:hAnsi="Times New Roman" w:cs="Times New Roman"/>
          <w:b/>
          <w:i/>
        </w:rPr>
      </w:pPr>
      <w:r w:rsidRPr="00142BB1">
        <w:rPr>
          <w:rFonts w:ascii="Times New Roman" w:hAnsi="Times New Roman" w:cs="Times New Roman"/>
          <w:b/>
          <w:i/>
        </w:rPr>
        <w:t>Human rights implications</w:t>
      </w:r>
    </w:p>
    <w:p w14:paraId="2A82B7B9" w14:textId="195863E3" w:rsidR="00446CB7" w:rsidRPr="00142BB1" w:rsidRDefault="00446CB7" w:rsidP="00446CB7">
      <w:pPr>
        <w:rPr>
          <w:rFonts w:ascii="Times New Roman" w:hAnsi="Times New Roman" w:cs="Times New Roman"/>
        </w:rPr>
      </w:pPr>
      <w:r w:rsidRPr="00142BB1">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142BB1">
        <w:rPr>
          <w:rFonts w:ascii="Times New Roman" w:hAnsi="Times New Roman" w:cs="Times New Roman"/>
          <w:i/>
        </w:rPr>
        <w:t xml:space="preserve"> Human Rights (Parliamentary Scrutiny) Act 2011 </w:t>
      </w:r>
      <w:r w:rsidRPr="00142BB1">
        <w:rPr>
          <w:rFonts w:ascii="Times New Roman" w:hAnsi="Times New Roman" w:cs="Times New Roman"/>
        </w:rPr>
        <w:t xml:space="preserve">as they apply to Australia. </w:t>
      </w:r>
    </w:p>
    <w:p w14:paraId="73CF0C9F" w14:textId="14FCFA7F" w:rsidR="00446CB7" w:rsidRPr="00142BB1" w:rsidRDefault="00446CB7" w:rsidP="00446CB7">
      <w:pPr>
        <w:rPr>
          <w:rFonts w:ascii="Times New Roman" w:hAnsi="Times New Roman" w:cs="Times New Roman"/>
        </w:rPr>
      </w:pPr>
      <w:r w:rsidRPr="00142BB1">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6924167C" w14:textId="74096A64" w:rsidR="00446CB7" w:rsidRPr="00142BB1" w:rsidRDefault="00446CB7" w:rsidP="00AA3432">
      <w:pPr>
        <w:keepNext/>
        <w:spacing w:line="257" w:lineRule="auto"/>
        <w:rPr>
          <w:rFonts w:ascii="Times New Roman" w:hAnsi="Times New Roman" w:cs="Times New Roman"/>
          <w:b/>
          <w:i/>
        </w:rPr>
      </w:pPr>
      <w:r w:rsidRPr="00142BB1">
        <w:rPr>
          <w:rFonts w:ascii="Times New Roman" w:hAnsi="Times New Roman" w:cs="Times New Roman"/>
          <w:b/>
          <w:i/>
        </w:rPr>
        <w:t>Conclusion</w:t>
      </w:r>
    </w:p>
    <w:p w14:paraId="5E3A1F18" w14:textId="31577338" w:rsidR="00446CB7" w:rsidRPr="00142BB1" w:rsidRDefault="00446CB7" w:rsidP="00446CB7">
      <w:pPr>
        <w:rPr>
          <w:rFonts w:ascii="Times New Roman" w:hAnsi="Times New Roman" w:cs="Times New Roman"/>
        </w:rPr>
      </w:pPr>
      <w:r w:rsidRPr="00142BB1">
        <w:rPr>
          <w:rFonts w:ascii="Times New Roman" w:hAnsi="Times New Roman" w:cs="Times New Roman"/>
        </w:rPr>
        <w:t>The instrument is compatible with human rights as it does not raise any human rights issues.</w:t>
      </w:r>
    </w:p>
    <w:p w14:paraId="76C7BBD9" w14:textId="688E719B" w:rsidR="00446CB7" w:rsidRPr="00142BB1" w:rsidRDefault="00446CB7" w:rsidP="00446CB7">
      <w:pPr>
        <w:rPr>
          <w:rFonts w:ascii="Times New Roman" w:hAnsi="Times New Roman" w:cs="Times New Roman"/>
          <w:b/>
        </w:rPr>
      </w:pPr>
      <w:r w:rsidRPr="00142BB1">
        <w:rPr>
          <w:rFonts w:ascii="Times New Roman" w:hAnsi="Times New Roman" w:cs="Times New Roman"/>
          <w:b/>
        </w:rPr>
        <w:br w:type="page"/>
      </w:r>
    </w:p>
    <w:p w14:paraId="677E75C1" w14:textId="77777777" w:rsidR="00446CB7" w:rsidRPr="00142BB1" w:rsidRDefault="00446CB7" w:rsidP="00446CB7">
      <w:pPr>
        <w:jc w:val="right"/>
        <w:rPr>
          <w:rFonts w:ascii="Times New Roman" w:hAnsi="Times New Roman" w:cs="Times New Roman"/>
          <w:b/>
          <w:sz w:val="28"/>
          <w:szCs w:val="28"/>
        </w:rPr>
      </w:pPr>
      <w:r w:rsidRPr="00142BB1">
        <w:rPr>
          <w:rFonts w:ascii="Times New Roman" w:hAnsi="Times New Roman" w:cs="Times New Roman"/>
          <w:b/>
          <w:sz w:val="28"/>
          <w:szCs w:val="28"/>
        </w:rPr>
        <w:lastRenderedPageBreak/>
        <w:t>Attachment A</w:t>
      </w:r>
    </w:p>
    <w:p w14:paraId="79786C1D" w14:textId="08C68A20" w:rsidR="00446CB7" w:rsidRPr="00142BB1" w:rsidRDefault="00446CB7" w:rsidP="00446CB7">
      <w:pPr>
        <w:jc w:val="center"/>
        <w:rPr>
          <w:rFonts w:ascii="Times New Roman" w:hAnsi="Times New Roman" w:cs="Times New Roman"/>
          <w:b/>
          <w:sz w:val="28"/>
          <w:szCs w:val="28"/>
        </w:rPr>
      </w:pPr>
      <w:r w:rsidRPr="00142BB1">
        <w:rPr>
          <w:rFonts w:ascii="Times New Roman" w:hAnsi="Times New Roman" w:cs="Times New Roman"/>
          <w:b/>
          <w:sz w:val="28"/>
          <w:szCs w:val="28"/>
        </w:rPr>
        <w:t xml:space="preserve">Notes to the </w:t>
      </w:r>
      <w:r w:rsidR="0026091A" w:rsidRPr="00142BB1">
        <w:rPr>
          <w:rFonts w:ascii="Times New Roman" w:hAnsi="Times New Roman" w:cs="Times New Roman"/>
          <w:b/>
          <w:sz w:val="28"/>
          <w:szCs w:val="28"/>
        </w:rPr>
        <w:t xml:space="preserve">Radiocommunications (Spectrum Access Charges – 20 GHz and 30 GHz Bands) </w:t>
      </w:r>
      <w:r w:rsidR="00975B0F" w:rsidRPr="00142BB1">
        <w:rPr>
          <w:rFonts w:ascii="Times New Roman" w:hAnsi="Times New Roman" w:cs="Times New Roman"/>
          <w:b/>
          <w:sz w:val="28"/>
          <w:szCs w:val="28"/>
        </w:rPr>
        <w:t>Determination 2021</w:t>
      </w:r>
    </w:p>
    <w:p w14:paraId="5E1F905F" w14:textId="77777777" w:rsidR="00446CB7" w:rsidRPr="00142BB1" w:rsidRDefault="00446CB7" w:rsidP="00446CB7">
      <w:pPr>
        <w:rPr>
          <w:rFonts w:ascii="Times New Roman" w:hAnsi="Times New Roman" w:cs="Times New Roman"/>
          <w:b/>
        </w:rPr>
      </w:pPr>
      <w:r w:rsidRPr="00142BB1">
        <w:rPr>
          <w:rFonts w:ascii="Times New Roman" w:hAnsi="Times New Roman" w:cs="Times New Roman"/>
          <w:b/>
        </w:rPr>
        <w:t>Section 1</w:t>
      </w:r>
      <w:r w:rsidRPr="00142BB1">
        <w:rPr>
          <w:rFonts w:ascii="Times New Roman" w:hAnsi="Times New Roman" w:cs="Times New Roman"/>
          <w:b/>
        </w:rPr>
        <w:tab/>
        <w:t>Name</w:t>
      </w:r>
    </w:p>
    <w:p w14:paraId="7BF262AD" w14:textId="6290AF27" w:rsidR="00446CB7" w:rsidRPr="00142BB1" w:rsidRDefault="00446CB7" w:rsidP="00446CB7">
      <w:pPr>
        <w:rPr>
          <w:rFonts w:ascii="Times New Roman" w:hAnsi="Times New Roman" w:cs="Times New Roman"/>
          <w:i/>
        </w:rPr>
      </w:pPr>
      <w:r w:rsidRPr="00142BB1">
        <w:rPr>
          <w:rFonts w:ascii="Times New Roman" w:hAnsi="Times New Roman" w:cs="Times New Roman"/>
          <w:iCs/>
        </w:rPr>
        <w:t xml:space="preserve">This section provides for the </w:t>
      </w:r>
      <w:r w:rsidR="00E617AD" w:rsidRPr="00142BB1">
        <w:rPr>
          <w:rFonts w:ascii="Times New Roman" w:hAnsi="Times New Roman" w:cs="Times New Roman"/>
          <w:iCs/>
        </w:rPr>
        <w:t>Determination</w:t>
      </w:r>
      <w:r w:rsidRPr="00142BB1">
        <w:rPr>
          <w:rFonts w:ascii="Times New Roman" w:hAnsi="Times New Roman" w:cs="Times New Roman"/>
          <w:iCs/>
        </w:rPr>
        <w:t xml:space="preserve"> to be cited as the</w:t>
      </w:r>
      <w:r w:rsidRPr="00142BB1">
        <w:rPr>
          <w:rFonts w:ascii="Times New Roman" w:hAnsi="Times New Roman" w:cs="Times New Roman"/>
          <w:i/>
        </w:rPr>
        <w:t xml:space="preserve"> </w:t>
      </w:r>
      <w:r w:rsidR="00F6141E" w:rsidRPr="00142BB1">
        <w:rPr>
          <w:rFonts w:ascii="Times New Roman" w:hAnsi="Times New Roman" w:cs="Times New Roman"/>
          <w:i/>
        </w:rPr>
        <w:t xml:space="preserve">Radiocommunications (Spectrum Access Charges – 20 GHz and 30 GHz Bands) </w:t>
      </w:r>
      <w:r w:rsidR="000B1017" w:rsidRPr="00142BB1">
        <w:rPr>
          <w:rFonts w:ascii="Times New Roman" w:hAnsi="Times New Roman" w:cs="Times New Roman"/>
          <w:i/>
        </w:rPr>
        <w:t>Determination 2021</w:t>
      </w:r>
      <w:r w:rsidRPr="00142BB1">
        <w:rPr>
          <w:rFonts w:ascii="Times New Roman" w:hAnsi="Times New Roman" w:cs="Times New Roman"/>
          <w:i/>
        </w:rPr>
        <w:t>.</w:t>
      </w:r>
    </w:p>
    <w:p w14:paraId="1CC082B5" w14:textId="77777777" w:rsidR="00446CB7" w:rsidRPr="00142BB1" w:rsidRDefault="00446CB7" w:rsidP="00446CB7">
      <w:pPr>
        <w:rPr>
          <w:rFonts w:ascii="Times New Roman" w:hAnsi="Times New Roman" w:cs="Times New Roman"/>
          <w:b/>
        </w:rPr>
      </w:pPr>
      <w:r w:rsidRPr="00142BB1">
        <w:rPr>
          <w:rFonts w:ascii="Times New Roman" w:hAnsi="Times New Roman" w:cs="Times New Roman"/>
          <w:b/>
        </w:rPr>
        <w:t>Section 2</w:t>
      </w:r>
      <w:r w:rsidRPr="00142BB1">
        <w:rPr>
          <w:rFonts w:ascii="Times New Roman" w:hAnsi="Times New Roman" w:cs="Times New Roman"/>
          <w:b/>
        </w:rPr>
        <w:tab/>
        <w:t>Commencement</w:t>
      </w:r>
    </w:p>
    <w:p w14:paraId="206316F9" w14:textId="4F9308B1" w:rsidR="00446CB7" w:rsidRPr="00142BB1" w:rsidRDefault="00446CB7" w:rsidP="00446CB7">
      <w:pPr>
        <w:rPr>
          <w:rFonts w:ascii="Times New Roman" w:hAnsi="Times New Roman" w:cs="Times New Roman"/>
        </w:rPr>
      </w:pPr>
      <w:r w:rsidRPr="00142BB1">
        <w:rPr>
          <w:rFonts w:ascii="Times New Roman" w:hAnsi="Times New Roman" w:cs="Times New Roman"/>
        </w:rPr>
        <w:t>This section provides for the instrument to commence at the start of the day after it is registered on the Federal Register of Legislation.</w:t>
      </w:r>
    </w:p>
    <w:p w14:paraId="6A2544FB" w14:textId="77777777" w:rsidR="00446CB7" w:rsidRPr="00142BB1" w:rsidRDefault="00446CB7" w:rsidP="00446CB7">
      <w:pPr>
        <w:rPr>
          <w:rFonts w:ascii="Times New Roman" w:hAnsi="Times New Roman" w:cs="Times New Roman"/>
          <w:b/>
        </w:rPr>
      </w:pPr>
      <w:r w:rsidRPr="00142BB1">
        <w:rPr>
          <w:rFonts w:ascii="Times New Roman" w:hAnsi="Times New Roman" w:cs="Times New Roman"/>
          <w:b/>
        </w:rPr>
        <w:t>Section 3</w:t>
      </w:r>
      <w:r w:rsidRPr="00142BB1">
        <w:rPr>
          <w:rFonts w:ascii="Times New Roman" w:hAnsi="Times New Roman" w:cs="Times New Roman"/>
          <w:b/>
        </w:rPr>
        <w:tab/>
        <w:t>Authority</w:t>
      </w:r>
    </w:p>
    <w:p w14:paraId="32D4501D" w14:textId="3BA94304" w:rsidR="00446CB7" w:rsidRPr="00142BB1" w:rsidRDefault="00446CB7" w:rsidP="00446CB7">
      <w:pPr>
        <w:rPr>
          <w:rFonts w:ascii="Times New Roman" w:hAnsi="Times New Roman" w:cs="Times New Roman"/>
        </w:rPr>
      </w:pPr>
      <w:r w:rsidRPr="00142BB1">
        <w:rPr>
          <w:rFonts w:ascii="Times New Roman" w:hAnsi="Times New Roman" w:cs="Times New Roman"/>
        </w:rPr>
        <w:t xml:space="preserve">This section </w:t>
      </w:r>
      <w:r w:rsidR="00166FC0" w:rsidRPr="00142BB1">
        <w:rPr>
          <w:rFonts w:ascii="Times New Roman" w:hAnsi="Times New Roman" w:cs="Times New Roman"/>
        </w:rPr>
        <w:t>provides that the Determination is made under subsection 294</w:t>
      </w:r>
      <w:r w:rsidR="001C1F3F" w:rsidRPr="00142BB1">
        <w:rPr>
          <w:rFonts w:ascii="Times New Roman" w:hAnsi="Times New Roman" w:cs="Times New Roman"/>
        </w:rPr>
        <w:t> </w:t>
      </w:r>
      <w:r w:rsidR="00166FC0" w:rsidRPr="00142BB1">
        <w:rPr>
          <w:rFonts w:ascii="Times New Roman" w:hAnsi="Times New Roman" w:cs="Times New Roman"/>
        </w:rPr>
        <w:t>(1) of the Act</w:t>
      </w:r>
      <w:r w:rsidRPr="00142BB1">
        <w:rPr>
          <w:rFonts w:ascii="Times New Roman" w:hAnsi="Times New Roman" w:cs="Times New Roman"/>
        </w:rPr>
        <w:t>.</w:t>
      </w:r>
    </w:p>
    <w:p w14:paraId="346FD716" w14:textId="7D59F5A9" w:rsidR="00446CB7" w:rsidRPr="00142BB1" w:rsidRDefault="00446CB7" w:rsidP="00446CB7">
      <w:pPr>
        <w:rPr>
          <w:rFonts w:ascii="Times New Roman" w:hAnsi="Times New Roman" w:cs="Times New Roman"/>
          <w:b/>
        </w:rPr>
      </w:pPr>
      <w:r w:rsidRPr="00142BB1">
        <w:rPr>
          <w:rFonts w:ascii="Times New Roman" w:hAnsi="Times New Roman" w:cs="Times New Roman"/>
          <w:b/>
        </w:rPr>
        <w:t xml:space="preserve">Section </w:t>
      </w:r>
      <w:r w:rsidR="00693B16" w:rsidRPr="00142BB1">
        <w:rPr>
          <w:rFonts w:ascii="Times New Roman" w:hAnsi="Times New Roman" w:cs="Times New Roman"/>
          <w:b/>
        </w:rPr>
        <w:t>4</w:t>
      </w:r>
      <w:r w:rsidRPr="00142BB1">
        <w:rPr>
          <w:rFonts w:ascii="Times New Roman" w:hAnsi="Times New Roman" w:cs="Times New Roman"/>
          <w:b/>
        </w:rPr>
        <w:tab/>
        <w:t>Repeal of th</w:t>
      </w:r>
      <w:r w:rsidR="00FD6056" w:rsidRPr="00142BB1">
        <w:rPr>
          <w:rFonts w:ascii="Times New Roman" w:hAnsi="Times New Roman" w:cs="Times New Roman"/>
          <w:b/>
        </w:rPr>
        <w:t>is</w:t>
      </w:r>
      <w:r w:rsidRPr="00142BB1">
        <w:rPr>
          <w:rFonts w:ascii="Times New Roman" w:hAnsi="Times New Roman" w:cs="Times New Roman"/>
          <w:b/>
        </w:rPr>
        <w:t xml:space="preserve"> instrument</w:t>
      </w:r>
    </w:p>
    <w:p w14:paraId="419B4840" w14:textId="0F93DD91" w:rsidR="00446CB7" w:rsidRPr="00142BB1" w:rsidRDefault="00446CB7" w:rsidP="00446CB7">
      <w:pPr>
        <w:rPr>
          <w:rFonts w:ascii="Times New Roman" w:hAnsi="Times New Roman" w:cs="Times New Roman"/>
        </w:rPr>
      </w:pPr>
      <w:r w:rsidRPr="00142BB1">
        <w:rPr>
          <w:rFonts w:ascii="Times New Roman" w:hAnsi="Times New Roman" w:cs="Times New Roman"/>
        </w:rPr>
        <w:t xml:space="preserve">This section provides that this instrument is repealed </w:t>
      </w:r>
      <w:r w:rsidR="00FD6056" w:rsidRPr="00142BB1">
        <w:rPr>
          <w:rFonts w:ascii="Times New Roman" w:hAnsi="Times New Roman" w:cs="Times New Roman"/>
        </w:rPr>
        <w:t xml:space="preserve">at the end of </w:t>
      </w:r>
      <w:r w:rsidR="000E444A" w:rsidRPr="00142BB1">
        <w:rPr>
          <w:rFonts w:ascii="Times New Roman" w:hAnsi="Times New Roman" w:cs="Times New Roman"/>
        </w:rPr>
        <w:t>26 April 2036</w:t>
      </w:r>
      <w:r w:rsidRPr="00142BB1">
        <w:rPr>
          <w:rFonts w:ascii="Times New Roman" w:hAnsi="Times New Roman" w:cs="Times New Roman"/>
        </w:rPr>
        <w:t>.</w:t>
      </w:r>
    </w:p>
    <w:p w14:paraId="7D2F903E" w14:textId="47C1F077" w:rsidR="00446CB7" w:rsidRPr="00142BB1" w:rsidRDefault="00446CB7" w:rsidP="00446CB7">
      <w:pPr>
        <w:rPr>
          <w:rFonts w:ascii="Times New Roman" w:hAnsi="Times New Roman" w:cs="Times New Roman"/>
          <w:b/>
        </w:rPr>
      </w:pPr>
      <w:r w:rsidRPr="00142BB1">
        <w:rPr>
          <w:rFonts w:ascii="Times New Roman" w:hAnsi="Times New Roman" w:cs="Times New Roman"/>
          <w:b/>
        </w:rPr>
        <w:t xml:space="preserve">Section </w:t>
      </w:r>
      <w:r w:rsidR="00FD6056" w:rsidRPr="00142BB1">
        <w:rPr>
          <w:rFonts w:ascii="Times New Roman" w:hAnsi="Times New Roman" w:cs="Times New Roman"/>
          <w:b/>
        </w:rPr>
        <w:t>5</w:t>
      </w:r>
      <w:r w:rsidRPr="00142BB1">
        <w:rPr>
          <w:rFonts w:ascii="Times New Roman" w:hAnsi="Times New Roman" w:cs="Times New Roman"/>
          <w:b/>
        </w:rPr>
        <w:tab/>
        <w:t>Definitions</w:t>
      </w:r>
    </w:p>
    <w:p w14:paraId="24BDA84A" w14:textId="77777777" w:rsidR="00446CB7" w:rsidRPr="00142BB1" w:rsidRDefault="00446CB7" w:rsidP="00446CB7">
      <w:pPr>
        <w:rPr>
          <w:rFonts w:ascii="Times New Roman" w:hAnsi="Times New Roman" w:cs="Times New Roman"/>
        </w:rPr>
      </w:pPr>
      <w:r w:rsidRPr="00142BB1">
        <w:rPr>
          <w:rFonts w:ascii="Times New Roman" w:hAnsi="Times New Roman" w:cs="Times New Roman"/>
        </w:rPr>
        <w:t xml:space="preserve">This section defines </w:t>
      </w:r>
      <w:proofErr w:type="gramStart"/>
      <w:r w:rsidRPr="00142BB1">
        <w:rPr>
          <w:rFonts w:ascii="Times New Roman" w:hAnsi="Times New Roman" w:cs="Times New Roman"/>
        </w:rPr>
        <w:t>a number of</w:t>
      </w:r>
      <w:proofErr w:type="gramEnd"/>
      <w:r w:rsidRPr="00142BB1">
        <w:rPr>
          <w:rFonts w:ascii="Times New Roman" w:hAnsi="Times New Roman" w:cs="Times New Roman"/>
        </w:rPr>
        <w:t xml:space="preserve"> key terms used throughout the instrument.  </w:t>
      </w:r>
    </w:p>
    <w:p w14:paraId="1AEDEBD6" w14:textId="77777777" w:rsidR="00446CB7" w:rsidRPr="00142BB1" w:rsidRDefault="00446CB7" w:rsidP="00446CB7">
      <w:pPr>
        <w:rPr>
          <w:rFonts w:ascii="Times New Roman" w:hAnsi="Times New Roman" w:cs="Times New Roman"/>
        </w:rPr>
      </w:pPr>
      <w:proofErr w:type="gramStart"/>
      <w:r w:rsidRPr="00142BB1">
        <w:rPr>
          <w:rFonts w:ascii="Times New Roman" w:hAnsi="Times New Roman" w:cs="Times New Roman"/>
        </w:rPr>
        <w:t>A number of</w:t>
      </w:r>
      <w:proofErr w:type="gramEnd"/>
      <w:r w:rsidRPr="00142BB1">
        <w:rPr>
          <w:rFonts w:ascii="Times New Roman" w:hAnsi="Times New Roman" w:cs="Times New Roman"/>
        </w:rPr>
        <w:t xml:space="preserve"> other expressions used in the instrument are defined in the Act.</w:t>
      </w:r>
    </w:p>
    <w:p w14:paraId="195287BF" w14:textId="0C1231FE" w:rsidR="00446CB7" w:rsidRPr="00142BB1" w:rsidRDefault="00446CB7" w:rsidP="00446CB7">
      <w:pPr>
        <w:rPr>
          <w:rFonts w:ascii="Times New Roman" w:hAnsi="Times New Roman" w:cs="Times New Roman"/>
          <w:b/>
        </w:rPr>
      </w:pPr>
      <w:r w:rsidRPr="00142BB1">
        <w:rPr>
          <w:rFonts w:ascii="Times New Roman" w:hAnsi="Times New Roman" w:cs="Times New Roman"/>
          <w:b/>
        </w:rPr>
        <w:t xml:space="preserve">Section </w:t>
      </w:r>
      <w:r w:rsidR="00F719FB" w:rsidRPr="00142BB1">
        <w:rPr>
          <w:rFonts w:ascii="Times New Roman" w:hAnsi="Times New Roman" w:cs="Times New Roman"/>
          <w:b/>
        </w:rPr>
        <w:t>6</w:t>
      </w:r>
      <w:r w:rsidRPr="00142BB1">
        <w:rPr>
          <w:rFonts w:ascii="Times New Roman" w:hAnsi="Times New Roman" w:cs="Times New Roman"/>
          <w:b/>
        </w:rPr>
        <w:tab/>
      </w:r>
      <w:r w:rsidR="001D496B" w:rsidRPr="00142BB1">
        <w:rPr>
          <w:rFonts w:ascii="Times New Roman" w:hAnsi="Times New Roman" w:cs="Times New Roman"/>
          <w:b/>
        </w:rPr>
        <w:t>Spectrum access charge for the 20 GHz Defence band spectrum licence</w:t>
      </w:r>
    </w:p>
    <w:p w14:paraId="0E2E7CE3" w14:textId="30A1BF57" w:rsidR="00446CB7" w:rsidRPr="00142BB1" w:rsidRDefault="005C064D" w:rsidP="00446CB7">
      <w:pPr>
        <w:rPr>
          <w:rFonts w:ascii="Times New Roman" w:hAnsi="Times New Roman" w:cs="Times New Roman"/>
        </w:rPr>
      </w:pPr>
      <w:r w:rsidRPr="00142BB1">
        <w:rPr>
          <w:rFonts w:ascii="Times New Roman" w:hAnsi="Times New Roman" w:cs="Times New Roman"/>
        </w:rPr>
        <w:t>S</w:t>
      </w:r>
      <w:r w:rsidR="007C66FE" w:rsidRPr="00142BB1">
        <w:rPr>
          <w:rFonts w:ascii="Times New Roman" w:hAnsi="Times New Roman" w:cs="Times New Roman"/>
        </w:rPr>
        <w:t>ection</w:t>
      </w:r>
      <w:r w:rsidR="000702D5" w:rsidRPr="00142BB1">
        <w:rPr>
          <w:rFonts w:ascii="Times New Roman" w:hAnsi="Times New Roman" w:cs="Times New Roman"/>
        </w:rPr>
        <w:t xml:space="preserve"> </w:t>
      </w:r>
      <w:r w:rsidR="00F719FB" w:rsidRPr="00142BB1">
        <w:rPr>
          <w:rFonts w:ascii="Times New Roman" w:hAnsi="Times New Roman" w:cs="Times New Roman"/>
        </w:rPr>
        <w:t>6</w:t>
      </w:r>
      <w:r w:rsidR="007C66FE" w:rsidRPr="00142BB1">
        <w:rPr>
          <w:rFonts w:ascii="Times New Roman" w:hAnsi="Times New Roman" w:cs="Times New Roman"/>
        </w:rPr>
        <w:t xml:space="preserve"> provides the amount of spectrum access charge payable </w:t>
      </w:r>
      <w:r w:rsidR="0037242D" w:rsidRPr="00142BB1">
        <w:rPr>
          <w:rFonts w:ascii="Times New Roman" w:hAnsi="Times New Roman" w:cs="Times New Roman"/>
        </w:rPr>
        <w:t xml:space="preserve">by the licensee </w:t>
      </w:r>
      <w:r w:rsidR="007C66FE" w:rsidRPr="00142BB1">
        <w:rPr>
          <w:rFonts w:ascii="Times New Roman" w:hAnsi="Times New Roman" w:cs="Times New Roman"/>
        </w:rPr>
        <w:t xml:space="preserve">for the </w:t>
      </w:r>
      <w:r w:rsidR="0037242D" w:rsidRPr="00142BB1">
        <w:rPr>
          <w:rFonts w:ascii="Times New Roman" w:hAnsi="Times New Roman" w:cs="Times New Roman"/>
        </w:rPr>
        <w:t>re-</w:t>
      </w:r>
      <w:r w:rsidR="007C66FE" w:rsidRPr="00142BB1">
        <w:rPr>
          <w:rFonts w:ascii="Times New Roman" w:hAnsi="Times New Roman" w:cs="Times New Roman"/>
        </w:rPr>
        <w:t xml:space="preserve">issue of </w:t>
      </w:r>
      <w:r w:rsidR="006B5E2F" w:rsidRPr="00142BB1">
        <w:rPr>
          <w:rFonts w:ascii="Times New Roman" w:hAnsi="Times New Roman" w:cs="Times New Roman"/>
        </w:rPr>
        <w:t xml:space="preserve">the </w:t>
      </w:r>
      <w:r w:rsidR="004650F2" w:rsidRPr="00142BB1">
        <w:rPr>
          <w:rFonts w:ascii="Times New Roman" w:hAnsi="Times New Roman" w:cs="Times New Roman"/>
        </w:rPr>
        <w:t xml:space="preserve">20 GHz Defence band </w:t>
      </w:r>
      <w:r w:rsidR="007C66FE" w:rsidRPr="00142BB1">
        <w:rPr>
          <w:rFonts w:ascii="Times New Roman" w:hAnsi="Times New Roman" w:cs="Times New Roman"/>
        </w:rPr>
        <w:t xml:space="preserve">spectrum licence. </w:t>
      </w:r>
      <w:r w:rsidR="00E6640A" w:rsidRPr="00142BB1">
        <w:rPr>
          <w:rFonts w:ascii="Times New Roman" w:hAnsi="Times New Roman" w:cs="Times New Roman"/>
        </w:rPr>
        <w:t>The licensee</w:t>
      </w:r>
      <w:r w:rsidR="00572ABA" w:rsidRPr="00142BB1">
        <w:rPr>
          <w:rFonts w:ascii="Times New Roman" w:hAnsi="Times New Roman" w:cs="Times New Roman"/>
        </w:rPr>
        <w:t xml:space="preserve"> may elect to pay a single upfront payment of </w:t>
      </w:r>
      <w:r w:rsidR="004F174D" w:rsidRPr="00142BB1">
        <w:rPr>
          <w:rFonts w:ascii="Times New Roman" w:hAnsi="Times New Roman" w:cs="Times New Roman"/>
        </w:rPr>
        <w:t>$16,191,243</w:t>
      </w:r>
      <w:r w:rsidR="00572ABA" w:rsidRPr="00142BB1">
        <w:rPr>
          <w:rFonts w:ascii="Times New Roman" w:hAnsi="Times New Roman" w:cs="Times New Roman"/>
        </w:rPr>
        <w:t xml:space="preserve">, or </w:t>
      </w:r>
      <w:r w:rsidR="001C1F3F" w:rsidRPr="00142BB1">
        <w:rPr>
          <w:rFonts w:ascii="Times New Roman" w:hAnsi="Times New Roman" w:cs="Times New Roman"/>
        </w:rPr>
        <w:t xml:space="preserve">by </w:t>
      </w:r>
      <w:r w:rsidR="00F91953" w:rsidRPr="00142BB1">
        <w:rPr>
          <w:rFonts w:ascii="Times New Roman" w:hAnsi="Times New Roman" w:cs="Times New Roman"/>
        </w:rPr>
        <w:t>5</w:t>
      </w:r>
      <w:r w:rsidR="00572ABA" w:rsidRPr="00142BB1">
        <w:rPr>
          <w:rFonts w:ascii="Times New Roman" w:hAnsi="Times New Roman" w:cs="Times New Roman"/>
        </w:rPr>
        <w:t xml:space="preserve"> instalment payments of </w:t>
      </w:r>
      <w:r w:rsidR="007339F9" w:rsidRPr="00142BB1">
        <w:rPr>
          <w:rFonts w:ascii="Times New Roman" w:hAnsi="Times New Roman" w:cs="Times New Roman"/>
        </w:rPr>
        <w:t>$3,306,896</w:t>
      </w:r>
      <w:r w:rsidR="004E35E8" w:rsidRPr="00142BB1">
        <w:rPr>
          <w:rFonts w:ascii="Times New Roman" w:hAnsi="Times New Roman" w:cs="Times New Roman"/>
        </w:rPr>
        <w:t xml:space="preserve"> each</w:t>
      </w:r>
      <w:r w:rsidR="00572ABA" w:rsidRPr="00142BB1">
        <w:rPr>
          <w:rFonts w:ascii="Times New Roman" w:hAnsi="Times New Roman" w:cs="Times New Roman"/>
        </w:rPr>
        <w:t>.</w:t>
      </w:r>
    </w:p>
    <w:p w14:paraId="7A457452" w14:textId="1B6EB8FF" w:rsidR="00323A3B" w:rsidRPr="00142BB1" w:rsidRDefault="00323A3B" w:rsidP="00323A3B">
      <w:pPr>
        <w:rPr>
          <w:rFonts w:ascii="Times New Roman" w:hAnsi="Times New Roman" w:cs="Times New Roman"/>
        </w:rPr>
      </w:pPr>
      <w:r w:rsidRPr="00142BB1">
        <w:rPr>
          <w:rFonts w:ascii="Times New Roman" w:hAnsi="Times New Roman" w:cs="Times New Roman"/>
        </w:rPr>
        <w:t xml:space="preserve">If the licensee elects to pay the single upfront amount, it must be paid </w:t>
      </w:r>
      <w:r w:rsidR="00B327BF" w:rsidRPr="00142BB1">
        <w:rPr>
          <w:rFonts w:ascii="Times New Roman" w:hAnsi="Times New Roman" w:cs="Times New Roman"/>
        </w:rPr>
        <w:t>on or before 6 April 2021</w:t>
      </w:r>
      <w:r w:rsidR="0016708D" w:rsidRPr="00142BB1">
        <w:rPr>
          <w:rFonts w:ascii="Times New Roman" w:hAnsi="Times New Roman" w:cs="Times New Roman"/>
        </w:rPr>
        <w:t>.</w:t>
      </w:r>
      <w:r w:rsidR="00B327BF" w:rsidRPr="00142BB1">
        <w:rPr>
          <w:rFonts w:ascii="Times New Roman" w:hAnsi="Times New Roman" w:cs="Times New Roman"/>
        </w:rPr>
        <w:t xml:space="preserve"> </w:t>
      </w:r>
      <w:r w:rsidR="0016708D" w:rsidRPr="00142BB1">
        <w:rPr>
          <w:rFonts w:ascii="Times New Roman" w:hAnsi="Times New Roman" w:cs="Times New Roman"/>
        </w:rPr>
        <w:t xml:space="preserve">If the licensee elects to pay </w:t>
      </w:r>
      <w:r w:rsidR="001C1F3F" w:rsidRPr="00142BB1">
        <w:rPr>
          <w:rFonts w:ascii="Times New Roman" w:hAnsi="Times New Roman" w:cs="Times New Roman"/>
        </w:rPr>
        <w:t>by</w:t>
      </w:r>
      <w:r w:rsidRPr="00142BB1">
        <w:rPr>
          <w:rFonts w:ascii="Times New Roman" w:hAnsi="Times New Roman" w:cs="Times New Roman"/>
        </w:rPr>
        <w:t xml:space="preserve"> instalments, the first instalment must be paid </w:t>
      </w:r>
      <w:r w:rsidR="0016708D" w:rsidRPr="00142BB1">
        <w:rPr>
          <w:rFonts w:ascii="Times New Roman" w:hAnsi="Times New Roman" w:cs="Times New Roman"/>
        </w:rPr>
        <w:t>on or before 6 April 2021</w:t>
      </w:r>
      <w:r w:rsidRPr="00142BB1">
        <w:rPr>
          <w:rFonts w:ascii="Times New Roman" w:hAnsi="Times New Roman" w:cs="Times New Roman"/>
        </w:rPr>
        <w:t xml:space="preserve">. Each </w:t>
      </w:r>
      <w:r w:rsidR="001C1F3F" w:rsidRPr="00142BB1">
        <w:rPr>
          <w:rFonts w:ascii="Times New Roman" w:hAnsi="Times New Roman" w:cs="Times New Roman"/>
        </w:rPr>
        <w:t xml:space="preserve">of the </w:t>
      </w:r>
      <w:r w:rsidR="0038546F" w:rsidRPr="00142BB1">
        <w:rPr>
          <w:rFonts w:ascii="Times New Roman" w:hAnsi="Times New Roman" w:cs="Times New Roman"/>
        </w:rPr>
        <w:t xml:space="preserve">4 </w:t>
      </w:r>
      <w:r w:rsidRPr="00142BB1">
        <w:rPr>
          <w:rFonts w:ascii="Times New Roman" w:hAnsi="Times New Roman" w:cs="Times New Roman"/>
        </w:rPr>
        <w:t xml:space="preserve">subsequent instalment </w:t>
      </w:r>
      <w:r w:rsidR="001C1F3F" w:rsidRPr="00142BB1">
        <w:rPr>
          <w:rFonts w:ascii="Times New Roman" w:hAnsi="Times New Roman" w:cs="Times New Roman"/>
        </w:rPr>
        <w:t xml:space="preserve">payments </w:t>
      </w:r>
      <w:r w:rsidRPr="00142BB1">
        <w:rPr>
          <w:rFonts w:ascii="Times New Roman" w:hAnsi="Times New Roman" w:cs="Times New Roman"/>
        </w:rPr>
        <w:t xml:space="preserve">must be paid on </w:t>
      </w:r>
      <w:r w:rsidR="001C1F3F" w:rsidRPr="00142BB1">
        <w:rPr>
          <w:rFonts w:ascii="Times New Roman" w:hAnsi="Times New Roman" w:cs="Times New Roman"/>
        </w:rPr>
        <w:t>the</w:t>
      </w:r>
      <w:r w:rsidRPr="00142BB1">
        <w:rPr>
          <w:rFonts w:ascii="Times New Roman" w:hAnsi="Times New Roman" w:cs="Times New Roman"/>
        </w:rPr>
        <w:t xml:space="preserve"> anniversary of the day the licence came into force.</w:t>
      </w:r>
    </w:p>
    <w:p w14:paraId="4807566E" w14:textId="511AF572" w:rsidR="00F544D6" w:rsidRPr="00142BB1" w:rsidRDefault="00F544D6" w:rsidP="00F544D6">
      <w:pPr>
        <w:rPr>
          <w:rFonts w:ascii="Times New Roman" w:hAnsi="Times New Roman" w:cs="Times New Roman"/>
          <w:b/>
        </w:rPr>
      </w:pPr>
      <w:r w:rsidRPr="00142BB1">
        <w:rPr>
          <w:rFonts w:ascii="Times New Roman" w:hAnsi="Times New Roman" w:cs="Times New Roman"/>
          <w:b/>
        </w:rPr>
        <w:t>Section 7</w:t>
      </w:r>
      <w:r w:rsidRPr="00142BB1">
        <w:rPr>
          <w:rFonts w:ascii="Times New Roman" w:hAnsi="Times New Roman" w:cs="Times New Roman"/>
          <w:b/>
        </w:rPr>
        <w:tab/>
        <w:t xml:space="preserve">Spectrum access charge for the </w:t>
      </w:r>
      <w:r w:rsidR="003D72D7" w:rsidRPr="00142BB1">
        <w:rPr>
          <w:rFonts w:ascii="Times New Roman" w:hAnsi="Times New Roman" w:cs="Times New Roman"/>
          <w:b/>
        </w:rPr>
        <w:t>3</w:t>
      </w:r>
      <w:r w:rsidRPr="00142BB1">
        <w:rPr>
          <w:rFonts w:ascii="Times New Roman" w:hAnsi="Times New Roman" w:cs="Times New Roman"/>
          <w:b/>
        </w:rPr>
        <w:t>0 GHz Defence band spectrum licence</w:t>
      </w:r>
    </w:p>
    <w:p w14:paraId="5C8B9AEB" w14:textId="1D3EE48E" w:rsidR="00F544D6" w:rsidRPr="00142BB1" w:rsidRDefault="00F544D6" w:rsidP="00F544D6">
      <w:pPr>
        <w:rPr>
          <w:rFonts w:ascii="Times New Roman" w:hAnsi="Times New Roman" w:cs="Times New Roman"/>
        </w:rPr>
      </w:pPr>
      <w:r w:rsidRPr="00142BB1">
        <w:rPr>
          <w:rFonts w:ascii="Times New Roman" w:hAnsi="Times New Roman" w:cs="Times New Roman"/>
        </w:rPr>
        <w:t xml:space="preserve">Section </w:t>
      </w:r>
      <w:r w:rsidR="00CE5960" w:rsidRPr="00142BB1">
        <w:rPr>
          <w:rFonts w:ascii="Times New Roman" w:hAnsi="Times New Roman" w:cs="Times New Roman"/>
        </w:rPr>
        <w:t>7</w:t>
      </w:r>
      <w:r w:rsidRPr="00142BB1">
        <w:rPr>
          <w:rFonts w:ascii="Times New Roman" w:hAnsi="Times New Roman" w:cs="Times New Roman"/>
        </w:rPr>
        <w:t xml:space="preserve"> provides the amount of spectrum access charge payable by the licensee for the re-issue of the 30 GHz Defence band spectrum licence. The licensee may elect to pay a single upfront payment of $16,191,243, or </w:t>
      </w:r>
      <w:r w:rsidR="0038546F" w:rsidRPr="00142BB1">
        <w:rPr>
          <w:rFonts w:ascii="Times New Roman" w:hAnsi="Times New Roman" w:cs="Times New Roman"/>
        </w:rPr>
        <w:t xml:space="preserve">by </w:t>
      </w:r>
      <w:r w:rsidRPr="00142BB1">
        <w:rPr>
          <w:rFonts w:ascii="Times New Roman" w:hAnsi="Times New Roman" w:cs="Times New Roman"/>
        </w:rPr>
        <w:t>5 instalment payments of $3,306,896</w:t>
      </w:r>
      <w:r w:rsidR="004D79B6" w:rsidRPr="00142BB1">
        <w:rPr>
          <w:rFonts w:ascii="Times New Roman" w:hAnsi="Times New Roman" w:cs="Times New Roman"/>
        </w:rPr>
        <w:t xml:space="preserve"> each</w:t>
      </w:r>
      <w:r w:rsidRPr="00142BB1">
        <w:rPr>
          <w:rFonts w:ascii="Times New Roman" w:hAnsi="Times New Roman" w:cs="Times New Roman"/>
        </w:rPr>
        <w:t>.</w:t>
      </w:r>
    </w:p>
    <w:p w14:paraId="72C304DB" w14:textId="73029C4F" w:rsidR="00F544D6" w:rsidRPr="00142BB1" w:rsidRDefault="00F544D6" w:rsidP="00F544D6">
      <w:pPr>
        <w:rPr>
          <w:rFonts w:ascii="Times New Roman" w:hAnsi="Times New Roman" w:cs="Times New Roman"/>
        </w:rPr>
      </w:pPr>
      <w:r w:rsidRPr="00142BB1">
        <w:rPr>
          <w:rFonts w:ascii="Times New Roman" w:hAnsi="Times New Roman" w:cs="Times New Roman"/>
        </w:rPr>
        <w:t xml:space="preserve">If the licensee elects to pay the single upfront amount, it must be paid on or before 6 April 2021. If the licensee elects to pay </w:t>
      </w:r>
      <w:r w:rsidR="0038546F" w:rsidRPr="00142BB1">
        <w:rPr>
          <w:rFonts w:ascii="Times New Roman" w:hAnsi="Times New Roman" w:cs="Times New Roman"/>
        </w:rPr>
        <w:t>by</w:t>
      </w:r>
      <w:r w:rsidRPr="00142BB1">
        <w:rPr>
          <w:rFonts w:ascii="Times New Roman" w:hAnsi="Times New Roman" w:cs="Times New Roman"/>
        </w:rPr>
        <w:t xml:space="preserve"> instalments, the first instalment must be paid on or before 6 April 2021. Each </w:t>
      </w:r>
      <w:r w:rsidR="0038546F" w:rsidRPr="00142BB1">
        <w:rPr>
          <w:rFonts w:ascii="Times New Roman" w:hAnsi="Times New Roman" w:cs="Times New Roman"/>
        </w:rPr>
        <w:t xml:space="preserve">of the 4 </w:t>
      </w:r>
      <w:r w:rsidRPr="00142BB1">
        <w:rPr>
          <w:rFonts w:ascii="Times New Roman" w:hAnsi="Times New Roman" w:cs="Times New Roman"/>
        </w:rPr>
        <w:t xml:space="preserve">subsequent instalment </w:t>
      </w:r>
      <w:r w:rsidR="0038546F" w:rsidRPr="00142BB1">
        <w:rPr>
          <w:rFonts w:ascii="Times New Roman" w:hAnsi="Times New Roman" w:cs="Times New Roman"/>
        </w:rPr>
        <w:t xml:space="preserve">payments </w:t>
      </w:r>
      <w:r w:rsidRPr="00142BB1">
        <w:rPr>
          <w:rFonts w:ascii="Times New Roman" w:hAnsi="Times New Roman" w:cs="Times New Roman"/>
        </w:rPr>
        <w:t xml:space="preserve">must be paid on </w:t>
      </w:r>
      <w:r w:rsidR="0038546F" w:rsidRPr="00142BB1">
        <w:rPr>
          <w:rFonts w:ascii="Times New Roman" w:hAnsi="Times New Roman" w:cs="Times New Roman"/>
        </w:rPr>
        <w:t>the</w:t>
      </w:r>
      <w:r w:rsidRPr="00142BB1">
        <w:rPr>
          <w:rFonts w:ascii="Times New Roman" w:hAnsi="Times New Roman" w:cs="Times New Roman"/>
        </w:rPr>
        <w:t xml:space="preserve"> anniversary of the day the licence came into force.</w:t>
      </w:r>
    </w:p>
    <w:p w14:paraId="762F25E3" w14:textId="79B83944" w:rsidR="00446CB7" w:rsidRPr="00142BB1" w:rsidRDefault="00446CB7" w:rsidP="000C0589">
      <w:pPr>
        <w:keepNext/>
        <w:spacing w:line="257" w:lineRule="auto"/>
        <w:rPr>
          <w:rFonts w:ascii="Times New Roman" w:hAnsi="Times New Roman" w:cs="Times New Roman"/>
          <w:b/>
        </w:rPr>
      </w:pPr>
      <w:r w:rsidRPr="00142BB1">
        <w:rPr>
          <w:rFonts w:ascii="Times New Roman" w:hAnsi="Times New Roman" w:cs="Times New Roman"/>
          <w:b/>
        </w:rPr>
        <w:t xml:space="preserve">Section </w:t>
      </w:r>
      <w:r w:rsidR="00C625BD" w:rsidRPr="00142BB1">
        <w:rPr>
          <w:rFonts w:ascii="Times New Roman" w:hAnsi="Times New Roman" w:cs="Times New Roman"/>
          <w:b/>
        </w:rPr>
        <w:t>8</w:t>
      </w:r>
      <w:r w:rsidRPr="00142BB1">
        <w:rPr>
          <w:rFonts w:ascii="Times New Roman" w:hAnsi="Times New Roman" w:cs="Times New Roman"/>
          <w:b/>
        </w:rPr>
        <w:tab/>
      </w:r>
      <w:r w:rsidR="00F81F73" w:rsidRPr="00142BB1">
        <w:rPr>
          <w:rFonts w:ascii="Times New Roman" w:hAnsi="Times New Roman" w:cs="Times New Roman"/>
          <w:b/>
        </w:rPr>
        <w:t xml:space="preserve">Election </w:t>
      </w:r>
      <w:r w:rsidR="00C625BD" w:rsidRPr="00142BB1">
        <w:rPr>
          <w:rFonts w:ascii="Times New Roman" w:hAnsi="Times New Roman" w:cs="Times New Roman"/>
          <w:b/>
        </w:rPr>
        <w:t>– 20 GHz and 30 GHz Defence band spectrum licences</w:t>
      </w:r>
    </w:p>
    <w:p w14:paraId="09CD59DF" w14:textId="1D405C01" w:rsidR="00446CB7" w:rsidRPr="00142BB1" w:rsidRDefault="00301C7C" w:rsidP="00446CB7">
      <w:pPr>
        <w:rPr>
          <w:rFonts w:ascii="Times New Roman" w:hAnsi="Times New Roman" w:cs="Times New Roman"/>
        </w:rPr>
      </w:pPr>
      <w:r w:rsidRPr="00142BB1">
        <w:rPr>
          <w:rFonts w:ascii="Times New Roman" w:hAnsi="Times New Roman" w:cs="Times New Roman"/>
        </w:rPr>
        <w:t xml:space="preserve">Section </w:t>
      </w:r>
      <w:r w:rsidR="00C625BD" w:rsidRPr="00142BB1">
        <w:rPr>
          <w:rFonts w:ascii="Times New Roman" w:hAnsi="Times New Roman" w:cs="Times New Roman"/>
        </w:rPr>
        <w:t>8</w:t>
      </w:r>
      <w:r w:rsidRPr="00142BB1">
        <w:rPr>
          <w:rFonts w:ascii="Times New Roman" w:hAnsi="Times New Roman" w:cs="Times New Roman"/>
        </w:rPr>
        <w:t xml:space="preserve"> provides</w:t>
      </w:r>
      <w:r w:rsidR="009F39D8" w:rsidRPr="00142BB1">
        <w:rPr>
          <w:rFonts w:ascii="Times New Roman" w:hAnsi="Times New Roman" w:cs="Times New Roman"/>
        </w:rPr>
        <w:t xml:space="preserve"> </w:t>
      </w:r>
      <w:r w:rsidR="00B75CDF" w:rsidRPr="00142BB1">
        <w:rPr>
          <w:rFonts w:ascii="Times New Roman" w:hAnsi="Times New Roman" w:cs="Times New Roman"/>
        </w:rPr>
        <w:t xml:space="preserve">that </w:t>
      </w:r>
      <w:r w:rsidR="006B5BB7" w:rsidRPr="00142BB1">
        <w:rPr>
          <w:rFonts w:ascii="Times New Roman" w:hAnsi="Times New Roman" w:cs="Times New Roman"/>
        </w:rPr>
        <w:t>the licensee</w:t>
      </w:r>
      <w:r w:rsidR="00B75CDF" w:rsidRPr="00142BB1">
        <w:rPr>
          <w:rFonts w:ascii="Times New Roman" w:hAnsi="Times New Roman" w:cs="Times New Roman"/>
        </w:rPr>
        <w:t xml:space="preserve"> </w:t>
      </w:r>
      <w:r w:rsidR="002257E8" w:rsidRPr="00142BB1">
        <w:rPr>
          <w:rFonts w:ascii="Times New Roman" w:hAnsi="Times New Roman" w:cs="Times New Roman"/>
        </w:rPr>
        <w:t>may</w:t>
      </w:r>
      <w:r w:rsidR="009279A4" w:rsidRPr="00142BB1">
        <w:rPr>
          <w:rFonts w:ascii="Times New Roman" w:hAnsi="Times New Roman" w:cs="Times New Roman"/>
        </w:rPr>
        <w:t xml:space="preserve"> elect to pay</w:t>
      </w:r>
      <w:r w:rsidR="00CE5960" w:rsidRPr="00142BB1">
        <w:rPr>
          <w:rFonts w:ascii="Times New Roman" w:hAnsi="Times New Roman" w:cs="Times New Roman"/>
        </w:rPr>
        <w:t xml:space="preserve"> for</w:t>
      </w:r>
      <w:r w:rsidR="009279A4" w:rsidRPr="00142BB1">
        <w:rPr>
          <w:rFonts w:ascii="Times New Roman" w:hAnsi="Times New Roman" w:cs="Times New Roman"/>
        </w:rPr>
        <w:t xml:space="preserve"> the </w:t>
      </w:r>
      <w:r w:rsidR="00913361" w:rsidRPr="00142BB1">
        <w:rPr>
          <w:rFonts w:ascii="Times New Roman" w:hAnsi="Times New Roman" w:cs="Times New Roman"/>
        </w:rPr>
        <w:t>20 GHz Defence band spectrum licence</w:t>
      </w:r>
      <w:r w:rsidR="00936D60" w:rsidRPr="00142BB1">
        <w:rPr>
          <w:rFonts w:ascii="Times New Roman" w:hAnsi="Times New Roman" w:cs="Times New Roman"/>
        </w:rPr>
        <w:t xml:space="preserve"> </w:t>
      </w:r>
      <w:r w:rsidR="0038546F" w:rsidRPr="00142BB1">
        <w:rPr>
          <w:rFonts w:ascii="Times New Roman" w:hAnsi="Times New Roman" w:cs="Times New Roman"/>
        </w:rPr>
        <w:t>or</w:t>
      </w:r>
      <w:r w:rsidR="00936D60" w:rsidRPr="00142BB1">
        <w:rPr>
          <w:rFonts w:ascii="Times New Roman" w:hAnsi="Times New Roman" w:cs="Times New Roman"/>
        </w:rPr>
        <w:t xml:space="preserve"> the 30 GHz Defence band spectrum licence</w:t>
      </w:r>
      <w:r w:rsidR="009279A4" w:rsidRPr="00142BB1">
        <w:rPr>
          <w:rFonts w:ascii="Times New Roman" w:hAnsi="Times New Roman" w:cs="Times New Roman"/>
        </w:rPr>
        <w:t xml:space="preserve"> </w:t>
      </w:r>
      <w:r w:rsidR="0038546F" w:rsidRPr="00142BB1">
        <w:rPr>
          <w:rFonts w:ascii="Times New Roman" w:hAnsi="Times New Roman" w:cs="Times New Roman"/>
        </w:rPr>
        <w:t xml:space="preserve">(or both) </w:t>
      </w:r>
      <w:r w:rsidR="009279A4" w:rsidRPr="00142BB1">
        <w:rPr>
          <w:rFonts w:ascii="Times New Roman" w:hAnsi="Times New Roman" w:cs="Times New Roman"/>
        </w:rPr>
        <w:t>by instalments</w:t>
      </w:r>
      <w:r w:rsidR="0038546F" w:rsidRPr="00142BB1">
        <w:rPr>
          <w:rFonts w:ascii="Times New Roman" w:hAnsi="Times New Roman" w:cs="Times New Roman"/>
        </w:rPr>
        <w:t>,</w:t>
      </w:r>
      <w:r w:rsidR="009279A4" w:rsidRPr="00142BB1">
        <w:rPr>
          <w:rFonts w:ascii="Times New Roman" w:hAnsi="Times New Roman" w:cs="Times New Roman"/>
        </w:rPr>
        <w:t xml:space="preserve"> </w:t>
      </w:r>
      <w:r w:rsidR="0038546F" w:rsidRPr="00142BB1">
        <w:rPr>
          <w:rFonts w:ascii="Times New Roman" w:hAnsi="Times New Roman" w:cs="Times New Roman"/>
        </w:rPr>
        <w:t xml:space="preserve">subject to </w:t>
      </w:r>
      <w:r w:rsidR="009279A4" w:rsidRPr="00142BB1">
        <w:rPr>
          <w:rFonts w:ascii="Times New Roman" w:hAnsi="Times New Roman" w:cs="Times New Roman"/>
        </w:rPr>
        <w:t xml:space="preserve">providing </w:t>
      </w:r>
      <w:r w:rsidR="0038546F" w:rsidRPr="00142BB1">
        <w:rPr>
          <w:rFonts w:ascii="Times New Roman" w:hAnsi="Times New Roman" w:cs="Times New Roman"/>
        </w:rPr>
        <w:t xml:space="preserve">a </w:t>
      </w:r>
      <w:r w:rsidR="002257E8" w:rsidRPr="00142BB1">
        <w:rPr>
          <w:rFonts w:ascii="Times New Roman" w:hAnsi="Times New Roman" w:cs="Times New Roman"/>
        </w:rPr>
        <w:t>written notice to the ACMA</w:t>
      </w:r>
      <w:r w:rsidR="0038546F" w:rsidRPr="00142BB1">
        <w:rPr>
          <w:rFonts w:ascii="Times New Roman" w:hAnsi="Times New Roman" w:cs="Times New Roman"/>
        </w:rPr>
        <w:t xml:space="preserve"> that they wish to pay for the relevant spectrum licence by instalments and giving that notice to the ACMA</w:t>
      </w:r>
      <w:r w:rsidR="00B75CDF" w:rsidRPr="00142BB1">
        <w:rPr>
          <w:rFonts w:ascii="Times New Roman" w:hAnsi="Times New Roman" w:cs="Times New Roman"/>
        </w:rPr>
        <w:t xml:space="preserve"> </w:t>
      </w:r>
      <w:r w:rsidR="00484FB8" w:rsidRPr="00142BB1">
        <w:rPr>
          <w:rFonts w:ascii="Times New Roman" w:hAnsi="Times New Roman" w:cs="Times New Roman"/>
        </w:rPr>
        <w:t xml:space="preserve">before </w:t>
      </w:r>
      <w:r w:rsidR="0038546F" w:rsidRPr="00142BB1">
        <w:rPr>
          <w:rFonts w:ascii="Times New Roman" w:hAnsi="Times New Roman" w:cs="Times New Roman"/>
        </w:rPr>
        <w:t>5 April 2021</w:t>
      </w:r>
      <w:r w:rsidR="00484FB8" w:rsidRPr="00142BB1">
        <w:rPr>
          <w:rFonts w:ascii="Times New Roman" w:hAnsi="Times New Roman" w:cs="Times New Roman"/>
        </w:rPr>
        <w:t>.</w:t>
      </w:r>
    </w:p>
    <w:sectPr w:rsidR="00446CB7" w:rsidRPr="00142BB1" w:rsidSect="0008235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13956" w14:textId="77777777" w:rsidR="00A30B65" w:rsidRDefault="00A30B65" w:rsidP="00025ACE">
      <w:pPr>
        <w:spacing w:after="0" w:line="240" w:lineRule="auto"/>
      </w:pPr>
      <w:r>
        <w:separator/>
      </w:r>
    </w:p>
  </w:endnote>
  <w:endnote w:type="continuationSeparator" w:id="0">
    <w:p w14:paraId="558FACF0" w14:textId="77777777" w:rsidR="00A30B65" w:rsidRDefault="00A30B65" w:rsidP="00025ACE">
      <w:pPr>
        <w:spacing w:after="0" w:line="240" w:lineRule="auto"/>
      </w:pPr>
      <w:r>
        <w:continuationSeparator/>
      </w:r>
    </w:p>
  </w:endnote>
  <w:endnote w:type="continuationNotice" w:id="1">
    <w:p w14:paraId="1C523E72" w14:textId="77777777" w:rsidR="001B1C5E" w:rsidRDefault="001B1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2B1EDE3A" w:rsidR="00AD3414" w:rsidRDefault="00AD3414" w:rsidP="00AD3414">
        <w:pPr>
          <w:pStyle w:val="Footer"/>
          <w:pBdr>
            <w:top w:val="single" w:sz="4" w:space="1" w:color="auto"/>
          </w:pBdr>
          <w:jc w:val="center"/>
        </w:pPr>
      </w:p>
      <w:p w14:paraId="7A9CDA51" w14:textId="1ACABABB" w:rsidR="00AD3414" w:rsidRPr="0026091A" w:rsidRDefault="00AD3414" w:rsidP="00AD3414">
        <w:pPr>
          <w:pStyle w:val="Footer"/>
          <w:jc w:val="center"/>
          <w:rPr>
            <w:rFonts w:ascii="Times New Roman" w:hAnsi="Times New Roman" w:cs="Times New Roman"/>
            <w:i/>
          </w:rPr>
        </w:pPr>
        <w:r w:rsidRPr="00AD3414">
          <w:rPr>
            <w:rFonts w:ascii="Times New Roman" w:hAnsi="Times New Roman" w:cs="Times New Roman"/>
            <w:i/>
          </w:rPr>
          <w:t>Explanatory Statement to the</w:t>
        </w:r>
        <w:r w:rsidRPr="0026091A">
          <w:rPr>
            <w:rFonts w:ascii="Times New Roman" w:hAnsi="Times New Roman" w:cs="Times New Roman"/>
            <w:i/>
          </w:rPr>
          <w:t xml:space="preserve"> </w:t>
        </w:r>
        <w:r w:rsidR="0026091A" w:rsidRPr="0026091A">
          <w:rPr>
            <w:rFonts w:ascii="Times New Roman" w:hAnsi="Times New Roman" w:cs="Times New Roman"/>
            <w:i/>
          </w:rPr>
          <w:t>Radiocommunications (Spectrum Access Charges</w:t>
        </w:r>
        <w:r w:rsidR="0038546F">
          <w:rPr>
            <w:rFonts w:ascii="Times New Roman" w:hAnsi="Times New Roman" w:cs="Times New Roman"/>
            <w:i/>
          </w:rPr>
          <w:t> </w:t>
        </w:r>
        <w:r w:rsidR="0026091A" w:rsidRPr="0026091A">
          <w:rPr>
            <w:rFonts w:ascii="Times New Roman" w:hAnsi="Times New Roman" w:cs="Times New Roman"/>
            <w:i/>
          </w:rPr>
          <w:t>–</w:t>
        </w:r>
        <w:r w:rsidR="0038546F">
          <w:rPr>
            <w:rFonts w:ascii="Times New Roman" w:hAnsi="Times New Roman" w:cs="Times New Roman"/>
            <w:i/>
          </w:rPr>
          <w:t> </w:t>
        </w:r>
        <w:r w:rsidR="0026091A" w:rsidRPr="0026091A">
          <w:rPr>
            <w:rFonts w:ascii="Times New Roman" w:hAnsi="Times New Roman" w:cs="Times New Roman"/>
            <w:i/>
          </w:rPr>
          <w:t>20</w:t>
        </w:r>
        <w:r w:rsidR="0038546F">
          <w:rPr>
            <w:rFonts w:ascii="Times New Roman" w:hAnsi="Times New Roman" w:cs="Times New Roman"/>
            <w:i/>
          </w:rPr>
          <w:t> </w:t>
        </w:r>
        <w:r w:rsidR="0026091A" w:rsidRPr="0026091A">
          <w:rPr>
            <w:rFonts w:ascii="Times New Roman" w:hAnsi="Times New Roman" w:cs="Times New Roman"/>
            <w:i/>
          </w:rPr>
          <w:t>GHz and 30</w:t>
        </w:r>
        <w:r w:rsidR="00A5360B">
          <w:rPr>
            <w:rFonts w:ascii="Times New Roman" w:hAnsi="Times New Roman" w:cs="Times New Roman"/>
            <w:i/>
          </w:rPr>
          <w:t> </w:t>
        </w:r>
        <w:r w:rsidR="0026091A" w:rsidRPr="0026091A">
          <w:rPr>
            <w:rFonts w:ascii="Times New Roman" w:hAnsi="Times New Roman" w:cs="Times New Roman"/>
            <w:i/>
          </w:rPr>
          <w:t>GHz Bands)</w:t>
        </w:r>
        <w:r w:rsidR="0026091A">
          <w:rPr>
            <w:rFonts w:ascii="Times New Roman" w:hAnsi="Times New Roman" w:cs="Times New Roman"/>
            <w:i/>
          </w:rPr>
          <w:t xml:space="preserve"> </w:t>
        </w:r>
        <w:r w:rsidR="00E67D27" w:rsidRPr="00E67D27">
          <w:rPr>
            <w:rFonts w:ascii="Times New Roman" w:hAnsi="Times New Roman" w:cs="Times New Roman"/>
            <w:i/>
          </w:rPr>
          <w:t>Determination 2021</w:t>
        </w: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F99C3" w14:textId="77777777" w:rsidR="00A30B65" w:rsidRDefault="00A30B65" w:rsidP="00025ACE">
      <w:pPr>
        <w:spacing w:after="0" w:line="240" w:lineRule="auto"/>
      </w:pPr>
      <w:r>
        <w:separator/>
      </w:r>
    </w:p>
  </w:footnote>
  <w:footnote w:type="continuationSeparator" w:id="0">
    <w:p w14:paraId="226D36CC" w14:textId="77777777" w:rsidR="00A30B65" w:rsidRDefault="00A30B65" w:rsidP="00025ACE">
      <w:pPr>
        <w:spacing w:after="0" w:line="240" w:lineRule="auto"/>
      </w:pPr>
      <w:r>
        <w:continuationSeparator/>
      </w:r>
    </w:p>
  </w:footnote>
  <w:footnote w:type="continuationNotice" w:id="1">
    <w:p w14:paraId="11F00EE0" w14:textId="77777777" w:rsidR="001B1C5E" w:rsidRDefault="001B1C5E">
      <w:pPr>
        <w:spacing w:after="0" w:line="240" w:lineRule="auto"/>
      </w:pPr>
    </w:p>
  </w:footnote>
  <w:footnote w:id="2">
    <w:p w14:paraId="5329F7A1" w14:textId="3F52A66B" w:rsidR="0080621A" w:rsidRPr="00216FAD" w:rsidRDefault="0080621A">
      <w:pPr>
        <w:pStyle w:val="FootnoteText"/>
      </w:pPr>
      <w:r>
        <w:rPr>
          <w:rStyle w:val="FootnoteReference"/>
        </w:rPr>
        <w:footnoteRef/>
      </w:r>
      <w:r>
        <w:t xml:space="preserve"> </w:t>
      </w:r>
      <w:r w:rsidR="0048261C" w:rsidRPr="007B1D99">
        <w:rPr>
          <w:rFonts w:ascii="Times New Roman" w:hAnsi="Times New Roman" w:cs="Times New Roman"/>
          <w:sz w:val="18"/>
          <w:szCs w:val="18"/>
        </w:rPr>
        <w:t>The annual transmitter licence tax for Defence apparatus licences on an Australia-wide basis in the 20 GHz and 30 GHz b</w:t>
      </w:r>
      <w:r w:rsidR="00B63E33" w:rsidRPr="007B1D99">
        <w:rPr>
          <w:rFonts w:ascii="Times New Roman" w:hAnsi="Times New Roman" w:cs="Times New Roman"/>
          <w:sz w:val="18"/>
          <w:szCs w:val="18"/>
        </w:rPr>
        <w:t xml:space="preserve">and is set out in Table 202 of Schedule </w:t>
      </w:r>
      <w:r w:rsidR="002C7831" w:rsidRPr="007B1D99">
        <w:rPr>
          <w:rFonts w:ascii="Times New Roman" w:hAnsi="Times New Roman" w:cs="Times New Roman"/>
          <w:sz w:val="18"/>
          <w:szCs w:val="18"/>
        </w:rPr>
        <w:t xml:space="preserve">2 to the </w:t>
      </w:r>
      <w:r w:rsidR="002C7831" w:rsidRPr="007B1D99">
        <w:rPr>
          <w:rFonts w:ascii="Times New Roman" w:hAnsi="Times New Roman" w:cs="Times New Roman"/>
          <w:i/>
          <w:iCs/>
          <w:sz w:val="18"/>
          <w:szCs w:val="18"/>
        </w:rPr>
        <w:t xml:space="preserve">Radiocommunications (Transmitter Licence Tax) Determination </w:t>
      </w:r>
      <w:r w:rsidR="00216FAD" w:rsidRPr="007B1D99">
        <w:rPr>
          <w:rFonts w:ascii="Times New Roman" w:hAnsi="Times New Roman" w:cs="Times New Roman"/>
          <w:i/>
          <w:iCs/>
          <w:sz w:val="18"/>
          <w:szCs w:val="18"/>
        </w:rPr>
        <w:t>2015</w:t>
      </w:r>
      <w:r w:rsidR="00216FAD" w:rsidRPr="007B1D99">
        <w:rPr>
          <w:rFonts w:ascii="Times New Roman" w:hAnsi="Times New Roman" w:cs="Times New Roman"/>
          <w:sz w:val="18"/>
          <w:szCs w:val="18"/>
        </w:rPr>
        <w:t>.</w:t>
      </w:r>
    </w:p>
  </w:footnote>
  <w:footnote w:id="3">
    <w:p w14:paraId="690BEC70" w14:textId="33A64CE2" w:rsidR="007D7F7B" w:rsidRPr="00360920" w:rsidRDefault="007D7F7B">
      <w:pPr>
        <w:pStyle w:val="FootnoteText"/>
        <w:rPr>
          <w:rFonts w:ascii="Times New Roman" w:hAnsi="Times New Roman" w:cs="Times New Roman"/>
          <w:sz w:val="18"/>
          <w:szCs w:val="18"/>
        </w:rPr>
      </w:pPr>
      <w:r>
        <w:rPr>
          <w:rStyle w:val="FootnoteReference"/>
        </w:rPr>
        <w:footnoteRef/>
      </w:r>
      <w:r>
        <w:t xml:space="preserve"> </w:t>
      </w:r>
      <w:r w:rsidRPr="00360920">
        <w:rPr>
          <w:rFonts w:ascii="Times New Roman" w:hAnsi="Times New Roman" w:cs="Times New Roman"/>
          <w:sz w:val="18"/>
          <w:szCs w:val="18"/>
        </w:rPr>
        <w:t xml:space="preserve">This is the average rate for Commonwealth 10-year bonds for the period 4 January to 3 February </w:t>
      </w:r>
      <w:r w:rsidR="00FD5B65">
        <w:rPr>
          <w:rFonts w:ascii="Times New Roman" w:hAnsi="Times New Roman" w:cs="Times New Roman"/>
          <w:sz w:val="18"/>
          <w:szCs w:val="18"/>
        </w:rPr>
        <w:t xml:space="preserve">2021 </w:t>
      </w:r>
      <w:r w:rsidRPr="00360920">
        <w:rPr>
          <w:rFonts w:ascii="Times New Roman" w:hAnsi="Times New Roman" w:cs="Times New Roman"/>
          <w:sz w:val="18"/>
          <w:szCs w:val="18"/>
        </w:rPr>
        <w:t>and sourced from the RBA’s “Capital Market yield – Government Bonds – Daily F2” (https://www.rba.gov.au/statistics/tables/ and viewed 4 February 2021).</w:t>
      </w:r>
    </w:p>
  </w:footnote>
  <w:footnote w:id="4">
    <w:p w14:paraId="204E067E" w14:textId="401EF90E" w:rsidR="00AF03CD" w:rsidRDefault="00AF03CD">
      <w:pPr>
        <w:pStyle w:val="FootnoteText"/>
      </w:pPr>
      <w:r>
        <w:rPr>
          <w:rStyle w:val="FootnoteReference"/>
        </w:rPr>
        <w:footnoteRef/>
      </w:r>
      <w:r>
        <w:t xml:space="preserve"> </w:t>
      </w:r>
      <w:r w:rsidR="00B87A00" w:rsidRPr="007B1D99">
        <w:rPr>
          <w:rFonts w:ascii="Times New Roman" w:hAnsi="Times New Roman" w:cs="Times New Roman"/>
          <w:sz w:val="18"/>
          <w:szCs w:val="18"/>
        </w:rPr>
        <w:t>The Reserve Bank of Australia’s Statement on Monetary Policy</w:t>
      </w:r>
      <w:r w:rsidR="00E44C55" w:rsidRPr="007B1D99">
        <w:rPr>
          <w:rFonts w:ascii="Times New Roman" w:hAnsi="Times New Roman" w:cs="Times New Roman"/>
          <w:sz w:val="18"/>
          <w:szCs w:val="18"/>
        </w:rPr>
        <w:t xml:space="preserve"> – November 2020 (page 1) forecast an inflation rate of 1.5</w:t>
      </w:r>
      <w:r w:rsidR="00991CAA">
        <w:rPr>
          <w:rFonts w:ascii="Times New Roman" w:hAnsi="Times New Roman" w:cs="Times New Roman"/>
          <w:sz w:val="18"/>
          <w:szCs w:val="18"/>
        </w:rPr>
        <w:t> </w:t>
      </w:r>
      <w:r w:rsidR="00ED3D63" w:rsidRPr="007B1D99">
        <w:rPr>
          <w:rFonts w:ascii="Times New Roman" w:hAnsi="Times New Roman" w:cs="Times New Roman"/>
          <w:sz w:val="18"/>
          <w:szCs w:val="18"/>
        </w:rPr>
        <w:t>per 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020905"/>
    <w:multiLevelType w:val="hybridMultilevel"/>
    <w:tmpl w:val="E1A62E3A"/>
    <w:lvl w:ilvl="0" w:tplc="FA94A91C">
      <w:start w:val="1"/>
      <w:numFmt w:val="decimal"/>
      <w:lvlText w:val="%1."/>
      <w:lvlJc w:val="left"/>
      <w:pPr>
        <w:ind w:left="360" w:hanging="360"/>
      </w:pPr>
      <w:rPr>
        <w:rFonts w:ascii="Arial" w:hAnsi="Arial" w:cs="Arial" w:hint="default"/>
      </w:rPr>
    </w:lvl>
    <w:lvl w:ilvl="1" w:tplc="E9B8F2FA">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B63891"/>
    <w:multiLevelType w:val="hybridMultilevel"/>
    <w:tmpl w:val="9FCCCE6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522F2A8C"/>
    <w:multiLevelType w:val="hybridMultilevel"/>
    <w:tmpl w:val="E8CA16F2"/>
    <w:lvl w:ilvl="0" w:tplc="CC7A1916">
      <w:start w:val="9"/>
      <w:numFmt w:val="bullet"/>
      <w:lvlText w:val=""/>
      <w:lvlJc w:val="left"/>
      <w:pPr>
        <w:ind w:left="717" w:hanging="360"/>
      </w:pPr>
      <w:rPr>
        <w:rFonts w:ascii="Wingdings" w:eastAsiaTheme="minorHAnsi" w:hAnsi="Wingdings" w:cs="Times New Roman" w:hint="default"/>
        <w:i/>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5AA47C34"/>
    <w:multiLevelType w:val="hybridMultilevel"/>
    <w:tmpl w:val="5EFC3FB0"/>
    <w:lvl w:ilvl="0" w:tplc="FDD816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CC14DA"/>
    <w:multiLevelType w:val="hybridMultilevel"/>
    <w:tmpl w:val="F94C6FFE"/>
    <w:lvl w:ilvl="0" w:tplc="12468850">
      <w:start w:val="9"/>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723653"/>
    <w:multiLevelType w:val="hybridMultilevel"/>
    <w:tmpl w:val="BBFC277E"/>
    <w:lvl w:ilvl="0" w:tplc="84122894">
      <w:start w:val="1"/>
      <w:numFmt w:val="bullet"/>
      <w:lvlText w:val=""/>
      <w:lvlJc w:val="left"/>
      <w:pPr>
        <w:ind w:left="360" w:hanging="360"/>
      </w:pPr>
      <w:rPr>
        <w:rFonts w:ascii="Symbol" w:hAnsi="Symbo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58D3196"/>
    <w:multiLevelType w:val="hybridMultilevel"/>
    <w:tmpl w:val="179073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B5C41C6"/>
    <w:multiLevelType w:val="hybridMultilevel"/>
    <w:tmpl w:val="876E0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5"/>
  </w:num>
  <w:num w:numId="5">
    <w:abstractNumId w:val="4"/>
  </w:num>
  <w:num w:numId="6">
    <w:abstractNumId w:val="0"/>
  </w:num>
  <w:num w:numId="7">
    <w:abstractNumId w:val="2"/>
  </w:num>
  <w:num w:numId="8">
    <w:abstractNumId w:val="11"/>
  </w:num>
  <w:num w:numId="9">
    <w:abstractNumId w:val="1"/>
  </w:num>
  <w:num w:numId="10">
    <w:abstractNumId w:val="2"/>
  </w:num>
  <w:num w:numId="11">
    <w:abstractNumId w:val="5"/>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0"/>
  </w:num>
  <w:num w:numId="18">
    <w:abstractNumId w:val="9"/>
  </w:num>
  <w:num w:numId="19">
    <w:abstractNumId w:val="13"/>
  </w:num>
  <w:num w:numId="20">
    <w:abstractNumId w:val="1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2E55"/>
    <w:rsid w:val="00003720"/>
    <w:rsid w:val="00004D71"/>
    <w:rsid w:val="000124F9"/>
    <w:rsid w:val="00013079"/>
    <w:rsid w:val="00015402"/>
    <w:rsid w:val="000209E5"/>
    <w:rsid w:val="00025ACE"/>
    <w:rsid w:val="00025D14"/>
    <w:rsid w:val="00037995"/>
    <w:rsid w:val="00037F0E"/>
    <w:rsid w:val="00037FF4"/>
    <w:rsid w:val="00042D37"/>
    <w:rsid w:val="0004401A"/>
    <w:rsid w:val="00045983"/>
    <w:rsid w:val="000506C5"/>
    <w:rsid w:val="0005154A"/>
    <w:rsid w:val="00053437"/>
    <w:rsid w:val="00053E30"/>
    <w:rsid w:val="000543EB"/>
    <w:rsid w:val="00057B2C"/>
    <w:rsid w:val="00061D6A"/>
    <w:rsid w:val="00062093"/>
    <w:rsid w:val="000702D5"/>
    <w:rsid w:val="0007083B"/>
    <w:rsid w:val="00070D91"/>
    <w:rsid w:val="00071564"/>
    <w:rsid w:val="00072086"/>
    <w:rsid w:val="000726C7"/>
    <w:rsid w:val="000732EF"/>
    <w:rsid w:val="00074A8D"/>
    <w:rsid w:val="00074E1D"/>
    <w:rsid w:val="00075AC1"/>
    <w:rsid w:val="00082354"/>
    <w:rsid w:val="00084866"/>
    <w:rsid w:val="000857BD"/>
    <w:rsid w:val="00092443"/>
    <w:rsid w:val="00094F57"/>
    <w:rsid w:val="00095AB3"/>
    <w:rsid w:val="000966A9"/>
    <w:rsid w:val="00096DE2"/>
    <w:rsid w:val="000A3A94"/>
    <w:rsid w:val="000A7671"/>
    <w:rsid w:val="000B0185"/>
    <w:rsid w:val="000B0BA7"/>
    <w:rsid w:val="000B1017"/>
    <w:rsid w:val="000B33B6"/>
    <w:rsid w:val="000B4B6C"/>
    <w:rsid w:val="000B752C"/>
    <w:rsid w:val="000C0589"/>
    <w:rsid w:val="000C2F62"/>
    <w:rsid w:val="000C61DF"/>
    <w:rsid w:val="000C6436"/>
    <w:rsid w:val="000C7539"/>
    <w:rsid w:val="000D4ECE"/>
    <w:rsid w:val="000D6E9C"/>
    <w:rsid w:val="000E2970"/>
    <w:rsid w:val="000E38C9"/>
    <w:rsid w:val="000E444A"/>
    <w:rsid w:val="000E682E"/>
    <w:rsid w:val="000E6F58"/>
    <w:rsid w:val="000E7384"/>
    <w:rsid w:val="000F277A"/>
    <w:rsid w:val="000F5949"/>
    <w:rsid w:val="000F6255"/>
    <w:rsid w:val="000F64E6"/>
    <w:rsid w:val="000F7B4A"/>
    <w:rsid w:val="0010254A"/>
    <w:rsid w:val="00104130"/>
    <w:rsid w:val="00104299"/>
    <w:rsid w:val="00105F81"/>
    <w:rsid w:val="00110FD1"/>
    <w:rsid w:val="00112987"/>
    <w:rsid w:val="00114D88"/>
    <w:rsid w:val="00116819"/>
    <w:rsid w:val="00117351"/>
    <w:rsid w:val="00121B9E"/>
    <w:rsid w:val="00122072"/>
    <w:rsid w:val="00126314"/>
    <w:rsid w:val="00127264"/>
    <w:rsid w:val="00130EBB"/>
    <w:rsid w:val="0013205A"/>
    <w:rsid w:val="00134705"/>
    <w:rsid w:val="00137614"/>
    <w:rsid w:val="0014065F"/>
    <w:rsid w:val="00142BB1"/>
    <w:rsid w:val="00146A0C"/>
    <w:rsid w:val="001535EB"/>
    <w:rsid w:val="00153F85"/>
    <w:rsid w:val="0015528E"/>
    <w:rsid w:val="00156444"/>
    <w:rsid w:val="00161C73"/>
    <w:rsid w:val="0016316B"/>
    <w:rsid w:val="00166FC0"/>
    <w:rsid w:val="0016708D"/>
    <w:rsid w:val="00182102"/>
    <w:rsid w:val="00185BDC"/>
    <w:rsid w:val="0018645E"/>
    <w:rsid w:val="00193F30"/>
    <w:rsid w:val="001946BF"/>
    <w:rsid w:val="001979EE"/>
    <w:rsid w:val="001A09C7"/>
    <w:rsid w:val="001A562C"/>
    <w:rsid w:val="001A5E46"/>
    <w:rsid w:val="001B0E7A"/>
    <w:rsid w:val="001B0FB6"/>
    <w:rsid w:val="001B1C5E"/>
    <w:rsid w:val="001B2961"/>
    <w:rsid w:val="001B3AE1"/>
    <w:rsid w:val="001B3FF7"/>
    <w:rsid w:val="001B6498"/>
    <w:rsid w:val="001B7235"/>
    <w:rsid w:val="001C1EDF"/>
    <w:rsid w:val="001C1F3F"/>
    <w:rsid w:val="001C4A17"/>
    <w:rsid w:val="001C4BF8"/>
    <w:rsid w:val="001C5421"/>
    <w:rsid w:val="001C63F3"/>
    <w:rsid w:val="001D496B"/>
    <w:rsid w:val="001D5C25"/>
    <w:rsid w:val="001E0D9D"/>
    <w:rsid w:val="001E343E"/>
    <w:rsid w:val="001E3ADE"/>
    <w:rsid w:val="001F21A2"/>
    <w:rsid w:val="001F2B47"/>
    <w:rsid w:val="001F4564"/>
    <w:rsid w:val="001F457F"/>
    <w:rsid w:val="00203671"/>
    <w:rsid w:val="00207FD3"/>
    <w:rsid w:val="00212847"/>
    <w:rsid w:val="002128E3"/>
    <w:rsid w:val="00216075"/>
    <w:rsid w:val="00216FAD"/>
    <w:rsid w:val="0022112F"/>
    <w:rsid w:val="002257E8"/>
    <w:rsid w:val="00231735"/>
    <w:rsid w:val="00243D64"/>
    <w:rsid w:val="002508F7"/>
    <w:rsid w:val="00251DA1"/>
    <w:rsid w:val="00256C58"/>
    <w:rsid w:val="0026091A"/>
    <w:rsid w:val="002625D0"/>
    <w:rsid w:val="00263A84"/>
    <w:rsid w:val="00264F83"/>
    <w:rsid w:val="002674E7"/>
    <w:rsid w:val="002720E8"/>
    <w:rsid w:val="00277C28"/>
    <w:rsid w:val="0028635E"/>
    <w:rsid w:val="002879D9"/>
    <w:rsid w:val="00294617"/>
    <w:rsid w:val="002A268B"/>
    <w:rsid w:val="002A5803"/>
    <w:rsid w:val="002A592B"/>
    <w:rsid w:val="002A62B3"/>
    <w:rsid w:val="002B1819"/>
    <w:rsid w:val="002B3113"/>
    <w:rsid w:val="002B3DF5"/>
    <w:rsid w:val="002B5141"/>
    <w:rsid w:val="002B6699"/>
    <w:rsid w:val="002B7A43"/>
    <w:rsid w:val="002C0F84"/>
    <w:rsid w:val="002C2256"/>
    <w:rsid w:val="002C5071"/>
    <w:rsid w:val="002C537F"/>
    <w:rsid w:val="002C57EF"/>
    <w:rsid w:val="002C7831"/>
    <w:rsid w:val="002D4B19"/>
    <w:rsid w:val="002D6BEF"/>
    <w:rsid w:val="002E3B2A"/>
    <w:rsid w:val="002F072E"/>
    <w:rsid w:val="002F36E0"/>
    <w:rsid w:val="00301C7C"/>
    <w:rsid w:val="00304D64"/>
    <w:rsid w:val="00323A23"/>
    <w:rsid w:val="00323A3B"/>
    <w:rsid w:val="003258A4"/>
    <w:rsid w:val="003300D1"/>
    <w:rsid w:val="0033370E"/>
    <w:rsid w:val="0033440F"/>
    <w:rsid w:val="00334679"/>
    <w:rsid w:val="003359FB"/>
    <w:rsid w:val="00337BB3"/>
    <w:rsid w:val="003434D4"/>
    <w:rsid w:val="00343CE2"/>
    <w:rsid w:val="0035354B"/>
    <w:rsid w:val="00354967"/>
    <w:rsid w:val="00360920"/>
    <w:rsid w:val="003626FD"/>
    <w:rsid w:val="00363A85"/>
    <w:rsid w:val="003641DD"/>
    <w:rsid w:val="00365AFE"/>
    <w:rsid w:val="00366F51"/>
    <w:rsid w:val="0036752E"/>
    <w:rsid w:val="00370620"/>
    <w:rsid w:val="0037242D"/>
    <w:rsid w:val="003748F3"/>
    <w:rsid w:val="00375FA7"/>
    <w:rsid w:val="00380BCD"/>
    <w:rsid w:val="00382B38"/>
    <w:rsid w:val="0038546F"/>
    <w:rsid w:val="00385EF1"/>
    <w:rsid w:val="003911D2"/>
    <w:rsid w:val="003A3635"/>
    <w:rsid w:val="003A51A6"/>
    <w:rsid w:val="003A5BAC"/>
    <w:rsid w:val="003A7407"/>
    <w:rsid w:val="003A7540"/>
    <w:rsid w:val="003B05B2"/>
    <w:rsid w:val="003B3D92"/>
    <w:rsid w:val="003B75C0"/>
    <w:rsid w:val="003C2F82"/>
    <w:rsid w:val="003C44B4"/>
    <w:rsid w:val="003D0FD8"/>
    <w:rsid w:val="003D4089"/>
    <w:rsid w:val="003D72D7"/>
    <w:rsid w:val="003D74BE"/>
    <w:rsid w:val="003E233F"/>
    <w:rsid w:val="003E2A66"/>
    <w:rsid w:val="003E73F3"/>
    <w:rsid w:val="003F0716"/>
    <w:rsid w:val="003F2BD7"/>
    <w:rsid w:val="003F79A2"/>
    <w:rsid w:val="00402FE3"/>
    <w:rsid w:val="0041003E"/>
    <w:rsid w:val="00410599"/>
    <w:rsid w:val="00413BA2"/>
    <w:rsid w:val="004220D2"/>
    <w:rsid w:val="00431602"/>
    <w:rsid w:val="00433C6E"/>
    <w:rsid w:val="004362E3"/>
    <w:rsid w:val="00443166"/>
    <w:rsid w:val="004444C9"/>
    <w:rsid w:val="00445552"/>
    <w:rsid w:val="00446CB7"/>
    <w:rsid w:val="00450F48"/>
    <w:rsid w:val="0045489F"/>
    <w:rsid w:val="00455768"/>
    <w:rsid w:val="004650F2"/>
    <w:rsid w:val="00465218"/>
    <w:rsid w:val="0046703A"/>
    <w:rsid w:val="00470104"/>
    <w:rsid w:val="004741AB"/>
    <w:rsid w:val="00474889"/>
    <w:rsid w:val="00477A15"/>
    <w:rsid w:val="0048261C"/>
    <w:rsid w:val="004826DD"/>
    <w:rsid w:val="004844D1"/>
    <w:rsid w:val="00484FB8"/>
    <w:rsid w:val="00485EEE"/>
    <w:rsid w:val="004872FE"/>
    <w:rsid w:val="0049156B"/>
    <w:rsid w:val="00494387"/>
    <w:rsid w:val="00494EBE"/>
    <w:rsid w:val="00496417"/>
    <w:rsid w:val="00496DFF"/>
    <w:rsid w:val="004971D6"/>
    <w:rsid w:val="004A1064"/>
    <w:rsid w:val="004A11D2"/>
    <w:rsid w:val="004A1C91"/>
    <w:rsid w:val="004B7437"/>
    <w:rsid w:val="004C070C"/>
    <w:rsid w:val="004C0727"/>
    <w:rsid w:val="004C0F80"/>
    <w:rsid w:val="004C7EC3"/>
    <w:rsid w:val="004D013A"/>
    <w:rsid w:val="004D2462"/>
    <w:rsid w:val="004D2843"/>
    <w:rsid w:val="004D3F13"/>
    <w:rsid w:val="004D46D0"/>
    <w:rsid w:val="004D5FDE"/>
    <w:rsid w:val="004D77D4"/>
    <w:rsid w:val="004D79B6"/>
    <w:rsid w:val="004E35E8"/>
    <w:rsid w:val="004E37E7"/>
    <w:rsid w:val="004E790E"/>
    <w:rsid w:val="004E7E50"/>
    <w:rsid w:val="004F174D"/>
    <w:rsid w:val="004F1BA3"/>
    <w:rsid w:val="004F5752"/>
    <w:rsid w:val="004F7BE5"/>
    <w:rsid w:val="0050389F"/>
    <w:rsid w:val="00505346"/>
    <w:rsid w:val="0051366C"/>
    <w:rsid w:val="00522AD6"/>
    <w:rsid w:val="00525016"/>
    <w:rsid w:val="00525966"/>
    <w:rsid w:val="0052687A"/>
    <w:rsid w:val="00527793"/>
    <w:rsid w:val="0053137D"/>
    <w:rsid w:val="005315B7"/>
    <w:rsid w:val="0053201F"/>
    <w:rsid w:val="00533A6D"/>
    <w:rsid w:val="00534E41"/>
    <w:rsid w:val="00542763"/>
    <w:rsid w:val="00542C3D"/>
    <w:rsid w:val="005463CA"/>
    <w:rsid w:val="0055186A"/>
    <w:rsid w:val="00553616"/>
    <w:rsid w:val="00553727"/>
    <w:rsid w:val="00560175"/>
    <w:rsid w:val="00562B9B"/>
    <w:rsid w:val="005643F0"/>
    <w:rsid w:val="00570974"/>
    <w:rsid w:val="00570F4B"/>
    <w:rsid w:val="00572ABA"/>
    <w:rsid w:val="00576D7D"/>
    <w:rsid w:val="005843F4"/>
    <w:rsid w:val="00584A41"/>
    <w:rsid w:val="005907D8"/>
    <w:rsid w:val="005923B6"/>
    <w:rsid w:val="005938F4"/>
    <w:rsid w:val="005958D6"/>
    <w:rsid w:val="00595A6A"/>
    <w:rsid w:val="005964CF"/>
    <w:rsid w:val="005973C8"/>
    <w:rsid w:val="005A1AEA"/>
    <w:rsid w:val="005A5122"/>
    <w:rsid w:val="005B3CDF"/>
    <w:rsid w:val="005C0317"/>
    <w:rsid w:val="005C064D"/>
    <w:rsid w:val="005C591E"/>
    <w:rsid w:val="005C65EB"/>
    <w:rsid w:val="005D20CB"/>
    <w:rsid w:val="005D33DC"/>
    <w:rsid w:val="005D6B2C"/>
    <w:rsid w:val="005E1F97"/>
    <w:rsid w:val="005E2992"/>
    <w:rsid w:val="005E2FD8"/>
    <w:rsid w:val="005F57D9"/>
    <w:rsid w:val="005F5BE6"/>
    <w:rsid w:val="005F6CCE"/>
    <w:rsid w:val="00600104"/>
    <w:rsid w:val="00603B3F"/>
    <w:rsid w:val="00612060"/>
    <w:rsid w:val="00613505"/>
    <w:rsid w:val="006157D4"/>
    <w:rsid w:val="0062143B"/>
    <w:rsid w:val="00631608"/>
    <w:rsid w:val="00631C2C"/>
    <w:rsid w:val="00635151"/>
    <w:rsid w:val="00635690"/>
    <w:rsid w:val="00641906"/>
    <w:rsid w:val="00642DE1"/>
    <w:rsid w:val="00645AF4"/>
    <w:rsid w:val="00646C84"/>
    <w:rsid w:val="00650466"/>
    <w:rsid w:val="0065063C"/>
    <w:rsid w:val="00653010"/>
    <w:rsid w:val="006547BA"/>
    <w:rsid w:val="00663AF2"/>
    <w:rsid w:val="006643C5"/>
    <w:rsid w:val="00670716"/>
    <w:rsid w:val="00671216"/>
    <w:rsid w:val="00671AA6"/>
    <w:rsid w:val="00672E43"/>
    <w:rsid w:val="00674C41"/>
    <w:rsid w:val="00676BEB"/>
    <w:rsid w:val="00681986"/>
    <w:rsid w:val="006848A9"/>
    <w:rsid w:val="00686F06"/>
    <w:rsid w:val="00687290"/>
    <w:rsid w:val="006904A1"/>
    <w:rsid w:val="00693B16"/>
    <w:rsid w:val="006940DB"/>
    <w:rsid w:val="00695F1F"/>
    <w:rsid w:val="00696659"/>
    <w:rsid w:val="006A0BDF"/>
    <w:rsid w:val="006A15F3"/>
    <w:rsid w:val="006A3345"/>
    <w:rsid w:val="006A3D42"/>
    <w:rsid w:val="006A53BB"/>
    <w:rsid w:val="006A713E"/>
    <w:rsid w:val="006B3C52"/>
    <w:rsid w:val="006B5BB7"/>
    <w:rsid w:val="006B5E2F"/>
    <w:rsid w:val="006C4A7F"/>
    <w:rsid w:val="006C4DBB"/>
    <w:rsid w:val="006C59D5"/>
    <w:rsid w:val="006C6C81"/>
    <w:rsid w:val="006D2279"/>
    <w:rsid w:val="006D4ECF"/>
    <w:rsid w:val="006D69FD"/>
    <w:rsid w:val="006D7BBF"/>
    <w:rsid w:val="006E24E8"/>
    <w:rsid w:val="006E3F1C"/>
    <w:rsid w:val="006F32BF"/>
    <w:rsid w:val="006F4562"/>
    <w:rsid w:val="00700833"/>
    <w:rsid w:val="00701622"/>
    <w:rsid w:val="00702588"/>
    <w:rsid w:val="00703794"/>
    <w:rsid w:val="0070600F"/>
    <w:rsid w:val="00706F43"/>
    <w:rsid w:val="00711085"/>
    <w:rsid w:val="0071124F"/>
    <w:rsid w:val="0072448F"/>
    <w:rsid w:val="00731981"/>
    <w:rsid w:val="007339F9"/>
    <w:rsid w:val="00742768"/>
    <w:rsid w:val="0074661C"/>
    <w:rsid w:val="007477D7"/>
    <w:rsid w:val="00750397"/>
    <w:rsid w:val="00752122"/>
    <w:rsid w:val="0075346F"/>
    <w:rsid w:val="007616FF"/>
    <w:rsid w:val="0076247B"/>
    <w:rsid w:val="007628E8"/>
    <w:rsid w:val="00763041"/>
    <w:rsid w:val="0076378D"/>
    <w:rsid w:val="00766475"/>
    <w:rsid w:val="007721AB"/>
    <w:rsid w:val="00772262"/>
    <w:rsid w:val="0077364D"/>
    <w:rsid w:val="007770D3"/>
    <w:rsid w:val="007905CA"/>
    <w:rsid w:val="00793AB8"/>
    <w:rsid w:val="00794C5F"/>
    <w:rsid w:val="007A0103"/>
    <w:rsid w:val="007A2277"/>
    <w:rsid w:val="007A2974"/>
    <w:rsid w:val="007A69CD"/>
    <w:rsid w:val="007B02BF"/>
    <w:rsid w:val="007B1D99"/>
    <w:rsid w:val="007B2F16"/>
    <w:rsid w:val="007B4095"/>
    <w:rsid w:val="007C151F"/>
    <w:rsid w:val="007C388C"/>
    <w:rsid w:val="007C41E4"/>
    <w:rsid w:val="007C509C"/>
    <w:rsid w:val="007C66FE"/>
    <w:rsid w:val="007D00E1"/>
    <w:rsid w:val="007D230A"/>
    <w:rsid w:val="007D5072"/>
    <w:rsid w:val="007D6664"/>
    <w:rsid w:val="007D7D9A"/>
    <w:rsid w:val="007D7F7B"/>
    <w:rsid w:val="007E133D"/>
    <w:rsid w:val="007E202E"/>
    <w:rsid w:val="007E32F5"/>
    <w:rsid w:val="007E4935"/>
    <w:rsid w:val="007E557E"/>
    <w:rsid w:val="007E7F09"/>
    <w:rsid w:val="007F4C8F"/>
    <w:rsid w:val="007F6C79"/>
    <w:rsid w:val="008036D0"/>
    <w:rsid w:val="00805358"/>
    <w:rsid w:val="0080621A"/>
    <w:rsid w:val="008070A8"/>
    <w:rsid w:val="00810499"/>
    <w:rsid w:val="0081166D"/>
    <w:rsid w:val="00811EA7"/>
    <w:rsid w:val="0081203C"/>
    <w:rsid w:val="00812159"/>
    <w:rsid w:val="00813BFF"/>
    <w:rsid w:val="00821F3F"/>
    <w:rsid w:val="00833159"/>
    <w:rsid w:val="00833B7B"/>
    <w:rsid w:val="00834D6F"/>
    <w:rsid w:val="0083675B"/>
    <w:rsid w:val="00841AD6"/>
    <w:rsid w:val="008435F0"/>
    <w:rsid w:val="008441CF"/>
    <w:rsid w:val="0084470A"/>
    <w:rsid w:val="00864FDB"/>
    <w:rsid w:val="00872F4D"/>
    <w:rsid w:val="0087707C"/>
    <w:rsid w:val="008776D5"/>
    <w:rsid w:val="008837FE"/>
    <w:rsid w:val="00892BFC"/>
    <w:rsid w:val="00893650"/>
    <w:rsid w:val="008956D9"/>
    <w:rsid w:val="008957D9"/>
    <w:rsid w:val="008A1FDF"/>
    <w:rsid w:val="008A3062"/>
    <w:rsid w:val="008A3EE8"/>
    <w:rsid w:val="008A5676"/>
    <w:rsid w:val="008A5CFD"/>
    <w:rsid w:val="008A5E3C"/>
    <w:rsid w:val="008A7524"/>
    <w:rsid w:val="008B6E0D"/>
    <w:rsid w:val="008C2316"/>
    <w:rsid w:val="008C584E"/>
    <w:rsid w:val="008D13F3"/>
    <w:rsid w:val="008D231C"/>
    <w:rsid w:val="008D34FA"/>
    <w:rsid w:val="008D7725"/>
    <w:rsid w:val="008D7D33"/>
    <w:rsid w:val="008E1717"/>
    <w:rsid w:val="008E3483"/>
    <w:rsid w:val="008F3241"/>
    <w:rsid w:val="008F3627"/>
    <w:rsid w:val="008F39A6"/>
    <w:rsid w:val="008F411C"/>
    <w:rsid w:val="008F4C58"/>
    <w:rsid w:val="008F6A1D"/>
    <w:rsid w:val="008F6BF8"/>
    <w:rsid w:val="0090572C"/>
    <w:rsid w:val="0091080B"/>
    <w:rsid w:val="00912737"/>
    <w:rsid w:val="00912FD9"/>
    <w:rsid w:val="00913361"/>
    <w:rsid w:val="00913528"/>
    <w:rsid w:val="00916E49"/>
    <w:rsid w:val="009219F6"/>
    <w:rsid w:val="00922C4E"/>
    <w:rsid w:val="00922E42"/>
    <w:rsid w:val="00925092"/>
    <w:rsid w:val="00926833"/>
    <w:rsid w:val="009279A4"/>
    <w:rsid w:val="00927F82"/>
    <w:rsid w:val="009308CD"/>
    <w:rsid w:val="00936D60"/>
    <w:rsid w:val="00952B4D"/>
    <w:rsid w:val="0095456E"/>
    <w:rsid w:val="009547D1"/>
    <w:rsid w:val="00955E47"/>
    <w:rsid w:val="009563DA"/>
    <w:rsid w:val="00957BB4"/>
    <w:rsid w:val="009670B7"/>
    <w:rsid w:val="00967ACF"/>
    <w:rsid w:val="00967C21"/>
    <w:rsid w:val="009723D1"/>
    <w:rsid w:val="009732C1"/>
    <w:rsid w:val="009737A3"/>
    <w:rsid w:val="00975B0F"/>
    <w:rsid w:val="00977705"/>
    <w:rsid w:val="00981EC1"/>
    <w:rsid w:val="009837AB"/>
    <w:rsid w:val="00985818"/>
    <w:rsid w:val="00991CAA"/>
    <w:rsid w:val="0099240C"/>
    <w:rsid w:val="009A2B76"/>
    <w:rsid w:val="009A3BCA"/>
    <w:rsid w:val="009A5494"/>
    <w:rsid w:val="009A75EA"/>
    <w:rsid w:val="009B2E6B"/>
    <w:rsid w:val="009B3195"/>
    <w:rsid w:val="009B358C"/>
    <w:rsid w:val="009B4E0A"/>
    <w:rsid w:val="009B6BB7"/>
    <w:rsid w:val="009B71C6"/>
    <w:rsid w:val="009C01DE"/>
    <w:rsid w:val="009C02AD"/>
    <w:rsid w:val="009C115F"/>
    <w:rsid w:val="009C4567"/>
    <w:rsid w:val="009C4AD3"/>
    <w:rsid w:val="009C6873"/>
    <w:rsid w:val="009C6F93"/>
    <w:rsid w:val="009C7A13"/>
    <w:rsid w:val="009D5783"/>
    <w:rsid w:val="009D67A8"/>
    <w:rsid w:val="009F1610"/>
    <w:rsid w:val="009F279C"/>
    <w:rsid w:val="009F39D8"/>
    <w:rsid w:val="009F4613"/>
    <w:rsid w:val="009F7219"/>
    <w:rsid w:val="00A010E4"/>
    <w:rsid w:val="00A0624D"/>
    <w:rsid w:val="00A07A2F"/>
    <w:rsid w:val="00A213A8"/>
    <w:rsid w:val="00A21F39"/>
    <w:rsid w:val="00A21F3E"/>
    <w:rsid w:val="00A30B65"/>
    <w:rsid w:val="00A319B8"/>
    <w:rsid w:val="00A335AA"/>
    <w:rsid w:val="00A36D90"/>
    <w:rsid w:val="00A40623"/>
    <w:rsid w:val="00A428E5"/>
    <w:rsid w:val="00A42C3D"/>
    <w:rsid w:val="00A5360B"/>
    <w:rsid w:val="00A54E8A"/>
    <w:rsid w:val="00A610A5"/>
    <w:rsid w:val="00A61999"/>
    <w:rsid w:val="00A63E87"/>
    <w:rsid w:val="00A64EC4"/>
    <w:rsid w:val="00A7023B"/>
    <w:rsid w:val="00A75822"/>
    <w:rsid w:val="00A75C22"/>
    <w:rsid w:val="00A76845"/>
    <w:rsid w:val="00A81E32"/>
    <w:rsid w:val="00A92E07"/>
    <w:rsid w:val="00A93671"/>
    <w:rsid w:val="00A94B0F"/>
    <w:rsid w:val="00AA100F"/>
    <w:rsid w:val="00AA295A"/>
    <w:rsid w:val="00AA3432"/>
    <w:rsid w:val="00AA4847"/>
    <w:rsid w:val="00AA6088"/>
    <w:rsid w:val="00AA6E4B"/>
    <w:rsid w:val="00AB65E7"/>
    <w:rsid w:val="00AC12AE"/>
    <w:rsid w:val="00AC3A17"/>
    <w:rsid w:val="00AC5B0D"/>
    <w:rsid w:val="00AC6E51"/>
    <w:rsid w:val="00AC6E83"/>
    <w:rsid w:val="00AD06F9"/>
    <w:rsid w:val="00AD3414"/>
    <w:rsid w:val="00AD500F"/>
    <w:rsid w:val="00AD6696"/>
    <w:rsid w:val="00AD71A7"/>
    <w:rsid w:val="00AD7A30"/>
    <w:rsid w:val="00AE04A5"/>
    <w:rsid w:val="00AE11CC"/>
    <w:rsid w:val="00AE2CB4"/>
    <w:rsid w:val="00AE6898"/>
    <w:rsid w:val="00AE72F4"/>
    <w:rsid w:val="00AF03CD"/>
    <w:rsid w:val="00AF080D"/>
    <w:rsid w:val="00AF1F06"/>
    <w:rsid w:val="00AF31C9"/>
    <w:rsid w:val="00AF3504"/>
    <w:rsid w:val="00AF3FD1"/>
    <w:rsid w:val="00AF6545"/>
    <w:rsid w:val="00B00135"/>
    <w:rsid w:val="00B00FC3"/>
    <w:rsid w:val="00B02138"/>
    <w:rsid w:val="00B0314D"/>
    <w:rsid w:val="00B0391A"/>
    <w:rsid w:val="00B05E71"/>
    <w:rsid w:val="00B10C6D"/>
    <w:rsid w:val="00B1297C"/>
    <w:rsid w:val="00B17253"/>
    <w:rsid w:val="00B20156"/>
    <w:rsid w:val="00B20E8D"/>
    <w:rsid w:val="00B222E6"/>
    <w:rsid w:val="00B22E22"/>
    <w:rsid w:val="00B232A9"/>
    <w:rsid w:val="00B23D8F"/>
    <w:rsid w:val="00B26BF4"/>
    <w:rsid w:val="00B270B6"/>
    <w:rsid w:val="00B327BF"/>
    <w:rsid w:val="00B34456"/>
    <w:rsid w:val="00B37721"/>
    <w:rsid w:val="00B40AE7"/>
    <w:rsid w:val="00B46C75"/>
    <w:rsid w:val="00B476D4"/>
    <w:rsid w:val="00B52584"/>
    <w:rsid w:val="00B52F5E"/>
    <w:rsid w:val="00B53F35"/>
    <w:rsid w:val="00B549A1"/>
    <w:rsid w:val="00B54B52"/>
    <w:rsid w:val="00B55BF9"/>
    <w:rsid w:val="00B57E09"/>
    <w:rsid w:val="00B6026A"/>
    <w:rsid w:val="00B6070D"/>
    <w:rsid w:val="00B63E33"/>
    <w:rsid w:val="00B66580"/>
    <w:rsid w:val="00B665E6"/>
    <w:rsid w:val="00B66EF3"/>
    <w:rsid w:val="00B67931"/>
    <w:rsid w:val="00B71255"/>
    <w:rsid w:val="00B72522"/>
    <w:rsid w:val="00B72734"/>
    <w:rsid w:val="00B727F3"/>
    <w:rsid w:val="00B737E0"/>
    <w:rsid w:val="00B75CDF"/>
    <w:rsid w:val="00B80459"/>
    <w:rsid w:val="00B804B6"/>
    <w:rsid w:val="00B81721"/>
    <w:rsid w:val="00B84807"/>
    <w:rsid w:val="00B86C46"/>
    <w:rsid w:val="00B87A00"/>
    <w:rsid w:val="00B90F17"/>
    <w:rsid w:val="00B911ED"/>
    <w:rsid w:val="00B94B30"/>
    <w:rsid w:val="00B9509A"/>
    <w:rsid w:val="00B952DE"/>
    <w:rsid w:val="00B97709"/>
    <w:rsid w:val="00BA021D"/>
    <w:rsid w:val="00BA02B2"/>
    <w:rsid w:val="00BA11A8"/>
    <w:rsid w:val="00BA310C"/>
    <w:rsid w:val="00BA48C5"/>
    <w:rsid w:val="00BA54ED"/>
    <w:rsid w:val="00BA7D17"/>
    <w:rsid w:val="00BB03F6"/>
    <w:rsid w:val="00BB076E"/>
    <w:rsid w:val="00BB1C13"/>
    <w:rsid w:val="00BB1CF2"/>
    <w:rsid w:val="00BB2D8E"/>
    <w:rsid w:val="00BB7A25"/>
    <w:rsid w:val="00BC0A3C"/>
    <w:rsid w:val="00BC37DE"/>
    <w:rsid w:val="00BC5916"/>
    <w:rsid w:val="00BC621F"/>
    <w:rsid w:val="00BD36A4"/>
    <w:rsid w:val="00BD3A77"/>
    <w:rsid w:val="00BE0DFF"/>
    <w:rsid w:val="00BE504A"/>
    <w:rsid w:val="00BF386E"/>
    <w:rsid w:val="00C032F0"/>
    <w:rsid w:val="00C03503"/>
    <w:rsid w:val="00C047DE"/>
    <w:rsid w:val="00C062B4"/>
    <w:rsid w:val="00C06F27"/>
    <w:rsid w:val="00C07C35"/>
    <w:rsid w:val="00C10E3A"/>
    <w:rsid w:val="00C1272F"/>
    <w:rsid w:val="00C12768"/>
    <w:rsid w:val="00C14388"/>
    <w:rsid w:val="00C1775E"/>
    <w:rsid w:val="00C20621"/>
    <w:rsid w:val="00C21933"/>
    <w:rsid w:val="00C26895"/>
    <w:rsid w:val="00C30B59"/>
    <w:rsid w:val="00C34C82"/>
    <w:rsid w:val="00C41F02"/>
    <w:rsid w:val="00C42ECE"/>
    <w:rsid w:val="00C46310"/>
    <w:rsid w:val="00C46A04"/>
    <w:rsid w:val="00C474BE"/>
    <w:rsid w:val="00C52681"/>
    <w:rsid w:val="00C52E80"/>
    <w:rsid w:val="00C549F1"/>
    <w:rsid w:val="00C57E29"/>
    <w:rsid w:val="00C625BD"/>
    <w:rsid w:val="00C63775"/>
    <w:rsid w:val="00C63E8C"/>
    <w:rsid w:val="00C659A7"/>
    <w:rsid w:val="00C70F07"/>
    <w:rsid w:val="00C72E8A"/>
    <w:rsid w:val="00C74A3A"/>
    <w:rsid w:val="00C7673C"/>
    <w:rsid w:val="00C7675F"/>
    <w:rsid w:val="00C76FFC"/>
    <w:rsid w:val="00C90C08"/>
    <w:rsid w:val="00C9259F"/>
    <w:rsid w:val="00C962AB"/>
    <w:rsid w:val="00C978DB"/>
    <w:rsid w:val="00CA053E"/>
    <w:rsid w:val="00CA31FD"/>
    <w:rsid w:val="00CA3398"/>
    <w:rsid w:val="00CA40FA"/>
    <w:rsid w:val="00CA4A24"/>
    <w:rsid w:val="00CA6926"/>
    <w:rsid w:val="00CA735C"/>
    <w:rsid w:val="00CB3AD5"/>
    <w:rsid w:val="00CC199C"/>
    <w:rsid w:val="00CC39F6"/>
    <w:rsid w:val="00CC66F3"/>
    <w:rsid w:val="00CD0082"/>
    <w:rsid w:val="00CD0D86"/>
    <w:rsid w:val="00CD1AD7"/>
    <w:rsid w:val="00CD2FA3"/>
    <w:rsid w:val="00CD4E54"/>
    <w:rsid w:val="00CD71EB"/>
    <w:rsid w:val="00CD72C6"/>
    <w:rsid w:val="00CD74DF"/>
    <w:rsid w:val="00CE3CC8"/>
    <w:rsid w:val="00CE3ED7"/>
    <w:rsid w:val="00CE5861"/>
    <w:rsid w:val="00CE5879"/>
    <w:rsid w:val="00CE5960"/>
    <w:rsid w:val="00CE6E26"/>
    <w:rsid w:val="00CF1E11"/>
    <w:rsid w:val="00CF37E0"/>
    <w:rsid w:val="00CF58A4"/>
    <w:rsid w:val="00D018E3"/>
    <w:rsid w:val="00D05E56"/>
    <w:rsid w:val="00D0615E"/>
    <w:rsid w:val="00D10356"/>
    <w:rsid w:val="00D10BBA"/>
    <w:rsid w:val="00D13D39"/>
    <w:rsid w:val="00D20071"/>
    <w:rsid w:val="00D20241"/>
    <w:rsid w:val="00D22088"/>
    <w:rsid w:val="00D230B5"/>
    <w:rsid w:val="00D23BD5"/>
    <w:rsid w:val="00D23C11"/>
    <w:rsid w:val="00D2518B"/>
    <w:rsid w:val="00D3126A"/>
    <w:rsid w:val="00D32E4E"/>
    <w:rsid w:val="00D35790"/>
    <w:rsid w:val="00D3589A"/>
    <w:rsid w:val="00D41959"/>
    <w:rsid w:val="00D42567"/>
    <w:rsid w:val="00D4435F"/>
    <w:rsid w:val="00D51087"/>
    <w:rsid w:val="00D5385A"/>
    <w:rsid w:val="00D546D2"/>
    <w:rsid w:val="00D57387"/>
    <w:rsid w:val="00D600BA"/>
    <w:rsid w:val="00D6202E"/>
    <w:rsid w:val="00D6628D"/>
    <w:rsid w:val="00D74E85"/>
    <w:rsid w:val="00D924E6"/>
    <w:rsid w:val="00D92AEC"/>
    <w:rsid w:val="00D9323A"/>
    <w:rsid w:val="00D93415"/>
    <w:rsid w:val="00D94F0F"/>
    <w:rsid w:val="00DA060F"/>
    <w:rsid w:val="00DA0D39"/>
    <w:rsid w:val="00DA537B"/>
    <w:rsid w:val="00DB184C"/>
    <w:rsid w:val="00DB4A50"/>
    <w:rsid w:val="00DB5028"/>
    <w:rsid w:val="00DB70B4"/>
    <w:rsid w:val="00DC2F20"/>
    <w:rsid w:val="00DD373C"/>
    <w:rsid w:val="00DE2430"/>
    <w:rsid w:val="00DE7943"/>
    <w:rsid w:val="00DF2758"/>
    <w:rsid w:val="00DF3C2B"/>
    <w:rsid w:val="00DF4597"/>
    <w:rsid w:val="00DF6039"/>
    <w:rsid w:val="00DF649D"/>
    <w:rsid w:val="00DF6FA4"/>
    <w:rsid w:val="00E015E3"/>
    <w:rsid w:val="00E05E6C"/>
    <w:rsid w:val="00E110AE"/>
    <w:rsid w:val="00E12587"/>
    <w:rsid w:val="00E23FED"/>
    <w:rsid w:val="00E25588"/>
    <w:rsid w:val="00E35215"/>
    <w:rsid w:val="00E410F5"/>
    <w:rsid w:val="00E4285E"/>
    <w:rsid w:val="00E44C55"/>
    <w:rsid w:val="00E50B2B"/>
    <w:rsid w:val="00E54BAD"/>
    <w:rsid w:val="00E57EE4"/>
    <w:rsid w:val="00E60510"/>
    <w:rsid w:val="00E614E2"/>
    <w:rsid w:val="00E617AD"/>
    <w:rsid w:val="00E64AFE"/>
    <w:rsid w:val="00E65B00"/>
    <w:rsid w:val="00E6640A"/>
    <w:rsid w:val="00E67D27"/>
    <w:rsid w:val="00E833DA"/>
    <w:rsid w:val="00E83FB4"/>
    <w:rsid w:val="00E84E57"/>
    <w:rsid w:val="00E85599"/>
    <w:rsid w:val="00E92203"/>
    <w:rsid w:val="00EA0148"/>
    <w:rsid w:val="00EA30DA"/>
    <w:rsid w:val="00EA3644"/>
    <w:rsid w:val="00EA490F"/>
    <w:rsid w:val="00EA7C17"/>
    <w:rsid w:val="00EB0C79"/>
    <w:rsid w:val="00EB442D"/>
    <w:rsid w:val="00EC468B"/>
    <w:rsid w:val="00EC54C3"/>
    <w:rsid w:val="00EC76A0"/>
    <w:rsid w:val="00EC7B14"/>
    <w:rsid w:val="00ED1EFA"/>
    <w:rsid w:val="00ED3D63"/>
    <w:rsid w:val="00ED5BA7"/>
    <w:rsid w:val="00EE5E7F"/>
    <w:rsid w:val="00EE739A"/>
    <w:rsid w:val="00EE7AB0"/>
    <w:rsid w:val="00EF293B"/>
    <w:rsid w:val="00EF3952"/>
    <w:rsid w:val="00EF7BFE"/>
    <w:rsid w:val="00EF7FE5"/>
    <w:rsid w:val="00F20546"/>
    <w:rsid w:val="00F206CE"/>
    <w:rsid w:val="00F22BFF"/>
    <w:rsid w:val="00F23743"/>
    <w:rsid w:val="00F25262"/>
    <w:rsid w:val="00F31C01"/>
    <w:rsid w:val="00F33BD8"/>
    <w:rsid w:val="00F35660"/>
    <w:rsid w:val="00F406BB"/>
    <w:rsid w:val="00F4414D"/>
    <w:rsid w:val="00F46B5D"/>
    <w:rsid w:val="00F4786A"/>
    <w:rsid w:val="00F50956"/>
    <w:rsid w:val="00F540B2"/>
    <w:rsid w:val="00F544D6"/>
    <w:rsid w:val="00F60267"/>
    <w:rsid w:val="00F6141E"/>
    <w:rsid w:val="00F61B36"/>
    <w:rsid w:val="00F669C7"/>
    <w:rsid w:val="00F675AA"/>
    <w:rsid w:val="00F67C25"/>
    <w:rsid w:val="00F719FB"/>
    <w:rsid w:val="00F76815"/>
    <w:rsid w:val="00F80B60"/>
    <w:rsid w:val="00F81F73"/>
    <w:rsid w:val="00F87576"/>
    <w:rsid w:val="00F90EE3"/>
    <w:rsid w:val="00F91953"/>
    <w:rsid w:val="00F9454F"/>
    <w:rsid w:val="00F959A3"/>
    <w:rsid w:val="00F96BE2"/>
    <w:rsid w:val="00FA0FDC"/>
    <w:rsid w:val="00FA5061"/>
    <w:rsid w:val="00FA7ADA"/>
    <w:rsid w:val="00FB4437"/>
    <w:rsid w:val="00FB67FC"/>
    <w:rsid w:val="00FC0BF3"/>
    <w:rsid w:val="00FC1287"/>
    <w:rsid w:val="00FC13A2"/>
    <w:rsid w:val="00FC15CF"/>
    <w:rsid w:val="00FC1870"/>
    <w:rsid w:val="00FC3FD9"/>
    <w:rsid w:val="00FC4872"/>
    <w:rsid w:val="00FC50F3"/>
    <w:rsid w:val="00FC67DA"/>
    <w:rsid w:val="00FC6E0A"/>
    <w:rsid w:val="00FD342A"/>
    <w:rsid w:val="00FD5B65"/>
    <w:rsid w:val="00FD6056"/>
    <w:rsid w:val="00FD6A58"/>
    <w:rsid w:val="00FE252E"/>
    <w:rsid w:val="00FF1483"/>
    <w:rsid w:val="00FF25D9"/>
    <w:rsid w:val="00FF6DE7"/>
    <w:rsid w:val="00FF77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paragraph" w:styleId="Heading2">
    <w:name w:val="heading 2"/>
    <w:basedOn w:val="Normal"/>
    <w:link w:val="Heading2Char"/>
    <w:uiPriority w:val="9"/>
    <w:qFormat/>
    <w:rsid w:val="0022112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72262"/>
    <w:rPr>
      <w:color w:val="605E5C"/>
      <w:shd w:val="clear" w:color="auto" w:fill="E1DFDD"/>
    </w:rPr>
  </w:style>
  <w:style w:type="paragraph" w:customStyle="1" w:styleId="ACMANumberedList">
    <w:name w:val="ACMA Numbered List"/>
    <w:rsid w:val="00522AD6"/>
    <w:pPr>
      <w:numPr>
        <w:numId w:val="13"/>
      </w:numPr>
      <w:spacing w:before="20" w:after="20" w:line="240" w:lineRule="auto"/>
    </w:pPr>
    <w:rPr>
      <w:rFonts w:ascii="Times New Roman" w:eastAsia="Times New Roman" w:hAnsi="Times New Roman" w:cs="Times New Roman"/>
      <w:sz w:val="24"/>
      <w:szCs w:val="20"/>
    </w:rPr>
  </w:style>
  <w:style w:type="character" w:styleId="FootnoteReference">
    <w:name w:val="footnote reference"/>
    <w:basedOn w:val="DefaultParagraphFont"/>
    <w:semiHidden/>
    <w:unhideWhenUsed/>
    <w:rsid w:val="00522AD6"/>
    <w:rPr>
      <w:vertAlign w:val="superscript"/>
    </w:rPr>
  </w:style>
  <w:style w:type="character" w:styleId="FollowedHyperlink">
    <w:name w:val="FollowedHyperlink"/>
    <w:basedOn w:val="DefaultParagraphFont"/>
    <w:uiPriority w:val="99"/>
    <w:semiHidden/>
    <w:unhideWhenUsed/>
    <w:rsid w:val="005A5122"/>
    <w:rPr>
      <w:color w:val="954F72" w:themeColor="followedHyperlink"/>
      <w:u w:val="single"/>
    </w:rPr>
  </w:style>
  <w:style w:type="character" w:customStyle="1" w:styleId="Heading2Char">
    <w:name w:val="Heading 2 Char"/>
    <w:basedOn w:val="DefaultParagraphFont"/>
    <w:link w:val="Heading2"/>
    <w:uiPriority w:val="9"/>
    <w:rsid w:val="0022112F"/>
    <w:rPr>
      <w:rFonts w:ascii="Times New Roman" w:eastAsia="Times New Roman" w:hAnsi="Times New Roman" w:cs="Times New Roman"/>
      <w:b/>
      <w:bCs/>
      <w:sz w:val="36"/>
      <w:szCs w:val="36"/>
      <w:lang w:eastAsia="en-AU"/>
    </w:rPr>
  </w:style>
  <w:style w:type="paragraph" w:styleId="FootnoteText">
    <w:name w:val="footnote text"/>
    <w:basedOn w:val="Normal"/>
    <w:link w:val="FootnoteTextChar"/>
    <w:uiPriority w:val="99"/>
    <w:semiHidden/>
    <w:unhideWhenUsed/>
    <w:rsid w:val="007D7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F7B"/>
    <w:rPr>
      <w:sz w:val="20"/>
      <w:szCs w:val="20"/>
    </w:rPr>
  </w:style>
  <w:style w:type="paragraph" w:styleId="HTMLPreformatted">
    <w:name w:val="HTML Preformatted"/>
    <w:basedOn w:val="Normal"/>
    <w:link w:val="HTMLPreformattedChar"/>
    <w:uiPriority w:val="99"/>
    <w:semiHidden/>
    <w:unhideWhenUsed/>
    <w:rsid w:val="00EB4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EB442D"/>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2217">
      <w:bodyDiv w:val="1"/>
      <w:marLeft w:val="0"/>
      <w:marRight w:val="0"/>
      <w:marTop w:val="0"/>
      <w:marBottom w:val="0"/>
      <w:divBdr>
        <w:top w:val="none" w:sz="0" w:space="0" w:color="auto"/>
        <w:left w:val="none" w:sz="0" w:space="0" w:color="auto"/>
        <w:bottom w:val="none" w:sz="0" w:space="0" w:color="auto"/>
        <w:right w:val="none" w:sz="0" w:space="0" w:color="auto"/>
      </w:divBdr>
    </w:div>
    <w:div w:id="100418778">
      <w:bodyDiv w:val="1"/>
      <w:marLeft w:val="0"/>
      <w:marRight w:val="0"/>
      <w:marTop w:val="0"/>
      <w:marBottom w:val="0"/>
      <w:divBdr>
        <w:top w:val="none" w:sz="0" w:space="0" w:color="auto"/>
        <w:left w:val="none" w:sz="0" w:space="0" w:color="auto"/>
        <w:bottom w:val="none" w:sz="0" w:space="0" w:color="auto"/>
        <w:right w:val="none" w:sz="0" w:space="0" w:color="auto"/>
      </w:divBdr>
    </w:div>
    <w:div w:id="135464006">
      <w:bodyDiv w:val="1"/>
      <w:marLeft w:val="0"/>
      <w:marRight w:val="0"/>
      <w:marTop w:val="0"/>
      <w:marBottom w:val="0"/>
      <w:divBdr>
        <w:top w:val="none" w:sz="0" w:space="0" w:color="auto"/>
        <w:left w:val="none" w:sz="0" w:space="0" w:color="auto"/>
        <w:bottom w:val="none" w:sz="0" w:space="0" w:color="auto"/>
        <w:right w:val="none" w:sz="0" w:space="0" w:color="auto"/>
      </w:divBdr>
    </w:div>
    <w:div w:id="309287963">
      <w:bodyDiv w:val="1"/>
      <w:marLeft w:val="0"/>
      <w:marRight w:val="0"/>
      <w:marTop w:val="0"/>
      <w:marBottom w:val="0"/>
      <w:divBdr>
        <w:top w:val="none" w:sz="0" w:space="0" w:color="auto"/>
        <w:left w:val="none" w:sz="0" w:space="0" w:color="auto"/>
        <w:bottom w:val="none" w:sz="0" w:space="0" w:color="auto"/>
        <w:right w:val="none" w:sz="0" w:space="0" w:color="auto"/>
      </w:divBdr>
    </w:div>
    <w:div w:id="654653068">
      <w:bodyDiv w:val="1"/>
      <w:marLeft w:val="0"/>
      <w:marRight w:val="0"/>
      <w:marTop w:val="0"/>
      <w:marBottom w:val="0"/>
      <w:divBdr>
        <w:top w:val="none" w:sz="0" w:space="0" w:color="auto"/>
        <w:left w:val="none" w:sz="0" w:space="0" w:color="auto"/>
        <w:bottom w:val="none" w:sz="0" w:space="0" w:color="auto"/>
        <w:right w:val="none" w:sz="0" w:space="0" w:color="auto"/>
      </w:divBdr>
    </w:div>
    <w:div w:id="739016475">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45582111">
      <w:bodyDiv w:val="1"/>
      <w:marLeft w:val="0"/>
      <w:marRight w:val="0"/>
      <w:marTop w:val="0"/>
      <w:marBottom w:val="0"/>
      <w:divBdr>
        <w:top w:val="none" w:sz="0" w:space="0" w:color="auto"/>
        <w:left w:val="none" w:sz="0" w:space="0" w:color="auto"/>
        <w:bottom w:val="none" w:sz="0" w:space="0" w:color="auto"/>
        <w:right w:val="none" w:sz="0" w:space="0" w:color="auto"/>
      </w:divBdr>
    </w:div>
    <w:div w:id="1209877235">
      <w:bodyDiv w:val="1"/>
      <w:marLeft w:val="0"/>
      <w:marRight w:val="0"/>
      <w:marTop w:val="0"/>
      <w:marBottom w:val="0"/>
      <w:divBdr>
        <w:top w:val="none" w:sz="0" w:space="0" w:color="auto"/>
        <w:left w:val="none" w:sz="0" w:space="0" w:color="auto"/>
        <w:bottom w:val="none" w:sz="0" w:space="0" w:color="auto"/>
        <w:right w:val="none" w:sz="0" w:space="0" w:color="auto"/>
      </w:divBdr>
    </w:div>
    <w:div w:id="146368890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64624974">
      <w:bodyDiv w:val="1"/>
      <w:marLeft w:val="0"/>
      <w:marRight w:val="0"/>
      <w:marTop w:val="0"/>
      <w:marBottom w:val="0"/>
      <w:divBdr>
        <w:top w:val="none" w:sz="0" w:space="0" w:color="auto"/>
        <w:left w:val="none" w:sz="0" w:space="0" w:color="auto"/>
        <w:bottom w:val="none" w:sz="0" w:space="0" w:color="auto"/>
        <w:right w:val="none" w:sz="0" w:space="0" w:color="auto"/>
      </w:divBdr>
    </w:div>
    <w:div w:id="1734085248">
      <w:bodyDiv w:val="1"/>
      <w:marLeft w:val="0"/>
      <w:marRight w:val="0"/>
      <w:marTop w:val="0"/>
      <w:marBottom w:val="0"/>
      <w:divBdr>
        <w:top w:val="none" w:sz="0" w:space="0" w:color="auto"/>
        <w:left w:val="none" w:sz="0" w:space="0" w:color="auto"/>
        <w:bottom w:val="none" w:sz="0" w:space="0" w:color="auto"/>
        <w:right w:val="none" w:sz="0" w:space="0" w:color="auto"/>
      </w:divBdr>
    </w:div>
    <w:div w:id="19431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EA63DE6E31EF4D8EF11598F9E53308" ma:contentTypeVersion="8" ma:contentTypeDescription="Create a new document." ma:contentTypeScope="" ma:versionID="fa7f29be9fefd12e14c029ba2e74bbf2">
  <xsd:schema xmlns:xsd="http://www.w3.org/2001/XMLSchema" xmlns:xs="http://www.w3.org/2001/XMLSchema" xmlns:p="http://schemas.microsoft.com/office/2006/metadata/properties" xmlns:ns3="0d1200bc-8f36-40a8-8bfe-86212719a89c" targetNamespace="http://schemas.microsoft.com/office/2006/metadata/properties" ma:root="true" ma:fieldsID="b6b5bb90ed70cd509ab75ff9977cb14e" ns3:_="">
    <xsd:import namespace="0d1200bc-8f36-40a8-8bfe-86212719a8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00bc-8f36-40a8-8bfe-86212719a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C243B-780E-47EA-836E-E53CC856F72F}">
  <ds:schemaRefs>
    <ds:schemaRef ds:uri="http://schemas.openxmlformats.org/officeDocument/2006/bibliography"/>
  </ds:schemaRefs>
</ds:datastoreItem>
</file>

<file path=customXml/itemProps3.xml><?xml version="1.0" encoding="utf-8"?>
<ds:datastoreItem xmlns:ds="http://schemas.openxmlformats.org/officeDocument/2006/customXml" ds:itemID="{4488E34F-1B08-48C0-8A2B-97F65E18D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00bc-8f36-40a8-8bfe-86212719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3</cp:revision>
  <cp:lastPrinted>2016-07-25T00:08:00Z</cp:lastPrinted>
  <dcterms:created xsi:type="dcterms:W3CDTF">2021-03-10T23:39:00Z</dcterms:created>
  <dcterms:modified xsi:type="dcterms:W3CDTF">2021-03-11T00:59:00Z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0x01010041EA63DE6E31EF4D8EF11598F9E53308</vt:lpwstr>
  </property>
  <property fmtid="{D5CDD505-2E9C-101B-9397-08002B2CF9AE}" pid="3" name="_dlc_DocIdItemGuid">
    <vt:lpwstr>de1bf85f-d146-40c1-bbbb-9358eaf24fdd</vt:lpwstr>
  </property>
</Properties>
</file>