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75119" w14:textId="274F1B36" w:rsidR="0098292A" w:rsidRPr="002A0A70" w:rsidRDefault="0098292A" w:rsidP="00061303">
      <w:pPr>
        <w:spacing w:before="0"/>
        <w:ind w:right="91"/>
        <w:jc w:val="center"/>
      </w:pPr>
      <w:r w:rsidRPr="002A0A70">
        <w:rPr>
          <w:b/>
          <w:u w:val="single"/>
        </w:rPr>
        <w:t xml:space="preserve">EXPLANATORY </w:t>
      </w:r>
      <w:r w:rsidR="00BE5E08" w:rsidRPr="002A0A70">
        <w:rPr>
          <w:b/>
          <w:u w:val="single"/>
        </w:rPr>
        <w:t>STATEMENT</w:t>
      </w:r>
    </w:p>
    <w:p w14:paraId="296EE674" w14:textId="77777777" w:rsidR="0098292A" w:rsidRPr="002A0A70" w:rsidRDefault="0098292A">
      <w:pPr>
        <w:spacing w:before="0"/>
        <w:ind w:right="91"/>
        <w:jc w:val="center"/>
      </w:pPr>
    </w:p>
    <w:p w14:paraId="70EDB517" w14:textId="77777777" w:rsidR="00C3579A" w:rsidRPr="002A0A70" w:rsidRDefault="00C3579A" w:rsidP="00C3579A">
      <w:pPr>
        <w:spacing w:before="0"/>
        <w:jc w:val="center"/>
        <w:rPr>
          <w:sz w:val="20"/>
        </w:rPr>
      </w:pPr>
    </w:p>
    <w:p w14:paraId="6A49240C" w14:textId="04CAA8F7" w:rsidR="00C3579A" w:rsidRPr="002A0A70" w:rsidRDefault="00C3579A" w:rsidP="00C3579A">
      <w:pPr>
        <w:spacing w:before="0"/>
        <w:rPr>
          <w:i/>
        </w:rPr>
      </w:pPr>
      <w:r w:rsidRPr="002A0A70">
        <w:t>Subject -</w:t>
      </w:r>
      <w:r w:rsidRPr="002A0A70">
        <w:tab/>
      </w:r>
      <w:r w:rsidRPr="002A0A70">
        <w:rPr>
          <w:i/>
        </w:rPr>
        <w:t>Australian Radiation Protection and Nucl</w:t>
      </w:r>
      <w:r w:rsidR="00D72B08" w:rsidRPr="002A0A70">
        <w:rPr>
          <w:i/>
        </w:rPr>
        <w:t xml:space="preserve">ear Safety </w:t>
      </w:r>
      <w:r w:rsidRPr="002A0A70">
        <w:rPr>
          <w:i/>
        </w:rPr>
        <w:t>Act 1998</w:t>
      </w:r>
    </w:p>
    <w:p w14:paraId="12F8C165" w14:textId="77777777" w:rsidR="00C3579A" w:rsidRPr="002A0A70" w:rsidRDefault="00C3579A" w:rsidP="00C3579A">
      <w:pPr>
        <w:spacing w:before="0"/>
        <w:rPr>
          <w:i/>
        </w:rPr>
      </w:pPr>
    </w:p>
    <w:p w14:paraId="6C1FFBC8" w14:textId="1DD50C6D" w:rsidR="00C3579A" w:rsidRPr="002A0A70" w:rsidRDefault="00C3579A" w:rsidP="00E04D96">
      <w:pPr>
        <w:spacing w:before="0"/>
        <w:ind w:left="1701"/>
      </w:pPr>
      <w:r w:rsidRPr="002A0A70">
        <w:rPr>
          <w:i/>
        </w:rPr>
        <w:tab/>
      </w:r>
      <w:r w:rsidR="00A62FD0" w:rsidRPr="002A0A70">
        <w:rPr>
          <w:i/>
        </w:rPr>
        <w:t>Australian Radiation Protection and Nuclear Safety Amendment (202</w:t>
      </w:r>
      <w:r w:rsidR="00814BAE" w:rsidRPr="002A0A70">
        <w:rPr>
          <w:i/>
        </w:rPr>
        <w:t>1</w:t>
      </w:r>
      <w:r w:rsidR="00A62FD0" w:rsidRPr="002A0A70">
        <w:rPr>
          <w:i/>
        </w:rPr>
        <w:t xml:space="preserve"> Measures No. 1) Regulations 202</w:t>
      </w:r>
      <w:r w:rsidR="00814BAE" w:rsidRPr="002A0A70">
        <w:rPr>
          <w:i/>
        </w:rPr>
        <w:t>1</w:t>
      </w:r>
      <w:r w:rsidR="00A62FD0" w:rsidRPr="002A0A70">
        <w:rPr>
          <w:i/>
        </w:rPr>
        <w:t>.</w:t>
      </w:r>
    </w:p>
    <w:p w14:paraId="220B1B6C" w14:textId="77777777" w:rsidR="00E33FCD" w:rsidRPr="002A0A70" w:rsidRDefault="00E33FCD">
      <w:pPr>
        <w:spacing w:before="0"/>
      </w:pPr>
    </w:p>
    <w:p w14:paraId="6E1CCF14" w14:textId="04A6DABD" w:rsidR="00BB3D1A" w:rsidRPr="002A0A70" w:rsidRDefault="00BB3D1A" w:rsidP="1A76A81F">
      <w:pPr>
        <w:pStyle w:val="BlockText"/>
        <w:spacing w:before="0"/>
        <w:ind w:left="0" w:right="0" w:firstLine="0"/>
        <w:rPr>
          <w:color w:val="000000"/>
        </w:rPr>
      </w:pPr>
      <w:r w:rsidRPr="002A0A70">
        <w:rPr>
          <w:color w:val="000000" w:themeColor="text1"/>
        </w:rPr>
        <w:t xml:space="preserve">The </w:t>
      </w:r>
      <w:r w:rsidR="00A45B15" w:rsidRPr="002A0A70">
        <w:rPr>
          <w:color w:val="000000" w:themeColor="text1"/>
        </w:rPr>
        <w:t xml:space="preserve">purpose of the </w:t>
      </w:r>
      <w:r w:rsidR="00A45B15" w:rsidRPr="002A0A70">
        <w:rPr>
          <w:i/>
          <w:iCs/>
        </w:rPr>
        <w:t xml:space="preserve">Australian Radiation Protection and Nuclear Safety Amendment (2021 Measures No. 1) Regulations 2021 </w:t>
      </w:r>
      <w:r w:rsidR="00A45B15" w:rsidRPr="002A0A70">
        <w:t xml:space="preserve">is to </w:t>
      </w:r>
      <w:r w:rsidRPr="002A0A70">
        <w:rPr>
          <w:color w:val="000000" w:themeColor="text1"/>
        </w:rPr>
        <w:t xml:space="preserve">ensure the Chief Executive Officer (CEO) of </w:t>
      </w:r>
      <w:r w:rsidR="5A923876" w:rsidRPr="002A0A70">
        <w:rPr>
          <w:color w:val="000000" w:themeColor="text1"/>
        </w:rPr>
        <w:t xml:space="preserve">the </w:t>
      </w:r>
      <w:r w:rsidRPr="002A0A70">
        <w:rPr>
          <w:color w:val="000000" w:themeColor="text1"/>
        </w:rPr>
        <w:t xml:space="preserve">Australian Radiation Protection and Nuclear Safety Agency (ARPANSA) is able to recover the cost of assessing licence applications under the </w:t>
      </w:r>
      <w:r w:rsidRPr="002A0A70">
        <w:rPr>
          <w:i/>
          <w:iCs/>
          <w:color w:val="000000" w:themeColor="text1"/>
        </w:rPr>
        <w:t xml:space="preserve">Australian Radiation Protection and Nuclear Safety Act 1998 </w:t>
      </w:r>
      <w:r w:rsidRPr="002A0A70">
        <w:rPr>
          <w:color w:val="000000" w:themeColor="text1"/>
        </w:rPr>
        <w:t>(the ARPANS Act) by implementing the annual review of fees and make other minor amendments.</w:t>
      </w:r>
    </w:p>
    <w:p w14:paraId="46C3E0E4" w14:textId="77777777" w:rsidR="00A45B15" w:rsidRPr="002A0A70" w:rsidRDefault="00A45B15" w:rsidP="00A45B15">
      <w:pPr>
        <w:pStyle w:val="BlockText"/>
        <w:ind w:left="0" w:right="0" w:firstLine="0"/>
        <w:rPr>
          <w:color w:val="000000"/>
          <w:szCs w:val="24"/>
        </w:rPr>
      </w:pPr>
      <w:r w:rsidRPr="002A0A70">
        <w:rPr>
          <w:color w:val="000000"/>
          <w:szCs w:val="24"/>
        </w:rPr>
        <w:t>The object of the ARPANS Act is to protect the health and safety of people, and to protect the environment, from the harmful effects of radiation. To achieve the object of the ARPANS Act the CEO, issues licences to Commonwealth entities that deal with radiation equipment and material or undertake certain activities in relation to radiation facilities and nuclear installations. This ensures that such operations can be undertaken safely and minimises the risk of harm to people or to the environment from them.</w:t>
      </w:r>
    </w:p>
    <w:p w14:paraId="2C92D002" w14:textId="7E37E725" w:rsidR="00EF261F" w:rsidRPr="002A0A70" w:rsidRDefault="00EF261F" w:rsidP="00EF261F">
      <w:pPr>
        <w:ind w:right="-24"/>
      </w:pPr>
      <w:r w:rsidRPr="002A0A70">
        <w:rPr>
          <w:spacing w:val="-2"/>
        </w:rPr>
        <w:t>Subsection 85(1) of the Act provides that the Governor</w:t>
      </w:r>
      <w:r w:rsidR="24A06DD7" w:rsidRPr="002A0A70">
        <w:rPr>
          <w:spacing w:val="-2"/>
        </w:rPr>
        <w:t>-</w:t>
      </w:r>
      <w:r w:rsidRPr="002A0A70">
        <w:rPr>
          <w:spacing w:val="-2"/>
        </w:rPr>
        <w:t>General</w:t>
      </w:r>
      <w:r w:rsidRPr="002A0A70">
        <w:rPr>
          <w:spacing w:val="-2"/>
        </w:rPr>
        <w:noBreakHyphen/>
        <w:t xml:space="preserve"> may make regulations prescribing matters required or permitted by the Act to be prescribed; or necessary or convenient to be prescribed for carrying out or giving effect to the Act.</w:t>
      </w:r>
    </w:p>
    <w:p w14:paraId="1742B4B2" w14:textId="054C23ED" w:rsidR="00EF261F" w:rsidRPr="002A0A70" w:rsidRDefault="000C32ED" w:rsidP="00EF261F">
      <w:pPr>
        <w:ind w:right="-24"/>
        <w:rPr>
          <w:i/>
          <w:iCs/>
          <w:szCs w:val="24"/>
        </w:rPr>
      </w:pPr>
      <w:r w:rsidRPr="002A0A70">
        <w:rPr>
          <w:szCs w:val="24"/>
        </w:rPr>
        <w:t>T</w:t>
      </w:r>
      <w:r w:rsidR="00EF261F" w:rsidRPr="002A0A70">
        <w:rPr>
          <w:szCs w:val="24"/>
        </w:rPr>
        <w:t xml:space="preserve">he </w:t>
      </w:r>
      <w:r w:rsidR="00EF261F" w:rsidRPr="002A0A70">
        <w:rPr>
          <w:i/>
          <w:szCs w:val="24"/>
        </w:rPr>
        <w:t xml:space="preserve">Australian Radiation Protection and Nuclear Safety Amendment </w:t>
      </w:r>
      <w:r w:rsidR="00A62FD0" w:rsidRPr="002A0A70">
        <w:rPr>
          <w:i/>
        </w:rPr>
        <w:t>(202</w:t>
      </w:r>
      <w:r w:rsidR="00BB3D1A" w:rsidRPr="002A0A70">
        <w:rPr>
          <w:i/>
        </w:rPr>
        <w:t>1</w:t>
      </w:r>
      <w:r w:rsidR="00A62FD0" w:rsidRPr="002A0A70">
        <w:rPr>
          <w:i/>
        </w:rPr>
        <w:t xml:space="preserve"> Measures No. 1) </w:t>
      </w:r>
      <w:r w:rsidR="00EF261F" w:rsidRPr="002A0A70">
        <w:rPr>
          <w:i/>
          <w:szCs w:val="24"/>
        </w:rPr>
        <w:t>Regulations 202</w:t>
      </w:r>
      <w:r w:rsidR="00BB3D1A" w:rsidRPr="002A0A70">
        <w:rPr>
          <w:i/>
          <w:szCs w:val="24"/>
        </w:rPr>
        <w:t>1</w:t>
      </w:r>
      <w:r w:rsidR="00EF261F" w:rsidRPr="002A0A70">
        <w:rPr>
          <w:iCs/>
          <w:szCs w:val="24"/>
        </w:rPr>
        <w:t xml:space="preserve"> (the </w:t>
      </w:r>
      <w:r w:rsidR="00EF261F" w:rsidRPr="002A0A70">
        <w:rPr>
          <w:szCs w:val="24"/>
        </w:rPr>
        <w:t>Regulations) amend</w:t>
      </w:r>
      <w:r w:rsidR="001D32F0" w:rsidRPr="002A0A70">
        <w:rPr>
          <w:szCs w:val="24"/>
        </w:rPr>
        <w:t>s</w:t>
      </w:r>
      <w:r w:rsidR="00EF261F" w:rsidRPr="002A0A70">
        <w:rPr>
          <w:szCs w:val="24"/>
        </w:rPr>
        <w:t xml:space="preserve"> the </w:t>
      </w:r>
      <w:r w:rsidR="00EF261F" w:rsidRPr="002A0A70">
        <w:rPr>
          <w:rStyle w:val="normalchar1"/>
          <w:rFonts w:eastAsiaTheme="minorEastAsia"/>
          <w:iCs/>
          <w:lang w:eastAsia="ja-JP"/>
        </w:rPr>
        <w:t>ARPANS</w:t>
      </w:r>
      <w:r w:rsidR="00EF261F" w:rsidRPr="002A0A70">
        <w:rPr>
          <w:rStyle w:val="normalchar1"/>
          <w:iCs/>
        </w:rPr>
        <w:t xml:space="preserve"> Regulations</w:t>
      </w:r>
      <w:r w:rsidR="00EF261F" w:rsidRPr="002A0A70">
        <w:rPr>
          <w:szCs w:val="24"/>
        </w:rPr>
        <w:t xml:space="preserve"> </w:t>
      </w:r>
      <w:r w:rsidR="00EF261F" w:rsidRPr="002A0A70">
        <w:rPr>
          <w:rStyle w:val="normalchar1"/>
          <w:iCs/>
        </w:rPr>
        <w:t>as follows:</w:t>
      </w:r>
    </w:p>
    <w:p w14:paraId="1BBD4F25" w14:textId="000F3836" w:rsidR="00BB3D1A" w:rsidRPr="002A0A70" w:rsidRDefault="00BB3D1A" w:rsidP="00BB3D1A">
      <w:pPr>
        <w:pStyle w:val="ListParagraph"/>
        <w:numPr>
          <w:ilvl w:val="0"/>
          <w:numId w:val="38"/>
        </w:numPr>
        <w:spacing w:before="0" w:line="264" w:lineRule="auto"/>
        <w:ind w:right="-24"/>
        <w:contextualSpacing/>
        <w:rPr>
          <w:spacing w:val="-2"/>
          <w:szCs w:val="24"/>
        </w:rPr>
      </w:pPr>
      <w:r w:rsidRPr="002A0A70">
        <w:rPr>
          <w:spacing w:val="-2"/>
          <w:szCs w:val="24"/>
        </w:rPr>
        <w:t>Add and update the publication details of the Codes incorporated by reference in the ARPANS Regulations.</w:t>
      </w:r>
    </w:p>
    <w:p w14:paraId="48920DCA" w14:textId="2C5C0AD8" w:rsidR="00BB3D1A" w:rsidRPr="002A0A70" w:rsidRDefault="00BB3D1A" w:rsidP="1A76A81F">
      <w:pPr>
        <w:pStyle w:val="ListParagraph"/>
        <w:numPr>
          <w:ilvl w:val="0"/>
          <w:numId w:val="38"/>
        </w:numPr>
        <w:spacing w:before="0" w:line="264" w:lineRule="auto"/>
        <w:ind w:right="-24"/>
        <w:contextualSpacing/>
        <w:rPr>
          <w:szCs w:val="24"/>
        </w:rPr>
      </w:pPr>
      <w:r w:rsidRPr="002A0A70">
        <w:rPr>
          <w:spacing w:val="-2"/>
        </w:rPr>
        <w:t xml:space="preserve">Provide a definition of controlled apparatus, which is sufficiently clear to capture new technology types of non-ionising apparatus. </w:t>
      </w:r>
      <w:r w:rsidR="3232C9C9" w:rsidRPr="002A0A70">
        <w:rPr>
          <w:szCs w:val="24"/>
        </w:rPr>
        <w:t>The existing provision of subsection 9(1)(a) refers to old types of controlled apparatus and does not adequately cover apparatus using new technologies</w:t>
      </w:r>
      <w:r w:rsidRPr="002A0A70">
        <w:rPr>
          <w:spacing w:val="-2"/>
          <w:szCs w:val="24"/>
        </w:rPr>
        <w:t>.</w:t>
      </w:r>
    </w:p>
    <w:p w14:paraId="2627E5F0" w14:textId="77777777" w:rsidR="00BB3D1A" w:rsidRPr="002A0A70" w:rsidRDefault="00BB3D1A" w:rsidP="00BB3D1A">
      <w:pPr>
        <w:pStyle w:val="ListParagraph"/>
        <w:numPr>
          <w:ilvl w:val="0"/>
          <w:numId w:val="38"/>
        </w:numPr>
        <w:spacing w:before="0" w:line="264" w:lineRule="auto"/>
        <w:ind w:right="-24"/>
        <w:contextualSpacing/>
        <w:rPr>
          <w:spacing w:val="-2"/>
          <w:szCs w:val="24"/>
        </w:rPr>
      </w:pPr>
      <w:r w:rsidRPr="002A0A70">
        <w:rPr>
          <w:spacing w:val="-2"/>
          <w:szCs w:val="24"/>
        </w:rPr>
        <w:t>Amend exempt dealings to exclude lasers, optical fibre systems and klystrons from licensing requirements as they pose a very low radiation risk.</w:t>
      </w:r>
    </w:p>
    <w:p w14:paraId="63ACDCB6" w14:textId="77777777" w:rsidR="00BB3D1A" w:rsidRPr="002A0A70" w:rsidRDefault="00BB3D1A" w:rsidP="00BB3D1A">
      <w:pPr>
        <w:pStyle w:val="ListParagraph"/>
        <w:numPr>
          <w:ilvl w:val="0"/>
          <w:numId w:val="38"/>
        </w:numPr>
        <w:spacing w:before="0" w:line="264" w:lineRule="auto"/>
        <w:ind w:right="-24"/>
        <w:contextualSpacing/>
        <w:rPr>
          <w:spacing w:val="-2"/>
          <w:szCs w:val="24"/>
        </w:rPr>
      </w:pPr>
      <w:r w:rsidRPr="002A0A70">
        <w:rPr>
          <w:spacing w:val="-2"/>
          <w:szCs w:val="24"/>
        </w:rPr>
        <w:t xml:space="preserve">Simplify the imposition of fees for licence applications so that fees reflect the actual cost of processing and assessing applications. </w:t>
      </w:r>
    </w:p>
    <w:p w14:paraId="799C189E" w14:textId="21764126" w:rsidR="00BB3D1A" w:rsidRPr="002A0A70" w:rsidRDefault="00BB3D1A" w:rsidP="00BB3D1A">
      <w:pPr>
        <w:pStyle w:val="ListParagraph"/>
        <w:numPr>
          <w:ilvl w:val="1"/>
          <w:numId w:val="38"/>
        </w:numPr>
        <w:spacing w:before="0" w:line="264" w:lineRule="auto"/>
        <w:ind w:right="-24"/>
        <w:contextualSpacing/>
        <w:rPr>
          <w:spacing w:val="-2"/>
          <w:szCs w:val="24"/>
        </w:rPr>
      </w:pPr>
      <w:r w:rsidRPr="002A0A70">
        <w:rPr>
          <w:spacing w:val="-2"/>
          <w:szCs w:val="24"/>
        </w:rPr>
        <w:t>For source licence applications fees, the amendment simplifies the fees by setting a single fee, based on an estimate of the historical average cost incurred in processing these kind of licence applications, for each source group category regardless of the number of sources covered by an application.</w:t>
      </w:r>
    </w:p>
    <w:p w14:paraId="746951D1" w14:textId="3E0B5D36" w:rsidR="00BB3D1A" w:rsidRPr="002A0A70" w:rsidRDefault="00BB3D1A" w:rsidP="00BB3D1A">
      <w:pPr>
        <w:pStyle w:val="ListParagraph"/>
        <w:numPr>
          <w:ilvl w:val="1"/>
          <w:numId w:val="38"/>
        </w:numPr>
        <w:spacing w:before="0" w:line="264" w:lineRule="auto"/>
        <w:ind w:right="-24"/>
        <w:contextualSpacing/>
      </w:pPr>
      <w:r w:rsidRPr="002A0A70">
        <w:rPr>
          <w:spacing w:val="-2"/>
        </w:rPr>
        <w:t>For facility licence applications involving particle accelerators the fee is set based on the estimated historical average cost incurred in making a licensing decision for</w:t>
      </w:r>
      <w:r w:rsidRPr="002A0A70">
        <w:rPr>
          <w:spacing w:val="-2"/>
          <w:szCs w:val="24"/>
        </w:rPr>
        <w:t xml:space="preserve"> </w:t>
      </w:r>
      <w:r w:rsidRPr="002A0A70">
        <w:rPr>
          <w:spacing w:val="-2"/>
        </w:rPr>
        <w:t>this kind of licence application.</w:t>
      </w:r>
    </w:p>
    <w:p w14:paraId="0774B8D7" w14:textId="1BEC3BC9" w:rsidR="00BB3D1A" w:rsidRPr="002A0A70" w:rsidRDefault="00BB3D1A" w:rsidP="00BB3D1A">
      <w:pPr>
        <w:pStyle w:val="ListParagraph"/>
        <w:numPr>
          <w:ilvl w:val="1"/>
          <w:numId w:val="38"/>
        </w:numPr>
        <w:spacing w:before="0" w:line="264" w:lineRule="auto"/>
        <w:ind w:right="-24"/>
        <w:contextualSpacing/>
        <w:rPr>
          <w:spacing w:val="-2"/>
          <w:szCs w:val="24"/>
        </w:rPr>
      </w:pPr>
      <w:r w:rsidRPr="002A0A70">
        <w:rPr>
          <w:spacing w:val="-2"/>
          <w:szCs w:val="24"/>
        </w:rPr>
        <w:t xml:space="preserve">For other kinds of more complex facility licence applications the amendment simplifies the application fee by setting a very low nominal </w:t>
      </w:r>
      <w:r w:rsidRPr="002A0A70">
        <w:rPr>
          <w:spacing w:val="-2"/>
          <w:szCs w:val="24"/>
        </w:rPr>
        <w:lastRenderedPageBreak/>
        <w:t xml:space="preserve">application fee covering an estimate of the actual cost of receipt and acknowledgement of the application at the time of lodgement and of checking the completeness of the submission and whether the application is capable of supporting a licensing decision. This nominal application fee replaces various existing fixed priced application fees for different types of listed controlled facilities. </w:t>
      </w:r>
      <w:r w:rsidRPr="002A0A70">
        <w:t xml:space="preserve">The proposed section 50 introduces a separate fee to recoup the cost of making a licensing decision on these more complex facility licence applications by applying ARPANSA’s standard hourly charge-out rate to each actual hour spent in assessing the application ensuring that the total cost to an applicant of making the application corresponds exactly to the actual effort expended in making a licensing decision. </w:t>
      </w:r>
      <w:r w:rsidRPr="002A0A70">
        <w:rPr>
          <w:spacing w:val="-2"/>
          <w:szCs w:val="24"/>
        </w:rPr>
        <w:t>The assessment fee takes into account the nominal application fee paid, to avoid any excess charging. If, for the purposes of assessing the application, the CEO incurs expenses for services provided by external consultants and suppliers, then under the proposed section 50 an applicant is required to pay an amount equal to those expenses. The proposed section 50 further provides for the applicant to be invoiced at regular intervals.</w:t>
      </w:r>
    </w:p>
    <w:p w14:paraId="23E3B19A" w14:textId="5212ABA0" w:rsidR="00BB3D1A" w:rsidRPr="002A0A70" w:rsidRDefault="00BB3D1A" w:rsidP="00BB3D1A">
      <w:pPr>
        <w:pStyle w:val="ListParagraph"/>
        <w:numPr>
          <w:ilvl w:val="0"/>
          <w:numId w:val="38"/>
        </w:numPr>
        <w:spacing w:before="0" w:line="264" w:lineRule="auto"/>
        <w:ind w:right="-24"/>
        <w:contextualSpacing/>
      </w:pPr>
      <w:r w:rsidRPr="002A0A70">
        <w:rPr>
          <w:spacing w:val="-2"/>
        </w:rPr>
        <w:t>Amend section 58 relating to preventing, controlling and minimising accidents by requiring the licence holder, following an accident</w:t>
      </w:r>
      <w:r w:rsidR="0B1AD191" w:rsidRPr="002A0A70">
        <w:rPr>
          <w:spacing w:val="-2"/>
        </w:rPr>
        <w:t>,</w:t>
      </w:r>
      <w:r w:rsidRPr="002A0A70">
        <w:rPr>
          <w:spacing w:val="-2"/>
        </w:rPr>
        <w:t xml:space="preserve"> to review and update their plans and arrangements for managing safety to prevent a reoccurrence.</w:t>
      </w:r>
    </w:p>
    <w:p w14:paraId="7CA66555" w14:textId="7D155F6C" w:rsidR="00271447" w:rsidRPr="002A0A70" w:rsidRDefault="007B7EDF" w:rsidP="00271447">
      <w:pPr>
        <w:rPr>
          <w:szCs w:val="24"/>
        </w:rPr>
      </w:pPr>
      <w:r w:rsidRPr="002A0A70">
        <w:rPr>
          <w:szCs w:val="24"/>
        </w:rPr>
        <w:t xml:space="preserve">ARPANSA regulatory and scientific staff provided expert input to the proposed amendments. </w:t>
      </w:r>
      <w:r w:rsidR="00271447" w:rsidRPr="002A0A70">
        <w:t xml:space="preserve">No consultation was undertaken among licence holders (all of whom are Commonwealth entities, with the exception of the publicly listed Silex Systems Limited) as the proposed amendments are considered minor and machinery in nature. </w:t>
      </w:r>
      <w:r w:rsidR="00271447" w:rsidRPr="002A0A70">
        <w:rPr>
          <w:szCs w:val="24"/>
        </w:rPr>
        <w:t xml:space="preserve">The Office of Best Practice Regulation (OBPR) has exempted ARPANSA from the need to prepare a Regulatory Impact Statement for the </w:t>
      </w:r>
      <w:r w:rsidR="00EF261F" w:rsidRPr="002A0A70">
        <w:rPr>
          <w:szCs w:val="24"/>
        </w:rPr>
        <w:t xml:space="preserve">proposed </w:t>
      </w:r>
      <w:r w:rsidR="00271447" w:rsidRPr="002A0A70">
        <w:rPr>
          <w:szCs w:val="24"/>
        </w:rPr>
        <w:t>Regulation</w:t>
      </w:r>
      <w:r w:rsidR="00EF261F" w:rsidRPr="002A0A70">
        <w:rPr>
          <w:szCs w:val="24"/>
        </w:rPr>
        <w:t>s</w:t>
      </w:r>
      <w:r w:rsidR="00271447" w:rsidRPr="002A0A70">
        <w:rPr>
          <w:szCs w:val="24"/>
        </w:rPr>
        <w:t xml:space="preserve"> (OBPR ID: </w:t>
      </w:r>
      <w:r w:rsidR="00EF261F" w:rsidRPr="002A0A70">
        <w:rPr>
          <w:szCs w:val="24"/>
        </w:rPr>
        <w:t>42777</w:t>
      </w:r>
      <w:r w:rsidR="00271447" w:rsidRPr="002A0A70">
        <w:rPr>
          <w:szCs w:val="24"/>
        </w:rPr>
        <w:t>).</w:t>
      </w:r>
    </w:p>
    <w:p w14:paraId="385B3FA4" w14:textId="2F7F780C" w:rsidR="002E14BB" w:rsidRPr="002A0A70" w:rsidRDefault="002E14BB" w:rsidP="002E14BB">
      <w:pPr>
        <w:ind w:right="-24"/>
      </w:pPr>
      <w:r w:rsidRPr="002A0A70">
        <w:t xml:space="preserve">Details of the </w:t>
      </w:r>
      <w:r w:rsidR="15F3CFA7" w:rsidRPr="002A0A70">
        <w:t>amendments</w:t>
      </w:r>
      <w:r w:rsidRPr="002A0A70">
        <w:t xml:space="preserve"> are set out in the </w:t>
      </w:r>
      <w:r w:rsidRPr="002A0A70">
        <w:rPr>
          <w:u w:val="single"/>
        </w:rPr>
        <w:t>Attachment</w:t>
      </w:r>
      <w:r w:rsidRPr="002A0A70">
        <w:t>.</w:t>
      </w:r>
    </w:p>
    <w:p w14:paraId="7F2FD613" w14:textId="77777777" w:rsidR="00EB11BF" w:rsidRPr="002A0A70" w:rsidRDefault="00EB11BF" w:rsidP="00EB11BF">
      <w:pPr>
        <w:shd w:val="clear" w:color="auto" w:fill="FFFFFF"/>
        <w:rPr>
          <w:color w:val="000000"/>
          <w:szCs w:val="24"/>
        </w:rPr>
      </w:pPr>
      <w:r w:rsidRPr="002A0A70">
        <w:rPr>
          <w:color w:val="000000"/>
          <w:szCs w:val="24"/>
        </w:rPr>
        <w:t>The Act specifies no conditions that need to be satisfied before the power to make the Regulations may be exercised.</w:t>
      </w:r>
    </w:p>
    <w:p w14:paraId="7FD984F7" w14:textId="3C174E6F" w:rsidR="00EB11BF" w:rsidRPr="002A0A70" w:rsidRDefault="00EB11BF" w:rsidP="00EB11BF">
      <w:pPr>
        <w:rPr>
          <w:szCs w:val="24"/>
        </w:rPr>
      </w:pPr>
      <w:r w:rsidRPr="002A0A70">
        <w:rPr>
          <w:szCs w:val="24"/>
        </w:rPr>
        <w:t xml:space="preserve">The Regulations are a legislative instrument for the </w:t>
      </w:r>
      <w:r w:rsidRPr="002A0A70">
        <w:rPr>
          <w:color w:val="000000"/>
          <w:szCs w:val="24"/>
        </w:rPr>
        <w:t>purposes of the </w:t>
      </w:r>
      <w:r w:rsidRPr="002A0A70">
        <w:rPr>
          <w:i/>
          <w:iCs/>
          <w:color w:val="000000"/>
          <w:szCs w:val="24"/>
        </w:rPr>
        <w:t>Legislation Act 2003</w:t>
      </w:r>
      <w:r w:rsidRPr="002A0A70">
        <w:rPr>
          <w:szCs w:val="24"/>
        </w:rPr>
        <w:t>.</w:t>
      </w:r>
    </w:p>
    <w:p w14:paraId="20143832" w14:textId="623A6CA3" w:rsidR="00E33FCD" w:rsidRPr="002A0A70" w:rsidRDefault="00E33FCD" w:rsidP="00E33FCD">
      <w:r w:rsidRPr="002A0A70">
        <w:t xml:space="preserve">The </w:t>
      </w:r>
      <w:r w:rsidR="002E14BB" w:rsidRPr="002A0A70">
        <w:t xml:space="preserve">Regulations commence on </w:t>
      </w:r>
      <w:r w:rsidR="00814BAE" w:rsidRPr="002A0A70">
        <w:t>the day after registration</w:t>
      </w:r>
      <w:r w:rsidRPr="002A0A70">
        <w:t xml:space="preserve">.  </w:t>
      </w:r>
    </w:p>
    <w:p w14:paraId="1A4076F8" w14:textId="77777777" w:rsidR="00271447" w:rsidRPr="002A0A70" w:rsidRDefault="00E33FCD" w:rsidP="00271447">
      <w:pPr>
        <w:ind w:left="5670" w:right="-24" w:hanging="1134"/>
        <w:rPr>
          <w:i/>
          <w:iCs/>
          <w:szCs w:val="24"/>
        </w:rPr>
      </w:pPr>
      <w:r w:rsidRPr="002A0A70">
        <w:rPr>
          <w:u w:val="single"/>
        </w:rPr>
        <w:t>Authority:</w:t>
      </w:r>
      <w:r w:rsidRPr="002A0A70">
        <w:tab/>
      </w:r>
      <w:r w:rsidR="00271447" w:rsidRPr="002A0A70">
        <w:rPr>
          <w:szCs w:val="24"/>
        </w:rPr>
        <w:t xml:space="preserve">Subsection 85(1) of the </w:t>
      </w:r>
      <w:r w:rsidR="00271447" w:rsidRPr="002A0A70">
        <w:rPr>
          <w:i/>
          <w:iCs/>
          <w:szCs w:val="24"/>
        </w:rPr>
        <w:t>Australian Radiation Protection and Nuclear Safety Act 1998</w:t>
      </w:r>
    </w:p>
    <w:p w14:paraId="256F8677" w14:textId="64292A16" w:rsidR="006C7CFF" w:rsidRPr="002A0A70" w:rsidRDefault="006C7CFF" w:rsidP="002E14BB">
      <w:pPr>
        <w:ind w:left="5670" w:right="-24" w:hanging="1134"/>
        <w:rPr>
          <w:b/>
          <w:color w:val="0070C0"/>
          <w:u w:val="single"/>
        </w:rPr>
        <w:sectPr w:rsidR="006C7CFF" w:rsidRPr="002A0A70" w:rsidSect="006C7CFF">
          <w:footerReference w:type="default" r:id="rId11"/>
          <w:footerReference w:type="first" r:id="rId12"/>
          <w:pgSz w:w="11907" w:h="16840" w:code="9"/>
          <w:pgMar w:top="1134" w:right="1797" w:bottom="709" w:left="1797" w:header="720" w:footer="720" w:gutter="0"/>
          <w:cols w:space="720"/>
          <w:titlePg/>
          <w:docGrid w:linePitch="326"/>
        </w:sectPr>
      </w:pPr>
    </w:p>
    <w:p w14:paraId="0F2DBA18" w14:textId="358B7A8B" w:rsidR="00E33FCD" w:rsidRPr="002A0A70" w:rsidRDefault="00E33FCD" w:rsidP="004B466D">
      <w:pPr>
        <w:ind w:left="5670" w:right="-24" w:hanging="2835"/>
        <w:jc w:val="right"/>
        <w:rPr>
          <w:b/>
          <w:u w:val="single"/>
        </w:rPr>
      </w:pPr>
      <w:r w:rsidRPr="002A0A70">
        <w:rPr>
          <w:b/>
          <w:u w:val="single"/>
        </w:rPr>
        <w:lastRenderedPageBreak/>
        <w:t>ATTACHMENT</w:t>
      </w:r>
    </w:p>
    <w:p w14:paraId="4E335954" w14:textId="152F4B6C" w:rsidR="00E33FCD" w:rsidRPr="002A0A70" w:rsidRDefault="00E33FCD" w:rsidP="00E33FCD">
      <w:pPr>
        <w:ind w:right="-24"/>
        <w:rPr>
          <w:b/>
          <w:bCs/>
          <w:i/>
          <w:iCs/>
          <w:u w:val="single"/>
        </w:rPr>
      </w:pPr>
      <w:r w:rsidRPr="002A0A70">
        <w:rPr>
          <w:b/>
          <w:bCs/>
          <w:u w:val="single"/>
        </w:rPr>
        <w:t xml:space="preserve">Details of the proposed </w:t>
      </w:r>
      <w:r w:rsidRPr="002A0A70">
        <w:rPr>
          <w:b/>
          <w:i/>
          <w:iCs/>
          <w:u w:val="single"/>
        </w:rPr>
        <w:t xml:space="preserve">Australian Radiation Protection and Nuclear Safety Amendment </w:t>
      </w:r>
      <w:r w:rsidR="00A62FD0" w:rsidRPr="002A0A70">
        <w:rPr>
          <w:b/>
          <w:i/>
          <w:iCs/>
          <w:u w:val="single"/>
        </w:rPr>
        <w:t>(202</w:t>
      </w:r>
      <w:r w:rsidR="00814BAE" w:rsidRPr="002A0A70">
        <w:rPr>
          <w:b/>
          <w:i/>
          <w:iCs/>
          <w:u w:val="single"/>
        </w:rPr>
        <w:t>1</w:t>
      </w:r>
      <w:r w:rsidR="00A62FD0" w:rsidRPr="002A0A70">
        <w:rPr>
          <w:b/>
          <w:i/>
          <w:iCs/>
          <w:u w:val="single"/>
        </w:rPr>
        <w:t xml:space="preserve"> Measures No. 1) </w:t>
      </w:r>
      <w:r w:rsidRPr="002A0A70">
        <w:rPr>
          <w:b/>
          <w:i/>
          <w:iCs/>
          <w:u w:val="single"/>
        </w:rPr>
        <w:t>Regulations 20</w:t>
      </w:r>
      <w:r w:rsidR="002421A4" w:rsidRPr="002A0A70">
        <w:rPr>
          <w:b/>
          <w:i/>
          <w:iCs/>
          <w:u w:val="single"/>
        </w:rPr>
        <w:t>2</w:t>
      </w:r>
      <w:r w:rsidR="00814BAE" w:rsidRPr="002A0A70">
        <w:rPr>
          <w:b/>
          <w:i/>
          <w:iCs/>
          <w:u w:val="single"/>
        </w:rPr>
        <w:t>1</w:t>
      </w:r>
    </w:p>
    <w:p w14:paraId="22F6C116" w14:textId="77777777" w:rsidR="00E33FCD" w:rsidRPr="002A0A70" w:rsidRDefault="00E33FCD" w:rsidP="00E33FCD">
      <w:pPr>
        <w:ind w:right="-24"/>
        <w:rPr>
          <w:u w:val="single"/>
        </w:rPr>
      </w:pPr>
      <w:r w:rsidRPr="002A0A70">
        <w:rPr>
          <w:u w:val="single"/>
        </w:rPr>
        <w:t>Section 1 – Name of regulation</w:t>
      </w:r>
    </w:p>
    <w:p w14:paraId="6F5A2D19" w14:textId="310C800D" w:rsidR="00E33FCD" w:rsidRPr="002A0A70" w:rsidRDefault="00E33FCD" w:rsidP="00E33FCD">
      <w:pPr>
        <w:ind w:right="-24"/>
        <w:rPr>
          <w:b/>
        </w:rPr>
      </w:pPr>
      <w:r w:rsidRPr="002A0A70">
        <w:t>This section provide</w:t>
      </w:r>
      <w:r w:rsidR="000C32ED" w:rsidRPr="002A0A70">
        <w:t>s</w:t>
      </w:r>
      <w:r w:rsidRPr="002A0A70">
        <w:t xml:space="preserve"> the name of the regulations </w:t>
      </w:r>
      <w:r w:rsidR="00415A1F" w:rsidRPr="002A0A70">
        <w:t>a</w:t>
      </w:r>
      <w:r w:rsidRPr="002A0A70">
        <w:t xml:space="preserve">s the </w:t>
      </w:r>
      <w:r w:rsidRPr="002A0A70">
        <w:rPr>
          <w:i/>
          <w:iCs/>
        </w:rPr>
        <w:t xml:space="preserve">Australian Radiation Protection and Nuclear Safety Amendment </w:t>
      </w:r>
      <w:r w:rsidR="00A62FD0" w:rsidRPr="002A0A70">
        <w:rPr>
          <w:i/>
          <w:iCs/>
        </w:rPr>
        <w:t>(202</w:t>
      </w:r>
      <w:r w:rsidR="00814BAE" w:rsidRPr="002A0A70">
        <w:rPr>
          <w:i/>
          <w:iCs/>
        </w:rPr>
        <w:t>1</w:t>
      </w:r>
      <w:r w:rsidR="00A62FD0" w:rsidRPr="002A0A70">
        <w:rPr>
          <w:i/>
          <w:iCs/>
        </w:rPr>
        <w:t xml:space="preserve"> Measures No. 1) </w:t>
      </w:r>
      <w:r w:rsidRPr="002A0A70">
        <w:rPr>
          <w:i/>
          <w:iCs/>
        </w:rPr>
        <w:t>Regulations 20</w:t>
      </w:r>
      <w:r w:rsidR="00A82C1C" w:rsidRPr="002A0A70">
        <w:rPr>
          <w:i/>
          <w:iCs/>
        </w:rPr>
        <w:t>2</w:t>
      </w:r>
      <w:r w:rsidR="00814BAE" w:rsidRPr="002A0A70">
        <w:rPr>
          <w:i/>
          <w:iCs/>
        </w:rPr>
        <w:t>1</w:t>
      </w:r>
      <w:r w:rsidR="00E72528" w:rsidRPr="002A0A70">
        <w:rPr>
          <w:iCs/>
        </w:rPr>
        <w:t>.</w:t>
      </w:r>
    </w:p>
    <w:p w14:paraId="71811C8D" w14:textId="77777777" w:rsidR="00E33FCD" w:rsidRPr="002A0A70" w:rsidRDefault="00E33FCD" w:rsidP="00E33FCD">
      <w:pPr>
        <w:ind w:right="-24"/>
        <w:rPr>
          <w:u w:val="single"/>
        </w:rPr>
      </w:pPr>
      <w:r w:rsidRPr="002A0A70">
        <w:rPr>
          <w:u w:val="single"/>
        </w:rPr>
        <w:t>Section 2 – Commencement</w:t>
      </w:r>
    </w:p>
    <w:p w14:paraId="013152D3" w14:textId="6CBBE2AD" w:rsidR="00E33FCD" w:rsidRPr="002A0A70" w:rsidRDefault="00E33FCD" w:rsidP="00E33FCD">
      <w:pPr>
        <w:ind w:right="-24"/>
      </w:pPr>
      <w:r w:rsidRPr="002A0A70">
        <w:t>This section</w:t>
      </w:r>
      <w:r w:rsidR="00132B59" w:rsidRPr="002A0A70">
        <w:t xml:space="preserve"> </w:t>
      </w:r>
      <w:r w:rsidR="000C32ED" w:rsidRPr="002A0A70">
        <w:t xml:space="preserve">provides </w:t>
      </w:r>
      <w:r w:rsidRPr="002A0A70">
        <w:t>for the regulations to commence on</w:t>
      </w:r>
      <w:r w:rsidR="00814BAE" w:rsidRPr="002A0A70">
        <w:t xml:space="preserve"> the day after this instrument is registered</w:t>
      </w:r>
      <w:r w:rsidRPr="002A0A70">
        <w:t>.</w:t>
      </w:r>
    </w:p>
    <w:p w14:paraId="5C431708" w14:textId="77777777" w:rsidR="00E33FCD" w:rsidRPr="002A0A70" w:rsidRDefault="00E33FCD" w:rsidP="00E33FCD">
      <w:pPr>
        <w:ind w:right="-24"/>
        <w:rPr>
          <w:u w:val="single"/>
        </w:rPr>
      </w:pPr>
      <w:r w:rsidRPr="002A0A70">
        <w:rPr>
          <w:u w:val="single"/>
        </w:rPr>
        <w:t>Section 3 – Authority</w:t>
      </w:r>
    </w:p>
    <w:p w14:paraId="14D77875" w14:textId="1C87C9D1" w:rsidR="00E33FCD" w:rsidRPr="002A0A70" w:rsidRDefault="00E33FCD" w:rsidP="00E33FCD">
      <w:pPr>
        <w:ind w:right="-24"/>
      </w:pPr>
      <w:r w:rsidRPr="002A0A70">
        <w:t>This section</w:t>
      </w:r>
      <w:r w:rsidR="000C32ED" w:rsidRPr="002A0A70">
        <w:t xml:space="preserve"> provides </w:t>
      </w:r>
      <w:r w:rsidRPr="002A0A70">
        <w:t xml:space="preserve">that the regulations are made under the </w:t>
      </w:r>
      <w:r w:rsidRPr="002A0A70">
        <w:rPr>
          <w:i/>
        </w:rPr>
        <w:t>Australian Radiation Protection and Nuclear Safety Act 1998</w:t>
      </w:r>
      <w:r w:rsidRPr="002A0A70">
        <w:t>.</w:t>
      </w:r>
    </w:p>
    <w:p w14:paraId="2934EAAF" w14:textId="77777777" w:rsidR="00E33FCD" w:rsidRPr="002A0A70" w:rsidRDefault="00E33FCD" w:rsidP="00E33FCD">
      <w:pPr>
        <w:ind w:right="-24"/>
        <w:rPr>
          <w:u w:val="single"/>
        </w:rPr>
      </w:pPr>
      <w:r w:rsidRPr="002A0A70">
        <w:rPr>
          <w:u w:val="single"/>
        </w:rPr>
        <w:t>Section 4 – Schedules(s)</w:t>
      </w:r>
    </w:p>
    <w:p w14:paraId="35CC2D52" w14:textId="6573B731" w:rsidR="00135613" w:rsidRPr="002A0A70" w:rsidRDefault="00E33FCD" w:rsidP="00994311">
      <w:pPr>
        <w:ind w:right="-24"/>
      </w:pPr>
      <w:r w:rsidRPr="002A0A70">
        <w:t xml:space="preserve">This section </w:t>
      </w:r>
      <w:r w:rsidR="000C32ED" w:rsidRPr="002A0A70">
        <w:t xml:space="preserve">provides </w:t>
      </w:r>
      <w:r w:rsidRPr="002A0A70">
        <w:t>that each instrument that is specified in a Schedule to this instrument is amended or repealed as set out in the applicable items in the Schedule concerned, and any other item in a Schedule to this instrument has effect according to its terms.</w:t>
      </w:r>
    </w:p>
    <w:p w14:paraId="2347BB8D" w14:textId="4BC50EFA" w:rsidR="004F2A84" w:rsidRPr="002A0A70" w:rsidRDefault="004F2A84">
      <w:pPr>
        <w:spacing w:before="0"/>
        <w:rPr>
          <w:u w:val="single"/>
        </w:rPr>
      </w:pPr>
      <w:r w:rsidRPr="002A0A70">
        <w:rPr>
          <w:u w:val="single"/>
        </w:rPr>
        <w:br w:type="page"/>
      </w:r>
    </w:p>
    <w:p w14:paraId="61DC5C05" w14:textId="77777777" w:rsidR="00994311" w:rsidRPr="002A0A70" w:rsidRDefault="00994311" w:rsidP="00994311">
      <w:pPr>
        <w:ind w:right="-24"/>
        <w:rPr>
          <w:u w:val="single"/>
        </w:rPr>
      </w:pPr>
    </w:p>
    <w:p w14:paraId="456BA0D2" w14:textId="7FF003BC" w:rsidR="00E33FCD" w:rsidRPr="002A0A70" w:rsidRDefault="00E33FCD" w:rsidP="00E33FCD">
      <w:pPr>
        <w:ind w:right="-24"/>
        <w:rPr>
          <w:u w:val="single"/>
        </w:rPr>
      </w:pPr>
      <w:r w:rsidRPr="002A0A70">
        <w:rPr>
          <w:u w:val="single"/>
        </w:rPr>
        <w:t>Schedule 1––Amendments</w:t>
      </w:r>
    </w:p>
    <w:p w14:paraId="62FE446B" w14:textId="4EC7583A" w:rsidR="00E33FCD" w:rsidRPr="002A0A70" w:rsidRDefault="00E33FCD" w:rsidP="00E33FCD">
      <w:pPr>
        <w:ind w:right="-24"/>
        <w:rPr>
          <w:b/>
          <w:i/>
          <w:spacing w:val="-6"/>
          <w:szCs w:val="24"/>
        </w:rPr>
      </w:pPr>
      <w:r w:rsidRPr="002A0A70">
        <w:rPr>
          <w:b/>
          <w:i/>
          <w:spacing w:val="-6"/>
          <w:szCs w:val="24"/>
        </w:rPr>
        <w:t>Australian Radiation Protection and Nuclear Safety Regulations 2018</w:t>
      </w:r>
    </w:p>
    <w:p w14:paraId="230ABCBD" w14:textId="065295F2" w:rsidR="00A94151" w:rsidRPr="002A0A70" w:rsidRDefault="00A94151" w:rsidP="00A94151">
      <w:pPr>
        <w:rPr>
          <w:rFonts w:eastAsiaTheme="minorHAnsi"/>
          <w:b/>
          <w:szCs w:val="24"/>
          <w:lang w:eastAsia="en-US"/>
        </w:rPr>
      </w:pPr>
      <w:bookmarkStart w:id="0" w:name="_Hlk63178250"/>
      <w:r w:rsidRPr="002A0A70">
        <w:rPr>
          <w:rFonts w:eastAsiaTheme="minorHAnsi"/>
          <w:b/>
          <w:szCs w:val="24"/>
          <w:lang w:eastAsia="en-US"/>
        </w:rPr>
        <w:t>Items 1, 2, 3, 5, 11, 16, and 19 – Sections 4 (definitions), Subsection 44(1) (table item 6, paragraph (a), Paragraph 59(1)(aa) (definition of Disposal of Radioactive Waste Code) and Paragraph 81(a)</w:t>
      </w:r>
    </w:p>
    <w:p w14:paraId="6DF75AC0" w14:textId="46E0699E" w:rsidR="00A94151" w:rsidRPr="002A0A70" w:rsidRDefault="00A94151" w:rsidP="00A94151">
      <w:pPr>
        <w:pStyle w:val="ItemHead"/>
        <w:ind w:left="0" w:firstLine="0"/>
        <w:rPr>
          <w:rFonts w:ascii="Times New Roman" w:hAnsi="Times New Roman"/>
          <w:b w:val="0"/>
          <w:szCs w:val="24"/>
        </w:rPr>
      </w:pPr>
      <w:r w:rsidRPr="002A0A70">
        <w:rPr>
          <w:rFonts w:ascii="Times New Roman" w:hAnsi="Times New Roman"/>
          <w:b w:val="0"/>
          <w:szCs w:val="24"/>
        </w:rPr>
        <w:t>These amendments update references to various Codes and Standards mentioned in the ARPANS Regulations to ensure the reference is to the latest version of each document.</w:t>
      </w:r>
    </w:p>
    <w:bookmarkEnd w:id="0"/>
    <w:p w14:paraId="45616B84" w14:textId="0B1FE5F6" w:rsidR="00A94151" w:rsidRPr="002A0A70" w:rsidRDefault="00A94151" w:rsidP="00A94151">
      <w:pPr>
        <w:rPr>
          <w:rFonts w:eastAsiaTheme="minorHAnsi"/>
          <w:b/>
          <w:szCs w:val="24"/>
          <w:lang w:eastAsia="en-US"/>
        </w:rPr>
      </w:pPr>
      <w:r w:rsidRPr="002A0A70">
        <w:rPr>
          <w:rFonts w:eastAsiaTheme="minorHAnsi"/>
          <w:b/>
          <w:szCs w:val="24"/>
          <w:lang w:eastAsia="en-US"/>
        </w:rPr>
        <w:t>Items 4, 6, 17 and 20 - Section 4 (notes to definitions), Subsection 59(1) (note) and Section 81 (note)</w:t>
      </w:r>
    </w:p>
    <w:p w14:paraId="456672DB" w14:textId="5B5E1BEC" w:rsidR="00A94151" w:rsidRPr="002A0A70" w:rsidRDefault="00A94151" w:rsidP="00A94151">
      <w:pPr>
        <w:pStyle w:val="ItemHead"/>
        <w:ind w:left="0" w:firstLine="0"/>
        <w:rPr>
          <w:rFonts w:ascii="Times New Roman" w:hAnsi="Times New Roman"/>
          <w:b w:val="0"/>
          <w:szCs w:val="24"/>
        </w:rPr>
      </w:pPr>
      <w:r w:rsidRPr="002A0A70">
        <w:rPr>
          <w:rFonts w:ascii="Times New Roman" w:hAnsi="Times New Roman"/>
          <w:b w:val="0"/>
          <w:szCs w:val="24"/>
        </w:rPr>
        <w:t>These amendments update references to various Codes published by ARPANSA to note copies could in 2021 be viewed on ARPANSA’s website https://www.arpansa.gov.au.</w:t>
      </w:r>
    </w:p>
    <w:p w14:paraId="0651157A" w14:textId="786B6701" w:rsidR="00A94151" w:rsidRPr="002A0A70" w:rsidRDefault="00A94151" w:rsidP="00A94151">
      <w:pPr>
        <w:ind w:left="851" w:hanging="851"/>
        <w:rPr>
          <w:rFonts w:eastAsiaTheme="minorHAnsi"/>
          <w:b/>
          <w:szCs w:val="24"/>
          <w:lang w:eastAsia="en-US"/>
        </w:rPr>
      </w:pPr>
      <w:r w:rsidRPr="002A0A70">
        <w:rPr>
          <w:rFonts w:eastAsiaTheme="minorHAnsi"/>
          <w:b/>
          <w:szCs w:val="24"/>
          <w:lang w:eastAsia="en-US"/>
        </w:rPr>
        <w:t>Items 7 and 8 - Section 4 (definitions and notes to definitions)</w:t>
      </w:r>
    </w:p>
    <w:p w14:paraId="6FB19B98" w14:textId="3838D91E" w:rsidR="00A94151" w:rsidRPr="002A0A70" w:rsidRDefault="00A94151" w:rsidP="00A94151">
      <w:pPr>
        <w:pStyle w:val="ItemHead"/>
        <w:ind w:left="0" w:firstLine="0"/>
        <w:rPr>
          <w:rFonts w:ascii="Times New Roman" w:hAnsi="Times New Roman"/>
          <w:b w:val="0"/>
          <w:szCs w:val="24"/>
        </w:rPr>
      </w:pPr>
      <w:r w:rsidRPr="002A0A70">
        <w:rPr>
          <w:rFonts w:ascii="Times New Roman" w:hAnsi="Times New Roman"/>
          <w:b w:val="0"/>
          <w:szCs w:val="24"/>
        </w:rPr>
        <w:t>These amendments update references to various Codes mentioned in the ARPANS Regulations to ensure the reference is to the latest version of each document and to note copies could in 2021 be viewed on ARPANSA’s website https://www.arpansa.gov.au.</w:t>
      </w:r>
    </w:p>
    <w:p w14:paraId="0BAB11DB" w14:textId="0FE41C58" w:rsidR="00A94151" w:rsidRPr="002A0A70" w:rsidRDefault="00A94151" w:rsidP="00A94151">
      <w:pPr>
        <w:ind w:left="851" w:hanging="851"/>
        <w:rPr>
          <w:rFonts w:eastAsiaTheme="minorHAnsi"/>
          <w:b/>
          <w:szCs w:val="24"/>
          <w:lang w:eastAsia="en-US"/>
        </w:rPr>
      </w:pPr>
      <w:r w:rsidRPr="002A0A70">
        <w:rPr>
          <w:rFonts w:eastAsiaTheme="minorEastAsia"/>
          <w:b/>
          <w:bCs/>
          <w:lang w:eastAsia="en-US"/>
        </w:rPr>
        <w:t>Items 9 and 10 - Subsection 9(1) (paragraph (a) and paragraph (b))</w:t>
      </w:r>
    </w:p>
    <w:p w14:paraId="3CD8A6F2" w14:textId="5D3E2B13" w:rsidR="00A94151" w:rsidRPr="002A0A70" w:rsidRDefault="17446759" w:rsidP="1A76A81F">
      <w:pPr>
        <w:pStyle w:val="Item"/>
        <w:ind w:left="0"/>
        <w:rPr>
          <w:sz w:val="24"/>
          <w:szCs w:val="24"/>
        </w:rPr>
      </w:pPr>
      <w:r w:rsidRPr="002A0A70">
        <w:rPr>
          <w:sz w:val="24"/>
          <w:szCs w:val="24"/>
        </w:rPr>
        <w:t>These amendments would allow the regulation of new technology non-ionizing radiation apparatus by removing the old technology names of non-ionizing radiation apparatus set out in paragraph (a) and making it clear that the apparatus is the thing referred to in paragraph (b) that produces non-ionizing radiation</w:t>
      </w:r>
      <w:r w:rsidR="00A94151" w:rsidRPr="002A0A70">
        <w:rPr>
          <w:sz w:val="24"/>
          <w:szCs w:val="24"/>
        </w:rPr>
        <w:t xml:space="preserve">. </w:t>
      </w:r>
    </w:p>
    <w:p w14:paraId="5E896814" w14:textId="3D20161D" w:rsidR="00A94151" w:rsidRPr="002A0A70" w:rsidRDefault="00A94151" w:rsidP="00A94151">
      <w:pPr>
        <w:ind w:left="851" w:hanging="851"/>
        <w:rPr>
          <w:rFonts w:eastAsiaTheme="minorHAnsi"/>
          <w:b/>
          <w:szCs w:val="24"/>
          <w:lang w:eastAsia="en-US"/>
        </w:rPr>
      </w:pPr>
      <w:r w:rsidRPr="002A0A70">
        <w:rPr>
          <w:rFonts w:eastAsiaTheme="minorHAnsi"/>
          <w:b/>
          <w:szCs w:val="24"/>
          <w:lang w:eastAsia="en-US"/>
        </w:rPr>
        <w:t>Item 12 - Subsection 44(1) (table item 7)</w:t>
      </w:r>
    </w:p>
    <w:p w14:paraId="586AC31F" w14:textId="4D1DD270" w:rsidR="00A94151" w:rsidRPr="002A0A70" w:rsidRDefault="00A94151" w:rsidP="00A94151">
      <w:pPr>
        <w:pStyle w:val="Item"/>
        <w:ind w:left="0"/>
        <w:rPr>
          <w:sz w:val="24"/>
          <w:szCs w:val="24"/>
        </w:rPr>
      </w:pPr>
      <w:r w:rsidRPr="002A0A70">
        <w:rPr>
          <w:sz w:val="24"/>
          <w:szCs w:val="24"/>
        </w:rPr>
        <w:t xml:space="preserve">This amendment exempts the following dealings with low hazard apparatus that emitted very low levels of non-ionizing radiation: </w:t>
      </w:r>
    </w:p>
    <w:p w14:paraId="12CC5FC5" w14:textId="77777777" w:rsidR="00A94151" w:rsidRPr="002A0A70" w:rsidRDefault="00A94151" w:rsidP="00A94151">
      <w:pPr>
        <w:pStyle w:val="paragraph"/>
        <w:numPr>
          <w:ilvl w:val="0"/>
          <w:numId w:val="45"/>
        </w:numPr>
        <w:tabs>
          <w:tab w:val="clear" w:pos="1531"/>
        </w:tabs>
        <w:ind w:left="851" w:hanging="425"/>
        <w:rPr>
          <w:sz w:val="24"/>
          <w:szCs w:val="24"/>
        </w:rPr>
      </w:pPr>
      <w:r w:rsidRPr="002A0A70">
        <w:rPr>
          <w:sz w:val="24"/>
          <w:szCs w:val="24"/>
        </w:rPr>
        <w:t>a laser product with an accessible emission that does not exceed the accessible emission limits of a Class 3R laser product, as set out in AS/NZS IEC 60825.1:2014;</w:t>
      </w:r>
    </w:p>
    <w:p w14:paraId="4582C46F" w14:textId="77777777" w:rsidR="00A94151" w:rsidRPr="002A0A70" w:rsidRDefault="00A94151" w:rsidP="00A94151">
      <w:pPr>
        <w:pStyle w:val="paragraph"/>
        <w:numPr>
          <w:ilvl w:val="0"/>
          <w:numId w:val="45"/>
        </w:numPr>
        <w:tabs>
          <w:tab w:val="clear" w:pos="1531"/>
        </w:tabs>
        <w:ind w:left="851" w:hanging="425"/>
        <w:rPr>
          <w:sz w:val="24"/>
          <w:szCs w:val="24"/>
        </w:rPr>
      </w:pPr>
      <w:r w:rsidRPr="002A0A70">
        <w:rPr>
          <w:sz w:val="24"/>
          <w:szCs w:val="24"/>
        </w:rPr>
        <w:t>an optical fibre communication system that does not exceed the hazard level 3R, as set out in AS/NZS IEC 60825.2:2011; and</w:t>
      </w:r>
    </w:p>
    <w:p w14:paraId="44B6B52F" w14:textId="77777777" w:rsidR="00A94151" w:rsidRPr="002A0A70" w:rsidRDefault="00A94151" w:rsidP="00A94151">
      <w:pPr>
        <w:pStyle w:val="paragraph"/>
        <w:numPr>
          <w:ilvl w:val="0"/>
          <w:numId w:val="45"/>
        </w:numPr>
        <w:tabs>
          <w:tab w:val="clear" w:pos="1531"/>
        </w:tabs>
        <w:ind w:left="851" w:hanging="425"/>
        <w:rPr>
          <w:sz w:val="24"/>
          <w:szCs w:val="24"/>
        </w:rPr>
      </w:pPr>
      <w:r w:rsidRPr="002A0A70">
        <w:rPr>
          <w:sz w:val="24"/>
          <w:szCs w:val="24"/>
        </w:rPr>
        <w:t>a klystron.</w:t>
      </w:r>
    </w:p>
    <w:p w14:paraId="3051A444" w14:textId="77777777" w:rsidR="00A94151" w:rsidRPr="002A0A70" w:rsidRDefault="00A94151" w:rsidP="00A94151">
      <w:pPr>
        <w:pStyle w:val="paragraph"/>
        <w:tabs>
          <w:tab w:val="clear" w:pos="1531"/>
        </w:tabs>
        <w:ind w:left="1134" w:hanging="425"/>
        <w:rPr>
          <w:sz w:val="24"/>
          <w:szCs w:val="24"/>
        </w:rPr>
      </w:pPr>
    </w:p>
    <w:p w14:paraId="47179686" w14:textId="76D5CB8E" w:rsidR="00A94151" w:rsidRPr="002A0A70" w:rsidRDefault="00A94151" w:rsidP="00A94151">
      <w:pPr>
        <w:pStyle w:val="paragraph"/>
        <w:tabs>
          <w:tab w:val="clear" w:pos="1531"/>
        </w:tabs>
        <w:ind w:left="0" w:firstLine="0"/>
        <w:rPr>
          <w:sz w:val="24"/>
          <w:szCs w:val="24"/>
        </w:rPr>
      </w:pPr>
      <w:r w:rsidRPr="002A0A70">
        <w:rPr>
          <w:sz w:val="24"/>
          <w:szCs w:val="24"/>
        </w:rPr>
        <w:t xml:space="preserve">The intended effect of this amendment is to exempt these low hazard dealings from the operation of the ARPANS </w:t>
      </w:r>
      <w:r w:rsidR="00437A77" w:rsidRPr="002A0A70">
        <w:rPr>
          <w:sz w:val="24"/>
          <w:szCs w:val="24"/>
        </w:rPr>
        <w:t>Act</w:t>
      </w:r>
      <w:r w:rsidRPr="002A0A70">
        <w:rPr>
          <w:sz w:val="24"/>
          <w:szCs w:val="24"/>
        </w:rPr>
        <w:t>.</w:t>
      </w:r>
    </w:p>
    <w:p w14:paraId="6EF67A01" w14:textId="12FD2E94" w:rsidR="00A94151" w:rsidRPr="002A0A70" w:rsidRDefault="00A94151" w:rsidP="00A94151">
      <w:pPr>
        <w:ind w:left="851" w:hanging="851"/>
        <w:rPr>
          <w:rFonts w:eastAsiaTheme="minorHAnsi"/>
          <w:b/>
          <w:szCs w:val="24"/>
          <w:lang w:eastAsia="en-US"/>
        </w:rPr>
      </w:pPr>
      <w:r w:rsidRPr="002A0A70">
        <w:rPr>
          <w:rFonts w:eastAsiaTheme="minorHAnsi"/>
          <w:b/>
          <w:szCs w:val="24"/>
          <w:lang w:eastAsia="en-US"/>
        </w:rPr>
        <w:t xml:space="preserve">Item 13 - </w:t>
      </w:r>
      <w:bookmarkStart w:id="1" w:name="_Toc55992605"/>
      <w:r w:rsidRPr="002A0A70">
        <w:rPr>
          <w:rFonts w:eastAsiaTheme="minorHAnsi"/>
          <w:b/>
          <w:szCs w:val="24"/>
          <w:lang w:eastAsia="en-US"/>
        </w:rPr>
        <w:t>Division 4 (Application fees for licences</w:t>
      </w:r>
      <w:bookmarkEnd w:id="1"/>
      <w:r w:rsidRPr="002A0A70">
        <w:rPr>
          <w:rFonts w:eastAsiaTheme="minorHAnsi"/>
          <w:b/>
          <w:szCs w:val="24"/>
          <w:lang w:eastAsia="en-US"/>
        </w:rPr>
        <w:t>) of Part 5 (Licences)</w:t>
      </w:r>
    </w:p>
    <w:p w14:paraId="00B364B7" w14:textId="349ED3FC" w:rsidR="00A94151" w:rsidRPr="002A0A70" w:rsidRDefault="00A94151" w:rsidP="00A94151">
      <w:pPr>
        <w:ind w:right="-24"/>
        <w:rPr>
          <w:szCs w:val="24"/>
        </w:rPr>
      </w:pPr>
      <w:bookmarkStart w:id="2" w:name="_Toc55992606"/>
      <w:r w:rsidRPr="002A0A70">
        <w:lastRenderedPageBreak/>
        <w:t>This amendment modifies and simplifies the method for imposing fees for the assessment of licence applications</w:t>
      </w:r>
      <w:r w:rsidRPr="002A0A70">
        <w:rPr>
          <w:szCs w:val="24"/>
        </w:rPr>
        <w:t xml:space="preserve">. </w:t>
      </w:r>
    </w:p>
    <w:p w14:paraId="7D2B66C4" w14:textId="77777777" w:rsidR="00A94151" w:rsidRPr="002A0A70" w:rsidRDefault="00A94151" w:rsidP="00A94151">
      <w:pPr>
        <w:ind w:right="-24"/>
        <w:rPr>
          <w:szCs w:val="24"/>
        </w:rPr>
      </w:pPr>
      <w:r w:rsidRPr="002A0A70">
        <w:rPr>
          <w:szCs w:val="24"/>
        </w:rPr>
        <w:t>Division 4 of Part 5 prescribes the fee to accompany an application for a facility licence and the fee to accompany an application for a source licence.</w:t>
      </w:r>
    </w:p>
    <w:p w14:paraId="05126671" w14:textId="2898871B" w:rsidR="00A94151" w:rsidRPr="002A0A70" w:rsidRDefault="00A94151" w:rsidP="00A94151">
      <w:pPr>
        <w:pStyle w:val="subsection"/>
        <w:tabs>
          <w:tab w:val="clear" w:pos="1021"/>
          <w:tab w:val="right" w:pos="0"/>
        </w:tabs>
        <w:ind w:left="0" w:firstLine="0"/>
        <w:rPr>
          <w:sz w:val="24"/>
          <w:szCs w:val="24"/>
        </w:rPr>
      </w:pPr>
      <w:r w:rsidRPr="002A0A70">
        <w:rPr>
          <w:sz w:val="24"/>
          <w:szCs w:val="24"/>
        </w:rPr>
        <w:t xml:space="preserve">This amendment </w:t>
      </w:r>
      <w:bookmarkEnd w:id="2"/>
      <w:r w:rsidRPr="002A0A70">
        <w:rPr>
          <w:sz w:val="24"/>
          <w:szCs w:val="24"/>
        </w:rPr>
        <w:t>repeals Division 4 of Part 5 and adds a new Section 49 prescribing the fee to accompany an application (the nominal fee) for a licence described in an item of the following table.</w:t>
      </w:r>
    </w:p>
    <w:p w14:paraId="2DF0B805" w14:textId="77777777" w:rsidR="00A94151" w:rsidRPr="002A0A70" w:rsidRDefault="00A94151" w:rsidP="00A94151">
      <w:pPr>
        <w:pStyle w:val="subsection"/>
        <w:tabs>
          <w:tab w:val="clear" w:pos="1021"/>
          <w:tab w:val="right" w:pos="0"/>
        </w:tabs>
        <w:ind w:left="0" w:firstLine="0"/>
        <w:rPr>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302"/>
        <w:gridCol w:w="5057"/>
        <w:gridCol w:w="1836"/>
      </w:tblGrid>
      <w:tr w:rsidR="00A94151" w:rsidRPr="002A0A70" w14:paraId="0C0EDED1" w14:textId="77777777" w:rsidTr="1A76A81F">
        <w:trPr>
          <w:cantSplit/>
          <w:tblHeader/>
        </w:trPr>
        <w:tc>
          <w:tcPr>
            <w:tcW w:w="1302" w:type="dxa"/>
            <w:shd w:val="clear" w:color="auto" w:fill="EEECE1" w:themeFill="background2"/>
          </w:tcPr>
          <w:p w14:paraId="06D06FC9" w14:textId="77777777" w:rsidR="00A94151" w:rsidRPr="002A0A70" w:rsidRDefault="00A94151" w:rsidP="00BA238E">
            <w:pPr>
              <w:ind w:right="-24"/>
              <w:jc w:val="center"/>
              <w:rPr>
                <w:szCs w:val="24"/>
              </w:rPr>
            </w:pPr>
            <w:r w:rsidRPr="002A0A70">
              <w:rPr>
                <w:szCs w:val="24"/>
              </w:rPr>
              <w:t>Table Item</w:t>
            </w:r>
          </w:p>
        </w:tc>
        <w:tc>
          <w:tcPr>
            <w:tcW w:w="5057" w:type="dxa"/>
            <w:shd w:val="clear" w:color="auto" w:fill="EEECE1" w:themeFill="background2"/>
          </w:tcPr>
          <w:p w14:paraId="055D2EF1" w14:textId="2CC135F7" w:rsidR="00A94151" w:rsidRPr="002A0A70" w:rsidRDefault="1DAAFDBD" w:rsidP="006E0E7D">
            <w:pPr>
              <w:ind w:right="-24"/>
            </w:pPr>
            <w:r w:rsidRPr="002A0A70">
              <w:t xml:space="preserve"> </w:t>
            </w:r>
            <w:r w:rsidR="7EBB03D1" w:rsidRPr="002A0A70">
              <w:t>Application</w:t>
            </w:r>
          </w:p>
        </w:tc>
        <w:tc>
          <w:tcPr>
            <w:tcW w:w="1836" w:type="dxa"/>
            <w:shd w:val="clear" w:color="auto" w:fill="EEECE1" w:themeFill="background2"/>
          </w:tcPr>
          <w:p w14:paraId="62DE7A83" w14:textId="77777777" w:rsidR="00A94151" w:rsidRPr="002A0A70" w:rsidRDefault="00A94151" w:rsidP="00BA238E">
            <w:pPr>
              <w:ind w:right="-24"/>
              <w:jc w:val="center"/>
              <w:rPr>
                <w:szCs w:val="24"/>
              </w:rPr>
            </w:pPr>
            <w:r w:rsidRPr="002A0A70">
              <w:rPr>
                <w:szCs w:val="24"/>
              </w:rPr>
              <w:t>Fees ($)</w:t>
            </w:r>
          </w:p>
        </w:tc>
      </w:tr>
      <w:tr w:rsidR="00A94151" w:rsidRPr="002A0A70" w14:paraId="2394751D" w14:textId="77777777" w:rsidTr="1A76A81F">
        <w:trPr>
          <w:cantSplit/>
        </w:trPr>
        <w:tc>
          <w:tcPr>
            <w:tcW w:w="1302" w:type="dxa"/>
          </w:tcPr>
          <w:p w14:paraId="3186A8A1" w14:textId="77777777" w:rsidR="00A94151" w:rsidRPr="002A0A70" w:rsidRDefault="00A94151" w:rsidP="00A94151">
            <w:pPr>
              <w:numPr>
                <w:ilvl w:val="0"/>
                <w:numId w:val="42"/>
              </w:numPr>
              <w:spacing w:before="0"/>
              <w:ind w:right="-24"/>
              <w:rPr>
                <w:szCs w:val="24"/>
              </w:rPr>
            </w:pPr>
          </w:p>
        </w:tc>
        <w:tc>
          <w:tcPr>
            <w:tcW w:w="5057" w:type="dxa"/>
          </w:tcPr>
          <w:p w14:paraId="160004E1" w14:textId="77777777" w:rsidR="00A94151" w:rsidRPr="002A0A70" w:rsidRDefault="00A94151" w:rsidP="00BA238E">
            <w:pPr>
              <w:spacing w:before="0"/>
              <w:ind w:left="36" w:right="-24"/>
              <w:rPr>
                <w:szCs w:val="24"/>
              </w:rPr>
            </w:pPr>
            <w:r w:rsidRPr="002A0A70">
              <w:rPr>
                <w:szCs w:val="24"/>
              </w:rPr>
              <w:t>Application for a facility licence, except an application covered by item 2</w:t>
            </w:r>
          </w:p>
        </w:tc>
        <w:tc>
          <w:tcPr>
            <w:tcW w:w="1836" w:type="dxa"/>
          </w:tcPr>
          <w:p w14:paraId="19C7DDCB" w14:textId="77777777" w:rsidR="00A94151" w:rsidRPr="002A0A70" w:rsidRDefault="00A94151" w:rsidP="00BA238E">
            <w:pPr>
              <w:spacing w:before="0"/>
              <w:ind w:right="-24"/>
              <w:jc w:val="right"/>
              <w:rPr>
                <w:szCs w:val="24"/>
              </w:rPr>
            </w:pPr>
            <w:r w:rsidRPr="002A0A70">
              <w:rPr>
                <w:szCs w:val="24"/>
              </w:rPr>
              <w:t>9,900</w:t>
            </w:r>
          </w:p>
        </w:tc>
      </w:tr>
      <w:tr w:rsidR="00A94151" w:rsidRPr="002A0A70" w14:paraId="521D07B3" w14:textId="77777777" w:rsidTr="1A76A81F">
        <w:trPr>
          <w:cantSplit/>
        </w:trPr>
        <w:tc>
          <w:tcPr>
            <w:tcW w:w="1302" w:type="dxa"/>
          </w:tcPr>
          <w:p w14:paraId="115D8E23" w14:textId="77777777" w:rsidR="00A94151" w:rsidRPr="002A0A70" w:rsidRDefault="00A94151" w:rsidP="00A94151">
            <w:pPr>
              <w:numPr>
                <w:ilvl w:val="0"/>
                <w:numId w:val="42"/>
              </w:numPr>
              <w:spacing w:before="0"/>
              <w:ind w:right="-24"/>
              <w:rPr>
                <w:szCs w:val="24"/>
              </w:rPr>
            </w:pPr>
          </w:p>
        </w:tc>
        <w:tc>
          <w:tcPr>
            <w:tcW w:w="5057" w:type="dxa"/>
          </w:tcPr>
          <w:p w14:paraId="4D229BD2" w14:textId="77777777" w:rsidR="00A94151" w:rsidRPr="002A0A70" w:rsidRDefault="00A94151" w:rsidP="00BA238E">
            <w:pPr>
              <w:spacing w:before="0"/>
              <w:ind w:left="36" w:right="-24"/>
              <w:rPr>
                <w:szCs w:val="24"/>
              </w:rPr>
            </w:pPr>
            <w:r w:rsidRPr="002A0A70">
              <w:rPr>
                <w:szCs w:val="24"/>
              </w:rPr>
              <w:t>Application for a facility licence, if the application relates to a controlled facility that is a particle accelerator described in paragraph 13(1)(a) of this instrument</w:t>
            </w:r>
          </w:p>
        </w:tc>
        <w:tc>
          <w:tcPr>
            <w:tcW w:w="1836" w:type="dxa"/>
          </w:tcPr>
          <w:p w14:paraId="43C0AF97" w14:textId="77777777" w:rsidR="00A94151" w:rsidRPr="002A0A70" w:rsidRDefault="00A94151" w:rsidP="00BA238E">
            <w:pPr>
              <w:spacing w:before="0"/>
              <w:ind w:right="-24"/>
              <w:jc w:val="right"/>
              <w:rPr>
                <w:szCs w:val="24"/>
              </w:rPr>
            </w:pPr>
            <w:r w:rsidRPr="002A0A70">
              <w:rPr>
                <w:szCs w:val="24"/>
              </w:rPr>
              <w:t>11,000</w:t>
            </w:r>
          </w:p>
        </w:tc>
      </w:tr>
      <w:tr w:rsidR="00A94151" w:rsidRPr="002A0A70" w14:paraId="078BCD81" w14:textId="77777777" w:rsidTr="1A76A81F">
        <w:trPr>
          <w:cantSplit/>
        </w:trPr>
        <w:tc>
          <w:tcPr>
            <w:tcW w:w="1302" w:type="dxa"/>
          </w:tcPr>
          <w:p w14:paraId="3EBD41AF" w14:textId="77777777" w:rsidR="00A94151" w:rsidRPr="002A0A70" w:rsidRDefault="00A94151" w:rsidP="00A94151">
            <w:pPr>
              <w:numPr>
                <w:ilvl w:val="0"/>
                <w:numId w:val="42"/>
              </w:numPr>
              <w:spacing w:before="0"/>
              <w:ind w:right="-24"/>
              <w:rPr>
                <w:szCs w:val="24"/>
              </w:rPr>
            </w:pPr>
          </w:p>
        </w:tc>
        <w:tc>
          <w:tcPr>
            <w:tcW w:w="5057" w:type="dxa"/>
          </w:tcPr>
          <w:p w14:paraId="7D8DA060" w14:textId="77777777" w:rsidR="00A94151" w:rsidRPr="002A0A70" w:rsidRDefault="00A94151" w:rsidP="00BA238E">
            <w:pPr>
              <w:spacing w:before="0"/>
              <w:ind w:left="36" w:right="-24"/>
              <w:rPr>
                <w:szCs w:val="24"/>
              </w:rPr>
            </w:pPr>
            <w:r w:rsidRPr="002A0A70">
              <w:rPr>
                <w:szCs w:val="24"/>
              </w:rPr>
              <w:t>Application for a source licence, if the application relates only to controlled apparatus or controlled material in Group 1</w:t>
            </w:r>
          </w:p>
        </w:tc>
        <w:tc>
          <w:tcPr>
            <w:tcW w:w="1836" w:type="dxa"/>
          </w:tcPr>
          <w:p w14:paraId="3D4E7FDB" w14:textId="77777777" w:rsidR="00A94151" w:rsidRPr="002A0A70" w:rsidRDefault="00A94151" w:rsidP="00BA238E">
            <w:pPr>
              <w:spacing w:before="0"/>
              <w:ind w:right="-24"/>
              <w:jc w:val="right"/>
              <w:rPr>
                <w:szCs w:val="24"/>
              </w:rPr>
            </w:pPr>
            <w:r w:rsidRPr="002A0A70">
              <w:rPr>
                <w:szCs w:val="24"/>
              </w:rPr>
              <w:t>780</w:t>
            </w:r>
          </w:p>
        </w:tc>
      </w:tr>
      <w:tr w:rsidR="00A94151" w:rsidRPr="002A0A70" w14:paraId="3E34EE39" w14:textId="77777777" w:rsidTr="1A76A81F">
        <w:trPr>
          <w:cantSplit/>
        </w:trPr>
        <w:tc>
          <w:tcPr>
            <w:tcW w:w="1302" w:type="dxa"/>
          </w:tcPr>
          <w:p w14:paraId="19577248" w14:textId="77777777" w:rsidR="00A94151" w:rsidRPr="002A0A70" w:rsidRDefault="00A94151" w:rsidP="00BA238E">
            <w:pPr>
              <w:spacing w:before="0"/>
              <w:ind w:left="360" w:right="-24"/>
              <w:rPr>
                <w:szCs w:val="24"/>
              </w:rPr>
            </w:pPr>
            <w:r w:rsidRPr="002A0A70">
              <w:rPr>
                <w:szCs w:val="24"/>
              </w:rPr>
              <w:t>4.</w:t>
            </w:r>
          </w:p>
        </w:tc>
        <w:tc>
          <w:tcPr>
            <w:tcW w:w="5057" w:type="dxa"/>
          </w:tcPr>
          <w:p w14:paraId="4AC7F245" w14:textId="77777777" w:rsidR="00A94151" w:rsidRPr="002A0A70" w:rsidRDefault="00A94151" w:rsidP="00BA238E">
            <w:pPr>
              <w:spacing w:before="0"/>
              <w:ind w:right="-24"/>
              <w:rPr>
                <w:szCs w:val="24"/>
              </w:rPr>
            </w:pPr>
            <w:r w:rsidRPr="002A0A70">
              <w:rPr>
                <w:szCs w:val="24"/>
              </w:rPr>
              <w:t>Application for a source licence, if the application relates only to controlled apparatus or controlled material in:</w:t>
            </w:r>
          </w:p>
          <w:p w14:paraId="73A63128" w14:textId="77777777" w:rsidR="00A94151" w:rsidRPr="002A0A70" w:rsidRDefault="00A94151" w:rsidP="00BA238E">
            <w:pPr>
              <w:spacing w:before="0"/>
              <w:ind w:right="-24"/>
              <w:rPr>
                <w:szCs w:val="24"/>
              </w:rPr>
            </w:pPr>
            <w:r w:rsidRPr="002A0A70">
              <w:rPr>
                <w:szCs w:val="24"/>
              </w:rPr>
              <w:t>(a) Group 2; or</w:t>
            </w:r>
          </w:p>
          <w:p w14:paraId="49B8C18B" w14:textId="77777777" w:rsidR="00A94151" w:rsidRPr="002A0A70" w:rsidRDefault="00A94151" w:rsidP="00BA238E">
            <w:pPr>
              <w:spacing w:before="0"/>
              <w:ind w:right="-24"/>
              <w:rPr>
                <w:szCs w:val="24"/>
              </w:rPr>
            </w:pPr>
            <w:r w:rsidRPr="002A0A70">
              <w:rPr>
                <w:szCs w:val="24"/>
              </w:rPr>
              <w:t>(b) both Groups 1 and 2</w:t>
            </w:r>
          </w:p>
        </w:tc>
        <w:tc>
          <w:tcPr>
            <w:tcW w:w="1836" w:type="dxa"/>
          </w:tcPr>
          <w:p w14:paraId="4FE5CEA2" w14:textId="77777777" w:rsidR="00A94151" w:rsidRPr="002A0A70" w:rsidRDefault="00A94151" w:rsidP="00BA238E">
            <w:pPr>
              <w:spacing w:before="0"/>
              <w:ind w:right="-24"/>
              <w:jc w:val="right"/>
              <w:rPr>
                <w:szCs w:val="24"/>
              </w:rPr>
            </w:pPr>
            <w:r w:rsidRPr="002A0A70">
              <w:rPr>
                <w:szCs w:val="24"/>
              </w:rPr>
              <w:t>2,300</w:t>
            </w:r>
          </w:p>
        </w:tc>
      </w:tr>
      <w:tr w:rsidR="00A94151" w:rsidRPr="002A0A70" w14:paraId="293B1E14" w14:textId="77777777" w:rsidTr="1A76A81F">
        <w:trPr>
          <w:cantSplit/>
        </w:trPr>
        <w:tc>
          <w:tcPr>
            <w:tcW w:w="1302" w:type="dxa"/>
          </w:tcPr>
          <w:p w14:paraId="0FA3E497" w14:textId="77777777" w:rsidR="00A94151" w:rsidRPr="002A0A70" w:rsidRDefault="00A94151" w:rsidP="00BA238E">
            <w:pPr>
              <w:spacing w:before="0"/>
              <w:ind w:left="360" w:right="-24"/>
              <w:rPr>
                <w:szCs w:val="24"/>
              </w:rPr>
            </w:pPr>
            <w:r w:rsidRPr="002A0A70">
              <w:rPr>
                <w:szCs w:val="24"/>
              </w:rPr>
              <w:t>5.</w:t>
            </w:r>
          </w:p>
        </w:tc>
        <w:tc>
          <w:tcPr>
            <w:tcW w:w="5057" w:type="dxa"/>
          </w:tcPr>
          <w:p w14:paraId="1D852D34" w14:textId="77777777" w:rsidR="00A94151" w:rsidRPr="002A0A70" w:rsidRDefault="00A94151" w:rsidP="00BA238E">
            <w:pPr>
              <w:spacing w:before="0"/>
              <w:ind w:right="-24"/>
              <w:rPr>
                <w:szCs w:val="24"/>
              </w:rPr>
            </w:pPr>
            <w:r w:rsidRPr="002A0A70">
              <w:rPr>
                <w:szCs w:val="24"/>
              </w:rPr>
              <w:t>Application for a source licence, if the application relates to controlled apparatus or controlled material in:</w:t>
            </w:r>
          </w:p>
          <w:p w14:paraId="1923EE26" w14:textId="77777777" w:rsidR="00A94151" w:rsidRPr="002A0A70" w:rsidRDefault="00A94151" w:rsidP="00BA238E">
            <w:pPr>
              <w:spacing w:before="0"/>
              <w:ind w:right="-24"/>
              <w:rPr>
                <w:szCs w:val="24"/>
              </w:rPr>
            </w:pPr>
            <w:r w:rsidRPr="002A0A70">
              <w:rPr>
                <w:szCs w:val="24"/>
              </w:rPr>
              <w:t>(a) Group 3; or</w:t>
            </w:r>
          </w:p>
          <w:p w14:paraId="1273DB82" w14:textId="77777777" w:rsidR="00A94151" w:rsidRPr="002A0A70" w:rsidRDefault="00A94151" w:rsidP="00BA238E">
            <w:pPr>
              <w:spacing w:before="0"/>
              <w:ind w:right="-24"/>
              <w:rPr>
                <w:szCs w:val="24"/>
              </w:rPr>
            </w:pPr>
            <w:r w:rsidRPr="002A0A70">
              <w:rPr>
                <w:szCs w:val="24"/>
              </w:rPr>
              <w:t>(b) Group 3, and either or both Groups 1 and 2</w:t>
            </w:r>
          </w:p>
        </w:tc>
        <w:tc>
          <w:tcPr>
            <w:tcW w:w="1836" w:type="dxa"/>
          </w:tcPr>
          <w:p w14:paraId="01B8CA72" w14:textId="77777777" w:rsidR="00A94151" w:rsidRPr="002A0A70" w:rsidRDefault="00A94151" w:rsidP="00BA238E">
            <w:pPr>
              <w:spacing w:before="0"/>
              <w:ind w:right="-24"/>
              <w:jc w:val="right"/>
              <w:rPr>
                <w:szCs w:val="24"/>
              </w:rPr>
            </w:pPr>
            <w:r w:rsidRPr="002A0A70">
              <w:rPr>
                <w:szCs w:val="24"/>
              </w:rPr>
              <w:t>8,600</w:t>
            </w:r>
          </w:p>
        </w:tc>
      </w:tr>
    </w:tbl>
    <w:p w14:paraId="5BFDB49E" w14:textId="180CE032" w:rsidR="00A94151" w:rsidRPr="002A0A70" w:rsidRDefault="00A94151" w:rsidP="00A94151">
      <w:pPr>
        <w:pStyle w:val="subsection"/>
        <w:tabs>
          <w:tab w:val="clear" w:pos="1021"/>
        </w:tabs>
        <w:ind w:left="0" w:firstLine="0"/>
        <w:rPr>
          <w:sz w:val="24"/>
          <w:szCs w:val="24"/>
        </w:rPr>
      </w:pPr>
      <w:r w:rsidRPr="002A0A70">
        <w:rPr>
          <w:sz w:val="24"/>
          <w:szCs w:val="24"/>
        </w:rPr>
        <w:t>This amendment adds a new section 50 which sets out the fees payable for the service provided by the CEO of assessing an application for a facility licence covered by item 1 of the table in section 49 in deciding whether to issue the licence.</w:t>
      </w:r>
    </w:p>
    <w:p w14:paraId="2F06E997" w14:textId="5D77E09E" w:rsidR="00A94151" w:rsidRPr="002A0A70" w:rsidRDefault="00A94151" w:rsidP="00A94151">
      <w:pPr>
        <w:pStyle w:val="subsection"/>
        <w:tabs>
          <w:tab w:val="clear" w:pos="1021"/>
        </w:tabs>
        <w:rPr>
          <w:sz w:val="24"/>
          <w:szCs w:val="24"/>
        </w:rPr>
      </w:pPr>
      <w:r w:rsidRPr="002A0A70">
        <w:rPr>
          <w:sz w:val="24"/>
          <w:szCs w:val="24"/>
        </w:rPr>
        <w:t>The fees payable are:</w:t>
      </w:r>
    </w:p>
    <w:p w14:paraId="373C17AE" w14:textId="77777777" w:rsidR="00A94151" w:rsidRPr="002A0A70" w:rsidRDefault="00A94151" w:rsidP="00A94151">
      <w:pPr>
        <w:pStyle w:val="paragraph"/>
        <w:numPr>
          <w:ilvl w:val="0"/>
          <w:numId w:val="45"/>
        </w:numPr>
        <w:tabs>
          <w:tab w:val="clear" w:pos="1531"/>
        </w:tabs>
        <w:ind w:left="851" w:hanging="425"/>
        <w:rPr>
          <w:sz w:val="24"/>
          <w:szCs w:val="24"/>
        </w:rPr>
      </w:pPr>
      <w:r w:rsidRPr="002A0A70">
        <w:rPr>
          <w:sz w:val="24"/>
          <w:szCs w:val="24"/>
        </w:rPr>
        <w:t>$165 for each hour, or part of an hour, spent in assessing the application, less $9,900; and</w:t>
      </w:r>
    </w:p>
    <w:p w14:paraId="17652F2D" w14:textId="77777777" w:rsidR="00A94151" w:rsidRPr="002A0A70" w:rsidRDefault="00A94151" w:rsidP="00A94151">
      <w:pPr>
        <w:pStyle w:val="paragraph"/>
        <w:numPr>
          <w:ilvl w:val="0"/>
          <w:numId w:val="45"/>
        </w:numPr>
        <w:tabs>
          <w:tab w:val="clear" w:pos="1531"/>
        </w:tabs>
        <w:ind w:left="851" w:hanging="425"/>
        <w:rPr>
          <w:sz w:val="24"/>
          <w:szCs w:val="24"/>
        </w:rPr>
      </w:pPr>
      <w:r w:rsidRPr="002A0A70">
        <w:rPr>
          <w:sz w:val="24"/>
          <w:szCs w:val="24"/>
        </w:rPr>
        <w:t>if, for the purposes of assessing the application, the CEO incurs expenses for services provided by external consultants and suppliers—an amount equal to those expenses.</w:t>
      </w:r>
    </w:p>
    <w:p w14:paraId="1FCF9755" w14:textId="098DDE48" w:rsidR="00A94151" w:rsidRPr="002A0A70" w:rsidRDefault="00A94151" w:rsidP="00A94151">
      <w:pPr>
        <w:pStyle w:val="subsection"/>
        <w:tabs>
          <w:tab w:val="clear" w:pos="1021"/>
        </w:tabs>
        <w:ind w:left="0" w:firstLine="0"/>
        <w:rPr>
          <w:sz w:val="24"/>
          <w:szCs w:val="24"/>
        </w:rPr>
      </w:pPr>
      <w:r w:rsidRPr="002A0A70">
        <w:rPr>
          <w:sz w:val="24"/>
          <w:szCs w:val="24"/>
        </w:rPr>
        <w:t>This amendment also allows ARPANSA to issue invoices to the applicant for the licence to recover the costs incurred in assessing the application up to the date of each invoice.</w:t>
      </w:r>
    </w:p>
    <w:p w14:paraId="79ED6461" w14:textId="4C5C7ADF" w:rsidR="00A94151" w:rsidRPr="002A0A70" w:rsidRDefault="00A94151" w:rsidP="00A94151">
      <w:pPr>
        <w:ind w:left="851" w:hanging="851"/>
        <w:rPr>
          <w:rFonts w:eastAsiaTheme="minorHAnsi"/>
          <w:b/>
          <w:szCs w:val="24"/>
          <w:lang w:eastAsia="en-US"/>
        </w:rPr>
      </w:pPr>
      <w:r w:rsidRPr="002A0A70">
        <w:rPr>
          <w:rFonts w:eastAsiaTheme="minorHAnsi"/>
          <w:b/>
          <w:szCs w:val="24"/>
          <w:lang w:eastAsia="en-US"/>
        </w:rPr>
        <w:t>Items 14 and 15 – Subsection 58(1) and Subsection 58(2)</w:t>
      </w:r>
    </w:p>
    <w:p w14:paraId="2330C88A" w14:textId="5D28C20E" w:rsidR="00A94151" w:rsidRPr="002A0A70" w:rsidRDefault="00A94151" w:rsidP="00A94151">
      <w:pPr>
        <w:pStyle w:val="subsection"/>
        <w:tabs>
          <w:tab w:val="clear" w:pos="1021"/>
        </w:tabs>
        <w:ind w:left="0" w:firstLine="0"/>
        <w:rPr>
          <w:sz w:val="24"/>
          <w:szCs w:val="24"/>
        </w:rPr>
      </w:pPr>
      <w:r w:rsidRPr="002A0A70">
        <w:rPr>
          <w:sz w:val="24"/>
          <w:szCs w:val="24"/>
        </w:rPr>
        <w:t>Th</w:t>
      </w:r>
      <w:r w:rsidR="1CA9C9D7" w:rsidRPr="002A0A70">
        <w:rPr>
          <w:sz w:val="24"/>
          <w:szCs w:val="24"/>
        </w:rPr>
        <w:t>ese</w:t>
      </w:r>
      <w:r w:rsidRPr="002A0A70">
        <w:rPr>
          <w:sz w:val="24"/>
          <w:szCs w:val="24"/>
        </w:rPr>
        <w:t xml:space="preserve"> amendment</w:t>
      </w:r>
      <w:r w:rsidR="701C9A4E" w:rsidRPr="002A0A70">
        <w:rPr>
          <w:sz w:val="24"/>
          <w:szCs w:val="24"/>
        </w:rPr>
        <w:t>s</w:t>
      </w:r>
      <w:r w:rsidRPr="002A0A70">
        <w:rPr>
          <w:sz w:val="24"/>
          <w:szCs w:val="24"/>
        </w:rPr>
        <w:t xml:space="preserve"> introduce a new heading above subsection 58(1) making it clear that subsection 58(1) is about preventing accidents. This amendment adds a new </w:t>
      </w:r>
      <w:r w:rsidRPr="002A0A70">
        <w:rPr>
          <w:sz w:val="24"/>
          <w:szCs w:val="24"/>
        </w:rPr>
        <w:lastRenderedPageBreak/>
        <w:t>requirement on a licence holder (subsection 58(2)) where</w:t>
      </w:r>
      <w:r w:rsidR="7BFC3C6F" w:rsidRPr="002A0A70">
        <w:rPr>
          <w:sz w:val="24"/>
          <w:szCs w:val="24"/>
        </w:rPr>
        <w:t>,</w:t>
      </w:r>
      <w:r w:rsidRPr="002A0A70">
        <w:rPr>
          <w:sz w:val="24"/>
          <w:szCs w:val="24"/>
        </w:rPr>
        <w:t xml:space="preserve"> following an accident</w:t>
      </w:r>
      <w:r w:rsidR="329F7B46" w:rsidRPr="002A0A70">
        <w:rPr>
          <w:sz w:val="24"/>
          <w:szCs w:val="24"/>
        </w:rPr>
        <w:t>,</w:t>
      </w:r>
      <w:r w:rsidRPr="002A0A70">
        <w:rPr>
          <w:sz w:val="24"/>
          <w:szCs w:val="24"/>
        </w:rPr>
        <w:t xml:space="preserve"> the licence holder, for the purposes of preventing a reoccurrence of the accident, is required to review and update the plans and arrangements that are relevant to the accident (including any internal safety approval system that authorised an activity that led to the accident). The licence holder</w:t>
      </w:r>
      <w:r w:rsidR="37947E0C" w:rsidRPr="002A0A70">
        <w:rPr>
          <w:sz w:val="24"/>
          <w:szCs w:val="24"/>
        </w:rPr>
        <w:t>,</w:t>
      </w:r>
      <w:r w:rsidRPr="002A0A70">
        <w:rPr>
          <w:sz w:val="24"/>
          <w:szCs w:val="24"/>
        </w:rPr>
        <w:t xml:space="preserve"> following the review</w:t>
      </w:r>
      <w:r w:rsidR="4F7E02CA" w:rsidRPr="002A0A70">
        <w:rPr>
          <w:sz w:val="24"/>
          <w:szCs w:val="24"/>
        </w:rPr>
        <w:t>,</w:t>
      </w:r>
      <w:r w:rsidRPr="002A0A70">
        <w:rPr>
          <w:sz w:val="24"/>
          <w:szCs w:val="24"/>
        </w:rPr>
        <w:t xml:space="preserve"> is required to provide a written summary of the outcome of their review within seven months of the accident happening or, if the CEO extends the period, then the extended period.</w:t>
      </w:r>
    </w:p>
    <w:p w14:paraId="218A0DCF" w14:textId="12E2A89D" w:rsidR="00A94151" w:rsidRPr="002A0A70" w:rsidRDefault="00A94151" w:rsidP="00A94151">
      <w:pPr>
        <w:ind w:left="851" w:hanging="851"/>
        <w:rPr>
          <w:rFonts w:eastAsiaTheme="minorHAnsi"/>
          <w:b/>
          <w:szCs w:val="24"/>
          <w:lang w:eastAsia="en-US"/>
        </w:rPr>
      </w:pPr>
      <w:r w:rsidRPr="002A0A70">
        <w:rPr>
          <w:rFonts w:eastAsiaTheme="minorHAnsi"/>
          <w:b/>
          <w:szCs w:val="24"/>
          <w:lang w:eastAsia="en-US"/>
        </w:rPr>
        <w:t>Item 18 - Section 61</w:t>
      </w:r>
    </w:p>
    <w:p w14:paraId="4840701A" w14:textId="58A8B145" w:rsidR="00A94151" w:rsidRPr="002A0A70" w:rsidRDefault="00A94151" w:rsidP="00A94151">
      <w:pPr>
        <w:pStyle w:val="Item"/>
        <w:ind w:left="0"/>
        <w:rPr>
          <w:sz w:val="24"/>
          <w:szCs w:val="24"/>
        </w:rPr>
      </w:pPr>
      <w:r w:rsidRPr="002A0A70">
        <w:rPr>
          <w:sz w:val="24"/>
          <w:szCs w:val="24"/>
        </w:rPr>
        <w:t xml:space="preserve">Section 61 provides for the reviewing and updating </w:t>
      </w:r>
      <w:r w:rsidR="0EABCD7A" w:rsidRPr="002A0A70">
        <w:rPr>
          <w:sz w:val="24"/>
          <w:szCs w:val="24"/>
        </w:rPr>
        <w:t xml:space="preserve">of </w:t>
      </w:r>
      <w:r w:rsidRPr="002A0A70">
        <w:rPr>
          <w:sz w:val="24"/>
          <w:szCs w:val="24"/>
        </w:rPr>
        <w:t>plans and arrangements for managing safety, and safety analysis reports.</w:t>
      </w:r>
    </w:p>
    <w:p w14:paraId="5E8DEBF5" w14:textId="27C0AAD8" w:rsidR="00A94151" w:rsidRPr="002A0A70" w:rsidRDefault="00A94151" w:rsidP="1A76A81F">
      <w:pPr>
        <w:pStyle w:val="Item"/>
        <w:ind w:left="0"/>
        <w:rPr>
          <w:sz w:val="24"/>
          <w:szCs w:val="24"/>
        </w:rPr>
      </w:pPr>
      <w:r w:rsidRPr="002A0A70">
        <w:rPr>
          <w:sz w:val="24"/>
          <w:szCs w:val="24"/>
        </w:rPr>
        <w:t>This amendment makes it clear that any reviews and updates done for the purposes of subsection 58(5) should be disregarded when working out when plans</w:t>
      </w:r>
      <w:r w:rsidR="3AA121A1" w:rsidRPr="002A0A70">
        <w:rPr>
          <w:sz w:val="24"/>
          <w:szCs w:val="24"/>
        </w:rPr>
        <w:t xml:space="preserve"> and</w:t>
      </w:r>
      <w:r w:rsidRPr="002A0A70">
        <w:rPr>
          <w:sz w:val="24"/>
          <w:szCs w:val="24"/>
        </w:rPr>
        <w:t xml:space="preserve"> arrangements are required to be reviewed and updated for the purposes of section 61. </w:t>
      </w:r>
    </w:p>
    <w:p w14:paraId="49A6D700" w14:textId="1C6B3C38" w:rsidR="00A94151" w:rsidRPr="002A0A70" w:rsidRDefault="00A94151" w:rsidP="00A94151">
      <w:pPr>
        <w:ind w:left="851" w:hanging="851"/>
        <w:rPr>
          <w:rFonts w:eastAsiaTheme="minorHAnsi"/>
          <w:b/>
          <w:szCs w:val="24"/>
          <w:lang w:eastAsia="en-US"/>
        </w:rPr>
      </w:pPr>
      <w:r w:rsidRPr="002A0A70">
        <w:rPr>
          <w:rFonts w:eastAsiaTheme="minorHAnsi"/>
          <w:b/>
          <w:szCs w:val="24"/>
          <w:lang w:eastAsia="en-US"/>
        </w:rPr>
        <w:t>Item 21 - Part 8</w:t>
      </w:r>
    </w:p>
    <w:p w14:paraId="209307B9" w14:textId="0BD70280" w:rsidR="00A94151" w:rsidRPr="002A0A70" w:rsidRDefault="00A94151" w:rsidP="00A94151">
      <w:pPr>
        <w:pStyle w:val="Item"/>
        <w:ind w:left="0"/>
        <w:rPr>
          <w:sz w:val="24"/>
          <w:szCs w:val="24"/>
        </w:rPr>
      </w:pPr>
      <w:r w:rsidRPr="002A0A70">
        <w:rPr>
          <w:sz w:val="24"/>
          <w:szCs w:val="24"/>
        </w:rPr>
        <w:t xml:space="preserve">The application provisions provide that the amendments to Division 4 of Part 5 referred to in item 13 above apply to applications for licences made </w:t>
      </w:r>
      <w:r w:rsidR="058F0179" w:rsidRPr="002A0A70">
        <w:rPr>
          <w:sz w:val="24"/>
          <w:szCs w:val="24"/>
        </w:rPr>
        <w:t xml:space="preserve">on or </w:t>
      </w:r>
      <w:r w:rsidRPr="002A0A70">
        <w:rPr>
          <w:sz w:val="24"/>
          <w:szCs w:val="24"/>
        </w:rPr>
        <w:t xml:space="preserve">after the commencement of </w:t>
      </w:r>
      <w:r w:rsidR="00994311" w:rsidRPr="002A0A70">
        <w:rPr>
          <w:sz w:val="24"/>
          <w:szCs w:val="24"/>
        </w:rPr>
        <w:t xml:space="preserve">the </w:t>
      </w:r>
      <w:r w:rsidRPr="002A0A70">
        <w:rPr>
          <w:sz w:val="24"/>
          <w:szCs w:val="24"/>
        </w:rPr>
        <w:t>Regulations and the amendments to section 58 referred to in item 14 above apply to licences issued before, on or after the commencement and accidents occurring on or after the commencement</w:t>
      </w:r>
      <w:r w:rsidR="712A6EB7" w:rsidRPr="002A0A70">
        <w:rPr>
          <w:sz w:val="24"/>
          <w:szCs w:val="24"/>
        </w:rPr>
        <w:t xml:space="preserve"> of the Regulations</w:t>
      </w:r>
      <w:r w:rsidRPr="002A0A70">
        <w:rPr>
          <w:sz w:val="24"/>
          <w:szCs w:val="24"/>
        </w:rPr>
        <w:t xml:space="preserve">.  </w:t>
      </w:r>
    </w:p>
    <w:p w14:paraId="3B763BD5" w14:textId="23D8A882" w:rsidR="00F836D7" w:rsidRPr="002A0A70" w:rsidRDefault="00F836D7" w:rsidP="00F836D7">
      <w:pPr>
        <w:pStyle w:val="Item"/>
        <w:rPr>
          <w:sz w:val="24"/>
          <w:szCs w:val="24"/>
        </w:rPr>
      </w:pPr>
    </w:p>
    <w:p w14:paraId="49C55B44" w14:textId="626353FD" w:rsidR="00DD5ACE" w:rsidRPr="002A0A70" w:rsidRDefault="00DD5ACE" w:rsidP="00DD5ACE">
      <w:pPr>
        <w:pStyle w:val="ItemHead"/>
      </w:pPr>
    </w:p>
    <w:p w14:paraId="24C384B1" w14:textId="77777777" w:rsidR="00DD5ACE" w:rsidRPr="002A0A70" w:rsidRDefault="00DD5ACE">
      <w:pPr>
        <w:spacing w:before="0"/>
        <w:rPr>
          <w:b/>
        </w:rPr>
      </w:pPr>
      <w:r w:rsidRPr="002A0A70">
        <w:rPr>
          <w:b/>
        </w:rPr>
        <w:br w:type="page"/>
      </w:r>
    </w:p>
    <w:p w14:paraId="66C56276" w14:textId="675AE301" w:rsidR="00DD5ACE" w:rsidRPr="002A0A70" w:rsidRDefault="00DD5ACE" w:rsidP="00DD5ACE">
      <w:pPr>
        <w:spacing w:before="0"/>
        <w:jc w:val="center"/>
        <w:rPr>
          <w:b/>
        </w:rPr>
      </w:pPr>
      <w:r w:rsidRPr="002A0A70">
        <w:rPr>
          <w:b/>
        </w:rPr>
        <w:lastRenderedPageBreak/>
        <w:t>Statement of Compliance with Human Rights</w:t>
      </w:r>
    </w:p>
    <w:p w14:paraId="3D5F3C42" w14:textId="77777777" w:rsidR="00DD5ACE" w:rsidRPr="002A0A70" w:rsidRDefault="00DD5ACE" w:rsidP="00DD5ACE">
      <w:pPr>
        <w:spacing w:before="0"/>
        <w:jc w:val="center"/>
        <w:rPr>
          <w:i/>
        </w:rPr>
      </w:pPr>
      <w:r w:rsidRPr="002A0A70">
        <w:rPr>
          <w:i/>
        </w:rPr>
        <w:t>Prepared in accordance with Part 3 of the Human Rights (Parliamentary Scrutiny) Act 2011</w:t>
      </w:r>
    </w:p>
    <w:p w14:paraId="09977F54" w14:textId="77777777" w:rsidR="00DD5ACE" w:rsidRPr="002A0A70" w:rsidRDefault="00DD5ACE" w:rsidP="00DD5ACE">
      <w:pPr>
        <w:spacing w:before="0"/>
        <w:jc w:val="center"/>
      </w:pPr>
    </w:p>
    <w:p w14:paraId="13FC7AB5" w14:textId="6507871A" w:rsidR="00DD5ACE" w:rsidRPr="002A0A70" w:rsidRDefault="00DD5ACE" w:rsidP="00DD5ACE">
      <w:pPr>
        <w:spacing w:before="0"/>
        <w:jc w:val="center"/>
        <w:rPr>
          <w:b/>
          <w:iCs/>
        </w:rPr>
      </w:pPr>
      <w:r w:rsidRPr="002A0A70">
        <w:rPr>
          <w:b/>
        </w:rPr>
        <w:t>Australian Radiation Protection and Nuclear Safety Amendment (</w:t>
      </w:r>
      <w:r w:rsidR="007F551B" w:rsidRPr="002A0A70">
        <w:rPr>
          <w:b/>
        </w:rPr>
        <w:t>202</w:t>
      </w:r>
      <w:r w:rsidR="00D74F5F" w:rsidRPr="002A0A70">
        <w:rPr>
          <w:b/>
        </w:rPr>
        <w:t>1</w:t>
      </w:r>
      <w:r w:rsidR="007F551B" w:rsidRPr="002A0A70">
        <w:rPr>
          <w:b/>
        </w:rPr>
        <w:t xml:space="preserve"> Measures No. 1</w:t>
      </w:r>
      <w:r w:rsidRPr="002A0A70">
        <w:rPr>
          <w:b/>
        </w:rPr>
        <w:t xml:space="preserve">) </w:t>
      </w:r>
      <w:r w:rsidR="00D74F5F" w:rsidRPr="002A0A70">
        <w:rPr>
          <w:b/>
          <w:iCs/>
        </w:rPr>
        <w:t>Regulations 2021</w:t>
      </w:r>
    </w:p>
    <w:p w14:paraId="57FC2647" w14:textId="77777777" w:rsidR="00DD5ACE" w:rsidRPr="002A0A70" w:rsidRDefault="00DD5ACE" w:rsidP="00DD5ACE">
      <w:pPr>
        <w:spacing w:before="0"/>
        <w:jc w:val="center"/>
        <w:rPr>
          <w:b/>
        </w:rPr>
      </w:pPr>
    </w:p>
    <w:p w14:paraId="7F55584B" w14:textId="77777777" w:rsidR="00DD5ACE" w:rsidRPr="002A0A70" w:rsidRDefault="00DD5ACE" w:rsidP="00DD5ACE">
      <w:pPr>
        <w:spacing w:before="0"/>
        <w:jc w:val="center"/>
        <w:rPr>
          <w:b/>
        </w:rPr>
      </w:pPr>
    </w:p>
    <w:p w14:paraId="082921AC" w14:textId="77777777" w:rsidR="00DD5ACE" w:rsidRPr="002A0A70" w:rsidRDefault="00DD5ACE" w:rsidP="00DD5ACE">
      <w:pPr>
        <w:spacing w:before="0"/>
      </w:pPr>
      <w:r w:rsidRPr="002A0A70">
        <w:t xml:space="preserve">This legislative instrument is compatible with the human rights and freedoms recognised or declared in the international instruments listed in section 3 of the </w:t>
      </w:r>
      <w:r w:rsidRPr="002A0A70">
        <w:rPr>
          <w:i/>
        </w:rPr>
        <w:t>Human Rights (Parliamentary Scrutiny) Act 2011</w:t>
      </w:r>
      <w:r w:rsidRPr="002A0A70">
        <w:t>.</w:t>
      </w:r>
    </w:p>
    <w:p w14:paraId="2CFD70AB" w14:textId="77777777" w:rsidR="00DD5ACE" w:rsidRPr="002A0A70" w:rsidRDefault="00DD5ACE" w:rsidP="00DD5ACE">
      <w:pPr>
        <w:spacing w:before="0"/>
        <w:jc w:val="center"/>
      </w:pPr>
    </w:p>
    <w:p w14:paraId="11D817E8" w14:textId="77777777" w:rsidR="00DD5ACE" w:rsidRPr="002A0A70" w:rsidRDefault="00DD5ACE" w:rsidP="00DD5ACE">
      <w:pPr>
        <w:spacing w:before="0"/>
        <w:jc w:val="both"/>
        <w:rPr>
          <w:b/>
        </w:rPr>
      </w:pPr>
      <w:r w:rsidRPr="002A0A70">
        <w:rPr>
          <w:b/>
        </w:rPr>
        <w:t>Overview of the legislative instrument</w:t>
      </w:r>
    </w:p>
    <w:p w14:paraId="2A19D335" w14:textId="77777777" w:rsidR="00DD5ACE" w:rsidRPr="002A0A70" w:rsidRDefault="00DD5ACE" w:rsidP="00DD5ACE">
      <w:pPr>
        <w:spacing w:before="0"/>
        <w:jc w:val="both"/>
      </w:pPr>
    </w:p>
    <w:p w14:paraId="3BC86D5F" w14:textId="5FCC1722" w:rsidR="00DD5ACE" w:rsidRPr="002A0A70" w:rsidRDefault="00DD5ACE" w:rsidP="00DD5ACE">
      <w:pPr>
        <w:spacing w:before="0"/>
        <w:ind w:right="-24"/>
      </w:pPr>
      <w:r w:rsidRPr="002A0A70">
        <w:t>The legislative instrument amends the Australian Radiation Protection and Nuclear Safety Regulations 2018 to modify and simplify the method for imposing fees for the assessment of licence applications</w:t>
      </w:r>
      <w:r w:rsidRPr="002A0A70">
        <w:rPr>
          <w:szCs w:val="24"/>
        </w:rPr>
        <w:t>.</w:t>
      </w:r>
    </w:p>
    <w:p w14:paraId="1318BC8B" w14:textId="77777777" w:rsidR="00DD5ACE" w:rsidRPr="002A0A70" w:rsidRDefault="00DD5ACE" w:rsidP="00DD5ACE">
      <w:pPr>
        <w:spacing w:before="0"/>
      </w:pPr>
    </w:p>
    <w:p w14:paraId="3705CA9B" w14:textId="77777777" w:rsidR="00DD5ACE" w:rsidRPr="002A0A70" w:rsidRDefault="00DD5ACE" w:rsidP="00DD5ACE">
      <w:pPr>
        <w:spacing w:before="0"/>
        <w:rPr>
          <w:b/>
        </w:rPr>
      </w:pPr>
      <w:r w:rsidRPr="002A0A70">
        <w:rPr>
          <w:b/>
        </w:rPr>
        <w:t>Human Rights Implications</w:t>
      </w:r>
    </w:p>
    <w:p w14:paraId="743A794B" w14:textId="77777777" w:rsidR="00DD5ACE" w:rsidRPr="002A0A70" w:rsidRDefault="00DD5ACE" w:rsidP="00DD5ACE">
      <w:pPr>
        <w:spacing w:before="0"/>
        <w:rPr>
          <w:b/>
        </w:rPr>
      </w:pPr>
    </w:p>
    <w:p w14:paraId="024C1C0D" w14:textId="77777777" w:rsidR="00DD5ACE" w:rsidRPr="002A0A70" w:rsidRDefault="00DD5ACE" w:rsidP="00DD5ACE">
      <w:pPr>
        <w:spacing w:before="0"/>
      </w:pPr>
      <w:r w:rsidRPr="002A0A70">
        <w:t>The amendments are compatible with the right to an adequate standard of living and the right to the enjoyment of the highest attainable standard of physical and mental health as contained in article 11(1) and article 12(1) of the International Covenant on Economic, Social and Cultural Rights.</w:t>
      </w:r>
    </w:p>
    <w:p w14:paraId="3CDCBE1E" w14:textId="77777777" w:rsidR="00DD5ACE" w:rsidRPr="002A0A70" w:rsidRDefault="00DD5ACE" w:rsidP="00DD5ACE">
      <w:pPr>
        <w:spacing w:before="0"/>
        <w:rPr>
          <w:b/>
        </w:rPr>
      </w:pPr>
    </w:p>
    <w:p w14:paraId="7B7662DC" w14:textId="496B8C78" w:rsidR="00DD5ACE" w:rsidRPr="002A0A70" w:rsidRDefault="00DD5ACE" w:rsidP="00DD5ACE">
      <w:pPr>
        <w:spacing w:before="0"/>
      </w:pPr>
      <w:r w:rsidRPr="002A0A70">
        <w:t xml:space="preserve">The amendments </w:t>
      </w:r>
      <w:r w:rsidR="5597F186" w:rsidRPr="002A0A70">
        <w:t>modify</w:t>
      </w:r>
      <w:r w:rsidR="009B72EF" w:rsidRPr="002A0A70">
        <w:t xml:space="preserve"> </w:t>
      </w:r>
      <w:r w:rsidR="00AD3B8D" w:rsidRPr="002A0A70">
        <w:t>and simplif</w:t>
      </w:r>
      <w:r w:rsidR="387B1365" w:rsidRPr="002A0A70">
        <w:t>y</w:t>
      </w:r>
      <w:r w:rsidR="00AD3B8D" w:rsidRPr="002A0A70">
        <w:t xml:space="preserve"> </w:t>
      </w:r>
      <w:r w:rsidR="009B72EF" w:rsidRPr="002A0A70">
        <w:t xml:space="preserve">the </w:t>
      </w:r>
      <w:r w:rsidR="00AD3B8D" w:rsidRPr="002A0A70">
        <w:t xml:space="preserve">fees </w:t>
      </w:r>
      <w:r w:rsidRPr="002A0A70">
        <w:t xml:space="preserve">payable by Commonwealth entities to the Australian Radiation Protection and Nuclear Safety Agency for </w:t>
      </w:r>
      <w:r w:rsidR="007F551B" w:rsidRPr="002A0A70">
        <w:t xml:space="preserve">applications seeking licences </w:t>
      </w:r>
      <w:r w:rsidRPr="002A0A70">
        <w:t>to deal with radiation equipment or radioactive sources or to engage in activities in relation to radiation facilities and nuclear installations.</w:t>
      </w:r>
    </w:p>
    <w:p w14:paraId="07BB7A3A" w14:textId="77777777" w:rsidR="00DD5ACE" w:rsidRPr="002A0A70" w:rsidRDefault="00DD5ACE" w:rsidP="00DD5ACE">
      <w:pPr>
        <w:spacing w:before="0"/>
      </w:pPr>
    </w:p>
    <w:p w14:paraId="3E4CB08D" w14:textId="77777777" w:rsidR="00DD5ACE" w:rsidRPr="002A0A70" w:rsidRDefault="00DD5ACE" w:rsidP="00DD5ACE">
      <w:pPr>
        <w:spacing w:before="0"/>
        <w:rPr>
          <w:b/>
        </w:rPr>
      </w:pPr>
      <w:r w:rsidRPr="002A0A70">
        <w:rPr>
          <w:b/>
        </w:rPr>
        <w:t>Conclusion</w:t>
      </w:r>
    </w:p>
    <w:p w14:paraId="1F1DF4E1" w14:textId="77777777" w:rsidR="00DD5ACE" w:rsidRPr="002A0A70" w:rsidRDefault="00DD5ACE" w:rsidP="00DD5ACE">
      <w:pPr>
        <w:spacing w:before="0"/>
      </w:pPr>
    </w:p>
    <w:p w14:paraId="5B48258B" w14:textId="5BD605BA" w:rsidR="00DD5ACE" w:rsidRPr="002A0A70" w:rsidRDefault="00DD5ACE" w:rsidP="00DD5ACE">
      <w:pPr>
        <w:spacing w:before="0"/>
      </w:pPr>
      <w:r w:rsidRPr="002A0A70">
        <w:t>This legislative instrument is compatible with human rights as it promotes the human right to an adequate standard of living and the highest attainable standard of physical and mental health.</w:t>
      </w:r>
    </w:p>
    <w:p w14:paraId="79D51C1C" w14:textId="77777777" w:rsidR="00DD5ACE" w:rsidRPr="002A0A70" w:rsidRDefault="00DD5ACE" w:rsidP="00DD5ACE">
      <w:pPr>
        <w:spacing w:before="0"/>
      </w:pPr>
    </w:p>
    <w:p w14:paraId="7FA45D79" w14:textId="150DCF48" w:rsidR="00DD5ACE" w:rsidRPr="00600E7B" w:rsidRDefault="00DD5ACE" w:rsidP="1A76A81F">
      <w:pPr>
        <w:spacing w:before="0"/>
        <w:jc w:val="center"/>
        <w:rPr>
          <w:b/>
          <w:bCs/>
        </w:rPr>
      </w:pPr>
      <w:r w:rsidRPr="002A0A70">
        <w:rPr>
          <w:b/>
          <w:bCs/>
        </w:rPr>
        <w:t>The Hon. Richard Colbeck, Minister for Senior Australians</w:t>
      </w:r>
      <w:r w:rsidR="00380A52" w:rsidRPr="002A0A70">
        <w:rPr>
          <w:b/>
          <w:bCs/>
        </w:rPr>
        <w:t xml:space="preserve"> and Aged Care Services</w:t>
      </w:r>
      <w:bookmarkStart w:id="3" w:name="_GoBack"/>
      <w:bookmarkEnd w:id="3"/>
      <w:r w:rsidRPr="1A76A81F">
        <w:rPr>
          <w:b/>
          <w:bCs/>
        </w:rPr>
        <w:t xml:space="preserve"> </w:t>
      </w:r>
    </w:p>
    <w:p w14:paraId="1799EB34" w14:textId="77777777" w:rsidR="00DD5ACE" w:rsidRPr="00DD5ACE" w:rsidRDefault="00DD5ACE" w:rsidP="00DD5ACE">
      <w:pPr>
        <w:pStyle w:val="Item"/>
      </w:pPr>
    </w:p>
    <w:sectPr w:rsidR="00DD5ACE" w:rsidRPr="00DD5ACE" w:rsidSect="00A46DCC">
      <w:footerReference w:type="default" r:id="rId13"/>
      <w:footerReference w:type="first" r:id="rId14"/>
      <w:pgSz w:w="11907" w:h="16840" w:code="9"/>
      <w:pgMar w:top="1134" w:right="1797" w:bottom="709"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F25B" w14:textId="77777777" w:rsidR="00EF502E" w:rsidRDefault="00EF502E">
      <w:r>
        <w:separator/>
      </w:r>
    </w:p>
  </w:endnote>
  <w:endnote w:type="continuationSeparator" w:id="0">
    <w:p w14:paraId="3DD7FD4B" w14:textId="77777777" w:rsidR="00EF502E" w:rsidRDefault="00EF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575137"/>
      <w:docPartObj>
        <w:docPartGallery w:val="Page Numbers (Bottom of Page)"/>
        <w:docPartUnique/>
      </w:docPartObj>
    </w:sdtPr>
    <w:sdtEndPr>
      <w:rPr>
        <w:noProof/>
      </w:rPr>
    </w:sdtEndPr>
    <w:sdtContent>
      <w:p w14:paraId="481248B4" w14:textId="127C9860" w:rsidR="00EF502E" w:rsidRDefault="00EF502E">
        <w:pPr>
          <w:pStyle w:val="Footer"/>
          <w:jc w:val="center"/>
        </w:pPr>
        <w:r>
          <w:fldChar w:fldCharType="begin"/>
        </w:r>
        <w:r>
          <w:instrText xml:space="preserve"> PAGE   \* MERGEFORMAT </w:instrText>
        </w:r>
        <w:r>
          <w:fldChar w:fldCharType="separate"/>
        </w:r>
        <w:r w:rsidR="002A0A70">
          <w:rPr>
            <w:noProof/>
          </w:rPr>
          <w:t>2</w:t>
        </w:r>
        <w:r>
          <w:rPr>
            <w:noProof/>
          </w:rPr>
          <w:fldChar w:fldCharType="end"/>
        </w:r>
      </w:p>
    </w:sdtContent>
  </w:sdt>
  <w:p w14:paraId="015808DC" w14:textId="77777777" w:rsidR="00EF502E" w:rsidRDefault="00EF5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563297"/>
      <w:docPartObj>
        <w:docPartGallery w:val="Page Numbers (Bottom of Page)"/>
        <w:docPartUnique/>
      </w:docPartObj>
    </w:sdtPr>
    <w:sdtEndPr>
      <w:rPr>
        <w:noProof/>
      </w:rPr>
    </w:sdtEndPr>
    <w:sdtContent>
      <w:p w14:paraId="60A2D178" w14:textId="64DC23E0" w:rsidR="00EF502E" w:rsidRDefault="002A0A70" w:rsidP="006C7CFF">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873383"/>
      <w:docPartObj>
        <w:docPartGallery w:val="Page Numbers (Bottom of Page)"/>
        <w:docPartUnique/>
      </w:docPartObj>
    </w:sdtPr>
    <w:sdtEndPr>
      <w:rPr>
        <w:noProof/>
      </w:rPr>
    </w:sdtEndPr>
    <w:sdtContent>
      <w:p w14:paraId="6C548A25" w14:textId="22623872" w:rsidR="00EF502E" w:rsidRDefault="00EF502E">
        <w:pPr>
          <w:pStyle w:val="Footer"/>
          <w:jc w:val="center"/>
        </w:pPr>
        <w:r>
          <w:fldChar w:fldCharType="begin"/>
        </w:r>
        <w:r>
          <w:instrText xml:space="preserve"> PAGE   \* MERGEFORMAT </w:instrText>
        </w:r>
        <w:r>
          <w:fldChar w:fldCharType="separate"/>
        </w:r>
        <w:r w:rsidR="002A0A70">
          <w:rPr>
            <w:noProof/>
          </w:rPr>
          <w:t>7</w:t>
        </w:r>
        <w:r>
          <w:rPr>
            <w:noProof/>
          </w:rPr>
          <w:fldChar w:fldCharType="end"/>
        </w:r>
      </w:p>
    </w:sdtContent>
  </w:sdt>
  <w:p w14:paraId="0244937F" w14:textId="77777777" w:rsidR="00EF502E" w:rsidRDefault="00EF5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86270"/>
      <w:docPartObj>
        <w:docPartGallery w:val="Page Numbers (Bottom of Page)"/>
        <w:docPartUnique/>
      </w:docPartObj>
    </w:sdtPr>
    <w:sdtEndPr>
      <w:rPr>
        <w:noProof/>
      </w:rPr>
    </w:sdtEndPr>
    <w:sdtContent>
      <w:p w14:paraId="3AEB396D" w14:textId="4D97E12F" w:rsidR="00EF502E" w:rsidRDefault="00EF502E">
        <w:pPr>
          <w:pStyle w:val="Footer"/>
          <w:jc w:val="center"/>
        </w:pPr>
        <w:r>
          <w:fldChar w:fldCharType="begin"/>
        </w:r>
        <w:r>
          <w:instrText xml:space="preserve"> PAGE   \* MERGEFORMAT </w:instrText>
        </w:r>
        <w:r>
          <w:fldChar w:fldCharType="separate"/>
        </w:r>
        <w:r w:rsidR="002A0A70">
          <w:rPr>
            <w:noProof/>
          </w:rPr>
          <w:t>3</w:t>
        </w:r>
        <w:r>
          <w:rPr>
            <w:noProof/>
          </w:rPr>
          <w:fldChar w:fldCharType="end"/>
        </w:r>
      </w:p>
    </w:sdtContent>
  </w:sdt>
  <w:p w14:paraId="743C2C60" w14:textId="1D2BF88F" w:rsidR="00EF502E" w:rsidRDefault="00EF502E" w:rsidP="006C7C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AB05D" w14:textId="77777777" w:rsidR="00EF502E" w:rsidRDefault="00EF502E">
      <w:r>
        <w:separator/>
      </w:r>
    </w:p>
  </w:footnote>
  <w:footnote w:type="continuationSeparator" w:id="0">
    <w:p w14:paraId="1A0F9B2F" w14:textId="77777777" w:rsidR="00EF502E" w:rsidRDefault="00EF5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CE4B9D"/>
    <w:multiLevelType w:val="hybridMultilevel"/>
    <w:tmpl w:val="6BE6D6A2"/>
    <w:lvl w:ilvl="0" w:tplc="DA021CE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767531"/>
    <w:multiLevelType w:val="hybridMultilevel"/>
    <w:tmpl w:val="67CC6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15260"/>
    <w:multiLevelType w:val="hybridMultilevel"/>
    <w:tmpl w:val="CD920C5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1D53B70"/>
    <w:multiLevelType w:val="hybridMultilevel"/>
    <w:tmpl w:val="8D265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5243E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D58F2"/>
    <w:multiLevelType w:val="hybridMultilevel"/>
    <w:tmpl w:val="AD7272DA"/>
    <w:lvl w:ilvl="0" w:tplc="4970AA24">
      <w:start w:val="1"/>
      <w:numFmt w:val="lowerRoman"/>
      <w:lvlText w:val="(%1)"/>
      <w:lvlJc w:val="left"/>
      <w:pPr>
        <w:ind w:left="2422" w:hanging="72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9" w15:restartNumberingAfterBreak="0">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97B5458"/>
    <w:multiLevelType w:val="hybridMultilevel"/>
    <w:tmpl w:val="BE8804F8"/>
    <w:lvl w:ilvl="0" w:tplc="507612A8">
      <w:start w:val="1"/>
      <w:numFmt w:val="bullet"/>
      <w:pStyle w:val="HB-dotpoint"/>
      <w:lvlText w:val=""/>
      <w:lvlJc w:val="left"/>
      <w:pPr>
        <w:tabs>
          <w:tab w:val="num" w:pos="720"/>
        </w:tabs>
        <w:ind w:left="720" w:hanging="720"/>
      </w:pPr>
      <w:rPr>
        <w:rFonts w:ascii="Symbol" w:hAnsi="Symbol" w:hint="default"/>
        <w:sz w:val="20"/>
      </w:rPr>
    </w:lvl>
    <w:lvl w:ilvl="1" w:tplc="3B1AE6BA">
      <w:numFmt w:val="decimal"/>
      <w:lvlText w:val=""/>
      <w:lvlJc w:val="left"/>
    </w:lvl>
    <w:lvl w:ilvl="2" w:tplc="0BB2EBA8">
      <w:numFmt w:val="decimal"/>
      <w:lvlText w:val=""/>
      <w:lvlJc w:val="left"/>
    </w:lvl>
    <w:lvl w:ilvl="3" w:tplc="496067A6">
      <w:numFmt w:val="decimal"/>
      <w:lvlText w:val=""/>
      <w:lvlJc w:val="left"/>
    </w:lvl>
    <w:lvl w:ilvl="4" w:tplc="EAFA0378">
      <w:numFmt w:val="decimal"/>
      <w:lvlText w:val=""/>
      <w:lvlJc w:val="left"/>
    </w:lvl>
    <w:lvl w:ilvl="5" w:tplc="926E077C">
      <w:numFmt w:val="decimal"/>
      <w:lvlText w:val=""/>
      <w:lvlJc w:val="left"/>
    </w:lvl>
    <w:lvl w:ilvl="6" w:tplc="6736DA18">
      <w:numFmt w:val="decimal"/>
      <w:lvlText w:val=""/>
      <w:lvlJc w:val="left"/>
    </w:lvl>
    <w:lvl w:ilvl="7" w:tplc="46E29BE2">
      <w:numFmt w:val="decimal"/>
      <w:lvlText w:val=""/>
      <w:lvlJc w:val="left"/>
    </w:lvl>
    <w:lvl w:ilvl="8" w:tplc="97AE9DF4">
      <w:numFmt w:val="decimal"/>
      <w:lvlText w:val=""/>
      <w:lvlJc w:val="left"/>
    </w:lvl>
  </w:abstractNum>
  <w:abstractNum w:abstractNumId="12" w15:restartNumberingAfterBreak="0">
    <w:nsid w:val="3F0845B0"/>
    <w:multiLevelType w:val="hybridMultilevel"/>
    <w:tmpl w:val="102A813A"/>
    <w:lvl w:ilvl="0" w:tplc="7DDAA85A">
      <w:start w:val="1"/>
      <w:numFmt w:val="lowerLetter"/>
      <w:pStyle w:val="HB-Paragraph-alphpoint"/>
      <w:lvlText w:val="(%1)"/>
      <w:lvlJc w:val="left"/>
      <w:pPr>
        <w:tabs>
          <w:tab w:val="num" w:pos="1778"/>
        </w:tabs>
        <w:ind w:left="1778" w:hanging="360"/>
      </w:pPr>
      <w:rPr>
        <w:rFonts w:hint="default"/>
      </w:rPr>
    </w:lvl>
    <w:lvl w:ilvl="1" w:tplc="0C090019" w:tentative="1">
      <w:start w:val="1"/>
      <w:numFmt w:val="lowerLetter"/>
      <w:lvlText w:val="%2."/>
      <w:lvlJc w:val="left"/>
      <w:pPr>
        <w:tabs>
          <w:tab w:val="num" w:pos="2858"/>
        </w:tabs>
        <w:ind w:left="2858" w:hanging="360"/>
      </w:pPr>
    </w:lvl>
    <w:lvl w:ilvl="2" w:tplc="0C09001B">
      <w:start w:val="1"/>
      <w:numFmt w:val="lowerRoman"/>
      <w:lvlText w:val="%3."/>
      <w:lvlJc w:val="right"/>
      <w:pPr>
        <w:tabs>
          <w:tab w:val="num" w:pos="3578"/>
        </w:tabs>
        <w:ind w:left="3578" w:hanging="180"/>
      </w:pPr>
    </w:lvl>
    <w:lvl w:ilvl="3" w:tplc="0C09000F" w:tentative="1">
      <w:start w:val="1"/>
      <w:numFmt w:val="decimal"/>
      <w:lvlText w:val="%4."/>
      <w:lvlJc w:val="left"/>
      <w:pPr>
        <w:tabs>
          <w:tab w:val="num" w:pos="4298"/>
        </w:tabs>
        <w:ind w:left="4298" w:hanging="360"/>
      </w:pPr>
    </w:lvl>
    <w:lvl w:ilvl="4" w:tplc="0C090019" w:tentative="1">
      <w:start w:val="1"/>
      <w:numFmt w:val="lowerLetter"/>
      <w:lvlText w:val="%5."/>
      <w:lvlJc w:val="left"/>
      <w:pPr>
        <w:tabs>
          <w:tab w:val="num" w:pos="5018"/>
        </w:tabs>
        <w:ind w:left="5018" w:hanging="360"/>
      </w:pPr>
    </w:lvl>
    <w:lvl w:ilvl="5" w:tplc="0C09001B" w:tentative="1">
      <w:start w:val="1"/>
      <w:numFmt w:val="lowerRoman"/>
      <w:lvlText w:val="%6."/>
      <w:lvlJc w:val="right"/>
      <w:pPr>
        <w:tabs>
          <w:tab w:val="num" w:pos="5738"/>
        </w:tabs>
        <w:ind w:left="5738" w:hanging="180"/>
      </w:pPr>
    </w:lvl>
    <w:lvl w:ilvl="6" w:tplc="0C09000F" w:tentative="1">
      <w:start w:val="1"/>
      <w:numFmt w:val="decimal"/>
      <w:lvlText w:val="%7."/>
      <w:lvlJc w:val="left"/>
      <w:pPr>
        <w:tabs>
          <w:tab w:val="num" w:pos="6458"/>
        </w:tabs>
        <w:ind w:left="6458" w:hanging="360"/>
      </w:pPr>
    </w:lvl>
    <w:lvl w:ilvl="7" w:tplc="0C090019" w:tentative="1">
      <w:start w:val="1"/>
      <w:numFmt w:val="lowerLetter"/>
      <w:lvlText w:val="%8."/>
      <w:lvlJc w:val="left"/>
      <w:pPr>
        <w:tabs>
          <w:tab w:val="num" w:pos="7178"/>
        </w:tabs>
        <w:ind w:left="7178" w:hanging="360"/>
      </w:pPr>
    </w:lvl>
    <w:lvl w:ilvl="8" w:tplc="0C09001B" w:tentative="1">
      <w:start w:val="1"/>
      <w:numFmt w:val="lowerRoman"/>
      <w:lvlText w:val="%9."/>
      <w:lvlJc w:val="right"/>
      <w:pPr>
        <w:tabs>
          <w:tab w:val="num" w:pos="7898"/>
        </w:tabs>
        <w:ind w:left="7898" w:hanging="180"/>
      </w:pPr>
    </w:lvl>
  </w:abstractNum>
  <w:abstractNum w:abstractNumId="13" w15:restartNumberingAfterBreak="0">
    <w:nsid w:val="3F6C4355"/>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B51295"/>
    <w:multiLevelType w:val="hybridMultilevel"/>
    <w:tmpl w:val="158E64DC"/>
    <w:lvl w:ilvl="0" w:tplc="0C09000B">
      <w:start w:val="1"/>
      <w:numFmt w:val="bullet"/>
      <w:lvlText w:val=""/>
      <w:lvlJc w:val="left"/>
      <w:pPr>
        <w:ind w:left="1500" w:hanging="360"/>
      </w:pPr>
      <w:rPr>
        <w:rFonts w:ascii="Wingdings" w:hAnsi="Wingdings"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4E44393E"/>
    <w:multiLevelType w:val="hybridMultilevel"/>
    <w:tmpl w:val="79F2AAE0"/>
    <w:lvl w:ilvl="0" w:tplc="1368F598">
      <w:start w:val="1"/>
      <w:numFmt w:val="lowerRoman"/>
      <w:lvlText w:val="(%1)"/>
      <w:lvlJc w:val="left"/>
      <w:pPr>
        <w:tabs>
          <w:tab w:val="num" w:pos="1636"/>
        </w:tabs>
        <w:ind w:left="1636" w:hanging="42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6" w15:restartNumberingAfterBreak="0">
    <w:nsid w:val="5A095A1C"/>
    <w:multiLevelType w:val="hybridMultilevel"/>
    <w:tmpl w:val="345E52DE"/>
    <w:lvl w:ilvl="0" w:tplc="74E4BF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914515"/>
    <w:multiLevelType w:val="hybridMultilevel"/>
    <w:tmpl w:val="CFB4E19A"/>
    <w:lvl w:ilvl="0" w:tplc="0C090003">
      <w:start w:val="1"/>
      <w:numFmt w:val="bullet"/>
      <w:lvlText w:val="o"/>
      <w:lvlJc w:val="left"/>
      <w:pPr>
        <w:ind w:left="3142" w:hanging="360"/>
      </w:pPr>
      <w:rPr>
        <w:rFonts w:ascii="Courier New" w:hAnsi="Courier New" w:cs="Courier New" w:hint="default"/>
      </w:rPr>
    </w:lvl>
    <w:lvl w:ilvl="1" w:tplc="0C090003" w:tentative="1">
      <w:start w:val="1"/>
      <w:numFmt w:val="bullet"/>
      <w:lvlText w:val="o"/>
      <w:lvlJc w:val="left"/>
      <w:pPr>
        <w:ind w:left="3862" w:hanging="360"/>
      </w:pPr>
      <w:rPr>
        <w:rFonts w:ascii="Courier New" w:hAnsi="Courier New" w:cs="Courier New" w:hint="default"/>
      </w:rPr>
    </w:lvl>
    <w:lvl w:ilvl="2" w:tplc="0C090005" w:tentative="1">
      <w:start w:val="1"/>
      <w:numFmt w:val="bullet"/>
      <w:lvlText w:val=""/>
      <w:lvlJc w:val="left"/>
      <w:pPr>
        <w:ind w:left="4582" w:hanging="360"/>
      </w:pPr>
      <w:rPr>
        <w:rFonts w:ascii="Wingdings" w:hAnsi="Wingdings" w:hint="default"/>
      </w:rPr>
    </w:lvl>
    <w:lvl w:ilvl="3" w:tplc="0C090001" w:tentative="1">
      <w:start w:val="1"/>
      <w:numFmt w:val="bullet"/>
      <w:lvlText w:val=""/>
      <w:lvlJc w:val="left"/>
      <w:pPr>
        <w:ind w:left="5302" w:hanging="360"/>
      </w:pPr>
      <w:rPr>
        <w:rFonts w:ascii="Symbol" w:hAnsi="Symbol" w:hint="default"/>
      </w:rPr>
    </w:lvl>
    <w:lvl w:ilvl="4" w:tplc="0C090003" w:tentative="1">
      <w:start w:val="1"/>
      <w:numFmt w:val="bullet"/>
      <w:lvlText w:val="o"/>
      <w:lvlJc w:val="left"/>
      <w:pPr>
        <w:ind w:left="6022" w:hanging="360"/>
      </w:pPr>
      <w:rPr>
        <w:rFonts w:ascii="Courier New" w:hAnsi="Courier New" w:cs="Courier New" w:hint="default"/>
      </w:rPr>
    </w:lvl>
    <w:lvl w:ilvl="5" w:tplc="0C090005" w:tentative="1">
      <w:start w:val="1"/>
      <w:numFmt w:val="bullet"/>
      <w:lvlText w:val=""/>
      <w:lvlJc w:val="left"/>
      <w:pPr>
        <w:ind w:left="6742" w:hanging="360"/>
      </w:pPr>
      <w:rPr>
        <w:rFonts w:ascii="Wingdings" w:hAnsi="Wingdings" w:hint="default"/>
      </w:rPr>
    </w:lvl>
    <w:lvl w:ilvl="6" w:tplc="0C090001" w:tentative="1">
      <w:start w:val="1"/>
      <w:numFmt w:val="bullet"/>
      <w:lvlText w:val=""/>
      <w:lvlJc w:val="left"/>
      <w:pPr>
        <w:ind w:left="7462" w:hanging="360"/>
      </w:pPr>
      <w:rPr>
        <w:rFonts w:ascii="Symbol" w:hAnsi="Symbol" w:hint="default"/>
      </w:rPr>
    </w:lvl>
    <w:lvl w:ilvl="7" w:tplc="0C090003" w:tentative="1">
      <w:start w:val="1"/>
      <w:numFmt w:val="bullet"/>
      <w:lvlText w:val="o"/>
      <w:lvlJc w:val="left"/>
      <w:pPr>
        <w:ind w:left="8182" w:hanging="360"/>
      </w:pPr>
      <w:rPr>
        <w:rFonts w:ascii="Courier New" w:hAnsi="Courier New" w:cs="Courier New" w:hint="default"/>
      </w:rPr>
    </w:lvl>
    <w:lvl w:ilvl="8" w:tplc="0C090005" w:tentative="1">
      <w:start w:val="1"/>
      <w:numFmt w:val="bullet"/>
      <w:lvlText w:val=""/>
      <w:lvlJc w:val="left"/>
      <w:pPr>
        <w:ind w:left="8902" w:hanging="360"/>
      </w:pPr>
      <w:rPr>
        <w:rFonts w:ascii="Wingdings" w:hAnsi="Wingdings" w:hint="default"/>
      </w:rPr>
    </w:lvl>
  </w:abstractNum>
  <w:abstractNum w:abstractNumId="18" w15:restartNumberingAfterBreak="0">
    <w:nsid w:val="5A94319B"/>
    <w:multiLevelType w:val="hybridMultilevel"/>
    <w:tmpl w:val="4E162EF2"/>
    <w:lvl w:ilvl="0" w:tplc="5C2C853A">
      <w:start w:val="1"/>
      <w:numFmt w:val="decimal"/>
      <w:lvlText w:val="%1."/>
      <w:lvlJc w:val="left"/>
      <w:pPr>
        <w:ind w:left="532" w:hanging="360"/>
        <w:jc w:val="right"/>
      </w:pPr>
      <w:rPr>
        <w:rFonts w:ascii="Calibri" w:eastAsia="Calibri" w:hAnsi="Calibri" w:hint="default"/>
        <w:b w:val="0"/>
        <w:color w:val="auto"/>
        <w:spacing w:val="-2"/>
        <w:sz w:val="22"/>
        <w:szCs w:val="22"/>
      </w:rPr>
    </w:lvl>
    <w:lvl w:ilvl="1" w:tplc="52FABBD6">
      <w:start w:val="1"/>
      <w:numFmt w:val="lowerLetter"/>
      <w:lvlText w:val="(%2)"/>
      <w:lvlJc w:val="left"/>
      <w:pPr>
        <w:ind w:left="891" w:hanging="360"/>
      </w:pPr>
      <w:rPr>
        <w:rFonts w:ascii="Calibri" w:eastAsia="Calibri" w:hAnsi="Calibri" w:hint="default"/>
        <w:sz w:val="22"/>
        <w:szCs w:val="22"/>
      </w:rPr>
    </w:lvl>
    <w:lvl w:ilvl="2" w:tplc="7A0202A6">
      <w:start w:val="1"/>
      <w:numFmt w:val="lowerRoman"/>
      <w:lvlText w:val="(%3)"/>
      <w:lvlJc w:val="left"/>
      <w:pPr>
        <w:ind w:left="1552" w:hanging="721"/>
      </w:pPr>
      <w:rPr>
        <w:rFonts w:ascii="Calibri" w:eastAsia="Calibri" w:hAnsi="Calibri" w:hint="default"/>
        <w:sz w:val="22"/>
        <w:szCs w:val="22"/>
      </w:rPr>
    </w:lvl>
    <w:lvl w:ilvl="3" w:tplc="E95C0B3E">
      <w:start w:val="1"/>
      <w:numFmt w:val="bullet"/>
      <w:lvlText w:val="•"/>
      <w:lvlJc w:val="left"/>
      <w:pPr>
        <w:ind w:left="1552" w:hanging="721"/>
      </w:pPr>
      <w:rPr>
        <w:rFonts w:hint="default"/>
      </w:rPr>
    </w:lvl>
    <w:lvl w:ilvl="4" w:tplc="9A54F218">
      <w:start w:val="1"/>
      <w:numFmt w:val="bullet"/>
      <w:lvlText w:val="•"/>
      <w:lvlJc w:val="left"/>
      <w:pPr>
        <w:ind w:left="1552" w:hanging="721"/>
      </w:pPr>
      <w:rPr>
        <w:rFonts w:hint="default"/>
      </w:rPr>
    </w:lvl>
    <w:lvl w:ilvl="5" w:tplc="18EED188">
      <w:start w:val="1"/>
      <w:numFmt w:val="bullet"/>
      <w:lvlText w:val="•"/>
      <w:lvlJc w:val="left"/>
      <w:pPr>
        <w:ind w:left="1552" w:hanging="721"/>
      </w:pPr>
      <w:rPr>
        <w:rFonts w:hint="default"/>
      </w:rPr>
    </w:lvl>
    <w:lvl w:ilvl="6" w:tplc="DBBE999C">
      <w:start w:val="1"/>
      <w:numFmt w:val="bullet"/>
      <w:lvlText w:val="•"/>
      <w:lvlJc w:val="left"/>
      <w:pPr>
        <w:ind w:left="3215" w:hanging="721"/>
      </w:pPr>
      <w:rPr>
        <w:rFonts w:hint="default"/>
      </w:rPr>
    </w:lvl>
    <w:lvl w:ilvl="7" w:tplc="8910C932">
      <w:start w:val="1"/>
      <w:numFmt w:val="bullet"/>
      <w:lvlText w:val="•"/>
      <w:lvlJc w:val="left"/>
      <w:pPr>
        <w:ind w:left="4878" w:hanging="721"/>
      </w:pPr>
      <w:rPr>
        <w:rFonts w:hint="default"/>
      </w:rPr>
    </w:lvl>
    <w:lvl w:ilvl="8" w:tplc="FED4CE12">
      <w:start w:val="1"/>
      <w:numFmt w:val="bullet"/>
      <w:lvlText w:val="•"/>
      <w:lvlJc w:val="left"/>
      <w:pPr>
        <w:ind w:left="6540" w:hanging="721"/>
      </w:pPr>
      <w:rPr>
        <w:rFonts w:hint="default"/>
      </w:rPr>
    </w:lvl>
  </w:abstractNum>
  <w:abstractNum w:abstractNumId="19" w15:restartNumberingAfterBreak="0">
    <w:nsid w:val="6A756A99"/>
    <w:multiLevelType w:val="hybridMultilevel"/>
    <w:tmpl w:val="77240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8F1125"/>
    <w:multiLevelType w:val="hybridMultilevel"/>
    <w:tmpl w:val="0C090001"/>
    <w:lvl w:ilvl="0" w:tplc="9D869C76">
      <w:start w:val="1"/>
      <w:numFmt w:val="bullet"/>
      <w:lvlText w:val=""/>
      <w:lvlJc w:val="left"/>
      <w:pPr>
        <w:tabs>
          <w:tab w:val="num" w:pos="720"/>
        </w:tabs>
        <w:ind w:left="720" w:hanging="360"/>
      </w:pPr>
      <w:rPr>
        <w:rFonts w:ascii="Symbol" w:hAnsi="Symbol" w:hint="default"/>
      </w:rPr>
    </w:lvl>
    <w:lvl w:ilvl="1" w:tplc="DE84120E">
      <w:numFmt w:val="decimal"/>
      <w:lvlText w:val=""/>
      <w:lvlJc w:val="left"/>
    </w:lvl>
    <w:lvl w:ilvl="2" w:tplc="287EF194">
      <w:numFmt w:val="decimal"/>
      <w:lvlText w:val=""/>
      <w:lvlJc w:val="left"/>
    </w:lvl>
    <w:lvl w:ilvl="3" w:tplc="39782B66">
      <w:numFmt w:val="decimal"/>
      <w:lvlText w:val=""/>
      <w:lvlJc w:val="left"/>
    </w:lvl>
    <w:lvl w:ilvl="4" w:tplc="62ACC9E2">
      <w:numFmt w:val="decimal"/>
      <w:lvlText w:val=""/>
      <w:lvlJc w:val="left"/>
    </w:lvl>
    <w:lvl w:ilvl="5" w:tplc="6DF824FA">
      <w:numFmt w:val="decimal"/>
      <w:lvlText w:val=""/>
      <w:lvlJc w:val="left"/>
    </w:lvl>
    <w:lvl w:ilvl="6" w:tplc="0A166FFA">
      <w:numFmt w:val="decimal"/>
      <w:lvlText w:val=""/>
      <w:lvlJc w:val="left"/>
    </w:lvl>
    <w:lvl w:ilvl="7" w:tplc="53229404">
      <w:numFmt w:val="decimal"/>
      <w:lvlText w:val=""/>
      <w:lvlJc w:val="left"/>
    </w:lvl>
    <w:lvl w:ilvl="8" w:tplc="F176DDE0">
      <w:numFmt w:val="decimal"/>
      <w:lvlText w:val=""/>
      <w:lvlJc w:val="left"/>
    </w:lvl>
  </w:abstractNum>
  <w:abstractNum w:abstractNumId="21" w15:restartNumberingAfterBreak="0">
    <w:nsid w:val="6D9F38FB"/>
    <w:multiLevelType w:val="hybridMultilevel"/>
    <w:tmpl w:val="765080A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70E418D5"/>
    <w:multiLevelType w:val="hybridMultilevel"/>
    <w:tmpl w:val="3E58262A"/>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1AC360C"/>
    <w:multiLevelType w:val="hybridMultilevel"/>
    <w:tmpl w:val="56C2D8E8"/>
    <w:lvl w:ilvl="0" w:tplc="6CB01B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63599"/>
    <w:multiLevelType w:val="hybridMultilevel"/>
    <w:tmpl w:val="5BF64B10"/>
    <w:lvl w:ilvl="0" w:tplc="04BA979A">
      <w:start w:val="1"/>
      <w:numFmt w:val="bullet"/>
      <w:pStyle w:val="HB-Table-Subpoint"/>
      <w:lvlText w:val=""/>
      <w:lvlJc w:val="left"/>
      <w:pPr>
        <w:tabs>
          <w:tab w:val="num" w:pos="360"/>
        </w:tabs>
        <w:ind w:left="360" w:hanging="360"/>
      </w:pPr>
      <w:rPr>
        <w:rFonts w:ascii="Symbol" w:hAnsi="Symbol" w:hint="default"/>
      </w:rPr>
    </w:lvl>
    <w:lvl w:ilvl="1" w:tplc="5D1426DA">
      <w:numFmt w:val="decimal"/>
      <w:lvlText w:val=""/>
      <w:lvlJc w:val="left"/>
    </w:lvl>
    <w:lvl w:ilvl="2" w:tplc="E544FAD6">
      <w:numFmt w:val="decimal"/>
      <w:lvlText w:val=""/>
      <w:lvlJc w:val="left"/>
    </w:lvl>
    <w:lvl w:ilvl="3" w:tplc="A6908A06">
      <w:numFmt w:val="decimal"/>
      <w:lvlText w:val=""/>
      <w:lvlJc w:val="left"/>
    </w:lvl>
    <w:lvl w:ilvl="4" w:tplc="726E56D0">
      <w:numFmt w:val="decimal"/>
      <w:lvlText w:val=""/>
      <w:lvlJc w:val="left"/>
    </w:lvl>
    <w:lvl w:ilvl="5" w:tplc="D1542D84">
      <w:numFmt w:val="decimal"/>
      <w:lvlText w:val=""/>
      <w:lvlJc w:val="left"/>
    </w:lvl>
    <w:lvl w:ilvl="6" w:tplc="A21C9196">
      <w:numFmt w:val="decimal"/>
      <w:lvlText w:val=""/>
      <w:lvlJc w:val="left"/>
    </w:lvl>
    <w:lvl w:ilvl="7" w:tplc="AF6A1C36">
      <w:numFmt w:val="decimal"/>
      <w:lvlText w:val=""/>
      <w:lvlJc w:val="left"/>
    </w:lvl>
    <w:lvl w:ilvl="8" w:tplc="95043B9A">
      <w:numFmt w:val="decimal"/>
      <w:lvlText w:val=""/>
      <w:lvlJc w:val="left"/>
    </w:lvl>
  </w:abstractNum>
  <w:abstractNum w:abstractNumId="25" w15:restartNumberingAfterBreak="0">
    <w:nsid w:val="7EB008FF"/>
    <w:multiLevelType w:val="multilevel"/>
    <w:tmpl w:val="EA8A4A46"/>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0"/>
  </w:num>
  <w:num w:numId="3">
    <w:abstractNumId w:val="24"/>
  </w:num>
  <w:num w:numId="4">
    <w:abstractNumId w:val="12"/>
  </w:num>
  <w:num w:numId="5">
    <w:abstractNumId w:val="15"/>
  </w:num>
  <w:num w:numId="6">
    <w:abstractNumId w:val="25"/>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0"/>
  </w:num>
  <w:num w:numId="22">
    <w:abstractNumId w:val="25"/>
    <w:lvlOverride w:ilvl="0">
      <w:startOverride w:val="5"/>
    </w:lvlOverride>
    <w:lvlOverride w:ilvl="1">
      <w:startOverride w:val="4"/>
    </w:lvlOverride>
  </w:num>
  <w:num w:numId="23">
    <w:abstractNumId w:val="25"/>
    <w:lvlOverride w:ilvl="0">
      <w:startOverride w:val="5"/>
    </w:lvlOverride>
    <w:lvlOverride w:ilvl="1">
      <w:startOverride w:val="3"/>
    </w:lvlOverride>
    <w:lvlOverride w:ilvl="2">
      <w:startOverride w:val="2"/>
    </w:lvlOverride>
  </w:num>
  <w:num w:numId="24">
    <w:abstractNumId w:val="8"/>
  </w:num>
  <w:num w:numId="25">
    <w:abstractNumId w:val="17"/>
  </w:num>
  <w:num w:numId="26">
    <w:abstractNumId w:val="25"/>
    <w:lvlOverride w:ilvl="0">
      <w:startOverride w:val="5"/>
    </w:lvlOverride>
    <w:lvlOverride w:ilvl="1">
      <w:startOverride w:val="1"/>
    </w:lvlOverride>
    <w:lvlOverride w:ilvl="2">
      <w:startOverride w:val="11"/>
    </w:lvlOverride>
  </w:num>
  <w:num w:numId="27">
    <w:abstractNumId w:val="25"/>
    <w:lvlOverride w:ilvl="0">
      <w:startOverride w:val="6"/>
    </w:lvlOverride>
    <w:lvlOverride w:ilvl="1">
      <w:startOverride w:val="2"/>
    </w:lvlOverride>
    <w:lvlOverride w:ilvl="2">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6"/>
  </w:num>
  <w:num w:numId="32">
    <w:abstractNumId w:val="9"/>
  </w:num>
  <w:num w:numId="33">
    <w:abstractNumId w:val="3"/>
  </w:num>
  <w:num w:numId="34">
    <w:abstractNumId w:val="0"/>
  </w:num>
  <w:num w:numId="35">
    <w:abstractNumId w:val="13"/>
  </w:num>
  <w:num w:numId="36">
    <w:abstractNumId w:val="19"/>
  </w:num>
  <w:num w:numId="37">
    <w:abstractNumId w:val="7"/>
  </w:num>
  <w:num w:numId="38">
    <w:abstractNumId w:val="6"/>
  </w:num>
  <w:num w:numId="39">
    <w:abstractNumId w:val="22"/>
  </w:num>
  <w:num w:numId="40">
    <w:abstractNumId w:val="4"/>
  </w:num>
  <w:num w:numId="41">
    <w:abstractNumId w:val="21"/>
  </w:num>
  <w:num w:numId="42">
    <w:abstractNumId w:val="1"/>
  </w:num>
  <w:num w:numId="43">
    <w:abstractNumId w:val="18"/>
  </w:num>
  <w:num w:numId="44">
    <w:abstractNumId w:val="14"/>
  </w:num>
  <w:num w:numId="45">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1E"/>
    <w:rsid w:val="00012211"/>
    <w:rsid w:val="00014E87"/>
    <w:rsid w:val="000168D9"/>
    <w:rsid w:val="00021384"/>
    <w:rsid w:val="000227D5"/>
    <w:rsid w:val="00022C3E"/>
    <w:rsid w:val="00023545"/>
    <w:rsid w:val="000247E7"/>
    <w:rsid w:val="00037616"/>
    <w:rsid w:val="000425A0"/>
    <w:rsid w:val="00044189"/>
    <w:rsid w:val="00051AF3"/>
    <w:rsid w:val="00053D2F"/>
    <w:rsid w:val="00057CF0"/>
    <w:rsid w:val="0006052D"/>
    <w:rsid w:val="00061303"/>
    <w:rsid w:val="000635BB"/>
    <w:rsid w:val="00074FA1"/>
    <w:rsid w:val="00075D34"/>
    <w:rsid w:val="00076E5B"/>
    <w:rsid w:val="00080480"/>
    <w:rsid w:val="000827BF"/>
    <w:rsid w:val="00082987"/>
    <w:rsid w:val="00087837"/>
    <w:rsid w:val="00090264"/>
    <w:rsid w:val="00091A2C"/>
    <w:rsid w:val="00092186"/>
    <w:rsid w:val="0009373D"/>
    <w:rsid w:val="000961DC"/>
    <w:rsid w:val="0009767F"/>
    <w:rsid w:val="000A0D05"/>
    <w:rsid w:val="000A4649"/>
    <w:rsid w:val="000A6A6F"/>
    <w:rsid w:val="000B33DD"/>
    <w:rsid w:val="000B76C9"/>
    <w:rsid w:val="000C128C"/>
    <w:rsid w:val="000C2780"/>
    <w:rsid w:val="000C32ED"/>
    <w:rsid w:val="000C4EBA"/>
    <w:rsid w:val="000C6936"/>
    <w:rsid w:val="000D01B4"/>
    <w:rsid w:val="000D0B1A"/>
    <w:rsid w:val="000D5F4C"/>
    <w:rsid w:val="000D73DB"/>
    <w:rsid w:val="000E053D"/>
    <w:rsid w:val="000E0C76"/>
    <w:rsid w:val="000E3BBD"/>
    <w:rsid w:val="000E4F56"/>
    <w:rsid w:val="000F19F9"/>
    <w:rsid w:val="000F1A23"/>
    <w:rsid w:val="000F3406"/>
    <w:rsid w:val="000F3C2B"/>
    <w:rsid w:val="000F48F5"/>
    <w:rsid w:val="000F7736"/>
    <w:rsid w:val="001041A0"/>
    <w:rsid w:val="00104F45"/>
    <w:rsid w:val="0011171C"/>
    <w:rsid w:val="0011382A"/>
    <w:rsid w:val="00113DF4"/>
    <w:rsid w:val="001140BC"/>
    <w:rsid w:val="00123B8A"/>
    <w:rsid w:val="00125439"/>
    <w:rsid w:val="00132B59"/>
    <w:rsid w:val="00134ED9"/>
    <w:rsid w:val="001353AB"/>
    <w:rsid w:val="00135613"/>
    <w:rsid w:val="001363D0"/>
    <w:rsid w:val="0013685F"/>
    <w:rsid w:val="00137439"/>
    <w:rsid w:val="00137BB4"/>
    <w:rsid w:val="00137E40"/>
    <w:rsid w:val="0014059C"/>
    <w:rsid w:val="00140A0C"/>
    <w:rsid w:val="001422A9"/>
    <w:rsid w:val="001475B5"/>
    <w:rsid w:val="001571EA"/>
    <w:rsid w:val="00165E37"/>
    <w:rsid w:val="0017171A"/>
    <w:rsid w:val="00173131"/>
    <w:rsid w:val="00173370"/>
    <w:rsid w:val="00175A7A"/>
    <w:rsid w:val="00175E19"/>
    <w:rsid w:val="001779C1"/>
    <w:rsid w:val="00180633"/>
    <w:rsid w:val="001819F8"/>
    <w:rsid w:val="00181FE5"/>
    <w:rsid w:val="0019334F"/>
    <w:rsid w:val="00194EB9"/>
    <w:rsid w:val="001A0F1B"/>
    <w:rsid w:val="001A394B"/>
    <w:rsid w:val="001A4583"/>
    <w:rsid w:val="001A71F3"/>
    <w:rsid w:val="001A7C12"/>
    <w:rsid w:val="001B7D04"/>
    <w:rsid w:val="001C6B9B"/>
    <w:rsid w:val="001D1336"/>
    <w:rsid w:val="001D2738"/>
    <w:rsid w:val="001D32F0"/>
    <w:rsid w:val="001E0672"/>
    <w:rsid w:val="001F038C"/>
    <w:rsid w:val="001F1CE3"/>
    <w:rsid w:val="001F34DC"/>
    <w:rsid w:val="001F4EB3"/>
    <w:rsid w:val="001F5A86"/>
    <w:rsid w:val="002033B8"/>
    <w:rsid w:val="002041B4"/>
    <w:rsid w:val="00213AB8"/>
    <w:rsid w:val="00220DAF"/>
    <w:rsid w:val="00220EB2"/>
    <w:rsid w:val="00221AD2"/>
    <w:rsid w:val="00221DD2"/>
    <w:rsid w:val="00226AF4"/>
    <w:rsid w:val="0023029C"/>
    <w:rsid w:val="00230359"/>
    <w:rsid w:val="00240213"/>
    <w:rsid w:val="0024038E"/>
    <w:rsid w:val="0024178F"/>
    <w:rsid w:val="002421A4"/>
    <w:rsid w:val="00245FB9"/>
    <w:rsid w:val="002634D5"/>
    <w:rsid w:val="00270DAB"/>
    <w:rsid w:val="00271447"/>
    <w:rsid w:val="00277667"/>
    <w:rsid w:val="00291509"/>
    <w:rsid w:val="002924D7"/>
    <w:rsid w:val="00294020"/>
    <w:rsid w:val="00296527"/>
    <w:rsid w:val="002A0A70"/>
    <w:rsid w:val="002A551A"/>
    <w:rsid w:val="002A5E56"/>
    <w:rsid w:val="002B0C2D"/>
    <w:rsid w:val="002B0FE1"/>
    <w:rsid w:val="002B24CD"/>
    <w:rsid w:val="002B27AB"/>
    <w:rsid w:val="002B79E8"/>
    <w:rsid w:val="002C058B"/>
    <w:rsid w:val="002C26B9"/>
    <w:rsid w:val="002C3B4D"/>
    <w:rsid w:val="002C42F6"/>
    <w:rsid w:val="002C54B8"/>
    <w:rsid w:val="002C6304"/>
    <w:rsid w:val="002C65D7"/>
    <w:rsid w:val="002D042E"/>
    <w:rsid w:val="002D1AD8"/>
    <w:rsid w:val="002D2758"/>
    <w:rsid w:val="002D710B"/>
    <w:rsid w:val="002E14BB"/>
    <w:rsid w:val="002E20A5"/>
    <w:rsid w:val="002E3936"/>
    <w:rsid w:val="002F41CA"/>
    <w:rsid w:val="00302268"/>
    <w:rsid w:val="00304AD8"/>
    <w:rsid w:val="003051A7"/>
    <w:rsid w:val="003053F0"/>
    <w:rsid w:val="00320F3E"/>
    <w:rsid w:val="00324398"/>
    <w:rsid w:val="00325B38"/>
    <w:rsid w:val="00332FE0"/>
    <w:rsid w:val="00333866"/>
    <w:rsid w:val="00340F2C"/>
    <w:rsid w:val="00342459"/>
    <w:rsid w:val="0034526B"/>
    <w:rsid w:val="00352260"/>
    <w:rsid w:val="003549CB"/>
    <w:rsid w:val="003563C0"/>
    <w:rsid w:val="00357F81"/>
    <w:rsid w:val="0036350E"/>
    <w:rsid w:val="00363AC8"/>
    <w:rsid w:val="00367D5C"/>
    <w:rsid w:val="003706F5"/>
    <w:rsid w:val="00370C4F"/>
    <w:rsid w:val="00372A42"/>
    <w:rsid w:val="0037383C"/>
    <w:rsid w:val="00373C63"/>
    <w:rsid w:val="00380A52"/>
    <w:rsid w:val="00380B2A"/>
    <w:rsid w:val="00380F43"/>
    <w:rsid w:val="003825E4"/>
    <w:rsid w:val="00382605"/>
    <w:rsid w:val="00383688"/>
    <w:rsid w:val="00383DE7"/>
    <w:rsid w:val="00385175"/>
    <w:rsid w:val="003870FA"/>
    <w:rsid w:val="00391E7C"/>
    <w:rsid w:val="00395C13"/>
    <w:rsid w:val="003961CE"/>
    <w:rsid w:val="00397506"/>
    <w:rsid w:val="003A0BF2"/>
    <w:rsid w:val="003A60CA"/>
    <w:rsid w:val="003C129A"/>
    <w:rsid w:val="003C482C"/>
    <w:rsid w:val="003C4A51"/>
    <w:rsid w:val="003C663A"/>
    <w:rsid w:val="003D11BE"/>
    <w:rsid w:val="003D20E1"/>
    <w:rsid w:val="003D241F"/>
    <w:rsid w:val="003D36AE"/>
    <w:rsid w:val="003E5D40"/>
    <w:rsid w:val="003E69F4"/>
    <w:rsid w:val="003E6B07"/>
    <w:rsid w:val="003E720A"/>
    <w:rsid w:val="003F0EB3"/>
    <w:rsid w:val="003F65DC"/>
    <w:rsid w:val="003F6E38"/>
    <w:rsid w:val="00403118"/>
    <w:rsid w:val="00410D62"/>
    <w:rsid w:val="00415A1F"/>
    <w:rsid w:val="00421BD8"/>
    <w:rsid w:val="00422CE9"/>
    <w:rsid w:val="00422D03"/>
    <w:rsid w:val="00427FD2"/>
    <w:rsid w:val="0043113B"/>
    <w:rsid w:val="00437A77"/>
    <w:rsid w:val="00442385"/>
    <w:rsid w:val="004425B9"/>
    <w:rsid w:val="00443B96"/>
    <w:rsid w:val="004523A2"/>
    <w:rsid w:val="0045559F"/>
    <w:rsid w:val="00457685"/>
    <w:rsid w:val="0046213E"/>
    <w:rsid w:val="00474BE2"/>
    <w:rsid w:val="00476B29"/>
    <w:rsid w:val="00482EB8"/>
    <w:rsid w:val="00490101"/>
    <w:rsid w:val="00494154"/>
    <w:rsid w:val="00494724"/>
    <w:rsid w:val="004A1F5A"/>
    <w:rsid w:val="004A2820"/>
    <w:rsid w:val="004A4C36"/>
    <w:rsid w:val="004B3E67"/>
    <w:rsid w:val="004B466D"/>
    <w:rsid w:val="004B4B05"/>
    <w:rsid w:val="004B7D77"/>
    <w:rsid w:val="004C1154"/>
    <w:rsid w:val="004C724C"/>
    <w:rsid w:val="004D2A41"/>
    <w:rsid w:val="004D5144"/>
    <w:rsid w:val="004D774C"/>
    <w:rsid w:val="004D7CF0"/>
    <w:rsid w:val="004D7F7B"/>
    <w:rsid w:val="004E55B5"/>
    <w:rsid w:val="004E7FEB"/>
    <w:rsid w:val="004F14A1"/>
    <w:rsid w:val="004F2450"/>
    <w:rsid w:val="004F2A84"/>
    <w:rsid w:val="004F3C0A"/>
    <w:rsid w:val="0050119F"/>
    <w:rsid w:val="00502FE7"/>
    <w:rsid w:val="00510FDE"/>
    <w:rsid w:val="0051649A"/>
    <w:rsid w:val="005167B2"/>
    <w:rsid w:val="00517EDB"/>
    <w:rsid w:val="00527FA3"/>
    <w:rsid w:val="00542C8B"/>
    <w:rsid w:val="005436EC"/>
    <w:rsid w:val="00543F50"/>
    <w:rsid w:val="00552FA7"/>
    <w:rsid w:val="005556AA"/>
    <w:rsid w:val="005569B8"/>
    <w:rsid w:val="005626AB"/>
    <w:rsid w:val="005626CA"/>
    <w:rsid w:val="00564B37"/>
    <w:rsid w:val="00567B15"/>
    <w:rsid w:val="0057132E"/>
    <w:rsid w:val="005767C8"/>
    <w:rsid w:val="00584AAC"/>
    <w:rsid w:val="005872E2"/>
    <w:rsid w:val="00594E0B"/>
    <w:rsid w:val="00597850"/>
    <w:rsid w:val="005979ED"/>
    <w:rsid w:val="00597C31"/>
    <w:rsid w:val="00597CE8"/>
    <w:rsid w:val="005A08A0"/>
    <w:rsid w:val="005A1E7D"/>
    <w:rsid w:val="005A4FF7"/>
    <w:rsid w:val="005B303F"/>
    <w:rsid w:val="005B78C1"/>
    <w:rsid w:val="005C1235"/>
    <w:rsid w:val="005D7292"/>
    <w:rsid w:val="005E3366"/>
    <w:rsid w:val="005F00F0"/>
    <w:rsid w:val="00600A48"/>
    <w:rsid w:val="0060249F"/>
    <w:rsid w:val="00602D86"/>
    <w:rsid w:val="00603E2D"/>
    <w:rsid w:val="00604F30"/>
    <w:rsid w:val="00613B2F"/>
    <w:rsid w:val="00615B24"/>
    <w:rsid w:val="00617DA2"/>
    <w:rsid w:val="00620FA6"/>
    <w:rsid w:val="00621E9D"/>
    <w:rsid w:val="00623C2B"/>
    <w:rsid w:val="00623F9E"/>
    <w:rsid w:val="00625EC6"/>
    <w:rsid w:val="00630944"/>
    <w:rsid w:val="006313FC"/>
    <w:rsid w:val="006341D7"/>
    <w:rsid w:val="00636583"/>
    <w:rsid w:val="006375D6"/>
    <w:rsid w:val="0064612C"/>
    <w:rsid w:val="00654275"/>
    <w:rsid w:val="006571AB"/>
    <w:rsid w:val="00677C4D"/>
    <w:rsid w:val="00684814"/>
    <w:rsid w:val="00684836"/>
    <w:rsid w:val="00687776"/>
    <w:rsid w:val="0069142A"/>
    <w:rsid w:val="006977FE"/>
    <w:rsid w:val="006A2A25"/>
    <w:rsid w:val="006B1F33"/>
    <w:rsid w:val="006B40AF"/>
    <w:rsid w:val="006B452E"/>
    <w:rsid w:val="006B7EC3"/>
    <w:rsid w:val="006C7CFF"/>
    <w:rsid w:val="006D52E2"/>
    <w:rsid w:val="006E02D8"/>
    <w:rsid w:val="006E0785"/>
    <w:rsid w:val="006E0E7D"/>
    <w:rsid w:val="006E4338"/>
    <w:rsid w:val="006E6EB1"/>
    <w:rsid w:val="006E7DB7"/>
    <w:rsid w:val="006F2BAA"/>
    <w:rsid w:val="006F410A"/>
    <w:rsid w:val="006F6161"/>
    <w:rsid w:val="00701EFC"/>
    <w:rsid w:val="00702331"/>
    <w:rsid w:val="00704ED5"/>
    <w:rsid w:val="00714140"/>
    <w:rsid w:val="007143CD"/>
    <w:rsid w:val="007156BD"/>
    <w:rsid w:val="0072700B"/>
    <w:rsid w:val="00730E54"/>
    <w:rsid w:val="00731F92"/>
    <w:rsid w:val="00732950"/>
    <w:rsid w:val="00732AD5"/>
    <w:rsid w:val="00736532"/>
    <w:rsid w:val="0075076A"/>
    <w:rsid w:val="00760FC4"/>
    <w:rsid w:val="0076328D"/>
    <w:rsid w:val="007661AD"/>
    <w:rsid w:val="00772714"/>
    <w:rsid w:val="007763CF"/>
    <w:rsid w:val="00780F0F"/>
    <w:rsid w:val="00781A1D"/>
    <w:rsid w:val="007825EE"/>
    <w:rsid w:val="00783E69"/>
    <w:rsid w:val="00792E70"/>
    <w:rsid w:val="007968FC"/>
    <w:rsid w:val="007B7EDF"/>
    <w:rsid w:val="007C0526"/>
    <w:rsid w:val="007C229F"/>
    <w:rsid w:val="007C41B9"/>
    <w:rsid w:val="007C63FE"/>
    <w:rsid w:val="007C73ED"/>
    <w:rsid w:val="007C76C6"/>
    <w:rsid w:val="007D2D2C"/>
    <w:rsid w:val="007D780E"/>
    <w:rsid w:val="007E2F2B"/>
    <w:rsid w:val="007E34C0"/>
    <w:rsid w:val="007E58EB"/>
    <w:rsid w:val="007E600B"/>
    <w:rsid w:val="007E6A06"/>
    <w:rsid w:val="007F01E9"/>
    <w:rsid w:val="007F4A39"/>
    <w:rsid w:val="007F551B"/>
    <w:rsid w:val="007F7617"/>
    <w:rsid w:val="008006B7"/>
    <w:rsid w:val="00802333"/>
    <w:rsid w:val="008054C5"/>
    <w:rsid w:val="00806754"/>
    <w:rsid w:val="00812E68"/>
    <w:rsid w:val="00813203"/>
    <w:rsid w:val="00814BAE"/>
    <w:rsid w:val="008150EA"/>
    <w:rsid w:val="008176F3"/>
    <w:rsid w:val="008204C6"/>
    <w:rsid w:val="008219BF"/>
    <w:rsid w:val="0082248F"/>
    <w:rsid w:val="008253AB"/>
    <w:rsid w:val="00827703"/>
    <w:rsid w:val="00827718"/>
    <w:rsid w:val="00831631"/>
    <w:rsid w:val="00832FAF"/>
    <w:rsid w:val="00840C89"/>
    <w:rsid w:val="008442B8"/>
    <w:rsid w:val="008451C4"/>
    <w:rsid w:val="008544E5"/>
    <w:rsid w:val="008634B3"/>
    <w:rsid w:val="00873C5A"/>
    <w:rsid w:val="00874C86"/>
    <w:rsid w:val="00876FDF"/>
    <w:rsid w:val="0088211D"/>
    <w:rsid w:val="00883230"/>
    <w:rsid w:val="00891F3A"/>
    <w:rsid w:val="008933AF"/>
    <w:rsid w:val="008A119C"/>
    <w:rsid w:val="008A7A79"/>
    <w:rsid w:val="008B1032"/>
    <w:rsid w:val="008C1BAB"/>
    <w:rsid w:val="008C28D3"/>
    <w:rsid w:val="008C2A19"/>
    <w:rsid w:val="008C426B"/>
    <w:rsid w:val="008C7F61"/>
    <w:rsid w:val="008E07A5"/>
    <w:rsid w:val="008E1405"/>
    <w:rsid w:val="008E2CA1"/>
    <w:rsid w:val="008E48BD"/>
    <w:rsid w:val="008F00F3"/>
    <w:rsid w:val="008F76AC"/>
    <w:rsid w:val="009011C4"/>
    <w:rsid w:val="009138BF"/>
    <w:rsid w:val="00914E9B"/>
    <w:rsid w:val="00916094"/>
    <w:rsid w:val="00922E08"/>
    <w:rsid w:val="00924C15"/>
    <w:rsid w:val="009259C8"/>
    <w:rsid w:val="009315B6"/>
    <w:rsid w:val="00935028"/>
    <w:rsid w:val="00936920"/>
    <w:rsid w:val="00937C84"/>
    <w:rsid w:val="00943E67"/>
    <w:rsid w:val="00943EC6"/>
    <w:rsid w:val="00947266"/>
    <w:rsid w:val="009513EC"/>
    <w:rsid w:val="0095577D"/>
    <w:rsid w:val="00964690"/>
    <w:rsid w:val="00965C2A"/>
    <w:rsid w:val="00965FD2"/>
    <w:rsid w:val="0097058B"/>
    <w:rsid w:val="0097063D"/>
    <w:rsid w:val="009720F6"/>
    <w:rsid w:val="009724D2"/>
    <w:rsid w:val="00976792"/>
    <w:rsid w:val="00977845"/>
    <w:rsid w:val="0098292A"/>
    <w:rsid w:val="009862BB"/>
    <w:rsid w:val="00990C23"/>
    <w:rsid w:val="0099341E"/>
    <w:rsid w:val="00994311"/>
    <w:rsid w:val="0099506C"/>
    <w:rsid w:val="0099640C"/>
    <w:rsid w:val="009A30BB"/>
    <w:rsid w:val="009A520F"/>
    <w:rsid w:val="009A5852"/>
    <w:rsid w:val="009A67A5"/>
    <w:rsid w:val="009B3D30"/>
    <w:rsid w:val="009B5377"/>
    <w:rsid w:val="009B5901"/>
    <w:rsid w:val="009B6D04"/>
    <w:rsid w:val="009B72EF"/>
    <w:rsid w:val="009C2897"/>
    <w:rsid w:val="009C73D6"/>
    <w:rsid w:val="009C7475"/>
    <w:rsid w:val="009D0DA2"/>
    <w:rsid w:val="009D144C"/>
    <w:rsid w:val="009D2D2A"/>
    <w:rsid w:val="009D3B07"/>
    <w:rsid w:val="009E0BD8"/>
    <w:rsid w:val="009E4907"/>
    <w:rsid w:val="009E6F0B"/>
    <w:rsid w:val="009E7620"/>
    <w:rsid w:val="009F0D0D"/>
    <w:rsid w:val="009F1097"/>
    <w:rsid w:val="009F35AD"/>
    <w:rsid w:val="00A13144"/>
    <w:rsid w:val="00A13B02"/>
    <w:rsid w:val="00A14A83"/>
    <w:rsid w:val="00A2239C"/>
    <w:rsid w:val="00A30177"/>
    <w:rsid w:val="00A30D7C"/>
    <w:rsid w:val="00A3261C"/>
    <w:rsid w:val="00A33426"/>
    <w:rsid w:val="00A34CD7"/>
    <w:rsid w:val="00A40C49"/>
    <w:rsid w:val="00A45B15"/>
    <w:rsid w:val="00A46DCC"/>
    <w:rsid w:val="00A50204"/>
    <w:rsid w:val="00A572FF"/>
    <w:rsid w:val="00A62FD0"/>
    <w:rsid w:val="00A634FB"/>
    <w:rsid w:val="00A811C3"/>
    <w:rsid w:val="00A82C1C"/>
    <w:rsid w:val="00A84227"/>
    <w:rsid w:val="00A8453F"/>
    <w:rsid w:val="00A858EA"/>
    <w:rsid w:val="00A87B50"/>
    <w:rsid w:val="00A94151"/>
    <w:rsid w:val="00A941A5"/>
    <w:rsid w:val="00A95E55"/>
    <w:rsid w:val="00AA30DC"/>
    <w:rsid w:val="00AA3789"/>
    <w:rsid w:val="00AA5F96"/>
    <w:rsid w:val="00AB1680"/>
    <w:rsid w:val="00AB17D3"/>
    <w:rsid w:val="00AC3529"/>
    <w:rsid w:val="00AC503D"/>
    <w:rsid w:val="00AD3B8D"/>
    <w:rsid w:val="00AD5E0E"/>
    <w:rsid w:val="00AE1FB4"/>
    <w:rsid w:val="00AE6D13"/>
    <w:rsid w:val="00AF1D4D"/>
    <w:rsid w:val="00AF2412"/>
    <w:rsid w:val="00AF6C24"/>
    <w:rsid w:val="00AF77F1"/>
    <w:rsid w:val="00B04F22"/>
    <w:rsid w:val="00B122D9"/>
    <w:rsid w:val="00B126E2"/>
    <w:rsid w:val="00B135BC"/>
    <w:rsid w:val="00B1615B"/>
    <w:rsid w:val="00B21A6E"/>
    <w:rsid w:val="00B21B5A"/>
    <w:rsid w:val="00B249E9"/>
    <w:rsid w:val="00B26139"/>
    <w:rsid w:val="00B2614F"/>
    <w:rsid w:val="00B34748"/>
    <w:rsid w:val="00B4168B"/>
    <w:rsid w:val="00B51A72"/>
    <w:rsid w:val="00B51EBF"/>
    <w:rsid w:val="00B545FD"/>
    <w:rsid w:val="00B60722"/>
    <w:rsid w:val="00B62380"/>
    <w:rsid w:val="00B62571"/>
    <w:rsid w:val="00B640B2"/>
    <w:rsid w:val="00B646B4"/>
    <w:rsid w:val="00B65678"/>
    <w:rsid w:val="00B674D8"/>
    <w:rsid w:val="00B71C9D"/>
    <w:rsid w:val="00B7235D"/>
    <w:rsid w:val="00B77BDD"/>
    <w:rsid w:val="00B84BC2"/>
    <w:rsid w:val="00B9287D"/>
    <w:rsid w:val="00B9701E"/>
    <w:rsid w:val="00BA6517"/>
    <w:rsid w:val="00BA6783"/>
    <w:rsid w:val="00BA6D2C"/>
    <w:rsid w:val="00BB3D1A"/>
    <w:rsid w:val="00BB404B"/>
    <w:rsid w:val="00BC109A"/>
    <w:rsid w:val="00BC1FA9"/>
    <w:rsid w:val="00BD25BF"/>
    <w:rsid w:val="00BD5B67"/>
    <w:rsid w:val="00BE017B"/>
    <w:rsid w:val="00BE09B0"/>
    <w:rsid w:val="00BE4344"/>
    <w:rsid w:val="00BE5E08"/>
    <w:rsid w:val="00BF0677"/>
    <w:rsid w:val="00BF2F07"/>
    <w:rsid w:val="00BF3050"/>
    <w:rsid w:val="00BF54D7"/>
    <w:rsid w:val="00BF5ACB"/>
    <w:rsid w:val="00BF7AC1"/>
    <w:rsid w:val="00C02A86"/>
    <w:rsid w:val="00C04D36"/>
    <w:rsid w:val="00C05EC5"/>
    <w:rsid w:val="00C068BA"/>
    <w:rsid w:val="00C07CFD"/>
    <w:rsid w:val="00C10D48"/>
    <w:rsid w:val="00C14670"/>
    <w:rsid w:val="00C153EF"/>
    <w:rsid w:val="00C17D85"/>
    <w:rsid w:val="00C17E82"/>
    <w:rsid w:val="00C20451"/>
    <w:rsid w:val="00C224C0"/>
    <w:rsid w:val="00C250CF"/>
    <w:rsid w:val="00C311D1"/>
    <w:rsid w:val="00C3207B"/>
    <w:rsid w:val="00C33624"/>
    <w:rsid w:val="00C3530F"/>
    <w:rsid w:val="00C355B2"/>
    <w:rsid w:val="00C3579A"/>
    <w:rsid w:val="00C37952"/>
    <w:rsid w:val="00C45E25"/>
    <w:rsid w:val="00C47599"/>
    <w:rsid w:val="00C53BFA"/>
    <w:rsid w:val="00C55DD9"/>
    <w:rsid w:val="00C57618"/>
    <w:rsid w:val="00C61CCD"/>
    <w:rsid w:val="00C7032D"/>
    <w:rsid w:val="00C752CD"/>
    <w:rsid w:val="00C81184"/>
    <w:rsid w:val="00C939B1"/>
    <w:rsid w:val="00C9569A"/>
    <w:rsid w:val="00C97364"/>
    <w:rsid w:val="00C97BAD"/>
    <w:rsid w:val="00C97D72"/>
    <w:rsid w:val="00CA6024"/>
    <w:rsid w:val="00CB20A0"/>
    <w:rsid w:val="00CB341D"/>
    <w:rsid w:val="00CC1409"/>
    <w:rsid w:val="00CC2615"/>
    <w:rsid w:val="00CC4988"/>
    <w:rsid w:val="00CD2FF2"/>
    <w:rsid w:val="00CD4FC7"/>
    <w:rsid w:val="00CD625A"/>
    <w:rsid w:val="00CD7A7B"/>
    <w:rsid w:val="00CE00EC"/>
    <w:rsid w:val="00CE0B88"/>
    <w:rsid w:val="00CE2A80"/>
    <w:rsid w:val="00CE3352"/>
    <w:rsid w:val="00CF03B2"/>
    <w:rsid w:val="00CF4736"/>
    <w:rsid w:val="00CF6E7D"/>
    <w:rsid w:val="00D0109B"/>
    <w:rsid w:val="00D031B0"/>
    <w:rsid w:val="00D03675"/>
    <w:rsid w:val="00D16A3E"/>
    <w:rsid w:val="00D21737"/>
    <w:rsid w:val="00D21E92"/>
    <w:rsid w:val="00D228A3"/>
    <w:rsid w:val="00D262CA"/>
    <w:rsid w:val="00D2635B"/>
    <w:rsid w:val="00D3134C"/>
    <w:rsid w:val="00D3282B"/>
    <w:rsid w:val="00D33A51"/>
    <w:rsid w:val="00D36129"/>
    <w:rsid w:val="00D42994"/>
    <w:rsid w:val="00D430B1"/>
    <w:rsid w:val="00D50734"/>
    <w:rsid w:val="00D50FFE"/>
    <w:rsid w:val="00D517FC"/>
    <w:rsid w:val="00D528C2"/>
    <w:rsid w:val="00D54FC0"/>
    <w:rsid w:val="00D61C80"/>
    <w:rsid w:val="00D679A5"/>
    <w:rsid w:val="00D7111A"/>
    <w:rsid w:val="00D72B08"/>
    <w:rsid w:val="00D74F5F"/>
    <w:rsid w:val="00D76009"/>
    <w:rsid w:val="00D7799D"/>
    <w:rsid w:val="00D82911"/>
    <w:rsid w:val="00D82F96"/>
    <w:rsid w:val="00D915B0"/>
    <w:rsid w:val="00D9572E"/>
    <w:rsid w:val="00D95CB5"/>
    <w:rsid w:val="00D9749A"/>
    <w:rsid w:val="00DA27FC"/>
    <w:rsid w:val="00DA54A2"/>
    <w:rsid w:val="00DB00BF"/>
    <w:rsid w:val="00DB34FF"/>
    <w:rsid w:val="00DB6D10"/>
    <w:rsid w:val="00DB6ECE"/>
    <w:rsid w:val="00DC0316"/>
    <w:rsid w:val="00DC09A0"/>
    <w:rsid w:val="00DD5ACE"/>
    <w:rsid w:val="00DD638D"/>
    <w:rsid w:val="00DD738E"/>
    <w:rsid w:val="00DE5420"/>
    <w:rsid w:val="00DF1875"/>
    <w:rsid w:val="00DF55AD"/>
    <w:rsid w:val="00DF5707"/>
    <w:rsid w:val="00E04D96"/>
    <w:rsid w:val="00E065CE"/>
    <w:rsid w:val="00E12D8A"/>
    <w:rsid w:val="00E14590"/>
    <w:rsid w:val="00E255EA"/>
    <w:rsid w:val="00E2620E"/>
    <w:rsid w:val="00E27774"/>
    <w:rsid w:val="00E33FCD"/>
    <w:rsid w:val="00E34D03"/>
    <w:rsid w:val="00E3515D"/>
    <w:rsid w:val="00E43B2A"/>
    <w:rsid w:val="00E44EA0"/>
    <w:rsid w:val="00E50571"/>
    <w:rsid w:val="00E51A7D"/>
    <w:rsid w:val="00E5463F"/>
    <w:rsid w:val="00E55B3A"/>
    <w:rsid w:val="00E63AA9"/>
    <w:rsid w:val="00E6698F"/>
    <w:rsid w:val="00E72528"/>
    <w:rsid w:val="00E72C78"/>
    <w:rsid w:val="00E77A20"/>
    <w:rsid w:val="00E87936"/>
    <w:rsid w:val="00E90AF2"/>
    <w:rsid w:val="00E96A65"/>
    <w:rsid w:val="00E96B89"/>
    <w:rsid w:val="00EA501E"/>
    <w:rsid w:val="00EA590A"/>
    <w:rsid w:val="00EB11BF"/>
    <w:rsid w:val="00EB15C7"/>
    <w:rsid w:val="00EB16FB"/>
    <w:rsid w:val="00EB2D83"/>
    <w:rsid w:val="00EB7D98"/>
    <w:rsid w:val="00EC2485"/>
    <w:rsid w:val="00EC7BC3"/>
    <w:rsid w:val="00ED2DCD"/>
    <w:rsid w:val="00ED3624"/>
    <w:rsid w:val="00ED7F26"/>
    <w:rsid w:val="00EE20AF"/>
    <w:rsid w:val="00EE25D1"/>
    <w:rsid w:val="00EE7F2E"/>
    <w:rsid w:val="00EF261F"/>
    <w:rsid w:val="00EF502E"/>
    <w:rsid w:val="00EF537D"/>
    <w:rsid w:val="00EF79B3"/>
    <w:rsid w:val="00F071D8"/>
    <w:rsid w:val="00F07B30"/>
    <w:rsid w:val="00F07FE2"/>
    <w:rsid w:val="00F11896"/>
    <w:rsid w:val="00F21D1E"/>
    <w:rsid w:val="00F27A52"/>
    <w:rsid w:val="00F35406"/>
    <w:rsid w:val="00F405C3"/>
    <w:rsid w:val="00F44CC8"/>
    <w:rsid w:val="00F464C3"/>
    <w:rsid w:val="00F514EC"/>
    <w:rsid w:val="00F52A10"/>
    <w:rsid w:val="00F64684"/>
    <w:rsid w:val="00F6748F"/>
    <w:rsid w:val="00F67970"/>
    <w:rsid w:val="00F76D44"/>
    <w:rsid w:val="00F77B52"/>
    <w:rsid w:val="00F836D7"/>
    <w:rsid w:val="00F869EC"/>
    <w:rsid w:val="00F91EE0"/>
    <w:rsid w:val="00F9373C"/>
    <w:rsid w:val="00FA28B1"/>
    <w:rsid w:val="00FB03CB"/>
    <w:rsid w:val="00FB48CB"/>
    <w:rsid w:val="00FB4D61"/>
    <w:rsid w:val="00FB541A"/>
    <w:rsid w:val="00FB7777"/>
    <w:rsid w:val="00FC2571"/>
    <w:rsid w:val="00FC5E2C"/>
    <w:rsid w:val="00FD2131"/>
    <w:rsid w:val="00FD24F4"/>
    <w:rsid w:val="00FD40F9"/>
    <w:rsid w:val="00FE12E9"/>
    <w:rsid w:val="00FE1A1C"/>
    <w:rsid w:val="00FE43D7"/>
    <w:rsid w:val="00FE5E61"/>
    <w:rsid w:val="00FF0513"/>
    <w:rsid w:val="00FF3A42"/>
    <w:rsid w:val="058F0179"/>
    <w:rsid w:val="0B1AD191"/>
    <w:rsid w:val="0EABCD7A"/>
    <w:rsid w:val="123C6DA9"/>
    <w:rsid w:val="15F3CFA7"/>
    <w:rsid w:val="162BF5EA"/>
    <w:rsid w:val="17446759"/>
    <w:rsid w:val="17C7C64B"/>
    <w:rsid w:val="1A76A81F"/>
    <w:rsid w:val="1C9B376E"/>
    <w:rsid w:val="1CA9C9D7"/>
    <w:rsid w:val="1DAAFDBD"/>
    <w:rsid w:val="23E51388"/>
    <w:rsid w:val="24A06DD7"/>
    <w:rsid w:val="271CB44A"/>
    <w:rsid w:val="304F7710"/>
    <w:rsid w:val="3232C9C9"/>
    <w:rsid w:val="325F66F1"/>
    <w:rsid w:val="329F7B46"/>
    <w:rsid w:val="37947E0C"/>
    <w:rsid w:val="387B1365"/>
    <w:rsid w:val="3AA121A1"/>
    <w:rsid w:val="42DC9D49"/>
    <w:rsid w:val="488086D0"/>
    <w:rsid w:val="4F7E02CA"/>
    <w:rsid w:val="502EA859"/>
    <w:rsid w:val="5597F186"/>
    <w:rsid w:val="5A923876"/>
    <w:rsid w:val="60BBEB93"/>
    <w:rsid w:val="6507026F"/>
    <w:rsid w:val="701C9A4E"/>
    <w:rsid w:val="712A6EB7"/>
    <w:rsid w:val="76C0E420"/>
    <w:rsid w:val="77733436"/>
    <w:rsid w:val="77939130"/>
    <w:rsid w:val="785CB481"/>
    <w:rsid w:val="7B945543"/>
    <w:rsid w:val="7BFC3C6F"/>
    <w:rsid w:val="7EBB0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22D5F89A"/>
  <w15:docId w15:val="{2DC21518-530E-4DBA-9160-02846981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5A0"/>
    <w:pPr>
      <w:spacing w:before="240"/>
    </w:pPr>
    <w:rPr>
      <w:sz w:val="24"/>
    </w:rPr>
  </w:style>
  <w:style w:type="paragraph" w:styleId="Heading1">
    <w:name w:val="heading 1"/>
    <w:basedOn w:val="Normal"/>
    <w:next w:val="Normal"/>
    <w:link w:val="Heading1Char"/>
    <w:qFormat/>
    <w:pPr>
      <w:keepNext/>
      <w:numPr>
        <w:numId w:val="6"/>
      </w:numPr>
      <w:spacing w:before="0"/>
      <w:outlineLvl w:val="0"/>
    </w:pPr>
    <w:rPr>
      <w:b/>
      <w:caps/>
    </w:rPr>
  </w:style>
  <w:style w:type="paragraph" w:styleId="Heading2">
    <w:name w:val="heading 2"/>
    <w:basedOn w:val="Normal"/>
    <w:next w:val="Normal"/>
    <w:link w:val="Heading2Char"/>
    <w:qFormat/>
    <w:pPr>
      <w:keepNext/>
      <w:numPr>
        <w:ilvl w:val="1"/>
        <w:numId w:val="6"/>
      </w:numPr>
      <w:spacing w:before="360" w:after="60"/>
      <w:outlineLvl w:val="1"/>
    </w:pPr>
    <w:rPr>
      <w:b/>
    </w:rPr>
  </w:style>
  <w:style w:type="paragraph" w:styleId="Heading3">
    <w:name w:val="heading 3"/>
    <w:basedOn w:val="Normal"/>
    <w:next w:val="Normal"/>
    <w:link w:val="Heading3Char"/>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21"/>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uiPriority w:val="99"/>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uiPriority w:val="39"/>
    <w:pPr>
      <w:tabs>
        <w:tab w:val="left" w:pos="284"/>
        <w:tab w:val="right" w:leader="dot" w:pos="8303"/>
      </w:tabs>
      <w:spacing w:before="120" w:after="120"/>
      <w:ind w:left="284" w:hanging="284"/>
    </w:pPr>
    <w:rPr>
      <w:b/>
      <w:szCs w:val="24"/>
    </w:rPr>
  </w:style>
  <w:style w:type="paragraph" w:styleId="TOC2">
    <w:name w:val="toc 2"/>
    <w:basedOn w:val="Normal"/>
    <w:next w:val="Normal"/>
    <w:uiPriority w:val="39"/>
    <w:pPr>
      <w:spacing w:before="120" w:after="120"/>
      <w:ind w:left="240"/>
    </w:pPr>
    <w:rPr>
      <w:szCs w:val="24"/>
    </w:rPr>
  </w:style>
  <w:style w:type="paragraph" w:styleId="TOC3">
    <w:name w:val="toc 3"/>
    <w:basedOn w:val="Normal"/>
    <w:next w:val="Normal"/>
    <w:uiPriority w:val="39"/>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6"/>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4"/>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link w:val="TitleChar"/>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link w:val="HeaderChar"/>
    <w:uiPriority w:val="99"/>
    <w:rsid w:val="00367D5C"/>
    <w:pPr>
      <w:tabs>
        <w:tab w:val="center" w:pos="4153"/>
        <w:tab w:val="right" w:pos="8306"/>
      </w:tabs>
    </w:pPr>
  </w:style>
  <w:style w:type="character" w:styleId="FollowedHyperlink">
    <w:name w:val="FollowedHyperlink"/>
    <w:rsid w:val="00367D5C"/>
    <w:rPr>
      <w:color w:val="800080"/>
      <w:u w:val="single"/>
    </w:rPr>
  </w:style>
  <w:style w:type="character" w:styleId="CommentReference">
    <w:name w:val="annotation reference"/>
    <w:rsid w:val="002D710B"/>
    <w:rPr>
      <w:sz w:val="16"/>
      <w:szCs w:val="16"/>
    </w:rPr>
  </w:style>
  <w:style w:type="paragraph" w:styleId="CommentText">
    <w:name w:val="annotation text"/>
    <w:basedOn w:val="Normal"/>
    <w:link w:val="CommentTextChar"/>
    <w:rsid w:val="002D710B"/>
    <w:rPr>
      <w:sz w:val="20"/>
    </w:rPr>
  </w:style>
  <w:style w:type="character" w:customStyle="1" w:styleId="CommentTextChar">
    <w:name w:val="Comment Text Char"/>
    <w:basedOn w:val="DefaultParagraphFont"/>
    <w:link w:val="CommentText"/>
    <w:rsid w:val="002D710B"/>
  </w:style>
  <w:style w:type="paragraph" w:styleId="CommentSubject">
    <w:name w:val="annotation subject"/>
    <w:basedOn w:val="CommentText"/>
    <w:next w:val="CommentText"/>
    <w:link w:val="CommentSubjectChar"/>
    <w:rsid w:val="002D710B"/>
    <w:rPr>
      <w:b/>
      <w:bCs/>
    </w:rPr>
  </w:style>
  <w:style w:type="character" w:customStyle="1" w:styleId="CommentSubjectChar">
    <w:name w:val="Comment Subject Char"/>
    <w:link w:val="CommentSubject"/>
    <w:rsid w:val="002D710B"/>
    <w:rPr>
      <w:b/>
      <w:bCs/>
    </w:rPr>
  </w:style>
  <w:style w:type="paragraph" w:styleId="Revision">
    <w:name w:val="Revision"/>
    <w:hidden/>
    <w:uiPriority w:val="99"/>
    <w:semiHidden/>
    <w:rsid w:val="00924C15"/>
    <w:rPr>
      <w:sz w:val="24"/>
    </w:rPr>
  </w:style>
  <w:style w:type="character" w:customStyle="1" w:styleId="HeaderChar">
    <w:name w:val="Header Char"/>
    <w:link w:val="Header"/>
    <w:uiPriority w:val="99"/>
    <w:rsid w:val="00AA5F96"/>
    <w:rPr>
      <w:sz w:val="24"/>
    </w:rPr>
  </w:style>
  <w:style w:type="character" w:customStyle="1" w:styleId="FooterChar">
    <w:name w:val="Footer Char"/>
    <w:link w:val="Footer"/>
    <w:uiPriority w:val="99"/>
    <w:rsid w:val="001E0672"/>
    <w:rPr>
      <w:sz w:val="24"/>
    </w:rPr>
  </w:style>
  <w:style w:type="character" w:customStyle="1" w:styleId="TitleChar">
    <w:name w:val="Title Char"/>
    <w:link w:val="Title"/>
    <w:rsid w:val="00597CE8"/>
    <w:rPr>
      <w:b/>
      <w:sz w:val="36"/>
    </w:rPr>
  </w:style>
  <w:style w:type="paragraph" w:styleId="PlainText">
    <w:name w:val="Plain Text"/>
    <w:basedOn w:val="Normal"/>
    <w:link w:val="PlainTextChar"/>
    <w:uiPriority w:val="99"/>
    <w:unhideWhenUsed/>
    <w:rsid w:val="00B646B4"/>
    <w:pPr>
      <w:spacing w:before="0"/>
    </w:pPr>
    <w:rPr>
      <w:rFonts w:ascii="Consolas" w:eastAsia="Calibri" w:hAnsi="Consolas" w:cs="Consolas"/>
      <w:sz w:val="21"/>
      <w:szCs w:val="21"/>
    </w:rPr>
  </w:style>
  <w:style w:type="character" w:customStyle="1" w:styleId="PlainTextChar">
    <w:name w:val="Plain Text Char"/>
    <w:link w:val="PlainText"/>
    <w:uiPriority w:val="99"/>
    <w:rsid w:val="00B646B4"/>
    <w:rPr>
      <w:rFonts w:ascii="Consolas" w:eastAsia="Calibri" w:hAnsi="Consolas" w:cs="Consolas"/>
      <w:sz w:val="21"/>
      <w:szCs w:val="21"/>
    </w:rPr>
  </w:style>
  <w:style w:type="paragraph" w:styleId="ListParagraph">
    <w:name w:val="List Paragraph"/>
    <w:basedOn w:val="Normal"/>
    <w:uiPriority w:val="34"/>
    <w:qFormat/>
    <w:rsid w:val="00FE12E9"/>
    <w:pPr>
      <w:ind w:left="720"/>
    </w:pPr>
  </w:style>
  <w:style w:type="paragraph" w:customStyle="1" w:styleId="ShortT">
    <w:name w:val="ShortT"/>
    <w:basedOn w:val="Normal"/>
    <w:next w:val="Normal"/>
    <w:qFormat/>
    <w:rsid w:val="00552FA7"/>
    <w:pPr>
      <w:spacing w:before="0"/>
    </w:pPr>
    <w:rPr>
      <w:b/>
      <w:sz w:val="40"/>
    </w:rPr>
  </w:style>
  <w:style w:type="paragraph" w:customStyle="1" w:styleId="SignCoverPageStart">
    <w:name w:val="SignCoverPageStart"/>
    <w:basedOn w:val="Normal"/>
    <w:next w:val="Normal"/>
    <w:rsid w:val="00552FA7"/>
    <w:pPr>
      <w:pBdr>
        <w:top w:val="single" w:sz="4" w:space="1" w:color="auto"/>
      </w:pBdr>
      <w:spacing w:before="360" w:line="260" w:lineRule="atLeast"/>
      <w:ind w:right="397"/>
      <w:jc w:val="both"/>
    </w:pPr>
    <w:rPr>
      <w:sz w:val="22"/>
    </w:rPr>
  </w:style>
  <w:style w:type="paragraph" w:customStyle="1" w:styleId="SignCoverPageEnd">
    <w:name w:val="SignCoverPageEnd"/>
    <w:basedOn w:val="Normal"/>
    <w:next w:val="Normal"/>
    <w:rsid w:val="00552FA7"/>
    <w:pPr>
      <w:keepNext/>
      <w:pBdr>
        <w:bottom w:val="single" w:sz="4" w:space="12" w:color="auto"/>
      </w:pBdr>
      <w:tabs>
        <w:tab w:val="left" w:pos="3402"/>
      </w:tabs>
      <w:spacing w:before="0" w:line="300" w:lineRule="atLeast"/>
      <w:ind w:right="397"/>
    </w:pPr>
  </w:style>
  <w:style w:type="paragraph" w:customStyle="1" w:styleId="paragraph">
    <w:name w:val="paragraph"/>
    <w:aliases w:val="a"/>
    <w:basedOn w:val="Normal"/>
    <w:rsid w:val="00552FA7"/>
    <w:pPr>
      <w:tabs>
        <w:tab w:val="right" w:pos="1531"/>
      </w:tabs>
      <w:spacing w:before="40"/>
      <w:ind w:left="1644" w:hanging="1644"/>
    </w:pPr>
    <w:rPr>
      <w:sz w:val="22"/>
    </w:rPr>
  </w:style>
  <w:style w:type="character" w:styleId="Strong">
    <w:name w:val="Strong"/>
    <w:basedOn w:val="DefaultParagraphFont"/>
    <w:uiPriority w:val="22"/>
    <w:qFormat/>
    <w:rsid w:val="001A4583"/>
    <w:rPr>
      <w:b/>
      <w:bCs/>
    </w:rPr>
  </w:style>
  <w:style w:type="paragraph" w:styleId="NormalWeb">
    <w:name w:val="Normal (Web)"/>
    <w:basedOn w:val="Normal"/>
    <w:uiPriority w:val="99"/>
    <w:unhideWhenUsed/>
    <w:rsid w:val="00F6748F"/>
    <w:pPr>
      <w:spacing w:before="100" w:beforeAutospacing="1" w:after="100" w:afterAutospacing="1"/>
    </w:pPr>
    <w:rPr>
      <w:szCs w:val="24"/>
    </w:rPr>
  </w:style>
  <w:style w:type="character" w:styleId="Emphasis">
    <w:name w:val="Emphasis"/>
    <w:basedOn w:val="DefaultParagraphFont"/>
    <w:uiPriority w:val="20"/>
    <w:qFormat/>
    <w:rsid w:val="00F6748F"/>
    <w:rPr>
      <w:i/>
      <w:iCs/>
    </w:rPr>
  </w:style>
  <w:style w:type="paragraph" w:customStyle="1" w:styleId="h4">
    <w:name w:val="h4"/>
    <w:basedOn w:val="Heading3"/>
    <w:link w:val="h4Char"/>
    <w:qFormat/>
    <w:rsid w:val="00240213"/>
    <w:pPr>
      <w:outlineLvl w:val="3"/>
    </w:pPr>
    <w:rPr>
      <w:i w:val="0"/>
    </w:rPr>
  </w:style>
  <w:style w:type="paragraph" w:customStyle="1" w:styleId="h3">
    <w:name w:val="h3"/>
    <w:basedOn w:val="Heading2"/>
    <w:link w:val="h3Char"/>
    <w:qFormat/>
    <w:rsid w:val="00C61CCD"/>
    <w:pPr>
      <w:ind w:left="856" w:hanging="856"/>
      <w:outlineLvl w:val="2"/>
    </w:pPr>
  </w:style>
  <w:style w:type="character" w:customStyle="1" w:styleId="Heading3Char">
    <w:name w:val="Heading 3 Char"/>
    <w:basedOn w:val="DefaultParagraphFont"/>
    <w:link w:val="Heading3"/>
    <w:rsid w:val="00240213"/>
    <w:rPr>
      <w:b/>
      <w:i/>
      <w:sz w:val="24"/>
    </w:rPr>
  </w:style>
  <w:style w:type="character" w:customStyle="1" w:styleId="h4Char">
    <w:name w:val="h4 Char"/>
    <w:basedOn w:val="Heading3Char"/>
    <w:link w:val="h4"/>
    <w:rsid w:val="00240213"/>
    <w:rPr>
      <w:b/>
      <w:i w:val="0"/>
      <w:sz w:val="24"/>
    </w:rPr>
  </w:style>
  <w:style w:type="paragraph" w:customStyle="1" w:styleId="h2">
    <w:name w:val="h2"/>
    <w:basedOn w:val="Heading1"/>
    <w:link w:val="h2Char"/>
    <w:qFormat/>
    <w:rsid w:val="00B84BC2"/>
    <w:pPr>
      <w:ind w:left="856" w:hanging="856"/>
      <w:outlineLvl w:val="1"/>
    </w:pPr>
  </w:style>
  <w:style w:type="character" w:customStyle="1" w:styleId="Heading2Char">
    <w:name w:val="Heading 2 Char"/>
    <w:basedOn w:val="DefaultParagraphFont"/>
    <w:link w:val="Heading2"/>
    <w:rsid w:val="00C61CCD"/>
    <w:rPr>
      <w:b/>
      <w:sz w:val="24"/>
    </w:rPr>
  </w:style>
  <w:style w:type="character" w:customStyle="1" w:styleId="h3Char">
    <w:name w:val="h3 Char"/>
    <w:basedOn w:val="Heading2Char"/>
    <w:link w:val="h3"/>
    <w:rsid w:val="00C61CCD"/>
    <w:rPr>
      <w:b/>
      <w:sz w:val="24"/>
    </w:rPr>
  </w:style>
  <w:style w:type="paragraph" w:customStyle="1" w:styleId="Appendicies">
    <w:name w:val="Appendicies"/>
    <w:basedOn w:val="AppendixTitle"/>
    <w:link w:val="AppendiciesChar"/>
    <w:qFormat/>
    <w:rsid w:val="00AE6D13"/>
    <w:pPr>
      <w:outlineLvl w:val="1"/>
    </w:pPr>
  </w:style>
  <w:style w:type="character" w:customStyle="1" w:styleId="Heading1Char">
    <w:name w:val="Heading 1 Char"/>
    <w:basedOn w:val="DefaultParagraphFont"/>
    <w:link w:val="Heading1"/>
    <w:rsid w:val="00B84BC2"/>
    <w:rPr>
      <w:b/>
      <w:caps/>
      <w:sz w:val="24"/>
    </w:rPr>
  </w:style>
  <w:style w:type="character" w:customStyle="1" w:styleId="h2Char">
    <w:name w:val="h2 Char"/>
    <w:basedOn w:val="Heading1Char"/>
    <w:link w:val="h2"/>
    <w:rsid w:val="00B84BC2"/>
    <w:rPr>
      <w:b/>
      <w:caps/>
      <w:sz w:val="24"/>
    </w:rPr>
  </w:style>
  <w:style w:type="character" w:customStyle="1" w:styleId="AppendiciesChar">
    <w:name w:val="Appendicies Char"/>
    <w:basedOn w:val="AppendixCharChar"/>
    <w:link w:val="Appendicies"/>
    <w:rsid w:val="00AE6D13"/>
    <w:rPr>
      <w:b/>
      <w:sz w:val="24"/>
      <w:lang w:val="en-AU" w:eastAsia="en-AU" w:bidi="ar-SA"/>
    </w:rPr>
  </w:style>
  <w:style w:type="table" w:styleId="TableGrid">
    <w:name w:val="Table Grid"/>
    <w:basedOn w:val="TableNormal"/>
    <w:uiPriority w:val="59"/>
    <w:rsid w:val="00E33F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text"/>
    <w:aliases w:val="tt"/>
    <w:basedOn w:val="Normal"/>
    <w:rsid w:val="00E33FCD"/>
    <w:pPr>
      <w:spacing w:before="60" w:line="240" w:lineRule="atLeast"/>
    </w:pPr>
    <w:rPr>
      <w:sz w:val="20"/>
    </w:rPr>
  </w:style>
  <w:style w:type="paragraph" w:customStyle="1" w:styleId="Tablea">
    <w:name w:val="Table(a)"/>
    <w:aliases w:val="ta"/>
    <w:basedOn w:val="Normal"/>
    <w:rsid w:val="00E33FCD"/>
    <w:pPr>
      <w:spacing w:before="60"/>
      <w:ind w:left="284" w:hanging="284"/>
    </w:pPr>
    <w:rPr>
      <w:sz w:val="20"/>
    </w:rPr>
  </w:style>
  <w:style w:type="paragraph" w:customStyle="1" w:styleId="Tablei">
    <w:name w:val="Table(i)"/>
    <w:aliases w:val="taa"/>
    <w:basedOn w:val="Normal"/>
    <w:rsid w:val="00E33FCD"/>
    <w:pPr>
      <w:tabs>
        <w:tab w:val="left" w:pos="-6543"/>
        <w:tab w:val="left" w:pos="-6260"/>
        <w:tab w:val="right" w:pos="970"/>
      </w:tabs>
      <w:spacing w:before="0" w:line="240" w:lineRule="exact"/>
      <w:ind w:left="828" w:hanging="284"/>
    </w:pPr>
    <w:rPr>
      <w:sz w:val="20"/>
    </w:rPr>
  </w:style>
  <w:style w:type="paragraph" w:customStyle="1" w:styleId="Default">
    <w:name w:val="Default"/>
    <w:rsid w:val="00E33FCD"/>
    <w:pPr>
      <w:autoSpaceDE w:val="0"/>
      <w:autoSpaceDN w:val="0"/>
      <w:adjustRightInd w:val="0"/>
    </w:pPr>
    <w:rPr>
      <w:color w:val="000000"/>
      <w:sz w:val="24"/>
      <w:szCs w:val="24"/>
    </w:rPr>
  </w:style>
  <w:style w:type="character" w:customStyle="1" w:styleId="normalchar1">
    <w:name w:val="normal__char1"/>
    <w:basedOn w:val="DefaultParagraphFont"/>
    <w:uiPriority w:val="99"/>
    <w:rsid w:val="00EF261F"/>
    <w:rPr>
      <w:rFonts w:ascii="Times New Roman" w:hAnsi="Times New Roman" w:cs="Times New Roman"/>
      <w:sz w:val="24"/>
      <w:szCs w:val="24"/>
      <w:u w:val="none"/>
      <w:effect w:val="none"/>
    </w:rPr>
  </w:style>
  <w:style w:type="paragraph" w:customStyle="1" w:styleId="ActHead3">
    <w:name w:val="ActHead 3"/>
    <w:aliases w:val="d"/>
    <w:basedOn w:val="Normal"/>
    <w:next w:val="Normal"/>
    <w:qFormat/>
    <w:rsid w:val="00135613"/>
    <w:pPr>
      <w:keepNext/>
      <w:keepLines/>
      <w:ind w:left="1134" w:hanging="1134"/>
      <w:outlineLvl w:val="2"/>
    </w:pPr>
    <w:rPr>
      <w:b/>
      <w:kern w:val="28"/>
      <w:sz w:val="28"/>
    </w:rPr>
  </w:style>
  <w:style w:type="paragraph" w:customStyle="1" w:styleId="ActHead5">
    <w:name w:val="ActHead 5"/>
    <w:aliases w:val="s"/>
    <w:basedOn w:val="Normal"/>
    <w:next w:val="subsection"/>
    <w:link w:val="ActHead5Char"/>
    <w:qFormat/>
    <w:rsid w:val="00135613"/>
    <w:pPr>
      <w:keepNext/>
      <w:keepLines/>
      <w:spacing w:before="280"/>
      <w:ind w:left="1134" w:hanging="1134"/>
      <w:outlineLvl w:val="4"/>
    </w:pPr>
    <w:rPr>
      <w:b/>
      <w:kern w:val="28"/>
    </w:rPr>
  </w:style>
  <w:style w:type="character" w:customStyle="1" w:styleId="CharDivNo">
    <w:name w:val="CharDivNo"/>
    <w:basedOn w:val="DefaultParagraphFont"/>
    <w:uiPriority w:val="1"/>
    <w:qFormat/>
    <w:rsid w:val="00135613"/>
  </w:style>
  <w:style w:type="character" w:customStyle="1" w:styleId="CharDivText">
    <w:name w:val="CharDivText"/>
    <w:basedOn w:val="DefaultParagraphFont"/>
    <w:uiPriority w:val="1"/>
    <w:qFormat/>
    <w:rsid w:val="00135613"/>
  </w:style>
  <w:style w:type="character" w:customStyle="1" w:styleId="CharSectno">
    <w:name w:val="CharSectno"/>
    <w:basedOn w:val="DefaultParagraphFont"/>
    <w:qFormat/>
    <w:rsid w:val="00135613"/>
  </w:style>
  <w:style w:type="paragraph" w:customStyle="1" w:styleId="subsection">
    <w:name w:val="subsection"/>
    <w:aliases w:val="ss"/>
    <w:basedOn w:val="Normal"/>
    <w:link w:val="subsectionChar"/>
    <w:rsid w:val="00135613"/>
    <w:pPr>
      <w:tabs>
        <w:tab w:val="right" w:pos="1021"/>
      </w:tabs>
      <w:spacing w:before="180"/>
      <w:ind w:left="1134" w:hanging="1134"/>
    </w:pPr>
    <w:rPr>
      <w:sz w:val="22"/>
    </w:rPr>
  </w:style>
  <w:style w:type="paragraph" w:customStyle="1" w:styleId="Definition">
    <w:name w:val="Definition"/>
    <w:aliases w:val="dd"/>
    <w:basedOn w:val="Normal"/>
    <w:rsid w:val="00135613"/>
    <w:pPr>
      <w:spacing w:before="180"/>
      <w:ind w:left="1134"/>
    </w:pPr>
    <w:rPr>
      <w:sz w:val="22"/>
    </w:rPr>
  </w:style>
  <w:style w:type="paragraph" w:customStyle="1" w:styleId="Item">
    <w:name w:val="Item"/>
    <w:aliases w:val="i"/>
    <w:basedOn w:val="Normal"/>
    <w:next w:val="ItemHead"/>
    <w:rsid w:val="00135613"/>
    <w:pPr>
      <w:keepLines/>
      <w:spacing w:before="80"/>
      <w:ind w:left="709"/>
    </w:pPr>
    <w:rPr>
      <w:sz w:val="22"/>
    </w:rPr>
  </w:style>
  <w:style w:type="paragraph" w:customStyle="1" w:styleId="ItemHead">
    <w:name w:val="ItemHead"/>
    <w:aliases w:val="ih"/>
    <w:basedOn w:val="Normal"/>
    <w:next w:val="Item"/>
    <w:rsid w:val="00135613"/>
    <w:pPr>
      <w:keepNext/>
      <w:keepLines/>
      <w:spacing w:before="220"/>
      <w:ind w:left="709" w:hanging="709"/>
    </w:pPr>
    <w:rPr>
      <w:rFonts w:ascii="Arial" w:hAnsi="Arial"/>
      <w:b/>
      <w:kern w:val="28"/>
    </w:rPr>
  </w:style>
  <w:style w:type="paragraph" w:customStyle="1" w:styleId="notedraft">
    <w:name w:val="note(draft)"/>
    <w:aliases w:val="nd"/>
    <w:basedOn w:val="Normal"/>
    <w:rsid w:val="00135613"/>
    <w:pPr>
      <w:ind w:left="284" w:hanging="284"/>
    </w:pPr>
    <w:rPr>
      <w:i/>
    </w:rPr>
  </w:style>
  <w:style w:type="paragraph" w:customStyle="1" w:styleId="paragraphsub">
    <w:name w:val="paragraph(sub)"/>
    <w:aliases w:val="aa"/>
    <w:basedOn w:val="Normal"/>
    <w:rsid w:val="00135613"/>
    <w:pPr>
      <w:tabs>
        <w:tab w:val="right" w:pos="1985"/>
      </w:tabs>
      <w:spacing w:before="40"/>
      <w:ind w:left="2098" w:hanging="2098"/>
    </w:pPr>
    <w:rPr>
      <w:sz w:val="22"/>
    </w:rPr>
  </w:style>
  <w:style w:type="paragraph" w:customStyle="1" w:styleId="notetext">
    <w:name w:val="note(text)"/>
    <w:aliases w:val="n"/>
    <w:basedOn w:val="Normal"/>
    <w:link w:val="notetextChar"/>
    <w:rsid w:val="00135613"/>
    <w:pPr>
      <w:spacing w:before="122"/>
      <w:ind w:left="1985" w:hanging="851"/>
    </w:pPr>
    <w:rPr>
      <w:sz w:val="18"/>
    </w:rPr>
  </w:style>
  <w:style w:type="paragraph" w:customStyle="1" w:styleId="TableHeading">
    <w:name w:val="TableHeading"/>
    <w:aliases w:val="th"/>
    <w:basedOn w:val="Normal"/>
    <w:next w:val="Tabletext"/>
    <w:rsid w:val="00135613"/>
    <w:pPr>
      <w:keepNext/>
      <w:spacing w:before="60" w:line="240" w:lineRule="atLeast"/>
    </w:pPr>
    <w:rPr>
      <w:b/>
      <w:sz w:val="20"/>
    </w:rPr>
  </w:style>
  <w:style w:type="character" w:customStyle="1" w:styleId="subsectionChar">
    <w:name w:val="subsection Char"/>
    <w:aliases w:val="ss Char"/>
    <w:basedOn w:val="DefaultParagraphFont"/>
    <w:link w:val="subsection"/>
    <w:locked/>
    <w:rsid w:val="00135613"/>
    <w:rPr>
      <w:sz w:val="22"/>
    </w:rPr>
  </w:style>
  <w:style w:type="character" w:customStyle="1" w:styleId="notetextChar">
    <w:name w:val="note(text) Char"/>
    <w:aliases w:val="n Char"/>
    <w:basedOn w:val="DefaultParagraphFont"/>
    <w:link w:val="notetext"/>
    <w:rsid w:val="00135613"/>
    <w:rPr>
      <w:sz w:val="18"/>
    </w:rPr>
  </w:style>
  <w:style w:type="character" w:customStyle="1" w:styleId="ActHead5Char">
    <w:name w:val="ActHead 5 Char"/>
    <w:aliases w:val="s Char"/>
    <w:link w:val="ActHead5"/>
    <w:rsid w:val="00135613"/>
    <w:rPr>
      <w:b/>
      <w:kern w:val="28"/>
      <w:sz w:val="24"/>
    </w:rPr>
  </w:style>
  <w:style w:type="character" w:customStyle="1" w:styleId="CharPartText">
    <w:name w:val="CharPartText"/>
    <w:basedOn w:val="DefaultParagraphFont"/>
    <w:qFormat/>
    <w:rsid w:val="000F3406"/>
  </w:style>
  <w:style w:type="paragraph" w:styleId="BodyText">
    <w:name w:val="Body Text"/>
    <w:basedOn w:val="Normal"/>
    <w:link w:val="BodyTextChar"/>
    <w:uiPriority w:val="1"/>
    <w:qFormat/>
    <w:rsid w:val="000425A0"/>
    <w:pPr>
      <w:widowControl w:val="0"/>
      <w:spacing w:before="0"/>
      <w:ind w:left="472"/>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0425A0"/>
    <w:rPr>
      <w:rFonts w:ascii="Calibri" w:eastAsia="Calibri"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67">
      <w:bodyDiv w:val="1"/>
      <w:marLeft w:val="0"/>
      <w:marRight w:val="0"/>
      <w:marTop w:val="0"/>
      <w:marBottom w:val="0"/>
      <w:divBdr>
        <w:top w:val="none" w:sz="0" w:space="0" w:color="auto"/>
        <w:left w:val="none" w:sz="0" w:space="0" w:color="auto"/>
        <w:bottom w:val="none" w:sz="0" w:space="0" w:color="auto"/>
        <w:right w:val="none" w:sz="0" w:space="0" w:color="auto"/>
      </w:divBdr>
    </w:div>
    <w:div w:id="91823514">
      <w:bodyDiv w:val="1"/>
      <w:marLeft w:val="0"/>
      <w:marRight w:val="0"/>
      <w:marTop w:val="0"/>
      <w:marBottom w:val="0"/>
      <w:divBdr>
        <w:top w:val="none" w:sz="0" w:space="0" w:color="auto"/>
        <w:left w:val="none" w:sz="0" w:space="0" w:color="auto"/>
        <w:bottom w:val="none" w:sz="0" w:space="0" w:color="auto"/>
        <w:right w:val="none" w:sz="0" w:space="0" w:color="auto"/>
      </w:divBdr>
      <w:divsChild>
        <w:div w:id="1574974398">
          <w:marLeft w:val="0"/>
          <w:marRight w:val="0"/>
          <w:marTop w:val="0"/>
          <w:marBottom w:val="0"/>
          <w:divBdr>
            <w:top w:val="none" w:sz="0" w:space="0" w:color="auto"/>
            <w:left w:val="none" w:sz="0" w:space="0" w:color="auto"/>
            <w:bottom w:val="none" w:sz="0" w:space="0" w:color="auto"/>
            <w:right w:val="none" w:sz="0" w:space="0" w:color="auto"/>
          </w:divBdr>
          <w:divsChild>
            <w:div w:id="158160744">
              <w:marLeft w:val="0"/>
              <w:marRight w:val="0"/>
              <w:marTop w:val="0"/>
              <w:marBottom w:val="0"/>
              <w:divBdr>
                <w:top w:val="none" w:sz="0" w:space="0" w:color="auto"/>
                <w:left w:val="none" w:sz="0" w:space="0" w:color="auto"/>
                <w:bottom w:val="none" w:sz="0" w:space="0" w:color="auto"/>
                <w:right w:val="none" w:sz="0" w:space="0" w:color="auto"/>
              </w:divBdr>
              <w:divsChild>
                <w:div w:id="1037437629">
                  <w:marLeft w:val="0"/>
                  <w:marRight w:val="0"/>
                  <w:marTop w:val="0"/>
                  <w:marBottom w:val="0"/>
                  <w:divBdr>
                    <w:top w:val="none" w:sz="0" w:space="0" w:color="auto"/>
                    <w:left w:val="none" w:sz="0" w:space="0" w:color="auto"/>
                    <w:bottom w:val="none" w:sz="0" w:space="0" w:color="auto"/>
                    <w:right w:val="none" w:sz="0" w:space="0" w:color="auto"/>
                  </w:divBdr>
                  <w:divsChild>
                    <w:div w:id="335615443">
                      <w:marLeft w:val="0"/>
                      <w:marRight w:val="0"/>
                      <w:marTop w:val="0"/>
                      <w:marBottom w:val="0"/>
                      <w:divBdr>
                        <w:top w:val="none" w:sz="0" w:space="0" w:color="auto"/>
                        <w:left w:val="none" w:sz="0" w:space="0" w:color="auto"/>
                        <w:bottom w:val="none" w:sz="0" w:space="0" w:color="auto"/>
                        <w:right w:val="none" w:sz="0" w:space="0" w:color="auto"/>
                      </w:divBdr>
                      <w:divsChild>
                        <w:div w:id="848062925">
                          <w:marLeft w:val="0"/>
                          <w:marRight w:val="0"/>
                          <w:marTop w:val="0"/>
                          <w:marBottom w:val="0"/>
                          <w:divBdr>
                            <w:top w:val="none" w:sz="0" w:space="0" w:color="auto"/>
                            <w:left w:val="none" w:sz="0" w:space="0" w:color="auto"/>
                            <w:bottom w:val="none" w:sz="0" w:space="0" w:color="auto"/>
                            <w:right w:val="none" w:sz="0" w:space="0" w:color="auto"/>
                          </w:divBdr>
                          <w:divsChild>
                            <w:div w:id="1520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569087">
      <w:bodyDiv w:val="1"/>
      <w:marLeft w:val="0"/>
      <w:marRight w:val="0"/>
      <w:marTop w:val="0"/>
      <w:marBottom w:val="0"/>
      <w:divBdr>
        <w:top w:val="none" w:sz="0" w:space="0" w:color="auto"/>
        <w:left w:val="none" w:sz="0" w:space="0" w:color="auto"/>
        <w:bottom w:val="none" w:sz="0" w:space="0" w:color="auto"/>
        <w:right w:val="none" w:sz="0" w:space="0" w:color="auto"/>
      </w:divBdr>
    </w:div>
    <w:div w:id="361328604">
      <w:bodyDiv w:val="1"/>
      <w:marLeft w:val="0"/>
      <w:marRight w:val="0"/>
      <w:marTop w:val="0"/>
      <w:marBottom w:val="0"/>
      <w:divBdr>
        <w:top w:val="none" w:sz="0" w:space="0" w:color="auto"/>
        <w:left w:val="none" w:sz="0" w:space="0" w:color="auto"/>
        <w:bottom w:val="none" w:sz="0" w:space="0" w:color="auto"/>
        <w:right w:val="none" w:sz="0" w:space="0" w:color="auto"/>
      </w:divBdr>
    </w:div>
    <w:div w:id="407504925">
      <w:bodyDiv w:val="1"/>
      <w:marLeft w:val="0"/>
      <w:marRight w:val="0"/>
      <w:marTop w:val="0"/>
      <w:marBottom w:val="0"/>
      <w:divBdr>
        <w:top w:val="none" w:sz="0" w:space="0" w:color="auto"/>
        <w:left w:val="none" w:sz="0" w:space="0" w:color="auto"/>
        <w:bottom w:val="none" w:sz="0" w:space="0" w:color="auto"/>
        <w:right w:val="none" w:sz="0" w:space="0" w:color="auto"/>
      </w:divBdr>
    </w:div>
    <w:div w:id="977225596">
      <w:bodyDiv w:val="1"/>
      <w:marLeft w:val="0"/>
      <w:marRight w:val="0"/>
      <w:marTop w:val="0"/>
      <w:marBottom w:val="0"/>
      <w:divBdr>
        <w:top w:val="none" w:sz="0" w:space="0" w:color="auto"/>
        <w:left w:val="none" w:sz="0" w:space="0" w:color="auto"/>
        <w:bottom w:val="none" w:sz="0" w:space="0" w:color="auto"/>
        <w:right w:val="none" w:sz="0" w:space="0" w:color="auto"/>
      </w:divBdr>
    </w:div>
    <w:div w:id="1459907379">
      <w:bodyDiv w:val="1"/>
      <w:marLeft w:val="0"/>
      <w:marRight w:val="0"/>
      <w:marTop w:val="0"/>
      <w:marBottom w:val="0"/>
      <w:divBdr>
        <w:top w:val="none" w:sz="0" w:space="0" w:color="auto"/>
        <w:left w:val="none" w:sz="0" w:space="0" w:color="auto"/>
        <w:bottom w:val="none" w:sz="0" w:space="0" w:color="auto"/>
        <w:right w:val="none" w:sz="0" w:space="0" w:color="auto"/>
      </w:divBdr>
    </w:div>
    <w:div w:id="1488788233">
      <w:bodyDiv w:val="1"/>
      <w:marLeft w:val="0"/>
      <w:marRight w:val="0"/>
      <w:marTop w:val="0"/>
      <w:marBottom w:val="0"/>
      <w:divBdr>
        <w:top w:val="none" w:sz="0" w:space="0" w:color="auto"/>
        <w:left w:val="none" w:sz="0" w:space="0" w:color="auto"/>
        <w:bottom w:val="none" w:sz="0" w:space="0" w:color="auto"/>
        <w:right w:val="none" w:sz="0" w:space="0" w:color="auto"/>
      </w:divBdr>
    </w:div>
    <w:div w:id="1570655273">
      <w:bodyDiv w:val="1"/>
      <w:marLeft w:val="0"/>
      <w:marRight w:val="0"/>
      <w:marTop w:val="0"/>
      <w:marBottom w:val="0"/>
      <w:divBdr>
        <w:top w:val="none" w:sz="0" w:space="0" w:color="auto"/>
        <w:left w:val="none" w:sz="0" w:space="0" w:color="auto"/>
        <w:bottom w:val="none" w:sz="0" w:space="0" w:color="auto"/>
        <w:right w:val="none" w:sz="0" w:space="0" w:color="auto"/>
      </w:divBdr>
    </w:div>
    <w:div w:id="1631742663">
      <w:bodyDiv w:val="1"/>
      <w:marLeft w:val="0"/>
      <w:marRight w:val="0"/>
      <w:marTop w:val="0"/>
      <w:marBottom w:val="0"/>
      <w:divBdr>
        <w:top w:val="none" w:sz="0" w:space="0" w:color="auto"/>
        <w:left w:val="none" w:sz="0" w:space="0" w:color="auto"/>
        <w:bottom w:val="none" w:sz="0" w:space="0" w:color="auto"/>
        <w:right w:val="none" w:sz="0" w:space="0" w:color="auto"/>
      </w:divBdr>
    </w:div>
    <w:div w:id="1727407448">
      <w:bodyDiv w:val="1"/>
      <w:marLeft w:val="0"/>
      <w:marRight w:val="0"/>
      <w:marTop w:val="0"/>
      <w:marBottom w:val="0"/>
      <w:divBdr>
        <w:top w:val="none" w:sz="0" w:space="0" w:color="auto"/>
        <w:left w:val="none" w:sz="0" w:space="0" w:color="auto"/>
        <w:bottom w:val="none" w:sz="0" w:space="0" w:color="auto"/>
        <w:right w:val="none" w:sz="0" w:space="0" w:color="auto"/>
      </w:divBdr>
    </w:div>
    <w:div w:id="1803309040">
      <w:bodyDiv w:val="1"/>
      <w:marLeft w:val="0"/>
      <w:marRight w:val="0"/>
      <w:marTop w:val="0"/>
      <w:marBottom w:val="0"/>
      <w:divBdr>
        <w:top w:val="none" w:sz="0" w:space="0" w:color="auto"/>
        <w:left w:val="none" w:sz="0" w:space="0" w:color="auto"/>
        <w:bottom w:val="none" w:sz="0" w:space="0" w:color="auto"/>
        <w:right w:val="none" w:sz="0" w:space="0" w:color="auto"/>
      </w:divBdr>
      <w:divsChild>
        <w:div w:id="1804930272">
          <w:marLeft w:val="0"/>
          <w:marRight w:val="0"/>
          <w:marTop w:val="0"/>
          <w:marBottom w:val="0"/>
          <w:divBdr>
            <w:top w:val="none" w:sz="0" w:space="0" w:color="auto"/>
            <w:left w:val="none" w:sz="0" w:space="0" w:color="auto"/>
            <w:bottom w:val="none" w:sz="0" w:space="0" w:color="auto"/>
            <w:right w:val="none" w:sz="0" w:space="0" w:color="auto"/>
          </w:divBdr>
          <w:divsChild>
            <w:div w:id="1205604970">
              <w:marLeft w:val="0"/>
              <w:marRight w:val="0"/>
              <w:marTop w:val="0"/>
              <w:marBottom w:val="0"/>
              <w:divBdr>
                <w:top w:val="none" w:sz="0" w:space="0" w:color="auto"/>
                <w:left w:val="none" w:sz="0" w:space="0" w:color="auto"/>
                <w:bottom w:val="none" w:sz="0" w:space="0" w:color="auto"/>
                <w:right w:val="none" w:sz="0" w:space="0" w:color="auto"/>
              </w:divBdr>
              <w:divsChild>
                <w:div w:id="1331518539">
                  <w:marLeft w:val="0"/>
                  <w:marRight w:val="0"/>
                  <w:marTop w:val="0"/>
                  <w:marBottom w:val="0"/>
                  <w:divBdr>
                    <w:top w:val="none" w:sz="0" w:space="0" w:color="auto"/>
                    <w:left w:val="none" w:sz="0" w:space="0" w:color="auto"/>
                    <w:bottom w:val="none" w:sz="0" w:space="0" w:color="auto"/>
                    <w:right w:val="none" w:sz="0" w:space="0" w:color="auto"/>
                  </w:divBdr>
                  <w:divsChild>
                    <w:div w:id="1957592772">
                      <w:marLeft w:val="0"/>
                      <w:marRight w:val="0"/>
                      <w:marTop w:val="0"/>
                      <w:marBottom w:val="0"/>
                      <w:divBdr>
                        <w:top w:val="none" w:sz="0" w:space="0" w:color="auto"/>
                        <w:left w:val="none" w:sz="0" w:space="0" w:color="auto"/>
                        <w:bottom w:val="none" w:sz="0" w:space="0" w:color="auto"/>
                        <w:right w:val="none" w:sz="0" w:space="0" w:color="auto"/>
                      </w:divBdr>
                      <w:divsChild>
                        <w:div w:id="834422221">
                          <w:marLeft w:val="0"/>
                          <w:marRight w:val="0"/>
                          <w:marTop w:val="0"/>
                          <w:marBottom w:val="0"/>
                          <w:divBdr>
                            <w:top w:val="none" w:sz="0" w:space="0" w:color="auto"/>
                            <w:left w:val="none" w:sz="0" w:space="0" w:color="auto"/>
                            <w:bottom w:val="none" w:sz="0" w:space="0" w:color="auto"/>
                            <w:right w:val="none" w:sz="0" w:space="0" w:color="auto"/>
                          </w:divBdr>
                          <w:divsChild>
                            <w:div w:id="21337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117e6a1-d196-48d2-9359-b2065b5eae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73F496D7259045B717B9BCC29B46BD" ma:contentTypeVersion="13" ma:contentTypeDescription="Create a new document." ma:contentTypeScope="" ma:versionID="75315218440a51324daf65e5776758cf">
  <xsd:schema xmlns:xsd="http://www.w3.org/2001/XMLSchema" xmlns:xs="http://www.w3.org/2001/XMLSchema" xmlns:p="http://schemas.microsoft.com/office/2006/metadata/properties" xmlns:ns2="9117e6a1-d196-48d2-9359-b2065b5eaea6" xmlns:ns3="8cc4a87a-43f9-47c0-bae0-73fd342ec37e" targetNamespace="http://schemas.microsoft.com/office/2006/metadata/properties" ma:root="true" ma:fieldsID="7d155bc35bc822f924a91467a86c072f" ns2:_="" ns3:_="">
    <xsd:import namespace="9117e6a1-d196-48d2-9359-b2065b5eaea6"/>
    <xsd:import namespace="8cc4a87a-43f9-47c0-bae0-73fd342ec3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a1-d196-48d2-9359-b2065b5ea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4a87a-43f9-47c0-bae0-73fd342ec3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52C8-61B5-439C-9F89-3C90844D15D1}">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9117e6a1-d196-48d2-9359-b2065b5eaea6"/>
    <ds:schemaRef ds:uri="http://purl.org/dc/elements/1.1/"/>
    <ds:schemaRef ds:uri="http://schemas.openxmlformats.org/package/2006/metadata/core-properties"/>
    <ds:schemaRef ds:uri="8cc4a87a-43f9-47c0-bae0-73fd342ec37e"/>
    <ds:schemaRef ds:uri="http://www.w3.org/XML/1998/namespace"/>
  </ds:schemaRefs>
</ds:datastoreItem>
</file>

<file path=customXml/itemProps2.xml><?xml version="1.0" encoding="utf-8"?>
<ds:datastoreItem xmlns:ds="http://schemas.openxmlformats.org/officeDocument/2006/customXml" ds:itemID="{C09885B4-89ED-4BC1-B9EC-70B1AA65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7e6a1-d196-48d2-9359-b2065b5eaea6"/>
    <ds:schemaRef ds:uri="8cc4a87a-43f9-47c0-bae0-73fd342ec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FB8B8-291C-4B19-8B91-99F08068B841}">
  <ds:schemaRefs>
    <ds:schemaRef ds:uri="http://schemas.microsoft.com/sharepoint/v3/contenttype/forms"/>
  </ds:schemaRefs>
</ds:datastoreItem>
</file>

<file path=customXml/itemProps4.xml><?xml version="1.0" encoding="utf-8"?>
<ds:datastoreItem xmlns:ds="http://schemas.openxmlformats.org/officeDocument/2006/customXml" ds:itemID="{5720C8C3-CE23-4F55-8D93-353B8BE2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2083</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Federal Executive Council Handbook 2017</vt:lpstr>
    </vt:vector>
  </TitlesOfParts>
  <Company>Department of the Prime Minister and Cabinet</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2017</dc:title>
  <dc:creator>Federal Executive Council</dc:creator>
  <cp:lastModifiedBy>NG, Jason</cp:lastModifiedBy>
  <cp:revision>35</cp:revision>
  <cp:lastPrinted>2020-05-07T23:52:00Z</cp:lastPrinted>
  <dcterms:created xsi:type="dcterms:W3CDTF">2020-12-01T04:24:00Z</dcterms:created>
  <dcterms:modified xsi:type="dcterms:W3CDTF">2021-03-03T03:41:00Z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0x010100EB73F496D7259045B717B9BCC29B46BD</vt:lpwstr>
  </property>
</Properties>
</file>